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E0F" w:rsidRPr="00D975A6" w:rsidRDefault="00364E0F" w:rsidP="00364E0F">
      <w:pPr>
        <w:pStyle w:val="Titel"/>
        <w:tabs>
          <w:tab w:val="right" w:pos="9356"/>
        </w:tabs>
        <w:jc w:val="left"/>
        <w:rPr>
          <w:b w:val="0"/>
          <w:sz w:val="23"/>
          <w:lang w:eastAsia="en-US"/>
        </w:rPr>
      </w:pPr>
    </w:p>
    <w:p w:rsidR="00364E0F" w:rsidRDefault="00364E0F" w:rsidP="00364E0F">
      <w:pPr>
        <w:pStyle w:val="Titel"/>
        <w:tabs>
          <w:tab w:val="right" w:pos="9356"/>
        </w:tabs>
        <w:jc w:val="both"/>
        <w:rPr>
          <w:b w:val="0"/>
          <w:noProof/>
        </w:rPr>
      </w:pPr>
      <w:r w:rsidRPr="00D975A6">
        <w:rPr>
          <w:b w:val="0"/>
          <w:sz w:val="23"/>
          <w:lang w:eastAsia="en-US"/>
        </w:rPr>
        <w:t xml:space="preserve"> </w:t>
      </w:r>
      <w:r w:rsidRPr="009260DE">
        <w:rPr>
          <w:noProof/>
          <w:szCs w:val="24"/>
        </w:rPr>
        <w:drawing>
          <wp:anchor distT="0" distB="0" distL="114300" distR="114300" simplePos="0" relativeHeight="251659264" behindDoc="0" locked="0" layoutInCell="1" allowOverlap="1" wp14:anchorId="52DBBF1C" wp14:editId="533F8617">
            <wp:simplePos x="0" y="0"/>
            <wp:positionH relativeFrom="column">
              <wp:posOffset>51435</wp:posOffset>
            </wp:positionH>
            <wp:positionV relativeFrom="paragraph">
              <wp:posOffset>1905</wp:posOffset>
            </wp:positionV>
            <wp:extent cx="2428875" cy="685800"/>
            <wp:effectExtent l="0" t="0" r="9525" b="0"/>
            <wp:wrapSquare wrapText="bothSides"/>
            <wp:docPr id="4"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p>
    <w:p w:rsidR="00364E0F" w:rsidRDefault="00364E0F" w:rsidP="00364E0F">
      <w:pPr>
        <w:pStyle w:val="Titel"/>
        <w:tabs>
          <w:tab w:val="right" w:pos="9356"/>
        </w:tabs>
        <w:jc w:val="both"/>
        <w:rPr>
          <w:b w:val="0"/>
          <w:noProof/>
        </w:rPr>
      </w:pPr>
    </w:p>
    <w:p w:rsidR="00364E0F" w:rsidRDefault="00364E0F" w:rsidP="00364E0F">
      <w:pPr>
        <w:pStyle w:val="Titel"/>
        <w:tabs>
          <w:tab w:val="right" w:pos="9356"/>
        </w:tabs>
        <w:jc w:val="both"/>
        <w:rPr>
          <w:b w:val="0"/>
          <w:noProof/>
        </w:rPr>
      </w:pPr>
    </w:p>
    <w:p w:rsidR="00364E0F" w:rsidRDefault="00364E0F" w:rsidP="00364E0F">
      <w:pPr>
        <w:pStyle w:val="Titel"/>
        <w:tabs>
          <w:tab w:val="right" w:pos="9356"/>
        </w:tabs>
        <w:jc w:val="both"/>
        <w:rPr>
          <w:b w:val="0"/>
          <w:noProof/>
        </w:rPr>
      </w:pPr>
    </w:p>
    <w:p w:rsidR="00364E0F" w:rsidRDefault="00364E0F" w:rsidP="00364E0F">
      <w:pPr>
        <w:pStyle w:val="Titel"/>
        <w:tabs>
          <w:tab w:val="right" w:pos="9356"/>
        </w:tabs>
        <w:jc w:val="both"/>
        <w:rPr>
          <w:b w:val="0"/>
          <w:noProof/>
        </w:rPr>
      </w:pPr>
    </w:p>
    <w:p w:rsidR="00782540" w:rsidRDefault="00782540" w:rsidP="00364E0F">
      <w:pPr>
        <w:pStyle w:val="Titel"/>
        <w:tabs>
          <w:tab w:val="right" w:pos="9356"/>
        </w:tabs>
        <w:jc w:val="both"/>
        <w:rPr>
          <w:b w:val="0"/>
          <w:sz w:val="23"/>
          <w:lang w:eastAsia="en-US"/>
        </w:rPr>
      </w:pPr>
    </w:p>
    <w:p w:rsidR="00364E0F" w:rsidRDefault="00364E0F" w:rsidP="00364E0F">
      <w:pPr>
        <w:pStyle w:val="Titel"/>
        <w:tabs>
          <w:tab w:val="right" w:pos="9356"/>
        </w:tabs>
        <w:jc w:val="both"/>
        <w:rPr>
          <w:b w:val="0"/>
          <w:sz w:val="23"/>
          <w:lang w:eastAsia="en-US"/>
        </w:rPr>
      </w:pPr>
      <w:r w:rsidRPr="00D975A6">
        <w:rPr>
          <w:b w:val="0"/>
          <w:sz w:val="23"/>
          <w:lang w:eastAsia="en-US"/>
        </w:rPr>
        <w:tab/>
      </w:r>
    </w:p>
    <w:p w:rsidR="00364E0F" w:rsidRDefault="00645B63" w:rsidP="00364E0F">
      <w:pPr>
        <w:pStyle w:val="Titel"/>
        <w:tabs>
          <w:tab w:val="right" w:pos="9356"/>
        </w:tabs>
        <w:ind w:left="720"/>
        <w:jc w:val="right"/>
        <w:rPr>
          <w:szCs w:val="24"/>
        </w:rPr>
      </w:pPr>
      <w:r>
        <w:rPr>
          <w:szCs w:val="24"/>
        </w:rPr>
        <w:t>30</w:t>
      </w:r>
      <w:r w:rsidR="00782540">
        <w:rPr>
          <w:szCs w:val="24"/>
        </w:rPr>
        <w:t>. ju</w:t>
      </w:r>
      <w:r>
        <w:rPr>
          <w:szCs w:val="24"/>
        </w:rPr>
        <w:t>l</w:t>
      </w:r>
      <w:r w:rsidR="00782540">
        <w:rPr>
          <w:szCs w:val="24"/>
        </w:rPr>
        <w:t>i 2024</w:t>
      </w:r>
    </w:p>
    <w:p w:rsidR="00782540" w:rsidRPr="003A52EB" w:rsidRDefault="00782540" w:rsidP="00364E0F">
      <w:pPr>
        <w:pStyle w:val="Titel"/>
        <w:tabs>
          <w:tab w:val="right" w:pos="9356"/>
        </w:tabs>
        <w:ind w:left="720"/>
        <w:jc w:val="right"/>
        <w:rPr>
          <w:szCs w:val="24"/>
        </w:rPr>
      </w:pPr>
    </w:p>
    <w:p w:rsidR="00364E0F" w:rsidRPr="00D975A6" w:rsidRDefault="00364E0F" w:rsidP="00364E0F">
      <w:pPr>
        <w:pStyle w:val="Titel"/>
        <w:jc w:val="both"/>
        <w:rPr>
          <w:b w:val="0"/>
        </w:rPr>
      </w:pPr>
    </w:p>
    <w:p w:rsidR="00364E0F" w:rsidRPr="00D975A6" w:rsidRDefault="00364E0F" w:rsidP="00364E0F">
      <w:pPr>
        <w:pStyle w:val="Titel"/>
        <w:ind w:left="2608" w:firstLine="1304"/>
        <w:jc w:val="left"/>
        <w:rPr>
          <w:b w:val="0"/>
          <w:szCs w:val="24"/>
        </w:rPr>
      </w:pPr>
      <w:r w:rsidRPr="00D975A6">
        <w:rPr>
          <w:szCs w:val="24"/>
        </w:rPr>
        <w:t>PRODUKTRESUMÉ</w:t>
      </w:r>
    </w:p>
    <w:p w:rsidR="00364E0F" w:rsidRPr="00D975A6" w:rsidRDefault="00364E0F" w:rsidP="00364E0F">
      <w:pPr>
        <w:jc w:val="center"/>
        <w:rPr>
          <w:b/>
          <w:sz w:val="24"/>
          <w:szCs w:val="24"/>
        </w:rPr>
      </w:pPr>
    </w:p>
    <w:p w:rsidR="00364E0F" w:rsidRPr="00D975A6" w:rsidRDefault="00364E0F" w:rsidP="00364E0F">
      <w:pPr>
        <w:jc w:val="center"/>
        <w:rPr>
          <w:b/>
          <w:sz w:val="24"/>
          <w:szCs w:val="24"/>
        </w:rPr>
      </w:pPr>
      <w:r w:rsidRPr="00D975A6">
        <w:rPr>
          <w:b/>
          <w:sz w:val="24"/>
          <w:szCs w:val="24"/>
        </w:rPr>
        <w:t>for</w:t>
      </w:r>
    </w:p>
    <w:p w:rsidR="00364E0F" w:rsidRPr="00D975A6" w:rsidRDefault="00364E0F" w:rsidP="00364E0F">
      <w:pPr>
        <w:jc w:val="center"/>
        <w:rPr>
          <w:b/>
          <w:sz w:val="24"/>
          <w:szCs w:val="24"/>
        </w:rPr>
      </w:pPr>
    </w:p>
    <w:p w:rsidR="00364E0F" w:rsidRPr="00D975A6" w:rsidRDefault="00EE05F8" w:rsidP="00364E0F">
      <w:pPr>
        <w:jc w:val="center"/>
        <w:rPr>
          <w:b/>
          <w:sz w:val="24"/>
          <w:szCs w:val="24"/>
        </w:rPr>
      </w:pPr>
      <w:proofErr w:type="spellStart"/>
      <w:r>
        <w:rPr>
          <w:b/>
          <w:sz w:val="24"/>
          <w:szCs w:val="24"/>
        </w:rPr>
        <w:t>Ulcozol</w:t>
      </w:r>
      <w:proofErr w:type="spellEnd"/>
      <w:r w:rsidR="00364E0F" w:rsidRPr="00D975A6">
        <w:rPr>
          <w:b/>
          <w:sz w:val="24"/>
          <w:szCs w:val="24"/>
        </w:rPr>
        <w:t xml:space="preserve">, hårde </w:t>
      </w:r>
      <w:proofErr w:type="spellStart"/>
      <w:r w:rsidR="00364E0F" w:rsidRPr="00D975A6">
        <w:rPr>
          <w:b/>
          <w:sz w:val="24"/>
          <w:szCs w:val="24"/>
        </w:rPr>
        <w:t>enterokapsler</w:t>
      </w:r>
      <w:proofErr w:type="spellEnd"/>
      <w:r w:rsidR="00364E0F" w:rsidRPr="00D975A6">
        <w:rPr>
          <w:b/>
          <w:sz w:val="24"/>
          <w:szCs w:val="24"/>
        </w:rPr>
        <w:t xml:space="preserve"> </w:t>
      </w:r>
      <w:r w:rsidR="00FE3ED2">
        <w:rPr>
          <w:b/>
          <w:sz w:val="24"/>
          <w:szCs w:val="24"/>
        </w:rPr>
        <w:t>(Nordic Prime)</w:t>
      </w:r>
    </w:p>
    <w:p w:rsidR="00364E0F" w:rsidRPr="00D975A6" w:rsidRDefault="00364E0F" w:rsidP="00364E0F">
      <w:pPr>
        <w:jc w:val="both"/>
        <w:rPr>
          <w:sz w:val="24"/>
          <w:szCs w:val="24"/>
        </w:rPr>
      </w:pPr>
    </w:p>
    <w:p w:rsidR="00364E0F" w:rsidRPr="00D975A6" w:rsidRDefault="00364E0F" w:rsidP="00364E0F">
      <w:pPr>
        <w:jc w:val="both"/>
        <w:rPr>
          <w:sz w:val="24"/>
          <w:szCs w:val="24"/>
        </w:rPr>
      </w:pPr>
    </w:p>
    <w:p w:rsidR="00364E0F" w:rsidRPr="00D975A6" w:rsidRDefault="00364E0F" w:rsidP="00364E0F">
      <w:pPr>
        <w:numPr>
          <w:ilvl w:val="0"/>
          <w:numId w:val="1"/>
        </w:numPr>
        <w:tabs>
          <w:tab w:val="clear" w:pos="855"/>
          <w:tab w:val="left" w:pos="851"/>
        </w:tabs>
        <w:rPr>
          <w:b/>
          <w:sz w:val="24"/>
          <w:szCs w:val="24"/>
        </w:rPr>
      </w:pPr>
      <w:r w:rsidRPr="00D975A6">
        <w:rPr>
          <w:b/>
          <w:sz w:val="24"/>
          <w:szCs w:val="24"/>
        </w:rPr>
        <w:t>D.SP.NR.</w:t>
      </w:r>
    </w:p>
    <w:p w:rsidR="00364E0F" w:rsidRPr="00D975A6" w:rsidRDefault="00364E0F" w:rsidP="00364E0F">
      <w:pPr>
        <w:tabs>
          <w:tab w:val="left" w:pos="851"/>
        </w:tabs>
        <w:rPr>
          <w:sz w:val="24"/>
          <w:szCs w:val="24"/>
        </w:rPr>
      </w:pPr>
      <w:r w:rsidRPr="00D975A6">
        <w:rPr>
          <w:sz w:val="24"/>
          <w:szCs w:val="24"/>
        </w:rPr>
        <w:tab/>
        <w:t>27661</w:t>
      </w:r>
    </w:p>
    <w:p w:rsidR="00364E0F" w:rsidRPr="00D975A6" w:rsidRDefault="00364E0F" w:rsidP="00364E0F">
      <w:pPr>
        <w:tabs>
          <w:tab w:val="left" w:pos="851"/>
        </w:tabs>
        <w:rPr>
          <w:sz w:val="24"/>
          <w:szCs w:val="24"/>
        </w:rPr>
      </w:pPr>
    </w:p>
    <w:p w:rsidR="00364E0F" w:rsidRPr="00D975A6" w:rsidRDefault="00364E0F" w:rsidP="00364E0F">
      <w:pPr>
        <w:numPr>
          <w:ilvl w:val="0"/>
          <w:numId w:val="1"/>
        </w:numPr>
        <w:rPr>
          <w:b/>
          <w:sz w:val="24"/>
          <w:szCs w:val="24"/>
        </w:rPr>
      </w:pPr>
      <w:r w:rsidRPr="00D975A6">
        <w:rPr>
          <w:b/>
          <w:sz w:val="24"/>
          <w:szCs w:val="24"/>
        </w:rPr>
        <w:t>LÆGEMIDLETS NAVN</w:t>
      </w:r>
    </w:p>
    <w:p w:rsidR="00364E0F" w:rsidRPr="00D975A6" w:rsidRDefault="00EE05F8" w:rsidP="00364E0F">
      <w:pPr>
        <w:tabs>
          <w:tab w:val="left" w:pos="851"/>
        </w:tabs>
        <w:ind w:left="855"/>
        <w:rPr>
          <w:sz w:val="24"/>
          <w:szCs w:val="24"/>
        </w:rPr>
      </w:pPr>
      <w:proofErr w:type="spellStart"/>
      <w:r>
        <w:rPr>
          <w:sz w:val="24"/>
          <w:szCs w:val="24"/>
        </w:rPr>
        <w:t>Ulcozol</w:t>
      </w:r>
      <w:proofErr w:type="spellEnd"/>
    </w:p>
    <w:p w:rsidR="00364E0F" w:rsidRPr="00D975A6" w:rsidRDefault="00364E0F" w:rsidP="00364E0F">
      <w:pPr>
        <w:tabs>
          <w:tab w:val="left" w:pos="851"/>
        </w:tabs>
        <w:rPr>
          <w:sz w:val="24"/>
          <w:szCs w:val="24"/>
        </w:rPr>
      </w:pPr>
      <w:r w:rsidRPr="00D975A6">
        <w:rPr>
          <w:sz w:val="24"/>
          <w:szCs w:val="24"/>
        </w:rPr>
        <w:tab/>
      </w:r>
    </w:p>
    <w:p w:rsidR="00364E0F" w:rsidRPr="00D975A6" w:rsidRDefault="00364E0F" w:rsidP="00364E0F">
      <w:pPr>
        <w:numPr>
          <w:ilvl w:val="0"/>
          <w:numId w:val="1"/>
        </w:numPr>
        <w:rPr>
          <w:b/>
          <w:sz w:val="24"/>
          <w:szCs w:val="24"/>
        </w:rPr>
      </w:pPr>
      <w:r w:rsidRPr="00D975A6">
        <w:rPr>
          <w:b/>
          <w:sz w:val="24"/>
          <w:szCs w:val="24"/>
        </w:rPr>
        <w:t>KVALITATIV OG KVANTITATIV SAMMENSÆTNING</w:t>
      </w:r>
    </w:p>
    <w:p w:rsidR="00364E0F" w:rsidRPr="00D975A6" w:rsidRDefault="00364E0F" w:rsidP="00364E0F">
      <w:pPr>
        <w:tabs>
          <w:tab w:val="left" w:pos="851"/>
        </w:tabs>
        <w:ind w:left="851"/>
        <w:rPr>
          <w:sz w:val="24"/>
          <w:szCs w:val="24"/>
          <w:lang w:val="nb-NO"/>
        </w:rPr>
      </w:pPr>
      <w:r w:rsidRPr="00D975A6">
        <w:rPr>
          <w:sz w:val="24"/>
          <w:szCs w:val="24"/>
          <w:lang w:val="nb-NO"/>
        </w:rPr>
        <w:t>40 mg: Hver kapsel indeholder 40 mg omeprazol.</w:t>
      </w:r>
    </w:p>
    <w:p w:rsidR="00364E0F" w:rsidRPr="00D975A6" w:rsidRDefault="00364E0F" w:rsidP="00364E0F">
      <w:pPr>
        <w:tabs>
          <w:tab w:val="left" w:pos="851"/>
        </w:tabs>
        <w:ind w:left="851"/>
        <w:rPr>
          <w:sz w:val="24"/>
          <w:szCs w:val="24"/>
          <w:lang w:val="nb-NO"/>
        </w:rPr>
      </w:pPr>
    </w:p>
    <w:p w:rsidR="00364E0F" w:rsidRPr="00D975A6" w:rsidRDefault="00364E0F" w:rsidP="00364E0F">
      <w:pPr>
        <w:tabs>
          <w:tab w:val="left" w:pos="851"/>
        </w:tabs>
        <w:ind w:left="851"/>
        <w:rPr>
          <w:sz w:val="24"/>
          <w:szCs w:val="24"/>
          <w:lang w:val="nb-NO"/>
        </w:rPr>
      </w:pPr>
      <w:r w:rsidRPr="00D975A6">
        <w:rPr>
          <w:sz w:val="24"/>
          <w:szCs w:val="24"/>
          <w:lang w:val="nb-NO"/>
        </w:rPr>
        <w:t>Hjælpestoffer, som behandleren skal være opmærksom på:</w:t>
      </w:r>
    </w:p>
    <w:p w:rsidR="00364E0F" w:rsidRPr="00D975A6" w:rsidRDefault="00364E0F" w:rsidP="00364E0F">
      <w:pPr>
        <w:tabs>
          <w:tab w:val="left" w:pos="851"/>
        </w:tabs>
        <w:ind w:left="851"/>
        <w:rPr>
          <w:sz w:val="24"/>
          <w:szCs w:val="24"/>
          <w:lang w:val="nb-NO"/>
        </w:rPr>
      </w:pPr>
      <w:r w:rsidRPr="00D975A6">
        <w:rPr>
          <w:sz w:val="24"/>
          <w:szCs w:val="24"/>
          <w:lang w:val="nb-NO"/>
        </w:rPr>
        <w:t>40 mg: Hver kapsel indeholder 75.2 - 86.0 mg saccharose.</w:t>
      </w:r>
    </w:p>
    <w:p w:rsidR="00364E0F" w:rsidRPr="00D975A6" w:rsidRDefault="00364E0F" w:rsidP="00364E0F">
      <w:pPr>
        <w:tabs>
          <w:tab w:val="left" w:pos="851"/>
        </w:tabs>
        <w:ind w:left="851"/>
        <w:rPr>
          <w:sz w:val="24"/>
          <w:szCs w:val="24"/>
        </w:rPr>
      </w:pPr>
    </w:p>
    <w:p w:rsidR="00364E0F" w:rsidRPr="00D975A6" w:rsidRDefault="00364E0F" w:rsidP="00364E0F">
      <w:pPr>
        <w:tabs>
          <w:tab w:val="left" w:pos="851"/>
        </w:tabs>
        <w:ind w:left="851"/>
        <w:rPr>
          <w:sz w:val="24"/>
          <w:szCs w:val="24"/>
          <w:lang w:val="nb-NO"/>
        </w:rPr>
      </w:pPr>
      <w:r w:rsidRPr="00D975A6">
        <w:rPr>
          <w:sz w:val="24"/>
          <w:szCs w:val="24"/>
        </w:rPr>
        <w:t>Alle hjælpestoffer er anført under pkt. 6.1.</w:t>
      </w:r>
    </w:p>
    <w:p w:rsidR="00364E0F" w:rsidRPr="00D975A6" w:rsidRDefault="00364E0F" w:rsidP="00364E0F">
      <w:pPr>
        <w:tabs>
          <w:tab w:val="left" w:pos="851"/>
        </w:tabs>
        <w:ind w:left="851"/>
        <w:rPr>
          <w:sz w:val="24"/>
          <w:szCs w:val="24"/>
          <w:lang w:val="nb-NO"/>
        </w:rPr>
      </w:pPr>
    </w:p>
    <w:p w:rsidR="00364E0F" w:rsidRPr="00D975A6" w:rsidRDefault="00364E0F" w:rsidP="00364E0F">
      <w:pPr>
        <w:numPr>
          <w:ilvl w:val="0"/>
          <w:numId w:val="1"/>
        </w:numPr>
        <w:rPr>
          <w:b/>
          <w:sz w:val="24"/>
          <w:szCs w:val="24"/>
        </w:rPr>
      </w:pPr>
      <w:r w:rsidRPr="00D975A6">
        <w:rPr>
          <w:b/>
          <w:sz w:val="24"/>
          <w:szCs w:val="24"/>
        </w:rPr>
        <w:t>LÆGEMIDDELFORM</w:t>
      </w:r>
    </w:p>
    <w:p w:rsidR="00364E0F" w:rsidRPr="00D975A6" w:rsidRDefault="00364E0F" w:rsidP="00364E0F">
      <w:pPr>
        <w:pStyle w:val="Sidehoved"/>
        <w:suppressAutoHyphens/>
        <w:ind w:left="851"/>
        <w:rPr>
          <w:szCs w:val="24"/>
        </w:rPr>
      </w:pPr>
      <w:r w:rsidRPr="00D975A6">
        <w:rPr>
          <w:szCs w:val="24"/>
        </w:rPr>
        <w:t xml:space="preserve">Hårde </w:t>
      </w:r>
      <w:proofErr w:type="spellStart"/>
      <w:r w:rsidRPr="00D975A6">
        <w:rPr>
          <w:szCs w:val="24"/>
        </w:rPr>
        <w:t>enterokapsler</w:t>
      </w:r>
      <w:proofErr w:type="spellEnd"/>
      <w:r w:rsidRPr="00D975A6">
        <w:rPr>
          <w:szCs w:val="24"/>
        </w:rPr>
        <w:t>.</w:t>
      </w:r>
      <w:r w:rsidR="00FE3ED2">
        <w:rPr>
          <w:szCs w:val="24"/>
        </w:rPr>
        <w:t xml:space="preserve"> (Nordic Prime)</w:t>
      </w:r>
    </w:p>
    <w:p w:rsidR="00364E0F" w:rsidRPr="00D975A6" w:rsidRDefault="00364E0F" w:rsidP="00364E0F">
      <w:pPr>
        <w:tabs>
          <w:tab w:val="left" w:pos="851"/>
        </w:tabs>
        <w:ind w:left="851"/>
        <w:rPr>
          <w:sz w:val="24"/>
          <w:szCs w:val="24"/>
        </w:rPr>
      </w:pPr>
    </w:p>
    <w:p w:rsidR="00364E0F" w:rsidRPr="00D975A6" w:rsidRDefault="00364E0F" w:rsidP="00364E0F">
      <w:pPr>
        <w:tabs>
          <w:tab w:val="left" w:pos="851"/>
        </w:tabs>
        <w:ind w:left="851"/>
        <w:rPr>
          <w:sz w:val="24"/>
          <w:szCs w:val="24"/>
        </w:rPr>
      </w:pPr>
    </w:p>
    <w:p w:rsidR="00364E0F" w:rsidRPr="00D975A6" w:rsidRDefault="00364E0F" w:rsidP="00364E0F">
      <w:pPr>
        <w:tabs>
          <w:tab w:val="left" w:pos="851"/>
        </w:tabs>
        <w:ind w:left="851"/>
        <w:rPr>
          <w:sz w:val="24"/>
          <w:szCs w:val="24"/>
        </w:rPr>
      </w:pPr>
    </w:p>
    <w:p w:rsidR="00364E0F" w:rsidRPr="00D975A6" w:rsidRDefault="00364E0F" w:rsidP="00364E0F">
      <w:pPr>
        <w:numPr>
          <w:ilvl w:val="0"/>
          <w:numId w:val="1"/>
        </w:numPr>
        <w:rPr>
          <w:b/>
          <w:sz w:val="24"/>
          <w:szCs w:val="24"/>
        </w:rPr>
      </w:pPr>
      <w:r w:rsidRPr="00D975A6">
        <w:rPr>
          <w:b/>
          <w:sz w:val="24"/>
          <w:szCs w:val="24"/>
        </w:rPr>
        <w:t>KLINISKE OPLYSNINGER</w:t>
      </w:r>
    </w:p>
    <w:p w:rsidR="00364E0F" w:rsidRPr="00D975A6" w:rsidRDefault="00364E0F" w:rsidP="00364E0F">
      <w:pPr>
        <w:tabs>
          <w:tab w:val="left" w:pos="851"/>
        </w:tabs>
        <w:rPr>
          <w:b/>
          <w:sz w:val="24"/>
          <w:szCs w:val="24"/>
        </w:rPr>
      </w:pPr>
    </w:p>
    <w:p w:rsidR="00364E0F" w:rsidRPr="00D975A6" w:rsidRDefault="00364E0F" w:rsidP="00364E0F">
      <w:pPr>
        <w:numPr>
          <w:ilvl w:val="1"/>
          <w:numId w:val="1"/>
        </w:numPr>
        <w:rPr>
          <w:b/>
          <w:sz w:val="24"/>
          <w:szCs w:val="24"/>
          <w:u w:val="single"/>
        </w:rPr>
      </w:pPr>
      <w:r w:rsidRPr="00D975A6">
        <w:rPr>
          <w:b/>
          <w:sz w:val="24"/>
          <w:szCs w:val="24"/>
        </w:rPr>
        <w:t>Terapeutiske indikationer</w:t>
      </w:r>
    </w:p>
    <w:p w:rsidR="00364E0F" w:rsidRPr="00D975A6" w:rsidRDefault="002C64F4" w:rsidP="00364E0F">
      <w:pPr>
        <w:tabs>
          <w:tab w:val="left" w:pos="270"/>
        </w:tabs>
        <w:autoSpaceDE w:val="0"/>
        <w:autoSpaceDN w:val="0"/>
        <w:adjustRightInd w:val="0"/>
        <w:ind w:left="851"/>
        <w:rPr>
          <w:sz w:val="24"/>
          <w:szCs w:val="24"/>
          <w:lang w:val="nb-NO"/>
        </w:rPr>
      </w:pPr>
      <w:proofErr w:type="spellStart"/>
      <w:r>
        <w:rPr>
          <w:sz w:val="24"/>
          <w:szCs w:val="24"/>
        </w:rPr>
        <w:t>Ulcozol</w:t>
      </w:r>
      <w:proofErr w:type="spellEnd"/>
      <w:r w:rsidR="00364E0F" w:rsidRPr="00D975A6">
        <w:rPr>
          <w:sz w:val="24"/>
          <w:szCs w:val="24"/>
        </w:rPr>
        <w:t xml:space="preserve"> </w:t>
      </w:r>
      <w:r w:rsidR="00364E0F" w:rsidRPr="00D975A6">
        <w:rPr>
          <w:sz w:val="24"/>
          <w:szCs w:val="24"/>
          <w:lang w:val="nb-NO"/>
        </w:rPr>
        <w:t>er indiceret til:</w:t>
      </w:r>
    </w:p>
    <w:p w:rsidR="00364E0F" w:rsidRPr="00D975A6" w:rsidRDefault="00364E0F" w:rsidP="00364E0F">
      <w:pPr>
        <w:tabs>
          <w:tab w:val="left" w:pos="270"/>
        </w:tabs>
        <w:autoSpaceDE w:val="0"/>
        <w:autoSpaceDN w:val="0"/>
        <w:adjustRightInd w:val="0"/>
        <w:ind w:left="851"/>
        <w:rPr>
          <w:sz w:val="24"/>
          <w:szCs w:val="24"/>
          <w:lang w:val="nb-NO"/>
        </w:rPr>
      </w:pPr>
    </w:p>
    <w:p w:rsidR="00364E0F" w:rsidRPr="00D975A6" w:rsidRDefault="00364E0F" w:rsidP="00364E0F">
      <w:pPr>
        <w:tabs>
          <w:tab w:val="left" w:pos="270"/>
        </w:tabs>
        <w:autoSpaceDE w:val="0"/>
        <w:autoSpaceDN w:val="0"/>
        <w:adjustRightInd w:val="0"/>
        <w:ind w:left="851"/>
        <w:rPr>
          <w:sz w:val="24"/>
          <w:szCs w:val="24"/>
          <w:u w:val="single"/>
          <w:lang w:val="nb-NO"/>
        </w:rPr>
      </w:pPr>
      <w:r w:rsidRPr="00D975A6">
        <w:rPr>
          <w:sz w:val="24"/>
          <w:szCs w:val="24"/>
          <w:u w:val="single"/>
          <w:lang w:val="nb-NO"/>
        </w:rPr>
        <w:t>Voksne</w:t>
      </w:r>
    </w:p>
    <w:p w:rsidR="00364E0F" w:rsidRPr="00D975A6" w:rsidRDefault="00364E0F" w:rsidP="00364E0F">
      <w:pPr>
        <w:numPr>
          <w:ilvl w:val="0"/>
          <w:numId w:val="6"/>
        </w:numPr>
        <w:tabs>
          <w:tab w:val="clear" w:pos="720"/>
          <w:tab w:val="left" w:pos="851"/>
          <w:tab w:val="num" w:pos="1134"/>
        </w:tabs>
        <w:autoSpaceDE w:val="0"/>
        <w:autoSpaceDN w:val="0"/>
        <w:adjustRightInd w:val="0"/>
        <w:ind w:left="1134" w:hanging="283"/>
        <w:rPr>
          <w:sz w:val="24"/>
          <w:szCs w:val="24"/>
          <w:lang w:val="nb-NO"/>
        </w:rPr>
      </w:pPr>
      <w:r w:rsidRPr="00D975A6">
        <w:rPr>
          <w:sz w:val="24"/>
          <w:szCs w:val="24"/>
          <w:lang w:val="nb-NO"/>
        </w:rPr>
        <w:t>Behandling af duodenale ulcera</w:t>
      </w:r>
    </w:p>
    <w:p w:rsidR="00364E0F" w:rsidRPr="00D975A6" w:rsidRDefault="00364E0F" w:rsidP="00364E0F">
      <w:pPr>
        <w:numPr>
          <w:ilvl w:val="0"/>
          <w:numId w:val="6"/>
        </w:numPr>
        <w:tabs>
          <w:tab w:val="clear" w:pos="720"/>
          <w:tab w:val="left" w:pos="851"/>
          <w:tab w:val="num" w:pos="1134"/>
        </w:tabs>
        <w:autoSpaceDE w:val="0"/>
        <w:autoSpaceDN w:val="0"/>
        <w:adjustRightInd w:val="0"/>
        <w:ind w:left="1134" w:hanging="283"/>
        <w:rPr>
          <w:sz w:val="24"/>
          <w:szCs w:val="24"/>
          <w:lang w:val="nb-NO"/>
        </w:rPr>
      </w:pPr>
      <w:r w:rsidRPr="00D975A6">
        <w:rPr>
          <w:sz w:val="24"/>
          <w:szCs w:val="24"/>
          <w:lang w:val="nb-NO"/>
        </w:rPr>
        <w:t>Recidivprofylaktisk mod duodenale ulcera</w:t>
      </w:r>
    </w:p>
    <w:p w:rsidR="00364E0F" w:rsidRPr="00D975A6" w:rsidRDefault="00364E0F" w:rsidP="00364E0F">
      <w:pPr>
        <w:numPr>
          <w:ilvl w:val="0"/>
          <w:numId w:val="6"/>
        </w:numPr>
        <w:tabs>
          <w:tab w:val="clear" w:pos="720"/>
          <w:tab w:val="left" w:pos="851"/>
          <w:tab w:val="num" w:pos="1134"/>
        </w:tabs>
        <w:autoSpaceDE w:val="0"/>
        <w:autoSpaceDN w:val="0"/>
        <w:adjustRightInd w:val="0"/>
        <w:ind w:left="1134" w:hanging="283"/>
        <w:rPr>
          <w:sz w:val="24"/>
          <w:szCs w:val="24"/>
          <w:lang w:val="nb-NO"/>
        </w:rPr>
      </w:pPr>
      <w:r w:rsidRPr="00D975A6">
        <w:rPr>
          <w:sz w:val="24"/>
          <w:szCs w:val="24"/>
          <w:lang w:val="nb-NO"/>
        </w:rPr>
        <w:t>Behandling af gastriske ulcera</w:t>
      </w:r>
    </w:p>
    <w:p w:rsidR="00364E0F" w:rsidRPr="00D975A6" w:rsidRDefault="00364E0F" w:rsidP="00364E0F">
      <w:pPr>
        <w:numPr>
          <w:ilvl w:val="0"/>
          <w:numId w:val="6"/>
        </w:numPr>
        <w:tabs>
          <w:tab w:val="clear" w:pos="720"/>
          <w:tab w:val="left" w:pos="851"/>
          <w:tab w:val="num" w:pos="1134"/>
        </w:tabs>
        <w:autoSpaceDE w:val="0"/>
        <w:autoSpaceDN w:val="0"/>
        <w:adjustRightInd w:val="0"/>
        <w:ind w:left="1134" w:hanging="283"/>
        <w:rPr>
          <w:sz w:val="24"/>
          <w:szCs w:val="24"/>
          <w:lang w:val="nb-NO"/>
        </w:rPr>
      </w:pPr>
      <w:r w:rsidRPr="00D975A6">
        <w:rPr>
          <w:sz w:val="24"/>
          <w:szCs w:val="24"/>
          <w:lang w:val="nb-NO"/>
        </w:rPr>
        <w:t>Recidivprofylaktisk mod gastriske ulcera</w:t>
      </w:r>
    </w:p>
    <w:p w:rsidR="00364E0F" w:rsidRPr="008C06D3" w:rsidRDefault="00364E0F" w:rsidP="00364E0F">
      <w:pPr>
        <w:numPr>
          <w:ilvl w:val="0"/>
          <w:numId w:val="6"/>
        </w:numPr>
        <w:tabs>
          <w:tab w:val="clear" w:pos="720"/>
          <w:tab w:val="left" w:pos="851"/>
          <w:tab w:val="num" w:pos="1134"/>
        </w:tabs>
        <w:autoSpaceDE w:val="0"/>
        <w:autoSpaceDN w:val="0"/>
        <w:adjustRightInd w:val="0"/>
        <w:ind w:left="1134" w:hanging="283"/>
        <w:rPr>
          <w:sz w:val="24"/>
          <w:szCs w:val="24"/>
          <w:lang w:val="nb-NO"/>
        </w:rPr>
      </w:pPr>
      <w:proofErr w:type="spellStart"/>
      <w:r w:rsidRPr="008C06D3">
        <w:rPr>
          <w:sz w:val="24"/>
          <w:szCs w:val="24"/>
          <w:lang w:val="sv-SE"/>
        </w:rPr>
        <w:t>Eradikation</w:t>
      </w:r>
      <w:proofErr w:type="spellEnd"/>
      <w:r w:rsidRPr="008C06D3">
        <w:rPr>
          <w:sz w:val="24"/>
          <w:szCs w:val="24"/>
          <w:lang w:val="sv-SE"/>
        </w:rPr>
        <w:t xml:space="preserve"> </w:t>
      </w:r>
      <w:proofErr w:type="spellStart"/>
      <w:r w:rsidRPr="008C06D3">
        <w:rPr>
          <w:sz w:val="24"/>
          <w:szCs w:val="24"/>
          <w:lang w:val="sv-SE"/>
        </w:rPr>
        <w:t>af</w:t>
      </w:r>
      <w:proofErr w:type="spellEnd"/>
      <w:r w:rsidRPr="008C06D3">
        <w:rPr>
          <w:sz w:val="24"/>
          <w:szCs w:val="24"/>
          <w:lang w:val="sv-SE"/>
        </w:rPr>
        <w:t xml:space="preserve"> </w:t>
      </w:r>
      <w:proofErr w:type="spellStart"/>
      <w:r w:rsidRPr="008C06D3">
        <w:rPr>
          <w:i/>
          <w:iCs/>
          <w:sz w:val="24"/>
          <w:szCs w:val="24"/>
          <w:lang w:val="sv-SE"/>
        </w:rPr>
        <w:t>Helicobacter</w:t>
      </w:r>
      <w:proofErr w:type="spellEnd"/>
      <w:r w:rsidRPr="008C06D3">
        <w:rPr>
          <w:i/>
          <w:iCs/>
          <w:sz w:val="24"/>
          <w:szCs w:val="24"/>
          <w:lang w:val="sv-SE"/>
        </w:rPr>
        <w:t xml:space="preserve"> pylori </w:t>
      </w:r>
      <w:r w:rsidRPr="008C06D3">
        <w:rPr>
          <w:sz w:val="24"/>
          <w:szCs w:val="24"/>
          <w:lang w:val="sv-SE"/>
        </w:rPr>
        <w:t>(</w:t>
      </w:r>
      <w:r w:rsidRPr="008C06D3">
        <w:rPr>
          <w:i/>
          <w:iCs/>
          <w:sz w:val="24"/>
          <w:szCs w:val="24"/>
          <w:lang w:val="sv-SE"/>
        </w:rPr>
        <w:t>H. pylori</w:t>
      </w:r>
      <w:r w:rsidRPr="008C06D3">
        <w:rPr>
          <w:sz w:val="24"/>
          <w:szCs w:val="24"/>
          <w:lang w:val="sv-SE"/>
        </w:rPr>
        <w:t xml:space="preserve">) i kombination med relevante </w:t>
      </w:r>
      <w:proofErr w:type="gramStart"/>
      <w:r w:rsidRPr="008C06D3">
        <w:rPr>
          <w:sz w:val="24"/>
          <w:szCs w:val="24"/>
          <w:lang w:val="sv-SE"/>
        </w:rPr>
        <w:t>antibiotika ved</w:t>
      </w:r>
      <w:proofErr w:type="gramEnd"/>
      <w:r w:rsidRPr="008C06D3">
        <w:rPr>
          <w:sz w:val="24"/>
          <w:szCs w:val="24"/>
          <w:lang w:val="sv-SE"/>
        </w:rPr>
        <w:t xml:space="preserve"> </w:t>
      </w:r>
      <w:r w:rsidRPr="008C06D3">
        <w:rPr>
          <w:sz w:val="24"/>
          <w:szCs w:val="24"/>
          <w:lang w:val="nb-NO"/>
        </w:rPr>
        <w:t>peptisk ulcussygdom</w:t>
      </w:r>
    </w:p>
    <w:p w:rsidR="00364E0F" w:rsidRPr="00D975A6" w:rsidRDefault="00364E0F" w:rsidP="00364E0F">
      <w:pPr>
        <w:numPr>
          <w:ilvl w:val="0"/>
          <w:numId w:val="6"/>
        </w:numPr>
        <w:tabs>
          <w:tab w:val="clear" w:pos="720"/>
          <w:tab w:val="left" w:pos="851"/>
          <w:tab w:val="num" w:pos="1134"/>
        </w:tabs>
        <w:autoSpaceDE w:val="0"/>
        <w:autoSpaceDN w:val="0"/>
        <w:adjustRightInd w:val="0"/>
        <w:ind w:left="1134" w:hanging="283"/>
        <w:rPr>
          <w:sz w:val="24"/>
          <w:szCs w:val="24"/>
          <w:lang w:val="nb-NO"/>
        </w:rPr>
      </w:pPr>
      <w:r w:rsidRPr="00D975A6">
        <w:rPr>
          <w:sz w:val="24"/>
          <w:szCs w:val="24"/>
          <w:lang w:val="nb-NO"/>
        </w:rPr>
        <w:t>Behandling af NSAID-associerede gastriske og duodenale ulcera</w:t>
      </w:r>
    </w:p>
    <w:p w:rsidR="00364E0F" w:rsidRPr="00D975A6" w:rsidRDefault="00364E0F" w:rsidP="00364E0F">
      <w:pPr>
        <w:numPr>
          <w:ilvl w:val="0"/>
          <w:numId w:val="6"/>
        </w:numPr>
        <w:tabs>
          <w:tab w:val="clear" w:pos="720"/>
          <w:tab w:val="left" w:pos="851"/>
          <w:tab w:val="num" w:pos="1134"/>
        </w:tabs>
        <w:autoSpaceDE w:val="0"/>
        <w:autoSpaceDN w:val="0"/>
        <w:adjustRightInd w:val="0"/>
        <w:ind w:left="1134" w:hanging="283"/>
        <w:rPr>
          <w:sz w:val="24"/>
          <w:szCs w:val="24"/>
          <w:lang w:val="nb-NO"/>
        </w:rPr>
      </w:pPr>
      <w:r w:rsidRPr="00D975A6">
        <w:rPr>
          <w:sz w:val="24"/>
          <w:szCs w:val="24"/>
          <w:lang w:val="nb-NO"/>
        </w:rPr>
        <w:t>Forebyggelse af NSAID-associerede gastriske og duodenale ulcera hos risikopatienter</w:t>
      </w:r>
    </w:p>
    <w:p w:rsidR="00364E0F" w:rsidRPr="00D975A6" w:rsidRDefault="00364E0F" w:rsidP="00364E0F">
      <w:pPr>
        <w:numPr>
          <w:ilvl w:val="0"/>
          <w:numId w:val="6"/>
        </w:numPr>
        <w:tabs>
          <w:tab w:val="clear" w:pos="720"/>
          <w:tab w:val="left" w:pos="851"/>
          <w:tab w:val="num" w:pos="1134"/>
        </w:tabs>
        <w:autoSpaceDE w:val="0"/>
        <w:autoSpaceDN w:val="0"/>
        <w:adjustRightInd w:val="0"/>
        <w:ind w:left="1134" w:hanging="283"/>
        <w:rPr>
          <w:sz w:val="24"/>
          <w:szCs w:val="24"/>
          <w:lang w:val="nb-NO"/>
        </w:rPr>
      </w:pPr>
      <w:r w:rsidRPr="00D975A6">
        <w:rPr>
          <w:sz w:val="24"/>
          <w:szCs w:val="24"/>
          <w:lang w:val="nb-NO"/>
        </w:rPr>
        <w:lastRenderedPageBreak/>
        <w:t>Behandling af refluksøsofagitis</w:t>
      </w:r>
    </w:p>
    <w:p w:rsidR="00364E0F" w:rsidRPr="00D975A6" w:rsidRDefault="00364E0F" w:rsidP="00364E0F">
      <w:pPr>
        <w:numPr>
          <w:ilvl w:val="0"/>
          <w:numId w:val="6"/>
        </w:numPr>
        <w:tabs>
          <w:tab w:val="clear" w:pos="720"/>
          <w:tab w:val="left" w:pos="851"/>
          <w:tab w:val="num" w:pos="1134"/>
        </w:tabs>
        <w:autoSpaceDE w:val="0"/>
        <w:autoSpaceDN w:val="0"/>
        <w:adjustRightInd w:val="0"/>
        <w:ind w:left="1134" w:hanging="283"/>
        <w:rPr>
          <w:sz w:val="24"/>
          <w:szCs w:val="24"/>
          <w:lang w:val="nb-NO"/>
        </w:rPr>
      </w:pPr>
      <w:r w:rsidRPr="00D975A6">
        <w:rPr>
          <w:sz w:val="24"/>
          <w:szCs w:val="24"/>
          <w:lang w:val="nb-NO"/>
        </w:rPr>
        <w:t>Vedligeholdelsesbehandling af patienter med helet refluksøsofagitis</w:t>
      </w:r>
    </w:p>
    <w:p w:rsidR="00364E0F" w:rsidRPr="00D975A6" w:rsidRDefault="00364E0F" w:rsidP="00364E0F">
      <w:pPr>
        <w:numPr>
          <w:ilvl w:val="0"/>
          <w:numId w:val="6"/>
        </w:numPr>
        <w:tabs>
          <w:tab w:val="clear" w:pos="720"/>
          <w:tab w:val="left" w:pos="851"/>
          <w:tab w:val="num" w:pos="1134"/>
        </w:tabs>
        <w:autoSpaceDE w:val="0"/>
        <w:autoSpaceDN w:val="0"/>
        <w:adjustRightInd w:val="0"/>
        <w:ind w:left="1134" w:hanging="283"/>
        <w:rPr>
          <w:sz w:val="24"/>
          <w:szCs w:val="24"/>
          <w:lang w:val="nb-NO"/>
        </w:rPr>
      </w:pPr>
      <w:r w:rsidRPr="00D975A6">
        <w:rPr>
          <w:sz w:val="24"/>
          <w:szCs w:val="24"/>
          <w:lang w:val="nb-NO"/>
        </w:rPr>
        <w:t>Behandling af symptomgivende gastroøsofageal reflukssygdom</w:t>
      </w:r>
    </w:p>
    <w:p w:rsidR="00364E0F" w:rsidRPr="00D975A6" w:rsidRDefault="00364E0F" w:rsidP="00364E0F">
      <w:pPr>
        <w:numPr>
          <w:ilvl w:val="0"/>
          <w:numId w:val="6"/>
        </w:numPr>
        <w:tabs>
          <w:tab w:val="clear" w:pos="720"/>
          <w:tab w:val="left" w:pos="851"/>
          <w:tab w:val="num" w:pos="1134"/>
        </w:tabs>
        <w:ind w:left="1134" w:hanging="283"/>
        <w:rPr>
          <w:sz w:val="24"/>
          <w:szCs w:val="24"/>
        </w:rPr>
      </w:pPr>
      <w:proofErr w:type="spellStart"/>
      <w:r w:rsidRPr="00D975A6">
        <w:rPr>
          <w:sz w:val="24"/>
          <w:szCs w:val="24"/>
          <w:lang w:val="en-US"/>
        </w:rPr>
        <w:t>Behandling</w:t>
      </w:r>
      <w:proofErr w:type="spellEnd"/>
      <w:r w:rsidRPr="00D975A6">
        <w:rPr>
          <w:sz w:val="24"/>
          <w:szCs w:val="24"/>
          <w:lang w:val="en-US"/>
        </w:rPr>
        <w:t xml:space="preserve"> </w:t>
      </w:r>
      <w:proofErr w:type="spellStart"/>
      <w:r w:rsidRPr="00D975A6">
        <w:rPr>
          <w:sz w:val="24"/>
          <w:szCs w:val="24"/>
          <w:lang w:val="en-US"/>
        </w:rPr>
        <w:t>af</w:t>
      </w:r>
      <w:proofErr w:type="spellEnd"/>
      <w:r w:rsidRPr="00D975A6">
        <w:rPr>
          <w:sz w:val="24"/>
          <w:szCs w:val="24"/>
          <w:lang w:val="en-US"/>
        </w:rPr>
        <w:t xml:space="preserve"> Zollinger-Ellison's </w:t>
      </w:r>
      <w:proofErr w:type="spellStart"/>
      <w:r w:rsidRPr="00D975A6">
        <w:rPr>
          <w:sz w:val="24"/>
          <w:szCs w:val="24"/>
          <w:lang w:val="en-US"/>
        </w:rPr>
        <w:t>syndrom</w:t>
      </w:r>
      <w:proofErr w:type="spellEnd"/>
    </w:p>
    <w:p w:rsidR="00364E0F" w:rsidRPr="00D975A6" w:rsidRDefault="00364E0F" w:rsidP="00364E0F">
      <w:pPr>
        <w:autoSpaceDE w:val="0"/>
        <w:autoSpaceDN w:val="0"/>
        <w:adjustRightInd w:val="0"/>
        <w:ind w:left="851"/>
        <w:rPr>
          <w:sz w:val="24"/>
          <w:szCs w:val="24"/>
        </w:rPr>
      </w:pPr>
    </w:p>
    <w:p w:rsidR="00364E0F" w:rsidRPr="00D975A6" w:rsidRDefault="00364E0F" w:rsidP="00364E0F">
      <w:pPr>
        <w:autoSpaceDE w:val="0"/>
        <w:autoSpaceDN w:val="0"/>
        <w:adjustRightInd w:val="0"/>
        <w:ind w:left="851"/>
        <w:rPr>
          <w:sz w:val="24"/>
          <w:szCs w:val="24"/>
          <w:u w:val="single"/>
          <w:lang w:val="nb-NO"/>
        </w:rPr>
      </w:pPr>
      <w:r w:rsidRPr="00D975A6">
        <w:rPr>
          <w:sz w:val="24"/>
          <w:szCs w:val="24"/>
          <w:u w:val="single"/>
          <w:lang w:val="nb-NO"/>
        </w:rPr>
        <w:t>Pædiatrisk anvendelse</w:t>
      </w:r>
    </w:p>
    <w:p w:rsidR="00364E0F" w:rsidRPr="00D975A6"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Børn over 1 år og ≥ 10 kg</w:t>
      </w:r>
    </w:p>
    <w:p w:rsidR="00364E0F" w:rsidRPr="00D975A6" w:rsidRDefault="00364E0F" w:rsidP="00364E0F">
      <w:pPr>
        <w:numPr>
          <w:ilvl w:val="0"/>
          <w:numId w:val="7"/>
        </w:numPr>
        <w:tabs>
          <w:tab w:val="clear" w:pos="720"/>
          <w:tab w:val="num" w:pos="851"/>
          <w:tab w:val="left" w:pos="1134"/>
        </w:tabs>
        <w:autoSpaceDE w:val="0"/>
        <w:autoSpaceDN w:val="0"/>
        <w:adjustRightInd w:val="0"/>
        <w:ind w:left="1134" w:hanging="283"/>
        <w:rPr>
          <w:sz w:val="24"/>
          <w:szCs w:val="24"/>
          <w:lang w:val="nb-NO"/>
        </w:rPr>
      </w:pPr>
      <w:r w:rsidRPr="00D975A6">
        <w:rPr>
          <w:sz w:val="24"/>
          <w:szCs w:val="24"/>
          <w:lang w:val="nb-NO"/>
        </w:rPr>
        <w:t>Behandling af refluksøsofagitis</w:t>
      </w:r>
    </w:p>
    <w:p w:rsidR="00364E0F" w:rsidRPr="00D975A6" w:rsidRDefault="00364E0F" w:rsidP="00364E0F">
      <w:pPr>
        <w:numPr>
          <w:ilvl w:val="0"/>
          <w:numId w:val="7"/>
        </w:numPr>
        <w:tabs>
          <w:tab w:val="clear" w:pos="720"/>
          <w:tab w:val="num" w:pos="851"/>
          <w:tab w:val="left" w:pos="1134"/>
        </w:tabs>
        <w:autoSpaceDE w:val="0"/>
        <w:autoSpaceDN w:val="0"/>
        <w:adjustRightInd w:val="0"/>
        <w:ind w:left="1134" w:hanging="283"/>
        <w:rPr>
          <w:sz w:val="24"/>
          <w:szCs w:val="24"/>
          <w:lang w:val="nb-NO"/>
        </w:rPr>
      </w:pPr>
      <w:r w:rsidRPr="00D975A6">
        <w:rPr>
          <w:sz w:val="24"/>
          <w:szCs w:val="24"/>
          <w:lang w:val="nb-NO"/>
        </w:rPr>
        <w:t>Symptomatisk behandling af halsbrand og syreregurgitation ved gastroøsofageal reflukssygdom.</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Børn og unge over 4 år</w:t>
      </w:r>
    </w:p>
    <w:p w:rsidR="00364E0F" w:rsidRPr="00D975A6" w:rsidRDefault="00364E0F" w:rsidP="00364E0F">
      <w:pPr>
        <w:numPr>
          <w:ilvl w:val="0"/>
          <w:numId w:val="8"/>
        </w:numPr>
        <w:tabs>
          <w:tab w:val="clear" w:pos="720"/>
          <w:tab w:val="num" w:pos="851"/>
          <w:tab w:val="num" w:pos="1134"/>
        </w:tabs>
        <w:ind w:left="1134" w:hanging="283"/>
        <w:rPr>
          <w:sz w:val="24"/>
          <w:szCs w:val="24"/>
        </w:rPr>
      </w:pPr>
      <w:r w:rsidRPr="00D975A6">
        <w:rPr>
          <w:sz w:val="24"/>
          <w:szCs w:val="24"/>
          <w:lang w:val="nb-NO"/>
        </w:rPr>
        <w:t xml:space="preserve">Behandling af duodenalt ulcus forårsaget af </w:t>
      </w:r>
      <w:r w:rsidRPr="00D975A6">
        <w:rPr>
          <w:i/>
          <w:iCs/>
          <w:sz w:val="24"/>
          <w:szCs w:val="24"/>
          <w:lang w:val="nb-NO"/>
        </w:rPr>
        <w:t xml:space="preserve">H. pylori </w:t>
      </w:r>
      <w:r w:rsidRPr="00D975A6">
        <w:rPr>
          <w:sz w:val="24"/>
          <w:szCs w:val="24"/>
          <w:lang w:val="nb-NO"/>
        </w:rPr>
        <w:t>i kombination med antibiotika.</w:t>
      </w:r>
    </w:p>
    <w:p w:rsidR="00364E0F" w:rsidRPr="00D975A6" w:rsidRDefault="00364E0F" w:rsidP="00364E0F">
      <w:pPr>
        <w:tabs>
          <w:tab w:val="left" w:pos="851"/>
        </w:tabs>
        <w:ind w:left="851"/>
        <w:rPr>
          <w:sz w:val="24"/>
          <w:szCs w:val="24"/>
        </w:rPr>
      </w:pPr>
    </w:p>
    <w:p w:rsidR="00364E0F" w:rsidRDefault="00364E0F" w:rsidP="00364E0F">
      <w:pPr>
        <w:numPr>
          <w:ilvl w:val="1"/>
          <w:numId w:val="1"/>
        </w:numPr>
        <w:rPr>
          <w:b/>
          <w:sz w:val="24"/>
          <w:szCs w:val="24"/>
        </w:rPr>
      </w:pPr>
      <w:r w:rsidRPr="00D975A6">
        <w:rPr>
          <w:b/>
          <w:sz w:val="24"/>
          <w:szCs w:val="24"/>
        </w:rPr>
        <w:t xml:space="preserve">Dosering og </w:t>
      </w:r>
      <w:r w:rsidR="00FE3ED2" w:rsidRPr="00FE3ED2">
        <w:rPr>
          <w:b/>
          <w:sz w:val="24"/>
          <w:szCs w:val="24"/>
        </w:rPr>
        <w:t>administration</w:t>
      </w:r>
    </w:p>
    <w:p w:rsidR="00EE05F8" w:rsidRPr="00927033" w:rsidRDefault="00EE05F8" w:rsidP="002C64F4">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EE05F8" w:rsidRPr="00D975A6" w:rsidRDefault="00EE05F8" w:rsidP="00EE05F8">
      <w:pPr>
        <w:ind w:left="855"/>
        <w:rPr>
          <w:b/>
          <w:sz w:val="24"/>
          <w:szCs w:val="24"/>
        </w:rPr>
      </w:pPr>
    </w:p>
    <w:p w:rsidR="00364E0F" w:rsidRPr="008579ED" w:rsidRDefault="00364E0F" w:rsidP="00364E0F">
      <w:pPr>
        <w:autoSpaceDE w:val="0"/>
        <w:autoSpaceDN w:val="0"/>
        <w:adjustRightInd w:val="0"/>
        <w:ind w:left="851"/>
        <w:rPr>
          <w:b/>
          <w:sz w:val="24"/>
          <w:szCs w:val="24"/>
          <w:lang w:val="nb-NO"/>
        </w:rPr>
      </w:pPr>
      <w:r w:rsidRPr="00D975A6">
        <w:rPr>
          <w:b/>
          <w:sz w:val="24"/>
          <w:szCs w:val="24"/>
          <w:lang w:val="nb-NO"/>
        </w:rPr>
        <w:t xml:space="preserve">Dosering </w:t>
      </w:r>
    </w:p>
    <w:p w:rsidR="00364E0F" w:rsidRPr="00D975A6" w:rsidRDefault="00364E0F" w:rsidP="00364E0F">
      <w:pPr>
        <w:autoSpaceDE w:val="0"/>
        <w:autoSpaceDN w:val="0"/>
        <w:adjustRightInd w:val="0"/>
        <w:ind w:left="851"/>
        <w:rPr>
          <w:i/>
          <w:iCs/>
          <w:sz w:val="24"/>
          <w:szCs w:val="24"/>
          <w:lang w:val="nb-NO"/>
        </w:rPr>
      </w:pPr>
      <w:r w:rsidRPr="00D975A6">
        <w:rPr>
          <w:i/>
          <w:iCs/>
          <w:sz w:val="24"/>
          <w:szCs w:val="24"/>
          <w:u w:val="single"/>
          <w:lang w:val="nb-NO"/>
        </w:rPr>
        <w:t>Voksne</w:t>
      </w: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Behandling af duodenale ulcera</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Den anbefalede dosis til patienter med aktivt duodenalt ulcus er </w:t>
      </w:r>
      <w:r w:rsidR="002C64F4">
        <w:rPr>
          <w:noProof/>
          <w:sz w:val="24"/>
          <w:szCs w:val="24"/>
        </w:rPr>
        <w:t>Ulcozol</w:t>
      </w:r>
      <w:r w:rsidRPr="00D975A6">
        <w:rPr>
          <w:sz w:val="24"/>
          <w:szCs w:val="24"/>
          <w:lang w:val="nb-NO"/>
        </w:rPr>
        <w:t xml:space="preserve"> 20 mg en gang daglig. Hos de fleste patienter ses heling inden for to uger. Hos de patienter, hvor heling ikke er fuldstændig efter det initiale forløb, ses heling sædvanligvis i løbet af yderligere to ugers behandling. Til patienter med dårligt responderende duodenalt ulcus anbefales 40 mg omeprazol en gang daglig, og heling opnås sædvanligvis inden for 4 uger.</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Profylaktisk mod recidiverende duodenale ulcera</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Den anbefalede profylaktiske dosis til recidiverende duodenale ulcera hos </w:t>
      </w:r>
      <w:r w:rsidRPr="00D975A6">
        <w:rPr>
          <w:i/>
          <w:iCs/>
          <w:sz w:val="24"/>
          <w:szCs w:val="24"/>
          <w:lang w:val="nb-NO"/>
        </w:rPr>
        <w:t xml:space="preserve">H. pylori </w:t>
      </w:r>
      <w:r w:rsidRPr="00D975A6">
        <w:rPr>
          <w:sz w:val="24"/>
          <w:szCs w:val="24"/>
          <w:lang w:val="nb-NO"/>
        </w:rPr>
        <w:t xml:space="preserve">negative patienter, eller når </w:t>
      </w:r>
      <w:r w:rsidRPr="00D975A6">
        <w:rPr>
          <w:i/>
          <w:iCs/>
          <w:sz w:val="24"/>
          <w:szCs w:val="24"/>
          <w:lang w:val="nb-NO"/>
        </w:rPr>
        <w:t xml:space="preserve">H. pylori </w:t>
      </w:r>
      <w:r w:rsidRPr="00D975A6">
        <w:rPr>
          <w:sz w:val="24"/>
          <w:szCs w:val="24"/>
          <w:lang w:val="nb-NO"/>
        </w:rPr>
        <w:t xml:space="preserve">eradikation ikke er mulig, er </w:t>
      </w:r>
      <w:r w:rsidR="002C64F4">
        <w:rPr>
          <w:noProof/>
          <w:sz w:val="24"/>
          <w:szCs w:val="24"/>
        </w:rPr>
        <w:t>Ulcozol</w:t>
      </w:r>
      <w:r w:rsidRPr="00D975A6">
        <w:rPr>
          <w:sz w:val="24"/>
          <w:szCs w:val="24"/>
          <w:lang w:val="nb-NO"/>
        </w:rPr>
        <w:t xml:space="preserve"> 20 mg en gang daglig. Hos nogle patienter kan en daglig dosis på 10 mg være tilstrækkelig. I tilfælde af behandlingssvigt kan dosis øges til 40 mg.</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Behandling af gastriske ulcera</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Den anbefalede dosis er </w:t>
      </w:r>
      <w:r w:rsidR="002C64F4">
        <w:rPr>
          <w:noProof/>
          <w:sz w:val="24"/>
          <w:szCs w:val="24"/>
        </w:rPr>
        <w:t>Ulcozol</w:t>
      </w:r>
      <w:r w:rsidRPr="00D975A6">
        <w:rPr>
          <w:sz w:val="24"/>
          <w:szCs w:val="24"/>
          <w:lang w:val="nb-NO"/>
        </w:rPr>
        <w:t xml:space="preserve"> 20 mg en gang daglig. Hos de fleste patienter ses heling inden for 4 uger. Hos de patienter, hvor heling ikke er fuldstændig efter det initiale forløb, ses heling sædvanligvis i løbet af yderligere 4 ugers behandling. Til patienter med dårligt responderende gastrisk ulcus anbefales 40 mg omeprazol en gang daglig, og heling opnås sædvanligvis inden for 8 uger.</w:t>
      </w:r>
    </w:p>
    <w:p w:rsidR="00364E0F" w:rsidRPr="00D975A6"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Profylaktisk mod recidiverende gastriske ulcera</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Den anbefalede profylaktiske dosis til recidiverende gastriske ulcera hos patienter med dårligt responderende gastrisk ulcus er </w:t>
      </w:r>
      <w:r w:rsidR="002C64F4">
        <w:rPr>
          <w:noProof/>
          <w:sz w:val="24"/>
          <w:szCs w:val="24"/>
        </w:rPr>
        <w:t>Ulcozol</w:t>
      </w:r>
      <w:r w:rsidRPr="00D975A6">
        <w:rPr>
          <w:sz w:val="24"/>
          <w:szCs w:val="24"/>
          <w:lang w:val="nb-NO"/>
        </w:rPr>
        <w:t xml:space="preserve"> 20 mg en gang daglig. Om nødvendigt kan dosis øges til </w:t>
      </w:r>
      <w:r w:rsidR="002C64F4">
        <w:rPr>
          <w:noProof/>
          <w:sz w:val="24"/>
          <w:szCs w:val="24"/>
        </w:rPr>
        <w:t>Ulcozol</w:t>
      </w:r>
      <w:r w:rsidRPr="00D975A6">
        <w:rPr>
          <w:sz w:val="24"/>
          <w:szCs w:val="24"/>
          <w:lang w:val="nb-NO"/>
        </w:rPr>
        <w:t xml:space="preserve"> 40 mg en gang daglig.</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Eradikation af H. pylori ved peptisk ulcussygdom</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Til eradikation af </w:t>
      </w:r>
      <w:r w:rsidRPr="00D975A6">
        <w:rPr>
          <w:i/>
          <w:iCs/>
          <w:sz w:val="24"/>
          <w:szCs w:val="24"/>
          <w:lang w:val="nb-NO"/>
        </w:rPr>
        <w:t xml:space="preserve">H. pylori </w:t>
      </w:r>
      <w:r w:rsidRPr="00D975A6">
        <w:rPr>
          <w:sz w:val="24"/>
          <w:szCs w:val="24"/>
          <w:lang w:val="nb-NO"/>
        </w:rPr>
        <w:t>bør valg af antibiotika tages under hensyn til den enkelte patients lægemiddeltolerance og i overensstemmelse med nationale, regionale og lokale resistensmønstre og behandlingsvejledninger.</w:t>
      </w:r>
    </w:p>
    <w:p w:rsidR="00364E0F" w:rsidRPr="00D975A6" w:rsidRDefault="002C64F4" w:rsidP="00364E0F">
      <w:pPr>
        <w:numPr>
          <w:ilvl w:val="0"/>
          <w:numId w:val="8"/>
        </w:numPr>
        <w:tabs>
          <w:tab w:val="clear" w:pos="720"/>
          <w:tab w:val="num" w:pos="1134"/>
        </w:tabs>
        <w:autoSpaceDE w:val="0"/>
        <w:autoSpaceDN w:val="0"/>
        <w:adjustRightInd w:val="0"/>
        <w:ind w:left="1134" w:hanging="283"/>
        <w:rPr>
          <w:sz w:val="24"/>
          <w:szCs w:val="24"/>
          <w:lang w:val="nb-NO"/>
        </w:rPr>
      </w:pPr>
      <w:proofErr w:type="spellStart"/>
      <w:r>
        <w:rPr>
          <w:sz w:val="24"/>
          <w:szCs w:val="24"/>
        </w:rPr>
        <w:lastRenderedPageBreak/>
        <w:t>Ulcozol</w:t>
      </w:r>
      <w:proofErr w:type="spellEnd"/>
      <w:r w:rsidR="00364E0F" w:rsidRPr="00D975A6">
        <w:rPr>
          <w:sz w:val="24"/>
          <w:szCs w:val="24"/>
        </w:rPr>
        <w:t xml:space="preserve"> </w:t>
      </w:r>
      <w:r w:rsidR="00364E0F" w:rsidRPr="00D975A6">
        <w:rPr>
          <w:sz w:val="24"/>
          <w:szCs w:val="24"/>
          <w:lang w:val="nb-NO"/>
        </w:rPr>
        <w:t>20 mg + clarithromycin 500 mg + amoxicillin 1.000 mg, alle to gange daglig i en uge, eller</w:t>
      </w:r>
    </w:p>
    <w:p w:rsidR="00364E0F" w:rsidRPr="00D975A6" w:rsidRDefault="002C64F4" w:rsidP="00364E0F">
      <w:pPr>
        <w:numPr>
          <w:ilvl w:val="0"/>
          <w:numId w:val="8"/>
        </w:numPr>
        <w:tabs>
          <w:tab w:val="clear" w:pos="720"/>
          <w:tab w:val="num" w:pos="1134"/>
        </w:tabs>
        <w:autoSpaceDE w:val="0"/>
        <w:autoSpaceDN w:val="0"/>
        <w:adjustRightInd w:val="0"/>
        <w:ind w:left="1134" w:hanging="283"/>
        <w:rPr>
          <w:sz w:val="24"/>
          <w:szCs w:val="24"/>
          <w:lang w:val="nb-NO"/>
        </w:rPr>
      </w:pPr>
      <w:proofErr w:type="spellStart"/>
      <w:r>
        <w:rPr>
          <w:sz w:val="24"/>
          <w:szCs w:val="24"/>
        </w:rPr>
        <w:t>Ulcozol</w:t>
      </w:r>
      <w:proofErr w:type="spellEnd"/>
      <w:r w:rsidR="00364E0F" w:rsidRPr="00D975A6">
        <w:rPr>
          <w:sz w:val="24"/>
          <w:szCs w:val="24"/>
          <w:lang w:val="nb-NO"/>
        </w:rPr>
        <w:t xml:space="preserve"> 20 mg + clarithromycin 250 mg (alternativt 500 mg) + metronidazol 400 mg (eller 500 mg eller tinidazol 500 mg), alle to gange daglig i en uge, eller</w:t>
      </w:r>
    </w:p>
    <w:p w:rsidR="00364E0F" w:rsidRPr="00D975A6" w:rsidRDefault="002C64F4" w:rsidP="00364E0F">
      <w:pPr>
        <w:numPr>
          <w:ilvl w:val="0"/>
          <w:numId w:val="8"/>
        </w:numPr>
        <w:tabs>
          <w:tab w:val="clear" w:pos="720"/>
          <w:tab w:val="num" w:pos="1134"/>
        </w:tabs>
        <w:autoSpaceDE w:val="0"/>
        <w:autoSpaceDN w:val="0"/>
        <w:adjustRightInd w:val="0"/>
        <w:ind w:left="1134" w:hanging="283"/>
        <w:rPr>
          <w:sz w:val="24"/>
          <w:szCs w:val="24"/>
          <w:lang w:val="nb-NO"/>
        </w:rPr>
      </w:pPr>
      <w:proofErr w:type="spellStart"/>
      <w:r>
        <w:rPr>
          <w:sz w:val="24"/>
          <w:szCs w:val="24"/>
        </w:rPr>
        <w:t>Ulcozol</w:t>
      </w:r>
      <w:proofErr w:type="spellEnd"/>
      <w:r w:rsidR="00364E0F" w:rsidRPr="00D975A6">
        <w:rPr>
          <w:sz w:val="24"/>
          <w:szCs w:val="24"/>
          <w:lang w:val="nb-NO"/>
        </w:rPr>
        <w:t xml:space="preserve"> 40 mg en gang daglig med amoxicillin 500 mg og metronidazol 400 mg (eller 500 mg eller tinidazol 500 mg), begge tre gange daglig i en uge.</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Hvert behandlingsregime kan gentages, hvis patienten stadig er </w:t>
      </w:r>
      <w:r w:rsidRPr="00D975A6">
        <w:rPr>
          <w:i/>
          <w:iCs/>
          <w:sz w:val="24"/>
          <w:szCs w:val="24"/>
          <w:lang w:val="nb-NO"/>
        </w:rPr>
        <w:t xml:space="preserve">H. pylori </w:t>
      </w:r>
      <w:r w:rsidRPr="00D975A6">
        <w:rPr>
          <w:sz w:val="24"/>
          <w:szCs w:val="24"/>
          <w:lang w:val="nb-NO"/>
        </w:rPr>
        <w:t>positiv.</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Behandling af NSAID-associerede gastriske og duodenale ulcera</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Til behandling af NSAID-associerede gastriske og duodenale ulcera er den anbefalede dosis </w:t>
      </w:r>
      <w:r w:rsidR="002C64F4">
        <w:rPr>
          <w:sz w:val="24"/>
          <w:szCs w:val="24"/>
          <w:lang w:val="nb-NO"/>
        </w:rPr>
        <w:t>Ulcozol</w:t>
      </w:r>
      <w:r w:rsidRPr="00D975A6">
        <w:rPr>
          <w:sz w:val="24"/>
          <w:szCs w:val="24"/>
          <w:lang w:val="nb-NO"/>
        </w:rPr>
        <w:t xml:space="preserve"> 20 mg en gang daglig. Hos de fleste patienter ses heling inden for 4 uger. Hos de patienter, hvor heling ikke er fuldstændig efter det initiale forløb, ses heling sædvanligvis i løbet af yderligere 4 ugers behandling.</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ind w:left="851"/>
        <w:rPr>
          <w:noProof/>
          <w:sz w:val="24"/>
          <w:szCs w:val="24"/>
        </w:rPr>
      </w:pPr>
      <w:r w:rsidRPr="00D975A6">
        <w:rPr>
          <w:i/>
          <w:iCs/>
          <w:sz w:val="24"/>
          <w:szCs w:val="24"/>
          <w:lang w:val="nb-NO"/>
        </w:rPr>
        <w:t>Profylaktisk mod NSAID-associerede gastriske og duodenale ulcera hos risikopatienter</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Til forebyggelse af NSAID-associerede gastriske eller duodenale ulcera hos risikopatienter (alder &gt; 60 år, gastrisk eller duodenalt ulcus eller øvre gastrointestinal blødning i anamnesen) er den anbefalede dosis 20 mg omeprazol daglig.</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Behandling af refluksøsofagitis</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Den anbefalede dosis er </w:t>
      </w:r>
      <w:r w:rsidR="002C64F4">
        <w:rPr>
          <w:sz w:val="24"/>
          <w:szCs w:val="24"/>
          <w:lang w:val="nb-NO"/>
        </w:rPr>
        <w:t>Ulcozol</w:t>
      </w:r>
      <w:r w:rsidRPr="00D975A6">
        <w:rPr>
          <w:sz w:val="24"/>
          <w:szCs w:val="24"/>
          <w:lang w:val="nb-NO"/>
        </w:rPr>
        <w:t xml:space="preserve"> 20 mg en gang daglig. Hos de fleste patienter ses heling inden for 4 uger. Hos de patienter, hvor heling ikke er fuldstændig efter det initiale forløb, ses heling sædvanligvis i løbet af yderligere 4 ugers behandling.</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Hos patienter med svær øsofagitis anbefales </w:t>
      </w:r>
      <w:r w:rsidR="002C64F4">
        <w:rPr>
          <w:sz w:val="24"/>
          <w:szCs w:val="24"/>
          <w:lang w:val="nb-NO"/>
        </w:rPr>
        <w:t>Ulcozol</w:t>
      </w:r>
      <w:r w:rsidRPr="00D975A6">
        <w:rPr>
          <w:sz w:val="24"/>
          <w:szCs w:val="24"/>
          <w:lang w:val="nb-NO"/>
        </w:rPr>
        <w:t xml:space="preserve"> 40 mg en gang daglig, og heling opnås sædvanligvis inden for 8 uger.</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Vedligeholdelsesbehandling af patienter med helet refluksøsofagitis</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Til langvarig vedligeholdelsesbehandling af patienter med helet refluksøsofagitis er den anbefalede dosis </w:t>
      </w:r>
      <w:r w:rsidR="002C64F4">
        <w:rPr>
          <w:sz w:val="24"/>
          <w:szCs w:val="24"/>
          <w:lang w:val="nb-NO"/>
        </w:rPr>
        <w:t>Ulcozol</w:t>
      </w:r>
      <w:r w:rsidRPr="00D975A6">
        <w:rPr>
          <w:sz w:val="24"/>
          <w:szCs w:val="24"/>
          <w:lang w:val="nb-NO"/>
        </w:rPr>
        <w:t xml:space="preserve"> 10 mg en gang daglig. Om nødvendigt kan dosis øges til </w:t>
      </w:r>
      <w:r w:rsidR="002C64F4">
        <w:rPr>
          <w:sz w:val="24"/>
          <w:szCs w:val="24"/>
          <w:lang w:val="nb-NO"/>
        </w:rPr>
        <w:t>Ulcozol</w:t>
      </w:r>
      <w:r w:rsidRPr="00D975A6">
        <w:rPr>
          <w:sz w:val="24"/>
          <w:szCs w:val="24"/>
          <w:lang w:val="nb-NO"/>
        </w:rPr>
        <w:t xml:space="preserve"> 20-40 mg en gang daglig.</w:t>
      </w:r>
    </w:p>
    <w:p w:rsidR="00364E0F" w:rsidRDefault="00364E0F" w:rsidP="00364E0F">
      <w:pPr>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Behandling af symptomgivende gastroøsofageal reflukssygdom</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Den anbefalede dosis er </w:t>
      </w:r>
      <w:r w:rsidR="002C64F4">
        <w:rPr>
          <w:sz w:val="24"/>
          <w:szCs w:val="24"/>
          <w:lang w:val="nb-NO"/>
        </w:rPr>
        <w:t>Ulcozol</w:t>
      </w:r>
      <w:r w:rsidRPr="00D975A6">
        <w:rPr>
          <w:sz w:val="24"/>
          <w:szCs w:val="24"/>
          <w:lang w:val="nb-NO"/>
        </w:rPr>
        <w:t xml:space="preserve"> 20 mg daglig. Nogle patienter kan respondere tilstrækkeligt på 10 mg daglig, og individuel dosisjustering bør derfor overvejes. </w:t>
      </w:r>
    </w:p>
    <w:p w:rsidR="00364E0F" w:rsidRPr="00D975A6" w:rsidRDefault="00364E0F" w:rsidP="00364E0F">
      <w:pPr>
        <w:autoSpaceDE w:val="0"/>
        <w:autoSpaceDN w:val="0"/>
        <w:adjustRightInd w:val="0"/>
        <w:ind w:left="851"/>
        <w:rPr>
          <w:sz w:val="24"/>
          <w:szCs w:val="24"/>
          <w:highlight w:val="lightGray"/>
          <w:lang w:val="nb-NO"/>
        </w:rPr>
      </w:pPr>
      <w:r w:rsidRPr="00D975A6">
        <w:rPr>
          <w:sz w:val="24"/>
          <w:szCs w:val="24"/>
          <w:lang w:val="nb-NO"/>
        </w:rPr>
        <w:t xml:space="preserve">Hvis symptomkontrol ikke er opnået efter 4 ugers behandling med </w:t>
      </w:r>
      <w:r w:rsidR="002C64F4">
        <w:rPr>
          <w:sz w:val="24"/>
          <w:szCs w:val="24"/>
          <w:lang w:val="nb-NO"/>
        </w:rPr>
        <w:t>Ulcozol</w:t>
      </w:r>
      <w:r w:rsidRPr="00D975A6">
        <w:rPr>
          <w:sz w:val="24"/>
          <w:szCs w:val="24"/>
          <w:lang w:val="nb-NO"/>
        </w:rPr>
        <w:t xml:space="preserve"> 20 mg daglig, anbefales yderligere undersøgelser.</w:t>
      </w:r>
    </w:p>
    <w:p w:rsidR="00364E0F" w:rsidRDefault="00364E0F" w:rsidP="00364E0F">
      <w:pPr>
        <w:ind w:left="851"/>
        <w:rPr>
          <w:i/>
          <w:iCs/>
          <w:sz w:val="24"/>
          <w:szCs w:val="24"/>
          <w:lang w:val="nb-NO"/>
        </w:rPr>
      </w:pPr>
    </w:p>
    <w:p w:rsidR="00364E0F" w:rsidRPr="00D975A6" w:rsidRDefault="00364E0F" w:rsidP="00364E0F">
      <w:pPr>
        <w:ind w:left="851"/>
        <w:rPr>
          <w:sz w:val="24"/>
          <w:szCs w:val="24"/>
          <w:lang w:val="nb-NO"/>
        </w:rPr>
      </w:pPr>
      <w:r w:rsidRPr="00D975A6">
        <w:rPr>
          <w:i/>
          <w:iCs/>
          <w:sz w:val="24"/>
          <w:szCs w:val="24"/>
          <w:lang w:val="nb-NO"/>
        </w:rPr>
        <w:t>Behandling af Zollinger-Ellison's syndrom</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Hos patienter med Zollinger-Ellison's syndrom bør dosis tilpasses individuelt, og behandlingen bør fortsætte så længe, det er klinisk indiceret. Den anbefalede initialdosis er </w:t>
      </w:r>
      <w:r w:rsidR="002C64F4">
        <w:rPr>
          <w:noProof/>
          <w:sz w:val="24"/>
          <w:szCs w:val="24"/>
        </w:rPr>
        <w:t>Ulcozol</w:t>
      </w:r>
      <w:r w:rsidRPr="00D975A6">
        <w:rPr>
          <w:sz w:val="24"/>
          <w:szCs w:val="24"/>
          <w:lang w:val="nb-NO"/>
        </w:rPr>
        <w:t xml:space="preserve"> 60 mg daglig. Alle patienter med svær sygdom og utilstrækkeligt respons på anden behandling er blevet effektivt kontrolleret, og mere end 90 % af patienterne bibeholdt </w:t>
      </w:r>
      <w:r w:rsidR="002C64F4">
        <w:rPr>
          <w:noProof/>
          <w:sz w:val="24"/>
          <w:szCs w:val="24"/>
        </w:rPr>
        <w:t>Ulcozol</w:t>
      </w:r>
      <w:r w:rsidRPr="00D975A6">
        <w:rPr>
          <w:sz w:val="24"/>
          <w:szCs w:val="24"/>
          <w:lang w:val="nb-NO"/>
        </w:rPr>
        <w:t xml:space="preserve"> 20-120 mg daglig. Når dosis overskrider </w:t>
      </w:r>
      <w:r w:rsidR="002C64F4">
        <w:rPr>
          <w:noProof/>
          <w:sz w:val="24"/>
          <w:szCs w:val="24"/>
        </w:rPr>
        <w:t>Ulcozol</w:t>
      </w:r>
      <w:r w:rsidRPr="00D975A6">
        <w:rPr>
          <w:sz w:val="24"/>
          <w:szCs w:val="24"/>
          <w:lang w:val="nb-NO"/>
        </w:rPr>
        <w:t xml:space="preserve"> 80 mg daglig, bør dosis deles og gives to gange daglig.</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b/>
          <w:sz w:val="24"/>
          <w:szCs w:val="24"/>
          <w:lang w:val="nb-NO"/>
        </w:rPr>
      </w:pPr>
      <w:r w:rsidRPr="00D975A6">
        <w:rPr>
          <w:i/>
          <w:sz w:val="24"/>
          <w:szCs w:val="24"/>
          <w:u w:val="single"/>
          <w:lang w:val="nb-NO"/>
        </w:rPr>
        <w:t>Pædiatrisk population</w:t>
      </w:r>
    </w:p>
    <w:p w:rsidR="00364E0F" w:rsidRPr="00D975A6"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Cs/>
          <w:sz w:val="24"/>
          <w:szCs w:val="24"/>
          <w:u w:val="single"/>
          <w:lang w:val="nb-NO"/>
        </w:rPr>
      </w:pPr>
      <w:r w:rsidRPr="00D975A6">
        <w:rPr>
          <w:iCs/>
          <w:sz w:val="24"/>
          <w:szCs w:val="24"/>
          <w:u w:val="single"/>
          <w:lang w:val="nb-NO"/>
        </w:rPr>
        <w:t>Børn over 1 år og ≥ 10 kg</w:t>
      </w:r>
    </w:p>
    <w:p w:rsidR="00364E0F" w:rsidRPr="00D975A6"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Refluksøsofagitis</w:t>
      </w: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lastRenderedPageBreak/>
        <w:t>Symptomatisk behandling af halsbrand og syreregurgitation ved gastroøsofageal reflukssygdom</w:t>
      </w:r>
    </w:p>
    <w:p w:rsidR="00364E0F" w:rsidRPr="00D975A6"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Dosisanbefalinger:</w:t>
      </w:r>
    </w:p>
    <w:tbl>
      <w:tblPr>
        <w:tblW w:w="8109"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1282"/>
        <w:gridCol w:w="5911"/>
      </w:tblGrid>
      <w:tr w:rsidR="00364E0F" w:rsidRPr="00D975A6" w:rsidTr="002C64F4">
        <w:tc>
          <w:tcPr>
            <w:tcW w:w="0" w:type="auto"/>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ind w:left="142"/>
              <w:rPr>
                <w:sz w:val="24"/>
                <w:szCs w:val="24"/>
                <w:lang w:val="nb-NO"/>
              </w:rPr>
            </w:pPr>
            <w:r w:rsidRPr="00D975A6">
              <w:rPr>
                <w:sz w:val="24"/>
                <w:szCs w:val="24"/>
                <w:lang w:val="nb-NO"/>
              </w:rPr>
              <w:t xml:space="preserve">Alder </w:t>
            </w:r>
          </w:p>
        </w:tc>
        <w:tc>
          <w:tcPr>
            <w:tcW w:w="0" w:type="auto"/>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ind w:left="220"/>
              <w:rPr>
                <w:sz w:val="24"/>
                <w:szCs w:val="24"/>
                <w:lang w:val="nb-NO"/>
              </w:rPr>
            </w:pPr>
            <w:r w:rsidRPr="00D975A6">
              <w:rPr>
                <w:sz w:val="24"/>
                <w:szCs w:val="24"/>
                <w:lang w:val="nb-NO"/>
              </w:rPr>
              <w:t xml:space="preserve">Vægt </w:t>
            </w:r>
          </w:p>
        </w:tc>
        <w:tc>
          <w:tcPr>
            <w:tcW w:w="5911"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ind w:left="108"/>
              <w:rPr>
                <w:sz w:val="24"/>
                <w:szCs w:val="24"/>
                <w:lang w:val="nb-NO"/>
              </w:rPr>
            </w:pPr>
            <w:r w:rsidRPr="00D975A6">
              <w:rPr>
                <w:sz w:val="24"/>
                <w:szCs w:val="24"/>
                <w:lang w:val="nb-NO"/>
              </w:rPr>
              <w:t>Dosering</w:t>
            </w:r>
          </w:p>
        </w:tc>
      </w:tr>
      <w:tr w:rsidR="00364E0F" w:rsidRPr="00D975A6" w:rsidTr="002C64F4">
        <w:tc>
          <w:tcPr>
            <w:tcW w:w="0" w:type="auto"/>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ind w:left="142"/>
              <w:rPr>
                <w:sz w:val="24"/>
                <w:szCs w:val="24"/>
                <w:lang w:val="nb-NO"/>
              </w:rPr>
            </w:pPr>
            <w:r w:rsidRPr="00D975A6">
              <w:rPr>
                <w:sz w:val="24"/>
                <w:szCs w:val="24"/>
                <w:lang w:val="nb-NO"/>
              </w:rPr>
              <w:t>≥ 1 år</w:t>
            </w:r>
          </w:p>
        </w:tc>
        <w:tc>
          <w:tcPr>
            <w:tcW w:w="0" w:type="auto"/>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ind w:left="220"/>
              <w:rPr>
                <w:sz w:val="24"/>
                <w:szCs w:val="24"/>
                <w:lang w:val="nb-NO"/>
              </w:rPr>
            </w:pPr>
            <w:r w:rsidRPr="00D975A6">
              <w:rPr>
                <w:sz w:val="24"/>
                <w:szCs w:val="24"/>
                <w:lang w:val="nb-NO"/>
              </w:rPr>
              <w:t>10-20 kg</w:t>
            </w:r>
          </w:p>
        </w:tc>
        <w:tc>
          <w:tcPr>
            <w:tcW w:w="5911" w:type="dxa"/>
            <w:tcBorders>
              <w:top w:val="single" w:sz="4" w:space="0" w:color="auto"/>
              <w:left w:val="single" w:sz="4" w:space="0" w:color="auto"/>
              <w:bottom w:val="single" w:sz="4" w:space="0" w:color="auto"/>
              <w:right w:val="single" w:sz="4" w:space="0" w:color="auto"/>
            </w:tcBorders>
          </w:tcPr>
          <w:p w:rsidR="00364E0F" w:rsidRPr="00D975A6" w:rsidRDefault="00364E0F" w:rsidP="002C64F4">
            <w:pPr>
              <w:autoSpaceDE w:val="0"/>
              <w:autoSpaceDN w:val="0"/>
              <w:adjustRightInd w:val="0"/>
              <w:ind w:left="108"/>
              <w:rPr>
                <w:sz w:val="24"/>
                <w:szCs w:val="24"/>
                <w:lang w:val="nb-NO"/>
              </w:rPr>
            </w:pPr>
            <w:r w:rsidRPr="00D975A6">
              <w:rPr>
                <w:sz w:val="24"/>
                <w:szCs w:val="24"/>
                <w:lang w:val="nb-NO"/>
              </w:rPr>
              <w:t>10 mg en gang daglig. Om nødvendigt kan dosis øges til 20 mg en gang daglig.</w:t>
            </w:r>
          </w:p>
          <w:p w:rsidR="00364E0F" w:rsidRPr="00D975A6" w:rsidRDefault="00364E0F" w:rsidP="002C64F4">
            <w:pPr>
              <w:autoSpaceDE w:val="0"/>
              <w:autoSpaceDN w:val="0"/>
              <w:adjustRightInd w:val="0"/>
              <w:ind w:left="108"/>
              <w:rPr>
                <w:sz w:val="24"/>
                <w:szCs w:val="24"/>
                <w:lang w:val="nb-NO"/>
              </w:rPr>
            </w:pPr>
          </w:p>
        </w:tc>
      </w:tr>
      <w:tr w:rsidR="00364E0F" w:rsidRPr="00D975A6" w:rsidTr="002C64F4">
        <w:tc>
          <w:tcPr>
            <w:tcW w:w="0" w:type="auto"/>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ind w:left="142"/>
              <w:rPr>
                <w:sz w:val="24"/>
                <w:szCs w:val="24"/>
                <w:lang w:val="nb-NO"/>
              </w:rPr>
            </w:pPr>
            <w:r w:rsidRPr="00D975A6">
              <w:rPr>
                <w:sz w:val="24"/>
                <w:szCs w:val="24"/>
                <w:lang w:val="nb-NO"/>
              </w:rPr>
              <w:t>≥ 2 år</w:t>
            </w:r>
          </w:p>
        </w:tc>
        <w:tc>
          <w:tcPr>
            <w:tcW w:w="0" w:type="auto"/>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ind w:left="220"/>
              <w:rPr>
                <w:sz w:val="24"/>
                <w:szCs w:val="24"/>
                <w:lang w:val="nb-NO"/>
              </w:rPr>
            </w:pPr>
            <w:r w:rsidRPr="00D975A6">
              <w:rPr>
                <w:sz w:val="24"/>
                <w:szCs w:val="24"/>
                <w:lang w:val="nb-NO"/>
              </w:rPr>
              <w:t>&gt;20 kg</w:t>
            </w:r>
          </w:p>
        </w:tc>
        <w:tc>
          <w:tcPr>
            <w:tcW w:w="5911" w:type="dxa"/>
            <w:tcBorders>
              <w:top w:val="single" w:sz="4" w:space="0" w:color="auto"/>
              <w:left w:val="single" w:sz="4" w:space="0" w:color="auto"/>
              <w:bottom w:val="single" w:sz="4" w:space="0" w:color="auto"/>
              <w:right w:val="single" w:sz="4" w:space="0" w:color="auto"/>
            </w:tcBorders>
          </w:tcPr>
          <w:p w:rsidR="00364E0F" w:rsidRPr="00D975A6" w:rsidRDefault="00364E0F" w:rsidP="002C64F4">
            <w:pPr>
              <w:autoSpaceDE w:val="0"/>
              <w:autoSpaceDN w:val="0"/>
              <w:adjustRightInd w:val="0"/>
              <w:ind w:left="108"/>
              <w:rPr>
                <w:sz w:val="24"/>
                <w:szCs w:val="24"/>
                <w:lang w:val="nb-NO"/>
              </w:rPr>
            </w:pPr>
            <w:r w:rsidRPr="00D975A6">
              <w:rPr>
                <w:sz w:val="24"/>
                <w:szCs w:val="24"/>
                <w:lang w:val="nb-NO"/>
              </w:rPr>
              <w:t>20 mg en gang daglig. Om nødvendigt kan dosis øges til 40 mg en gang daglig.</w:t>
            </w:r>
          </w:p>
          <w:p w:rsidR="00364E0F" w:rsidRPr="00D975A6" w:rsidRDefault="00364E0F" w:rsidP="002C64F4">
            <w:pPr>
              <w:autoSpaceDE w:val="0"/>
              <w:autoSpaceDN w:val="0"/>
              <w:adjustRightInd w:val="0"/>
              <w:ind w:left="108"/>
              <w:rPr>
                <w:sz w:val="24"/>
                <w:szCs w:val="24"/>
                <w:lang w:val="nb-NO"/>
              </w:rPr>
            </w:pPr>
          </w:p>
        </w:tc>
      </w:tr>
    </w:tbl>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lang w:val="nb-NO"/>
        </w:rPr>
      </w:pPr>
      <w:r w:rsidRPr="00D975A6">
        <w:rPr>
          <w:i/>
          <w:iCs/>
          <w:sz w:val="24"/>
          <w:szCs w:val="24"/>
          <w:lang w:val="nb-NO"/>
        </w:rPr>
        <w:t xml:space="preserve">Refluksøsofagitis: </w:t>
      </w:r>
      <w:r w:rsidRPr="00D975A6">
        <w:rPr>
          <w:sz w:val="24"/>
          <w:szCs w:val="24"/>
          <w:lang w:val="nb-NO"/>
        </w:rPr>
        <w:t>Behandlingstiden er 4-8 uger.</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lang w:val="nb-NO"/>
        </w:rPr>
      </w:pPr>
      <w:r w:rsidRPr="00D975A6">
        <w:rPr>
          <w:i/>
          <w:iCs/>
          <w:sz w:val="24"/>
          <w:szCs w:val="24"/>
          <w:lang w:val="nb-NO"/>
        </w:rPr>
        <w:t xml:space="preserve">Symptomatisk behandling af halsbrand og syreregurgitation ved gastroøsofageal reflukssygdom: </w:t>
      </w:r>
      <w:r w:rsidRPr="00D975A6">
        <w:rPr>
          <w:sz w:val="24"/>
          <w:szCs w:val="24"/>
          <w:lang w:val="nb-NO"/>
        </w:rPr>
        <w:t>Behandlingstiden er 2-4 uger. Hvis symptomkontrol ikke er opnået efter 2-4 uger, bør patienten undersøges yderligere.</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iCs/>
          <w:sz w:val="24"/>
          <w:szCs w:val="24"/>
          <w:u w:val="single"/>
          <w:lang w:val="nb-NO"/>
        </w:rPr>
      </w:pPr>
      <w:r w:rsidRPr="00D975A6">
        <w:rPr>
          <w:iCs/>
          <w:sz w:val="24"/>
          <w:szCs w:val="24"/>
          <w:u w:val="single"/>
          <w:lang w:val="nb-NO"/>
        </w:rPr>
        <w:t>Børn og unge over 4 år</w:t>
      </w:r>
    </w:p>
    <w:p w:rsidR="00364E0F" w:rsidRPr="00D975A6"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Behandling af duodenalt ulcus forårsaget af H. pylori</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Ved valg af relevant kombinationsbehandling bør officielle nationale, regionale og lokale vejledninger vedrørende bakteriel resistens, behandlingsvarighed (som oftest 7 dage, men af og til op til 14 dage), og hensigtsmæssig brug af antibiotika tages i betragtning.</w:t>
      </w:r>
    </w:p>
    <w:p w:rsidR="00364E0F" w:rsidRDefault="00364E0F" w:rsidP="00364E0F">
      <w:pPr>
        <w:autoSpaceDE w:val="0"/>
        <w:autoSpaceDN w:val="0"/>
        <w:adjustRightInd w:val="0"/>
        <w:ind w:left="851"/>
        <w:rPr>
          <w:sz w:val="24"/>
          <w:szCs w:val="24"/>
          <w:lang w:val="nb-NO"/>
        </w:rPr>
      </w:pPr>
      <w:r w:rsidRPr="00D975A6">
        <w:rPr>
          <w:sz w:val="24"/>
          <w:szCs w:val="24"/>
          <w:lang w:val="nb-NO"/>
        </w:rPr>
        <w:t>Behandlingen bør foregå under supervision af en specialist.</w:t>
      </w:r>
    </w:p>
    <w:p w:rsidR="00364E0F" w:rsidRDefault="00364E0F" w:rsidP="00364E0F">
      <w:pPr>
        <w:rPr>
          <w:sz w:val="24"/>
          <w:szCs w:val="24"/>
          <w:lang w:val="nb-NO"/>
        </w:rPr>
      </w:pP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Doseringsanbefalinger:</w:t>
      </w:r>
    </w:p>
    <w:p w:rsidR="00364E0F" w:rsidRPr="00D975A6" w:rsidRDefault="00364E0F" w:rsidP="00364E0F">
      <w:pPr>
        <w:autoSpaceDE w:val="0"/>
        <w:autoSpaceDN w:val="0"/>
        <w:adjustRightInd w:val="0"/>
        <w:ind w:left="851"/>
        <w:rPr>
          <w:sz w:val="24"/>
          <w:szCs w:val="24"/>
          <w:lang w:val="nb-NO"/>
        </w:rPr>
      </w:pPr>
    </w:p>
    <w:tbl>
      <w:tblPr>
        <w:tblW w:w="8073"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6485"/>
      </w:tblGrid>
      <w:tr w:rsidR="00364E0F" w:rsidRPr="00D975A6" w:rsidTr="002C64F4">
        <w:tc>
          <w:tcPr>
            <w:tcW w:w="158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ind w:left="168"/>
              <w:rPr>
                <w:sz w:val="24"/>
                <w:szCs w:val="24"/>
                <w:lang w:val="nb-NO"/>
              </w:rPr>
            </w:pPr>
            <w:r w:rsidRPr="00D975A6">
              <w:rPr>
                <w:sz w:val="24"/>
                <w:szCs w:val="24"/>
                <w:lang w:val="nb-NO"/>
              </w:rPr>
              <w:t>Vægt</w:t>
            </w:r>
          </w:p>
        </w:tc>
        <w:tc>
          <w:tcPr>
            <w:tcW w:w="6485" w:type="dxa"/>
            <w:tcBorders>
              <w:top w:val="single" w:sz="4" w:space="0" w:color="auto"/>
              <w:left w:val="single" w:sz="4" w:space="0" w:color="auto"/>
              <w:bottom w:val="single" w:sz="4" w:space="0" w:color="auto"/>
              <w:right w:val="single" w:sz="4" w:space="0" w:color="auto"/>
            </w:tcBorders>
          </w:tcPr>
          <w:p w:rsidR="00364E0F" w:rsidRPr="00D975A6" w:rsidRDefault="00364E0F" w:rsidP="002C64F4">
            <w:pPr>
              <w:autoSpaceDE w:val="0"/>
              <w:autoSpaceDN w:val="0"/>
              <w:adjustRightInd w:val="0"/>
              <w:ind w:left="140"/>
              <w:rPr>
                <w:sz w:val="24"/>
                <w:szCs w:val="24"/>
                <w:lang w:val="nb-NO"/>
              </w:rPr>
            </w:pPr>
            <w:r w:rsidRPr="00D975A6">
              <w:rPr>
                <w:sz w:val="24"/>
                <w:szCs w:val="24"/>
                <w:lang w:val="nb-NO"/>
              </w:rPr>
              <w:t>Dosering</w:t>
            </w:r>
          </w:p>
        </w:tc>
      </w:tr>
      <w:tr w:rsidR="00364E0F" w:rsidRPr="00D975A6" w:rsidTr="002C64F4">
        <w:tc>
          <w:tcPr>
            <w:tcW w:w="158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ind w:left="168"/>
              <w:rPr>
                <w:sz w:val="24"/>
                <w:szCs w:val="24"/>
                <w:lang w:val="nb-NO"/>
              </w:rPr>
            </w:pPr>
            <w:r w:rsidRPr="00D975A6">
              <w:rPr>
                <w:sz w:val="24"/>
                <w:szCs w:val="24"/>
                <w:lang w:val="nb-NO"/>
              </w:rPr>
              <w:t>15-30 kg</w:t>
            </w:r>
          </w:p>
        </w:tc>
        <w:tc>
          <w:tcPr>
            <w:tcW w:w="6485"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ind w:left="140"/>
              <w:rPr>
                <w:sz w:val="24"/>
                <w:szCs w:val="24"/>
                <w:lang w:val="nb-NO"/>
              </w:rPr>
            </w:pPr>
            <w:r w:rsidRPr="00D975A6">
              <w:rPr>
                <w:sz w:val="24"/>
                <w:szCs w:val="24"/>
                <w:lang w:val="nb-NO"/>
              </w:rPr>
              <w:t xml:space="preserve">Kombination med to antibiotika: </w:t>
            </w:r>
            <w:r w:rsidR="002C64F4">
              <w:rPr>
                <w:noProof/>
                <w:sz w:val="24"/>
                <w:szCs w:val="24"/>
              </w:rPr>
              <w:t>Ulcozol</w:t>
            </w:r>
            <w:r w:rsidRPr="00D975A6">
              <w:rPr>
                <w:sz w:val="24"/>
                <w:szCs w:val="24"/>
                <w:lang w:val="nb-NO"/>
              </w:rPr>
              <w:t xml:space="preserve"> 10 mg, amoxicillin 25 mg/kg legemsvægt og clarithromycin 7,5 mg/kg legemsvægt gives samtidigt to gange daglig i en uge</w:t>
            </w:r>
          </w:p>
        </w:tc>
      </w:tr>
      <w:tr w:rsidR="00364E0F" w:rsidRPr="00D975A6" w:rsidTr="002C64F4">
        <w:tc>
          <w:tcPr>
            <w:tcW w:w="158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ind w:left="168"/>
              <w:rPr>
                <w:sz w:val="24"/>
                <w:szCs w:val="24"/>
                <w:lang w:val="nb-NO"/>
              </w:rPr>
            </w:pPr>
            <w:r w:rsidRPr="00D975A6">
              <w:rPr>
                <w:sz w:val="24"/>
                <w:szCs w:val="24"/>
                <w:lang w:val="nb-NO"/>
              </w:rPr>
              <w:t>31-40 kg</w:t>
            </w:r>
          </w:p>
        </w:tc>
        <w:tc>
          <w:tcPr>
            <w:tcW w:w="6485"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ind w:left="140"/>
              <w:rPr>
                <w:sz w:val="24"/>
                <w:szCs w:val="24"/>
                <w:lang w:val="nb-NO"/>
              </w:rPr>
            </w:pPr>
            <w:r w:rsidRPr="00D975A6">
              <w:rPr>
                <w:sz w:val="24"/>
                <w:szCs w:val="24"/>
                <w:lang w:val="nb-NO"/>
              </w:rPr>
              <w:t xml:space="preserve">Kombination med to antibiotika: </w:t>
            </w:r>
            <w:r w:rsidR="002C64F4">
              <w:rPr>
                <w:noProof/>
                <w:sz w:val="24"/>
                <w:szCs w:val="24"/>
              </w:rPr>
              <w:t>Ulcozol</w:t>
            </w:r>
            <w:r w:rsidRPr="00D975A6">
              <w:rPr>
                <w:sz w:val="24"/>
                <w:szCs w:val="24"/>
                <w:lang w:val="nb-NO"/>
              </w:rPr>
              <w:t xml:space="preserve"> 20 mg, amoxicillin 750 mg og clarithromycin 7,5 mg/kg legemsvægt gives alle to gange daglig i en uge</w:t>
            </w:r>
          </w:p>
        </w:tc>
      </w:tr>
      <w:tr w:rsidR="00364E0F" w:rsidRPr="00D975A6" w:rsidTr="002C64F4">
        <w:tc>
          <w:tcPr>
            <w:tcW w:w="158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ind w:left="168"/>
              <w:rPr>
                <w:sz w:val="24"/>
                <w:szCs w:val="24"/>
                <w:lang w:val="nb-NO"/>
              </w:rPr>
            </w:pPr>
            <w:r w:rsidRPr="00D975A6">
              <w:rPr>
                <w:sz w:val="24"/>
                <w:szCs w:val="24"/>
                <w:lang w:val="nb-NO"/>
              </w:rPr>
              <w:t>&gt; 40 kg</w:t>
            </w:r>
          </w:p>
        </w:tc>
        <w:tc>
          <w:tcPr>
            <w:tcW w:w="6485"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ind w:left="140"/>
              <w:rPr>
                <w:sz w:val="24"/>
                <w:szCs w:val="24"/>
                <w:lang w:val="nb-NO"/>
              </w:rPr>
            </w:pPr>
            <w:r w:rsidRPr="00D975A6">
              <w:rPr>
                <w:sz w:val="24"/>
                <w:szCs w:val="24"/>
                <w:lang w:val="nb-NO"/>
              </w:rPr>
              <w:t xml:space="preserve">Kombination med to antibiotika: </w:t>
            </w:r>
            <w:r w:rsidR="002C64F4">
              <w:rPr>
                <w:noProof/>
                <w:sz w:val="24"/>
                <w:szCs w:val="24"/>
              </w:rPr>
              <w:t>Ulcozol</w:t>
            </w:r>
            <w:r w:rsidRPr="00D975A6">
              <w:rPr>
                <w:sz w:val="24"/>
                <w:szCs w:val="24"/>
                <w:lang w:val="nb-NO"/>
              </w:rPr>
              <w:t xml:space="preserve"> 20 mg, amoxicillin 1 g og clarithromycin 500 mg gives alle to gange daglig i en uge</w:t>
            </w:r>
          </w:p>
        </w:tc>
      </w:tr>
    </w:tbl>
    <w:p w:rsidR="00364E0F" w:rsidRPr="00D975A6"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b/>
          <w:iCs/>
          <w:sz w:val="24"/>
          <w:szCs w:val="24"/>
          <w:lang w:val="nb-NO"/>
        </w:rPr>
      </w:pPr>
      <w:r w:rsidRPr="00D975A6">
        <w:rPr>
          <w:b/>
          <w:iCs/>
          <w:sz w:val="24"/>
          <w:szCs w:val="24"/>
          <w:lang w:val="nb-NO"/>
        </w:rPr>
        <w:t>Særlige patientgrupper</w:t>
      </w:r>
    </w:p>
    <w:p w:rsidR="00364E0F" w:rsidRPr="00D975A6"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Nedsat nyrefunktion</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Dosisjustering er ikke nødvendig hos patienter med nedsat nyrefunktion (se pkt. 5.2).</w:t>
      </w:r>
    </w:p>
    <w:p w:rsidR="00364E0F" w:rsidRPr="00D975A6"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Nedsat leverfunktion</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Hos patienter med nedsat leverfunktion kan en daglig dosis på 10-20 mg være tilstrækkelig (se pkt. 5.2).</w:t>
      </w:r>
    </w:p>
    <w:p w:rsidR="00364E0F" w:rsidRPr="00D975A6"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Ældre (over 65 år)</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Dosisjustering er ikke nødvendig hos ældre (se pkt. 5.2).</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u w:val="single"/>
          <w:lang w:val="nb-NO"/>
        </w:rPr>
      </w:pPr>
      <w:r w:rsidRPr="00D975A6">
        <w:rPr>
          <w:sz w:val="24"/>
          <w:szCs w:val="24"/>
          <w:u w:val="single"/>
          <w:lang w:val="nb-NO"/>
        </w:rPr>
        <w:t>Administration</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lastRenderedPageBreak/>
        <w:t xml:space="preserve">Det anbefales at tage </w:t>
      </w:r>
      <w:r w:rsidR="002C64F4">
        <w:rPr>
          <w:noProof/>
          <w:sz w:val="24"/>
          <w:szCs w:val="24"/>
        </w:rPr>
        <w:t>Ulcozol</w:t>
      </w:r>
      <w:r w:rsidRPr="00D975A6">
        <w:rPr>
          <w:sz w:val="24"/>
          <w:szCs w:val="24"/>
          <w:lang w:val="nb-NO"/>
        </w:rPr>
        <w:t xml:space="preserve"> kapsler om morgenen, helst uden mad. De synkes hele med et halvt glas vand. Kapslerne må ikke tygges eller knuses.</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Patienter, der har svært ved at synke, og børn, der kan drikke eller synke halvfast føde</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Patienterne kan åbne kapslen og opslæm den i en skefuld vand uden kulsyre- og hvis det ønskes, bland med frugtjuice eller æblemos. Patienterne bør instrueres i, at opslæmningen skal indtages med det samme (eller inden for 30 minutter) og altid omrøres, umiddelbart før den drikkes. Glasset skal skylles efter med et halvt glas vand, som også drikkes.</w:t>
      </w:r>
    </w:p>
    <w:p w:rsidR="00364E0F" w:rsidRPr="00D975A6" w:rsidRDefault="00364E0F" w:rsidP="00364E0F">
      <w:pPr>
        <w:autoSpaceDE w:val="0"/>
        <w:autoSpaceDN w:val="0"/>
        <w:adjustRightInd w:val="0"/>
        <w:ind w:left="851"/>
        <w:rPr>
          <w:sz w:val="24"/>
          <w:szCs w:val="24"/>
          <w:lang w:val="nb-NO"/>
        </w:rPr>
      </w:pPr>
      <w:r w:rsidRPr="00D975A6">
        <w:rPr>
          <w:b/>
          <w:bCs/>
          <w:sz w:val="24"/>
          <w:szCs w:val="24"/>
          <w:lang w:val="nb-NO"/>
        </w:rPr>
        <w:t xml:space="preserve">BRUG IKKE </w:t>
      </w:r>
      <w:r w:rsidRPr="00D975A6">
        <w:rPr>
          <w:sz w:val="24"/>
          <w:szCs w:val="24"/>
          <w:lang w:val="nb-NO"/>
        </w:rPr>
        <w:t>mælk eller kulsyreholdige vand. Enterogranulaterne må ikke tygges.</w:t>
      </w:r>
    </w:p>
    <w:p w:rsidR="00364E0F" w:rsidRPr="00D975A6" w:rsidRDefault="00364E0F" w:rsidP="00364E0F">
      <w:pPr>
        <w:tabs>
          <w:tab w:val="left" w:pos="851"/>
        </w:tabs>
        <w:ind w:left="851"/>
        <w:rPr>
          <w:sz w:val="24"/>
          <w:szCs w:val="24"/>
        </w:rPr>
      </w:pPr>
    </w:p>
    <w:p w:rsidR="00364E0F" w:rsidRPr="00D975A6" w:rsidRDefault="00364E0F" w:rsidP="00364E0F">
      <w:pPr>
        <w:numPr>
          <w:ilvl w:val="1"/>
          <w:numId w:val="1"/>
        </w:numPr>
        <w:rPr>
          <w:b/>
          <w:sz w:val="24"/>
          <w:szCs w:val="24"/>
        </w:rPr>
      </w:pPr>
      <w:r w:rsidRPr="00D975A6">
        <w:rPr>
          <w:b/>
          <w:sz w:val="24"/>
          <w:szCs w:val="24"/>
        </w:rPr>
        <w:t>Kontraindikationer</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Overfølsomhed over for omeprazoldet aktive stof, substituerede benzimidazoler eller over for et eller flere af hjælpestofferne anført i pkt. 6.1.</w:t>
      </w:r>
    </w:p>
    <w:p w:rsidR="00364E0F" w:rsidRPr="00D975A6" w:rsidRDefault="00364E0F" w:rsidP="00364E0F">
      <w:pPr>
        <w:ind w:left="851"/>
        <w:rPr>
          <w:sz w:val="24"/>
          <w:szCs w:val="24"/>
          <w:lang w:val="nb-NO"/>
        </w:rPr>
      </w:pPr>
      <w:r w:rsidRPr="00D975A6">
        <w:rPr>
          <w:sz w:val="24"/>
          <w:szCs w:val="24"/>
          <w:lang w:val="nb-NO"/>
        </w:rPr>
        <w:t>Som andre protonpumpehæmmere må omeprazol ikke anvendes samtidigt med nelfinavir (se pkt. 4.5).</w:t>
      </w:r>
    </w:p>
    <w:p w:rsidR="00364E0F" w:rsidRPr="00D975A6" w:rsidRDefault="00364E0F" w:rsidP="00364E0F">
      <w:pPr>
        <w:tabs>
          <w:tab w:val="left" w:pos="851"/>
        </w:tabs>
        <w:rPr>
          <w:sz w:val="24"/>
          <w:szCs w:val="24"/>
        </w:rPr>
      </w:pPr>
    </w:p>
    <w:p w:rsidR="00364E0F" w:rsidRPr="00D975A6" w:rsidRDefault="00364E0F" w:rsidP="00364E0F">
      <w:pPr>
        <w:numPr>
          <w:ilvl w:val="1"/>
          <w:numId w:val="1"/>
        </w:numPr>
        <w:rPr>
          <w:b/>
          <w:sz w:val="24"/>
          <w:szCs w:val="24"/>
        </w:rPr>
      </w:pPr>
      <w:r w:rsidRPr="00D975A6">
        <w:rPr>
          <w:b/>
          <w:sz w:val="24"/>
          <w:szCs w:val="24"/>
        </w:rPr>
        <w:t>Særlige advarsler og forsigtighedsregler vedrørende brugen</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Hvis der er nogen form for alarmsymptomer (fx signifikant, utilsigtet vægttab, gentagne opkastninger, dysfagi, hæmatemese eller melæna), og hvis gastrisk ulcus er mistænkt eller bekræftet, skal malign lidelse udelukkes, da behandlingen kan lindre symptomerne og derved forsinke diagnosticering.</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Co-administration af atazanavir med protonoumpehæmmere kan ikke anbefales (se pkt. 4.5). Hvis kombination af atazanavir og en protonpumpehæmmer vurderes at være uundgåelig, anbefales tæt klinisk monitorering (f.eks. virusbelastning) i kombination med øgning af atazanavir dosis til 400 mg med 100 mg ritonavir. En dosis på 20 mg omeprazol bør ikke overskrides.</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Omeprazol kan i lighed med alle syrehæmmende midler reducere absorptionen af cyanocobalamin (vitamin B12) på grund af hypo- eller aklorhydri. Ved langtidsbehandling bør der tages højde for dette hos patienter med reduceret depot eller risikofaktorer for nedsat vitamin B12-absorption.</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Omeprazol er en CYP2C19-hæmmer. Ved start og afslutning af behandling med omeprazol skal risikoen for interaktioner med lægemidler, som metaboliseres via CYP2C19, tages i betragtning. Der er set interaktion mellem clopidogrel og omeprazol (se pkt. 4.5). Den kliniske relevans af denne interaktion er uafklaret. Som en forholdsregel frarådes samtidig brug af omeprazol og clopidogrel.</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Selvom det ikke er anbefalet, kan nogle børn med kroniske sygdomme behøve langvarig behandling.</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Behandling med protonpumpehæmmere kan medføre en let forøget risiko for gastrointestinale infektioner såsom </w:t>
      </w:r>
      <w:r w:rsidRPr="00D975A6">
        <w:rPr>
          <w:i/>
          <w:iCs/>
          <w:sz w:val="24"/>
          <w:szCs w:val="24"/>
          <w:lang w:val="nb-NO"/>
        </w:rPr>
        <w:t xml:space="preserve">Salmonella </w:t>
      </w:r>
      <w:r w:rsidRPr="00D975A6">
        <w:rPr>
          <w:sz w:val="24"/>
          <w:szCs w:val="24"/>
          <w:lang w:val="nb-NO"/>
        </w:rPr>
        <w:t xml:space="preserve">og </w:t>
      </w:r>
      <w:r w:rsidRPr="00D975A6">
        <w:rPr>
          <w:i/>
          <w:iCs/>
          <w:sz w:val="24"/>
          <w:szCs w:val="24"/>
          <w:lang w:val="nb-NO"/>
        </w:rPr>
        <w:t xml:space="preserve">Campylobacter </w:t>
      </w:r>
      <w:r w:rsidRPr="00D975A6">
        <w:rPr>
          <w:sz w:val="24"/>
          <w:szCs w:val="24"/>
          <w:lang w:val="nb-NO"/>
        </w:rPr>
        <w:t>(se pkt. 5.1).</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Som ved al langtidsbehandling, især når behandlingsvarigheden overstiger et år, bør patienterne tilses regelmæssigt.</w:t>
      </w:r>
    </w:p>
    <w:p w:rsidR="00364E0F" w:rsidRPr="00D975A6" w:rsidRDefault="00364E0F" w:rsidP="00364E0F">
      <w:pPr>
        <w:autoSpaceDE w:val="0"/>
        <w:autoSpaceDN w:val="0"/>
        <w:adjustRightInd w:val="0"/>
        <w:ind w:left="851"/>
        <w:rPr>
          <w:sz w:val="24"/>
          <w:szCs w:val="24"/>
          <w:lang w:val="nb-NO"/>
        </w:rPr>
      </w:pPr>
    </w:p>
    <w:p w:rsidR="00364E0F" w:rsidRDefault="00364E0F" w:rsidP="00364E0F">
      <w:pPr>
        <w:autoSpaceDE w:val="0"/>
        <w:autoSpaceDN w:val="0"/>
        <w:adjustRightInd w:val="0"/>
        <w:ind w:left="851"/>
        <w:rPr>
          <w:sz w:val="24"/>
          <w:szCs w:val="24"/>
          <w:lang w:val="nb-NO"/>
        </w:rPr>
      </w:pPr>
      <w:r w:rsidRPr="00D975A6">
        <w:rPr>
          <w:sz w:val="24"/>
          <w:szCs w:val="24"/>
          <w:lang w:val="nb-NO"/>
        </w:rPr>
        <w:t xml:space="preserve">Protonpumpehæmmere kan øge risikoen for hofte-, håndleds- og rygfrakturer beskedent, hovedsageligt hos ældre eller ved tilstedeværelse af andre kendte risikofaktorer især hvis det bruges i høje doser og over lange behandlingsperioder (&gt; 1 år). Observationsstudier antyder, at protonpumpehæmmere kan øge den overordnede risiko for fraktur med 10-40 %. Noget af denne øgning kan skyldes andre risikofaktorer. Patienter med risiko for osteoporose bør modtage behandling i henhold til gældende kliniske guidelines og de bør have et tilstrækkeligt indtag af vitamin D og calcium. </w:t>
      </w:r>
    </w:p>
    <w:p w:rsidR="00364E0F" w:rsidRDefault="00364E0F" w:rsidP="00364E0F">
      <w:pPr>
        <w:autoSpaceDE w:val="0"/>
        <w:autoSpaceDN w:val="0"/>
        <w:adjustRightInd w:val="0"/>
        <w:ind w:left="851"/>
        <w:rPr>
          <w:sz w:val="24"/>
          <w:szCs w:val="24"/>
          <w:lang w:val="nb-NO"/>
        </w:rPr>
      </w:pPr>
    </w:p>
    <w:p w:rsidR="00364E0F" w:rsidRDefault="00364E0F" w:rsidP="00364E0F">
      <w:pPr>
        <w:pStyle w:val="Ingenafstand"/>
        <w:ind w:left="851"/>
        <w:rPr>
          <w:rFonts w:ascii="Times New Roman" w:hAnsi="Times New Roman" w:cs="Times New Roman"/>
          <w:i/>
          <w:sz w:val="24"/>
          <w:szCs w:val="24"/>
          <w:lang w:val="nb-NO"/>
        </w:rPr>
      </w:pPr>
      <w:r>
        <w:rPr>
          <w:rFonts w:ascii="Times New Roman" w:hAnsi="Times New Roman" w:cs="Times New Roman"/>
          <w:i/>
          <w:sz w:val="24"/>
          <w:szCs w:val="24"/>
          <w:lang w:val="nb-NO"/>
        </w:rPr>
        <w:t xml:space="preserve">Subakut kutan lupus erythematosus (SCLE) </w:t>
      </w:r>
    </w:p>
    <w:p w:rsidR="00364E0F" w:rsidRPr="00D975A6" w:rsidRDefault="00364E0F" w:rsidP="00364E0F">
      <w:pPr>
        <w:autoSpaceDE w:val="0"/>
        <w:autoSpaceDN w:val="0"/>
        <w:adjustRightInd w:val="0"/>
        <w:ind w:left="851"/>
        <w:rPr>
          <w:spacing w:val="-3"/>
          <w:sz w:val="24"/>
          <w:szCs w:val="24"/>
          <w:lang w:val="nb-NO"/>
        </w:rPr>
      </w:pPr>
      <w:r>
        <w:rPr>
          <w:sz w:val="24"/>
          <w:szCs w:val="24"/>
          <w:lang w:val="nb-NO"/>
        </w:rPr>
        <w:t xml:space="preserve">Protonpumpehæmmere er forbundet med meget sjældne tilfælde af SCLE. Hvis sådanne hudreaktioner optræder, navnlig på hudområder udsat for sol, og er ledsaget af artralgi, bør patienten straks søge læge, og lægen bør overveje at seponere </w:t>
      </w:r>
      <w:r w:rsidR="002C64F4">
        <w:rPr>
          <w:sz w:val="24"/>
          <w:szCs w:val="24"/>
          <w:lang w:val="nb-NO"/>
        </w:rPr>
        <w:t>Ulcozol</w:t>
      </w:r>
      <w:r>
        <w:rPr>
          <w:sz w:val="24"/>
          <w:szCs w:val="24"/>
          <w:lang w:val="nb-NO"/>
        </w:rPr>
        <w:t xml:space="preserve">. </w:t>
      </w:r>
      <w:r>
        <w:rPr>
          <w:sz w:val="24"/>
          <w:szCs w:val="24"/>
          <w:lang w:val="sv-SE"/>
        </w:rPr>
        <w:t xml:space="preserve">SCLE efter </w:t>
      </w:r>
      <w:proofErr w:type="spellStart"/>
      <w:r>
        <w:rPr>
          <w:sz w:val="24"/>
          <w:szCs w:val="24"/>
          <w:lang w:val="sv-SE"/>
        </w:rPr>
        <w:t>tidligere</w:t>
      </w:r>
      <w:proofErr w:type="spellEnd"/>
      <w:r>
        <w:rPr>
          <w:sz w:val="24"/>
          <w:szCs w:val="24"/>
          <w:lang w:val="sv-SE"/>
        </w:rPr>
        <w:t xml:space="preserve"> behandling med en </w:t>
      </w:r>
      <w:proofErr w:type="spellStart"/>
      <w:r>
        <w:rPr>
          <w:sz w:val="24"/>
          <w:szCs w:val="24"/>
          <w:lang w:val="sv-SE"/>
        </w:rPr>
        <w:t>protonpumpehæmmer</w:t>
      </w:r>
      <w:proofErr w:type="spellEnd"/>
      <w:r>
        <w:rPr>
          <w:sz w:val="24"/>
          <w:szCs w:val="24"/>
          <w:lang w:val="sv-SE"/>
        </w:rPr>
        <w:t xml:space="preserve"> kan </w:t>
      </w:r>
      <w:proofErr w:type="spellStart"/>
      <w:r>
        <w:rPr>
          <w:sz w:val="24"/>
          <w:szCs w:val="24"/>
          <w:lang w:val="sv-SE"/>
        </w:rPr>
        <w:t>øge</w:t>
      </w:r>
      <w:proofErr w:type="spellEnd"/>
      <w:r>
        <w:rPr>
          <w:sz w:val="24"/>
          <w:szCs w:val="24"/>
          <w:lang w:val="sv-SE"/>
        </w:rPr>
        <w:t xml:space="preserve"> </w:t>
      </w:r>
      <w:proofErr w:type="spellStart"/>
      <w:r>
        <w:rPr>
          <w:sz w:val="24"/>
          <w:szCs w:val="24"/>
          <w:lang w:val="sv-SE"/>
        </w:rPr>
        <w:t>risikoen</w:t>
      </w:r>
      <w:proofErr w:type="spellEnd"/>
      <w:r>
        <w:rPr>
          <w:sz w:val="24"/>
          <w:szCs w:val="24"/>
          <w:lang w:val="sv-SE"/>
        </w:rPr>
        <w:t xml:space="preserve"> for SCLE med andre </w:t>
      </w:r>
      <w:proofErr w:type="spellStart"/>
      <w:r>
        <w:rPr>
          <w:sz w:val="24"/>
          <w:szCs w:val="24"/>
          <w:lang w:val="sv-SE"/>
        </w:rPr>
        <w:t>protonpumpehæmmere</w:t>
      </w:r>
      <w:proofErr w:type="spellEnd"/>
      <w:r>
        <w:rPr>
          <w:sz w:val="24"/>
          <w:szCs w:val="24"/>
          <w:lang w:val="sv-SE"/>
        </w:rPr>
        <w:t>.</w:t>
      </w:r>
    </w:p>
    <w:p w:rsidR="00364E0F" w:rsidRPr="00D975A6" w:rsidRDefault="00364E0F" w:rsidP="00364E0F">
      <w:pPr>
        <w:autoSpaceDE w:val="0"/>
        <w:autoSpaceDN w:val="0"/>
        <w:adjustRightInd w:val="0"/>
        <w:ind w:left="851"/>
        <w:rPr>
          <w:spacing w:val="-3"/>
          <w:sz w:val="24"/>
          <w:szCs w:val="24"/>
          <w:lang w:val="nb-NO"/>
        </w:rPr>
      </w:pPr>
    </w:p>
    <w:p w:rsidR="00364E0F" w:rsidRPr="00D975A6" w:rsidRDefault="00364E0F" w:rsidP="00364E0F">
      <w:pPr>
        <w:pStyle w:val="Style6"/>
        <w:widowControl/>
        <w:spacing w:line="240" w:lineRule="auto"/>
        <w:ind w:left="851" w:right="3974"/>
        <w:rPr>
          <w:i/>
          <w:iCs/>
          <w:color w:val="000000"/>
          <w:spacing w:val="1"/>
          <w:lang w:val="da-DK"/>
        </w:rPr>
      </w:pPr>
      <w:proofErr w:type="spellStart"/>
      <w:r w:rsidRPr="00D975A6">
        <w:rPr>
          <w:i/>
          <w:iCs/>
          <w:color w:val="000000"/>
          <w:spacing w:val="1"/>
          <w:lang w:val="da-DK"/>
        </w:rPr>
        <w:t>Hypomagnesæmi</w:t>
      </w:r>
      <w:proofErr w:type="spellEnd"/>
    </w:p>
    <w:p w:rsidR="00364E0F" w:rsidRPr="00D975A6" w:rsidRDefault="00364E0F" w:rsidP="00364E0F">
      <w:pPr>
        <w:autoSpaceDE w:val="0"/>
        <w:autoSpaceDN w:val="0"/>
        <w:adjustRightInd w:val="0"/>
        <w:ind w:left="851"/>
        <w:rPr>
          <w:color w:val="000000"/>
        </w:rPr>
      </w:pPr>
      <w:r w:rsidRPr="00D975A6">
        <w:rPr>
          <w:color w:val="000000"/>
        </w:rPr>
        <w:t>A</w:t>
      </w:r>
      <w:r w:rsidRPr="00D975A6">
        <w:rPr>
          <w:sz w:val="24"/>
          <w:szCs w:val="24"/>
          <w:lang w:val="nb-NO"/>
        </w:rPr>
        <w:t xml:space="preserve">lvorlig hypomagnesæmi </w:t>
      </w:r>
      <w:r w:rsidRPr="00D975A6">
        <w:rPr>
          <w:color w:val="000000"/>
        </w:rPr>
        <w:t xml:space="preserve">har været rapporteret </w:t>
      </w:r>
      <w:r w:rsidRPr="00D975A6">
        <w:rPr>
          <w:sz w:val="24"/>
          <w:szCs w:val="24"/>
          <w:lang w:val="nb-NO"/>
        </w:rPr>
        <w:t xml:space="preserve">hos patienter, behandlet med PPI’er som omeprazol i mindst tre måneder og i de fleste tilfælde i et år. Alvorlige manifestationer af hypomagnesæmi såsom træthed, tetani, delirium, kramper, svimmelhed og ventrikulær arytmi kan forekomme, men de kan begynde </w:t>
      </w:r>
      <w:r w:rsidRPr="00D975A6">
        <w:rPr>
          <w:color w:val="000000"/>
        </w:rPr>
        <w:t>stille og kan blive overset Tilstanden forbedres hos</w:t>
      </w:r>
      <w:r w:rsidRPr="00D975A6">
        <w:rPr>
          <w:sz w:val="24"/>
          <w:szCs w:val="24"/>
          <w:lang w:val="nb-NO"/>
        </w:rPr>
        <w:t xml:space="preserve"> de </w:t>
      </w:r>
      <w:r w:rsidRPr="00D975A6">
        <w:rPr>
          <w:color w:val="000000"/>
        </w:rPr>
        <w:t>fleste</w:t>
      </w:r>
      <w:r w:rsidRPr="00D975A6">
        <w:rPr>
          <w:sz w:val="24"/>
          <w:szCs w:val="24"/>
          <w:lang w:val="nb-NO"/>
        </w:rPr>
        <w:t xml:space="preserve"> patienter t efter magnesiumerstatning og seponering af PPI’e</w:t>
      </w:r>
      <w:r w:rsidRPr="00D975A6">
        <w:rPr>
          <w:color w:val="000000"/>
        </w:rPr>
        <w:t>r.</w:t>
      </w:r>
    </w:p>
    <w:p w:rsidR="00364E0F" w:rsidRPr="00D975A6" w:rsidRDefault="00364E0F" w:rsidP="00364E0F">
      <w:pPr>
        <w:autoSpaceDE w:val="0"/>
        <w:autoSpaceDN w:val="0"/>
        <w:adjustRightInd w:val="0"/>
        <w:ind w:left="851"/>
        <w:rPr>
          <w:color w:val="000000"/>
        </w:rPr>
      </w:pPr>
    </w:p>
    <w:p w:rsidR="00364E0F" w:rsidRPr="00BA34CA" w:rsidRDefault="00364E0F" w:rsidP="00364E0F">
      <w:pPr>
        <w:autoSpaceDE w:val="0"/>
        <w:autoSpaceDN w:val="0"/>
        <w:adjustRightInd w:val="0"/>
        <w:ind w:left="851"/>
        <w:rPr>
          <w:color w:val="000000"/>
          <w:sz w:val="22"/>
        </w:rPr>
      </w:pPr>
      <w:r>
        <w:rPr>
          <w:color w:val="000000"/>
        </w:rPr>
        <w:t xml:space="preserve">Det bør overvejes at måle serum magnesium før opstart af </w:t>
      </w:r>
      <w:proofErr w:type="gramStart"/>
      <w:r>
        <w:rPr>
          <w:color w:val="000000"/>
        </w:rPr>
        <w:t>PPI behandling</w:t>
      </w:r>
      <w:proofErr w:type="gramEnd"/>
      <w:r>
        <w:rPr>
          <w:color w:val="000000"/>
        </w:rPr>
        <w:t xml:space="preserve"> og regelmæssigt under </w:t>
      </w:r>
      <w:r w:rsidRPr="00BA34CA">
        <w:rPr>
          <w:color w:val="000000"/>
        </w:rPr>
        <w:t xml:space="preserve">behandlingen hos patienter der forventes at være i langvarig behandling eller taget </w:t>
      </w:r>
      <w:proofErr w:type="spellStart"/>
      <w:r w:rsidRPr="00BA34CA">
        <w:rPr>
          <w:color w:val="000000"/>
        </w:rPr>
        <w:t>PPIér</w:t>
      </w:r>
      <w:proofErr w:type="spellEnd"/>
      <w:r w:rsidRPr="00BA34CA">
        <w:rPr>
          <w:color w:val="000000"/>
        </w:rPr>
        <w:t xml:space="preserve"> samtidigt med </w:t>
      </w:r>
      <w:proofErr w:type="spellStart"/>
      <w:r w:rsidRPr="00BA34CA">
        <w:rPr>
          <w:color w:val="000000"/>
        </w:rPr>
        <w:t>digoxin</w:t>
      </w:r>
      <w:proofErr w:type="spellEnd"/>
      <w:r w:rsidRPr="00BA34CA">
        <w:rPr>
          <w:color w:val="000000"/>
        </w:rPr>
        <w:t xml:space="preserve"> eller andre lægemidler, der kan forårsage </w:t>
      </w:r>
      <w:proofErr w:type="spellStart"/>
      <w:r w:rsidRPr="00BA34CA">
        <w:rPr>
          <w:color w:val="000000"/>
        </w:rPr>
        <w:t>hypomagnesiæmi</w:t>
      </w:r>
      <w:proofErr w:type="spellEnd"/>
      <w:r w:rsidRPr="00BA34CA">
        <w:rPr>
          <w:color w:val="000000"/>
        </w:rPr>
        <w:t xml:space="preserve"> (fx </w:t>
      </w:r>
      <w:proofErr w:type="spellStart"/>
      <w:r w:rsidRPr="00BA34CA">
        <w:rPr>
          <w:color w:val="000000"/>
        </w:rPr>
        <w:t>diuretika</w:t>
      </w:r>
      <w:proofErr w:type="spellEnd"/>
      <w:r w:rsidRPr="00BA34CA">
        <w:rPr>
          <w:color w:val="000000"/>
        </w:rPr>
        <w:t>).</w:t>
      </w:r>
    </w:p>
    <w:p w:rsidR="00364E0F" w:rsidRPr="00BA34CA" w:rsidRDefault="00364E0F" w:rsidP="00364E0F">
      <w:pPr>
        <w:autoSpaceDE w:val="0"/>
        <w:autoSpaceDN w:val="0"/>
        <w:adjustRightInd w:val="0"/>
        <w:ind w:left="851"/>
        <w:rPr>
          <w:color w:val="000000"/>
        </w:rPr>
      </w:pPr>
    </w:p>
    <w:p w:rsidR="00364E0F" w:rsidRPr="00BA34CA" w:rsidRDefault="00364E0F" w:rsidP="00364E0F">
      <w:pPr>
        <w:autoSpaceDE w:val="0"/>
        <w:autoSpaceDN w:val="0"/>
        <w:adjustRightInd w:val="0"/>
        <w:ind w:left="851"/>
        <w:rPr>
          <w:color w:val="000000"/>
        </w:rPr>
      </w:pPr>
      <w:r w:rsidRPr="00BA34CA">
        <w:rPr>
          <w:color w:val="000000"/>
        </w:rPr>
        <w:t>Interferens med laboratorieprøver</w:t>
      </w:r>
    </w:p>
    <w:p w:rsidR="00364E0F" w:rsidRDefault="00364E0F" w:rsidP="00364E0F">
      <w:pPr>
        <w:autoSpaceDE w:val="0"/>
        <w:autoSpaceDN w:val="0"/>
        <w:adjustRightInd w:val="0"/>
        <w:ind w:left="851"/>
        <w:rPr>
          <w:color w:val="000000"/>
        </w:rPr>
      </w:pPr>
      <w:r w:rsidRPr="00BA34CA">
        <w:rPr>
          <w:color w:val="000000"/>
        </w:rPr>
        <w:t xml:space="preserve">Forhøjet </w:t>
      </w:r>
      <w:proofErr w:type="spellStart"/>
      <w:r w:rsidRPr="00BA34CA">
        <w:rPr>
          <w:color w:val="000000"/>
        </w:rPr>
        <w:t>chromogranin</w:t>
      </w:r>
      <w:proofErr w:type="spellEnd"/>
      <w:r w:rsidRPr="00BA34CA">
        <w:rPr>
          <w:color w:val="000000"/>
        </w:rPr>
        <w:t xml:space="preserve"> A (</w:t>
      </w:r>
      <w:proofErr w:type="spellStart"/>
      <w:r w:rsidRPr="00BA34CA">
        <w:rPr>
          <w:color w:val="000000"/>
        </w:rPr>
        <w:t>CgA</w:t>
      </w:r>
      <w:proofErr w:type="spellEnd"/>
      <w:r w:rsidRPr="00BA34CA">
        <w:rPr>
          <w:color w:val="000000"/>
        </w:rPr>
        <w:t xml:space="preserve">) kan interferere med undersøgelser for </w:t>
      </w:r>
      <w:proofErr w:type="spellStart"/>
      <w:r w:rsidRPr="00BA34CA">
        <w:rPr>
          <w:color w:val="000000"/>
        </w:rPr>
        <w:t>neuroendokrine</w:t>
      </w:r>
      <w:proofErr w:type="spellEnd"/>
      <w:r w:rsidRPr="00BA34CA">
        <w:rPr>
          <w:color w:val="000000"/>
        </w:rPr>
        <w:t xml:space="preserve"> tumorer. For at undgå denne interferens bør </w:t>
      </w:r>
      <w:proofErr w:type="spellStart"/>
      <w:r w:rsidRPr="00BA34CA">
        <w:rPr>
          <w:color w:val="000000"/>
        </w:rPr>
        <w:t>Olmeprazol</w:t>
      </w:r>
      <w:proofErr w:type="spellEnd"/>
      <w:r w:rsidRPr="00BA34CA">
        <w:rPr>
          <w:color w:val="000000"/>
        </w:rPr>
        <w:t xml:space="preserve"> Pensa seponeres mindst 5 dage inden måling af </w:t>
      </w:r>
      <w:proofErr w:type="spellStart"/>
      <w:r w:rsidRPr="00BA34CA">
        <w:rPr>
          <w:color w:val="000000"/>
        </w:rPr>
        <w:t>CgA</w:t>
      </w:r>
      <w:proofErr w:type="spellEnd"/>
      <w:r w:rsidRPr="00BA34CA">
        <w:rPr>
          <w:color w:val="000000"/>
        </w:rPr>
        <w:t xml:space="preserve"> (se pkt. 5.1). Hvis indholdet af </w:t>
      </w:r>
      <w:proofErr w:type="spellStart"/>
      <w:r w:rsidRPr="00BA34CA">
        <w:rPr>
          <w:color w:val="000000"/>
        </w:rPr>
        <w:t>CgA</w:t>
      </w:r>
      <w:proofErr w:type="spellEnd"/>
      <w:r w:rsidRPr="00BA34CA">
        <w:rPr>
          <w:color w:val="000000"/>
        </w:rPr>
        <w:t xml:space="preserve"> og gastrin ikke er returneret til referenceområdet ved den første måling, bør målingen gentages 14 dage efter </w:t>
      </w:r>
      <w:proofErr w:type="spellStart"/>
      <w:r w:rsidRPr="00BA34CA">
        <w:rPr>
          <w:color w:val="000000"/>
        </w:rPr>
        <w:t>seponering</w:t>
      </w:r>
      <w:proofErr w:type="spellEnd"/>
      <w:r w:rsidRPr="00BA34CA">
        <w:rPr>
          <w:color w:val="000000"/>
        </w:rPr>
        <w:t xml:space="preserve"> af protonpumpehæmmeren.</w:t>
      </w:r>
    </w:p>
    <w:p w:rsidR="008415F9" w:rsidRDefault="008415F9" w:rsidP="00364E0F">
      <w:pPr>
        <w:autoSpaceDE w:val="0"/>
        <w:autoSpaceDN w:val="0"/>
        <w:adjustRightInd w:val="0"/>
        <w:ind w:left="851"/>
        <w:rPr>
          <w:color w:val="000000"/>
        </w:rPr>
      </w:pPr>
    </w:p>
    <w:p w:rsidR="00782540" w:rsidRPr="0090311D" w:rsidRDefault="00782540" w:rsidP="00782540">
      <w:pPr>
        <w:autoSpaceDE w:val="0"/>
        <w:autoSpaceDN w:val="0"/>
        <w:adjustRightInd w:val="0"/>
        <w:ind w:left="851"/>
        <w:rPr>
          <w:i/>
          <w:iCs/>
          <w:color w:val="000000"/>
        </w:rPr>
      </w:pPr>
      <w:r w:rsidRPr="0090311D">
        <w:rPr>
          <w:i/>
          <w:iCs/>
          <w:color w:val="000000"/>
        </w:rPr>
        <w:t>Nedsat nyrefunktion</w:t>
      </w:r>
    </w:p>
    <w:p w:rsidR="00782540" w:rsidRDefault="00782540" w:rsidP="00782540">
      <w:pPr>
        <w:autoSpaceDE w:val="0"/>
        <w:autoSpaceDN w:val="0"/>
        <w:adjustRightInd w:val="0"/>
        <w:ind w:left="851"/>
        <w:rPr>
          <w:color w:val="000000"/>
        </w:rPr>
      </w:pPr>
      <w:r w:rsidRPr="00141D71">
        <w:rPr>
          <w:color w:val="000000"/>
        </w:rPr>
        <w:t xml:space="preserve">Akut </w:t>
      </w:r>
      <w:proofErr w:type="spellStart"/>
      <w:r w:rsidRPr="00141D71">
        <w:rPr>
          <w:color w:val="000000"/>
        </w:rPr>
        <w:t>tubulointerstitiel</w:t>
      </w:r>
      <w:proofErr w:type="spellEnd"/>
      <w:r w:rsidRPr="00141D71">
        <w:rPr>
          <w:color w:val="000000"/>
        </w:rPr>
        <w:t xml:space="preserve"> </w:t>
      </w:r>
      <w:proofErr w:type="spellStart"/>
      <w:r w:rsidRPr="00141D71">
        <w:rPr>
          <w:color w:val="000000"/>
        </w:rPr>
        <w:t>nefritis</w:t>
      </w:r>
      <w:proofErr w:type="spellEnd"/>
      <w:r w:rsidRPr="00141D71">
        <w:rPr>
          <w:color w:val="000000"/>
        </w:rPr>
        <w:t xml:space="preserve"> (TIN) er set hos patienter, der tager </w:t>
      </w:r>
      <w:proofErr w:type="spellStart"/>
      <w:r w:rsidRPr="00141D71">
        <w:rPr>
          <w:color w:val="000000"/>
        </w:rPr>
        <w:t>omeprazol</w:t>
      </w:r>
      <w:proofErr w:type="spellEnd"/>
      <w:r w:rsidRPr="00141D71">
        <w:rPr>
          <w:color w:val="000000"/>
        </w:rPr>
        <w:t xml:space="preserve">, og kan forekomme når som helst under behandling med </w:t>
      </w:r>
      <w:proofErr w:type="spellStart"/>
      <w:r w:rsidRPr="00141D71">
        <w:rPr>
          <w:color w:val="000000"/>
        </w:rPr>
        <w:t>omeprazol</w:t>
      </w:r>
      <w:proofErr w:type="spellEnd"/>
      <w:r w:rsidRPr="00141D71">
        <w:rPr>
          <w:color w:val="000000"/>
        </w:rPr>
        <w:t xml:space="preserve"> (se punkt 4.8). Akut </w:t>
      </w:r>
      <w:proofErr w:type="spellStart"/>
      <w:r w:rsidRPr="00141D71">
        <w:rPr>
          <w:color w:val="000000"/>
        </w:rPr>
        <w:t>tubulointerstitiel</w:t>
      </w:r>
      <w:proofErr w:type="spellEnd"/>
      <w:r w:rsidRPr="00141D71">
        <w:rPr>
          <w:color w:val="000000"/>
        </w:rPr>
        <w:t xml:space="preserve"> </w:t>
      </w:r>
      <w:proofErr w:type="spellStart"/>
      <w:r w:rsidRPr="00141D71">
        <w:rPr>
          <w:color w:val="000000"/>
        </w:rPr>
        <w:t>nefritis</w:t>
      </w:r>
      <w:proofErr w:type="spellEnd"/>
      <w:r w:rsidRPr="00141D71">
        <w:rPr>
          <w:color w:val="000000"/>
        </w:rPr>
        <w:t xml:space="preserve"> kan forværres til nyresvigt.</w:t>
      </w:r>
    </w:p>
    <w:p w:rsidR="00782540" w:rsidRPr="00141D71" w:rsidRDefault="00782540" w:rsidP="00782540">
      <w:pPr>
        <w:autoSpaceDE w:val="0"/>
        <w:autoSpaceDN w:val="0"/>
        <w:adjustRightInd w:val="0"/>
        <w:ind w:left="851"/>
        <w:rPr>
          <w:color w:val="000000"/>
        </w:rPr>
      </w:pPr>
    </w:p>
    <w:p w:rsidR="00782540" w:rsidRDefault="00782540" w:rsidP="00782540">
      <w:pPr>
        <w:autoSpaceDE w:val="0"/>
        <w:autoSpaceDN w:val="0"/>
        <w:adjustRightInd w:val="0"/>
        <w:ind w:left="851"/>
        <w:rPr>
          <w:color w:val="000000"/>
        </w:rPr>
      </w:pPr>
      <w:proofErr w:type="spellStart"/>
      <w:r w:rsidRPr="00141D71">
        <w:rPr>
          <w:color w:val="000000"/>
        </w:rPr>
        <w:t>Omeprazol</w:t>
      </w:r>
      <w:proofErr w:type="spellEnd"/>
      <w:r w:rsidRPr="00141D71">
        <w:rPr>
          <w:color w:val="000000"/>
        </w:rPr>
        <w:t xml:space="preserve"> bør seponeres ved mistanke om TIN, og passende behandling bør iværksættes med det samme.</w:t>
      </w:r>
    </w:p>
    <w:p w:rsidR="00782540" w:rsidRDefault="00782540" w:rsidP="00782540">
      <w:pPr>
        <w:autoSpaceDE w:val="0"/>
        <w:autoSpaceDN w:val="0"/>
        <w:adjustRightInd w:val="0"/>
        <w:ind w:left="851"/>
        <w:rPr>
          <w:color w:val="000000"/>
        </w:rPr>
      </w:pPr>
    </w:p>
    <w:p w:rsidR="00782540" w:rsidRPr="00707B90" w:rsidRDefault="00782540" w:rsidP="00782540">
      <w:pPr>
        <w:pStyle w:val="Default"/>
        <w:tabs>
          <w:tab w:val="left" w:pos="851"/>
        </w:tabs>
        <w:ind w:left="851"/>
        <w:rPr>
          <w:color w:val="000000"/>
          <w:sz w:val="23"/>
          <w:lang w:val="da-DK"/>
        </w:rPr>
      </w:pPr>
      <w:proofErr w:type="spellStart"/>
      <w:r w:rsidRPr="00707B90">
        <w:rPr>
          <w:color w:val="000000"/>
          <w:sz w:val="23"/>
          <w:lang w:val="da-DK"/>
        </w:rPr>
        <w:t>Saccharose</w:t>
      </w:r>
      <w:proofErr w:type="spellEnd"/>
      <w:r w:rsidRPr="00707B90">
        <w:rPr>
          <w:color w:val="000000"/>
          <w:sz w:val="23"/>
          <w:lang w:val="da-DK"/>
        </w:rPr>
        <w:t xml:space="preserve"> </w:t>
      </w:r>
    </w:p>
    <w:p w:rsidR="00782540" w:rsidRPr="00707B90" w:rsidRDefault="00782540" w:rsidP="00782540">
      <w:pPr>
        <w:pStyle w:val="Default"/>
        <w:tabs>
          <w:tab w:val="left" w:pos="851"/>
        </w:tabs>
        <w:ind w:left="851"/>
        <w:rPr>
          <w:color w:val="000000"/>
          <w:sz w:val="23"/>
          <w:lang w:val="da-DK"/>
        </w:rPr>
      </w:pPr>
      <w:r w:rsidRPr="00707B90">
        <w:rPr>
          <w:color w:val="000000"/>
          <w:sz w:val="23"/>
          <w:lang w:val="da-DK"/>
        </w:rPr>
        <w:t xml:space="preserve">Dette lægemiddel indeholder </w:t>
      </w:r>
      <w:proofErr w:type="spellStart"/>
      <w:r w:rsidRPr="00707B90">
        <w:rPr>
          <w:color w:val="000000"/>
          <w:sz w:val="23"/>
          <w:lang w:val="da-DK"/>
        </w:rPr>
        <w:t>saccharose</w:t>
      </w:r>
      <w:proofErr w:type="spellEnd"/>
      <w:r w:rsidRPr="00707B90">
        <w:rPr>
          <w:color w:val="000000"/>
          <w:sz w:val="23"/>
          <w:lang w:val="da-DK"/>
        </w:rPr>
        <w:t xml:space="preserve">. Dette lægemiddel bør ikke anvendes til patienter med arvelig </w:t>
      </w:r>
      <w:proofErr w:type="spellStart"/>
      <w:r w:rsidRPr="00707B90">
        <w:rPr>
          <w:color w:val="000000"/>
          <w:sz w:val="23"/>
          <w:lang w:val="da-DK"/>
        </w:rPr>
        <w:t>fructoseintolerans</w:t>
      </w:r>
      <w:proofErr w:type="spellEnd"/>
      <w:r w:rsidRPr="00707B90">
        <w:rPr>
          <w:color w:val="000000"/>
          <w:sz w:val="23"/>
          <w:lang w:val="da-DK"/>
        </w:rPr>
        <w:t xml:space="preserve">, </w:t>
      </w:r>
      <w:proofErr w:type="spellStart"/>
      <w:r w:rsidRPr="00707B90">
        <w:rPr>
          <w:color w:val="000000"/>
          <w:sz w:val="23"/>
          <w:lang w:val="da-DK"/>
        </w:rPr>
        <w:t>glucose</w:t>
      </w:r>
      <w:proofErr w:type="spellEnd"/>
      <w:r w:rsidRPr="00707B90">
        <w:rPr>
          <w:color w:val="000000"/>
          <w:sz w:val="23"/>
          <w:lang w:val="da-DK"/>
        </w:rPr>
        <w:t>-/</w:t>
      </w:r>
      <w:proofErr w:type="spellStart"/>
      <w:r w:rsidRPr="00707B90">
        <w:rPr>
          <w:color w:val="000000"/>
          <w:sz w:val="23"/>
          <w:lang w:val="da-DK"/>
        </w:rPr>
        <w:t>galactosemalabsorption</w:t>
      </w:r>
      <w:proofErr w:type="spellEnd"/>
      <w:r w:rsidRPr="00707B90">
        <w:rPr>
          <w:color w:val="000000"/>
          <w:sz w:val="23"/>
          <w:lang w:val="da-DK"/>
        </w:rPr>
        <w:t xml:space="preserve"> eller </w:t>
      </w:r>
      <w:proofErr w:type="spellStart"/>
      <w:r w:rsidRPr="00707B90">
        <w:rPr>
          <w:color w:val="000000"/>
          <w:sz w:val="23"/>
          <w:lang w:val="da-DK"/>
        </w:rPr>
        <w:t>sucrase-isomaltasemangel</w:t>
      </w:r>
      <w:proofErr w:type="spellEnd"/>
      <w:r w:rsidRPr="00707B90">
        <w:rPr>
          <w:color w:val="000000"/>
          <w:sz w:val="23"/>
          <w:lang w:val="da-DK"/>
        </w:rPr>
        <w:t xml:space="preserve">. </w:t>
      </w:r>
    </w:p>
    <w:p w:rsidR="00782540" w:rsidRPr="00707B90" w:rsidRDefault="00782540" w:rsidP="00782540">
      <w:pPr>
        <w:pStyle w:val="Default"/>
        <w:tabs>
          <w:tab w:val="left" w:pos="851"/>
        </w:tabs>
        <w:ind w:left="851"/>
        <w:rPr>
          <w:color w:val="000000"/>
          <w:sz w:val="23"/>
          <w:lang w:val="da-DK"/>
        </w:rPr>
      </w:pPr>
    </w:p>
    <w:p w:rsidR="00782540" w:rsidRPr="00707B90" w:rsidRDefault="00782540" w:rsidP="00782540">
      <w:pPr>
        <w:pStyle w:val="Default"/>
        <w:tabs>
          <w:tab w:val="left" w:pos="851"/>
        </w:tabs>
        <w:ind w:left="851"/>
        <w:rPr>
          <w:color w:val="000000"/>
          <w:sz w:val="23"/>
          <w:lang w:val="da-DK"/>
        </w:rPr>
      </w:pPr>
      <w:r w:rsidRPr="00707B90">
        <w:rPr>
          <w:color w:val="000000"/>
          <w:sz w:val="23"/>
          <w:lang w:val="da-DK"/>
        </w:rPr>
        <w:t xml:space="preserve">Natrium </w:t>
      </w:r>
    </w:p>
    <w:p w:rsidR="008415F9" w:rsidRPr="00707B90" w:rsidRDefault="00782540" w:rsidP="00782540">
      <w:pPr>
        <w:autoSpaceDE w:val="0"/>
        <w:autoSpaceDN w:val="0"/>
        <w:adjustRightInd w:val="0"/>
        <w:ind w:left="851"/>
        <w:rPr>
          <w:color w:val="000000"/>
        </w:rPr>
      </w:pPr>
      <w:r w:rsidRPr="00707B90">
        <w:rPr>
          <w:color w:val="000000"/>
        </w:rPr>
        <w:t>Dette lægemiddel indeholder mindre end 1 mmol (23 mg) natrium pr. kapsel, dvs. det er i det væsentlige natriumfrit.</w:t>
      </w:r>
    </w:p>
    <w:p w:rsidR="00364E0F" w:rsidRDefault="00364E0F" w:rsidP="00364E0F">
      <w:pPr>
        <w:autoSpaceDE w:val="0"/>
        <w:autoSpaceDN w:val="0"/>
        <w:adjustRightInd w:val="0"/>
        <w:ind w:left="851"/>
        <w:rPr>
          <w:szCs w:val="23"/>
        </w:rPr>
      </w:pPr>
    </w:p>
    <w:p w:rsidR="00364E0F" w:rsidRPr="00D975A6" w:rsidRDefault="00364E0F" w:rsidP="00364E0F">
      <w:pPr>
        <w:keepNext/>
        <w:numPr>
          <w:ilvl w:val="1"/>
          <w:numId w:val="1"/>
        </w:numPr>
        <w:ind w:left="856" w:hanging="856"/>
        <w:rPr>
          <w:b/>
          <w:sz w:val="24"/>
          <w:szCs w:val="24"/>
        </w:rPr>
      </w:pPr>
      <w:r w:rsidRPr="00D975A6">
        <w:rPr>
          <w:b/>
          <w:sz w:val="24"/>
          <w:szCs w:val="24"/>
        </w:rPr>
        <w:t>Interaktion med andre lægemidler og andre former for interaktion</w:t>
      </w:r>
    </w:p>
    <w:p w:rsidR="00364E0F" w:rsidRPr="00D975A6" w:rsidRDefault="00364E0F" w:rsidP="00364E0F">
      <w:pPr>
        <w:keepNext/>
        <w:autoSpaceDE w:val="0"/>
        <w:autoSpaceDN w:val="0"/>
        <w:adjustRightInd w:val="0"/>
        <w:ind w:left="851"/>
        <w:rPr>
          <w:sz w:val="24"/>
          <w:szCs w:val="24"/>
          <w:u w:val="single"/>
          <w:lang w:val="nb-NO"/>
        </w:rPr>
      </w:pPr>
      <w:r w:rsidRPr="00D975A6">
        <w:rPr>
          <w:sz w:val="24"/>
          <w:szCs w:val="24"/>
          <w:u w:val="single"/>
          <w:lang w:val="nb-NO"/>
        </w:rPr>
        <w:t>Omeprazols virkning på andre lægemidlers farmakokinetik</w:t>
      </w:r>
    </w:p>
    <w:p w:rsidR="00364E0F" w:rsidRPr="00D975A6"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Lægemidler med pH-afhængig absorption</w:t>
      </w:r>
    </w:p>
    <w:p w:rsidR="00364E0F" w:rsidRPr="008579ED" w:rsidRDefault="00364E0F" w:rsidP="00364E0F">
      <w:pPr>
        <w:autoSpaceDE w:val="0"/>
        <w:autoSpaceDN w:val="0"/>
        <w:adjustRightInd w:val="0"/>
        <w:ind w:left="851"/>
        <w:rPr>
          <w:sz w:val="24"/>
          <w:szCs w:val="24"/>
          <w:lang w:val="nb-NO"/>
        </w:rPr>
      </w:pPr>
      <w:r w:rsidRPr="00D975A6">
        <w:rPr>
          <w:sz w:val="24"/>
          <w:szCs w:val="24"/>
          <w:lang w:val="nb-NO"/>
        </w:rPr>
        <w:t>Den nedsatte intragastriske surhedsgrad under behandling med omeprazol kan øge eller nedsætte absorptionen af aktive stoffer med gastrisk pH-afhængig absorption.</w:t>
      </w:r>
    </w:p>
    <w:p w:rsidR="00364E0F"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Nelfinavir, atazanavir</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lastRenderedPageBreak/>
        <w:t>Plasmakoncentrationerne af nelfinavir og atazanavir reduceres ved co-administration af omeprazol.</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Samtidig administration af omeprazol og nelfinavir er kontraindiceret (se pkt. 4.3). Co-administration af omeprazol (40 mg en gang daglig) reducerede den gennemsnitlige eksponering for nelfinavir med ca. 40 %, og den gennemsnitlige eksponering for den farmakologisk aktive metabolit M8 blev reduceret med 75-90 %. Interaktionen kan også involvere hæmning af CYP2C19.</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Samtidig administration af omeprazol og atazanavir kan ikke anbefales (se pkt. 4.4). Samtidig administration af omeprazol (40 mg en gang daglig) og atazanavir 300 mg/ritonavir 100 mg til raske frivillige resulterede i en reduktion af atazanavir-eksponeringen på 75 %. Øgning af atazanavirdosis til 400 mg kompenserede ikke for indvirkningen af omeprazol på atazanavir-eksponeringen. </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Coadministration af omeprazol (20 mg en gang daglig) med atazanavir 400 mg/ritonavir 100 mg til raske frivillige resulterede i et fald i eksponeringen for atazanavir på ca. 30 % sammenlignet med atazanavir 300 mg/ritonavir 100 mg en gang daglig.</w:t>
      </w:r>
    </w:p>
    <w:p w:rsidR="00364E0F" w:rsidRPr="00D975A6"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Digoxin</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Samtidig behandling med omeprazol (20 mg daglig) og digoxin til raske frivillige øgede</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biotilgængeligheden af digoxin med 10 %. Digoxintoksicitet er sjældent blevet rapporteret. Dog bør der udvises forsigtighed, når omeprazol gives i høje doser til ældre patienter. Serumkoncentrationen af digoxin bør monitoreres.</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Clopidogrel</w:t>
      </w:r>
    </w:p>
    <w:p w:rsidR="00364E0F" w:rsidRPr="00D975A6" w:rsidRDefault="00364E0F" w:rsidP="00364E0F">
      <w:pPr>
        <w:autoSpaceDE w:val="0"/>
        <w:autoSpaceDN w:val="0"/>
        <w:adjustRightInd w:val="0"/>
        <w:ind w:left="851"/>
        <w:rPr>
          <w:sz w:val="24"/>
          <w:szCs w:val="24"/>
        </w:rPr>
      </w:pPr>
      <w:r w:rsidRPr="00D975A6">
        <w:rPr>
          <w:sz w:val="24"/>
          <w:szCs w:val="24"/>
        </w:rPr>
        <w:t xml:space="preserve">Resultater fra studier hos sunde deltagere har vist en </w:t>
      </w:r>
      <w:proofErr w:type="spellStart"/>
      <w:r w:rsidRPr="00D975A6">
        <w:rPr>
          <w:sz w:val="24"/>
          <w:szCs w:val="24"/>
        </w:rPr>
        <w:t>farmakokinetisk</w:t>
      </w:r>
      <w:proofErr w:type="spellEnd"/>
      <w:r w:rsidRPr="00D975A6">
        <w:rPr>
          <w:sz w:val="24"/>
          <w:szCs w:val="24"/>
        </w:rPr>
        <w:t xml:space="preserve"> (PK) </w:t>
      </w:r>
      <w:proofErr w:type="spellStart"/>
      <w:r w:rsidRPr="00D975A6">
        <w:rPr>
          <w:sz w:val="24"/>
          <w:szCs w:val="24"/>
        </w:rPr>
        <w:t>farma</w:t>
      </w:r>
      <w:r>
        <w:rPr>
          <w:sz w:val="24"/>
          <w:szCs w:val="24"/>
        </w:rPr>
        <w:t>-</w:t>
      </w:r>
      <w:r w:rsidRPr="00D975A6">
        <w:rPr>
          <w:sz w:val="24"/>
          <w:szCs w:val="24"/>
        </w:rPr>
        <w:t>kodynamisk</w:t>
      </w:r>
      <w:proofErr w:type="spellEnd"/>
      <w:r w:rsidRPr="00D975A6">
        <w:rPr>
          <w:sz w:val="24"/>
          <w:szCs w:val="24"/>
        </w:rPr>
        <w:t xml:space="preserve"> (PD) interaktion mellem </w:t>
      </w:r>
      <w:proofErr w:type="spellStart"/>
      <w:r w:rsidRPr="00D975A6">
        <w:rPr>
          <w:sz w:val="24"/>
          <w:szCs w:val="24"/>
        </w:rPr>
        <w:t>clopidogrel</w:t>
      </w:r>
      <w:proofErr w:type="spellEnd"/>
      <w:r w:rsidRPr="00D975A6">
        <w:rPr>
          <w:sz w:val="24"/>
          <w:szCs w:val="24"/>
        </w:rPr>
        <w:t xml:space="preserve"> (300 mg begyndelsesdosis/75 mg daglig vedligeholdelsesdosis) og </w:t>
      </w:r>
      <w:proofErr w:type="spellStart"/>
      <w:r w:rsidRPr="00D975A6">
        <w:rPr>
          <w:sz w:val="24"/>
          <w:szCs w:val="24"/>
        </w:rPr>
        <w:t>omeprazol</w:t>
      </w:r>
      <w:proofErr w:type="spellEnd"/>
      <w:r w:rsidRPr="00D975A6">
        <w:rPr>
          <w:sz w:val="24"/>
          <w:szCs w:val="24"/>
        </w:rPr>
        <w:t xml:space="preserve"> (80 mg </w:t>
      </w:r>
      <w:proofErr w:type="spellStart"/>
      <w:r w:rsidRPr="00D975A6">
        <w:rPr>
          <w:sz w:val="24"/>
          <w:szCs w:val="24"/>
        </w:rPr>
        <w:t>p.o</w:t>
      </w:r>
      <w:proofErr w:type="spellEnd"/>
      <w:r w:rsidRPr="00D975A6">
        <w:rPr>
          <w:sz w:val="24"/>
          <w:szCs w:val="24"/>
        </w:rPr>
        <w:t xml:space="preserve">. daglig), der fører til en nedsat udsættelse for </w:t>
      </w:r>
      <w:proofErr w:type="spellStart"/>
      <w:r w:rsidRPr="00D975A6">
        <w:rPr>
          <w:sz w:val="24"/>
          <w:szCs w:val="24"/>
        </w:rPr>
        <w:t>clopidogrels</w:t>
      </w:r>
      <w:proofErr w:type="spellEnd"/>
      <w:r w:rsidRPr="00D975A6">
        <w:rPr>
          <w:sz w:val="24"/>
          <w:szCs w:val="24"/>
        </w:rPr>
        <w:t xml:space="preserve"> aktive metabolit med en gennemsnitlig 46 % og en aftaget </w:t>
      </w:r>
      <w:proofErr w:type="gramStart"/>
      <w:r w:rsidRPr="00D975A6">
        <w:rPr>
          <w:sz w:val="24"/>
          <w:szCs w:val="24"/>
        </w:rPr>
        <w:t>maksimum hæmning</w:t>
      </w:r>
      <w:proofErr w:type="gramEnd"/>
      <w:r w:rsidRPr="00D975A6">
        <w:rPr>
          <w:sz w:val="24"/>
          <w:szCs w:val="24"/>
        </w:rPr>
        <w:t xml:space="preserve"> af (ADP-induceret) </w:t>
      </w:r>
      <w:proofErr w:type="spellStart"/>
      <w:r w:rsidRPr="00D975A6">
        <w:rPr>
          <w:sz w:val="24"/>
          <w:szCs w:val="24"/>
        </w:rPr>
        <w:t>trombocytophobning</w:t>
      </w:r>
      <w:proofErr w:type="spellEnd"/>
      <w:r w:rsidRPr="00D975A6">
        <w:rPr>
          <w:sz w:val="24"/>
          <w:szCs w:val="24"/>
        </w:rPr>
        <w:t xml:space="preserve"> med et gennemsnit på 16 %.</w:t>
      </w:r>
    </w:p>
    <w:p w:rsidR="00364E0F" w:rsidRPr="00D975A6" w:rsidRDefault="00364E0F" w:rsidP="00364E0F">
      <w:pPr>
        <w:autoSpaceDE w:val="0"/>
        <w:autoSpaceDN w:val="0"/>
        <w:adjustRightInd w:val="0"/>
        <w:ind w:left="851"/>
        <w:rPr>
          <w:sz w:val="24"/>
          <w:szCs w:val="24"/>
        </w:rPr>
      </w:pPr>
      <w:r w:rsidRPr="00D975A6">
        <w:rPr>
          <w:sz w:val="24"/>
          <w:szCs w:val="24"/>
        </w:rPr>
        <w:t>Inkonsekvente data om de kliniske implikationer af en PK/</w:t>
      </w:r>
      <w:proofErr w:type="gramStart"/>
      <w:r w:rsidRPr="00D975A6">
        <w:rPr>
          <w:sz w:val="24"/>
          <w:szCs w:val="24"/>
        </w:rPr>
        <w:t>PD interaktion</w:t>
      </w:r>
      <w:proofErr w:type="gramEnd"/>
      <w:r w:rsidRPr="00D975A6">
        <w:rPr>
          <w:sz w:val="24"/>
          <w:szCs w:val="24"/>
        </w:rPr>
        <w:t xml:space="preserve"> af </w:t>
      </w:r>
      <w:proofErr w:type="spellStart"/>
      <w:r w:rsidRPr="00D975A6">
        <w:rPr>
          <w:sz w:val="24"/>
          <w:szCs w:val="24"/>
        </w:rPr>
        <w:t>omeprazol</w:t>
      </w:r>
      <w:proofErr w:type="spellEnd"/>
      <w:r w:rsidRPr="00D975A6">
        <w:rPr>
          <w:sz w:val="24"/>
          <w:szCs w:val="24"/>
        </w:rPr>
        <w:t xml:space="preserve"> med hensyn til store </w:t>
      </w:r>
      <w:proofErr w:type="spellStart"/>
      <w:r w:rsidRPr="00D975A6">
        <w:rPr>
          <w:sz w:val="24"/>
          <w:szCs w:val="24"/>
        </w:rPr>
        <w:t>kardiovakulære</w:t>
      </w:r>
      <w:proofErr w:type="spellEnd"/>
      <w:r w:rsidRPr="00D975A6">
        <w:rPr>
          <w:sz w:val="24"/>
          <w:szCs w:val="24"/>
        </w:rPr>
        <w:t xml:space="preserve"> hændelser er blevet rapporteret fra både </w:t>
      </w:r>
      <w:proofErr w:type="spellStart"/>
      <w:r w:rsidRPr="00D975A6">
        <w:rPr>
          <w:sz w:val="24"/>
          <w:szCs w:val="24"/>
        </w:rPr>
        <w:t>observatoriske</w:t>
      </w:r>
      <w:proofErr w:type="spellEnd"/>
      <w:r w:rsidRPr="00D975A6">
        <w:rPr>
          <w:sz w:val="24"/>
          <w:szCs w:val="24"/>
        </w:rPr>
        <w:t xml:space="preserve"> og kliniske studier. Som en forholdsregel bør samtidig brug af </w:t>
      </w:r>
      <w:proofErr w:type="spellStart"/>
      <w:r w:rsidRPr="00D975A6">
        <w:rPr>
          <w:sz w:val="24"/>
          <w:szCs w:val="24"/>
        </w:rPr>
        <w:t>omeprazol</w:t>
      </w:r>
      <w:proofErr w:type="spellEnd"/>
      <w:r w:rsidRPr="00D975A6">
        <w:rPr>
          <w:sz w:val="24"/>
          <w:szCs w:val="24"/>
        </w:rPr>
        <w:t xml:space="preserve"> og </w:t>
      </w:r>
      <w:proofErr w:type="spellStart"/>
      <w:r w:rsidRPr="00D975A6">
        <w:rPr>
          <w:sz w:val="24"/>
          <w:szCs w:val="24"/>
        </w:rPr>
        <w:t>clopidogel</w:t>
      </w:r>
      <w:proofErr w:type="spellEnd"/>
      <w:r w:rsidRPr="00D975A6">
        <w:rPr>
          <w:sz w:val="24"/>
          <w:szCs w:val="24"/>
        </w:rPr>
        <w:t xml:space="preserve"> frarådes (se pkt. 4,4).</w:t>
      </w:r>
    </w:p>
    <w:p w:rsidR="00364E0F" w:rsidRPr="00D975A6"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Andre lægemidler</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Absorptionen af posaconazol, erlotinib, ketoconazol og itraconazol reduceres signifikant, og den kliniske effekt kan være nedsat. Med hensyn til posaconazol og erlonitib bør samtidig anvendelse undgås.</w:t>
      </w:r>
    </w:p>
    <w:p w:rsidR="00364E0F" w:rsidRDefault="00364E0F" w:rsidP="00364E0F">
      <w:pPr>
        <w:rPr>
          <w:i/>
          <w:iCs/>
          <w:sz w:val="24"/>
          <w:szCs w:val="24"/>
          <w:lang w:val="nb-NO"/>
        </w:rPr>
      </w:pPr>
    </w:p>
    <w:p w:rsidR="00364E0F" w:rsidRPr="00D975A6" w:rsidRDefault="00364E0F" w:rsidP="00364E0F">
      <w:pPr>
        <w:ind w:left="851"/>
        <w:rPr>
          <w:sz w:val="24"/>
          <w:szCs w:val="24"/>
          <w:lang w:val="nb-NO"/>
        </w:rPr>
      </w:pPr>
      <w:r w:rsidRPr="00D975A6">
        <w:rPr>
          <w:i/>
          <w:iCs/>
          <w:sz w:val="24"/>
          <w:szCs w:val="24"/>
          <w:lang w:val="nb-NO"/>
        </w:rPr>
        <w:t>Lægemidler, der metaboliseres via CYP2C19</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Omeprazol er en moderat inhibitor af CYP2C19, som er det primære enzym i omeprazols</w:t>
      </w:r>
    </w:p>
    <w:p w:rsidR="00364E0F" w:rsidRDefault="00364E0F" w:rsidP="00364E0F">
      <w:pPr>
        <w:autoSpaceDE w:val="0"/>
        <w:autoSpaceDN w:val="0"/>
        <w:adjustRightInd w:val="0"/>
        <w:ind w:left="851"/>
        <w:rPr>
          <w:sz w:val="24"/>
          <w:szCs w:val="24"/>
          <w:lang w:val="nb-NO"/>
        </w:rPr>
      </w:pPr>
      <w:r w:rsidRPr="00D975A6">
        <w:rPr>
          <w:sz w:val="24"/>
          <w:szCs w:val="24"/>
          <w:lang w:val="nb-NO"/>
        </w:rPr>
        <w:t>metabolisme. Derfor kan metabolismen af aktive stoffer, der indtages samtidig og metaboliseres af CYP2C19, nedsættes, og den systemiske eksponering for disse lægemidler øges. Eksempler på sådanne lægemidler er R-warfarin og andre vitamin K-antagonister, cilostazol, diazepam og phenytoin.</w:t>
      </w:r>
    </w:p>
    <w:p w:rsidR="00364E0F"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Cilostazol</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Omeprazol givet i doser på 40 mg til raske frivillige i en cross-over undersøgelse øgede Cmax og arealet under plasmakoncentration-tid-kurven (AUC) for cilostazol med </w:t>
      </w:r>
      <w:r w:rsidRPr="00D975A6">
        <w:rPr>
          <w:sz w:val="24"/>
          <w:szCs w:val="24"/>
          <w:lang w:val="nb-NO"/>
        </w:rPr>
        <w:lastRenderedPageBreak/>
        <w:t>henholdsvis 18 % og 26 % og for en af dets aktive metabolitter med henholdsvis 29 % og 69 %.</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Phenytoin</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Det anbefales at monitorere plasmakoncentrationen af phenytoin de to første uger efter initiering af omeprazolbehandling. Såfremt phenytoindosis justeres, anbefales monitorering og yderligere dosisjustering ved afslutning af omprazolbehandling.</w:t>
      </w:r>
    </w:p>
    <w:p w:rsidR="00364E0F" w:rsidRPr="00D975A6"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Ukendt mekanisme</w:t>
      </w:r>
    </w:p>
    <w:p w:rsidR="00364E0F" w:rsidRPr="00D975A6"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Saquinavir</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Samtidig administration af omeprazol og saquinavir/ritonavir resulterede i øgede plasmakoncentrationer af saquinavir på op til omkring 70 %. Dette var forbundet med god tolerabilitet i HIV-inficerede patienter.</w:t>
      </w:r>
    </w:p>
    <w:p w:rsidR="00364E0F" w:rsidRPr="00D975A6" w:rsidRDefault="00364E0F" w:rsidP="00364E0F">
      <w:pPr>
        <w:rPr>
          <w:i/>
          <w:iCs/>
          <w:sz w:val="24"/>
          <w:szCs w:val="24"/>
          <w:lang w:val="nb-NO"/>
        </w:rPr>
      </w:pPr>
    </w:p>
    <w:p w:rsidR="00364E0F" w:rsidRDefault="00364E0F" w:rsidP="00364E0F">
      <w:pPr>
        <w:autoSpaceDE w:val="0"/>
        <w:autoSpaceDN w:val="0"/>
        <w:adjustRightInd w:val="0"/>
        <w:ind w:left="851"/>
        <w:rPr>
          <w:i/>
          <w:iCs/>
          <w:sz w:val="24"/>
          <w:szCs w:val="24"/>
          <w:lang w:val="nb-NO"/>
        </w:rPr>
      </w:pPr>
      <w:r>
        <w:rPr>
          <w:i/>
          <w:iCs/>
          <w:sz w:val="24"/>
          <w:szCs w:val="24"/>
          <w:lang w:val="nb-NO"/>
        </w:rPr>
        <w:t>Tacrolimus</w:t>
      </w:r>
    </w:p>
    <w:p w:rsidR="00364E0F" w:rsidRDefault="00364E0F" w:rsidP="00364E0F">
      <w:pPr>
        <w:autoSpaceDE w:val="0"/>
        <w:autoSpaceDN w:val="0"/>
        <w:adjustRightInd w:val="0"/>
        <w:ind w:left="851"/>
        <w:rPr>
          <w:sz w:val="24"/>
          <w:szCs w:val="24"/>
          <w:lang w:val="nb-NO"/>
        </w:rPr>
      </w:pPr>
      <w:r>
        <w:rPr>
          <w:sz w:val="24"/>
          <w:szCs w:val="24"/>
          <w:lang w:val="nb-NO"/>
        </w:rPr>
        <w:t>Det er rapporteret, at samtidig administration af omeprazol øger serumniveauet af tacrolimus.</w:t>
      </w:r>
    </w:p>
    <w:p w:rsidR="00364E0F" w:rsidRDefault="00364E0F" w:rsidP="00364E0F">
      <w:pPr>
        <w:autoSpaceDE w:val="0"/>
        <w:autoSpaceDN w:val="0"/>
        <w:adjustRightInd w:val="0"/>
        <w:ind w:left="851"/>
        <w:rPr>
          <w:sz w:val="24"/>
          <w:szCs w:val="24"/>
          <w:lang w:val="nb-NO"/>
        </w:rPr>
      </w:pPr>
      <w:r>
        <w:rPr>
          <w:sz w:val="24"/>
          <w:szCs w:val="24"/>
          <w:lang w:val="nb-NO"/>
        </w:rPr>
        <w:t>Koncentrationen af tacrolimus samt nyrefunktionen (kreatininclearance) bør monitoreres, og tacrolimusdosis justeres om nødvendigt.</w:t>
      </w:r>
    </w:p>
    <w:p w:rsidR="00364E0F" w:rsidRDefault="00364E0F" w:rsidP="00364E0F">
      <w:pPr>
        <w:autoSpaceDE w:val="0"/>
        <w:autoSpaceDN w:val="0"/>
        <w:adjustRightInd w:val="0"/>
        <w:ind w:left="851"/>
        <w:rPr>
          <w:sz w:val="24"/>
          <w:szCs w:val="24"/>
          <w:lang w:val="nb-NO"/>
        </w:rPr>
      </w:pPr>
    </w:p>
    <w:p w:rsidR="00364E0F" w:rsidRDefault="00364E0F" w:rsidP="00364E0F">
      <w:pPr>
        <w:autoSpaceDE w:val="0"/>
        <w:autoSpaceDN w:val="0"/>
        <w:adjustRightInd w:val="0"/>
        <w:ind w:left="851"/>
        <w:rPr>
          <w:rFonts w:ascii="TimesNewRoman" w:hAnsi="TimesNewRoman" w:cs="TimesNewRoman"/>
          <w:i/>
          <w:sz w:val="24"/>
          <w:szCs w:val="24"/>
          <w:lang w:val="nb-NO"/>
        </w:rPr>
      </w:pPr>
      <w:r>
        <w:rPr>
          <w:rFonts w:ascii="TimesNewRoman" w:hAnsi="TimesNewRoman" w:cs="TimesNewRoman"/>
          <w:i/>
          <w:sz w:val="24"/>
          <w:szCs w:val="24"/>
          <w:lang w:val="nb-NO"/>
        </w:rPr>
        <w:t>Methotrexat</w:t>
      </w:r>
    </w:p>
    <w:p w:rsidR="00364E0F" w:rsidRDefault="00364E0F" w:rsidP="00364E0F">
      <w:pPr>
        <w:pStyle w:val="Listeafsnit"/>
        <w:widowControl w:val="0"/>
        <w:autoSpaceDE w:val="0"/>
        <w:autoSpaceDN w:val="0"/>
        <w:adjustRightInd w:val="0"/>
        <w:ind w:left="851"/>
        <w:rPr>
          <w:color w:val="000000"/>
          <w:sz w:val="24"/>
          <w:szCs w:val="24"/>
        </w:rPr>
      </w:pPr>
      <w:r>
        <w:rPr>
          <w:color w:val="000000"/>
          <w:sz w:val="24"/>
          <w:szCs w:val="24"/>
        </w:rPr>
        <w:t xml:space="preserve">Givet sammen med protonpumpeinhibitorer er </w:t>
      </w:r>
      <w:proofErr w:type="spellStart"/>
      <w:r>
        <w:rPr>
          <w:color w:val="000000"/>
          <w:sz w:val="24"/>
          <w:szCs w:val="24"/>
        </w:rPr>
        <w:t>methotrexat</w:t>
      </w:r>
      <w:proofErr w:type="spellEnd"/>
      <w:r>
        <w:rPr>
          <w:color w:val="000000"/>
          <w:sz w:val="24"/>
          <w:szCs w:val="24"/>
        </w:rPr>
        <w:t xml:space="preserve">-niveauerne rapporteret som stigende hos visse patienter. I tilfælde, hvor der gives høje doser </w:t>
      </w:r>
      <w:proofErr w:type="spellStart"/>
      <w:r>
        <w:rPr>
          <w:color w:val="000000"/>
          <w:sz w:val="24"/>
          <w:szCs w:val="24"/>
        </w:rPr>
        <w:t>methotrexat</w:t>
      </w:r>
      <w:proofErr w:type="spellEnd"/>
      <w:r>
        <w:rPr>
          <w:color w:val="000000"/>
          <w:sz w:val="24"/>
          <w:szCs w:val="24"/>
        </w:rPr>
        <w:t xml:space="preserve">, kan det være nødvendigt at overveje en midlertidig </w:t>
      </w:r>
      <w:proofErr w:type="spellStart"/>
      <w:r>
        <w:rPr>
          <w:color w:val="000000"/>
          <w:sz w:val="24"/>
          <w:szCs w:val="24"/>
        </w:rPr>
        <w:t>seponering</w:t>
      </w:r>
      <w:proofErr w:type="spellEnd"/>
      <w:r>
        <w:rPr>
          <w:color w:val="000000"/>
          <w:sz w:val="24"/>
          <w:szCs w:val="24"/>
        </w:rPr>
        <w:t xml:space="preserve"> af </w:t>
      </w:r>
      <w:proofErr w:type="spellStart"/>
      <w:r>
        <w:rPr>
          <w:color w:val="000000"/>
          <w:sz w:val="24"/>
          <w:szCs w:val="24"/>
        </w:rPr>
        <w:t>omeprazol</w:t>
      </w:r>
      <w:proofErr w:type="spellEnd"/>
      <w:r>
        <w:rPr>
          <w:color w:val="000000"/>
          <w:sz w:val="24"/>
          <w:szCs w:val="24"/>
        </w:rPr>
        <w:t>.</w:t>
      </w:r>
    </w:p>
    <w:p w:rsidR="00364E0F" w:rsidRPr="008F216E" w:rsidRDefault="00364E0F" w:rsidP="00364E0F">
      <w:pPr>
        <w:autoSpaceDE w:val="0"/>
        <w:autoSpaceDN w:val="0"/>
        <w:adjustRightInd w:val="0"/>
        <w:ind w:left="851"/>
        <w:rPr>
          <w:i/>
          <w:sz w:val="24"/>
          <w:szCs w:val="24"/>
        </w:rPr>
      </w:pPr>
    </w:p>
    <w:p w:rsidR="00364E0F" w:rsidRPr="00D975A6" w:rsidRDefault="00364E0F" w:rsidP="00364E0F">
      <w:pPr>
        <w:autoSpaceDE w:val="0"/>
        <w:autoSpaceDN w:val="0"/>
        <w:adjustRightInd w:val="0"/>
        <w:ind w:left="851"/>
        <w:rPr>
          <w:sz w:val="24"/>
          <w:szCs w:val="24"/>
          <w:u w:val="single"/>
          <w:lang w:val="nb-NO"/>
        </w:rPr>
      </w:pPr>
      <w:r w:rsidRPr="00D975A6">
        <w:rPr>
          <w:sz w:val="24"/>
          <w:szCs w:val="24"/>
          <w:u w:val="single"/>
          <w:lang w:val="nb-NO"/>
        </w:rPr>
        <w:t>Andre lægemidlers virkning på omeprazols farmakokinetik</w:t>
      </w:r>
    </w:p>
    <w:p w:rsidR="00364E0F" w:rsidRPr="00D975A6" w:rsidRDefault="00364E0F" w:rsidP="00364E0F">
      <w:pPr>
        <w:autoSpaceDE w:val="0"/>
        <w:autoSpaceDN w:val="0"/>
        <w:adjustRightInd w:val="0"/>
        <w:ind w:left="851"/>
        <w:rPr>
          <w:sz w:val="24"/>
          <w:szCs w:val="24"/>
          <w:u w:val="single"/>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Inhibitorer af CYP2C19 og/eller CYP3A4</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Da omeprazol metaboliseres via CYP2C19 og CYP3A4, kan lægemidler, der hæmmer CYP2C19 eller CYP3A4 (såsom clarithromycin og voriconazol), medføre øgede serumniveauer af omprazol, idet omeprazols metaboliseringshastighed falder. Samtidig behandling med voriconazol resulterede i mere end en fordobling af omeprazoleksponeringen. Eftersom høje doser af omeprazol har været veltolereret, er det typisk ikke nødvendigt at justere omeprazoldosis. Dog bør dosisjustering overvejes</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hos patienter med alvorligt nedsat leverfunktion, og hvis langvarig behandling er indiceret.</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Induktorer af CYP2C19 og/eller CYP3A4</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Lægemidler, der inducerer CYP2C19 eller CYP3A4 eller begge (såsom rifampicin og perikon), kan medføre nedsat serumkoncentration af omeprazol, idet omeprazols metaboliseringshastighed øges.</w:t>
      </w:r>
    </w:p>
    <w:p w:rsidR="00364E0F" w:rsidRPr="00D975A6" w:rsidRDefault="00364E0F" w:rsidP="00364E0F">
      <w:pPr>
        <w:ind w:left="851"/>
        <w:rPr>
          <w:iCs/>
          <w:sz w:val="24"/>
          <w:szCs w:val="24"/>
          <w:lang w:val="nb-NO"/>
        </w:rPr>
      </w:pPr>
    </w:p>
    <w:p w:rsidR="00364E0F" w:rsidRPr="00D975A6" w:rsidRDefault="00FE3ED2" w:rsidP="00364E0F">
      <w:pPr>
        <w:keepNext/>
        <w:numPr>
          <w:ilvl w:val="1"/>
          <w:numId w:val="1"/>
        </w:numPr>
        <w:ind w:left="856" w:hanging="856"/>
        <w:rPr>
          <w:b/>
          <w:sz w:val="24"/>
          <w:szCs w:val="24"/>
        </w:rPr>
      </w:pPr>
      <w:r w:rsidRPr="00FE3ED2">
        <w:rPr>
          <w:b/>
          <w:sz w:val="24"/>
          <w:szCs w:val="24"/>
        </w:rPr>
        <w:t xml:space="preserve">Fertilitet, graviditet </w:t>
      </w:r>
      <w:r w:rsidR="00364E0F" w:rsidRPr="00D975A6">
        <w:rPr>
          <w:b/>
          <w:sz w:val="24"/>
          <w:szCs w:val="24"/>
        </w:rPr>
        <w:t>og amning</w:t>
      </w:r>
    </w:p>
    <w:p w:rsidR="00364E0F" w:rsidRDefault="00364E0F" w:rsidP="00364E0F">
      <w:pPr>
        <w:autoSpaceDE w:val="0"/>
        <w:autoSpaceDN w:val="0"/>
        <w:adjustRightInd w:val="0"/>
        <w:ind w:left="851"/>
        <w:rPr>
          <w:sz w:val="24"/>
          <w:szCs w:val="24"/>
          <w:lang w:val="nb-NO"/>
        </w:rPr>
      </w:pPr>
      <w:r w:rsidRPr="00250E64">
        <w:rPr>
          <w:sz w:val="24"/>
          <w:szCs w:val="24"/>
          <w:u w:val="single"/>
          <w:lang w:val="nb-NO"/>
        </w:rPr>
        <w:t>Graviditet</w:t>
      </w:r>
      <w:r>
        <w:rPr>
          <w:sz w:val="24"/>
          <w:szCs w:val="24"/>
          <w:lang w:val="nb-NO"/>
        </w:rPr>
        <w:t>:</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Resultater fra tre prospektive, epidemiologiske undersøgelser (med resultater fra mere end</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1.000 eksponeringer) viser ingen skadelige virkninger af omeprazol på graviditeten eller på</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fostrets/det nyfødte barns sundhedstilstand.</w:t>
      </w:r>
    </w:p>
    <w:p w:rsidR="00364E0F" w:rsidRPr="00D975A6" w:rsidRDefault="00364E0F" w:rsidP="00364E0F">
      <w:pPr>
        <w:autoSpaceDE w:val="0"/>
        <w:autoSpaceDN w:val="0"/>
        <w:adjustRightInd w:val="0"/>
        <w:ind w:left="851"/>
        <w:rPr>
          <w:sz w:val="24"/>
          <w:szCs w:val="24"/>
          <w:lang w:val="sv-SE"/>
        </w:rPr>
      </w:pPr>
      <w:proofErr w:type="spellStart"/>
      <w:r w:rsidRPr="00D975A6">
        <w:rPr>
          <w:sz w:val="24"/>
          <w:szCs w:val="24"/>
          <w:lang w:val="sv-SE"/>
        </w:rPr>
        <w:t>Omeprazol</w:t>
      </w:r>
      <w:proofErr w:type="spellEnd"/>
      <w:r w:rsidRPr="00D975A6">
        <w:rPr>
          <w:sz w:val="24"/>
          <w:szCs w:val="24"/>
          <w:lang w:val="sv-SE"/>
        </w:rPr>
        <w:t xml:space="preserve"> kan </w:t>
      </w:r>
      <w:proofErr w:type="spellStart"/>
      <w:r w:rsidRPr="00D975A6">
        <w:rPr>
          <w:sz w:val="24"/>
          <w:szCs w:val="24"/>
          <w:lang w:val="sv-SE"/>
        </w:rPr>
        <w:t>anvendes</w:t>
      </w:r>
      <w:proofErr w:type="spellEnd"/>
      <w:r w:rsidRPr="00D975A6">
        <w:rPr>
          <w:sz w:val="24"/>
          <w:szCs w:val="24"/>
          <w:lang w:val="sv-SE"/>
        </w:rPr>
        <w:t xml:space="preserve"> under graviditet.</w:t>
      </w:r>
    </w:p>
    <w:p w:rsidR="00364E0F" w:rsidRDefault="00364E0F" w:rsidP="00364E0F">
      <w:pPr>
        <w:autoSpaceDE w:val="0"/>
        <w:autoSpaceDN w:val="0"/>
        <w:adjustRightInd w:val="0"/>
        <w:rPr>
          <w:sz w:val="24"/>
          <w:szCs w:val="24"/>
          <w:u w:val="single"/>
          <w:lang w:val="nb-NO"/>
        </w:rPr>
      </w:pPr>
    </w:p>
    <w:p w:rsidR="00364E0F" w:rsidRDefault="00364E0F" w:rsidP="00364E0F">
      <w:pPr>
        <w:autoSpaceDE w:val="0"/>
        <w:autoSpaceDN w:val="0"/>
        <w:adjustRightInd w:val="0"/>
        <w:ind w:left="851"/>
        <w:rPr>
          <w:sz w:val="24"/>
          <w:szCs w:val="24"/>
          <w:lang w:val="nb-NO"/>
        </w:rPr>
      </w:pPr>
      <w:r w:rsidRPr="00250E64">
        <w:rPr>
          <w:sz w:val="24"/>
          <w:szCs w:val="24"/>
          <w:u w:val="single"/>
          <w:lang w:val="nb-NO"/>
        </w:rPr>
        <w:t>Amning</w:t>
      </w:r>
      <w:r>
        <w:rPr>
          <w:sz w:val="24"/>
          <w:szCs w:val="24"/>
          <w:lang w:val="nb-NO"/>
        </w:rPr>
        <w:t>:</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lastRenderedPageBreak/>
        <w:t>Omeprazol udskilles i modermælk, men det er ikke sandsynligt, at barnet påvirkes, når der anvendes terapeutiske doser.</w:t>
      </w:r>
    </w:p>
    <w:p w:rsidR="00364E0F" w:rsidRPr="00D975A6" w:rsidRDefault="00364E0F" w:rsidP="00364E0F">
      <w:pPr>
        <w:tabs>
          <w:tab w:val="left" w:pos="851"/>
        </w:tabs>
        <w:rPr>
          <w:sz w:val="24"/>
          <w:szCs w:val="24"/>
        </w:rPr>
      </w:pPr>
    </w:p>
    <w:p w:rsidR="00364E0F" w:rsidRPr="00D975A6" w:rsidRDefault="00364E0F" w:rsidP="00364E0F">
      <w:pPr>
        <w:numPr>
          <w:ilvl w:val="1"/>
          <w:numId w:val="1"/>
        </w:numPr>
        <w:rPr>
          <w:b/>
          <w:sz w:val="24"/>
          <w:szCs w:val="24"/>
        </w:rPr>
      </w:pPr>
      <w:r w:rsidRPr="00D975A6">
        <w:rPr>
          <w:b/>
          <w:sz w:val="24"/>
          <w:szCs w:val="24"/>
        </w:rPr>
        <w:t xml:space="preserve">Virkning på evnen til at føre motorkøretøj </w:t>
      </w:r>
      <w:r w:rsidR="00FE3ED2">
        <w:rPr>
          <w:b/>
          <w:sz w:val="24"/>
          <w:szCs w:val="24"/>
        </w:rPr>
        <w:t>og</w:t>
      </w:r>
      <w:r w:rsidRPr="00D975A6">
        <w:rPr>
          <w:b/>
          <w:sz w:val="24"/>
          <w:szCs w:val="24"/>
        </w:rPr>
        <w:t xml:space="preserve"> betjene maskiner</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Ikke mærkning.</w:t>
      </w:r>
    </w:p>
    <w:p w:rsidR="00364E0F" w:rsidRPr="00D975A6" w:rsidRDefault="002C64F4" w:rsidP="00364E0F">
      <w:pPr>
        <w:autoSpaceDE w:val="0"/>
        <w:autoSpaceDN w:val="0"/>
        <w:adjustRightInd w:val="0"/>
        <w:ind w:left="851"/>
        <w:rPr>
          <w:sz w:val="24"/>
          <w:szCs w:val="24"/>
          <w:lang w:val="nb-NO"/>
        </w:rPr>
      </w:pPr>
      <w:r>
        <w:rPr>
          <w:sz w:val="24"/>
          <w:szCs w:val="24"/>
          <w:lang w:val="nb-NO"/>
        </w:rPr>
        <w:t>Ulcozol</w:t>
      </w:r>
      <w:r w:rsidR="00364E0F" w:rsidRPr="00D975A6">
        <w:rPr>
          <w:sz w:val="24"/>
          <w:szCs w:val="24"/>
          <w:lang w:val="nb-NO"/>
        </w:rPr>
        <w:t xml:space="preserve"> påvirker ikke evnen til at føre motorkøretøj </w:t>
      </w:r>
      <w:r w:rsidR="00364E0F">
        <w:rPr>
          <w:sz w:val="24"/>
          <w:szCs w:val="24"/>
          <w:lang w:val="nb-NO"/>
        </w:rPr>
        <w:t>og</w:t>
      </w:r>
      <w:r w:rsidR="00364E0F" w:rsidRPr="00D975A6">
        <w:rPr>
          <w:sz w:val="24"/>
          <w:szCs w:val="24"/>
          <w:lang w:val="nb-NO"/>
        </w:rPr>
        <w:t xml:space="preserve"> betjene maskiner. Der kan forekomme bivirkninger som f.eks. svimmelhed og synsforstyrrelser (se pkt. 4.8). Patienter, der påvirkes af disse, må ikke føre motorkøretøj eller betjene maskiner.</w:t>
      </w:r>
    </w:p>
    <w:p w:rsidR="00364E0F" w:rsidRPr="00D975A6" w:rsidRDefault="00364E0F" w:rsidP="00364E0F">
      <w:pPr>
        <w:tabs>
          <w:tab w:val="left" w:pos="851"/>
        </w:tabs>
        <w:ind w:left="851"/>
        <w:rPr>
          <w:sz w:val="24"/>
          <w:szCs w:val="24"/>
        </w:rPr>
      </w:pPr>
    </w:p>
    <w:p w:rsidR="00364E0F" w:rsidRPr="00D975A6" w:rsidRDefault="00364E0F" w:rsidP="00364E0F">
      <w:pPr>
        <w:numPr>
          <w:ilvl w:val="1"/>
          <w:numId w:val="1"/>
        </w:numPr>
        <w:rPr>
          <w:b/>
          <w:sz w:val="24"/>
          <w:szCs w:val="24"/>
        </w:rPr>
      </w:pPr>
      <w:r w:rsidRPr="00D975A6">
        <w:rPr>
          <w:b/>
          <w:sz w:val="24"/>
          <w:szCs w:val="24"/>
        </w:rPr>
        <w:t>Bivirkninger</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De almindeligst forekommende bivirkninger (ses hos 1-10 % af patienterne) er hovedpine,</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abdominalsmerte, obstipation, diarré, flatulens og kvalme/opkastning.</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Følgende bivirkninger er påvist eller anset som mulige i omeprazols kliniske forsøgsprogram og postmarketing. Ingen var dosisafhængige. </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Bivirkningerne er nedenfor anført efter frekvens og organklasse.</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Frekvenskategorierne er defineret som følger: Meget almindelig (≥1/10), Almindelig (≥1/100 til &lt;1/10), Ikke almindelig (≥1/1.000 til &lt;1/100), Sjælden (≥1/10.000 til &lt;1/1.000), Meget sjælden (&lt;1/10.000), Ikke kendt (kan ikke estimeres ud fra forhåndenværende data) </w:t>
      </w:r>
    </w:p>
    <w:p w:rsidR="00364E0F" w:rsidRPr="00D975A6" w:rsidRDefault="00364E0F" w:rsidP="00364E0F">
      <w:pPr>
        <w:ind w:left="851"/>
        <w:rPr>
          <w:sz w:val="24"/>
          <w:szCs w:val="24"/>
          <w:lang w:val="nb-NO"/>
        </w:rPr>
      </w:pPr>
    </w:p>
    <w:tbl>
      <w:tblPr>
        <w:tblpPr w:leftFromText="141" w:rightFromText="141" w:vertAnchor="text" w:horzAnchor="page" w:tblpX="1828"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33"/>
      </w:tblGrid>
      <w:tr w:rsidR="00364E0F" w:rsidRPr="00D975A6" w:rsidTr="002C64F4">
        <w:tc>
          <w:tcPr>
            <w:tcW w:w="2448" w:type="dxa"/>
            <w:tcBorders>
              <w:top w:val="single" w:sz="4" w:space="0" w:color="auto"/>
              <w:left w:val="single" w:sz="4" w:space="0" w:color="auto"/>
              <w:bottom w:val="single" w:sz="4" w:space="0" w:color="auto"/>
              <w:right w:val="single" w:sz="4" w:space="0" w:color="auto"/>
            </w:tcBorders>
          </w:tcPr>
          <w:p w:rsidR="00364E0F" w:rsidRPr="00D975A6" w:rsidRDefault="00364E0F" w:rsidP="002C64F4">
            <w:pPr>
              <w:autoSpaceDE w:val="0"/>
              <w:autoSpaceDN w:val="0"/>
              <w:adjustRightInd w:val="0"/>
              <w:rPr>
                <w:b/>
                <w:bCs/>
                <w:sz w:val="24"/>
                <w:szCs w:val="24"/>
                <w:lang w:val="nb-NO"/>
              </w:rPr>
            </w:pPr>
            <w:r w:rsidRPr="00D975A6">
              <w:rPr>
                <w:b/>
                <w:bCs/>
                <w:sz w:val="24"/>
                <w:szCs w:val="24"/>
                <w:lang w:val="nb-NO"/>
              </w:rPr>
              <w:t>Organklasse/frekvens</w:t>
            </w:r>
          </w:p>
          <w:p w:rsidR="00364E0F" w:rsidRPr="00D975A6" w:rsidRDefault="00364E0F" w:rsidP="002C64F4">
            <w:pPr>
              <w:rPr>
                <w:sz w:val="24"/>
                <w:szCs w:val="24"/>
                <w:lang w:val="en-US"/>
              </w:rPr>
            </w:pPr>
          </w:p>
        </w:tc>
        <w:tc>
          <w:tcPr>
            <w:tcW w:w="6833" w:type="dxa"/>
            <w:tcBorders>
              <w:top w:val="single" w:sz="4" w:space="0" w:color="auto"/>
              <w:left w:val="single" w:sz="4" w:space="0" w:color="auto"/>
              <w:bottom w:val="single" w:sz="4" w:space="0" w:color="auto"/>
              <w:right w:val="single" w:sz="4" w:space="0" w:color="auto"/>
            </w:tcBorders>
          </w:tcPr>
          <w:p w:rsidR="00364E0F" w:rsidRPr="00D975A6" w:rsidRDefault="00364E0F" w:rsidP="002C64F4">
            <w:pPr>
              <w:autoSpaceDE w:val="0"/>
              <w:autoSpaceDN w:val="0"/>
              <w:adjustRightInd w:val="0"/>
              <w:rPr>
                <w:b/>
                <w:bCs/>
                <w:sz w:val="24"/>
                <w:szCs w:val="24"/>
                <w:lang w:val="nb-NO"/>
              </w:rPr>
            </w:pPr>
            <w:r w:rsidRPr="00D975A6">
              <w:rPr>
                <w:b/>
                <w:bCs/>
                <w:sz w:val="24"/>
                <w:szCs w:val="24"/>
                <w:lang w:val="nb-NO"/>
              </w:rPr>
              <w:t>Bivirkning</w:t>
            </w:r>
          </w:p>
          <w:p w:rsidR="00364E0F" w:rsidRPr="00D975A6" w:rsidRDefault="00364E0F" w:rsidP="002C64F4">
            <w:pPr>
              <w:rPr>
                <w:sz w:val="24"/>
                <w:szCs w:val="24"/>
                <w:lang w:val="en-US"/>
              </w:rPr>
            </w:pPr>
          </w:p>
        </w:tc>
      </w:tr>
      <w:tr w:rsidR="00364E0F" w:rsidRPr="00D975A6" w:rsidTr="002C64F4">
        <w:tc>
          <w:tcPr>
            <w:tcW w:w="0" w:type="auto"/>
            <w:gridSpan w:val="2"/>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rPr>
                <w:b/>
                <w:bCs/>
                <w:sz w:val="24"/>
                <w:szCs w:val="24"/>
                <w:lang w:val="nb-NO"/>
              </w:rPr>
            </w:pPr>
            <w:r w:rsidRPr="00D975A6">
              <w:rPr>
                <w:b/>
                <w:bCs/>
                <w:sz w:val="24"/>
                <w:szCs w:val="24"/>
                <w:lang w:val="nb-NO"/>
              </w:rPr>
              <w:t>Blod og lymfesystem</w:t>
            </w:r>
          </w:p>
        </w:tc>
      </w:tr>
      <w:tr w:rsidR="00364E0F" w:rsidRPr="00D975A6" w:rsidTr="002C64F4">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proofErr w:type="spellStart"/>
            <w:r w:rsidRPr="00D975A6">
              <w:rPr>
                <w:sz w:val="24"/>
                <w:szCs w:val="24"/>
                <w:lang w:val="en-US"/>
              </w:rPr>
              <w:t>Sjælden</w:t>
            </w:r>
            <w:proofErr w:type="spellEnd"/>
            <w:r w:rsidRPr="00D975A6">
              <w:rPr>
                <w:sz w:val="24"/>
                <w:szCs w:val="24"/>
                <w:lang w:val="en-US"/>
              </w:rPr>
              <w:t xml:space="preserve">: </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r w:rsidRPr="00D975A6">
              <w:rPr>
                <w:sz w:val="24"/>
                <w:szCs w:val="24"/>
                <w:lang w:val="nb-NO"/>
              </w:rPr>
              <w:t>Leukopeni, trombocytopeni</w:t>
            </w:r>
          </w:p>
        </w:tc>
      </w:tr>
      <w:tr w:rsidR="00364E0F" w:rsidRPr="00D975A6" w:rsidTr="002C64F4">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rPr>
                <w:sz w:val="24"/>
                <w:szCs w:val="24"/>
                <w:lang w:val="en-US"/>
              </w:rPr>
            </w:pPr>
            <w:proofErr w:type="spellStart"/>
            <w:r w:rsidRPr="00D975A6">
              <w:rPr>
                <w:sz w:val="24"/>
                <w:szCs w:val="24"/>
                <w:lang w:val="en-US"/>
              </w:rPr>
              <w:t>Meget</w:t>
            </w:r>
            <w:proofErr w:type="spellEnd"/>
            <w:r w:rsidRPr="00D975A6">
              <w:rPr>
                <w:sz w:val="24"/>
                <w:szCs w:val="24"/>
                <w:lang w:val="en-US"/>
              </w:rPr>
              <w:t xml:space="preserve"> </w:t>
            </w:r>
            <w:proofErr w:type="spellStart"/>
            <w:r w:rsidRPr="00D975A6">
              <w:rPr>
                <w:sz w:val="24"/>
                <w:szCs w:val="24"/>
                <w:lang w:val="en-US"/>
              </w:rPr>
              <w:t>sjælden</w:t>
            </w:r>
            <w:proofErr w:type="spellEnd"/>
            <w:r w:rsidRPr="00D975A6">
              <w:rPr>
                <w:sz w:val="24"/>
                <w:szCs w:val="24"/>
                <w:lang w:val="en-US"/>
              </w:rPr>
              <w:t xml:space="preserve">: </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rPr>
                <w:sz w:val="24"/>
                <w:szCs w:val="24"/>
                <w:lang w:val="nb-NO"/>
              </w:rPr>
            </w:pPr>
            <w:r w:rsidRPr="00D975A6">
              <w:rPr>
                <w:sz w:val="24"/>
                <w:szCs w:val="24"/>
                <w:lang w:val="nb-NO"/>
              </w:rPr>
              <w:t>Agranulocytose, pancytopeni</w:t>
            </w:r>
          </w:p>
        </w:tc>
      </w:tr>
      <w:tr w:rsidR="00364E0F" w:rsidRPr="00D975A6" w:rsidTr="002C64F4">
        <w:tc>
          <w:tcPr>
            <w:tcW w:w="0" w:type="auto"/>
            <w:gridSpan w:val="2"/>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rPr>
                <w:b/>
                <w:bCs/>
                <w:sz w:val="24"/>
                <w:szCs w:val="24"/>
                <w:lang w:val="nb-NO"/>
              </w:rPr>
            </w:pPr>
            <w:r w:rsidRPr="00D975A6">
              <w:rPr>
                <w:b/>
                <w:bCs/>
                <w:sz w:val="24"/>
                <w:szCs w:val="24"/>
                <w:lang w:val="nb-NO"/>
              </w:rPr>
              <w:t>Immunsystemet</w:t>
            </w:r>
          </w:p>
        </w:tc>
      </w:tr>
      <w:tr w:rsidR="00364E0F" w:rsidRPr="00D975A6" w:rsidTr="002C64F4">
        <w:trPr>
          <w:trHeight w:val="305"/>
        </w:trPr>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proofErr w:type="spellStart"/>
            <w:r w:rsidRPr="00D975A6">
              <w:rPr>
                <w:sz w:val="24"/>
                <w:szCs w:val="24"/>
                <w:lang w:val="en-US"/>
              </w:rPr>
              <w:t>Sjælden</w:t>
            </w:r>
            <w:proofErr w:type="spellEnd"/>
            <w:r w:rsidRPr="00D975A6">
              <w:rPr>
                <w:sz w:val="24"/>
                <w:szCs w:val="24"/>
                <w:lang w:val="en-US"/>
              </w:rPr>
              <w:t xml:space="preserve">: </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rPr>
                <w:sz w:val="24"/>
                <w:szCs w:val="24"/>
                <w:lang w:val="nb-NO"/>
              </w:rPr>
            </w:pPr>
            <w:r w:rsidRPr="00D975A6">
              <w:rPr>
                <w:sz w:val="24"/>
                <w:szCs w:val="24"/>
                <w:lang w:val="nb-NO"/>
              </w:rPr>
              <w:t>Overfølsomhedsreaktioner f.eks. feber, angioødem og anafylaktisk</w:t>
            </w:r>
          </w:p>
          <w:p w:rsidR="00364E0F" w:rsidRPr="00D975A6" w:rsidRDefault="00364E0F" w:rsidP="002C64F4">
            <w:pPr>
              <w:autoSpaceDE w:val="0"/>
              <w:autoSpaceDN w:val="0"/>
              <w:adjustRightInd w:val="0"/>
              <w:rPr>
                <w:sz w:val="24"/>
                <w:szCs w:val="24"/>
                <w:lang w:val="nb-NO"/>
              </w:rPr>
            </w:pPr>
            <w:r w:rsidRPr="00D975A6">
              <w:rPr>
                <w:sz w:val="24"/>
                <w:szCs w:val="24"/>
                <w:lang w:val="nb-NO"/>
              </w:rPr>
              <w:t>reaktion/shock</w:t>
            </w:r>
          </w:p>
        </w:tc>
      </w:tr>
      <w:tr w:rsidR="00364E0F" w:rsidRPr="00D975A6" w:rsidTr="002C64F4">
        <w:tc>
          <w:tcPr>
            <w:tcW w:w="0" w:type="auto"/>
            <w:gridSpan w:val="2"/>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rPr>
                <w:b/>
                <w:bCs/>
                <w:sz w:val="24"/>
                <w:szCs w:val="24"/>
                <w:lang w:val="nb-NO"/>
              </w:rPr>
            </w:pPr>
            <w:r w:rsidRPr="00D975A6">
              <w:rPr>
                <w:b/>
                <w:bCs/>
                <w:sz w:val="24"/>
                <w:szCs w:val="24"/>
                <w:lang w:val="nb-NO"/>
              </w:rPr>
              <w:t>Metabolisme og ernæring</w:t>
            </w:r>
          </w:p>
        </w:tc>
      </w:tr>
      <w:tr w:rsidR="00364E0F" w:rsidRPr="00D975A6" w:rsidTr="002C64F4">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proofErr w:type="spellStart"/>
            <w:r w:rsidRPr="00D975A6">
              <w:rPr>
                <w:sz w:val="24"/>
                <w:szCs w:val="24"/>
                <w:lang w:val="en-US"/>
              </w:rPr>
              <w:t>Sjælden</w:t>
            </w:r>
            <w:proofErr w:type="spellEnd"/>
            <w:r w:rsidRPr="00D975A6">
              <w:rPr>
                <w:sz w:val="24"/>
                <w:szCs w:val="24"/>
                <w:lang w:val="en-US"/>
              </w:rPr>
              <w:t xml:space="preserve">: </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r w:rsidRPr="00D975A6">
              <w:rPr>
                <w:sz w:val="24"/>
                <w:szCs w:val="24"/>
                <w:lang w:val="nb-NO"/>
              </w:rPr>
              <w:t>Hyponatriæmi</w:t>
            </w:r>
          </w:p>
        </w:tc>
      </w:tr>
      <w:tr w:rsidR="00364E0F" w:rsidRPr="00D975A6" w:rsidTr="002C64F4">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rPr>
                <w:sz w:val="24"/>
                <w:szCs w:val="24"/>
                <w:lang w:val="en-US"/>
              </w:rPr>
            </w:pPr>
            <w:proofErr w:type="spellStart"/>
            <w:r w:rsidRPr="00D975A6">
              <w:rPr>
                <w:sz w:val="24"/>
                <w:szCs w:val="24"/>
                <w:lang w:val="en-US"/>
              </w:rPr>
              <w:t>Ikke</w:t>
            </w:r>
            <w:proofErr w:type="spellEnd"/>
            <w:r w:rsidRPr="00D975A6">
              <w:rPr>
                <w:sz w:val="24"/>
                <w:szCs w:val="24"/>
                <w:lang w:val="en-US"/>
              </w:rPr>
              <w:t xml:space="preserve"> </w:t>
            </w:r>
            <w:proofErr w:type="spellStart"/>
            <w:proofErr w:type="gramStart"/>
            <w:r w:rsidRPr="00D975A6">
              <w:rPr>
                <w:sz w:val="24"/>
                <w:szCs w:val="24"/>
                <w:lang w:val="en-US"/>
              </w:rPr>
              <w:t>kendt</w:t>
            </w:r>
            <w:proofErr w:type="spellEnd"/>
            <w:r w:rsidRPr="00D975A6">
              <w:rPr>
                <w:sz w:val="24"/>
                <w:szCs w:val="24"/>
                <w:lang w:val="nb-NO"/>
              </w:rPr>
              <w:t xml:space="preserve"> :</w:t>
            </w:r>
            <w:proofErr w:type="gramEnd"/>
          </w:p>
        </w:tc>
        <w:tc>
          <w:tcPr>
            <w:tcW w:w="6833" w:type="dxa"/>
            <w:tcBorders>
              <w:top w:val="single" w:sz="4" w:space="0" w:color="auto"/>
              <w:left w:val="single" w:sz="4" w:space="0" w:color="auto"/>
              <w:bottom w:val="single" w:sz="4" w:space="0" w:color="auto"/>
              <w:right w:val="single" w:sz="4" w:space="0" w:color="auto"/>
            </w:tcBorders>
            <w:hideMark/>
          </w:tcPr>
          <w:p w:rsidR="00364E0F" w:rsidRPr="00250E64" w:rsidRDefault="00364E0F" w:rsidP="002C64F4">
            <w:pPr>
              <w:rPr>
                <w:sz w:val="24"/>
                <w:szCs w:val="24"/>
                <w:lang w:val="nb-NO"/>
              </w:rPr>
            </w:pPr>
            <w:r w:rsidRPr="00250E64">
              <w:rPr>
                <w:sz w:val="24"/>
                <w:szCs w:val="24"/>
                <w:lang w:val="nb-NO"/>
              </w:rPr>
              <w:t>Hypomagnesiæmi(se pkt 4.4 Særlige advarsler og forsigtighedsregler vedrørende brugen); svær hypomagnesæmi kan føre til hypocalcæmi.</w:t>
            </w:r>
          </w:p>
          <w:p w:rsidR="00364E0F" w:rsidRPr="00D975A6" w:rsidRDefault="00364E0F" w:rsidP="002C64F4">
            <w:pPr>
              <w:rPr>
                <w:sz w:val="24"/>
                <w:szCs w:val="24"/>
              </w:rPr>
            </w:pPr>
            <w:r w:rsidRPr="00250E64">
              <w:rPr>
                <w:sz w:val="24"/>
                <w:szCs w:val="24"/>
                <w:lang w:val="nb-NO"/>
              </w:rPr>
              <w:t>Hypomagnesæmi kan også associeres med hypokalæmi.</w:t>
            </w:r>
          </w:p>
        </w:tc>
      </w:tr>
      <w:tr w:rsidR="00364E0F" w:rsidRPr="00D975A6" w:rsidTr="002C64F4">
        <w:tc>
          <w:tcPr>
            <w:tcW w:w="0" w:type="auto"/>
            <w:gridSpan w:val="2"/>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rPr>
                <w:b/>
                <w:bCs/>
                <w:sz w:val="24"/>
                <w:szCs w:val="24"/>
                <w:lang w:val="sv-SE"/>
              </w:rPr>
            </w:pPr>
            <w:r w:rsidRPr="00D975A6">
              <w:rPr>
                <w:b/>
                <w:bCs/>
                <w:sz w:val="24"/>
                <w:szCs w:val="24"/>
                <w:lang w:val="sv-SE"/>
              </w:rPr>
              <w:t xml:space="preserve">Psykiske </w:t>
            </w:r>
            <w:proofErr w:type="spellStart"/>
            <w:r w:rsidRPr="00D975A6">
              <w:rPr>
                <w:b/>
                <w:bCs/>
                <w:sz w:val="24"/>
                <w:szCs w:val="24"/>
                <w:lang w:val="sv-SE"/>
              </w:rPr>
              <w:t>forstyrrelser</w:t>
            </w:r>
            <w:proofErr w:type="spellEnd"/>
          </w:p>
        </w:tc>
      </w:tr>
      <w:tr w:rsidR="00364E0F" w:rsidRPr="00D975A6" w:rsidTr="002C64F4">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r w:rsidRPr="00D975A6">
              <w:rPr>
                <w:sz w:val="24"/>
                <w:szCs w:val="24"/>
                <w:lang w:val="nb-NO"/>
              </w:rPr>
              <w:t>Ikke almindelig:</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proofErr w:type="spellStart"/>
            <w:r w:rsidRPr="00D975A6">
              <w:rPr>
                <w:sz w:val="24"/>
                <w:szCs w:val="24"/>
                <w:lang w:val="en-US"/>
              </w:rPr>
              <w:t>Insomni</w:t>
            </w:r>
            <w:proofErr w:type="spellEnd"/>
          </w:p>
        </w:tc>
      </w:tr>
      <w:tr w:rsidR="00364E0F" w:rsidRPr="00D975A6" w:rsidTr="002C64F4">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proofErr w:type="spellStart"/>
            <w:r w:rsidRPr="00D975A6">
              <w:rPr>
                <w:sz w:val="24"/>
                <w:szCs w:val="24"/>
                <w:lang w:val="en-US"/>
              </w:rPr>
              <w:t>Sjælden</w:t>
            </w:r>
            <w:proofErr w:type="spellEnd"/>
            <w:r w:rsidRPr="00D975A6">
              <w:rPr>
                <w:sz w:val="24"/>
                <w:szCs w:val="24"/>
                <w:lang w:val="en-US"/>
              </w:rPr>
              <w:t xml:space="preserve">: </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r w:rsidRPr="00D975A6">
              <w:rPr>
                <w:sz w:val="24"/>
                <w:szCs w:val="24"/>
                <w:lang w:val="sv-SE"/>
              </w:rPr>
              <w:t>Agitation, konfusion, depression</w:t>
            </w:r>
          </w:p>
        </w:tc>
      </w:tr>
      <w:tr w:rsidR="00364E0F" w:rsidRPr="00D975A6" w:rsidTr="002C64F4">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proofErr w:type="spellStart"/>
            <w:r w:rsidRPr="00D975A6">
              <w:rPr>
                <w:sz w:val="24"/>
                <w:szCs w:val="24"/>
                <w:lang w:val="sv-SE"/>
              </w:rPr>
              <w:t>Meget</w:t>
            </w:r>
            <w:proofErr w:type="spellEnd"/>
            <w:r w:rsidRPr="00D975A6">
              <w:rPr>
                <w:sz w:val="24"/>
                <w:szCs w:val="24"/>
                <w:lang w:val="sv-SE"/>
              </w:rPr>
              <w:t xml:space="preserve"> </w:t>
            </w:r>
            <w:proofErr w:type="spellStart"/>
            <w:r w:rsidRPr="00D975A6">
              <w:rPr>
                <w:sz w:val="24"/>
                <w:szCs w:val="24"/>
                <w:lang w:val="sv-SE"/>
              </w:rPr>
              <w:t>sjælden</w:t>
            </w:r>
            <w:proofErr w:type="spellEnd"/>
            <w:r w:rsidRPr="00D975A6">
              <w:rPr>
                <w:sz w:val="24"/>
                <w:szCs w:val="24"/>
                <w:lang w:val="sv-SE"/>
              </w:rPr>
              <w:t>:</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rPr>
                <w:sz w:val="24"/>
                <w:szCs w:val="24"/>
                <w:lang w:val="sv-SE"/>
              </w:rPr>
            </w:pPr>
            <w:r w:rsidRPr="00D975A6">
              <w:rPr>
                <w:sz w:val="24"/>
                <w:szCs w:val="24"/>
                <w:lang w:val="sv-SE"/>
              </w:rPr>
              <w:t>Aggression, hallucinationer</w:t>
            </w:r>
          </w:p>
        </w:tc>
      </w:tr>
      <w:tr w:rsidR="00364E0F" w:rsidRPr="00D975A6" w:rsidTr="002C64F4">
        <w:tc>
          <w:tcPr>
            <w:tcW w:w="0" w:type="auto"/>
            <w:gridSpan w:val="2"/>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rPr>
                <w:b/>
                <w:bCs/>
                <w:sz w:val="24"/>
                <w:szCs w:val="24"/>
                <w:lang w:val="nb-NO"/>
              </w:rPr>
            </w:pPr>
            <w:r w:rsidRPr="00D975A6">
              <w:rPr>
                <w:b/>
                <w:bCs/>
                <w:sz w:val="24"/>
                <w:szCs w:val="24"/>
                <w:lang w:val="nb-NO"/>
              </w:rPr>
              <w:t>Nervesystemet</w:t>
            </w:r>
          </w:p>
        </w:tc>
      </w:tr>
      <w:tr w:rsidR="00364E0F" w:rsidRPr="00D975A6" w:rsidTr="002C64F4">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r w:rsidRPr="00D975A6">
              <w:rPr>
                <w:sz w:val="24"/>
                <w:szCs w:val="24"/>
                <w:lang w:val="nb-NO"/>
              </w:rPr>
              <w:t>Almindelig:</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rPr>
                <w:sz w:val="24"/>
                <w:szCs w:val="24"/>
                <w:lang w:val="nb-NO"/>
              </w:rPr>
            </w:pPr>
            <w:r w:rsidRPr="00D975A6">
              <w:rPr>
                <w:sz w:val="24"/>
                <w:szCs w:val="24"/>
                <w:lang w:val="nb-NO"/>
              </w:rPr>
              <w:t>Hovedpine</w:t>
            </w:r>
          </w:p>
        </w:tc>
      </w:tr>
      <w:tr w:rsidR="00364E0F" w:rsidRPr="00D975A6" w:rsidTr="002C64F4">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r w:rsidRPr="00D975A6">
              <w:rPr>
                <w:sz w:val="24"/>
                <w:szCs w:val="24"/>
                <w:lang w:val="nb-NO"/>
              </w:rPr>
              <w:t>Ikke almindelig:</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rPr>
                <w:sz w:val="24"/>
                <w:szCs w:val="24"/>
                <w:lang w:val="nb-NO"/>
              </w:rPr>
            </w:pPr>
            <w:r w:rsidRPr="00D975A6">
              <w:rPr>
                <w:sz w:val="24"/>
                <w:szCs w:val="24"/>
                <w:lang w:val="nb-NO"/>
              </w:rPr>
              <w:t>Svimmelhed, paræstesi, døsighed</w:t>
            </w:r>
          </w:p>
        </w:tc>
      </w:tr>
      <w:tr w:rsidR="00364E0F" w:rsidRPr="00D975A6" w:rsidTr="002C64F4">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proofErr w:type="spellStart"/>
            <w:r w:rsidRPr="00D975A6">
              <w:rPr>
                <w:sz w:val="24"/>
                <w:szCs w:val="24"/>
                <w:lang w:val="en-US"/>
              </w:rPr>
              <w:t>Sjælden</w:t>
            </w:r>
            <w:proofErr w:type="spellEnd"/>
            <w:r w:rsidRPr="00D975A6">
              <w:rPr>
                <w:sz w:val="24"/>
                <w:szCs w:val="24"/>
                <w:lang w:val="en-US"/>
              </w:rPr>
              <w:t xml:space="preserve">: </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rPr>
                <w:sz w:val="24"/>
                <w:szCs w:val="24"/>
                <w:lang w:val="nb-NO"/>
              </w:rPr>
            </w:pPr>
            <w:r w:rsidRPr="00D975A6">
              <w:rPr>
                <w:sz w:val="24"/>
                <w:szCs w:val="24"/>
                <w:lang w:val="nb-NO"/>
              </w:rPr>
              <w:t>Smagsforstyrrelser</w:t>
            </w:r>
          </w:p>
        </w:tc>
      </w:tr>
      <w:tr w:rsidR="00364E0F" w:rsidRPr="00D975A6" w:rsidTr="002C64F4">
        <w:tc>
          <w:tcPr>
            <w:tcW w:w="0" w:type="auto"/>
            <w:gridSpan w:val="2"/>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rPr>
                <w:b/>
                <w:bCs/>
                <w:sz w:val="24"/>
                <w:szCs w:val="24"/>
                <w:lang w:val="nb-NO"/>
              </w:rPr>
            </w:pPr>
            <w:r w:rsidRPr="00D975A6">
              <w:rPr>
                <w:b/>
                <w:bCs/>
                <w:sz w:val="24"/>
                <w:szCs w:val="24"/>
                <w:lang w:val="nb-NO"/>
              </w:rPr>
              <w:t>Øjne</w:t>
            </w:r>
          </w:p>
        </w:tc>
      </w:tr>
      <w:tr w:rsidR="00364E0F" w:rsidRPr="00D975A6" w:rsidTr="002C64F4">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proofErr w:type="spellStart"/>
            <w:r w:rsidRPr="00D975A6">
              <w:rPr>
                <w:sz w:val="24"/>
                <w:szCs w:val="24"/>
                <w:lang w:val="en-US"/>
              </w:rPr>
              <w:t>Sjælden</w:t>
            </w:r>
            <w:proofErr w:type="spellEnd"/>
            <w:r w:rsidRPr="00D975A6">
              <w:rPr>
                <w:sz w:val="24"/>
                <w:szCs w:val="24"/>
                <w:lang w:val="en-US"/>
              </w:rPr>
              <w:t xml:space="preserve">: </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r w:rsidRPr="00D975A6">
              <w:rPr>
                <w:sz w:val="24"/>
                <w:szCs w:val="24"/>
                <w:lang w:val="nb-NO"/>
              </w:rPr>
              <w:t>Uklart syn</w:t>
            </w:r>
          </w:p>
        </w:tc>
      </w:tr>
      <w:tr w:rsidR="00364E0F" w:rsidRPr="00D975A6" w:rsidTr="002C64F4">
        <w:tc>
          <w:tcPr>
            <w:tcW w:w="0" w:type="auto"/>
            <w:gridSpan w:val="2"/>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rPr>
                <w:b/>
                <w:bCs/>
                <w:sz w:val="24"/>
                <w:szCs w:val="24"/>
                <w:lang w:val="nb-NO"/>
              </w:rPr>
            </w:pPr>
            <w:r w:rsidRPr="00D975A6">
              <w:rPr>
                <w:b/>
                <w:bCs/>
                <w:sz w:val="24"/>
                <w:szCs w:val="24"/>
                <w:lang w:val="nb-NO"/>
              </w:rPr>
              <w:t>Øre og labyrint</w:t>
            </w:r>
          </w:p>
        </w:tc>
      </w:tr>
      <w:tr w:rsidR="00364E0F" w:rsidRPr="00D975A6" w:rsidTr="002C64F4">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rPr>
                <w:sz w:val="24"/>
                <w:szCs w:val="24"/>
                <w:lang w:val="nb-NO"/>
              </w:rPr>
            </w:pPr>
            <w:r w:rsidRPr="00D975A6">
              <w:rPr>
                <w:sz w:val="24"/>
                <w:szCs w:val="24"/>
                <w:lang w:val="nb-NO"/>
              </w:rPr>
              <w:t xml:space="preserve">Ikke almindelig: </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r w:rsidRPr="00D975A6">
              <w:rPr>
                <w:sz w:val="24"/>
                <w:szCs w:val="24"/>
                <w:lang w:val="nb-NO"/>
              </w:rPr>
              <w:t>Vertigo</w:t>
            </w:r>
          </w:p>
        </w:tc>
      </w:tr>
      <w:tr w:rsidR="00364E0F" w:rsidRPr="00D975A6" w:rsidTr="002C64F4">
        <w:tc>
          <w:tcPr>
            <w:tcW w:w="0" w:type="auto"/>
            <w:gridSpan w:val="2"/>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rPr>
                <w:b/>
                <w:bCs/>
                <w:sz w:val="24"/>
                <w:szCs w:val="24"/>
                <w:lang w:val="nb-NO"/>
              </w:rPr>
            </w:pPr>
            <w:r w:rsidRPr="00D975A6">
              <w:rPr>
                <w:b/>
                <w:bCs/>
                <w:sz w:val="24"/>
                <w:szCs w:val="24"/>
                <w:lang w:val="nb-NO"/>
              </w:rPr>
              <w:t>Luftveje, thorax og mediastinum</w:t>
            </w:r>
          </w:p>
        </w:tc>
      </w:tr>
      <w:tr w:rsidR="00364E0F" w:rsidRPr="00D975A6" w:rsidTr="002C64F4">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proofErr w:type="spellStart"/>
            <w:r w:rsidRPr="00D975A6">
              <w:rPr>
                <w:sz w:val="24"/>
                <w:szCs w:val="24"/>
                <w:lang w:val="en-US"/>
              </w:rPr>
              <w:t>Sjælden</w:t>
            </w:r>
            <w:proofErr w:type="spellEnd"/>
            <w:r w:rsidRPr="00D975A6">
              <w:rPr>
                <w:sz w:val="24"/>
                <w:szCs w:val="24"/>
                <w:lang w:val="en-US"/>
              </w:rPr>
              <w:t xml:space="preserve">: </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r w:rsidRPr="00D975A6">
              <w:rPr>
                <w:sz w:val="24"/>
                <w:szCs w:val="24"/>
                <w:lang w:val="nb-NO"/>
              </w:rPr>
              <w:t>Bronkospasme</w:t>
            </w:r>
          </w:p>
        </w:tc>
      </w:tr>
      <w:tr w:rsidR="00364E0F" w:rsidRPr="00D975A6" w:rsidTr="002C64F4">
        <w:tc>
          <w:tcPr>
            <w:tcW w:w="0" w:type="auto"/>
            <w:gridSpan w:val="2"/>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rPr>
                <w:b/>
                <w:bCs/>
                <w:sz w:val="24"/>
                <w:szCs w:val="24"/>
                <w:lang w:val="en-US"/>
              </w:rPr>
            </w:pPr>
            <w:proofErr w:type="spellStart"/>
            <w:r w:rsidRPr="00D975A6">
              <w:rPr>
                <w:b/>
                <w:bCs/>
                <w:sz w:val="24"/>
                <w:szCs w:val="24"/>
                <w:lang w:val="en-US"/>
              </w:rPr>
              <w:t>Mave-tarm-kanalen</w:t>
            </w:r>
            <w:proofErr w:type="spellEnd"/>
          </w:p>
        </w:tc>
      </w:tr>
      <w:tr w:rsidR="00364E0F" w:rsidRPr="00D975A6" w:rsidTr="002C64F4">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proofErr w:type="spellStart"/>
            <w:r w:rsidRPr="00D975A6">
              <w:rPr>
                <w:sz w:val="24"/>
                <w:szCs w:val="24"/>
                <w:lang w:val="en-US"/>
              </w:rPr>
              <w:lastRenderedPageBreak/>
              <w:t>Almindelig</w:t>
            </w:r>
            <w:proofErr w:type="spellEnd"/>
            <w:r w:rsidRPr="00D975A6">
              <w:rPr>
                <w:sz w:val="24"/>
                <w:szCs w:val="24"/>
                <w:lang w:val="en-US"/>
              </w:rPr>
              <w:t>:</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rPr>
                <w:sz w:val="24"/>
                <w:szCs w:val="24"/>
              </w:rPr>
            </w:pPr>
            <w:proofErr w:type="spellStart"/>
            <w:r>
              <w:rPr>
                <w:sz w:val="24"/>
                <w:szCs w:val="24"/>
              </w:rPr>
              <w:t>Abdominalsmerte</w:t>
            </w:r>
            <w:proofErr w:type="spellEnd"/>
            <w:r>
              <w:rPr>
                <w:sz w:val="24"/>
                <w:szCs w:val="24"/>
              </w:rPr>
              <w:t xml:space="preserve">, obstipation, diarré, </w:t>
            </w:r>
            <w:proofErr w:type="spellStart"/>
            <w:r>
              <w:rPr>
                <w:sz w:val="24"/>
                <w:szCs w:val="24"/>
              </w:rPr>
              <w:t>flatulens</w:t>
            </w:r>
            <w:proofErr w:type="spellEnd"/>
            <w:r>
              <w:rPr>
                <w:sz w:val="24"/>
                <w:szCs w:val="24"/>
              </w:rPr>
              <w:t>, kvalme/</w:t>
            </w:r>
            <w:proofErr w:type="gramStart"/>
            <w:r>
              <w:rPr>
                <w:sz w:val="24"/>
                <w:szCs w:val="24"/>
              </w:rPr>
              <w:t xml:space="preserve">opkastning, </w:t>
            </w:r>
            <w:r>
              <w:rPr>
                <w:sz w:val="24"/>
                <w:szCs w:val="24"/>
                <w:lang w:val="sv-SE" w:eastAsia="sv-SE"/>
              </w:rPr>
              <w:t xml:space="preserve"> benigne</w:t>
            </w:r>
            <w:proofErr w:type="gramEnd"/>
            <w:r>
              <w:rPr>
                <w:sz w:val="24"/>
                <w:szCs w:val="24"/>
                <w:lang w:val="sv-SE" w:eastAsia="sv-SE"/>
              </w:rPr>
              <w:t xml:space="preserve"> gastriske </w:t>
            </w:r>
            <w:proofErr w:type="spellStart"/>
            <w:r>
              <w:rPr>
                <w:sz w:val="24"/>
                <w:szCs w:val="24"/>
                <w:lang w:val="sv-SE" w:eastAsia="sv-SE"/>
              </w:rPr>
              <w:t>polypper</w:t>
            </w:r>
            <w:proofErr w:type="spellEnd"/>
            <w:r>
              <w:rPr>
                <w:sz w:val="24"/>
                <w:szCs w:val="24"/>
              </w:rPr>
              <w:t>.</w:t>
            </w:r>
          </w:p>
        </w:tc>
      </w:tr>
      <w:tr w:rsidR="00364E0F" w:rsidRPr="00D975A6" w:rsidTr="002C64F4">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proofErr w:type="spellStart"/>
            <w:r w:rsidRPr="00D975A6">
              <w:rPr>
                <w:sz w:val="24"/>
                <w:szCs w:val="24"/>
                <w:lang w:val="en-US"/>
              </w:rPr>
              <w:t>Sjælden</w:t>
            </w:r>
            <w:proofErr w:type="spellEnd"/>
            <w:r w:rsidRPr="00D975A6">
              <w:rPr>
                <w:sz w:val="24"/>
                <w:szCs w:val="24"/>
                <w:lang w:val="en-US"/>
              </w:rPr>
              <w:t xml:space="preserve">: </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proofErr w:type="spellStart"/>
            <w:r w:rsidRPr="00D975A6">
              <w:rPr>
                <w:sz w:val="24"/>
                <w:szCs w:val="24"/>
                <w:lang w:val="en-US"/>
              </w:rPr>
              <w:t>Mundtørhed</w:t>
            </w:r>
            <w:proofErr w:type="spellEnd"/>
            <w:r w:rsidRPr="00D975A6">
              <w:rPr>
                <w:sz w:val="24"/>
                <w:szCs w:val="24"/>
                <w:lang w:val="en-US"/>
              </w:rPr>
              <w:t>, stomatitis, gastrointestinal candidiasis</w:t>
            </w:r>
          </w:p>
        </w:tc>
      </w:tr>
      <w:tr w:rsidR="00364E0F" w:rsidTr="002C64F4">
        <w:tc>
          <w:tcPr>
            <w:tcW w:w="2448" w:type="dxa"/>
            <w:tcBorders>
              <w:top w:val="single" w:sz="4" w:space="0" w:color="auto"/>
              <w:left w:val="single" w:sz="4" w:space="0" w:color="auto"/>
              <w:bottom w:val="single" w:sz="4" w:space="0" w:color="auto"/>
              <w:right w:val="single" w:sz="4" w:space="0" w:color="auto"/>
            </w:tcBorders>
            <w:hideMark/>
          </w:tcPr>
          <w:p w:rsidR="00364E0F" w:rsidRDefault="00364E0F" w:rsidP="002C64F4">
            <w:pPr>
              <w:rPr>
                <w:sz w:val="24"/>
                <w:szCs w:val="24"/>
                <w:lang w:val="en-US"/>
              </w:rPr>
            </w:pPr>
            <w:proofErr w:type="spellStart"/>
            <w:r>
              <w:rPr>
                <w:sz w:val="24"/>
                <w:szCs w:val="24"/>
                <w:lang w:val="en-US"/>
              </w:rPr>
              <w:t>Ikke</w:t>
            </w:r>
            <w:proofErr w:type="spellEnd"/>
            <w:r>
              <w:rPr>
                <w:sz w:val="24"/>
                <w:szCs w:val="24"/>
                <w:lang w:val="en-US"/>
              </w:rPr>
              <w:t xml:space="preserve"> </w:t>
            </w:r>
            <w:proofErr w:type="spellStart"/>
            <w:r>
              <w:rPr>
                <w:sz w:val="24"/>
                <w:szCs w:val="24"/>
                <w:lang w:val="en-US"/>
              </w:rPr>
              <w:t>kendt</w:t>
            </w:r>
            <w:proofErr w:type="spellEnd"/>
            <w:r>
              <w:rPr>
                <w:sz w:val="24"/>
                <w:szCs w:val="24"/>
                <w:lang w:val="en-US"/>
              </w:rPr>
              <w:t>:</w:t>
            </w:r>
          </w:p>
        </w:tc>
        <w:tc>
          <w:tcPr>
            <w:tcW w:w="6833" w:type="dxa"/>
            <w:tcBorders>
              <w:top w:val="single" w:sz="4" w:space="0" w:color="auto"/>
              <w:left w:val="single" w:sz="4" w:space="0" w:color="auto"/>
              <w:bottom w:val="single" w:sz="4" w:space="0" w:color="auto"/>
              <w:right w:val="single" w:sz="4" w:space="0" w:color="auto"/>
            </w:tcBorders>
            <w:hideMark/>
          </w:tcPr>
          <w:p w:rsidR="00364E0F" w:rsidRDefault="00364E0F" w:rsidP="002C64F4">
            <w:pPr>
              <w:rPr>
                <w:sz w:val="24"/>
                <w:szCs w:val="24"/>
                <w:lang w:val="en-US"/>
              </w:rPr>
            </w:pPr>
            <w:r>
              <w:rPr>
                <w:sz w:val="24"/>
                <w:szCs w:val="24"/>
                <w:lang w:val="en-US"/>
              </w:rPr>
              <w:t>M</w:t>
            </w:r>
            <w:proofErr w:type="spellStart"/>
            <w:r>
              <w:rPr>
                <w:szCs w:val="24"/>
              </w:rPr>
              <w:t>ikroskopisk</w:t>
            </w:r>
            <w:proofErr w:type="spellEnd"/>
            <w:r>
              <w:rPr>
                <w:szCs w:val="24"/>
              </w:rPr>
              <w:t xml:space="preserve"> colitis</w:t>
            </w:r>
          </w:p>
        </w:tc>
      </w:tr>
      <w:tr w:rsidR="00364E0F" w:rsidRPr="00D975A6" w:rsidTr="002C64F4">
        <w:tc>
          <w:tcPr>
            <w:tcW w:w="2448" w:type="dxa"/>
            <w:tcBorders>
              <w:top w:val="single" w:sz="4" w:space="0" w:color="auto"/>
              <w:left w:val="single" w:sz="4" w:space="0" w:color="auto"/>
              <w:bottom w:val="single" w:sz="4" w:space="0" w:color="auto"/>
              <w:right w:val="single" w:sz="4" w:space="0" w:color="auto"/>
            </w:tcBorders>
          </w:tcPr>
          <w:p w:rsidR="00364E0F" w:rsidRPr="00D975A6" w:rsidRDefault="00364E0F" w:rsidP="002C64F4">
            <w:pPr>
              <w:rPr>
                <w:sz w:val="24"/>
                <w:szCs w:val="24"/>
                <w:lang w:val="en-US"/>
              </w:rPr>
            </w:pPr>
          </w:p>
        </w:tc>
        <w:tc>
          <w:tcPr>
            <w:tcW w:w="6833" w:type="dxa"/>
            <w:tcBorders>
              <w:top w:val="single" w:sz="4" w:space="0" w:color="auto"/>
              <w:left w:val="single" w:sz="4" w:space="0" w:color="auto"/>
              <w:bottom w:val="single" w:sz="4" w:space="0" w:color="auto"/>
              <w:right w:val="single" w:sz="4" w:space="0" w:color="auto"/>
            </w:tcBorders>
          </w:tcPr>
          <w:p w:rsidR="00364E0F" w:rsidRPr="00D975A6" w:rsidRDefault="00364E0F" w:rsidP="002C64F4">
            <w:pPr>
              <w:rPr>
                <w:sz w:val="24"/>
                <w:szCs w:val="24"/>
                <w:lang w:val="en-US"/>
              </w:rPr>
            </w:pPr>
          </w:p>
        </w:tc>
      </w:tr>
      <w:tr w:rsidR="00364E0F" w:rsidRPr="00D975A6" w:rsidTr="002C64F4">
        <w:tc>
          <w:tcPr>
            <w:tcW w:w="0" w:type="auto"/>
            <w:gridSpan w:val="2"/>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rPr>
                <w:b/>
                <w:bCs/>
                <w:sz w:val="24"/>
                <w:szCs w:val="24"/>
                <w:lang w:val="nb-NO"/>
              </w:rPr>
            </w:pPr>
            <w:r w:rsidRPr="00D975A6">
              <w:rPr>
                <w:b/>
                <w:bCs/>
                <w:sz w:val="24"/>
                <w:szCs w:val="24"/>
                <w:lang w:val="nb-NO"/>
              </w:rPr>
              <w:t>Lever og galdeveje</w:t>
            </w:r>
          </w:p>
        </w:tc>
      </w:tr>
      <w:tr w:rsidR="00364E0F" w:rsidRPr="00D975A6" w:rsidTr="002C64F4">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r w:rsidRPr="00D975A6">
              <w:rPr>
                <w:sz w:val="24"/>
                <w:szCs w:val="24"/>
                <w:lang w:val="nb-NO"/>
              </w:rPr>
              <w:t>Ikke almindelig:</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r w:rsidRPr="00D975A6">
              <w:rPr>
                <w:sz w:val="24"/>
                <w:szCs w:val="24"/>
                <w:lang w:val="nb-NO"/>
              </w:rPr>
              <w:t>Forhøjede leverenzymer</w:t>
            </w:r>
          </w:p>
        </w:tc>
      </w:tr>
      <w:tr w:rsidR="00364E0F" w:rsidRPr="00D975A6" w:rsidTr="002C64F4">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proofErr w:type="spellStart"/>
            <w:r w:rsidRPr="00D975A6">
              <w:rPr>
                <w:sz w:val="24"/>
                <w:szCs w:val="24"/>
                <w:lang w:val="en-US"/>
              </w:rPr>
              <w:t>Sjælden</w:t>
            </w:r>
            <w:proofErr w:type="spellEnd"/>
            <w:r w:rsidRPr="00D975A6">
              <w:rPr>
                <w:sz w:val="24"/>
                <w:szCs w:val="24"/>
                <w:lang w:val="en-US"/>
              </w:rPr>
              <w:t>:</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rPr>
            </w:pPr>
            <w:r w:rsidRPr="00D975A6">
              <w:rPr>
                <w:sz w:val="24"/>
                <w:szCs w:val="24"/>
                <w:lang w:val="nb-NO"/>
              </w:rPr>
              <w:t>Hepatitis med eller uden gulsot</w:t>
            </w:r>
          </w:p>
        </w:tc>
      </w:tr>
      <w:tr w:rsidR="00364E0F" w:rsidRPr="00D975A6" w:rsidTr="002C64F4">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proofErr w:type="spellStart"/>
            <w:r w:rsidRPr="00D975A6">
              <w:rPr>
                <w:sz w:val="24"/>
                <w:szCs w:val="24"/>
                <w:lang w:val="sv-SE"/>
              </w:rPr>
              <w:t>Meget</w:t>
            </w:r>
            <w:proofErr w:type="spellEnd"/>
            <w:r w:rsidRPr="00D975A6">
              <w:rPr>
                <w:sz w:val="24"/>
                <w:szCs w:val="24"/>
                <w:lang w:val="sv-SE"/>
              </w:rPr>
              <w:t xml:space="preserve"> </w:t>
            </w:r>
            <w:proofErr w:type="spellStart"/>
            <w:r w:rsidRPr="00D975A6">
              <w:rPr>
                <w:sz w:val="24"/>
                <w:szCs w:val="24"/>
                <w:lang w:val="sv-SE"/>
              </w:rPr>
              <w:t>sjælden</w:t>
            </w:r>
            <w:proofErr w:type="spellEnd"/>
            <w:r w:rsidRPr="00D975A6">
              <w:rPr>
                <w:sz w:val="24"/>
                <w:szCs w:val="24"/>
                <w:lang w:val="sv-SE"/>
              </w:rPr>
              <w:t>:</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rPr>
            </w:pPr>
            <w:r w:rsidRPr="00D975A6">
              <w:rPr>
                <w:sz w:val="24"/>
                <w:szCs w:val="24"/>
                <w:lang w:val="nb-NO"/>
              </w:rPr>
              <w:t>Leversvigt, encefalopati hos patienter med præeksisterende leversygdom</w:t>
            </w:r>
          </w:p>
        </w:tc>
      </w:tr>
      <w:tr w:rsidR="00364E0F" w:rsidRPr="00D975A6" w:rsidTr="002C64F4">
        <w:tc>
          <w:tcPr>
            <w:tcW w:w="0" w:type="auto"/>
            <w:gridSpan w:val="2"/>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rPr>
                <w:b/>
                <w:bCs/>
                <w:sz w:val="24"/>
                <w:szCs w:val="24"/>
                <w:lang w:val="en-US"/>
              </w:rPr>
            </w:pPr>
            <w:r w:rsidRPr="00D975A6">
              <w:rPr>
                <w:b/>
                <w:bCs/>
                <w:sz w:val="24"/>
                <w:szCs w:val="24"/>
                <w:lang w:val="en-US"/>
              </w:rPr>
              <w:t xml:space="preserve">Hud </w:t>
            </w:r>
            <w:proofErr w:type="spellStart"/>
            <w:r w:rsidRPr="00D975A6">
              <w:rPr>
                <w:b/>
                <w:bCs/>
                <w:sz w:val="24"/>
                <w:szCs w:val="24"/>
                <w:lang w:val="en-US"/>
              </w:rPr>
              <w:t>og</w:t>
            </w:r>
            <w:proofErr w:type="spellEnd"/>
            <w:r w:rsidRPr="00D975A6">
              <w:rPr>
                <w:b/>
                <w:bCs/>
                <w:sz w:val="24"/>
                <w:szCs w:val="24"/>
                <w:lang w:val="en-US"/>
              </w:rPr>
              <w:t xml:space="preserve"> </w:t>
            </w:r>
            <w:proofErr w:type="spellStart"/>
            <w:r w:rsidRPr="00D975A6">
              <w:rPr>
                <w:b/>
                <w:bCs/>
                <w:sz w:val="24"/>
                <w:szCs w:val="24"/>
                <w:lang w:val="en-US"/>
              </w:rPr>
              <w:t>subkutane</w:t>
            </w:r>
            <w:proofErr w:type="spellEnd"/>
            <w:r w:rsidRPr="00D975A6">
              <w:rPr>
                <w:b/>
                <w:bCs/>
                <w:sz w:val="24"/>
                <w:szCs w:val="24"/>
                <w:lang w:val="en-US"/>
              </w:rPr>
              <w:t xml:space="preserve"> </w:t>
            </w:r>
            <w:proofErr w:type="spellStart"/>
            <w:r w:rsidRPr="00D975A6">
              <w:rPr>
                <w:b/>
                <w:bCs/>
                <w:sz w:val="24"/>
                <w:szCs w:val="24"/>
                <w:lang w:val="en-US"/>
              </w:rPr>
              <w:t>væv</w:t>
            </w:r>
            <w:proofErr w:type="spellEnd"/>
          </w:p>
        </w:tc>
      </w:tr>
      <w:tr w:rsidR="00364E0F" w:rsidRPr="00D975A6" w:rsidTr="002C64F4">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proofErr w:type="spellStart"/>
            <w:r w:rsidRPr="00D975A6">
              <w:rPr>
                <w:sz w:val="24"/>
                <w:szCs w:val="24"/>
                <w:lang w:val="en-US"/>
              </w:rPr>
              <w:t>Ikke</w:t>
            </w:r>
            <w:proofErr w:type="spellEnd"/>
            <w:r w:rsidRPr="00D975A6">
              <w:rPr>
                <w:sz w:val="24"/>
                <w:szCs w:val="24"/>
                <w:lang w:val="en-US"/>
              </w:rPr>
              <w:t xml:space="preserve"> </w:t>
            </w:r>
            <w:proofErr w:type="spellStart"/>
            <w:r w:rsidRPr="00D975A6">
              <w:rPr>
                <w:sz w:val="24"/>
                <w:szCs w:val="24"/>
                <w:lang w:val="en-US"/>
              </w:rPr>
              <w:t>almindelig</w:t>
            </w:r>
            <w:proofErr w:type="spellEnd"/>
            <w:r w:rsidRPr="00D975A6">
              <w:rPr>
                <w:sz w:val="24"/>
                <w:szCs w:val="24"/>
                <w:lang w:val="en-US"/>
              </w:rPr>
              <w:t>:</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rPr>
                <w:sz w:val="24"/>
                <w:szCs w:val="24"/>
                <w:lang w:val="en-US"/>
              </w:rPr>
            </w:pPr>
            <w:r w:rsidRPr="00D975A6">
              <w:rPr>
                <w:sz w:val="24"/>
                <w:szCs w:val="24"/>
                <w:lang w:val="en-US"/>
              </w:rPr>
              <w:t xml:space="preserve">Dermatitis, pruritus, </w:t>
            </w:r>
            <w:proofErr w:type="spellStart"/>
            <w:r w:rsidRPr="00D975A6">
              <w:rPr>
                <w:sz w:val="24"/>
                <w:szCs w:val="24"/>
                <w:lang w:val="en-US"/>
              </w:rPr>
              <w:t>hududslæt</w:t>
            </w:r>
            <w:proofErr w:type="spellEnd"/>
            <w:r w:rsidRPr="00D975A6">
              <w:rPr>
                <w:sz w:val="24"/>
                <w:szCs w:val="24"/>
                <w:lang w:val="en-US"/>
              </w:rPr>
              <w:t>, urticaria</w:t>
            </w:r>
          </w:p>
        </w:tc>
      </w:tr>
      <w:tr w:rsidR="00364E0F" w:rsidRPr="00D975A6" w:rsidTr="002C64F4">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proofErr w:type="spellStart"/>
            <w:r w:rsidRPr="00D975A6">
              <w:rPr>
                <w:sz w:val="24"/>
                <w:szCs w:val="24"/>
                <w:lang w:val="en-US"/>
              </w:rPr>
              <w:t>Sjælden</w:t>
            </w:r>
            <w:proofErr w:type="spellEnd"/>
            <w:r w:rsidRPr="00D975A6">
              <w:rPr>
                <w:sz w:val="24"/>
                <w:szCs w:val="24"/>
                <w:lang w:val="en-US"/>
              </w:rPr>
              <w:t>:</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proofErr w:type="spellStart"/>
            <w:r w:rsidRPr="00D975A6">
              <w:rPr>
                <w:sz w:val="24"/>
                <w:szCs w:val="24"/>
                <w:lang w:val="en-US"/>
              </w:rPr>
              <w:t>Alopeci</w:t>
            </w:r>
            <w:proofErr w:type="spellEnd"/>
            <w:r w:rsidRPr="00D975A6">
              <w:rPr>
                <w:sz w:val="24"/>
                <w:szCs w:val="24"/>
                <w:lang w:val="en-US"/>
              </w:rPr>
              <w:t xml:space="preserve">, </w:t>
            </w:r>
            <w:proofErr w:type="spellStart"/>
            <w:r w:rsidRPr="00D975A6">
              <w:rPr>
                <w:sz w:val="24"/>
                <w:szCs w:val="24"/>
                <w:lang w:val="en-US"/>
              </w:rPr>
              <w:t>fotosensibilitet</w:t>
            </w:r>
            <w:proofErr w:type="spellEnd"/>
          </w:p>
        </w:tc>
      </w:tr>
      <w:tr w:rsidR="00364E0F" w:rsidRPr="00D975A6" w:rsidTr="002C64F4">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proofErr w:type="spellStart"/>
            <w:r w:rsidRPr="00D975A6">
              <w:rPr>
                <w:sz w:val="24"/>
                <w:szCs w:val="24"/>
                <w:lang w:val="sv-SE"/>
              </w:rPr>
              <w:t>Meget</w:t>
            </w:r>
            <w:proofErr w:type="spellEnd"/>
            <w:r w:rsidRPr="00D975A6">
              <w:rPr>
                <w:sz w:val="24"/>
                <w:szCs w:val="24"/>
                <w:lang w:val="sv-SE"/>
              </w:rPr>
              <w:t xml:space="preserve"> </w:t>
            </w:r>
            <w:proofErr w:type="spellStart"/>
            <w:r w:rsidRPr="00D975A6">
              <w:rPr>
                <w:sz w:val="24"/>
                <w:szCs w:val="24"/>
                <w:lang w:val="sv-SE"/>
              </w:rPr>
              <w:t>sjælden</w:t>
            </w:r>
            <w:proofErr w:type="spellEnd"/>
            <w:r w:rsidRPr="00D975A6">
              <w:rPr>
                <w:sz w:val="24"/>
                <w:szCs w:val="24"/>
                <w:lang w:val="sv-SE"/>
              </w:rPr>
              <w:t xml:space="preserve">: </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rPr>
                <w:sz w:val="24"/>
                <w:szCs w:val="24"/>
                <w:lang w:val="nb-NO"/>
              </w:rPr>
            </w:pPr>
            <w:r w:rsidRPr="00D975A6">
              <w:rPr>
                <w:sz w:val="24"/>
                <w:szCs w:val="24"/>
                <w:lang w:val="nb-NO"/>
              </w:rPr>
              <w:t>Erythema multiforme, Stevens-Johnson's syndrom, toksisk epidermal nekrolyse (TEN)</w:t>
            </w:r>
          </w:p>
        </w:tc>
      </w:tr>
      <w:tr w:rsidR="00364E0F" w:rsidRPr="00D975A6" w:rsidTr="002C64F4">
        <w:tc>
          <w:tcPr>
            <w:tcW w:w="2448" w:type="dxa"/>
            <w:tcBorders>
              <w:top w:val="single" w:sz="4" w:space="0" w:color="auto"/>
              <w:left w:val="single" w:sz="4" w:space="0" w:color="auto"/>
              <w:bottom w:val="single" w:sz="4" w:space="0" w:color="auto"/>
              <w:right w:val="single" w:sz="4" w:space="0" w:color="auto"/>
            </w:tcBorders>
          </w:tcPr>
          <w:p w:rsidR="00364E0F" w:rsidRDefault="00364E0F" w:rsidP="002C64F4">
            <w:pPr>
              <w:rPr>
                <w:sz w:val="24"/>
                <w:szCs w:val="24"/>
                <w:lang w:val="sv-SE"/>
              </w:rPr>
            </w:pPr>
            <w:proofErr w:type="spellStart"/>
            <w:r>
              <w:rPr>
                <w:sz w:val="24"/>
                <w:szCs w:val="24"/>
                <w:lang w:val="en-US"/>
              </w:rPr>
              <w:t>Ikke</w:t>
            </w:r>
            <w:proofErr w:type="spellEnd"/>
            <w:r>
              <w:rPr>
                <w:sz w:val="24"/>
                <w:szCs w:val="24"/>
                <w:lang w:val="en-US"/>
              </w:rPr>
              <w:t xml:space="preserve"> </w:t>
            </w:r>
            <w:proofErr w:type="spellStart"/>
            <w:r>
              <w:rPr>
                <w:sz w:val="24"/>
                <w:szCs w:val="24"/>
                <w:lang w:val="en-US"/>
              </w:rPr>
              <w:t>kendt</w:t>
            </w:r>
            <w:proofErr w:type="spellEnd"/>
            <w:r>
              <w:rPr>
                <w:sz w:val="24"/>
                <w:szCs w:val="24"/>
                <w:lang w:val="en-US"/>
              </w:rPr>
              <w:t>:</w:t>
            </w:r>
          </w:p>
        </w:tc>
        <w:tc>
          <w:tcPr>
            <w:tcW w:w="6833" w:type="dxa"/>
            <w:tcBorders>
              <w:top w:val="single" w:sz="4" w:space="0" w:color="auto"/>
              <w:left w:val="single" w:sz="4" w:space="0" w:color="auto"/>
              <w:bottom w:val="single" w:sz="4" w:space="0" w:color="auto"/>
              <w:right w:val="single" w:sz="4" w:space="0" w:color="auto"/>
            </w:tcBorders>
          </w:tcPr>
          <w:p w:rsidR="00364E0F" w:rsidRDefault="00364E0F" w:rsidP="002C64F4">
            <w:pPr>
              <w:rPr>
                <w:lang w:val="sv-SE"/>
              </w:rPr>
            </w:pPr>
            <w:r>
              <w:rPr>
                <w:sz w:val="24"/>
                <w:szCs w:val="24"/>
                <w:lang w:val="sv-SE"/>
              </w:rPr>
              <w:t xml:space="preserve">Subakut </w:t>
            </w:r>
            <w:proofErr w:type="spellStart"/>
            <w:r>
              <w:rPr>
                <w:sz w:val="24"/>
                <w:szCs w:val="24"/>
                <w:lang w:val="sv-SE"/>
              </w:rPr>
              <w:t>kutan</w:t>
            </w:r>
            <w:proofErr w:type="spellEnd"/>
            <w:r>
              <w:rPr>
                <w:sz w:val="24"/>
                <w:szCs w:val="24"/>
                <w:lang w:val="sv-SE"/>
              </w:rPr>
              <w:t xml:space="preserve"> lupus </w:t>
            </w:r>
            <w:proofErr w:type="spellStart"/>
            <w:r>
              <w:rPr>
                <w:sz w:val="24"/>
                <w:szCs w:val="24"/>
                <w:lang w:val="sv-SE"/>
              </w:rPr>
              <w:t>erythematosus</w:t>
            </w:r>
            <w:proofErr w:type="spellEnd"/>
            <w:r>
              <w:rPr>
                <w:sz w:val="22"/>
                <w:szCs w:val="22"/>
                <w:lang w:val="sv-SE"/>
              </w:rPr>
              <w:t xml:space="preserve"> (se pkt. 4.4).</w:t>
            </w:r>
          </w:p>
        </w:tc>
      </w:tr>
      <w:tr w:rsidR="00364E0F" w:rsidRPr="00D975A6" w:rsidTr="002C64F4">
        <w:tc>
          <w:tcPr>
            <w:tcW w:w="0" w:type="auto"/>
            <w:gridSpan w:val="2"/>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rPr>
                <w:b/>
                <w:bCs/>
                <w:sz w:val="24"/>
                <w:szCs w:val="24"/>
                <w:lang w:val="nb-NO"/>
              </w:rPr>
            </w:pPr>
            <w:r w:rsidRPr="00D975A6">
              <w:rPr>
                <w:b/>
                <w:bCs/>
                <w:sz w:val="24"/>
                <w:szCs w:val="24"/>
                <w:lang w:val="nb-NO"/>
              </w:rPr>
              <w:t>Knogler, led, muskler og bindevæv</w:t>
            </w:r>
          </w:p>
        </w:tc>
      </w:tr>
      <w:tr w:rsidR="00364E0F" w:rsidRPr="00D975A6" w:rsidTr="002C64F4">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proofErr w:type="spellStart"/>
            <w:r w:rsidRPr="00D975A6">
              <w:rPr>
                <w:sz w:val="24"/>
                <w:szCs w:val="24"/>
                <w:lang w:val="en-US"/>
              </w:rPr>
              <w:t>Sjælden</w:t>
            </w:r>
            <w:proofErr w:type="spellEnd"/>
            <w:r w:rsidRPr="00D975A6">
              <w:rPr>
                <w:sz w:val="24"/>
                <w:szCs w:val="24"/>
                <w:lang w:val="en-US"/>
              </w:rPr>
              <w:t>:</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proofErr w:type="spellStart"/>
            <w:r w:rsidRPr="00D975A6">
              <w:rPr>
                <w:sz w:val="24"/>
                <w:szCs w:val="24"/>
                <w:lang w:val="en-US"/>
              </w:rPr>
              <w:t>Artralgi</w:t>
            </w:r>
            <w:proofErr w:type="spellEnd"/>
            <w:r w:rsidRPr="00D975A6">
              <w:rPr>
                <w:sz w:val="24"/>
                <w:szCs w:val="24"/>
                <w:lang w:val="en-US"/>
              </w:rPr>
              <w:t xml:space="preserve">, </w:t>
            </w:r>
            <w:proofErr w:type="spellStart"/>
            <w:r w:rsidRPr="00D975A6">
              <w:rPr>
                <w:sz w:val="24"/>
                <w:szCs w:val="24"/>
                <w:lang w:val="en-US"/>
              </w:rPr>
              <w:t>myalgi</w:t>
            </w:r>
            <w:proofErr w:type="spellEnd"/>
          </w:p>
        </w:tc>
      </w:tr>
      <w:tr w:rsidR="00364E0F" w:rsidRPr="00D975A6" w:rsidTr="002C64F4">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proofErr w:type="spellStart"/>
            <w:r w:rsidRPr="00D975A6">
              <w:rPr>
                <w:sz w:val="24"/>
                <w:szCs w:val="24"/>
                <w:lang w:val="sv-SE"/>
              </w:rPr>
              <w:t>Meget</w:t>
            </w:r>
            <w:proofErr w:type="spellEnd"/>
            <w:r w:rsidRPr="00D975A6">
              <w:rPr>
                <w:sz w:val="24"/>
                <w:szCs w:val="24"/>
                <w:lang w:val="sv-SE"/>
              </w:rPr>
              <w:t xml:space="preserve"> </w:t>
            </w:r>
            <w:proofErr w:type="spellStart"/>
            <w:r w:rsidRPr="00D975A6">
              <w:rPr>
                <w:sz w:val="24"/>
                <w:szCs w:val="24"/>
                <w:lang w:val="sv-SE"/>
              </w:rPr>
              <w:t>sjælden</w:t>
            </w:r>
            <w:proofErr w:type="spellEnd"/>
            <w:r w:rsidRPr="00D975A6">
              <w:rPr>
                <w:sz w:val="24"/>
                <w:szCs w:val="24"/>
                <w:lang w:val="sv-SE"/>
              </w:rPr>
              <w:t>:</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r w:rsidRPr="00D975A6">
              <w:rPr>
                <w:sz w:val="24"/>
                <w:szCs w:val="24"/>
                <w:lang w:val="nb-NO"/>
              </w:rPr>
              <w:t>Muskelsvaghed</w:t>
            </w:r>
          </w:p>
        </w:tc>
      </w:tr>
      <w:tr w:rsidR="00364E0F" w:rsidRPr="00D975A6" w:rsidTr="002C64F4">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sv-SE"/>
              </w:rPr>
            </w:pPr>
            <w:proofErr w:type="spellStart"/>
            <w:r w:rsidRPr="00D975A6">
              <w:rPr>
                <w:sz w:val="24"/>
                <w:szCs w:val="24"/>
                <w:lang w:val="sv-SE"/>
              </w:rPr>
              <w:t>Ikke</w:t>
            </w:r>
            <w:proofErr w:type="spellEnd"/>
            <w:r w:rsidRPr="00D975A6">
              <w:rPr>
                <w:sz w:val="24"/>
                <w:szCs w:val="24"/>
                <w:lang w:val="sv-SE"/>
              </w:rPr>
              <w:t xml:space="preserve"> </w:t>
            </w:r>
            <w:proofErr w:type="spellStart"/>
            <w:r w:rsidRPr="00D975A6">
              <w:rPr>
                <w:sz w:val="24"/>
                <w:szCs w:val="24"/>
                <w:lang w:val="sv-SE"/>
              </w:rPr>
              <w:t>almindelig</w:t>
            </w:r>
            <w:proofErr w:type="spellEnd"/>
            <w:r w:rsidRPr="00D975A6">
              <w:rPr>
                <w:sz w:val="24"/>
                <w:szCs w:val="24"/>
                <w:lang w:val="sv-SE"/>
              </w:rPr>
              <w:t>:</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nb-NO"/>
              </w:rPr>
            </w:pPr>
            <w:r w:rsidRPr="00D975A6">
              <w:rPr>
                <w:sz w:val="24"/>
                <w:szCs w:val="24"/>
                <w:lang w:val="nb-NO"/>
              </w:rPr>
              <w:t>Fraktur på hofte, håndled eller rygrad (se pkt. 4.4)</w:t>
            </w:r>
          </w:p>
        </w:tc>
      </w:tr>
      <w:tr w:rsidR="00364E0F" w:rsidRPr="00D975A6" w:rsidTr="002C64F4">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sv-SE"/>
              </w:rPr>
            </w:pP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nb-NO"/>
              </w:rPr>
            </w:pPr>
          </w:p>
        </w:tc>
      </w:tr>
      <w:tr w:rsidR="00364E0F" w:rsidRPr="00D975A6" w:rsidTr="002C64F4">
        <w:tc>
          <w:tcPr>
            <w:tcW w:w="0" w:type="auto"/>
            <w:gridSpan w:val="2"/>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rPr>
                <w:b/>
                <w:bCs/>
                <w:sz w:val="24"/>
                <w:szCs w:val="24"/>
                <w:lang w:val="nb-NO"/>
              </w:rPr>
            </w:pPr>
            <w:r w:rsidRPr="00D975A6">
              <w:rPr>
                <w:b/>
                <w:bCs/>
                <w:sz w:val="24"/>
                <w:szCs w:val="24"/>
                <w:lang w:val="nb-NO"/>
              </w:rPr>
              <w:t>Nyrer og urinveje</w:t>
            </w:r>
          </w:p>
        </w:tc>
      </w:tr>
      <w:tr w:rsidR="00364E0F" w:rsidRPr="00D975A6" w:rsidTr="002C64F4">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proofErr w:type="spellStart"/>
            <w:r w:rsidRPr="00D975A6">
              <w:rPr>
                <w:sz w:val="24"/>
                <w:szCs w:val="24"/>
                <w:lang w:val="en-US"/>
              </w:rPr>
              <w:t>Sjælden</w:t>
            </w:r>
            <w:proofErr w:type="spellEnd"/>
            <w:r w:rsidRPr="00D975A6">
              <w:rPr>
                <w:sz w:val="24"/>
                <w:szCs w:val="24"/>
                <w:lang w:val="en-US"/>
              </w:rPr>
              <w:t>:</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782540" w:rsidP="002C64F4">
            <w:pPr>
              <w:autoSpaceDE w:val="0"/>
              <w:autoSpaceDN w:val="0"/>
              <w:adjustRightInd w:val="0"/>
              <w:rPr>
                <w:sz w:val="24"/>
                <w:szCs w:val="24"/>
                <w:lang w:val="nb-NO"/>
              </w:rPr>
            </w:pPr>
            <w:r w:rsidRPr="00141D71">
              <w:rPr>
                <w:sz w:val="24"/>
                <w:szCs w:val="24"/>
                <w:lang w:val="nb-NO"/>
              </w:rPr>
              <w:t>Tubulointerstitiel nefritis (med mulig forværring til nyresvigt)</w:t>
            </w:r>
          </w:p>
        </w:tc>
      </w:tr>
      <w:tr w:rsidR="00364E0F" w:rsidRPr="00D975A6" w:rsidTr="002C64F4">
        <w:tc>
          <w:tcPr>
            <w:tcW w:w="0" w:type="auto"/>
            <w:gridSpan w:val="2"/>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rPr>
                <w:b/>
                <w:bCs/>
                <w:sz w:val="24"/>
                <w:szCs w:val="24"/>
                <w:lang w:val="nb-NO"/>
              </w:rPr>
            </w:pPr>
            <w:r w:rsidRPr="00D975A6">
              <w:rPr>
                <w:b/>
                <w:bCs/>
                <w:sz w:val="24"/>
                <w:szCs w:val="24"/>
                <w:lang w:val="nb-NO"/>
              </w:rPr>
              <w:t>Det reproduktive system og mammae</w:t>
            </w:r>
          </w:p>
        </w:tc>
      </w:tr>
      <w:tr w:rsidR="00364E0F" w:rsidRPr="00D975A6" w:rsidTr="002C64F4">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proofErr w:type="spellStart"/>
            <w:r w:rsidRPr="00D975A6">
              <w:rPr>
                <w:sz w:val="24"/>
                <w:szCs w:val="24"/>
                <w:lang w:val="sv-SE"/>
              </w:rPr>
              <w:t>Meget</w:t>
            </w:r>
            <w:proofErr w:type="spellEnd"/>
            <w:r w:rsidRPr="00D975A6">
              <w:rPr>
                <w:sz w:val="24"/>
                <w:szCs w:val="24"/>
                <w:lang w:val="sv-SE"/>
              </w:rPr>
              <w:t xml:space="preserve"> </w:t>
            </w:r>
            <w:proofErr w:type="spellStart"/>
            <w:r w:rsidRPr="00D975A6">
              <w:rPr>
                <w:sz w:val="24"/>
                <w:szCs w:val="24"/>
                <w:lang w:val="sv-SE"/>
              </w:rPr>
              <w:t>sjælden</w:t>
            </w:r>
            <w:proofErr w:type="spellEnd"/>
            <w:r w:rsidRPr="00D975A6">
              <w:rPr>
                <w:sz w:val="24"/>
                <w:szCs w:val="24"/>
                <w:lang w:val="sv-SE"/>
              </w:rPr>
              <w:t>:</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r w:rsidRPr="00D975A6">
              <w:rPr>
                <w:sz w:val="24"/>
                <w:szCs w:val="24"/>
                <w:lang w:val="nb-NO"/>
              </w:rPr>
              <w:t>Gynækomasti</w:t>
            </w:r>
          </w:p>
        </w:tc>
      </w:tr>
      <w:tr w:rsidR="00364E0F" w:rsidRPr="00D975A6" w:rsidTr="002C64F4">
        <w:tc>
          <w:tcPr>
            <w:tcW w:w="0" w:type="auto"/>
            <w:gridSpan w:val="2"/>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rPr>
                <w:b/>
                <w:bCs/>
                <w:sz w:val="24"/>
                <w:szCs w:val="24"/>
                <w:lang w:val="nb-NO"/>
              </w:rPr>
            </w:pPr>
            <w:r w:rsidRPr="00D975A6">
              <w:rPr>
                <w:b/>
                <w:bCs/>
                <w:sz w:val="24"/>
                <w:szCs w:val="24"/>
                <w:lang w:val="nb-NO"/>
              </w:rPr>
              <w:t>Almene symptomer og reaktioner på administrationsstedet</w:t>
            </w:r>
          </w:p>
        </w:tc>
      </w:tr>
      <w:tr w:rsidR="00364E0F" w:rsidRPr="00D975A6" w:rsidTr="002C64F4">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autoSpaceDE w:val="0"/>
              <w:autoSpaceDN w:val="0"/>
              <w:adjustRightInd w:val="0"/>
              <w:rPr>
                <w:sz w:val="24"/>
                <w:szCs w:val="24"/>
                <w:lang w:val="nb-NO"/>
              </w:rPr>
            </w:pPr>
            <w:r w:rsidRPr="00D975A6">
              <w:rPr>
                <w:sz w:val="24"/>
                <w:szCs w:val="24"/>
                <w:lang w:val="nb-NO"/>
              </w:rPr>
              <w:t xml:space="preserve">Ikke almindelig: </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r w:rsidRPr="00D975A6">
              <w:rPr>
                <w:sz w:val="24"/>
                <w:szCs w:val="24"/>
                <w:lang w:val="nb-NO"/>
              </w:rPr>
              <w:t>Utilpashed, perifere ødemer</w:t>
            </w:r>
          </w:p>
        </w:tc>
      </w:tr>
      <w:tr w:rsidR="00364E0F" w:rsidRPr="00D975A6" w:rsidTr="002C64F4">
        <w:trPr>
          <w:trHeight w:val="56"/>
        </w:trPr>
        <w:tc>
          <w:tcPr>
            <w:tcW w:w="2448"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proofErr w:type="spellStart"/>
            <w:r w:rsidRPr="00D975A6">
              <w:rPr>
                <w:sz w:val="24"/>
                <w:szCs w:val="24"/>
                <w:lang w:val="en-US"/>
              </w:rPr>
              <w:t>Sjælden</w:t>
            </w:r>
            <w:proofErr w:type="spellEnd"/>
            <w:r w:rsidRPr="00D975A6">
              <w:rPr>
                <w:sz w:val="24"/>
                <w:szCs w:val="24"/>
                <w:lang w:val="en-US"/>
              </w:rPr>
              <w:t>:</w:t>
            </w:r>
          </w:p>
        </w:tc>
        <w:tc>
          <w:tcPr>
            <w:tcW w:w="6833" w:type="dxa"/>
            <w:tcBorders>
              <w:top w:val="single" w:sz="4" w:space="0" w:color="auto"/>
              <w:left w:val="single" w:sz="4" w:space="0" w:color="auto"/>
              <w:bottom w:val="single" w:sz="4" w:space="0" w:color="auto"/>
              <w:right w:val="single" w:sz="4" w:space="0" w:color="auto"/>
            </w:tcBorders>
            <w:hideMark/>
          </w:tcPr>
          <w:p w:rsidR="00364E0F" w:rsidRPr="00D975A6" w:rsidRDefault="00364E0F" w:rsidP="002C64F4">
            <w:pPr>
              <w:rPr>
                <w:sz w:val="24"/>
                <w:szCs w:val="24"/>
                <w:lang w:val="en-US"/>
              </w:rPr>
            </w:pPr>
            <w:proofErr w:type="spellStart"/>
            <w:r w:rsidRPr="00D975A6">
              <w:rPr>
                <w:sz w:val="24"/>
                <w:szCs w:val="24"/>
                <w:lang w:val="en-US"/>
              </w:rPr>
              <w:t>Øget</w:t>
            </w:r>
            <w:proofErr w:type="spellEnd"/>
            <w:r w:rsidRPr="00D975A6">
              <w:rPr>
                <w:sz w:val="24"/>
                <w:szCs w:val="24"/>
                <w:lang w:val="en-US"/>
              </w:rPr>
              <w:t xml:space="preserve"> </w:t>
            </w:r>
            <w:proofErr w:type="spellStart"/>
            <w:r w:rsidRPr="00D975A6">
              <w:rPr>
                <w:sz w:val="24"/>
                <w:szCs w:val="24"/>
                <w:lang w:val="en-US"/>
              </w:rPr>
              <w:t>svedtendens</w:t>
            </w:r>
            <w:proofErr w:type="spellEnd"/>
          </w:p>
        </w:tc>
      </w:tr>
    </w:tbl>
    <w:p w:rsidR="00364E0F" w:rsidRPr="00D975A6" w:rsidRDefault="00364E0F" w:rsidP="00364E0F">
      <w:pPr>
        <w:rPr>
          <w:sz w:val="24"/>
          <w:szCs w:val="24"/>
          <w:lang w:val="nb-NO"/>
        </w:rPr>
      </w:pPr>
    </w:p>
    <w:p w:rsidR="00364E0F" w:rsidRPr="00D975A6" w:rsidRDefault="00364E0F" w:rsidP="00364E0F">
      <w:pPr>
        <w:rPr>
          <w:sz w:val="24"/>
          <w:szCs w:val="24"/>
          <w:u w:val="single"/>
          <w:lang w:val="en-US"/>
        </w:rPr>
      </w:pPr>
    </w:p>
    <w:p w:rsidR="00364E0F" w:rsidRDefault="00364E0F" w:rsidP="00364E0F">
      <w:pPr>
        <w:autoSpaceDE w:val="0"/>
        <w:autoSpaceDN w:val="0"/>
        <w:adjustRightInd w:val="0"/>
        <w:ind w:left="851"/>
        <w:rPr>
          <w:sz w:val="24"/>
          <w:szCs w:val="24"/>
          <w:u w:val="single"/>
          <w:lang w:val="en-US"/>
        </w:rPr>
      </w:pPr>
    </w:p>
    <w:p w:rsidR="00364E0F" w:rsidRPr="00D975A6" w:rsidRDefault="00364E0F" w:rsidP="00364E0F">
      <w:pPr>
        <w:autoSpaceDE w:val="0"/>
        <w:autoSpaceDN w:val="0"/>
        <w:adjustRightInd w:val="0"/>
        <w:ind w:left="851"/>
        <w:rPr>
          <w:sz w:val="24"/>
          <w:szCs w:val="24"/>
          <w:u w:val="single"/>
          <w:lang w:val="en-US"/>
        </w:rPr>
      </w:pPr>
      <w:proofErr w:type="spellStart"/>
      <w:r w:rsidRPr="00D975A6">
        <w:rPr>
          <w:sz w:val="24"/>
          <w:szCs w:val="24"/>
          <w:u w:val="single"/>
          <w:lang w:val="en-US"/>
        </w:rPr>
        <w:t>Pædiatrisk</w:t>
      </w:r>
      <w:proofErr w:type="spellEnd"/>
      <w:r w:rsidRPr="00D975A6">
        <w:rPr>
          <w:sz w:val="24"/>
          <w:szCs w:val="24"/>
          <w:u w:val="single"/>
          <w:lang w:val="en-US"/>
        </w:rPr>
        <w:t xml:space="preserve"> population</w:t>
      </w:r>
    </w:p>
    <w:p w:rsidR="00364E0F" w:rsidRDefault="00364E0F" w:rsidP="00364E0F">
      <w:pPr>
        <w:autoSpaceDE w:val="0"/>
        <w:autoSpaceDN w:val="0"/>
        <w:adjustRightInd w:val="0"/>
        <w:ind w:left="851"/>
        <w:rPr>
          <w:sz w:val="24"/>
          <w:szCs w:val="24"/>
          <w:lang w:val="nb-NO"/>
        </w:rPr>
      </w:pPr>
      <w:r w:rsidRPr="00D975A6">
        <w:rPr>
          <w:sz w:val="24"/>
          <w:szCs w:val="24"/>
          <w:lang w:val="nb-NO"/>
        </w:rPr>
        <w:t>Omeprazols sikkerhed er undersøgt hos i alt 310 børn mellem 0 og 16 år med syrerelateret sygdom. Der er begrænsede langtids-sikkerhedsdata fra 46 børn, som i op til 749 dage fik omeprazol som vedligeholdelsesbehandling i et klinisk forsøg for svær erosiv øsofagitis. Bivirkningsprofilen var generelt den samme som hos voksne i både korttids- og langtidsbehandling. Der er ingen langtidsdata vedrørende effekten af omeprazolbehandling på pubertet og vækst.</w:t>
      </w:r>
    </w:p>
    <w:p w:rsidR="00364E0F" w:rsidRDefault="00364E0F" w:rsidP="00364E0F">
      <w:pPr>
        <w:autoSpaceDE w:val="0"/>
        <w:autoSpaceDN w:val="0"/>
        <w:adjustRightInd w:val="0"/>
        <w:ind w:left="851"/>
        <w:rPr>
          <w:sz w:val="24"/>
          <w:szCs w:val="24"/>
          <w:lang w:val="nb-NO"/>
        </w:rPr>
      </w:pPr>
    </w:p>
    <w:p w:rsidR="00364E0F" w:rsidRPr="0050139A" w:rsidRDefault="00364E0F" w:rsidP="00364E0F">
      <w:pPr>
        <w:tabs>
          <w:tab w:val="left" w:pos="851"/>
        </w:tabs>
        <w:autoSpaceDE w:val="0"/>
        <w:autoSpaceDN w:val="0"/>
        <w:adjustRightInd w:val="0"/>
        <w:ind w:left="851"/>
        <w:rPr>
          <w:sz w:val="24"/>
          <w:szCs w:val="24"/>
          <w:u w:val="single"/>
        </w:rPr>
      </w:pPr>
      <w:r w:rsidRPr="0050139A">
        <w:rPr>
          <w:noProof/>
          <w:sz w:val="24"/>
          <w:szCs w:val="24"/>
          <w:u w:val="single"/>
        </w:rPr>
        <w:t>Indberetning af formodede bivirkninger</w:t>
      </w:r>
    </w:p>
    <w:p w:rsidR="00364E0F" w:rsidRPr="0050139A" w:rsidRDefault="00364E0F" w:rsidP="00364E0F">
      <w:pPr>
        <w:tabs>
          <w:tab w:val="left" w:pos="851"/>
        </w:tabs>
        <w:autoSpaceDE w:val="0"/>
        <w:autoSpaceDN w:val="0"/>
        <w:adjustRightInd w:val="0"/>
        <w:ind w:left="851"/>
        <w:rPr>
          <w:noProof/>
          <w:sz w:val="24"/>
          <w:szCs w:val="24"/>
        </w:rPr>
      </w:pPr>
      <w:r w:rsidRPr="0050139A">
        <w:rPr>
          <w:noProof/>
          <w:sz w:val="24"/>
          <w:szCs w:val="24"/>
        </w:rPr>
        <w:t>Når lægemidlet er godkendt, er indberetning af formodede bivirkninger vigtig.</w:t>
      </w:r>
      <w:r w:rsidRPr="0050139A">
        <w:rPr>
          <w:sz w:val="24"/>
          <w:szCs w:val="24"/>
        </w:rPr>
        <w:t xml:space="preserve"> </w:t>
      </w:r>
      <w:r w:rsidRPr="0050139A">
        <w:rPr>
          <w:noProof/>
          <w:sz w:val="24"/>
          <w:szCs w:val="24"/>
        </w:rPr>
        <w:t>Det muliggør løbende overvågning af benefit/risk-forholdet for lægemidlet.</w:t>
      </w:r>
      <w:r w:rsidRPr="0050139A">
        <w:rPr>
          <w:sz w:val="24"/>
          <w:szCs w:val="24"/>
        </w:rPr>
        <w:t xml:space="preserve"> </w:t>
      </w:r>
      <w:r w:rsidR="005C2E00">
        <w:rPr>
          <w:sz w:val="24"/>
          <w:szCs w:val="24"/>
        </w:rPr>
        <w:t>S</w:t>
      </w:r>
      <w:r w:rsidRPr="0050139A">
        <w:rPr>
          <w:noProof/>
          <w:sz w:val="24"/>
          <w:szCs w:val="24"/>
        </w:rPr>
        <w:t>undhedspersonale anmodes om at indberette alle formodede bivirkninger via:</w:t>
      </w:r>
    </w:p>
    <w:p w:rsidR="00364E0F" w:rsidRPr="0050139A" w:rsidRDefault="00364E0F" w:rsidP="00364E0F">
      <w:pPr>
        <w:tabs>
          <w:tab w:val="left" w:pos="851"/>
        </w:tabs>
        <w:ind w:left="851"/>
        <w:rPr>
          <w:rFonts w:eastAsia="Calibri"/>
          <w:color w:val="000000"/>
          <w:sz w:val="24"/>
          <w:szCs w:val="24"/>
          <w:lang w:eastAsia="zh-CN"/>
        </w:rPr>
      </w:pPr>
    </w:p>
    <w:p w:rsidR="00364E0F" w:rsidRPr="0050139A" w:rsidRDefault="00364E0F" w:rsidP="00364E0F">
      <w:pPr>
        <w:tabs>
          <w:tab w:val="left" w:pos="851"/>
        </w:tabs>
        <w:ind w:left="851"/>
        <w:rPr>
          <w:rFonts w:eastAsia="Calibri"/>
          <w:color w:val="000000"/>
          <w:sz w:val="24"/>
          <w:szCs w:val="24"/>
          <w:lang w:eastAsia="zh-CN"/>
        </w:rPr>
      </w:pPr>
      <w:r w:rsidRPr="0050139A">
        <w:rPr>
          <w:rFonts w:eastAsia="Calibri"/>
          <w:color w:val="000000"/>
          <w:sz w:val="24"/>
          <w:szCs w:val="24"/>
          <w:lang w:eastAsia="zh-CN"/>
        </w:rPr>
        <w:t>Lægemiddelstyrelsen</w:t>
      </w:r>
    </w:p>
    <w:p w:rsidR="00364E0F" w:rsidRPr="0050139A" w:rsidRDefault="00364E0F" w:rsidP="00364E0F">
      <w:pPr>
        <w:tabs>
          <w:tab w:val="left" w:pos="851"/>
        </w:tabs>
        <w:ind w:left="851"/>
        <w:rPr>
          <w:rFonts w:eastAsia="Calibri"/>
          <w:noProof/>
          <w:sz w:val="24"/>
          <w:szCs w:val="24"/>
          <w:lang w:eastAsia="zh-CN"/>
        </w:rPr>
      </w:pPr>
      <w:r w:rsidRPr="0050139A">
        <w:rPr>
          <w:rFonts w:eastAsia="Calibri"/>
          <w:sz w:val="24"/>
          <w:szCs w:val="24"/>
          <w:lang w:eastAsia="zh-CN"/>
        </w:rPr>
        <w:t>Axel Heides Gade 1</w:t>
      </w:r>
    </w:p>
    <w:p w:rsidR="00364E0F" w:rsidRPr="0050139A" w:rsidRDefault="00364E0F" w:rsidP="00364E0F">
      <w:pPr>
        <w:tabs>
          <w:tab w:val="left" w:pos="851"/>
        </w:tabs>
        <w:ind w:left="851"/>
        <w:rPr>
          <w:rFonts w:eastAsia="Calibri"/>
          <w:noProof/>
          <w:sz w:val="24"/>
          <w:szCs w:val="24"/>
          <w:lang w:eastAsia="zh-CN"/>
        </w:rPr>
      </w:pPr>
      <w:r w:rsidRPr="0050139A">
        <w:rPr>
          <w:rFonts w:eastAsia="Calibri"/>
          <w:noProof/>
          <w:sz w:val="24"/>
          <w:szCs w:val="24"/>
          <w:lang w:eastAsia="zh-CN"/>
        </w:rPr>
        <w:t xml:space="preserve">DK-2300 </w:t>
      </w:r>
      <w:r w:rsidRPr="0050139A">
        <w:rPr>
          <w:rFonts w:eastAsia="Calibri"/>
          <w:sz w:val="24"/>
          <w:szCs w:val="24"/>
          <w:lang w:eastAsia="zh-CN"/>
        </w:rPr>
        <w:t>København S</w:t>
      </w:r>
    </w:p>
    <w:p w:rsidR="00364E0F" w:rsidRPr="00131678" w:rsidRDefault="00364E0F" w:rsidP="00782540">
      <w:pPr>
        <w:tabs>
          <w:tab w:val="left" w:pos="-720"/>
          <w:tab w:val="left" w:pos="851"/>
        </w:tabs>
        <w:suppressAutoHyphens/>
        <w:ind w:left="851"/>
        <w:rPr>
          <w:rFonts w:eastAsia="Calibri"/>
          <w:noProof/>
          <w:color w:val="0000FF"/>
          <w:szCs w:val="24"/>
          <w:u w:val="single"/>
          <w:lang w:eastAsia="zh-CN"/>
        </w:rPr>
      </w:pPr>
      <w:r w:rsidRPr="00131678">
        <w:rPr>
          <w:rFonts w:eastAsia="Calibri"/>
          <w:sz w:val="24"/>
          <w:szCs w:val="24"/>
          <w:lang w:eastAsia="zh-CN"/>
        </w:rPr>
        <w:t>Websted</w:t>
      </w:r>
      <w:r w:rsidRPr="00131678">
        <w:rPr>
          <w:rFonts w:eastAsia="Calibri"/>
          <w:noProof/>
          <w:sz w:val="24"/>
          <w:szCs w:val="24"/>
          <w:lang w:eastAsia="zh-CN"/>
        </w:rPr>
        <w:t xml:space="preserve">: </w:t>
      </w:r>
      <w:hyperlink r:id="rId8" w:history="1">
        <w:r w:rsidRPr="00131678">
          <w:rPr>
            <w:rStyle w:val="Hyperlink"/>
            <w:rFonts w:eastAsia="Calibri"/>
            <w:noProof/>
            <w:color w:val="0000FF"/>
            <w:sz w:val="24"/>
            <w:szCs w:val="24"/>
            <w:lang w:eastAsia="zh-CN"/>
          </w:rPr>
          <w:t>www.meldenbivirkning.dk</w:t>
        </w:r>
      </w:hyperlink>
    </w:p>
    <w:p w:rsidR="00364E0F" w:rsidRPr="00131678" w:rsidRDefault="00364E0F" w:rsidP="00364E0F">
      <w:pPr>
        <w:pStyle w:val="Sidehoved"/>
        <w:tabs>
          <w:tab w:val="left" w:pos="851"/>
        </w:tabs>
        <w:rPr>
          <w:szCs w:val="24"/>
        </w:rPr>
      </w:pPr>
    </w:p>
    <w:p w:rsidR="00364E0F" w:rsidRPr="00D975A6" w:rsidRDefault="00364E0F" w:rsidP="00364E0F">
      <w:pPr>
        <w:numPr>
          <w:ilvl w:val="1"/>
          <w:numId w:val="1"/>
        </w:numPr>
        <w:rPr>
          <w:b/>
          <w:sz w:val="24"/>
          <w:szCs w:val="24"/>
        </w:rPr>
      </w:pPr>
      <w:r w:rsidRPr="00D975A6">
        <w:rPr>
          <w:b/>
          <w:sz w:val="24"/>
          <w:szCs w:val="24"/>
        </w:rPr>
        <w:t>Overdosering</w:t>
      </w:r>
    </w:p>
    <w:p w:rsidR="00364E0F" w:rsidRPr="00D975A6" w:rsidRDefault="00364E0F" w:rsidP="00364E0F">
      <w:pPr>
        <w:ind w:left="851"/>
        <w:rPr>
          <w:sz w:val="24"/>
          <w:szCs w:val="24"/>
          <w:lang w:val="nb-NO"/>
        </w:rPr>
      </w:pPr>
      <w:r w:rsidRPr="00D975A6">
        <w:rPr>
          <w:sz w:val="24"/>
          <w:szCs w:val="24"/>
          <w:lang w:val="nb-NO"/>
        </w:rPr>
        <w:t xml:space="preserve">Der er begrænset information til rådighed om virkningerne af overdosering med omeprazol hos mennesker. I litteraturen er doser op til 560 mg beskrevet, og lejlighedsvis er der rapporteret om enkelte orale doser på op til 2.400 mg omeprazol (120 gange større end den </w:t>
      </w:r>
      <w:r w:rsidRPr="00D975A6">
        <w:rPr>
          <w:sz w:val="24"/>
          <w:szCs w:val="24"/>
          <w:lang w:val="nb-NO"/>
        </w:rPr>
        <w:lastRenderedPageBreak/>
        <w:t>sædvanligt anbefalede kliniske dosis). Der er rapporteret om kvalme, opkastning, svimmelhed, abdominale smerter, diarré og hovedpine. I enkelte tilfælde er apati, depression og konfusion også blevet beskrevet.</w:t>
      </w:r>
    </w:p>
    <w:p w:rsidR="00364E0F" w:rsidRPr="00D975A6" w:rsidRDefault="00364E0F" w:rsidP="00364E0F">
      <w:pPr>
        <w:ind w:left="851"/>
        <w:rPr>
          <w:sz w:val="24"/>
          <w:szCs w:val="24"/>
          <w:lang w:val="nb-NO"/>
        </w:rPr>
      </w:pPr>
      <w:r w:rsidRPr="00D975A6">
        <w:rPr>
          <w:sz w:val="24"/>
          <w:szCs w:val="24"/>
          <w:lang w:val="nb-NO"/>
        </w:rPr>
        <w:t>De beskrevne symptomer har været forbigående, og der er ikke rapporteret om alvorlige</w:t>
      </w:r>
    </w:p>
    <w:p w:rsidR="00364E0F" w:rsidRPr="00D975A6" w:rsidRDefault="00364E0F" w:rsidP="00364E0F">
      <w:pPr>
        <w:ind w:left="851"/>
        <w:rPr>
          <w:sz w:val="24"/>
          <w:szCs w:val="24"/>
          <w:lang w:val="nb-NO"/>
        </w:rPr>
      </w:pPr>
      <w:r w:rsidRPr="00D975A6">
        <w:rPr>
          <w:sz w:val="24"/>
          <w:szCs w:val="24"/>
          <w:lang w:val="nb-NO"/>
        </w:rPr>
        <w:t>følgevirkninger. Elimininationshastigheden var uændret ved øgede doser (1. ordens kinetik). Behandlingen er, hvis nødvendig, symptomatisk.</w:t>
      </w:r>
    </w:p>
    <w:p w:rsidR="00364E0F" w:rsidRPr="00D975A6" w:rsidRDefault="00364E0F" w:rsidP="00364E0F">
      <w:pPr>
        <w:tabs>
          <w:tab w:val="left" w:pos="851"/>
        </w:tabs>
        <w:ind w:left="851"/>
        <w:rPr>
          <w:sz w:val="24"/>
          <w:szCs w:val="24"/>
        </w:rPr>
      </w:pPr>
    </w:p>
    <w:p w:rsidR="00364E0F" w:rsidRPr="00D975A6" w:rsidRDefault="00364E0F" w:rsidP="00364E0F">
      <w:pPr>
        <w:numPr>
          <w:ilvl w:val="1"/>
          <w:numId w:val="1"/>
        </w:numPr>
        <w:rPr>
          <w:b/>
          <w:sz w:val="24"/>
          <w:szCs w:val="24"/>
        </w:rPr>
      </w:pPr>
      <w:r w:rsidRPr="00D975A6">
        <w:rPr>
          <w:b/>
          <w:sz w:val="24"/>
          <w:szCs w:val="24"/>
        </w:rPr>
        <w:t>Udlevering</w:t>
      </w:r>
    </w:p>
    <w:p w:rsidR="00364E0F" w:rsidRPr="00D975A6" w:rsidRDefault="00364E0F" w:rsidP="00364E0F">
      <w:pPr>
        <w:tabs>
          <w:tab w:val="left" w:pos="851"/>
        </w:tabs>
        <w:ind w:left="851" w:hanging="851"/>
        <w:rPr>
          <w:sz w:val="24"/>
          <w:szCs w:val="24"/>
        </w:rPr>
      </w:pPr>
      <w:r w:rsidRPr="00D975A6">
        <w:rPr>
          <w:sz w:val="24"/>
          <w:szCs w:val="24"/>
        </w:rPr>
        <w:tab/>
        <w:t>B</w:t>
      </w:r>
    </w:p>
    <w:p w:rsidR="00364E0F" w:rsidRPr="00D975A6" w:rsidRDefault="00364E0F" w:rsidP="00364E0F">
      <w:pPr>
        <w:tabs>
          <w:tab w:val="left" w:pos="851"/>
        </w:tabs>
        <w:rPr>
          <w:sz w:val="24"/>
          <w:szCs w:val="24"/>
        </w:rPr>
      </w:pPr>
    </w:p>
    <w:p w:rsidR="00364E0F" w:rsidRPr="00D975A6" w:rsidRDefault="00364E0F" w:rsidP="00364E0F">
      <w:pPr>
        <w:tabs>
          <w:tab w:val="left" w:pos="851"/>
        </w:tabs>
        <w:rPr>
          <w:sz w:val="24"/>
          <w:szCs w:val="24"/>
        </w:rPr>
      </w:pPr>
    </w:p>
    <w:p w:rsidR="00364E0F" w:rsidRPr="00D975A6" w:rsidRDefault="00364E0F" w:rsidP="00364E0F">
      <w:pPr>
        <w:numPr>
          <w:ilvl w:val="0"/>
          <w:numId w:val="1"/>
        </w:numPr>
        <w:rPr>
          <w:b/>
          <w:sz w:val="24"/>
          <w:szCs w:val="24"/>
        </w:rPr>
      </w:pPr>
      <w:r w:rsidRPr="00D975A6">
        <w:rPr>
          <w:b/>
          <w:sz w:val="24"/>
          <w:szCs w:val="24"/>
        </w:rPr>
        <w:t>FARMAKOLOGISKE EGENSKABER</w:t>
      </w:r>
    </w:p>
    <w:p w:rsidR="00364E0F" w:rsidRPr="00D975A6" w:rsidRDefault="00364E0F" w:rsidP="00364E0F">
      <w:pPr>
        <w:tabs>
          <w:tab w:val="left" w:pos="851"/>
        </w:tabs>
        <w:rPr>
          <w:sz w:val="24"/>
          <w:szCs w:val="24"/>
        </w:rPr>
      </w:pPr>
    </w:p>
    <w:p w:rsidR="00364E0F" w:rsidRPr="00D975A6" w:rsidRDefault="00364E0F" w:rsidP="00364E0F">
      <w:pPr>
        <w:tabs>
          <w:tab w:val="left" w:pos="851"/>
        </w:tabs>
        <w:ind w:left="851"/>
        <w:rPr>
          <w:sz w:val="24"/>
          <w:szCs w:val="24"/>
        </w:rPr>
      </w:pPr>
    </w:p>
    <w:p w:rsidR="00364E0F" w:rsidRDefault="00364E0F" w:rsidP="00364E0F">
      <w:pPr>
        <w:numPr>
          <w:ilvl w:val="1"/>
          <w:numId w:val="2"/>
        </w:numPr>
        <w:tabs>
          <w:tab w:val="num" w:pos="851"/>
        </w:tabs>
        <w:ind w:left="851" w:hanging="851"/>
        <w:rPr>
          <w:b/>
          <w:sz w:val="24"/>
          <w:szCs w:val="24"/>
        </w:rPr>
      </w:pPr>
      <w:proofErr w:type="spellStart"/>
      <w:r w:rsidRPr="00D975A6">
        <w:rPr>
          <w:b/>
          <w:sz w:val="24"/>
          <w:szCs w:val="24"/>
        </w:rPr>
        <w:t>Farmakodynamiske</w:t>
      </w:r>
      <w:proofErr w:type="spellEnd"/>
      <w:r w:rsidRPr="00D975A6">
        <w:rPr>
          <w:b/>
          <w:sz w:val="24"/>
          <w:szCs w:val="24"/>
        </w:rPr>
        <w:t xml:space="preserve"> egenskaber</w:t>
      </w:r>
    </w:p>
    <w:p w:rsidR="00FE3ED2" w:rsidRDefault="00FE3ED2" w:rsidP="00FE3ED2">
      <w:pPr>
        <w:tabs>
          <w:tab w:val="num" w:pos="2159"/>
        </w:tabs>
        <w:ind w:left="855"/>
        <w:rPr>
          <w:b/>
          <w:sz w:val="24"/>
          <w:szCs w:val="24"/>
        </w:rPr>
      </w:pPr>
    </w:p>
    <w:p w:rsidR="00FE3ED2" w:rsidRPr="00D975A6" w:rsidRDefault="00FE3ED2" w:rsidP="00FE3ED2">
      <w:pPr>
        <w:autoSpaceDE w:val="0"/>
        <w:autoSpaceDN w:val="0"/>
        <w:adjustRightInd w:val="0"/>
        <w:ind w:left="851"/>
        <w:rPr>
          <w:sz w:val="24"/>
          <w:szCs w:val="24"/>
        </w:rPr>
      </w:pPr>
      <w:proofErr w:type="spellStart"/>
      <w:r>
        <w:rPr>
          <w:sz w:val="24"/>
          <w:szCs w:val="24"/>
        </w:rPr>
        <w:t>Farmakoterapeutik</w:t>
      </w:r>
      <w:proofErr w:type="spellEnd"/>
      <w:r>
        <w:rPr>
          <w:sz w:val="24"/>
          <w:szCs w:val="24"/>
        </w:rPr>
        <w:t xml:space="preserve"> klassifikation: </w:t>
      </w:r>
      <w:r w:rsidRPr="00250E64">
        <w:rPr>
          <w:sz w:val="24"/>
          <w:szCs w:val="24"/>
        </w:rPr>
        <w:t>Protonpumpehæmmer</w:t>
      </w:r>
      <w:r>
        <w:rPr>
          <w:sz w:val="24"/>
          <w:szCs w:val="24"/>
        </w:rPr>
        <w:t xml:space="preserve">. </w:t>
      </w:r>
      <w:r w:rsidRPr="00D975A6">
        <w:rPr>
          <w:sz w:val="24"/>
          <w:szCs w:val="24"/>
        </w:rPr>
        <w:t xml:space="preserve">ATC-kode: A 02 BC 01. </w:t>
      </w:r>
    </w:p>
    <w:p w:rsidR="00FE3ED2" w:rsidRPr="00D975A6" w:rsidRDefault="00FE3ED2" w:rsidP="00FE3ED2">
      <w:pPr>
        <w:tabs>
          <w:tab w:val="num" w:pos="2159"/>
        </w:tabs>
        <w:ind w:left="855"/>
        <w:rPr>
          <w:b/>
          <w:sz w:val="24"/>
          <w:szCs w:val="24"/>
        </w:rPr>
      </w:pPr>
    </w:p>
    <w:p w:rsidR="00364E0F" w:rsidRPr="00D975A6" w:rsidRDefault="00364E0F" w:rsidP="00364E0F">
      <w:pPr>
        <w:autoSpaceDE w:val="0"/>
        <w:autoSpaceDN w:val="0"/>
        <w:adjustRightInd w:val="0"/>
        <w:ind w:left="851"/>
        <w:rPr>
          <w:sz w:val="24"/>
          <w:szCs w:val="24"/>
          <w:u w:val="single"/>
        </w:rPr>
      </w:pPr>
      <w:r w:rsidRPr="00D975A6">
        <w:rPr>
          <w:sz w:val="24"/>
          <w:szCs w:val="24"/>
          <w:u w:val="single"/>
        </w:rPr>
        <w:t>Virkningsmekanisme</w:t>
      </w:r>
    </w:p>
    <w:p w:rsidR="00364E0F" w:rsidRPr="00D975A6" w:rsidRDefault="00364E0F" w:rsidP="00364E0F">
      <w:pPr>
        <w:autoSpaceDE w:val="0"/>
        <w:autoSpaceDN w:val="0"/>
        <w:adjustRightInd w:val="0"/>
        <w:ind w:left="851"/>
        <w:rPr>
          <w:sz w:val="24"/>
          <w:szCs w:val="24"/>
          <w:lang w:val="nb-NO"/>
        </w:rPr>
      </w:pPr>
      <w:proofErr w:type="spellStart"/>
      <w:r w:rsidRPr="00D975A6">
        <w:rPr>
          <w:sz w:val="24"/>
          <w:szCs w:val="24"/>
        </w:rPr>
        <w:t>Omeprazol</w:t>
      </w:r>
      <w:proofErr w:type="spellEnd"/>
      <w:r w:rsidRPr="00D975A6">
        <w:rPr>
          <w:sz w:val="24"/>
          <w:szCs w:val="24"/>
        </w:rPr>
        <w:t xml:space="preserve">, en </w:t>
      </w:r>
      <w:proofErr w:type="spellStart"/>
      <w:r w:rsidRPr="00D975A6">
        <w:rPr>
          <w:sz w:val="24"/>
          <w:szCs w:val="24"/>
        </w:rPr>
        <w:t>racemisk</w:t>
      </w:r>
      <w:proofErr w:type="spellEnd"/>
      <w:r w:rsidRPr="00D975A6">
        <w:rPr>
          <w:sz w:val="24"/>
          <w:szCs w:val="24"/>
        </w:rPr>
        <w:t xml:space="preserve"> blanding af to </w:t>
      </w:r>
      <w:proofErr w:type="spellStart"/>
      <w:r w:rsidRPr="00D975A6">
        <w:rPr>
          <w:sz w:val="24"/>
          <w:szCs w:val="24"/>
        </w:rPr>
        <w:t>enantiomerer</w:t>
      </w:r>
      <w:proofErr w:type="spellEnd"/>
      <w:r w:rsidRPr="00D975A6">
        <w:rPr>
          <w:sz w:val="24"/>
          <w:szCs w:val="24"/>
        </w:rPr>
        <w:t xml:space="preserve">, nedsætter sekretionen af mavesyre ved en yderst </w:t>
      </w:r>
      <w:r w:rsidRPr="00D975A6">
        <w:rPr>
          <w:sz w:val="24"/>
          <w:szCs w:val="24"/>
          <w:lang w:val="nb-NO"/>
        </w:rPr>
        <w:t>målrettet virkningsmekanisme. Det er en specifik inhibitor af syrepumpen i parietalcellerne. Der er en hurtig indtrædende effekt, og kontrol opnås gennem reversibel inhibering af mavesyresekretionen med en daglig dosering.</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Omeprazol er en svag base, der koncentreres og omdannes til den aktive form i det meget sure miljø i parietalcellernes intracellulære canaliculi, hvor det hæmmer enzymet H+,K+-ATPase, syrepumpen.</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Denne virkning på det sidste trin i processen for dannelse af mavesyre er dosisafhængig og sikrer en meget effektiv hæmning af såvel basal som stimuleret syresekretion, uanset stimuli.</w:t>
      </w:r>
    </w:p>
    <w:p w:rsidR="00364E0F" w:rsidRPr="00D975A6" w:rsidRDefault="00364E0F" w:rsidP="00364E0F">
      <w:pPr>
        <w:autoSpaceDE w:val="0"/>
        <w:autoSpaceDN w:val="0"/>
        <w:adjustRightInd w:val="0"/>
        <w:ind w:left="851"/>
        <w:rPr>
          <w:sz w:val="24"/>
          <w:szCs w:val="24"/>
          <w:u w:val="single"/>
          <w:lang w:val="nb-NO"/>
        </w:rPr>
      </w:pPr>
    </w:p>
    <w:p w:rsidR="00364E0F" w:rsidRPr="00D975A6" w:rsidRDefault="00364E0F" w:rsidP="00364E0F">
      <w:pPr>
        <w:autoSpaceDE w:val="0"/>
        <w:autoSpaceDN w:val="0"/>
        <w:adjustRightInd w:val="0"/>
        <w:ind w:left="851"/>
        <w:rPr>
          <w:sz w:val="24"/>
          <w:szCs w:val="24"/>
          <w:u w:val="single"/>
          <w:lang w:val="nb-NO"/>
        </w:rPr>
      </w:pPr>
      <w:r w:rsidRPr="00D975A6">
        <w:rPr>
          <w:sz w:val="24"/>
          <w:szCs w:val="24"/>
          <w:u w:val="single"/>
          <w:lang w:val="nb-NO"/>
        </w:rPr>
        <w:t>Farmakodynamisk virkning</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Alle observerede farmakodynamiske virkninger kan forklares ved omeprazols virkning på</w:t>
      </w:r>
    </w:p>
    <w:p w:rsidR="00364E0F" w:rsidRPr="00D975A6" w:rsidRDefault="00364E0F" w:rsidP="00364E0F">
      <w:pPr>
        <w:ind w:left="851"/>
        <w:rPr>
          <w:sz w:val="24"/>
          <w:szCs w:val="24"/>
          <w:u w:val="single"/>
          <w:lang w:val="nb-NO"/>
        </w:rPr>
      </w:pPr>
      <w:r w:rsidRPr="00D975A6">
        <w:rPr>
          <w:sz w:val="24"/>
          <w:szCs w:val="24"/>
          <w:lang w:val="nb-NO"/>
        </w:rPr>
        <w:t>syresekretionen.</w:t>
      </w:r>
      <w:r w:rsidRPr="00D975A6">
        <w:rPr>
          <w:sz w:val="24"/>
          <w:szCs w:val="24"/>
          <w:u w:val="single"/>
          <w:lang w:val="nb-NO"/>
        </w:rPr>
        <w:t xml:space="preserve"> </w:t>
      </w:r>
    </w:p>
    <w:p w:rsidR="00364E0F" w:rsidRPr="00D975A6" w:rsidRDefault="00364E0F" w:rsidP="00364E0F">
      <w:pPr>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Virkning på mavesyresekretionen</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En oral dosis omeprazol en gang daglig giver en hurtig og effektiv hæmning af mavesyresekretionen i dag- og nattetimerne med maksimal virkning inden for 4 dages behandling. Med omeprazol 20 mg bibeholdes en gennemsnitlig reduktion af ventriklens surhedsgrad på mindst 80 % over 24 timer hos patienter med duodenalt ulcus, mens den gennemsnitlige reduktion af den maksimale syreproduktion efter pentagastrinstimulering er ca. 70 % 24 timer efter dosisindgift.</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En oral dosis omeprazol på 20 mg til patienter med duodenalt ulcus opretholder intragastisk pH på ≥</w:t>
      </w:r>
      <w:r w:rsidRPr="00D975A6">
        <w:rPr>
          <w:sz w:val="24"/>
          <w:szCs w:val="24"/>
          <w:lang w:val="en-US"/>
        </w:rPr>
        <w:t></w:t>
      </w:r>
      <w:r w:rsidRPr="00D975A6">
        <w:rPr>
          <w:sz w:val="24"/>
          <w:szCs w:val="24"/>
          <w:lang w:val="nb-NO"/>
        </w:rPr>
        <w:t>3 i gennemsnitligt 17 timer ud af en periode på 24 timer.</w:t>
      </w:r>
    </w:p>
    <w:p w:rsidR="00364E0F" w:rsidRPr="00D975A6" w:rsidRDefault="00364E0F" w:rsidP="00364E0F">
      <w:pPr>
        <w:ind w:left="851"/>
        <w:rPr>
          <w:sz w:val="24"/>
          <w:szCs w:val="24"/>
          <w:lang w:val="nb-NO"/>
        </w:rPr>
      </w:pP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Som en konsekvens af nedsat syreproduktion og nedsat surhedsgrad i ventriklen reducerer/ normaliserer omeprazol dosisafhængigt øsofagus eksponering for syre hos patienter med</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gastroøsofageal reflukssygdom.</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Hæmningen af syresekretionen er relateret til AUC for omeprazol og ikke til den aktuelle</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lastRenderedPageBreak/>
        <w:t>plasmakoncentrationen på et givet tidspunkt.</w:t>
      </w:r>
    </w:p>
    <w:p w:rsidR="00364E0F" w:rsidRPr="00D975A6" w:rsidRDefault="00364E0F" w:rsidP="00364E0F">
      <w:pPr>
        <w:autoSpaceDE w:val="0"/>
        <w:autoSpaceDN w:val="0"/>
        <w:adjustRightInd w:val="0"/>
        <w:ind w:left="851"/>
        <w:rPr>
          <w:sz w:val="24"/>
          <w:szCs w:val="24"/>
          <w:lang w:val="nb-NO"/>
        </w:rPr>
      </w:pPr>
    </w:p>
    <w:p w:rsidR="00364E0F" w:rsidRDefault="00364E0F" w:rsidP="00364E0F">
      <w:pPr>
        <w:autoSpaceDE w:val="0"/>
        <w:autoSpaceDN w:val="0"/>
        <w:adjustRightInd w:val="0"/>
        <w:ind w:left="851"/>
        <w:rPr>
          <w:sz w:val="24"/>
          <w:szCs w:val="24"/>
          <w:lang w:val="nb-NO"/>
        </w:rPr>
      </w:pPr>
      <w:r w:rsidRPr="00D975A6">
        <w:rPr>
          <w:sz w:val="24"/>
          <w:szCs w:val="24"/>
          <w:lang w:val="nb-NO"/>
        </w:rPr>
        <w:t>Der er ikke set takyfylaksi under behandling med omeprazol.</w:t>
      </w:r>
    </w:p>
    <w:p w:rsidR="00364E0F"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Virkning på H. pylori</w:t>
      </w:r>
    </w:p>
    <w:p w:rsidR="00364E0F" w:rsidRPr="00D975A6" w:rsidRDefault="00364E0F" w:rsidP="00364E0F">
      <w:pPr>
        <w:autoSpaceDE w:val="0"/>
        <w:autoSpaceDN w:val="0"/>
        <w:adjustRightInd w:val="0"/>
        <w:ind w:left="851"/>
        <w:rPr>
          <w:sz w:val="24"/>
          <w:szCs w:val="24"/>
          <w:lang w:val="nb-NO"/>
        </w:rPr>
      </w:pPr>
      <w:r w:rsidRPr="00D975A6">
        <w:rPr>
          <w:i/>
          <w:iCs/>
          <w:sz w:val="24"/>
          <w:szCs w:val="24"/>
          <w:lang w:val="nb-NO"/>
        </w:rPr>
        <w:t xml:space="preserve">H. pylori </w:t>
      </w:r>
      <w:r w:rsidRPr="00D975A6">
        <w:rPr>
          <w:sz w:val="24"/>
          <w:szCs w:val="24"/>
          <w:lang w:val="nb-NO"/>
        </w:rPr>
        <w:t xml:space="preserve">er associeret med peptisk ulcussygdom, inklusive duodenal og gastrisk ulcussygdom. </w:t>
      </w:r>
      <w:r w:rsidRPr="00D975A6">
        <w:rPr>
          <w:i/>
          <w:iCs/>
          <w:sz w:val="24"/>
          <w:szCs w:val="24"/>
          <w:lang w:val="nb-NO"/>
        </w:rPr>
        <w:t xml:space="preserve">H. pylori </w:t>
      </w:r>
      <w:r w:rsidRPr="00D975A6">
        <w:rPr>
          <w:sz w:val="24"/>
          <w:szCs w:val="24"/>
          <w:lang w:val="nb-NO"/>
        </w:rPr>
        <w:t xml:space="preserve">er en vigtig faktor i udvikling af gastritis. </w:t>
      </w:r>
      <w:r w:rsidRPr="00D975A6">
        <w:rPr>
          <w:i/>
          <w:iCs/>
          <w:sz w:val="24"/>
          <w:szCs w:val="24"/>
          <w:lang w:val="nb-NO"/>
        </w:rPr>
        <w:t xml:space="preserve">H. pylori </w:t>
      </w:r>
      <w:r w:rsidRPr="00D975A6">
        <w:rPr>
          <w:sz w:val="24"/>
          <w:szCs w:val="24"/>
          <w:lang w:val="nb-NO"/>
        </w:rPr>
        <w:t xml:space="preserve">er sammen med mavesyre vigtige faktorer i udviklingen af peptisk ulcussygdom. </w:t>
      </w:r>
      <w:r w:rsidRPr="00D975A6">
        <w:rPr>
          <w:i/>
          <w:iCs/>
          <w:sz w:val="24"/>
          <w:szCs w:val="24"/>
          <w:lang w:val="nb-NO"/>
        </w:rPr>
        <w:t xml:space="preserve">H. pylori </w:t>
      </w:r>
      <w:r w:rsidRPr="00D975A6">
        <w:rPr>
          <w:sz w:val="24"/>
          <w:szCs w:val="24"/>
          <w:lang w:val="nb-NO"/>
        </w:rPr>
        <w:t>er en vigtig faktor ved udviklingen af atrofisk gastritis, som associeres med en øget risiko for udvikling af ventrikelcancer.</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Eradikation af </w:t>
      </w:r>
      <w:r w:rsidRPr="00D975A6">
        <w:rPr>
          <w:i/>
          <w:iCs/>
          <w:sz w:val="24"/>
          <w:szCs w:val="24"/>
          <w:lang w:val="nb-NO"/>
        </w:rPr>
        <w:t xml:space="preserve">H. pylori </w:t>
      </w:r>
      <w:r w:rsidRPr="00D975A6">
        <w:rPr>
          <w:sz w:val="24"/>
          <w:szCs w:val="24"/>
          <w:lang w:val="nb-NO"/>
        </w:rPr>
        <w:t>med omeprazol og antibiotika er forbundet med høj grad af heling og langtidsremission af peptiske ulcera.</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2-stof-terapier er blevet gennemprøvet og vurderes at være mindre effektive end 3-stof-terapier. De kan dog overvejes i tilfælde, hvor overfølsomhed udelukker 3-stof-terapierne.</w:t>
      </w:r>
    </w:p>
    <w:p w:rsidR="00364E0F" w:rsidRPr="00D975A6" w:rsidRDefault="00364E0F" w:rsidP="00364E0F">
      <w:pPr>
        <w:ind w:left="851"/>
        <w:rPr>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Anden effekt relateret til syrehæmning</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Ved langtidsbehandling er der rapporteret en noget øget frekvens af gastriske, glandulære cyster. Disse ændringer, der er en fysiologisk konsekvens af udtalt hæmning af syresekretionen, er godartede og synes at være reversible.</w:t>
      </w:r>
    </w:p>
    <w:p w:rsidR="00364E0F" w:rsidRDefault="00364E0F" w:rsidP="00364E0F">
      <w:pPr>
        <w:autoSpaceDE w:val="0"/>
        <w:autoSpaceDN w:val="0"/>
        <w:adjustRightInd w:val="0"/>
        <w:ind w:left="851"/>
        <w:rPr>
          <w:i/>
          <w:iCs/>
          <w:sz w:val="24"/>
          <w:szCs w:val="24"/>
          <w:lang w:val="nb-NO"/>
        </w:rPr>
      </w:pPr>
      <w:r w:rsidRPr="00D975A6">
        <w:rPr>
          <w:sz w:val="24"/>
          <w:szCs w:val="24"/>
          <w:lang w:val="nb-NO"/>
        </w:rPr>
        <w:t xml:space="preserve">Nedsat gastrisk surhedsgrad, uanset årsag inklusive protonpumpehæmmere, øger antallet af normalt forekommende bakterier i mave-tarm-kanalen. Behandling med syrehæmmende farmaka kan derfor medføre en let forøget risiko for gastrointestinale infektioner såsom </w:t>
      </w:r>
      <w:r w:rsidRPr="00D975A6">
        <w:rPr>
          <w:i/>
          <w:iCs/>
          <w:sz w:val="24"/>
          <w:szCs w:val="24"/>
          <w:lang w:val="nb-NO"/>
        </w:rPr>
        <w:t xml:space="preserve">Salmonella </w:t>
      </w:r>
      <w:r w:rsidRPr="00D975A6">
        <w:rPr>
          <w:sz w:val="24"/>
          <w:szCs w:val="24"/>
          <w:lang w:val="nb-NO"/>
        </w:rPr>
        <w:t xml:space="preserve">og </w:t>
      </w:r>
      <w:r w:rsidRPr="00D975A6">
        <w:rPr>
          <w:i/>
          <w:iCs/>
          <w:sz w:val="24"/>
          <w:szCs w:val="24"/>
          <w:lang w:val="nb-NO"/>
        </w:rPr>
        <w:t>Campylobacter.</w:t>
      </w:r>
    </w:p>
    <w:p w:rsidR="00364E0F" w:rsidRDefault="00364E0F" w:rsidP="00364E0F">
      <w:pPr>
        <w:autoSpaceDE w:val="0"/>
        <w:autoSpaceDN w:val="0"/>
        <w:adjustRightInd w:val="0"/>
        <w:ind w:left="851"/>
        <w:rPr>
          <w:i/>
          <w:iCs/>
          <w:sz w:val="24"/>
          <w:szCs w:val="24"/>
          <w:lang w:val="nb-NO"/>
        </w:rPr>
      </w:pPr>
    </w:p>
    <w:p w:rsidR="00364E0F" w:rsidRPr="00BA34CA" w:rsidRDefault="00364E0F" w:rsidP="00364E0F">
      <w:pPr>
        <w:autoSpaceDE w:val="0"/>
        <w:autoSpaceDN w:val="0"/>
        <w:adjustRightInd w:val="0"/>
        <w:ind w:left="851"/>
        <w:rPr>
          <w:sz w:val="24"/>
          <w:szCs w:val="24"/>
        </w:rPr>
      </w:pPr>
      <w:r w:rsidRPr="00BA34CA">
        <w:rPr>
          <w:sz w:val="24"/>
          <w:szCs w:val="24"/>
        </w:rPr>
        <w:t xml:space="preserve">Under behandling med sekretionshæmmende lægemidler stiger indholdet af gastrin i serum som reaktion på den nedsatte syresekretion. Også indholdet af </w:t>
      </w:r>
      <w:proofErr w:type="spellStart"/>
      <w:r w:rsidRPr="00BA34CA">
        <w:rPr>
          <w:sz w:val="24"/>
          <w:szCs w:val="24"/>
        </w:rPr>
        <w:t>CgA</w:t>
      </w:r>
      <w:proofErr w:type="spellEnd"/>
      <w:r w:rsidRPr="00BA34CA">
        <w:rPr>
          <w:sz w:val="24"/>
          <w:szCs w:val="24"/>
        </w:rPr>
        <w:t xml:space="preserve"> stiger på grund af den nedsatte gastriske </w:t>
      </w:r>
      <w:proofErr w:type="spellStart"/>
      <w:r w:rsidRPr="00BA34CA">
        <w:rPr>
          <w:sz w:val="24"/>
          <w:szCs w:val="24"/>
        </w:rPr>
        <w:t>aciditet</w:t>
      </w:r>
      <w:proofErr w:type="spellEnd"/>
      <w:r w:rsidRPr="00BA34CA">
        <w:rPr>
          <w:sz w:val="24"/>
          <w:szCs w:val="24"/>
        </w:rPr>
        <w:t xml:space="preserve">. Det forhøjede indhold af </w:t>
      </w:r>
      <w:proofErr w:type="spellStart"/>
      <w:r w:rsidRPr="00BA34CA">
        <w:rPr>
          <w:sz w:val="24"/>
          <w:szCs w:val="24"/>
        </w:rPr>
        <w:t>CgA</w:t>
      </w:r>
      <w:proofErr w:type="spellEnd"/>
      <w:r w:rsidRPr="00BA34CA">
        <w:rPr>
          <w:sz w:val="24"/>
          <w:szCs w:val="24"/>
        </w:rPr>
        <w:t xml:space="preserve"> kan interferere med undersøgelser for </w:t>
      </w:r>
      <w:proofErr w:type="spellStart"/>
      <w:r w:rsidRPr="00BA34CA">
        <w:rPr>
          <w:sz w:val="24"/>
          <w:szCs w:val="24"/>
        </w:rPr>
        <w:t>neuroendokrine</w:t>
      </w:r>
      <w:proofErr w:type="spellEnd"/>
      <w:r w:rsidRPr="00BA34CA">
        <w:rPr>
          <w:sz w:val="24"/>
          <w:szCs w:val="24"/>
        </w:rPr>
        <w:t xml:space="preserve"> tumorer.</w:t>
      </w:r>
    </w:p>
    <w:p w:rsidR="00364E0F" w:rsidRDefault="00364E0F" w:rsidP="00364E0F">
      <w:pPr>
        <w:autoSpaceDE w:val="0"/>
        <w:autoSpaceDN w:val="0"/>
        <w:adjustRightInd w:val="0"/>
        <w:ind w:left="851"/>
        <w:rPr>
          <w:sz w:val="24"/>
          <w:szCs w:val="24"/>
        </w:rPr>
      </w:pPr>
      <w:r w:rsidRPr="00BA34CA">
        <w:rPr>
          <w:sz w:val="24"/>
          <w:szCs w:val="24"/>
        </w:rPr>
        <w:t xml:space="preserve">Den foreliggende publicerede dokumentation antyder, at </w:t>
      </w:r>
      <w:proofErr w:type="spellStart"/>
      <w:r w:rsidRPr="00BA34CA">
        <w:rPr>
          <w:sz w:val="24"/>
          <w:szCs w:val="24"/>
        </w:rPr>
        <w:t>protonpumpehæmmere</w:t>
      </w:r>
      <w:proofErr w:type="spellEnd"/>
      <w:r w:rsidRPr="00BA34CA">
        <w:rPr>
          <w:sz w:val="24"/>
          <w:szCs w:val="24"/>
        </w:rPr>
        <w:t xml:space="preserve"> bør seponeres mellem 5 dage og 2 uger før måling af </w:t>
      </w:r>
      <w:proofErr w:type="spellStart"/>
      <w:r w:rsidRPr="00BA34CA">
        <w:rPr>
          <w:sz w:val="24"/>
          <w:szCs w:val="24"/>
        </w:rPr>
        <w:t>CgA</w:t>
      </w:r>
      <w:proofErr w:type="spellEnd"/>
      <w:r w:rsidRPr="00BA34CA">
        <w:rPr>
          <w:sz w:val="24"/>
          <w:szCs w:val="24"/>
        </w:rPr>
        <w:t xml:space="preserve">. Dette er for at eventuelle falskt forhøjede værdier af </w:t>
      </w:r>
      <w:proofErr w:type="spellStart"/>
      <w:r w:rsidRPr="00BA34CA">
        <w:rPr>
          <w:sz w:val="24"/>
          <w:szCs w:val="24"/>
        </w:rPr>
        <w:t>CgA</w:t>
      </w:r>
      <w:proofErr w:type="spellEnd"/>
      <w:r w:rsidRPr="00BA34CA">
        <w:rPr>
          <w:sz w:val="24"/>
          <w:szCs w:val="24"/>
        </w:rPr>
        <w:t xml:space="preserve"> i forbindelse med behandling med </w:t>
      </w:r>
      <w:proofErr w:type="spellStart"/>
      <w:r w:rsidRPr="00BA34CA">
        <w:rPr>
          <w:sz w:val="24"/>
          <w:szCs w:val="24"/>
        </w:rPr>
        <w:t>protonpumpehæmmere</w:t>
      </w:r>
      <w:proofErr w:type="spellEnd"/>
      <w:r w:rsidRPr="00BA34CA">
        <w:rPr>
          <w:sz w:val="24"/>
          <w:szCs w:val="24"/>
        </w:rPr>
        <w:t xml:space="preserve"> kan vende tilbage til referenceområdet.</w:t>
      </w:r>
    </w:p>
    <w:p w:rsidR="00364E0F" w:rsidRDefault="00364E0F" w:rsidP="00364E0F">
      <w:pPr>
        <w:autoSpaceDE w:val="0"/>
        <w:autoSpaceDN w:val="0"/>
        <w:adjustRightInd w:val="0"/>
        <w:ind w:left="851"/>
      </w:pPr>
    </w:p>
    <w:p w:rsidR="00364E0F" w:rsidRPr="00D975A6" w:rsidRDefault="00364E0F" w:rsidP="00364E0F">
      <w:pPr>
        <w:autoSpaceDE w:val="0"/>
        <w:autoSpaceDN w:val="0"/>
        <w:adjustRightInd w:val="0"/>
        <w:ind w:left="851"/>
        <w:rPr>
          <w:i/>
          <w:iCs/>
          <w:sz w:val="24"/>
          <w:szCs w:val="24"/>
          <w:lang w:val="nb-NO"/>
        </w:rPr>
      </w:pPr>
      <w:r>
        <w:t xml:space="preserve">Et øget antal ECL-celler, muligvis betinget af de øgede </w:t>
      </w:r>
      <w:proofErr w:type="spellStart"/>
      <w:r>
        <w:t>serumgastrinniveaer</w:t>
      </w:r>
      <w:proofErr w:type="spellEnd"/>
      <w:r>
        <w:t xml:space="preserve">, er blevet observeret hos nogle patienter (både børn og voksne) under langtidsbehandling med </w:t>
      </w:r>
      <w:proofErr w:type="spellStart"/>
      <w:r>
        <w:t>omeprazol</w:t>
      </w:r>
      <w:proofErr w:type="spellEnd"/>
      <w:r>
        <w:t>. Fundene anses ikke for klinisk signifikante.</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u w:val="single"/>
          <w:lang w:val="nb-NO"/>
        </w:rPr>
      </w:pPr>
      <w:r w:rsidRPr="00D975A6">
        <w:rPr>
          <w:sz w:val="24"/>
          <w:szCs w:val="24"/>
          <w:u w:val="single"/>
          <w:lang w:val="nb-NO"/>
        </w:rPr>
        <w:t xml:space="preserve">Pædiatrisk </w:t>
      </w:r>
      <w:r>
        <w:rPr>
          <w:sz w:val="24"/>
          <w:szCs w:val="24"/>
          <w:u w:val="single"/>
          <w:lang w:val="nb-NO"/>
        </w:rPr>
        <w:t>population</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I et ikke-kontrolleret forsøg med børn (mellem 1 og 16 år) med svær refluksøsofagitis forbedrede omeprazol i doser mellem 0,7-1,4 mg/kg graden af øsofagitis i 90 % af tilfældene og reducerede reflukssymptomerne signifikant. I et enkeltblindet forsøg blev børn mellem 0 og 24 måneder med klinisk diagnosticeret gastroøsofageal reflukssygdom behandlet med 0,5, 1,0 eller 1,5 mg omeprazol/kg. Hyppigheden af episoder med opkastning/regurgitation faldt med 50 % efter 8 ugers behandling uanset dosis.</w:t>
      </w:r>
    </w:p>
    <w:p w:rsidR="00364E0F" w:rsidRDefault="00364E0F" w:rsidP="00364E0F">
      <w:pPr>
        <w:autoSpaceDE w:val="0"/>
        <w:autoSpaceDN w:val="0"/>
        <w:adjustRightInd w:val="0"/>
        <w:rPr>
          <w:i/>
          <w:iCs/>
          <w:sz w:val="24"/>
          <w:szCs w:val="24"/>
          <w:lang w:val="sv-SE"/>
        </w:rPr>
      </w:pPr>
    </w:p>
    <w:p w:rsidR="00364E0F" w:rsidRPr="00D975A6" w:rsidRDefault="00364E0F" w:rsidP="00364E0F">
      <w:pPr>
        <w:autoSpaceDE w:val="0"/>
        <w:autoSpaceDN w:val="0"/>
        <w:adjustRightInd w:val="0"/>
        <w:ind w:left="851"/>
        <w:rPr>
          <w:i/>
          <w:iCs/>
          <w:sz w:val="24"/>
          <w:szCs w:val="24"/>
          <w:lang w:val="sv-SE"/>
        </w:rPr>
      </w:pPr>
      <w:proofErr w:type="spellStart"/>
      <w:r w:rsidRPr="00D975A6">
        <w:rPr>
          <w:i/>
          <w:iCs/>
          <w:sz w:val="24"/>
          <w:szCs w:val="24"/>
          <w:lang w:val="sv-SE"/>
        </w:rPr>
        <w:t>Eradikation</w:t>
      </w:r>
      <w:proofErr w:type="spellEnd"/>
      <w:r w:rsidRPr="00D975A6">
        <w:rPr>
          <w:i/>
          <w:iCs/>
          <w:sz w:val="24"/>
          <w:szCs w:val="24"/>
          <w:lang w:val="sv-SE"/>
        </w:rPr>
        <w:t xml:space="preserve"> </w:t>
      </w:r>
      <w:proofErr w:type="spellStart"/>
      <w:r w:rsidRPr="00D975A6">
        <w:rPr>
          <w:i/>
          <w:iCs/>
          <w:sz w:val="24"/>
          <w:szCs w:val="24"/>
          <w:lang w:val="sv-SE"/>
        </w:rPr>
        <w:t>af</w:t>
      </w:r>
      <w:proofErr w:type="spellEnd"/>
      <w:r w:rsidRPr="00D975A6">
        <w:rPr>
          <w:i/>
          <w:iCs/>
          <w:sz w:val="24"/>
          <w:szCs w:val="24"/>
          <w:lang w:val="sv-SE"/>
        </w:rPr>
        <w:t xml:space="preserve"> H. pylori hos </w:t>
      </w:r>
      <w:proofErr w:type="spellStart"/>
      <w:r w:rsidRPr="00D975A6">
        <w:rPr>
          <w:i/>
          <w:iCs/>
          <w:sz w:val="24"/>
          <w:szCs w:val="24"/>
          <w:lang w:val="sv-SE"/>
        </w:rPr>
        <w:t>børn</w:t>
      </w:r>
      <w:proofErr w:type="spellEnd"/>
    </w:p>
    <w:p w:rsidR="00364E0F" w:rsidRDefault="00364E0F" w:rsidP="00364E0F">
      <w:pPr>
        <w:autoSpaceDE w:val="0"/>
        <w:autoSpaceDN w:val="0"/>
        <w:adjustRightInd w:val="0"/>
        <w:ind w:left="851"/>
        <w:rPr>
          <w:sz w:val="24"/>
          <w:szCs w:val="24"/>
          <w:lang w:val="nb-NO"/>
        </w:rPr>
      </w:pPr>
      <w:r w:rsidRPr="00D975A6">
        <w:rPr>
          <w:sz w:val="24"/>
          <w:szCs w:val="24"/>
          <w:lang w:val="nb-NO"/>
        </w:rPr>
        <w:t xml:space="preserve">Et randomiseret, dobbeltblindet klinisk forsøg (Héliot-studiet) konkluderede, at omeprazol i kombination med to antibiotika (amoxicillin og clarithromycin) var sikkert og effektivt i behandlingen </w:t>
      </w:r>
      <w:proofErr w:type="spellStart"/>
      <w:r w:rsidRPr="00D975A6">
        <w:rPr>
          <w:sz w:val="24"/>
          <w:szCs w:val="24"/>
          <w:lang w:val="sv-SE"/>
        </w:rPr>
        <w:t>af</w:t>
      </w:r>
      <w:proofErr w:type="spellEnd"/>
      <w:r w:rsidRPr="00D975A6">
        <w:rPr>
          <w:sz w:val="24"/>
          <w:szCs w:val="24"/>
          <w:lang w:val="sv-SE"/>
        </w:rPr>
        <w:t xml:space="preserve"> </w:t>
      </w:r>
      <w:r w:rsidRPr="00D975A6">
        <w:rPr>
          <w:i/>
          <w:iCs/>
          <w:sz w:val="24"/>
          <w:szCs w:val="24"/>
          <w:lang w:val="sv-SE"/>
        </w:rPr>
        <w:t>H. pylori</w:t>
      </w:r>
      <w:r w:rsidRPr="00D975A6">
        <w:rPr>
          <w:sz w:val="24"/>
          <w:szCs w:val="24"/>
          <w:lang w:val="sv-SE"/>
        </w:rPr>
        <w:t xml:space="preserve">-infektion hos </w:t>
      </w:r>
      <w:proofErr w:type="spellStart"/>
      <w:r w:rsidRPr="00D975A6">
        <w:rPr>
          <w:sz w:val="24"/>
          <w:szCs w:val="24"/>
          <w:lang w:val="sv-SE"/>
        </w:rPr>
        <w:t>børn</w:t>
      </w:r>
      <w:proofErr w:type="spellEnd"/>
      <w:r w:rsidRPr="00D975A6">
        <w:rPr>
          <w:sz w:val="24"/>
          <w:szCs w:val="24"/>
          <w:lang w:val="sv-SE"/>
        </w:rPr>
        <w:t xml:space="preserve"> </w:t>
      </w:r>
      <w:proofErr w:type="spellStart"/>
      <w:r w:rsidRPr="00D975A6">
        <w:rPr>
          <w:sz w:val="24"/>
          <w:szCs w:val="24"/>
          <w:lang w:val="sv-SE"/>
        </w:rPr>
        <w:t>fra</w:t>
      </w:r>
      <w:proofErr w:type="spellEnd"/>
      <w:r w:rsidRPr="00D975A6">
        <w:rPr>
          <w:sz w:val="24"/>
          <w:szCs w:val="24"/>
          <w:lang w:val="sv-SE"/>
        </w:rPr>
        <w:t xml:space="preserve"> 4 år med </w:t>
      </w:r>
      <w:proofErr w:type="spellStart"/>
      <w:r w:rsidRPr="00D975A6">
        <w:rPr>
          <w:sz w:val="24"/>
          <w:szCs w:val="24"/>
          <w:lang w:val="sv-SE"/>
        </w:rPr>
        <w:t>gastritis</w:t>
      </w:r>
      <w:proofErr w:type="spellEnd"/>
      <w:r w:rsidRPr="00D975A6">
        <w:rPr>
          <w:sz w:val="24"/>
          <w:szCs w:val="24"/>
          <w:lang w:val="sv-SE"/>
        </w:rPr>
        <w:t xml:space="preserve">. Frekvens for </w:t>
      </w:r>
      <w:proofErr w:type="spellStart"/>
      <w:r w:rsidRPr="00D975A6">
        <w:rPr>
          <w:sz w:val="24"/>
          <w:szCs w:val="24"/>
          <w:lang w:val="sv-SE"/>
        </w:rPr>
        <w:lastRenderedPageBreak/>
        <w:t>eradikation</w:t>
      </w:r>
      <w:proofErr w:type="spellEnd"/>
      <w:r w:rsidRPr="00D975A6">
        <w:rPr>
          <w:sz w:val="24"/>
          <w:szCs w:val="24"/>
          <w:lang w:val="sv-SE"/>
        </w:rPr>
        <w:t xml:space="preserve"> </w:t>
      </w:r>
      <w:proofErr w:type="spellStart"/>
      <w:r w:rsidRPr="00D975A6">
        <w:rPr>
          <w:sz w:val="24"/>
          <w:szCs w:val="24"/>
          <w:lang w:val="sv-SE"/>
        </w:rPr>
        <w:t>af</w:t>
      </w:r>
      <w:proofErr w:type="spellEnd"/>
      <w:r w:rsidRPr="00D975A6">
        <w:rPr>
          <w:sz w:val="24"/>
          <w:szCs w:val="24"/>
          <w:lang w:val="sv-SE"/>
        </w:rPr>
        <w:t xml:space="preserve"> </w:t>
      </w:r>
      <w:r w:rsidRPr="00D975A6">
        <w:rPr>
          <w:i/>
          <w:iCs/>
          <w:sz w:val="24"/>
          <w:szCs w:val="24"/>
          <w:lang w:val="sv-SE"/>
        </w:rPr>
        <w:t>H. pylori</w:t>
      </w:r>
      <w:r w:rsidRPr="00D975A6">
        <w:rPr>
          <w:sz w:val="24"/>
          <w:szCs w:val="24"/>
          <w:lang w:val="sv-SE"/>
        </w:rPr>
        <w:t xml:space="preserve">: 74,2 % (23/31 patienter) med </w:t>
      </w:r>
      <w:proofErr w:type="spellStart"/>
      <w:r w:rsidRPr="00D975A6">
        <w:rPr>
          <w:sz w:val="24"/>
          <w:szCs w:val="24"/>
          <w:lang w:val="sv-SE"/>
        </w:rPr>
        <w:t>omeprazol</w:t>
      </w:r>
      <w:proofErr w:type="spellEnd"/>
      <w:r w:rsidRPr="00D975A6">
        <w:rPr>
          <w:sz w:val="24"/>
          <w:szCs w:val="24"/>
          <w:lang w:val="sv-SE"/>
        </w:rPr>
        <w:t xml:space="preserve"> + </w:t>
      </w:r>
      <w:proofErr w:type="spellStart"/>
      <w:r w:rsidRPr="00D975A6">
        <w:rPr>
          <w:sz w:val="24"/>
          <w:szCs w:val="24"/>
          <w:lang w:val="sv-SE"/>
        </w:rPr>
        <w:t>amoxicillin</w:t>
      </w:r>
      <w:proofErr w:type="spellEnd"/>
      <w:r w:rsidRPr="00D975A6">
        <w:rPr>
          <w:sz w:val="24"/>
          <w:szCs w:val="24"/>
          <w:lang w:val="sv-SE"/>
        </w:rPr>
        <w:t xml:space="preserve"> + </w:t>
      </w:r>
      <w:proofErr w:type="spellStart"/>
      <w:r w:rsidRPr="00D975A6">
        <w:rPr>
          <w:sz w:val="24"/>
          <w:szCs w:val="24"/>
          <w:lang w:val="sv-SE"/>
        </w:rPr>
        <w:t>clarithromycin</w:t>
      </w:r>
      <w:proofErr w:type="spellEnd"/>
      <w:r w:rsidRPr="00D975A6">
        <w:rPr>
          <w:sz w:val="24"/>
          <w:szCs w:val="24"/>
          <w:lang w:val="sv-SE"/>
        </w:rPr>
        <w:t xml:space="preserve"> </w:t>
      </w:r>
      <w:proofErr w:type="spellStart"/>
      <w:r w:rsidRPr="00D975A6">
        <w:rPr>
          <w:i/>
          <w:iCs/>
          <w:sz w:val="24"/>
          <w:szCs w:val="24"/>
          <w:lang w:val="sv-SE"/>
        </w:rPr>
        <w:t>versus</w:t>
      </w:r>
      <w:proofErr w:type="spellEnd"/>
      <w:r w:rsidRPr="00D975A6">
        <w:rPr>
          <w:i/>
          <w:iCs/>
          <w:sz w:val="24"/>
          <w:szCs w:val="24"/>
          <w:lang w:val="sv-SE"/>
        </w:rPr>
        <w:t xml:space="preserve"> </w:t>
      </w:r>
      <w:r w:rsidRPr="00D975A6">
        <w:rPr>
          <w:sz w:val="24"/>
          <w:szCs w:val="24"/>
          <w:lang w:val="sv-SE"/>
        </w:rPr>
        <w:t xml:space="preserve">9,4 % (3/32 patienter) med </w:t>
      </w:r>
      <w:r w:rsidRPr="00D975A6">
        <w:rPr>
          <w:sz w:val="24"/>
          <w:szCs w:val="24"/>
          <w:lang w:val="nb-NO"/>
        </w:rPr>
        <w:t>amoxicillin + clarithromycin. Med hensyn til dyspeptiske symptomer var der dog ikke evidens for kliniske fordele. Dette forsøg giver ingen informationer om børn under 4 år.</w:t>
      </w:r>
    </w:p>
    <w:p w:rsidR="00364E0F" w:rsidRDefault="00364E0F" w:rsidP="00364E0F">
      <w:pPr>
        <w:autoSpaceDE w:val="0"/>
        <w:autoSpaceDN w:val="0"/>
        <w:adjustRightInd w:val="0"/>
        <w:ind w:left="851"/>
        <w:rPr>
          <w:b/>
          <w:sz w:val="24"/>
          <w:szCs w:val="24"/>
        </w:rPr>
      </w:pPr>
    </w:p>
    <w:p w:rsidR="00364E0F" w:rsidRPr="00D975A6" w:rsidRDefault="00364E0F" w:rsidP="00364E0F">
      <w:pPr>
        <w:numPr>
          <w:ilvl w:val="1"/>
          <w:numId w:val="3"/>
        </w:numPr>
        <w:rPr>
          <w:b/>
          <w:sz w:val="24"/>
          <w:szCs w:val="24"/>
        </w:rPr>
      </w:pPr>
      <w:proofErr w:type="spellStart"/>
      <w:r w:rsidRPr="00D975A6">
        <w:rPr>
          <w:b/>
          <w:sz w:val="24"/>
          <w:szCs w:val="24"/>
        </w:rPr>
        <w:t>Farmakokinetiske</w:t>
      </w:r>
      <w:proofErr w:type="spellEnd"/>
      <w:r w:rsidRPr="00D975A6">
        <w:rPr>
          <w:b/>
          <w:sz w:val="24"/>
          <w:szCs w:val="24"/>
        </w:rPr>
        <w:t xml:space="preserve"> egenskaber</w:t>
      </w:r>
    </w:p>
    <w:p w:rsidR="00364E0F" w:rsidRPr="00D975A6" w:rsidRDefault="00364E0F" w:rsidP="00364E0F">
      <w:pPr>
        <w:autoSpaceDE w:val="0"/>
        <w:autoSpaceDN w:val="0"/>
        <w:adjustRightInd w:val="0"/>
        <w:ind w:left="851"/>
        <w:rPr>
          <w:sz w:val="24"/>
          <w:szCs w:val="24"/>
          <w:u w:val="single"/>
          <w:lang w:val="nb-NO"/>
        </w:rPr>
      </w:pPr>
      <w:r w:rsidRPr="00D975A6">
        <w:rPr>
          <w:sz w:val="24"/>
          <w:szCs w:val="24"/>
          <w:u w:val="single"/>
          <w:lang w:val="nb-NO"/>
        </w:rPr>
        <w:t>Absorption</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Omeprazol og omeprazolmagnesium er syrelabile og administreres derfor oralt som enterocoatede granulater i kapsler eller tabletter. Absorptionen af omeprazol er hurtig med maksimale </w:t>
      </w:r>
      <w:r w:rsidRPr="00D975A6">
        <w:rPr>
          <w:sz w:val="24"/>
          <w:szCs w:val="24"/>
          <w:lang w:val="sv-SE"/>
        </w:rPr>
        <w:t xml:space="preserve">plasmakoncentrationer cirka 1-2 timer efter dosering. </w:t>
      </w:r>
      <w:r w:rsidRPr="00D975A6">
        <w:rPr>
          <w:sz w:val="24"/>
          <w:szCs w:val="24"/>
          <w:lang w:val="nb-NO"/>
        </w:rPr>
        <w:t>Absorption af omeprazol finder sted i tyndtarmen og er sædvanligvis fuldstændig i løbet af 3-6 timer. Samtidig indtagelse af føde påvirker ikke biotilgængeligheden. Den systemiske tilgængelighed (biotilgængelighed) af omeprazol efter en enkel oral dosis er ca. 40 %. Efter gentagen dosering en gang daglig øges biotilgængeligheden til ca. 60 %.</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ind w:left="851"/>
        <w:rPr>
          <w:sz w:val="24"/>
          <w:szCs w:val="24"/>
          <w:u w:val="single"/>
          <w:lang w:val="nb-NO"/>
        </w:rPr>
      </w:pPr>
      <w:r>
        <w:rPr>
          <w:sz w:val="24"/>
          <w:szCs w:val="24"/>
          <w:u w:val="single"/>
          <w:lang w:val="nb-NO"/>
        </w:rPr>
        <w:t>Fordeling</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Hos raske forsøgspersoner er det tilsyneladende fordelingsvolumen (Vdapp) ca. 0,3 l/kg legemsvægt. Plasmaproteinbindingsgraden af omeprazol er ca. 97 %.</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u w:val="single"/>
          <w:lang w:val="nb-NO"/>
        </w:rPr>
      </w:pPr>
      <w:r>
        <w:rPr>
          <w:sz w:val="24"/>
          <w:szCs w:val="24"/>
          <w:u w:val="single"/>
          <w:lang w:val="nb-NO"/>
        </w:rPr>
        <w:t>Biotransformation</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Omeprazol metaboliseres fuldstændigt af cytochrom P-450-systemet (CYP). Størstedelen af omeprazols metabolisering er afhængig af det polymorft formulerede CYP2C19, som er ansvarligt for dannelsen af hydroxyomeprazol, der er den primære metabolit i plasma. Den resterende del er afhængig af en anden specifik isoform CYP3A4, som er ansvarlig for dannelsen af omeprazolsulfon.</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Som en konsekvens af omeprazols høje affinitet til CYP2C19 er der potentiale for kompetitiv inhibering og metabolisk lægemiddel-lægemiddel interaktioner med andre substrater for CYP2C19. På grund af den lave affinitet til CYP3A4 har omeprazol dog ikke potentialet til at inhibere metabolismen af andre CYP3A4-substrater. Endvidere mangler omeprazol en hæmmende virkning på de vigtigste CYP-enzymer.</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Ca. 3 % af den kaukasiske befolkning og 15-20 % af den asiatiske befolkning mangler et funktionelt CYP2C19-enzym og kaldes ”poor metabolisers”. Sandsynligvis er omeprazols metabolisering hos disse personer hovedsageligt katalyseret af CYP3A4. Efter gentagen administration af 20 mg omeprazol en gang daglig var middel-AUC 5-10 gange højere hos ”poor metabolisers” end hos individer med et funktionelt CYP2C19-enzym (”extensive metabolisers”). De gennemsnitlige peakplasmakoncentrationer var også 3-5 gange højere. Dette har dog ingen konsekvenser for doseringen af omeprazol.</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sz w:val="24"/>
          <w:szCs w:val="24"/>
          <w:u w:val="single"/>
          <w:lang w:val="nb-NO"/>
        </w:rPr>
      </w:pPr>
      <w:r w:rsidRPr="00D975A6">
        <w:rPr>
          <w:sz w:val="24"/>
          <w:szCs w:val="24"/>
          <w:u w:val="single"/>
          <w:lang w:val="nb-NO"/>
        </w:rPr>
        <w:t>Elimination</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Halveringstiden for omeprazols elimination fra plasma er som regel under 1 time både efter enkelt og gentagen oral dosering en gang daglig. Omeprazol elimineres fuldstændigt fra plasma mellem doserne uden tendens til akkumulering ved administration en gang daglig. Næsten 80 % af en oral omeprazoldosis udskilles som metabolitter i urinen, den resterende del, som primært stammer fra galdesekretion, i fæces.</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 xml:space="preserve">AUC øges ved gentagen administration af omeprazol. Denne øgning er dosisafhængig og resulterer i et ikke-lineært dosis-AUC-forhold efter gentagen administration. Denne tids- og dosisafhængighed skyldes et fald i </w:t>
      </w:r>
      <w:r w:rsidRPr="00D975A6">
        <w:rPr>
          <w:i/>
          <w:iCs/>
          <w:sz w:val="24"/>
          <w:szCs w:val="24"/>
          <w:lang w:val="nb-NO"/>
        </w:rPr>
        <w:t xml:space="preserve">first pass </w:t>
      </w:r>
      <w:r w:rsidRPr="00D975A6">
        <w:rPr>
          <w:sz w:val="24"/>
          <w:szCs w:val="24"/>
          <w:lang w:val="nb-NO"/>
        </w:rPr>
        <w:t>metabolismen og systemisk clearance, som sandsynligvis skyldes omeprazols og/eller dets metabolitters (f.eks. sulfonets) hæmning af CYP2C19-enzymet. Der er ikke fundet metabolitter med effekt på den gastriske syresekretion.</w:t>
      </w:r>
    </w:p>
    <w:p w:rsidR="00364E0F" w:rsidRDefault="00364E0F" w:rsidP="00364E0F">
      <w:pPr>
        <w:autoSpaceDE w:val="0"/>
        <w:autoSpaceDN w:val="0"/>
        <w:adjustRightInd w:val="0"/>
        <w:rPr>
          <w:sz w:val="24"/>
          <w:szCs w:val="24"/>
          <w:u w:val="single"/>
          <w:lang w:val="nb-NO"/>
        </w:rPr>
      </w:pPr>
    </w:p>
    <w:p w:rsidR="00364E0F" w:rsidRPr="00D975A6" w:rsidRDefault="00364E0F" w:rsidP="00364E0F">
      <w:pPr>
        <w:autoSpaceDE w:val="0"/>
        <w:autoSpaceDN w:val="0"/>
        <w:adjustRightInd w:val="0"/>
        <w:ind w:left="851"/>
        <w:rPr>
          <w:sz w:val="24"/>
          <w:szCs w:val="24"/>
          <w:u w:val="single"/>
          <w:lang w:val="nb-NO"/>
        </w:rPr>
      </w:pPr>
      <w:r w:rsidRPr="00D975A6">
        <w:rPr>
          <w:sz w:val="24"/>
          <w:szCs w:val="24"/>
          <w:u w:val="single"/>
          <w:lang w:val="nb-NO"/>
        </w:rPr>
        <w:t>Særlige patientgrupper</w:t>
      </w:r>
    </w:p>
    <w:p w:rsidR="00364E0F" w:rsidRPr="00D975A6" w:rsidRDefault="00364E0F" w:rsidP="00364E0F">
      <w:pPr>
        <w:autoSpaceDE w:val="0"/>
        <w:autoSpaceDN w:val="0"/>
        <w:adjustRightInd w:val="0"/>
        <w:ind w:left="851"/>
        <w:rPr>
          <w:i/>
          <w:iCs/>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Nedsat leverfunktion</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Omeprazols metabolisme er nedsat hos patienter med nedsat leverfunktion, hvilket resulterer i en øget AUC. Omeprazol viser ingen tendens til akkumulering ved dosering en gang daglig.</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Nedsat nyrefunktion</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Omeprazols farmakokinetik inklusive systemiske biotilgængelighed og eliminationshastighed er uændret hos patienter med nedsat nyrefunktion.</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Ældre</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Omeprazols metabolisme er noget nedsat hos ældre personer (75-79 år).</w:t>
      </w:r>
    </w:p>
    <w:p w:rsidR="00364E0F" w:rsidRPr="00D975A6" w:rsidRDefault="00364E0F" w:rsidP="00364E0F">
      <w:pPr>
        <w:autoSpaceDE w:val="0"/>
        <w:autoSpaceDN w:val="0"/>
        <w:adjustRightInd w:val="0"/>
        <w:ind w:left="851"/>
        <w:rPr>
          <w:sz w:val="24"/>
          <w:szCs w:val="24"/>
          <w:lang w:val="nb-NO"/>
        </w:rPr>
      </w:pPr>
    </w:p>
    <w:p w:rsidR="00364E0F" w:rsidRPr="00D975A6" w:rsidRDefault="00364E0F" w:rsidP="00364E0F">
      <w:pPr>
        <w:autoSpaceDE w:val="0"/>
        <w:autoSpaceDN w:val="0"/>
        <w:adjustRightInd w:val="0"/>
        <w:ind w:left="851"/>
        <w:rPr>
          <w:i/>
          <w:iCs/>
          <w:sz w:val="24"/>
          <w:szCs w:val="24"/>
          <w:lang w:val="nb-NO"/>
        </w:rPr>
      </w:pPr>
      <w:r w:rsidRPr="00D975A6">
        <w:rPr>
          <w:i/>
          <w:iCs/>
          <w:sz w:val="24"/>
          <w:szCs w:val="24"/>
          <w:lang w:val="nb-NO"/>
        </w:rPr>
        <w:t xml:space="preserve">Pædiatrisk </w:t>
      </w:r>
      <w:r>
        <w:rPr>
          <w:i/>
          <w:iCs/>
          <w:sz w:val="24"/>
          <w:szCs w:val="24"/>
          <w:lang w:val="nb-NO"/>
        </w:rPr>
        <w:t>population</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Ved behandling med de anbefalede doser til børn fra 1 år sås tilsvarende plasmakoncentrationer som hos voksne. Hos børn yngre end 6 måneder er omeprazols clearance lav på grund af lav metaboliseringskapacitet for omeprazol.</w:t>
      </w:r>
    </w:p>
    <w:p w:rsidR="00364E0F" w:rsidRPr="00D975A6" w:rsidRDefault="00364E0F" w:rsidP="00364E0F">
      <w:pPr>
        <w:tabs>
          <w:tab w:val="left" w:pos="851"/>
        </w:tabs>
        <w:ind w:left="851"/>
        <w:rPr>
          <w:sz w:val="24"/>
          <w:szCs w:val="24"/>
        </w:rPr>
      </w:pPr>
    </w:p>
    <w:p w:rsidR="00364E0F" w:rsidRPr="00D975A6" w:rsidRDefault="00FE3ED2" w:rsidP="00364E0F">
      <w:pPr>
        <w:numPr>
          <w:ilvl w:val="1"/>
          <w:numId w:val="4"/>
        </w:numPr>
        <w:rPr>
          <w:b/>
          <w:sz w:val="24"/>
          <w:szCs w:val="24"/>
        </w:rPr>
      </w:pPr>
      <w:r w:rsidRPr="00FE3ED2">
        <w:rPr>
          <w:b/>
          <w:sz w:val="24"/>
          <w:szCs w:val="24"/>
        </w:rPr>
        <w:t xml:space="preserve">Non-kliniske </w:t>
      </w:r>
      <w:r w:rsidR="00364E0F" w:rsidRPr="00D975A6">
        <w:rPr>
          <w:b/>
          <w:sz w:val="24"/>
          <w:szCs w:val="24"/>
        </w:rPr>
        <w:t>sikkerhedsdata</w:t>
      </w:r>
    </w:p>
    <w:p w:rsidR="00364E0F" w:rsidRPr="00D975A6" w:rsidRDefault="00364E0F" w:rsidP="00364E0F">
      <w:pPr>
        <w:autoSpaceDE w:val="0"/>
        <w:autoSpaceDN w:val="0"/>
        <w:adjustRightInd w:val="0"/>
        <w:ind w:left="851"/>
        <w:rPr>
          <w:sz w:val="24"/>
          <w:szCs w:val="24"/>
          <w:lang w:val="nb-NO"/>
        </w:rPr>
      </w:pPr>
      <w:r w:rsidRPr="00D975A6">
        <w:rPr>
          <w:sz w:val="24"/>
          <w:szCs w:val="24"/>
          <w:lang w:val="nb-NO"/>
        </w:rPr>
        <w:t>Gastrisk ECL-celle-hyperplasi og karcinoider er observeret i livslange studier hos rotter behandlet med omeprazol. Disse forandringer er et resultat af langvarig hypergastrinæmi, der er sekundær til syrehæmning. Tilsvarende forandringer er fundet efter behandling med H2-receptorantagonister, protonpumpehæmmere og efter gastrisk fundektomi. Disse ændringer er derfor ikke en direkte effekt af et enkelt lægemiddel.</w:t>
      </w:r>
    </w:p>
    <w:p w:rsidR="00364E0F" w:rsidRPr="00D975A6" w:rsidRDefault="00364E0F" w:rsidP="00364E0F">
      <w:pPr>
        <w:tabs>
          <w:tab w:val="left" w:pos="851"/>
        </w:tabs>
        <w:ind w:left="851"/>
        <w:rPr>
          <w:sz w:val="24"/>
          <w:szCs w:val="24"/>
        </w:rPr>
      </w:pPr>
    </w:p>
    <w:p w:rsidR="00364E0F" w:rsidRPr="00D975A6" w:rsidRDefault="00364E0F" w:rsidP="00364E0F">
      <w:pPr>
        <w:tabs>
          <w:tab w:val="left" w:pos="851"/>
        </w:tabs>
        <w:ind w:left="851"/>
        <w:rPr>
          <w:sz w:val="24"/>
          <w:szCs w:val="24"/>
        </w:rPr>
      </w:pPr>
    </w:p>
    <w:p w:rsidR="00364E0F" w:rsidRPr="00D975A6" w:rsidRDefault="00364E0F" w:rsidP="00364E0F">
      <w:pPr>
        <w:numPr>
          <w:ilvl w:val="0"/>
          <w:numId w:val="3"/>
        </w:numPr>
        <w:rPr>
          <w:b/>
          <w:sz w:val="24"/>
          <w:szCs w:val="24"/>
        </w:rPr>
      </w:pPr>
      <w:r w:rsidRPr="00D975A6">
        <w:rPr>
          <w:b/>
          <w:sz w:val="24"/>
          <w:szCs w:val="24"/>
        </w:rPr>
        <w:t>FARMACEUTISKE OPLYSNINGER</w:t>
      </w:r>
    </w:p>
    <w:p w:rsidR="00364E0F" w:rsidRPr="00D975A6" w:rsidRDefault="00364E0F" w:rsidP="00364E0F">
      <w:pPr>
        <w:tabs>
          <w:tab w:val="left" w:pos="851"/>
        </w:tabs>
        <w:rPr>
          <w:b/>
          <w:sz w:val="24"/>
          <w:szCs w:val="24"/>
        </w:rPr>
      </w:pPr>
    </w:p>
    <w:p w:rsidR="00364E0F" w:rsidRPr="00D975A6" w:rsidRDefault="00364E0F" w:rsidP="00364E0F">
      <w:pPr>
        <w:numPr>
          <w:ilvl w:val="1"/>
          <w:numId w:val="5"/>
        </w:numPr>
        <w:rPr>
          <w:b/>
          <w:sz w:val="24"/>
          <w:szCs w:val="24"/>
        </w:rPr>
      </w:pPr>
      <w:r w:rsidRPr="00D975A6">
        <w:rPr>
          <w:b/>
          <w:sz w:val="24"/>
          <w:szCs w:val="24"/>
        </w:rPr>
        <w:t>Hjælpestoffer</w:t>
      </w:r>
    </w:p>
    <w:p w:rsidR="00364E0F" w:rsidRPr="00D975A6" w:rsidRDefault="00364E0F" w:rsidP="00364E0F">
      <w:pPr>
        <w:pStyle w:val="Default"/>
        <w:ind w:left="851"/>
        <w:rPr>
          <w:sz w:val="24"/>
          <w:szCs w:val="24"/>
          <w:lang w:val="da-DK"/>
        </w:rPr>
      </w:pPr>
      <w:r w:rsidRPr="00D975A6">
        <w:rPr>
          <w:iCs/>
          <w:sz w:val="24"/>
          <w:szCs w:val="24"/>
          <w:u w:val="single"/>
          <w:lang w:val="da-DK"/>
        </w:rPr>
        <w:t>Granulat</w:t>
      </w:r>
    </w:p>
    <w:p w:rsidR="00364E0F" w:rsidRPr="006D3ED1" w:rsidRDefault="00364E0F" w:rsidP="00364E0F">
      <w:pPr>
        <w:pStyle w:val="Default"/>
        <w:ind w:left="851"/>
        <w:rPr>
          <w:sz w:val="24"/>
          <w:szCs w:val="24"/>
        </w:rPr>
      </w:pPr>
      <w:r w:rsidRPr="006D3ED1">
        <w:rPr>
          <w:sz w:val="24"/>
          <w:szCs w:val="24"/>
        </w:rPr>
        <w:t>saccharose</w:t>
      </w:r>
    </w:p>
    <w:p w:rsidR="00364E0F" w:rsidRPr="006D3ED1" w:rsidRDefault="00364E0F" w:rsidP="00364E0F">
      <w:pPr>
        <w:pStyle w:val="Brdtekstindrykning2"/>
        <w:ind w:firstLine="0"/>
        <w:jc w:val="left"/>
        <w:rPr>
          <w:szCs w:val="24"/>
          <w:lang w:val="en-US"/>
        </w:rPr>
      </w:pPr>
      <w:proofErr w:type="spellStart"/>
      <w:r w:rsidRPr="006D3ED1">
        <w:rPr>
          <w:szCs w:val="24"/>
          <w:lang w:val="en-US"/>
        </w:rPr>
        <w:t>majsstivelse</w:t>
      </w:r>
      <w:proofErr w:type="spellEnd"/>
    </w:p>
    <w:p w:rsidR="00364E0F" w:rsidRDefault="00364E0F" w:rsidP="00364E0F">
      <w:pPr>
        <w:pStyle w:val="Default"/>
        <w:ind w:left="851"/>
        <w:rPr>
          <w:sz w:val="24"/>
          <w:szCs w:val="24"/>
        </w:rPr>
      </w:pPr>
      <w:proofErr w:type="spellStart"/>
      <w:r w:rsidRPr="006D3ED1">
        <w:rPr>
          <w:sz w:val="24"/>
          <w:szCs w:val="24"/>
        </w:rPr>
        <w:t>hypromellose</w:t>
      </w:r>
      <w:proofErr w:type="spellEnd"/>
      <w:r w:rsidRPr="006D3ED1">
        <w:rPr>
          <w:sz w:val="24"/>
          <w:szCs w:val="24"/>
        </w:rPr>
        <w:t xml:space="preserve"> </w:t>
      </w:r>
    </w:p>
    <w:p w:rsidR="00364E0F" w:rsidRDefault="00364E0F" w:rsidP="00364E0F">
      <w:pPr>
        <w:pStyle w:val="Brdtekstindrykning2"/>
        <w:ind w:firstLine="0"/>
        <w:jc w:val="left"/>
        <w:rPr>
          <w:color w:val="1F497D"/>
        </w:rPr>
      </w:pPr>
      <w:proofErr w:type="spellStart"/>
      <w:r w:rsidRPr="009372D6">
        <w:t>dinatriumphosphatdihydrat</w:t>
      </w:r>
      <w:proofErr w:type="spellEnd"/>
    </w:p>
    <w:p w:rsidR="00364E0F" w:rsidRPr="006D3ED1" w:rsidRDefault="00364E0F" w:rsidP="00364E0F">
      <w:pPr>
        <w:pStyle w:val="Brdtekstindrykning2"/>
        <w:ind w:firstLine="0"/>
        <w:jc w:val="left"/>
        <w:rPr>
          <w:szCs w:val="24"/>
          <w:lang w:val="en-US"/>
        </w:rPr>
      </w:pPr>
      <w:proofErr w:type="spellStart"/>
      <w:r w:rsidRPr="006D3ED1">
        <w:rPr>
          <w:szCs w:val="24"/>
          <w:lang w:val="en-US"/>
        </w:rPr>
        <w:t>metacrylsyre-etylacrylat</w:t>
      </w:r>
      <w:proofErr w:type="spellEnd"/>
      <w:r w:rsidRPr="006D3ED1">
        <w:rPr>
          <w:szCs w:val="24"/>
          <w:lang w:val="en-US"/>
        </w:rPr>
        <w:t xml:space="preserve"> copolymer </w:t>
      </w:r>
    </w:p>
    <w:p w:rsidR="00364E0F" w:rsidRPr="00D975A6" w:rsidRDefault="00364E0F" w:rsidP="00364E0F">
      <w:pPr>
        <w:pStyle w:val="Default"/>
        <w:ind w:left="851"/>
        <w:rPr>
          <w:sz w:val="24"/>
          <w:szCs w:val="24"/>
          <w:lang w:val="da-DK"/>
        </w:rPr>
      </w:pPr>
      <w:proofErr w:type="spellStart"/>
      <w:r w:rsidRPr="00D975A6">
        <w:rPr>
          <w:sz w:val="24"/>
          <w:szCs w:val="24"/>
          <w:lang w:val="da-DK"/>
        </w:rPr>
        <w:t>talcum</w:t>
      </w:r>
      <w:proofErr w:type="spellEnd"/>
      <w:r w:rsidRPr="00D975A6">
        <w:rPr>
          <w:sz w:val="24"/>
          <w:szCs w:val="24"/>
          <w:lang w:val="da-DK"/>
        </w:rPr>
        <w:t xml:space="preserve"> </w:t>
      </w:r>
    </w:p>
    <w:p w:rsidR="00364E0F" w:rsidRPr="00D975A6" w:rsidRDefault="00364E0F" w:rsidP="00364E0F">
      <w:pPr>
        <w:pStyle w:val="Default"/>
        <w:ind w:left="851"/>
        <w:rPr>
          <w:sz w:val="24"/>
          <w:szCs w:val="24"/>
          <w:lang w:val="da-DK"/>
        </w:rPr>
      </w:pPr>
      <w:proofErr w:type="spellStart"/>
      <w:r w:rsidRPr="00D975A6">
        <w:rPr>
          <w:sz w:val="24"/>
          <w:szCs w:val="24"/>
          <w:lang w:val="da-DK"/>
        </w:rPr>
        <w:t>triethylcitrat</w:t>
      </w:r>
      <w:proofErr w:type="spellEnd"/>
    </w:p>
    <w:p w:rsidR="00364E0F" w:rsidRPr="00D975A6" w:rsidRDefault="00364E0F" w:rsidP="00364E0F">
      <w:pPr>
        <w:autoSpaceDE w:val="0"/>
        <w:autoSpaceDN w:val="0"/>
        <w:adjustRightInd w:val="0"/>
        <w:ind w:left="851"/>
        <w:rPr>
          <w:sz w:val="24"/>
          <w:szCs w:val="24"/>
        </w:rPr>
      </w:pPr>
      <w:proofErr w:type="spellStart"/>
      <w:r w:rsidRPr="00D975A6">
        <w:rPr>
          <w:sz w:val="24"/>
          <w:szCs w:val="24"/>
        </w:rPr>
        <w:t>natriumlaurilsulfat</w:t>
      </w:r>
      <w:proofErr w:type="spellEnd"/>
    </w:p>
    <w:p w:rsidR="00364E0F" w:rsidRPr="00D975A6" w:rsidRDefault="00364E0F" w:rsidP="00364E0F">
      <w:pPr>
        <w:pStyle w:val="Default"/>
        <w:ind w:left="851"/>
        <w:rPr>
          <w:sz w:val="24"/>
          <w:szCs w:val="24"/>
          <w:lang w:val="da-DK"/>
        </w:rPr>
      </w:pPr>
      <w:proofErr w:type="spellStart"/>
      <w:r w:rsidRPr="00D975A6">
        <w:rPr>
          <w:sz w:val="24"/>
          <w:szCs w:val="24"/>
          <w:lang w:val="da-DK"/>
        </w:rPr>
        <w:t>polysorbat</w:t>
      </w:r>
      <w:proofErr w:type="spellEnd"/>
      <w:r w:rsidRPr="00D975A6">
        <w:rPr>
          <w:sz w:val="24"/>
          <w:szCs w:val="24"/>
          <w:lang w:val="da-DK"/>
        </w:rPr>
        <w:t xml:space="preserve"> 80 </w:t>
      </w:r>
    </w:p>
    <w:p w:rsidR="00364E0F" w:rsidRPr="00D975A6" w:rsidRDefault="00364E0F" w:rsidP="00364E0F">
      <w:pPr>
        <w:pStyle w:val="Default"/>
        <w:ind w:left="851"/>
        <w:rPr>
          <w:sz w:val="24"/>
          <w:szCs w:val="24"/>
          <w:lang w:val="da-DK"/>
        </w:rPr>
      </w:pPr>
      <w:r w:rsidRPr="00D975A6">
        <w:rPr>
          <w:sz w:val="24"/>
          <w:szCs w:val="24"/>
          <w:lang w:val="da-DK"/>
        </w:rPr>
        <w:t xml:space="preserve">titandioxid (E171) </w:t>
      </w:r>
    </w:p>
    <w:p w:rsidR="00364E0F" w:rsidRPr="00D975A6" w:rsidRDefault="00364E0F" w:rsidP="00364E0F">
      <w:pPr>
        <w:pStyle w:val="Default"/>
        <w:ind w:left="851"/>
        <w:rPr>
          <w:i/>
          <w:iCs/>
          <w:sz w:val="24"/>
          <w:szCs w:val="24"/>
          <w:lang w:val="da-DK"/>
        </w:rPr>
      </w:pPr>
    </w:p>
    <w:p w:rsidR="00364E0F" w:rsidRPr="00D975A6" w:rsidRDefault="00364E0F" w:rsidP="00364E0F">
      <w:pPr>
        <w:pStyle w:val="Default"/>
        <w:keepNext/>
        <w:ind w:left="851"/>
        <w:rPr>
          <w:sz w:val="24"/>
          <w:szCs w:val="24"/>
          <w:u w:val="single"/>
          <w:lang w:val="nb-NO"/>
        </w:rPr>
      </w:pPr>
      <w:r w:rsidRPr="00D975A6">
        <w:rPr>
          <w:iCs/>
          <w:sz w:val="24"/>
          <w:szCs w:val="24"/>
          <w:u w:val="single"/>
          <w:lang w:val="nb-NO"/>
        </w:rPr>
        <w:t>Kapsler</w:t>
      </w:r>
    </w:p>
    <w:p w:rsidR="00364E0F" w:rsidRPr="00D975A6" w:rsidRDefault="00364E0F" w:rsidP="00364E0F">
      <w:pPr>
        <w:pStyle w:val="Default"/>
        <w:ind w:left="851"/>
        <w:rPr>
          <w:sz w:val="24"/>
          <w:szCs w:val="24"/>
          <w:lang w:val="nb-NO"/>
        </w:rPr>
      </w:pPr>
      <w:r w:rsidRPr="00D975A6">
        <w:rPr>
          <w:sz w:val="24"/>
          <w:szCs w:val="24"/>
          <w:lang w:val="nb-NO"/>
        </w:rPr>
        <w:t xml:space="preserve">gelatine </w:t>
      </w:r>
    </w:p>
    <w:p w:rsidR="00364E0F" w:rsidRPr="00D975A6" w:rsidRDefault="00364E0F" w:rsidP="00364E0F">
      <w:pPr>
        <w:pStyle w:val="Default"/>
        <w:ind w:left="851"/>
        <w:rPr>
          <w:sz w:val="24"/>
          <w:szCs w:val="24"/>
          <w:lang w:val="nb-NO"/>
        </w:rPr>
      </w:pPr>
      <w:r w:rsidRPr="00D975A6">
        <w:rPr>
          <w:sz w:val="24"/>
          <w:szCs w:val="24"/>
          <w:lang w:val="nb-NO"/>
        </w:rPr>
        <w:t xml:space="preserve">titandioxid (E171) </w:t>
      </w:r>
    </w:p>
    <w:p w:rsidR="00364E0F" w:rsidRDefault="00364E0F" w:rsidP="00364E0F">
      <w:pPr>
        <w:pStyle w:val="Default"/>
        <w:jc w:val="both"/>
        <w:rPr>
          <w:sz w:val="24"/>
          <w:szCs w:val="24"/>
          <w:u w:val="single"/>
          <w:lang w:val="nb-NO"/>
        </w:rPr>
      </w:pPr>
    </w:p>
    <w:p w:rsidR="00364E0F" w:rsidRPr="00D975A6" w:rsidRDefault="00364E0F" w:rsidP="00364E0F">
      <w:pPr>
        <w:pStyle w:val="Default"/>
        <w:ind w:left="851"/>
        <w:jc w:val="both"/>
        <w:rPr>
          <w:sz w:val="24"/>
          <w:szCs w:val="24"/>
          <w:lang w:val="nb-NO"/>
        </w:rPr>
      </w:pPr>
      <w:r w:rsidRPr="00D975A6">
        <w:rPr>
          <w:sz w:val="24"/>
          <w:szCs w:val="24"/>
          <w:u w:val="single"/>
          <w:lang w:val="nb-NO"/>
        </w:rPr>
        <w:t>Trykfarve</w:t>
      </w:r>
    </w:p>
    <w:p w:rsidR="00364E0F" w:rsidRPr="00D975A6" w:rsidRDefault="00364E0F" w:rsidP="00364E0F">
      <w:pPr>
        <w:pStyle w:val="Default"/>
        <w:ind w:left="851"/>
        <w:rPr>
          <w:sz w:val="24"/>
          <w:szCs w:val="24"/>
          <w:lang w:val="nb-NO"/>
        </w:rPr>
      </w:pPr>
      <w:r w:rsidRPr="00D975A6">
        <w:rPr>
          <w:sz w:val="24"/>
          <w:szCs w:val="24"/>
          <w:lang w:val="nb-NO"/>
        </w:rPr>
        <w:t xml:space="preserve">shellac </w:t>
      </w:r>
    </w:p>
    <w:p w:rsidR="00364E0F" w:rsidRPr="00D975A6" w:rsidRDefault="00364E0F" w:rsidP="00364E0F">
      <w:pPr>
        <w:pStyle w:val="Default"/>
        <w:ind w:left="851"/>
        <w:rPr>
          <w:sz w:val="24"/>
          <w:szCs w:val="24"/>
          <w:lang w:val="nb-NO"/>
        </w:rPr>
      </w:pPr>
      <w:r w:rsidRPr="00D975A6">
        <w:rPr>
          <w:sz w:val="24"/>
          <w:szCs w:val="24"/>
          <w:lang w:val="nb-NO"/>
        </w:rPr>
        <w:t xml:space="preserve">sort jernoxid (E172) </w:t>
      </w:r>
    </w:p>
    <w:p w:rsidR="00364E0F" w:rsidRPr="00D975A6" w:rsidRDefault="00364E0F" w:rsidP="00364E0F">
      <w:pPr>
        <w:tabs>
          <w:tab w:val="left" w:pos="851"/>
        </w:tabs>
        <w:ind w:left="851"/>
        <w:rPr>
          <w:sz w:val="24"/>
          <w:szCs w:val="24"/>
        </w:rPr>
      </w:pPr>
    </w:p>
    <w:p w:rsidR="00364E0F" w:rsidRPr="00D975A6" w:rsidRDefault="00364E0F" w:rsidP="00364E0F">
      <w:pPr>
        <w:numPr>
          <w:ilvl w:val="1"/>
          <w:numId w:val="5"/>
        </w:numPr>
        <w:rPr>
          <w:b/>
          <w:sz w:val="24"/>
          <w:szCs w:val="24"/>
        </w:rPr>
      </w:pPr>
      <w:r w:rsidRPr="00D975A6">
        <w:rPr>
          <w:b/>
          <w:sz w:val="24"/>
          <w:szCs w:val="24"/>
        </w:rPr>
        <w:lastRenderedPageBreak/>
        <w:t>Uforligeligheder</w:t>
      </w:r>
    </w:p>
    <w:p w:rsidR="00364E0F" w:rsidRDefault="00364E0F" w:rsidP="00364E0F">
      <w:pPr>
        <w:ind w:left="851"/>
        <w:rPr>
          <w:sz w:val="24"/>
          <w:szCs w:val="24"/>
        </w:rPr>
      </w:pPr>
      <w:r w:rsidRPr="00D975A6">
        <w:rPr>
          <w:sz w:val="24"/>
          <w:szCs w:val="24"/>
        </w:rPr>
        <w:t>Ikke relevant.</w:t>
      </w:r>
    </w:p>
    <w:p w:rsidR="00364E0F" w:rsidRPr="00D975A6" w:rsidRDefault="00364E0F" w:rsidP="00364E0F">
      <w:pPr>
        <w:ind w:left="851"/>
        <w:rPr>
          <w:sz w:val="24"/>
          <w:szCs w:val="24"/>
        </w:rPr>
      </w:pPr>
    </w:p>
    <w:p w:rsidR="00364E0F" w:rsidRDefault="00364E0F" w:rsidP="00364E0F">
      <w:pPr>
        <w:numPr>
          <w:ilvl w:val="1"/>
          <w:numId w:val="5"/>
        </w:numPr>
        <w:rPr>
          <w:b/>
          <w:sz w:val="24"/>
          <w:szCs w:val="24"/>
        </w:rPr>
      </w:pPr>
      <w:r>
        <w:rPr>
          <w:b/>
          <w:sz w:val="24"/>
          <w:szCs w:val="24"/>
        </w:rPr>
        <w:t>Opbevaringstid</w:t>
      </w:r>
      <w:r>
        <w:rPr>
          <w:b/>
          <w:sz w:val="24"/>
          <w:szCs w:val="24"/>
        </w:rPr>
        <w:br/>
      </w:r>
      <w:r w:rsidR="00FE3ED2">
        <w:rPr>
          <w:sz w:val="24"/>
          <w:szCs w:val="24"/>
        </w:rPr>
        <w:t>2 år.</w:t>
      </w:r>
    </w:p>
    <w:p w:rsidR="00364E0F" w:rsidRPr="00D975A6" w:rsidRDefault="00364E0F" w:rsidP="00364E0F">
      <w:pPr>
        <w:tabs>
          <w:tab w:val="left" w:pos="851"/>
        </w:tabs>
        <w:ind w:left="851"/>
        <w:rPr>
          <w:sz w:val="24"/>
          <w:szCs w:val="24"/>
        </w:rPr>
      </w:pPr>
    </w:p>
    <w:p w:rsidR="00364E0F" w:rsidRDefault="00364E0F" w:rsidP="00364E0F">
      <w:pPr>
        <w:numPr>
          <w:ilvl w:val="1"/>
          <w:numId w:val="5"/>
        </w:numPr>
        <w:rPr>
          <w:b/>
          <w:sz w:val="24"/>
          <w:szCs w:val="24"/>
        </w:rPr>
      </w:pPr>
      <w:r>
        <w:rPr>
          <w:b/>
          <w:sz w:val="24"/>
          <w:szCs w:val="24"/>
        </w:rPr>
        <w:t>Særlige opbevaringsforhold</w:t>
      </w:r>
    </w:p>
    <w:p w:rsidR="00FE3ED2" w:rsidRPr="00FE3ED2" w:rsidRDefault="00FE3ED2" w:rsidP="00FE3ED2">
      <w:pPr>
        <w:pStyle w:val="Listeafsnit"/>
        <w:ind w:left="855"/>
        <w:rPr>
          <w:rFonts w:ascii="Arial" w:hAnsi="Arial" w:cs="Arial"/>
          <w:sz w:val="20"/>
        </w:rPr>
      </w:pPr>
      <w:r w:rsidRPr="00FE3ED2">
        <w:rPr>
          <w:rFonts w:ascii="Arial" w:hAnsi="Arial" w:cs="Arial"/>
          <w:sz w:val="20"/>
        </w:rPr>
        <w:t>Opbevares ved temperaturer under 25 °C.</w:t>
      </w:r>
    </w:p>
    <w:p w:rsidR="00FE3ED2" w:rsidRPr="00FE3ED2" w:rsidRDefault="00FE3ED2" w:rsidP="00FE3ED2">
      <w:pPr>
        <w:pStyle w:val="Listeafsnit"/>
        <w:ind w:left="855"/>
        <w:rPr>
          <w:rFonts w:ascii="Arial" w:hAnsi="Arial" w:cs="Arial"/>
          <w:sz w:val="20"/>
        </w:rPr>
      </w:pPr>
      <w:r w:rsidRPr="00FE3ED2">
        <w:rPr>
          <w:rFonts w:ascii="Arial" w:hAnsi="Arial" w:cs="Arial"/>
          <w:sz w:val="20"/>
        </w:rPr>
        <w:t>Opbevares i den originale yderpakning, for at beskytte mod fugt.</w:t>
      </w:r>
    </w:p>
    <w:p w:rsidR="00364E0F" w:rsidRPr="00D975A6" w:rsidRDefault="00364E0F" w:rsidP="00364E0F">
      <w:pPr>
        <w:tabs>
          <w:tab w:val="left" w:pos="851"/>
        </w:tabs>
        <w:ind w:left="851"/>
        <w:rPr>
          <w:sz w:val="24"/>
          <w:szCs w:val="24"/>
        </w:rPr>
      </w:pPr>
    </w:p>
    <w:p w:rsidR="00364E0F" w:rsidRPr="00D975A6" w:rsidRDefault="00364E0F" w:rsidP="00364E0F">
      <w:pPr>
        <w:numPr>
          <w:ilvl w:val="1"/>
          <w:numId w:val="5"/>
        </w:numPr>
        <w:rPr>
          <w:b/>
          <w:sz w:val="24"/>
          <w:szCs w:val="24"/>
        </w:rPr>
      </w:pPr>
      <w:r w:rsidRPr="00D975A6">
        <w:rPr>
          <w:b/>
          <w:sz w:val="24"/>
          <w:szCs w:val="24"/>
        </w:rPr>
        <w:t>Emballagetype og pakningsstørrelser</w:t>
      </w:r>
    </w:p>
    <w:p w:rsidR="00364E0F" w:rsidRPr="00D975A6" w:rsidRDefault="00FE3ED2" w:rsidP="00364E0F">
      <w:pPr>
        <w:suppressAutoHyphens/>
        <w:ind w:left="851"/>
        <w:rPr>
          <w:sz w:val="24"/>
          <w:szCs w:val="24"/>
          <w:lang w:val="nb-NO"/>
        </w:rPr>
      </w:pPr>
      <w:r>
        <w:rPr>
          <w:sz w:val="24"/>
          <w:szCs w:val="24"/>
          <w:lang w:val="nb-NO"/>
        </w:rPr>
        <w:t>Blister.</w:t>
      </w:r>
    </w:p>
    <w:p w:rsidR="00364E0F" w:rsidRPr="00D975A6" w:rsidRDefault="00364E0F" w:rsidP="00364E0F">
      <w:pPr>
        <w:suppressAutoHyphens/>
        <w:ind w:left="851"/>
        <w:rPr>
          <w:bCs/>
          <w:sz w:val="24"/>
          <w:szCs w:val="24"/>
          <w:lang w:val="nb-NO"/>
        </w:rPr>
      </w:pPr>
    </w:p>
    <w:p w:rsidR="00364E0F" w:rsidRPr="00D975A6" w:rsidRDefault="00364E0F" w:rsidP="00364E0F">
      <w:pPr>
        <w:numPr>
          <w:ilvl w:val="1"/>
          <w:numId w:val="5"/>
        </w:numPr>
        <w:rPr>
          <w:b/>
          <w:sz w:val="24"/>
          <w:szCs w:val="24"/>
        </w:rPr>
      </w:pPr>
      <w:r w:rsidRPr="00D975A6">
        <w:rPr>
          <w:b/>
          <w:sz w:val="24"/>
          <w:szCs w:val="24"/>
        </w:rPr>
        <w:t xml:space="preserve">Regler for </w:t>
      </w:r>
      <w:r w:rsidR="00FE3ED2" w:rsidRPr="00FE3ED2">
        <w:rPr>
          <w:b/>
          <w:sz w:val="24"/>
          <w:szCs w:val="24"/>
        </w:rPr>
        <w:t xml:space="preserve">bortskaffelse </w:t>
      </w:r>
      <w:r w:rsidRPr="00D975A6">
        <w:rPr>
          <w:b/>
          <w:sz w:val="24"/>
          <w:szCs w:val="24"/>
        </w:rPr>
        <w:t>og anden håndtering</w:t>
      </w:r>
    </w:p>
    <w:p w:rsidR="00364E0F" w:rsidRPr="00D975A6" w:rsidRDefault="00364E0F" w:rsidP="00364E0F">
      <w:pPr>
        <w:ind w:left="851"/>
        <w:rPr>
          <w:sz w:val="24"/>
          <w:szCs w:val="24"/>
        </w:rPr>
      </w:pPr>
      <w:r w:rsidRPr="00D975A6">
        <w:rPr>
          <w:sz w:val="24"/>
          <w:szCs w:val="24"/>
        </w:rPr>
        <w:t>Ingen særlige forholdsregler.</w:t>
      </w:r>
    </w:p>
    <w:p w:rsidR="00364E0F" w:rsidRPr="00D975A6" w:rsidRDefault="00364E0F" w:rsidP="00364E0F">
      <w:pPr>
        <w:tabs>
          <w:tab w:val="left" w:pos="851"/>
        </w:tabs>
        <w:ind w:left="851"/>
        <w:jc w:val="both"/>
        <w:rPr>
          <w:sz w:val="24"/>
          <w:szCs w:val="24"/>
        </w:rPr>
      </w:pPr>
    </w:p>
    <w:p w:rsidR="00364E0F" w:rsidRPr="00D975A6" w:rsidRDefault="00364E0F" w:rsidP="00364E0F">
      <w:pPr>
        <w:tabs>
          <w:tab w:val="left" w:pos="851"/>
        </w:tabs>
        <w:rPr>
          <w:b/>
          <w:sz w:val="24"/>
          <w:szCs w:val="24"/>
        </w:rPr>
      </w:pPr>
      <w:r w:rsidRPr="00D975A6">
        <w:rPr>
          <w:b/>
          <w:sz w:val="24"/>
          <w:szCs w:val="24"/>
        </w:rPr>
        <w:t>7.</w:t>
      </w:r>
      <w:r w:rsidRPr="00D975A6">
        <w:rPr>
          <w:b/>
          <w:sz w:val="24"/>
          <w:szCs w:val="24"/>
        </w:rPr>
        <w:tab/>
        <w:t>INDEHAVER AF MARKEDSFØRINGSTILLADELSEN</w:t>
      </w:r>
    </w:p>
    <w:p w:rsidR="00FE3ED2" w:rsidRDefault="00FE3ED2" w:rsidP="00FE3ED2">
      <w:pPr>
        <w:ind w:left="851"/>
      </w:pPr>
      <w:r>
        <w:t>Nordic Prime ApS</w:t>
      </w:r>
    </w:p>
    <w:p w:rsidR="00645B63" w:rsidRDefault="00645B63" w:rsidP="00645B63">
      <w:pPr>
        <w:ind w:firstLine="851"/>
        <w:rPr>
          <w:sz w:val="22"/>
          <w:lang w:val="en-US"/>
        </w:rPr>
      </w:pPr>
      <w:r>
        <w:rPr>
          <w:lang w:val="en-US"/>
        </w:rPr>
        <w:t xml:space="preserve">Niels </w:t>
      </w:r>
      <w:proofErr w:type="spellStart"/>
      <w:r>
        <w:rPr>
          <w:lang w:val="en-US"/>
        </w:rPr>
        <w:t>Bohrs</w:t>
      </w:r>
      <w:proofErr w:type="spellEnd"/>
      <w:r>
        <w:rPr>
          <w:lang w:val="en-US"/>
        </w:rPr>
        <w:t xml:space="preserve"> </w:t>
      </w:r>
      <w:proofErr w:type="spellStart"/>
      <w:r>
        <w:rPr>
          <w:lang w:val="en-US"/>
        </w:rPr>
        <w:t>Vej</w:t>
      </w:r>
      <w:proofErr w:type="spellEnd"/>
      <w:r>
        <w:rPr>
          <w:lang w:val="en-US"/>
        </w:rPr>
        <w:t xml:space="preserve"> 6</w:t>
      </w:r>
    </w:p>
    <w:p w:rsidR="00FE3ED2" w:rsidRDefault="00FE3ED2" w:rsidP="00FE3ED2">
      <w:pPr>
        <w:ind w:left="851"/>
      </w:pPr>
      <w:r w:rsidRPr="00B1769B">
        <w:t>6700</w:t>
      </w:r>
      <w:r>
        <w:t xml:space="preserve"> Esbjerg</w:t>
      </w:r>
    </w:p>
    <w:p w:rsidR="00FE3ED2" w:rsidRPr="00E83A95" w:rsidRDefault="00FE3ED2" w:rsidP="002C64F4"/>
    <w:p w:rsidR="00364E0F" w:rsidRPr="00D975A6" w:rsidRDefault="00364E0F" w:rsidP="00364E0F">
      <w:pPr>
        <w:tabs>
          <w:tab w:val="left" w:pos="851"/>
        </w:tabs>
        <w:ind w:left="851"/>
        <w:rPr>
          <w:sz w:val="24"/>
          <w:szCs w:val="24"/>
        </w:rPr>
      </w:pPr>
    </w:p>
    <w:p w:rsidR="00364E0F" w:rsidRPr="00D975A6" w:rsidRDefault="00364E0F" w:rsidP="00364E0F">
      <w:pPr>
        <w:keepNext/>
        <w:tabs>
          <w:tab w:val="left" w:pos="851"/>
        </w:tabs>
        <w:rPr>
          <w:b/>
          <w:sz w:val="24"/>
          <w:szCs w:val="24"/>
        </w:rPr>
      </w:pPr>
      <w:r w:rsidRPr="00D975A6">
        <w:rPr>
          <w:b/>
          <w:sz w:val="24"/>
          <w:szCs w:val="24"/>
        </w:rPr>
        <w:t>8.</w:t>
      </w:r>
      <w:r w:rsidRPr="00D975A6">
        <w:rPr>
          <w:b/>
          <w:sz w:val="24"/>
          <w:szCs w:val="24"/>
        </w:rPr>
        <w:tab/>
        <w:t>MARKEDSFØRINGSTILLADELSESNUMMER (</w:t>
      </w:r>
      <w:r w:rsidR="00FE3ED2">
        <w:rPr>
          <w:b/>
          <w:sz w:val="24"/>
          <w:szCs w:val="24"/>
        </w:rPr>
        <w:t>-</w:t>
      </w:r>
      <w:r w:rsidRPr="00D975A6">
        <w:rPr>
          <w:b/>
          <w:sz w:val="24"/>
          <w:szCs w:val="24"/>
        </w:rPr>
        <w:t>NUMRE)</w:t>
      </w:r>
    </w:p>
    <w:p w:rsidR="00364E0F" w:rsidRPr="00D975A6" w:rsidRDefault="00FE3ED2" w:rsidP="00364E0F">
      <w:pPr>
        <w:ind w:left="851"/>
        <w:rPr>
          <w:sz w:val="24"/>
          <w:szCs w:val="24"/>
        </w:rPr>
      </w:pPr>
      <w:r>
        <w:rPr>
          <w:spacing w:val="-3"/>
          <w:sz w:val="24"/>
          <w:szCs w:val="24"/>
        </w:rPr>
        <w:t>66894</w:t>
      </w:r>
    </w:p>
    <w:p w:rsidR="00364E0F" w:rsidRPr="00D975A6" w:rsidRDefault="00364E0F" w:rsidP="00364E0F">
      <w:pPr>
        <w:tabs>
          <w:tab w:val="left" w:pos="851"/>
        </w:tabs>
        <w:ind w:left="851"/>
        <w:jc w:val="both"/>
        <w:rPr>
          <w:sz w:val="24"/>
          <w:szCs w:val="24"/>
        </w:rPr>
      </w:pPr>
    </w:p>
    <w:p w:rsidR="00364E0F" w:rsidRPr="00D975A6" w:rsidRDefault="00364E0F" w:rsidP="00364E0F">
      <w:pPr>
        <w:tabs>
          <w:tab w:val="left" w:pos="851"/>
        </w:tabs>
        <w:rPr>
          <w:b/>
          <w:sz w:val="24"/>
          <w:szCs w:val="24"/>
        </w:rPr>
      </w:pPr>
      <w:r w:rsidRPr="00D975A6">
        <w:rPr>
          <w:b/>
          <w:sz w:val="24"/>
          <w:szCs w:val="24"/>
        </w:rPr>
        <w:t>9.</w:t>
      </w:r>
      <w:r w:rsidRPr="00D975A6">
        <w:rPr>
          <w:b/>
          <w:sz w:val="24"/>
          <w:szCs w:val="24"/>
        </w:rPr>
        <w:tab/>
        <w:t>DATO FOR FØRSTE MARKEDSFØRINGSTILLADELSE</w:t>
      </w:r>
    </w:p>
    <w:p w:rsidR="00364E0F" w:rsidRPr="00D975A6" w:rsidRDefault="00364E0F" w:rsidP="00364E0F">
      <w:pPr>
        <w:tabs>
          <w:tab w:val="left" w:pos="851"/>
        </w:tabs>
        <w:rPr>
          <w:sz w:val="24"/>
          <w:szCs w:val="24"/>
        </w:rPr>
      </w:pPr>
      <w:r w:rsidRPr="00D975A6">
        <w:rPr>
          <w:sz w:val="24"/>
          <w:szCs w:val="24"/>
        </w:rPr>
        <w:tab/>
      </w:r>
      <w:r w:rsidR="00FE3ED2">
        <w:rPr>
          <w:sz w:val="24"/>
          <w:szCs w:val="24"/>
        </w:rPr>
        <w:t>6. januar 2023</w:t>
      </w:r>
    </w:p>
    <w:p w:rsidR="00364E0F" w:rsidRPr="00D975A6" w:rsidRDefault="00364E0F" w:rsidP="00364E0F">
      <w:pPr>
        <w:tabs>
          <w:tab w:val="left" w:pos="851"/>
        </w:tabs>
        <w:rPr>
          <w:sz w:val="24"/>
          <w:szCs w:val="24"/>
        </w:rPr>
      </w:pPr>
    </w:p>
    <w:p w:rsidR="00364E0F" w:rsidRPr="00D975A6" w:rsidRDefault="00364E0F" w:rsidP="00364E0F">
      <w:pPr>
        <w:tabs>
          <w:tab w:val="left" w:pos="851"/>
        </w:tabs>
        <w:rPr>
          <w:b/>
          <w:sz w:val="24"/>
          <w:szCs w:val="24"/>
        </w:rPr>
      </w:pPr>
      <w:r w:rsidRPr="00D975A6">
        <w:rPr>
          <w:b/>
          <w:sz w:val="24"/>
          <w:szCs w:val="24"/>
        </w:rPr>
        <w:t>10.</w:t>
      </w:r>
      <w:r w:rsidRPr="00D975A6">
        <w:rPr>
          <w:b/>
          <w:sz w:val="24"/>
          <w:szCs w:val="24"/>
        </w:rPr>
        <w:tab/>
        <w:t>DATO FOR ÆNDRING AF TEKSTEN</w:t>
      </w:r>
    </w:p>
    <w:p w:rsidR="00364E0F" w:rsidRPr="00D975A6" w:rsidRDefault="00364E0F" w:rsidP="00364E0F">
      <w:pPr>
        <w:tabs>
          <w:tab w:val="left" w:pos="851"/>
        </w:tabs>
        <w:rPr>
          <w:sz w:val="24"/>
          <w:szCs w:val="24"/>
        </w:rPr>
      </w:pPr>
      <w:r w:rsidRPr="00D975A6">
        <w:rPr>
          <w:sz w:val="24"/>
          <w:szCs w:val="24"/>
        </w:rPr>
        <w:tab/>
      </w:r>
      <w:r w:rsidR="00645B63">
        <w:rPr>
          <w:sz w:val="24"/>
          <w:szCs w:val="24"/>
        </w:rPr>
        <w:t>30</w:t>
      </w:r>
      <w:bookmarkStart w:id="0" w:name="_GoBack"/>
      <w:bookmarkEnd w:id="0"/>
      <w:r w:rsidR="00782540">
        <w:rPr>
          <w:sz w:val="24"/>
          <w:szCs w:val="24"/>
        </w:rPr>
        <w:t>. ju</w:t>
      </w:r>
      <w:r w:rsidR="00645B63">
        <w:rPr>
          <w:sz w:val="24"/>
          <w:szCs w:val="24"/>
        </w:rPr>
        <w:t>l</w:t>
      </w:r>
      <w:r w:rsidR="00782540">
        <w:rPr>
          <w:sz w:val="24"/>
          <w:szCs w:val="24"/>
        </w:rPr>
        <w:t>i 2024</w:t>
      </w:r>
    </w:p>
    <w:p w:rsidR="00364E0F" w:rsidRPr="00FF6E3F" w:rsidRDefault="00364E0F" w:rsidP="00364E0F"/>
    <w:p w:rsidR="00364E0F" w:rsidRPr="004A3893" w:rsidRDefault="00364E0F" w:rsidP="00364E0F"/>
    <w:p w:rsidR="009260DE" w:rsidRPr="00364E0F" w:rsidRDefault="009260DE" w:rsidP="00364E0F"/>
    <w:sectPr w:rsidR="009260DE" w:rsidRPr="00364E0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4F4" w:rsidRDefault="002C64F4">
      <w:r>
        <w:separator/>
      </w:r>
    </w:p>
  </w:endnote>
  <w:endnote w:type="continuationSeparator" w:id="0">
    <w:p w:rsidR="002C64F4" w:rsidRDefault="002C6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4F4" w:rsidRDefault="002C64F4">
    <w:pPr>
      <w:pStyle w:val="Sidefod"/>
      <w:pBdr>
        <w:bottom w:val="single" w:sz="6" w:space="1" w:color="auto"/>
      </w:pBdr>
    </w:pPr>
  </w:p>
  <w:p w:rsidR="002C64F4" w:rsidRDefault="002C64F4" w:rsidP="00C42586">
    <w:pPr>
      <w:pStyle w:val="Sidefod"/>
      <w:tabs>
        <w:tab w:val="clear" w:pos="4819"/>
        <w:tab w:val="left" w:pos="8505"/>
      </w:tabs>
      <w:rPr>
        <w:i/>
        <w:sz w:val="18"/>
        <w:szCs w:val="18"/>
      </w:rPr>
    </w:pPr>
  </w:p>
  <w:p w:rsidR="002C64F4" w:rsidRPr="00B373D7" w:rsidRDefault="002C64F4" w:rsidP="00C42586">
    <w:pPr>
      <w:pStyle w:val="Sidefod"/>
      <w:tabs>
        <w:tab w:val="clear" w:pos="4819"/>
        <w:tab w:val="left" w:pos="8505"/>
      </w:tabs>
      <w:rPr>
        <w:i/>
        <w:sz w:val="18"/>
        <w:szCs w:val="18"/>
      </w:rPr>
    </w:pPr>
    <w:proofErr w:type="spellStart"/>
    <w:r w:rsidRPr="00260059">
      <w:rPr>
        <w:i/>
        <w:sz w:val="18"/>
        <w:szCs w:val="18"/>
      </w:rPr>
      <w:t>Ulcozol</w:t>
    </w:r>
    <w:proofErr w:type="spellEnd"/>
    <w:r>
      <w:rPr>
        <w:i/>
        <w:sz w:val="18"/>
        <w:szCs w:val="18"/>
      </w:rPr>
      <w:t xml:space="preserve"> (Nordic Prime)</w:t>
    </w:r>
    <w:r w:rsidRPr="007F111C">
      <w:rPr>
        <w:i/>
        <w:sz w:val="18"/>
        <w:szCs w:val="18"/>
      </w:rPr>
      <w:t xml:space="preserve">, hårde </w:t>
    </w:r>
    <w:proofErr w:type="spellStart"/>
    <w:r w:rsidRPr="007F111C">
      <w:rPr>
        <w:i/>
        <w:sz w:val="18"/>
        <w:szCs w:val="18"/>
      </w:rPr>
      <w:t>enterokapsler</w:t>
    </w:r>
    <w:proofErr w:type="spellEnd"/>
    <w:r w:rsidRPr="007F111C">
      <w:rPr>
        <w:i/>
        <w:sz w:val="18"/>
        <w:szCs w:val="18"/>
      </w:rPr>
      <w:t>, 40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4F4" w:rsidRDefault="002C64F4">
      <w:r>
        <w:separator/>
      </w:r>
    </w:p>
  </w:footnote>
  <w:footnote w:type="continuationSeparator" w:id="0">
    <w:p w:rsidR="002C64F4" w:rsidRDefault="002C6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4C32C6"/>
    <w:multiLevelType w:val="hybridMultilevel"/>
    <w:tmpl w:val="4C408A1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6BC3197"/>
    <w:multiLevelType w:val="hybridMultilevel"/>
    <w:tmpl w:val="5B74E826"/>
    <w:lvl w:ilvl="0" w:tplc="04090001">
      <w:start w:val="1"/>
      <w:numFmt w:val="bullet"/>
      <w:lvlText w:val=""/>
      <w:lvlJc w:val="left"/>
      <w:pPr>
        <w:tabs>
          <w:tab w:val="num" w:pos="720"/>
        </w:tabs>
        <w:ind w:left="720" w:hanging="360"/>
      </w:pPr>
      <w:rPr>
        <w:rFonts w:ascii="Symbol" w:hAnsi="Symbol" w:hint="default"/>
      </w:rPr>
    </w:lvl>
    <w:lvl w:ilvl="1" w:tplc="C166D748">
      <w:numFmt w:val="bullet"/>
      <w:lvlText w:val=""/>
      <w:lvlJc w:val="left"/>
      <w:pPr>
        <w:tabs>
          <w:tab w:val="num" w:pos="1440"/>
        </w:tabs>
        <w:ind w:left="1440" w:hanging="360"/>
      </w:pPr>
      <w:rPr>
        <w:rFonts w:ascii="Symbol" w:eastAsia="Times New Roman" w:hAnsi="Symbol" w:cs="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D1241AF"/>
    <w:multiLevelType w:val="hybridMultilevel"/>
    <w:tmpl w:val="9D7C156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E0F"/>
    <w:rsid w:val="000259B9"/>
    <w:rsid w:val="00041491"/>
    <w:rsid w:val="00050D16"/>
    <w:rsid w:val="00074F2A"/>
    <w:rsid w:val="000A1CA8"/>
    <w:rsid w:val="000A466B"/>
    <w:rsid w:val="000B058C"/>
    <w:rsid w:val="000E4EE6"/>
    <w:rsid w:val="0010690A"/>
    <w:rsid w:val="00131678"/>
    <w:rsid w:val="001454E2"/>
    <w:rsid w:val="00206CE8"/>
    <w:rsid w:val="0021526C"/>
    <w:rsid w:val="00260059"/>
    <w:rsid w:val="00283A2B"/>
    <w:rsid w:val="002B30AD"/>
    <w:rsid w:val="002C2C01"/>
    <w:rsid w:val="002C64F4"/>
    <w:rsid w:val="002D7A1C"/>
    <w:rsid w:val="002F5710"/>
    <w:rsid w:val="00364E0F"/>
    <w:rsid w:val="003A29AE"/>
    <w:rsid w:val="003A32D7"/>
    <w:rsid w:val="003B4074"/>
    <w:rsid w:val="003C769A"/>
    <w:rsid w:val="003F1838"/>
    <w:rsid w:val="004305FE"/>
    <w:rsid w:val="0045746C"/>
    <w:rsid w:val="00482903"/>
    <w:rsid w:val="0049104B"/>
    <w:rsid w:val="004E3B12"/>
    <w:rsid w:val="00532310"/>
    <w:rsid w:val="00560ECC"/>
    <w:rsid w:val="00565F0F"/>
    <w:rsid w:val="00594A86"/>
    <w:rsid w:val="00596D86"/>
    <w:rsid w:val="005C2E00"/>
    <w:rsid w:val="00637F5A"/>
    <w:rsid w:val="00645B63"/>
    <w:rsid w:val="006560B1"/>
    <w:rsid w:val="006756DD"/>
    <w:rsid w:val="00737275"/>
    <w:rsid w:val="00740EEC"/>
    <w:rsid w:val="0078011A"/>
    <w:rsid w:val="00782540"/>
    <w:rsid w:val="00782AF4"/>
    <w:rsid w:val="00790EE7"/>
    <w:rsid w:val="007B44A9"/>
    <w:rsid w:val="007B6649"/>
    <w:rsid w:val="007F111C"/>
    <w:rsid w:val="0081546F"/>
    <w:rsid w:val="0082576E"/>
    <w:rsid w:val="008415F9"/>
    <w:rsid w:val="00907F75"/>
    <w:rsid w:val="009260DE"/>
    <w:rsid w:val="0093258A"/>
    <w:rsid w:val="00934E1C"/>
    <w:rsid w:val="009C7BA3"/>
    <w:rsid w:val="009D1F5A"/>
    <w:rsid w:val="00B003BF"/>
    <w:rsid w:val="00B373D7"/>
    <w:rsid w:val="00C36276"/>
    <w:rsid w:val="00C42586"/>
    <w:rsid w:val="00C60CCD"/>
    <w:rsid w:val="00C84483"/>
    <w:rsid w:val="00C95551"/>
    <w:rsid w:val="00CB20D7"/>
    <w:rsid w:val="00D020B0"/>
    <w:rsid w:val="00D11748"/>
    <w:rsid w:val="00D366CF"/>
    <w:rsid w:val="00DF5F55"/>
    <w:rsid w:val="00DF78FD"/>
    <w:rsid w:val="00E108AA"/>
    <w:rsid w:val="00E31812"/>
    <w:rsid w:val="00E3749A"/>
    <w:rsid w:val="00E56039"/>
    <w:rsid w:val="00E7437F"/>
    <w:rsid w:val="00E865B8"/>
    <w:rsid w:val="00EC0B9B"/>
    <w:rsid w:val="00ED5E9F"/>
    <w:rsid w:val="00EE05F8"/>
    <w:rsid w:val="00F66D4F"/>
    <w:rsid w:val="00FB6D01"/>
    <w:rsid w:val="00FE3E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322E5"/>
  <w15:chartTrackingRefBased/>
  <w15:docId w15:val="{ED8658C9-3567-49BF-9009-B06C746A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2">
    <w:name w:val="Body Text Indent 2"/>
    <w:basedOn w:val="Normal"/>
    <w:link w:val="Brdtekstindrykning2Tegn"/>
    <w:semiHidden/>
    <w:unhideWhenUsed/>
    <w:rsid w:val="00364E0F"/>
    <w:pPr>
      <w:ind w:left="851" w:hanging="851"/>
      <w:jc w:val="both"/>
    </w:pPr>
    <w:rPr>
      <w:sz w:val="24"/>
      <w:lang w:eastAsia="da-DK"/>
    </w:rPr>
  </w:style>
  <w:style w:type="character" w:customStyle="1" w:styleId="Brdtekstindrykning2Tegn">
    <w:name w:val="Brødtekstindrykning 2 Tegn"/>
    <w:basedOn w:val="Standardskrifttypeiafsnit"/>
    <w:link w:val="Brdtekstindrykning2"/>
    <w:semiHidden/>
    <w:rsid w:val="00364E0F"/>
    <w:rPr>
      <w:sz w:val="24"/>
    </w:rPr>
  </w:style>
  <w:style w:type="paragraph" w:customStyle="1" w:styleId="Default">
    <w:name w:val="Default"/>
    <w:rsid w:val="00364E0F"/>
    <w:pPr>
      <w:autoSpaceDE w:val="0"/>
      <w:autoSpaceDN w:val="0"/>
      <w:adjustRightInd w:val="0"/>
    </w:pPr>
    <w:rPr>
      <w:lang w:val="en-US" w:eastAsia="en-US"/>
    </w:rPr>
  </w:style>
  <w:style w:type="paragraph" w:customStyle="1" w:styleId="Style6">
    <w:name w:val="Style6"/>
    <w:basedOn w:val="Normal"/>
    <w:uiPriority w:val="99"/>
    <w:rsid w:val="00364E0F"/>
    <w:pPr>
      <w:widowControl w:val="0"/>
      <w:autoSpaceDE w:val="0"/>
      <w:autoSpaceDN w:val="0"/>
      <w:adjustRightInd w:val="0"/>
      <w:spacing w:line="554" w:lineRule="exact"/>
    </w:pPr>
    <w:rPr>
      <w:rFonts w:eastAsia="MS Mincho"/>
      <w:sz w:val="24"/>
      <w:szCs w:val="24"/>
      <w:lang w:val="es-ES" w:eastAsia="ja-JP"/>
    </w:rPr>
  </w:style>
  <w:style w:type="paragraph" w:styleId="Listeafsnit">
    <w:name w:val="List Paragraph"/>
    <w:basedOn w:val="Normal"/>
    <w:uiPriority w:val="34"/>
    <w:qFormat/>
    <w:rsid w:val="00364E0F"/>
    <w:pPr>
      <w:ind w:left="720"/>
      <w:contextualSpacing/>
    </w:pPr>
  </w:style>
  <w:style w:type="paragraph" w:styleId="Ingenafstand">
    <w:name w:val="No Spacing"/>
    <w:uiPriority w:val="1"/>
    <w:qFormat/>
    <w:rsid w:val="00364E0F"/>
    <w:rPr>
      <w:rFonts w:asciiTheme="minorHAnsi" w:eastAsiaTheme="minorHAnsi" w:hAnsiTheme="minorHAnsi" w:cstheme="minorBidi"/>
      <w:sz w:val="22"/>
      <w:szCs w:val="22"/>
      <w:lang w:val="en-US" w:eastAsia="en-US"/>
    </w:rPr>
  </w:style>
  <w:style w:type="character" w:styleId="Hyperlink">
    <w:name w:val="Hyperlink"/>
    <w:basedOn w:val="Standardskrifttypeiafsnit"/>
    <w:uiPriority w:val="99"/>
    <w:unhideWhenUsed/>
    <w:rsid w:val="00364E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5421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4603</Words>
  <Characters>29508</Characters>
  <Application>Microsoft Office Word</Application>
  <DocSecurity>0</DocSecurity>
  <Lines>245</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2024074570 pkt 7</dc:description>
  <cp:lastModifiedBy>Helle Søndersted</cp:lastModifiedBy>
  <cp:revision>2</cp:revision>
  <cp:lastPrinted>2012-08-22T08:53:00Z</cp:lastPrinted>
  <dcterms:created xsi:type="dcterms:W3CDTF">2024-08-15T11:57:00Z</dcterms:created>
  <dcterms:modified xsi:type="dcterms:W3CDTF">2024-08-15T11:57:00Z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