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5F7" w:rsidRPr="008F49E1" w:rsidRDefault="005435F7" w:rsidP="005435F7">
      <w:pPr>
        <w:rPr>
          <w:sz w:val="24"/>
          <w:szCs w:val="24"/>
        </w:rPr>
      </w:pPr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510F151F" wp14:editId="4AAA34A1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:rsidR="005435F7" w:rsidRPr="00C84483" w:rsidRDefault="005435F7" w:rsidP="005435F7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005149">
        <w:rPr>
          <w:szCs w:val="24"/>
        </w:rPr>
        <w:t>2</w:t>
      </w:r>
      <w:r w:rsidR="00060745">
        <w:rPr>
          <w:szCs w:val="24"/>
        </w:rPr>
        <w:t>5</w:t>
      </w:r>
      <w:r w:rsidR="00005149">
        <w:rPr>
          <w:szCs w:val="24"/>
        </w:rPr>
        <w:t>. juni 2025</w:t>
      </w:r>
    </w:p>
    <w:p w:rsidR="005435F7" w:rsidRPr="00C84483" w:rsidRDefault="005435F7" w:rsidP="005435F7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5435F7" w:rsidRPr="00C84483" w:rsidRDefault="005435F7" w:rsidP="005435F7">
      <w:pPr>
        <w:pStyle w:val="Titel"/>
        <w:jc w:val="left"/>
        <w:rPr>
          <w:b w:val="0"/>
          <w:szCs w:val="24"/>
        </w:rPr>
      </w:pPr>
    </w:p>
    <w:p w:rsidR="005435F7" w:rsidRPr="00C84483" w:rsidRDefault="005435F7" w:rsidP="005435F7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5435F7" w:rsidRPr="00C84483" w:rsidRDefault="005435F7" w:rsidP="005435F7">
      <w:pPr>
        <w:jc w:val="center"/>
        <w:rPr>
          <w:b/>
          <w:sz w:val="24"/>
          <w:szCs w:val="24"/>
        </w:rPr>
      </w:pPr>
    </w:p>
    <w:p w:rsidR="005435F7" w:rsidRDefault="005435F7" w:rsidP="005435F7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:rsidR="005435F7" w:rsidRPr="00C84483" w:rsidRDefault="005435F7" w:rsidP="005435F7">
      <w:pPr>
        <w:jc w:val="center"/>
        <w:rPr>
          <w:b/>
          <w:sz w:val="24"/>
          <w:szCs w:val="24"/>
        </w:rPr>
      </w:pPr>
    </w:p>
    <w:p w:rsidR="005435F7" w:rsidRPr="00C84483" w:rsidRDefault="00005149" w:rsidP="005435F7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Urgaldex</w:t>
      </w:r>
      <w:proofErr w:type="spellEnd"/>
      <w:r w:rsidR="005435F7">
        <w:rPr>
          <w:b/>
          <w:sz w:val="24"/>
          <w:szCs w:val="24"/>
        </w:rPr>
        <w:t>, hårde kapsler</w:t>
      </w:r>
      <w:r>
        <w:rPr>
          <w:b/>
          <w:sz w:val="24"/>
          <w:szCs w:val="24"/>
        </w:rPr>
        <w:t xml:space="preserve"> (Nordic Prime)</w:t>
      </w:r>
    </w:p>
    <w:p w:rsidR="005435F7" w:rsidRPr="00C84483" w:rsidRDefault="005435F7" w:rsidP="005435F7">
      <w:pPr>
        <w:jc w:val="both"/>
        <w:rPr>
          <w:sz w:val="24"/>
          <w:szCs w:val="24"/>
        </w:rPr>
      </w:pPr>
    </w:p>
    <w:p w:rsidR="005435F7" w:rsidRPr="00C84483" w:rsidRDefault="005435F7" w:rsidP="005435F7">
      <w:pPr>
        <w:jc w:val="both"/>
        <w:rPr>
          <w:sz w:val="24"/>
          <w:szCs w:val="24"/>
        </w:rPr>
      </w:pPr>
    </w:p>
    <w:p w:rsidR="005435F7" w:rsidRPr="00C84483" w:rsidRDefault="005435F7" w:rsidP="005435F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0.</w:t>
      </w:r>
      <w:r w:rsidRPr="00C84483">
        <w:rPr>
          <w:b/>
          <w:sz w:val="24"/>
          <w:szCs w:val="24"/>
        </w:rPr>
        <w:tab/>
        <w:t>D.SP.NR.</w:t>
      </w:r>
    </w:p>
    <w:p w:rsidR="005435F7" w:rsidRPr="00C84483" w:rsidRDefault="005435F7" w:rsidP="005435F7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30602</w:t>
      </w:r>
    </w:p>
    <w:p w:rsidR="005435F7" w:rsidRPr="00C84483" w:rsidRDefault="005435F7" w:rsidP="005435F7">
      <w:pPr>
        <w:tabs>
          <w:tab w:val="left" w:pos="851"/>
        </w:tabs>
        <w:ind w:left="851"/>
        <w:rPr>
          <w:sz w:val="24"/>
          <w:szCs w:val="24"/>
        </w:rPr>
      </w:pPr>
    </w:p>
    <w:p w:rsidR="005435F7" w:rsidRPr="00C84483" w:rsidRDefault="005435F7" w:rsidP="005435F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1.</w:t>
      </w:r>
      <w:r w:rsidRPr="00C84483">
        <w:rPr>
          <w:b/>
          <w:sz w:val="24"/>
          <w:szCs w:val="24"/>
        </w:rPr>
        <w:tab/>
        <w:t>LÆGEMIDLETS NAVN</w:t>
      </w:r>
    </w:p>
    <w:p w:rsidR="005435F7" w:rsidRPr="00C84483" w:rsidRDefault="00005149" w:rsidP="005435F7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Urgaldex</w:t>
      </w:r>
      <w:proofErr w:type="spellEnd"/>
    </w:p>
    <w:p w:rsidR="005435F7" w:rsidRPr="00C84483" w:rsidRDefault="005435F7" w:rsidP="005435F7">
      <w:pPr>
        <w:tabs>
          <w:tab w:val="left" w:pos="851"/>
        </w:tabs>
        <w:ind w:left="851"/>
        <w:rPr>
          <w:sz w:val="24"/>
          <w:szCs w:val="24"/>
        </w:rPr>
      </w:pPr>
    </w:p>
    <w:p w:rsidR="005435F7" w:rsidRPr="00C84483" w:rsidRDefault="005435F7" w:rsidP="005435F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2.</w:t>
      </w:r>
      <w:r w:rsidRPr="00C84483">
        <w:rPr>
          <w:b/>
          <w:sz w:val="24"/>
          <w:szCs w:val="24"/>
        </w:rPr>
        <w:tab/>
        <w:t>KVALITATIV OG KVANTITATIV SAMMENSÆTNING</w:t>
      </w:r>
    </w:p>
    <w:p w:rsidR="005435F7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Hver hård kapsel indeholder 250 mg </w:t>
      </w:r>
      <w:proofErr w:type="spellStart"/>
      <w:r w:rsidRPr="004F48E4">
        <w:rPr>
          <w:rFonts w:eastAsiaTheme="minorEastAsia"/>
          <w:color w:val="000000"/>
          <w:sz w:val="24"/>
          <w:szCs w:val="24"/>
          <w:lang w:eastAsia="zh-CN"/>
        </w:rPr>
        <w:t>ursodeoxycholsyre</w:t>
      </w:r>
      <w:proofErr w:type="spellEnd"/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 (UDCA) som den aktive ingrediens.</w:t>
      </w:r>
    </w:p>
    <w:p w:rsidR="005435F7" w:rsidRPr="004F48E4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</w:p>
    <w:p w:rsidR="005435F7" w:rsidRPr="004F48E4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4F48E4">
        <w:rPr>
          <w:rFonts w:eastAsiaTheme="minorEastAsia"/>
          <w:color w:val="000000"/>
          <w:sz w:val="24"/>
          <w:szCs w:val="24"/>
          <w:lang w:eastAsia="zh-CN"/>
        </w:rPr>
        <w:t>Alle hjælpestoffer er anført under pkt. 6.1.</w:t>
      </w:r>
    </w:p>
    <w:p w:rsidR="005435F7" w:rsidRPr="00C84483" w:rsidRDefault="005435F7" w:rsidP="005435F7">
      <w:pPr>
        <w:tabs>
          <w:tab w:val="left" w:pos="851"/>
        </w:tabs>
        <w:ind w:left="851"/>
        <w:rPr>
          <w:sz w:val="24"/>
          <w:szCs w:val="24"/>
        </w:rPr>
      </w:pPr>
    </w:p>
    <w:p w:rsidR="005435F7" w:rsidRPr="00C84483" w:rsidRDefault="005435F7" w:rsidP="005435F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3.</w:t>
      </w:r>
      <w:r w:rsidRPr="00C84483">
        <w:rPr>
          <w:b/>
          <w:sz w:val="24"/>
          <w:szCs w:val="24"/>
        </w:rPr>
        <w:tab/>
        <w:t>LÆGEMIDDELFORM</w:t>
      </w:r>
    </w:p>
    <w:p w:rsidR="005435F7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Hårde kapsler</w:t>
      </w:r>
      <w:r w:rsidR="00005149">
        <w:rPr>
          <w:rFonts w:eastAsiaTheme="minorEastAsia"/>
          <w:color w:val="000000"/>
          <w:sz w:val="24"/>
          <w:szCs w:val="24"/>
          <w:lang w:eastAsia="zh-CN"/>
        </w:rPr>
        <w:t xml:space="preserve"> (Nordic Prime)</w:t>
      </w:r>
    </w:p>
    <w:p w:rsidR="005435F7" w:rsidRPr="00C84483" w:rsidRDefault="005435F7" w:rsidP="005435F7">
      <w:pPr>
        <w:tabs>
          <w:tab w:val="left" w:pos="851"/>
        </w:tabs>
        <w:ind w:left="851"/>
        <w:rPr>
          <w:sz w:val="24"/>
          <w:szCs w:val="24"/>
        </w:rPr>
      </w:pPr>
    </w:p>
    <w:p w:rsidR="005435F7" w:rsidRPr="00C84483" w:rsidRDefault="005435F7" w:rsidP="005435F7">
      <w:pPr>
        <w:tabs>
          <w:tab w:val="left" w:pos="851"/>
        </w:tabs>
        <w:ind w:left="851"/>
        <w:rPr>
          <w:sz w:val="24"/>
          <w:szCs w:val="24"/>
        </w:rPr>
      </w:pPr>
    </w:p>
    <w:p w:rsidR="005435F7" w:rsidRPr="00C84483" w:rsidRDefault="005435F7" w:rsidP="005435F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</w:t>
      </w:r>
      <w:r w:rsidRPr="00C84483">
        <w:rPr>
          <w:b/>
          <w:sz w:val="24"/>
          <w:szCs w:val="24"/>
        </w:rPr>
        <w:tab/>
        <w:t>KLINISKE OPLYSNINGER</w:t>
      </w:r>
    </w:p>
    <w:p w:rsidR="005435F7" w:rsidRPr="00C84483" w:rsidRDefault="005435F7" w:rsidP="005435F7">
      <w:pPr>
        <w:tabs>
          <w:tab w:val="left" w:pos="851"/>
        </w:tabs>
        <w:ind w:left="851"/>
        <w:rPr>
          <w:b/>
          <w:sz w:val="24"/>
          <w:szCs w:val="24"/>
        </w:rPr>
      </w:pPr>
    </w:p>
    <w:p w:rsidR="005435F7" w:rsidRPr="00C84483" w:rsidRDefault="005435F7" w:rsidP="005435F7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C84483">
        <w:rPr>
          <w:b/>
          <w:sz w:val="24"/>
          <w:szCs w:val="24"/>
        </w:rPr>
        <w:t>4.1</w:t>
      </w:r>
      <w:r w:rsidRPr="00C84483">
        <w:rPr>
          <w:b/>
          <w:sz w:val="24"/>
          <w:szCs w:val="24"/>
        </w:rPr>
        <w:tab/>
        <w:t>Terapeutiske indikationer</w:t>
      </w:r>
    </w:p>
    <w:p w:rsidR="005435F7" w:rsidRPr="004F48E4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4F48E4">
        <w:rPr>
          <w:rFonts w:eastAsiaTheme="minorEastAsia"/>
          <w:color w:val="000000"/>
          <w:sz w:val="24"/>
          <w:szCs w:val="24"/>
          <w:lang w:eastAsia="zh-CN"/>
        </w:rPr>
        <w:t>Til opløsning af kolesterolgal</w:t>
      </w:r>
      <w:r>
        <w:rPr>
          <w:rFonts w:eastAsiaTheme="minorEastAsia"/>
          <w:color w:val="000000"/>
          <w:sz w:val="24"/>
          <w:szCs w:val="24"/>
          <w:lang w:eastAsia="zh-CN"/>
        </w:rPr>
        <w:t>d</w:t>
      </w:r>
      <w:r w:rsidRPr="004F48E4">
        <w:rPr>
          <w:rFonts w:eastAsiaTheme="minorEastAsia"/>
          <w:color w:val="000000"/>
          <w:sz w:val="24"/>
          <w:szCs w:val="24"/>
          <w:lang w:eastAsia="zh-CN"/>
        </w:rPr>
        <w:t>esten i galdeblæren. Galde</w:t>
      </w:r>
      <w:r>
        <w:rPr>
          <w:rFonts w:eastAsiaTheme="minorEastAsia"/>
          <w:color w:val="000000"/>
          <w:sz w:val="24"/>
          <w:szCs w:val="24"/>
          <w:lang w:eastAsia="zh-CN"/>
        </w:rPr>
        <w:t>stenene må ikke frembringe nogle</w:t>
      </w:r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 skygger på røntgenbilledet og </w:t>
      </w:r>
      <w:r>
        <w:rPr>
          <w:rFonts w:eastAsiaTheme="minorEastAsia"/>
          <w:color w:val="000000"/>
          <w:sz w:val="24"/>
          <w:szCs w:val="24"/>
          <w:lang w:eastAsia="zh-CN"/>
        </w:rPr>
        <w:t>må</w:t>
      </w:r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 ikke have en større diameter end 15 mm</w:t>
      </w:r>
      <w:r>
        <w:rPr>
          <w:rFonts w:eastAsiaTheme="minorEastAsia"/>
          <w:color w:val="000000"/>
          <w:sz w:val="24"/>
          <w:szCs w:val="24"/>
          <w:lang w:eastAsia="zh-CN"/>
        </w:rPr>
        <w:t>. G</w:t>
      </w:r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aldeblæren skal </w:t>
      </w:r>
      <w:r>
        <w:rPr>
          <w:rFonts w:eastAsiaTheme="minorEastAsia"/>
          <w:color w:val="000000"/>
          <w:sz w:val="24"/>
          <w:szCs w:val="24"/>
          <w:lang w:eastAsia="zh-CN"/>
        </w:rPr>
        <w:t xml:space="preserve">på </w:t>
      </w:r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trods </w:t>
      </w:r>
      <w:r>
        <w:rPr>
          <w:rFonts w:eastAsiaTheme="minorEastAsia"/>
          <w:color w:val="000000"/>
          <w:sz w:val="24"/>
          <w:szCs w:val="24"/>
          <w:lang w:eastAsia="zh-CN"/>
        </w:rPr>
        <w:t xml:space="preserve">af </w:t>
      </w:r>
      <w:r w:rsidRPr="004F48E4">
        <w:rPr>
          <w:rFonts w:eastAsiaTheme="minorEastAsia"/>
          <w:color w:val="000000"/>
          <w:sz w:val="24"/>
          <w:szCs w:val="24"/>
          <w:lang w:eastAsia="zh-CN"/>
        </w:rPr>
        <w:t>gal</w:t>
      </w:r>
      <w:r>
        <w:rPr>
          <w:rFonts w:eastAsiaTheme="minorEastAsia"/>
          <w:color w:val="000000"/>
          <w:sz w:val="24"/>
          <w:szCs w:val="24"/>
          <w:lang w:eastAsia="zh-CN"/>
        </w:rPr>
        <w:t>de</w:t>
      </w:r>
      <w:r w:rsidRPr="004F48E4">
        <w:rPr>
          <w:rFonts w:eastAsiaTheme="minorEastAsia"/>
          <w:color w:val="000000"/>
          <w:sz w:val="24"/>
          <w:szCs w:val="24"/>
          <w:lang w:eastAsia="zh-CN"/>
        </w:rPr>
        <w:t>stenen</w:t>
      </w:r>
      <w:r>
        <w:rPr>
          <w:rFonts w:eastAsiaTheme="minorEastAsia"/>
          <w:color w:val="000000"/>
          <w:sz w:val="24"/>
          <w:szCs w:val="24"/>
          <w:lang w:eastAsia="zh-CN"/>
        </w:rPr>
        <w:t>e</w:t>
      </w:r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 være i funktion.</w:t>
      </w:r>
    </w:p>
    <w:p w:rsidR="005435F7" w:rsidRPr="004F48E4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Til behandling af galde </w:t>
      </w:r>
      <w:proofErr w:type="spellStart"/>
      <w:r w:rsidRPr="004F48E4">
        <w:rPr>
          <w:rFonts w:eastAsiaTheme="minorEastAsia"/>
          <w:color w:val="000000"/>
          <w:sz w:val="24"/>
          <w:szCs w:val="24"/>
          <w:lang w:eastAsia="zh-CN"/>
        </w:rPr>
        <w:t>reflux</w:t>
      </w:r>
      <w:proofErr w:type="spellEnd"/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 gastritis.</w:t>
      </w:r>
    </w:p>
    <w:p w:rsidR="005435F7" w:rsidRPr="004F48E4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Til symptomatisk behandling af primær biliær </w:t>
      </w:r>
      <w:proofErr w:type="spellStart"/>
      <w:r w:rsidRPr="004F48E4">
        <w:rPr>
          <w:rFonts w:eastAsiaTheme="minorEastAsia"/>
          <w:color w:val="000000"/>
          <w:sz w:val="24"/>
          <w:szCs w:val="24"/>
          <w:lang w:eastAsia="zh-CN"/>
        </w:rPr>
        <w:t>kolangitis</w:t>
      </w:r>
      <w:proofErr w:type="spellEnd"/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 (PBC) (</w:t>
      </w:r>
      <w:proofErr w:type="spellStart"/>
      <w:r w:rsidRPr="004F48E4">
        <w:rPr>
          <w:rFonts w:eastAsiaTheme="minorEastAsia"/>
          <w:color w:val="000000"/>
          <w:sz w:val="24"/>
          <w:szCs w:val="24"/>
          <w:lang w:eastAsia="zh-CN"/>
        </w:rPr>
        <w:t>primary</w:t>
      </w:r>
      <w:proofErr w:type="spellEnd"/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 </w:t>
      </w:r>
      <w:proofErr w:type="spellStart"/>
      <w:r w:rsidRPr="004F48E4">
        <w:rPr>
          <w:rFonts w:eastAsiaTheme="minorEastAsia"/>
          <w:color w:val="000000"/>
          <w:sz w:val="24"/>
          <w:szCs w:val="24"/>
          <w:lang w:eastAsia="zh-CN"/>
        </w:rPr>
        <w:t>biliary</w:t>
      </w:r>
      <w:proofErr w:type="spellEnd"/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 </w:t>
      </w:r>
      <w:proofErr w:type="spellStart"/>
      <w:r w:rsidRPr="004F48E4">
        <w:rPr>
          <w:rFonts w:eastAsiaTheme="minorEastAsia"/>
          <w:color w:val="000000"/>
          <w:sz w:val="24"/>
          <w:szCs w:val="24"/>
          <w:lang w:eastAsia="zh-CN"/>
        </w:rPr>
        <w:t>cirrhosis</w:t>
      </w:r>
      <w:proofErr w:type="spellEnd"/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), så længe der ikke er nogen </w:t>
      </w:r>
      <w:proofErr w:type="spellStart"/>
      <w:r w:rsidRPr="004F48E4">
        <w:rPr>
          <w:rFonts w:eastAsiaTheme="minorEastAsia"/>
          <w:color w:val="000000"/>
          <w:sz w:val="24"/>
          <w:szCs w:val="24"/>
          <w:lang w:eastAsia="zh-CN"/>
        </w:rPr>
        <w:t>dekompenseret</w:t>
      </w:r>
      <w:proofErr w:type="spellEnd"/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 levercirrose.</w:t>
      </w:r>
    </w:p>
    <w:p w:rsidR="005435F7" w:rsidRPr="004F48E4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4F48E4">
        <w:rPr>
          <w:rFonts w:eastAsiaTheme="minorEastAsia"/>
          <w:color w:val="000000"/>
          <w:sz w:val="24"/>
          <w:szCs w:val="24"/>
          <w:lang w:eastAsia="zh-CN"/>
        </w:rPr>
        <w:t> </w:t>
      </w:r>
    </w:p>
    <w:p w:rsidR="005435F7" w:rsidRPr="004F48E4" w:rsidRDefault="005435F7" w:rsidP="005435F7">
      <w:pPr>
        <w:keepNext/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4F48E4">
        <w:rPr>
          <w:rFonts w:eastAsiaTheme="minorEastAsia"/>
          <w:color w:val="000000"/>
          <w:sz w:val="24"/>
          <w:szCs w:val="24"/>
          <w:u w:val="single"/>
          <w:lang w:eastAsia="zh-CN"/>
        </w:rPr>
        <w:t>Pædiatriske befolkningsgrupper</w:t>
      </w:r>
    </w:p>
    <w:p w:rsidR="005435F7" w:rsidRPr="00887A4B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Til behandling af </w:t>
      </w:r>
      <w:proofErr w:type="spellStart"/>
      <w:r w:rsidRPr="004F48E4">
        <w:rPr>
          <w:rFonts w:eastAsiaTheme="minorEastAsia"/>
          <w:color w:val="000000"/>
          <w:sz w:val="24"/>
          <w:szCs w:val="24"/>
          <w:lang w:eastAsia="zh-CN"/>
        </w:rPr>
        <w:t>hepatobiliære</w:t>
      </w:r>
      <w:proofErr w:type="spellEnd"/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 lidelser forbundet med cystisk fibrose hos børn i alderen 6 til 18 år.</w:t>
      </w:r>
    </w:p>
    <w:p w:rsidR="005435F7" w:rsidRPr="00C84483" w:rsidRDefault="005435F7" w:rsidP="005435F7">
      <w:pPr>
        <w:tabs>
          <w:tab w:val="left" w:pos="851"/>
        </w:tabs>
        <w:ind w:left="851"/>
        <w:rPr>
          <w:sz w:val="24"/>
          <w:szCs w:val="24"/>
        </w:rPr>
      </w:pPr>
    </w:p>
    <w:p w:rsidR="005435F7" w:rsidRPr="00C84483" w:rsidRDefault="005435F7" w:rsidP="005435F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4.2</w:t>
      </w:r>
      <w:r w:rsidRPr="00C84483">
        <w:rPr>
          <w:b/>
          <w:sz w:val="24"/>
          <w:szCs w:val="24"/>
        </w:rPr>
        <w:tab/>
        <w:t>Dosering og indgivelsesmåde</w:t>
      </w:r>
    </w:p>
    <w:p w:rsidR="005435F7" w:rsidRPr="004F48E4" w:rsidRDefault="005435F7" w:rsidP="005435F7">
      <w:pPr>
        <w:shd w:val="clear" w:color="auto" w:fill="FFFFFF"/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4F48E4">
        <w:rPr>
          <w:rFonts w:eastAsiaTheme="minorEastAsia"/>
          <w:color w:val="000000"/>
          <w:sz w:val="24"/>
          <w:szCs w:val="24"/>
          <w:lang w:eastAsia="zh-CN"/>
        </w:rPr>
        <w:t>Der er ingen aldersbegrænsninger for brugen af ​​</w:t>
      </w:r>
      <w:proofErr w:type="spellStart"/>
      <w:r w:rsidR="00005149">
        <w:rPr>
          <w:rFonts w:eastAsiaTheme="minorEastAsia"/>
          <w:color w:val="000000"/>
          <w:sz w:val="24"/>
          <w:szCs w:val="24"/>
          <w:lang w:eastAsia="zh-CN"/>
        </w:rPr>
        <w:t>Urgaldex</w:t>
      </w:r>
      <w:proofErr w:type="spellEnd"/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. </w:t>
      </w:r>
      <w:proofErr w:type="spellStart"/>
      <w:r w:rsidR="00005149">
        <w:rPr>
          <w:rFonts w:eastAsiaTheme="minorEastAsia"/>
          <w:color w:val="000000"/>
          <w:sz w:val="24"/>
          <w:szCs w:val="24"/>
          <w:lang w:eastAsia="zh-CN"/>
        </w:rPr>
        <w:t>Urgaldex</w:t>
      </w:r>
      <w:proofErr w:type="spellEnd"/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 er velegnet til patienter med en kropsvægt på 47 kg og derover.</w:t>
      </w:r>
    </w:p>
    <w:p w:rsidR="005435F7" w:rsidRPr="004F48E4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4F48E4">
        <w:rPr>
          <w:rFonts w:eastAsiaTheme="minorEastAsia"/>
          <w:color w:val="000000"/>
          <w:sz w:val="24"/>
          <w:szCs w:val="24"/>
          <w:lang w:eastAsia="zh-CN"/>
        </w:rPr>
        <w:t> </w:t>
      </w:r>
    </w:p>
    <w:p w:rsidR="005435F7" w:rsidRPr="004F48E4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4F48E4">
        <w:rPr>
          <w:rFonts w:eastAsiaTheme="minorEastAsia"/>
          <w:color w:val="000000"/>
          <w:sz w:val="24"/>
          <w:szCs w:val="24"/>
          <w:lang w:eastAsia="zh-CN"/>
        </w:rPr>
        <w:t>Følgende daglig dosering anbefales til de forskellige indikationer.</w:t>
      </w:r>
    </w:p>
    <w:p w:rsidR="005435F7" w:rsidRPr="004F48E4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4F48E4">
        <w:rPr>
          <w:rFonts w:eastAsiaTheme="minorEastAsia"/>
          <w:color w:val="000000"/>
          <w:sz w:val="24"/>
          <w:szCs w:val="24"/>
          <w:lang w:eastAsia="zh-CN"/>
        </w:rPr>
        <w:t> </w:t>
      </w:r>
    </w:p>
    <w:p w:rsidR="005435F7" w:rsidRPr="004F48E4" w:rsidRDefault="005435F7" w:rsidP="005435F7">
      <w:pPr>
        <w:keepNext/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4F48E4">
        <w:rPr>
          <w:rFonts w:eastAsiaTheme="minorEastAsia"/>
          <w:color w:val="000000"/>
          <w:sz w:val="24"/>
          <w:szCs w:val="24"/>
          <w:u w:val="single"/>
          <w:lang w:eastAsia="zh-CN"/>
        </w:rPr>
        <w:lastRenderedPageBreak/>
        <w:t>Til opløsning af kolesterolgal</w:t>
      </w:r>
      <w:r>
        <w:rPr>
          <w:rFonts w:eastAsiaTheme="minorEastAsia"/>
          <w:color w:val="000000"/>
          <w:sz w:val="24"/>
          <w:szCs w:val="24"/>
          <w:u w:val="single"/>
          <w:lang w:eastAsia="zh-CN"/>
        </w:rPr>
        <w:t>d</w:t>
      </w:r>
      <w:r w:rsidRPr="004F48E4">
        <w:rPr>
          <w:rFonts w:eastAsiaTheme="minorEastAsia"/>
          <w:color w:val="000000"/>
          <w:sz w:val="24"/>
          <w:szCs w:val="24"/>
          <w:u w:val="single"/>
          <w:lang w:eastAsia="zh-CN"/>
        </w:rPr>
        <w:t>esten</w:t>
      </w:r>
    </w:p>
    <w:p w:rsidR="005435F7" w:rsidRPr="004F48E4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Ca. 10 mg </w:t>
      </w:r>
      <w:proofErr w:type="spellStart"/>
      <w:r w:rsidRPr="004F48E4">
        <w:rPr>
          <w:rFonts w:eastAsiaTheme="minorEastAsia"/>
          <w:color w:val="000000"/>
          <w:sz w:val="24"/>
          <w:szCs w:val="24"/>
          <w:lang w:eastAsia="zh-CN"/>
        </w:rPr>
        <w:t>ursodeoxycholsyre</w:t>
      </w:r>
      <w:proofErr w:type="spellEnd"/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 pr. </w:t>
      </w:r>
      <w:r>
        <w:rPr>
          <w:rFonts w:eastAsiaTheme="minorEastAsia"/>
          <w:color w:val="000000"/>
          <w:sz w:val="24"/>
          <w:szCs w:val="24"/>
          <w:lang w:eastAsia="zh-CN"/>
        </w:rPr>
        <w:t>k</w:t>
      </w:r>
      <w:r w:rsidRPr="004F48E4">
        <w:rPr>
          <w:rFonts w:eastAsiaTheme="minorEastAsia"/>
          <w:color w:val="000000"/>
          <w:sz w:val="24"/>
          <w:szCs w:val="24"/>
          <w:lang w:eastAsia="zh-CN"/>
        </w:rPr>
        <w:t>g kropsvægt svarende til</w:t>
      </w:r>
    </w:p>
    <w:p w:rsidR="005435F7" w:rsidRPr="004F48E4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</w:p>
    <w:tbl>
      <w:tblPr>
        <w:tblW w:w="6833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06"/>
        <w:gridCol w:w="2227"/>
      </w:tblGrid>
      <w:tr w:rsidR="005435F7" w:rsidRPr="004F48E4" w:rsidTr="003B4BCE">
        <w:tc>
          <w:tcPr>
            <w:tcW w:w="4606" w:type="dxa"/>
            <w:vAlign w:val="center"/>
          </w:tcPr>
          <w:p w:rsidR="005435F7" w:rsidRPr="004F48E4" w:rsidRDefault="005435F7" w:rsidP="003B4BCE">
            <w:pPr>
              <w:autoSpaceDE w:val="0"/>
              <w:autoSpaceDN w:val="0"/>
              <w:adjustRightInd w:val="0"/>
              <w:ind w:left="34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  <w:r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 xml:space="preserve">op til 60 kg </w:t>
            </w:r>
          </w:p>
        </w:tc>
        <w:tc>
          <w:tcPr>
            <w:tcW w:w="2227" w:type="dxa"/>
            <w:vAlign w:val="center"/>
          </w:tcPr>
          <w:p w:rsidR="005435F7" w:rsidRPr="004F48E4" w:rsidRDefault="005435F7" w:rsidP="003B4BCE">
            <w:pPr>
              <w:autoSpaceDE w:val="0"/>
              <w:autoSpaceDN w:val="0"/>
              <w:adjustRightInd w:val="0"/>
              <w:ind w:left="34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  <w:r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2 h</w:t>
            </w:r>
            <w:r w:rsidRPr="004F48E4">
              <w:rPr>
                <w:rFonts w:eastAsiaTheme="minorEastAsia"/>
                <w:color w:val="000000"/>
                <w:sz w:val="24"/>
                <w:szCs w:val="24"/>
                <w:lang w:eastAsia="zh-CN"/>
              </w:rPr>
              <w:t>å</w:t>
            </w:r>
            <w:r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rde kapsler</w:t>
            </w:r>
          </w:p>
        </w:tc>
      </w:tr>
      <w:tr w:rsidR="005435F7" w:rsidRPr="004F48E4" w:rsidTr="003B4BCE">
        <w:tc>
          <w:tcPr>
            <w:tcW w:w="4606" w:type="dxa"/>
            <w:vAlign w:val="center"/>
          </w:tcPr>
          <w:p w:rsidR="005435F7" w:rsidRPr="004F48E4" w:rsidRDefault="005435F7" w:rsidP="003B4BCE">
            <w:pPr>
              <w:autoSpaceDE w:val="0"/>
              <w:autoSpaceDN w:val="0"/>
              <w:adjustRightInd w:val="0"/>
              <w:ind w:left="34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  <w:r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61 til 80 kg</w:t>
            </w:r>
          </w:p>
        </w:tc>
        <w:tc>
          <w:tcPr>
            <w:tcW w:w="2227" w:type="dxa"/>
            <w:vAlign w:val="center"/>
          </w:tcPr>
          <w:p w:rsidR="005435F7" w:rsidRPr="004F48E4" w:rsidRDefault="005435F7" w:rsidP="003B4BCE">
            <w:pPr>
              <w:autoSpaceDE w:val="0"/>
              <w:autoSpaceDN w:val="0"/>
              <w:adjustRightInd w:val="0"/>
              <w:ind w:left="34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  <w:r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3 h</w:t>
            </w:r>
            <w:r w:rsidRPr="004F48E4">
              <w:rPr>
                <w:rFonts w:eastAsiaTheme="minorEastAsia"/>
                <w:color w:val="000000"/>
                <w:sz w:val="24"/>
                <w:szCs w:val="24"/>
                <w:lang w:eastAsia="zh-CN"/>
              </w:rPr>
              <w:t>å</w:t>
            </w:r>
            <w:r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rde kapsler</w:t>
            </w:r>
          </w:p>
        </w:tc>
      </w:tr>
      <w:tr w:rsidR="005435F7" w:rsidRPr="004F48E4" w:rsidTr="003B4BCE">
        <w:tc>
          <w:tcPr>
            <w:tcW w:w="4606" w:type="dxa"/>
            <w:vAlign w:val="center"/>
          </w:tcPr>
          <w:p w:rsidR="005435F7" w:rsidRPr="004F48E4" w:rsidRDefault="005435F7" w:rsidP="003B4BCE">
            <w:pPr>
              <w:autoSpaceDE w:val="0"/>
              <w:autoSpaceDN w:val="0"/>
              <w:adjustRightInd w:val="0"/>
              <w:ind w:left="34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  <w:r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81 til 100 kg</w:t>
            </w:r>
          </w:p>
        </w:tc>
        <w:tc>
          <w:tcPr>
            <w:tcW w:w="2227" w:type="dxa"/>
            <w:vAlign w:val="center"/>
          </w:tcPr>
          <w:p w:rsidR="005435F7" w:rsidRPr="004F48E4" w:rsidRDefault="005435F7" w:rsidP="003B4BCE">
            <w:pPr>
              <w:autoSpaceDE w:val="0"/>
              <w:autoSpaceDN w:val="0"/>
              <w:adjustRightInd w:val="0"/>
              <w:ind w:left="34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  <w:r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4 h</w:t>
            </w:r>
            <w:r w:rsidRPr="004F48E4">
              <w:rPr>
                <w:rFonts w:eastAsiaTheme="minorEastAsia"/>
                <w:color w:val="000000"/>
                <w:sz w:val="24"/>
                <w:szCs w:val="24"/>
                <w:lang w:eastAsia="zh-CN"/>
              </w:rPr>
              <w:t>å</w:t>
            </w:r>
            <w:r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rde kapsler</w:t>
            </w:r>
          </w:p>
        </w:tc>
      </w:tr>
      <w:tr w:rsidR="005435F7" w:rsidRPr="004F48E4" w:rsidTr="003B4BCE">
        <w:tc>
          <w:tcPr>
            <w:tcW w:w="4606" w:type="dxa"/>
            <w:vAlign w:val="center"/>
          </w:tcPr>
          <w:p w:rsidR="005435F7" w:rsidRPr="004F48E4" w:rsidRDefault="005435F7" w:rsidP="003B4BCE">
            <w:pPr>
              <w:autoSpaceDE w:val="0"/>
              <w:autoSpaceDN w:val="0"/>
              <w:adjustRightInd w:val="0"/>
              <w:ind w:left="34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  <w:r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over 100 kg</w:t>
            </w:r>
          </w:p>
        </w:tc>
        <w:tc>
          <w:tcPr>
            <w:tcW w:w="2227" w:type="dxa"/>
            <w:vAlign w:val="center"/>
          </w:tcPr>
          <w:p w:rsidR="005435F7" w:rsidRPr="004F48E4" w:rsidRDefault="005435F7" w:rsidP="003B4BCE">
            <w:pPr>
              <w:autoSpaceDE w:val="0"/>
              <w:autoSpaceDN w:val="0"/>
              <w:adjustRightInd w:val="0"/>
              <w:ind w:left="34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  <w:r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5 h</w:t>
            </w:r>
            <w:r w:rsidRPr="004F48E4">
              <w:rPr>
                <w:rFonts w:eastAsiaTheme="minorEastAsia"/>
                <w:color w:val="000000"/>
                <w:sz w:val="24"/>
                <w:szCs w:val="24"/>
                <w:lang w:eastAsia="zh-CN"/>
              </w:rPr>
              <w:t>å</w:t>
            </w:r>
            <w:r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rde kapsler</w:t>
            </w:r>
          </w:p>
        </w:tc>
      </w:tr>
    </w:tbl>
    <w:p w:rsidR="005435F7" w:rsidRPr="004F48E4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</w:p>
    <w:p w:rsidR="005435F7" w:rsidRPr="004F48E4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De hårde kapsler </w:t>
      </w:r>
      <w:r>
        <w:rPr>
          <w:rFonts w:eastAsiaTheme="minorEastAsia"/>
          <w:color w:val="000000"/>
          <w:sz w:val="24"/>
          <w:szCs w:val="24"/>
          <w:lang w:eastAsia="zh-CN"/>
        </w:rPr>
        <w:t>skal synkes hele</w:t>
      </w:r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, om aftenen før sengetid med lidt væske. </w:t>
      </w:r>
    </w:p>
    <w:p w:rsidR="005435F7" w:rsidRPr="004F48E4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Kapslerne skal tages regelmæssigt. </w:t>
      </w:r>
    </w:p>
    <w:p w:rsidR="005435F7" w:rsidRPr="004F48E4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4F48E4">
        <w:rPr>
          <w:rFonts w:eastAsiaTheme="minorEastAsia"/>
          <w:color w:val="000000"/>
          <w:sz w:val="24"/>
          <w:szCs w:val="24"/>
          <w:lang w:eastAsia="zh-CN"/>
        </w:rPr>
        <w:t>Den tid, der kræves for opløsning af gal</w:t>
      </w:r>
      <w:r>
        <w:rPr>
          <w:rFonts w:eastAsiaTheme="minorEastAsia"/>
          <w:color w:val="000000"/>
          <w:sz w:val="24"/>
          <w:szCs w:val="24"/>
          <w:lang w:eastAsia="zh-CN"/>
        </w:rPr>
        <w:t>d</w:t>
      </w:r>
      <w:r w:rsidRPr="004F48E4">
        <w:rPr>
          <w:rFonts w:eastAsiaTheme="minorEastAsia"/>
          <w:color w:val="000000"/>
          <w:sz w:val="24"/>
          <w:szCs w:val="24"/>
          <w:lang w:eastAsia="zh-CN"/>
        </w:rPr>
        <w:t>esten, er sandsynligvis omkring fra 6 til 24 måneder. Hvis de</w:t>
      </w:r>
      <w:r>
        <w:rPr>
          <w:rFonts w:eastAsiaTheme="minorEastAsia"/>
          <w:color w:val="000000"/>
          <w:sz w:val="24"/>
          <w:szCs w:val="24"/>
          <w:lang w:eastAsia="zh-CN"/>
        </w:rPr>
        <w:t>r ikke er nogen reduktion i gald</w:t>
      </w:r>
      <w:r w:rsidRPr="004F48E4">
        <w:rPr>
          <w:rFonts w:eastAsiaTheme="minorEastAsia"/>
          <w:color w:val="000000"/>
          <w:sz w:val="24"/>
          <w:szCs w:val="24"/>
          <w:lang w:eastAsia="zh-CN"/>
        </w:rPr>
        <w:t>estenen</w:t>
      </w:r>
      <w:r>
        <w:rPr>
          <w:rFonts w:eastAsiaTheme="minorEastAsia"/>
          <w:color w:val="000000"/>
          <w:sz w:val="24"/>
          <w:szCs w:val="24"/>
          <w:lang w:eastAsia="zh-CN"/>
        </w:rPr>
        <w:t>e</w:t>
      </w:r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 efter 12 måneder, bør behandlingen ikke fortsættes.</w:t>
      </w:r>
    </w:p>
    <w:p w:rsidR="005435F7" w:rsidRPr="004F48E4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Behandlingens succes bør kontrolleres </w:t>
      </w:r>
      <w:proofErr w:type="spellStart"/>
      <w:r w:rsidRPr="004F48E4">
        <w:rPr>
          <w:rFonts w:eastAsiaTheme="minorEastAsia"/>
          <w:color w:val="000000"/>
          <w:sz w:val="24"/>
          <w:szCs w:val="24"/>
          <w:lang w:eastAsia="zh-CN"/>
        </w:rPr>
        <w:t>sonografisk</w:t>
      </w:r>
      <w:proofErr w:type="spellEnd"/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 eller radiografisk hver 6. måned. Man skal også under opfølgende undersøgelser</w:t>
      </w:r>
      <w:r>
        <w:rPr>
          <w:rFonts w:eastAsiaTheme="minorEastAsia"/>
          <w:color w:val="000000"/>
          <w:sz w:val="24"/>
          <w:szCs w:val="24"/>
          <w:lang w:eastAsia="zh-CN"/>
        </w:rPr>
        <w:t xml:space="preserve"> </w:t>
      </w:r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iagttage, hvorvidt der i mellemtiden har været nogen forkalkning af stenene. Hvis dette er tilfældet, skal behandlingen afsluttes. </w:t>
      </w:r>
    </w:p>
    <w:p w:rsidR="005435F7" w:rsidRPr="004F48E4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4F48E4">
        <w:rPr>
          <w:rFonts w:eastAsiaTheme="minorEastAsia"/>
          <w:color w:val="000000"/>
          <w:sz w:val="24"/>
          <w:szCs w:val="24"/>
          <w:lang w:eastAsia="zh-CN"/>
        </w:rPr>
        <w:t> </w:t>
      </w:r>
    </w:p>
    <w:p w:rsidR="005435F7" w:rsidRPr="004F48E4" w:rsidRDefault="005435F7" w:rsidP="005435F7">
      <w:pPr>
        <w:keepNext/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4F48E4">
        <w:rPr>
          <w:rFonts w:eastAsiaTheme="minorEastAsia"/>
          <w:color w:val="000000"/>
          <w:sz w:val="24"/>
          <w:szCs w:val="24"/>
          <w:u w:val="single"/>
          <w:lang w:eastAsia="zh-CN"/>
        </w:rPr>
        <w:t>Til behandling af galde</w:t>
      </w:r>
      <w:r>
        <w:rPr>
          <w:rFonts w:eastAsiaTheme="minorEastAsia"/>
          <w:color w:val="000000"/>
          <w:sz w:val="24"/>
          <w:szCs w:val="24"/>
          <w:u w:val="single"/>
          <w:lang w:eastAsia="zh-CN"/>
        </w:rPr>
        <w:t>-</w:t>
      </w:r>
      <w:proofErr w:type="spellStart"/>
      <w:r w:rsidRPr="004F48E4">
        <w:rPr>
          <w:rFonts w:eastAsiaTheme="minorEastAsia"/>
          <w:color w:val="000000"/>
          <w:sz w:val="24"/>
          <w:szCs w:val="24"/>
          <w:u w:val="single"/>
          <w:lang w:eastAsia="zh-CN"/>
        </w:rPr>
        <w:t>reflux</w:t>
      </w:r>
      <w:proofErr w:type="spellEnd"/>
      <w:r>
        <w:rPr>
          <w:rFonts w:eastAsiaTheme="minorEastAsia"/>
          <w:color w:val="000000"/>
          <w:sz w:val="24"/>
          <w:szCs w:val="24"/>
          <w:u w:val="single"/>
          <w:lang w:eastAsia="zh-CN"/>
        </w:rPr>
        <w:t>-</w:t>
      </w:r>
      <w:r w:rsidRPr="004F48E4">
        <w:rPr>
          <w:rFonts w:eastAsiaTheme="minorEastAsia"/>
          <w:color w:val="000000"/>
          <w:sz w:val="24"/>
          <w:szCs w:val="24"/>
          <w:u w:val="single"/>
          <w:lang w:eastAsia="zh-CN"/>
        </w:rPr>
        <w:t>gastritis</w:t>
      </w:r>
    </w:p>
    <w:p w:rsidR="005435F7" w:rsidRPr="004F48E4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Tag 1 </w:t>
      </w:r>
      <w:proofErr w:type="spellStart"/>
      <w:r w:rsidR="00005149">
        <w:rPr>
          <w:rFonts w:eastAsiaTheme="minorEastAsia"/>
          <w:color w:val="000000"/>
          <w:sz w:val="24"/>
          <w:szCs w:val="24"/>
          <w:lang w:eastAsia="zh-CN"/>
        </w:rPr>
        <w:t>Urgaldex</w:t>
      </w:r>
      <w:proofErr w:type="spellEnd"/>
      <w:r>
        <w:rPr>
          <w:rFonts w:eastAsiaTheme="minorEastAsia"/>
          <w:color w:val="000000"/>
          <w:sz w:val="24"/>
          <w:szCs w:val="24"/>
          <w:lang w:eastAsia="zh-CN"/>
        </w:rPr>
        <w:t xml:space="preserve"> hård kapsel </w:t>
      </w:r>
      <w:r w:rsidRPr="004F48E4">
        <w:rPr>
          <w:rFonts w:eastAsiaTheme="minorEastAsia"/>
          <w:color w:val="000000"/>
          <w:sz w:val="24"/>
          <w:szCs w:val="24"/>
          <w:lang w:eastAsia="zh-CN"/>
        </w:rPr>
        <w:t>en gang om dagen</w:t>
      </w:r>
      <w:r>
        <w:rPr>
          <w:rFonts w:eastAsiaTheme="minorEastAsia"/>
          <w:color w:val="000000"/>
          <w:sz w:val="24"/>
          <w:szCs w:val="24"/>
          <w:lang w:eastAsia="zh-CN"/>
        </w:rPr>
        <w:t>,</w:t>
      </w:r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 om aftenen før sengetid, uden at tygge </w:t>
      </w:r>
      <w:r>
        <w:rPr>
          <w:rFonts w:eastAsiaTheme="minorEastAsia"/>
          <w:color w:val="000000"/>
          <w:sz w:val="24"/>
          <w:szCs w:val="24"/>
          <w:lang w:eastAsia="zh-CN"/>
        </w:rPr>
        <w:t xml:space="preserve">den, </w:t>
      </w:r>
      <w:r w:rsidRPr="004F48E4">
        <w:rPr>
          <w:rFonts w:eastAsiaTheme="minorEastAsia"/>
          <w:color w:val="000000"/>
          <w:sz w:val="24"/>
          <w:szCs w:val="24"/>
          <w:lang w:eastAsia="zh-CN"/>
        </w:rPr>
        <w:t>og med lidt væske.</w:t>
      </w:r>
    </w:p>
    <w:p w:rsidR="005435F7" w:rsidRPr="004F48E4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Til behandling af galde-</w:t>
      </w:r>
      <w:proofErr w:type="spellStart"/>
      <w:r>
        <w:rPr>
          <w:rFonts w:eastAsiaTheme="minorEastAsia"/>
          <w:color w:val="000000"/>
          <w:sz w:val="24"/>
          <w:szCs w:val="24"/>
          <w:lang w:eastAsia="zh-CN"/>
        </w:rPr>
        <w:t>reflux</w:t>
      </w:r>
      <w:proofErr w:type="spellEnd"/>
      <w:r>
        <w:rPr>
          <w:rFonts w:eastAsiaTheme="minorEastAsia"/>
          <w:color w:val="000000"/>
          <w:sz w:val="24"/>
          <w:szCs w:val="24"/>
          <w:lang w:eastAsia="zh-CN"/>
        </w:rPr>
        <w:t>-</w:t>
      </w:r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gastritis bør </w:t>
      </w:r>
      <w:proofErr w:type="spellStart"/>
      <w:r w:rsidR="00005149">
        <w:rPr>
          <w:rFonts w:eastAsiaTheme="minorEastAsia"/>
          <w:color w:val="000000"/>
          <w:sz w:val="24"/>
          <w:szCs w:val="24"/>
          <w:lang w:eastAsia="zh-CN"/>
        </w:rPr>
        <w:t>Urgaldex</w:t>
      </w:r>
      <w:proofErr w:type="spellEnd"/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 generelt tages i 10 til 14 dage. Generelt </w:t>
      </w:r>
      <w:r>
        <w:rPr>
          <w:rFonts w:eastAsiaTheme="minorEastAsia"/>
          <w:color w:val="000000"/>
          <w:sz w:val="24"/>
          <w:szCs w:val="24"/>
          <w:lang w:eastAsia="zh-CN"/>
        </w:rPr>
        <w:t>afhænger behandlingstiden af</w:t>
      </w:r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 sygdomsforløbet. Den ansvarlige læge beslutter alle detaljer under hele behandlingens varighed.</w:t>
      </w:r>
    </w:p>
    <w:p w:rsidR="005435F7" w:rsidRPr="004F48E4" w:rsidRDefault="005435F7" w:rsidP="005435F7">
      <w:pPr>
        <w:keepNext/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4F48E4">
        <w:rPr>
          <w:rFonts w:eastAsiaTheme="minorEastAsia"/>
          <w:color w:val="000000"/>
          <w:sz w:val="24"/>
          <w:szCs w:val="24"/>
          <w:lang w:eastAsia="zh-CN"/>
        </w:rPr>
        <w:t> </w:t>
      </w:r>
    </w:p>
    <w:p w:rsidR="005435F7" w:rsidRPr="004F48E4" w:rsidRDefault="005435F7" w:rsidP="005435F7">
      <w:pPr>
        <w:keepNext/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4F48E4">
        <w:rPr>
          <w:rFonts w:eastAsiaTheme="minorEastAsia"/>
          <w:color w:val="000000"/>
          <w:sz w:val="24"/>
          <w:szCs w:val="24"/>
          <w:u w:val="single"/>
          <w:lang w:eastAsia="zh-CN"/>
        </w:rPr>
        <w:t xml:space="preserve">Til symptomatisk behandling af primær biliær </w:t>
      </w:r>
      <w:proofErr w:type="spellStart"/>
      <w:r w:rsidRPr="004F48E4">
        <w:rPr>
          <w:rFonts w:eastAsiaTheme="minorEastAsia"/>
          <w:color w:val="000000"/>
          <w:sz w:val="24"/>
          <w:szCs w:val="24"/>
          <w:u w:val="single"/>
          <w:lang w:eastAsia="zh-CN"/>
        </w:rPr>
        <w:t>kolangitis</w:t>
      </w:r>
      <w:proofErr w:type="spellEnd"/>
      <w:r w:rsidRPr="004F48E4">
        <w:rPr>
          <w:rFonts w:eastAsiaTheme="minorEastAsia"/>
          <w:color w:val="000000"/>
          <w:sz w:val="24"/>
          <w:szCs w:val="24"/>
          <w:u w:val="single"/>
          <w:lang w:eastAsia="zh-CN"/>
        </w:rPr>
        <w:t xml:space="preserve"> (PBC)</w:t>
      </w:r>
    </w:p>
    <w:p w:rsidR="005435F7" w:rsidRPr="004F48E4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4F48E4">
        <w:rPr>
          <w:rFonts w:eastAsiaTheme="minorEastAsia"/>
          <w:color w:val="000000"/>
          <w:sz w:val="24"/>
          <w:szCs w:val="24"/>
          <w:lang w:eastAsia="zh-CN"/>
        </w:rPr>
        <w:t>Den daglige dosis afhænger af kropsvægten og varierer fra 3 til 7 hårde kapsler (1</w:t>
      </w:r>
      <w:r>
        <w:rPr>
          <w:rFonts w:eastAsiaTheme="minorEastAsia"/>
          <w:color w:val="000000"/>
          <w:sz w:val="24"/>
          <w:szCs w:val="24"/>
          <w:lang w:eastAsia="zh-CN"/>
        </w:rPr>
        <w:t xml:space="preserve">4 ± 2 mg </w:t>
      </w:r>
      <w:proofErr w:type="spellStart"/>
      <w:r>
        <w:rPr>
          <w:rFonts w:eastAsiaTheme="minorEastAsia"/>
          <w:color w:val="000000"/>
          <w:sz w:val="24"/>
          <w:szCs w:val="24"/>
          <w:lang w:eastAsia="zh-CN"/>
        </w:rPr>
        <w:t>ursodeoxycholsyre</w:t>
      </w:r>
      <w:proofErr w:type="spellEnd"/>
      <w:r>
        <w:rPr>
          <w:rFonts w:eastAsiaTheme="minorEastAsia"/>
          <w:color w:val="000000"/>
          <w:sz w:val="24"/>
          <w:szCs w:val="24"/>
          <w:lang w:eastAsia="zh-CN"/>
        </w:rPr>
        <w:t xml:space="preserve"> pr. k</w:t>
      </w:r>
      <w:r w:rsidRPr="004F48E4">
        <w:rPr>
          <w:rFonts w:eastAsiaTheme="minorEastAsia"/>
          <w:color w:val="000000"/>
          <w:sz w:val="24"/>
          <w:szCs w:val="24"/>
          <w:lang w:eastAsia="zh-CN"/>
        </w:rPr>
        <w:t>g kropsvægt).</w:t>
      </w:r>
    </w:p>
    <w:p w:rsidR="005435F7" w:rsidRPr="004F48E4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I de første 3 måneder skal </w:t>
      </w:r>
      <w:proofErr w:type="spellStart"/>
      <w:r w:rsidR="00005149">
        <w:rPr>
          <w:rFonts w:eastAsiaTheme="minorEastAsia"/>
          <w:color w:val="000000"/>
          <w:sz w:val="24"/>
          <w:szCs w:val="24"/>
          <w:lang w:eastAsia="zh-CN"/>
        </w:rPr>
        <w:t>Urgaldex</w:t>
      </w:r>
      <w:proofErr w:type="spellEnd"/>
      <w:r>
        <w:rPr>
          <w:rFonts w:eastAsiaTheme="minorEastAsia"/>
          <w:color w:val="000000"/>
          <w:sz w:val="24"/>
          <w:szCs w:val="24"/>
          <w:lang w:eastAsia="zh-CN"/>
        </w:rPr>
        <w:t>-doserne fordeles over</w:t>
      </w:r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 dagen. Med forbedring af leverta</w:t>
      </w:r>
      <w:r>
        <w:rPr>
          <w:rFonts w:eastAsiaTheme="minorEastAsia"/>
          <w:color w:val="000000"/>
          <w:sz w:val="24"/>
          <w:szCs w:val="24"/>
          <w:lang w:eastAsia="zh-CN"/>
        </w:rPr>
        <w:t>l</w:t>
      </w:r>
      <w:r w:rsidRPr="004F48E4">
        <w:rPr>
          <w:rFonts w:eastAsiaTheme="minorEastAsia"/>
          <w:color w:val="000000"/>
          <w:sz w:val="24"/>
          <w:szCs w:val="24"/>
          <w:lang w:eastAsia="zh-CN"/>
        </w:rPr>
        <w:t>lene kan den daglige dosis tages en gang</w:t>
      </w:r>
      <w:r>
        <w:rPr>
          <w:rFonts w:eastAsiaTheme="minorEastAsia"/>
          <w:color w:val="000000"/>
          <w:sz w:val="24"/>
          <w:szCs w:val="24"/>
          <w:lang w:eastAsia="zh-CN"/>
        </w:rPr>
        <w:t>,</w:t>
      </w:r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 om aftenen.</w:t>
      </w:r>
    </w:p>
    <w:p w:rsidR="005435F7" w:rsidRPr="004F48E4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4F48E4">
        <w:rPr>
          <w:rFonts w:eastAsiaTheme="minorEastAsia"/>
          <w:color w:val="000000"/>
          <w:sz w:val="24"/>
          <w:szCs w:val="24"/>
          <w:lang w:eastAsia="zh-CN"/>
        </w:rPr>
        <w:t> </w:t>
      </w:r>
    </w:p>
    <w:tbl>
      <w:tblPr>
        <w:tblW w:w="8905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1350"/>
        <w:gridCol w:w="1350"/>
        <w:gridCol w:w="1350"/>
        <w:gridCol w:w="1440"/>
        <w:gridCol w:w="1620"/>
      </w:tblGrid>
      <w:tr w:rsidR="005435F7" w:rsidRPr="004F48E4" w:rsidTr="003B4BCE">
        <w:trPr>
          <w:trHeight w:val="320"/>
        </w:trPr>
        <w:tc>
          <w:tcPr>
            <w:tcW w:w="1795" w:type="dxa"/>
            <w:vMerge w:val="restart"/>
            <w:vAlign w:val="center"/>
          </w:tcPr>
          <w:p w:rsidR="005435F7" w:rsidRPr="004F48E4" w:rsidRDefault="005435F7" w:rsidP="003B4BCE">
            <w:pPr>
              <w:autoSpaceDE w:val="0"/>
              <w:autoSpaceDN w:val="0"/>
              <w:adjustRightInd w:val="0"/>
              <w:ind w:left="34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  <w:r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Kropsv</w:t>
            </w:r>
            <w:r w:rsidRPr="004F48E4">
              <w:rPr>
                <w:rFonts w:eastAsiaTheme="minorEastAsia"/>
                <w:color w:val="000000"/>
                <w:sz w:val="24"/>
                <w:szCs w:val="24"/>
                <w:lang w:eastAsia="zh-CN"/>
              </w:rPr>
              <w:t>ægt</w:t>
            </w:r>
            <w:r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 xml:space="preserve"> (kg)</w:t>
            </w:r>
          </w:p>
        </w:tc>
        <w:tc>
          <w:tcPr>
            <w:tcW w:w="1350" w:type="dxa"/>
            <w:vMerge w:val="restart"/>
            <w:vAlign w:val="center"/>
          </w:tcPr>
          <w:p w:rsidR="005435F7" w:rsidRPr="004F48E4" w:rsidRDefault="005435F7" w:rsidP="003B4BCE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  <w:lang w:eastAsia="zh-CN"/>
              </w:rPr>
            </w:pPr>
            <w:r w:rsidRPr="004F48E4">
              <w:rPr>
                <w:rFonts w:eastAsiaTheme="minorEastAsia"/>
                <w:color w:val="000000"/>
                <w:sz w:val="24"/>
                <w:szCs w:val="24"/>
                <w:lang w:eastAsia="zh-CN"/>
              </w:rPr>
              <w:t>Daglig</w:t>
            </w:r>
            <w:r>
              <w:rPr>
                <w:rFonts w:eastAsiaTheme="minorEastAsia"/>
                <w:color w:val="000000"/>
                <w:sz w:val="24"/>
                <w:szCs w:val="24"/>
                <w:lang w:eastAsia="zh-CN"/>
              </w:rPr>
              <w:t xml:space="preserve"> dosis</w:t>
            </w:r>
          </w:p>
          <w:p w:rsidR="005435F7" w:rsidRPr="004F48E4" w:rsidRDefault="005435F7" w:rsidP="003B4BCE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  <w:lang w:val="de-DE" w:eastAsia="zh-CN"/>
              </w:rPr>
            </w:pPr>
            <w:r w:rsidRPr="004F48E4">
              <w:rPr>
                <w:rFonts w:eastAsiaTheme="minorEastAsia"/>
                <w:color w:val="000000"/>
                <w:sz w:val="24"/>
                <w:szCs w:val="24"/>
                <w:lang w:val="de-DE" w:eastAsia="zh-CN"/>
              </w:rPr>
              <w:t xml:space="preserve">(mg/kg </w:t>
            </w:r>
            <w:proofErr w:type="spellStart"/>
            <w:r>
              <w:rPr>
                <w:rFonts w:eastAsiaTheme="minorEastAsia"/>
                <w:color w:val="000000"/>
                <w:sz w:val="24"/>
                <w:szCs w:val="24"/>
                <w:lang w:val="de-DE" w:eastAsia="zh-CN"/>
              </w:rPr>
              <w:t>kropsvægt</w:t>
            </w:r>
            <w:proofErr w:type="spellEnd"/>
            <w:r w:rsidRPr="004F48E4">
              <w:rPr>
                <w:rFonts w:eastAsiaTheme="minorEastAsia"/>
                <w:color w:val="000000"/>
                <w:sz w:val="24"/>
                <w:szCs w:val="24"/>
                <w:lang w:val="de-DE" w:eastAsia="zh-CN"/>
              </w:rPr>
              <w:t>)</w:t>
            </w:r>
          </w:p>
        </w:tc>
        <w:tc>
          <w:tcPr>
            <w:tcW w:w="5760" w:type="dxa"/>
            <w:gridSpan w:val="4"/>
            <w:vAlign w:val="center"/>
          </w:tcPr>
          <w:p w:rsidR="005435F7" w:rsidRPr="004F48E4" w:rsidRDefault="00005149" w:rsidP="003B4BCE">
            <w:pPr>
              <w:autoSpaceDE w:val="0"/>
              <w:autoSpaceDN w:val="0"/>
              <w:adjustRightInd w:val="0"/>
              <w:ind w:left="7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  <w:r>
              <w:rPr>
                <w:rFonts w:eastAsiaTheme="minorEastAsia"/>
                <w:sz w:val="24"/>
                <w:szCs w:val="24"/>
                <w:lang w:val="nl-NL" w:eastAsia="zh-CN"/>
              </w:rPr>
              <w:t>Urgaldex</w:t>
            </w:r>
            <w:r w:rsidR="005435F7" w:rsidRPr="004F48E4">
              <w:rPr>
                <w:rFonts w:eastAsiaTheme="minorEastAsia"/>
                <w:sz w:val="24"/>
                <w:szCs w:val="24"/>
                <w:lang w:val="nl-NL" w:eastAsia="zh-CN"/>
              </w:rPr>
              <w:t xml:space="preserve"> 250 mg </w:t>
            </w:r>
            <w:r w:rsidR="005435F7" w:rsidRPr="004F48E4">
              <w:rPr>
                <w:rFonts w:eastAsiaTheme="minorEastAsia"/>
                <w:color w:val="000000"/>
                <w:sz w:val="24"/>
                <w:szCs w:val="24"/>
                <w:lang w:eastAsia="zh-CN"/>
              </w:rPr>
              <w:t>hårde kapsler</w:t>
            </w:r>
          </w:p>
        </w:tc>
      </w:tr>
      <w:tr w:rsidR="005435F7" w:rsidRPr="004F48E4" w:rsidTr="003B4BCE">
        <w:trPr>
          <w:trHeight w:val="148"/>
        </w:trPr>
        <w:tc>
          <w:tcPr>
            <w:tcW w:w="1795" w:type="dxa"/>
            <w:vMerge/>
            <w:vAlign w:val="center"/>
          </w:tcPr>
          <w:p w:rsidR="005435F7" w:rsidRPr="004F48E4" w:rsidRDefault="005435F7" w:rsidP="003B4BCE">
            <w:pPr>
              <w:autoSpaceDE w:val="0"/>
              <w:autoSpaceDN w:val="0"/>
              <w:adjustRightInd w:val="0"/>
              <w:ind w:left="34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</w:p>
        </w:tc>
        <w:tc>
          <w:tcPr>
            <w:tcW w:w="1350" w:type="dxa"/>
            <w:vMerge/>
            <w:vAlign w:val="center"/>
          </w:tcPr>
          <w:p w:rsidR="005435F7" w:rsidRPr="004F48E4" w:rsidRDefault="005435F7" w:rsidP="003B4BCE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</w:p>
        </w:tc>
        <w:tc>
          <w:tcPr>
            <w:tcW w:w="4140" w:type="dxa"/>
            <w:gridSpan w:val="3"/>
            <w:vAlign w:val="center"/>
          </w:tcPr>
          <w:p w:rsidR="005435F7" w:rsidRPr="004F48E4" w:rsidRDefault="005435F7" w:rsidP="003B4BCE">
            <w:pPr>
              <w:autoSpaceDE w:val="0"/>
              <w:autoSpaceDN w:val="0"/>
              <w:adjustRightInd w:val="0"/>
              <w:ind w:left="7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  <w:r>
              <w:rPr>
                <w:rFonts w:eastAsiaTheme="minorEastAsia"/>
                <w:bCs/>
                <w:color w:val="000000"/>
                <w:sz w:val="24"/>
                <w:szCs w:val="24"/>
                <w:lang w:val="nl-NL" w:eastAsia="zh-CN"/>
              </w:rPr>
              <w:t>F</w:t>
            </w:r>
            <w:r w:rsidRPr="004F48E4">
              <w:rPr>
                <w:rFonts w:eastAsiaTheme="minorEastAsia"/>
                <w:color w:val="000000"/>
                <w:sz w:val="24"/>
                <w:szCs w:val="24"/>
                <w:lang w:eastAsia="zh-CN"/>
              </w:rPr>
              <w:t>ø</w:t>
            </w:r>
            <w:r w:rsidRPr="004F48E4">
              <w:rPr>
                <w:rFonts w:eastAsiaTheme="minorEastAsia"/>
                <w:bCs/>
                <w:color w:val="000000"/>
                <w:sz w:val="24"/>
                <w:szCs w:val="24"/>
                <w:lang w:val="nl-NL" w:eastAsia="zh-CN"/>
              </w:rPr>
              <w:t>rste 3 m</w:t>
            </w:r>
            <w:r w:rsidRPr="004F48E4">
              <w:rPr>
                <w:rFonts w:eastAsiaTheme="minorEastAsia"/>
                <w:color w:val="000000"/>
                <w:sz w:val="24"/>
                <w:szCs w:val="24"/>
                <w:lang w:eastAsia="zh-CN"/>
              </w:rPr>
              <w:t>å</w:t>
            </w:r>
            <w:r w:rsidRPr="004F48E4">
              <w:rPr>
                <w:rFonts w:eastAsiaTheme="minorEastAsia"/>
                <w:bCs/>
                <w:color w:val="000000"/>
                <w:sz w:val="24"/>
                <w:szCs w:val="24"/>
                <w:lang w:val="nl-NL" w:eastAsia="zh-CN"/>
              </w:rPr>
              <w:t>neder</w:t>
            </w:r>
          </w:p>
        </w:tc>
        <w:tc>
          <w:tcPr>
            <w:tcW w:w="1620" w:type="dxa"/>
            <w:vAlign w:val="center"/>
          </w:tcPr>
          <w:p w:rsidR="005435F7" w:rsidRPr="004F48E4" w:rsidRDefault="005435F7" w:rsidP="003B4BCE">
            <w:pPr>
              <w:autoSpaceDE w:val="0"/>
              <w:autoSpaceDN w:val="0"/>
              <w:adjustRightInd w:val="0"/>
              <w:ind w:left="7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  <w:r>
              <w:rPr>
                <w:rFonts w:eastAsiaTheme="minorEastAsia"/>
                <w:bCs/>
                <w:color w:val="000000"/>
                <w:sz w:val="24"/>
                <w:szCs w:val="24"/>
                <w:lang w:val="nl-NL" w:eastAsia="zh-CN"/>
              </w:rPr>
              <w:t>E</w:t>
            </w:r>
            <w:r w:rsidRPr="004F48E4">
              <w:rPr>
                <w:rFonts w:eastAsiaTheme="minorEastAsia"/>
                <w:bCs/>
                <w:color w:val="000000"/>
                <w:sz w:val="24"/>
                <w:szCs w:val="24"/>
                <w:lang w:val="nl-NL" w:eastAsia="zh-CN"/>
              </w:rPr>
              <w:t>fterf</w:t>
            </w:r>
            <w:r w:rsidRPr="004F48E4">
              <w:rPr>
                <w:rFonts w:eastAsiaTheme="minorEastAsia"/>
                <w:color w:val="000000"/>
                <w:sz w:val="24"/>
                <w:szCs w:val="24"/>
                <w:lang w:eastAsia="zh-CN"/>
              </w:rPr>
              <w:t>ø</w:t>
            </w:r>
            <w:r w:rsidRPr="004F48E4">
              <w:rPr>
                <w:rFonts w:eastAsiaTheme="minorEastAsia"/>
                <w:bCs/>
                <w:color w:val="000000"/>
                <w:sz w:val="24"/>
                <w:szCs w:val="24"/>
                <w:lang w:val="nl-NL" w:eastAsia="zh-CN"/>
              </w:rPr>
              <w:t>lgende</w:t>
            </w:r>
          </w:p>
        </w:tc>
      </w:tr>
      <w:tr w:rsidR="005435F7" w:rsidRPr="004F48E4" w:rsidTr="003B4BCE">
        <w:trPr>
          <w:trHeight w:val="148"/>
        </w:trPr>
        <w:tc>
          <w:tcPr>
            <w:tcW w:w="1795" w:type="dxa"/>
            <w:vMerge/>
            <w:vAlign w:val="center"/>
          </w:tcPr>
          <w:p w:rsidR="005435F7" w:rsidRPr="004F48E4" w:rsidRDefault="005435F7" w:rsidP="003B4BCE">
            <w:pPr>
              <w:autoSpaceDE w:val="0"/>
              <w:autoSpaceDN w:val="0"/>
              <w:adjustRightInd w:val="0"/>
              <w:ind w:left="34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</w:p>
        </w:tc>
        <w:tc>
          <w:tcPr>
            <w:tcW w:w="1350" w:type="dxa"/>
            <w:vMerge/>
            <w:vAlign w:val="center"/>
          </w:tcPr>
          <w:p w:rsidR="005435F7" w:rsidRPr="004F48E4" w:rsidRDefault="005435F7" w:rsidP="003B4BCE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</w:p>
        </w:tc>
        <w:tc>
          <w:tcPr>
            <w:tcW w:w="1350" w:type="dxa"/>
            <w:vAlign w:val="center"/>
          </w:tcPr>
          <w:p w:rsidR="005435F7" w:rsidRPr="004F48E4" w:rsidRDefault="005435F7" w:rsidP="003B4BCE">
            <w:pPr>
              <w:autoSpaceDE w:val="0"/>
              <w:autoSpaceDN w:val="0"/>
              <w:adjustRightInd w:val="0"/>
              <w:ind w:left="7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M</w:t>
            </w:r>
            <w:r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orgen</w:t>
            </w:r>
          </w:p>
        </w:tc>
        <w:tc>
          <w:tcPr>
            <w:tcW w:w="1350" w:type="dxa"/>
            <w:vAlign w:val="center"/>
          </w:tcPr>
          <w:p w:rsidR="005435F7" w:rsidRPr="004F48E4" w:rsidRDefault="005435F7" w:rsidP="003B4BCE">
            <w:pPr>
              <w:autoSpaceDE w:val="0"/>
              <w:autoSpaceDN w:val="0"/>
              <w:adjustRightInd w:val="0"/>
              <w:ind w:left="7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M</w:t>
            </w:r>
            <w:r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iddag</w:t>
            </w:r>
          </w:p>
        </w:tc>
        <w:tc>
          <w:tcPr>
            <w:tcW w:w="1440" w:type="dxa"/>
            <w:vAlign w:val="center"/>
          </w:tcPr>
          <w:p w:rsidR="005435F7" w:rsidRPr="004F48E4" w:rsidRDefault="005435F7" w:rsidP="003B4BCE">
            <w:pPr>
              <w:autoSpaceDE w:val="0"/>
              <w:autoSpaceDN w:val="0"/>
              <w:adjustRightInd w:val="0"/>
              <w:ind w:left="7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A</w:t>
            </w:r>
            <w:r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ften</w:t>
            </w:r>
          </w:p>
        </w:tc>
        <w:tc>
          <w:tcPr>
            <w:tcW w:w="1620" w:type="dxa"/>
            <w:vAlign w:val="center"/>
          </w:tcPr>
          <w:p w:rsidR="005435F7" w:rsidRPr="004F48E4" w:rsidRDefault="005435F7" w:rsidP="003B4BCE">
            <w:pPr>
              <w:autoSpaceDE w:val="0"/>
              <w:autoSpaceDN w:val="0"/>
              <w:adjustRightInd w:val="0"/>
              <w:ind w:left="7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A</w:t>
            </w:r>
            <w:r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ften</w:t>
            </w:r>
          </w:p>
          <w:p w:rsidR="005435F7" w:rsidRPr="004F48E4" w:rsidRDefault="005435F7" w:rsidP="003B4BCE">
            <w:pPr>
              <w:autoSpaceDE w:val="0"/>
              <w:autoSpaceDN w:val="0"/>
              <w:adjustRightInd w:val="0"/>
              <w:ind w:left="7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  <w:r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 xml:space="preserve">(1×daglig) </w:t>
            </w:r>
          </w:p>
        </w:tc>
      </w:tr>
      <w:tr w:rsidR="005435F7" w:rsidRPr="004F48E4" w:rsidTr="003B4BCE">
        <w:trPr>
          <w:trHeight w:val="418"/>
        </w:trPr>
        <w:tc>
          <w:tcPr>
            <w:tcW w:w="1795" w:type="dxa"/>
            <w:vAlign w:val="center"/>
          </w:tcPr>
          <w:p w:rsidR="005435F7" w:rsidRPr="004F48E4" w:rsidRDefault="005435F7" w:rsidP="003B4BCE">
            <w:pPr>
              <w:autoSpaceDE w:val="0"/>
              <w:autoSpaceDN w:val="0"/>
              <w:adjustRightInd w:val="0"/>
              <w:ind w:left="34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  <w:r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47</w:t>
            </w:r>
            <w:r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-</w:t>
            </w:r>
            <w:r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62</w:t>
            </w:r>
          </w:p>
        </w:tc>
        <w:tc>
          <w:tcPr>
            <w:tcW w:w="1350" w:type="dxa"/>
            <w:vAlign w:val="center"/>
          </w:tcPr>
          <w:p w:rsidR="005435F7" w:rsidRPr="004F48E4" w:rsidRDefault="005435F7" w:rsidP="003B4BCE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  <w:r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12-16</w:t>
            </w:r>
          </w:p>
        </w:tc>
        <w:tc>
          <w:tcPr>
            <w:tcW w:w="1350" w:type="dxa"/>
            <w:vAlign w:val="center"/>
          </w:tcPr>
          <w:p w:rsidR="005435F7" w:rsidRPr="004F48E4" w:rsidRDefault="005435F7" w:rsidP="003B4BCE">
            <w:pPr>
              <w:autoSpaceDE w:val="0"/>
              <w:autoSpaceDN w:val="0"/>
              <w:adjustRightInd w:val="0"/>
              <w:ind w:left="7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  <w:r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1</w:t>
            </w:r>
          </w:p>
        </w:tc>
        <w:tc>
          <w:tcPr>
            <w:tcW w:w="1350" w:type="dxa"/>
            <w:vAlign w:val="center"/>
          </w:tcPr>
          <w:p w:rsidR="005435F7" w:rsidRPr="004F48E4" w:rsidRDefault="005435F7" w:rsidP="003B4BCE">
            <w:pPr>
              <w:autoSpaceDE w:val="0"/>
              <w:autoSpaceDN w:val="0"/>
              <w:adjustRightInd w:val="0"/>
              <w:ind w:left="7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  <w:r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1</w:t>
            </w:r>
          </w:p>
        </w:tc>
        <w:tc>
          <w:tcPr>
            <w:tcW w:w="1440" w:type="dxa"/>
            <w:vAlign w:val="center"/>
          </w:tcPr>
          <w:p w:rsidR="005435F7" w:rsidRPr="004F48E4" w:rsidRDefault="005435F7" w:rsidP="003B4BCE">
            <w:pPr>
              <w:autoSpaceDE w:val="0"/>
              <w:autoSpaceDN w:val="0"/>
              <w:adjustRightInd w:val="0"/>
              <w:ind w:left="7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  <w:r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1</w:t>
            </w:r>
          </w:p>
        </w:tc>
        <w:tc>
          <w:tcPr>
            <w:tcW w:w="1620" w:type="dxa"/>
            <w:vAlign w:val="center"/>
          </w:tcPr>
          <w:p w:rsidR="005435F7" w:rsidRPr="004F48E4" w:rsidRDefault="005435F7" w:rsidP="003B4BCE">
            <w:pPr>
              <w:autoSpaceDE w:val="0"/>
              <w:autoSpaceDN w:val="0"/>
              <w:adjustRightInd w:val="0"/>
              <w:ind w:left="7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  <w:r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3</w:t>
            </w:r>
          </w:p>
        </w:tc>
      </w:tr>
      <w:tr w:rsidR="005435F7" w:rsidRPr="004F48E4" w:rsidTr="003B4BCE">
        <w:trPr>
          <w:trHeight w:val="320"/>
        </w:trPr>
        <w:tc>
          <w:tcPr>
            <w:tcW w:w="1795" w:type="dxa"/>
            <w:vAlign w:val="center"/>
          </w:tcPr>
          <w:p w:rsidR="005435F7" w:rsidRPr="004F48E4" w:rsidRDefault="005435F7" w:rsidP="003B4BCE">
            <w:pPr>
              <w:autoSpaceDE w:val="0"/>
              <w:autoSpaceDN w:val="0"/>
              <w:adjustRightInd w:val="0"/>
              <w:ind w:left="34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63-</w:t>
            </w:r>
            <w:r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78</w:t>
            </w:r>
          </w:p>
        </w:tc>
        <w:tc>
          <w:tcPr>
            <w:tcW w:w="1350" w:type="dxa"/>
            <w:vAlign w:val="center"/>
          </w:tcPr>
          <w:p w:rsidR="005435F7" w:rsidRPr="004F48E4" w:rsidRDefault="005435F7" w:rsidP="003B4BCE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  <w:r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13-16</w:t>
            </w:r>
          </w:p>
        </w:tc>
        <w:tc>
          <w:tcPr>
            <w:tcW w:w="1350" w:type="dxa"/>
            <w:vAlign w:val="center"/>
          </w:tcPr>
          <w:p w:rsidR="005435F7" w:rsidRPr="004F48E4" w:rsidRDefault="005435F7" w:rsidP="003B4BCE">
            <w:pPr>
              <w:autoSpaceDE w:val="0"/>
              <w:autoSpaceDN w:val="0"/>
              <w:adjustRightInd w:val="0"/>
              <w:ind w:left="7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  <w:r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1</w:t>
            </w:r>
          </w:p>
        </w:tc>
        <w:tc>
          <w:tcPr>
            <w:tcW w:w="1350" w:type="dxa"/>
            <w:vAlign w:val="center"/>
          </w:tcPr>
          <w:p w:rsidR="005435F7" w:rsidRPr="004F48E4" w:rsidRDefault="005435F7" w:rsidP="003B4BCE">
            <w:pPr>
              <w:autoSpaceDE w:val="0"/>
              <w:autoSpaceDN w:val="0"/>
              <w:adjustRightInd w:val="0"/>
              <w:ind w:left="7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  <w:r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1</w:t>
            </w:r>
          </w:p>
        </w:tc>
        <w:tc>
          <w:tcPr>
            <w:tcW w:w="1440" w:type="dxa"/>
            <w:vAlign w:val="center"/>
          </w:tcPr>
          <w:p w:rsidR="005435F7" w:rsidRPr="004F48E4" w:rsidRDefault="005435F7" w:rsidP="003B4BCE">
            <w:pPr>
              <w:autoSpaceDE w:val="0"/>
              <w:autoSpaceDN w:val="0"/>
              <w:adjustRightInd w:val="0"/>
              <w:ind w:left="7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  <w:r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2</w:t>
            </w:r>
          </w:p>
        </w:tc>
        <w:tc>
          <w:tcPr>
            <w:tcW w:w="1620" w:type="dxa"/>
            <w:vAlign w:val="center"/>
          </w:tcPr>
          <w:p w:rsidR="005435F7" w:rsidRPr="004F48E4" w:rsidRDefault="005435F7" w:rsidP="003B4BCE">
            <w:pPr>
              <w:autoSpaceDE w:val="0"/>
              <w:autoSpaceDN w:val="0"/>
              <w:adjustRightInd w:val="0"/>
              <w:ind w:left="7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  <w:r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4</w:t>
            </w:r>
          </w:p>
        </w:tc>
      </w:tr>
      <w:tr w:rsidR="005435F7" w:rsidRPr="004F48E4" w:rsidTr="003B4BCE">
        <w:trPr>
          <w:trHeight w:val="320"/>
        </w:trPr>
        <w:tc>
          <w:tcPr>
            <w:tcW w:w="1795" w:type="dxa"/>
            <w:vAlign w:val="center"/>
          </w:tcPr>
          <w:p w:rsidR="005435F7" w:rsidRPr="004F48E4" w:rsidRDefault="005435F7" w:rsidP="003B4BCE">
            <w:pPr>
              <w:autoSpaceDE w:val="0"/>
              <w:autoSpaceDN w:val="0"/>
              <w:adjustRightInd w:val="0"/>
              <w:ind w:left="34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79-</w:t>
            </w:r>
            <w:r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93</w:t>
            </w:r>
          </w:p>
        </w:tc>
        <w:tc>
          <w:tcPr>
            <w:tcW w:w="1350" w:type="dxa"/>
            <w:vAlign w:val="center"/>
          </w:tcPr>
          <w:p w:rsidR="005435F7" w:rsidRPr="004F48E4" w:rsidRDefault="005435F7" w:rsidP="003B4BCE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  <w:r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13-16</w:t>
            </w:r>
          </w:p>
        </w:tc>
        <w:tc>
          <w:tcPr>
            <w:tcW w:w="1350" w:type="dxa"/>
            <w:vAlign w:val="center"/>
          </w:tcPr>
          <w:p w:rsidR="005435F7" w:rsidRPr="004F48E4" w:rsidRDefault="005435F7" w:rsidP="003B4BCE">
            <w:pPr>
              <w:autoSpaceDE w:val="0"/>
              <w:autoSpaceDN w:val="0"/>
              <w:adjustRightInd w:val="0"/>
              <w:ind w:left="7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  <w:r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1</w:t>
            </w:r>
          </w:p>
        </w:tc>
        <w:tc>
          <w:tcPr>
            <w:tcW w:w="1350" w:type="dxa"/>
            <w:vAlign w:val="center"/>
          </w:tcPr>
          <w:p w:rsidR="005435F7" w:rsidRPr="004F48E4" w:rsidRDefault="005435F7" w:rsidP="003B4BCE">
            <w:pPr>
              <w:autoSpaceDE w:val="0"/>
              <w:autoSpaceDN w:val="0"/>
              <w:adjustRightInd w:val="0"/>
              <w:ind w:left="7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  <w:r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2</w:t>
            </w:r>
          </w:p>
        </w:tc>
        <w:tc>
          <w:tcPr>
            <w:tcW w:w="1440" w:type="dxa"/>
            <w:vAlign w:val="center"/>
          </w:tcPr>
          <w:p w:rsidR="005435F7" w:rsidRPr="004F48E4" w:rsidRDefault="005435F7" w:rsidP="003B4BCE">
            <w:pPr>
              <w:autoSpaceDE w:val="0"/>
              <w:autoSpaceDN w:val="0"/>
              <w:adjustRightInd w:val="0"/>
              <w:ind w:left="7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  <w:r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2</w:t>
            </w:r>
          </w:p>
        </w:tc>
        <w:tc>
          <w:tcPr>
            <w:tcW w:w="1620" w:type="dxa"/>
            <w:vAlign w:val="center"/>
          </w:tcPr>
          <w:p w:rsidR="005435F7" w:rsidRPr="004F48E4" w:rsidRDefault="005435F7" w:rsidP="003B4BCE">
            <w:pPr>
              <w:autoSpaceDE w:val="0"/>
              <w:autoSpaceDN w:val="0"/>
              <w:adjustRightInd w:val="0"/>
              <w:ind w:left="7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  <w:r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5</w:t>
            </w:r>
          </w:p>
        </w:tc>
      </w:tr>
      <w:tr w:rsidR="005435F7" w:rsidRPr="004F48E4" w:rsidTr="003B4BCE">
        <w:trPr>
          <w:trHeight w:val="308"/>
        </w:trPr>
        <w:tc>
          <w:tcPr>
            <w:tcW w:w="1795" w:type="dxa"/>
            <w:vAlign w:val="center"/>
          </w:tcPr>
          <w:p w:rsidR="005435F7" w:rsidRPr="004F48E4" w:rsidRDefault="005435F7" w:rsidP="003B4BCE">
            <w:pPr>
              <w:autoSpaceDE w:val="0"/>
              <w:autoSpaceDN w:val="0"/>
              <w:adjustRightInd w:val="0"/>
              <w:ind w:left="34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94-</w:t>
            </w:r>
            <w:r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109</w:t>
            </w:r>
          </w:p>
        </w:tc>
        <w:tc>
          <w:tcPr>
            <w:tcW w:w="1350" w:type="dxa"/>
            <w:vAlign w:val="center"/>
          </w:tcPr>
          <w:p w:rsidR="005435F7" w:rsidRPr="004F48E4" w:rsidRDefault="005435F7" w:rsidP="003B4BCE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  <w:r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14-16</w:t>
            </w:r>
          </w:p>
        </w:tc>
        <w:tc>
          <w:tcPr>
            <w:tcW w:w="1350" w:type="dxa"/>
            <w:vAlign w:val="center"/>
          </w:tcPr>
          <w:p w:rsidR="005435F7" w:rsidRPr="004F48E4" w:rsidRDefault="005435F7" w:rsidP="003B4BCE">
            <w:pPr>
              <w:autoSpaceDE w:val="0"/>
              <w:autoSpaceDN w:val="0"/>
              <w:adjustRightInd w:val="0"/>
              <w:ind w:left="7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  <w:r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2</w:t>
            </w:r>
          </w:p>
        </w:tc>
        <w:tc>
          <w:tcPr>
            <w:tcW w:w="1350" w:type="dxa"/>
            <w:vAlign w:val="center"/>
          </w:tcPr>
          <w:p w:rsidR="005435F7" w:rsidRPr="004F48E4" w:rsidRDefault="005435F7" w:rsidP="003B4BCE">
            <w:pPr>
              <w:autoSpaceDE w:val="0"/>
              <w:autoSpaceDN w:val="0"/>
              <w:adjustRightInd w:val="0"/>
              <w:ind w:left="7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  <w:r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2</w:t>
            </w:r>
          </w:p>
        </w:tc>
        <w:tc>
          <w:tcPr>
            <w:tcW w:w="1440" w:type="dxa"/>
            <w:vAlign w:val="center"/>
          </w:tcPr>
          <w:p w:rsidR="005435F7" w:rsidRPr="004F48E4" w:rsidRDefault="005435F7" w:rsidP="003B4BCE">
            <w:pPr>
              <w:autoSpaceDE w:val="0"/>
              <w:autoSpaceDN w:val="0"/>
              <w:adjustRightInd w:val="0"/>
              <w:ind w:left="7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  <w:r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2</w:t>
            </w:r>
          </w:p>
        </w:tc>
        <w:tc>
          <w:tcPr>
            <w:tcW w:w="1620" w:type="dxa"/>
            <w:vAlign w:val="center"/>
          </w:tcPr>
          <w:p w:rsidR="005435F7" w:rsidRPr="004F48E4" w:rsidRDefault="005435F7" w:rsidP="003B4BCE">
            <w:pPr>
              <w:autoSpaceDE w:val="0"/>
              <w:autoSpaceDN w:val="0"/>
              <w:adjustRightInd w:val="0"/>
              <w:ind w:left="7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  <w:r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6</w:t>
            </w:r>
          </w:p>
        </w:tc>
      </w:tr>
      <w:tr w:rsidR="005435F7" w:rsidRPr="004F48E4" w:rsidTr="003B4BCE">
        <w:trPr>
          <w:trHeight w:val="332"/>
        </w:trPr>
        <w:tc>
          <w:tcPr>
            <w:tcW w:w="1795" w:type="dxa"/>
            <w:vAlign w:val="center"/>
          </w:tcPr>
          <w:p w:rsidR="005435F7" w:rsidRPr="004F48E4" w:rsidRDefault="005435F7" w:rsidP="003B4BCE">
            <w:pPr>
              <w:autoSpaceDE w:val="0"/>
              <w:autoSpaceDN w:val="0"/>
              <w:adjustRightInd w:val="0"/>
              <w:ind w:left="34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  <w:r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over 110</w:t>
            </w:r>
          </w:p>
        </w:tc>
        <w:tc>
          <w:tcPr>
            <w:tcW w:w="1350" w:type="dxa"/>
            <w:vAlign w:val="center"/>
          </w:tcPr>
          <w:p w:rsidR="005435F7" w:rsidRPr="004F48E4" w:rsidRDefault="005435F7" w:rsidP="003B4BCE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  <w:r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-</w:t>
            </w:r>
          </w:p>
        </w:tc>
        <w:tc>
          <w:tcPr>
            <w:tcW w:w="1350" w:type="dxa"/>
            <w:vAlign w:val="center"/>
          </w:tcPr>
          <w:p w:rsidR="005435F7" w:rsidRPr="004F48E4" w:rsidRDefault="005435F7" w:rsidP="003B4BCE">
            <w:pPr>
              <w:autoSpaceDE w:val="0"/>
              <w:autoSpaceDN w:val="0"/>
              <w:adjustRightInd w:val="0"/>
              <w:ind w:left="7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  <w:r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2</w:t>
            </w:r>
          </w:p>
        </w:tc>
        <w:tc>
          <w:tcPr>
            <w:tcW w:w="1350" w:type="dxa"/>
            <w:vAlign w:val="center"/>
          </w:tcPr>
          <w:p w:rsidR="005435F7" w:rsidRPr="004F48E4" w:rsidRDefault="005435F7" w:rsidP="003B4BCE">
            <w:pPr>
              <w:autoSpaceDE w:val="0"/>
              <w:autoSpaceDN w:val="0"/>
              <w:adjustRightInd w:val="0"/>
              <w:ind w:left="7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  <w:r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2</w:t>
            </w:r>
          </w:p>
        </w:tc>
        <w:tc>
          <w:tcPr>
            <w:tcW w:w="1440" w:type="dxa"/>
            <w:vAlign w:val="center"/>
          </w:tcPr>
          <w:p w:rsidR="005435F7" w:rsidRPr="004F48E4" w:rsidRDefault="005435F7" w:rsidP="003B4BCE">
            <w:pPr>
              <w:autoSpaceDE w:val="0"/>
              <w:autoSpaceDN w:val="0"/>
              <w:adjustRightInd w:val="0"/>
              <w:ind w:left="7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  <w:r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3</w:t>
            </w:r>
          </w:p>
        </w:tc>
        <w:tc>
          <w:tcPr>
            <w:tcW w:w="1620" w:type="dxa"/>
            <w:vAlign w:val="center"/>
          </w:tcPr>
          <w:p w:rsidR="005435F7" w:rsidRPr="004F48E4" w:rsidRDefault="005435F7" w:rsidP="003B4BCE">
            <w:pPr>
              <w:autoSpaceDE w:val="0"/>
              <w:autoSpaceDN w:val="0"/>
              <w:adjustRightInd w:val="0"/>
              <w:ind w:left="7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  <w:r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7</w:t>
            </w:r>
          </w:p>
        </w:tc>
      </w:tr>
    </w:tbl>
    <w:p w:rsidR="005435F7" w:rsidRPr="004F48E4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</w:p>
    <w:p w:rsidR="005435F7" w:rsidRPr="004F48E4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De hårde kapsler skal </w:t>
      </w:r>
      <w:r>
        <w:rPr>
          <w:rFonts w:eastAsiaTheme="minorEastAsia"/>
          <w:color w:val="000000"/>
          <w:sz w:val="24"/>
          <w:szCs w:val="24"/>
          <w:lang w:eastAsia="zh-CN"/>
        </w:rPr>
        <w:t>synkes hele</w:t>
      </w:r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 med lidt væske. De skal tages regelmæssigt.</w:t>
      </w:r>
    </w:p>
    <w:p w:rsidR="005435F7" w:rsidRPr="004F48E4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4F48E4">
        <w:rPr>
          <w:rFonts w:eastAsiaTheme="minorEastAsia"/>
          <w:color w:val="000000"/>
          <w:sz w:val="24"/>
          <w:szCs w:val="24"/>
          <w:lang w:eastAsia="zh-CN"/>
        </w:rPr>
        <w:t>Brugen af ​​</w:t>
      </w:r>
      <w:proofErr w:type="spellStart"/>
      <w:r w:rsidR="00005149">
        <w:rPr>
          <w:rFonts w:eastAsiaTheme="minorEastAsia"/>
          <w:color w:val="000000"/>
          <w:sz w:val="24"/>
          <w:szCs w:val="24"/>
          <w:lang w:eastAsia="zh-CN"/>
        </w:rPr>
        <w:t>Urgaldex</w:t>
      </w:r>
      <w:proofErr w:type="spellEnd"/>
      <w:r>
        <w:rPr>
          <w:rFonts w:eastAsiaTheme="minorEastAsia"/>
          <w:color w:val="000000"/>
          <w:sz w:val="24"/>
          <w:szCs w:val="24"/>
          <w:lang w:eastAsia="zh-CN"/>
        </w:rPr>
        <w:t xml:space="preserve"> ved</w:t>
      </w:r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 PBC kan fortsættes på ubestemt tid.</w:t>
      </w:r>
    </w:p>
    <w:p w:rsidR="005435F7" w:rsidRPr="004F48E4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Det er muligt, at de kliniske symptomer forværres i begyndelsen af ​​behandlingen hos patienter med primær </w:t>
      </w:r>
      <w:r>
        <w:rPr>
          <w:rFonts w:eastAsiaTheme="minorEastAsia"/>
          <w:color w:val="000000"/>
          <w:sz w:val="24"/>
          <w:szCs w:val="24"/>
          <w:lang w:eastAsia="zh-CN"/>
        </w:rPr>
        <w:t>biliær</w:t>
      </w:r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 </w:t>
      </w:r>
      <w:proofErr w:type="spellStart"/>
      <w:r w:rsidRPr="004F48E4">
        <w:rPr>
          <w:rFonts w:eastAsiaTheme="minorEastAsia"/>
          <w:color w:val="000000"/>
          <w:sz w:val="24"/>
          <w:szCs w:val="24"/>
          <w:lang w:eastAsia="zh-CN"/>
        </w:rPr>
        <w:t>kolangitis</w:t>
      </w:r>
      <w:proofErr w:type="spellEnd"/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, fx. ved øget kløe. Hvis dette er tilfældet, fortsættes </w:t>
      </w:r>
      <w:r>
        <w:rPr>
          <w:rFonts w:eastAsiaTheme="minorEastAsia"/>
          <w:color w:val="000000"/>
          <w:sz w:val="24"/>
          <w:szCs w:val="24"/>
          <w:lang w:eastAsia="zh-CN"/>
        </w:rPr>
        <w:t>behandlingen</w:t>
      </w:r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 med 1 hård kapsel </w:t>
      </w:r>
      <w:proofErr w:type="spellStart"/>
      <w:r w:rsidR="00005149">
        <w:rPr>
          <w:rFonts w:eastAsiaTheme="minorEastAsia"/>
          <w:color w:val="000000"/>
          <w:sz w:val="24"/>
          <w:szCs w:val="24"/>
          <w:lang w:eastAsia="zh-CN"/>
        </w:rPr>
        <w:t>Urgaldex</w:t>
      </w:r>
      <w:proofErr w:type="spellEnd"/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 pr. dag, og behandlingen fortsættes gradvist (forhøj den daglige dosis med 1 hård kapsel pr. uge), indtil den planlagte dosis i de respektive doseringsplaner er nået igen.</w:t>
      </w:r>
    </w:p>
    <w:p w:rsidR="005435F7" w:rsidRPr="004F48E4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4F48E4">
        <w:rPr>
          <w:rFonts w:eastAsiaTheme="minorEastAsia"/>
          <w:color w:val="000000"/>
          <w:sz w:val="24"/>
          <w:szCs w:val="24"/>
          <w:lang w:eastAsia="zh-CN"/>
        </w:rPr>
        <w:t> </w:t>
      </w:r>
    </w:p>
    <w:p w:rsidR="005435F7" w:rsidRDefault="005435F7" w:rsidP="005435F7">
      <w:pPr>
        <w:keepNext/>
        <w:ind w:left="851"/>
        <w:rPr>
          <w:rFonts w:eastAsiaTheme="minorEastAsia"/>
          <w:color w:val="000000"/>
          <w:sz w:val="24"/>
          <w:szCs w:val="24"/>
          <w:u w:val="single"/>
          <w:lang w:eastAsia="zh-CN"/>
        </w:rPr>
      </w:pPr>
      <w:r w:rsidRPr="004F48E4">
        <w:rPr>
          <w:rFonts w:eastAsiaTheme="minorEastAsia"/>
          <w:color w:val="000000"/>
          <w:sz w:val="24"/>
          <w:szCs w:val="24"/>
          <w:u w:val="single"/>
          <w:lang w:eastAsia="zh-CN"/>
        </w:rPr>
        <w:lastRenderedPageBreak/>
        <w:t>Pædiatrisk</w:t>
      </w:r>
      <w:r>
        <w:rPr>
          <w:rFonts w:eastAsiaTheme="minorEastAsia"/>
          <w:color w:val="000000"/>
          <w:sz w:val="24"/>
          <w:szCs w:val="24"/>
          <w:u w:val="single"/>
          <w:lang w:eastAsia="zh-CN"/>
        </w:rPr>
        <w:t xml:space="preserve"> population</w:t>
      </w:r>
    </w:p>
    <w:p w:rsidR="005435F7" w:rsidRPr="004F48E4" w:rsidRDefault="005435F7" w:rsidP="005435F7">
      <w:pPr>
        <w:keepNext/>
        <w:ind w:left="851"/>
        <w:rPr>
          <w:rFonts w:eastAsiaTheme="minorEastAsia"/>
          <w:color w:val="000000"/>
          <w:sz w:val="24"/>
          <w:szCs w:val="24"/>
          <w:lang w:eastAsia="zh-CN"/>
        </w:rPr>
      </w:pPr>
    </w:p>
    <w:p w:rsidR="005435F7" w:rsidRPr="004F48E4" w:rsidRDefault="005435F7" w:rsidP="005435F7">
      <w:pPr>
        <w:keepNext/>
        <w:ind w:left="851"/>
        <w:rPr>
          <w:rFonts w:eastAsiaTheme="minorEastAsia"/>
          <w:i/>
          <w:color w:val="000000"/>
          <w:sz w:val="24"/>
          <w:szCs w:val="24"/>
          <w:lang w:eastAsia="zh-CN"/>
        </w:rPr>
      </w:pPr>
      <w:r w:rsidRPr="004F48E4">
        <w:rPr>
          <w:rFonts w:eastAsiaTheme="minorEastAsia"/>
          <w:i/>
          <w:color w:val="000000"/>
          <w:sz w:val="24"/>
          <w:szCs w:val="24"/>
          <w:lang w:eastAsia="zh-CN"/>
        </w:rPr>
        <w:t>Børn med cystisk fibrose i alderen 6 til 18 år</w:t>
      </w:r>
    </w:p>
    <w:p w:rsidR="005435F7" w:rsidRPr="004F48E4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4F48E4">
        <w:rPr>
          <w:rFonts w:eastAsiaTheme="minorEastAsia"/>
          <w:color w:val="000000"/>
          <w:sz w:val="24"/>
          <w:szCs w:val="24"/>
          <w:lang w:eastAsia="zh-CN"/>
        </w:rPr>
        <w:t>20 mg/kg/dag i 2-3 opdelte doser, med en yderligere stigning til 30 mg/kg/dag</w:t>
      </w:r>
      <w:r>
        <w:rPr>
          <w:rFonts w:eastAsiaTheme="minorEastAsia"/>
          <w:color w:val="000000"/>
          <w:sz w:val="24"/>
          <w:szCs w:val="24"/>
          <w:lang w:eastAsia="zh-CN"/>
        </w:rPr>
        <w:t>,</w:t>
      </w:r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 hvis det er nødvendigt.</w:t>
      </w:r>
    </w:p>
    <w:p w:rsidR="005435F7" w:rsidRPr="004F48E4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</w:p>
    <w:tbl>
      <w:tblPr>
        <w:tblW w:w="7938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36"/>
        <w:gridCol w:w="1967"/>
        <w:gridCol w:w="1967"/>
        <w:gridCol w:w="1968"/>
      </w:tblGrid>
      <w:tr w:rsidR="005435F7" w:rsidRPr="004F48E4" w:rsidTr="003B4BCE">
        <w:trPr>
          <w:trHeight w:val="20"/>
        </w:trPr>
        <w:tc>
          <w:tcPr>
            <w:tcW w:w="2036" w:type="dxa"/>
            <w:vMerge w:val="restart"/>
            <w:vAlign w:val="center"/>
          </w:tcPr>
          <w:p w:rsidR="005435F7" w:rsidRPr="004F48E4" w:rsidRDefault="005435F7" w:rsidP="003B4BCE">
            <w:pPr>
              <w:autoSpaceDE w:val="0"/>
              <w:autoSpaceDN w:val="0"/>
              <w:adjustRightInd w:val="0"/>
              <w:ind w:left="34"/>
              <w:rPr>
                <w:rFonts w:eastAsiaTheme="minorEastAsia"/>
                <w:color w:val="000000"/>
                <w:sz w:val="24"/>
                <w:szCs w:val="24"/>
                <w:lang w:eastAsia="zh-CN"/>
              </w:rPr>
            </w:pPr>
            <w:r w:rsidRPr="004F48E4">
              <w:rPr>
                <w:rFonts w:eastAsiaTheme="minorEastAsia"/>
                <w:bCs/>
                <w:iCs/>
                <w:color w:val="000000"/>
                <w:sz w:val="24"/>
                <w:szCs w:val="24"/>
                <w:lang w:eastAsia="zh-CN"/>
              </w:rPr>
              <w:t>Kropsvægt (kg)</w:t>
            </w:r>
          </w:p>
        </w:tc>
        <w:tc>
          <w:tcPr>
            <w:tcW w:w="5902" w:type="dxa"/>
            <w:gridSpan w:val="3"/>
            <w:vAlign w:val="center"/>
          </w:tcPr>
          <w:p w:rsidR="005435F7" w:rsidRPr="004F48E4" w:rsidRDefault="00005149" w:rsidP="003B4BCE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</w:rPr>
              <w:t>Urgaldex</w:t>
            </w:r>
            <w:proofErr w:type="spellEnd"/>
            <w:r w:rsidR="005435F7" w:rsidRPr="004F48E4"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 xml:space="preserve"> 250 </w:t>
            </w:r>
            <w:r w:rsidR="005435F7" w:rsidRPr="004F48E4">
              <w:rPr>
                <w:rFonts w:eastAsiaTheme="minorEastAsia"/>
                <w:bCs/>
                <w:iCs/>
                <w:color w:val="000000"/>
                <w:sz w:val="24"/>
                <w:szCs w:val="24"/>
                <w:lang w:eastAsia="zh-CN"/>
              </w:rPr>
              <w:t>mg hårde kapsler</w:t>
            </w:r>
          </w:p>
        </w:tc>
      </w:tr>
      <w:tr w:rsidR="005435F7" w:rsidRPr="004F48E4" w:rsidTr="003B4BCE">
        <w:trPr>
          <w:trHeight w:val="20"/>
        </w:trPr>
        <w:tc>
          <w:tcPr>
            <w:tcW w:w="2036" w:type="dxa"/>
            <w:vMerge/>
            <w:vAlign w:val="center"/>
          </w:tcPr>
          <w:p w:rsidR="005435F7" w:rsidRPr="004F48E4" w:rsidRDefault="005435F7" w:rsidP="003B4BCE">
            <w:pPr>
              <w:autoSpaceDE w:val="0"/>
              <w:autoSpaceDN w:val="0"/>
              <w:adjustRightInd w:val="0"/>
              <w:ind w:left="34"/>
              <w:rPr>
                <w:rFonts w:eastAsiaTheme="minor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67" w:type="dxa"/>
            <w:vAlign w:val="center"/>
          </w:tcPr>
          <w:p w:rsidR="005435F7" w:rsidRPr="004F48E4" w:rsidRDefault="005435F7" w:rsidP="003B4BCE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bCs/>
                <w:iCs/>
                <w:color w:val="000000"/>
                <w:sz w:val="24"/>
                <w:szCs w:val="24"/>
                <w:lang w:eastAsia="zh-CN"/>
              </w:rPr>
              <w:t>M</w:t>
            </w:r>
            <w:r w:rsidRPr="004F48E4">
              <w:rPr>
                <w:rFonts w:eastAsiaTheme="minorEastAsia"/>
                <w:bCs/>
                <w:iCs/>
                <w:color w:val="000000"/>
                <w:sz w:val="24"/>
                <w:szCs w:val="24"/>
                <w:lang w:eastAsia="zh-CN"/>
              </w:rPr>
              <w:t>orgen</w:t>
            </w:r>
          </w:p>
        </w:tc>
        <w:tc>
          <w:tcPr>
            <w:tcW w:w="1967" w:type="dxa"/>
            <w:vAlign w:val="center"/>
          </w:tcPr>
          <w:p w:rsidR="005435F7" w:rsidRPr="004F48E4" w:rsidRDefault="005435F7" w:rsidP="003B4BCE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bCs/>
                <w:iCs/>
                <w:color w:val="000000"/>
                <w:sz w:val="24"/>
                <w:szCs w:val="24"/>
                <w:lang w:eastAsia="zh-CN"/>
              </w:rPr>
              <w:t>M</w:t>
            </w:r>
            <w:r w:rsidRPr="004F48E4">
              <w:rPr>
                <w:rFonts w:eastAsiaTheme="minorEastAsia"/>
                <w:bCs/>
                <w:iCs/>
                <w:color w:val="000000"/>
                <w:sz w:val="24"/>
                <w:szCs w:val="24"/>
                <w:lang w:eastAsia="zh-CN"/>
              </w:rPr>
              <w:t>iddag</w:t>
            </w:r>
          </w:p>
        </w:tc>
        <w:tc>
          <w:tcPr>
            <w:tcW w:w="1968" w:type="dxa"/>
            <w:vAlign w:val="center"/>
          </w:tcPr>
          <w:p w:rsidR="005435F7" w:rsidRPr="004F48E4" w:rsidRDefault="005435F7" w:rsidP="003B4BCE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bCs/>
                <w:iCs/>
                <w:color w:val="000000"/>
                <w:sz w:val="24"/>
                <w:szCs w:val="24"/>
                <w:lang w:eastAsia="zh-CN"/>
              </w:rPr>
              <w:t>A</w:t>
            </w:r>
            <w:r w:rsidRPr="004F48E4">
              <w:rPr>
                <w:rFonts w:eastAsiaTheme="minorEastAsia"/>
                <w:bCs/>
                <w:iCs/>
                <w:color w:val="000000"/>
                <w:sz w:val="24"/>
                <w:szCs w:val="24"/>
                <w:lang w:eastAsia="zh-CN"/>
              </w:rPr>
              <w:t>ften</w:t>
            </w:r>
          </w:p>
        </w:tc>
      </w:tr>
      <w:tr w:rsidR="005435F7" w:rsidRPr="004F48E4" w:rsidTr="003B4BCE">
        <w:trPr>
          <w:trHeight w:val="20"/>
        </w:trPr>
        <w:tc>
          <w:tcPr>
            <w:tcW w:w="2036" w:type="dxa"/>
            <w:vAlign w:val="center"/>
          </w:tcPr>
          <w:p w:rsidR="005435F7" w:rsidRPr="004F48E4" w:rsidRDefault="005435F7" w:rsidP="003B4BCE">
            <w:pPr>
              <w:autoSpaceDE w:val="0"/>
              <w:autoSpaceDN w:val="0"/>
              <w:adjustRightInd w:val="0"/>
              <w:ind w:left="34"/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</w:pPr>
            <w:r w:rsidRPr="004F48E4"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20</w:t>
            </w:r>
            <w:r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-</w:t>
            </w:r>
            <w:r w:rsidRPr="004F48E4"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1967" w:type="dxa"/>
            <w:vAlign w:val="center"/>
          </w:tcPr>
          <w:p w:rsidR="005435F7" w:rsidRPr="004F48E4" w:rsidRDefault="005435F7" w:rsidP="003B4BCE">
            <w:pPr>
              <w:autoSpaceDE w:val="0"/>
              <w:autoSpaceDN w:val="0"/>
              <w:adjustRightInd w:val="0"/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</w:pPr>
            <w:r w:rsidRPr="004F48E4"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67" w:type="dxa"/>
            <w:vAlign w:val="center"/>
          </w:tcPr>
          <w:p w:rsidR="005435F7" w:rsidRPr="004F48E4" w:rsidRDefault="005435F7" w:rsidP="003B4BCE">
            <w:pPr>
              <w:autoSpaceDE w:val="0"/>
              <w:autoSpaceDN w:val="0"/>
              <w:adjustRightInd w:val="0"/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</w:pPr>
            <w:r w:rsidRPr="004F48E4"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68" w:type="dxa"/>
            <w:vAlign w:val="center"/>
          </w:tcPr>
          <w:p w:rsidR="005435F7" w:rsidRPr="004F48E4" w:rsidRDefault="005435F7" w:rsidP="003B4BCE">
            <w:pPr>
              <w:autoSpaceDE w:val="0"/>
              <w:autoSpaceDN w:val="0"/>
              <w:adjustRightInd w:val="0"/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</w:pPr>
            <w:r w:rsidRPr="004F48E4"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5435F7" w:rsidRPr="004F48E4" w:rsidTr="003B4BCE">
        <w:trPr>
          <w:trHeight w:val="20"/>
        </w:trPr>
        <w:tc>
          <w:tcPr>
            <w:tcW w:w="2036" w:type="dxa"/>
            <w:vAlign w:val="center"/>
          </w:tcPr>
          <w:p w:rsidR="005435F7" w:rsidRPr="004F48E4" w:rsidRDefault="005435F7" w:rsidP="003B4BCE">
            <w:pPr>
              <w:autoSpaceDE w:val="0"/>
              <w:autoSpaceDN w:val="0"/>
              <w:adjustRightInd w:val="0"/>
              <w:ind w:left="34"/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30-</w:t>
            </w:r>
            <w:r w:rsidRPr="004F48E4"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1967" w:type="dxa"/>
            <w:vAlign w:val="center"/>
          </w:tcPr>
          <w:p w:rsidR="005435F7" w:rsidRPr="004F48E4" w:rsidRDefault="005435F7" w:rsidP="003B4BCE">
            <w:pPr>
              <w:autoSpaceDE w:val="0"/>
              <w:autoSpaceDN w:val="0"/>
              <w:adjustRightInd w:val="0"/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</w:pPr>
            <w:r w:rsidRPr="004F48E4"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67" w:type="dxa"/>
            <w:vAlign w:val="center"/>
          </w:tcPr>
          <w:p w:rsidR="005435F7" w:rsidRPr="004F48E4" w:rsidRDefault="005435F7" w:rsidP="003B4BCE">
            <w:pPr>
              <w:autoSpaceDE w:val="0"/>
              <w:autoSpaceDN w:val="0"/>
              <w:adjustRightInd w:val="0"/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</w:pPr>
            <w:r w:rsidRPr="004F48E4"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68" w:type="dxa"/>
            <w:vAlign w:val="center"/>
          </w:tcPr>
          <w:p w:rsidR="005435F7" w:rsidRPr="004F48E4" w:rsidRDefault="005435F7" w:rsidP="003B4BCE">
            <w:pPr>
              <w:autoSpaceDE w:val="0"/>
              <w:autoSpaceDN w:val="0"/>
              <w:adjustRightInd w:val="0"/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</w:pPr>
            <w:r w:rsidRPr="004F48E4"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5435F7" w:rsidRPr="004F48E4" w:rsidTr="003B4BCE">
        <w:trPr>
          <w:trHeight w:val="20"/>
        </w:trPr>
        <w:tc>
          <w:tcPr>
            <w:tcW w:w="2036" w:type="dxa"/>
            <w:vAlign w:val="center"/>
          </w:tcPr>
          <w:p w:rsidR="005435F7" w:rsidRPr="004F48E4" w:rsidRDefault="005435F7" w:rsidP="003B4BCE">
            <w:pPr>
              <w:autoSpaceDE w:val="0"/>
              <w:autoSpaceDN w:val="0"/>
              <w:adjustRightInd w:val="0"/>
              <w:ind w:left="34"/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40-</w:t>
            </w:r>
            <w:r w:rsidRPr="004F48E4"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1967" w:type="dxa"/>
            <w:vAlign w:val="center"/>
          </w:tcPr>
          <w:p w:rsidR="005435F7" w:rsidRPr="004F48E4" w:rsidRDefault="005435F7" w:rsidP="003B4BCE">
            <w:pPr>
              <w:autoSpaceDE w:val="0"/>
              <w:autoSpaceDN w:val="0"/>
              <w:adjustRightInd w:val="0"/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</w:pPr>
            <w:r w:rsidRPr="004F48E4"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67" w:type="dxa"/>
            <w:vAlign w:val="center"/>
          </w:tcPr>
          <w:p w:rsidR="005435F7" w:rsidRPr="004F48E4" w:rsidRDefault="005435F7" w:rsidP="003B4BCE">
            <w:pPr>
              <w:autoSpaceDE w:val="0"/>
              <w:autoSpaceDN w:val="0"/>
              <w:adjustRightInd w:val="0"/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</w:pPr>
            <w:r w:rsidRPr="004F48E4"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68" w:type="dxa"/>
            <w:vAlign w:val="center"/>
          </w:tcPr>
          <w:p w:rsidR="005435F7" w:rsidRPr="004F48E4" w:rsidRDefault="005435F7" w:rsidP="003B4BCE">
            <w:pPr>
              <w:autoSpaceDE w:val="0"/>
              <w:autoSpaceDN w:val="0"/>
              <w:adjustRightInd w:val="0"/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</w:pPr>
            <w:r w:rsidRPr="004F48E4"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5435F7" w:rsidRPr="004F48E4" w:rsidTr="003B4BCE">
        <w:trPr>
          <w:trHeight w:val="20"/>
        </w:trPr>
        <w:tc>
          <w:tcPr>
            <w:tcW w:w="2036" w:type="dxa"/>
            <w:vAlign w:val="center"/>
          </w:tcPr>
          <w:p w:rsidR="005435F7" w:rsidRPr="004F48E4" w:rsidRDefault="005435F7" w:rsidP="003B4BCE">
            <w:pPr>
              <w:autoSpaceDE w:val="0"/>
              <w:autoSpaceDN w:val="0"/>
              <w:adjustRightInd w:val="0"/>
              <w:ind w:left="34"/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50-</w:t>
            </w:r>
            <w:r w:rsidRPr="004F48E4"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59</w:t>
            </w:r>
          </w:p>
        </w:tc>
        <w:tc>
          <w:tcPr>
            <w:tcW w:w="1967" w:type="dxa"/>
            <w:vAlign w:val="center"/>
          </w:tcPr>
          <w:p w:rsidR="005435F7" w:rsidRPr="004F48E4" w:rsidRDefault="005435F7" w:rsidP="003B4BCE">
            <w:pPr>
              <w:autoSpaceDE w:val="0"/>
              <w:autoSpaceDN w:val="0"/>
              <w:adjustRightInd w:val="0"/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</w:pPr>
            <w:r w:rsidRPr="004F48E4"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67" w:type="dxa"/>
            <w:vAlign w:val="center"/>
          </w:tcPr>
          <w:p w:rsidR="005435F7" w:rsidRPr="004F48E4" w:rsidRDefault="005435F7" w:rsidP="003B4BCE">
            <w:pPr>
              <w:autoSpaceDE w:val="0"/>
              <w:autoSpaceDN w:val="0"/>
              <w:adjustRightInd w:val="0"/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</w:pPr>
            <w:r w:rsidRPr="004F48E4"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68" w:type="dxa"/>
            <w:vAlign w:val="center"/>
          </w:tcPr>
          <w:p w:rsidR="005435F7" w:rsidRPr="004F48E4" w:rsidRDefault="005435F7" w:rsidP="003B4BCE">
            <w:pPr>
              <w:autoSpaceDE w:val="0"/>
              <w:autoSpaceDN w:val="0"/>
              <w:adjustRightInd w:val="0"/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</w:pPr>
            <w:r w:rsidRPr="004F48E4"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5435F7" w:rsidRPr="004F48E4" w:rsidTr="003B4BCE">
        <w:trPr>
          <w:trHeight w:val="20"/>
        </w:trPr>
        <w:tc>
          <w:tcPr>
            <w:tcW w:w="2036" w:type="dxa"/>
            <w:vAlign w:val="center"/>
          </w:tcPr>
          <w:p w:rsidR="005435F7" w:rsidRPr="004F48E4" w:rsidRDefault="005435F7" w:rsidP="003B4BCE">
            <w:pPr>
              <w:autoSpaceDE w:val="0"/>
              <w:autoSpaceDN w:val="0"/>
              <w:adjustRightInd w:val="0"/>
              <w:ind w:left="34"/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60-</w:t>
            </w:r>
            <w:r w:rsidRPr="004F48E4"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69</w:t>
            </w:r>
          </w:p>
        </w:tc>
        <w:tc>
          <w:tcPr>
            <w:tcW w:w="1967" w:type="dxa"/>
            <w:vAlign w:val="center"/>
          </w:tcPr>
          <w:p w:rsidR="005435F7" w:rsidRPr="004F48E4" w:rsidRDefault="005435F7" w:rsidP="003B4BCE">
            <w:pPr>
              <w:autoSpaceDE w:val="0"/>
              <w:autoSpaceDN w:val="0"/>
              <w:adjustRightInd w:val="0"/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</w:pPr>
            <w:r w:rsidRPr="004F48E4"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67" w:type="dxa"/>
            <w:vAlign w:val="center"/>
          </w:tcPr>
          <w:p w:rsidR="005435F7" w:rsidRPr="004F48E4" w:rsidRDefault="005435F7" w:rsidP="003B4BCE">
            <w:pPr>
              <w:autoSpaceDE w:val="0"/>
              <w:autoSpaceDN w:val="0"/>
              <w:adjustRightInd w:val="0"/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</w:pPr>
            <w:r w:rsidRPr="004F48E4"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68" w:type="dxa"/>
            <w:vAlign w:val="center"/>
          </w:tcPr>
          <w:p w:rsidR="005435F7" w:rsidRPr="004F48E4" w:rsidRDefault="005435F7" w:rsidP="003B4BCE">
            <w:pPr>
              <w:autoSpaceDE w:val="0"/>
              <w:autoSpaceDN w:val="0"/>
              <w:adjustRightInd w:val="0"/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</w:pPr>
            <w:r w:rsidRPr="004F48E4"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5435F7" w:rsidRPr="004F48E4" w:rsidTr="003B4BCE">
        <w:trPr>
          <w:trHeight w:val="20"/>
        </w:trPr>
        <w:tc>
          <w:tcPr>
            <w:tcW w:w="2036" w:type="dxa"/>
            <w:vAlign w:val="center"/>
          </w:tcPr>
          <w:p w:rsidR="005435F7" w:rsidRPr="004F48E4" w:rsidRDefault="005435F7" w:rsidP="003B4BCE">
            <w:pPr>
              <w:autoSpaceDE w:val="0"/>
              <w:autoSpaceDN w:val="0"/>
              <w:adjustRightInd w:val="0"/>
              <w:ind w:left="34"/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70-</w:t>
            </w:r>
            <w:r w:rsidRPr="004F48E4"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79</w:t>
            </w:r>
          </w:p>
        </w:tc>
        <w:tc>
          <w:tcPr>
            <w:tcW w:w="1967" w:type="dxa"/>
            <w:vAlign w:val="center"/>
          </w:tcPr>
          <w:p w:rsidR="005435F7" w:rsidRPr="004F48E4" w:rsidRDefault="005435F7" w:rsidP="003B4BCE">
            <w:pPr>
              <w:autoSpaceDE w:val="0"/>
              <w:autoSpaceDN w:val="0"/>
              <w:adjustRightInd w:val="0"/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</w:pPr>
            <w:r w:rsidRPr="004F48E4"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67" w:type="dxa"/>
            <w:vAlign w:val="center"/>
          </w:tcPr>
          <w:p w:rsidR="005435F7" w:rsidRPr="004F48E4" w:rsidRDefault="005435F7" w:rsidP="003B4BCE">
            <w:pPr>
              <w:autoSpaceDE w:val="0"/>
              <w:autoSpaceDN w:val="0"/>
              <w:adjustRightInd w:val="0"/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</w:pPr>
            <w:r w:rsidRPr="004F48E4"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68" w:type="dxa"/>
            <w:vAlign w:val="center"/>
          </w:tcPr>
          <w:p w:rsidR="005435F7" w:rsidRPr="004F48E4" w:rsidRDefault="005435F7" w:rsidP="003B4BCE">
            <w:pPr>
              <w:autoSpaceDE w:val="0"/>
              <w:autoSpaceDN w:val="0"/>
              <w:adjustRightInd w:val="0"/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</w:pPr>
            <w:r w:rsidRPr="004F48E4"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3</w:t>
            </w:r>
          </w:p>
        </w:tc>
      </w:tr>
      <w:tr w:rsidR="005435F7" w:rsidRPr="004F48E4" w:rsidTr="003B4BCE">
        <w:trPr>
          <w:trHeight w:val="20"/>
        </w:trPr>
        <w:tc>
          <w:tcPr>
            <w:tcW w:w="2036" w:type="dxa"/>
            <w:vAlign w:val="center"/>
          </w:tcPr>
          <w:p w:rsidR="005435F7" w:rsidRPr="004F48E4" w:rsidRDefault="005435F7" w:rsidP="003B4BCE">
            <w:pPr>
              <w:autoSpaceDE w:val="0"/>
              <w:autoSpaceDN w:val="0"/>
              <w:adjustRightInd w:val="0"/>
              <w:ind w:left="34"/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80-</w:t>
            </w:r>
            <w:r w:rsidRPr="004F48E4"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89</w:t>
            </w:r>
          </w:p>
        </w:tc>
        <w:tc>
          <w:tcPr>
            <w:tcW w:w="1967" w:type="dxa"/>
            <w:vAlign w:val="center"/>
          </w:tcPr>
          <w:p w:rsidR="005435F7" w:rsidRPr="004F48E4" w:rsidRDefault="005435F7" w:rsidP="003B4BCE">
            <w:pPr>
              <w:autoSpaceDE w:val="0"/>
              <w:autoSpaceDN w:val="0"/>
              <w:adjustRightInd w:val="0"/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</w:pPr>
            <w:r w:rsidRPr="004F48E4"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67" w:type="dxa"/>
            <w:vAlign w:val="center"/>
          </w:tcPr>
          <w:p w:rsidR="005435F7" w:rsidRPr="004F48E4" w:rsidRDefault="005435F7" w:rsidP="003B4BCE">
            <w:pPr>
              <w:autoSpaceDE w:val="0"/>
              <w:autoSpaceDN w:val="0"/>
              <w:adjustRightInd w:val="0"/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</w:pPr>
            <w:r w:rsidRPr="004F48E4"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968" w:type="dxa"/>
            <w:vAlign w:val="center"/>
          </w:tcPr>
          <w:p w:rsidR="005435F7" w:rsidRPr="004F48E4" w:rsidRDefault="005435F7" w:rsidP="003B4BCE">
            <w:pPr>
              <w:autoSpaceDE w:val="0"/>
              <w:autoSpaceDN w:val="0"/>
              <w:adjustRightInd w:val="0"/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</w:pPr>
            <w:r w:rsidRPr="004F48E4"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3</w:t>
            </w:r>
          </w:p>
        </w:tc>
      </w:tr>
      <w:tr w:rsidR="005435F7" w:rsidRPr="004F48E4" w:rsidTr="003B4BCE">
        <w:trPr>
          <w:trHeight w:val="20"/>
        </w:trPr>
        <w:tc>
          <w:tcPr>
            <w:tcW w:w="2036" w:type="dxa"/>
            <w:vAlign w:val="center"/>
          </w:tcPr>
          <w:p w:rsidR="005435F7" w:rsidRPr="004F48E4" w:rsidRDefault="005435F7" w:rsidP="003B4BCE">
            <w:pPr>
              <w:autoSpaceDE w:val="0"/>
              <w:autoSpaceDN w:val="0"/>
              <w:adjustRightInd w:val="0"/>
              <w:ind w:left="34"/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90-</w:t>
            </w:r>
            <w:r w:rsidRPr="004F48E4"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99</w:t>
            </w:r>
          </w:p>
        </w:tc>
        <w:tc>
          <w:tcPr>
            <w:tcW w:w="1967" w:type="dxa"/>
            <w:vAlign w:val="center"/>
          </w:tcPr>
          <w:p w:rsidR="005435F7" w:rsidRPr="004F48E4" w:rsidRDefault="005435F7" w:rsidP="003B4BCE">
            <w:pPr>
              <w:autoSpaceDE w:val="0"/>
              <w:autoSpaceDN w:val="0"/>
              <w:adjustRightInd w:val="0"/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</w:pPr>
            <w:r w:rsidRPr="004F48E4"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967" w:type="dxa"/>
            <w:vAlign w:val="center"/>
          </w:tcPr>
          <w:p w:rsidR="005435F7" w:rsidRPr="004F48E4" w:rsidRDefault="005435F7" w:rsidP="003B4BCE">
            <w:pPr>
              <w:autoSpaceDE w:val="0"/>
              <w:autoSpaceDN w:val="0"/>
              <w:adjustRightInd w:val="0"/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</w:pPr>
            <w:r w:rsidRPr="004F48E4"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968" w:type="dxa"/>
            <w:vAlign w:val="center"/>
          </w:tcPr>
          <w:p w:rsidR="005435F7" w:rsidRPr="004F48E4" w:rsidRDefault="005435F7" w:rsidP="003B4BCE">
            <w:pPr>
              <w:autoSpaceDE w:val="0"/>
              <w:autoSpaceDN w:val="0"/>
              <w:adjustRightInd w:val="0"/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</w:pPr>
            <w:r w:rsidRPr="004F48E4"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3</w:t>
            </w:r>
          </w:p>
        </w:tc>
      </w:tr>
      <w:tr w:rsidR="005435F7" w:rsidRPr="004F48E4" w:rsidTr="003B4BCE">
        <w:trPr>
          <w:trHeight w:val="20"/>
        </w:trPr>
        <w:tc>
          <w:tcPr>
            <w:tcW w:w="2036" w:type="dxa"/>
            <w:vAlign w:val="center"/>
          </w:tcPr>
          <w:p w:rsidR="005435F7" w:rsidRPr="004F48E4" w:rsidRDefault="005435F7" w:rsidP="003B4BCE">
            <w:pPr>
              <w:autoSpaceDE w:val="0"/>
              <w:autoSpaceDN w:val="0"/>
              <w:adjustRightInd w:val="0"/>
              <w:ind w:left="34"/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</w:pPr>
            <w:r w:rsidRPr="004F48E4"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100</w:t>
            </w:r>
            <w:r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-</w:t>
            </w:r>
            <w:r w:rsidRPr="004F48E4"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109</w:t>
            </w:r>
          </w:p>
        </w:tc>
        <w:tc>
          <w:tcPr>
            <w:tcW w:w="1967" w:type="dxa"/>
            <w:vAlign w:val="center"/>
          </w:tcPr>
          <w:p w:rsidR="005435F7" w:rsidRPr="004F48E4" w:rsidRDefault="005435F7" w:rsidP="003B4BCE">
            <w:pPr>
              <w:autoSpaceDE w:val="0"/>
              <w:autoSpaceDN w:val="0"/>
              <w:adjustRightInd w:val="0"/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</w:pPr>
            <w:r w:rsidRPr="004F48E4"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967" w:type="dxa"/>
            <w:vAlign w:val="center"/>
          </w:tcPr>
          <w:p w:rsidR="005435F7" w:rsidRPr="004F48E4" w:rsidRDefault="005435F7" w:rsidP="003B4BCE">
            <w:pPr>
              <w:autoSpaceDE w:val="0"/>
              <w:autoSpaceDN w:val="0"/>
              <w:adjustRightInd w:val="0"/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</w:pPr>
            <w:r w:rsidRPr="004F48E4"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968" w:type="dxa"/>
            <w:vAlign w:val="center"/>
          </w:tcPr>
          <w:p w:rsidR="005435F7" w:rsidRPr="004F48E4" w:rsidRDefault="005435F7" w:rsidP="003B4BCE">
            <w:pPr>
              <w:autoSpaceDE w:val="0"/>
              <w:autoSpaceDN w:val="0"/>
              <w:adjustRightInd w:val="0"/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</w:pPr>
            <w:r w:rsidRPr="004F48E4"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4</w:t>
            </w:r>
          </w:p>
        </w:tc>
      </w:tr>
      <w:tr w:rsidR="005435F7" w:rsidRPr="004F48E4" w:rsidTr="003B4BCE">
        <w:trPr>
          <w:trHeight w:val="20"/>
        </w:trPr>
        <w:tc>
          <w:tcPr>
            <w:tcW w:w="2036" w:type="dxa"/>
            <w:vAlign w:val="center"/>
          </w:tcPr>
          <w:p w:rsidR="005435F7" w:rsidRPr="004F48E4" w:rsidRDefault="005435F7" w:rsidP="003B4BCE">
            <w:pPr>
              <w:autoSpaceDE w:val="0"/>
              <w:autoSpaceDN w:val="0"/>
              <w:adjustRightInd w:val="0"/>
              <w:ind w:left="34"/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</w:pPr>
            <w:r w:rsidRPr="004F48E4">
              <w:rPr>
                <w:rFonts w:eastAsiaTheme="minorEastAsia"/>
                <w:bCs/>
                <w:iCs/>
                <w:color w:val="000000"/>
                <w:sz w:val="24"/>
                <w:szCs w:val="24"/>
                <w:lang w:eastAsia="zh-CN"/>
              </w:rPr>
              <w:t>over</w:t>
            </w:r>
            <w:r w:rsidRPr="004F48E4"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 xml:space="preserve"> 110</w:t>
            </w:r>
          </w:p>
        </w:tc>
        <w:tc>
          <w:tcPr>
            <w:tcW w:w="1967" w:type="dxa"/>
            <w:vAlign w:val="center"/>
          </w:tcPr>
          <w:p w:rsidR="005435F7" w:rsidRPr="004F48E4" w:rsidRDefault="005435F7" w:rsidP="003B4BCE">
            <w:pPr>
              <w:autoSpaceDE w:val="0"/>
              <w:autoSpaceDN w:val="0"/>
              <w:adjustRightInd w:val="0"/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</w:pPr>
            <w:r w:rsidRPr="004F48E4"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967" w:type="dxa"/>
            <w:vAlign w:val="center"/>
          </w:tcPr>
          <w:p w:rsidR="005435F7" w:rsidRPr="004F48E4" w:rsidRDefault="005435F7" w:rsidP="003B4BCE">
            <w:pPr>
              <w:autoSpaceDE w:val="0"/>
              <w:autoSpaceDN w:val="0"/>
              <w:adjustRightInd w:val="0"/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</w:pPr>
            <w:r w:rsidRPr="004F48E4"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968" w:type="dxa"/>
            <w:vAlign w:val="center"/>
          </w:tcPr>
          <w:p w:rsidR="005435F7" w:rsidRPr="004F48E4" w:rsidRDefault="005435F7" w:rsidP="003B4BCE">
            <w:pPr>
              <w:autoSpaceDE w:val="0"/>
              <w:autoSpaceDN w:val="0"/>
              <w:adjustRightInd w:val="0"/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</w:pPr>
            <w:r w:rsidRPr="004F48E4"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4</w:t>
            </w:r>
          </w:p>
        </w:tc>
      </w:tr>
    </w:tbl>
    <w:p w:rsidR="005435F7" w:rsidRPr="00C84483" w:rsidRDefault="005435F7" w:rsidP="005435F7">
      <w:pPr>
        <w:tabs>
          <w:tab w:val="left" w:pos="851"/>
        </w:tabs>
        <w:ind w:left="851"/>
        <w:rPr>
          <w:sz w:val="24"/>
          <w:szCs w:val="24"/>
        </w:rPr>
      </w:pPr>
    </w:p>
    <w:p w:rsidR="005435F7" w:rsidRPr="00C84483" w:rsidRDefault="005435F7" w:rsidP="005435F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4.3</w:t>
      </w:r>
      <w:r w:rsidRPr="00C84483">
        <w:rPr>
          <w:b/>
          <w:sz w:val="24"/>
          <w:szCs w:val="24"/>
        </w:rPr>
        <w:tab/>
        <w:t>Kontraindikationer</w:t>
      </w:r>
    </w:p>
    <w:p w:rsidR="005435F7" w:rsidRPr="009B3278" w:rsidRDefault="00005149" w:rsidP="005435F7">
      <w:pPr>
        <w:keepNext/>
        <w:ind w:left="851"/>
        <w:rPr>
          <w:rFonts w:eastAsiaTheme="minorEastAsia"/>
          <w:color w:val="000000"/>
          <w:sz w:val="24"/>
          <w:szCs w:val="24"/>
          <w:lang w:eastAsia="zh-CN"/>
        </w:rPr>
      </w:pPr>
      <w:proofErr w:type="spellStart"/>
      <w:r>
        <w:rPr>
          <w:rFonts w:eastAsiaTheme="minorEastAsia"/>
          <w:color w:val="000000"/>
          <w:sz w:val="24"/>
          <w:szCs w:val="24"/>
          <w:lang w:eastAsia="zh-CN"/>
        </w:rPr>
        <w:t>Urgaldex</w:t>
      </w:r>
      <w:proofErr w:type="spellEnd"/>
      <w:r w:rsidR="005435F7"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bør ikke anvendes til patienter med</w:t>
      </w:r>
    </w:p>
    <w:p w:rsidR="005435F7" w:rsidRPr="009B3278" w:rsidRDefault="005435F7" w:rsidP="005435F7">
      <w:pPr>
        <w:numPr>
          <w:ilvl w:val="0"/>
          <w:numId w:val="6"/>
        </w:numPr>
        <w:ind w:left="1134" w:hanging="283"/>
        <w:contextualSpacing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>Akut betændelse i galdeblæren og galdeveje.</w:t>
      </w:r>
    </w:p>
    <w:p w:rsidR="005435F7" w:rsidRPr="009B3278" w:rsidRDefault="005435F7" w:rsidP="005435F7">
      <w:pPr>
        <w:numPr>
          <w:ilvl w:val="0"/>
          <w:numId w:val="6"/>
        </w:numPr>
        <w:ind w:left="1134" w:hanging="283"/>
        <w:contextualSpacing/>
        <w:rPr>
          <w:rFonts w:eastAsiaTheme="minorEastAsia"/>
          <w:color w:val="000000"/>
          <w:sz w:val="24"/>
          <w:szCs w:val="24"/>
          <w:lang w:eastAsia="zh-CN"/>
        </w:rPr>
      </w:pPr>
      <w:proofErr w:type="spellStart"/>
      <w:r>
        <w:rPr>
          <w:rFonts w:eastAsiaTheme="minorEastAsia"/>
          <w:color w:val="000000"/>
          <w:sz w:val="24"/>
          <w:szCs w:val="24"/>
          <w:lang w:eastAsia="zh-CN"/>
        </w:rPr>
        <w:t>Okklusion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af galdeveje (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okklusion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af den fælles galdekanal eller en cystisk kanal).</w:t>
      </w:r>
    </w:p>
    <w:p w:rsidR="005435F7" w:rsidRPr="009B3278" w:rsidRDefault="005435F7" w:rsidP="005435F7">
      <w:pPr>
        <w:numPr>
          <w:ilvl w:val="0"/>
          <w:numId w:val="6"/>
        </w:numPr>
        <w:ind w:left="1134" w:hanging="283"/>
        <w:contextualSpacing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>Hyppige episoder af biliær kolik.</w:t>
      </w:r>
    </w:p>
    <w:p w:rsidR="005435F7" w:rsidRPr="009B3278" w:rsidRDefault="005435F7" w:rsidP="005435F7">
      <w:pPr>
        <w:numPr>
          <w:ilvl w:val="0"/>
          <w:numId w:val="6"/>
        </w:numPr>
        <w:ind w:left="1134" w:hanging="283"/>
        <w:contextualSpacing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Røntgentætte,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forkalkede gal</w:t>
      </w:r>
      <w:r>
        <w:rPr>
          <w:rFonts w:eastAsiaTheme="minorEastAsia"/>
          <w:color w:val="000000"/>
          <w:sz w:val="24"/>
          <w:szCs w:val="24"/>
          <w:lang w:eastAsia="zh-CN"/>
        </w:rPr>
        <w:t>d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>esten.</w:t>
      </w:r>
    </w:p>
    <w:p w:rsidR="005435F7" w:rsidRPr="009B3278" w:rsidRDefault="005435F7" w:rsidP="005435F7">
      <w:pPr>
        <w:numPr>
          <w:ilvl w:val="0"/>
          <w:numId w:val="6"/>
        </w:numPr>
        <w:ind w:left="1134" w:hanging="283"/>
        <w:contextualSpacing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 xml:space="preserve">Forringet </w:t>
      </w:r>
      <w:proofErr w:type="spellStart"/>
      <w:r>
        <w:rPr>
          <w:rFonts w:eastAsiaTheme="minorEastAsia"/>
          <w:color w:val="000000"/>
          <w:sz w:val="24"/>
          <w:szCs w:val="24"/>
          <w:lang w:eastAsia="zh-CN"/>
        </w:rPr>
        <w:t>kontraktilitet</w:t>
      </w:r>
      <w:proofErr w:type="spellEnd"/>
      <w:r>
        <w:rPr>
          <w:rFonts w:eastAsiaTheme="minorEastAsia"/>
          <w:color w:val="000000"/>
          <w:sz w:val="24"/>
          <w:szCs w:val="24"/>
          <w:lang w:eastAsia="zh-CN"/>
        </w:rPr>
        <w:t xml:space="preserve"> af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galdeblæren.</w:t>
      </w:r>
    </w:p>
    <w:p w:rsidR="005435F7" w:rsidRPr="009B3278" w:rsidRDefault="005435F7" w:rsidP="005435F7">
      <w:pPr>
        <w:numPr>
          <w:ilvl w:val="0"/>
          <w:numId w:val="6"/>
        </w:numPr>
        <w:ind w:left="1134" w:hanging="283"/>
        <w:contextualSpacing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>Overfølsomhed over for galdesyrer eller over for et eller flere af hjælpestofferne anført i pkt. 6.1.</w:t>
      </w:r>
    </w:p>
    <w:p w:rsidR="005435F7" w:rsidRPr="009B3278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> </w:t>
      </w:r>
    </w:p>
    <w:p w:rsidR="005435F7" w:rsidRPr="009B3278" w:rsidRDefault="005435F7" w:rsidP="005435F7">
      <w:pPr>
        <w:keepNext/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u w:val="single"/>
          <w:lang w:eastAsia="zh-CN"/>
        </w:rPr>
        <w:t>Pædiatrisk</w:t>
      </w:r>
      <w:r>
        <w:rPr>
          <w:rFonts w:eastAsiaTheme="minorEastAsia"/>
          <w:color w:val="000000"/>
          <w:sz w:val="24"/>
          <w:szCs w:val="24"/>
          <w:u w:val="single"/>
          <w:lang w:eastAsia="zh-CN"/>
        </w:rPr>
        <w:t xml:space="preserve"> population</w:t>
      </w:r>
    </w:p>
    <w:p w:rsidR="005435F7" w:rsidRPr="00E73CF1" w:rsidRDefault="005435F7" w:rsidP="005435F7">
      <w:pPr>
        <w:ind w:left="851"/>
        <w:contextualSpacing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Mislykket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portoenterostomi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eller </w:t>
      </w:r>
      <w:r>
        <w:rPr>
          <w:rFonts w:eastAsiaTheme="minorEastAsia"/>
          <w:color w:val="000000"/>
          <w:sz w:val="24"/>
          <w:szCs w:val="24"/>
          <w:lang w:eastAsia="zh-CN"/>
        </w:rPr>
        <w:t>ved udeblivelse af funktionel galdestrøm hos børn med biliær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atresi.</w:t>
      </w:r>
    </w:p>
    <w:p w:rsidR="005435F7" w:rsidRPr="00C84483" w:rsidRDefault="005435F7" w:rsidP="005435F7">
      <w:pPr>
        <w:tabs>
          <w:tab w:val="left" w:pos="851"/>
        </w:tabs>
        <w:ind w:left="851"/>
        <w:rPr>
          <w:sz w:val="24"/>
          <w:szCs w:val="24"/>
        </w:rPr>
      </w:pPr>
    </w:p>
    <w:p w:rsidR="005435F7" w:rsidRPr="00C84483" w:rsidRDefault="005435F7" w:rsidP="005435F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4.4</w:t>
      </w:r>
      <w:r w:rsidRPr="00C84483">
        <w:rPr>
          <w:b/>
          <w:sz w:val="24"/>
          <w:szCs w:val="24"/>
        </w:rPr>
        <w:tab/>
        <w:t>Særlige advarsler og forsigtighedsregler vedrørende brugen</w:t>
      </w:r>
    </w:p>
    <w:p w:rsidR="005435F7" w:rsidRPr="009B3278" w:rsidRDefault="00005149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proofErr w:type="spellStart"/>
      <w:r>
        <w:rPr>
          <w:rFonts w:eastAsiaTheme="minorEastAsia"/>
          <w:color w:val="000000"/>
          <w:sz w:val="24"/>
          <w:szCs w:val="24"/>
          <w:lang w:eastAsia="zh-CN"/>
        </w:rPr>
        <w:t>Urgaldex</w:t>
      </w:r>
      <w:proofErr w:type="spellEnd"/>
      <w:r w:rsidR="005435F7"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</w:t>
      </w:r>
      <w:r w:rsidR="005435F7">
        <w:rPr>
          <w:rFonts w:eastAsiaTheme="minorEastAsia"/>
          <w:color w:val="000000"/>
          <w:sz w:val="24"/>
          <w:szCs w:val="24"/>
          <w:lang w:eastAsia="zh-CN"/>
        </w:rPr>
        <w:t>skal tages under lægeligt op</w:t>
      </w:r>
      <w:r w:rsidR="005435F7" w:rsidRPr="009B3278">
        <w:rPr>
          <w:rFonts w:eastAsiaTheme="minorEastAsia"/>
          <w:color w:val="000000"/>
          <w:sz w:val="24"/>
          <w:szCs w:val="24"/>
          <w:lang w:eastAsia="zh-CN"/>
        </w:rPr>
        <w:t xml:space="preserve">syn. </w:t>
      </w:r>
    </w:p>
    <w:p w:rsidR="005435F7" w:rsidRPr="009B3278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I løbet af de første tre måneder af behandlingen skal leverfunktionsparametrene AST (SGOT), ALT (SGPT) og y-GT overvåges af lægen hver 4. uge, </w:t>
      </w:r>
      <w:r>
        <w:rPr>
          <w:rFonts w:eastAsiaTheme="minorEastAsia"/>
          <w:color w:val="000000"/>
          <w:sz w:val="24"/>
          <w:szCs w:val="24"/>
          <w:lang w:eastAsia="zh-CN"/>
        </w:rPr>
        <w:t>derefter hver tredje måned. Ud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over at tillade identifikation af respondenter og ikke-respondenter hos patienter, der behandles med primær galdehindebetændelse, vil denne overvågning også muliggøre tidlig påvisning af potentiel leverforringelse, især hos patienter med </w:t>
      </w:r>
      <w:r>
        <w:rPr>
          <w:rFonts w:eastAsiaTheme="minorEastAsia"/>
          <w:color w:val="000000"/>
          <w:sz w:val="24"/>
          <w:szCs w:val="24"/>
          <w:lang w:eastAsia="zh-CN"/>
        </w:rPr>
        <w:t>fremskreden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primær </w:t>
      </w:r>
      <w:r>
        <w:rPr>
          <w:rFonts w:eastAsiaTheme="minorEastAsia"/>
          <w:color w:val="000000"/>
          <w:sz w:val="24"/>
          <w:szCs w:val="24"/>
          <w:lang w:eastAsia="zh-CN"/>
        </w:rPr>
        <w:t>biliær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cholangitis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>.</w:t>
      </w:r>
    </w:p>
    <w:p w:rsidR="005435F7" w:rsidRPr="009B3278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> </w:t>
      </w:r>
    </w:p>
    <w:p w:rsidR="005435F7" w:rsidRPr="009B3278" w:rsidRDefault="005435F7" w:rsidP="005435F7">
      <w:pPr>
        <w:keepNext/>
        <w:ind w:left="851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u w:val="single"/>
          <w:lang w:eastAsia="nl-NL"/>
        </w:rPr>
        <w:t>Ved anvendelse til opløsning af kolesterolgald</w:t>
      </w:r>
      <w:r w:rsidRPr="009B3278">
        <w:rPr>
          <w:rFonts w:eastAsiaTheme="minorEastAsia"/>
          <w:sz w:val="24"/>
          <w:szCs w:val="24"/>
          <w:u w:val="single"/>
          <w:lang w:eastAsia="nl-NL"/>
        </w:rPr>
        <w:t xml:space="preserve">esten </w:t>
      </w:r>
      <w:r w:rsidRPr="009B3278">
        <w:rPr>
          <w:rFonts w:eastAsiaTheme="minorEastAsia"/>
          <w:sz w:val="24"/>
          <w:szCs w:val="24"/>
          <w:u w:val="single"/>
          <w:lang w:eastAsia="nl-NL"/>
        </w:rPr>
        <w:br/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>For at vurdere de terapeutiske fremskridt og påvise forkalkning af galdestenene rettidigt, afhængigt af stenstørrelse, skal gal</w:t>
      </w:r>
      <w:r>
        <w:rPr>
          <w:rFonts w:eastAsiaTheme="minorEastAsia"/>
          <w:color w:val="000000"/>
          <w:sz w:val="24"/>
          <w:szCs w:val="24"/>
          <w:lang w:eastAsia="zh-CN"/>
        </w:rPr>
        <w:t>d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eblæren visualiseres (oral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cholecystografi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) med </w:t>
      </w:r>
      <w:r>
        <w:rPr>
          <w:rFonts w:eastAsiaTheme="minorEastAsia"/>
          <w:color w:val="000000"/>
          <w:sz w:val="24"/>
          <w:szCs w:val="24"/>
          <w:lang w:eastAsia="zh-CN"/>
        </w:rPr>
        <w:t xml:space="preserve">oversigts- og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okklusions</w:t>
      </w:r>
      <w:r>
        <w:rPr>
          <w:rFonts w:eastAsiaTheme="minorEastAsia"/>
          <w:color w:val="000000"/>
          <w:sz w:val="24"/>
          <w:szCs w:val="24"/>
          <w:lang w:eastAsia="zh-CN"/>
        </w:rPr>
        <w:t>billeder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i stående og liggende stillinger (ultralydskontrol) 6-10 måneder efter behandlingens begyndelse.</w:t>
      </w:r>
    </w:p>
    <w:p w:rsidR="005435F7" w:rsidRPr="009B3278" w:rsidRDefault="005435F7" w:rsidP="005435F7">
      <w:pPr>
        <w:keepNext/>
        <w:ind w:left="851"/>
        <w:rPr>
          <w:rFonts w:eastAsiaTheme="minorEastAsia"/>
          <w:sz w:val="24"/>
          <w:szCs w:val="24"/>
          <w:u w:val="single"/>
          <w:lang w:eastAsia="nl-NL"/>
        </w:rPr>
      </w:pPr>
    </w:p>
    <w:p w:rsidR="005435F7" w:rsidRPr="009B3278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>Hvis galdeblæren ikke kan ses på røntgenbilleder eller i tilfælde af forkalkede gal</w:t>
      </w:r>
      <w:r>
        <w:rPr>
          <w:rFonts w:eastAsiaTheme="minorEastAsia"/>
          <w:color w:val="000000"/>
          <w:sz w:val="24"/>
          <w:szCs w:val="24"/>
          <w:lang w:eastAsia="zh-CN"/>
        </w:rPr>
        <w:t>d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esten, nedsat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kontraktilitet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</w:t>
      </w:r>
      <w:r>
        <w:rPr>
          <w:rFonts w:eastAsiaTheme="minorEastAsia"/>
          <w:color w:val="000000"/>
          <w:sz w:val="24"/>
          <w:szCs w:val="24"/>
          <w:lang w:eastAsia="zh-CN"/>
        </w:rPr>
        <w:t>af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galdeblæren eller hyppige episoder af </w:t>
      </w:r>
      <w:r>
        <w:rPr>
          <w:rFonts w:eastAsiaTheme="minorEastAsia"/>
          <w:color w:val="000000"/>
          <w:sz w:val="24"/>
          <w:szCs w:val="24"/>
          <w:lang w:eastAsia="zh-CN"/>
        </w:rPr>
        <w:t xml:space="preserve">biliær 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kolik, bør </w:t>
      </w:r>
      <w:proofErr w:type="spellStart"/>
      <w:r w:rsidR="00005149">
        <w:rPr>
          <w:rFonts w:eastAsiaTheme="minorEastAsia"/>
          <w:color w:val="000000"/>
          <w:sz w:val="24"/>
          <w:szCs w:val="24"/>
          <w:lang w:eastAsia="zh-CN"/>
        </w:rPr>
        <w:t>Urgaldex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ikke anvendes.</w:t>
      </w:r>
    </w:p>
    <w:p w:rsidR="005435F7" w:rsidRPr="009B3278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lastRenderedPageBreak/>
        <w:t> </w:t>
      </w:r>
    </w:p>
    <w:p w:rsidR="005435F7" w:rsidRPr="009B3278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Kvindelige patienter, der tager </w:t>
      </w:r>
      <w:proofErr w:type="spellStart"/>
      <w:r w:rsidR="00005149">
        <w:rPr>
          <w:rFonts w:eastAsiaTheme="minorEastAsia"/>
          <w:color w:val="000000"/>
          <w:sz w:val="24"/>
          <w:szCs w:val="24"/>
          <w:lang w:eastAsia="zh-CN"/>
        </w:rPr>
        <w:t>Urgaldex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til opløsning af gal</w:t>
      </w:r>
      <w:r>
        <w:rPr>
          <w:rFonts w:eastAsiaTheme="minorEastAsia"/>
          <w:color w:val="000000"/>
          <w:sz w:val="24"/>
          <w:szCs w:val="24"/>
          <w:lang w:eastAsia="zh-CN"/>
        </w:rPr>
        <w:t>d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esten, bør anvende en effektiv ikke-hormonel præventionsmetode, da hormonelle præventionsmidler kan øge biliær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lithiasis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(se pkt. 4.5 og 4.6).</w:t>
      </w:r>
    </w:p>
    <w:p w:rsidR="005435F7" w:rsidRPr="009B3278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> </w:t>
      </w:r>
    </w:p>
    <w:p w:rsidR="005435F7" w:rsidRPr="009B3278" w:rsidRDefault="005435F7" w:rsidP="005435F7">
      <w:pPr>
        <w:keepNext/>
        <w:ind w:left="851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u w:val="single"/>
          <w:lang w:eastAsia="zh-CN"/>
        </w:rPr>
        <w:t xml:space="preserve">Ved anvendelse til behandling af fremskreden </w:t>
      </w:r>
      <w:r w:rsidRPr="009B3278">
        <w:rPr>
          <w:rFonts w:eastAsiaTheme="minorEastAsia"/>
          <w:color w:val="000000"/>
          <w:sz w:val="24"/>
          <w:szCs w:val="24"/>
          <w:u w:val="single"/>
          <w:lang w:eastAsia="zh-CN"/>
        </w:rPr>
        <w:t xml:space="preserve">primær biliær </w:t>
      </w:r>
      <w:proofErr w:type="spellStart"/>
      <w:r w:rsidRPr="009B3278">
        <w:rPr>
          <w:rFonts w:eastAsiaTheme="minorEastAsia"/>
          <w:color w:val="000000"/>
          <w:sz w:val="24"/>
          <w:szCs w:val="24"/>
          <w:u w:val="single"/>
          <w:lang w:eastAsia="zh-CN"/>
        </w:rPr>
        <w:t>kolangitis</w:t>
      </w:r>
      <w:proofErr w:type="spellEnd"/>
    </w:p>
    <w:p w:rsidR="005435F7" w:rsidRPr="009B3278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proofErr w:type="spellStart"/>
      <w:r>
        <w:rPr>
          <w:rFonts w:eastAsiaTheme="minorEastAsia"/>
          <w:color w:val="000000"/>
          <w:sz w:val="24"/>
          <w:szCs w:val="24"/>
          <w:lang w:eastAsia="zh-CN"/>
        </w:rPr>
        <w:t>D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>ekompens</w:t>
      </w:r>
      <w:r>
        <w:rPr>
          <w:rFonts w:eastAsiaTheme="minorEastAsia"/>
          <w:color w:val="000000"/>
          <w:sz w:val="24"/>
          <w:szCs w:val="24"/>
          <w:lang w:eastAsia="zh-CN"/>
        </w:rPr>
        <w:t>ation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af levercirrose</w:t>
      </w:r>
      <w:r>
        <w:rPr>
          <w:rFonts w:eastAsiaTheme="minorEastAsia"/>
          <w:color w:val="000000"/>
          <w:sz w:val="24"/>
          <w:szCs w:val="24"/>
          <w:lang w:eastAsia="zh-CN"/>
        </w:rPr>
        <w:t xml:space="preserve"> er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blevet observeret i meget sjældne tilfælde, som </w:t>
      </w:r>
      <w:r>
        <w:rPr>
          <w:rFonts w:eastAsiaTheme="minorEastAsia"/>
          <w:color w:val="000000"/>
          <w:sz w:val="24"/>
          <w:szCs w:val="24"/>
          <w:lang w:eastAsia="zh-CN"/>
        </w:rPr>
        <w:t xml:space="preserve">var 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delvis </w:t>
      </w:r>
      <w:r>
        <w:rPr>
          <w:rFonts w:eastAsiaTheme="minorEastAsia"/>
          <w:color w:val="000000"/>
          <w:sz w:val="24"/>
          <w:szCs w:val="24"/>
          <w:lang w:eastAsia="zh-CN"/>
        </w:rPr>
        <w:t xml:space="preserve">reversibel, 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>efter behandlingen blev afbrudt.</w:t>
      </w:r>
    </w:p>
    <w:p w:rsidR="005435F7" w:rsidRPr="009B3278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> </w:t>
      </w:r>
    </w:p>
    <w:p w:rsidR="005435F7" w:rsidRPr="009B3278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I sjældne tilfælde kan de kliniske symptomer forværres hos patienter med PBC i begyndelsen af ​​behandlingen, f.eks. ved øget kløe. I dette tilfælde skal doseringen af </w:t>
      </w:r>
      <w:proofErr w:type="spellStart"/>
      <w:r w:rsidR="00005149">
        <w:rPr>
          <w:rFonts w:eastAsiaTheme="minorEastAsia"/>
          <w:color w:val="000000"/>
          <w:sz w:val="24"/>
          <w:szCs w:val="24"/>
          <w:lang w:eastAsia="zh-CN"/>
        </w:rPr>
        <w:t>Urgaldex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reduceres til en </w:t>
      </w:r>
      <w:proofErr w:type="spellStart"/>
      <w:r w:rsidR="00005149">
        <w:rPr>
          <w:rFonts w:eastAsiaTheme="minorEastAsia"/>
          <w:color w:val="000000"/>
          <w:sz w:val="24"/>
          <w:szCs w:val="24"/>
          <w:lang w:eastAsia="zh-CN"/>
        </w:rPr>
        <w:t>Urgaldex</w:t>
      </w:r>
      <w:proofErr w:type="spellEnd"/>
      <w:r>
        <w:rPr>
          <w:rFonts w:eastAsiaTheme="minorEastAsia"/>
          <w:color w:val="000000"/>
          <w:sz w:val="24"/>
          <w:szCs w:val="24"/>
          <w:lang w:eastAsia="zh-CN"/>
        </w:rPr>
        <w:t xml:space="preserve"> 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250 mg kapsel </w:t>
      </w:r>
      <w:r>
        <w:rPr>
          <w:rFonts w:eastAsiaTheme="minorEastAsia"/>
          <w:color w:val="000000"/>
          <w:sz w:val="24"/>
          <w:szCs w:val="24"/>
          <w:lang w:eastAsia="zh-CN"/>
        </w:rPr>
        <w:t>daglig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og derefter gradvist øges igen som beskrevet i pkt. 4.2.</w:t>
      </w:r>
    </w:p>
    <w:p w:rsidR="005435F7" w:rsidRPr="009B3278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> </w:t>
      </w:r>
    </w:p>
    <w:p w:rsidR="005435F7" w:rsidRPr="00C93FDD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Hvis der opstår diarré, skal dosis reduceres, og i tilfælde af vedvarende diarré </w:t>
      </w:r>
      <w:r>
        <w:rPr>
          <w:rFonts w:eastAsiaTheme="minorEastAsia"/>
          <w:color w:val="000000"/>
          <w:sz w:val="24"/>
          <w:szCs w:val="24"/>
          <w:lang w:eastAsia="zh-CN"/>
        </w:rPr>
        <w:t>skal behandlin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>gen afbrydes.</w:t>
      </w:r>
    </w:p>
    <w:p w:rsidR="005435F7" w:rsidRPr="00C84483" w:rsidRDefault="005435F7" w:rsidP="005435F7">
      <w:pPr>
        <w:tabs>
          <w:tab w:val="left" w:pos="851"/>
        </w:tabs>
        <w:ind w:left="851"/>
        <w:rPr>
          <w:sz w:val="24"/>
          <w:szCs w:val="24"/>
        </w:rPr>
      </w:pPr>
    </w:p>
    <w:p w:rsidR="005435F7" w:rsidRPr="00C84483" w:rsidRDefault="005435F7" w:rsidP="005435F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4.5</w:t>
      </w:r>
      <w:r w:rsidRPr="00C84483">
        <w:rPr>
          <w:b/>
          <w:sz w:val="24"/>
          <w:szCs w:val="24"/>
        </w:rPr>
        <w:tab/>
        <w:t>Interaktion med andre lægemidler og andre former for interaktion</w:t>
      </w:r>
    </w:p>
    <w:p w:rsidR="005435F7" w:rsidRDefault="00005149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proofErr w:type="spellStart"/>
      <w:r>
        <w:rPr>
          <w:rFonts w:eastAsiaTheme="minorEastAsia"/>
          <w:color w:val="000000"/>
          <w:sz w:val="24"/>
          <w:szCs w:val="24"/>
          <w:lang w:eastAsia="zh-CN"/>
        </w:rPr>
        <w:t>Urgaldex</w:t>
      </w:r>
      <w:proofErr w:type="spellEnd"/>
      <w:r w:rsidR="005435F7"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bør ikke indgives samtidigt med </w:t>
      </w:r>
      <w:proofErr w:type="spellStart"/>
      <w:r w:rsidR="005435F7" w:rsidRPr="009B3278">
        <w:rPr>
          <w:rFonts w:eastAsiaTheme="minorEastAsia"/>
          <w:color w:val="000000"/>
          <w:sz w:val="24"/>
          <w:szCs w:val="24"/>
          <w:lang w:eastAsia="zh-CN"/>
        </w:rPr>
        <w:t>kolestyramin</w:t>
      </w:r>
      <w:proofErr w:type="spellEnd"/>
      <w:r w:rsidR="005435F7" w:rsidRPr="009B3278">
        <w:rPr>
          <w:rFonts w:eastAsiaTheme="minorEastAsia"/>
          <w:color w:val="000000"/>
          <w:sz w:val="24"/>
          <w:szCs w:val="24"/>
          <w:lang w:eastAsia="zh-CN"/>
        </w:rPr>
        <w:t xml:space="preserve">, </w:t>
      </w:r>
      <w:proofErr w:type="spellStart"/>
      <w:r w:rsidR="005435F7" w:rsidRPr="009B3278">
        <w:rPr>
          <w:rFonts w:eastAsiaTheme="minorEastAsia"/>
          <w:color w:val="000000"/>
          <w:sz w:val="24"/>
          <w:szCs w:val="24"/>
          <w:lang w:eastAsia="zh-CN"/>
        </w:rPr>
        <w:t>colestipol</w:t>
      </w:r>
      <w:proofErr w:type="spellEnd"/>
      <w:r w:rsidR="005435F7"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eller </w:t>
      </w:r>
      <w:proofErr w:type="spellStart"/>
      <w:r w:rsidR="005435F7" w:rsidRPr="009B3278">
        <w:rPr>
          <w:rFonts w:eastAsiaTheme="minorEastAsia"/>
          <w:color w:val="000000"/>
          <w:sz w:val="24"/>
          <w:szCs w:val="24"/>
          <w:lang w:eastAsia="zh-CN"/>
        </w:rPr>
        <w:t>antacida</w:t>
      </w:r>
      <w:proofErr w:type="spellEnd"/>
      <w:r w:rsidR="005435F7"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indeholdende aluminiumhydroxid og/eller </w:t>
      </w:r>
      <w:proofErr w:type="spellStart"/>
      <w:r w:rsidR="005435F7" w:rsidRPr="009B3278">
        <w:rPr>
          <w:rFonts w:eastAsiaTheme="minorEastAsia"/>
          <w:color w:val="000000"/>
          <w:sz w:val="24"/>
          <w:szCs w:val="24"/>
          <w:lang w:eastAsia="zh-CN"/>
        </w:rPr>
        <w:t>smectit</w:t>
      </w:r>
      <w:proofErr w:type="spellEnd"/>
      <w:r w:rsidR="005435F7"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(aluminiumoxid), fordi disse præparater binder </w:t>
      </w:r>
      <w:proofErr w:type="spellStart"/>
      <w:r w:rsidR="005435F7" w:rsidRPr="009B3278">
        <w:rPr>
          <w:rFonts w:eastAsiaTheme="minorEastAsia"/>
          <w:color w:val="000000"/>
          <w:sz w:val="24"/>
          <w:szCs w:val="24"/>
          <w:lang w:eastAsia="zh-CN"/>
        </w:rPr>
        <w:t>ursodeoxycholsyre</w:t>
      </w:r>
      <w:proofErr w:type="spellEnd"/>
      <w:r w:rsidR="005435F7"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i tarmen og derved hæmmer dets absorption og virkning. Ved brug af et præparat, der indeholder et af disse aktive stoffer, skal de indtages mindst 2 timer før eller efter </w:t>
      </w:r>
      <w:proofErr w:type="spellStart"/>
      <w:r>
        <w:rPr>
          <w:rFonts w:eastAsiaTheme="minorEastAsia"/>
          <w:color w:val="000000"/>
          <w:sz w:val="24"/>
          <w:szCs w:val="24"/>
          <w:lang w:eastAsia="zh-CN"/>
        </w:rPr>
        <w:t>Urgaldex</w:t>
      </w:r>
      <w:proofErr w:type="spellEnd"/>
      <w:r w:rsidR="005435F7" w:rsidRPr="009B3278">
        <w:rPr>
          <w:rFonts w:eastAsiaTheme="minorEastAsia"/>
          <w:color w:val="000000"/>
          <w:sz w:val="24"/>
          <w:szCs w:val="24"/>
          <w:lang w:eastAsia="zh-CN"/>
        </w:rPr>
        <w:t>.</w:t>
      </w:r>
    </w:p>
    <w:p w:rsidR="005435F7" w:rsidRPr="009B3278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</w:p>
    <w:p w:rsidR="005435F7" w:rsidRDefault="00005149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proofErr w:type="spellStart"/>
      <w:r>
        <w:rPr>
          <w:rFonts w:eastAsiaTheme="minorEastAsia"/>
          <w:color w:val="000000"/>
          <w:sz w:val="24"/>
          <w:szCs w:val="24"/>
          <w:lang w:eastAsia="zh-CN"/>
        </w:rPr>
        <w:t>Urgaldex</w:t>
      </w:r>
      <w:proofErr w:type="spellEnd"/>
      <w:r w:rsidR="005435F7"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kan påvirke absorptionen af ​​</w:t>
      </w:r>
      <w:proofErr w:type="spellStart"/>
      <w:r w:rsidR="005435F7" w:rsidRPr="009B3278">
        <w:rPr>
          <w:rFonts w:eastAsiaTheme="minorEastAsia"/>
          <w:color w:val="000000"/>
          <w:sz w:val="24"/>
          <w:szCs w:val="24"/>
          <w:lang w:eastAsia="zh-CN"/>
        </w:rPr>
        <w:t>cyclosporin</w:t>
      </w:r>
      <w:proofErr w:type="spellEnd"/>
      <w:r w:rsidR="005435F7"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fra tarmene. Hos patienter, der modtager </w:t>
      </w:r>
      <w:proofErr w:type="spellStart"/>
      <w:r w:rsidR="005435F7" w:rsidRPr="009B3278">
        <w:rPr>
          <w:rFonts w:eastAsiaTheme="minorEastAsia"/>
          <w:color w:val="000000"/>
          <w:sz w:val="24"/>
          <w:szCs w:val="24"/>
          <w:lang w:eastAsia="zh-CN"/>
        </w:rPr>
        <w:t>cyclosporinbehandling</w:t>
      </w:r>
      <w:proofErr w:type="spellEnd"/>
      <w:r w:rsidR="005435F7" w:rsidRPr="009B3278">
        <w:rPr>
          <w:rFonts w:eastAsiaTheme="minorEastAsia"/>
          <w:color w:val="000000"/>
          <w:sz w:val="24"/>
          <w:szCs w:val="24"/>
          <w:lang w:eastAsia="zh-CN"/>
        </w:rPr>
        <w:t xml:space="preserve">, bør blodkoncentrationerne af dette stof derfor kontrolleres af lægen, og doseringen af </w:t>
      </w:r>
      <w:proofErr w:type="spellStart"/>
      <w:r w:rsidR="005435F7" w:rsidRPr="009B3278">
        <w:rPr>
          <w:rFonts w:eastAsiaTheme="minorEastAsia"/>
          <w:color w:val="000000"/>
          <w:sz w:val="24"/>
          <w:szCs w:val="24"/>
          <w:lang w:eastAsia="zh-CN"/>
        </w:rPr>
        <w:t>cyclosporin</w:t>
      </w:r>
      <w:proofErr w:type="spellEnd"/>
      <w:r w:rsidR="005435F7"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justeres om nødvendigt.</w:t>
      </w:r>
    </w:p>
    <w:p w:rsidR="005435F7" w:rsidRPr="009B3278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</w:p>
    <w:p w:rsidR="005435F7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I isolerede tilfælde kan </w:t>
      </w:r>
      <w:proofErr w:type="spellStart"/>
      <w:r w:rsidR="00005149">
        <w:rPr>
          <w:rFonts w:eastAsiaTheme="minorEastAsia"/>
          <w:color w:val="000000"/>
          <w:sz w:val="24"/>
          <w:szCs w:val="24"/>
          <w:lang w:eastAsia="zh-CN"/>
        </w:rPr>
        <w:t>Urgaldex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reducere a</w:t>
      </w:r>
      <w:r>
        <w:rPr>
          <w:rFonts w:eastAsiaTheme="minorEastAsia"/>
          <w:color w:val="000000"/>
          <w:sz w:val="24"/>
          <w:szCs w:val="24"/>
          <w:lang w:eastAsia="zh-CN"/>
        </w:rPr>
        <w:t>bsorptionen af ​​</w:t>
      </w:r>
      <w:proofErr w:type="spellStart"/>
      <w:r>
        <w:rPr>
          <w:rFonts w:eastAsiaTheme="minorEastAsia"/>
          <w:color w:val="000000"/>
          <w:sz w:val="24"/>
          <w:szCs w:val="24"/>
          <w:lang w:eastAsia="zh-CN"/>
        </w:rPr>
        <w:t>ciprofloxacin</w:t>
      </w:r>
      <w:proofErr w:type="spellEnd"/>
      <w:r>
        <w:rPr>
          <w:rFonts w:eastAsiaTheme="minorEastAsia"/>
          <w:color w:val="000000"/>
          <w:sz w:val="24"/>
          <w:szCs w:val="24"/>
          <w:lang w:eastAsia="zh-CN"/>
        </w:rPr>
        <w:t>.</w:t>
      </w:r>
    </w:p>
    <w:p w:rsidR="005435F7" w:rsidRPr="009B3278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</w:p>
    <w:p w:rsidR="005435F7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Et klinisk studie </w:t>
      </w:r>
      <w:r>
        <w:rPr>
          <w:rFonts w:eastAsiaTheme="minorEastAsia"/>
          <w:color w:val="000000"/>
          <w:sz w:val="24"/>
          <w:szCs w:val="24"/>
          <w:lang w:eastAsia="zh-CN"/>
        </w:rPr>
        <w:t>med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raske frivillige viste at brug af UDCA (500 mg/dag) og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rosuvastatin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(20 mg/dag) sammen, resulterede i lidt </w:t>
      </w:r>
      <w:r>
        <w:rPr>
          <w:rFonts w:eastAsiaTheme="minorEastAsia"/>
          <w:color w:val="000000"/>
          <w:sz w:val="24"/>
          <w:szCs w:val="24"/>
          <w:lang w:eastAsia="zh-CN"/>
        </w:rPr>
        <w:t>øgede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plasmakoncentrationer af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rosuvastatin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>. Den kliniske relevans af denne interaktion</w:t>
      </w:r>
      <w:r>
        <w:rPr>
          <w:rFonts w:eastAsiaTheme="minorEastAsia"/>
          <w:color w:val="000000"/>
          <w:sz w:val="24"/>
          <w:szCs w:val="24"/>
          <w:lang w:eastAsia="zh-CN"/>
        </w:rPr>
        <w:t>, også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med hensyn til andre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statiner</w:t>
      </w:r>
      <w:proofErr w:type="spellEnd"/>
      <w:r>
        <w:rPr>
          <w:rFonts w:eastAsiaTheme="minorEastAsia"/>
          <w:color w:val="000000"/>
          <w:sz w:val="24"/>
          <w:szCs w:val="24"/>
          <w:lang w:eastAsia="zh-CN"/>
        </w:rPr>
        <w:t>,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er ukendt.</w:t>
      </w:r>
    </w:p>
    <w:p w:rsidR="005435F7" w:rsidRPr="009B3278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</w:p>
    <w:p w:rsidR="005435F7" w:rsidRPr="009B3278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Ursodeoxycholsyre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har vist sig at reducere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plasmakopkoncentrationerne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(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C</w:t>
      </w:r>
      <w:r w:rsidRPr="009B3278">
        <w:rPr>
          <w:rFonts w:eastAsiaTheme="minorEastAsia"/>
          <w:color w:val="000000"/>
          <w:sz w:val="24"/>
          <w:szCs w:val="24"/>
          <w:vertAlign w:val="subscript"/>
          <w:lang w:eastAsia="zh-CN"/>
        </w:rPr>
        <w:t>max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) og arealet under kurven (AUC) for calciumantagonisten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nitrendipin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hos raske frivillige. Det anbefales</w:t>
      </w:r>
      <w:r>
        <w:rPr>
          <w:rFonts w:eastAsiaTheme="minorEastAsia"/>
          <w:color w:val="000000"/>
          <w:sz w:val="24"/>
          <w:szCs w:val="24"/>
          <w:lang w:eastAsia="zh-CN"/>
        </w:rPr>
        <w:t xml:space="preserve"> nøje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at overvåge resultatet ved anvendelse af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nitrendipin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og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ursodeoxycholsyre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på samme tid. En stigning i doseringen af ​​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nitrendipin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kan være nødvendig. En interaktion med en reduktion af den terapeutiske virkning af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dapson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blev også rapporteret.</w:t>
      </w:r>
    </w:p>
    <w:p w:rsidR="005435F7" w:rsidRPr="009B3278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> </w:t>
      </w:r>
    </w:p>
    <w:p w:rsidR="005435F7" w:rsidRPr="009B3278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>Disse observationer, sa</w:t>
      </w:r>
      <w:r>
        <w:rPr>
          <w:rFonts w:eastAsiaTheme="minorEastAsia"/>
          <w:color w:val="000000"/>
          <w:sz w:val="24"/>
          <w:szCs w:val="24"/>
          <w:lang w:eastAsia="zh-CN"/>
        </w:rPr>
        <w:t xml:space="preserve">mmen med </w:t>
      </w:r>
      <w:r w:rsidRPr="00E15D94">
        <w:rPr>
          <w:rFonts w:eastAsiaTheme="minorEastAsia"/>
          <w:i/>
          <w:color w:val="000000"/>
          <w:sz w:val="24"/>
          <w:szCs w:val="24"/>
          <w:lang w:eastAsia="zh-CN"/>
        </w:rPr>
        <w:t>in</w:t>
      </w:r>
      <w:r>
        <w:rPr>
          <w:rFonts w:eastAsiaTheme="minorEastAsia"/>
          <w:i/>
          <w:color w:val="000000"/>
          <w:sz w:val="24"/>
          <w:szCs w:val="24"/>
          <w:lang w:eastAsia="zh-CN"/>
        </w:rPr>
        <w:t xml:space="preserve"> </w:t>
      </w:r>
      <w:proofErr w:type="spellStart"/>
      <w:r w:rsidRPr="00E15D94">
        <w:rPr>
          <w:rFonts w:eastAsiaTheme="minorEastAsia"/>
          <w:i/>
          <w:color w:val="000000"/>
          <w:sz w:val="24"/>
          <w:szCs w:val="24"/>
          <w:lang w:eastAsia="zh-CN"/>
        </w:rPr>
        <w:t>vitro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>-fund</w:t>
      </w:r>
      <w:r>
        <w:rPr>
          <w:rFonts w:eastAsiaTheme="minorEastAsia"/>
          <w:color w:val="000000"/>
          <w:sz w:val="24"/>
          <w:szCs w:val="24"/>
          <w:lang w:eastAsia="zh-CN"/>
        </w:rPr>
        <w:t>,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kunne indikere, at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ursodeoxycholsyre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</w:t>
      </w:r>
      <w:r>
        <w:rPr>
          <w:rFonts w:eastAsiaTheme="minorEastAsia"/>
          <w:color w:val="000000"/>
          <w:sz w:val="24"/>
          <w:szCs w:val="24"/>
          <w:lang w:eastAsia="zh-CN"/>
        </w:rPr>
        <w:t>potentielt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inducere</w:t>
      </w:r>
      <w:r>
        <w:rPr>
          <w:rFonts w:eastAsiaTheme="minorEastAsia"/>
          <w:color w:val="000000"/>
          <w:sz w:val="24"/>
          <w:szCs w:val="24"/>
          <w:lang w:eastAsia="zh-CN"/>
        </w:rPr>
        <w:t>r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cytokrom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P450 3A enzymer. Induktion er imidlertid ikke blevet observeret i et veldesignet interaktionsstudie med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budesonid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, hvilket er et kendt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cytokrom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P450 3A-substrat.</w:t>
      </w:r>
    </w:p>
    <w:p w:rsidR="005435F7" w:rsidRPr="009B3278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> </w:t>
      </w:r>
    </w:p>
    <w:p w:rsidR="005435F7" w:rsidRPr="0064000E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Østrogene hormoner og kolesterolsænkende midler, såsom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clofibrat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>, øg</w:t>
      </w:r>
      <w:r>
        <w:rPr>
          <w:rFonts w:eastAsiaTheme="minorEastAsia"/>
          <w:color w:val="000000"/>
          <w:sz w:val="24"/>
          <w:szCs w:val="24"/>
          <w:lang w:eastAsia="zh-CN"/>
        </w:rPr>
        <w:t xml:space="preserve">er </w:t>
      </w:r>
      <w:proofErr w:type="spellStart"/>
      <w:r>
        <w:rPr>
          <w:rFonts w:eastAsiaTheme="minorEastAsia"/>
          <w:color w:val="000000"/>
          <w:sz w:val="24"/>
          <w:szCs w:val="24"/>
          <w:lang w:eastAsia="zh-CN"/>
        </w:rPr>
        <w:t>hepatisk</w:t>
      </w:r>
      <w:proofErr w:type="spellEnd"/>
      <w:r>
        <w:rPr>
          <w:rFonts w:eastAsiaTheme="minorEastAsia"/>
          <w:color w:val="000000"/>
          <w:sz w:val="24"/>
          <w:szCs w:val="24"/>
          <w:lang w:eastAsia="zh-CN"/>
        </w:rPr>
        <w:t xml:space="preserve"> kolesterolsekretion og kan derfor øge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galde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lit</w:t>
      </w:r>
      <w:r>
        <w:rPr>
          <w:rFonts w:eastAsiaTheme="minorEastAsia"/>
          <w:color w:val="000000"/>
          <w:sz w:val="24"/>
          <w:szCs w:val="24"/>
          <w:lang w:eastAsia="zh-CN"/>
        </w:rPr>
        <w:t>h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>iasis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, hvilket </w:t>
      </w:r>
      <w:r>
        <w:rPr>
          <w:rFonts w:eastAsiaTheme="minorEastAsia"/>
          <w:color w:val="000000"/>
          <w:sz w:val="24"/>
          <w:szCs w:val="24"/>
          <w:lang w:eastAsia="zh-CN"/>
        </w:rPr>
        <w:t xml:space="preserve">giver den modsatte virkning af </w:t>
      </w:r>
      <w:proofErr w:type="spellStart"/>
      <w:r>
        <w:rPr>
          <w:rFonts w:eastAsiaTheme="minorEastAsia"/>
          <w:color w:val="000000"/>
          <w:sz w:val="24"/>
          <w:szCs w:val="24"/>
          <w:lang w:eastAsia="zh-CN"/>
        </w:rPr>
        <w:t>ursodeoxycholsyre</w:t>
      </w:r>
      <w:proofErr w:type="spellEnd"/>
      <w:r>
        <w:rPr>
          <w:rFonts w:eastAsiaTheme="minorEastAsia"/>
          <w:color w:val="000000"/>
          <w:sz w:val="24"/>
          <w:szCs w:val="24"/>
          <w:lang w:eastAsia="zh-CN"/>
        </w:rPr>
        <w:t>, som anvendes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til opløsning af gal</w:t>
      </w:r>
      <w:r>
        <w:rPr>
          <w:rFonts w:eastAsiaTheme="minorEastAsia"/>
          <w:color w:val="000000"/>
          <w:sz w:val="24"/>
          <w:szCs w:val="24"/>
          <w:lang w:eastAsia="zh-CN"/>
        </w:rPr>
        <w:t>d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>esten.</w:t>
      </w:r>
    </w:p>
    <w:p w:rsidR="005435F7" w:rsidRPr="00C84483" w:rsidRDefault="005435F7" w:rsidP="005435F7">
      <w:pPr>
        <w:tabs>
          <w:tab w:val="left" w:pos="851"/>
        </w:tabs>
        <w:ind w:left="851"/>
        <w:rPr>
          <w:sz w:val="24"/>
          <w:szCs w:val="24"/>
        </w:rPr>
      </w:pPr>
    </w:p>
    <w:p w:rsidR="005435F7" w:rsidRPr="00C84483" w:rsidRDefault="005435F7" w:rsidP="005435F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4.6</w:t>
      </w:r>
      <w:r w:rsidRPr="00C84483">
        <w:rPr>
          <w:b/>
          <w:sz w:val="24"/>
          <w:szCs w:val="24"/>
        </w:rPr>
        <w:tab/>
        <w:t>Graviditet og amning</w:t>
      </w:r>
    </w:p>
    <w:p w:rsidR="005435F7" w:rsidRDefault="005435F7" w:rsidP="005435F7">
      <w:pPr>
        <w:keepNext/>
        <w:ind w:left="851"/>
        <w:rPr>
          <w:rFonts w:eastAsiaTheme="minorEastAsia"/>
          <w:color w:val="000000"/>
          <w:sz w:val="24"/>
          <w:szCs w:val="24"/>
          <w:u w:val="single"/>
          <w:lang w:eastAsia="zh-CN"/>
        </w:rPr>
      </w:pPr>
    </w:p>
    <w:p w:rsidR="005435F7" w:rsidRPr="004F48E4" w:rsidRDefault="005435F7" w:rsidP="005435F7">
      <w:pPr>
        <w:keepNext/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4F48E4">
        <w:rPr>
          <w:rFonts w:eastAsiaTheme="minorEastAsia"/>
          <w:color w:val="000000"/>
          <w:sz w:val="24"/>
          <w:szCs w:val="24"/>
          <w:u w:val="single"/>
          <w:lang w:eastAsia="zh-CN"/>
        </w:rPr>
        <w:t>Graviditet</w:t>
      </w:r>
    </w:p>
    <w:p w:rsidR="005435F7" w:rsidRPr="004F48E4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Der er ingen eller meget få oplysninger om brugen af ​​UDCA hos gravide kvinder. Undersøgelser hos dyr har vist reproduktionstoksicitet i den tidlige drægtighedsperiode (se pkt. 5.3). </w:t>
      </w:r>
      <w:proofErr w:type="spellStart"/>
      <w:r w:rsidR="00005149">
        <w:rPr>
          <w:rFonts w:eastAsiaTheme="minorEastAsia"/>
          <w:color w:val="000000"/>
          <w:sz w:val="24"/>
          <w:szCs w:val="24"/>
          <w:lang w:eastAsia="zh-CN"/>
        </w:rPr>
        <w:t>Urgaldex</w:t>
      </w:r>
      <w:proofErr w:type="spellEnd"/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 må ikke anvendes under graviditet, medmindre det er klart nødvendigt.</w:t>
      </w:r>
    </w:p>
    <w:p w:rsidR="005435F7" w:rsidRPr="004F48E4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4F48E4">
        <w:rPr>
          <w:rFonts w:eastAsiaTheme="minorEastAsia"/>
          <w:color w:val="000000"/>
          <w:sz w:val="24"/>
          <w:szCs w:val="24"/>
          <w:lang w:eastAsia="zh-CN"/>
        </w:rPr>
        <w:t> </w:t>
      </w:r>
    </w:p>
    <w:p w:rsidR="005435F7" w:rsidRPr="004F48E4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4F48E4">
        <w:rPr>
          <w:rFonts w:eastAsiaTheme="minorEastAsia"/>
          <w:color w:val="000000"/>
          <w:sz w:val="24"/>
          <w:szCs w:val="24"/>
          <w:lang w:eastAsia="zh-CN"/>
        </w:rPr>
        <w:t>Kvinder i den fødedygtig</w:t>
      </w:r>
      <w:r>
        <w:rPr>
          <w:rFonts w:eastAsiaTheme="minorEastAsia"/>
          <w:color w:val="000000"/>
          <w:sz w:val="24"/>
          <w:szCs w:val="24"/>
          <w:lang w:eastAsia="zh-CN"/>
        </w:rPr>
        <w:t>e</w:t>
      </w:r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 alder bør kun behandles, hvis de bruger pålidelig prævention: Præventionsmidler som ikke er hormonelle og med lav østrogen</w:t>
      </w:r>
      <w:r>
        <w:rPr>
          <w:rFonts w:eastAsiaTheme="minorEastAsia"/>
          <w:color w:val="000000"/>
          <w:sz w:val="24"/>
          <w:szCs w:val="24"/>
          <w:lang w:eastAsia="zh-CN"/>
        </w:rPr>
        <w:t>dosis</w:t>
      </w:r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 anbefales. Hos patienter, der tager </w:t>
      </w:r>
      <w:proofErr w:type="spellStart"/>
      <w:r w:rsidR="00005149">
        <w:rPr>
          <w:rFonts w:eastAsiaTheme="minorEastAsia"/>
          <w:color w:val="000000"/>
          <w:sz w:val="24"/>
          <w:szCs w:val="24"/>
          <w:lang w:eastAsia="zh-CN"/>
        </w:rPr>
        <w:t>Urgaldex</w:t>
      </w:r>
      <w:proofErr w:type="spellEnd"/>
      <w:r>
        <w:rPr>
          <w:rFonts w:eastAsiaTheme="minorEastAsia"/>
          <w:color w:val="000000"/>
          <w:sz w:val="24"/>
          <w:szCs w:val="24"/>
          <w:lang w:eastAsia="zh-CN"/>
        </w:rPr>
        <w:t xml:space="preserve"> til opløsning af gald</w:t>
      </w:r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esten, bør der imidlertid anvendes en effektiv ikke-hormonal prævention, da hormonale orale præventionsmidler kan øge biliær </w:t>
      </w:r>
      <w:proofErr w:type="spellStart"/>
      <w:r w:rsidRPr="004F48E4">
        <w:rPr>
          <w:rFonts w:eastAsiaTheme="minorEastAsia"/>
          <w:color w:val="000000"/>
          <w:sz w:val="24"/>
          <w:szCs w:val="24"/>
          <w:lang w:eastAsia="zh-CN"/>
        </w:rPr>
        <w:t>lithiasis</w:t>
      </w:r>
      <w:proofErr w:type="spellEnd"/>
      <w:r w:rsidRPr="004F48E4">
        <w:rPr>
          <w:rFonts w:eastAsiaTheme="minorEastAsia"/>
          <w:color w:val="000000"/>
          <w:sz w:val="24"/>
          <w:szCs w:val="24"/>
          <w:lang w:eastAsia="zh-CN"/>
        </w:rPr>
        <w:t>.</w:t>
      </w:r>
    </w:p>
    <w:p w:rsidR="005435F7" w:rsidRPr="004F48E4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4F48E4">
        <w:rPr>
          <w:rFonts w:eastAsiaTheme="minorEastAsia"/>
          <w:color w:val="000000"/>
          <w:sz w:val="24"/>
          <w:szCs w:val="24"/>
          <w:lang w:eastAsia="zh-CN"/>
        </w:rPr>
        <w:t>Muligheden for graviditet skal udelukkes, før behandlingen påbegyndes.</w:t>
      </w:r>
    </w:p>
    <w:p w:rsidR="005435F7" w:rsidRPr="004F48E4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4F48E4">
        <w:rPr>
          <w:rFonts w:eastAsiaTheme="minorEastAsia"/>
          <w:color w:val="000000"/>
          <w:sz w:val="24"/>
          <w:szCs w:val="24"/>
          <w:lang w:eastAsia="zh-CN"/>
        </w:rPr>
        <w:t> </w:t>
      </w:r>
    </w:p>
    <w:p w:rsidR="005435F7" w:rsidRPr="004F48E4" w:rsidRDefault="005435F7" w:rsidP="005435F7">
      <w:pPr>
        <w:keepNext/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4F48E4">
        <w:rPr>
          <w:rFonts w:eastAsiaTheme="minorEastAsia"/>
          <w:color w:val="000000"/>
          <w:sz w:val="24"/>
          <w:szCs w:val="24"/>
          <w:u w:val="single"/>
          <w:lang w:eastAsia="zh-CN"/>
        </w:rPr>
        <w:t>Amning</w:t>
      </w:r>
    </w:p>
    <w:p w:rsidR="005435F7" w:rsidRPr="004F48E4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Ifølge få dokumenterede tilfælde </w:t>
      </w:r>
      <w:r>
        <w:rPr>
          <w:rFonts w:eastAsiaTheme="minorEastAsia"/>
          <w:color w:val="000000"/>
          <w:sz w:val="24"/>
          <w:szCs w:val="24"/>
          <w:lang w:eastAsia="zh-CN"/>
        </w:rPr>
        <w:t>hos</w:t>
      </w:r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 ammende kvinder er mælkeniveauerne af </w:t>
      </w:r>
      <w:proofErr w:type="spellStart"/>
      <w:r w:rsidRPr="004F48E4">
        <w:rPr>
          <w:rFonts w:eastAsiaTheme="minorEastAsia"/>
          <w:color w:val="000000"/>
          <w:sz w:val="24"/>
          <w:szCs w:val="24"/>
          <w:lang w:eastAsia="zh-CN"/>
        </w:rPr>
        <w:t>ursodeoxycholsyre</w:t>
      </w:r>
      <w:proofErr w:type="spellEnd"/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 meget lave, og sandsynligvis er der ingen negative reaktioner hos </w:t>
      </w:r>
      <w:r>
        <w:rPr>
          <w:rFonts w:eastAsiaTheme="minorEastAsia"/>
          <w:color w:val="000000"/>
          <w:sz w:val="24"/>
          <w:szCs w:val="24"/>
          <w:lang w:eastAsia="zh-CN"/>
        </w:rPr>
        <w:t>diende</w:t>
      </w:r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 spædbørn.</w:t>
      </w:r>
    </w:p>
    <w:p w:rsidR="005435F7" w:rsidRPr="004F48E4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4F48E4">
        <w:rPr>
          <w:rFonts w:eastAsiaTheme="minorEastAsia"/>
          <w:color w:val="000000"/>
          <w:sz w:val="24"/>
          <w:szCs w:val="24"/>
          <w:lang w:eastAsia="zh-CN"/>
        </w:rPr>
        <w:t> </w:t>
      </w:r>
    </w:p>
    <w:p w:rsidR="005435F7" w:rsidRPr="004F48E4" w:rsidRDefault="005435F7" w:rsidP="005435F7">
      <w:pPr>
        <w:keepNext/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4F48E4">
        <w:rPr>
          <w:rFonts w:eastAsiaTheme="minorEastAsia"/>
          <w:color w:val="000000"/>
          <w:sz w:val="24"/>
          <w:szCs w:val="24"/>
          <w:u w:val="single"/>
          <w:lang w:eastAsia="zh-CN"/>
        </w:rPr>
        <w:t>Fertilitet</w:t>
      </w:r>
    </w:p>
    <w:p w:rsidR="005435F7" w:rsidRPr="00104616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Dyreforsøg viste ikke, at UDCA påvirker fertiliteten (se pkt. 5.3). Der er ingen </w:t>
      </w:r>
      <w:r>
        <w:rPr>
          <w:rFonts w:eastAsiaTheme="minorEastAsia"/>
          <w:color w:val="000000"/>
          <w:sz w:val="24"/>
          <w:szCs w:val="24"/>
          <w:lang w:eastAsia="zh-CN"/>
        </w:rPr>
        <w:t>humane</w:t>
      </w:r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 data tilgængelige om fertilitetseffekter efter behandling med UDCA.</w:t>
      </w:r>
    </w:p>
    <w:p w:rsidR="005435F7" w:rsidRPr="00C84483" w:rsidRDefault="005435F7" w:rsidP="005435F7">
      <w:pPr>
        <w:tabs>
          <w:tab w:val="left" w:pos="851"/>
        </w:tabs>
        <w:ind w:left="851"/>
        <w:rPr>
          <w:sz w:val="24"/>
          <w:szCs w:val="24"/>
        </w:rPr>
      </w:pPr>
    </w:p>
    <w:p w:rsidR="005435F7" w:rsidRPr="00C84483" w:rsidRDefault="005435F7" w:rsidP="005435F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4.7</w:t>
      </w:r>
      <w:r w:rsidRPr="00C84483">
        <w:rPr>
          <w:b/>
          <w:sz w:val="24"/>
          <w:szCs w:val="24"/>
        </w:rPr>
        <w:tab/>
        <w:t>Virkninger på evnen til at føre motorkøretøj eller betjene maskiner</w:t>
      </w:r>
    </w:p>
    <w:p w:rsidR="005435F7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Ikke mærkning.</w:t>
      </w:r>
    </w:p>
    <w:p w:rsidR="005435F7" w:rsidRPr="00104616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Ursodeoxycholsyre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</w:t>
      </w:r>
      <w:r>
        <w:rPr>
          <w:rFonts w:eastAsiaTheme="minorEastAsia"/>
          <w:color w:val="000000"/>
          <w:sz w:val="24"/>
          <w:szCs w:val="24"/>
          <w:lang w:eastAsia="zh-CN"/>
        </w:rPr>
        <w:t xml:space="preserve">påvirker ikke eller kun i 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ubetydelig </w:t>
      </w:r>
      <w:r>
        <w:rPr>
          <w:rFonts w:eastAsiaTheme="minorEastAsia"/>
          <w:color w:val="000000"/>
          <w:sz w:val="24"/>
          <w:szCs w:val="24"/>
          <w:lang w:eastAsia="zh-CN"/>
        </w:rPr>
        <w:t>grad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evnen til at føre motorkøretøj eller betjene maskiner.</w:t>
      </w:r>
    </w:p>
    <w:p w:rsidR="005435F7" w:rsidRPr="00C84483" w:rsidRDefault="005435F7" w:rsidP="005435F7">
      <w:pPr>
        <w:tabs>
          <w:tab w:val="left" w:pos="851"/>
        </w:tabs>
        <w:ind w:left="851"/>
        <w:rPr>
          <w:sz w:val="24"/>
          <w:szCs w:val="24"/>
        </w:rPr>
      </w:pPr>
    </w:p>
    <w:p w:rsidR="005435F7" w:rsidRPr="00C84483" w:rsidRDefault="005435F7" w:rsidP="005435F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4.8</w:t>
      </w:r>
      <w:r w:rsidRPr="00C84483">
        <w:rPr>
          <w:b/>
          <w:sz w:val="24"/>
          <w:szCs w:val="24"/>
        </w:rPr>
        <w:tab/>
        <w:t>Bivirkninger</w:t>
      </w:r>
    </w:p>
    <w:p w:rsidR="005435F7" w:rsidRPr="009B3278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>Evalueringen af ​​bivirkninger er baseret på følgende frekvens</w:t>
      </w:r>
      <w:r>
        <w:rPr>
          <w:rFonts w:eastAsiaTheme="minorEastAsia"/>
          <w:color w:val="000000"/>
          <w:sz w:val="24"/>
          <w:szCs w:val="24"/>
          <w:lang w:eastAsia="zh-CN"/>
        </w:rPr>
        <w:t>er:</w:t>
      </w:r>
    </w:p>
    <w:p w:rsidR="005435F7" w:rsidRPr="009B3278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>Meget almindelig (≥ 1/10)</w:t>
      </w:r>
    </w:p>
    <w:p w:rsidR="005435F7" w:rsidRPr="009B3278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>Almindelig (≥ 1/100 til &lt;1/10)</w:t>
      </w:r>
    </w:p>
    <w:p w:rsidR="005435F7" w:rsidRPr="009B3278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>Ikke almindelig (≥ 1/1000 til &lt;1/100)</w:t>
      </w:r>
    </w:p>
    <w:p w:rsidR="005435F7" w:rsidRPr="009B3278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>Sjælden (≥ 1</w:t>
      </w:r>
      <w:r>
        <w:rPr>
          <w:rFonts w:eastAsiaTheme="minorEastAsia"/>
          <w:color w:val="000000"/>
          <w:sz w:val="24"/>
          <w:szCs w:val="24"/>
          <w:lang w:eastAsia="zh-CN"/>
        </w:rPr>
        <w:t>/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>10.000 til &lt;1</w:t>
      </w:r>
      <w:r>
        <w:rPr>
          <w:rFonts w:eastAsiaTheme="minorEastAsia"/>
          <w:color w:val="000000"/>
          <w:sz w:val="24"/>
          <w:szCs w:val="24"/>
          <w:lang w:eastAsia="zh-CN"/>
        </w:rPr>
        <w:t>/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>1.000)</w:t>
      </w:r>
    </w:p>
    <w:p w:rsidR="005435F7" w:rsidRPr="009B3278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>Meget sjælden (&lt;1</w:t>
      </w:r>
      <w:r>
        <w:rPr>
          <w:rFonts w:eastAsiaTheme="minorEastAsia"/>
          <w:color w:val="000000"/>
          <w:sz w:val="24"/>
          <w:szCs w:val="24"/>
          <w:lang w:eastAsia="zh-CN"/>
        </w:rPr>
        <w:t>/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>10.000)</w:t>
      </w:r>
    </w:p>
    <w:p w:rsidR="005435F7" w:rsidRPr="009B3278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Ikke kendt (kan ikke estimeres ud fra </w:t>
      </w:r>
      <w:r>
        <w:rPr>
          <w:rFonts w:eastAsiaTheme="minorEastAsia"/>
          <w:color w:val="000000"/>
          <w:sz w:val="24"/>
          <w:szCs w:val="24"/>
          <w:lang w:eastAsia="zh-CN"/>
        </w:rPr>
        <w:t>forhåndenværende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data)</w:t>
      </w:r>
    </w:p>
    <w:p w:rsidR="005435F7" w:rsidRPr="009B3278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> </w:t>
      </w:r>
    </w:p>
    <w:p w:rsidR="005435F7" w:rsidRPr="009B3278" w:rsidRDefault="005435F7" w:rsidP="005435F7">
      <w:pPr>
        <w:keepNext/>
        <w:ind w:left="851"/>
        <w:rPr>
          <w:rFonts w:eastAsiaTheme="minorEastAsia"/>
          <w:color w:val="000000"/>
          <w:sz w:val="24"/>
          <w:szCs w:val="24"/>
          <w:lang w:eastAsia="zh-CN"/>
        </w:rPr>
      </w:pPr>
      <w:proofErr w:type="spellStart"/>
      <w:r w:rsidRPr="009B3278">
        <w:rPr>
          <w:rFonts w:eastAsiaTheme="minorEastAsia"/>
          <w:color w:val="000000"/>
          <w:sz w:val="24"/>
          <w:szCs w:val="24"/>
          <w:u w:val="single"/>
          <w:lang w:eastAsia="zh-CN"/>
        </w:rPr>
        <w:t>Gastrointestinale</w:t>
      </w:r>
      <w:proofErr w:type="spellEnd"/>
      <w:r w:rsidRPr="009B3278">
        <w:rPr>
          <w:rFonts w:eastAsiaTheme="minorEastAsia"/>
          <w:color w:val="000000"/>
          <w:sz w:val="24"/>
          <w:szCs w:val="24"/>
          <w:u w:val="single"/>
          <w:lang w:eastAsia="zh-CN"/>
        </w:rPr>
        <w:t xml:space="preserve"> sygdomme</w:t>
      </w:r>
    </w:p>
    <w:p w:rsidR="005435F7" w:rsidRPr="009B3278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I kliniske forsøg var rapporter om </w:t>
      </w:r>
      <w:r>
        <w:rPr>
          <w:rFonts w:eastAsiaTheme="minorEastAsia"/>
          <w:color w:val="000000"/>
          <w:sz w:val="24"/>
          <w:szCs w:val="24"/>
          <w:lang w:eastAsia="zh-CN"/>
        </w:rPr>
        <w:t>bleg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afføring eller diarré under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ursodeoxycholsyre</w:t>
      </w:r>
      <w:r>
        <w:rPr>
          <w:rFonts w:eastAsiaTheme="minorEastAsia"/>
          <w:color w:val="000000"/>
          <w:sz w:val="24"/>
          <w:szCs w:val="24"/>
          <w:lang w:eastAsia="zh-CN"/>
        </w:rPr>
        <w:softHyphen/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>behandling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almindeligt. </w:t>
      </w:r>
    </w:p>
    <w:p w:rsidR="005435F7" w:rsidRPr="009B3278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>I meget sjældne tilfælde er der o</w:t>
      </w:r>
      <w:r>
        <w:rPr>
          <w:rFonts w:eastAsiaTheme="minorEastAsia"/>
          <w:color w:val="000000"/>
          <w:sz w:val="24"/>
          <w:szCs w:val="24"/>
          <w:lang w:eastAsia="zh-CN"/>
        </w:rPr>
        <w:t>pstået alvorlig smerte i den øv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>r</w:t>
      </w:r>
      <w:r>
        <w:rPr>
          <w:rFonts w:eastAsiaTheme="minorEastAsia"/>
          <w:color w:val="000000"/>
          <w:sz w:val="24"/>
          <w:szCs w:val="24"/>
          <w:lang w:eastAsia="zh-CN"/>
        </w:rPr>
        <w:t xml:space="preserve">e 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højre side </w:t>
      </w:r>
      <w:r>
        <w:rPr>
          <w:rFonts w:eastAsiaTheme="minorEastAsia"/>
          <w:color w:val="000000"/>
          <w:sz w:val="24"/>
          <w:szCs w:val="24"/>
          <w:lang w:eastAsia="zh-CN"/>
        </w:rPr>
        <w:t>af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maven </w:t>
      </w:r>
      <w:r>
        <w:rPr>
          <w:rFonts w:eastAsiaTheme="minorEastAsia"/>
          <w:color w:val="000000"/>
          <w:sz w:val="24"/>
          <w:szCs w:val="24"/>
          <w:lang w:eastAsia="zh-CN"/>
        </w:rPr>
        <w:t>ved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behandling af primær </w:t>
      </w:r>
      <w:r>
        <w:rPr>
          <w:rFonts w:eastAsiaTheme="minorEastAsia"/>
          <w:color w:val="000000"/>
          <w:sz w:val="24"/>
          <w:szCs w:val="24"/>
          <w:lang w:eastAsia="zh-CN"/>
        </w:rPr>
        <w:t xml:space="preserve">biliær </w:t>
      </w:r>
      <w:proofErr w:type="spellStart"/>
      <w:r>
        <w:rPr>
          <w:rFonts w:eastAsiaTheme="minorEastAsia"/>
          <w:color w:val="000000"/>
          <w:sz w:val="24"/>
          <w:szCs w:val="24"/>
          <w:lang w:eastAsia="zh-CN"/>
        </w:rPr>
        <w:t>k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>olangitis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>.</w:t>
      </w:r>
    </w:p>
    <w:p w:rsidR="005435F7" w:rsidRPr="009B3278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> </w:t>
      </w:r>
    </w:p>
    <w:p w:rsidR="005435F7" w:rsidRPr="009B3278" w:rsidRDefault="005435F7" w:rsidP="005435F7">
      <w:pPr>
        <w:keepNext/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u w:val="single"/>
          <w:lang w:eastAsia="zh-CN"/>
        </w:rPr>
        <w:t>Lever og galdeveje</w:t>
      </w:r>
    </w:p>
    <w:p w:rsidR="005435F7" w:rsidRPr="009B3278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Under behandling med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ursodeoxy</w:t>
      </w:r>
      <w:r>
        <w:rPr>
          <w:rFonts w:eastAsiaTheme="minorEastAsia"/>
          <w:color w:val="000000"/>
          <w:sz w:val="24"/>
          <w:szCs w:val="24"/>
          <w:lang w:eastAsia="zh-CN"/>
        </w:rPr>
        <w:t>cholsyre</w:t>
      </w:r>
      <w:proofErr w:type="spellEnd"/>
      <w:r>
        <w:rPr>
          <w:rFonts w:eastAsiaTheme="minorEastAsia"/>
          <w:color w:val="000000"/>
          <w:sz w:val="24"/>
          <w:szCs w:val="24"/>
          <w:lang w:eastAsia="zh-CN"/>
        </w:rPr>
        <w:t xml:space="preserve"> kan forkalkning af gald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esten forekomme i meget sjældne tilfælde. </w:t>
      </w:r>
    </w:p>
    <w:p w:rsidR="005435F7" w:rsidRPr="009B3278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Under behandling af de fremskredne stadier af primær biliær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kolangitis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er der i meget sjældne tilfælde observeret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dekompens</w:t>
      </w:r>
      <w:r>
        <w:rPr>
          <w:rFonts w:eastAsiaTheme="minorEastAsia"/>
          <w:color w:val="000000"/>
          <w:sz w:val="24"/>
          <w:szCs w:val="24"/>
          <w:lang w:eastAsia="zh-CN"/>
        </w:rPr>
        <w:t>ation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af levercirrose, som </w:t>
      </w:r>
      <w:r>
        <w:rPr>
          <w:rFonts w:eastAsiaTheme="minorEastAsia"/>
          <w:color w:val="000000"/>
          <w:sz w:val="24"/>
          <w:szCs w:val="24"/>
          <w:lang w:eastAsia="zh-CN"/>
        </w:rPr>
        <w:t xml:space="preserve">er 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delvist </w:t>
      </w:r>
      <w:r>
        <w:rPr>
          <w:rFonts w:eastAsiaTheme="minorEastAsia"/>
          <w:color w:val="000000"/>
          <w:sz w:val="24"/>
          <w:szCs w:val="24"/>
          <w:lang w:eastAsia="zh-CN"/>
        </w:rPr>
        <w:t>reversibel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efter behandlingen </w:t>
      </w:r>
      <w:r>
        <w:rPr>
          <w:rFonts w:eastAsiaTheme="minorEastAsia"/>
          <w:color w:val="000000"/>
          <w:sz w:val="24"/>
          <w:szCs w:val="24"/>
          <w:lang w:eastAsia="zh-CN"/>
        </w:rPr>
        <w:t xml:space="preserve">er 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>blev</w:t>
      </w:r>
      <w:r>
        <w:rPr>
          <w:rFonts w:eastAsiaTheme="minorEastAsia"/>
          <w:color w:val="000000"/>
          <w:sz w:val="24"/>
          <w:szCs w:val="24"/>
          <w:lang w:eastAsia="zh-CN"/>
        </w:rPr>
        <w:t>et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afbrudt.</w:t>
      </w:r>
    </w:p>
    <w:p w:rsidR="005435F7" w:rsidRPr="009B3278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> </w:t>
      </w:r>
    </w:p>
    <w:p w:rsidR="005435F7" w:rsidRPr="009B3278" w:rsidRDefault="005435F7" w:rsidP="005435F7">
      <w:pPr>
        <w:keepNext/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u w:val="single"/>
          <w:lang w:eastAsia="zh-CN"/>
        </w:rPr>
        <w:t>Hud- og subkutane sygdomme</w:t>
      </w:r>
    </w:p>
    <w:p w:rsidR="005435F7" w:rsidRPr="009B3278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Urticaria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kan forekomme i meget sjældne tilfælde.</w:t>
      </w:r>
    </w:p>
    <w:p w:rsidR="005435F7" w:rsidRPr="009B3278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lastRenderedPageBreak/>
        <w:t> </w:t>
      </w:r>
    </w:p>
    <w:p w:rsidR="00005149" w:rsidRPr="008F49E1" w:rsidRDefault="00005149" w:rsidP="002A1420">
      <w:pPr>
        <w:autoSpaceDE w:val="0"/>
        <w:autoSpaceDN w:val="0"/>
        <w:ind w:left="851"/>
        <w:rPr>
          <w:sz w:val="24"/>
          <w:szCs w:val="24"/>
          <w:u w:val="single"/>
          <w:lang w:eastAsia="da-DK"/>
        </w:rPr>
      </w:pPr>
      <w:r w:rsidRPr="008F49E1">
        <w:rPr>
          <w:sz w:val="24"/>
          <w:szCs w:val="24"/>
          <w:u w:val="single"/>
          <w:lang w:eastAsia="da-DK"/>
        </w:rPr>
        <w:t>Indberetning af formodede bivirkninger</w:t>
      </w:r>
    </w:p>
    <w:p w:rsidR="00005149" w:rsidRPr="008F49E1" w:rsidRDefault="00005149" w:rsidP="002A1420">
      <w:pPr>
        <w:ind w:left="851"/>
        <w:rPr>
          <w:sz w:val="24"/>
          <w:szCs w:val="24"/>
          <w:lang w:eastAsia="da-DK"/>
        </w:rPr>
      </w:pPr>
      <w:r w:rsidRPr="008F49E1">
        <w:rPr>
          <w:sz w:val="24"/>
          <w:szCs w:val="24"/>
          <w:lang w:eastAsia="da-DK"/>
        </w:rPr>
        <w:t>Når lægemidlet er godkendt, er indberetning af formodede bivirkninger vigtig. Det muliggør løbende overvågning af benefit/</w:t>
      </w:r>
      <w:proofErr w:type="spellStart"/>
      <w:r w:rsidRPr="008F49E1">
        <w:rPr>
          <w:sz w:val="24"/>
          <w:szCs w:val="24"/>
          <w:lang w:eastAsia="da-DK"/>
        </w:rPr>
        <w:t>risk</w:t>
      </w:r>
      <w:proofErr w:type="spellEnd"/>
      <w:r w:rsidRPr="008F49E1">
        <w:rPr>
          <w:sz w:val="24"/>
          <w:szCs w:val="24"/>
          <w:lang w:eastAsia="da-DK"/>
        </w:rPr>
        <w:t xml:space="preserve">-forholdet for lægemidlet. </w:t>
      </w:r>
      <w:r>
        <w:rPr>
          <w:sz w:val="24"/>
          <w:szCs w:val="24"/>
          <w:lang w:eastAsia="da-DK"/>
        </w:rPr>
        <w:t>Sundhedspersoner</w:t>
      </w:r>
      <w:r w:rsidRPr="008F49E1">
        <w:rPr>
          <w:sz w:val="24"/>
          <w:szCs w:val="24"/>
          <w:lang w:eastAsia="da-DK"/>
        </w:rPr>
        <w:t xml:space="preserve"> anmodes om at indberette alle formodede bivirkninger via:</w:t>
      </w:r>
    </w:p>
    <w:p w:rsidR="00005149" w:rsidRPr="008F49E1" w:rsidRDefault="00005149" w:rsidP="002A1420">
      <w:pPr>
        <w:ind w:left="851"/>
        <w:rPr>
          <w:sz w:val="24"/>
          <w:szCs w:val="24"/>
          <w:lang w:eastAsia="da-DK"/>
        </w:rPr>
      </w:pPr>
    </w:p>
    <w:p w:rsidR="00005149" w:rsidRPr="007A276A" w:rsidRDefault="00005149" w:rsidP="002A1420">
      <w:pPr>
        <w:ind w:left="851"/>
        <w:rPr>
          <w:sz w:val="24"/>
          <w:szCs w:val="24"/>
          <w:lang w:eastAsia="da-DK"/>
        </w:rPr>
      </w:pPr>
      <w:r w:rsidRPr="007A276A">
        <w:rPr>
          <w:sz w:val="24"/>
          <w:szCs w:val="24"/>
          <w:lang w:eastAsia="da-DK"/>
        </w:rPr>
        <w:t>Lægemiddelstyrelsen</w:t>
      </w:r>
    </w:p>
    <w:p w:rsidR="00005149" w:rsidRPr="007A276A" w:rsidRDefault="00005149" w:rsidP="002A1420">
      <w:pPr>
        <w:ind w:left="851"/>
        <w:rPr>
          <w:sz w:val="24"/>
          <w:szCs w:val="24"/>
          <w:lang w:eastAsia="da-DK"/>
        </w:rPr>
      </w:pPr>
      <w:r w:rsidRPr="007A276A">
        <w:rPr>
          <w:sz w:val="24"/>
          <w:szCs w:val="24"/>
          <w:lang w:eastAsia="da-DK"/>
        </w:rPr>
        <w:t>Axel Heides Gade 1</w:t>
      </w:r>
    </w:p>
    <w:p w:rsidR="00005149" w:rsidRPr="007A276A" w:rsidRDefault="00005149" w:rsidP="002A1420">
      <w:pPr>
        <w:ind w:left="851"/>
        <w:rPr>
          <w:sz w:val="24"/>
          <w:szCs w:val="24"/>
          <w:lang w:eastAsia="da-DK"/>
        </w:rPr>
      </w:pPr>
      <w:r w:rsidRPr="007A276A">
        <w:rPr>
          <w:sz w:val="24"/>
          <w:szCs w:val="24"/>
          <w:lang w:eastAsia="da-DK"/>
        </w:rPr>
        <w:t>DK-2300 København S</w:t>
      </w:r>
    </w:p>
    <w:p w:rsidR="00005149" w:rsidRPr="00005149" w:rsidRDefault="00005149" w:rsidP="002A1420">
      <w:pPr>
        <w:ind w:left="851"/>
        <w:rPr>
          <w:sz w:val="24"/>
          <w:szCs w:val="24"/>
          <w:lang w:eastAsia="da-DK"/>
        </w:rPr>
      </w:pPr>
      <w:r w:rsidRPr="00005149">
        <w:rPr>
          <w:sz w:val="24"/>
          <w:szCs w:val="24"/>
          <w:lang w:eastAsia="da-DK"/>
        </w:rPr>
        <w:t xml:space="preserve">Websted: </w:t>
      </w:r>
      <w:r w:rsidRPr="00005149">
        <w:rPr>
          <w:sz w:val="24"/>
          <w:lang w:eastAsia="da-DK"/>
        </w:rPr>
        <w:t>www.meldenbivirkning.dk</w:t>
      </w:r>
    </w:p>
    <w:p w:rsidR="005435F7" w:rsidRPr="00005149" w:rsidRDefault="005435F7" w:rsidP="005435F7">
      <w:pPr>
        <w:pStyle w:val="Sidehoved"/>
        <w:tabs>
          <w:tab w:val="left" w:pos="851"/>
        </w:tabs>
        <w:ind w:left="851"/>
        <w:rPr>
          <w:szCs w:val="24"/>
        </w:rPr>
      </w:pPr>
    </w:p>
    <w:p w:rsidR="005435F7" w:rsidRPr="00C84483" w:rsidRDefault="005435F7" w:rsidP="005435F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4.9</w:t>
      </w:r>
      <w:r w:rsidRPr="00C84483">
        <w:rPr>
          <w:b/>
          <w:sz w:val="24"/>
          <w:szCs w:val="24"/>
        </w:rPr>
        <w:tab/>
        <w:t>Overdosering</w:t>
      </w:r>
    </w:p>
    <w:p w:rsidR="005435F7" w:rsidRPr="009B3278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>Diarré kan forekomme i tilfælde af overdosering. Generelt er andre symptomer på overdosering usandsynlig</w:t>
      </w:r>
      <w:r>
        <w:rPr>
          <w:rFonts w:eastAsiaTheme="minorEastAsia"/>
          <w:color w:val="000000"/>
          <w:sz w:val="24"/>
          <w:szCs w:val="24"/>
          <w:lang w:eastAsia="zh-CN"/>
        </w:rPr>
        <w:t>e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, fordi absorptionen af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ursodeoxycholsyre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falder med stigende dosis, og derfor udskilles der mere med fæces.</w:t>
      </w:r>
    </w:p>
    <w:p w:rsidR="005435F7" w:rsidRPr="009B3278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>Der er ikke behov for specifikke modforanstaltninger, og konsekvenserne af diarré skal behandles symptomatisk med genopretning af væske- og elektrolytbalancen.</w:t>
      </w:r>
    </w:p>
    <w:p w:rsidR="005435F7" w:rsidRPr="009B3278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> </w:t>
      </w:r>
    </w:p>
    <w:p w:rsidR="005435F7" w:rsidRPr="009B3278" w:rsidRDefault="005435F7" w:rsidP="005435F7">
      <w:pPr>
        <w:keepNext/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u w:val="single"/>
          <w:lang w:eastAsia="zh-CN"/>
        </w:rPr>
        <w:t>Yderligere oplysninger om særlige befolkningsgrupper</w:t>
      </w:r>
    </w:p>
    <w:p w:rsidR="005435F7" w:rsidRPr="00905BB7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Langvarig behandling med UDCA </w:t>
      </w:r>
      <w:r>
        <w:rPr>
          <w:rFonts w:eastAsiaTheme="minorEastAsia"/>
          <w:color w:val="000000"/>
          <w:sz w:val="24"/>
          <w:szCs w:val="24"/>
          <w:lang w:eastAsia="zh-CN"/>
        </w:rPr>
        <w:t>i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høj</w:t>
      </w:r>
      <w:r>
        <w:rPr>
          <w:rFonts w:eastAsiaTheme="minorEastAsia"/>
          <w:color w:val="000000"/>
          <w:sz w:val="24"/>
          <w:szCs w:val="24"/>
          <w:lang w:eastAsia="zh-CN"/>
        </w:rPr>
        <w:t>e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dos</w:t>
      </w:r>
      <w:r>
        <w:rPr>
          <w:rFonts w:eastAsiaTheme="minorEastAsia"/>
          <w:color w:val="000000"/>
          <w:sz w:val="24"/>
          <w:szCs w:val="24"/>
          <w:lang w:eastAsia="zh-CN"/>
        </w:rPr>
        <w:t>er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(28-30 mg</w:t>
      </w:r>
      <w:r>
        <w:rPr>
          <w:rFonts w:eastAsiaTheme="minorEastAsia"/>
          <w:color w:val="000000"/>
          <w:sz w:val="24"/>
          <w:szCs w:val="24"/>
          <w:lang w:eastAsia="zh-CN"/>
        </w:rPr>
        <w:t>/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>kg</w:t>
      </w:r>
      <w:r>
        <w:rPr>
          <w:rFonts w:eastAsiaTheme="minorEastAsia"/>
          <w:color w:val="000000"/>
          <w:sz w:val="24"/>
          <w:szCs w:val="24"/>
          <w:lang w:eastAsia="zh-CN"/>
        </w:rPr>
        <w:t>/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dag) hos patienter med primær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skleroserende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  <w:lang w:eastAsia="zh-CN"/>
        </w:rPr>
        <w:t>k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>olangitis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(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off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>-label</w:t>
      </w:r>
      <w:r>
        <w:rPr>
          <w:rFonts w:eastAsiaTheme="minorEastAsia"/>
          <w:color w:val="000000"/>
          <w:sz w:val="24"/>
          <w:szCs w:val="24"/>
          <w:lang w:eastAsia="zh-CN"/>
        </w:rPr>
        <w:t xml:space="preserve"> anvendelse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>) var forbundet med flere alvorlige bivirkninger.</w:t>
      </w:r>
    </w:p>
    <w:p w:rsidR="005435F7" w:rsidRPr="00C84483" w:rsidRDefault="005435F7" w:rsidP="005435F7">
      <w:pPr>
        <w:tabs>
          <w:tab w:val="left" w:pos="851"/>
        </w:tabs>
        <w:ind w:left="851"/>
        <w:rPr>
          <w:sz w:val="24"/>
          <w:szCs w:val="24"/>
        </w:rPr>
      </w:pPr>
    </w:p>
    <w:p w:rsidR="005435F7" w:rsidRPr="00C84483" w:rsidRDefault="005435F7" w:rsidP="005435F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4.10</w:t>
      </w:r>
      <w:r w:rsidRPr="00C84483">
        <w:rPr>
          <w:b/>
          <w:sz w:val="24"/>
          <w:szCs w:val="24"/>
        </w:rPr>
        <w:tab/>
        <w:t>Udlevering</w:t>
      </w:r>
    </w:p>
    <w:p w:rsidR="005435F7" w:rsidRPr="00C84483" w:rsidRDefault="005435F7" w:rsidP="005435F7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5435F7" w:rsidRPr="00C84483" w:rsidRDefault="005435F7" w:rsidP="005435F7">
      <w:pPr>
        <w:tabs>
          <w:tab w:val="left" w:pos="851"/>
        </w:tabs>
        <w:ind w:left="851"/>
        <w:rPr>
          <w:sz w:val="24"/>
          <w:szCs w:val="24"/>
        </w:rPr>
      </w:pPr>
    </w:p>
    <w:p w:rsidR="005435F7" w:rsidRPr="00C84483" w:rsidRDefault="005435F7" w:rsidP="005435F7">
      <w:pPr>
        <w:tabs>
          <w:tab w:val="left" w:pos="851"/>
        </w:tabs>
        <w:ind w:left="851"/>
        <w:rPr>
          <w:sz w:val="24"/>
          <w:szCs w:val="24"/>
        </w:rPr>
      </w:pPr>
    </w:p>
    <w:p w:rsidR="005435F7" w:rsidRPr="00C84483" w:rsidRDefault="005435F7" w:rsidP="005435F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</w:t>
      </w:r>
      <w:r w:rsidRPr="00C84483">
        <w:rPr>
          <w:b/>
          <w:sz w:val="24"/>
          <w:szCs w:val="24"/>
        </w:rPr>
        <w:tab/>
        <w:t>FARMAKOLOGISKE EGENSKABER</w:t>
      </w:r>
    </w:p>
    <w:p w:rsidR="005435F7" w:rsidRPr="00C84483" w:rsidRDefault="005435F7" w:rsidP="005435F7">
      <w:pPr>
        <w:tabs>
          <w:tab w:val="left" w:pos="851"/>
        </w:tabs>
        <w:ind w:left="851"/>
        <w:rPr>
          <w:sz w:val="24"/>
          <w:szCs w:val="24"/>
        </w:rPr>
      </w:pPr>
    </w:p>
    <w:p w:rsidR="005435F7" w:rsidRPr="00C84483" w:rsidRDefault="005435F7" w:rsidP="005435F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5.0</w:t>
      </w:r>
      <w:r w:rsidRPr="00C84483">
        <w:rPr>
          <w:b/>
          <w:sz w:val="24"/>
          <w:szCs w:val="24"/>
        </w:rPr>
        <w:tab/>
        <w:t>Terapeutisk klassifikation</w:t>
      </w:r>
    </w:p>
    <w:p w:rsidR="005435F7" w:rsidRPr="00C84483" w:rsidRDefault="005435F7" w:rsidP="005435F7">
      <w:pPr>
        <w:ind w:left="851"/>
        <w:rPr>
          <w:sz w:val="24"/>
          <w:szCs w:val="24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>ATC-kode: A</w:t>
      </w:r>
      <w:r>
        <w:rPr>
          <w:rFonts w:eastAsiaTheme="minorEastAsia"/>
          <w:color w:val="000000"/>
          <w:sz w:val="24"/>
          <w:szCs w:val="24"/>
          <w:lang w:eastAsia="zh-CN"/>
        </w:rPr>
        <w:t xml:space="preserve"> 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>05</w:t>
      </w:r>
      <w:r>
        <w:rPr>
          <w:rFonts w:eastAsiaTheme="minorEastAsia"/>
          <w:color w:val="000000"/>
          <w:sz w:val="24"/>
          <w:szCs w:val="24"/>
          <w:lang w:eastAsia="zh-CN"/>
        </w:rPr>
        <w:t xml:space="preserve"> 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>AA</w:t>
      </w:r>
      <w:r>
        <w:rPr>
          <w:rFonts w:eastAsiaTheme="minorEastAsia"/>
          <w:color w:val="000000"/>
          <w:sz w:val="24"/>
          <w:szCs w:val="24"/>
          <w:lang w:eastAsia="zh-CN"/>
        </w:rPr>
        <w:t xml:space="preserve"> 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>02</w:t>
      </w:r>
      <w:r>
        <w:rPr>
          <w:rFonts w:eastAsiaTheme="minorEastAsia"/>
          <w:color w:val="000000"/>
          <w:sz w:val="24"/>
          <w:szCs w:val="24"/>
          <w:lang w:eastAsia="zh-CN"/>
        </w:rPr>
        <w:t>. G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>alde</w:t>
      </w:r>
      <w:r>
        <w:rPr>
          <w:rFonts w:eastAsiaTheme="minorEastAsia"/>
          <w:color w:val="000000"/>
          <w:sz w:val="24"/>
          <w:szCs w:val="24"/>
          <w:lang w:eastAsia="zh-CN"/>
        </w:rPr>
        <w:t>syrepræparater.</w:t>
      </w:r>
      <w:r w:rsidRPr="00C84483">
        <w:rPr>
          <w:sz w:val="24"/>
          <w:szCs w:val="24"/>
        </w:rPr>
        <w:t xml:space="preserve"> </w:t>
      </w:r>
    </w:p>
    <w:p w:rsidR="005435F7" w:rsidRPr="00C84483" w:rsidRDefault="005435F7" w:rsidP="005435F7">
      <w:pPr>
        <w:tabs>
          <w:tab w:val="left" w:pos="851"/>
        </w:tabs>
        <w:ind w:left="851"/>
        <w:rPr>
          <w:sz w:val="24"/>
          <w:szCs w:val="24"/>
        </w:rPr>
      </w:pPr>
    </w:p>
    <w:p w:rsidR="005435F7" w:rsidRPr="00C84483" w:rsidRDefault="005435F7" w:rsidP="005435F7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5.1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Farmakodynamiske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5435F7" w:rsidRPr="009B3278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Ursodeoxycho</w:t>
      </w:r>
      <w:r>
        <w:rPr>
          <w:rFonts w:eastAsiaTheme="minorEastAsia"/>
          <w:color w:val="000000"/>
          <w:sz w:val="24"/>
          <w:szCs w:val="24"/>
          <w:lang w:eastAsia="zh-CN"/>
        </w:rPr>
        <w:t>lsyre</w:t>
      </w:r>
      <w:proofErr w:type="spellEnd"/>
      <w:r>
        <w:rPr>
          <w:rFonts w:eastAsiaTheme="minorEastAsia"/>
          <w:color w:val="000000"/>
          <w:sz w:val="24"/>
          <w:szCs w:val="24"/>
          <w:lang w:eastAsia="zh-CN"/>
        </w:rPr>
        <w:t xml:space="preserve"> findes i små mængder i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</w:t>
      </w:r>
      <w:r>
        <w:rPr>
          <w:rFonts w:eastAsiaTheme="minorEastAsia"/>
          <w:color w:val="000000"/>
          <w:sz w:val="24"/>
          <w:szCs w:val="24"/>
          <w:lang w:eastAsia="zh-CN"/>
        </w:rPr>
        <w:t>human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galde.</w:t>
      </w:r>
    </w:p>
    <w:p w:rsidR="005435F7" w:rsidRPr="009B3278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Ved oral administration inducerer det en nedgang i kolesterolmætning af galdeblæren gennem blokering af kolesterolresorption i tarmen og </w:t>
      </w:r>
      <w:r>
        <w:rPr>
          <w:rFonts w:eastAsiaTheme="minorEastAsia"/>
          <w:color w:val="000000"/>
          <w:sz w:val="24"/>
          <w:szCs w:val="24"/>
          <w:lang w:eastAsia="zh-CN"/>
        </w:rPr>
        <w:t>fald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i kolesterolsekretionen til gal</w:t>
      </w:r>
      <w:r>
        <w:rPr>
          <w:rFonts w:eastAsiaTheme="minorEastAsia"/>
          <w:color w:val="000000"/>
          <w:sz w:val="24"/>
          <w:szCs w:val="24"/>
          <w:lang w:eastAsia="zh-CN"/>
        </w:rPr>
        <w:t>d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>en. En gradvis nedbrydning af kolesterolgaldesten opnås formodentlig ved dispersion af kolesterol og dannelse af flydende krystaller.</w:t>
      </w:r>
    </w:p>
    <w:p w:rsidR="005435F7" w:rsidRPr="009B3278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>Vir</w:t>
      </w:r>
      <w:r>
        <w:rPr>
          <w:rFonts w:eastAsiaTheme="minorEastAsia"/>
          <w:color w:val="000000"/>
          <w:sz w:val="24"/>
          <w:szCs w:val="24"/>
          <w:lang w:eastAsia="zh-CN"/>
        </w:rPr>
        <w:t>kningen af ​​</w:t>
      </w:r>
      <w:proofErr w:type="spellStart"/>
      <w:r>
        <w:rPr>
          <w:rFonts w:eastAsiaTheme="minorEastAsia"/>
          <w:color w:val="000000"/>
          <w:sz w:val="24"/>
          <w:szCs w:val="24"/>
          <w:lang w:eastAsia="zh-CN"/>
        </w:rPr>
        <w:t>ursodeoxycholsyre</w:t>
      </w:r>
      <w:proofErr w:type="spellEnd"/>
      <w:r>
        <w:rPr>
          <w:rFonts w:eastAsiaTheme="minorEastAsia"/>
          <w:color w:val="000000"/>
          <w:sz w:val="24"/>
          <w:szCs w:val="24"/>
          <w:lang w:eastAsia="zh-CN"/>
        </w:rPr>
        <w:t xml:space="preserve"> på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lever</w:t>
      </w:r>
      <w:r>
        <w:rPr>
          <w:rFonts w:eastAsiaTheme="minorEastAsia"/>
          <w:color w:val="000000"/>
          <w:sz w:val="24"/>
          <w:szCs w:val="24"/>
          <w:lang w:eastAsia="zh-CN"/>
        </w:rPr>
        <w:t>-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og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kolestatiske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sygdomme e</w:t>
      </w:r>
      <w:r>
        <w:rPr>
          <w:rFonts w:eastAsiaTheme="minorEastAsia"/>
          <w:color w:val="000000"/>
          <w:sz w:val="24"/>
          <w:szCs w:val="24"/>
          <w:lang w:eastAsia="zh-CN"/>
        </w:rPr>
        <w:t>r ifølge den foreliggende viden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baseret på relativ ud</w:t>
      </w:r>
      <w:r>
        <w:rPr>
          <w:rFonts w:eastAsiaTheme="minorEastAsia"/>
          <w:color w:val="000000"/>
          <w:sz w:val="24"/>
          <w:szCs w:val="24"/>
          <w:lang w:eastAsia="zh-CN"/>
        </w:rPr>
        <w:t xml:space="preserve">skiftning 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af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lipofile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, </w:t>
      </w:r>
      <w:r>
        <w:rPr>
          <w:rFonts w:eastAsiaTheme="minorEastAsia"/>
          <w:color w:val="000000"/>
          <w:sz w:val="24"/>
          <w:szCs w:val="24"/>
          <w:lang w:eastAsia="zh-CN"/>
        </w:rPr>
        <w:t>toksiske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galdesyrer til hydrofil, c</w:t>
      </w:r>
      <w:r>
        <w:rPr>
          <w:rFonts w:eastAsiaTheme="minorEastAsia"/>
          <w:color w:val="000000"/>
          <w:sz w:val="24"/>
          <w:szCs w:val="24"/>
          <w:lang w:eastAsia="zh-CN"/>
        </w:rPr>
        <w:t>elleb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eskyttende, </w:t>
      </w:r>
      <w:r>
        <w:rPr>
          <w:rFonts w:eastAsiaTheme="minorEastAsia"/>
          <w:color w:val="000000"/>
          <w:sz w:val="24"/>
          <w:szCs w:val="24"/>
          <w:lang w:eastAsia="zh-CN"/>
        </w:rPr>
        <w:t>non-toksisk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ursodeoxycholsyre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>, forbedring af</w:t>
      </w:r>
      <w:r>
        <w:rPr>
          <w:rFonts w:eastAsiaTheme="minorEastAsia"/>
          <w:color w:val="000000"/>
          <w:sz w:val="24"/>
          <w:szCs w:val="24"/>
          <w:lang w:eastAsia="zh-CN"/>
        </w:rPr>
        <w:t xml:space="preserve"> levercellers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sekretoriske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ydeevne og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immunoregulative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processer.</w:t>
      </w:r>
    </w:p>
    <w:p w:rsidR="005435F7" w:rsidRPr="009B3278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> </w:t>
      </w:r>
    </w:p>
    <w:p w:rsidR="005435F7" w:rsidRPr="009B3278" w:rsidRDefault="005435F7" w:rsidP="005435F7">
      <w:pPr>
        <w:keepNext/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u w:val="single"/>
          <w:lang w:eastAsia="zh-CN"/>
        </w:rPr>
        <w:t>Pædiatrisk population</w:t>
      </w:r>
    </w:p>
    <w:p w:rsidR="005435F7" w:rsidRDefault="005435F7" w:rsidP="005435F7">
      <w:pPr>
        <w:keepNext/>
        <w:ind w:left="851"/>
        <w:rPr>
          <w:rFonts w:eastAsiaTheme="minorEastAsia"/>
          <w:color w:val="000000"/>
          <w:sz w:val="24"/>
          <w:szCs w:val="24"/>
          <w:u w:val="single"/>
          <w:lang w:eastAsia="zh-CN"/>
        </w:rPr>
      </w:pPr>
    </w:p>
    <w:p w:rsidR="005435F7" w:rsidRPr="00C2164C" w:rsidRDefault="005435F7" w:rsidP="005435F7">
      <w:pPr>
        <w:keepNext/>
        <w:ind w:left="851"/>
        <w:rPr>
          <w:rFonts w:eastAsiaTheme="minorEastAsia"/>
          <w:i/>
          <w:color w:val="000000"/>
          <w:sz w:val="24"/>
          <w:szCs w:val="24"/>
          <w:lang w:eastAsia="zh-CN"/>
        </w:rPr>
      </w:pPr>
      <w:r w:rsidRPr="00C2164C">
        <w:rPr>
          <w:rFonts w:eastAsiaTheme="minorEastAsia"/>
          <w:i/>
          <w:color w:val="000000"/>
          <w:sz w:val="24"/>
          <w:szCs w:val="24"/>
          <w:lang w:eastAsia="zh-CN"/>
        </w:rPr>
        <w:t>Cystisk fibrose</w:t>
      </w:r>
    </w:p>
    <w:p w:rsidR="005435F7" w:rsidRPr="00C2164C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Kliniske rapporter </w:t>
      </w:r>
      <w:r>
        <w:rPr>
          <w:rFonts w:eastAsiaTheme="minorEastAsia"/>
          <w:color w:val="000000"/>
          <w:sz w:val="24"/>
          <w:szCs w:val="24"/>
          <w:lang w:eastAsia="zh-CN"/>
        </w:rPr>
        <w:t>baseret på lang klinisk erfaring i op til 10 år eller mere er tilgængelige for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UDCA-behandling hos pædiatriske patienter, der lider af cystisk fibrose-relaterede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hepatobiliære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lidelser (CFAHD). Der er tegn på, at behandl</w:t>
      </w:r>
      <w:r>
        <w:rPr>
          <w:rFonts w:eastAsiaTheme="minorEastAsia"/>
          <w:color w:val="000000"/>
          <w:sz w:val="24"/>
          <w:szCs w:val="24"/>
          <w:lang w:eastAsia="zh-CN"/>
        </w:rPr>
        <w:t xml:space="preserve">ingen med UDCA kan nedsætte </w:t>
      </w:r>
      <w:proofErr w:type="spellStart"/>
      <w:r>
        <w:rPr>
          <w:rFonts w:eastAsiaTheme="minorEastAsia"/>
          <w:color w:val="000000"/>
          <w:sz w:val="24"/>
          <w:szCs w:val="24"/>
          <w:lang w:eastAsia="zh-CN"/>
        </w:rPr>
        <w:t>gald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>e</w:t>
      </w:r>
      <w:r>
        <w:rPr>
          <w:rFonts w:eastAsiaTheme="minorEastAsia"/>
          <w:color w:val="000000"/>
          <w:sz w:val="24"/>
          <w:szCs w:val="24"/>
          <w:lang w:eastAsia="zh-CN"/>
        </w:rPr>
        <w:t>vejs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>proliferation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>, hæmme progressionen af ​​histol</w:t>
      </w:r>
      <w:r>
        <w:rPr>
          <w:rFonts w:eastAsiaTheme="minorEastAsia"/>
          <w:color w:val="000000"/>
          <w:sz w:val="24"/>
          <w:szCs w:val="24"/>
          <w:lang w:eastAsia="zh-CN"/>
        </w:rPr>
        <w:t>ogisk skade og endda reversere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hepatobiliære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ændringer, hvis det gives i </w:t>
      </w:r>
      <w:proofErr w:type="gramStart"/>
      <w:r w:rsidRPr="009B3278">
        <w:rPr>
          <w:rFonts w:eastAsiaTheme="minorEastAsia"/>
          <w:color w:val="000000"/>
          <w:sz w:val="24"/>
          <w:szCs w:val="24"/>
          <w:lang w:eastAsia="zh-CN"/>
        </w:rPr>
        <w:t>et tidlig stadium</w:t>
      </w:r>
      <w:proofErr w:type="gram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af CFAHD. Behandlingen med 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lastRenderedPageBreak/>
        <w:t xml:space="preserve">UDCA bør påbegyndes, så snart diagnosen CFAHD </w:t>
      </w:r>
      <w:r>
        <w:rPr>
          <w:rFonts w:eastAsiaTheme="minorEastAsia"/>
          <w:color w:val="000000"/>
          <w:sz w:val="24"/>
          <w:szCs w:val="24"/>
          <w:lang w:eastAsia="zh-CN"/>
        </w:rPr>
        <w:t>stilles,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for at optimere behandlingseffektiviteten.</w:t>
      </w:r>
    </w:p>
    <w:p w:rsidR="005435F7" w:rsidRPr="00C84483" w:rsidRDefault="005435F7" w:rsidP="005435F7">
      <w:pPr>
        <w:tabs>
          <w:tab w:val="left" w:pos="851"/>
        </w:tabs>
        <w:ind w:left="851"/>
        <w:rPr>
          <w:sz w:val="24"/>
          <w:szCs w:val="24"/>
        </w:rPr>
      </w:pPr>
    </w:p>
    <w:p w:rsidR="005435F7" w:rsidRPr="00C84483" w:rsidRDefault="005435F7" w:rsidP="005435F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5.2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Farmakokinetiske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5435F7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Ursodeoxycholsyre</w:t>
      </w:r>
      <w:proofErr w:type="spellEnd"/>
      <w:r>
        <w:rPr>
          <w:rFonts w:eastAsiaTheme="minorEastAsia"/>
          <w:color w:val="000000"/>
          <w:sz w:val="24"/>
          <w:szCs w:val="24"/>
          <w:lang w:eastAsia="zh-CN"/>
        </w:rPr>
        <w:t>,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der er administreret oral</w:t>
      </w:r>
      <w:r>
        <w:rPr>
          <w:rFonts w:eastAsiaTheme="minorEastAsia"/>
          <w:color w:val="000000"/>
          <w:sz w:val="24"/>
          <w:szCs w:val="24"/>
          <w:lang w:eastAsia="zh-CN"/>
        </w:rPr>
        <w:t xml:space="preserve">t, 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resorberes hurtigt gennem passiv </w:t>
      </w:r>
      <w:r>
        <w:rPr>
          <w:rFonts w:eastAsiaTheme="minorEastAsia"/>
          <w:color w:val="000000"/>
          <w:sz w:val="24"/>
          <w:szCs w:val="24"/>
          <w:lang w:eastAsia="zh-CN"/>
        </w:rPr>
        <w:t xml:space="preserve">transport 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i jejunum og øvre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ileum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og </w:t>
      </w:r>
      <w:r>
        <w:rPr>
          <w:rFonts w:eastAsiaTheme="minorEastAsia"/>
          <w:color w:val="000000"/>
          <w:sz w:val="24"/>
          <w:szCs w:val="24"/>
          <w:lang w:eastAsia="zh-CN"/>
        </w:rPr>
        <w:t xml:space="preserve">ved aktiv transport 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i </w:t>
      </w:r>
      <w:r>
        <w:rPr>
          <w:rFonts w:eastAsiaTheme="minorEastAsia"/>
          <w:color w:val="000000"/>
          <w:sz w:val="24"/>
          <w:szCs w:val="24"/>
          <w:lang w:eastAsia="zh-CN"/>
        </w:rPr>
        <w:t xml:space="preserve">terminal </w:t>
      </w:r>
      <w:proofErr w:type="spellStart"/>
      <w:r>
        <w:rPr>
          <w:rFonts w:eastAsiaTheme="minorEastAsia"/>
          <w:color w:val="000000"/>
          <w:sz w:val="24"/>
          <w:szCs w:val="24"/>
          <w:lang w:eastAsia="zh-CN"/>
        </w:rPr>
        <w:t>ileum</w:t>
      </w:r>
      <w:proofErr w:type="spellEnd"/>
      <w:r>
        <w:rPr>
          <w:rFonts w:eastAsiaTheme="minorEastAsia"/>
          <w:color w:val="000000"/>
          <w:sz w:val="24"/>
          <w:szCs w:val="24"/>
          <w:lang w:eastAsia="zh-CN"/>
        </w:rPr>
        <w:t>.</w:t>
      </w:r>
    </w:p>
    <w:p w:rsidR="005435F7" w:rsidRPr="009B3278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>Resorptionshastigheden udgør generelt 60-80</w:t>
      </w:r>
      <w:r>
        <w:rPr>
          <w:rFonts w:eastAsiaTheme="minorEastAsia"/>
          <w:color w:val="000000"/>
          <w:sz w:val="24"/>
          <w:szCs w:val="24"/>
          <w:lang w:eastAsia="zh-CN"/>
        </w:rPr>
        <w:t xml:space="preserve"> %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. Efter resorption konjugerer galdesyren næsten fuldstændigt med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glycin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- og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taurinaminosyrerne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i leveren, og derefter følger gal</w:t>
      </w:r>
      <w:r>
        <w:rPr>
          <w:rFonts w:eastAsiaTheme="minorEastAsia"/>
          <w:color w:val="000000"/>
          <w:sz w:val="24"/>
          <w:szCs w:val="24"/>
          <w:lang w:eastAsia="zh-CN"/>
        </w:rPr>
        <w:t>de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udskillelsen. </w:t>
      </w:r>
      <w:r>
        <w:rPr>
          <w:rFonts w:eastAsiaTheme="minorEastAsia"/>
          <w:color w:val="000000"/>
          <w:sz w:val="24"/>
          <w:szCs w:val="24"/>
          <w:lang w:eastAsia="zh-CN"/>
        </w:rPr>
        <w:t>First-</w:t>
      </w:r>
      <w:proofErr w:type="spellStart"/>
      <w:r>
        <w:rPr>
          <w:rFonts w:eastAsiaTheme="minorEastAsia"/>
          <w:color w:val="000000"/>
          <w:sz w:val="24"/>
          <w:szCs w:val="24"/>
          <w:lang w:eastAsia="zh-CN"/>
        </w:rPr>
        <w:t>pass</w:t>
      </w:r>
      <w:proofErr w:type="spellEnd"/>
      <w:r>
        <w:rPr>
          <w:rFonts w:eastAsiaTheme="minorEastAsia"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eastAsiaTheme="minorEastAsia"/>
          <w:color w:val="000000"/>
          <w:sz w:val="24"/>
          <w:szCs w:val="24"/>
          <w:lang w:eastAsia="zh-CN"/>
        </w:rPr>
        <w:t>clearance</w:t>
      </w:r>
      <w:proofErr w:type="spellEnd"/>
      <w:r>
        <w:rPr>
          <w:rFonts w:eastAsiaTheme="minorEastAsia"/>
          <w:color w:val="000000"/>
          <w:sz w:val="24"/>
          <w:szCs w:val="24"/>
          <w:lang w:eastAsia="zh-CN"/>
        </w:rPr>
        <w:t xml:space="preserve"> i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leveren udgør op til 60</w:t>
      </w:r>
      <w:r>
        <w:rPr>
          <w:rFonts w:eastAsiaTheme="minorEastAsia"/>
          <w:color w:val="000000"/>
          <w:sz w:val="24"/>
          <w:szCs w:val="24"/>
          <w:lang w:eastAsia="zh-CN"/>
        </w:rPr>
        <w:t xml:space="preserve"> %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>.</w:t>
      </w:r>
    </w:p>
    <w:p w:rsidR="005435F7" w:rsidRPr="009B3278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>Afhængig</w:t>
      </w:r>
      <w:r>
        <w:rPr>
          <w:rFonts w:eastAsiaTheme="minorEastAsia"/>
          <w:color w:val="000000"/>
          <w:sz w:val="24"/>
          <w:szCs w:val="24"/>
          <w:lang w:eastAsia="zh-CN"/>
        </w:rPr>
        <w:t>t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af den daglige dosis og den underliggende sygdom eller levertilstanden</w:t>
      </w:r>
      <w:r>
        <w:rPr>
          <w:rFonts w:eastAsiaTheme="minorEastAsia"/>
          <w:color w:val="000000"/>
          <w:sz w:val="24"/>
          <w:szCs w:val="24"/>
          <w:lang w:eastAsia="zh-CN"/>
        </w:rPr>
        <w:t xml:space="preserve"> akkumuleres mere hydrofil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ursodeoxycholsyre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i gal</w:t>
      </w:r>
      <w:r>
        <w:rPr>
          <w:rFonts w:eastAsiaTheme="minorEastAsia"/>
          <w:color w:val="000000"/>
          <w:sz w:val="24"/>
          <w:szCs w:val="24"/>
          <w:lang w:eastAsia="zh-CN"/>
        </w:rPr>
        <w:t>d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en. Samtidig foregår en relativ reduktion af den anden, mere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lipofile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galdesyre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>.</w:t>
      </w:r>
    </w:p>
    <w:p w:rsidR="005435F7" w:rsidRPr="009B3278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I tarmen sker en delvis bakteriel nedbrydning til 7-keto-lithocholsyre og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lithocholsyre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.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Litocholsyre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er levertoksisk og inducerer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leverparenkymskader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</w:t>
      </w:r>
      <w:r>
        <w:rPr>
          <w:rFonts w:eastAsiaTheme="minorEastAsia"/>
          <w:color w:val="000000"/>
          <w:sz w:val="24"/>
          <w:szCs w:val="24"/>
          <w:lang w:eastAsia="zh-CN"/>
        </w:rPr>
        <w:t>hos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en række dyrearter. Hos mennesker resorbere</w:t>
      </w:r>
      <w:r>
        <w:rPr>
          <w:rFonts w:eastAsiaTheme="minorEastAsia"/>
          <w:color w:val="000000"/>
          <w:sz w:val="24"/>
          <w:szCs w:val="24"/>
          <w:lang w:eastAsia="zh-CN"/>
        </w:rPr>
        <w:t>s det kun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i meget </w:t>
      </w:r>
      <w:r>
        <w:rPr>
          <w:rFonts w:eastAsiaTheme="minorEastAsia"/>
          <w:color w:val="000000"/>
          <w:sz w:val="24"/>
          <w:szCs w:val="24"/>
          <w:lang w:eastAsia="zh-CN"/>
        </w:rPr>
        <w:t>lille udstrækning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. Denne </w:t>
      </w:r>
      <w:r>
        <w:rPr>
          <w:rFonts w:eastAsiaTheme="minorEastAsia"/>
          <w:color w:val="000000"/>
          <w:sz w:val="24"/>
          <w:szCs w:val="24"/>
          <w:lang w:eastAsia="zh-CN"/>
        </w:rPr>
        <w:t>del bindes til sulfat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i leveren</w:t>
      </w:r>
      <w:r>
        <w:rPr>
          <w:rFonts w:eastAsiaTheme="minorEastAsia"/>
          <w:color w:val="000000"/>
          <w:sz w:val="24"/>
          <w:szCs w:val="24"/>
          <w:lang w:eastAsia="zh-CN"/>
        </w:rPr>
        <w:t xml:space="preserve">, bliver 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>dermed afgiftet</w:t>
      </w:r>
      <w:r>
        <w:rPr>
          <w:rFonts w:eastAsiaTheme="minorEastAsia"/>
          <w:color w:val="000000"/>
          <w:sz w:val="24"/>
          <w:szCs w:val="24"/>
          <w:lang w:eastAsia="zh-CN"/>
        </w:rPr>
        <w:t>,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og </w:t>
      </w:r>
      <w:r>
        <w:rPr>
          <w:rFonts w:eastAsiaTheme="minorEastAsia"/>
          <w:color w:val="000000"/>
          <w:sz w:val="24"/>
          <w:szCs w:val="24"/>
          <w:lang w:eastAsia="zh-CN"/>
        </w:rPr>
        <w:t>derefter sker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igen galde</w:t>
      </w:r>
      <w:r>
        <w:rPr>
          <w:rFonts w:eastAsiaTheme="minorEastAsia"/>
          <w:color w:val="000000"/>
          <w:sz w:val="24"/>
          <w:szCs w:val="24"/>
          <w:lang w:eastAsia="zh-CN"/>
        </w:rPr>
        <w:t>-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og fækal</w:t>
      </w:r>
      <w:r>
        <w:rPr>
          <w:rFonts w:eastAsiaTheme="minorEastAsia"/>
          <w:color w:val="000000"/>
          <w:sz w:val="24"/>
          <w:szCs w:val="24"/>
          <w:lang w:eastAsia="zh-CN"/>
        </w:rPr>
        <w:t xml:space="preserve"> udskillelse.</w:t>
      </w:r>
    </w:p>
    <w:p w:rsidR="005435F7" w:rsidRPr="000D7B7C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Den biologiske halveringstid for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ursodeoxycholsyre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er ca. 3,5 til 5,8 dage.</w:t>
      </w:r>
    </w:p>
    <w:p w:rsidR="005435F7" w:rsidRPr="00C84483" w:rsidRDefault="005435F7" w:rsidP="005435F7">
      <w:pPr>
        <w:tabs>
          <w:tab w:val="left" w:pos="851"/>
        </w:tabs>
        <w:ind w:left="851"/>
        <w:rPr>
          <w:sz w:val="24"/>
          <w:szCs w:val="24"/>
        </w:rPr>
      </w:pPr>
    </w:p>
    <w:p w:rsidR="005435F7" w:rsidRPr="00C84483" w:rsidRDefault="005435F7" w:rsidP="005435F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5.3</w:t>
      </w:r>
      <w:r w:rsidRPr="00C84483">
        <w:rPr>
          <w:b/>
          <w:sz w:val="24"/>
          <w:szCs w:val="24"/>
        </w:rPr>
        <w:tab/>
        <w:t>Prækliniske sikkerhedsdata</w:t>
      </w:r>
    </w:p>
    <w:p w:rsidR="005435F7" w:rsidRDefault="005435F7" w:rsidP="005435F7">
      <w:pPr>
        <w:keepNext/>
        <w:ind w:left="851"/>
        <w:rPr>
          <w:rFonts w:eastAsiaTheme="minorEastAsia"/>
          <w:color w:val="000000"/>
          <w:sz w:val="24"/>
          <w:szCs w:val="24"/>
          <w:u w:val="single"/>
          <w:lang w:eastAsia="zh-CN"/>
        </w:rPr>
      </w:pPr>
    </w:p>
    <w:p w:rsidR="005435F7" w:rsidRPr="009B3278" w:rsidRDefault="005435F7" w:rsidP="005435F7">
      <w:pPr>
        <w:keepNext/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u w:val="single"/>
          <w:lang w:eastAsia="zh-CN"/>
        </w:rPr>
        <w:t xml:space="preserve">Akut </w:t>
      </w:r>
      <w:r>
        <w:rPr>
          <w:rFonts w:eastAsiaTheme="minorEastAsia"/>
          <w:color w:val="000000"/>
          <w:sz w:val="24"/>
          <w:szCs w:val="24"/>
          <w:u w:val="single"/>
          <w:lang w:eastAsia="zh-CN"/>
        </w:rPr>
        <w:t>toksicitet</w:t>
      </w:r>
    </w:p>
    <w:p w:rsidR="005435F7" w:rsidRPr="009B3278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Undersøgelser udført på dyr </w:t>
      </w:r>
      <w:r>
        <w:rPr>
          <w:rFonts w:eastAsiaTheme="minorEastAsia"/>
          <w:color w:val="000000"/>
          <w:sz w:val="24"/>
          <w:szCs w:val="24"/>
          <w:lang w:eastAsia="zh-CN"/>
        </w:rPr>
        <w:t>vedrørende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akut </w:t>
      </w:r>
      <w:r>
        <w:rPr>
          <w:rFonts w:eastAsiaTheme="minorEastAsia"/>
          <w:color w:val="000000"/>
          <w:sz w:val="24"/>
          <w:szCs w:val="24"/>
          <w:lang w:eastAsia="zh-CN"/>
        </w:rPr>
        <w:t>toksicitet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indikerede ikke nogen </w:t>
      </w:r>
      <w:r>
        <w:rPr>
          <w:rFonts w:eastAsiaTheme="minorEastAsia"/>
          <w:color w:val="000000"/>
          <w:sz w:val="24"/>
          <w:szCs w:val="24"/>
          <w:lang w:eastAsia="zh-CN"/>
        </w:rPr>
        <w:t>toksisk effekt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>.</w:t>
      </w:r>
    </w:p>
    <w:p w:rsidR="005435F7" w:rsidRPr="009B3278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> </w:t>
      </w:r>
    </w:p>
    <w:p w:rsidR="005435F7" w:rsidRPr="009B3278" w:rsidRDefault="005435F7" w:rsidP="005435F7">
      <w:pPr>
        <w:keepNext/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u w:val="single"/>
          <w:lang w:eastAsia="zh-CN"/>
        </w:rPr>
        <w:t xml:space="preserve">Kronisk </w:t>
      </w:r>
      <w:r>
        <w:rPr>
          <w:rFonts w:eastAsiaTheme="minorEastAsia"/>
          <w:color w:val="000000"/>
          <w:sz w:val="24"/>
          <w:szCs w:val="24"/>
          <w:u w:val="single"/>
          <w:lang w:eastAsia="zh-CN"/>
        </w:rPr>
        <w:t>toksicitet</w:t>
      </w:r>
    </w:p>
    <w:p w:rsidR="005435F7" w:rsidRPr="009B3278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Subkroniske toksicitetsundersøgelser hos aber viste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hepatotoksiske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virkninger i de grupper, der fik høje doser, herunder funktionelle ændringer (fx leverenzymændringer) og morfologiske forandringer </w:t>
      </w:r>
      <w:r>
        <w:rPr>
          <w:rFonts w:eastAsiaTheme="minorEastAsia"/>
          <w:color w:val="000000"/>
          <w:sz w:val="24"/>
          <w:szCs w:val="24"/>
          <w:lang w:eastAsia="zh-CN"/>
        </w:rPr>
        <w:t xml:space="preserve">så 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som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gal</w:t>
      </w:r>
      <w:r>
        <w:rPr>
          <w:rFonts w:eastAsiaTheme="minorEastAsia"/>
          <w:color w:val="000000"/>
          <w:sz w:val="24"/>
          <w:szCs w:val="24"/>
          <w:lang w:eastAsia="zh-CN"/>
        </w:rPr>
        <w:t>deproliferation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, portalinflammatorisk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foci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og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hepatocellulær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nekrose. Disse toksiske virkninger skyldes sandsynligvis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lithocholsyre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, en metabolit af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ursodeoxycholsyre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>, som i aber - i modsætning til mennesker - ikke afgiftes.</w:t>
      </w:r>
    </w:p>
    <w:p w:rsidR="005435F7" w:rsidRPr="009B3278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Klinisk erfaring bekræfter, at de beskrevne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hepatotoksiske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virkninger ikke har nogen åbenbar relevans for mennesker.</w:t>
      </w:r>
    </w:p>
    <w:p w:rsidR="005435F7" w:rsidRPr="009B3278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> </w:t>
      </w:r>
    </w:p>
    <w:p w:rsidR="005435F7" w:rsidRPr="009B3278" w:rsidRDefault="005435F7" w:rsidP="005435F7">
      <w:pPr>
        <w:keepNext/>
        <w:ind w:left="851"/>
        <w:rPr>
          <w:rFonts w:eastAsiaTheme="minorEastAsia"/>
          <w:color w:val="000000"/>
          <w:sz w:val="24"/>
          <w:szCs w:val="24"/>
          <w:lang w:eastAsia="zh-CN"/>
        </w:rPr>
      </w:pPr>
      <w:proofErr w:type="spellStart"/>
      <w:r>
        <w:rPr>
          <w:rFonts w:eastAsiaTheme="minorEastAsia"/>
          <w:color w:val="000000"/>
          <w:sz w:val="24"/>
          <w:szCs w:val="24"/>
          <w:u w:val="single"/>
          <w:lang w:eastAsia="zh-CN"/>
        </w:rPr>
        <w:t>Karcinogenicitet</w:t>
      </w:r>
      <w:proofErr w:type="spellEnd"/>
      <w:r w:rsidRPr="009B3278">
        <w:rPr>
          <w:rFonts w:eastAsiaTheme="minorEastAsia"/>
          <w:color w:val="000000"/>
          <w:sz w:val="24"/>
          <w:szCs w:val="24"/>
          <w:u w:val="single"/>
          <w:lang w:eastAsia="zh-CN"/>
        </w:rPr>
        <w:t xml:space="preserve"> og mutagent potentiale</w:t>
      </w:r>
    </w:p>
    <w:p w:rsidR="005435F7" w:rsidRPr="009B3278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Langtidsstudier </w:t>
      </w:r>
      <w:r>
        <w:rPr>
          <w:rFonts w:eastAsiaTheme="minorEastAsia"/>
          <w:color w:val="000000"/>
          <w:sz w:val="24"/>
          <w:szCs w:val="24"/>
          <w:lang w:eastAsia="zh-CN"/>
        </w:rPr>
        <w:t>i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mus og rotter afslørede ingen tegn på, at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ursodeoxycholsyre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</w:t>
      </w:r>
      <w:r>
        <w:rPr>
          <w:rFonts w:eastAsiaTheme="minorEastAsia"/>
          <w:color w:val="000000"/>
          <w:sz w:val="24"/>
          <w:szCs w:val="24"/>
          <w:lang w:eastAsia="zh-CN"/>
        </w:rPr>
        <w:t xml:space="preserve">er </w:t>
      </w:r>
      <w:proofErr w:type="spellStart"/>
      <w:r>
        <w:rPr>
          <w:rFonts w:eastAsiaTheme="minorEastAsia"/>
          <w:color w:val="000000"/>
          <w:sz w:val="24"/>
          <w:szCs w:val="24"/>
          <w:lang w:eastAsia="zh-CN"/>
        </w:rPr>
        <w:t>karcinogent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>.</w:t>
      </w:r>
    </w:p>
    <w:p w:rsidR="005435F7" w:rsidRPr="009B3278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i/>
          <w:iCs/>
          <w:color w:val="000000"/>
          <w:sz w:val="24"/>
          <w:szCs w:val="24"/>
          <w:lang w:eastAsia="zh-CN"/>
        </w:rPr>
        <w:t xml:space="preserve">In </w:t>
      </w:r>
      <w:proofErr w:type="spellStart"/>
      <w:r w:rsidRPr="009B3278">
        <w:rPr>
          <w:rFonts w:eastAsiaTheme="minorEastAsia"/>
          <w:i/>
          <w:iCs/>
          <w:color w:val="000000"/>
          <w:sz w:val="24"/>
          <w:szCs w:val="24"/>
          <w:lang w:eastAsia="zh-CN"/>
        </w:rPr>
        <w:t>vitro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og </w:t>
      </w:r>
      <w:r w:rsidRPr="009B3278">
        <w:rPr>
          <w:rFonts w:eastAsiaTheme="minorEastAsia"/>
          <w:i/>
          <w:iCs/>
          <w:color w:val="000000"/>
          <w:sz w:val="24"/>
          <w:szCs w:val="24"/>
          <w:lang w:eastAsia="zh-CN"/>
        </w:rPr>
        <w:t xml:space="preserve">in </w:t>
      </w:r>
      <w:proofErr w:type="spellStart"/>
      <w:r w:rsidRPr="009B3278">
        <w:rPr>
          <w:rFonts w:eastAsiaTheme="minorEastAsia"/>
          <w:i/>
          <w:iCs/>
          <w:color w:val="000000"/>
          <w:sz w:val="24"/>
          <w:szCs w:val="24"/>
          <w:lang w:eastAsia="zh-CN"/>
        </w:rPr>
        <w:t>vivo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</w:t>
      </w:r>
      <w:r>
        <w:rPr>
          <w:rFonts w:eastAsiaTheme="minorEastAsia"/>
          <w:color w:val="000000"/>
          <w:sz w:val="24"/>
          <w:szCs w:val="24"/>
          <w:lang w:eastAsia="zh-CN"/>
        </w:rPr>
        <w:t>genotoksiske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forsøg med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ursodeoxycholsyre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var negative.</w:t>
      </w:r>
    </w:p>
    <w:p w:rsidR="005435F7" w:rsidRPr="009B3278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> </w:t>
      </w:r>
    </w:p>
    <w:p w:rsidR="005435F7" w:rsidRPr="009B3278" w:rsidRDefault="005435F7" w:rsidP="005435F7">
      <w:pPr>
        <w:keepNext/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u w:val="single"/>
          <w:lang w:eastAsia="zh-CN"/>
        </w:rPr>
        <w:t>Reproduktionstoksicitet</w:t>
      </w:r>
    </w:p>
    <w:p w:rsidR="005435F7" w:rsidRPr="00B153DC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I </w:t>
      </w:r>
      <w:r>
        <w:rPr>
          <w:rFonts w:eastAsiaTheme="minorEastAsia"/>
          <w:color w:val="000000"/>
          <w:sz w:val="24"/>
          <w:szCs w:val="24"/>
          <w:lang w:eastAsia="zh-CN"/>
        </w:rPr>
        <w:t>studier i rotter opstod der hale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misdannelser efter en dosis på 2.000 mg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ursodeoxycholsyre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pr. kg kropsvægt. </w:t>
      </w:r>
      <w:r>
        <w:rPr>
          <w:rFonts w:eastAsiaTheme="minorEastAsia"/>
          <w:color w:val="000000"/>
          <w:sz w:val="24"/>
          <w:szCs w:val="24"/>
          <w:lang w:eastAsia="zh-CN"/>
        </w:rPr>
        <w:t>I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kaniner blev der ikke fundet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teratogene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virkninger, selvom der var embryotoksiske virkninger (fra en dosis på 100 mg pr. kg kropsvægt).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Ursodeoxycholsyre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havde ingen effekt på frugtbarheden hos rotter og påvirker ikke peri-</w:t>
      </w:r>
      <w:r>
        <w:rPr>
          <w:rFonts w:eastAsiaTheme="minorEastAsia"/>
          <w:color w:val="000000"/>
          <w:sz w:val="24"/>
          <w:szCs w:val="24"/>
          <w:lang w:eastAsia="zh-CN"/>
        </w:rPr>
        <w:t>/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postnatal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udvikling af afkom.</w:t>
      </w:r>
    </w:p>
    <w:p w:rsidR="005435F7" w:rsidRPr="00C84483" w:rsidRDefault="005435F7" w:rsidP="005435F7">
      <w:pPr>
        <w:tabs>
          <w:tab w:val="left" w:pos="851"/>
        </w:tabs>
        <w:ind w:left="851"/>
        <w:rPr>
          <w:sz w:val="24"/>
          <w:szCs w:val="24"/>
        </w:rPr>
      </w:pPr>
    </w:p>
    <w:p w:rsidR="005435F7" w:rsidRPr="00C84483" w:rsidRDefault="005435F7" w:rsidP="005435F7">
      <w:pPr>
        <w:tabs>
          <w:tab w:val="left" w:pos="851"/>
        </w:tabs>
        <w:ind w:left="851"/>
        <w:rPr>
          <w:sz w:val="24"/>
          <w:szCs w:val="24"/>
        </w:rPr>
      </w:pPr>
    </w:p>
    <w:p w:rsidR="005435F7" w:rsidRPr="00C84483" w:rsidRDefault="005435F7" w:rsidP="005435F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</w:t>
      </w:r>
      <w:r w:rsidRPr="00C84483">
        <w:rPr>
          <w:b/>
          <w:sz w:val="24"/>
          <w:szCs w:val="24"/>
        </w:rPr>
        <w:tab/>
        <w:t>FARMACEUTISKE OPLYSNINGER</w:t>
      </w:r>
    </w:p>
    <w:p w:rsidR="005435F7" w:rsidRPr="00BA09F1" w:rsidRDefault="005435F7" w:rsidP="005435F7">
      <w:pPr>
        <w:tabs>
          <w:tab w:val="left" w:pos="851"/>
        </w:tabs>
        <w:ind w:left="851"/>
        <w:rPr>
          <w:sz w:val="24"/>
          <w:szCs w:val="24"/>
        </w:rPr>
      </w:pPr>
    </w:p>
    <w:p w:rsidR="005435F7" w:rsidRPr="00C84483" w:rsidRDefault="005435F7" w:rsidP="005435F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6.1</w:t>
      </w:r>
      <w:r w:rsidRPr="00C84483">
        <w:rPr>
          <w:b/>
          <w:sz w:val="24"/>
          <w:szCs w:val="24"/>
        </w:rPr>
        <w:tab/>
        <w:t>Hjælpestoffer</w:t>
      </w:r>
    </w:p>
    <w:p w:rsidR="005435F7" w:rsidRPr="009B3278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>Majsstivelse</w:t>
      </w:r>
    </w:p>
    <w:p w:rsidR="005435F7" w:rsidRPr="009B3278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 xml:space="preserve">Majsstivelse, </w:t>
      </w:r>
      <w:proofErr w:type="spellStart"/>
      <w:r>
        <w:rPr>
          <w:rFonts w:eastAsiaTheme="minorEastAsia"/>
          <w:color w:val="000000"/>
          <w:sz w:val="24"/>
          <w:szCs w:val="24"/>
          <w:lang w:eastAsia="zh-CN"/>
        </w:rPr>
        <w:t>pre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>gelatiniseret</w:t>
      </w:r>
      <w:proofErr w:type="spellEnd"/>
    </w:p>
    <w:p w:rsidR="005435F7" w:rsidRPr="009B3278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proofErr w:type="spellStart"/>
      <w:r>
        <w:rPr>
          <w:rFonts w:eastAsiaTheme="minorEastAsia"/>
          <w:color w:val="000000"/>
          <w:sz w:val="24"/>
          <w:szCs w:val="24"/>
          <w:lang w:eastAsia="zh-CN"/>
        </w:rPr>
        <w:lastRenderedPageBreak/>
        <w:t>Silic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>a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>, kolloid vandfri (E551)</w:t>
      </w:r>
    </w:p>
    <w:p w:rsidR="005435F7" w:rsidRPr="009B3278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Magnesiumstearat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(E470b)</w:t>
      </w:r>
    </w:p>
    <w:p w:rsidR="005435F7" w:rsidRPr="009B3278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>Gelatine (E441)</w:t>
      </w:r>
    </w:p>
    <w:p w:rsidR="005435F7" w:rsidRPr="003E49B3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>Titandioxid (E171)</w:t>
      </w:r>
    </w:p>
    <w:p w:rsidR="005435F7" w:rsidRPr="00C84483" w:rsidRDefault="005435F7" w:rsidP="005435F7">
      <w:pPr>
        <w:tabs>
          <w:tab w:val="left" w:pos="851"/>
        </w:tabs>
        <w:ind w:left="851"/>
        <w:rPr>
          <w:sz w:val="24"/>
          <w:szCs w:val="24"/>
        </w:rPr>
      </w:pPr>
    </w:p>
    <w:p w:rsidR="005435F7" w:rsidRPr="00C84483" w:rsidRDefault="005435F7" w:rsidP="005435F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6.2</w:t>
      </w:r>
      <w:r w:rsidRPr="00C84483">
        <w:rPr>
          <w:b/>
          <w:sz w:val="24"/>
          <w:szCs w:val="24"/>
        </w:rPr>
        <w:tab/>
        <w:t>Uforligeligheder</w:t>
      </w:r>
    </w:p>
    <w:p w:rsidR="005435F7" w:rsidRPr="003E49B3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282226">
        <w:rPr>
          <w:rFonts w:eastAsiaTheme="minorEastAsia"/>
          <w:color w:val="000000"/>
          <w:sz w:val="24"/>
          <w:szCs w:val="24"/>
          <w:lang w:eastAsia="zh-CN"/>
        </w:rPr>
        <w:t>Ikke relevant.</w:t>
      </w:r>
    </w:p>
    <w:p w:rsidR="005435F7" w:rsidRPr="00C84483" w:rsidRDefault="005435F7" w:rsidP="005435F7">
      <w:pPr>
        <w:tabs>
          <w:tab w:val="left" w:pos="851"/>
        </w:tabs>
        <w:ind w:left="851"/>
        <w:rPr>
          <w:sz w:val="24"/>
          <w:szCs w:val="24"/>
        </w:rPr>
      </w:pPr>
    </w:p>
    <w:p w:rsidR="005435F7" w:rsidRPr="00C84483" w:rsidRDefault="005435F7" w:rsidP="005435F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6.3</w:t>
      </w:r>
      <w:r w:rsidRPr="00C84483">
        <w:rPr>
          <w:b/>
          <w:sz w:val="24"/>
          <w:szCs w:val="24"/>
        </w:rPr>
        <w:tab/>
        <w:t>Opbevaringstid</w:t>
      </w:r>
    </w:p>
    <w:p w:rsidR="005435F7" w:rsidRPr="003E49B3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282226">
        <w:rPr>
          <w:rFonts w:eastAsiaTheme="minorEastAsia"/>
          <w:color w:val="000000"/>
          <w:sz w:val="24"/>
          <w:szCs w:val="24"/>
          <w:lang w:eastAsia="zh-CN"/>
        </w:rPr>
        <w:t>4 år.</w:t>
      </w:r>
    </w:p>
    <w:p w:rsidR="005435F7" w:rsidRPr="00C84483" w:rsidRDefault="005435F7" w:rsidP="005435F7">
      <w:pPr>
        <w:tabs>
          <w:tab w:val="left" w:pos="851"/>
        </w:tabs>
        <w:ind w:left="851"/>
        <w:rPr>
          <w:sz w:val="24"/>
          <w:szCs w:val="24"/>
        </w:rPr>
      </w:pPr>
    </w:p>
    <w:p w:rsidR="005435F7" w:rsidRPr="00C84483" w:rsidRDefault="005435F7" w:rsidP="005435F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6.4</w:t>
      </w:r>
      <w:r w:rsidRPr="00C84483">
        <w:rPr>
          <w:b/>
          <w:sz w:val="24"/>
          <w:szCs w:val="24"/>
        </w:rPr>
        <w:tab/>
        <w:t>Særlige opbevaringsforhold</w:t>
      </w:r>
    </w:p>
    <w:p w:rsidR="005435F7" w:rsidRPr="003E5695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282226">
        <w:rPr>
          <w:rFonts w:eastAsiaTheme="minorEastAsia"/>
          <w:color w:val="000000"/>
          <w:sz w:val="24"/>
          <w:szCs w:val="24"/>
          <w:lang w:eastAsia="zh-CN"/>
        </w:rPr>
        <w:t xml:space="preserve">Dette lægemiddel kræver ingen særlige </w:t>
      </w:r>
      <w:r>
        <w:rPr>
          <w:rFonts w:eastAsiaTheme="minorEastAsia"/>
          <w:color w:val="000000"/>
          <w:sz w:val="24"/>
          <w:szCs w:val="24"/>
          <w:lang w:eastAsia="zh-CN"/>
        </w:rPr>
        <w:t>forholdsregler vedrørende opbevaringen</w:t>
      </w:r>
      <w:r w:rsidRPr="00282226">
        <w:rPr>
          <w:rFonts w:eastAsiaTheme="minorEastAsia"/>
          <w:color w:val="000000"/>
          <w:sz w:val="24"/>
          <w:szCs w:val="24"/>
          <w:lang w:eastAsia="zh-CN"/>
        </w:rPr>
        <w:t>.</w:t>
      </w:r>
    </w:p>
    <w:p w:rsidR="005435F7" w:rsidRPr="00C84483" w:rsidRDefault="005435F7" w:rsidP="005435F7">
      <w:pPr>
        <w:tabs>
          <w:tab w:val="left" w:pos="851"/>
        </w:tabs>
        <w:ind w:left="851"/>
        <w:rPr>
          <w:sz w:val="24"/>
          <w:szCs w:val="24"/>
        </w:rPr>
      </w:pPr>
    </w:p>
    <w:p w:rsidR="005435F7" w:rsidRPr="00C84483" w:rsidRDefault="005435F7" w:rsidP="005435F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6.5</w:t>
      </w:r>
      <w:r w:rsidRPr="00C84483">
        <w:rPr>
          <w:b/>
          <w:sz w:val="24"/>
          <w:szCs w:val="24"/>
        </w:rPr>
        <w:tab/>
        <w:t>Emballagetyper og pakningsstørrelser</w:t>
      </w:r>
    </w:p>
    <w:p w:rsidR="005435F7" w:rsidRPr="0074272F" w:rsidRDefault="00005149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Blister.</w:t>
      </w:r>
    </w:p>
    <w:p w:rsidR="005435F7" w:rsidRPr="00C84483" w:rsidRDefault="005435F7" w:rsidP="005435F7">
      <w:pPr>
        <w:tabs>
          <w:tab w:val="left" w:pos="851"/>
        </w:tabs>
        <w:ind w:left="851"/>
        <w:rPr>
          <w:sz w:val="24"/>
          <w:szCs w:val="24"/>
        </w:rPr>
      </w:pPr>
    </w:p>
    <w:p w:rsidR="005435F7" w:rsidRPr="00C84483" w:rsidRDefault="005435F7" w:rsidP="005435F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6.6</w:t>
      </w:r>
      <w:r w:rsidRPr="00C84483">
        <w:rPr>
          <w:b/>
          <w:sz w:val="24"/>
          <w:szCs w:val="24"/>
        </w:rPr>
        <w:tab/>
        <w:t>Regler for destruktion og anden håndtering</w:t>
      </w:r>
    </w:p>
    <w:p w:rsidR="005435F7" w:rsidRPr="006863FA" w:rsidRDefault="005435F7" w:rsidP="005435F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282226">
        <w:rPr>
          <w:rFonts w:eastAsiaTheme="minorEastAsia"/>
          <w:color w:val="000000"/>
          <w:sz w:val="24"/>
          <w:szCs w:val="24"/>
          <w:lang w:eastAsia="zh-CN"/>
        </w:rPr>
        <w:t>Ingen særlige forholdsregler.</w:t>
      </w:r>
    </w:p>
    <w:p w:rsidR="005435F7" w:rsidRPr="00C84483" w:rsidRDefault="005435F7" w:rsidP="005435F7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5435F7" w:rsidRPr="00C84483" w:rsidRDefault="005435F7" w:rsidP="005435F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7.</w:t>
      </w:r>
      <w:r w:rsidRPr="00C84483">
        <w:rPr>
          <w:b/>
          <w:sz w:val="24"/>
          <w:szCs w:val="24"/>
        </w:rPr>
        <w:tab/>
        <w:t>INDEHAVER AF MARKEDSFØRINGSTILLADELSEN</w:t>
      </w:r>
    </w:p>
    <w:p w:rsidR="00005149" w:rsidRPr="00005149" w:rsidRDefault="00005149" w:rsidP="00005149">
      <w:pPr>
        <w:ind w:left="851"/>
        <w:rPr>
          <w:lang w:val="en-US"/>
        </w:rPr>
      </w:pPr>
      <w:r w:rsidRPr="00005149">
        <w:rPr>
          <w:lang w:val="en-US"/>
        </w:rPr>
        <w:t xml:space="preserve">Nordic Prime </w:t>
      </w:r>
      <w:proofErr w:type="spellStart"/>
      <w:r w:rsidRPr="00005149">
        <w:rPr>
          <w:lang w:val="en-US"/>
        </w:rPr>
        <w:t>ApS</w:t>
      </w:r>
      <w:proofErr w:type="spellEnd"/>
    </w:p>
    <w:p w:rsidR="00005149" w:rsidRPr="00005149" w:rsidRDefault="00005149" w:rsidP="00005149">
      <w:pPr>
        <w:ind w:left="851"/>
        <w:rPr>
          <w:lang w:val="en-US"/>
        </w:rPr>
      </w:pPr>
      <w:r w:rsidRPr="00005149">
        <w:rPr>
          <w:lang w:val="en-US"/>
        </w:rPr>
        <w:t xml:space="preserve">Niels </w:t>
      </w:r>
      <w:proofErr w:type="spellStart"/>
      <w:r w:rsidRPr="00005149">
        <w:rPr>
          <w:lang w:val="en-US"/>
        </w:rPr>
        <w:t>Bohrs</w:t>
      </w:r>
      <w:proofErr w:type="spellEnd"/>
      <w:r w:rsidRPr="00005149">
        <w:rPr>
          <w:lang w:val="en-US"/>
        </w:rPr>
        <w:t xml:space="preserve"> </w:t>
      </w:r>
      <w:proofErr w:type="spellStart"/>
      <w:r w:rsidRPr="00005149">
        <w:rPr>
          <w:lang w:val="en-US"/>
        </w:rPr>
        <w:t>Vej</w:t>
      </w:r>
      <w:proofErr w:type="spellEnd"/>
      <w:r w:rsidRPr="00005149">
        <w:rPr>
          <w:lang w:val="en-US"/>
        </w:rPr>
        <w:t xml:space="preserve"> 6</w:t>
      </w:r>
    </w:p>
    <w:p w:rsidR="00005149" w:rsidRPr="00060745" w:rsidRDefault="00005149" w:rsidP="00005149">
      <w:pPr>
        <w:ind w:left="851"/>
      </w:pPr>
      <w:r w:rsidRPr="00060745">
        <w:t>6700 Esbjerg</w:t>
      </w:r>
    </w:p>
    <w:p w:rsidR="00005149" w:rsidRPr="00060745" w:rsidRDefault="00005149" w:rsidP="00E83A95"/>
    <w:p w:rsidR="005435F7" w:rsidRPr="00060745" w:rsidRDefault="005435F7" w:rsidP="005435F7">
      <w:pPr>
        <w:tabs>
          <w:tab w:val="left" w:pos="851"/>
        </w:tabs>
        <w:ind w:left="851"/>
        <w:rPr>
          <w:sz w:val="24"/>
          <w:szCs w:val="24"/>
        </w:rPr>
      </w:pPr>
    </w:p>
    <w:p w:rsidR="005435F7" w:rsidRPr="00C84483" w:rsidRDefault="005435F7" w:rsidP="005435F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8.</w:t>
      </w:r>
      <w:r w:rsidRPr="00C84483">
        <w:rPr>
          <w:b/>
          <w:sz w:val="24"/>
          <w:szCs w:val="24"/>
        </w:rPr>
        <w:tab/>
        <w:t>MARKEDSFØRINGSTILLADELSESNUMMER (NUMRE)</w:t>
      </w:r>
    </w:p>
    <w:p w:rsidR="005435F7" w:rsidRPr="00C84483" w:rsidRDefault="00005149" w:rsidP="005435F7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73606</w:t>
      </w:r>
    </w:p>
    <w:p w:rsidR="005435F7" w:rsidRPr="00C84483" w:rsidRDefault="005435F7" w:rsidP="005435F7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5435F7" w:rsidRPr="00C84483" w:rsidRDefault="005435F7" w:rsidP="005435F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9.</w:t>
      </w:r>
      <w:r w:rsidRPr="00C84483">
        <w:rPr>
          <w:b/>
          <w:sz w:val="24"/>
          <w:szCs w:val="24"/>
        </w:rPr>
        <w:tab/>
        <w:t>DATO FOR FØRSTE MARKEDSFØRINGSTILLADELSE</w:t>
      </w:r>
    </w:p>
    <w:p w:rsidR="005435F7" w:rsidRPr="00C84483" w:rsidRDefault="00005149" w:rsidP="005435F7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2</w:t>
      </w:r>
      <w:r w:rsidR="00060745">
        <w:rPr>
          <w:sz w:val="24"/>
          <w:szCs w:val="24"/>
        </w:rPr>
        <w:t>5</w:t>
      </w:r>
      <w:bookmarkStart w:id="0" w:name="_GoBack"/>
      <w:bookmarkEnd w:id="0"/>
      <w:r>
        <w:rPr>
          <w:sz w:val="24"/>
          <w:szCs w:val="24"/>
        </w:rPr>
        <w:t>. juni 2025</w:t>
      </w:r>
    </w:p>
    <w:p w:rsidR="005435F7" w:rsidRPr="00C84483" w:rsidRDefault="005435F7" w:rsidP="005435F7">
      <w:pPr>
        <w:tabs>
          <w:tab w:val="left" w:pos="851"/>
        </w:tabs>
        <w:ind w:left="851"/>
        <w:rPr>
          <w:sz w:val="24"/>
          <w:szCs w:val="24"/>
        </w:rPr>
      </w:pPr>
    </w:p>
    <w:p w:rsidR="005435F7" w:rsidRPr="00C84483" w:rsidRDefault="005435F7" w:rsidP="005435F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10.</w:t>
      </w:r>
      <w:r w:rsidRPr="00C84483">
        <w:rPr>
          <w:b/>
          <w:sz w:val="24"/>
          <w:szCs w:val="24"/>
        </w:rPr>
        <w:tab/>
        <w:t>DATO FOR ÆNDRING AF TEKSTEN</w:t>
      </w:r>
    </w:p>
    <w:p w:rsidR="005435F7" w:rsidRPr="00C84483" w:rsidRDefault="00005149" w:rsidP="005435F7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5435F7" w:rsidRPr="001110FF" w:rsidRDefault="005435F7" w:rsidP="005435F7"/>
    <w:p w:rsidR="005435F7" w:rsidRPr="00237D73" w:rsidRDefault="005435F7" w:rsidP="005435F7"/>
    <w:p w:rsidR="009260DE" w:rsidRPr="005435F7" w:rsidRDefault="009260DE" w:rsidP="005435F7"/>
    <w:sectPr w:rsidR="009260DE" w:rsidRPr="005435F7" w:rsidSect="000259B9">
      <w:footerReference w:type="default" r:id="rId8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5F7" w:rsidRDefault="005435F7">
      <w:r>
        <w:separator/>
      </w:r>
    </w:p>
  </w:endnote>
  <w:endnote w:type="continuationSeparator" w:id="0">
    <w:p w:rsidR="005435F7" w:rsidRDefault="0054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005149">
      <w:rPr>
        <w:i/>
        <w:noProof/>
        <w:sz w:val="18"/>
        <w:szCs w:val="18"/>
      </w:rPr>
      <w:t>Urgaldex (Nordic Prime), hårde kapsler 250 mg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5F7" w:rsidRDefault="005435F7">
      <w:r>
        <w:separator/>
      </w:r>
    </w:p>
  </w:footnote>
  <w:footnote w:type="continuationSeparator" w:id="0">
    <w:p w:rsidR="005435F7" w:rsidRDefault="00543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4B568C0"/>
    <w:multiLevelType w:val="hybridMultilevel"/>
    <w:tmpl w:val="7474E3CA"/>
    <w:lvl w:ilvl="0" w:tplc="4EDA7052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F7"/>
    <w:rsid w:val="00005149"/>
    <w:rsid w:val="000259B9"/>
    <w:rsid w:val="00041491"/>
    <w:rsid w:val="00050D16"/>
    <w:rsid w:val="00060745"/>
    <w:rsid w:val="00074F2A"/>
    <w:rsid w:val="000A1CA8"/>
    <w:rsid w:val="000A466B"/>
    <w:rsid w:val="000B058C"/>
    <w:rsid w:val="000E4EE6"/>
    <w:rsid w:val="000F5351"/>
    <w:rsid w:val="001454E2"/>
    <w:rsid w:val="00206CE8"/>
    <w:rsid w:val="0021526C"/>
    <w:rsid w:val="00283A2B"/>
    <w:rsid w:val="002B30AD"/>
    <w:rsid w:val="002C2C01"/>
    <w:rsid w:val="003A29AE"/>
    <w:rsid w:val="003A32D7"/>
    <w:rsid w:val="003B4074"/>
    <w:rsid w:val="003C769A"/>
    <w:rsid w:val="003F1838"/>
    <w:rsid w:val="0045746C"/>
    <w:rsid w:val="0049104B"/>
    <w:rsid w:val="004E3B12"/>
    <w:rsid w:val="00532310"/>
    <w:rsid w:val="005435F7"/>
    <w:rsid w:val="00560ECC"/>
    <w:rsid w:val="00565F0F"/>
    <w:rsid w:val="00594A86"/>
    <w:rsid w:val="00596D86"/>
    <w:rsid w:val="00637F5A"/>
    <w:rsid w:val="006560B1"/>
    <w:rsid w:val="006756DD"/>
    <w:rsid w:val="00737275"/>
    <w:rsid w:val="00740EEC"/>
    <w:rsid w:val="0078011A"/>
    <w:rsid w:val="00782AF4"/>
    <w:rsid w:val="00790EE7"/>
    <w:rsid w:val="007B6649"/>
    <w:rsid w:val="0081546F"/>
    <w:rsid w:val="0082576E"/>
    <w:rsid w:val="00907F75"/>
    <w:rsid w:val="009260DE"/>
    <w:rsid w:val="0093258A"/>
    <w:rsid w:val="009C7BA3"/>
    <w:rsid w:val="009D1F5A"/>
    <w:rsid w:val="00B003BF"/>
    <w:rsid w:val="00B373D7"/>
    <w:rsid w:val="00B93B1A"/>
    <w:rsid w:val="00C36276"/>
    <w:rsid w:val="00C42586"/>
    <w:rsid w:val="00C60CCD"/>
    <w:rsid w:val="00C84483"/>
    <w:rsid w:val="00C95551"/>
    <w:rsid w:val="00CB20D7"/>
    <w:rsid w:val="00D020B0"/>
    <w:rsid w:val="00D11748"/>
    <w:rsid w:val="00D366CF"/>
    <w:rsid w:val="00E108AA"/>
    <w:rsid w:val="00E31812"/>
    <w:rsid w:val="00E3749A"/>
    <w:rsid w:val="00E7437F"/>
    <w:rsid w:val="00E865B8"/>
    <w:rsid w:val="00EC0B9B"/>
    <w:rsid w:val="00ED5E9F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A32A27"/>
  <w15:chartTrackingRefBased/>
  <w15:docId w15:val="{06AA6978-9E44-4225-99E8-AF7B5A804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2196</Words>
  <Characters>13875</Characters>
  <Application>Microsoft Office Word</Application>
  <DocSecurity>0</DocSecurity>
  <Lines>115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Camilla Sværke Hansen</dc:creator>
  <cp:keywords/>
  <dc:description>2025034399 - Nyt PI SPC</dc:description>
  <cp:lastModifiedBy>Camilla Sværke Hansen</cp:lastModifiedBy>
  <cp:revision>7</cp:revision>
  <cp:lastPrinted>2012-08-22T08:53:00Z</cp:lastPrinted>
  <dcterms:created xsi:type="dcterms:W3CDTF">2020-03-31T00:44:00Z</dcterms:created>
  <dcterms:modified xsi:type="dcterms:W3CDTF">2025-06-25T11:50:00Z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