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39740" w14:textId="36B5A238" w:rsidR="00B003BF" w:rsidRPr="00C84483" w:rsidRDefault="00A45796" w:rsidP="00B003BF">
      <w:pPr>
        <w:rPr>
          <w:sz w:val="24"/>
          <w:szCs w:val="24"/>
        </w:rPr>
      </w:pPr>
      <w:r>
        <w:rPr>
          <w:noProof/>
          <w:lang w:eastAsia="da-DK"/>
        </w:rPr>
        <w:drawing>
          <wp:inline distT="0" distB="0" distL="0" distR="0" wp14:anchorId="3D30B9C6" wp14:editId="542F53FB">
            <wp:extent cx="3040380" cy="861060"/>
            <wp:effectExtent l="0" t="0" r="7620" b="0"/>
            <wp:docPr id="3" name="Billede 1"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_auto_st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040380" cy="861060"/>
                    </a:xfrm>
                    <a:prstGeom prst="rect">
                      <a:avLst/>
                    </a:prstGeom>
                    <a:noFill/>
                    <a:ln>
                      <a:noFill/>
                    </a:ln>
                  </pic:spPr>
                </pic:pic>
              </a:graphicData>
            </a:graphic>
          </wp:inline>
        </w:drawing>
      </w:r>
    </w:p>
    <w:p w14:paraId="587E4EB6" w14:textId="19EB8C23" w:rsidR="00B003BF" w:rsidRPr="00C84483" w:rsidRDefault="00B003BF" w:rsidP="00B003BF">
      <w:pPr>
        <w:pStyle w:val="Titel"/>
        <w:tabs>
          <w:tab w:val="right" w:pos="9356"/>
        </w:tabs>
        <w:jc w:val="left"/>
        <w:rPr>
          <w:b w:val="0"/>
          <w:szCs w:val="24"/>
          <w:lang w:eastAsia="en-US"/>
        </w:rPr>
      </w:pPr>
    </w:p>
    <w:p w14:paraId="009E7B81" w14:textId="6B29AA1C" w:rsidR="00B003BF" w:rsidRPr="00C84483" w:rsidRDefault="00B003BF" w:rsidP="00B003BF">
      <w:pPr>
        <w:pStyle w:val="Titel"/>
        <w:tabs>
          <w:tab w:val="right" w:pos="9356"/>
        </w:tabs>
        <w:jc w:val="left"/>
        <w:rPr>
          <w:b w:val="0"/>
          <w:szCs w:val="24"/>
          <w:lang w:eastAsia="en-US"/>
        </w:rPr>
      </w:pPr>
      <w:r w:rsidRPr="00C84483">
        <w:rPr>
          <w:b w:val="0"/>
          <w:szCs w:val="24"/>
          <w:lang w:eastAsia="en-US"/>
        </w:rPr>
        <w:tab/>
      </w:r>
      <w:r w:rsidR="002D2E99">
        <w:rPr>
          <w:szCs w:val="24"/>
        </w:rPr>
        <w:t>7</w:t>
      </w:r>
      <w:r w:rsidR="00AD5AB8">
        <w:rPr>
          <w:szCs w:val="24"/>
        </w:rPr>
        <w:t xml:space="preserve">. </w:t>
      </w:r>
      <w:r w:rsidR="002D2E99">
        <w:rPr>
          <w:szCs w:val="24"/>
        </w:rPr>
        <w:t>august</w:t>
      </w:r>
      <w:r w:rsidR="00AD5AB8">
        <w:rPr>
          <w:szCs w:val="24"/>
        </w:rPr>
        <w:t xml:space="preserve"> 2018</w:t>
      </w:r>
    </w:p>
    <w:p w14:paraId="5AF4C01B" w14:textId="1D79271A" w:rsidR="00B003BF" w:rsidRPr="00C84483" w:rsidRDefault="00B003BF" w:rsidP="00B003BF">
      <w:pPr>
        <w:pStyle w:val="Titel"/>
        <w:tabs>
          <w:tab w:val="left" w:pos="8222"/>
        </w:tabs>
        <w:jc w:val="left"/>
        <w:rPr>
          <w:b w:val="0"/>
          <w:szCs w:val="24"/>
        </w:rPr>
      </w:pPr>
    </w:p>
    <w:p w14:paraId="7A7AA725" w14:textId="77777777" w:rsidR="00B003BF" w:rsidRPr="00C84483" w:rsidRDefault="00B003BF" w:rsidP="00B003BF">
      <w:pPr>
        <w:pStyle w:val="Titel"/>
        <w:jc w:val="left"/>
        <w:rPr>
          <w:b w:val="0"/>
          <w:szCs w:val="24"/>
        </w:rPr>
      </w:pPr>
    </w:p>
    <w:p w14:paraId="4E6B2BDA" w14:textId="77777777" w:rsidR="00B003BF" w:rsidRPr="00C84483" w:rsidRDefault="00B003BF" w:rsidP="00B003BF">
      <w:pPr>
        <w:pStyle w:val="Titel"/>
        <w:jc w:val="left"/>
        <w:rPr>
          <w:b w:val="0"/>
          <w:szCs w:val="24"/>
        </w:rPr>
      </w:pPr>
    </w:p>
    <w:p w14:paraId="007E3C51" w14:textId="77777777" w:rsidR="00B003BF" w:rsidRPr="00C84483" w:rsidRDefault="00B003BF" w:rsidP="00B003BF">
      <w:pPr>
        <w:jc w:val="center"/>
        <w:rPr>
          <w:b/>
          <w:sz w:val="24"/>
          <w:szCs w:val="24"/>
        </w:rPr>
      </w:pPr>
      <w:r w:rsidRPr="00C84483">
        <w:rPr>
          <w:b/>
          <w:sz w:val="24"/>
          <w:szCs w:val="24"/>
        </w:rPr>
        <w:t>PRODUKTRESUMÉ</w:t>
      </w:r>
    </w:p>
    <w:p w14:paraId="05DC950B" w14:textId="77777777" w:rsidR="00B003BF" w:rsidRPr="00C84483" w:rsidRDefault="00B003BF" w:rsidP="00B003BF">
      <w:pPr>
        <w:jc w:val="center"/>
        <w:rPr>
          <w:b/>
          <w:sz w:val="24"/>
          <w:szCs w:val="24"/>
        </w:rPr>
      </w:pPr>
    </w:p>
    <w:p w14:paraId="7A4E8183" w14:textId="77777777" w:rsidR="00B003BF" w:rsidRPr="00C84483" w:rsidRDefault="00B003BF" w:rsidP="00B003BF">
      <w:pPr>
        <w:jc w:val="center"/>
        <w:rPr>
          <w:b/>
          <w:sz w:val="24"/>
          <w:szCs w:val="24"/>
        </w:rPr>
      </w:pPr>
      <w:r w:rsidRPr="00C84483">
        <w:rPr>
          <w:b/>
          <w:sz w:val="24"/>
          <w:szCs w:val="24"/>
        </w:rPr>
        <w:t>for</w:t>
      </w:r>
    </w:p>
    <w:p w14:paraId="30CB84F8" w14:textId="77777777" w:rsidR="00B003BF" w:rsidRPr="00C84483" w:rsidRDefault="00B003BF" w:rsidP="00B003BF">
      <w:pPr>
        <w:jc w:val="center"/>
        <w:rPr>
          <w:b/>
          <w:sz w:val="24"/>
          <w:szCs w:val="24"/>
        </w:rPr>
      </w:pPr>
    </w:p>
    <w:p w14:paraId="0AB8FAC9" w14:textId="6BFACAE9" w:rsidR="00B003BF" w:rsidRPr="00C84483" w:rsidRDefault="00BA0D6C" w:rsidP="00B003BF">
      <w:pPr>
        <w:jc w:val="center"/>
        <w:rPr>
          <w:b/>
          <w:sz w:val="24"/>
          <w:szCs w:val="24"/>
        </w:rPr>
      </w:pPr>
      <w:r>
        <w:rPr>
          <w:b/>
          <w:sz w:val="24"/>
          <w:szCs w:val="24"/>
        </w:rPr>
        <w:t>Ursochol, hårde kapsler</w:t>
      </w:r>
    </w:p>
    <w:p w14:paraId="75799894" w14:textId="77777777" w:rsidR="00B003BF" w:rsidRPr="00F55FC2" w:rsidRDefault="00B003BF" w:rsidP="00F55FC2">
      <w:pPr>
        <w:ind w:left="851" w:hanging="851"/>
        <w:jc w:val="both"/>
        <w:rPr>
          <w:sz w:val="24"/>
          <w:szCs w:val="24"/>
        </w:rPr>
      </w:pPr>
    </w:p>
    <w:p w14:paraId="54DF625F" w14:textId="77777777" w:rsidR="00B003BF" w:rsidRPr="00F55FC2" w:rsidRDefault="00B003BF" w:rsidP="00F55FC2">
      <w:pPr>
        <w:ind w:left="851" w:hanging="851"/>
        <w:jc w:val="both"/>
        <w:rPr>
          <w:sz w:val="24"/>
          <w:szCs w:val="24"/>
        </w:rPr>
      </w:pPr>
    </w:p>
    <w:p w14:paraId="18CDB30D" w14:textId="77777777" w:rsidR="00B003BF" w:rsidRPr="00F55FC2" w:rsidRDefault="00B003BF" w:rsidP="00F55FC2">
      <w:pPr>
        <w:tabs>
          <w:tab w:val="left" w:pos="851"/>
        </w:tabs>
        <w:ind w:left="851" w:hanging="851"/>
        <w:rPr>
          <w:b/>
          <w:sz w:val="24"/>
          <w:szCs w:val="24"/>
        </w:rPr>
      </w:pPr>
      <w:r w:rsidRPr="00F55FC2">
        <w:rPr>
          <w:b/>
          <w:sz w:val="24"/>
          <w:szCs w:val="24"/>
        </w:rPr>
        <w:t>0.</w:t>
      </w:r>
      <w:r w:rsidRPr="00F55FC2">
        <w:rPr>
          <w:b/>
          <w:sz w:val="24"/>
          <w:szCs w:val="24"/>
        </w:rPr>
        <w:tab/>
        <w:t>D.SP.NR.</w:t>
      </w:r>
    </w:p>
    <w:p w14:paraId="265AB9B7" w14:textId="6FDC965F" w:rsidR="00B003BF" w:rsidRPr="00F55FC2" w:rsidRDefault="00B003BF" w:rsidP="00F55FC2">
      <w:pPr>
        <w:tabs>
          <w:tab w:val="left" w:pos="851"/>
        </w:tabs>
        <w:ind w:left="851" w:hanging="851"/>
        <w:rPr>
          <w:sz w:val="24"/>
          <w:szCs w:val="24"/>
        </w:rPr>
      </w:pPr>
      <w:r w:rsidRPr="00F55FC2">
        <w:rPr>
          <w:sz w:val="24"/>
          <w:szCs w:val="24"/>
        </w:rPr>
        <w:tab/>
      </w:r>
      <w:r w:rsidR="00BA0D6C" w:rsidRPr="00F55FC2">
        <w:rPr>
          <w:sz w:val="24"/>
          <w:szCs w:val="24"/>
        </w:rPr>
        <w:t>28968</w:t>
      </w:r>
    </w:p>
    <w:p w14:paraId="0193599B" w14:textId="77777777" w:rsidR="00B003BF" w:rsidRPr="00F55FC2" w:rsidRDefault="00B003BF" w:rsidP="00F55FC2">
      <w:pPr>
        <w:tabs>
          <w:tab w:val="left" w:pos="851"/>
        </w:tabs>
        <w:ind w:left="851" w:hanging="851"/>
        <w:rPr>
          <w:sz w:val="24"/>
          <w:szCs w:val="24"/>
        </w:rPr>
      </w:pPr>
    </w:p>
    <w:p w14:paraId="0CE144A9" w14:textId="77777777" w:rsidR="00B003BF" w:rsidRPr="00F55FC2" w:rsidRDefault="00B003BF" w:rsidP="00F55FC2">
      <w:pPr>
        <w:tabs>
          <w:tab w:val="left" w:pos="851"/>
        </w:tabs>
        <w:ind w:left="851" w:hanging="851"/>
        <w:rPr>
          <w:b/>
          <w:sz w:val="24"/>
          <w:szCs w:val="24"/>
        </w:rPr>
      </w:pPr>
      <w:r w:rsidRPr="00F55FC2">
        <w:rPr>
          <w:b/>
          <w:sz w:val="24"/>
          <w:szCs w:val="24"/>
        </w:rPr>
        <w:t>1.</w:t>
      </w:r>
      <w:r w:rsidRPr="00F55FC2">
        <w:rPr>
          <w:b/>
          <w:sz w:val="24"/>
          <w:szCs w:val="24"/>
        </w:rPr>
        <w:tab/>
        <w:t>LÆGEMIDLETS NAVN</w:t>
      </w:r>
    </w:p>
    <w:p w14:paraId="3913C776" w14:textId="40535BB8" w:rsidR="00B003BF" w:rsidRPr="00F55FC2" w:rsidRDefault="00B003BF" w:rsidP="00F55FC2">
      <w:pPr>
        <w:tabs>
          <w:tab w:val="left" w:pos="851"/>
        </w:tabs>
        <w:ind w:left="851" w:hanging="851"/>
        <w:rPr>
          <w:sz w:val="24"/>
          <w:szCs w:val="24"/>
        </w:rPr>
      </w:pPr>
      <w:r w:rsidRPr="00F55FC2">
        <w:rPr>
          <w:sz w:val="24"/>
          <w:szCs w:val="24"/>
        </w:rPr>
        <w:tab/>
      </w:r>
      <w:r w:rsidR="00BA0D6C" w:rsidRPr="00F55FC2">
        <w:rPr>
          <w:sz w:val="24"/>
          <w:szCs w:val="24"/>
        </w:rPr>
        <w:t>Ursochol</w:t>
      </w:r>
    </w:p>
    <w:p w14:paraId="46D7C475" w14:textId="77777777" w:rsidR="00B003BF" w:rsidRPr="00F55FC2" w:rsidRDefault="00B003BF" w:rsidP="00F55FC2">
      <w:pPr>
        <w:tabs>
          <w:tab w:val="left" w:pos="851"/>
        </w:tabs>
        <w:ind w:left="851" w:hanging="851"/>
        <w:rPr>
          <w:sz w:val="24"/>
          <w:szCs w:val="24"/>
        </w:rPr>
      </w:pPr>
      <w:r w:rsidRPr="00F55FC2">
        <w:rPr>
          <w:sz w:val="24"/>
          <w:szCs w:val="24"/>
        </w:rPr>
        <w:tab/>
      </w:r>
    </w:p>
    <w:p w14:paraId="5E98A2B4" w14:textId="77777777" w:rsidR="00B003BF" w:rsidRPr="00F55FC2" w:rsidRDefault="00B003BF" w:rsidP="00F55FC2">
      <w:pPr>
        <w:tabs>
          <w:tab w:val="left" w:pos="851"/>
        </w:tabs>
        <w:ind w:left="851" w:hanging="851"/>
        <w:rPr>
          <w:b/>
          <w:sz w:val="24"/>
          <w:szCs w:val="24"/>
        </w:rPr>
      </w:pPr>
      <w:r w:rsidRPr="00F55FC2">
        <w:rPr>
          <w:b/>
          <w:sz w:val="24"/>
          <w:szCs w:val="24"/>
        </w:rPr>
        <w:t>2.</w:t>
      </w:r>
      <w:r w:rsidRPr="00F55FC2">
        <w:rPr>
          <w:b/>
          <w:sz w:val="24"/>
          <w:szCs w:val="24"/>
        </w:rPr>
        <w:tab/>
        <w:t>KVALITATIV OG KVANTITATIV SAMMENSÆTNING</w:t>
      </w:r>
    </w:p>
    <w:p w14:paraId="4C821785" w14:textId="77777777" w:rsidR="00F55FC2" w:rsidRPr="00F55FC2" w:rsidRDefault="00B003BF" w:rsidP="00F55FC2">
      <w:pPr>
        <w:widowControl w:val="0"/>
        <w:ind w:left="851" w:hanging="851"/>
        <w:rPr>
          <w:sz w:val="24"/>
          <w:szCs w:val="24"/>
        </w:rPr>
      </w:pPr>
      <w:r w:rsidRPr="00F55FC2">
        <w:rPr>
          <w:sz w:val="24"/>
          <w:szCs w:val="24"/>
        </w:rPr>
        <w:tab/>
      </w:r>
      <w:r w:rsidR="00F55FC2" w:rsidRPr="00F55FC2">
        <w:rPr>
          <w:sz w:val="24"/>
          <w:szCs w:val="24"/>
        </w:rPr>
        <w:t>Hver kapsel indeholder 250 eller 500 mg ursodeoxycholsyre.</w:t>
      </w:r>
    </w:p>
    <w:p w14:paraId="35CD14C5" w14:textId="77777777" w:rsidR="00F55FC2" w:rsidRPr="00F55FC2" w:rsidRDefault="00F55FC2" w:rsidP="00F55FC2">
      <w:pPr>
        <w:ind w:left="851" w:hanging="851"/>
        <w:rPr>
          <w:sz w:val="24"/>
          <w:szCs w:val="24"/>
        </w:rPr>
      </w:pPr>
    </w:p>
    <w:p w14:paraId="17A2A009" w14:textId="77777777" w:rsidR="00F55FC2" w:rsidRPr="00F55FC2" w:rsidRDefault="00F55FC2" w:rsidP="00F55FC2">
      <w:pPr>
        <w:ind w:left="851"/>
        <w:rPr>
          <w:sz w:val="24"/>
          <w:szCs w:val="24"/>
        </w:rPr>
      </w:pPr>
      <w:r w:rsidRPr="00F55FC2">
        <w:rPr>
          <w:sz w:val="24"/>
          <w:szCs w:val="24"/>
        </w:rPr>
        <w:t>Alle hjælpestoffer er anført under pkt. 6.1.</w:t>
      </w:r>
    </w:p>
    <w:p w14:paraId="39ABCFED" w14:textId="77777777" w:rsidR="00B003BF" w:rsidRPr="00F55FC2" w:rsidRDefault="00B003BF" w:rsidP="00F55FC2">
      <w:pPr>
        <w:tabs>
          <w:tab w:val="left" w:pos="851"/>
        </w:tabs>
        <w:ind w:left="851" w:hanging="851"/>
        <w:rPr>
          <w:sz w:val="24"/>
          <w:szCs w:val="24"/>
        </w:rPr>
      </w:pPr>
    </w:p>
    <w:p w14:paraId="0F549CC7" w14:textId="77777777" w:rsidR="00B003BF" w:rsidRPr="00F55FC2" w:rsidRDefault="00B003BF" w:rsidP="00F55FC2">
      <w:pPr>
        <w:tabs>
          <w:tab w:val="left" w:pos="851"/>
        </w:tabs>
        <w:ind w:left="851" w:hanging="851"/>
        <w:rPr>
          <w:b/>
          <w:sz w:val="24"/>
          <w:szCs w:val="24"/>
        </w:rPr>
      </w:pPr>
      <w:r w:rsidRPr="00F55FC2">
        <w:rPr>
          <w:b/>
          <w:sz w:val="24"/>
          <w:szCs w:val="24"/>
        </w:rPr>
        <w:t>3.</w:t>
      </w:r>
      <w:r w:rsidRPr="00F55FC2">
        <w:rPr>
          <w:b/>
          <w:sz w:val="24"/>
          <w:szCs w:val="24"/>
        </w:rPr>
        <w:tab/>
        <w:t>LÆGEMIDDELFORM</w:t>
      </w:r>
    </w:p>
    <w:p w14:paraId="07FF9B75" w14:textId="29EC04C4" w:rsidR="00F55FC2" w:rsidRPr="00F55FC2" w:rsidRDefault="00B003BF" w:rsidP="00F55FC2">
      <w:pPr>
        <w:ind w:left="851" w:hanging="851"/>
        <w:rPr>
          <w:sz w:val="24"/>
          <w:szCs w:val="24"/>
          <w:lang w:val="nb-NO"/>
        </w:rPr>
      </w:pPr>
      <w:r w:rsidRPr="00F55FC2">
        <w:rPr>
          <w:sz w:val="24"/>
          <w:szCs w:val="24"/>
        </w:rPr>
        <w:tab/>
      </w:r>
      <w:r w:rsidR="00897128">
        <w:rPr>
          <w:sz w:val="24"/>
          <w:szCs w:val="24"/>
        </w:rPr>
        <w:t>Hårde k</w:t>
      </w:r>
      <w:r w:rsidR="00F55FC2" w:rsidRPr="00F55FC2">
        <w:rPr>
          <w:sz w:val="24"/>
          <w:szCs w:val="24"/>
          <w:lang w:val="nb-NO"/>
        </w:rPr>
        <w:t>apsler.</w:t>
      </w:r>
    </w:p>
    <w:p w14:paraId="73FB7F10" w14:textId="77777777" w:rsidR="00F55FC2" w:rsidRPr="00F55FC2" w:rsidRDefault="00F55FC2" w:rsidP="00F55FC2">
      <w:pPr>
        <w:ind w:left="851" w:hanging="851"/>
        <w:rPr>
          <w:sz w:val="24"/>
          <w:szCs w:val="24"/>
          <w:lang w:val="nb-NO"/>
        </w:rPr>
      </w:pPr>
    </w:p>
    <w:p w14:paraId="1246856C" w14:textId="77777777" w:rsidR="00F55FC2" w:rsidRPr="00F55FC2" w:rsidRDefault="00F55FC2" w:rsidP="00F55FC2">
      <w:pPr>
        <w:ind w:left="851"/>
        <w:rPr>
          <w:sz w:val="24"/>
          <w:szCs w:val="24"/>
          <w:lang w:val="nb-NO"/>
        </w:rPr>
      </w:pPr>
      <w:r w:rsidRPr="00F55FC2">
        <w:rPr>
          <w:sz w:val="24"/>
          <w:szCs w:val="24"/>
          <w:lang w:val="nb-NO"/>
        </w:rPr>
        <w:t>250 mg: hvid kapsel, ca. 8 x 22 mm.</w:t>
      </w:r>
    </w:p>
    <w:p w14:paraId="36793669" w14:textId="77777777" w:rsidR="00F55FC2" w:rsidRPr="00F55FC2" w:rsidRDefault="00F55FC2" w:rsidP="00F55FC2">
      <w:pPr>
        <w:ind w:left="851" w:hanging="851"/>
        <w:rPr>
          <w:sz w:val="24"/>
          <w:szCs w:val="24"/>
          <w:lang w:val="nb-NO"/>
        </w:rPr>
      </w:pPr>
    </w:p>
    <w:p w14:paraId="63291A22" w14:textId="77777777" w:rsidR="00F55FC2" w:rsidRPr="00F55FC2" w:rsidRDefault="00F55FC2" w:rsidP="00F55FC2">
      <w:pPr>
        <w:ind w:left="851"/>
        <w:rPr>
          <w:sz w:val="24"/>
          <w:szCs w:val="24"/>
          <w:lang w:val="nb-NO"/>
        </w:rPr>
      </w:pPr>
      <w:r w:rsidRPr="00F55FC2">
        <w:rPr>
          <w:sz w:val="24"/>
          <w:szCs w:val="24"/>
          <w:lang w:val="nb-NO"/>
        </w:rPr>
        <w:t>500 mg: hvid kapsel, ca. 9 x 23 mm.</w:t>
      </w:r>
    </w:p>
    <w:p w14:paraId="72F91052" w14:textId="77777777" w:rsidR="00B003BF" w:rsidRDefault="00B003BF" w:rsidP="00F55FC2">
      <w:pPr>
        <w:tabs>
          <w:tab w:val="left" w:pos="851"/>
        </w:tabs>
        <w:ind w:left="851" w:hanging="851"/>
        <w:rPr>
          <w:sz w:val="24"/>
          <w:szCs w:val="24"/>
        </w:rPr>
      </w:pPr>
    </w:p>
    <w:p w14:paraId="39896AFE" w14:textId="77777777" w:rsidR="00F55FC2" w:rsidRPr="00F55FC2" w:rsidRDefault="00F55FC2" w:rsidP="00F55FC2">
      <w:pPr>
        <w:tabs>
          <w:tab w:val="left" w:pos="851"/>
        </w:tabs>
        <w:ind w:left="851" w:hanging="851"/>
        <w:rPr>
          <w:sz w:val="24"/>
          <w:szCs w:val="24"/>
        </w:rPr>
      </w:pPr>
    </w:p>
    <w:p w14:paraId="57F41EEF" w14:textId="77777777" w:rsidR="00B003BF" w:rsidRPr="00F55FC2" w:rsidRDefault="00B003BF" w:rsidP="00F55FC2">
      <w:pPr>
        <w:tabs>
          <w:tab w:val="left" w:pos="851"/>
        </w:tabs>
        <w:ind w:left="851" w:hanging="851"/>
        <w:rPr>
          <w:b/>
          <w:sz w:val="24"/>
          <w:szCs w:val="24"/>
        </w:rPr>
      </w:pPr>
      <w:r w:rsidRPr="00F55FC2">
        <w:rPr>
          <w:b/>
          <w:sz w:val="24"/>
          <w:szCs w:val="24"/>
        </w:rPr>
        <w:t>4.</w:t>
      </w:r>
      <w:r w:rsidRPr="00F55FC2">
        <w:rPr>
          <w:b/>
          <w:sz w:val="24"/>
          <w:szCs w:val="24"/>
        </w:rPr>
        <w:tab/>
        <w:t>KLINISKE OPLYSNINGER</w:t>
      </w:r>
    </w:p>
    <w:p w14:paraId="4B53AE7C" w14:textId="77777777" w:rsidR="00B003BF" w:rsidRPr="00F55FC2" w:rsidRDefault="00B003BF" w:rsidP="00F55FC2">
      <w:pPr>
        <w:tabs>
          <w:tab w:val="left" w:pos="851"/>
        </w:tabs>
        <w:ind w:left="851" w:hanging="851"/>
        <w:rPr>
          <w:b/>
          <w:sz w:val="24"/>
          <w:szCs w:val="24"/>
        </w:rPr>
      </w:pPr>
    </w:p>
    <w:p w14:paraId="6459A7F5" w14:textId="77777777" w:rsidR="00B003BF" w:rsidRPr="00F55FC2" w:rsidRDefault="00B003BF" w:rsidP="00F55FC2">
      <w:pPr>
        <w:tabs>
          <w:tab w:val="left" w:pos="851"/>
        </w:tabs>
        <w:ind w:left="851" w:hanging="851"/>
        <w:rPr>
          <w:b/>
          <w:sz w:val="24"/>
          <w:szCs w:val="24"/>
          <w:u w:val="single"/>
        </w:rPr>
      </w:pPr>
      <w:r w:rsidRPr="00F55FC2">
        <w:rPr>
          <w:b/>
          <w:sz w:val="24"/>
          <w:szCs w:val="24"/>
        </w:rPr>
        <w:t>4.1</w:t>
      </w:r>
      <w:r w:rsidRPr="00F55FC2">
        <w:rPr>
          <w:b/>
          <w:sz w:val="24"/>
          <w:szCs w:val="24"/>
        </w:rPr>
        <w:tab/>
        <w:t>Terapeutiske indikationer</w:t>
      </w:r>
    </w:p>
    <w:p w14:paraId="1910CB9C" w14:textId="77777777" w:rsidR="00F55FC2" w:rsidRPr="00F55FC2" w:rsidRDefault="00F55FC2" w:rsidP="00F55FC2">
      <w:pPr>
        <w:autoSpaceDE w:val="0"/>
        <w:autoSpaceDN w:val="0"/>
        <w:adjustRightInd w:val="0"/>
        <w:ind w:left="851"/>
        <w:rPr>
          <w:sz w:val="24"/>
          <w:szCs w:val="24"/>
        </w:rPr>
      </w:pPr>
      <w:r w:rsidRPr="00F55FC2">
        <w:rPr>
          <w:sz w:val="24"/>
          <w:szCs w:val="24"/>
        </w:rPr>
        <w:t>Til opløsning af kolesterolgaldesten i galdeblæren. Galdestenene skal være røntgen-negative og have en diameter på under 15 mm. Galdeblæren skal fungere på trods af galdestenen/galdestenene.</w:t>
      </w:r>
    </w:p>
    <w:p w14:paraId="345FD279" w14:textId="77777777" w:rsidR="00F55FC2" w:rsidRPr="00F55FC2" w:rsidRDefault="00F55FC2" w:rsidP="00F55FC2">
      <w:pPr>
        <w:autoSpaceDE w:val="0"/>
        <w:autoSpaceDN w:val="0"/>
        <w:adjustRightInd w:val="0"/>
        <w:ind w:left="851" w:hanging="851"/>
        <w:rPr>
          <w:sz w:val="24"/>
          <w:szCs w:val="24"/>
          <w:lang w:eastAsia="da-DK"/>
        </w:rPr>
      </w:pPr>
    </w:p>
    <w:p w14:paraId="5B1A4BA4" w14:textId="77777777" w:rsidR="00F55FC2" w:rsidRPr="00F55FC2" w:rsidRDefault="00F55FC2" w:rsidP="00F55FC2">
      <w:pPr>
        <w:ind w:left="851"/>
        <w:rPr>
          <w:sz w:val="24"/>
          <w:szCs w:val="24"/>
          <w:lang w:val="nb-NO"/>
        </w:rPr>
      </w:pPr>
      <w:r w:rsidRPr="00F55FC2">
        <w:rPr>
          <w:sz w:val="24"/>
          <w:szCs w:val="24"/>
          <w:lang w:val="nb-NO"/>
        </w:rPr>
        <w:t>Primær biliær cirrose (PBC) trin I – III.</w:t>
      </w:r>
    </w:p>
    <w:p w14:paraId="1AD4AAB2" w14:textId="77777777" w:rsidR="00F55FC2" w:rsidRPr="00F55FC2" w:rsidRDefault="00F55FC2" w:rsidP="00F55FC2">
      <w:pPr>
        <w:ind w:left="851" w:hanging="851"/>
        <w:rPr>
          <w:sz w:val="24"/>
          <w:szCs w:val="24"/>
          <w:lang w:val="nb-NO" w:eastAsia="da-DK"/>
        </w:rPr>
      </w:pPr>
    </w:p>
    <w:p w14:paraId="6BA53984" w14:textId="77777777" w:rsidR="00F55FC2" w:rsidRPr="00F55FC2" w:rsidRDefault="00F55FC2" w:rsidP="00F55FC2">
      <w:pPr>
        <w:ind w:left="851"/>
        <w:rPr>
          <w:i/>
          <w:sz w:val="24"/>
          <w:szCs w:val="24"/>
        </w:rPr>
      </w:pPr>
      <w:r w:rsidRPr="00F55FC2">
        <w:rPr>
          <w:i/>
          <w:sz w:val="24"/>
          <w:szCs w:val="24"/>
        </w:rPr>
        <w:t>Pædiatrisk population</w:t>
      </w:r>
    </w:p>
    <w:p w14:paraId="3C9C6867" w14:textId="77777777" w:rsidR="00F55FC2" w:rsidRPr="00F55FC2" w:rsidRDefault="00F55FC2" w:rsidP="00F55FC2">
      <w:pPr>
        <w:ind w:left="851"/>
        <w:rPr>
          <w:sz w:val="24"/>
          <w:szCs w:val="24"/>
        </w:rPr>
      </w:pPr>
      <w:r w:rsidRPr="00F55FC2">
        <w:rPr>
          <w:sz w:val="24"/>
          <w:szCs w:val="24"/>
        </w:rPr>
        <w:t>Hepatobiliære sygdomme forbundet med cystisk fibrose hos børn fra 6 til 18 år.</w:t>
      </w:r>
    </w:p>
    <w:p w14:paraId="6C968F9E" w14:textId="77789BBF" w:rsidR="00B003BF" w:rsidRPr="00F55FC2" w:rsidRDefault="007361AD" w:rsidP="00F55FC2">
      <w:pPr>
        <w:tabs>
          <w:tab w:val="left" w:pos="851"/>
        </w:tabs>
        <w:ind w:left="851" w:hanging="851"/>
        <w:rPr>
          <w:sz w:val="24"/>
          <w:szCs w:val="24"/>
        </w:rPr>
      </w:pPr>
      <w:r>
        <w:rPr>
          <w:sz w:val="24"/>
          <w:szCs w:val="24"/>
        </w:rPr>
        <w:br w:type="page"/>
      </w:r>
    </w:p>
    <w:p w14:paraId="6710A458" w14:textId="77777777" w:rsidR="00B003BF" w:rsidRPr="00F55FC2" w:rsidRDefault="00B003BF" w:rsidP="00F55FC2">
      <w:pPr>
        <w:tabs>
          <w:tab w:val="left" w:pos="851"/>
        </w:tabs>
        <w:ind w:left="851" w:hanging="851"/>
        <w:rPr>
          <w:b/>
          <w:sz w:val="24"/>
          <w:szCs w:val="24"/>
        </w:rPr>
      </w:pPr>
      <w:r w:rsidRPr="00F55FC2">
        <w:rPr>
          <w:b/>
          <w:sz w:val="24"/>
          <w:szCs w:val="24"/>
        </w:rPr>
        <w:lastRenderedPageBreak/>
        <w:t>4.2</w:t>
      </w:r>
      <w:r w:rsidRPr="00F55FC2">
        <w:rPr>
          <w:b/>
          <w:sz w:val="24"/>
          <w:szCs w:val="24"/>
        </w:rPr>
        <w:tab/>
        <w:t>Dosering og indgivelsesmåde</w:t>
      </w:r>
    </w:p>
    <w:p w14:paraId="1FFD643F" w14:textId="77777777" w:rsidR="00F55FC2" w:rsidRPr="00F55FC2" w:rsidRDefault="00B003BF" w:rsidP="00F55FC2">
      <w:pPr>
        <w:ind w:left="851" w:hanging="851"/>
        <w:rPr>
          <w:sz w:val="24"/>
          <w:szCs w:val="24"/>
        </w:rPr>
      </w:pPr>
      <w:r w:rsidRPr="00F55FC2">
        <w:rPr>
          <w:sz w:val="24"/>
          <w:szCs w:val="24"/>
        </w:rPr>
        <w:tab/>
      </w:r>
    </w:p>
    <w:p w14:paraId="56FB9941" w14:textId="1FFAB6D9" w:rsidR="00F55FC2" w:rsidRPr="00F55FC2" w:rsidRDefault="00F55FC2" w:rsidP="00897128">
      <w:pPr>
        <w:ind w:left="851"/>
        <w:rPr>
          <w:sz w:val="24"/>
          <w:szCs w:val="24"/>
          <w:u w:val="single"/>
        </w:rPr>
      </w:pPr>
      <w:r w:rsidRPr="00F55FC2">
        <w:rPr>
          <w:i/>
          <w:sz w:val="24"/>
          <w:szCs w:val="24"/>
        </w:rPr>
        <w:t>Til opløsning af symptomatiske, røntgen-negative galdesten med eller uden forudgående, ekstrakorporal chockbølge litotripsi</w:t>
      </w:r>
      <w:r w:rsidR="007361AD">
        <w:rPr>
          <w:i/>
          <w:sz w:val="24"/>
          <w:szCs w:val="24"/>
        </w:rPr>
        <w:t>:</w:t>
      </w:r>
    </w:p>
    <w:p w14:paraId="0D3340B0" w14:textId="77777777" w:rsidR="00F55FC2" w:rsidRPr="00F55FC2" w:rsidRDefault="00F55FC2" w:rsidP="00897128">
      <w:pPr>
        <w:autoSpaceDE w:val="0"/>
        <w:autoSpaceDN w:val="0"/>
        <w:adjustRightInd w:val="0"/>
        <w:ind w:left="851"/>
        <w:rPr>
          <w:sz w:val="24"/>
          <w:szCs w:val="24"/>
        </w:rPr>
      </w:pPr>
      <w:r w:rsidRPr="00F55FC2">
        <w:rPr>
          <w:sz w:val="24"/>
          <w:szCs w:val="24"/>
        </w:rPr>
        <w:t>Den daglige dosis afhænger af kropsvægten og ligger mellem 10 – 12 mg/kg legemsvægt pr. dag fordelt på to doser.</w:t>
      </w:r>
    </w:p>
    <w:p w14:paraId="02454CE6" w14:textId="77777777" w:rsidR="00F55FC2" w:rsidRPr="002B0075" w:rsidRDefault="00F55FC2" w:rsidP="00F55FC2">
      <w:pPr>
        <w:ind w:left="851" w:hanging="851"/>
        <w:rPr>
          <w:sz w:val="24"/>
          <w:szCs w:val="24"/>
        </w:rPr>
      </w:pPr>
    </w:p>
    <w:p w14:paraId="37A3C66F" w14:textId="77777777" w:rsidR="00F55FC2" w:rsidRPr="00F55FC2" w:rsidRDefault="00F55FC2" w:rsidP="00897128">
      <w:pPr>
        <w:ind w:left="851"/>
        <w:rPr>
          <w:sz w:val="24"/>
          <w:szCs w:val="24"/>
        </w:rPr>
      </w:pPr>
      <w:r w:rsidRPr="00F55FC2">
        <w:rPr>
          <w:sz w:val="24"/>
          <w:szCs w:val="24"/>
        </w:rPr>
        <w:t>Behandling af galdesten med ursodeoxycholsyre kræver en fungerende galdeblære.</w:t>
      </w:r>
    </w:p>
    <w:p w14:paraId="2100509E" w14:textId="77777777" w:rsidR="00F55FC2" w:rsidRPr="00F55FC2" w:rsidRDefault="00F55FC2" w:rsidP="00F55FC2">
      <w:pPr>
        <w:ind w:left="851" w:hanging="851"/>
        <w:rPr>
          <w:sz w:val="24"/>
          <w:szCs w:val="24"/>
        </w:rPr>
      </w:pPr>
    </w:p>
    <w:p w14:paraId="24218209" w14:textId="77777777" w:rsidR="00F55FC2" w:rsidRPr="00F55FC2" w:rsidRDefault="00F55FC2" w:rsidP="00897128">
      <w:pPr>
        <w:ind w:left="851"/>
        <w:rPr>
          <w:sz w:val="24"/>
          <w:szCs w:val="24"/>
        </w:rPr>
      </w:pPr>
      <w:r w:rsidRPr="00F55FC2">
        <w:rPr>
          <w:sz w:val="24"/>
          <w:szCs w:val="24"/>
        </w:rPr>
        <w:t>Den tid, der kræves for opløsning af galdesten, er generelt 6-24 måneder. Hvis størrelsen på galdestenene ikke er reduceret inden 12 måneder, skal behandlingen afsluttes.</w:t>
      </w:r>
    </w:p>
    <w:p w14:paraId="3486556F" w14:textId="5E7FA76C" w:rsidR="00F55FC2" w:rsidRPr="00F55FC2" w:rsidRDefault="00F55FC2" w:rsidP="00F55FC2">
      <w:pPr>
        <w:ind w:left="851" w:hanging="851"/>
        <w:rPr>
          <w:sz w:val="24"/>
          <w:szCs w:val="24"/>
        </w:rPr>
      </w:pPr>
    </w:p>
    <w:p w14:paraId="208845B7" w14:textId="77777777" w:rsidR="00F55FC2" w:rsidRPr="00F55FC2" w:rsidRDefault="00F55FC2" w:rsidP="00897128">
      <w:pPr>
        <w:autoSpaceDE w:val="0"/>
        <w:autoSpaceDN w:val="0"/>
        <w:adjustRightInd w:val="0"/>
        <w:ind w:left="851"/>
        <w:rPr>
          <w:i/>
          <w:sz w:val="24"/>
          <w:szCs w:val="24"/>
        </w:rPr>
      </w:pPr>
      <w:r w:rsidRPr="00F55FC2">
        <w:rPr>
          <w:i/>
          <w:sz w:val="24"/>
          <w:szCs w:val="24"/>
        </w:rPr>
        <w:t>Behandling af primær biliær cirrose (PBC):</w:t>
      </w:r>
    </w:p>
    <w:p w14:paraId="26E72E69" w14:textId="5A0F005D" w:rsidR="00F55FC2" w:rsidRPr="00F55FC2" w:rsidRDefault="00F55FC2" w:rsidP="00897128">
      <w:pPr>
        <w:autoSpaceDE w:val="0"/>
        <w:autoSpaceDN w:val="0"/>
        <w:adjustRightInd w:val="0"/>
        <w:ind w:left="851"/>
        <w:rPr>
          <w:sz w:val="24"/>
          <w:szCs w:val="24"/>
        </w:rPr>
      </w:pPr>
      <w:r w:rsidRPr="00F55FC2">
        <w:rPr>
          <w:sz w:val="24"/>
          <w:szCs w:val="24"/>
        </w:rPr>
        <w:t>Den daglige dosis afhænger af kropsvægten og ligger i intervallet 12-16 mg ursodeoxycholsyre/kg</w:t>
      </w:r>
      <w:r w:rsidR="002B0075">
        <w:rPr>
          <w:sz w:val="24"/>
          <w:szCs w:val="24"/>
        </w:rPr>
        <w:t xml:space="preserve"> legemsvægt</w:t>
      </w:r>
      <w:r w:rsidRPr="00F55FC2">
        <w:rPr>
          <w:sz w:val="24"/>
          <w:szCs w:val="24"/>
        </w:rPr>
        <w:t>.</w:t>
      </w:r>
    </w:p>
    <w:p w14:paraId="0DEC3D14" w14:textId="77777777" w:rsidR="00F55FC2" w:rsidRPr="00F55FC2" w:rsidRDefault="00F55FC2" w:rsidP="00F55FC2">
      <w:pPr>
        <w:autoSpaceDE w:val="0"/>
        <w:autoSpaceDN w:val="0"/>
        <w:adjustRightInd w:val="0"/>
        <w:ind w:left="851" w:hanging="851"/>
        <w:rPr>
          <w:sz w:val="24"/>
          <w:szCs w:val="24"/>
          <w:lang w:eastAsia="da-DK"/>
        </w:rPr>
      </w:pPr>
    </w:p>
    <w:p w14:paraId="3AEFCDF5" w14:textId="77777777" w:rsidR="00F55FC2" w:rsidRPr="00F55FC2" w:rsidRDefault="00F55FC2" w:rsidP="00897128">
      <w:pPr>
        <w:autoSpaceDE w:val="0"/>
        <w:autoSpaceDN w:val="0"/>
        <w:adjustRightInd w:val="0"/>
        <w:ind w:left="851"/>
        <w:rPr>
          <w:sz w:val="24"/>
          <w:szCs w:val="24"/>
        </w:rPr>
      </w:pPr>
      <w:r w:rsidRPr="00F55FC2">
        <w:rPr>
          <w:sz w:val="24"/>
          <w:szCs w:val="24"/>
        </w:rPr>
        <w:t>I de første 3 måneder af behandlingen skal Ursochol doserne fordeles over dagen.</w:t>
      </w:r>
    </w:p>
    <w:p w14:paraId="1CBCF17E" w14:textId="77777777" w:rsidR="00F55FC2" w:rsidRPr="00F55FC2" w:rsidRDefault="00F55FC2" w:rsidP="00897128">
      <w:pPr>
        <w:autoSpaceDE w:val="0"/>
        <w:autoSpaceDN w:val="0"/>
        <w:adjustRightInd w:val="0"/>
        <w:ind w:left="851"/>
        <w:rPr>
          <w:sz w:val="24"/>
          <w:szCs w:val="24"/>
        </w:rPr>
      </w:pPr>
      <w:r w:rsidRPr="00F55FC2">
        <w:rPr>
          <w:sz w:val="24"/>
          <w:szCs w:val="24"/>
        </w:rPr>
        <w:t>Når leverværdierne forbedres, kan den daglige dosis tages én gang dagligt, helst om aftenen.</w:t>
      </w:r>
    </w:p>
    <w:p w14:paraId="07495101" w14:textId="77777777" w:rsidR="00F55FC2" w:rsidRPr="00F55FC2" w:rsidRDefault="00F55FC2" w:rsidP="002B0075">
      <w:pPr>
        <w:autoSpaceDE w:val="0"/>
        <w:autoSpaceDN w:val="0"/>
        <w:adjustRightInd w:val="0"/>
        <w:rPr>
          <w:sz w:val="24"/>
          <w:szCs w:val="24"/>
          <w:lang w:eastAsia="da-DK"/>
        </w:rPr>
      </w:pPr>
    </w:p>
    <w:tbl>
      <w:tblPr>
        <w:tblStyle w:val="Tabel-Gitter"/>
        <w:tblW w:w="5000" w:type="pct"/>
        <w:tblLook w:val="04A0" w:firstRow="1" w:lastRow="0" w:firstColumn="1" w:lastColumn="0" w:noHBand="0" w:noVBand="1"/>
      </w:tblPr>
      <w:tblGrid>
        <w:gridCol w:w="1207"/>
        <w:gridCol w:w="1186"/>
        <w:gridCol w:w="1739"/>
        <w:gridCol w:w="1739"/>
        <w:gridCol w:w="1739"/>
        <w:gridCol w:w="2018"/>
      </w:tblGrid>
      <w:tr w:rsidR="00F55FC2" w:rsidRPr="00F55FC2" w14:paraId="44951C1E" w14:textId="77777777" w:rsidTr="002B0075">
        <w:tc>
          <w:tcPr>
            <w:tcW w:w="627" w:type="pct"/>
            <w:vMerge w:val="restart"/>
            <w:tcBorders>
              <w:top w:val="single" w:sz="4" w:space="0" w:color="auto"/>
              <w:left w:val="single" w:sz="4" w:space="0" w:color="auto"/>
              <w:bottom w:val="single" w:sz="4" w:space="0" w:color="auto"/>
              <w:right w:val="single" w:sz="4" w:space="0" w:color="auto"/>
            </w:tcBorders>
            <w:hideMark/>
          </w:tcPr>
          <w:p w14:paraId="22B55AEC" w14:textId="77777777" w:rsidR="00F55FC2" w:rsidRPr="00F55FC2" w:rsidRDefault="00F55FC2" w:rsidP="002B0075">
            <w:pPr>
              <w:autoSpaceDE w:val="0"/>
              <w:autoSpaceDN w:val="0"/>
              <w:adjustRightInd w:val="0"/>
              <w:rPr>
                <w:sz w:val="24"/>
                <w:szCs w:val="24"/>
              </w:rPr>
            </w:pPr>
            <w:r w:rsidRPr="00F55FC2">
              <w:rPr>
                <w:sz w:val="24"/>
                <w:szCs w:val="24"/>
              </w:rPr>
              <w:t>krops-vægt (kg)</w:t>
            </w:r>
          </w:p>
        </w:tc>
        <w:tc>
          <w:tcPr>
            <w:tcW w:w="616" w:type="pct"/>
            <w:vMerge w:val="restart"/>
            <w:tcBorders>
              <w:top w:val="single" w:sz="4" w:space="0" w:color="auto"/>
              <w:left w:val="single" w:sz="4" w:space="0" w:color="auto"/>
              <w:bottom w:val="single" w:sz="4" w:space="0" w:color="auto"/>
              <w:right w:val="single" w:sz="4" w:space="0" w:color="auto"/>
            </w:tcBorders>
            <w:hideMark/>
          </w:tcPr>
          <w:p w14:paraId="226DD51F" w14:textId="77777777" w:rsidR="00F55FC2" w:rsidRPr="00F55FC2" w:rsidRDefault="00F55FC2" w:rsidP="002B0075">
            <w:pPr>
              <w:autoSpaceDE w:val="0"/>
              <w:autoSpaceDN w:val="0"/>
              <w:adjustRightInd w:val="0"/>
              <w:rPr>
                <w:sz w:val="24"/>
                <w:szCs w:val="24"/>
              </w:rPr>
            </w:pPr>
            <w:r w:rsidRPr="00F55FC2">
              <w:rPr>
                <w:sz w:val="24"/>
                <w:szCs w:val="24"/>
              </w:rPr>
              <w:t>Daglig dosis</w:t>
            </w:r>
          </w:p>
          <w:p w14:paraId="6A95C161" w14:textId="77777777" w:rsidR="00F55FC2" w:rsidRPr="00F55FC2" w:rsidRDefault="00F55FC2" w:rsidP="002B0075">
            <w:pPr>
              <w:autoSpaceDE w:val="0"/>
              <w:autoSpaceDN w:val="0"/>
              <w:adjustRightInd w:val="0"/>
              <w:rPr>
                <w:sz w:val="24"/>
                <w:szCs w:val="24"/>
              </w:rPr>
            </w:pPr>
            <w:r w:rsidRPr="00F55FC2">
              <w:rPr>
                <w:sz w:val="24"/>
                <w:szCs w:val="24"/>
              </w:rPr>
              <w:t>(mg/kg krops-vægt)</w:t>
            </w:r>
          </w:p>
        </w:tc>
        <w:tc>
          <w:tcPr>
            <w:tcW w:w="3758" w:type="pct"/>
            <w:gridSpan w:val="4"/>
            <w:tcBorders>
              <w:top w:val="single" w:sz="4" w:space="0" w:color="auto"/>
              <w:left w:val="single" w:sz="4" w:space="0" w:color="auto"/>
              <w:bottom w:val="single" w:sz="4" w:space="0" w:color="auto"/>
              <w:right w:val="single" w:sz="4" w:space="0" w:color="auto"/>
            </w:tcBorders>
            <w:hideMark/>
          </w:tcPr>
          <w:p w14:paraId="0E288C25" w14:textId="77777777" w:rsidR="00F55FC2" w:rsidRPr="00F55FC2" w:rsidRDefault="00F55FC2" w:rsidP="002B0075">
            <w:pPr>
              <w:autoSpaceDE w:val="0"/>
              <w:autoSpaceDN w:val="0"/>
              <w:adjustRightInd w:val="0"/>
              <w:jc w:val="center"/>
              <w:rPr>
                <w:sz w:val="24"/>
                <w:szCs w:val="24"/>
              </w:rPr>
            </w:pPr>
            <w:r w:rsidRPr="00F55FC2">
              <w:rPr>
                <w:sz w:val="24"/>
                <w:szCs w:val="24"/>
              </w:rPr>
              <w:t>Hårde kapsler</w:t>
            </w:r>
          </w:p>
        </w:tc>
      </w:tr>
      <w:tr w:rsidR="00F55FC2" w:rsidRPr="00F55FC2" w14:paraId="5848A311" w14:textId="77777777" w:rsidTr="002B0075">
        <w:tc>
          <w:tcPr>
            <w:tcW w:w="627" w:type="pct"/>
            <w:vMerge/>
            <w:tcBorders>
              <w:top w:val="single" w:sz="4" w:space="0" w:color="auto"/>
              <w:left w:val="single" w:sz="4" w:space="0" w:color="auto"/>
              <w:bottom w:val="single" w:sz="4" w:space="0" w:color="auto"/>
              <w:right w:val="single" w:sz="4" w:space="0" w:color="auto"/>
            </w:tcBorders>
            <w:vAlign w:val="center"/>
            <w:hideMark/>
          </w:tcPr>
          <w:p w14:paraId="276478FA" w14:textId="77777777" w:rsidR="00F55FC2" w:rsidRPr="00F55FC2" w:rsidRDefault="00F55FC2" w:rsidP="002B0075">
            <w:pPr>
              <w:rPr>
                <w:sz w:val="24"/>
                <w:szCs w:val="24"/>
              </w:rPr>
            </w:pPr>
          </w:p>
        </w:tc>
        <w:tc>
          <w:tcPr>
            <w:tcW w:w="616" w:type="pct"/>
            <w:vMerge/>
            <w:tcBorders>
              <w:top w:val="single" w:sz="4" w:space="0" w:color="auto"/>
              <w:left w:val="single" w:sz="4" w:space="0" w:color="auto"/>
              <w:bottom w:val="single" w:sz="4" w:space="0" w:color="auto"/>
              <w:right w:val="single" w:sz="4" w:space="0" w:color="auto"/>
            </w:tcBorders>
            <w:vAlign w:val="center"/>
            <w:hideMark/>
          </w:tcPr>
          <w:p w14:paraId="5481CCA3" w14:textId="77777777" w:rsidR="00F55FC2" w:rsidRPr="00F55FC2" w:rsidRDefault="00F55FC2" w:rsidP="002B0075">
            <w:pPr>
              <w:rPr>
                <w:sz w:val="24"/>
                <w:szCs w:val="24"/>
              </w:rPr>
            </w:pPr>
          </w:p>
        </w:tc>
        <w:tc>
          <w:tcPr>
            <w:tcW w:w="2709" w:type="pct"/>
            <w:gridSpan w:val="3"/>
            <w:tcBorders>
              <w:top w:val="single" w:sz="4" w:space="0" w:color="auto"/>
              <w:left w:val="single" w:sz="4" w:space="0" w:color="auto"/>
              <w:bottom w:val="single" w:sz="4" w:space="0" w:color="auto"/>
              <w:right w:val="single" w:sz="4" w:space="0" w:color="auto"/>
            </w:tcBorders>
            <w:hideMark/>
          </w:tcPr>
          <w:p w14:paraId="12945D70" w14:textId="77777777" w:rsidR="00F55FC2" w:rsidRPr="00F55FC2" w:rsidRDefault="00F55FC2" w:rsidP="002B0075">
            <w:pPr>
              <w:autoSpaceDE w:val="0"/>
              <w:autoSpaceDN w:val="0"/>
              <w:adjustRightInd w:val="0"/>
              <w:rPr>
                <w:sz w:val="24"/>
                <w:szCs w:val="24"/>
              </w:rPr>
            </w:pPr>
            <w:r w:rsidRPr="00F55FC2">
              <w:rPr>
                <w:sz w:val="24"/>
                <w:szCs w:val="24"/>
              </w:rPr>
              <w:t>Dosering i de 3 første måneder</w:t>
            </w:r>
          </w:p>
        </w:tc>
        <w:tc>
          <w:tcPr>
            <w:tcW w:w="1049" w:type="pct"/>
            <w:tcBorders>
              <w:top w:val="single" w:sz="4" w:space="0" w:color="auto"/>
              <w:left w:val="single" w:sz="4" w:space="0" w:color="auto"/>
              <w:bottom w:val="single" w:sz="4" w:space="0" w:color="auto"/>
              <w:right w:val="single" w:sz="4" w:space="0" w:color="auto"/>
            </w:tcBorders>
            <w:hideMark/>
          </w:tcPr>
          <w:p w14:paraId="60D14B75" w14:textId="77777777" w:rsidR="00F55FC2" w:rsidRPr="00F55FC2" w:rsidRDefault="00F55FC2" w:rsidP="002B0075">
            <w:pPr>
              <w:autoSpaceDE w:val="0"/>
              <w:autoSpaceDN w:val="0"/>
              <w:adjustRightInd w:val="0"/>
              <w:rPr>
                <w:sz w:val="24"/>
                <w:szCs w:val="24"/>
              </w:rPr>
            </w:pPr>
            <w:r w:rsidRPr="00F55FC2">
              <w:rPr>
                <w:sz w:val="24"/>
                <w:szCs w:val="24"/>
              </w:rPr>
              <w:t>Dosering efter de 3 første måneder</w:t>
            </w:r>
          </w:p>
        </w:tc>
      </w:tr>
      <w:tr w:rsidR="00F55FC2" w:rsidRPr="00F55FC2" w14:paraId="2BCB221F" w14:textId="77777777" w:rsidTr="002B0075">
        <w:tc>
          <w:tcPr>
            <w:tcW w:w="627" w:type="pct"/>
            <w:vMerge/>
            <w:tcBorders>
              <w:top w:val="single" w:sz="4" w:space="0" w:color="auto"/>
              <w:left w:val="single" w:sz="4" w:space="0" w:color="auto"/>
              <w:bottom w:val="single" w:sz="4" w:space="0" w:color="auto"/>
              <w:right w:val="single" w:sz="4" w:space="0" w:color="auto"/>
            </w:tcBorders>
            <w:vAlign w:val="center"/>
            <w:hideMark/>
          </w:tcPr>
          <w:p w14:paraId="75A49BAA" w14:textId="77777777" w:rsidR="00F55FC2" w:rsidRPr="00F55FC2" w:rsidRDefault="00F55FC2" w:rsidP="002B0075">
            <w:pPr>
              <w:rPr>
                <w:sz w:val="24"/>
                <w:szCs w:val="24"/>
              </w:rPr>
            </w:pPr>
          </w:p>
        </w:tc>
        <w:tc>
          <w:tcPr>
            <w:tcW w:w="616" w:type="pct"/>
            <w:vMerge/>
            <w:tcBorders>
              <w:top w:val="single" w:sz="4" w:space="0" w:color="auto"/>
              <w:left w:val="single" w:sz="4" w:space="0" w:color="auto"/>
              <w:bottom w:val="single" w:sz="4" w:space="0" w:color="auto"/>
              <w:right w:val="single" w:sz="4" w:space="0" w:color="auto"/>
            </w:tcBorders>
            <w:vAlign w:val="center"/>
            <w:hideMark/>
          </w:tcPr>
          <w:p w14:paraId="46F4B674" w14:textId="77777777" w:rsidR="00F55FC2" w:rsidRPr="00F55FC2" w:rsidRDefault="00F55FC2" w:rsidP="002B0075">
            <w:pPr>
              <w:rPr>
                <w:sz w:val="24"/>
                <w:szCs w:val="24"/>
              </w:rPr>
            </w:pPr>
          </w:p>
        </w:tc>
        <w:tc>
          <w:tcPr>
            <w:tcW w:w="903" w:type="pct"/>
            <w:tcBorders>
              <w:top w:val="single" w:sz="4" w:space="0" w:color="auto"/>
              <w:left w:val="single" w:sz="4" w:space="0" w:color="auto"/>
              <w:bottom w:val="single" w:sz="4" w:space="0" w:color="auto"/>
              <w:right w:val="single" w:sz="4" w:space="0" w:color="auto"/>
            </w:tcBorders>
            <w:hideMark/>
          </w:tcPr>
          <w:p w14:paraId="350856FC" w14:textId="77777777" w:rsidR="00F55FC2" w:rsidRPr="00F55FC2" w:rsidRDefault="00F55FC2" w:rsidP="002B0075">
            <w:pPr>
              <w:autoSpaceDE w:val="0"/>
              <w:autoSpaceDN w:val="0"/>
              <w:adjustRightInd w:val="0"/>
              <w:rPr>
                <w:sz w:val="24"/>
                <w:szCs w:val="24"/>
              </w:rPr>
            </w:pPr>
            <w:r w:rsidRPr="00F55FC2">
              <w:rPr>
                <w:sz w:val="24"/>
                <w:szCs w:val="24"/>
              </w:rPr>
              <w:t>Morgen</w:t>
            </w:r>
          </w:p>
        </w:tc>
        <w:tc>
          <w:tcPr>
            <w:tcW w:w="903" w:type="pct"/>
            <w:tcBorders>
              <w:top w:val="single" w:sz="4" w:space="0" w:color="auto"/>
              <w:left w:val="single" w:sz="4" w:space="0" w:color="auto"/>
              <w:bottom w:val="single" w:sz="4" w:space="0" w:color="auto"/>
              <w:right w:val="single" w:sz="4" w:space="0" w:color="auto"/>
            </w:tcBorders>
            <w:hideMark/>
          </w:tcPr>
          <w:p w14:paraId="1BFDC908" w14:textId="77777777" w:rsidR="00F55FC2" w:rsidRPr="00F55FC2" w:rsidRDefault="00F55FC2" w:rsidP="002B0075">
            <w:pPr>
              <w:autoSpaceDE w:val="0"/>
              <w:autoSpaceDN w:val="0"/>
              <w:adjustRightInd w:val="0"/>
              <w:rPr>
                <w:sz w:val="24"/>
                <w:szCs w:val="24"/>
              </w:rPr>
            </w:pPr>
            <w:r w:rsidRPr="00F55FC2">
              <w:rPr>
                <w:sz w:val="24"/>
                <w:szCs w:val="24"/>
              </w:rPr>
              <w:t>Middag</w:t>
            </w:r>
          </w:p>
        </w:tc>
        <w:tc>
          <w:tcPr>
            <w:tcW w:w="903" w:type="pct"/>
            <w:tcBorders>
              <w:top w:val="single" w:sz="4" w:space="0" w:color="auto"/>
              <w:left w:val="single" w:sz="4" w:space="0" w:color="auto"/>
              <w:bottom w:val="single" w:sz="4" w:space="0" w:color="auto"/>
              <w:right w:val="single" w:sz="4" w:space="0" w:color="auto"/>
            </w:tcBorders>
            <w:hideMark/>
          </w:tcPr>
          <w:p w14:paraId="7215F652" w14:textId="77777777" w:rsidR="00F55FC2" w:rsidRPr="00F55FC2" w:rsidRDefault="00F55FC2" w:rsidP="002B0075">
            <w:pPr>
              <w:autoSpaceDE w:val="0"/>
              <w:autoSpaceDN w:val="0"/>
              <w:adjustRightInd w:val="0"/>
              <w:rPr>
                <w:sz w:val="24"/>
                <w:szCs w:val="24"/>
              </w:rPr>
            </w:pPr>
            <w:r w:rsidRPr="00F55FC2">
              <w:rPr>
                <w:sz w:val="24"/>
                <w:szCs w:val="24"/>
              </w:rPr>
              <w:t>Aften</w:t>
            </w:r>
          </w:p>
        </w:tc>
        <w:tc>
          <w:tcPr>
            <w:tcW w:w="1049" w:type="pct"/>
            <w:tcBorders>
              <w:top w:val="single" w:sz="4" w:space="0" w:color="auto"/>
              <w:left w:val="single" w:sz="4" w:space="0" w:color="auto"/>
              <w:bottom w:val="single" w:sz="4" w:space="0" w:color="auto"/>
              <w:right w:val="single" w:sz="4" w:space="0" w:color="auto"/>
            </w:tcBorders>
            <w:hideMark/>
          </w:tcPr>
          <w:p w14:paraId="4F978D64" w14:textId="77777777" w:rsidR="00F55FC2" w:rsidRPr="00F55FC2" w:rsidRDefault="00F55FC2" w:rsidP="002B0075">
            <w:pPr>
              <w:autoSpaceDE w:val="0"/>
              <w:autoSpaceDN w:val="0"/>
              <w:adjustRightInd w:val="0"/>
              <w:rPr>
                <w:sz w:val="24"/>
                <w:szCs w:val="24"/>
              </w:rPr>
            </w:pPr>
            <w:r w:rsidRPr="00F55FC2">
              <w:rPr>
                <w:sz w:val="24"/>
                <w:szCs w:val="24"/>
              </w:rPr>
              <w:t xml:space="preserve">Aften </w:t>
            </w:r>
          </w:p>
          <w:p w14:paraId="04181ADC" w14:textId="77777777" w:rsidR="00F55FC2" w:rsidRPr="00F55FC2" w:rsidRDefault="00F55FC2" w:rsidP="002B0075">
            <w:pPr>
              <w:autoSpaceDE w:val="0"/>
              <w:autoSpaceDN w:val="0"/>
              <w:adjustRightInd w:val="0"/>
              <w:rPr>
                <w:sz w:val="24"/>
                <w:szCs w:val="24"/>
              </w:rPr>
            </w:pPr>
            <w:r w:rsidRPr="00F55FC2">
              <w:rPr>
                <w:sz w:val="24"/>
                <w:szCs w:val="24"/>
              </w:rPr>
              <w:t>(1 x daglig)</w:t>
            </w:r>
          </w:p>
        </w:tc>
      </w:tr>
      <w:tr w:rsidR="00F55FC2" w:rsidRPr="00F55FC2" w14:paraId="21879EEE" w14:textId="77777777" w:rsidTr="002B0075">
        <w:tc>
          <w:tcPr>
            <w:tcW w:w="627" w:type="pct"/>
            <w:tcBorders>
              <w:top w:val="single" w:sz="4" w:space="0" w:color="auto"/>
              <w:left w:val="single" w:sz="4" w:space="0" w:color="auto"/>
              <w:bottom w:val="single" w:sz="4" w:space="0" w:color="auto"/>
              <w:right w:val="single" w:sz="4" w:space="0" w:color="auto"/>
            </w:tcBorders>
            <w:hideMark/>
          </w:tcPr>
          <w:p w14:paraId="2AE8BB95" w14:textId="77777777" w:rsidR="00F55FC2" w:rsidRPr="00F55FC2" w:rsidRDefault="00F55FC2" w:rsidP="002B0075">
            <w:pPr>
              <w:jc w:val="center"/>
              <w:rPr>
                <w:sz w:val="24"/>
                <w:szCs w:val="24"/>
              </w:rPr>
            </w:pPr>
            <w:r w:rsidRPr="00F55FC2">
              <w:rPr>
                <w:sz w:val="24"/>
                <w:szCs w:val="24"/>
              </w:rPr>
              <w:t>47-62</w:t>
            </w:r>
          </w:p>
        </w:tc>
        <w:tc>
          <w:tcPr>
            <w:tcW w:w="616" w:type="pct"/>
            <w:tcBorders>
              <w:top w:val="single" w:sz="4" w:space="0" w:color="auto"/>
              <w:left w:val="single" w:sz="4" w:space="0" w:color="auto"/>
              <w:bottom w:val="single" w:sz="4" w:space="0" w:color="auto"/>
              <w:right w:val="single" w:sz="4" w:space="0" w:color="auto"/>
            </w:tcBorders>
            <w:hideMark/>
          </w:tcPr>
          <w:p w14:paraId="3D70FF12" w14:textId="77777777" w:rsidR="00F55FC2" w:rsidRPr="00F55FC2" w:rsidRDefault="00F55FC2" w:rsidP="002B0075">
            <w:pPr>
              <w:jc w:val="center"/>
              <w:rPr>
                <w:sz w:val="24"/>
                <w:szCs w:val="24"/>
              </w:rPr>
            </w:pPr>
            <w:r w:rsidRPr="00F55FC2">
              <w:rPr>
                <w:sz w:val="24"/>
                <w:szCs w:val="24"/>
              </w:rPr>
              <w:t>12-16</w:t>
            </w:r>
          </w:p>
        </w:tc>
        <w:tc>
          <w:tcPr>
            <w:tcW w:w="903" w:type="pct"/>
            <w:tcBorders>
              <w:top w:val="single" w:sz="4" w:space="0" w:color="auto"/>
              <w:left w:val="single" w:sz="4" w:space="0" w:color="auto"/>
              <w:bottom w:val="single" w:sz="4" w:space="0" w:color="auto"/>
              <w:right w:val="single" w:sz="4" w:space="0" w:color="auto"/>
            </w:tcBorders>
            <w:hideMark/>
          </w:tcPr>
          <w:p w14:paraId="32F63B5E" w14:textId="77777777" w:rsidR="00F55FC2" w:rsidRPr="00F55FC2" w:rsidRDefault="00F55FC2" w:rsidP="002B0075">
            <w:pPr>
              <w:jc w:val="center"/>
              <w:rPr>
                <w:sz w:val="24"/>
                <w:szCs w:val="24"/>
              </w:rPr>
            </w:pPr>
            <w:r w:rsidRPr="00F55FC2">
              <w:rPr>
                <w:sz w:val="24"/>
                <w:szCs w:val="24"/>
              </w:rPr>
              <w:t>250 mg</w:t>
            </w:r>
          </w:p>
        </w:tc>
        <w:tc>
          <w:tcPr>
            <w:tcW w:w="903" w:type="pct"/>
            <w:tcBorders>
              <w:top w:val="single" w:sz="4" w:space="0" w:color="auto"/>
              <w:left w:val="single" w:sz="4" w:space="0" w:color="auto"/>
              <w:bottom w:val="single" w:sz="4" w:space="0" w:color="auto"/>
              <w:right w:val="single" w:sz="4" w:space="0" w:color="auto"/>
            </w:tcBorders>
            <w:hideMark/>
          </w:tcPr>
          <w:p w14:paraId="2B505938" w14:textId="77777777" w:rsidR="00F55FC2" w:rsidRPr="00F55FC2" w:rsidRDefault="00F55FC2" w:rsidP="002B0075">
            <w:pPr>
              <w:jc w:val="center"/>
              <w:rPr>
                <w:sz w:val="24"/>
                <w:szCs w:val="24"/>
              </w:rPr>
            </w:pPr>
            <w:r w:rsidRPr="00F55FC2">
              <w:rPr>
                <w:sz w:val="24"/>
                <w:szCs w:val="24"/>
              </w:rPr>
              <w:t>250 mg</w:t>
            </w:r>
          </w:p>
        </w:tc>
        <w:tc>
          <w:tcPr>
            <w:tcW w:w="903" w:type="pct"/>
            <w:tcBorders>
              <w:top w:val="single" w:sz="4" w:space="0" w:color="auto"/>
              <w:left w:val="single" w:sz="4" w:space="0" w:color="auto"/>
              <w:bottom w:val="single" w:sz="4" w:space="0" w:color="auto"/>
              <w:right w:val="single" w:sz="4" w:space="0" w:color="auto"/>
            </w:tcBorders>
            <w:hideMark/>
          </w:tcPr>
          <w:p w14:paraId="447B8B8A" w14:textId="77777777" w:rsidR="00F55FC2" w:rsidRPr="00F55FC2" w:rsidRDefault="00F55FC2" w:rsidP="002B0075">
            <w:pPr>
              <w:jc w:val="center"/>
              <w:rPr>
                <w:sz w:val="24"/>
                <w:szCs w:val="24"/>
              </w:rPr>
            </w:pPr>
            <w:r w:rsidRPr="00F55FC2">
              <w:rPr>
                <w:sz w:val="24"/>
                <w:szCs w:val="24"/>
              </w:rPr>
              <w:t>250 mg</w:t>
            </w:r>
          </w:p>
        </w:tc>
        <w:tc>
          <w:tcPr>
            <w:tcW w:w="1049" w:type="pct"/>
            <w:tcBorders>
              <w:top w:val="single" w:sz="4" w:space="0" w:color="auto"/>
              <w:left w:val="single" w:sz="4" w:space="0" w:color="auto"/>
              <w:bottom w:val="single" w:sz="4" w:space="0" w:color="auto"/>
              <w:right w:val="single" w:sz="4" w:space="0" w:color="auto"/>
            </w:tcBorders>
            <w:hideMark/>
          </w:tcPr>
          <w:p w14:paraId="52A510F0" w14:textId="77777777" w:rsidR="00F55FC2" w:rsidRPr="00F55FC2" w:rsidRDefault="00F55FC2" w:rsidP="002B0075">
            <w:pPr>
              <w:jc w:val="center"/>
              <w:rPr>
                <w:sz w:val="24"/>
                <w:szCs w:val="24"/>
              </w:rPr>
            </w:pPr>
            <w:r w:rsidRPr="00F55FC2">
              <w:rPr>
                <w:sz w:val="24"/>
                <w:szCs w:val="24"/>
              </w:rPr>
              <w:t>750 mg</w:t>
            </w:r>
          </w:p>
        </w:tc>
      </w:tr>
      <w:tr w:rsidR="00F55FC2" w:rsidRPr="00F55FC2" w14:paraId="269C75F0" w14:textId="77777777" w:rsidTr="002B0075">
        <w:tc>
          <w:tcPr>
            <w:tcW w:w="627" w:type="pct"/>
            <w:tcBorders>
              <w:top w:val="single" w:sz="4" w:space="0" w:color="auto"/>
              <w:left w:val="single" w:sz="4" w:space="0" w:color="auto"/>
              <w:bottom w:val="single" w:sz="4" w:space="0" w:color="auto"/>
              <w:right w:val="single" w:sz="4" w:space="0" w:color="auto"/>
            </w:tcBorders>
            <w:hideMark/>
          </w:tcPr>
          <w:p w14:paraId="6AE8DED5" w14:textId="77777777" w:rsidR="00F55FC2" w:rsidRPr="00F55FC2" w:rsidRDefault="00F55FC2" w:rsidP="002B0075">
            <w:pPr>
              <w:jc w:val="center"/>
              <w:rPr>
                <w:sz w:val="24"/>
                <w:szCs w:val="24"/>
              </w:rPr>
            </w:pPr>
            <w:r w:rsidRPr="00F55FC2">
              <w:rPr>
                <w:sz w:val="24"/>
                <w:szCs w:val="24"/>
              </w:rPr>
              <w:t>63-78</w:t>
            </w:r>
          </w:p>
        </w:tc>
        <w:tc>
          <w:tcPr>
            <w:tcW w:w="616" w:type="pct"/>
            <w:tcBorders>
              <w:top w:val="single" w:sz="4" w:space="0" w:color="auto"/>
              <w:left w:val="single" w:sz="4" w:space="0" w:color="auto"/>
              <w:bottom w:val="single" w:sz="4" w:space="0" w:color="auto"/>
              <w:right w:val="single" w:sz="4" w:space="0" w:color="auto"/>
            </w:tcBorders>
            <w:hideMark/>
          </w:tcPr>
          <w:p w14:paraId="02B9916F" w14:textId="77777777" w:rsidR="00F55FC2" w:rsidRPr="00F55FC2" w:rsidRDefault="00F55FC2" w:rsidP="002B0075">
            <w:pPr>
              <w:jc w:val="center"/>
              <w:rPr>
                <w:sz w:val="24"/>
                <w:szCs w:val="24"/>
              </w:rPr>
            </w:pPr>
            <w:r w:rsidRPr="00F55FC2">
              <w:rPr>
                <w:sz w:val="24"/>
                <w:szCs w:val="24"/>
              </w:rPr>
              <w:t>13-16</w:t>
            </w:r>
          </w:p>
        </w:tc>
        <w:tc>
          <w:tcPr>
            <w:tcW w:w="903" w:type="pct"/>
            <w:tcBorders>
              <w:top w:val="single" w:sz="4" w:space="0" w:color="auto"/>
              <w:left w:val="single" w:sz="4" w:space="0" w:color="auto"/>
              <w:bottom w:val="single" w:sz="4" w:space="0" w:color="auto"/>
              <w:right w:val="single" w:sz="4" w:space="0" w:color="auto"/>
            </w:tcBorders>
            <w:hideMark/>
          </w:tcPr>
          <w:p w14:paraId="240D1323" w14:textId="77777777" w:rsidR="00F55FC2" w:rsidRPr="00F55FC2" w:rsidRDefault="00F55FC2" w:rsidP="002B0075">
            <w:pPr>
              <w:jc w:val="center"/>
              <w:rPr>
                <w:sz w:val="24"/>
                <w:szCs w:val="24"/>
              </w:rPr>
            </w:pPr>
            <w:r w:rsidRPr="00F55FC2">
              <w:rPr>
                <w:sz w:val="24"/>
                <w:szCs w:val="24"/>
              </w:rPr>
              <w:t>250 mg</w:t>
            </w:r>
          </w:p>
        </w:tc>
        <w:tc>
          <w:tcPr>
            <w:tcW w:w="903" w:type="pct"/>
            <w:tcBorders>
              <w:top w:val="single" w:sz="4" w:space="0" w:color="auto"/>
              <w:left w:val="single" w:sz="4" w:space="0" w:color="auto"/>
              <w:bottom w:val="single" w:sz="4" w:space="0" w:color="auto"/>
              <w:right w:val="single" w:sz="4" w:space="0" w:color="auto"/>
            </w:tcBorders>
            <w:hideMark/>
          </w:tcPr>
          <w:p w14:paraId="24A3E7F5" w14:textId="77777777" w:rsidR="00F55FC2" w:rsidRPr="00F55FC2" w:rsidRDefault="00F55FC2" w:rsidP="002B0075">
            <w:pPr>
              <w:jc w:val="center"/>
              <w:rPr>
                <w:sz w:val="24"/>
                <w:szCs w:val="24"/>
              </w:rPr>
            </w:pPr>
            <w:r w:rsidRPr="00F55FC2">
              <w:rPr>
                <w:sz w:val="24"/>
                <w:szCs w:val="24"/>
              </w:rPr>
              <w:t>250 mg</w:t>
            </w:r>
          </w:p>
        </w:tc>
        <w:tc>
          <w:tcPr>
            <w:tcW w:w="903" w:type="pct"/>
            <w:tcBorders>
              <w:top w:val="single" w:sz="4" w:space="0" w:color="auto"/>
              <w:left w:val="single" w:sz="4" w:space="0" w:color="auto"/>
              <w:bottom w:val="single" w:sz="4" w:space="0" w:color="auto"/>
              <w:right w:val="single" w:sz="4" w:space="0" w:color="auto"/>
            </w:tcBorders>
            <w:hideMark/>
          </w:tcPr>
          <w:p w14:paraId="3F065C00" w14:textId="77777777" w:rsidR="00F55FC2" w:rsidRPr="00F55FC2" w:rsidRDefault="00F55FC2" w:rsidP="002B0075">
            <w:pPr>
              <w:jc w:val="center"/>
              <w:rPr>
                <w:sz w:val="24"/>
                <w:szCs w:val="24"/>
              </w:rPr>
            </w:pPr>
            <w:r w:rsidRPr="00F55FC2">
              <w:rPr>
                <w:sz w:val="24"/>
                <w:szCs w:val="24"/>
              </w:rPr>
              <w:t>500 mg</w:t>
            </w:r>
          </w:p>
        </w:tc>
        <w:tc>
          <w:tcPr>
            <w:tcW w:w="1049" w:type="pct"/>
            <w:tcBorders>
              <w:top w:val="single" w:sz="4" w:space="0" w:color="auto"/>
              <w:left w:val="single" w:sz="4" w:space="0" w:color="auto"/>
              <w:bottom w:val="single" w:sz="4" w:space="0" w:color="auto"/>
              <w:right w:val="single" w:sz="4" w:space="0" w:color="auto"/>
            </w:tcBorders>
            <w:hideMark/>
          </w:tcPr>
          <w:p w14:paraId="7204361A" w14:textId="77777777" w:rsidR="00F55FC2" w:rsidRPr="00F55FC2" w:rsidRDefault="00F55FC2" w:rsidP="002B0075">
            <w:pPr>
              <w:jc w:val="center"/>
              <w:rPr>
                <w:sz w:val="24"/>
                <w:szCs w:val="24"/>
              </w:rPr>
            </w:pPr>
            <w:r w:rsidRPr="00F55FC2">
              <w:rPr>
                <w:sz w:val="24"/>
                <w:szCs w:val="24"/>
              </w:rPr>
              <w:t>1.000 mg</w:t>
            </w:r>
          </w:p>
        </w:tc>
      </w:tr>
      <w:tr w:rsidR="00F55FC2" w:rsidRPr="00F55FC2" w14:paraId="12329740" w14:textId="77777777" w:rsidTr="002B0075">
        <w:tc>
          <w:tcPr>
            <w:tcW w:w="627" w:type="pct"/>
            <w:tcBorders>
              <w:top w:val="single" w:sz="4" w:space="0" w:color="auto"/>
              <w:left w:val="single" w:sz="4" w:space="0" w:color="auto"/>
              <w:bottom w:val="single" w:sz="4" w:space="0" w:color="auto"/>
              <w:right w:val="single" w:sz="4" w:space="0" w:color="auto"/>
            </w:tcBorders>
            <w:hideMark/>
          </w:tcPr>
          <w:p w14:paraId="5B6540A4" w14:textId="77777777" w:rsidR="00F55FC2" w:rsidRPr="00F55FC2" w:rsidRDefault="00F55FC2" w:rsidP="002B0075">
            <w:pPr>
              <w:jc w:val="center"/>
              <w:rPr>
                <w:sz w:val="24"/>
                <w:szCs w:val="24"/>
              </w:rPr>
            </w:pPr>
            <w:r w:rsidRPr="00F55FC2">
              <w:rPr>
                <w:sz w:val="24"/>
                <w:szCs w:val="24"/>
              </w:rPr>
              <w:t>79-93</w:t>
            </w:r>
          </w:p>
        </w:tc>
        <w:tc>
          <w:tcPr>
            <w:tcW w:w="616" w:type="pct"/>
            <w:tcBorders>
              <w:top w:val="single" w:sz="4" w:space="0" w:color="auto"/>
              <w:left w:val="single" w:sz="4" w:space="0" w:color="auto"/>
              <w:bottom w:val="single" w:sz="4" w:space="0" w:color="auto"/>
              <w:right w:val="single" w:sz="4" w:space="0" w:color="auto"/>
            </w:tcBorders>
            <w:hideMark/>
          </w:tcPr>
          <w:p w14:paraId="566DC638" w14:textId="77777777" w:rsidR="00F55FC2" w:rsidRPr="00F55FC2" w:rsidRDefault="00F55FC2" w:rsidP="002B0075">
            <w:pPr>
              <w:jc w:val="center"/>
              <w:rPr>
                <w:sz w:val="24"/>
                <w:szCs w:val="24"/>
              </w:rPr>
            </w:pPr>
            <w:r w:rsidRPr="00F55FC2">
              <w:rPr>
                <w:sz w:val="24"/>
                <w:szCs w:val="24"/>
              </w:rPr>
              <w:t>13-16</w:t>
            </w:r>
          </w:p>
        </w:tc>
        <w:tc>
          <w:tcPr>
            <w:tcW w:w="903" w:type="pct"/>
            <w:tcBorders>
              <w:top w:val="single" w:sz="4" w:space="0" w:color="auto"/>
              <w:left w:val="single" w:sz="4" w:space="0" w:color="auto"/>
              <w:bottom w:val="single" w:sz="4" w:space="0" w:color="auto"/>
              <w:right w:val="single" w:sz="4" w:space="0" w:color="auto"/>
            </w:tcBorders>
            <w:hideMark/>
          </w:tcPr>
          <w:p w14:paraId="4C5A28BC" w14:textId="77777777" w:rsidR="00F55FC2" w:rsidRPr="00F55FC2" w:rsidRDefault="00F55FC2" w:rsidP="002B0075">
            <w:pPr>
              <w:jc w:val="center"/>
              <w:rPr>
                <w:sz w:val="24"/>
                <w:szCs w:val="24"/>
              </w:rPr>
            </w:pPr>
            <w:r w:rsidRPr="00F55FC2">
              <w:rPr>
                <w:sz w:val="24"/>
                <w:szCs w:val="24"/>
              </w:rPr>
              <w:t>250 mg</w:t>
            </w:r>
          </w:p>
        </w:tc>
        <w:tc>
          <w:tcPr>
            <w:tcW w:w="903" w:type="pct"/>
            <w:tcBorders>
              <w:top w:val="single" w:sz="4" w:space="0" w:color="auto"/>
              <w:left w:val="single" w:sz="4" w:space="0" w:color="auto"/>
              <w:bottom w:val="single" w:sz="4" w:space="0" w:color="auto"/>
              <w:right w:val="single" w:sz="4" w:space="0" w:color="auto"/>
            </w:tcBorders>
            <w:hideMark/>
          </w:tcPr>
          <w:p w14:paraId="39D99EB2" w14:textId="77777777" w:rsidR="00F55FC2" w:rsidRPr="00F55FC2" w:rsidRDefault="00F55FC2" w:rsidP="002B0075">
            <w:pPr>
              <w:jc w:val="center"/>
              <w:rPr>
                <w:sz w:val="24"/>
                <w:szCs w:val="24"/>
              </w:rPr>
            </w:pPr>
            <w:r w:rsidRPr="00F55FC2">
              <w:rPr>
                <w:sz w:val="24"/>
                <w:szCs w:val="24"/>
              </w:rPr>
              <w:t>500 mg</w:t>
            </w:r>
          </w:p>
        </w:tc>
        <w:tc>
          <w:tcPr>
            <w:tcW w:w="903" w:type="pct"/>
            <w:tcBorders>
              <w:top w:val="single" w:sz="4" w:space="0" w:color="auto"/>
              <w:left w:val="single" w:sz="4" w:space="0" w:color="auto"/>
              <w:bottom w:val="single" w:sz="4" w:space="0" w:color="auto"/>
              <w:right w:val="single" w:sz="4" w:space="0" w:color="auto"/>
            </w:tcBorders>
            <w:hideMark/>
          </w:tcPr>
          <w:p w14:paraId="6CA9E9CE" w14:textId="77777777" w:rsidR="00F55FC2" w:rsidRPr="00F55FC2" w:rsidRDefault="00F55FC2" w:rsidP="002B0075">
            <w:pPr>
              <w:jc w:val="center"/>
              <w:rPr>
                <w:sz w:val="24"/>
                <w:szCs w:val="24"/>
              </w:rPr>
            </w:pPr>
            <w:r w:rsidRPr="00F55FC2">
              <w:rPr>
                <w:sz w:val="24"/>
                <w:szCs w:val="24"/>
              </w:rPr>
              <w:t>500 mg</w:t>
            </w:r>
          </w:p>
        </w:tc>
        <w:tc>
          <w:tcPr>
            <w:tcW w:w="1049" w:type="pct"/>
            <w:tcBorders>
              <w:top w:val="single" w:sz="4" w:space="0" w:color="auto"/>
              <w:left w:val="single" w:sz="4" w:space="0" w:color="auto"/>
              <w:bottom w:val="single" w:sz="4" w:space="0" w:color="auto"/>
              <w:right w:val="single" w:sz="4" w:space="0" w:color="auto"/>
            </w:tcBorders>
            <w:hideMark/>
          </w:tcPr>
          <w:p w14:paraId="4D7B6731" w14:textId="77777777" w:rsidR="00F55FC2" w:rsidRPr="00F55FC2" w:rsidRDefault="00F55FC2" w:rsidP="002B0075">
            <w:pPr>
              <w:jc w:val="center"/>
              <w:rPr>
                <w:sz w:val="24"/>
                <w:szCs w:val="24"/>
              </w:rPr>
            </w:pPr>
            <w:r w:rsidRPr="00F55FC2">
              <w:rPr>
                <w:sz w:val="24"/>
                <w:szCs w:val="24"/>
              </w:rPr>
              <w:t>1.250 mg</w:t>
            </w:r>
          </w:p>
        </w:tc>
      </w:tr>
      <w:tr w:rsidR="00F55FC2" w:rsidRPr="00F55FC2" w14:paraId="70050065" w14:textId="77777777" w:rsidTr="002B0075">
        <w:tc>
          <w:tcPr>
            <w:tcW w:w="627" w:type="pct"/>
            <w:tcBorders>
              <w:top w:val="single" w:sz="4" w:space="0" w:color="auto"/>
              <w:left w:val="single" w:sz="4" w:space="0" w:color="auto"/>
              <w:bottom w:val="single" w:sz="4" w:space="0" w:color="auto"/>
              <w:right w:val="single" w:sz="4" w:space="0" w:color="auto"/>
            </w:tcBorders>
            <w:hideMark/>
          </w:tcPr>
          <w:p w14:paraId="39E11A90" w14:textId="77777777" w:rsidR="00F55FC2" w:rsidRPr="00F55FC2" w:rsidRDefault="00F55FC2" w:rsidP="002B0075">
            <w:pPr>
              <w:jc w:val="center"/>
              <w:rPr>
                <w:sz w:val="24"/>
                <w:szCs w:val="24"/>
              </w:rPr>
            </w:pPr>
            <w:r w:rsidRPr="00F55FC2">
              <w:rPr>
                <w:sz w:val="24"/>
                <w:szCs w:val="24"/>
              </w:rPr>
              <w:t>94-109</w:t>
            </w:r>
          </w:p>
        </w:tc>
        <w:tc>
          <w:tcPr>
            <w:tcW w:w="616" w:type="pct"/>
            <w:tcBorders>
              <w:top w:val="single" w:sz="4" w:space="0" w:color="auto"/>
              <w:left w:val="single" w:sz="4" w:space="0" w:color="auto"/>
              <w:bottom w:val="single" w:sz="4" w:space="0" w:color="auto"/>
              <w:right w:val="single" w:sz="4" w:space="0" w:color="auto"/>
            </w:tcBorders>
            <w:hideMark/>
          </w:tcPr>
          <w:p w14:paraId="0BC4D584" w14:textId="77777777" w:rsidR="00F55FC2" w:rsidRPr="00F55FC2" w:rsidRDefault="00F55FC2" w:rsidP="002B0075">
            <w:pPr>
              <w:jc w:val="center"/>
              <w:rPr>
                <w:sz w:val="24"/>
                <w:szCs w:val="24"/>
              </w:rPr>
            </w:pPr>
            <w:r w:rsidRPr="00F55FC2">
              <w:rPr>
                <w:sz w:val="24"/>
                <w:szCs w:val="24"/>
              </w:rPr>
              <w:t>14-16</w:t>
            </w:r>
          </w:p>
        </w:tc>
        <w:tc>
          <w:tcPr>
            <w:tcW w:w="903" w:type="pct"/>
            <w:tcBorders>
              <w:top w:val="single" w:sz="4" w:space="0" w:color="auto"/>
              <w:left w:val="single" w:sz="4" w:space="0" w:color="auto"/>
              <w:bottom w:val="single" w:sz="4" w:space="0" w:color="auto"/>
              <w:right w:val="single" w:sz="4" w:space="0" w:color="auto"/>
            </w:tcBorders>
            <w:hideMark/>
          </w:tcPr>
          <w:p w14:paraId="193FDC35" w14:textId="77777777" w:rsidR="00F55FC2" w:rsidRPr="00F55FC2" w:rsidRDefault="00F55FC2" w:rsidP="002B0075">
            <w:pPr>
              <w:jc w:val="center"/>
              <w:rPr>
                <w:sz w:val="24"/>
                <w:szCs w:val="24"/>
              </w:rPr>
            </w:pPr>
            <w:r w:rsidRPr="00F55FC2">
              <w:rPr>
                <w:sz w:val="24"/>
                <w:szCs w:val="24"/>
              </w:rPr>
              <w:t>500 mg</w:t>
            </w:r>
          </w:p>
        </w:tc>
        <w:tc>
          <w:tcPr>
            <w:tcW w:w="903" w:type="pct"/>
            <w:tcBorders>
              <w:top w:val="single" w:sz="4" w:space="0" w:color="auto"/>
              <w:left w:val="single" w:sz="4" w:space="0" w:color="auto"/>
              <w:bottom w:val="single" w:sz="4" w:space="0" w:color="auto"/>
              <w:right w:val="single" w:sz="4" w:space="0" w:color="auto"/>
            </w:tcBorders>
            <w:hideMark/>
          </w:tcPr>
          <w:p w14:paraId="41EF9A05" w14:textId="77777777" w:rsidR="00F55FC2" w:rsidRPr="00F55FC2" w:rsidRDefault="00F55FC2" w:rsidP="002B0075">
            <w:pPr>
              <w:jc w:val="center"/>
              <w:rPr>
                <w:sz w:val="24"/>
                <w:szCs w:val="24"/>
              </w:rPr>
            </w:pPr>
            <w:r w:rsidRPr="00F55FC2">
              <w:rPr>
                <w:sz w:val="24"/>
                <w:szCs w:val="24"/>
              </w:rPr>
              <w:t>500 mg</w:t>
            </w:r>
          </w:p>
        </w:tc>
        <w:tc>
          <w:tcPr>
            <w:tcW w:w="903" w:type="pct"/>
            <w:tcBorders>
              <w:top w:val="single" w:sz="4" w:space="0" w:color="auto"/>
              <w:left w:val="single" w:sz="4" w:space="0" w:color="auto"/>
              <w:bottom w:val="single" w:sz="4" w:space="0" w:color="auto"/>
              <w:right w:val="single" w:sz="4" w:space="0" w:color="auto"/>
            </w:tcBorders>
            <w:hideMark/>
          </w:tcPr>
          <w:p w14:paraId="1FF49792" w14:textId="77777777" w:rsidR="00F55FC2" w:rsidRPr="00F55FC2" w:rsidRDefault="00F55FC2" w:rsidP="002B0075">
            <w:pPr>
              <w:jc w:val="center"/>
              <w:rPr>
                <w:sz w:val="24"/>
                <w:szCs w:val="24"/>
              </w:rPr>
            </w:pPr>
            <w:r w:rsidRPr="00F55FC2">
              <w:rPr>
                <w:sz w:val="24"/>
                <w:szCs w:val="24"/>
              </w:rPr>
              <w:t>500 mg</w:t>
            </w:r>
          </w:p>
        </w:tc>
        <w:tc>
          <w:tcPr>
            <w:tcW w:w="1049" w:type="pct"/>
            <w:tcBorders>
              <w:top w:val="single" w:sz="4" w:space="0" w:color="auto"/>
              <w:left w:val="single" w:sz="4" w:space="0" w:color="auto"/>
              <w:bottom w:val="single" w:sz="4" w:space="0" w:color="auto"/>
              <w:right w:val="single" w:sz="4" w:space="0" w:color="auto"/>
            </w:tcBorders>
            <w:hideMark/>
          </w:tcPr>
          <w:p w14:paraId="05678925" w14:textId="77777777" w:rsidR="00F55FC2" w:rsidRPr="00F55FC2" w:rsidRDefault="00F55FC2" w:rsidP="002B0075">
            <w:pPr>
              <w:jc w:val="center"/>
              <w:rPr>
                <w:sz w:val="24"/>
                <w:szCs w:val="24"/>
              </w:rPr>
            </w:pPr>
            <w:r w:rsidRPr="00F55FC2">
              <w:rPr>
                <w:sz w:val="24"/>
                <w:szCs w:val="24"/>
              </w:rPr>
              <w:t>1.500 mg</w:t>
            </w:r>
          </w:p>
        </w:tc>
      </w:tr>
      <w:tr w:rsidR="00F55FC2" w:rsidRPr="00F55FC2" w14:paraId="2F948835" w14:textId="77777777" w:rsidTr="002B0075">
        <w:tc>
          <w:tcPr>
            <w:tcW w:w="627" w:type="pct"/>
            <w:tcBorders>
              <w:top w:val="single" w:sz="4" w:space="0" w:color="auto"/>
              <w:left w:val="single" w:sz="4" w:space="0" w:color="auto"/>
              <w:bottom w:val="single" w:sz="4" w:space="0" w:color="auto"/>
              <w:right w:val="single" w:sz="4" w:space="0" w:color="auto"/>
            </w:tcBorders>
            <w:hideMark/>
          </w:tcPr>
          <w:p w14:paraId="0AED0620" w14:textId="77777777" w:rsidR="00F55FC2" w:rsidRPr="00F55FC2" w:rsidRDefault="00F55FC2" w:rsidP="002B0075">
            <w:pPr>
              <w:jc w:val="center"/>
              <w:rPr>
                <w:sz w:val="24"/>
                <w:szCs w:val="24"/>
              </w:rPr>
            </w:pPr>
            <w:r w:rsidRPr="00F55FC2">
              <w:rPr>
                <w:sz w:val="24"/>
                <w:szCs w:val="24"/>
              </w:rPr>
              <w:t>Over 110</w:t>
            </w:r>
          </w:p>
        </w:tc>
        <w:tc>
          <w:tcPr>
            <w:tcW w:w="616" w:type="pct"/>
            <w:tcBorders>
              <w:top w:val="single" w:sz="4" w:space="0" w:color="auto"/>
              <w:left w:val="single" w:sz="4" w:space="0" w:color="auto"/>
              <w:bottom w:val="single" w:sz="4" w:space="0" w:color="auto"/>
              <w:right w:val="single" w:sz="4" w:space="0" w:color="auto"/>
            </w:tcBorders>
          </w:tcPr>
          <w:p w14:paraId="4210AE99" w14:textId="77777777" w:rsidR="00F55FC2" w:rsidRPr="00F55FC2" w:rsidRDefault="00F55FC2" w:rsidP="002B0075">
            <w:pPr>
              <w:jc w:val="center"/>
              <w:rPr>
                <w:sz w:val="24"/>
                <w:szCs w:val="24"/>
              </w:rPr>
            </w:pPr>
          </w:p>
        </w:tc>
        <w:tc>
          <w:tcPr>
            <w:tcW w:w="903" w:type="pct"/>
            <w:tcBorders>
              <w:top w:val="single" w:sz="4" w:space="0" w:color="auto"/>
              <w:left w:val="single" w:sz="4" w:space="0" w:color="auto"/>
              <w:bottom w:val="single" w:sz="4" w:space="0" w:color="auto"/>
              <w:right w:val="single" w:sz="4" w:space="0" w:color="auto"/>
            </w:tcBorders>
            <w:hideMark/>
          </w:tcPr>
          <w:p w14:paraId="15070D89" w14:textId="77777777" w:rsidR="00F55FC2" w:rsidRPr="00F55FC2" w:rsidRDefault="00F55FC2" w:rsidP="002B0075">
            <w:pPr>
              <w:jc w:val="center"/>
              <w:rPr>
                <w:sz w:val="24"/>
                <w:szCs w:val="24"/>
              </w:rPr>
            </w:pPr>
            <w:r w:rsidRPr="00F55FC2">
              <w:rPr>
                <w:sz w:val="24"/>
                <w:szCs w:val="24"/>
              </w:rPr>
              <w:t>500 mg</w:t>
            </w:r>
          </w:p>
        </w:tc>
        <w:tc>
          <w:tcPr>
            <w:tcW w:w="903" w:type="pct"/>
            <w:tcBorders>
              <w:top w:val="single" w:sz="4" w:space="0" w:color="auto"/>
              <w:left w:val="single" w:sz="4" w:space="0" w:color="auto"/>
              <w:bottom w:val="single" w:sz="4" w:space="0" w:color="auto"/>
              <w:right w:val="single" w:sz="4" w:space="0" w:color="auto"/>
            </w:tcBorders>
            <w:hideMark/>
          </w:tcPr>
          <w:p w14:paraId="4A9EEE1A" w14:textId="77777777" w:rsidR="00F55FC2" w:rsidRPr="00F55FC2" w:rsidRDefault="00F55FC2" w:rsidP="002B0075">
            <w:pPr>
              <w:jc w:val="center"/>
              <w:rPr>
                <w:sz w:val="24"/>
                <w:szCs w:val="24"/>
              </w:rPr>
            </w:pPr>
            <w:r w:rsidRPr="00F55FC2">
              <w:rPr>
                <w:sz w:val="24"/>
                <w:szCs w:val="24"/>
              </w:rPr>
              <w:t>500 mg</w:t>
            </w:r>
          </w:p>
        </w:tc>
        <w:tc>
          <w:tcPr>
            <w:tcW w:w="903" w:type="pct"/>
            <w:tcBorders>
              <w:top w:val="single" w:sz="4" w:space="0" w:color="auto"/>
              <w:left w:val="single" w:sz="4" w:space="0" w:color="auto"/>
              <w:bottom w:val="single" w:sz="4" w:space="0" w:color="auto"/>
              <w:right w:val="single" w:sz="4" w:space="0" w:color="auto"/>
            </w:tcBorders>
            <w:hideMark/>
          </w:tcPr>
          <w:p w14:paraId="4E21312A" w14:textId="77777777" w:rsidR="00F55FC2" w:rsidRPr="00F55FC2" w:rsidRDefault="00F55FC2" w:rsidP="002B0075">
            <w:pPr>
              <w:jc w:val="center"/>
              <w:rPr>
                <w:sz w:val="24"/>
                <w:szCs w:val="24"/>
              </w:rPr>
            </w:pPr>
            <w:r w:rsidRPr="00F55FC2">
              <w:rPr>
                <w:sz w:val="24"/>
                <w:szCs w:val="24"/>
              </w:rPr>
              <w:t>750 mg</w:t>
            </w:r>
          </w:p>
        </w:tc>
        <w:tc>
          <w:tcPr>
            <w:tcW w:w="1049" w:type="pct"/>
            <w:tcBorders>
              <w:top w:val="single" w:sz="4" w:space="0" w:color="auto"/>
              <w:left w:val="single" w:sz="4" w:space="0" w:color="auto"/>
              <w:bottom w:val="single" w:sz="4" w:space="0" w:color="auto"/>
              <w:right w:val="single" w:sz="4" w:space="0" w:color="auto"/>
            </w:tcBorders>
            <w:hideMark/>
          </w:tcPr>
          <w:p w14:paraId="6A67EA4D" w14:textId="77777777" w:rsidR="00F55FC2" w:rsidRPr="00F55FC2" w:rsidRDefault="00F55FC2" w:rsidP="002B0075">
            <w:pPr>
              <w:jc w:val="center"/>
              <w:rPr>
                <w:sz w:val="24"/>
                <w:szCs w:val="24"/>
              </w:rPr>
            </w:pPr>
            <w:r w:rsidRPr="00F55FC2">
              <w:rPr>
                <w:sz w:val="24"/>
                <w:szCs w:val="24"/>
              </w:rPr>
              <w:t>1.750 mg</w:t>
            </w:r>
          </w:p>
        </w:tc>
      </w:tr>
    </w:tbl>
    <w:p w14:paraId="703A12DF" w14:textId="77777777" w:rsidR="00F55FC2" w:rsidRPr="00F55FC2" w:rsidRDefault="00F55FC2" w:rsidP="002B0075">
      <w:pPr>
        <w:autoSpaceDE w:val="0"/>
        <w:autoSpaceDN w:val="0"/>
        <w:adjustRightInd w:val="0"/>
        <w:rPr>
          <w:sz w:val="24"/>
          <w:szCs w:val="24"/>
          <w:lang w:eastAsia="da-DK"/>
        </w:rPr>
      </w:pPr>
    </w:p>
    <w:p w14:paraId="7EF2E8FF" w14:textId="77777777" w:rsidR="00F55FC2" w:rsidRPr="00F55FC2" w:rsidRDefault="00F55FC2" w:rsidP="00897128">
      <w:pPr>
        <w:autoSpaceDE w:val="0"/>
        <w:autoSpaceDN w:val="0"/>
        <w:adjustRightInd w:val="0"/>
        <w:ind w:left="851"/>
        <w:rPr>
          <w:sz w:val="24"/>
          <w:szCs w:val="24"/>
        </w:rPr>
      </w:pPr>
      <w:r w:rsidRPr="00F55FC2">
        <w:rPr>
          <w:sz w:val="24"/>
          <w:szCs w:val="24"/>
        </w:rPr>
        <w:t>Kapslerne skal synkes hele sammen med væske. Det er vigtigt at kapslerne tages regelmæssigt.</w:t>
      </w:r>
    </w:p>
    <w:p w14:paraId="47E185BB" w14:textId="77777777" w:rsidR="00F55FC2" w:rsidRPr="00F55FC2" w:rsidRDefault="00F55FC2" w:rsidP="00F55FC2">
      <w:pPr>
        <w:autoSpaceDE w:val="0"/>
        <w:autoSpaceDN w:val="0"/>
        <w:adjustRightInd w:val="0"/>
        <w:ind w:left="851" w:hanging="851"/>
        <w:rPr>
          <w:sz w:val="24"/>
          <w:szCs w:val="24"/>
          <w:lang w:eastAsia="da-DK"/>
        </w:rPr>
      </w:pPr>
    </w:p>
    <w:p w14:paraId="31D443F5" w14:textId="77777777" w:rsidR="00F55FC2" w:rsidRPr="00F55FC2" w:rsidRDefault="00F55FC2" w:rsidP="00897128">
      <w:pPr>
        <w:autoSpaceDE w:val="0"/>
        <w:autoSpaceDN w:val="0"/>
        <w:adjustRightInd w:val="0"/>
        <w:ind w:left="851"/>
        <w:rPr>
          <w:sz w:val="24"/>
          <w:szCs w:val="24"/>
        </w:rPr>
      </w:pPr>
      <w:r w:rsidRPr="00F55FC2">
        <w:rPr>
          <w:sz w:val="24"/>
          <w:szCs w:val="24"/>
        </w:rPr>
        <w:t>Der er ikke begrænsninger pp anvendelsestiden for brugen af ursodeoxycholsyre ved primær biliær cirrose.</w:t>
      </w:r>
    </w:p>
    <w:p w14:paraId="373FCC7F" w14:textId="77777777" w:rsidR="00F55FC2" w:rsidRPr="00F55FC2" w:rsidRDefault="00F55FC2" w:rsidP="00F55FC2">
      <w:pPr>
        <w:autoSpaceDE w:val="0"/>
        <w:autoSpaceDN w:val="0"/>
        <w:adjustRightInd w:val="0"/>
        <w:ind w:left="851" w:hanging="851"/>
        <w:rPr>
          <w:sz w:val="24"/>
          <w:szCs w:val="24"/>
          <w:lang w:eastAsia="da-DK"/>
        </w:rPr>
      </w:pPr>
    </w:p>
    <w:p w14:paraId="2594EA59" w14:textId="4208B715" w:rsidR="00F55FC2" w:rsidRPr="00F55FC2" w:rsidRDefault="00F55FC2" w:rsidP="00897128">
      <w:pPr>
        <w:autoSpaceDE w:val="0"/>
        <w:autoSpaceDN w:val="0"/>
        <w:adjustRightInd w:val="0"/>
        <w:ind w:left="851"/>
        <w:rPr>
          <w:sz w:val="24"/>
          <w:szCs w:val="24"/>
        </w:rPr>
      </w:pPr>
      <w:r w:rsidRPr="00F55FC2">
        <w:rPr>
          <w:sz w:val="24"/>
          <w:szCs w:val="24"/>
        </w:rPr>
        <w:t>I sjældne tilfælde kan de kliniske symptomer forværres i starten af behandlingen, f.eks. ved forværret kløe. Hvis dette sker, skal behandlingen fortsættes med én 250 mg kapsel dagligt, og behandlingen gradvist øges (</w:t>
      </w:r>
      <w:r w:rsidR="002B0075">
        <w:rPr>
          <w:sz w:val="24"/>
          <w:szCs w:val="24"/>
        </w:rPr>
        <w:t>ugentligt øges den daglige dosis med én 250 mg kapsel</w:t>
      </w:r>
      <w:r w:rsidRPr="00F55FC2">
        <w:rPr>
          <w:sz w:val="24"/>
          <w:szCs w:val="24"/>
        </w:rPr>
        <w:t>), indtil den dosis, der er anført i det respektive doseringsregime igen er nået.</w:t>
      </w:r>
    </w:p>
    <w:p w14:paraId="5CEF1360" w14:textId="77777777" w:rsidR="00F55FC2" w:rsidRPr="00F55FC2" w:rsidRDefault="00F55FC2" w:rsidP="00F55FC2">
      <w:pPr>
        <w:ind w:left="851" w:hanging="851"/>
        <w:rPr>
          <w:sz w:val="24"/>
          <w:szCs w:val="24"/>
        </w:rPr>
      </w:pPr>
    </w:p>
    <w:p w14:paraId="5AC728CF" w14:textId="77777777" w:rsidR="00F55FC2" w:rsidRPr="00F55FC2" w:rsidRDefault="00F55FC2" w:rsidP="00897128">
      <w:pPr>
        <w:ind w:left="851"/>
        <w:rPr>
          <w:i/>
          <w:sz w:val="24"/>
          <w:szCs w:val="24"/>
        </w:rPr>
      </w:pPr>
      <w:r w:rsidRPr="00F55FC2">
        <w:rPr>
          <w:i/>
          <w:sz w:val="24"/>
          <w:szCs w:val="24"/>
        </w:rPr>
        <w:t>Pædiatrisk population</w:t>
      </w:r>
    </w:p>
    <w:p w14:paraId="25756C5C" w14:textId="636466FC" w:rsidR="00F55FC2" w:rsidRPr="00F55FC2" w:rsidRDefault="00F55FC2" w:rsidP="00897128">
      <w:pPr>
        <w:ind w:left="851"/>
        <w:rPr>
          <w:i/>
          <w:sz w:val="24"/>
          <w:szCs w:val="24"/>
        </w:rPr>
      </w:pPr>
      <w:r w:rsidRPr="00F55FC2">
        <w:rPr>
          <w:i/>
          <w:sz w:val="24"/>
          <w:szCs w:val="24"/>
        </w:rPr>
        <w:t xml:space="preserve">Børn fra 6 til </w:t>
      </w:r>
      <w:r w:rsidR="002B0075">
        <w:rPr>
          <w:i/>
          <w:sz w:val="24"/>
          <w:szCs w:val="24"/>
        </w:rPr>
        <w:t xml:space="preserve">under </w:t>
      </w:r>
      <w:r w:rsidRPr="00F55FC2">
        <w:rPr>
          <w:i/>
          <w:sz w:val="24"/>
          <w:szCs w:val="24"/>
        </w:rPr>
        <w:t>18 år med cystisk fibrose:</w:t>
      </w:r>
    </w:p>
    <w:p w14:paraId="24CAD320" w14:textId="77777777" w:rsidR="00F55FC2" w:rsidRPr="00F55FC2" w:rsidRDefault="00F55FC2" w:rsidP="00897128">
      <w:pPr>
        <w:ind w:left="851"/>
        <w:rPr>
          <w:sz w:val="24"/>
          <w:szCs w:val="24"/>
        </w:rPr>
      </w:pPr>
      <w:r w:rsidRPr="00F55FC2">
        <w:rPr>
          <w:sz w:val="24"/>
          <w:szCs w:val="24"/>
        </w:rPr>
        <w:t>20 mg/kg/dag i 2-3 opdelte doser. Om nødvendigt med en yderligere stigning til 30 mg/kg/dag.</w:t>
      </w:r>
    </w:p>
    <w:p w14:paraId="141233F7" w14:textId="77777777" w:rsidR="00F55FC2" w:rsidRPr="00897128" w:rsidRDefault="00F55FC2" w:rsidP="00F55FC2">
      <w:pPr>
        <w:ind w:left="851" w:hanging="851"/>
        <w:rPr>
          <w:bCs/>
          <w:caps/>
          <w:sz w:val="24"/>
          <w:szCs w:val="24"/>
        </w:rPr>
      </w:pPr>
    </w:p>
    <w:p w14:paraId="19604D32" w14:textId="77777777" w:rsidR="00F55FC2" w:rsidRPr="00F55FC2" w:rsidRDefault="00F55FC2" w:rsidP="00897128">
      <w:pPr>
        <w:ind w:left="851"/>
        <w:rPr>
          <w:color w:val="1F497D"/>
          <w:sz w:val="24"/>
          <w:szCs w:val="24"/>
        </w:rPr>
      </w:pPr>
      <w:r w:rsidRPr="00F55FC2">
        <w:rPr>
          <w:sz w:val="24"/>
          <w:szCs w:val="24"/>
        </w:rPr>
        <w:t>Ved doser under 250 mg og til børn, der har svært ved at synke kapsler, findes der alternative formuleringer indeholdende ursodeoxycholsyre i opløsning.</w:t>
      </w:r>
    </w:p>
    <w:p w14:paraId="671DE631" w14:textId="77777777" w:rsidR="00B003BF" w:rsidRDefault="00B003BF" w:rsidP="00F55FC2">
      <w:pPr>
        <w:tabs>
          <w:tab w:val="left" w:pos="851"/>
        </w:tabs>
        <w:ind w:left="851" w:hanging="851"/>
        <w:rPr>
          <w:sz w:val="24"/>
          <w:szCs w:val="24"/>
        </w:rPr>
      </w:pPr>
    </w:p>
    <w:p w14:paraId="58656C42" w14:textId="77777777" w:rsidR="004D3A22" w:rsidRPr="00F55FC2" w:rsidRDefault="004D3A22" w:rsidP="00F55FC2">
      <w:pPr>
        <w:tabs>
          <w:tab w:val="left" w:pos="851"/>
        </w:tabs>
        <w:ind w:left="851" w:hanging="851"/>
        <w:rPr>
          <w:sz w:val="24"/>
          <w:szCs w:val="24"/>
        </w:rPr>
      </w:pPr>
    </w:p>
    <w:p w14:paraId="0114C2A4" w14:textId="77777777" w:rsidR="00B003BF" w:rsidRPr="00F55FC2" w:rsidRDefault="00B003BF" w:rsidP="00F55FC2">
      <w:pPr>
        <w:tabs>
          <w:tab w:val="left" w:pos="851"/>
        </w:tabs>
        <w:ind w:left="851" w:hanging="851"/>
        <w:rPr>
          <w:b/>
          <w:sz w:val="24"/>
          <w:szCs w:val="24"/>
        </w:rPr>
      </w:pPr>
      <w:r w:rsidRPr="00F55FC2">
        <w:rPr>
          <w:b/>
          <w:sz w:val="24"/>
          <w:szCs w:val="24"/>
        </w:rPr>
        <w:lastRenderedPageBreak/>
        <w:t>4.3</w:t>
      </w:r>
      <w:r w:rsidRPr="00F55FC2">
        <w:rPr>
          <w:b/>
          <w:sz w:val="24"/>
          <w:szCs w:val="24"/>
        </w:rPr>
        <w:tab/>
        <w:t>Kontraindikationer</w:t>
      </w:r>
    </w:p>
    <w:p w14:paraId="58B4B345" w14:textId="77777777" w:rsidR="00F55FC2" w:rsidRPr="00F55FC2" w:rsidRDefault="00F55FC2" w:rsidP="00897128">
      <w:pPr>
        <w:autoSpaceDE w:val="0"/>
        <w:autoSpaceDN w:val="0"/>
        <w:adjustRightInd w:val="0"/>
        <w:ind w:left="851"/>
        <w:rPr>
          <w:sz w:val="24"/>
          <w:szCs w:val="24"/>
        </w:rPr>
      </w:pPr>
      <w:r w:rsidRPr="00F55FC2">
        <w:rPr>
          <w:sz w:val="24"/>
          <w:szCs w:val="24"/>
        </w:rPr>
        <w:t xml:space="preserve">Ursodeoxycholsyre må ikke anvendes til patienter med: </w:t>
      </w:r>
    </w:p>
    <w:p w14:paraId="274E4339" w14:textId="77777777" w:rsidR="00F55FC2" w:rsidRPr="00F55FC2" w:rsidRDefault="00F55FC2" w:rsidP="00897128">
      <w:pPr>
        <w:pStyle w:val="Listeafsnit"/>
        <w:numPr>
          <w:ilvl w:val="0"/>
          <w:numId w:val="6"/>
        </w:numPr>
        <w:tabs>
          <w:tab w:val="clear" w:pos="567"/>
        </w:tabs>
        <w:autoSpaceDE w:val="0"/>
        <w:autoSpaceDN w:val="0"/>
        <w:adjustRightInd w:val="0"/>
        <w:spacing w:line="240" w:lineRule="auto"/>
        <w:ind w:left="1276" w:hanging="425"/>
        <w:rPr>
          <w:sz w:val="24"/>
          <w:szCs w:val="24"/>
          <w:lang w:val="da-DK"/>
        </w:rPr>
      </w:pPr>
      <w:r w:rsidRPr="00F55FC2">
        <w:rPr>
          <w:sz w:val="24"/>
          <w:szCs w:val="24"/>
          <w:lang w:val="da-DK"/>
        </w:rPr>
        <w:t>Overfølsomhed over for det aktive stof, andre galdesyrer eller over for et eller flere af hjælpestofferne anført i pkt. 6.1.</w:t>
      </w:r>
    </w:p>
    <w:p w14:paraId="00759D6E" w14:textId="57742F68" w:rsidR="00F55FC2" w:rsidRPr="00F55FC2" w:rsidRDefault="00F55FC2" w:rsidP="00897128">
      <w:pPr>
        <w:pStyle w:val="Listeafsnit"/>
        <w:numPr>
          <w:ilvl w:val="0"/>
          <w:numId w:val="6"/>
        </w:numPr>
        <w:tabs>
          <w:tab w:val="clear" w:pos="567"/>
        </w:tabs>
        <w:autoSpaceDE w:val="0"/>
        <w:autoSpaceDN w:val="0"/>
        <w:adjustRightInd w:val="0"/>
        <w:spacing w:line="240" w:lineRule="auto"/>
        <w:ind w:left="1276" w:hanging="425"/>
        <w:rPr>
          <w:sz w:val="24"/>
          <w:szCs w:val="24"/>
          <w:lang w:val="da-DK"/>
        </w:rPr>
      </w:pPr>
      <w:r w:rsidRPr="00F55FC2">
        <w:rPr>
          <w:sz w:val="24"/>
          <w:szCs w:val="24"/>
          <w:lang w:val="da-DK"/>
        </w:rPr>
        <w:t xml:space="preserve">Akut </w:t>
      </w:r>
      <w:r w:rsidR="002B0075">
        <w:rPr>
          <w:sz w:val="24"/>
          <w:szCs w:val="24"/>
          <w:lang w:val="da-DK"/>
        </w:rPr>
        <w:t xml:space="preserve">inflammation i </w:t>
      </w:r>
      <w:r w:rsidRPr="00F55FC2">
        <w:rPr>
          <w:sz w:val="24"/>
          <w:szCs w:val="24"/>
          <w:lang w:val="da-DK"/>
        </w:rPr>
        <w:t>galdeblære- eller galdevej</w:t>
      </w:r>
      <w:r w:rsidR="002B0075">
        <w:rPr>
          <w:sz w:val="24"/>
          <w:szCs w:val="24"/>
          <w:lang w:val="da-DK"/>
        </w:rPr>
        <w:t>e</w:t>
      </w:r>
    </w:p>
    <w:p w14:paraId="3B252F85" w14:textId="77777777" w:rsidR="00F55FC2" w:rsidRPr="00F55FC2" w:rsidRDefault="00F55FC2" w:rsidP="00897128">
      <w:pPr>
        <w:pStyle w:val="Listeafsnit"/>
        <w:numPr>
          <w:ilvl w:val="0"/>
          <w:numId w:val="6"/>
        </w:numPr>
        <w:tabs>
          <w:tab w:val="clear" w:pos="567"/>
        </w:tabs>
        <w:autoSpaceDE w:val="0"/>
        <w:autoSpaceDN w:val="0"/>
        <w:adjustRightInd w:val="0"/>
        <w:spacing w:line="240" w:lineRule="auto"/>
        <w:ind w:left="1276" w:hanging="425"/>
        <w:rPr>
          <w:sz w:val="24"/>
          <w:szCs w:val="24"/>
          <w:lang w:val="da-DK"/>
        </w:rPr>
      </w:pPr>
      <w:r w:rsidRPr="00F55FC2">
        <w:rPr>
          <w:sz w:val="24"/>
          <w:szCs w:val="24"/>
          <w:lang w:val="da-DK"/>
        </w:rPr>
        <w:t>Okklusion af galdevejen (okklusion af den fælles galdegang eller galdeblæregangen)</w:t>
      </w:r>
    </w:p>
    <w:p w14:paraId="1C9CE1C1" w14:textId="77777777" w:rsidR="00F55FC2" w:rsidRPr="00F55FC2" w:rsidRDefault="00F55FC2" w:rsidP="00897128">
      <w:pPr>
        <w:pStyle w:val="Listeafsnit"/>
        <w:numPr>
          <w:ilvl w:val="0"/>
          <w:numId w:val="6"/>
        </w:numPr>
        <w:tabs>
          <w:tab w:val="clear" w:pos="567"/>
        </w:tabs>
        <w:autoSpaceDE w:val="0"/>
        <w:autoSpaceDN w:val="0"/>
        <w:adjustRightInd w:val="0"/>
        <w:spacing w:line="240" w:lineRule="auto"/>
        <w:ind w:left="1276" w:hanging="425"/>
        <w:rPr>
          <w:sz w:val="24"/>
          <w:szCs w:val="24"/>
          <w:lang w:val="da-DK"/>
        </w:rPr>
      </w:pPr>
      <w:r w:rsidRPr="00F55FC2">
        <w:rPr>
          <w:sz w:val="24"/>
          <w:szCs w:val="24"/>
          <w:lang w:val="da-DK"/>
        </w:rPr>
        <w:t>Hyppige episoder med biliær kolik</w:t>
      </w:r>
    </w:p>
    <w:p w14:paraId="498D5F49" w14:textId="77777777" w:rsidR="00F55FC2" w:rsidRPr="00F55FC2" w:rsidRDefault="00F55FC2" w:rsidP="00897128">
      <w:pPr>
        <w:pStyle w:val="Listeafsnit"/>
        <w:numPr>
          <w:ilvl w:val="0"/>
          <w:numId w:val="6"/>
        </w:numPr>
        <w:tabs>
          <w:tab w:val="clear" w:pos="567"/>
        </w:tabs>
        <w:autoSpaceDE w:val="0"/>
        <w:autoSpaceDN w:val="0"/>
        <w:adjustRightInd w:val="0"/>
        <w:spacing w:line="240" w:lineRule="auto"/>
        <w:ind w:left="1276" w:hanging="425"/>
        <w:rPr>
          <w:sz w:val="24"/>
          <w:szCs w:val="24"/>
          <w:lang w:val="da-DK"/>
        </w:rPr>
      </w:pPr>
      <w:r w:rsidRPr="00F55FC2">
        <w:rPr>
          <w:sz w:val="24"/>
          <w:szCs w:val="24"/>
          <w:lang w:val="da-DK"/>
        </w:rPr>
        <w:t>Røntgentætte, forkalkede galdesten</w:t>
      </w:r>
    </w:p>
    <w:p w14:paraId="4F8D59DF" w14:textId="77777777" w:rsidR="00F55FC2" w:rsidRPr="00F55FC2" w:rsidRDefault="00F55FC2" w:rsidP="00897128">
      <w:pPr>
        <w:pStyle w:val="Listeafsnit"/>
        <w:numPr>
          <w:ilvl w:val="0"/>
          <w:numId w:val="6"/>
        </w:numPr>
        <w:tabs>
          <w:tab w:val="clear" w:pos="567"/>
        </w:tabs>
        <w:autoSpaceDE w:val="0"/>
        <w:autoSpaceDN w:val="0"/>
        <w:adjustRightInd w:val="0"/>
        <w:spacing w:line="240" w:lineRule="auto"/>
        <w:ind w:left="1276" w:hanging="425"/>
        <w:rPr>
          <w:sz w:val="24"/>
          <w:szCs w:val="24"/>
          <w:lang w:val="da-DK"/>
        </w:rPr>
      </w:pPr>
      <w:r w:rsidRPr="00F55FC2">
        <w:rPr>
          <w:sz w:val="24"/>
          <w:szCs w:val="24"/>
          <w:lang w:val="da-DK"/>
        </w:rPr>
        <w:t>Nedsat galdeblære kontraktilitet</w:t>
      </w:r>
    </w:p>
    <w:p w14:paraId="7CBD9E7E" w14:textId="77777777" w:rsidR="00F55FC2" w:rsidRPr="00F55FC2" w:rsidRDefault="00F55FC2" w:rsidP="00F55FC2">
      <w:pPr>
        <w:autoSpaceDE w:val="0"/>
        <w:autoSpaceDN w:val="0"/>
        <w:adjustRightInd w:val="0"/>
        <w:ind w:left="851" w:hanging="851"/>
        <w:rPr>
          <w:sz w:val="24"/>
          <w:szCs w:val="24"/>
          <w:lang w:eastAsia="da-DK"/>
        </w:rPr>
      </w:pPr>
    </w:p>
    <w:p w14:paraId="117649DA" w14:textId="77777777" w:rsidR="00F55FC2" w:rsidRPr="00F55FC2" w:rsidRDefault="00F55FC2" w:rsidP="00897128">
      <w:pPr>
        <w:ind w:left="851"/>
        <w:rPr>
          <w:i/>
          <w:sz w:val="24"/>
          <w:szCs w:val="24"/>
        </w:rPr>
      </w:pPr>
      <w:r w:rsidRPr="00F55FC2">
        <w:rPr>
          <w:i/>
          <w:sz w:val="24"/>
          <w:szCs w:val="24"/>
        </w:rPr>
        <w:t>Pædiatrisk population</w:t>
      </w:r>
    </w:p>
    <w:p w14:paraId="01FBF043" w14:textId="77777777" w:rsidR="00F55FC2" w:rsidRPr="00F55FC2" w:rsidRDefault="00F55FC2" w:rsidP="00897128">
      <w:pPr>
        <w:autoSpaceDE w:val="0"/>
        <w:autoSpaceDN w:val="0"/>
        <w:adjustRightInd w:val="0"/>
        <w:ind w:left="851"/>
        <w:rPr>
          <w:sz w:val="24"/>
          <w:szCs w:val="24"/>
        </w:rPr>
      </w:pPr>
      <w:r w:rsidRPr="00F55FC2">
        <w:rPr>
          <w:sz w:val="24"/>
          <w:szCs w:val="24"/>
        </w:rPr>
        <w:t>Mislykkedes Portoenterostomi eller ved udeblivelse af funktionel galdestrøm hos børn med biliær atresi.</w:t>
      </w:r>
    </w:p>
    <w:p w14:paraId="6AF7A444" w14:textId="77777777" w:rsidR="00B003BF" w:rsidRPr="00F55FC2" w:rsidRDefault="00B003BF" w:rsidP="00F55FC2">
      <w:pPr>
        <w:tabs>
          <w:tab w:val="left" w:pos="851"/>
        </w:tabs>
        <w:ind w:left="851" w:hanging="851"/>
        <w:rPr>
          <w:sz w:val="24"/>
          <w:szCs w:val="24"/>
        </w:rPr>
      </w:pPr>
    </w:p>
    <w:p w14:paraId="3965AD6B" w14:textId="77777777" w:rsidR="00B003BF" w:rsidRPr="00F55FC2" w:rsidRDefault="00B003BF" w:rsidP="00F55FC2">
      <w:pPr>
        <w:tabs>
          <w:tab w:val="left" w:pos="851"/>
        </w:tabs>
        <w:ind w:left="851" w:hanging="851"/>
        <w:rPr>
          <w:b/>
          <w:sz w:val="24"/>
          <w:szCs w:val="24"/>
        </w:rPr>
      </w:pPr>
      <w:r w:rsidRPr="00F55FC2">
        <w:rPr>
          <w:b/>
          <w:sz w:val="24"/>
          <w:szCs w:val="24"/>
        </w:rPr>
        <w:t>4.4</w:t>
      </w:r>
      <w:r w:rsidRPr="00F55FC2">
        <w:rPr>
          <w:b/>
          <w:sz w:val="24"/>
          <w:szCs w:val="24"/>
        </w:rPr>
        <w:tab/>
        <w:t>Særlige advarsler og forsigtighedsregler vedrørende brugen</w:t>
      </w:r>
    </w:p>
    <w:p w14:paraId="01709057" w14:textId="35C7B782" w:rsidR="00F55FC2" w:rsidRPr="00F55FC2" w:rsidRDefault="00B003BF" w:rsidP="00897128">
      <w:pPr>
        <w:ind w:left="851" w:hanging="851"/>
        <w:rPr>
          <w:sz w:val="24"/>
          <w:szCs w:val="24"/>
        </w:rPr>
      </w:pPr>
      <w:r w:rsidRPr="00F55FC2">
        <w:rPr>
          <w:sz w:val="24"/>
          <w:szCs w:val="24"/>
        </w:rPr>
        <w:tab/>
      </w:r>
      <w:r w:rsidR="00F55FC2" w:rsidRPr="00F55FC2">
        <w:rPr>
          <w:sz w:val="24"/>
          <w:szCs w:val="24"/>
        </w:rPr>
        <w:t>Ursodeoxycholsyre skal tages under medicinsk opsyn.</w:t>
      </w:r>
    </w:p>
    <w:p w14:paraId="565E158C" w14:textId="77777777" w:rsidR="00F55FC2" w:rsidRPr="00F55FC2" w:rsidRDefault="00F55FC2" w:rsidP="00F55FC2">
      <w:pPr>
        <w:autoSpaceDE w:val="0"/>
        <w:autoSpaceDN w:val="0"/>
        <w:adjustRightInd w:val="0"/>
        <w:ind w:left="851" w:hanging="851"/>
        <w:rPr>
          <w:sz w:val="24"/>
          <w:szCs w:val="24"/>
          <w:lang w:eastAsia="da-DK"/>
        </w:rPr>
      </w:pPr>
    </w:p>
    <w:p w14:paraId="726D81AF" w14:textId="77777777" w:rsidR="00F55FC2" w:rsidRPr="00F55FC2" w:rsidRDefault="00F55FC2" w:rsidP="00897128">
      <w:pPr>
        <w:autoSpaceDE w:val="0"/>
        <w:autoSpaceDN w:val="0"/>
        <w:adjustRightInd w:val="0"/>
        <w:ind w:left="851"/>
        <w:rPr>
          <w:sz w:val="24"/>
          <w:szCs w:val="24"/>
        </w:rPr>
      </w:pPr>
      <w:r w:rsidRPr="00F55FC2">
        <w:rPr>
          <w:sz w:val="24"/>
          <w:szCs w:val="24"/>
        </w:rPr>
        <w:t>I de 3 første måneder af behandlingen skal leverfunktionsparametrene ASAT (SGOT), ALAT (SGPT) og γ-GT monitoreres af lægen hver fjerde uge, derefter hver tredje måned. Udover at gøre det muligt at identificere patienter der svarer og ikke svarer på behandlingen af primær biliær cirrose gør denne monitorering det muligt tidligt at opdage en potentiel hepatisk forværring, navnlig hos patienter med primær biliær cirrose i en sen fase.</w:t>
      </w:r>
    </w:p>
    <w:p w14:paraId="6E151C78" w14:textId="77777777" w:rsidR="00F55FC2" w:rsidRPr="00F55FC2" w:rsidRDefault="00F55FC2" w:rsidP="00F55FC2">
      <w:pPr>
        <w:autoSpaceDE w:val="0"/>
        <w:autoSpaceDN w:val="0"/>
        <w:adjustRightInd w:val="0"/>
        <w:ind w:left="851" w:hanging="851"/>
        <w:rPr>
          <w:sz w:val="24"/>
          <w:szCs w:val="24"/>
          <w:lang w:eastAsia="da-DK"/>
        </w:rPr>
      </w:pPr>
    </w:p>
    <w:p w14:paraId="3AF21836" w14:textId="77777777" w:rsidR="00F55FC2" w:rsidRPr="00F55FC2" w:rsidRDefault="00F55FC2" w:rsidP="00897128">
      <w:pPr>
        <w:autoSpaceDE w:val="0"/>
        <w:autoSpaceDN w:val="0"/>
        <w:adjustRightInd w:val="0"/>
        <w:ind w:left="851"/>
        <w:rPr>
          <w:i/>
          <w:sz w:val="24"/>
          <w:szCs w:val="24"/>
        </w:rPr>
      </w:pPr>
      <w:r w:rsidRPr="00F55FC2">
        <w:rPr>
          <w:i/>
          <w:sz w:val="24"/>
          <w:szCs w:val="24"/>
        </w:rPr>
        <w:t>Ved anvendelse til opløsning af kolesterolgaldesten:</w:t>
      </w:r>
    </w:p>
    <w:p w14:paraId="7497A9C1" w14:textId="77777777" w:rsidR="00F55FC2" w:rsidRPr="00F55FC2" w:rsidRDefault="00F55FC2" w:rsidP="00897128">
      <w:pPr>
        <w:autoSpaceDE w:val="0"/>
        <w:autoSpaceDN w:val="0"/>
        <w:adjustRightInd w:val="0"/>
        <w:ind w:left="851"/>
        <w:rPr>
          <w:sz w:val="24"/>
          <w:szCs w:val="24"/>
        </w:rPr>
      </w:pPr>
      <w:r w:rsidRPr="00F55FC2">
        <w:rPr>
          <w:sz w:val="24"/>
          <w:szCs w:val="24"/>
        </w:rPr>
        <w:t>For at kunne bedømme terapeutiske fremskridt og for at kunne opdage enhver forkalkning af galdestenene i god tid, afhængigt af stenenes størrelse, visualiseres galdeblæren (oral kolecystografi) med oversigts- og okklusionsbilleder i stående og liggende position (ultralydskontrol) 6-10 måneder efter behandlingens start.</w:t>
      </w:r>
    </w:p>
    <w:p w14:paraId="79583EA8" w14:textId="77777777" w:rsidR="00F55FC2" w:rsidRPr="00F55FC2" w:rsidRDefault="00F55FC2" w:rsidP="00F55FC2">
      <w:pPr>
        <w:autoSpaceDE w:val="0"/>
        <w:autoSpaceDN w:val="0"/>
        <w:adjustRightInd w:val="0"/>
        <w:ind w:left="851" w:hanging="851"/>
        <w:rPr>
          <w:sz w:val="24"/>
          <w:szCs w:val="24"/>
          <w:lang w:eastAsia="da-DK"/>
        </w:rPr>
      </w:pPr>
    </w:p>
    <w:p w14:paraId="4968A273" w14:textId="77777777" w:rsidR="00F55FC2" w:rsidRPr="00F55FC2" w:rsidRDefault="00F55FC2" w:rsidP="00897128">
      <w:pPr>
        <w:autoSpaceDE w:val="0"/>
        <w:autoSpaceDN w:val="0"/>
        <w:adjustRightInd w:val="0"/>
        <w:ind w:left="851"/>
        <w:rPr>
          <w:sz w:val="24"/>
          <w:szCs w:val="24"/>
        </w:rPr>
      </w:pPr>
      <w:r w:rsidRPr="00F55FC2">
        <w:rPr>
          <w:sz w:val="24"/>
          <w:szCs w:val="24"/>
        </w:rPr>
        <w:t xml:space="preserve">Ursodeoxycholsyre må ikke anvendes hvis galdeblæren ikke kan visualiseres på røntgenbilleder, eller i tilfælde af forkalkede galdesten, nedsat galdeblære kontraktilitet eller hyppige episoder af biliær kolik. </w:t>
      </w:r>
    </w:p>
    <w:p w14:paraId="4E2CF383" w14:textId="77777777" w:rsidR="00F55FC2" w:rsidRPr="00F55FC2" w:rsidRDefault="00F55FC2" w:rsidP="00F55FC2">
      <w:pPr>
        <w:autoSpaceDE w:val="0"/>
        <w:autoSpaceDN w:val="0"/>
        <w:adjustRightInd w:val="0"/>
        <w:ind w:left="851" w:hanging="851"/>
        <w:rPr>
          <w:sz w:val="24"/>
          <w:szCs w:val="24"/>
          <w:lang w:eastAsia="da-DK"/>
        </w:rPr>
      </w:pPr>
    </w:p>
    <w:p w14:paraId="2D86CB59" w14:textId="77777777" w:rsidR="00F55FC2" w:rsidRPr="00F55FC2" w:rsidRDefault="00F55FC2" w:rsidP="00897128">
      <w:pPr>
        <w:autoSpaceDE w:val="0"/>
        <w:autoSpaceDN w:val="0"/>
        <w:adjustRightInd w:val="0"/>
        <w:ind w:left="851"/>
        <w:rPr>
          <w:noProof/>
          <w:sz w:val="24"/>
          <w:szCs w:val="24"/>
        </w:rPr>
      </w:pPr>
      <w:r w:rsidRPr="00F55FC2">
        <w:rPr>
          <w:sz w:val="24"/>
          <w:szCs w:val="24"/>
        </w:rPr>
        <w:t>Kvindelige patienter, der tager ursodeoxycholsyre for at opløse galdesten, skal anvende effektive, non-hormonelle svangerskabsforebyggende midler, da hormonelle, orale svangerskabsforebyggende midler kan øge biliær lithiasis (se pkt. 4.5 og 4.6).</w:t>
      </w:r>
      <w:r w:rsidRPr="00F55FC2">
        <w:rPr>
          <w:noProof/>
          <w:sz w:val="24"/>
          <w:szCs w:val="24"/>
        </w:rPr>
        <w:t xml:space="preserve"> </w:t>
      </w:r>
    </w:p>
    <w:p w14:paraId="2733D83F" w14:textId="77777777" w:rsidR="00F55FC2" w:rsidRPr="00F55FC2" w:rsidRDefault="00F55FC2" w:rsidP="00F55FC2">
      <w:pPr>
        <w:autoSpaceDE w:val="0"/>
        <w:autoSpaceDN w:val="0"/>
        <w:adjustRightInd w:val="0"/>
        <w:ind w:left="851" w:hanging="851"/>
        <w:rPr>
          <w:noProof/>
          <w:sz w:val="24"/>
          <w:szCs w:val="24"/>
        </w:rPr>
      </w:pPr>
    </w:p>
    <w:p w14:paraId="0AFBA43C" w14:textId="77777777" w:rsidR="00F55FC2" w:rsidRPr="00F55FC2" w:rsidRDefault="00F55FC2" w:rsidP="00897128">
      <w:pPr>
        <w:autoSpaceDE w:val="0"/>
        <w:autoSpaceDN w:val="0"/>
        <w:adjustRightInd w:val="0"/>
        <w:ind w:left="851"/>
        <w:rPr>
          <w:i/>
          <w:sz w:val="24"/>
          <w:szCs w:val="24"/>
        </w:rPr>
      </w:pPr>
      <w:r w:rsidRPr="00F55FC2">
        <w:rPr>
          <w:i/>
          <w:sz w:val="24"/>
          <w:szCs w:val="24"/>
        </w:rPr>
        <w:t>Ved anvendelse til behandling af fremskreden primær biliær cirrose:</w:t>
      </w:r>
    </w:p>
    <w:p w14:paraId="72D83FE0" w14:textId="77777777" w:rsidR="00F55FC2" w:rsidRPr="00F55FC2" w:rsidRDefault="00F55FC2" w:rsidP="00897128">
      <w:pPr>
        <w:autoSpaceDE w:val="0"/>
        <w:autoSpaceDN w:val="0"/>
        <w:adjustRightInd w:val="0"/>
        <w:ind w:left="851"/>
        <w:rPr>
          <w:sz w:val="24"/>
          <w:szCs w:val="24"/>
        </w:rPr>
      </w:pPr>
      <w:r w:rsidRPr="00F55FC2">
        <w:rPr>
          <w:sz w:val="24"/>
          <w:szCs w:val="24"/>
        </w:rPr>
        <w:t>I meget sjældne tilfælde er der observeret dekompensation af hepatisk cirrose, som er delvis reversibel efter seponering af behandlingen.</w:t>
      </w:r>
    </w:p>
    <w:p w14:paraId="6D176969" w14:textId="77777777" w:rsidR="00F55FC2" w:rsidRPr="00F55FC2" w:rsidRDefault="00F55FC2" w:rsidP="00897128">
      <w:pPr>
        <w:autoSpaceDE w:val="0"/>
        <w:autoSpaceDN w:val="0"/>
        <w:adjustRightInd w:val="0"/>
        <w:ind w:left="851"/>
        <w:rPr>
          <w:sz w:val="24"/>
          <w:szCs w:val="24"/>
        </w:rPr>
      </w:pPr>
      <w:r w:rsidRPr="00F55FC2">
        <w:rPr>
          <w:sz w:val="24"/>
          <w:szCs w:val="24"/>
        </w:rPr>
        <w:t>Hos patienter med primær biliær cirrose kan de kliniske symptomer i sjældne tilfælde forværres i starten af behandlingen, f.eks. med forværret kløe. Hvis dette sker, skal behandlingen fortsættes med én 250 mg kapsel dagligt, og behandlingen gradvist øges til den anbefalede dosis, som beskrevet i pkt. 4.2.</w:t>
      </w:r>
    </w:p>
    <w:p w14:paraId="3633D6DC" w14:textId="77777777" w:rsidR="00F55FC2" w:rsidRPr="00F55FC2" w:rsidRDefault="00F55FC2" w:rsidP="00F55FC2">
      <w:pPr>
        <w:autoSpaceDE w:val="0"/>
        <w:autoSpaceDN w:val="0"/>
        <w:adjustRightInd w:val="0"/>
        <w:ind w:left="851" w:hanging="851"/>
        <w:rPr>
          <w:sz w:val="24"/>
          <w:szCs w:val="24"/>
          <w:lang w:eastAsia="da-DK"/>
        </w:rPr>
      </w:pPr>
    </w:p>
    <w:p w14:paraId="7DC6772E" w14:textId="77777777" w:rsidR="00F55FC2" w:rsidRPr="00F55FC2" w:rsidRDefault="00F55FC2" w:rsidP="00897128">
      <w:pPr>
        <w:autoSpaceDE w:val="0"/>
        <w:autoSpaceDN w:val="0"/>
        <w:adjustRightInd w:val="0"/>
        <w:ind w:left="851"/>
        <w:rPr>
          <w:sz w:val="24"/>
          <w:szCs w:val="24"/>
        </w:rPr>
      </w:pPr>
      <w:r w:rsidRPr="00F55FC2">
        <w:rPr>
          <w:sz w:val="24"/>
          <w:szCs w:val="24"/>
        </w:rPr>
        <w:t>Hvis der forekommer diarré, skal dosen reduceres, og i tilfælde af vedvarende diarré, skal behandlingen seponeres.</w:t>
      </w:r>
    </w:p>
    <w:p w14:paraId="6EFA323D" w14:textId="70457134" w:rsidR="00B003BF" w:rsidRPr="00F55FC2" w:rsidRDefault="007361AD" w:rsidP="00F55FC2">
      <w:pPr>
        <w:tabs>
          <w:tab w:val="left" w:pos="851"/>
        </w:tabs>
        <w:ind w:left="851" w:hanging="851"/>
        <w:rPr>
          <w:sz w:val="24"/>
          <w:szCs w:val="24"/>
        </w:rPr>
      </w:pPr>
      <w:r>
        <w:rPr>
          <w:sz w:val="24"/>
          <w:szCs w:val="24"/>
        </w:rPr>
        <w:br w:type="page"/>
      </w:r>
    </w:p>
    <w:p w14:paraId="0F665183" w14:textId="77777777" w:rsidR="00B003BF" w:rsidRPr="00F55FC2" w:rsidRDefault="00B003BF" w:rsidP="00F55FC2">
      <w:pPr>
        <w:tabs>
          <w:tab w:val="left" w:pos="851"/>
        </w:tabs>
        <w:ind w:left="851" w:hanging="851"/>
        <w:rPr>
          <w:b/>
          <w:sz w:val="24"/>
          <w:szCs w:val="24"/>
        </w:rPr>
      </w:pPr>
      <w:r w:rsidRPr="00F55FC2">
        <w:rPr>
          <w:b/>
          <w:sz w:val="24"/>
          <w:szCs w:val="24"/>
        </w:rPr>
        <w:t>4.5</w:t>
      </w:r>
      <w:r w:rsidRPr="00F55FC2">
        <w:rPr>
          <w:b/>
          <w:sz w:val="24"/>
          <w:szCs w:val="24"/>
        </w:rPr>
        <w:tab/>
        <w:t>Interaktion med andre lægemidler og andre former for interaktion</w:t>
      </w:r>
    </w:p>
    <w:p w14:paraId="0D07D7E7" w14:textId="77777777" w:rsidR="00F55FC2" w:rsidRPr="00F55FC2" w:rsidRDefault="00F55FC2" w:rsidP="00897128">
      <w:pPr>
        <w:autoSpaceDE w:val="0"/>
        <w:autoSpaceDN w:val="0"/>
        <w:adjustRightInd w:val="0"/>
        <w:ind w:left="851"/>
        <w:rPr>
          <w:sz w:val="24"/>
          <w:szCs w:val="24"/>
        </w:rPr>
      </w:pPr>
      <w:r w:rsidRPr="00F55FC2">
        <w:rPr>
          <w:sz w:val="24"/>
          <w:szCs w:val="24"/>
        </w:rPr>
        <w:t>Ursodeoxycholsyre må ikke administreres sammen med colestyramin, colestipol eller antacida indeholdende aluminiumhydroxid og/eller aluminiumoxid, da disse præparater binder ursodeoxycholsyre i tarmen og derved hæmmer dens optagelse og virkning. Hvis anvendelse af et præparat, der indeholder ét af disse stoffer, er nødvendig, skal det tages mindst 2 timer før eller efter ursodeoxycholsyre.</w:t>
      </w:r>
    </w:p>
    <w:p w14:paraId="00F27DDB" w14:textId="77777777" w:rsidR="00F55FC2" w:rsidRPr="00F55FC2" w:rsidRDefault="00F55FC2" w:rsidP="00F55FC2">
      <w:pPr>
        <w:autoSpaceDE w:val="0"/>
        <w:autoSpaceDN w:val="0"/>
        <w:adjustRightInd w:val="0"/>
        <w:ind w:left="851" w:hanging="851"/>
        <w:rPr>
          <w:sz w:val="24"/>
          <w:szCs w:val="24"/>
          <w:lang w:eastAsia="da-DK"/>
        </w:rPr>
      </w:pPr>
    </w:p>
    <w:p w14:paraId="71D2F23A" w14:textId="780B05B2" w:rsidR="00F55FC2" w:rsidRPr="00F55FC2" w:rsidRDefault="00F55FC2" w:rsidP="00897128">
      <w:pPr>
        <w:autoSpaceDE w:val="0"/>
        <w:autoSpaceDN w:val="0"/>
        <w:adjustRightInd w:val="0"/>
        <w:ind w:left="851"/>
        <w:rPr>
          <w:sz w:val="24"/>
          <w:szCs w:val="24"/>
        </w:rPr>
      </w:pPr>
      <w:r w:rsidRPr="00F55FC2">
        <w:rPr>
          <w:sz w:val="24"/>
          <w:szCs w:val="24"/>
        </w:rPr>
        <w:t>Ursodeoxycholsyre kan påvirke absorptionen af ciclosporin fra tarmen. Derfor bør blodkoncentrationerne af ciclosporin kontrolleres hos patienter som behandles med dette lægemiddel, og hvis det er nødvendigt justeres dosen.</w:t>
      </w:r>
    </w:p>
    <w:p w14:paraId="44A399B3" w14:textId="77777777" w:rsidR="00F55FC2" w:rsidRPr="00F55FC2" w:rsidRDefault="00F55FC2" w:rsidP="00897128">
      <w:pPr>
        <w:ind w:left="851"/>
        <w:rPr>
          <w:sz w:val="24"/>
          <w:szCs w:val="24"/>
        </w:rPr>
      </w:pPr>
      <w:r w:rsidRPr="00F55FC2">
        <w:rPr>
          <w:sz w:val="24"/>
          <w:szCs w:val="24"/>
        </w:rPr>
        <w:t>På grund af ursodeoxycholsyres effekt på sekretionen af galdesyre er det teoretisk muligt at absorptionen af andre lipofile stoffer påvirkes.</w:t>
      </w:r>
    </w:p>
    <w:p w14:paraId="534C4C5B" w14:textId="77777777" w:rsidR="00F55FC2" w:rsidRPr="00F55FC2" w:rsidRDefault="00F55FC2" w:rsidP="00F55FC2">
      <w:pPr>
        <w:autoSpaceDE w:val="0"/>
        <w:autoSpaceDN w:val="0"/>
        <w:adjustRightInd w:val="0"/>
        <w:ind w:left="851" w:hanging="851"/>
        <w:rPr>
          <w:sz w:val="24"/>
          <w:szCs w:val="24"/>
          <w:lang w:eastAsia="da-DK"/>
        </w:rPr>
      </w:pPr>
    </w:p>
    <w:p w14:paraId="311A2137" w14:textId="77777777" w:rsidR="00F55FC2" w:rsidRPr="00F55FC2" w:rsidRDefault="00F55FC2" w:rsidP="00897128">
      <w:pPr>
        <w:autoSpaceDE w:val="0"/>
        <w:autoSpaceDN w:val="0"/>
        <w:adjustRightInd w:val="0"/>
        <w:ind w:left="851"/>
        <w:rPr>
          <w:sz w:val="24"/>
          <w:szCs w:val="24"/>
        </w:rPr>
      </w:pPr>
      <w:r w:rsidRPr="00F55FC2">
        <w:rPr>
          <w:sz w:val="24"/>
          <w:szCs w:val="24"/>
        </w:rPr>
        <w:t>I sjældne tilfælde kan ursodeoxycholsyre reducere absorptionen af ciprofloxacin.</w:t>
      </w:r>
    </w:p>
    <w:p w14:paraId="527912DF" w14:textId="77777777" w:rsidR="00F55FC2" w:rsidRPr="00F55FC2" w:rsidRDefault="00F55FC2" w:rsidP="00F55FC2">
      <w:pPr>
        <w:autoSpaceDE w:val="0"/>
        <w:autoSpaceDN w:val="0"/>
        <w:adjustRightInd w:val="0"/>
        <w:ind w:left="851" w:hanging="851"/>
        <w:rPr>
          <w:sz w:val="24"/>
          <w:szCs w:val="24"/>
          <w:lang w:eastAsia="da-DK"/>
        </w:rPr>
      </w:pPr>
    </w:p>
    <w:p w14:paraId="09D5D154" w14:textId="77777777" w:rsidR="00F55FC2" w:rsidRPr="00F55FC2" w:rsidRDefault="00F55FC2" w:rsidP="00897128">
      <w:pPr>
        <w:autoSpaceDE w:val="0"/>
        <w:autoSpaceDN w:val="0"/>
        <w:adjustRightInd w:val="0"/>
        <w:ind w:left="851"/>
        <w:rPr>
          <w:sz w:val="24"/>
          <w:szCs w:val="24"/>
        </w:rPr>
      </w:pPr>
      <w:r w:rsidRPr="00F55FC2">
        <w:rPr>
          <w:sz w:val="24"/>
          <w:szCs w:val="24"/>
        </w:rPr>
        <w:t>Det er påvist, at ursodeoxycholsyre reducerer den maksimale plasmakoncentratione C</w:t>
      </w:r>
      <w:r w:rsidRPr="00F55FC2">
        <w:rPr>
          <w:sz w:val="24"/>
          <w:szCs w:val="24"/>
          <w:vertAlign w:val="subscript"/>
        </w:rPr>
        <w:t>max</w:t>
      </w:r>
      <w:r w:rsidRPr="00F55FC2">
        <w:rPr>
          <w:sz w:val="24"/>
          <w:szCs w:val="24"/>
        </w:rPr>
        <w:t xml:space="preserve"> og toteleksponeringen (området under kurven (AUC)) for calciumantagonisten nitrendipin hos raske frivillige. Omhyggelig monitorering ved samtidig brug af nitrendipin og ursodeoxycholsyre anbefales. Det kan være nødvendig at øge dosen af nitrendipin. En interaktion med en reduktion af den terapeutiske virkning af dapson er ligeledes rapporteret. Disse to interaktioner kan, sammen med påvist </w:t>
      </w:r>
      <w:r w:rsidRPr="00F55FC2">
        <w:rPr>
          <w:i/>
          <w:sz w:val="24"/>
          <w:szCs w:val="24"/>
        </w:rPr>
        <w:t>in vitro</w:t>
      </w:r>
      <w:r w:rsidRPr="00F55FC2">
        <w:rPr>
          <w:sz w:val="24"/>
          <w:szCs w:val="24"/>
        </w:rPr>
        <w:t>-interaktion, forklares ved enzyminduktion med CYP3A4. Derimod blev der ikke observeret induktion i et veldesignet interaktionsstudie med budesonid.</w:t>
      </w:r>
    </w:p>
    <w:p w14:paraId="6ACC2E99" w14:textId="77777777" w:rsidR="00F55FC2" w:rsidRPr="00F55FC2" w:rsidRDefault="00F55FC2" w:rsidP="00F55FC2">
      <w:pPr>
        <w:autoSpaceDE w:val="0"/>
        <w:autoSpaceDN w:val="0"/>
        <w:adjustRightInd w:val="0"/>
        <w:ind w:left="851" w:hanging="851"/>
        <w:rPr>
          <w:sz w:val="24"/>
          <w:szCs w:val="24"/>
          <w:lang w:eastAsia="da-DK"/>
        </w:rPr>
      </w:pPr>
    </w:p>
    <w:p w14:paraId="36248E6E" w14:textId="77777777" w:rsidR="00F55FC2" w:rsidRPr="00F55FC2" w:rsidRDefault="00F55FC2" w:rsidP="00897128">
      <w:pPr>
        <w:autoSpaceDE w:val="0"/>
        <w:autoSpaceDN w:val="0"/>
        <w:adjustRightInd w:val="0"/>
        <w:ind w:left="851"/>
        <w:rPr>
          <w:sz w:val="24"/>
          <w:szCs w:val="24"/>
        </w:rPr>
      </w:pPr>
      <w:r w:rsidRPr="00F55FC2">
        <w:rPr>
          <w:sz w:val="24"/>
          <w:szCs w:val="24"/>
        </w:rPr>
        <w:t>Østrogene hormoner og kolesterolsænkende midler, såsom clofibrat, kan øge biliær lithiasis, som giver den modsatte virkning af ursodeoxycholsyre der anvendes til opløsning af galdesten.</w:t>
      </w:r>
    </w:p>
    <w:p w14:paraId="3378ECB3" w14:textId="77777777" w:rsidR="00F55FC2" w:rsidRPr="00F55FC2" w:rsidRDefault="00F55FC2" w:rsidP="00F55FC2">
      <w:pPr>
        <w:autoSpaceDE w:val="0"/>
        <w:autoSpaceDN w:val="0"/>
        <w:adjustRightInd w:val="0"/>
        <w:ind w:left="851" w:hanging="851"/>
        <w:rPr>
          <w:sz w:val="24"/>
          <w:szCs w:val="24"/>
          <w:lang w:eastAsia="da-DK"/>
        </w:rPr>
      </w:pPr>
    </w:p>
    <w:p w14:paraId="411D6798" w14:textId="77777777" w:rsidR="00F55FC2" w:rsidRPr="00F55FC2" w:rsidRDefault="00F55FC2" w:rsidP="00897128">
      <w:pPr>
        <w:autoSpaceDE w:val="0"/>
        <w:autoSpaceDN w:val="0"/>
        <w:adjustRightInd w:val="0"/>
        <w:ind w:left="851"/>
        <w:rPr>
          <w:sz w:val="24"/>
          <w:szCs w:val="24"/>
        </w:rPr>
      </w:pPr>
      <w:r w:rsidRPr="00F55FC2">
        <w:rPr>
          <w:sz w:val="24"/>
          <w:szCs w:val="24"/>
        </w:rPr>
        <w:t>Et klinisk studie med raske frivillige og samtidig anvendelse af ursodeoxycholsyre (500 mg/dag) og rosuvastatin (20 mg/dag) resulterede i øgede plasmaniveauer af rosuvastatin. Den kliniske relevans af denne interaktion og endda interaktioner vedrørende andre statiner er ukendt.</w:t>
      </w:r>
    </w:p>
    <w:p w14:paraId="54F5FC2C" w14:textId="77777777" w:rsidR="00B003BF" w:rsidRPr="00F55FC2" w:rsidRDefault="00B003BF" w:rsidP="00F55FC2">
      <w:pPr>
        <w:tabs>
          <w:tab w:val="left" w:pos="851"/>
        </w:tabs>
        <w:ind w:left="851" w:hanging="851"/>
        <w:rPr>
          <w:sz w:val="24"/>
          <w:szCs w:val="24"/>
        </w:rPr>
      </w:pPr>
    </w:p>
    <w:p w14:paraId="7BD7FDD2" w14:textId="77777777" w:rsidR="00B003BF" w:rsidRPr="00F55FC2" w:rsidRDefault="00B003BF" w:rsidP="00F55FC2">
      <w:pPr>
        <w:tabs>
          <w:tab w:val="left" w:pos="851"/>
        </w:tabs>
        <w:ind w:left="851" w:hanging="851"/>
        <w:rPr>
          <w:b/>
          <w:sz w:val="24"/>
          <w:szCs w:val="24"/>
        </w:rPr>
      </w:pPr>
      <w:r w:rsidRPr="00F55FC2">
        <w:rPr>
          <w:b/>
          <w:sz w:val="24"/>
          <w:szCs w:val="24"/>
        </w:rPr>
        <w:t>4.6</w:t>
      </w:r>
      <w:r w:rsidRPr="00F55FC2">
        <w:rPr>
          <w:b/>
          <w:sz w:val="24"/>
          <w:szCs w:val="24"/>
        </w:rPr>
        <w:tab/>
        <w:t>Graviditet og amning</w:t>
      </w:r>
    </w:p>
    <w:p w14:paraId="7BBC50B4" w14:textId="77777777" w:rsidR="00897128" w:rsidRDefault="00897128" w:rsidP="00F55FC2">
      <w:pPr>
        <w:ind w:left="851" w:hanging="851"/>
        <w:rPr>
          <w:i/>
          <w:sz w:val="24"/>
          <w:szCs w:val="24"/>
        </w:rPr>
      </w:pPr>
    </w:p>
    <w:p w14:paraId="451F3056" w14:textId="77777777" w:rsidR="00F55FC2" w:rsidRPr="00F55FC2" w:rsidRDefault="00F55FC2" w:rsidP="00897128">
      <w:pPr>
        <w:ind w:left="851"/>
        <w:rPr>
          <w:i/>
          <w:noProof/>
          <w:sz w:val="24"/>
          <w:szCs w:val="24"/>
        </w:rPr>
      </w:pPr>
      <w:r w:rsidRPr="00F55FC2">
        <w:rPr>
          <w:i/>
          <w:sz w:val="24"/>
          <w:szCs w:val="24"/>
        </w:rPr>
        <w:t>Graviditet</w:t>
      </w:r>
    </w:p>
    <w:p w14:paraId="630DBD29" w14:textId="2E959BB4" w:rsidR="00F55FC2" w:rsidRDefault="00F55FC2" w:rsidP="004D3A22">
      <w:pPr>
        <w:autoSpaceDE w:val="0"/>
        <w:autoSpaceDN w:val="0"/>
        <w:adjustRightInd w:val="0"/>
        <w:ind w:left="851"/>
        <w:rPr>
          <w:sz w:val="24"/>
          <w:szCs w:val="24"/>
        </w:rPr>
      </w:pPr>
      <w:r w:rsidRPr="00F55FC2">
        <w:rPr>
          <w:sz w:val="24"/>
          <w:szCs w:val="24"/>
        </w:rPr>
        <w:t>Der er ikke tilstrækkelige data vedrørende brugen af ursodeoxycholsyre, især i det første graviditetstrimester. Dyrestudier har påvist en teratogen virkning i den tidlige svangerskabsfase (se pkt. 5.3). Ursodeoxycholsyre må ikke anvendes under graviditet, medmindre det er strengt nødvendigt. Kvinder i den fødedygtige alder må kun behandles, hvis de anvender et svangerskabsforebyggende middel. Der anbefales ikke-hormonelle svangerskabsforebyggende midler eller orale svangerskabsforebyggende midler med lav østrogendosis. Hos patienter, der tager ursodeoxycholsyre for opløsning af galdesten, skal der anvendes effektive, ikke-hormonelle svangerskabsforebyggende midler, da hormonelle orale svangerskabsforebyggende midler kan øge biliær lithiasis. Mulig graviditet skal udelukkes, inden behandlingen påbegyndes.</w:t>
      </w:r>
    </w:p>
    <w:p w14:paraId="3C831199" w14:textId="77777777" w:rsidR="004D3A22" w:rsidRPr="00F55FC2" w:rsidRDefault="004D3A22" w:rsidP="004D3A22">
      <w:pPr>
        <w:autoSpaceDE w:val="0"/>
        <w:autoSpaceDN w:val="0"/>
        <w:adjustRightInd w:val="0"/>
        <w:ind w:left="851"/>
        <w:rPr>
          <w:noProof/>
          <w:sz w:val="24"/>
          <w:szCs w:val="24"/>
          <w:u w:val="single"/>
        </w:rPr>
      </w:pPr>
    </w:p>
    <w:p w14:paraId="211EAB2F" w14:textId="77777777" w:rsidR="00F55FC2" w:rsidRPr="00F55FC2" w:rsidRDefault="00F55FC2" w:rsidP="00897128">
      <w:pPr>
        <w:ind w:left="851"/>
        <w:rPr>
          <w:i/>
          <w:noProof/>
          <w:sz w:val="24"/>
          <w:szCs w:val="24"/>
        </w:rPr>
      </w:pPr>
      <w:r w:rsidRPr="00F55FC2">
        <w:rPr>
          <w:i/>
          <w:sz w:val="24"/>
          <w:szCs w:val="24"/>
        </w:rPr>
        <w:t>Amning</w:t>
      </w:r>
    </w:p>
    <w:p w14:paraId="3099E305" w14:textId="389B2302" w:rsidR="00F55FC2" w:rsidRPr="00F55FC2" w:rsidRDefault="00F55FC2" w:rsidP="00897128">
      <w:pPr>
        <w:autoSpaceDE w:val="0"/>
        <w:autoSpaceDN w:val="0"/>
        <w:adjustRightInd w:val="0"/>
        <w:ind w:left="851"/>
        <w:rPr>
          <w:sz w:val="24"/>
          <w:szCs w:val="24"/>
        </w:rPr>
      </w:pPr>
      <w:r w:rsidRPr="00F55FC2">
        <w:rPr>
          <w:sz w:val="24"/>
          <w:szCs w:val="24"/>
        </w:rPr>
        <w:t>Det vides ikke, om ursodeoxycholsyre udskilles i modermælk. Udskillelse af ursodeoxycholsyre er ikke undersøgt i dyrestudier. Moderens behov for behandling med ursodeoxycholsyre og fordelen ved amning skal opvejes mod de mulige risiko for barnet.</w:t>
      </w:r>
    </w:p>
    <w:p w14:paraId="167BCB9A" w14:textId="77777777" w:rsidR="00F55FC2" w:rsidRPr="00F55FC2" w:rsidRDefault="00F55FC2" w:rsidP="00897128">
      <w:pPr>
        <w:autoSpaceDE w:val="0"/>
        <w:autoSpaceDN w:val="0"/>
        <w:adjustRightInd w:val="0"/>
        <w:ind w:left="851"/>
        <w:rPr>
          <w:i/>
          <w:sz w:val="24"/>
          <w:szCs w:val="24"/>
        </w:rPr>
      </w:pPr>
      <w:r w:rsidRPr="00F55FC2">
        <w:rPr>
          <w:i/>
          <w:sz w:val="24"/>
          <w:szCs w:val="24"/>
        </w:rPr>
        <w:t>Fertilitet</w:t>
      </w:r>
    </w:p>
    <w:p w14:paraId="083C9EB2" w14:textId="2A19FBCF" w:rsidR="00B003BF" w:rsidRDefault="00F55FC2" w:rsidP="007361AD">
      <w:pPr>
        <w:autoSpaceDE w:val="0"/>
        <w:autoSpaceDN w:val="0"/>
        <w:adjustRightInd w:val="0"/>
        <w:ind w:left="851"/>
        <w:rPr>
          <w:sz w:val="24"/>
          <w:szCs w:val="24"/>
        </w:rPr>
      </w:pPr>
      <w:r w:rsidRPr="00F55FC2">
        <w:rPr>
          <w:sz w:val="24"/>
          <w:szCs w:val="24"/>
        </w:rPr>
        <w:t>Dyrestudier har ikke påvist nogen påvirkning af ursodeoxycholsyre på fertilitet (se pkt. 5.3). Humane data om virkningen af behandling med ursodeoxycholsyre på fertilitet savnes.</w:t>
      </w:r>
    </w:p>
    <w:p w14:paraId="41DDFD8E" w14:textId="77777777" w:rsidR="007361AD" w:rsidRPr="00F55FC2" w:rsidRDefault="007361AD" w:rsidP="007361AD">
      <w:pPr>
        <w:autoSpaceDE w:val="0"/>
        <w:autoSpaceDN w:val="0"/>
        <w:adjustRightInd w:val="0"/>
        <w:ind w:left="851"/>
        <w:rPr>
          <w:sz w:val="24"/>
          <w:szCs w:val="24"/>
        </w:rPr>
      </w:pPr>
    </w:p>
    <w:p w14:paraId="18A0C877" w14:textId="77777777" w:rsidR="00B003BF" w:rsidRPr="00F55FC2" w:rsidRDefault="00B003BF" w:rsidP="00F55FC2">
      <w:pPr>
        <w:tabs>
          <w:tab w:val="left" w:pos="851"/>
        </w:tabs>
        <w:ind w:left="851" w:hanging="851"/>
        <w:rPr>
          <w:b/>
          <w:sz w:val="24"/>
          <w:szCs w:val="24"/>
        </w:rPr>
      </w:pPr>
      <w:r w:rsidRPr="00F55FC2">
        <w:rPr>
          <w:b/>
          <w:sz w:val="24"/>
          <w:szCs w:val="24"/>
        </w:rPr>
        <w:t>4.7</w:t>
      </w:r>
      <w:r w:rsidRPr="00F55FC2">
        <w:rPr>
          <w:b/>
          <w:sz w:val="24"/>
          <w:szCs w:val="24"/>
        </w:rPr>
        <w:tab/>
        <w:t>Virkninger på evnen til at føre motorkøretøj eller betjene maskiner</w:t>
      </w:r>
    </w:p>
    <w:p w14:paraId="0F08AA9E" w14:textId="29EA3362" w:rsidR="00F55FC2" w:rsidRPr="00F55FC2" w:rsidRDefault="00897128" w:rsidP="00F55FC2">
      <w:pPr>
        <w:ind w:left="851" w:hanging="851"/>
        <w:rPr>
          <w:sz w:val="24"/>
          <w:szCs w:val="24"/>
        </w:rPr>
      </w:pPr>
      <w:r>
        <w:rPr>
          <w:sz w:val="24"/>
          <w:szCs w:val="24"/>
        </w:rPr>
        <w:tab/>
        <w:t>Ikke mærkning.</w:t>
      </w:r>
    </w:p>
    <w:p w14:paraId="6B3740BD" w14:textId="64239D14" w:rsidR="00B003BF" w:rsidRPr="00F55FC2" w:rsidRDefault="00F55FC2" w:rsidP="00897128">
      <w:pPr>
        <w:ind w:left="851"/>
        <w:rPr>
          <w:sz w:val="24"/>
          <w:szCs w:val="24"/>
        </w:rPr>
      </w:pPr>
      <w:r w:rsidRPr="00F55FC2">
        <w:rPr>
          <w:sz w:val="24"/>
          <w:szCs w:val="24"/>
        </w:rPr>
        <w:t>Ursochol påvirker ikke eller kun i ubetydelig grad evnen til at føre motorkøretøj og betjene maskiner.</w:t>
      </w:r>
    </w:p>
    <w:p w14:paraId="41BB85C0" w14:textId="77777777" w:rsidR="00B003BF" w:rsidRPr="00F55FC2" w:rsidRDefault="00B003BF" w:rsidP="00F55FC2">
      <w:pPr>
        <w:tabs>
          <w:tab w:val="left" w:pos="851"/>
        </w:tabs>
        <w:ind w:left="851" w:hanging="851"/>
        <w:rPr>
          <w:sz w:val="24"/>
          <w:szCs w:val="24"/>
        </w:rPr>
      </w:pPr>
    </w:p>
    <w:p w14:paraId="5206F097" w14:textId="77777777" w:rsidR="00B003BF" w:rsidRPr="00F55FC2" w:rsidRDefault="00B003BF" w:rsidP="00F55FC2">
      <w:pPr>
        <w:tabs>
          <w:tab w:val="left" w:pos="851"/>
        </w:tabs>
        <w:ind w:left="851" w:hanging="851"/>
        <w:rPr>
          <w:b/>
          <w:sz w:val="24"/>
          <w:szCs w:val="24"/>
        </w:rPr>
      </w:pPr>
      <w:r w:rsidRPr="00F55FC2">
        <w:rPr>
          <w:b/>
          <w:sz w:val="24"/>
          <w:szCs w:val="24"/>
        </w:rPr>
        <w:t>4.8</w:t>
      </w:r>
      <w:r w:rsidRPr="00F55FC2">
        <w:rPr>
          <w:b/>
          <w:sz w:val="24"/>
          <w:szCs w:val="24"/>
        </w:rPr>
        <w:tab/>
        <w:t>Bivirkninger</w:t>
      </w:r>
    </w:p>
    <w:p w14:paraId="3BFBA201" w14:textId="454E0219" w:rsidR="00F55FC2" w:rsidRPr="00F55FC2" w:rsidRDefault="00B003BF" w:rsidP="00897128">
      <w:pPr>
        <w:ind w:left="851" w:hanging="851"/>
        <w:rPr>
          <w:sz w:val="24"/>
          <w:szCs w:val="24"/>
        </w:rPr>
      </w:pPr>
      <w:r w:rsidRPr="00F55FC2">
        <w:rPr>
          <w:sz w:val="24"/>
          <w:szCs w:val="24"/>
        </w:rPr>
        <w:tab/>
      </w:r>
      <w:r w:rsidR="00F55FC2" w:rsidRPr="00F55FC2">
        <w:rPr>
          <w:sz w:val="24"/>
          <w:szCs w:val="24"/>
        </w:rPr>
        <w:t>Vurderingen af bivirkninger er baseret på følgende frekvenser:</w:t>
      </w:r>
    </w:p>
    <w:p w14:paraId="3F82D8C7" w14:textId="77777777" w:rsidR="00F55FC2" w:rsidRPr="00F55FC2" w:rsidRDefault="00F55FC2" w:rsidP="00897128">
      <w:pPr>
        <w:autoSpaceDE w:val="0"/>
        <w:autoSpaceDN w:val="0"/>
        <w:adjustRightInd w:val="0"/>
        <w:ind w:left="851"/>
        <w:rPr>
          <w:sz w:val="24"/>
          <w:szCs w:val="24"/>
        </w:rPr>
      </w:pPr>
      <w:r w:rsidRPr="00F55FC2">
        <w:rPr>
          <w:sz w:val="24"/>
          <w:szCs w:val="24"/>
        </w:rPr>
        <w:t>Meget almindelig (≥1/10)</w:t>
      </w:r>
    </w:p>
    <w:p w14:paraId="19C33106" w14:textId="77777777" w:rsidR="00F55FC2" w:rsidRPr="00F55FC2" w:rsidRDefault="00F55FC2" w:rsidP="00897128">
      <w:pPr>
        <w:autoSpaceDE w:val="0"/>
        <w:autoSpaceDN w:val="0"/>
        <w:adjustRightInd w:val="0"/>
        <w:ind w:left="851"/>
        <w:rPr>
          <w:sz w:val="24"/>
          <w:szCs w:val="24"/>
        </w:rPr>
      </w:pPr>
      <w:r w:rsidRPr="00F55FC2">
        <w:rPr>
          <w:sz w:val="24"/>
          <w:szCs w:val="24"/>
        </w:rPr>
        <w:t>Almindelig (≥1/100 til &lt;1/10)</w:t>
      </w:r>
    </w:p>
    <w:p w14:paraId="703C67C7" w14:textId="77777777" w:rsidR="00F55FC2" w:rsidRPr="00F55FC2" w:rsidRDefault="00F55FC2" w:rsidP="00897128">
      <w:pPr>
        <w:autoSpaceDE w:val="0"/>
        <w:autoSpaceDN w:val="0"/>
        <w:adjustRightInd w:val="0"/>
        <w:ind w:left="851"/>
        <w:rPr>
          <w:sz w:val="24"/>
          <w:szCs w:val="24"/>
        </w:rPr>
      </w:pPr>
      <w:r w:rsidRPr="00F55FC2">
        <w:rPr>
          <w:sz w:val="24"/>
          <w:szCs w:val="24"/>
        </w:rPr>
        <w:t>Ikke almindelig (≥1/1.000 til &lt;1/100)</w:t>
      </w:r>
    </w:p>
    <w:p w14:paraId="58662AC3" w14:textId="77777777" w:rsidR="00F55FC2" w:rsidRPr="00F55FC2" w:rsidRDefault="00F55FC2" w:rsidP="00897128">
      <w:pPr>
        <w:autoSpaceDE w:val="0"/>
        <w:autoSpaceDN w:val="0"/>
        <w:adjustRightInd w:val="0"/>
        <w:ind w:left="851"/>
        <w:rPr>
          <w:sz w:val="24"/>
          <w:szCs w:val="24"/>
        </w:rPr>
      </w:pPr>
      <w:r w:rsidRPr="00F55FC2">
        <w:rPr>
          <w:sz w:val="24"/>
          <w:szCs w:val="24"/>
        </w:rPr>
        <w:t>Sjælden (≥1/10.000 til &lt;1/1.000):</w:t>
      </w:r>
    </w:p>
    <w:p w14:paraId="62836337" w14:textId="77777777" w:rsidR="00F55FC2" w:rsidRPr="00F55FC2" w:rsidRDefault="00F55FC2" w:rsidP="00897128">
      <w:pPr>
        <w:autoSpaceDE w:val="0"/>
        <w:autoSpaceDN w:val="0"/>
        <w:adjustRightInd w:val="0"/>
        <w:ind w:left="851"/>
        <w:rPr>
          <w:sz w:val="24"/>
          <w:szCs w:val="24"/>
        </w:rPr>
      </w:pPr>
      <w:r w:rsidRPr="00F55FC2">
        <w:rPr>
          <w:sz w:val="24"/>
          <w:szCs w:val="24"/>
        </w:rPr>
        <w:t>Meget sjælden (&lt; 1/10.000)</w:t>
      </w:r>
    </w:p>
    <w:p w14:paraId="65820FCB" w14:textId="77777777" w:rsidR="00F55FC2" w:rsidRPr="00F55FC2" w:rsidRDefault="00F55FC2" w:rsidP="00897128">
      <w:pPr>
        <w:autoSpaceDE w:val="0"/>
        <w:autoSpaceDN w:val="0"/>
        <w:adjustRightInd w:val="0"/>
        <w:ind w:left="851"/>
        <w:rPr>
          <w:sz w:val="24"/>
          <w:szCs w:val="24"/>
        </w:rPr>
      </w:pPr>
      <w:r w:rsidRPr="00F55FC2">
        <w:rPr>
          <w:sz w:val="24"/>
          <w:szCs w:val="24"/>
        </w:rPr>
        <w:t>Ikke kendt (kan ikke estimeres ud fra forhåndenværende data)</w:t>
      </w:r>
    </w:p>
    <w:p w14:paraId="49A4BE48" w14:textId="77777777" w:rsidR="00F55FC2" w:rsidRPr="00F55FC2" w:rsidRDefault="00F55FC2" w:rsidP="00F55FC2">
      <w:pPr>
        <w:autoSpaceDE w:val="0"/>
        <w:autoSpaceDN w:val="0"/>
        <w:adjustRightInd w:val="0"/>
        <w:ind w:left="851" w:hanging="851"/>
        <w:rPr>
          <w:i/>
          <w:iCs/>
          <w:sz w:val="24"/>
          <w:szCs w:val="24"/>
          <w:lang w:eastAsia="da-DK"/>
        </w:rPr>
      </w:pPr>
    </w:p>
    <w:p w14:paraId="50249A56" w14:textId="77777777" w:rsidR="00F55FC2" w:rsidRPr="00F55FC2" w:rsidRDefault="00F55FC2" w:rsidP="00897128">
      <w:pPr>
        <w:autoSpaceDE w:val="0"/>
        <w:autoSpaceDN w:val="0"/>
        <w:adjustRightInd w:val="0"/>
        <w:ind w:left="851"/>
        <w:rPr>
          <w:i/>
          <w:sz w:val="24"/>
          <w:szCs w:val="24"/>
        </w:rPr>
      </w:pPr>
      <w:r w:rsidRPr="00F55FC2">
        <w:rPr>
          <w:i/>
          <w:sz w:val="24"/>
          <w:szCs w:val="24"/>
        </w:rPr>
        <w:t>Mave-tarm-kanalen</w:t>
      </w:r>
    </w:p>
    <w:p w14:paraId="2741A857" w14:textId="5CB36042" w:rsidR="00F55FC2" w:rsidRPr="00F55FC2" w:rsidRDefault="00897128" w:rsidP="00F55FC2">
      <w:pPr>
        <w:tabs>
          <w:tab w:val="left" w:pos="0"/>
        </w:tabs>
        <w:ind w:left="851" w:hanging="851"/>
        <w:rPr>
          <w:sz w:val="24"/>
          <w:szCs w:val="24"/>
        </w:rPr>
      </w:pPr>
      <w:r>
        <w:rPr>
          <w:sz w:val="24"/>
          <w:szCs w:val="24"/>
        </w:rPr>
        <w:tab/>
      </w:r>
      <w:r w:rsidR="00F55FC2" w:rsidRPr="00F55FC2">
        <w:rPr>
          <w:sz w:val="24"/>
          <w:szCs w:val="24"/>
        </w:rPr>
        <w:t>I kliniske forsøg var det almindeligt med indberetninger af bleg afføring eller diarré under behandling med ursodeoxycholsyre.</w:t>
      </w:r>
    </w:p>
    <w:p w14:paraId="1CE3D5F1" w14:textId="77777777" w:rsidR="00F55FC2" w:rsidRPr="00F55FC2" w:rsidRDefault="00F55FC2" w:rsidP="00897128">
      <w:pPr>
        <w:autoSpaceDE w:val="0"/>
        <w:autoSpaceDN w:val="0"/>
        <w:adjustRightInd w:val="0"/>
        <w:ind w:left="851"/>
        <w:rPr>
          <w:sz w:val="24"/>
          <w:szCs w:val="24"/>
        </w:rPr>
      </w:pPr>
      <w:r w:rsidRPr="00F55FC2">
        <w:rPr>
          <w:sz w:val="24"/>
          <w:szCs w:val="24"/>
        </w:rPr>
        <w:t>Meget sjældent forekommer svære smerter i højre øvre side af maveregionen ved behandling af primær biliær cirrose.</w:t>
      </w:r>
    </w:p>
    <w:p w14:paraId="6B934B33" w14:textId="77777777" w:rsidR="00F55FC2" w:rsidRPr="00F55FC2" w:rsidRDefault="00F55FC2" w:rsidP="00F55FC2">
      <w:pPr>
        <w:autoSpaceDE w:val="0"/>
        <w:autoSpaceDN w:val="0"/>
        <w:adjustRightInd w:val="0"/>
        <w:ind w:left="851" w:hanging="851"/>
        <w:rPr>
          <w:i/>
          <w:iCs/>
          <w:sz w:val="24"/>
          <w:szCs w:val="24"/>
          <w:lang w:eastAsia="da-DK"/>
        </w:rPr>
      </w:pPr>
    </w:p>
    <w:p w14:paraId="0CB8DCC4" w14:textId="77777777" w:rsidR="00F55FC2" w:rsidRPr="00F55FC2" w:rsidRDefault="00F55FC2" w:rsidP="00897128">
      <w:pPr>
        <w:autoSpaceDE w:val="0"/>
        <w:autoSpaceDN w:val="0"/>
        <w:adjustRightInd w:val="0"/>
        <w:ind w:left="851"/>
        <w:rPr>
          <w:i/>
          <w:sz w:val="24"/>
          <w:szCs w:val="24"/>
        </w:rPr>
      </w:pPr>
      <w:r w:rsidRPr="00F55FC2">
        <w:rPr>
          <w:i/>
          <w:sz w:val="24"/>
          <w:szCs w:val="24"/>
        </w:rPr>
        <w:t>Lever og galdeveje</w:t>
      </w:r>
    </w:p>
    <w:p w14:paraId="2AF9FAC9" w14:textId="77777777" w:rsidR="00F55FC2" w:rsidRPr="00F55FC2" w:rsidRDefault="00F55FC2" w:rsidP="00897128">
      <w:pPr>
        <w:autoSpaceDE w:val="0"/>
        <w:autoSpaceDN w:val="0"/>
        <w:adjustRightInd w:val="0"/>
        <w:ind w:left="851"/>
        <w:rPr>
          <w:sz w:val="24"/>
          <w:szCs w:val="24"/>
        </w:rPr>
      </w:pPr>
      <w:r w:rsidRPr="00F55FC2">
        <w:rPr>
          <w:sz w:val="24"/>
          <w:szCs w:val="24"/>
        </w:rPr>
        <w:t>Under behandling med ursodeoxycholsyre kan der i meget sjældne tilfælde forekomme forkalkning af galdesten.</w:t>
      </w:r>
    </w:p>
    <w:p w14:paraId="5316B19B" w14:textId="77777777" w:rsidR="00F55FC2" w:rsidRPr="00F55FC2" w:rsidRDefault="00F55FC2" w:rsidP="00897128">
      <w:pPr>
        <w:autoSpaceDE w:val="0"/>
        <w:autoSpaceDN w:val="0"/>
        <w:adjustRightInd w:val="0"/>
        <w:ind w:left="851"/>
        <w:rPr>
          <w:sz w:val="24"/>
          <w:szCs w:val="24"/>
        </w:rPr>
      </w:pPr>
      <w:r w:rsidRPr="00F55FC2">
        <w:rPr>
          <w:sz w:val="24"/>
          <w:szCs w:val="24"/>
        </w:rPr>
        <w:t>Under behandling af fremskredne faser af primær biliær cirrose er der i meget sjældne tilfælde observeret dekompensation af hepatisk cirrose, som er delvist reversibelt efter seponering af behandlingen.</w:t>
      </w:r>
    </w:p>
    <w:p w14:paraId="28A8772E" w14:textId="77777777" w:rsidR="00F55FC2" w:rsidRPr="00F55FC2" w:rsidRDefault="00F55FC2" w:rsidP="00F55FC2">
      <w:pPr>
        <w:autoSpaceDE w:val="0"/>
        <w:autoSpaceDN w:val="0"/>
        <w:adjustRightInd w:val="0"/>
        <w:ind w:left="851" w:hanging="851"/>
        <w:rPr>
          <w:i/>
          <w:iCs/>
          <w:sz w:val="24"/>
          <w:szCs w:val="24"/>
          <w:lang w:eastAsia="da-DK"/>
        </w:rPr>
      </w:pPr>
    </w:p>
    <w:p w14:paraId="61F0DA74" w14:textId="77777777" w:rsidR="00F55FC2" w:rsidRPr="00F55FC2" w:rsidRDefault="00F55FC2" w:rsidP="00897128">
      <w:pPr>
        <w:autoSpaceDE w:val="0"/>
        <w:autoSpaceDN w:val="0"/>
        <w:adjustRightInd w:val="0"/>
        <w:ind w:left="851"/>
        <w:rPr>
          <w:i/>
          <w:sz w:val="24"/>
          <w:szCs w:val="24"/>
        </w:rPr>
      </w:pPr>
      <w:r w:rsidRPr="00F55FC2">
        <w:rPr>
          <w:i/>
          <w:sz w:val="24"/>
          <w:szCs w:val="24"/>
        </w:rPr>
        <w:t>Hud og subkutane væv:</w:t>
      </w:r>
    </w:p>
    <w:p w14:paraId="6FF97D90" w14:textId="77777777" w:rsidR="00F55FC2" w:rsidRPr="00F55FC2" w:rsidRDefault="00F55FC2" w:rsidP="00897128">
      <w:pPr>
        <w:ind w:left="851"/>
        <w:rPr>
          <w:sz w:val="24"/>
          <w:szCs w:val="24"/>
        </w:rPr>
      </w:pPr>
      <w:r w:rsidRPr="00F55FC2">
        <w:rPr>
          <w:sz w:val="24"/>
          <w:szCs w:val="24"/>
        </w:rPr>
        <w:t>Der kan meget sjældent forekomme urticaria.</w:t>
      </w:r>
    </w:p>
    <w:p w14:paraId="5152ECF4" w14:textId="77777777" w:rsidR="00F55FC2" w:rsidRPr="00897128" w:rsidRDefault="00F55FC2" w:rsidP="00F55FC2">
      <w:pPr>
        <w:ind w:left="851" w:hanging="851"/>
        <w:rPr>
          <w:sz w:val="24"/>
          <w:szCs w:val="24"/>
        </w:rPr>
      </w:pPr>
    </w:p>
    <w:p w14:paraId="78210C6E" w14:textId="77777777" w:rsidR="00AD5AB8" w:rsidRPr="004779C2" w:rsidRDefault="00AD5AB8" w:rsidP="00AD5AB8">
      <w:pPr>
        <w:ind w:firstLine="851"/>
        <w:rPr>
          <w:rFonts w:asciiTheme="minorHAnsi" w:hAnsiTheme="minorHAnsi" w:cstheme="minorHAnsi"/>
          <w:szCs w:val="23"/>
        </w:rPr>
      </w:pPr>
      <w:r w:rsidRPr="004779C2">
        <w:rPr>
          <w:sz w:val="24"/>
          <w:szCs w:val="24"/>
          <w:u w:val="single"/>
        </w:rPr>
        <w:t>Indberetning af formodede bivirkninger</w:t>
      </w:r>
    </w:p>
    <w:p w14:paraId="26E6BFE3" w14:textId="77777777" w:rsidR="00AD5AB8" w:rsidRDefault="00AD5AB8" w:rsidP="00AD5AB8">
      <w:pPr>
        <w:ind w:left="851"/>
        <w:rPr>
          <w:sz w:val="24"/>
          <w:szCs w:val="24"/>
        </w:rPr>
      </w:pPr>
      <w:r>
        <w:rPr>
          <w:sz w:val="24"/>
          <w:szCs w:val="24"/>
        </w:rPr>
        <w:t>Når lægemidlet er godkendt, er indberetning af formodede bivirkninger vigtig. Det muliggør løbende overvågning af benefit/risk-forholdet for lægemidlet. Læger og sundhedspersonale anmodes om at indberette alle formodede bivirkninger via:</w:t>
      </w:r>
    </w:p>
    <w:p w14:paraId="7D5C3EE7" w14:textId="77777777" w:rsidR="00AD5AB8" w:rsidRDefault="00AD5AB8" w:rsidP="00AD5AB8">
      <w:pPr>
        <w:ind w:left="851"/>
        <w:rPr>
          <w:sz w:val="24"/>
          <w:szCs w:val="24"/>
        </w:rPr>
      </w:pPr>
    </w:p>
    <w:p w14:paraId="56E62325" w14:textId="77777777" w:rsidR="00AD5AB8" w:rsidRDefault="00AD5AB8" w:rsidP="00AD5AB8">
      <w:pPr>
        <w:ind w:left="851"/>
        <w:rPr>
          <w:sz w:val="24"/>
          <w:szCs w:val="24"/>
        </w:rPr>
      </w:pPr>
      <w:r>
        <w:rPr>
          <w:sz w:val="24"/>
          <w:szCs w:val="24"/>
        </w:rPr>
        <w:t>Lægemiddelstyrelsen</w:t>
      </w:r>
    </w:p>
    <w:p w14:paraId="55DF2CC3" w14:textId="77777777" w:rsidR="00AD5AB8" w:rsidRDefault="00AD5AB8" w:rsidP="00AD5AB8">
      <w:pPr>
        <w:ind w:left="851"/>
        <w:rPr>
          <w:sz w:val="24"/>
          <w:szCs w:val="24"/>
        </w:rPr>
      </w:pPr>
      <w:r>
        <w:rPr>
          <w:sz w:val="24"/>
          <w:szCs w:val="24"/>
        </w:rPr>
        <w:t>Axel Heides Gade 1</w:t>
      </w:r>
    </w:p>
    <w:p w14:paraId="6DC52B60" w14:textId="77777777" w:rsidR="00AD5AB8" w:rsidRDefault="00AD5AB8" w:rsidP="00AD5AB8">
      <w:pPr>
        <w:ind w:left="851"/>
        <w:rPr>
          <w:sz w:val="24"/>
          <w:szCs w:val="24"/>
        </w:rPr>
      </w:pPr>
      <w:r>
        <w:rPr>
          <w:sz w:val="24"/>
          <w:szCs w:val="24"/>
        </w:rPr>
        <w:t>DK-2300 København S</w:t>
      </w:r>
    </w:p>
    <w:p w14:paraId="401DE95A" w14:textId="77777777" w:rsidR="00AD5AB8" w:rsidRDefault="00AD5AB8" w:rsidP="00AD5AB8">
      <w:pPr>
        <w:ind w:left="851"/>
        <w:rPr>
          <w:sz w:val="24"/>
          <w:szCs w:val="24"/>
          <w:lang w:val="en-US"/>
        </w:rPr>
      </w:pPr>
      <w:r>
        <w:rPr>
          <w:sz w:val="24"/>
          <w:szCs w:val="24"/>
          <w:lang w:val="en-US"/>
        </w:rPr>
        <w:t xml:space="preserve">Websted: </w:t>
      </w:r>
      <w:hyperlink r:id="rId9" w:history="1">
        <w:r>
          <w:rPr>
            <w:rStyle w:val="Hyperlink"/>
            <w:sz w:val="24"/>
            <w:szCs w:val="24"/>
            <w:lang w:val="en-US"/>
          </w:rPr>
          <w:t>www.meldenbivirkning.dk</w:t>
        </w:r>
      </w:hyperlink>
    </w:p>
    <w:p w14:paraId="568DF5B0" w14:textId="77777777" w:rsidR="00AD5AB8" w:rsidRPr="00C8256D" w:rsidRDefault="00AD5AB8" w:rsidP="00AD5AB8">
      <w:pPr>
        <w:ind w:left="851"/>
        <w:rPr>
          <w:rFonts w:asciiTheme="minorHAnsi" w:hAnsiTheme="minorHAnsi" w:cstheme="minorHAnsi"/>
          <w:lang w:val="en-US"/>
        </w:rPr>
      </w:pPr>
      <w:r>
        <w:rPr>
          <w:sz w:val="24"/>
          <w:szCs w:val="24"/>
          <w:lang w:val="en-US"/>
        </w:rPr>
        <w:t xml:space="preserve">E-mail: </w:t>
      </w:r>
      <w:hyperlink r:id="rId10" w:history="1">
        <w:r>
          <w:rPr>
            <w:rStyle w:val="Hyperlink"/>
            <w:sz w:val="24"/>
            <w:szCs w:val="24"/>
            <w:lang w:val="en-US"/>
          </w:rPr>
          <w:t>dkma@dkma.dk</w:t>
        </w:r>
      </w:hyperlink>
    </w:p>
    <w:p w14:paraId="1F175288" w14:textId="77777777" w:rsidR="00AD5AB8" w:rsidRPr="008C57FC" w:rsidRDefault="00AD5AB8" w:rsidP="00AD5AB8">
      <w:pPr>
        <w:rPr>
          <w:lang w:val="en-US"/>
        </w:rPr>
      </w:pPr>
    </w:p>
    <w:p w14:paraId="3CBAE6A0" w14:textId="77777777" w:rsidR="00B003BF" w:rsidRPr="00F55FC2" w:rsidRDefault="00B003BF" w:rsidP="00F55FC2">
      <w:pPr>
        <w:tabs>
          <w:tab w:val="left" w:pos="851"/>
        </w:tabs>
        <w:ind w:left="851" w:hanging="851"/>
        <w:rPr>
          <w:b/>
          <w:sz w:val="24"/>
          <w:szCs w:val="24"/>
        </w:rPr>
      </w:pPr>
      <w:r w:rsidRPr="00F55FC2">
        <w:rPr>
          <w:b/>
          <w:sz w:val="24"/>
          <w:szCs w:val="24"/>
        </w:rPr>
        <w:t>4.9</w:t>
      </w:r>
      <w:r w:rsidRPr="00F55FC2">
        <w:rPr>
          <w:b/>
          <w:sz w:val="24"/>
          <w:szCs w:val="24"/>
        </w:rPr>
        <w:tab/>
        <w:t>Overdosering</w:t>
      </w:r>
    </w:p>
    <w:p w14:paraId="295AB3DD" w14:textId="0701980B" w:rsidR="00F55FC2" w:rsidRPr="00F55FC2" w:rsidRDefault="00B003BF" w:rsidP="00897128">
      <w:pPr>
        <w:ind w:left="851" w:hanging="851"/>
        <w:rPr>
          <w:sz w:val="24"/>
          <w:szCs w:val="24"/>
        </w:rPr>
      </w:pPr>
      <w:r w:rsidRPr="00F55FC2">
        <w:rPr>
          <w:sz w:val="24"/>
          <w:szCs w:val="24"/>
        </w:rPr>
        <w:tab/>
      </w:r>
      <w:r w:rsidR="00F55FC2" w:rsidRPr="00F55FC2">
        <w:rPr>
          <w:sz w:val="24"/>
          <w:szCs w:val="24"/>
        </w:rPr>
        <w:t>Diarré kan forekomme ved overdosering. Generelt, er andre symptomer på overdosis usandsynlige, da absorptionen af ursodeoxycholsyre aftager med stigende dosis og derfor udskilles mere via fæces.</w:t>
      </w:r>
    </w:p>
    <w:p w14:paraId="17B2F2C4" w14:textId="77777777" w:rsidR="00F55FC2" w:rsidRPr="00F55FC2" w:rsidRDefault="00F55FC2" w:rsidP="00F55FC2">
      <w:pPr>
        <w:autoSpaceDE w:val="0"/>
        <w:autoSpaceDN w:val="0"/>
        <w:adjustRightInd w:val="0"/>
        <w:ind w:left="851" w:hanging="851"/>
        <w:rPr>
          <w:sz w:val="24"/>
          <w:szCs w:val="24"/>
          <w:lang w:eastAsia="da-DK"/>
        </w:rPr>
      </w:pPr>
    </w:p>
    <w:p w14:paraId="7D373D09" w14:textId="647DF4C7" w:rsidR="00F55FC2" w:rsidRDefault="00F55FC2" w:rsidP="007361AD">
      <w:pPr>
        <w:autoSpaceDE w:val="0"/>
        <w:autoSpaceDN w:val="0"/>
        <w:adjustRightInd w:val="0"/>
        <w:ind w:left="851"/>
        <w:rPr>
          <w:sz w:val="24"/>
          <w:szCs w:val="24"/>
        </w:rPr>
      </w:pPr>
      <w:r w:rsidRPr="00F55FC2">
        <w:rPr>
          <w:sz w:val="24"/>
          <w:szCs w:val="24"/>
        </w:rPr>
        <w:t>Der er ikke behov for specifikke modforanstaltninger, og følgerne af diarré skal behandles symptomatisk med genoprettelse af væske- og elektrolytbalance.</w:t>
      </w:r>
    </w:p>
    <w:p w14:paraId="4F246543" w14:textId="77777777" w:rsidR="007361AD" w:rsidRPr="00F55FC2" w:rsidRDefault="007361AD" w:rsidP="007361AD">
      <w:pPr>
        <w:autoSpaceDE w:val="0"/>
        <w:autoSpaceDN w:val="0"/>
        <w:adjustRightInd w:val="0"/>
        <w:ind w:left="851"/>
        <w:rPr>
          <w:sz w:val="24"/>
          <w:szCs w:val="24"/>
        </w:rPr>
      </w:pPr>
    </w:p>
    <w:p w14:paraId="4B2D85C5" w14:textId="77777777" w:rsidR="00F55FC2" w:rsidRPr="00F55FC2" w:rsidRDefault="00F55FC2" w:rsidP="00897128">
      <w:pPr>
        <w:ind w:left="851"/>
        <w:rPr>
          <w:i/>
          <w:sz w:val="24"/>
          <w:szCs w:val="24"/>
        </w:rPr>
      </w:pPr>
      <w:r w:rsidRPr="00F55FC2">
        <w:rPr>
          <w:i/>
          <w:sz w:val="24"/>
          <w:szCs w:val="24"/>
        </w:rPr>
        <w:t>Yderligere informationer vedrørende visse populationer:</w:t>
      </w:r>
    </w:p>
    <w:p w14:paraId="2C71A804" w14:textId="77777777" w:rsidR="00F55FC2" w:rsidRPr="00F55FC2" w:rsidRDefault="00F55FC2" w:rsidP="00897128">
      <w:pPr>
        <w:ind w:left="851"/>
        <w:rPr>
          <w:sz w:val="24"/>
          <w:szCs w:val="24"/>
        </w:rPr>
      </w:pPr>
      <w:r w:rsidRPr="00F55FC2">
        <w:rPr>
          <w:sz w:val="24"/>
          <w:szCs w:val="24"/>
        </w:rPr>
        <w:t xml:space="preserve">Hos patienter med primær </w:t>
      </w:r>
      <w:r w:rsidRPr="00F55FC2">
        <w:rPr>
          <w:color w:val="000000"/>
          <w:sz w:val="24"/>
          <w:szCs w:val="24"/>
        </w:rPr>
        <w:t>s</w:t>
      </w:r>
      <w:r w:rsidRPr="00F55FC2">
        <w:rPr>
          <w:sz w:val="24"/>
          <w:szCs w:val="24"/>
        </w:rPr>
        <w:t>kleroserende kolangit, der behandles med høje doser af ursodeoxycholsyre (28-30 mg/kg/dag) i længere periode, er der observeret en højere grad af alvorlige bivirkninger (Svensk off-label anvendelse).</w:t>
      </w:r>
    </w:p>
    <w:p w14:paraId="325FFEB0" w14:textId="77777777" w:rsidR="00B003BF" w:rsidRPr="00F55FC2" w:rsidRDefault="00B003BF" w:rsidP="00F55FC2">
      <w:pPr>
        <w:tabs>
          <w:tab w:val="left" w:pos="851"/>
        </w:tabs>
        <w:ind w:left="851" w:hanging="851"/>
        <w:rPr>
          <w:sz w:val="24"/>
          <w:szCs w:val="24"/>
        </w:rPr>
      </w:pPr>
    </w:p>
    <w:p w14:paraId="27BA8732" w14:textId="77777777" w:rsidR="00B003BF" w:rsidRPr="00F55FC2" w:rsidRDefault="00B003BF" w:rsidP="00F55FC2">
      <w:pPr>
        <w:tabs>
          <w:tab w:val="left" w:pos="851"/>
        </w:tabs>
        <w:ind w:left="851" w:hanging="851"/>
        <w:rPr>
          <w:b/>
          <w:sz w:val="24"/>
          <w:szCs w:val="24"/>
        </w:rPr>
      </w:pPr>
      <w:r w:rsidRPr="00F55FC2">
        <w:rPr>
          <w:b/>
          <w:sz w:val="24"/>
          <w:szCs w:val="24"/>
        </w:rPr>
        <w:t>4.10</w:t>
      </w:r>
      <w:r w:rsidRPr="00F55FC2">
        <w:rPr>
          <w:b/>
          <w:sz w:val="24"/>
          <w:szCs w:val="24"/>
        </w:rPr>
        <w:tab/>
        <w:t>Udlevering</w:t>
      </w:r>
    </w:p>
    <w:p w14:paraId="39E15A2A" w14:textId="5976156C" w:rsidR="00B003BF" w:rsidRPr="00F55FC2" w:rsidRDefault="00B003BF" w:rsidP="00F55FC2">
      <w:pPr>
        <w:tabs>
          <w:tab w:val="left" w:pos="851"/>
        </w:tabs>
        <w:ind w:left="851" w:hanging="851"/>
        <w:rPr>
          <w:sz w:val="24"/>
          <w:szCs w:val="24"/>
        </w:rPr>
      </w:pPr>
      <w:r w:rsidRPr="00F55FC2">
        <w:rPr>
          <w:sz w:val="24"/>
          <w:szCs w:val="24"/>
        </w:rPr>
        <w:tab/>
      </w:r>
      <w:r w:rsidR="005C36E6">
        <w:rPr>
          <w:sz w:val="24"/>
          <w:szCs w:val="24"/>
        </w:rPr>
        <w:t>B</w:t>
      </w:r>
    </w:p>
    <w:p w14:paraId="154CBE4C" w14:textId="77777777" w:rsidR="00B003BF" w:rsidRPr="00F55FC2" w:rsidRDefault="00B003BF" w:rsidP="00F55FC2">
      <w:pPr>
        <w:tabs>
          <w:tab w:val="left" w:pos="851"/>
        </w:tabs>
        <w:ind w:left="851" w:hanging="851"/>
        <w:rPr>
          <w:sz w:val="24"/>
          <w:szCs w:val="24"/>
        </w:rPr>
      </w:pPr>
    </w:p>
    <w:p w14:paraId="3C2D3690" w14:textId="77777777" w:rsidR="00B003BF" w:rsidRPr="00F55FC2" w:rsidRDefault="00B003BF" w:rsidP="00F55FC2">
      <w:pPr>
        <w:tabs>
          <w:tab w:val="left" w:pos="851"/>
        </w:tabs>
        <w:ind w:left="851" w:hanging="851"/>
        <w:rPr>
          <w:sz w:val="24"/>
          <w:szCs w:val="24"/>
        </w:rPr>
      </w:pPr>
    </w:p>
    <w:p w14:paraId="2D92FAB2" w14:textId="77777777" w:rsidR="00B003BF" w:rsidRPr="00F55FC2" w:rsidRDefault="00B003BF" w:rsidP="00F55FC2">
      <w:pPr>
        <w:tabs>
          <w:tab w:val="left" w:pos="851"/>
        </w:tabs>
        <w:ind w:left="851" w:hanging="851"/>
        <w:rPr>
          <w:b/>
          <w:sz w:val="24"/>
          <w:szCs w:val="24"/>
        </w:rPr>
      </w:pPr>
      <w:r w:rsidRPr="00F55FC2">
        <w:rPr>
          <w:b/>
          <w:sz w:val="24"/>
          <w:szCs w:val="24"/>
        </w:rPr>
        <w:t>5.</w:t>
      </w:r>
      <w:r w:rsidRPr="00F55FC2">
        <w:rPr>
          <w:b/>
          <w:sz w:val="24"/>
          <w:szCs w:val="24"/>
        </w:rPr>
        <w:tab/>
        <w:t>FARMAKOLOGISKE EGENSKABER</w:t>
      </w:r>
    </w:p>
    <w:p w14:paraId="7AA843F8" w14:textId="77777777" w:rsidR="00B003BF" w:rsidRPr="00F55FC2" w:rsidRDefault="00B003BF" w:rsidP="00F55FC2">
      <w:pPr>
        <w:tabs>
          <w:tab w:val="left" w:pos="851"/>
        </w:tabs>
        <w:ind w:left="851" w:hanging="851"/>
        <w:rPr>
          <w:sz w:val="24"/>
          <w:szCs w:val="24"/>
        </w:rPr>
      </w:pPr>
    </w:p>
    <w:p w14:paraId="244481F9" w14:textId="77777777" w:rsidR="00B003BF" w:rsidRPr="00F55FC2" w:rsidRDefault="00B003BF" w:rsidP="00F55FC2">
      <w:pPr>
        <w:tabs>
          <w:tab w:val="left" w:pos="851"/>
        </w:tabs>
        <w:ind w:left="851" w:hanging="851"/>
        <w:rPr>
          <w:b/>
          <w:sz w:val="24"/>
          <w:szCs w:val="24"/>
        </w:rPr>
      </w:pPr>
      <w:r w:rsidRPr="00F55FC2">
        <w:rPr>
          <w:b/>
          <w:sz w:val="24"/>
          <w:szCs w:val="24"/>
        </w:rPr>
        <w:t>5.0</w:t>
      </w:r>
      <w:r w:rsidRPr="00F55FC2">
        <w:rPr>
          <w:b/>
          <w:sz w:val="24"/>
          <w:szCs w:val="24"/>
        </w:rPr>
        <w:tab/>
        <w:t>Terapeutisk klassifikation</w:t>
      </w:r>
    </w:p>
    <w:p w14:paraId="7B920186" w14:textId="77777777" w:rsidR="00AD5AB8" w:rsidRDefault="00AD5AB8" w:rsidP="00AD5AB8">
      <w:pPr>
        <w:ind w:left="851"/>
        <w:rPr>
          <w:noProof/>
          <w:sz w:val="24"/>
          <w:szCs w:val="24"/>
        </w:rPr>
      </w:pPr>
      <w:r>
        <w:rPr>
          <w:sz w:val="24"/>
          <w:szCs w:val="24"/>
        </w:rPr>
        <w:t>Farmakoterapeutisk klassifikation: Galdesyrer og derivater, ATC-kode: A05AA02.</w:t>
      </w:r>
    </w:p>
    <w:p w14:paraId="3740E690" w14:textId="77777777" w:rsidR="00B003BF" w:rsidRPr="00F55FC2" w:rsidRDefault="00B003BF" w:rsidP="00F55FC2">
      <w:pPr>
        <w:tabs>
          <w:tab w:val="left" w:pos="851"/>
        </w:tabs>
        <w:ind w:left="851" w:hanging="851"/>
        <w:rPr>
          <w:sz w:val="24"/>
          <w:szCs w:val="24"/>
        </w:rPr>
      </w:pPr>
    </w:p>
    <w:p w14:paraId="4FD9F40F" w14:textId="77777777" w:rsidR="00B003BF" w:rsidRPr="00F55FC2" w:rsidRDefault="00B003BF" w:rsidP="00F55FC2">
      <w:pPr>
        <w:tabs>
          <w:tab w:val="num" w:pos="851"/>
        </w:tabs>
        <w:ind w:left="851" w:hanging="851"/>
        <w:rPr>
          <w:b/>
          <w:sz w:val="24"/>
          <w:szCs w:val="24"/>
        </w:rPr>
      </w:pPr>
      <w:r w:rsidRPr="00F55FC2">
        <w:rPr>
          <w:b/>
          <w:sz w:val="24"/>
          <w:szCs w:val="24"/>
        </w:rPr>
        <w:t>5.1</w:t>
      </w:r>
      <w:r w:rsidRPr="00F55FC2">
        <w:rPr>
          <w:b/>
          <w:sz w:val="24"/>
          <w:szCs w:val="24"/>
        </w:rPr>
        <w:tab/>
        <w:t>Farmakodynamiske egenskaber</w:t>
      </w:r>
    </w:p>
    <w:p w14:paraId="4F056253" w14:textId="77777777" w:rsidR="00F55FC2" w:rsidRPr="00F55FC2" w:rsidRDefault="00B003BF" w:rsidP="00F55FC2">
      <w:pPr>
        <w:autoSpaceDE w:val="0"/>
        <w:autoSpaceDN w:val="0"/>
        <w:adjustRightInd w:val="0"/>
        <w:ind w:left="851" w:hanging="851"/>
        <w:rPr>
          <w:sz w:val="24"/>
          <w:szCs w:val="24"/>
        </w:rPr>
      </w:pPr>
      <w:r w:rsidRPr="00F55FC2">
        <w:rPr>
          <w:sz w:val="24"/>
          <w:szCs w:val="24"/>
        </w:rPr>
        <w:tab/>
      </w:r>
      <w:r w:rsidR="00F55FC2" w:rsidRPr="00F55FC2">
        <w:rPr>
          <w:sz w:val="24"/>
          <w:szCs w:val="24"/>
        </w:rPr>
        <w:t>Ursodeoxycholsyre er en hydrofil galdesyre, der er en del af den humane galde i lav koncentration.</w:t>
      </w:r>
    </w:p>
    <w:p w14:paraId="1C99E711" w14:textId="77777777" w:rsidR="00F55FC2" w:rsidRPr="00F55FC2" w:rsidRDefault="00F55FC2" w:rsidP="00F55FC2">
      <w:pPr>
        <w:autoSpaceDE w:val="0"/>
        <w:autoSpaceDN w:val="0"/>
        <w:adjustRightInd w:val="0"/>
        <w:ind w:left="851" w:hanging="851"/>
        <w:rPr>
          <w:sz w:val="24"/>
          <w:szCs w:val="24"/>
          <w:lang w:eastAsia="da-DK"/>
        </w:rPr>
      </w:pPr>
    </w:p>
    <w:p w14:paraId="574233A4" w14:textId="77777777" w:rsidR="00F55FC2" w:rsidRPr="00F55FC2" w:rsidRDefault="00F55FC2" w:rsidP="00897128">
      <w:pPr>
        <w:autoSpaceDE w:val="0"/>
        <w:autoSpaceDN w:val="0"/>
        <w:adjustRightInd w:val="0"/>
        <w:ind w:left="851"/>
        <w:rPr>
          <w:sz w:val="24"/>
          <w:szCs w:val="24"/>
        </w:rPr>
      </w:pPr>
      <w:r w:rsidRPr="00F55FC2">
        <w:rPr>
          <w:sz w:val="24"/>
          <w:szCs w:val="24"/>
        </w:rPr>
        <w:t xml:space="preserve">Hos patienter med røntgen-negative galdesten øger tilføringen af ursodeoxycholsyre opløseligheden af kolesterol i galden. </w:t>
      </w:r>
    </w:p>
    <w:p w14:paraId="21C40AD3" w14:textId="77777777" w:rsidR="00F55FC2" w:rsidRPr="00F55FC2" w:rsidRDefault="00F55FC2" w:rsidP="00897128">
      <w:pPr>
        <w:autoSpaceDE w:val="0"/>
        <w:autoSpaceDN w:val="0"/>
        <w:adjustRightInd w:val="0"/>
        <w:ind w:left="851"/>
        <w:rPr>
          <w:sz w:val="24"/>
          <w:szCs w:val="24"/>
        </w:rPr>
      </w:pPr>
      <w:r w:rsidRPr="00F55FC2">
        <w:rPr>
          <w:sz w:val="24"/>
          <w:szCs w:val="24"/>
        </w:rPr>
        <w:t>Dette opnås via en stigning i mængden af både ursodeoxycholsyre i galden og det totale galdevolumen. Desuden nedsætter Ursodeoxycholsyre tarmabsorption af kolesterol.</w:t>
      </w:r>
    </w:p>
    <w:p w14:paraId="78DFF7DF" w14:textId="77777777" w:rsidR="00F55FC2" w:rsidRPr="00F55FC2" w:rsidRDefault="00F55FC2" w:rsidP="00F55FC2">
      <w:pPr>
        <w:autoSpaceDE w:val="0"/>
        <w:autoSpaceDN w:val="0"/>
        <w:adjustRightInd w:val="0"/>
        <w:ind w:left="851" w:hanging="851"/>
        <w:rPr>
          <w:sz w:val="24"/>
          <w:szCs w:val="24"/>
          <w:lang w:eastAsia="da-DK"/>
        </w:rPr>
      </w:pPr>
    </w:p>
    <w:p w14:paraId="43352132" w14:textId="77777777" w:rsidR="00F55FC2" w:rsidRPr="00F55FC2" w:rsidRDefault="00F55FC2" w:rsidP="00897128">
      <w:pPr>
        <w:autoSpaceDE w:val="0"/>
        <w:autoSpaceDN w:val="0"/>
        <w:adjustRightInd w:val="0"/>
        <w:ind w:left="851"/>
        <w:rPr>
          <w:sz w:val="24"/>
          <w:szCs w:val="24"/>
        </w:rPr>
      </w:pPr>
      <w:r w:rsidRPr="00F55FC2">
        <w:rPr>
          <w:sz w:val="24"/>
          <w:szCs w:val="24"/>
        </w:rPr>
        <w:t xml:space="preserve">Ved behandling af patienter med primær biliær cirrose er der påvist forskellige mekanismer. En ændring i galdens sammensætning med en reduktion af toksiske, endogene, primært lipofile galdesyrer og en stigning i ursodeoxycholsyre anses for at have den største betydning. Desuden stimuleres galdestrømmen, hvilket resulterer i en hurtigere omdannelse af galdesyrerne. Den intestinale post-absorption af f.eks. cholsyre og andre galdesyremetabolitter educeres. Ursodeoxycholsyre har også en direkte beskyttende virkning på hepatocytter </w:t>
      </w:r>
      <w:r w:rsidRPr="00F55FC2">
        <w:rPr>
          <w:i/>
          <w:sz w:val="24"/>
          <w:szCs w:val="24"/>
        </w:rPr>
        <w:t>in vitro</w:t>
      </w:r>
      <w:r w:rsidRPr="00F55FC2">
        <w:rPr>
          <w:sz w:val="24"/>
          <w:szCs w:val="24"/>
        </w:rPr>
        <w:t>.</w:t>
      </w:r>
    </w:p>
    <w:p w14:paraId="68474651" w14:textId="77777777" w:rsidR="00F55FC2" w:rsidRPr="00F55FC2" w:rsidRDefault="00F55FC2" w:rsidP="00F55FC2">
      <w:pPr>
        <w:autoSpaceDE w:val="0"/>
        <w:autoSpaceDN w:val="0"/>
        <w:adjustRightInd w:val="0"/>
        <w:ind w:left="851" w:hanging="851"/>
        <w:rPr>
          <w:sz w:val="24"/>
          <w:szCs w:val="24"/>
          <w:lang w:eastAsia="da-DK"/>
        </w:rPr>
      </w:pPr>
    </w:p>
    <w:p w14:paraId="11617263" w14:textId="77777777" w:rsidR="00F55FC2" w:rsidRPr="00F55FC2" w:rsidRDefault="00F55FC2" w:rsidP="00897128">
      <w:pPr>
        <w:autoSpaceDE w:val="0"/>
        <w:autoSpaceDN w:val="0"/>
        <w:adjustRightInd w:val="0"/>
        <w:ind w:left="851"/>
        <w:rPr>
          <w:i/>
          <w:sz w:val="24"/>
          <w:szCs w:val="24"/>
        </w:rPr>
      </w:pPr>
      <w:r w:rsidRPr="00F55FC2">
        <w:rPr>
          <w:i/>
          <w:sz w:val="24"/>
          <w:szCs w:val="24"/>
        </w:rPr>
        <w:t>Pædiatrisk population</w:t>
      </w:r>
    </w:p>
    <w:p w14:paraId="626DF516" w14:textId="77777777" w:rsidR="00F55FC2" w:rsidRPr="00F55FC2" w:rsidRDefault="00F55FC2" w:rsidP="00897128">
      <w:pPr>
        <w:autoSpaceDE w:val="0"/>
        <w:autoSpaceDN w:val="0"/>
        <w:adjustRightInd w:val="0"/>
        <w:ind w:left="851"/>
        <w:rPr>
          <w:i/>
          <w:sz w:val="24"/>
          <w:szCs w:val="24"/>
        </w:rPr>
      </w:pPr>
      <w:r w:rsidRPr="00F55FC2">
        <w:rPr>
          <w:i/>
          <w:sz w:val="24"/>
          <w:szCs w:val="24"/>
        </w:rPr>
        <w:t>Cystisk fibrose.</w:t>
      </w:r>
    </w:p>
    <w:p w14:paraId="5588A64D" w14:textId="39052879" w:rsidR="00B003BF" w:rsidRDefault="00F55FC2" w:rsidP="004D3A22">
      <w:pPr>
        <w:autoSpaceDE w:val="0"/>
        <w:autoSpaceDN w:val="0"/>
        <w:adjustRightInd w:val="0"/>
        <w:ind w:left="851"/>
        <w:rPr>
          <w:sz w:val="24"/>
          <w:szCs w:val="24"/>
        </w:rPr>
      </w:pPr>
      <w:r w:rsidRPr="00F55FC2">
        <w:rPr>
          <w:sz w:val="24"/>
          <w:szCs w:val="24"/>
        </w:rPr>
        <w:t>Lang klinisk erfaring, op til 10 år eller længere, er tilgængelig for ursodeoxycholsyre</w:t>
      </w:r>
      <w:r w:rsidR="00C50F36">
        <w:rPr>
          <w:sz w:val="24"/>
          <w:szCs w:val="24"/>
        </w:rPr>
        <w:softHyphen/>
      </w:r>
      <w:r w:rsidRPr="00F55FC2">
        <w:rPr>
          <w:sz w:val="24"/>
          <w:szCs w:val="24"/>
        </w:rPr>
        <w:t>behandling hos pædiatriske patienter, der lider af cystisk fibrose i forbindelse med hepatobiliære sygdomme (CFAHD). Der findes bevis på, at behandling med ursodeoxycholsyre kan reducere galdevejsproliferation, standse progression af histologisk skade og endda reversere lever-galdeændringer, hvis den gives på et tidligt stadie af CFAHD. For at optimere behandlingens virkning skal behandling med ursodeoxycholsyre startes, så snart diagnosen CFAHD stilles.</w:t>
      </w:r>
    </w:p>
    <w:p w14:paraId="15EE71BE" w14:textId="77777777" w:rsidR="004D3A22" w:rsidRPr="00F55FC2" w:rsidRDefault="004D3A22" w:rsidP="004D3A22">
      <w:pPr>
        <w:autoSpaceDE w:val="0"/>
        <w:autoSpaceDN w:val="0"/>
        <w:adjustRightInd w:val="0"/>
        <w:ind w:left="851"/>
        <w:rPr>
          <w:sz w:val="24"/>
          <w:szCs w:val="24"/>
        </w:rPr>
      </w:pPr>
    </w:p>
    <w:p w14:paraId="7660CA89" w14:textId="77777777" w:rsidR="00B003BF" w:rsidRPr="00F55FC2" w:rsidRDefault="00B003BF" w:rsidP="00F55FC2">
      <w:pPr>
        <w:tabs>
          <w:tab w:val="left" w:pos="851"/>
        </w:tabs>
        <w:ind w:left="851" w:hanging="851"/>
        <w:rPr>
          <w:b/>
          <w:sz w:val="24"/>
          <w:szCs w:val="24"/>
        </w:rPr>
      </w:pPr>
      <w:r w:rsidRPr="00F55FC2">
        <w:rPr>
          <w:b/>
          <w:sz w:val="24"/>
          <w:szCs w:val="24"/>
        </w:rPr>
        <w:t>5.2</w:t>
      </w:r>
      <w:r w:rsidRPr="00F55FC2">
        <w:rPr>
          <w:b/>
          <w:sz w:val="24"/>
          <w:szCs w:val="24"/>
        </w:rPr>
        <w:tab/>
        <w:t>Farmakokinetiske egenskaber</w:t>
      </w:r>
    </w:p>
    <w:p w14:paraId="05D58F6E" w14:textId="77777777" w:rsidR="00F55FC2" w:rsidRDefault="00F55FC2" w:rsidP="00897128">
      <w:pPr>
        <w:ind w:left="851"/>
        <w:rPr>
          <w:sz w:val="24"/>
          <w:szCs w:val="24"/>
        </w:rPr>
      </w:pPr>
      <w:r w:rsidRPr="00F55FC2">
        <w:rPr>
          <w:sz w:val="24"/>
          <w:szCs w:val="24"/>
        </w:rPr>
        <w:t xml:space="preserve">Oralt administreret ursodeoxycholsyre absorberes hurtigt via passiv transport i jejunum og den øvre del af ileum i tyndtarmen og ved aktiv transport i den nedre del af ileum i tyndtarmen. </w:t>
      </w:r>
    </w:p>
    <w:p w14:paraId="778E39F2" w14:textId="77777777" w:rsidR="004D3A22" w:rsidRDefault="004D3A22" w:rsidP="00897128">
      <w:pPr>
        <w:ind w:left="851"/>
        <w:rPr>
          <w:sz w:val="24"/>
          <w:szCs w:val="24"/>
        </w:rPr>
      </w:pPr>
    </w:p>
    <w:p w14:paraId="2651F466" w14:textId="77777777" w:rsidR="004D3A22" w:rsidRPr="00F55FC2" w:rsidRDefault="004D3A22" w:rsidP="00897128">
      <w:pPr>
        <w:ind w:left="851"/>
        <w:rPr>
          <w:sz w:val="24"/>
          <w:szCs w:val="24"/>
        </w:rPr>
      </w:pPr>
    </w:p>
    <w:p w14:paraId="6CEC1ED6" w14:textId="77777777" w:rsidR="00F55FC2" w:rsidRPr="00F55FC2" w:rsidRDefault="00F55FC2" w:rsidP="00897128">
      <w:pPr>
        <w:ind w:left="851"/>
        <w:rPr>
          <w:sz w:val="24"/>
          <w:szCs w:val="24"/>
        </w:rPr>
      </w:pPr>
      <w:r w:rsidRPr="00F55FC2">
        <w:rPr>
          <w:sz w:val="24"/>
          <w:szCs w:val="24"/>
        </w:rPr>
        <w:t>Absorptionsgraden er dosisafhængig og aftager med stigende doser. Efter absorption konjugeres galdesyren næsten fuldstændigt med aminosyrerne glycin og taurin i leveren og udskilles derefter med galden. Første-passage metabolisme i leveren sker i intervallet 50-75 %.</w:t>
      </w:r>
    </w:p>
    <w:p w14:paraId="3967FA91" w14:textId="77777777" w:rsidR="00F55FC2" w:rsidRPr="00F55FC2" w:rsidRDefault="00F55FC2" w:rsidP="00F55FC2">
      <w:pPr>
        <w:tabs>
          <w:tab w:val="left" w:pos="0"/>
        </w:tabs>
        <w:ind w:left="851" w:hanging="851"/>
        <w:rPr>
          <w:sz w:val="24"/>
          <w:szCs w:val="24"/>
        </w:rPr>
      </w:pPr>
    </w:p>
    <w:p w14:paraId="65046C35" w14:textId="1ACD8866" w:rsidR="00F55FC2" w:rsidRPr="00F55FC2" w:rsidRDefault="00897128" w:rsidP="00F55FC2">
      <w:pPr>
        <w:tabs>
          <w:tab w:val="left" w:pos="0"/>
        </w:tabs>
        <w:ind w:left="851" w:hanging="851"/>
        <w:rPr>
          <w:sz w:val="24"/>
          <w:szCs w:val="24"/>
        </w:rPr>
      </w:pPr>
      <w:r>
        <w:rPr>
          <w:sz w:val="24"/>
          <w:szCs w:val="24"/>
        </w:rPr>
        <w:tab/>
      </w:r>
      <w:r w:rsidR="00F55FC2" w:rsidRPr="00F55FC2">
        <w:rPr>
          <w:sz w:val="24"/>
          <w:szCs w:val="24"/>
        </w:rPr>
        <w:t>Afhængigt af den daglige dosis og den underliggende sygdom eller leverens tilstand jo mere hydrofil ursodeoxycholsyre ophobes der i galden. Samtidigt er der observeret et fald i andre mere lipofile galdesyrer.</w:t>
      </w:r>
    </w:p>
    <w:p w14:paraId="75B81DCB" w14:textId="77777777" w:rsidR="00F55FC2" w:rsidRPr="00F55FC2" w:rsidRDefault="00F55FC2" w:rsidP="00F55FC2">
      <w:pPr>
        <w:tabs>
          <w:tab w:val="left" w:pos="0"/>
        </w:tabs>
        <w:ind w:left="851" w:hanging="851"/>
        <w:rPr>
          <w:sz w:val="24"/>
          <w:szCs w:val="24"/>
        </w:rPr>
      </w:pPr>
    </w:p>
    <w:p w14:paraId="335BEE35" w14:textId="59F66487" w:rsidR="00F55FC2" w:rsidRPr="00F55FC2" w:rsidRDefault="00897128" w:rsidP="00F55FC2">
      <w:pPr>
        <w:tabs>
          <w:tab w:val="left" w:pos="0"/>
        </w:tabs>
        <w:ind w:left="851" w:hanging="851"/>
        <w:rPr>
          <w:sz w:val="24"/>
          <w:szCs w:val="24"/>
        </w:rPr>
      </w:pPr>
      <w:r>
        <w:rPr>
          <w:sz w:val="24"/>
          <w:szCs w:val="24"/>
        </w:rPr>
        <w:tab/>
      </w:r>
      <w:r w:rsidR="00F55FC2" w:rsidRPr="00F55FC2">
        <w:rPr>
          <w:sz w:val="24"/>
          <w:szCs w:val="24"/>
        </w:rPr>
        <w:t xml:space="preserve">Tarmbakterier indvirker på den ufuldstændige nedbrydning til 7-ketolithocholsyre og lithocholsyre. </w:t>
      </w:r>
    </w:p>
    <w:p w14:paraId="68CE2BA9" w14:textId="77777777" w:rsidR="00F55FC2" w:rsidRPr="00F55FC2" w:rsidRDefault="00F55FC2" w:rsidP="00F55FC2">
      <w:pPr>
        <w:tabs>
          <w:tab w:val="left" w:pos="0"/>
        </w:tabs>
        <w:ind w:left="851" w:hanging="851"/>
        <w:rPr>
          <w:sz w:val="24"/>
          <w:szCs w:val="24"/>
        </w:rPr>
      </w:pPr>
    </w:p>
    <w:p w14:paraId="486DEC61" w14:textId="5C7B8714" w:rsidR="00F55FC2" w:rsidRPr="00F55FC2" w:rsidRDefault="00897128" w:rsidP="00F55FC2">
      <w:pPr>
        <w:tabs>
          <w:tab w:val="left" w:pos="0"/>
        </w:tabs>
        <w:ind w:left="851" w:hanging="851"/>
        <w:rPr>
          <w:sz w:val="24"/>
          <w:szCs w:val="24"/>
        </w:rPr>
      </w:pPr>
      <w:r>
        <w:rPr>
          <w:sz w:val="24"/>
          <w:szCs w:val="24"/>
        </w:rPr>
        <w:tab/>
      </w:r>
      <w:r w:rsidR="00F55FC2" w:rsidRPr="00F55FC2">
        <w:rPr>
          <w:sz w:val="24"/>
          <w:szCs w:val="24"/>
        </w:rPr>
        <w:t>Den biologiske halveringstid for ursodeoxycholsyre er 3,5 til 5,8 dage.</w:t>
      </w:r>
    </w:p>
    <w:p w14:paraId="0BFB391C" w14:textId="77777777" w:rsidR="00B003BF" w:rsidRPr="00F55FC2" w:rsidRDefault="00B003BF" w:rsidP="00F55FC2">
      <w:pPr>
        <w:tabs>
          <w:tab w:val="left" w:pos="851"/>
        </w:tabs>
        <w:ind w:left="851" w:hanging="851"/>
        <w:rPr>
          <w:sz w:val="24"/>
          <w:szCs w:val="24"/>
        </w:rPr>
      </w:pPr>
    </w:p>
    <w:p w14:paraId="3FCA97A7" w14:textId="77777777" w:rsidR="00B003BF" w:rsidRPr="00F55FC2" w:rsidRDefault="00B003BF" w:rsidP="00F55FC2">
      <w:pPr>
        <w:tabs>
          <w:tab w:val="left" w:pos="851"/>
        </w:tabs>
        <w:ind w:left="851" w:hanging="851"/>
        <w:rPr>
          <w:b/>
          <w:sz w:val="24"/>
          <w:szCs w:val="24"/>
        </w:rPr>
      </w:pPr>
      <w:r w:rsidRPr="00F55FC2">
        <w:rPr>
          <w:b/>
          <w:sz w:val="24"/>
          <w:szCs w:val="24"/>
        </w:rPr>
        <w:t>5.3</w:t>
      </w:r>
      <w:r w:rsidRPr="00F55FC2">
        <w:rPr>
          <w:b/>
          <w:sz w:val="24"/>
          <w:szCs w:val="24"/>
        </w:rPr>
        <w:tab/>
        <w:t>Prækliniske sikkerhedsdata</w:t>
      </w:r>
    </w:p>
    <w:p w14:paraId="007529B6" w14:textId="77777777" w:rsidR="00F55FC2" w:rsidRPr="00F55FC2" w:rsidRDefault="00B003BF" w:rsidP="00F55FC2">
      <w:pPr>
        <w:ind w:left="851" w:hanging="851"/>
        <w:rPr>
          <w:sz w:val="24"/>
          <w:szCs w:val="24"/>
        </w:rPr>
      </w:pPr>
      <w:r w:rsidRPr="00F55FC2">
        <w:rPr>
          <w:sz w:val="24"/>
          <w:szCs w:val="24"/>
        </w:rPr>
        <w:tab/>
      </w:r>
      <w:r w:rsidR="00F55FC2" w:rsidRPr="00F55FC2">
        <w:rPr>
          <w:sz w:val="24"/>
          <w:szCs w:val="24"/>
        </w:rPr>
        <w:t>Ikke-kliniske data viser ingen speciel risiko for mennesker vurderet ud fra toksicitet efter en enkel dosis eller gentagne doser, genotoksicitet og karcinogenicitet. Hepatotoksiske virkninger observeret hos aber ved høje doser af ursodeoxycholsyre skyldes højst sandsynligt metabolitten lithocholsyre, der hos aber i modsætning fra mennesker, ikke afgiftes (se pkt. 5.2).</w:t>
      </w:r>
    </w:p>
    <w:p w14:paraId="29CDCB7D" w14:textId="77777777" w:rsidR="00F55FC2" w:rsidRPr="00F55FC2" w:rsidRDefault="00F55FC2" w:rsidP="00897128">
      <w:pPr>
        <w:ind w:left="851"/>
        <w:rPr>
          <w:b/>
          <w:sz w:val="24"/>
          <w:szCs w:val="24"/>
        </w:rPr>
      </w:pPr>
      <w:r w:rsidRPr="00F55FC2">
        <w:rPr>
          <w:sz w:val="24"/>
          <w:szCs w:val="24"/>
        </w:rPr>
        <w:t>Klinisk erfaring med terapeutiske indikationer indikerer, at de hepatotoksiske virkninger ikke er relevante hos mennesker.</w:t>
      </w:r>
    </w:p>
    <w:p w14:paraId="57043FDE" w14:textId="77777777" w:rsidR="00F55FC2" w:rsidRPr="00F55FC2" w:rsidRDefault="00F55FC2" w:rsidP="00897128">
      <w:pPr>
        <w:ind w:left="851"/>
        <w:rPr>
          <w:b/>
          <w:sz w:val="24"/>
          <w:szCs w:val="24"/>
        </w:rPr>
      </w:pPr>
      <w:r w:rsidRPr="00F55FC2">
        <w:rPr>
          <w:sz w:val="24"/>
          <w:szCs w:val="24"/>
        </w:rPr>
        <w:t xml:space="preserve">Reproduktive studier med dyr har vist embryoniske virkninger af ursodeoxycholsyre hos kaniner (fra en dosis på 100 mg/kg) og teratogene virkninger hos rotter ved en dosis på 2000 mg/kg. Fertilitet og peri-/postnatal udvikling hos afkommet påvirkes ikke hos rotter. </w:t>
      </w:r>
    </w:p>
    <w:p w14:paraId="64EDFB95" w14:textId="77777777" w:rsidR="00B003BF" w:rsidRPr="00F55FC2" w:rsidRDefault="00B003BF" w:rsidP="00F55FC2">
      <w:pPr>
        <w:tabs>
          <w:tab w:val="left" w:pos="851"/>
        </w:tabs>
        <w:ind w:left="851" w:hanging="851"/>
        <w:rPr>
          <w:sz w:val="24"/>
          <w:szCs w:val="24"/>
        </w:rPr>
      </w:pPr>
    </w:p>
    <w:p w14:paraId="18D968BC" w14:textId="77777777" w:rsidR="00B003BF" w:rsidRPr="00F55FC2" w:rsidRDefault="00B003BF" w:rsidP="00F55FC2">
      <w:pPr>
        <w:tabs>
          <w:tab w:val="left" w:pos="851"/>
        </w:tabs>
        <w:ind w:left="851" w:hanging="851"/>
        <w:rPr>
          <w:sz w:val="24"/>
          <w:szCs w:val="24"/>
        </w:rPr>
      </w:pPr>
    </w:p>
    <w:p w14:paraId="6793B376" w14:textId="77777777" w:rsidR="00B003BF" w:rsidRPr="00F55FC2" w:rsidRDefault="00B003BF" w:rsidP="00F55FC2">
      <w:pPr>
        <w:tabs>
          <w:tab w:val="left" w:pos="851"/>
        </w:tabs>
        <w:ind w:left="851" w:hanging="851"/>
        <w:rPr>
          <w:b/>
          <w:sz w:val="24"/>
          <w:szCs w:val="24"/>
        </w:rPr>
      </w:pPr>
      <w:r w:rsidRPr="00F55FC2">
        <w:rPr>
          <w:b/>
          <w:sz w:val="24"/>
          <w:szCs w:val="24"/>
        </w:rPr>
        <w:t>6.</w:t>
      </w:r>
      <w:r w:rsidRPr="00F55FC2">
        <w:rPr>
          <w:b/>
          <w:sz w:val="24"/>
          <w:szCs w:val="24"/>
        </w:rPr>
        <w:tab/>
        <w:t>FARMACEUTISKE OPLYSNINGER</w:t>
      </w:r>
    </w:p>
    <w:p w14:paraId="2858946E" w14:textId="77777777" w:rsidR="00B003BF" w:rsidRPr="00F55FC2" w:rsidRDefault="00B003BF" w:rsidP="00F55FC2">
      <w:pPr>
        <w:tabs>
          <w:tab w:val="left" w:pos="851"/>
        </w:tabs>
        <w:ind w:left="851" w:hanging="851"/>
        <w:rPr>
          <w:b/>
          <w:sz w:val="24"/>
          <w:szCs w:val="24"/>
        </w:rPr>
      </w:pPr>
    </w:p>
    <w:p w14:paraId="6942FC47" w14:textId="77777777" w:rsidR="00B003BF" w:rsidRPr="00F55FC2" w:rsidRDefault="00B003BF" w:rsidP="00F55FC2">
      <w:pPr>
        <w:tabs>
          <w:tab w:val="left" w:pos="851"/>
        </w:tabs>
        <w:ind w:left="851" w:hanging="851"/>
        <w:rPr>
          <w:b/>
          <w:sz w:val="24"/>
          <w:szCs w:val="24"/>
        </w:rPr>
      </w:pPr>
      <w:r w:rsidRPr="00F55FC2">
        <w:rPr>
          <w:b/>
          <w:sz w:val="24"/>
          <w:szCs w:val="24"/>
        </w:rPr>
        <w:t>6.1</w:t>
      </w:r>
      <w:r w:rsidRPr="00F55FC2">
        <w:rPr>
          <w:b/>
          <w:sz w:val="24"/>
          <w:szCs w:val="24"/>
        </w:rPr>
        <w:tab/>
        <w:t>Hjælpestoffer</w:t>
      </w:r>
    </w:p>
    <w:p w14:paraId="4CCD8F63" w14:textId="77777777" w:rsidR="00F55FC2" w:rsidRPr="00F55FC2" w:rsidRDefault="00B003BF" w:rsidP="00F55FC2">
      <w:pPr>
        <w:autoSpaceDE w:val="0"/>
        <w:autoSpaceDN w:val="0"/>
        <w:adjustRightInd w:val="0"/>
        <w:ind w:left="851" w:hanging="851"/>
        <w:rPr>
          <w:sz w:val="24"/>
          <w:szCs w:val="24"/>
        </w:rPr>
      </w:pPr>
      <w:r w:rsidRPr="00F55FC2">
        <w:rPr>
          <w:sz w:val="24"/>
          <w:szCs w:val="24"/>
        </w:rPr>
        <w:tab/>
      </w:r>
      <w:r w:rsidR="00F55FC2" w:rsidRPr="00F55FC2">
        <w:rPr>
          <w:sz w:val="24"/>
          <w:szCs w:val="24"/>
        </w:rPr>
        <w:t>Magnesiumstearat</w:t>
      </w:r>
    </w:p>
    <w:p w14:paraId="0502A7E7" w14:textId="77777777" w:rsidR="00F55FC2" w:rsidRPr="00F55FC2" w:rsidRDefault="00F55FC2" w:rsidP="00897128">
      <w:pPr>
        <w:autoSpaceDE w:val="0"/>
        <w:autoSpaceDN w:val="0"/>
        <w:adjustRightInd w:val="0"/>
        <w:ind w:left="851"/>
        <w:rPr>
          <w:sz w:val="24"/>
          <w:szCs w:val="24"/>
        </w:rPr>
      </w:pPr>
      <w:r w:rsidRPr="00F55FC2">
        <w:rPr>
          <w:sz w:val="24"/>
          <w:szCs w:val="24"/>
        </w:rPr>
        <w:t>Majsstivelse</w:t>
      </w:r>
    </w:p>
    <w:p w14:paraId="51F001B6" w14:textId="77777777" w:rsidR="00F55FC2" w:rsidRPr="00F55FC2" w:rsidRDefault="00F55FC2" w:rsidP="00897128">
      <w:pPr>
        <w:autoSpaceDE w:val="0"/>
        <w:autoSpaceDN w:val="0"/>
        <w:adjustRightInd w:val="0"/>
        <w:ind w:left="851"/>
        <w:rPr>
          <w:sz w:val="24"/>
          <w:szCs w:val="24"/>
        </w:rPr>
      </w:pPr>
      <w:r w:rsidRPr="00F55FC2">
        <w:rPr>
          <w:sz w:val="24"/>
          <w:szCs w:val="24"/>
        </w:rPr>
        <w:t>Kolloid vandfri silica</w:t>
      </w:r>
    </w:p>
    <w:p w14:paraId="7F7E972D" w14:textId="77777777" w:rsidR="00F55FC2" w:rsidRPr="00F55FC2" w:rsidRDefault="00F55FC2" w:rsidP="00F55FC2">
      <w:pPr>
        <w:ind w:left="851" w:hanging="851"/>
        <w:rPr>
          <w:sz w:val="24"/>
          <w:szCs w:val="24"/>
        </w:rPr>
      </w:pPr>
    </w:p>
    <w:p w14:paraId="367AA76A" w14:textId="77777777" w:rsidR="00F55FC2" w:rsidRPr="00F55FC2" w:rsidRDefault="00F55FC2" w:rsidP="00897128">
      <w:pPr>
        <w:ind w:left="851"/>
        <w:rPr>
          <w:i/>
          <w:sz w:val="24"/>
          <w:szCs w:val="24"/>
        </w:rPr>
      </w:pPr>
      <w:r w:rsidRPr="00F55FC2">
        <w:rPr>
          <w:i/>
          <w:sz w:val="24"/>
          <w:szCs w:val="24"/>
        </w:rPr>
        <w:t>Kapslens skal:</w:t>
      </w:r>
    </w:p>
    <w:p w14:paraId="1A754FF9" w14:textId="77777777" w:rsidR="00F55FC2" w:rsidRPr="00F55FC2" w:rsidRDefault="00F55FC2" w:rsidP="00897128">
      <w:pPr>
        <w:ind w:left="851"/>
        <w:rPr>
          <w:sz w:val="24"/>
          <w:szCs w:val="24"/>
        </w:rPr>
      </w:pPr>
      <w:r w:rsidRPr="00F55FC2">
        <w:rPr>
          <w:sz w:val="24"/>
          <w:szCs w:val="24"/>
        </w:rPr>
        <w:t>Titandioxid (E171)</w:t>
      </w:r>
    </w:p>
    <w:p w14:paraId="2189BB5B" w14:textId="77777777" w:rsidR="00F55FC2" w:rsidRPr="00F55FC2" w:rsidRDefault="00F55FC2" w:rsidP="00897128">
      <w:pPr>
        <w:ind w:left="851"/>
        <w:rPr>
          <w:sz w:val="24"/>
          <w:szCs w:val="24"/>
        </w:rPr>
      </w:pPr>
      <w:r w:rsidRPr="00F55FC2">
        <w:rPr>
          <w:sz w:val="24"/>
          <w:szCs w:val="24"/>
        </w:rPr>
        <w:t>Gelatine</w:t>
      </w:r>
    </w:p>
    <w:p w14:paraId="0E242EEA" w14:textId="77777777" w:rsidR="00B003BF" w:rsidRPr="00F55FC2" w:rsidRDefault="00B003BF" w:rsidP="00F55FC2">
      <w:pPr>
        <w:tabs>
          <w:tab w:val="left" w:pos="851"/>
        </w:tabs>
        <w:ind w:left="851" w:hanging="851"/>
        <w:rPr>
          <w:sz w:val="24"/>
          <w:szCs w:val="24"/>
        </w:rPr>
      </w:pPr>
    </w:p>
    <w:p w14:paraId="1D2874B7" w14:textId="77777777" w:rsidR="00B003BF" w:rsidRPr="00F55FC2" w:rsidRDefault="00B003BF" w:rsidP="00F55FC2">
      <w:pPr>
        <w:tabs>
          <w:tab w:val="left" w:pos="851"/>
        </w:tabs>
        <w:ind w:left="851" w:hanging="851"/>
        <w:rPr>
          <w:b/>
          <w:sz w:val="24"/>
          <w:szCs w:val="24"/>
        </w:rPr>
      </w:pPr>
      <w:r w:rsidRPr="00F55FC2">
        <w:rPr>
          <w:b/>
          <w:sz w:val="24"/>
          <w:szCs w:val="24"/>
        </w:rPr>
        <w:t>6.2</w:t>
      </w:r>
      <w:r w:rsidRPr="00F55FC2">
        <w:rPr>
          <w:b/>
          <w:sz w:val="24"/>
          <w:szCs w:val="24"/>
        </w:rPr>
        <w:tab/>
        <w:t>Uforligeligheder</w:t>
      </w:r>
    </w:p>
    <w:p w14:paraId="5F806ECE" w14:textId="77777777" w:rsidR="00F55FC2" w:rsidRPr="00F55FC2" w:rsidRDefault="00B003BF" w:rsidP="00F55FC2">
      <w:pPr>
        <w:ind w:left="851" w:hanging="851"/>
        <w:rPr>
          <w:sz w:val="24"/>
          <w:szCs w:val="24"/>
        </w:rPr>
      </w:pPr>
      <w:r w:rsidRPr="00F55FC2">
        <w:rPr>
          <w:sz w:val="24"/>
          <w:szCs w:val="24"/>
        </w:rPr>
        <w:tab/>
      </w:r>
      <w:r w:rsidR="00F55FC2" w:rsidRPr="00F55FC2">
        <w:rPr>
          <w:sz w:val="24"/>
          <w:szCs w:val="24"/>
        </w:rPr>
        <w:t>Ikke relevant.</w:t>
      </w:r>
    </w:p>
    <w:p w14:paraId="40606AA7" w14:textId="77777777" w:rsidR="00B003BF" w:rsidRPr="00F55FC2" w:rsidRDefault="00B003BF" w:rsidP="00F55FC2">
      <w:pPr>
        <w:tabs>
          <w:tab w:val="left" w:pos="851"/>
        </w:tabs>
        <w:ind w:left="851" w:hanging="851"/>
        <w:rPr>
          <w:sz w:val="24"/>
          <w:szCs w:val="24"/>
        </w:rPr>
      </w:pPr>
    </w:p>
    <w:p w14:paraId="4DE86069" w14:textId="77777777" w:rsidR="00B003BF" w:rsidRPr="00F55FC2" w:rsidRDefault="00B003BF" w:rsidP="00F55FC2">
      <w:pPr>
        <w:tabs>
          <w:tab w:val="left" w:pos="851"/>
        </w:tabs>
        <w:ind w:left="851" w:hanging="851"/>
        <w:rPr>
          <w:b/>
          <w:sz w:val="24"/>
          <w:szCs w:val="24"/>
        </w:rPr>
      </w:pPr>
      <w:r w:rsidRPr="00F55FC2">
        <w:rPr>
          <w:b/>
          <w:sz w:val="24"/>
          <w:szCs w:val="24"/>
        </w:rPr>
        <w:t>6.3</w:t>
      </w:r>
      <w:r w:rsidRPr="00F55FC2">
        <w:rPr>
          <w:b/>
          <w:sz w:val="24"/>
          <w:szCs w:val="24"/>
        </w:rPr>
        <w:tab/>
        <w:t>Opbevaringstid</w:t>
      </w:r>
    </w:p>
    <w:p w14:paraId="6D5028AF" w14:textId="386FF4E6" w:rsidR="00F55FC2" w:rsidRDefault="00B003BF" w:rsidP="00F55FC2">
      <w:pPr>
        <w:ind w:left="851" w:hanging="851"/>
        <w:rPr>
          <w:sz w:val="24"/>
          <w:szCs w:val="24"/>
        </w:rPr>
      </w:pPr>
      <w:r w:rsidRPr="00F55FC2">
        <w:rPr>
          <w:sz w:val="24"/>
          <w:szCs w:val="24"/>
        </w:rPr>
        <w:tab/>
      </w:r>
      <w:r w:rsidR="00F55FC2" w:rsidRPr="00F55FC2">
        <w:rPr>
          <w:sz w:val="24"/>
          <w:szCs w:val="24"/>
        </w:rPr>
        <w:t>2</w:t>
      </w:r>
      <w:r w:rsidR="002D2E99">
        <w:rPr>
          <w:sz w:val="24"/>
          <w:szCs w:val="24"/>
        </w:rPr>
        <w:t>50 mg: 5</w:t>
      </w:r>
      <w:r w:rsidR="00F55FC2" w:rsidRPr="00F55FC2">
        <w:rPr>
          <w:sz w:val="24"/>
          <w:szCs w:val="24"/>
        </w:rPr>
        <w:t xml:space="preserve"> år. </w:t>
      </w:r>
    </w:p>
    <w:p w14:paraId="300BF510" w14:textId="09BE0A7A" w:rsidR="002D2E99" w:rsidRPr="00F55FC2" w:rsidRDefault="002D2E99" w:rsidP="002D2E99">
      <w:pPr>
        <w:ind w:left="851"/>
        <w:rPr>
          <w:sz w:val="24"/>
          <w:szCs w:val="24"/>
        </w:rPr>
      </w:pPr>
      <w:r>
        <w:rPr>
          <w:sz w:val="24"/>
          <w:szCs w:val="24"/>
        </w:rPr>
        <w:t>5</w:t>
      </w:r>
      <w:r>
        <w:rPr>
          <w:sz w:val="24"/>
          <w:szCs w:val="24"/>
        </w:rPr>
        <w:t>0</w:t>
      </w:r>
      <w:r>
        <w:rPr>
          <w:sz w:val="24"/>
          <w:szCs w:val="24"/>
        </w:rPr>
        <w:t xml:space="preserve">0 mg: </w:t>
      </w:r>
      <w:r>
        <w:rPr>
          <w:sz w:val="24"/>
          <w:szCs w:val="24"/>
        </w:rPr>
        <w:t>4</w:t>
      </w:r>
      <w:r w:rsidRPr="00F55FC2">
        <w:rPr>
          <w:sz w:val="24"/>
          <w:szCs w:val="24"/>
        </w:rPr>
        <w:t xml:space="preserve"> år.</w:t>
      </w:r>
    </w:p>
    <w:p w14:paraId="0B4E4A02" w14:textId="77777777" w:rsidR="00B003BF" w:rsidRPr="00F55FC2" w:rsidRDefault="00B003BF" w:rsidP="00F55FC2">
      <w:pPr>
        <w:tabs>
          <w:tab w:val="left" w:pos="851"/>
        </w:tabs>
        <w:ind w:left="851" w:hanging="851"/>
        <w:rPr>
          <w:sz w:val="24"/>
          <w:szCs w:val="24"/>
        </w:rPr>
      </w:pPr>
    </w:p>
    <w:p w14:paraId="5579F276" w14:textId="77777777" w:rsidR="00B003BF" w:rsidRPr="00F55FC2" w:rsidRDefault="00B003BF" w:rsidP="00F55FC2">
      <w:pPr>
        <w:tabs>
          <w:tab w:val="left" w:pos="851"/>
        </w:tabs>
        <w:ind w:left="851" w:hanging="851"/>
        <w:rPr>
          <w:b/>
          <w:sz w:val="24"/>
          <w:szCs w:val="24"/>
        </w:rPr>
      </w:pPr>
      <w:r w:rsidRPr="00F55FC2">
        <w:rPr>
          <w:b/>
          <w:sz w:val="24"/>
          <w:szCs w:val="24"/>
        </w:rPr>
        <w:t>6.4</w:t>
      </w:r>
      <w:r w:rsidRPr="00F55FC2">
        <w:rPr>
          <w:b/>
          <w:sz w:val="24"/>
          <w:szCs w:val="24"/>
        </w:rPr>
        <w:tab/>
        <w:t>Særlige opbevaringsforhold</w:t>
      </w:r>
    </w:p>
    <w:p w14:paraId="397847E2" w14:textId="77777777" w:rsidR="00F55FC2" w:rsidRPr="00F55FC2" w:rsidRDefault="00B003BF" w:rsidP="00F55FC2">
      <w:pPr>
        <w:ind w:left="851" w:hanging="851"/>
        <w:rPr>
          <w:sz w:val="24"/>
          <w:szCs w:val="24"/>
        </w:rPr>
      </w:pPr>
      <w:r w:rsidRPr="00F55FC2">
        <w:rPr>
          <w:sz w:val="24"/>
          <w:szCs w:val="24"/>
        </w:rPr>
        <w:tab/>
      </w:r>
      <w:r w:rsidR="00F55FC2" w:rsidRPr="00F55FC2">
        <w:rPr>
          <w:sz w:val="24"/>
          <w:szCs w:val="24"/>
        </w:rPr>
        <w:t>Dette lægemiddel kræver ingen særlige forholdsregler vedrørende opbevaringen.</w:t>
      </w:r>
    </w:p>
    <w:p w14:paraId="31034DFA" w14:textId="77777777" w:rsidR="00B003BF" w:rsidRDefault="00B003BF" w:rsidP="00F55FC2">
      <w:pPr>
        <w:tabs>
          <w:tab w:val="left" w:pos="851"/>
        </w:tabs>
        <w:ind w:left="851" w:hanging="851"/>
        <w:rPr>
          <w:sz w:val="24"/>
          <w:szCs w:val="24"/>
        </w:rPr>
      </w:pPr>
    </w:p>
    <w:p w14:paraId="3119ADB8" w14:textId="77777777" w:rsidR="004D3A22" w:rsidRDefault="004D3A22" w:rsidP="00F55FC2">
      <w:pPr>
        <w:tabs>
          <w:tab w:val="left" w:pos="851"/>
        </w:tabs>
        <w:ind w:left="851" w:hanging="851"/>
        <w:rPr>
          <w:sz w:val="24"/>
          <w:szCs w:val="24"/>
        </w:rPr>
      </w:pPr>
    </w:p>
    <w:p w14:paraId="412A3C51" w14:textId="77777777" w:rsidR="004D3A22" w:rsidRDefault="004D3A22" w:rsidP="00F55FC2">
      <w:pPr>
        <w:tabs>
          <w:tab w:val="left" w:pos="851"/>
        </w:tabs>
        <w:ind w:left="851" w:hanging="851"/>
        <w:rPr>
          <w:sz w:val="24"/>
          <w:szCs w:val="24"/>
        </w:rPr>
      </w:pPr>
    </w:p>
    <w:p w14:paraId="0C58CC6A" w14:textId="77777777" w:rsidR="004D3A22" w:rsidRDefault="004D3A22" w:rsidP="00F55FC2">
      <w:pPr>
        <w:tabs>
          <w:tab w:val="left" w:pos="851"/>
        </w:tabs>
        <w:ind w:left="851" w:hanging="851"/>
        <w:rPr>
          <w:sz w:val="24"/>
          <w:szCs w:val="24"/>
        </w:rPr>
      </w:pPr>
    </w:p>
    <w:p w14:paraId="45A6C1F1" w14:textId="77777777" w:rsidR="004D3A22" w:rsidRPr="00F55FC2" w:rsidRDefault="004D3A22" w:rsidP="00F55FC2">
      <w:pPr>
        <w:tabs>
          <w:tab w:val="left" w:pos="851"/>
        </w:tabs>
        <w:ind w:left="851" w:hanging="851"/>
        <w:rPr>
          <w:sz w:val="24"/>
          <w:szCs w:val="24"/>
        </w:rPr>
      </w:pPr>
    </w:p>
    <w:p w14:paraId="66D3429D" w14:textId="77777777" w:rsidR="00B003BF" w:rsidRPr="00F55FC2" w:rsidRDefault="00B003BF" w:rsidP="00F55FC2">
      <w:pPr>
        <w:tabs>
          <w:tab w:val="left" w:pos="851"/>
        </w:tabs>
        <w:ind w:left="851" w:hanging="851"/>
        <w:rPr>
          <w:b/>
          <w:sz w:val="24"/>
          <w:szCs w:val="24"/>
        </w:rPr>
      </w:pPr>
      <w:r w:rsidRPr="00F55FC2">
        <w:rPr>
          <w:b/>
          <w:sz w:val="24"/>
          <w:szCs w:val="24"/>
        </w:rPr>
        <w:t>6.5</w:t>
      </w:r>
      <w:r w:rsidRPr="00F55FC2">
        <w:rPr>
          <w:b/>
          <w:sz w:val="24"/>
          <w:szCs w:val="24"/>
        </w:rPr>
        <w:tab/>
        <w:t>Emballagetyper og pakningsstørrelser</w:t>
      </w:r>
    </w:p>
    <w:p w14:paraId="46353D52" w14:textId="77777777" w:rsidR="00A45796" w:rsidRDefault="00B003BF" w:rsidP="00A45796">
      <w:pPr>
        <w:ind w:left="851" w:hanging="851"/>
        <w:rPr>
          <w:sz w:val="24"/>
          <w:szCs w:val="24"/>
        </w:rPr>
      </w:pPr>
      <w:r w:rsidRPr="00F55FC2">
        <w:rPr>
          <w:sz w:val="24"/>
          <w:szCs w:val="24"/>
        </w:rPr>
        <w:tab/>
      </w:r>
      <w:r w:rsidR="00A45796" w:rsidRPr="00F55FC2">
        <w:rPr>
          <w:sz w:val="24"/>
          <w:szCs w:val="24"/>
        </w:rPr>
        <w:t xml:space="preserve">PVC-aluminium-blisterpakning: </w:t>
      </w:r>
    </w:p>
    <w:p w14:paraId="037E4EA8" w14:textId="77777777" w:rsidR="00A45796" w:rsidRDefault="00A45796" w:rsidP="00A45796">
      <w:pPr>
        <w:ind w:left="851"/>
        <w:rPr>
          <w:sz w:val="24"/>
          <w:szCs w:val="24"/>
        </w:rPr>
      </w:pPr>
    </w:p>
    <w:p w14:paraId="1F9C2AAC" w14:textId="77777777" w:rsidR="00A45796" w:rsidRDefault="00A45796" w:rsidP="00A45796">
      <w:pPr>
        <w:ind w:left="851"/>
        <w:rPr>
          <w:sz w:val="24"/>
          <w:szCs w:val="24"/>
        </w:rPr>
      </w:pPr>
      <w:r>
        <w:rPr>
          <w:sz w:val="24"/>
          <w:szCs w:val="24"/>
        </w:rPr>
        <w:t xml:space="preserve">250 mg: </w:t>
      </w:r>
      <w:r w:rsidRPr="00F55FC2">
        <w:rPr>
          <w:sz w:val="24"/>
          <w:szCs w:val="24"/>
        </w:rPr>
        <w:t xml:space="preserve">25, 50, 75, </w:t>
      </w:r>
      <w:r>
        <w:rPr>
          <w:sz w:val="24"/>
          <w:szCs w:val="24"/>
        </w:rPr>
        <w:t xml:space="preserve">98, </w:t>
      </w:r>
      <w:r w:rsidRPr="00F55FC2">
        <w:rPr>
          <w:sz w:val="24"/>
          <w:szCs w:val="24"/>
        </w:rPr>
        <w:t>100 kapsler.</w:t>
      </w:r>
    </w:p>
    <w:p w14:paraId="451DBF55" w14:textId="77777777" w:rsidR="00A45796" w:rsidRPr="00700500" w:rsidRDefault="00A45796" w:rsidP="00A45796">
      <w:pPr>
        <w:ind w:firstLine="851"/>
        <w:rPr>
          <w:color w:val="000000"/>
          <w:sz w:val="24"/>
          <w:szCs w:val="24"/>
        </w:rPr>
      </w:pPr>
      <w:r w:rsidRPr="00700500">
        <w:rPr>
          <w:color w:val="000000"/>
          <w:sz w:val="24"/>
          <w:szCs w:val="24"/>
        </w:rPr>
        <w:t xml:space="preserve">500 mg: </w:t>
      </w:r>
      <w:r w:rsidRPr="006F1A66">
        <w:rPr>
          <w:sz w:val="24"/>
          <w:szCs w:val="24"/>
        </w:rPr>
        <w:t>25, 50, 75, 100 kapsler.</w:t>
      </w:r>
    </w:p>
    <w:p w14:paraId="36C41FDE" w14:textId="29EB62AD" w:rsidR="00F55FC2" w:rsidRPr="00F55FC2" w:rsidRDefault="00F55FC2" w:rsidP="00F55FC2">
      <w:pPr>
        <w:ind w:left="851" w:hanging="851"/>
        <w:rPr>
          <w:sz w:val="24"/>
          <w:szCs w:val="24"/>
        </w:rPr>
      </w:pPr>
    </w:p>
    <w:p w14:paraId="1D076B28" w14:textId="77777777" w:rsidR="00F55FC2" w:rsidRPr="00F55FC2" w:rsidRDefault="00F55FC2" w:rsidP="00897128">
      <w:pPr>
        <w:ind w:left="851"/>
        <w:rPr>
          <w:sz w:val="24"/>
          <w:szCs w:val="24"/>
        </w:rPr>
      </w:pPr>
      <w:r w:rsidRPr="00F55FC2">
        <w:rPr>
          <w:sz w:val="24"/>
          <w:szCs w:val="24"/>
        </w:rPr>
        <w:t>Ikke alle pakningsstørrelser er nødvendigvis markedsført.</w:t>
      </w:r>
    </w:p>
    <w:p w14:paraId="535745D8" w14:textId="77777777" w:rsidR="00B003BF" w:rsidRPr="00F55FC2" w:rsidRDefault="00B003BF" w:rsidP="00F55FC2">
      <w:pPr>
        <w:tabs>
          <w:tab w:val="left" w:pos="851"/>
        </w:tabs>
        <w:ind w:left="851" w:hanging="851"/>
        <w:rPr>
          <w:sz w:val="24"/>
          <w:szCs w:val="24"/>
        </w:rPr>
      </w:pPr>
    </w:p>
    <w:p w14:paraId="561F40D7" w14:textId="77777777" w:rsidR="00B003BF" w:rsidRPr="00F55FC2" w:rsidRDefault="00B003BF" w:rsidP="00F55FC2">
      <w:pPr>
        <w:tabs>
          <w:tab w:val="left" w:pos="851"/>
        </w:tabs>
        <w:ind w:left="851" w:hanging="851"/>
        <w:rPr>
          <w:b/>
          <w:sz w:val="24"/>
          <w:szCs w:val="24"/>
        </w:rPr>
      </w:pPr>
      <w:r w:rsidRPr="00F55FC2">
        <w:rPr>
          <w:b/>
          <w:sz w:val="24"/>
          <w:szCs w:val="24"/>
        </w:rPr>
        <w:t>6.6</w:t>
      </w:r>
      <w:r w:rsidRPr="00F55FC2">
        <w:rPr>
          <w:b/>
          <w:sz w:val="24"/>
          <w:szCs w:val="24"/>
        </w:rPr>
        <w:tab/>
        <w:t>Regler for destruktion og anden håndtering</w:t>
      </w:r>
    </w:p>
    <w:p w14:paraId="717C3009" w14:textId="77777777" w:rsidR="00F55FC2" w:rsidRPr="00F55FC2" w:rsidRDefault="00B003BF" w:rsidP="00F55FC2">
      <w:pPr>
        <w:ind w:left="851" w:hanging="851"/>
        <w:rPr>
          <w:sz w:val="24"/>
          <w:szCs w:val="24"/>
        </w:rPr>
      </w:pPr>
      <w:r w:rsidRPr="00F55FC2">
        <w:rPr>
          <w:sz w:val="24"/>
          <w:szCs w:val="24"/>
        </w:rPr>
        <w:tab/>
      </w:r>
      <w:r w:rsidR="00F55FC2" w:rsidRPr="00F55FC2">
        <w:rPr>
          <w:sz w:val="24"/>
          <w:szCs w:val="24"/>
        </w:rPr>
        <w:t>Ikke anvendt lægemiddel samt affald heraf skal bortskaffes i henhold til lokale retningslinjer.</w:t>
      </w:r>
    </w:p>
    <w:p w14:paraId="1D60B142" w14:textId="77777777" w:rsidR="00B003BF" w:rsidRPr="00F55FC2" w:rsidRDefault="00B003BF" w:rsidP="00F55FC2">
      <w:pPr>
        <w:tabs>
          <w:tab w:val="left" w:pos="851"/>
        </w:tabs>
        <w:ind w:left="851" w:hanging="851"/>
        <w:jc w:val="both"/>
        <w:rPr>
          <w:sz w:val="24"/>
          <w:szCs w:val="24"/>
        </w:rPr>
      </w:pPr>
    </w:p>
    <w:p w14:paraId="217CFB3C" w14:textId="77777777" w:rsidR="00B003BF" w:rsidRPr="00F55FC2" w:rsidRDefault="00B003BF" w:rsidP="00F55FC2">
      <w:pPr>
        <w:tabs>
          <w:tab w:val="left" w:pos="851"/>
        </w:tabs>
        <w:ind w:left="851" w:hanging="851"/>
        <w:rPr>
          <w:b/>
          <w:sz w:val="24"/>
          <w:szCs w:val="24"/>
        </w:rPr>
      </w:pPr>
      <w:r w:rsidRPr="00F55FC2">
        <w:rPr>
          <w:b/>
          <w:sz w:val="24"/>
          <w:szCs w:val="24"/>
        </w:rPr>
        <w:t>7.</w:t>
      </w:r>
      <w:r w:rsidRPr="00F55FC2">
        <w:rPr>
          <w:b/>
          <w:sz w:val="24"/>
          <w:szCs w:val="24"/>
        </w:rPr>
        <w:tab/>
        <w:t>INDEHAVER AF MARKEDSFØRINGSTILLADELSEN</w:t>
      </w:r>
    </w:p>
    <w:p w14:paraId="7A67723D" w14:textId="77777777" w:rsidR="00F55FC2" w:rsidRPr="00F55FC2" w:rsidRDefault="00B003BF" w:rsidP="00F55FC2">
      <w:pPr>
        <w:ind w:left="851" w:hanging="851"/>
        <w:rPr>
          <w:sz w:val="24"/>
          <w:szCs w:val="24"/>
        </w:rPr>
      </w:pPr>
      <w:r w:rsidRPr="00F55FC2">
        <w:rPr>
          <w:sz w:val="24"/>
          <w:szCs w:val="24"/>
        </w:rPr>
        <w:tab/>
      </w:r>
      <w:r w:rsidR="00F55FC2" w:rsidRPr="00F55FC2">
        <w:rPr>
          <w:sz w:val="24"/>
          <w:szCs w:val="24"/>
        </w:rPr>
        <w:t xml:space="preserve">Orifarm Generics A/S </w:t>
      </w:r>
    </w:p>
    <w:p w14:paraId="6D967E2D" w14:textId="77777777" w:rsidR="00F55FC2" w:rsidRPr="00F55FC2" w:rsidRDefault="00F55FC2" w:rsidP="00897128">
      <w:pPr>
        <w:ind w:left="851"/>
        <w:rPr>
          <w:sz w:val="24"/>
          <w:szCs w:val="24"/>
        </w:rPr>
      </w:pPr>
      <w:r w:rsidRPr="00F55FC2">
        <w:rPr>
          <w:sz w:val="24"/>
          <w:szCs w:val="24"/>
        </w:rPr>
        <w:t>Energivej 15</w:t>
      </w:r>
    </w:p>
    <w:p w14:paraId="41737377" w14:textId="77777777" w:rsidR="00F55FC2" w:rsidRPr="00F55FC2" w:rsidRDefault="00F55FC2" w:rsidP="00897128">
      <w:pPr>
        <w:ind w:left="851"/>
        <w:rPr>
          <w:sz w:val="24"/>
          <w:szCs w:val="24"/>
        </w:rPr>
      </w:pPr>
      <w:r w:rsidRPr="00F55FC2">
        <w:rPr>
          <w:sz w:val="24"/>
          <w:szCs w:val="24"/>
        </w:rPr>
        <w:t xml:space="preserve">5260 Odense S </w:t>
      </w:r>
    </w:p>
    <w:p w14:paraId="7FB74EB6" w14:textId="77777777" w:rsidR="00B003BF" w:rsidRPr="00F55FC2" w:rsidRDefault="00B003BF" w:rsidP="00F55FC2">
      <w:pPr>
        <w:tabs>
          <w:tab w:val="left" w:pos="851"/>
        </w:tabs>
        <w:ind w:left="851" w:hanging="851"/>
        <w:rPr>
          <w:sz w:val="24"/>
          <w:szCs w:val="24"/>
        </w:rPr>
      </w:pPr>
    </w:p>
    <w:p w14:paraId="36538F82" w14:textId="77777777" w:rsidR="00B003BF" w:rsidRPr="00F55FC2" w:rsidRDefault="00B003BF" w:rsidP="00F55FC2">
      <w:pPr>
        <w:tabs>
          <w:tab w:val="left" w:pos="851"/>
        </w:tabs>
        <w:ind w:left="851" w:hanging="851"/>
        <w:rPr>
          <w:b/>
          <w:sz w:val="24"/>
          <w:szCs w:val="24"/>
        </w:rPr>
      </w:pPr>
      <w:r w:rsidRPr="00F55FC2">
        <w:rPr>
          <w:b/>
          <w:sz w:val="24"/>
          <w:szCs w:val="24"/>
        </w:rPr>
        <w:t>8.</w:t>
      </w:r>
      <w:r w:rsidRPr="00F55FC2">
        <w:rPr>
          <w:b/>
          <w:sz w:val="24"/>
          <w:szCs w:val="24"/>
        </w:rPr>
        <w:tab/>
        <w:t>MARKEDSFØRINGSTILLADELSESNUMMER (NUMRE)</w:t>
      </w:r>
    </w:p>
    <w:p w14:paraId="3EB53D93" w14:textId="49EF19BB" w:rsidR="00B003BF" w:rsidRPr="00F55FC2" w:rsidRDefault="00B003BF" w:rsidP="00F55FC2">
      <w:pPr>
        <w:tabs>
          <w:tab w:val="left" w:pos="851"/>
        </w:tabs>
        <w:ind w:left="851" w:hanging="851"/>
        <w:rPr>
          <w:sz w:val="24"/>
          <w:szCs w:val="24"/>
        </w:rPr>
      </w:pPr>
      <w:r w:rsidRPr="00F55FC2">
        <w:rPr>
          <w:sz w:val="24"/>
          <w:szCs w:val="24"/>
        </w:rPr>
        <w:tab/>
      </w:r>
      <w:r w:rsidR="00F55FC2" w:rsidRPr="00F55FC2">
        <w:rPr>
          <w:sz w:val="24"/>
          <w:szCs w:val="24"/>
        </w:rPr>
        <w:t>250 mg:</w:t>
      </w:r>
      <w:r w:rsidR="00897128">
        <w:rPr>
          <w:sz w:val="24"/>
          <w:szCs w:val="24"/>
        </w:rPr>
        <w:tab/>
        <w:t>53093</w:t>
      </w:r>
    </w:p>
    <w:p w14:paraId="3624C0F5" w14:textId="41395987" w:rsidR="00F55FC2" w:rsidRPr="00F55FC2" w:rsidRDefault="00897128" w:rsidP="00F55FC2">
      <w:pPr>
        <w:tabs>
          <w:tab w:val="left" w:pos="851"/>
        </w:tabs>
        <w:ind w:left="851" w:hanging="851"/>
        <w:rPr>
          <w:sz w:val="24"/>
          <w:szCs w:val="24"/>
        </w:rPr>
      </w:pPr>
      <w:r>
        <w:rPr>
          <w:sz w:val="24"/>
          <w:szCs w:val="24"/>
        </w:rPr>
        <w:tab/>
      </w:r>
      <w:r w:rsidR="00F55FC2" w:rsidRPr="00F55FC2">
        <w:rPr>
          <w:sz w:val="24"/>
          <w:szCs w:val="24"/>
        </w:rPr>
        <w:t>500 mg:</w:t>
      </w:r>
      <w:r>
        <w:rPr>
          <w:sz w:val="24"/>
          <w:szCs w:val="24"/>
        </w:rPr>
        <w:tab/>
        <w:t>53094</w:t>
      </w:r>
    </w:p>
    <w:p w14:paraId="4A0817F4" w14:textId="77777777" w:rsidR="00B003BF" w:rsidRPr="00F55FC2" w:rsidRDefault="00B003BF" w:rsidP="00F55FC2">
      <w:pPr>
        <w:tabs>
          <w:tab w:val="left" w:pos="851"/>
        </w:tabs>
        <w:ind w:left="851" w:hanging="851"/>
        <w:jc w:val="both"/>
        <w:rPr>
          <w:sz w:val="24"/>
          <w:szCs w:val="24"/>
        </w:rPr>
      </w:pPr>
    </w:p>
    <w:p w14:paraId="338BC688" w14:textId="77777777" w:rsidR="00B003BF" w:rsidRPr="00F55FC2" w:rsidRDefault="00B003BF" w:rsidP="00F55FC2">
      <w:pPr>
        <w:tabs>
          <w:tab w:val="left" w:pos="851"/>
        </w:tabs>
        <w:ind w:left="851" w:hanging="851"/>
        <w:rPr>
          <w:b/>
          <w:sz w:val="24"/>
          <w:szCs w:val="24"/>
        </w:rPr>
      </w:pPr>
      <w:r w:rsidRPr="00F55FC2">
        <w:rPr>
          <w:b/>
          <w:sz w:val="24"/>
          <w:szCs w:val="24"/>
        </w:rPr>
        <w:t>9.</w:t>
      </w:r>
      <w:r w:rsidRPr="00F55FC2">
        <w:rPr>
          <w:b/>
          <w:sz w:val="24"/>
          <w:szCs w:val="24"/>
        </w:rPr>
        <w:tab/>
        <w:t>DATO FOR FØRSTE MARKEDSFØRINGSTILLADELSE</w:t>
      </w:r>
    </w:p>
    <w:p w14:paraId="144C0F8C" w14:textId="2CA237EA" w:rsidR="00B003BF" w:rsidRPr="00F55FC2" w:rsidRDefault="00B003BF" w:rsidP="00F55FC2">
      <w:pPr>
        <w:tabs>
          <w:tab w:val="left" w:pos="851"/>
        </w:tabs>
        <w:ind w:left="851" w:hanging="851"/>
        <w:rPr>
          <w:sz w:val="24"/>
          <w:szCs w:val="24"/>
        </w:rPr>
      </w:pPr>
      <w:r w:rsidRPr="00F55FC2">
        <w:rPr>
          <w:sz w:val="24"/>
          <w:szCs w:val="24"/>
        </w:rPr>
        <w:tab/>
      </w:r>
      <w:r w:rsidR="005C36E6">
        <w:rPr>
          <w:sz w:val="24"/>
          <w:szCs w:val="24"/>
        </w:rPr>
        <w:t>2. september 2014</w:t>
      </w:r>
    </w:p>
    <w:p w14:paraId="44FD33EB" w14:textId="77777777" w:rsidR="00B003BF" w:rsidRPr="00F55FC2" w:rsidRDefault="00B003BF" w:rsidP="00F55FC2">
      <w:pPr>
        <w:tabs>
          <w:tab w:val="left" w:pos="851"/>
        </w:tabs>
        <w:ind w:left="851" w:hanging="851"/>
        <w:rPr>
          <w:sz w:val="24"/>
          <w:szCs w:val="24"/>
        </w:rPr>
      </w:pPr>
    </w:p>
    <w:p w14:paraId="40BD91D7" w14:textId="77777777" w:rsidR="00B003BF" w:rsidRPr="00F55FC2" w:rsidRDefault="00B003BF" w:rsidP="00F55FC2">
      <w:pPr>
        <w:tabs>
          <w:tab w:val="left" w:pos="851"/>
        </w:tabs>
        <w:ind w:left="851" w:hanging="851"/>
        <w:rPr>
          <w:b/>
          <w:sz w:val="24"/>
          <w:szCs w:val="24"/>
        </w:rPr>
      </w:pPr>
      <w:r w:rsidRPr="00F55FC2">
        <w:rPr>
          <w:b/>
          <w:sz w:val="24"/>
          <w:szCs w:val="24"/>
        </w:rPr>
        <w:t>10.</w:t>
      </w:r>
      <w:r w:rsidRPr="00F55FC2">
        <w:rPr>
          <w:b/>
          <w:sz w:val="24"/>
          <w:szCs w:val="24"/>
        </w:rPr>
        <w:tab/>
        <w:t>DATO FOR ÆNDRING AF TEKSTEN</w:t>
      </w:r>
    </w:p>
    <w:p w14:paraId="4390CC48" w14:textId="1BD892FF" w:rsidR="00B003BF" w:rsidRPr="00F55FC2" w:rsidRDefault="00B003BF" w:rsidP="00F55FC2">
      <w:pPr>
        <w:tabs>
          <w:tab w:val="left" w:pos="851"/>
        </w:tabs>
        <w:ind w:left="851" w:hanging="851"/>
        <w:rPr>
          <w:sz w:val="24"/>
          <w:szCs w:val="24"/>
        </w:rPr>
      </w:pPr>
      <w:r w:rsidRPr="00F55FC2">
        <w:rPr>
          <w:sz w:val="24"/>
          <w:szCs w:val="24"/>
        </w:rPr>
        <w:tab/>
      </w:r>
      <w:r w:rsidR="002D2E99">
        <w:rPr>
          <w:sz w:val="24"/>
          <w:szCs w:val="24"/>
        </w:rPr>
        <w:t>7</w:t>
      </w:r>
      <w:bookmarkStart w:id="0" w:name="_GoBack"/>
      <w:bookmarkEnd w:id="0"/>
      <w:r w:rsidR="002D2E99">
        <w:rPr>
          <w:sz w:val="24"/>
          <w:szCs w:val="24"/>
        </w:rPr>
        <w:t>. august</w:t>
      </w:r>
      <w:r w:rsidR="00AD5AB8">
        <w:rPr>
          <w:sz w:val="24"/>
          <w:szCs w:val="24"/>
        </w:rPr>
        <w:t xml:space="preserve"> 2018</w:t>
      </w:r>
    </w:p>
    <w:sectPr w:rsidR="00B003BF" w:rsidRPr="00F55FC2"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5A7B1" w14:textId="77777777" w:rsidR="000A1BB7" w:rsidRDefault="000A1BB7">
      <w:r>
        <w:separator/>
      </w:r>
    </w:p>
  </w:endnote>
  <w:endnote w:type="continuationSeparator" w:id="0">
    <w:p w14:paraId="3847D36D" w14:textId="77777777" w:rsidR="000A1BB7" w:rsidRDefault="000A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D3300" w14:textId="77777777" w:rsidR="000259B9" w:rsidRDefault="000259B9">
    <w:pPr>
      <w:pStyle w:val="Sidefod"/>
      <w:pBdr>
        <w:bottom w:val="single" w:sz="6" w:space="1" w:color="auto"/>
      </w:pBdr>
    </w:pPr>
  </w:p>
  <w:p w14:paraId="22EA6556" w14:textId="77777777" w:rsidR="000259B9" w:rsidRDefault="000259B9" w:rsidP="00C42586">
    <w:pPr>
      <w:pStyle w:val="Sidefod"/>
      <w:tabs>
        <w:tab w:val="clear" w:pos="4819"/>
        <w:tab w:val="left" w:pos="8505"/>
      </w:tabs>
      <w:rPr>
        <w:i/>
        <w:sz w:val="18"/>
        <w:szCs w:val="18"/>
      </w:rPr>
    </w:pPr>
  </w:p>
  <w:p w14:paraId="153E6218"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10A4D">
      <w:rPr>
        <w:i/>
        <w:noProof/>
        <w:sz w:val="18"/>
        <w:szCs w:val="18"/>
      </w:rPr>
      <w:t>Ursochol, hårde kapsler 250 mg og 500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2D2E99">
      <w:rPr>
        <w:rStyle w:val="Sidetal"/>
        <w:i/>
        <w:noProof/>
        <w:sz w:val="18"/>
        <w:szCs w:val="18"/>
      </w:rPr>
      <w:t>8</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2D2E99">
      <w:rPr>
        <w:rStyle w:val="Sidetal"/>
        <w:i/>
        <w:noProof/>
        <w:sz w:val="18"/>
        <w:szCs w:val="18"/>
      </w:rPr>
      <w:t>8</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8D2A3" w14:textId="77777777" w:rsidR="000A1BB7" w:rsidRDefault="000A1BB7">
      <w:r>
        <w:separator/>
      </w:r>
    </w:p>
  </w:footnote>
  <w:footnote w:type="continuationSeparator" w:id="0">
    <w:p w14:paraId="19CFFC3B" w14:textId="77777777" w:rsidR="000A1BB7" w:rsidRDefault="000A1B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7685875"/>
    <w:multiLevelType w:val="hybridMultilevel"/>
    <w:tmpl w:val="A17CADBE"/>
    <w:lvl w:ilvl="0" w:tplc="50BE0266">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B7"/>
    <w:rsid w:val="000259B9"/>
    <w:rsid w:val="000316D6"/>
    <w:rsid w:val="00041491"/>
    <w:rsid w:val="00050D16"/>
    <w:rsid w:val="00074F2A"/>
    <w:rsid w:val="000A1BB7"/>
    <w:rsid w:val="000A1CA8"/>
    <w:rsid w:val="000A466B"/>
    <w:rsid w:val="000E4EE6"/>
    <w:rsid w:val="001E3374"/>
    <w:rsid w:val="00206CE8"/>
    <w:rsid w:val="00283A2B"/>
    <w:rsid w:val="002B0075"/>
    <w:rsid w:val="002B30AD"/>
    <w:rsid w:val="002C2C01"/>
    <w:rsid w:val="002D2E99"/>
    <w:rsid w:val="00304A52"/>
    <w:rsid w:val="003A29AE"/>
    <w:rsid w:val="003A32D7"/>
    <w:rsid w:val="003B4074"/>
    <w:rsid w:val="003C769A"/>
    <w:rsid w:val="0045746C"/>
    <w:rsid w:val="0049104B"/>
    <w:rsid w:val="004D3A22"/>
    <w:rsid w:val="004E3B12"/>
    <w:rsid w:val="00565F0F"/>
    <w:rsid w:val="00594A86"/>
    <w:rsid w:val="00596D86"/>
    <w:rsid w:val="005C36E6"/>
    <w:rsid w:val="006008AC"/>
    <w:rsid w:val="006560B1"/>
    <w:rsid w:val="006756DD"/>
    <w:rsid w:val="007361AD"/>
    <w:rsid w:val="00740EEC"/>
    <w:rsid w:val="0078011A"/>
    <w:rsid w:val="00782AF4"/>
    <w:rsid w:val="00790EE7"/>
    <w:rsid w:val="007B6649"/>
    <w:rsid w:val="00810A4D"/>
    <w:rsid w:val="0082576E"/>
    <w:rsid w:val="00897128"/>
    <w:rsid w:val="00907F75"/>
    <w:rsid w:val="0093258A"/>
    <w:rsid w:val="009C7BA3"/>
    <w:rsid w:val="009D1F5A"/>
    <w:rsid w:val="00A45796"/>
    <w:rsid w:val="00AC1A8A"/>
    <w:rsid w:val="00AD5AB8"/>
    <w:rsid w:val="00B003BF"/>
    <w:rsid w:val="00B373D7"/>
    <w:rsid w:val="00BA0D6C"/>
    <w:rsid w:val="00BD47B3"/>
    <w:rsid w:val="00C36276"/>
    <w:rsid w:val="00C42586"/>
    <w:rsid w:val="00C50F36"/>
    <w:rsid w:val="00C84483"/>
    <w:rsid w:val="00C95551"/>
    <w:rsid w:val="00CB20D7"/>
    <w:rsid w:val="00D020B0"/>
    <w:rsid w:val="00D11748"/>
    <w:rsid w:val="00D366CF"/>
    <w:rsid w:val="00D916F6"/>
    <w:rsid w:val="00E108AA"/>
    <w:rsid w:val="00E3749A"/>
    <w:rsid w:val="00E40B25"/>
    <w:rsid w:val="00E7437F"/>
    <w:rsid w:val="00E865B8"/>
    <w:rsid w:val="00EC0B9B"/>
    <w:rsid w:val="00ED5E9F"/>
    <w:rsid w:val="00F55FC2"/>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005CE"/>
  <w15:chartTrackingRefBased/>
  <w15:docId w15:val="{B2DD219E-8165-4CAB-B28F-9A944FA2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basedOn w:val="Standardskrifttypeiafsnit"/>
    <w:link w:val="Sidehoved"/>
    <w:rsid w:val="00B003BF"/>
    <w:rPr>
      <w:sz w:val="24"/>
    </w:rPr>
  </w:style>
  <w:style w:type="character" w:customStyle="1" w:styleId="TitelTegn">
    <w:name w:val="Titel Tegn"/>
    <w:basedOn w:val="Standardskrifttypeiafsnit"/>
    <w:link w:val="Titel"/>
    <w:rsid w:val="00B003BF"/>
    <w:rPr>
      <w:b/>
      <w:sz w:val="24"/>
    </w:rPr>
  </w:style>
  <w:style w:type="table" w:styleId="Tabel-Gitter">
    <w:name w:val="Table Grid"/>
    <w:basedOn w:val="Tabel-Normal"/>
    <w:rsid w:val="00F55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55FC2"/>
    <w:pPr>
      <w:tabs>
        <w:tab w:val="left" w:pos="567"/>
      </w:tabs>
      <w:spacing w:line="260" w:lineRule="exact"/>
      <w:ind w:left="720"/>
      <w:contextualSpacing/>
    </w:pPr>
    <w:rPr>
      <w:sz w:val="22"/>
      <w:lang w:val="en-GB"/>
    </w:rPr>
  </w:style>
  <w:style w:type="character" w:styleId="Hyperlink">
    <w:name w:val="Hyperlink"/>
    <w:uiPriority w:val="99"/>
    <w:semiHidden/>
    <w:unhideWhenUsed/>
    <w:rsid w:val="00F55F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3501">
      <w:bodyDiv w:val="1"/>
      <w:marLeft w:val="0"/>
      <w:marRight w:val="0"/>
      <w:marTop w:val="0"/>
      <w:marBottom w:val="0"/>
      <w:divBdr>
        <w:top w:val="none" w:sz="0" w:space="0" w:color="auto"/>
        <w:left w:val="none" w:sz="0" w:space="0" w:color="auto"/>
        <w:bottom w:val="none" w:sz="0" w:space="0" w:color="auto"/>
        <w:right w:val="none" w:sz="0" w:space="0" w:color="auto"/>
      </w:divBdr>
    </w:div>
    <w:div w:id="15912870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4654996">
      <w:bodyDiv w:val="1"/>
      <w:marLeft w:val="0"/>
      <w:marRight w:val="0"/>
      <w:marTop w:val="0"/>
      <w:marBottom w:val="0"/>
      <w:divBdr>
        <w:top w:val="none" w:sz="0" w:space="0" w:color="auto"/>
        <w:left w:val="none" w:sz="0" w:space="0" w:color="auto"/>
        <w:bottom w:val="none" w:sz="0" w:space="0" w:color="auto"/>
        <w:right w:val="none" w:sz="0" w:space="0" w:color="auto"/>
      </w:divBdr>
    </w:div>
    <w:div w:id="608585767">
      <w:bodyDiv w:val="1"/>
      <w:marLeft w:val="0"/>
      <w:marRight w:val="0"/>
      <w:marTop w:val="0"/>
      <w:marBottom w:val="0"/>
      <w:divBdr>
        <w:top w:val="none" w:sz="0" w:space="0" w:color="auto"/>
        <w:left w:val="none" w:sz="0" w:space="0" w:color="auto"/>
        <w:bottom w:val="none" w:sz="0" w:space="0" w:color="auto"/>
        <w:right w:val="none" w:sz="0" w:space="0" w:color="auto"/>
      </w:divBdr>
    </w:div>
    <w:div w:id="626401120">
      <w:bodyDiv w:val="1"/>
      <w:marLeft w:val="0"/>
      <w:marRight w:val="0"/>
      <w:marTop w:val="0"/>
      <w:marBottom w:val="0"/>
      <w:divBdr>
        <w:top w:val="none" w:sz="0" w:space="0" w:color="auto"/>
        <w:left w:val="none" w:sz="0" w:space="0" w:color="auto"/>
        <w:bottom w:val="none" w:sz="0" w:space="0" w:color="auto"/>
        <w:right w:val="none" w:sz="0" w:space="0" w:color="auto"/>
      </w:divBdr>
    </w:div>
    <w:div w:id="687801087">
      <w:bodyDiv w:val="1"/>
      <w:marLeft w:val="0"/>
      <w:marRight w:val="0"/>
      <w:marTop w:val="0"/>
      <w:marBottom w:val="0"/>
      <w:divBdr>
        <w:top w:val="none" w:sz="0" w:space="0" w:color="auto"/>
        <w:left w:val="none" w:sz="0" w:space="0" w:color="auto"/>
        <w:bottom w:val="none" w:sz="0" w:space="0" w:color="auto"/>
        <w:right w:val="none" w:sz="0" w:space="0" w:color="auto"/>
      </w:divBdr>
    </w:div>
    <w:div w:id="762533792">
      <w:bodyDiv w:val="1"/>
      <w:marLeft w:val="0"/>
      <w:marRight w:val="0"/>
      <w:marTop w:val="0"/>
      <w:marBottom w:val="0"/>
      <w:divBdr>
        <w:top w:val="none" w:sz="0" w:space="0" w:color="auto"/>
        <w:left w:val="none" w:sz="0" w:space="0" w:color="auto"/>
        <w:bottom w:val="none" w:sz="0" w:space="0" w:color="auto"/>
        <w:right w:val="none" w:sz="0" w:space="0" w:color="auto"/>
      </w:divBdr>
    </w:div>
    <w:div w:id="785269045">
      <w:bodyDiv w:val="1"/>
      <w:marLeft w:val="0"/>
      <w:marRight w:val="0"/>
      <w:marTop w:val="0"/>
      <w:marBottom w:val="0"/>
      <w:divBdr>
        <w:top w:val="none" w:sz="0" w:space="0" w:color="auto"/>
        <w:left w:val="none" w:sz="0" w:space="0" w:color="auto"/>
        <w:bottom w:val="none" w:sz="0" w:space="0" w:color="auto"/>
        <w:right w:val="none" w:sz="0" w:space="0" w:color="auto"/>
      </w:divBdr>
    </w:div>
    <w:div w:id="876040237">
      <w:bodyDiv w:val="1"/>
      <w:marLeft w:val="0"/>
      <w:marRight w:val="0"/>
      <w:marTop w:val="0"/>
      <w:marBottom w:val="0"/>
      <w:divBdr>
        <w:top w:val="none" w:sz="0" w:space="0" w:color="auto"/>
        <w:left w:val="none" w:sz="0" w:space="0" w:color="auto"/>
        <w:bottom w:val="none" w:sz="0" w:space="0" w:color="auto"/>
        <w:right w:val="none" w:sz="0" w:space="0" w:color="auto"/>
      </w:divBdr>
    </w:div>
    <w:div w:id="882182298">
      <w:bodyDiv w:val="1"/>
      <w:marLeft w:val="0"/>
      <w:marRight w:val="0"/>
      <w:marTop w:val="0"/>
      <w:marBottom w:val="0"/>
      <w:divBdr>
        <w:top w:val="none" w:sz="0" w:space="0" w:color="auto"/>
        <w:left w:val="none" w:sz="0" w:space="0" w:color="auto"/>
        <w:bottom w:val="none" w:sz="0" w:space="0" w:color="auto"/>
        <w:right w:val="none" w:sz="0" w:space="0" w:color="auto"/>
      </w:divBdr>
    </w:div>
    <w:div w:id="1044675938">
      <w:bodyDiv w:val="1"/>
      <w:marLeft w:val="0"/>
      <w:marRight w:val="0"/>
      <w:marTop w:val="0"/>
      <w:marBottom w:val="0"/>
      <w:divBdr>
        <w:top w:val="none" w:sz="0" w:space="0" w:color="auto"/>
        <w:left w:val="none" w:sz="0" w:space="0" w:color="auto"/>
        <w:bottom w:val="none" w:sz="0" w:space="0" w:color="auto"/>
        <w:right w:val="none" w:sz="0" w:space="0" w:color="auto"/>
      </w:divBdr>
    </w:div>
    <w:div w:id="1220828669">
      <w:bodyDiv w:val="1"/>
      <w:marLeft w:val="0"/>
      <w:marRight w:val="0"/>
      <w:marTop w:val="0"/>
      <w:marBottom w:val="0"/>
      <w:divBdr>
        <w:top w:val="none" w:sz="0" w:space="0" w:color="auto"/>
        <w:left w:val="none" w:sz="0" w:space="0" w:color="auto"/>
        <w:bottom w:val="none" w:sz="0" w:space="0" w:color="auto"/>
        <w:right w:val="none" w:sz="0" w:space="0" w:color="auto"/>
      </w:divBdr>
    </w:div>
    <w:div w:id="1378967919">
      <w:bodyDiv w:val="1"/>
      <w:marLeft w:val="0"/>
      <w:marRight w:val="0"/>
      <w:marTop w:val="0"/>
      <w:marBottom w:val="0"/>
      <w:divBdr>
        <w:top w:val="none" w:sz="0" w:space="0" w:color="auto"/>
        <w:left w:val="none" w:sz="0" w:space="0" w:color="auto"/>
        <w:bottom w:val="none" w:sz="0" w:space="0" w:color="auto"/>
        <w:right w:val="none" w:sz="0" w:space="0" w:color="auto"/>
      </w:divBdr>
    </w:div>
    <w:div w:id="1398092704">
      <w:bodyDiv w:val="1"/>
      <w:marLeft w:val="0"/>
      <w:marRight w:val="0"/>
      <w:marTop w:val="0"/>
      <w:marBottom w:val="0"/>
      <w:divBdr>
        <w:top w:val="none" w:sz="0" w:space="0" w:color="auto"/>
        <w:left w:val="none" w:sz="0" w:space="0" w:color="auto"/>
        <w:bottom w:val="none" w:sz="0" w:space="0" w:color="auto"/>
        <w:right w:val="none" w:sz="0" w:space="0" w:color="auto"/>
      </w:divBdr>
    </w:div>
    <w:div w:id="1448088213">
      <w:bodyDiv w:val="1"/>
      <w:marLeft w:val="0"/>
      <w:marRight w:val="0"/>
      <w:marTop w:val="0"/>
      <w:marBottom w:val="0"/>
      <w:divBdr>
        <w:top w:val="none" w:sz="0" w:space="0" w:color="auto"/>
        <w:left w:val="none" w:sz="0" w:space="0" w:color="auto"/>
        <w:bottom w:val="none" w:sz="0" w:space="0" w:color="auto"/>
        <w:right w:val="none" w:sz="0" w:space="0" w:color="auto"/>
      </w:divBdr>
    </w:div>
    <w:div w:id="1453208895">
      <w:bodyDiv w:val="1"/>
      <w:marLeft w:val="0"/>
      <w:marRight w:val="0"/>
      <w:marTop w:val="0"/>
      <w:marBottom w:val="0"/>
      <w:divBdr>
        <w:top w:val="none" w:sz="0" w:space="0" w:color="auto"/>
        <w:left w:val="none" w:sz="0" w:space="0" w:color="auto"/>
        <w:bottom w:val="none" w:sz="0" w:space="0" w:color="auto"/>
        <w:right w:val="none" w:sz="0" w:space="0" w:color="auto"/>
      </w:divBdr>
    </w:div>
    <w:div w:id="1519075777">
      <w:bodyDiv w:val="1"/>
      <w:marLeft w:val="0"/>
      <w:marRight w:val="0"/>
      <w:marTop w:val="0"/>
      <w:marBottom w:val="0"/>
      <w:divBdr>
        <w:top w:val="none" w:sz="0" w:space="0" w:color="auto"/>
        <w:left w:val="none" w:sz="0" w:space="0" w:color="auto"/>
        <w:bottom w:val="none" w:sz="0" w:space="0" w:color="auto"/>
        <w:right w:val="none" w:sz="0" w:space="0" w:color="auto"/>
      </w:divBdr>
    </w:div>
    <w:div w:id="1566799479">
      <w:bodyDiv w:val="1"/>
      <w:marLeft w:val="0"/>
      <w:marRight w:val="0"/>
      <w:marTop w:val="0"/>
      <w:marBottom w:val="0"/>
      <w:divBdr>
        <w:top w:val="none" w:sz="0" w:space="0" w:color="auto"/>
        <w:left w:val="none" w:sz="0" w:space="0" w:color="auto"/>
        <w:bottom w:val="none" w:sz="0" w:space="0" w:color="auto"/>
        <w:right w:val="none" w:sz="0" w:space="0" w:color="auto"/>
      </w:divBdr>
    </w:div>
    <w:div w:id="1611815736">
      <w:bodyDiv w:val="1"/>
      <w:marLeft w:val="0"/>
      <w:marRight w:val="0"/>
      <w:marTop w:val="0"/>
      <w:marBottom w:val="0"/>
      <w:divBdr>
        <w:top w:val="none" w:sz="0" w:space="0" w:color="auto"/>
        <w:left w:val="none" w:sz="0" w:space="0" w:color="auto"/>
        <w:bottom w:val="none" w:sz="0" w:space="0" w:color="auto"/>
        <w:right w:val="none" w:sz="0" w:space="0" w:color="auto"/>
      </w:divBdr>
    </w:div>
    <w:div w:id="1664313548">
      <w:bodyDiv w:val="1"/>
      <w:marLeft w:val="0"/>
      <w:marRight w:val="0"/>
      <w:marTop w:val="0"/>
      <w:marBottom w:val="0"/>
      <w:divBdr>
        <w:top w:val="none" w:sz="0" w:space="0" w:color="auto"/>
        <w:left w:val="none" w:sz="0" w:space="0" w:color="auto"/>
        <w:bottom w:val="none" w:sz="0" w:space="0" w:color="auto"/>
        <w:right w:val="none" w:sz="0" w:space="0" w:color="auto"/>
      </w:divBdr>
    </w:div>
    <w:div w:id="1815442576">
      <w:bodyDiv w:val="1"/>
      <w:marLeft w:val="0"/>
      <w:marRight w:val="0"/>
      <w:marTop w:val="0"/>
      <w:marBottom w:val="0"/>
      <w:divBdr>
        <w:top w:val="none" w:sz="0" w:space="0" w:color="auto"/>
        <w:left w:val="none" w:sz="0" w:space="0" w:color="auto"/>
        <w:bottom w:val="none" w:sz="0" w:space="0" w:color="auto"/>
        <w:right w:val="none" w:sz="0" w:space="0" w:color="auto"/>
      </w:divBdr>
    </w:div>
    <w:div w:id="1913193582">
      <w:bodyDiv w:val="1"/>
      <w:marLeft w:val="0"/>
      <w:marRight w:val="0"/>
      <w:marTop w:val="0"/>
      <w:marBottom w:val="0"/>
      <w:divBdr>
        <w:top w:val="none" w:sz="0" w:space="0" w:color="auto"/>
        <w:left w:val="none" w:sz="0" w:space="0" w:color="auto"/>
        <w:bottom w:val="none" w:sz="0" w:space="0" w:color="auto"/>
        <w:right w:val="none" w:sz="0" w:space="0" w:color="auto"/>
      </w:divBdr>
    </w:div>
    <w:div w:id="1930458236">
      <w:bodyDiv w:val="1"/>
      <w:marLeft w:val="0"/>
      <w:marRight w:val="0"/>
      <w:marTop w:val="0"/>
      <w:marBottom w:val="0"/>
      <w:divBdr>
        <w:top w:val="none" w:sz="0" w:space="0" w:color="auto"/>
        <w:left w:val="none" w:sz="0" w:space="0" w:color="auto"/>
        <w:bottom w:val="none" w:sz="0" w:space="0" w:color="auto"/>
        <w:right w:val="none" w:sz="0" w:space="0" w:color="auto"/>
      </w:divBdr>
    </w:div>
    <w:div w:id="2046101757">
      <w:bodyDiv w:val="1"/>
      <w:marLeft w:val="0"/>
      <w:marRight w:val="0"/>
      <w:marTop w:val="0"/>
      <w:marBottom w:val="0"/>
      <w:divBdr>
        <w:top w:val="none" w:sz="0" w:space="0" w:color="auto"/>
        <w:left w:val="none" w:sz="0" w:space="0" w:color="auto"/>
        <w:bottom w:val="none" w:sz="0" w:space="0" w:color="auto"/>
        <w:right w:val="none" w:sz="0" w:space="0" w:color="auto"/>
      </w:divBdr>
    </w:div>
    <w:div w:id="211439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kma@dkma.dk" TargetMode="Externa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2060</Words>
  <Characters>13369</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HELS@dkma.dk</dc:creator>
  <cp:keywords/>
  <dc:description>2018061700 pkt. 6.3 ændret fra 2 år til 250 mg: 5 år. 
500 mg: 4 år.</dc:description>
  <cp:lastModifiedBy>Helle Munck</cp:lastModifiedBy>
  <cp:revision>2</cp:revision>
  <cp:lastPrinted>2014-09-02T10:11:00Z</cp:lastPrinted>
  <dcterms:created xsi:type="dcterms:W3CDTF">2018-08-07T10:42:00Z</dcterms:created>
  <dcterms:modified xsi:type="dcterms:W3CDTF">2018-08-07T10:42:00Z</dcterms:modified>
</cp:coreProperties>
</file>