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0DE" w:rsidRPr="008F49E1" w:rsidRDefault="0021526C" w:rsidP="009260DE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15B87791" wp14:editId="24D10A07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>
        <w:rPr>
          <w:sz w:val="24"/>
          <w:szCs w:val="24"/>
        </w:rPr>
        <w:br w:type="textWrapping" w:clear="all"/>
      </w:r>
    </w:p>
    <w:p w:rsidR="009260DE" w:rsidRPr="00C8448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131595">
        <w:rPr>
          <w:szCs w:val="24"/>
        </w:rPr>
        <w:t>24. maj</w:t>
      </w:r>
      <w:r w:rsidR="004B075A">
        <w:rPr>
          <w:szCs w:val="24"/>
        </w:rPr>
        <w:t xml:space="preserve"> 2018</w:t>
      </w:r>
    </w:p>
    <w:p w:rsidR="009260DE" w:rsidRPr="00C84483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:rsidR="009260DE" w:rsidRPr="00C84483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9260DE" w:rsidRPr="00C84483" w:rsidRDefault="009260DE" w:rsidP="009260DE">
      <w:pPr>
        <w:jc w:val="center"/>
        <w:rPr>
          <w:b/>
          <w:sz w:val="24"/>
          <w:szCs w:val="24"/>
        </w:rPr>
      </w:pPr>
    </w:p>
    <w:p w:rsidR="009260DE" w:rsidRDefault="009260DE" w:rsidP="009260DE">
      <w:pPr>
        <w:jc w:val="center"/>
        <w:rPr>
          <w:b/>
          <w:sz w:val="24"/>
          <w:szCs w:val="24"/>
        </w:rPr>
      </w:pPr>
      <w:proofErr w:type="gramStart"/>
      <w:r w:rsidRPr="00C84483">
        <w:rPr>
          <w:b/>
          <w:sz w:val="24"/>
          <w:szCs w:val="24"/>
        </w:rPr>
        <w:t>for</w:t>
      </w:r>
      <w:proofErr w:type="gramEnd"/>
    </w:p>
    <w:p w:rsidR="000B058C" w:rsidRPr="00C84483" w:rsidRDefault="000B058C" w:rsidP="009260DE">
      <w:pPr>
        <w:jc w:val="center"/>
        <w:rPr>
          <w:b/>
          <w:sz w:val="24"/>
          <w:szCs w:val="24"/>
        </w:rPr>
      </w:pPr>
    </w:p>
    <w:p w:rsidR="009260DE" w:rsidRPr="00C84483" w:rsidRDefault="00CC18D1" w:rsidP="009260D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Ursosan</w:t>
      </w:r>
      <w:proofErr w:type="spellEnd"/>
      <w:r>
        <w:rPr>
          <w:b/>
          <w:sz w:val="24"/>
          <w:szCs w:val="24"/>
        </w:rPr>
        <w:t>, hårde kapsler</w:t>
      </w:r>
    </w:p>
    <w:p w:rsidR="009260DE" w:rsidRPr="00C84483" w:rsidRDefault="009260DE" w:rsidP="009260DE">
      <w:pPr>
        <w:jc w:val="both"/>
        <w:rPr>
          <w:sz w:val="24"/>
          <w:szCs w:val="24"/>
        </w:rPr>
      </w:pPr>
    </w:p>
    <w:p w:rsidR="009260DE" w:rsidRPr="00C84483" w:rsidRDefault="009260DE" w:rsidP="009260DE">
      <w:pPr>
        <w:jc w:val="both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9260DE" w:rsidRPr="00C84483" w:rsidRDefault="00CC18D1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30602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  <w:bookmarkStart w:id="0" w:name="_GoBack"/>
      <w:bookmarkEnd w:id="0"/>
    </w:p>
    <w:p w:rsidR="009260DE" w:rsidRPr="00C84483" w:rsidRDefault="00CC18D1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Ursosan</w:t>
      </w:r>
      <w:proofErr w:type="spellEnd"/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4F48E4" w:rsidRDefault="004F48E4" w:rsidP="004F48E4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Hver hård kapsel indeholder 250 mg </w:t>
      </w:r>
      <w:proofErr w:type="spellStart"/>
      <w:r w:rsidRPr="004F48E4"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proofErr w:type="spellEnd"/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(UDCA) som den aktive ingrediens.</w:t>
      </w:r>
    </w:p>
    <w:p w:rsidR="004F48E4" w:rsidRPr="004F48E4" w:rsidRDefault="004F48E4" w:rsidP="004F48E4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</w:p>
    <w:p w:rsidR="009260DE" w:rsidRPr="004F48E4" w:rsidRDefault="004F48E4" w:rsidP="004F48E4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>Alle hjælpestoffer er anført under pkt. 6.1.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4F48E4" w:rsidRDefault="004F48E4" w:rsidP="004F48E4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Hårde kapsler</w:t>
      </w:r>
    </w:p>
    <w:p w:rsidR="004F48E4" w:rsidRDefault="004F48E4" w:rsidP="004F48E4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</w:p>
    <w:p w:rsidR="004F48E4" w:rsidRPr="004F48E4" w:rsidRDefault="004F48E4" w:rsidP="004F48E4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>Hvide, hårde gelatinekapsler (størrelse 0) indeholdende hvidt eller næsten hvidt pulver.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9260DE" w:rsidRPr="00C84483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4F48E4" w:rsidRPr="004F48E4" w:rsidRDefault="004F48E4" w:rsidP="004F48E4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>Til opløsning af kolesterolgal</w:t>
      </w:r>
      <w:r w:rsidR="00C65706">
        <w:rPr>
          <w:rFonts w:eastAsiaTheme="minorEastAsia"/>
          <w:color w:val="000000"/>
          <w:sz w:val="24"/>
          <w:szCs w:val="24"/>
          <w:lang w:eastAsia="zh-CN"/>
        </w:rPr>
        <w:t>d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>esten i galdeblæren. Galde</w:t>
      </w:r>
      <w:r w:rsidR="00C65706">
        <w:rPr>
          <w:rFonts w:eastAsiaTheme="minorEastAsia"/>
          <w:color w:val="000000"/>
          <w:sz w:val="24"/>
          <w:szCs w:val="24"/>
          <w:lang w:eastAsia="zh-CN"/>
        </w:rPr>
        <w:t>stenene må ikke frembringe nogle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skygger på røntgenbilledet og </w:t>
      </w:r>
      <w:r w:rsidR="00C65706">
        <w:rPr>
          <w:rFonts w:eastAsiaTheme="minorEastAsia"/>
          <w:color w:val="000000"/>
          <w:sz w:val="24"/>
          <w:szCs w:val="24"/>
          <w:lang w:eastAsia="zh-CN"/>
        </w:rPr>
        <w:t>må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ikke have en større diameter end 15 mm</w:t>
      </w:r>
      <w:r w:rsidR="00C65706">
        <w:rPr>
          <w:rFonts w:eastAsiaTheme="minorEastAsia"/>
          <w:color w:val="000000"/>
          <w:sz w:val="24"/>
          <w:szCs w:val="24"/>
          <w:lang w:eastAsia="zh-CN"/>
        </w:rPr>
        <w:t>. G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aldeblæren skal </w:t>
      </w:r>
      <w:r w:rsidR="00C65706">
        <w:rPr>
          <w:rFonts w:eastAsiaTheme="minorEastAsia"/>
          <w:color w:val="000000"/>
          <w:sz w:val="24"/>
          <w:szCs w:val="24"/>
          <w:lang w:eastAsia="zh-CN"/>
        </w:rPr>
        <w:t xml:space="preserve">på 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trods </w:t>
      </w:r>
      <w:r w:rsidR="00C65706">
        <w:rPr>
          <w:rFonts w:eastAsiaTheme="minorEastAsia"/>
          <w:color w:val="000000"/>
          <w:sz w:val="24"/>
          <w:szCs w:val="24"/>
          <w:lang w:eastAsia="zh-CN"/>
        </w:rPr>
        <w:t xml:space="preserve">af 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>gal</w:t>
      </w:r>
      <w:r w:rsidR="00C65706">
        <w:rPr>
          <w:rFonts w:eastAsiaTheme="minorEastAsia"/>
          <w:color w:val="000000"/>
          <w:sz w:val="24"/>
          <w:szCs w:val="24"/>
          <w:lang w:eastAsia="zh-CN"/>
        </w:rPr>
        <w:t>de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>stenen</w:t>
      </w:r>
      <w:r w:rsidR="00C65706">
        <w:rPr>
          <w:rFonts w:eastAsiaTheme="minorEastAsia"/>
          <w:color w:val="000000"/>
          <w:sz w:val="24"/>
          <w:szCs w:val="24"/>
          <w:lang w:eastAsia="zh-CN"/>
        </w:rPr>
        <w:t>e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være i funktion.</w:t>
      </w:r>
    </w:p>
    <w:p w:rsidR="004F48E4" w:rsidRPr="004F48E4" w:rsidRDefault="004F48E4" w:rsidP="004F48E4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Til behandling af galde </w:t>
      </w:r>
      <w:proofErr w:type="spellStart"/>
      <w:r w:rsidRPr="004F48E4">
        <w:rPr>
          <w:rFonts w:eastAsiaTheme="minorEastAsia"/>
          <w:color w:val="000000"/>
          <w:sz w:val="24"/>
          <w:szCs w:val="24"/>
          <w:lang w:eastAsia="zh-CN"/>
        </w:rPr>
        <w:t>reflux</w:t>
      </w:r>
      <w:proofErr w:type="spellEnd"/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gastritis.</w:t>
      </w:r>
    </w:p>
    <w:p w:rsidR="004F48E4" w:rsidRPr="004F48E4" w:rsidRDefault="004F48E4" w:rsidP="004F48E4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Til symptomatisk behandling af primær </w:t>
      </w:r>
      <w:proofErr w:type="spellStart"/>
      <w:r w:rsidRPr="004F48E4">
        <w:rPr>
          <w:rFonts w:eastAsiaTheme="minorEastAsia"/>
          <w:color w:val="000000"/>
          <w:sz w:val="24"/>
          <w:szCs w:val="24"/>
          <w:lang w:eastAsia="zh-CN"/>
        </w:rPr>
        <w:t>biliær</w:t>
      </w:r>
      <w:proofErr w:type="spellEnd"/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proofErr w:type="spellStart"/>
      <w:r w:rsidRPr="004F48E4">
        <w:rPr>
          <w:rFonts w:eastAsiaTheme="minorEastAsia"/>
          <w:color w:val="000000"/>
          <w:sz w:val="24"/>
          <w:szCs w:val="24"/>
          <w:lang w:eastAsia="zh-CN"/>
        </w:rPr>
        <w:t>kolangitis</w:t>
      </w:r>
      <w:proofErr w:type="spellEnd"/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(PBC) (</w:t>
      </w:r>
      <w:proofErr w:type="spellStart"/>
      <w:r w:rsidRPr="004F48E4">
        <w:rPr>
          <w:rFonts w:eastAsiaTheme="minorEastAsia"/>
          <w:color w:val="000000"/>
          <w:sz w:val="24"/>
          <w:szCs w:val="24"/>
          <w:lang w:eastAsia="zh-CN"/>
        </w:rPr>
        <w:t>primary</w:t>
      </w:r>
      <w:proofErr w:type="spellEnd"/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proofErr w:type="spellStart"/>
      <w:r w:rsidRPr="004F48E4">
        <w:rPr>
          <w:rFonts w:eastAsiaTheme="minorEastAsia"/>
          <w:color w:val="000000"/>
          <w:sz w:val="24"/>
          <w:szCs w:val="24"/>
          <w:lang w:eastAsia="zh-CN"/>
        </w:rPr>
        <w:t>biliary</w:t>
      </w:r>
      <w:proofErr w:type="spellEnd"/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proofErr w:type="spellStart"/>
      <w:r w:rsidRPr="004F48E4">
        <w:rPr>
          <w:rFonts w:eastAsiaTheme="minorEastAsia"/>
          <w:color w:val="000000"/>
          <w:sz w:val="24"/>
          <w:szCs w:val="24"/>
          <w:lang w:eastAsia="zh-CN"/>
        </w:rPr>
        <w:t>cirrhosis</w:t>
      </w:r>
      <w:proofErr w:type="spellEnd"/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), så længe der ikke er nogen </w:t>
      </w:r>
      <w:proofErr w:type="spellStart"/>
      <w:r w:rsidRPr="004F48E4">
        <w:rPr>
          <w:rFonts w:eastAsiaTheme="minorEastAsia"/>
          <w:color w:val="000000"/>
          <w:sz w:val="24"/>
          <w:szCs w:val="24"/>
          <w:lang w:eastAsia="zh-CN"/>
        </w:rPr>
        <w:t>dekompenseret</w:t>
      </w:r>
      <w:proofErr w:type="spellEnd"/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levercirrose.</w:t>
      </w:r>
    </w:p>
    <w:p w:rsidR="004F48E4" w:rsidRPr="004F48E4" w:rsidRDefault="004F48E4" w:rsidP="004F48E4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4F48E4" w:rsidRPr="004F48E4" w:rsidRDefault="004F48E4" w:rsidP="004F48E4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u w:val="single"/>
          <w:lang w:eastAsia="zh-CN"/>
        </w:rPr>
        <w:t>Pædiatriske befolkningsgrupper</w:t>
      </w:r>
    </w:p>
    <w:p w:rsidR="009260DE" w:rsidRPr="00887A4B" w:rsidRDefault="004F48E4" w:rsidP="00887A4B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Til behandling af </w:t>
      </w:r>
      <w:proofErr w:type="spellStart"/>
      <w:r w:rsidRPr="004F48E4">
        <w:rPr>
          <w:rFonts w:eastAsiaTheme="minorEastAsia"/>
          <w:color w:val="000000"/>
          <w:sz w:val="24"/>
          <w:szCs w:val="24"/>
          <w:lang w:eastAsia="zh-CN"/>
        </w:rPr>
        <w:t>hepatobiliære</w:t>
      </w:r>
      <w:proofErr w:type="spellEnd"/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lidelser forbundet med cystisk fibrose hos børn i alderen 6 til 18 år.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>Dosering og indgivelsesmåde</w:t>
      </w:r>
    </w:p>
    <w:p w:rsidR="004F48E4" w:rsidRPr="004F48E4" w:rsidRDefault="004F48E4" w:rsidP="004F48E4">
      <w:pPr>
        <w:shd w:val="clear" w:color="auto" w:fill="FFFFFF"/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>Der er ingen aldersbegrænsninger for brugen af ​​</w:t>
      </w:r>
      <w:proofErr w:type="spellStart"/>
      <w:r w:rsidR="00522DB5">
        <w:rPr>
          <w:rFonts w:eastAsiaTheme="minorEastAsia"/>
          <w:color w:val="000000"/>
          <w:sz w:val="24"/>
          <w:szCs w:val="24"/>
          <w:lang w:eastAsia="zh-CN"/>
        </w:rPr>
        <w:t>Ursosan</w:t>
      </w:r>
      <w:proofErr w:type="spellEnd"/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. </w:t>
      </w:r>
      <w:proofErr w:type="spellStart"/>
      <w:r w:rsidR="00522DB5">
        <w:rPr>
          <w:rFonts w:eastAsiaTheme="minorEastAsia"/>
          <w:color w:val="000000"/>
          <w:sz w:val="24"/>
          <w:szCs w:val="24"/>
          <w:lang w:eastAsia="zh-CN"/>
        </w:rPr>
        <w:t>Ursosan</w:t>
      </w:r>
      <w:proofErr w:type="spellEnd"/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er velegnet til patienter med en kropsvægt på 47 kg og derover.</w:t>
      </w:r>
    </w:p>
    <w:p w:rsidR="004F48E4" w:rsidRPr="004F48E4" w:rsidRDefault="004F48E4" w:rsidP="004F48E4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4F48E4" w:rsidRPr="004F48E4" w:rsidRDefault="004F48E4" w:rsidP="004F48E4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lastRenderedPageBreak/>
        <w:t>Følgende daglig dosering anbefales til de forskellige indikationer.</w:t>
      </w:r>
    </w:p>
    <w:p w:rsidR="004F48E4" w:rsidRPr="004F48E4" w:rsidRDefault="004F48E4" w:rsidP="004F48E4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4F48E4" w:rsidRPr="004F48E4" w:rsidRDefault="004F48E4" w:rsidP="004F48E4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u w:val="single"/>
          <w:lang w:eastAsia="zh-CN"/>
        </w:rPr>
        <w:t>Til opløsning af kolesterolgal</w:t>
      </w:r>
      <w:r w:rsidR="00F7632E">
        <w:rPr>
          <w:rFonts w:eastAsiaTheme="minorEastAsia"/>
          <w:color w:val="000000"/>
          <w:sz w:val="24"/>
          <w:szCs w:val="24"/>
          <w:u w:val="single"/>
          <w:lang w:eastAsia="zh-CN"/>
        </w:rPr>
        <w:t>d</w:t>
      </w:r>
      <w:r w:rsidRPr="004F48E4">
        <w:rPr>
          <w:rFonts w:eastAsiaTheme="minorEastAsia"/>
          <w:color w:val="000000"/>
          <w:sz w:val="24"/>
          <w:szCs w:val="24"/>
          <w:u w:val="single"/>
          <w:lang w:eastAsia="zh-CN"/>
        </w:rPr>
        <w:t>esten</w:t>
      </w:r>
    </w:p>
    <w:p w:rsidR="004F48E4" w:rsidRPr="004F48E4" w:rsidRDefault="004F48E4" w:rsidP="004F48E4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Ca. 10 mg </w:t>
      </w:r>
      <w:proofErr w:type="spellStart"/>
      <w:r w:rsidRPr="004F48E4"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proofErr w:type="spellEnd"/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pr. </w:t>
      </w:r>
      <w:r w:rsidR="00F7632E">
        <w:rPr>
          <w:rFonts w:eastAsiaTheme="minorEastAsia"/>
          <w:color w:val="000000"/>
          <w:sz w:val="24"/>
          <w:szCs w:val="24"/>
          <w:lang w:eastAsia="zh-CN"/>
        </w:rPr>
        <w:t>k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>g kropsvægt svarende til</w:t>
      </w:r>
    </w:p>
    <w:p w:rsidR="004F48E4" w:rsidRPr="004F48E4" w:rsidRDefault="004F48E4" w:rsidP="004F48E4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</w:p>
    <w:tbl>
      <w:tblPr>
        <w:tblW w:w="683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6"/>
        <w:gridCol w:w="2227"/>
      </w:tblGrid>
      <w:tr w:rsidR="004F48E4" w:rsidRPr="004F48E4" w:rsidTr="00F7632E">
        <w:tc>
          <w:tcPr>
            <w:tcW w:w="4606" w:type="dxa"/>
            <w:vAlign w:val="center"/>
          </w:tcPr>
          <w:p w:rsidR="004F48E4" w:rsidRPr="004F48E4" w:rsidRDefault="004F48E4" w:rsidP="00F7632E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 xml:space="preserve">op til 60 kg </w:t>
            </w:r>
          </w:p>
        </w:tc>
        <w:tc>
          <w:tcPr>
            <w:tcW w:w="2227" w:type="dxa"/>
            <w:vAlign w:val="center"/>
          </w:tcPr>
          <w:p w:rsidR="004F48E4" w:rsidRPr="004F48E4" w:rsidRDefault="004F48E4" w:rsidP="00F7632E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2 h</w:t>
            </w:r>
            <w:r w:rsidRPr="004F48E4">
              <w:rPr>
                <w:rFonts w:eastAsiaTheme="minorEastAsia"/>
                <w:color w:val="000000"/>
                <w:sz w:val="24"/>
                <w:szCs w:val="24"/>
                <w:lang w:eastAsia="zh-CN"/>
              </w:rPr>
              <w:t>å</w:t>
            </w: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rde kapsler</w:t>
            </w:r>
          </w:p>
        </w:tc>
      </w:tr>
      <w:tr w:rsidR="004F48E4" w:rsidRPr="004F48E4" w:rsidTr="00F7632E">
        <w:tc>
          <w:tcPr>
            <w:tcW w:w="4606" w:type="dxa"/>
            <w:vAlign w:val="center"/>
          </w:tcPr>
          <w:p w:rsidR="004F48E4" w:rsidRPr="004F48E4" w:rsidRDefault="004F48E4" w:rsidP="00F7632E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61 til 80 kg</w:t>
            </w:r>
          </w:p>
        </w:tc>
        <w:tc>
          <w:tcPr>
            <w:tcW w:w="2227" w:type="dxa"/>
            <w:vAlign w:val="center"/>
          </w:tcPr>
          <w:p w:rsidR="004F48E4" w:rsidRPr="004F48E4" w:rsidRDefault="004F48E4" w:rsidP="00F7632E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3 h</w:t>
            </w:r>
            <w:r w:rsidRPr="004F48E4">
              <w:rPr>
                <w:rFonts w:eastAsiaTheme="minorEastAsia"/>
                <w:color w:val="000000"/>
                <w:sz w:val="24"/>
                <w:szCs w:val="24"/>
                <w:lang w:eastAsia="zh-CN"/>
              </w:rPr>
              <w:t>å</w:t>
            </w: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rde kapsler</w:t>
            </w:r>
          </w:p>
        </w:tc>
      </w:tr>
      <w:tr w:rsidR="004F48E4" w:rsidRPr="004F48E4" w:rsidTr="00F7632E">
        <w:tc>
          <w:tcPr>
            <w:tcW w:w="4606" w:type="dxa"/>
            <w:vAlign w:val="center"/>
          </w:tcPr>
          <w:p w:rsidR="004F48E4" w:rsidRPr="004F48E4" w:rsidRDefault="004F48E4" w:rsidP="00F7632E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81 til 100 kg</w:t>
            </w:r>
          </w:p>
        </w:tc>
        <w:tc>
          <w:tcPr>
            <w:tcW w:w="2227" w:type="dxa"/>
            <w:vAlign w:val="center"/>
          </w:tcPr>
          <w:p w:rsidR="004F48E4" w:rsidRPr="004F48E4" w:rsidRDefault="004F48E4" w:rsidP="00F7632E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4 h</w:t>
            </w:r>
            <w:r w:rsidRPr="004F48E4">
              <w:rPr>
                <w:rFonts w:eastAsiaTheme="minorEastAsia"/>
                <w:color w:val="000000"/>
                <w:sz w:val="24"/>
                <w:szCs w:val="24"/>
                <w:lang w:eastAsia="zh-CN"/>
              </w:rPr>
              <w:t>å</w:t>
            </w: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rde kapsler</w:t>
            </w:r>
          </w:p>
        </w:tc>
      </w:tr>
      <w:tr w:rsidR="004F48E4" w:rsidRPr="004F48E4" w:rsidTr="00F7632E">
        <w:tc>
          <w:tcPr>
            <w:tcW w:w="4606" w:type="dxa"/>
            <w:vAlign w:val="center"/>
          </w:tcPr>
          <w:p w:rsidR="004F48E4" w:rsidRPr="004F48E4" w:rsidRDefault="004F48E4" w:rsidP="00F7632E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over 100 kg</w:t>
            </w:r>
          </w:p>
        </w:tc>
        <w:tc>
          <w:tcPr>
            <w:tcW w:w="2227" w:type="dxa"/>
            <w:vAlign w:val="center"/>
          </w:tcPr>
          <w:p w:rsidR="004F48E4" w:rsidRPr="004F48E4" w:rsidRDefault="004F48E4" w:rsidP="00F7632E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5 h</w:t>
            </w:r>
            <w:r w:rsidRPr="004F48E4">
              <w:rPr>
                <w:rFonts w:eastAsiaTheme="minorEastAsia"/>
                <w:color w:val="000000"/>
                <w:sz w:val="24"/>
                <w:szCs w:val="24"/>
                <w:lang w:eastAsia="zh-CN"/>
              </w:rPr>
              <w:t>å</w:t>
            </w: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rde kapsler</w:t>
            </w:r>
          </w:p>
        </w:tc>
      </w:tr>
    </w:tbl>
    <w:p w:rsidR="004F48E4" w:rsidRPr="004F48E4" w:rsidRDefault="004F48E4" w:rsidP="004F48E4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</w:p>
    <w:p w:rsidR="004F48E4" w:rsidRPr="004F48E4" w:rsidRDefault="004F48E4" w:rsidP="004F48E4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De hårde kapsler </w:t>
      </w:r>
      <w:r w:rsidR="00DA265C">
        <w:rPr>
          <w:rFonts w:eastAsiaTheme="minorEastAsia"/>
          <w:color w:val="000000"/>
          <w:sz w:val="24"/>
          <w:szCs w:val="24"/>
          <w:lang w:eastAsia="zh-CN"/>
        </w:rPr>
        <w:t>skal synkes hele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, om aftenen før sengetid med lidt væske. </w:t>
      </w:r>
    </w:p>
    <w:p w:rsidR="004F48E4" w:rsidRPr="004F48E4" w:rsidRDefault="004F48E4" w:rsidP="004F48E4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Kapslerne skal tages regelmæssigt. </w:t>
      </w:r>
    </w:p>
    <w:p w:rsidR="004F48E4" w:rsidRPr="004F48E4" w:rsidRDefault="004F48E4" w:rsidP="004F48E4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>Den tid, der kræves for opløsning af gal</w:t>
      </w:r>
      <w:r w:rsidR="00DA265C">
        <w:rPr>
          <w:rFonts w:eastAsiaTheme="minorEastAsia"/>
          <w:color w:val="000000"/>
          <w:sz w:val="24"/>
          <w:szCs w:val="24"/>
          <w:lang w:eastAsia="zh-CN"/>
        </w:rPr>
        <w:t>d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>esten, er sandsynligvis omkring fra 6 til 24 måneder. Hvis de</w:t>
      </w:r>
      <w:r w:rsidR="00DA265C">
        <w:rPr>
          <w:rFonts w:eastAsiaTheme="minorEastAsia"/>
          <w:color w:val="000000"/>
          <w:sz w:val="24"/>
          <w:szCs w:val="24"/>
          <w:lang w:eastAsia="zh-CN"/>
        </w:rPr>
        <w:t>r ikke er nogen reduktion i gald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>estenen</w:t>
      </w:r>
      <w:r w:rsidR="00DA265C">
        <w:rPr>
          <w:rFonts w:eastAsiaTheme="minorEastAsia"/>
          <w:color w:val="000000"/>
          <w:sz w:val="24"/>
          <w:szCs w:val="24"/>
          <w:lang w:eastAsia="zh-CN"/>
        </w:rPr>
        <w:t>e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efter 12 måneder, bør behandlingen ikke fortsættes.</w:t>
      </w:r>
    </w:p>
    <w:p w:rsidR="004F48E4" w:rsidRPr="004F48E4" w:rsidRDefault="004F48E4" w:rsidP="004F48E4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Behandlingens succes bør kontrolleres </w:t>
      </w:r>
      <w:proofErr w:type="spellStart"/>
      <w:r w:rsidRPr="004F48E4">
        <w:rPr>
          <w:rFonts w:eastAsiaTheme="minorEastAsia"/>
          <w:color w:val="000000"/>
          <w:sz w:val="24"/>
          <w:szCs w:val="24"/>
          <w:lang w:eastAsia="zh-CN"/>
        </w:rPr>
        <w:t>sonografisk</w:t>
      </w:r>
      <w:proofErr w:type="spellEnd"/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eller radiografisk hver 6. måned. Man skal også under </w:t>
      </w:r>
      <w:proofErr w:type="spellStart"/>
      <w:r w:rsidRPr="004F48E4">
        <w:rPr>
          <w:rFonts w:eastAsiaTheme="minorEastAsia"/>
          <w:color w:val="000000"/>
          <w:sz w:val="24"/>
          <w:szCs w:val="24"/>
          <w:lang w:eastAsia="zh-CN"/>
        </w:rPr>
        <w:t>opfølgende</w:t>
      </w:r>
      <w:proofErr w:type="spellEnd"/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undersøgelser</w:t>
      </w:r>
      <w:r w:rsidR="005D2F5E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r w:rsidR="005D2F5E" w:rsidRPr="004F48E4">
        <w:rPr>
          <w:rFonts w:eastAsiaTheme="minorEastAsia"/>
          <w:color w:val="000000"/>
          <w:sz w:val="24"/>
          <w:szCs w:val="24"/>
          <w:lang w:eastAsia="zh-CN"/>
        </w:rPr>
        <w:t>iagttage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, hvorvidt der i mellemtiden har været nogen forkalkning af stenene. Hvis dette er tilfældet, skal behandlingen afsluttes. </w:t>
      </w:r>
    </w:p>
    <w:p w:rsidR="004F48E4" w:rsidRPr="004F48E4" w:rsidRDefault="004F48E4" w:rsidP="004F48E4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4F48E4" w:rsidRPr="004F48E4" w:rsidRDefault="004F48E4" w:rsidP="004F48E4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u w:val="single"/>
          <w:lang w:eastAsia="zh-CN"/>
        </w:rPr>
        <w:t>Til behandling af galde</w:t>
      </w:r>
      <w:r w:rsidR="00DB74BD">
        <w:rPr>
          <w:rFonts w:eastAsiaTheme="minorEastAsia"/>
          <w:color w:val="000000"/>
          <w:sz w:val="24"/>
          <w:szCs w:val="24"/>
          <w:u w:val="single"/>
          <w:lang w:eastAsia="zh-CN"/>
        </w:rPr>
        <w:t>-</w:t>
      </w:r>
      <w:proofErr w:type="spellStart"/>
      <w:r w:rsidRPr="004F48E4">
        <w:rPr>
          <w:rFonts w:eastAsiaTheme="minorEastAsia"/>
          <w:color w:val="000000"/>
          <w:sz w:val="24"/>
          <w:szCs w:val="24"/>
          <w:u w:val="single"/>
          <w:lang w:eastAsia="zh-CN"/>
        </w:rPr>
        <w:t>reflux</w:t>
      </w:r>
      <w:proofErr w:type="spellEnd"/>
      <w:r w:rsidR="00DB74BD">
        <w:rPr>
          <w:rFonts w:eastAsiaTheme="minorEastAsia"/>
          <w:color w:val="000000"/>
          <w:sz w:val="24"/>
          <w:szCs w:val="24"/>
          <w:u w:val="single"/>
          <w:lang w:eastAsia="zh-CN"/>
        </w:rPr>
        <w:t>-</w:t>
      </w:r>
      <w:r w:rsidRPr="004F48E4">
        <w:rPr>
          <w:rFonts w:eastAsiaTheme="minorEastAsia"/>
          <w:color w:val="000000"/>
          <w:sz w:val="24"/>
          <w:szCs w:val="24"/>
          <w:u w:val="single"/>
          <w:lang w:eastAsia="zh-CN"/>
        </w:rPr>
        <w:t>gastritis</w:t>
      </w:r>
    </w:p>
    <w:p w:rsidR="004F48E4" w:rsidRPr="004F48E4" w:rsidRDefault="004F48E4" w:rsidP="004F48E4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Tag 1 </w:t>
      </w:r>
      <w:proofErr w:type="spellStart"/>
      <w:r w:rsidR="002A720E">
        <w:rPr>
          <w:rFonts w:eastAsiaTheme="minorEastAsia"/>
          <w:color w:val="000000"/>
          <w:sz w:val="24"/>
          <w:szCs w:val="24"/>
          <w:lang w:eastAsia="zh-CN"/>
        </w:rPr>
        <w:t>Ursosan</w:t>
      </w:r>
      <w:proofErr w:type="spellEnd"/>
      <w:r w:rsidR="002A720E">
        <w:rPr>
          <w:rFonts w:eastAsiaTheme="minorEastAsia"/>
          <w:color w:val="000000"/>
          <w:sz w:val="24"/>
          <w:szCs w:val="24"/>
          <w:lang w:eastAsia="zh-CN"/>
        </w:rPr>
        <w:t xml:space="preserve"> hård kapsel 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>en gang om dagen</w:t>
      </w:r>
      <w:r w:rsidR="00A726CF">
        <w:rPr>
          <w:rFonts w:eastAsiaTheme="minorEastAsia"/>
          <w:color w:val="000000"/>
          <w:sz w:val="24"/>
          <w:szCs w:val="24"/>
          <w:lang w:eastAsia="zh-CN"/>
        </w:rPr>
        <w:t>,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om aftenen før sengetid, uden at tygge </w:t>
      </w:r>
      <w:r w:rsidR="00A726CF">
        <w:rPr>
          <w:rFonts w:eastAsiaTheme="minorEastAsia"/>
          <w:color w:val="000000"/>
          <w:sz w:val="24"/>
          <w:szCs w:val="24"/>
          <w:lang w:eastAsia="zh-CN"/>
        </w:rPr>
        <w:t xml:space="preserve">den, 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>og med lidt væske.</w:t>
      </w:r>
    </w:p>
    <w:p w:rsidR="004F48E4" w:rsidRPr="004F48E4" w:rsidRDefault="00DB74BD" w:rsidP="004F48E4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Til behandling af galde-</w:t>
      </w:r>
      <w:proofErr w:type="spellStart"/>
      <w:r>
        <w:rPr>
          <w:rFonts w:eastAsiaTheme="minorEastAsia"/>
          <w:color w:val="000000"/>
          <w:sz w:val="24"/>
          <w:szCs w:val="24"/>
          <w:lang w:eastAsia="zh-CN"/>
        </w:rPr>
        <w:t>reflux</w:t>
      </w:r>
      <w:proofErr w:type="spellEnd"/>
      <w:r>
        <w:rPr>
          <w:rFonts w:eastAsiaTheme="minorEastAsia"/>
          <w:color w:val="000000"/>
          <w:sz w:val="24"/>
          <w:szCs w:val="24"/>
          <w:lang w:eastAsia="zh-CN"/>
        </w:rPr>
        <w:t>-</w:t>
      </w:r>
      <w:r w:rsidR="004F48E4" w:rsidRPr="004F48E4">
        <w:rPr>
          <w:rFonts w:eastAsiaTheme="minorEastAsia"/>
          <w:color w:val="000000"/>
          <w:sz w:val="24"/>
          <w:szCs w:val="24"/>
          <w:lang w:eastAsia="zh-CN"/>
        </w:rPr>
        <w:t xml:space="preserve">gastritis bør </w:t>
      </w:r>
      <w:proofErr w:type="spellStart"/>
      <w:r w:rsidR="00522DB5">
        <w:rPr>
          <w:rFonts w:eastAsiaTheme="minorEastAsia"/>
          <w:color w:val="000000"/>
          <w:sz w:val="24"/>
          <w:szCs w:val="24"/>
          <w:lang w:eastAsia="zh-CN"/>
        </w:rPr>
        <w:t>Ursosan</w:t>
      </w:r>
      <w:proofErr w:type="spellEnd"/>
      <w:r w:rsidR="004F48E4"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generelt tages i 10 til 14 dage. Generelt </w:t>
      </w:r>
      <w:r>
        <w:rPr>
          <w:rFonts w:eastAsiaTheme="minorEastAsia"/>
          <w:color w:val="000000"/>
          <w:sz w:val="24"/>
          <w:szCs w:val="24"/>
          <w:lang w:eastAsia="zh-CN"/>
        </w:rPr>
        <w:t>afhænger behandlingstiden af</w:t>
      </w:r>
      <w:r w:rsidR="004F48E4"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sygdomsforløbet. Den ansvarlige læge beslutter alle detaljer under hele behandlingens varighed.</w:t>
      </w:r>
    </w:p>
    <w:p w:rsidR="004F48E4" w:rsidRPr="004F48E4" w:rsidRDefault="004F48E4" w:rsidP="004F48E4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4F48E4" w:rsidRPr="004F48E4" w:rsidRDefault="004F48E4" w:rsidP="004F48E4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u w:val="single"/>
          <w:lang w:eastAsia="zh-CN"/>
        </w:rPr>
        <w:t xml:space="preserve">Til symptomatisk behandling af primær </w:t>
      </w:r>
      <w:proofErr w:type="spellStart"/>
      <w:r w:rsidRPr="004F48E4">
        <w:rPr>
          <w:rFonts w:eastAsiaTheme="minorEastAsia"/>
          <w:color w:val="000000"/>
          <w:sz w:val="24"/>
          <w:szCs w:val="24"/>
          <w:u w:val="single"/>
          <w:lang w:eastAsia="zh-CN"/>
        </w:rPr>
        <w:t>biliær</w:t>
      </w:r>
      <w:proofErr w:type="spellEnd"/>
      <w:r w:rsidRPr="004F48E4">
        <w:rPr>
          <w:rFonts w:eastAsiaTheme="minorEastAsia"/>
          <w:color w:val="000000"/>
          <w:sz w:val="24"/>
          <w:szCs w:val="24"/>
          <w:u w:val="single"/>
          <w:lang w:eastAsia="zh-CN"/>
        </w:rPr>
        <w:t xml:space="preserve"> </w:t>
      </w:r>
      <w:proofErr w:type="spellStart"/>
      <w:r w:rsidRPr="004F48E4">
        <w:rPr>
          <w:rFonts w:eastAsiaTheme="minorEastAsia"/>
          <w:color w:val="000000"/>
          <w:sz w:val="24"/>
          <w:szCs w:val="24"/>
          <w:u w:val="single"/>
          <w:lang w:eastAsia="zh-CN"/>
        </w:rPr>
        <w:t>kolangitis</w:t>
      </w:r>
      <w:proofErr w:type="spellEnd"/>
      <w:r w:rsidRPr="004F48E4">
        <w:rPr>
          <w:rFonts w:eastAsiaTheme="minorEastAsia"/>
          <w:color w:val="000000"/>
          <w:sz w:val="24"/>
          <w:szCs w:val="24"/>
          <w:u w:val="single"/>
          <w:lang w:eastAsia="zh-CN"/>
        </w:rPr>
        <w:t xml:space="preserve"> (PBC)</w:t>
      </w:r>
    </w:p>
    <w:p w:rsidR="004F48E4" w:rsidRPr="004F48E4" w:rsidRDefault="004F48E4" w:rsidP="004F48E4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>Den daglige dosis afhænger af kropsvægten og varierer fra 3 til 7 hårde kapsler (1</w:t>
      </w:r>
      <w:r w:rsidR="00F60A58">
        <w:rPr>
          <w:rFonts w:eastAsiaTheme="minorEastAsia"/>
          <w:color w:val="000000"/>
          <w:sz w:val="24"/>
          <w:szCs w:val="24"/>
          <w:lang w:eastAsia="zh-CN"/>
        </w:rPr>
        <w:t xml:space="preserve">4 ± 2 mg </w:t>
      </w:r>
      <w:proofErr w:type="spellStart"/>
      <w:r w:rsidR="00F60A58"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proofErr w:type="spellEnd"/>
      <w:r w:rsidR="00F60A58">
        <w:rPr>
          <w:rFonts w:eastAsiaTheme="minorEastAsia"/>
          <w:color w:val="000000"/>
          <w:sz w:val="24"/>
          <w:szCs w:val="24"/>
          <w:lang w:eastAsia="zh-CN"/>
        </w:rPr>
        <w:t xml:space="preserve"> pr. k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>g kropsvægt).</w:t>
      </w:r>
    </w:p>
    <w:p w:rsidR="004F48E4" w:rsidRPr="004F48E4" w:rsidRDefault="004F48E4" w:rsidP="004F48E4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I de første 3 måneder skal </w:t>
      </w:r>
      <w:proofErr w:type="spellStart"/>
      <w:r w:rsidR="00522DB5">
        <w:rPr>
          <w:rFonts w:eastAsiaTheme="minorEastAsia"/>
          <w:color w:val="000000"/>
          <w:sz w:val="24"/>
          <w:szCs w:val="24"/>
          <w:lang w:eastAsia="zh-CN"/>
        </w:rPr>
        <w:t>Ursosan</w:t>
      </w:r>
      <w:proofErr w:type="spellEnd"/>
      <w:r w:rsidR="00F60A58">
        <w:rPr>
          <w:rFonts w:eastAsiaTheme="minorEastAsia"/>
          <w:color w:val="000000"/>
          <w:sz w:val="24"/>
          <w:szCs w:val="24"/>
          <w:lang w:eastAsia="zh-CN"/>
        </w:rPr>
        <w:t>-doserne fordeles over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dagen. Med forbedring af leverta</w:t>
      </w:r>
      <w:r w:rsidR="00A0718F">
        <w:rPr>
          <w:rFonts w:eastAsiaTheme="minorEastAsia"/>
          <w:color w:val="000000"/>
          <w:sz w:val="24"/>
          <w:szCs w:val="24"/>
          <w:lang w:eastAsia="zh-CN"/>
        </w:rPr>
        <w:t>l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>lene kan den daglige dosis tages en gang</w:t>
      </w:r>
      <w:r w:rsidR="00A0718F">
        <w:rPr>
          <w:rFonts w:eastAsiaTheme="minorEastAsia"/>
          <w:color w:val="000000"/>
          <w:sz w:val="24"/>
          <w:szCs w:val="24"/>
          <w:lang w:eastAsia="zh-CN"/>
        </w:rPr>
        <w:t>,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om aftenen.</w:t>
      </w:r>
    </w:p>
    <w:p w:rsidR="004F48E4" w:rsidRPr="004F48E4" w:rsidRDefault="004F48E4" w:rsidP="004F48E4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> </w:t>
      </w:r>
    </w:p>
    <w:tbl>
      <w:tblPr>
        <w:tblW w:w="890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1350"/>
        <w:gridCol w:w="1350"/>
        <w:gridCol w:w="1350"/>
        <w:gridCol w:w="1440"/>
        <w:gridCol w:w="1620"/>
      </w:tblGrid>
      <w:tr w:rsidR="004F48E4" w:rsidRPr="004F48E4" w:rsidTr="003A4AF2">
        <w:trPr>
          <w:trHeight w:val="320"/>
        </w:trPr>
        <w:tc>
          <w:tcPr>
            <w:tcW w:w="1795" w:type="dxa"/>
            <w:vMerge w:val="restart"/>
            <w:vAlign w:val="center"/>
          </w:tcPr>
          <w:p w:rsidR="004F48E4" w:rsidRPr="004F48E4" w:rsidRDefault="004F48E4" w:rsidP="003A4AF2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Kropsv</w:t>
            </w:r>
            <w:r w:rsidRPr="004F48E4">
              <w:rPr>
                <w:rFonts w:eastAsiaTheme="minorEastAsia"/>
                <w:color w:val="000000"/>
                <w:sz w:val="24"/>
                <w:szCs w:val="24"/>
                <w:lang w:eastAsia="zh-CN"/>
              </w:rPr>
              <w:t>ægt</w:t>
            </w: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 xml:space="preserve"> (kg)</w:t>
            </w:r>
          </w:p>
        </w:tc>
        <w:tc>
          <w:tcPr>
            <w:tcW w:w="1350" w:type="dxa"/>
            <w:vMerge w:val="restart"/>
            <w:vAlign w:val="center"/>
          </w:tcPr>
          <w:p w:rsidR="004F48E4" w:rsidRPr="004F48E4" w:rsidRDefault="004F48E4" w:rsidP="003A4AF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eastAsia="zh-CN"/>
              </w:rPr>
              <w:t>Daglig</w:t>
            </w:r>
            <w:r w:rsidR="00A0718F">
              <w:rPr>
                <w:rFonts w:eastAsiaTheme="minorEastAsia"/>
                <w:color w:val="000000"/>
                <w:sz w:val="24"/>
                <w:szCs w:val="24"/>
                <w:lang w:eastAsia="zh-CN"/>
              </w:rPr>
              <w:t xml:space="preserve"> dosis</w:t>
            </w:r>
          </w:p>
          <w:p w:rsidR="004F48E4" w:rsidRPr="004F48E4" w:rsidRDefault="004F48E4" w:rsidP="00A0718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  <w:lang w:val="de-DE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de-DE" w:eastAsia="zh-CN"/>
              </w:rPr>
              <w:t xml:space="preserve">(mg/kg </w:t>
            </w:r>
            <w:proofErr w:type="spellStart"/>
            <w:r w:rsidR="00A0718F">
              <w:rPr>
                <w:rFonts w:eastAsiaTheme="minorEastAsia"/>
                <w:color w:val="000000"/>
                <w:sz w:val="24"/>
                <w:szCs w:val="24"/>
                <w:lang w:val="de-DE" w:eastAsia="zh-CN"/>
              </w:rPr>
              <w:t>kropsvægt</w:t>
            </w:r>
            <w:proofErr w:type="spellEnd"/>
            <w:r w:rsidRPr="004F48E4">
              <w:rPr>
                <w:rFonts w:eastAsiaTheme="minorEastAsia"/>
                <w:color w:val="000000"/>
                <w:sz w:val="24"/>
                <w:szCs w:val="24"/>
                <w:lang w:val="de-DE" w:eastAsia="zh-CN"/>
              </w:rPr>
              <w:t>)</w:t>
            </w:r>
          </w:p>
        </w:tc>
        <w:tc>
          <w:tcPr>
            <w:tcW w:w="5760" w:type="dxa"/>
            <w:gridSpan w:val="4"/>
            <w:vAlign w:val="center"/>
          </w:tcPr>
          <w:p w:rsidR="004F48E4" w:rsidRPr="004F48E4" w:rsidRDefault="00522DB5" w:rsidP="003A4AF2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>
              <w:rPr>
                <w:rFonts w:eastAsiaTheme="minorEastAsia"/>
                <w:sz w:val="24"/>
                <w:szCs w:val="24"/>
                <w:lang w:val="nl-NL" w:eastAsia="zh-CN"/>
              </w:rPr>
              <w:t>Ursosan</w:t>
            </w:r>
            <w:r w:rsidR="004F48E4" w:rsidRPr="004F48E4">
              <w:rPr>
                <w:rFonts w:eastAsiaTheme="minorEastAsia"/>
                <w:sz w:val="24"/>
                <w:szCs w:val="24"/>
                <w:lang w:val="nl-NL" w:eastAsia="zh-CN"/>
              </w:rPr>
              <w:t xml:space="preserve"> 250 mg </w:t>
            </w:r>
            <w:r w:rsidR="004F48E4" w:rsidRPr="004F48E4">
              <w:rPr>
                <w:rFonts w:eastAsiaTheme="minorEastAsia"/>
                <w:color w:val="000000"/>
                <w:sz w:val="24"/>
                <w:szCs w:val="24"/>
                <w:lang w:eastAsia="zh-CN"/>
              </w:rPr>
              <w:t>hårde kapsler</w:t>
            </w:r>
          </w:p>
        </w:tc>
      </w:tr>
      <w:tr w:rsidR="004F48E4" w:rsidRPr="004F48E4" w:rsidTr="003A4AF2">
        <w:trPr>
          <w:trHeight w:val="148"/>
        </w:trPr>
        <w:tc>
          <w:tcPr>
            <w:tcW w:w="1795" w:type="dxa"/>
            <w:vMerge/>
            <w:vAlign w:val="center"/>
          </w:tcPr>
          <w:p w:rsidR="004F48E4" w:rsidRPr="004F48E4" w:rsidRDefault="004F48E4" w:rsidP="003A4AF2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</w:p>
        </w:tc>
        <w:tc>
          <w:tcPr>
            <w:tcW w:w="1350" w:type="dxa"/>
            <w:vMerge/>
            <w:vAlign w:val="center"/>
          </w:tcPr>
          <w:p w:rsidR="004F48E4" w:rsidRPr="004F48E4" w:rsidRDefault="004F48E4" w:rsidP="003A4AF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</w:p>
        </w:tc>
        <w:tc>
          <w:tcPr>
            <w:tcW w:w="4140" w:type="dxa"/>
            <w:gridSpan w:val="3"/>
            <w:vAlign w:val="center"/>
          </w:tcPr>
          <w:p w:rsidR="004F48E4" w:rsidRPr="004F48E4" w:rsidRDefault="00A0718F" w:rsidP="003A4AF2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>
              <w:rPr>
                <w:rFonts w:eastAsiaTheme="minorEastAsia"/>
                <w:bCs/>
                <w:color w:val="000000"/>
                <w:sz w:val="24"/>
                <w:szCs w:val="24"/>
                <w:lang w:val="nl-NL" w:eastAsia="zh-CN"/>
              </w:rPr>
              <w:t>F</w:t>
            </w:r>
            <w:r w:rsidR="004F48E4" w:rsidRPr="004F48E4">
              <w:rPr>
                <w:rFonts w:eastAsiaTheme="minorEastAsia"/>
                <w:color w:val="000000"/>
                <w:sz w:val="24"/>
                <w:szCs w:val="24"/>
                <w:lang w:eastAsia="zh-CN"/>
              </w:rPr>
              <w:t>ø</w:t>
            </w:r>
            <w:r w:rsidR="004F48E4" w:rsidRPr="004F48E4">
              <w:rPr>
                <w:rFonts w:eastAsiaTheme="minorEastAsia"/>
                <w:bCs/>
                <w:color w:val="000000"/>
                <w:sz w:val="24"/>
                <w:szCs w:val="24"/>
                <w:lang w:val="nl-NL" w:eastAsia="zh-CN"/>
              </w:rPr>
              <w:t>rste 3 m</w:t>
            </w:r>
            <w:r w:rsidR="004F48E4" w:rsidRPr="004F48E4">
              <w:rPr>
                <w:rFonts w:eastAsiaTheme="minorEastAsia"/>
                <w:color w:val="000000"/>
                <w:sz w:val="24"/>
                <w:szCs w:val="24"/>
                <w:lang w:eastAsia="zh-CN"/>
              </w:rPr>
              <w:t>å</w:t>
            </w:r>
            <w:r w:rsidR="004F48E4" w:rsidRPr="004F48E4">
              <w:rPr>
                <w:rFonts w:eastAsiaTheme="minorEastAsia"/>
                <w:bCs/>
                <w:color w:val="000000"/>
                <w:sz w:val="24"/>
                <w:szCs w:val="24"/>
                <w:lang w:val="nl-NL" w:eastAsia="zh-CN"/>
              </w:rPr>
              <w:t>neder</w:t>
            </w:r>
          </w:p>
        </w:tc>
        <w:tc>
          <w:tcPr>
            <w:tcW w:w="1620" w:type="dxa"/>
            <w:vAlign w:val="center"/>
          </w:tcPr>
          <w:p w:rsidR="004F48E4" w:rsidRPr="004F48E4" w:rsidRDefault="00A0718F" w:rsidP="003A4AF2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>
              <w:rPr>
                <w:rFonts w:eastAsiaTheme="minorEastAsia"/>
                <w:bCs/>
                <w:color w:val="000000"/>
                <w:sz w:val="24"/>
                <w:szCs w:val="24"/>
                <w:lang w:val="nl-NL" w:eastAsia="zh-CN"/>
              </w:rPr>
              <w:t>E</w:t>
            </w:r>
            <w:r w:rsidR="004F48E4" w:rsidRPr="004F48E4">
              <w:rPr>
                <w:rFonts w:eastAsiaTheme="minorEastAsia"/>
                <w:bCs/>
                <w:color w:val="000000"/>
                <w:sz w:val="24"/>
                <w:szCs w:val="24"/>
                <w:lang w:val="nl-NL" w:eastAsia="zh-CN"/>
              </w:rPr>
              <w:t>fterf</w:t>
            </w:r>
            <w:r w:rsidR="004F48E4" w:rsidRPr="004F48E4">
              <w:rPr>
                <w:rFonts w:eastAsiaTheme="minorEastAsia"/>
                <w:color w:val="000000"/>
                <w:sz w:val="24"/>
                <w:szCs w:val="24"/>
                <w:lang w:eastAsia="zh-CN"/>
              </w:rPr>
              <w:t>ø</w:t>
            </w:r>
            <w:r w:rsidR="004F48E4" w:rsidRPr="004F48E4">
              <w:rPr>
                <w:rFonts w:eastAsiaTheme="minorEastAsia"/>
                <w:bCs/>
                <w:color w:val="000000"/>
                <w:sz w:val="24"/>
                <w:szCs w:val="24"/>
                <w:lang w:val="nl-NL" w:eastAsia="zh-CN"/>
              </w:rPr>
              <w:t>lgende</w:t>
            </w:r>
          </w:p>
        </w:tc>
      </w:tr>
      <w:tr w:rsidR="004F48E4" w:rsidRPr="004F48E4" w:rsidTr="003A4AF2">
        <w:trPr>
          <w:trHeight w:val="148"/>
        </w:trPr>
        <w:tc>
          <w:tcPr>
            <w:tcW w:w="1795" w:type="dxa"/>
            <w:vMerge/>
            <w:vAlign w:val="center"/>
          </w:tcPr>
          <w:p w:rsidR="004F48E4" w:rsidRPr="004F48E4" w:rsidRDefault="004F48E4" w:rsidP="003A4AF2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</w:p>
        </w:tc>
        <w:tc>
          <w:tcPr>
            <w:tcW w:w="1350" w:type="dxa"/>
            <w:vMerge/>
            <w:vAlign w:val="center"/>
          </w:tcPr>
          <w:p w:rsidR="004F48E4" w:rsidRPr="004F48E4" w:rsidRDefault="004F48E4" w:rsidP="003A4AF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</w:p>
        </w:tc>
        <w:tc>
          <w:tcPr>
            <w:tcW w:w="1350" w:type="dxa"/>
            <w:vAlign w:val="center"/>
          </w:tcPr>
          <w:p w:rsidR="004F48E4" w:rsidRPr="004F48E4" w:rsidRDefault="00A0718F" w:rsidP="003A4AF2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M</w:t>
            </w:r>
            <w:r w:rsidR="004F48E4"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orgen</w:t>
            </w:r>
          </w:p>
        </w:tc>
        <w:tc>
          <w:tcPr>
            <w:tcW w:w="1350" w:type="dxa"/>
            <w:vAlign w:val="center"/>
          </w:tcPr>
          <w:p w:rsidR="004F48E4" w:rsidRPr="004F48E4" w:rsidRDefault="00A0718F" w:rsidP="00A0718F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M</w:t>
            </w:r>
            <w:r w:rsidR="004F48E4"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iddag</w:t>
            </w:r>
          </w:p>
        </w:tc>
        <w:tc>
          <w:tcPr>
            <w:tcW w:w="1440" w:type="dxa"/>
            <w:vAlign w:val="center"/>
          </w:tcPr>
          <w:p w:rsidR="004F48E4" w:rsidRPr="004F48E4" w:rsidRDefault="00A0718F" w:rsidP="00A0718F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A</w:t>
            </w:r>
            <w:r w:rsidR="004F48E4"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ften</w:t>
            </w:r>
          </w:p>
        </w:tc>
        <w:tc>
          <w:tcPr>
            <w:tcW w:w="1620" w:type="dxa"/>
            <w:vAlign w:val="center"/>
          </w:tcPr>
          <w:p w:rsidR="004F48E4" w:rsidRPr="004F48E4" w:rsidRDefault="00A0718F" w:rsidP="003A4AF2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A</w:t>
            </w:r>
            <w:r w:rsidR="004F48E4"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ften</w:t>
            </w:r>
          </w:p>
          <w:p w:rsidR="004F48E4" w:rsidRPr="004F48E4" w:rsidRDefault="004F48E4" w:rsidP="00A0718F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 xml:space="preserve">(1×daglig) </w:t>
            </w:r>
          </w:p>
        </w:tc>
      </w:tr>
      <w:tr w:rsidR="004F48E4" w:rsidRPr="004F48E4" w:rsidTr="003A4AF2">
        <w:trPr>
          <w:trHeight w:val="418"/>
        </w:trPr>
        <w:tc>
          <w:tcPr>
            <w:tcW w:w="1795" w:type="dxa"/>
            <w:vAlign w:val="center"/>
          </w:tcPr>
          <w:p w:rsidR="004F48E4" w:rsidRPr="004F48E4" w:rsidRDefault="004F48E4" w:rsidP="00081F86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47</w:t>
            </w:r>
            <w:r w:rsidR="00081F86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-</w:t>
            </w: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62</w:t>
            </w:r>
          </w:p>
        </w:tc>
        <w:tc>
          <w:tcPr>
            <w:tcW w:w="1350" w:type="dxa"/>
            <w:vAlign w:val="center"/>
          </w:tcPr>
          <w:p w:rsidR="004F48E4" w:rsidRPr="004F48E4" w:rsidRDefault="004F48E4" w:rsidP="003A4AF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12-16</w:t>
            </w:r>
          </w:p>
        </w:tc>
        <w:tc>
          <w:tcPr>
            <w:tcW w:w="1350" w:type="dxa"/>
            <w:vAlign w:val="center"/>
          </w:tcPr>
          <w:p w:rsidR="004F48E4" w:rsidRPr="004F48E4" w:rsidRDefault="004F48E4" w:rsidP="003A4AF2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1</w:t>
            </w:r>
          </w:p>
        </w:tc>
        <w:tc>
          <w:tcPr>
            <w:tcW w:w="1350" w:type="dxa"/>
            <w:vAlign w:val="center"/>
          </w:tcPr>
          <w:p w:rsidR="004F48E4" w:rsidRPr="004F48E4" w:rsidRDefault="004F48E4" w:rsidP="003A4AF2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1</w:t>
            </w:r>
          </w:p>
        </w:tc>
        <w:tc>
          <w:tcPr>
            <w:tcW w:w="1440" w:type="dxa"/>
            <w:vAlign w:val="center"/>
          </w:tcPr>
          <w:p w:rsidR="004F48E4" w:rsidRPr="004F48E4" w:rsidRDefault="004F48E4" w:rsidP="003A4AF2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1</w:t>
            </w:r>
          </w:p>
        </w:tc>
        <w:tc>
          <w:tcPr>
            <w:tcW w:w="1620" w:type="dxa"/>
            <w:vAlign w:val="center"/>
          </w:tcPr>
          <w:p w:rsidR="004F48E4" w:rsidRPr="004F48E4" w:rsidRDefault="004F48E4" w:rsidP="003A4AF2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3</w:t>
            </w:r>
          </w:p>
        </w:tc>
      </w:tr>
      <w:tr w:rsidR="004F48E4" w:rsidRPr="004F48E4" w:rsidTr="003A4AF2">
        <w:trPr>
          <w:trHeight w:val="320"/>
        </w:trPr>
        <w:tc>
          <w:tcPr>
            <w:tcW w:w="1795" w:type="dxa"/>
            <w:vAlign w:val="center"/>
          </w:tcPr>
          <w:p w:rsidR="004F48E4" w:rsidRPr="004F48E4" w:rsidRDefault="00081F86" w:rsidP="003A4AF2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63-</w:t>
            </w:r>
            <w:r w:rsidR="004F48E4"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78</w:t>
            </w:r>
          </w:p>
        </w:tc>
        <w:tc>
          <w:tcPr>
            <w:tcW w:w="1350" w:type="dxa"/>
            <w:vAlign w:val="center"/>
          </w:tcPr>
          <w:p w:rsidR="004F48E4" w:rsidRPr="004F48E4" w:rsidRDefault="004F48E4" w:rsidP="003A4AF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13-16</w:t>
            </w:r>
          </w:p>
        </w:tc>
        <w:tc>
          <w:tcPr>
            <w:tcW w:w="1350" w:type="dxa"/>
            <w:vAlign w:val="center"/>
          </w:tcPr>
          <w:p w:rsidR="004F48E4" w:rsidRPr="004F48E4" w:rsidRDefault="004F48E4" w:rsidP="003A4AF2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1</w:t>
            </w:r>
          </w:p>
        </w:tc>
        <w:tc>
          <w:tcPr>
            <w:tcW w:w="1350" w:type="dxa"/>
            <w:vAlign w:val="center"/>
          </w:tcPr>
          <w:p w:rsidR="004F48E4" w:rsidRPr="004F48E4" w:rsidRDefault="004F48E4" w:rsidP="003A4AF2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1</w:t>
            </w:r>
          </w:p>
        </w:tc>
        <w:tc>
          <w:tcPr>
            <w:tcW w:w="1440" w:type="dxa"/>
            <w:vAlign w:val="center"/>
          </w:tcPr>
          <w:p w:rsidR="004F48E4" w:rsidRPr="004F48E4" w:rsidRDefault="004F48E4" w:rsidP="003A4AF2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2</w:t>
            </w:r>
          </w:p>
        </w:tc>
        <w:tc>
          <w:tcPr>
            <w:tcW w:w="1620" w:type="dxa"/>
            <w:vAlign w:val="center"/>
          </w:tcPr>
          <w:p w:rsidR="004F48E4" w:rsidRPr="004F48E4" w:rsidRDefault="004F48E4" w:rsidP="003A4AF2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4</w:t>
            </w:r>
          </w:p>
        </w:tc>
      </w:tr>
      <w:tr w:rsidR="004F48E4" w:rsidRPr="004F48E4" w:rsidTr="003A4AF2">
        <w:trPr>
          <w:trHeight w:val="320"/>
        </w:trPr>
        <w:tc>
          <w:tcPr>
            <w:tcW w:w="1795" w:type="dxa"/>
            <w:vAlign w:val="center"/>
          </w:tcPr>
          <w:p w:rsidR="004F48E4" w:rsidRPr="004F48E4" w:rsidRDefault="00081F86" w:rsidP="003A4AF2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79-</w:t>
            </w:r>
            <w:r w:rsidR="004F48E4"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93</w:t>
            </w:r>
          </w:p>
        </w:tc>
        <w:tc>
          <w:tcPr>
            <w:tcW w:w="1350" w:type="dxa"/>
            <w:vAlign w:val="center"/>
          </w:tcPr>
          <w:p w:rsidR="004F48E4" w:rsidRPr="004F48E4" w:rsidRDefault="004F48E4" w:rsidP="003A4AF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13-16</w:t>
            </w:r>
          </w:p>
        </w:tc>
        <w:tc>
          <w:tcPr>
            <w:tcW w:w="1350" w:type="dxa"/>
            <w:vAlign w:val="center"/>
          </w:tcPr>
          <w:p w:rsidR="004F48E4" w:rsidRPr="004F48E4" w:rsidRDefault="004F48E4" w:rsidP="003A4AF2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1</w:t>
            </w:r>
          </w:p>
        </w:tc>
        <w:tc>
          <w:tcPr>
            <w:tcW w:w="1350" w:type="dxa"/>
            <w:vAlign w:val="center"/>
          </w:tcPr>
          <w:p w:rsidR="004F48E4" w:rsidRPr="004F48E4" w:rsidRDefault="004F48E4" w:rsidP="003A4AF2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2</w:t>
            </w:r>
          </w:p>
        </w:tc>
        <w:tc>
          <w:tcPr>
            <w:tcW w:w="1440" w:type="dxa"/>
            <w:vAlign w:val="center"/>
          </w:tcPr>
          <w:p w:rsidR="004F48E4" w:rsidRPr="004F48E4" w:rsidRDefault="004F48E4" w:rsidP="003A4AF2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2</w:t>
            </w:r>
          </w:p>
        </w:tc>
        <w:tc>
          <w:tcPr>
            <w:tcW w:w="1620" w:type="dxa"/>
            <w:vAlign w:val="center"/>
          </w:tcPr>
          <w:p w:rsidR="004F48E4" w:rsidRPr="004F48E4" w:rsidRDefault="004F48E4" w:rsidP="003A4AF2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5</w:t>
            </w:r>
          </w:p>
        </w:tc>
      </w:tr>
      <w:tr w:rsidR="004F48E4" w:rsidRPr="004F48E4" w:rsidTr="003A4AF2">
        <w:trPr>
          <w:trHeight w:val="308"/>
        </w:trPr>
        <w:tc>
          <w:tcPr>
            <w:tcW w:w="1795" w:type="dxa"/>
            <w:vAlign w:val="center"/>
          </w:tcPr>
          <w:p w:rsidR="004F48E4" w:rsidRPr="004F48E4" w:rsidRDefault="00081F86" w:rsidP="003A4AF2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94-</w:t>
            </w:r>
            <w:r w:rsidR="004F48E4"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109</w:t>
            </w:r>
          </w:p>
        </w:tc>
        <w:tc>
          <w:tcPr>
            <w:tcW w:w="1350" w:type="dxa"/>
            <w:vAlign w:val="center"/>
          </w:tcPr>
          <w:p w:rsidR="004F48E4" w:rsidRPr="004F48E4" w:rsidRDefault="004F48E4" w:rsidP="003A4AF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14-16</w:t>
            </w:r>
          </w:p>
        </w:tc>
        <w:tc>
          <w:tcPr>
            <w:tcW w:w="1350" w:type="dxa"/>
            <w:vAlign w:val="center"/>
          </w:tcPr>
          <w:p w:rsidR="004F48E4" w:rsidRPr="004F48E4" w:rsidRDefault="004F48E4" w:rsidP="003A4AF2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2</w:t>
            </w:r>
          </w:p>
        </w:tc>
        <w:tc>
          <w:tcPr>
            <w:tcW w:w="1350" w:type="dxa"/>
            <w:vAlign w:val="center"/>
          </w:tcPr>
          <w:p w:rsidR="004F48E4" w:rsidRPr="004F48E4" w:rsidRDefault="004F48E4" w:rsidP="003A4AF2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2</w:t>
            </w:r>
          </w:p>
        </w:tc>
        <w:tc>
          <w:tcPr>
            <w:tcW w:w="1440" w:type="dxa"/>
            <w:vAlign w:val="center"/>
          </w:tcPr>
          <w:p w:rsidR="004F48E4" w:rsidRPr="004F48E4" w:rsidRDefault="004F48E4" w:rsidP="003A4AF2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2</w:t>
            </w:r>
          </w:p>
        </w:tc>
        <w:tc>
          <w:tcPr>
            <w:tcW w:w="1620" w:type="dxa"/>
            <w:vAlign w:val="center"/>
          </w:tcPr>
          <w:p w:rsidR="004F48E4" w:rsidRPr="004F48E4" w:rsidRDefault="004F48E4" w:rsidP="003A4AF2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6</w:t>
            </w:r>
          </w:p>
        </w:tc>
      </w:tr>
      <w:tr w:rsidR="004F48E4" w:rsidRPr="004F48E4" w:rsidTr="003A4AF2">
        <w:trPr>
          <w:trHeight w:val="332"/>
        </w:trPr>
        <w:tc>
          <w:tcPr>
            <w:tcW w:w="1795" w:type="dxa"/>
            <w:vAlign w:val="center"/>
          </w:tcPr>
          <w:p w:rsidR="004F48E4" w:rsidRPr="004F48E4" w:rsidRDefault="004F48E4" w:rsidP="003A4AF2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over 110</w:t>
            </w:r>
          </w:p>
        </w:tc>
        <w:tc>
          <w:tcPr>
            <w:tcW w:w="1350" w:type="dxa"/>
            <w:vAlign w:val="center"/>
          </w:tcPr>
          <w:p w:rsidR="004F48E4" w:rsidRPr="004F48E4" w:rsidRDefault="004F48E4" w:rsidP="003A4AF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-</w:t>
            </w:r>
          </w:p>
        </w:tc>
        <w:tc>
          <w:tcPr>
            <w:tcW w:w="1350" w:type="dxa"/>
            <w:vAlign w:val="center"/>
          </w:tcPr>
          <w:p w:rsidR="004F48E4" w:rsidRPr="004F48E4" w:rsidRDefault="004F48E4" w:rsidP="003A4AF2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2</w:t>
            </w:r>
          </w:p>
        </w:tc>
        <w:tc>
          <w:tcPr>
            <w:tcW w:w="1350" w:type="dxa"/>
            <w:vAlign w:val="center"/>
          </w:tcPr>
          <w:p w:rsidR="004F48E4" w:rsidRPr="004F48E4" w:rsidRDefault="004F48E4" w:rsidP="003A4AF2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2</w:t>
            </w:r>
          </w:p>
        </w:tc>
        <w:tc>
          <w:tcPr>
            <w:tcW w:w="1440" w:type="dxa"/>
            <w:vAlign w:val="center"/>
          </w:tcPr>
          <w:p w:rsidR="004F48E4" w:rsidRPr="004F48E4" w:rsidRDefault="004F48E4" w:rsidP="003A4AF2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3</w:t>
            </w:r>
          </w:p>
        </w:tc>
        <w:tc>
          <w:tcPr>
            <w:tcW w:w="1620" w:type="dxa"/>
            <w:vAlign w:val="center"/>
          </w:tcPr>
          <w:p w:rsidR="004F48E4" w:rsidRPr="004F48E4" w:rsidRDefault="004F48E4" w:rsidP="003A4AF2">
            <w:pPr>
              <w:autoSpaceDE w:val="0"/>
              <w:autoSpaceDN w:val="0"/>
              <w:adjustRightInd w:val="0"/>
              <w:ind w:left="7"/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</w:pPr>
            <w:r w:rsidRPr="004F48E4">
              <w:rPr>
                <w:rFonts w:eastAsiaTheme="minorEastAsia"/>
                <w:color w:val="000000"/>
                <w:sz w:val="24"/>
                <w:szCs w:val="24"/>
                <w:lang w:val="nl-NL" w:eastAsia="zh-CN"/>
              </w:rPr>
              <w:t>7</w:t>
            </w:r>
          </w:p>
        </w:tc>
      </w:tr>
    </w:tbl>
    <w:p w:rsidR="004F48E4" w:rsidRPr="004F48E4" w:rsidRDefault="004F48E4" w:rsidP="004F48E4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</w:p>
    <w:p w:rsidR="004F48E4" w:rsidRPr="004F48E4" w:rsidRDefault="004F48E4" w:rsidP="004F48E4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De hårde kapsler skal </w:t>
      </w:r>
      <w:r w:rsidR="00E7110C">
        <w:rPr>
          <w:rFonts w:eastAsiaTheme="minorEastAsia"/>
          <w:color w:val="000000"/>
          <w:sz w:val="24"/>
          <w:szCs w:val="24"/>
          <w:lang w:eastAsia="zh-CN"/>
        </w:rPr>
        <w:t>synkes hele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med lidt væske. De skal tages regelmæssigt.</w:t>
      </w:r>
    </w:p>
    <w:p w:rsidR="004F48E4" w:rsidRPr="004F48E4" w:rsidRDefault="004F48E4" w:rsidP="004F48E4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>Brugen af ​​</w:t>
      </w:r>
      <w:proofErr w:type="spellStart"/>
      <w:r w:rsidR="00522DB5">
        <w:rPr>
          <w:rFonts w:eastAsiaTheme="minorEastAsia"/>
          <w:color w:val="000000"/>
          <w:sz w:val="24"/>
          <w:szCs w:val="24"/>
          <w:lang w:eastAsia="zh-CN"/>
        </w:rPr>
        <w:t>Ursosan</w:t>
      </w:r>
      <w:proofErr w:type="spellEnd"/>
      <w:r w:rsidR="00E7110C">
        <w:rPr>
          <w:rFonts w:eastAsiaTheme="minorEastAsia"/>
          <w:color w:val="000000"/>
          <w:sz w:val="24"/>
          <w:szCs w:val="24"/>
          <w:lang w:eastAsia="zh-CN"/>
        </w:rPr>
        <w:t xml:space="preserve"> ved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PBC kan fortsættes på ubestemt tid.</w:t>
      </w:r>
    </w:p>
    <w:p w:rsidR="004F48E4" w:rsidRPr="004F48E4" w:rsidRDefault="004F48E4" w:rsidP="004F48E4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Det er muligt, at de kliniske symptomer forværres i begyndelsen af ​​behandlingen hos patienter med primær </w:t>
      </w:r>
      <w:proofErr w:type="spellStart"/>
      <w:r w:rsidR="001E6518">
        <w:rPr>
          <w:rFonts w:eastAsiaTheme="minorEastAsia"/>
          <w:color w:val="000000"/>
          <w:sz w:val="24"/>
          <w:szCs w:val="24"/>
          <w:lang w:eastAsia="zh-CN"/>
        </w:rPr>
        <w:t>biliær</w:t>
      </w:r>
      <w:proofErr w:type="spellEnd"/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proofErr w:type="spellStart"/>
      <w:r w:rsidRPr="004F48E4">
        <w:rPr>
          <w:rFonts w:eastAsiaTheme="minorEastAsia"/>
          <w:color w:val="000000"/>
          <w:sz w:val="24"/>
          <w:szCs w:val="24"/>
          <w:lang w:eastAsia="zh-CN"/>
        </w:rPr>
        <w:t>kolangitis</w:t>
      </w:r>
      <w:proofErr w:type="spellEnd"/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, fx. ved øget kløe. Hvis dette er tilfældet, fortsættes </w:t>
      </w:r>
      <w:r w:rsidR="001E6518">
        <w:rPr>
          <w:rFonts w:eastAsiaTheme="minorEastAsia"/>
          <w:color w:val="000000"/>
          <w:sz w:val="24"/>
          <w:szCs w:val="24"/>
          <w:lang w:eastAsia="zh-CN"/>
        </w:rPr>
        <w:t>behandlingen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med 1 hård kapsel </w:t>
      </w:r>
      <w:proofErr w:type="spellStart"/>
      <w:r w:rsidR="00522DB5">
        <w:rPr>
          <w:rFonts w:eastAsiaTheme="minorEastAsia"/>
          <w:color w:val="000000"/>
          <w:sz w:val="24"/>
          <w:szCs w:val="24"/>
          <w:lang w:eastAsia="zh-CN"/>
        </w:rPr>
        <w:t>Ursosan</w:t>
      </w:r>
      <w:proofErr w:type="spellEnd"/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pr. dag, og behandlingen fortsættes gradvist (forhøj den daglige dosis med 1 hård kapsel pr. uge), indtil den planlagte dosis i de respektive doseringsplaner er nået igen.</w:t>
      </w:r>
    </w:p>
    <w:p w:rsidR="004F48E4" w:rsidRPr="004F48E4" w:rsidRDefault="004F48E4" w:rsidP="004F48E4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lastRenderedPageBreak/>
        <w:t> </w:t>
      </w:r>
    </w:p>
    <w:p w:rsidR="004F48E4" w:rsidRDefault="004F48E4" w:rsidP="004F48E4">
      <w:pPr>
        <w:keepNext/>
        <w:ind w:left="851"/>
        <w:rPr>
          <w:rFonts w:eastAsiaTheme="minorEastAsia"/>
          <w:color w:val="000000"/>
          <w:sz w:val="24"/>
          <w:szCs w:val="24"/>
          <w:u w:val="single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u w:val="single"/>
          <w:lang w:eastAsia="zh-CN"/>
        </w:rPr>
        <w:t>Pædiatrisk</w:t>
      </w:r>
      <w:r w:rsidR="00224FE5">
        <w:rPr>
          <w:rFonts w:eastAsiaTheme="minorEastAsia"/>
          <w:color w:val="000000"/>
          <w:sz w:val="24"/>
          <w:szCs w:val="24"/>
          <w:u w:val="single"/>
          <w:lang w:eastAsia="zh-CN"/>
        </w:rPr>
        <w:t xml:space="preserve"> population</w:t>
      </w:r>
    </w:p>
    <w:p w:rsidR="00224FE5" w:rsidRPr="004F48E4" w:rsidRDefault="00224FE5" w:rsidP="004F48E4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</w:p>
    <w:p w:rsidR="004F48E4" w:rsidRPr="004F48E4" w:rsidRDefault="004F48E4" w:rsidP="004F48E4">
      <w:pPr>
        <w:keepNext/>
        <w:ind w:left="851"/>
        <w:rPr>
          <w:rFonts w:eastAsiaTheme="minorEastAsia"/>
          <w:i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i/>
          <w:color w:val="000000"/>
          <w:sz w:val="24"/>
          <w:szCs w:val="24"/>
          <w:lang w:eastAsia="zh-CN"/>
        </w:rPr>
        <w:t>Børn med cystisk fibrose i alderen 6 til 18 år</w:t>
      </w:r>
    </w:p>
    <w:p w:rsidR="004F48E4" w:rsidRPr="004F48E4" w:rsidRDefault="004F48E4" w:rsidP="004F48E4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>20 mg/kg/dag i 2-3 opdelte doser, med en yderligere stigning til 30 mg/kg/dag</w:t>
      </w:r>
      <w:r w:rsidR="009E79F7">
        <w:rPr>
          <w:rFonts w:eastAsiaTheme="minorEastAsia"/>
          <w:color w:val="000000"/>
          <w:sz w:val="24"/>
          <w:szCs w:val="24"/>
          <w:lang w:eastAsia="zh-CN"/>
        </w:rPr>
        <w:t>,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hvis det er nødvendigt.</w:t>
      </w:r>
    </w:p>
    <w:p w:rsidR="004F48E4" w:rsidRPr="004F48E4" w:rsidRDefault="004F48E4" w:rsidP="004F48E4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</w:p>
    <w:tbl>
      <w:tblPr>
        <w:tblW w:w="793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6"/>
        <w:gridCol w:w="1967"/>
        <w:gridCol w:w="1967"/>
        <w:gridCol w:w="1968"/>
      </w:tblGrid>
      <w:tr w:rsidR="004F48E4" w:rsidRPr="004F48E4" w:rsidTr="009E79F7">
        <w:trPr>
          <w:trHeight w:val="20"/>
        </w:trPr>
        <w:tc>
          <w:tcPr>
            <w:tcW w:w="2036" w:type="dxa"/>
            <w:vMerge w:val="restart"/>
            <w:vAlign w:val="center"/>
          </w:tcPr>
          <w:p w:rsidR="004F48E4" w:rsidRPr="004F48E4" w:rsidRDefault="004F48E4" w:rsidP="009E79F7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zh-CN"/>
              </w:rPr>
              <w:t>Kropsvægt (kg)</w:t>
            </w:r>
          </w:p>
        </w:tc>
        <w:tc>
          <w:tcPr>
            <w:tcW w:w="5902" w:type="dxa"/>
            <w:gridSpan w:val="3"/>
            <w:vAlign w:val="center"/>
          </w:tcPr>
          <w:p w:rsidR="004F48E4" w:rsidRPr="004F48E4" w:rsidRDefault="009E79F7" w:rsidP="009E79F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9E79F7">
              <w:rPr>
                <w:rFonts w:eastAsiaTheme="minorEastAsia"/>
                <w:sz w:val="24"/>
                <w:szCs w:val="24"/>
              </w:rPr>
              <w:t>Ursosan</w:t>
            </w:r>
            <w:proofErr w:type="spellEnd"/>
            <w:r w:rsidR="004F48E4"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 xml:space="preserve"> 250 </w:t>
            </w:r>
            <w:r w:rsidR="004F48E4" w:rsidRPr="004F48E4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zh-CN"/>
              </w:rPr>
              <w:t>mg hårde kapsler</w:t>
            </w:r>
          </w:p>
        </w:tc>
      </w:tr>
      <w:tr w:rsidR="004F48E4" w:rsidRPr="004F48E4" w:rsidTr="009E79F7">
        <w:trPr>
          <w:trHeight w:val="20"/>
        </w:trPr>
        <w:tc>
          <w:tcPr>
            <w:tcW w:w="2036" w:type="dxa"/>
            <w:vMerge/>
            <w:vAlign w:val="center"/>
          </w:tcPr>
          <w:p w:rsidR="004F48E4" w:rsidRPr="004F48E4" w:rsidRDefault="004F48E4" w:rsidP="009E79F7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67" w:type="dxa"/>
            <w:vAlign w:val="center"/>
          </w:tcPr>
          <w:p w:rsidR="004F48E4" w:rsidRPr="004F48E4" w:rsidRDefault="008A22FB" w:rsidP="008A22F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zh-CN"/>
              </w:rPr>
              <w:t>M</w:t>
            </w:r>
            <w:r w:rsidR="004F48E4" w:rsidRPr="004F48E4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zh-CN"/>
              </w:rPr>
              <w:t>orgen</w:t>
            </w:r>
          </w:p>
        </w:tc>
        <w:tc>
          <w:tcPr>
            <w:tcW w:w="1967" w:type="dxa"/>
            <w:vAlign w:val="center"/>
          </w:tcPr>
          <w:p w:rsidR="004F48E4" w:rsidRPr="004F48E4" w:rsidRDefault="008A22FB" w:rsidP="009E79F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zh-CN"/>
              </w:rPr>
              <w:t>M</w:t>
            </w:r>
            <w:r w:rsidR="004F48E4" w:rsidRPr="004F48E4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zh-CN"/>
              </w:rPr>
              <w:t>iddag</w:t>
            </w:r>
          </w:p>
        </w:tc>
        <w:tc>
          <w:tcPr>
            <w:tcW w:w="1968" w:type="dxa"/>
            <w:vAlign w:val="center"/>
          </w:tcPr>
          <w:p w:rsidR="004F48E4" w:rsidRPr="004F48E4" w:rsidRDefault="008A22FB" w:rsidP="008A22F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zh-CN"/>
              </w:rPr>
              <w:t>A</w:t>
            </w:r>
            <w:r w:rsidR="004F48E4" w:rsidRPr="004F48E4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zh-CN"/>
              </w:rPr>
              <w:t>ften</w:t>
            </w:r>
          </w:p>
        </w:tc>
      </w:tr>
      <w:tr w:rsidR="004F48E4" w:rsidRPr="004F48E4" w:rsidTr="009E79F7">
        <w:trPr>
          <w:trHeight w:val="20"/>
        </w:trPr>
        <w:tc>
          <w:tcPr>
            <w:tcW w:w="2036" w:type="dxa"/>
            <w:vAlign w:val="center"/>
          </w:tcPr>
          <w:p w:rsidR="004F48E4" w:rsidRPr="004F48E4" w:rsidRDefault="004F48E4" w:rsidP="008A22FB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20</w:t>
            </w:r>
            <w:r w:rsidR="008A22FB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-</w:t>
            </w: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967" w:type="dxa"/>
            <w:vAlign w:val="center"/>
          </w:tcPr>
          <w:p w:rsidR="004F48E4" w:rsidRPr="004F48E4" w:rsidRDefault="004F48E4" w:rsidP="009E79F7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67" w:type="dxa"/>
            <w:vAlign w:val="center"/>
          </w:tcPr>
          <w:p w:rsidR="004F48E4" w:rsidRPr="004F48E4" w:rsidRDefault="004F48E4" w:rsidP="009E79F7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68" w:type="dxa"/>
            <w:vAlign w:val="center"/>
          </w:tcPr>
          <w:p w:rsidR="004F48E4" w:rsidRPr="004F48E4" w:rsidRDefault="004F48E4" w:rsidP="009E79F7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48E4" w:rsidRPr="004F48E4" w:rsidTr="009E79F7">
        <w:trPr>
          <w:trHeight w:val="20"/>
        </w:trPr>
        <w:tc>
          <w:tcPr>
            <w:tcW w:w="2036" w:type="dxa"/>
            <w:vAlign w:val="center"/>
          </w:tcPr>
          <w:p w:rsidR="004F48E4" w:rsidRPr="004F48E4" w:rsidRDefault="008A22FB" w:rsidP="009E79F7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30-</w:t>
            </w:r>
            <w:r w:rsidR="004F48E4"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1967" w:type="dxa"/>
            <w:vAlign w:val="center"/>
          </w:tcPr>
          <w:p w:rsidR="004F48E4" w:rsidRPr="004F48E4" w:rsidRDefault="004F48E4" w:rsidP="009E79F7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67" w:type="dxa"/>
            <w:vAlign w:val="center"/>
          </w:tcPr>
          <w:p w:rsidR="004F48E4" w:rsidRPr="004F48E4" w:rsidRDefault="004F48E4" w:rsidP="009E79F7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68" w:type="dxa"/>
            <w:vAlign w:val="center"/>
          </w:tcPr>
          <w:p w:rsidR="004F48E4" w:rsidRPr="004F48E4" w:rsidRDefault="004F48E4" w:rsidP="009E79F7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4F48E4" w:rsidRPr="004F48E4" w:rsidTr="009E79F7">
        <w:trPr>
          <w:trHeight w:val="20"/>
        </w:trPr>
        <w:tc>
          <w:tcPr>
            <w:tcW w:w="2036" w:type="dxa"/>
            <w:vAlign w:val="center"/>
          </w:tcPr>
          <w:p w:rsidR="004F48E4" w:rsidRPr="004F48E4" w:rsidRDefault="008A22FB" w:rsidP="009E79F7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40-</w:t>
            </w:r>
            <w:r w:rsidR="004F48E4"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967" w:type="dxa"/>
            <w:vAlign w:val="center"/>
          </w:tcPr>
          <w:p w:rsidR="004F48E4" w:rsidRPr="004F48E4" w:rsidRDefault="004F48E4" w:rsidP="009E79F7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67" w:type="dxa"/>
            <w:vAlign w:val="center"/>
          </w:tcPr>
          <w:p w:rsidR="004F48E4" w:rsidRPr="004F48E4" w:rsidRDefault="004F48E4" w:rsidP="009E79F7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68" w:type="dxa"/>
            <w:vAlign w:val="center"/>
          </w:tcPr>
          <w:p w:rsidR="004F48E4" w:rsidRPr="004F48E4" w:rsidRDefault="004F48E4" w:rsidP="009E79F7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4F48E4" w:rsidRPr="004F48E4" w:rsidTr="009E79F7">
        <w:trPr>
          <w:trHeight w:val="20"/>
        </w:trPr>
        <w:tc>
          <w:tcPr>
            <w:tcW w:w="2036" w:type="dxa"/>
            <w:vAlign w:val="center"/>
          </w:tcPr>
          <w:p w:rsidR="004F48E4" w:rsidRPr="004F48E4" w:rsidRDefault="008A22FB" w:rsidP="009E79F7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50-</w:t>
            </w:r>
            <w:r w:rsidR="004F48E4"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1967" w:type="dxa"/>
            <w:vAlign w:val="center"/>
          </w:tcPr>
          <w:p w:rsidR="004F48E4" w:rsidRPr="004F48E4" w:rsidRDefault="004F48E4" w:rsidP="009E79F7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67" w:type="dxa"/>
            <w:vAlign w:val="center"/>
          </w:tcPr>
          <w:p w:rsidR="004F48E4" w:rsidRPr="004F48E4" w:rsidRDefault="004F48E4" w:rsidP="009E79F7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68" w:type="dxa"/>
            <w:vAlign w:val="center"/>
          </w:tcPr>
          <w:p w:rsidR="004F48E4" w:rsidRPr="004F48E4" w:rsidRDefault="004F48E4" w:rsidP="009E79F7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4F48E4" w:rsidRPr="004F48E4" w:rsidTr="009E79F7">
        <w:trPr>
          <w:trHeight w:val="20"/>
        </w:trPr>
        <w:tc>
          <w:tcPr>
            <w:tcW w:w="2036" w:type="dxa"/>
            <w:vAlign w:val="center"/>
          </w:tcPr>
          <w:p w:rsidR="004F48E4" w:rsidRPr="004F48E4" w:rsidRDefault="008A22FB" w:rsidP="009E79F7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60-</w:t>
            </w:r>
            <w:r w:rsidR="004F48E4"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1967" w:type="dxa"/>
            <w:vAlign w:val="center"/>
          </w:tcPr>
          <w:p w:rsidR="004F48E4" w:rsidRPr="004F48E4" w:rsidRDefault="004F48E4" w:rsidP="009E79F7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67" w:type="dxa"/>
            <w:vAlign w:val="center"/>
          </w:tcPr>
          <w:p w:rsidR="004F48E4" w:rsidRPr="004F48E4" w:rsidRDefault="004F48E4" w:rsidP="009E79F7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68" w:type="dxa"/>
            <w:vAlign w:val="center"/>
          </w:tcPr>
          <w:p w:rsidR="004F48E4" w:rsidRPr="004F48E4" w:rsidRDefault="004F48E4" w:rsidP="009E79F7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4F48E4" w:rsidRPr="004F48E4" w:rsidTr="009E79F7">
        <w:trPr>
          <w:trHeight w:val="20"/>
        </w:trPr>
        <w:tc>
          <w:tcPr>
            <w:tcW w:w="2036" w:type="dxa"/>
            <w:vAlign w:val="center"/>
          </w:tcPr>
          <w:p w:rsidR="004F48E4" w:rsidRPr="004F48E4" w:rsidRDefault="008A22FB" w:rsidP="009E79F7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70-</w:t>
            </w:r>
            <w:r w:rsidR="004F48E4"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79</w:t>
            </w:r>
          </w:p>
        </w:tc>
        <w:tc>
          <w:tcPr>
            <w:tcW w:w="1967" w:type="dxa"/>
            <w:vAlign w:val="center"/>
          </w:tcPr>
          <w:p w:rsidR="004F48E4" w:rsidRPr="004F48E4" w:rsidRDefault="004F48E4" w:rsidP="009E79F7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67" w:type="dxa"/>
            <w:vAlign w:val="center"/>
          </w:tcPr>
          <w:p w:rsidR="004F48E4" w:rsidRPr="004F48E4" w:rsidRDefault="004F48E4" w:rsidP="009E79F7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68" w:type="dxa"/>
            <w:vAlign w:val="center"/>
          </w:tcPr>
          <w:p w:rsidR="004F48E4" w:rsidRPr="004F48E4" w:rsidRDefault="004F48E4" w:rsidP="009E79F7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4F48E4" w:rsidRPr="004F48E4" w:rsidTr="009E79F7">
        <w:trPr>
          <w:trHeight w:val="20"/>
        </w:trPr>
        <w:tc>
          <w:tcPr>
            <w:tcW w:w="2036" w:type="dxa"/>
            <w:vAlign w:val="center"/>
          </w:tcPr>
          <w:p w:rsidR="004F48E4" w:rsidRPr="004F48E4" w:rsidRDefault="008A22FB" w:rsidP="009E79F7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80-</w:t>
            </w:r>
            <w:r w:rsidR="004F48E4"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1967" w:type="dxa"/>
            <w:vAlign w:val="center"/>
          </w:tcPr>
          <w:p w:rsidR="004F48E4" w:rsidRPr="004F48E4" w:rsidRDefault="004F48E4" w:rsidP="009E79F7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67" w:type="dxa"/>
            <w:vAlign w:val="center"/>
          </w:tcPr>
          <w:p w:rsidR="004F48E4" w:rsidRPr="004F48E4" w:rsidRDefault="004F48E4" w:rsidP="009E79F7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68" w:type="dxa"/>
            <w:vAlign w:val="center"/>
          </w:tcPr>
          <w:p w:rsidR="004F48E4" w:rsidRPr="004F48E4" w:rsidRDefault="004F48E4" w:rsidP="009E79F7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4F48E4" w:rsidRPr="004F48E4" w:rsidTr="009E79F7">
        <w:trPr>
          <w:trHeight w:val="20"/>
        </w:trPr>
        <w:tc>
          <w:tcPr>
            <w:tcW w:w="2036" w:type="dxa"/>
            <w:vAlign w:val="center"/>
          </w:tcPr>
          <w:p w:rsidR="004F48E4" w:rsidRPr="004F48E4" w:rsidRDefault="008A22FB" w:rsidP="009E79F7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90-</w:t>
            </w:r>
            <w:r w:rsidR="004F48E4"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1967" w:type="dxa"/>
            <w:vAlign w:val="center"/>
          </w:tcPr>
          <w:p w:rsidR="004F48E4" w:rsidRPr="004F48E4" w:rsidRDefault="004F48E4" w:rsidP="009E79F7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67" w:type="dxa"/>
            <w:vAlign w:val="center"/>
          </w:tcPr>
          <w:p w:rsidR="004F48E4" w:rsidRPr="004F48E4" w:rsidRDefault="004F48E4" w:rsidP="009E79F7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68" w:type="dxa"/>
            <w:vAlign w:val="center"/>
          </w:tcPr>
          <w:p w:rsidR="004F48E4" w:rsidRPr="004F48E4" w:rsidRDefault="004F48E4" w:rsidP="009E79F7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4F48E4" w:rsidRPr="004F48E4" w:rsidTr="009E79F7">
        <w:trPr>
          <w:trHeight w:val="20"/>
        </w:trPr>
        <w:tc>
          <w:tcPr>
            <w:tcW w:w="2036" w:type="dxa"/>
            <w:vAlign w:val="center"/>
          </w:tcPr>
          <w:p w:rsidR="004F48E4" w:rsidRPr="004F48E4" w:rsidRDefault="004F48E4" w:rsidP="008A22FB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100</w:t>
            </w:r>
            <w:r w:rsidR="008A22FB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-</w:t>
            </w: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109</w:t>
            </w:r>
          </w:p>
        </w:tc>
        <w:tc>
          <w:tcPr>
            <w:tcW w:w="1967" w:type="dxa"/>
            <w:vAlign w:val="center"/>
          </w:tcPr>
          <w:p w:rsidR="004F48E4" w:rsidRPr="004F48E4" w:rsidRDefault="004F48E4" w:rsidP="009E79F7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67" w:type="dxa"/>
            <w:vAlign w:val="center"/>
          </w:tcPr>
          <w:p w:rsidR="004F48E4" w:rsidRPr="004F48E4" w:rsidRDefault="004F48E4" w:rsidP="009E79F7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68" w:type="dxa"/>
            <w:vAlign w:val="center"/>
          </w:tcPr>
          <w:p w:rsidR="004F48E4" w:rsidRPr="004F48E4" w:rsidRDefault="004F48E4" w:rsidP="009E79F7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4</w:t>
            </w:r>
          </w:p>
        </w:tc>
      </w:tr>
      <w:tr w:rsidR="004F48E4" w:rsidRPr="004F48E4" w:rsidTr="009E79F7">
        <w:trPr>
          <w:trHeight w:val="20"/>
        </w:trPr>
        <w:tc>
          <w:tcPr>
            <w:tcW w:w="2036" w:type="dxa"/>
            <w:vAlign w:val="center"/>
          </w:tcPr>
          <w:p w:rsidR="004F48E4" w:rsidRPr="004F48E4" w:rsidRDefault="004F48E4" w:rsidP="009E79F7">
            <w:pPr>
              <w:autoSpaceDE w:val="0"/>
              <w:autoSpaceDN w:val="0"/>
              <w:adjustRightInd w:val="0"/>
              <w:ind w:left="34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4F48E4">
              <w:rPr>
                <w:rFonts w:eastAsiaTheme="minorEastAsia"/>
                <w:bCs/>
                <w:iCs/>
                <w:color w:val="000000"/>
                <w:sz w:val="24"/>
                <w:szCs w:val="24"/>
                <w:lang w:eastAsia="zh-CN"/>
              </w:rPr>
              <w:t>over</w:t>
            </w:r>
            <w:proofErr w:type="gramEnd"/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 xml:space="preserve"> 110</w:t>
            </w:r>
          </w:p>
        </w:tc>
        <w:tc>
          <w:tcPr>
            <w:tcW w:w="1967" w:type="dxa"/>
            <w:vAlign w:val="center"/>
          </w:tcPr>
          <w:p w:rsidR="004F48E4" w:rsidRPr="004F48E4" w:rsidRDefault="004F48E4" w:rsidP="009E79F7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67" w:type="dxa"/>
            <w:vAlign w:val="center"/>
          </w:tcPr>
          <w:p w:rsidR="004F48E4" w:rsidRPr="004F48E4" w:rsidRDefault="004F48E4" w:rsidP="009E79F7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68" w:type="dxa"/>
            <w:vAlign w:val="center"/>
          </w:tcPr>
          <w:p w:rsidR="004F48E4" w:rsidRPr="004F48E4" w:rsidRDefault="004F48E4" w:rsidP="009E79F7">
            <w:pPr>
              <w:autoSpaceDE w:val="0"/>
              <w:autoSpaceDN w:val="0"/>
              <w:adjustRightInd w:val="0"/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</w:pPr>
            <w:r w:rsidRPr="004F48E4">
              <w:rPr>
                <w:rFonts w:eastAsiaTheme="minorEastAsia"/>
                <w:bCs/>
                <w:iCs/>
                <w:smallCaps/>
                <w:color w:val="000000"/>
                <w:sz w:val="24"/>
                <w:szCs w:val="24"/>
                <w:lang w:eastAsia="zh-CN"/>
              </w:rPr>
              <w:t>4</w:t>
            </w:r>
          </w:p>
        </w:tc>
      </w:tr>
    </w:tbl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9B3278" w:rsidRPr="009B3278" w:rsidRDefault="00522DB5" w:rsidP="009B3278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  <w:proofErr w:type="spellStart"/>
      <w:r>
        <w:rPr>
          <w:rFonts w:eastAsiaTheme="minorEastAsia"/>
          <w:color w:val="000000"/>
          <w:sz w:val="24"/>
          <w:szCs w:val="24"/>
          <w:lang w:eastAsia="zh-CN"/>
        </w:rPr>
        <w:t>Ursosan</w:t>
      </w:r>
      <w:proofErr w:type="spellEnd"/>
      <w:r w:rsidR="009B3278"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bør ikke anvendes til patienter med</w:t>
      </w:r>
    </w:p>
    <w:p w:rsidR="009B3278" w:rsidRPr="009B3278" w:rsidRDefault="009B3278" w:rsidP="00E73CF1">
      <w:pPr>
        <w:numPr>
          <w:ilvl w:val="0"/>
          <w:numId w:val="6"/>
        </w:numPr>
        <w:ind w:left="1134" w:hanging="283"/>
        <w:contextualSpacing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Akut betændelse i galdeblæren og galdeveje.</w:t>
      </w:r>
    </w:p>
    <w:p w:rsidR="009B3278" w:rsidRPr="009B3278" w:rsidRDefault="002234EE" w:rsidP="00E73CF1">
      <w:pPr>
        <w:numPr>
          <w:ilvl w:val="0"/>
          <w:numId w:val="6"/>
        </w:numPr>
        <w:ind w:left="1134" w:hanging="283"/>
        <w:contextualSpacing/>
        <w:rPr>
          <w:rFonts w:eastAsiaTheme="minorEastAsia"/>
          <w:color w:val="000000"/>
          <w:sz w:val="24"/>
          <w:szCs w:val="24"/>
          <w:lang w:eastAsia="zh-CN"/>
        </w:rPr>
      </w:pPr>
      <w:proofErr w:type="spellStart"/>
      <w:r>
        <w:rPr>
          <w:rFonts w:eastAsiaTheme="minorEastAsia"/>
          <w:color w:val="000000"/>
          <w:sz w:val="24"/>
          <w:szCs w:val="24"/>
          <w:lang w:eastAsia="zh-CN"/>
        </w:rPr>
        <w:t>Okklusion</w:t>
      </w:r>
      <w:proofErr w:type="spellEnd"/>
      <w:r w:rsidR="009B3278"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af galdeveje (</w:t>
      </w:r>
      <w:proofErr w:type="spellStart"/>
      <w:r w:rsidR="009B3278" w:rsidRPr="009B3278">
        <w:rPr>
          <w:rFonts w:eastAsiaTheme="minorEastAsia"/>
          <w:color w:val="000000"/>
          <w:sz w:val="24"/>
          <w:szCs w:val="24"/>
          <w:lang w:eastAsia="zh-CN"/>
        </w:rPr>
        <w:t>okklusion</w:t>
      </w:r>
      <w:proofErr w:type="spellEnd"/>
      <w:r w:rsidR="009B3278"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af den fælles galdekanal eller en cystisk kanal).</w:t>
      </w:r>
    </w:p>
    <w:p w:rsidR="009B3278" w:rsidRPr="009B3278" w:rsidRDefault="009B3278" w:rsidP="00E73CF1">
      <w:pPr>
        <w:numPr>
          <w:ilvl w:val="0"/>
          <w:numId w:val="6"/>
        </w:numPr>
        <w:ind w:left="1134" w:hanging="283"/>
        <w:contextualSpacing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Hyppige episoder af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biliær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kolik.</w:t>
      </w:r>
    </w:p>
    <w:p w:rsidR="009B3278" w:rsidRPr="009B3278" w:rsidRDefault="002234EE" w:rsidP="00E73CF1">
      <w:pPr>
        <w:numPr>
          <w:ilvl w:val="0"/>
          <w:numId w:val="6"/>
        </w:numPr>
        <w:ind w:left="1134" w:hanging="283"/>
        <w:contextualSpacing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>Røntgentætte,</w:t>
      </w:r>
      <w:r w:rsidR="009B3278"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forkalkede gal</w:t>
      </w:r>
      <w:r w:rsidR="001941E5">
        <w:rPr>
          <w:rFonts w:eastAsiaTheme="minorEastAsia"/>
          <w:color w:val="000000"/>
          <w:sz w:val="24"/>
          <w:szCs w:val="24"/>
          <w:lang w:eastAsia="zh-CN"/>
        </w:rPr>
        <w:t>d</w:t>
      </w:r>
      <w:r w:rsidR="009B3278" w:rsidRPr="009B3278">
        <w:rPr>
          <w:rFonts w:eastAsiaTheme="minorEastAsia"/>
          <w:color w:val="000000"/>
          <w:sz w:val="24"/>
          <w:szCs w:val="24"/>
          <w:lang w:eastAsia="zh-CN"/>
        </w:rPr>
        <w:t>esten.</w:t>
      </w:r>
    </w:p>
    <w:p w:rsidR="009B3278" w:rsidRPr="009B3278" w:rsidRDefault="001941E5" w:rsidP="00E73CF1">
      <w:pPr>
        <w:numPr>
          <w:ilvl w:val="0"/>
          <w:numId w:val="6"/>
        </w:numPr>
        <w:ind w:left="1134" w:hanging="283"/>
        <w:contextualSpacing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 xml:space="preserve">Forringet </w:t>
      </w:r>
      <w:proofErr w:type="spellStart"/>
      <w:r>
        <w:rPr>
          <w:rFonts w:eastAsiaTheme="minorEastAsia"/>
          <w:color w:val="000000"/>
          <w:sz w:val="24"/>
          <w:szCs w:val="24"/>
          <w:lang w:eastAsia="zh-CN"/>
        </w:rPr>
        <w:t>kontraktilitet</w:t>
      </w:r>
      <w:proofErr w:type="spellEnd"/>
      <w:r>
        <w:rPr>
          <w:rFonts w:eastAsiaTheme="minorEastAsia"/>
          <w:color w:val="000000"/>
          <w:sz w:val="24"/>
          <w:szCs w:val="24"/>
          <w:lang w:eastAsia="zh-CN"/>
        </w:rPr>
        <w:t xml:space="preserve"> af</w:t>
      </w:r>
      <w:r w:rsidR="009B3278"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galdeblæren.</w:t>
      </w:r>
    </w:p>
    <w:p w:rsidR="009B3278" w:rsidRPr="009B3278" w:rsidRDefault="009B3278" w:rsidP="00E73CF1">
      <w:pPr>
        <w:numPr>
          <w:ilvl w:val="0"/>
          <w:numId w:val="6"/>
        </w:numPr>
        <w:ind w:left="1134" w:hanging="283"/>
        <w:contextualSpacing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Overfølsomhed over for galdesyrer eller over for et eller flere af hjælpestofferne anført i pkt. 6.1.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9B3278" w:rsidRPr="009B3278" w:rsidRDefault="009B3278" w:rsidP="009B3278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u w:val="single"/>
          <w:lang w:eastAsia="zh-CN"/>
        </w:rPr>
        <w:t>Pædiatrisk</w:t>
      </w:r>
      <w:r w:rsidR="001941E5">
        <w:rPr>
          <w:rFonts w:eastAsiaTheme="minorEastAsia"/>
          <w:color w:val="000000"/>
          <w:sz w:val="24"/>
          <w:szCs w:val="24"/>
          <w:u w:val="single"/>
          <w:lang w:eastAsia="zh-CN"/>
        </w:rPr>
        <w:t xml:space="preserve"> population</w:t>
      </w:r>
    </w:p>
    <w:p w:rsidR="009260DE" w:rsidRPr="00E73CF1" w:rsidRDefault="009B3278" w:rsidP="00EF4E9A">
      <w:pPr>
        <w:ind w:left="851"/>
        <w:contextualSpacing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Mislykket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portoenterostomi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eller </w:t>
      </w:r>
      <w:r w:rsidR="00EF4E9A">
        <w:rPr>
          <w:rFonts w:eastAsiaTheme="minorEastAsia"/>
          <w:color w:val="000000"/>
          <w:sz w:val="24"/>
          <w:szCs w:val="24"/>
          <w:lang w:eastAsia="zh-CN"/>
        </w:rPr>
        <w:t>ved udeblivelse af funktionel galdestrøm</w:t>
      </w:r>
      <w:r w:rsidR="00BE47D9">
        <w:rPr>
          <w:rFonts w:eastAsiaTheme="minorEastAsia"/>
          <w:color w:val="000000"/>
          <w:sz w:val="24"/>
          <w:szCs w:val="24"/>
          <w:lang w:eastAsia="zh-CN"/>
        </w:rPr>
        <w:t xml:space="preserve"> hos børn med </w:t>
      </w:r>
      <w:proofErr w:type="spellStart"/>
      <w:r w:rsidR="00BE47D9">
        <w:rPr>
          <w:rFonts w:eastAsiaTheme="minorEastAsia"/>
          <w:color w:val="000000"/>
          <w:sz w:val="24"/>
          <w:szCs w:val="24"/>
          <w:lang w:eastAsia="zh-CN"/>
        </w:rPr>
        <w:t>biliær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atresi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>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9B3278" w:rsidRPr="009B3278" w:rsidRDefault="00522DB5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proofErr w:type="spellStart"/>
      <w:r>
        <w:rPr>
          <w:rFonts w:eastAsiaTheme="minorEastAsia"/>
          <w:color w:val="000000"/>
          <w:sz w:val="24"/>
          <w:szCs w:val="24"/>
          <w:lang w:eastAsia="zh-CN"/>
        </w:rPr>
        <w:t>Ursosan</w:t>
      </w:r>
      <w:proofErr w:type="spellEnd"/>
      <w:r w:rsidR="009B3278"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r w:rsidR="006F7E56">
        <w:rPr>
          <w:rFonts w:eastAsiaTheme="minorEastAsia"/>
          <w:color w:val="000000"/>
          <w:sz w:val="24"/>
          <w:szCs w:val="24"/>
          <w:lang w:eastAsia="zh-CN"/>
        </w:rPr>
        <w:t>skal tages under lægeligt op</w:t>
      </w:r>
      <w:r w:rsidR="009B3278" w:rsidRPr="009B3278">
        <w:rPr>
          <w:rFonts w:eastAsiaTheme="minorEastAsia"/>
          <w:color w:val="000000"/>
          <w:sz w:val="24"/>
          <w:szCs w:val="24"/>
          <w:lang w:eastAsia="zh-CN"/>
        </w:rPr>
        <w:t xml:space="preserve">syn. 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I løbet af de første tre måneder af behandlingen skal leverfunktionsparametrene AST (SGOT), ALT (SGPT) og y-GT overvåges af lægen hver 4. uge, </w:t>
      </w:r>
      <w:r w:rsidR="006F7E56">
        <w:rPr>
          <w:rFonts w:eastAsiaTheme="minorEastAsia"/>
          <w:color w:val="000000"/>
          <w:sz w:val="24"/>
          <w:szCs w:val="24"/>
          <w:lang w:eastAsia="zh-CN"/>
        </w:rPr>
        <w:t>derefter hver tredje måned. Ud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over at tillade identifikation af respondenter og ikke-respondenter hos patienter, der behandles med primær galdehindebetændelse, vil denne overvågning også muliggøre tidlig påvisning af potentiel leverforringelse, især hos patienter med </w:t>
      </w:r>
      <w:r w:rsidR="006F7E56">
        <w:rPr>
          <w:rFonts w:eastAsiaTheme="minorEastAsia"/>
          <w:color w:val="000000"/>
          <w:sz w:val="24"/>
          <w:szCs w:val="24"/>
          <w:lang w:eastAsia="zh-CN"/>
        </w:rPr>
        <w:t>fremskreden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primær </w:t>
      </w:r>
      <w:proofErr w:type="spellStart"/>
      <w:r w:rsidR="006F7E56">
        <w:rPr>
          <w:rFonts w:eastAsiaTheme="minorEastAsia"/>
          <w:color w:val="000000"/>
          <w:sz w:val="24"/>
          <w:szCs w:val="24"/>
          <w:lang w:eastAsia="zh-CN"/>
        </w:rPr>
        <w:t>biliær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cholangitis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>.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9B3278" w:rsidRPr="009B3278" w:rsidRDefault="00C52263" w:rsidP="009B3278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u w:val="single"/>
          <w:lang w:eastAsia="nl-NL"/>
        </w:rPr>
        <w:t>Ved anvendelse til opløsning af kolesterolgald</w:t>
      </w:r>
      <w:r w:rsidR="009B3278" w:rsidRPr="009B3278">
        <w:rPr>
          <w:rFonts w:eastAsiaTheme="minorEastAsia"/>
          <w:sz w:val="24"/>
          <w:szCs w:val="24"/>
          <w:u w:val="single"/>
          <w:lang w:eastAsia="nl-NL"/>
        </w:rPr>
        <w:t xml:space="preserve">esten </w:t>
      </w:r>
      <w:r w:rsidR="009B3278" w:rsidRPr="009B3278">
        <w:rPr>
          <w:rFonts w:eastAsiaTheme="minorEastAsia"/>
          <w:sz w:val="24"/>
          <w:szCs w:val="24"/>
          <w:u w:val="single"/>
          <w:lang w:eastAsia="nl-NL"/>
        </w:rPr>
        <w:br/>
      </w:r>
      <w:r w:rsidR="009B3278" w:rsidRPr="009B3278">
        <w:rPr>
          <w:rFonts w:eastAsiaTheme="minorEastAsia"/>
          <w:color w:val="000000"/>
          <w:sz w:val="24"/>
          <w:szCs w:val="24"/>
          <w:lang w:eastAsia="zh-CN"/>
        </w:rPr>
        <w:t>For at vurdere de terapeutiske fremskridt og påvise forkalkning af galdestenene rettidigt, afhængigt af stenstørrelse, skal gal</w:t>
      </w:r>
      <w:r>
        <w:rPr>
          <w:rFonts w:eastAsiaTheme="minorEastAsia"/>
          <w:color w:val="000000"/>
          <w:sz w:val="24"/>
          <w:szCs w:val="24"/>
          <w:lang w:eastAsia="zh-CN"/>
        </w:rPr>
        <w:t>d</w:t>
      </w:r>
      <w:r w:rsidR="009B3278" w:rsidRPr="009B3278">
        <w:rPr>
          <w:rFonts w:eastAsiaTheme="minorEastAsia"/>
          <w:color w:val="000000"/>
          <w:sz w:val="24"/>
          <w:szCs w:val="24"/>
          <w:lang w:eastAsia="zh-CN"/>
        </w:rPr>
        <w:t xml:space="preserve">eblæren visualiseres (oral </w:t>
      </w:r>
      <w:proofErr w:type="spellStart"/>
      <w:r w:rsidR="009B3278" w:rsidRPr="009B3278">
        <w:rPr>
          <w:rFonts w:eastAsiaTheme="minorEastAsia"/>
          <w:color w:val="000000"/>
          <w:sz w:val="24"/>
          <w:szCs w:val="24"/>
          <w:lang w:eastAsia="zh-CN"/>
        </w:rPr>
        <w:t>cholecystografi</w:t>
      </w:r>
      <w:proofErr w:type="spellEnd"/>
      <w:r w:rsidR="009B3278" w:rsidRPr="009B3278">
        <w:rPr>
          <w:rFonts w:eastAsiaTheme="minorEastAsia"/>
          <w:color w:val="000000"/>
          <w:sz w:val="24"/>
          <w:szCs w:val="24"/>
          <w:lang w:eastAsia="zh-CN"/>
        </w:rPr>
        <w:t xml:space="preserve">) med </w:t>
      </w:r>
      <w:r>
        <w:rPr>
          <w:rFonts w:eastAsiaTheme="minorEastAsia"/>
          <w:color w:val="000000"/>
          <w:sz w:val="24"/>
          <w:szCs w:val="24"/>
          <w:lang w:eastAsia="zh-CN"/>
        </w:rPr>
        <w:lastRenderedPageBreak/>
        <w:t xml:space="preserve">oversigts- og </w:t>
      </w:r>
      <w:proofErr w:type="spellStart"/>
      <w:r w:rsidR="009B3278" w:rsidRPr="009B3278">
        <w:rPr>
          <w:rFonts w:eastAsiaTheme="minorEastAsia"/>
          <w:color w:val="000000"/>
          <w:sz w:val="24"/>
          <w:szCs w:val="24"/>
          <w:lang w:eastAsia="zh-CN"/>
        </w:rPr>
        <w:t>okklusions</w:t>
      </w:r>
      <w:r>
        <w:rPr>
          <w:rFonts w:eastAsiaTheme="minorEastAsia"/>
          <w:color w:val="000000"/>
          <w:sz w:val="24"/>
          <w:szCs w:val="24"/>
          <w:lang w:eastAsia="zh-CN"/>
        </w:rPr>
        <w:t>billeder</w:t>
      </w:r>
      <w:proofErr w:type="spellEnd"/>
      <w:r w:rsidR="009B3278"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i stående og liggende stillinger (ultralydskontrol) 6-10 måneder efter behandlingens begyndelse.</w:t>
      </w:r>
    </w:p>
    <w:p w:rsidR="009B3278" w:rsidRPr="009B3278" w:rsidRDefault="009B3278" w:rsidP="009B3278">
      <w:pPr>
        <w:keepNext/>
        <w:ind w:left="851"/>
        <w:rPr>
          <w:rFonts w:eastAsiaTheme="minorEastAsia"/>
          <w:sz w:val="24"/>
          <w:szCs w:val="24"/>
          <w:u w:val="single"/>
          <w:lang w:eastAsia="nl-NL"/>
        </w:rPr>
      </w:pP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Hvis galdeblæren ikke kan ses på røntgenbilleder eller i tilfælde af forkalkede gal</w:t>
      </w:r>
      <w:r w:rsidR="008133F3">
        <w:rPr>
          <w:rFonts w:eastAsiaTheme="minorEastAsia"/>
          <w:color w:val="000000"/>
          <w:sz w:val="24"/>
          <w:szCs w:val="24"/>
          <w:lang w:eastAsia="zh-CN"/>
        </w:rPr>
        <w:t>d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esten, nedsat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kontraktilitet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r w:rsidR="008133F3">
        <w:rPr>
          <w:rFonts w:eastAsiaTheme="minorEastAsia"/>
          <w:color w:val="000000"/>
          <w:sz w:val="24"/>
          <w:szCs w:val="24"/>
          <w:lang w:eastAsia="zh-CN"/>
        </w:rPr>
        <w:t>af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galdeblæren eller hyppige episoder af </w:t>
      </w:r>
      <w:proofErr w:type="spellStart"/>
      <w:r w:rsidR="008133F3">
        <w:rPr>
          <w:rFonts w:eastAsiaTheme="minorEastAsia"/>
          <w:color w:val="000000"/>
          <w:sz w:val="24"/>
          <w:szCs w:val="24"/>
          <w:lang w:eastAsia="zh-CN"/>
        </w:rPr>
        <w:t>biliær</w:t>
      </w:r>
      <w:proofErr w:type="spellEnd"/>
      <w:r w:rsidR="008133F3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kolik, bør </w:t>
      </w:r>
      <w:proofErr w:type="spellStart"/>
      <w:r w:rsidR="00522DB5">
        <w:rPr>
          <w:rFonts w:eastAsiaTheme="minorEastAsia"/>
          <w:color w:val="000000"/>
          <w:sz w:val="24"/>
          <w:szCs w:val="24"/>
          <w:lang w:eastAsia="zh-CN"/>
        </w:rPr>
        <w:t>Ursosan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ikke anvendes.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Kvindelige patienter, der tager </w:t>
      </w:r>
      <w:proofErr w:type="spellStart"/>
      <w:r w:rsidR="00522DB5">
        <w:rPr>
          <w:rFonts w:eastAsiaTheme="minorEastAsia"/>
          <w:color w:val="000000"/>
          <w:sz w:val="24"/>
          <w:szCs w:val="24"/>
          <w:lang w:eastAsia="zh-CN"/>
        </w:rPr>
        <w:t>Ursosan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til opløsning af gal</w:t>
      </w:r>
      <w:r w:rsidR="008133F3">
        <w:rPr>
          <w:rFonts w:eastAsiaTheme="minorEastAsia"/>
          <w:color w:val="000000"/>
          <w:sz w:val="24"/>
          <w:szCs w:val="24"/>
          <w:lang w:eastAsia="zh-CN"/>
        </w:rPr>
        <w:t>d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esten, bør anvende en effektiv ikke-hormonel præventionsmetode, da hormonelle præventionsmidler kan øge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biliær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lithiasis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(se pkt. 4.5 og 4.6).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9B3278" w:rsidRPr="009B3278" w:rsidRDefault="008133F3" w:rsidP="009B3278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u w:val="single"/>
          <w:lang w:eastAsia="zh-CN"/>
        </w:rPr>
        <w:t xml:space="preserve">Ved anvendelse til behandling af fremskreden </w:t>
      </w:r>
      <w:r w:rsidR="009B3278" w:rsidRPr="009B3278">
        <w:rPr>
          <w:rFonts w:eastAsiaTheme="minorEastAsia"/>
          <w:color w:val="000000"/>
          <w:sz w:val="24"/>
          <w:szCs w:val="24"/>
          <w:u w:val="single"/>
          <w:lang w:eastAsia="zh-CN"/>
        </w:rPr>
        <w:t xml:space="preserve">primær </w:t>
      </w:r>
      <w:proofErr w:type="spellStart"/>
      <w:r w:rsidR="009B3278" w:rsidRPr="009B3278">
        <w:rPr>
          <w:rFonts w:eastAsiaTheme="minorEastAsia"/>
          <w:color w:val="000000"/>
          <w:sz w:val="24"/>
          <w:szCs w:val="24"/>
          <w:u w:val="single"/>
          <w:lang w:eastAsia="zh-CN"/>
        </w:rPr>
        <w:t>biliær</w:t>
      </w:r>
      <w:proofErr w:type="spellEnd"/>
      <w:r w:rsidR="009B3278" w:rsidRPr="009B3278">
        <w:rPr>
          <w:rFonts w:eastAsiaTheme="minorEastAsia"/>
          <w:color w:val="000000"/>
          <w:sz w:val="24"/>
          <w:szCs w:val="24"/>
          <w:u w:val="single"/>
          <w:lang w:eastAsia="zh-CN"/>
        </w:rPr>
        <w:t xml:space="preserve"> </w:t>
      </w:r>
      <w:proofErr w:type="spellStart"/>
      <w:r w:rsidR="009B3278" w:rsidRPr="009B3278">
        <w:rPr>
          <w:rFonts w:eastAsiaTheme="minorEastAsia"/>
          <w:color w:val="000000"/>
          <w:sz w:val="24"/>
          <w:szCs w:val="24"/>
          <w:u w:val="single"/>
          <w:lang w:eastAsia="zh-CN"/>
        </w:rPr>
        <w:t>kolangitis</w:t>
      </w:r>
      <w:proofErr w:type="spellEnd"/>
    </w:p>
    <w:p w:rsidR="009B3278" w:rsidRPr="009B3278" w:rsidRDefault="00B81B70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proofErr w:type="spellStart"/>
      <w:r>
        <w:rPr>
          <w:rFonts w:eastAsiaTheme="minorEastAsia"/>
          <w:color w:val="000000"/>
          <w:sz w:val="24"/>
          <w:szCs w:val="24"/>
          <w:lang w:eastAsia="zh-CN"/>
        </w:rPr>
        <w:t>D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ekompens</w:t>
      </w:r>
      <w:r>
        <w:rPr>
          <w:rFonts w:eastAsiaTheme="minorEastAsia"/>
          <w:color w:val="000000"/>
          <w:sz w:val="24"/>
          <w:szCs w:val="24"/>
          <w:lang w:eastAsia="zh-CN"/>
        </w:rPr>
        <w:t>ation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r w:rsidR="009B3278" w:rsidRPr="009B3278">
        <w:rPr>
          <w:rFonts w:eastAsiaTheme="minorEastAsia"/>
          <w:color w:val="000000"/>
          <w:sz w:val="24"/>
          <w:szCs w:val="24"/>
          <w:lang w:eastAsia="zh-CN"/>
        </w:rPr>
        <w:t>af levercirrose</w:t>
      </w:r>
      <w:r w:rsidR="00B137CF">
        <w:rPr>
          <w:rFonts w:eastAsiaTheme="minorEastAsia"/>
          <w:color w:val="000000"/>
          <w:sz w:val="24"/>
          <w:szCs w:val="24"/>
          <w:lang w:eastAsia="zh-CN"/>
        </w:rPr>
        <w:t xml:space="preserve"> er</w:t>
      </w:r>
      <w:r w:rsidR="009B3278"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blevet observeret i meget sjældne tilfælde, som </w:t>
      </w:r>
      <w:r w:rsidR="00B137CF">
        <w:rPr>
          <w:rFonts w:eastAsiaTheme="minorEastAsia"/>
          <w:color w:val="000000"/>
          <w:sz w:val="24"/>
          <w:szCs w:val="24"/>
          <w:lang w:eastAsia="zh-CN"/>
        </w:rPr>
        <w:t xml:space="preserve">var </w:t>
      </w:r>
      <w:r w:rsidR="009B3278" w:rsidRPr="009B3278">
        <w:rPr>
          <w:rFonts w:eastAsiaTheme="minorEastAsia"/>
          <w:color w:val="000000"/>
          <w:sz w:val="24"/>
          <w:szCs w:val="24"/>
          <w:lang w:eastAsia="zh-CN"/>
        </w:rPr>
        <w:t xml:space="preserve">delvis </w:t>
      </w:r>
      <w:r w:rsidR="00B137CF">
        <w:rPr>
          <w:rFonts w:eastAsiaTheme="minorEastAsia"/>
          <w:color w:val="000000"/>
          <w:sz w:val="24"/>
          <w:szCs w:val="24"/>
          <w:lang w:eastAsia="zh-CN"/>
        </w:rPr>
        <w:t xml:space="preserve">reversibel, </w:t>
      </w:r>
      <w:r w:rsidR="009B3278" w:rsidRPr="009B3278">
        <w:rPr>
          <w:rFonts w:eastAsiaTheme="minorEastAsia"/>
          <w:color w:val="000000"/>
          <w:sz w:val="24"/>
          <w:szCs w:val="24"/>
          <w:lang w:eastAsia="zh-CN"/>
        </w:rPr>
        <w:t>efter behandlingen blev afbrudt.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I sjældne tilfælde kan de kliniske symptomer forværres hos patienter med PBC i begyndelsen af ​​behandlingen, f.eks. ved øget kløe. I dette tilfælde skal doseringen af </w:t>
      </w:r>
      <w:proofErr w:type="spellStart"/>
      <w:r w:rsidR="00522DB5">
        <w:rPr>
          <w:rFonts w:eastAsiaTheme="minorEastAsia"/>
          <w:color w:val="000000"/>
          <w:sz w:val="24"/>
          <w:szCs w:val="24"/>
          <w:lang w:eastAsia="zh-CN"/>
        </w:rPr>
        <w:t>Ursosan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reduceres til en </w:t>
      </w:r>
      <w:proofErr w:type="spellStart"/>
      <w:r w:rsidR="00FD1A33">
        <w:rPr>
          <w:rFonts w:eastAsiaTheme="minorEastAsia"/>
          <w:color w:val="000000"/>
          <w:sz w:val="24"/>
          <w:szCs w:val="24"/>
          <w:lang w:eastAsia="zh-CN"/>
        </w:rPr>
        <w:t>Ursosan</w:t>
      </w:r>
      <w:proofErr w:type="spellEnd"/>
      <w:r w:rsidR="00FD1A33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250 mg kapsel </w:t>
      </w:r>
      <w:r w:rsidR="00A0718F">
        <w:rPr>
          <w:rFonts w:eastAsiaTheme="minorEastAsia"/>
          <w:color w:val="000000"/>
          <w:sz w:val="24"/>
          <w:szCs w:val="24"/>
          <w:lang w:eastAsia="zh-CN"/>
        </w:rPr>
        <w:t>daglig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og derefter gradvist øges igen som beskrevet i pkt. 4.2.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9260DE" w:rsidRPr="00C93FDD" w:rsidRDefault="009B3278" w:rsidP="00C93FDD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Hvis der opstår diarré, skal dosis reduceres, og i tilfælde af vedvarende diarré </w:t>
      </w:r>
      <w:r w:rsidR="00C93FDD">
        <w:rPr>
          <w:rFonts w:eastAsiaTheme="minorEastAsia"/>
          <w:color w:val="000000"/>
          <w:sz w:val="24"/>
          <w:szCs w:val="24"/>
          <w:lang w:eastAsia="zh-CN"/>
        </w:rPr>
        <w:t>skal behandlin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gen afbrydes.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9B3278" w:rsidRDefault="00522DB5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proofErr w:type="spellStart"/>
      <w:r>
        <w:rPr>
          <w:rFonts w:eastAsiaTheme="minorEastAsia"/>
          <w:color w:val="000000"/>
          <w:sz w:val="24"/>
          <w:szCs w:val="24"/>
          <w:lang w:eastAsia="zh-CN"/>
        </w:rPr>
        <w:t>Ursosan</w:t>
      </w:r>
      <w:proofErr w:type="spellEnd"/>
      <w:r w:rsidR="009B3278"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bør ikke indgives samtidigt med </w:t>
      </w:r>
      <w:proofErr w:type="spellStart"/>
      <w:r w:rsidR="009B3278" w:rsidRPr="009B3278">
        <w:rPr>
          <w:rFonts w:eastAsiaTheme="minorEastAsia"/>
          <w:color w:val="000000"/>
          <w:sz w:val="24"/>
          <w:szCs w:val="24"/>
          <w:lang w:eastAsia="zh-CN"/>
        </w:rPr>
        <w:t>kolestyramin</w:t>
      </w:r>
      <w:proofErr w:type="spellEnd"/>
      <w:r w:rsidR="009B3278" w:rsidRPr="009B3278">
        <w:rPr>
          <w:rFonts w:eastAsiaTheme="minorEastAsia"/>
          <w:color w:val="000000"/>
          <w:sz w:val="24"/>
          <w:szCs w:val="24"/>
          <w:lang w:eastAsia="zh-CN"/>
        </w:rPr>
        <w:t xml:space="preserve">, </w:t>
      </w:r>
      <w:proofErr w:type="spellStart"/>
      <w:r w:rsidR="009B3278" w:rsidRPr="009B3278">
        <w:rPr>
          <w:rFonts w:eastAsiaTheme="minorEastAsia"/>
          <w:color w:val="000000"/>
          <w:sz w:val="24"/>
          <w:szCs w:val="24"/>
          <w:lang w:eastAsia="zh-CN"/>
        </w:rPr>
        <w:t>colestipol</w:t>
      </w:r>
      <w:proofErr w:type="spellEnd"/>
      <w:r w:rsidR="009B3278"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eller </w:t>
      </w:r>
      <w:proofErr w:type="spellStart"/>
      <w:r w:rsidR="009B3278" w:rsidRPr="009B3278">
        <w:rPr>
          <w:rFonts w:eastAsiaTheme="minorEastAsia"/>
          <w:color w:val="000000"/>
          <w:sz w:val="24"/>
          <w:szCs w:val="24"/>
          <w:lang w:eastAsia="zh-CN"/>
        </w:rPr>
        <w:t>antacida</w:t>
      </w:r>
      <w:proofErr w:type="spellEnd"/>
      <w:r w:rsidR="009B3278"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indeholdende aluminiumhydroxid og/eller </w:t>
      </w:r>
      <w:proofErr w:type="spellStart"/>
      <w:r w:rsidR="009B3278" w:rsidRPr="009B3278">
        <w:rPr>
          <w:rFonts w:eastAsiaTheme="minorEastAsia"/>
          <w:color w:val="000000"/>
          <w:sz w:val="24"/>
          <w:szCs w:val="24"/>
          <w:lang w:eastAsia="zh-CN"/>
        </w:rPr>
        <w:t>smectit</w:t>
      </w:r>
      <w:proofErr w:type="spellEnd"/>
      <w:r w:rsidR="009B3278"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(aluminiumoxid), fordi disse præparater binder </w:t>
      </w:r>
      <w:proofErr w:type="spellStart"/>
      <w:r w:rsidR="009B3278" w:rsidRPr="009B3278"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proofErr w:type="spellEnd"/>
      <w:r w:rsidR="009B3278"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i tarmen og derved hæmmer dets absorption og virkning. Ved brug af et præparat, der indeholder et af disse aktive stoffer, skal de indtages mindst 2 timer før eller efter </w:t>
      </w:r>
      <w:proofErr w:type="spellStart"/>
      <w:r>
        <w:rPr>
          <w:rFonts w:eastAsiaTheme="minorEastAsia"/>
          <w:color w:val="000000"/>
          <w:sz w:val="24"/>
          <w:szCs w:val="24"/>
          <w:lang w:eastAsia="zh-CN"/>
        </w:rPr>
        <w:t>Ursosan</w:t>
      </w:r>
      <w:proofErr w:type="spellEnd"/>
      <w:r w:rsidR="009B3278" w:rsidRPr="009B3278">
        <w:rPr>
          <w:rFonts w:eastAsiaTheme="minorEastAsia"/>
          <w:color w:val="000000"/>
          <w:sz w:val="24"/>
          <w:szCs w:val="24"/>
          <w:lang w:eastAsia="zh-CN"/>
        </w:rPr>
        <w:t>.</w:t>
      </w:r>
    </w:p>
    <w:p w:rsidR="00760A1A" w:rsidRPr="009B3278" w:rsidRDefault="00760A1A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</w:p>
    <w:p w:rsidR="009B3278" w:rsidRDefault="00522DB5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proofErr w:type="spellStart"/>
      <w:r>
        <w:rPr>
          <w:rFonts w:eastAsiaTheme="minorEastAsia"/>
          <w:color w:val="000000"/>
          <w:sz w:val="24"/>
          <w:szCs w:val="24"/>
          <w:lang w:eastAsia="zh-CN"/>
        </w:rPr>
        <w:t>Ursosan</w:t>
      </w:r>
      <w:proofErr w:type="spellEnd"/>
      <w:r w:rsidR="009B3278"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kan påvirke absorptionen af ​​</w:t>
      </w:r>
      <w:proofErr w:type="spellStart"/>
      <w:r w:rsidR="009B3278" w:rsidRPr="009B3278">
        <w:rPr>
          <w:rFonts w:eastAsiaTheme="minorEastAsia"/>
          <w:color w:val="000000"/>
          <w:sz w:val="24"/>
          <w:szCs w:val="24"/>
          <w:lang w:eastAsia="zh-CN"/>
        </w:rPr>
        <w:t>cyclosporin</w:t>
      </w:r>
      <w:proofErr w:type="spellEnd"/>
      <w:r w:rsidR="009B3278"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fra tarmene. Hos patienter, der modtager </w:t>
      </w:r>
      <w:proofErr w:type="spellStart"/>
      <w:r w:rsidR="009B3278" w:rsidRPr="009B3278">
        <w:rPr>
          <w:rFonts w:eastAsiaTheme="minorEastAsia"/>
          <w:color w:val="000000"/>
          <w:sz w:val="24"/>
          <w:szCs w:val="24"/>
          <w:lang w:eastAsia="zh-CN"/>
        </w:rPr>
        <w:t>cyclosporinbehandling</w:t>
      </w:r>
      <w:proofErr w:type="spellEnd"/>
      <w:r w:rsidR="009B3278" w:rsidRPr="009B3278">
        <w:rPr>
          <w:rFonts w:eastAsiaTheme="minorEastAsia"/>
          <w:color w:val="000000"/>
          <w:sz w:val="24"/>
          <w:szCs w:val="24"/>
          <w:lang w:eastAsia="zh-CN"/>
        </w:rPr>
        <w:t xml:space="preserve">, bør blodkoncentrationerne af dette stof derfor kontrolleres af lægen, og doseringen af </w:t>
      </w:r>
      <w:proofErr w:type="spellStart"/>
      <w:r w:rsidR="009B3278" w:rsidRPr="009B3278">
        <w:rPr>
          <w:rFonts w:eastAsiaTheme="minorEastAsia"/>
          <w:color w:val="000000"/>
          <w:sz w:val="24"/>
          <w:szCs w:val="24"/>
          <w:lang w:eastAsia="zh-CN"/>
        </w:rPr>
        <w:t>cyclosporin</w:t>
      </w:r>
      <w:proofErr w:type="spellEnd"/>
      <w:r w:rsidR="009B3278"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justeres om nødvendigt.</w:t>
      </w:r>
    </w:p>
    <w:p w:rsidR="00BB5D6B" w:rsidRPr="009B3278" w:rsidRDefault="00BB5D6B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</w:p>
    <w:p w:rsidR="00BB5D6B" w:rsidRDefault="009B3278" w:rsidP="00BB5D6B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I isolerede tilfælde kan </w:t>
      </w:r>
      <w:proofErr w:type="spellStart"/>
      <w:r w:rsidR="00522DB5">
        <w:rPr>
          <w:rFonts w:eastAsiaTheme="minorEastAsia"/>
          <w:color w:val="000000"/>
          <w:sz w:val="24"/>
          <w:szCs w:val="24"/>
          <w:lang w:eastAsia="zh-CN"/>
        </w:rPr>
        <w:t>Ursosan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reducere a</w:t>
      </w:r>
      <w:r w:rsidR="00BB5D6B">
        <w:rPr>
          <w:rFonts w:eastAsiaTheme="minorEastAsia"/>
          <w:color w:val="000000"/>
          <w:sz w:val="24"/>
          <w:szCs w:val="24"/>
          <w:lang w:eastAsia="zh-CN"/>
        </w:rPr>
        <w:t>bsorptionen af ​​</w:t>
      </w:r>
      <w:proofErr w:type="spellStart"/>
      <w:r w:rsidR="00BB5D6B">
        <w:rPr>
          <w:rFonts w:eastAsiaTheme="minorEastAsia"/>
          <w:color w:val="000000"/>
          <w:sz w:val="24"/>
          <w:szCs w:val="24"/>
          <w:lang w:eastAsia="zh-CN"/>
        </w:rPr>
        <w:t>ciprofloxacin</w:t>
      </w:r>
      <w:proofErr w:type="spellEnd"/>
      <w:r w:rsidR="00BB5D6B">
        <w:rPr>
          <w:rFonts w:eastAsiaTheme="minorEastAsia"/>
          <w:color w:val="000000"/>
          <w:sz w:val="24"/>
          <w:szCs w:val="24"/>
          <w:lang w:eastAsia="zh-CN"/>
        </w:rPr>
        <w:t>.</w:t>
      </w:r>
    </w:p>
    <w:p w:rsidR="00BB5D6B" w:rsidRPr="009B3278" w:rsidRDefault="00BB5D6B" w:rsidP="00BB5D6B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</w:p>
    <w:p w:rsid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Et klinisk studie </w:t>
      </w:r>
      <w:r w:rsidR="00154532">
        <w:rPr>
          <w:rFonts w:eastAsiaTheme="minorEastAsia"/>
          <w:color w:val="000000"/>
          <w:sz w:val="24"/>
          <w:szCs w:val="24"/>
          <w:lang w:eastAsia="zh-CN"/>
        </w:rPr>
        <w:t>med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raske frivillige viste at brug af UDCA (500 mg/dag) og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rosuvastatin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(20 mg/dag) sammen, resulterede i lidt </w:t>
      </w:r>
      <w:r w:rsidR="00154532">
        <w:rPr>
          <w:rFonts w:eastAsiaTheme="minorEastAsia"/>
          <w:color w:val="000000"/>
          <w:sz w:val="24"/>
          <w:szCs w:val="24"/>
          <w:lang w:eastAsia="zh-CN"/>
        </w:rPr>
        <w:t>øgede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plasmakoncentrationer af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rosuvastatin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>. Den kliniske relevans af denne interaktion</w:t>
      </w:r>
      <w:r w:rsidR="00154532">
        <w:rPr>
          <w:rFonts w:eastAsiaTheme="minorEastAsia"/>
          <w:color w:val="000000"/>
          <w:sz w:val="24"/>
          <w:szCs w:val="24"/>
          <w:lang w:eastAsia="zh-CN"/>
        </w:rPr>
        <w:t>, også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med hensyn til andre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statiner</w:t>
      </w:r>
      <w:proofErr w:type="spellEnd"/>
      <w:r w:rsidR="00154532">
        <w:rPr>
          <w:rFonts w:eastAsiaTheme="minorEastAsia"/>
          <w:color w:val="000000"/>
          <w:sz w:val="24"/>
          <w:szCs w:val="24"/>
          <w:lang w:eastAsia="zh-CN"/>
        </w:rPr>
        <w:t>,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er ukendt.</w:t>
      </w:r>
    </w:p>
    <w:p w:rsidR="00154532" w:rsidRPr="009B3278" w:rsidRDefault="00154532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har vist sig at reducere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plasmakopkoncentrationerne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(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C</w:t>
      </w:r>
      <w:r w:rsidRPr="009B3278">
        <w:rPr>
          <w:rFonts w:eastAsiaTheme="minorEastAsia"/>
          <w:color w:val="000000"/>
          <w:sz w:val="24"/>
          <w:szCs w:val="24"/>
          <w:vertAlign w:val="subscript"/>
          <w:lang w:eastAsia="zh-CN"/>
        </w:rPr>
        <w:t>max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) og arealet under kurven (AUC) for calciumantagonisten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nitrendipin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hos raske frivillige. Det anbefales</w:t>
      </w:r>
      <w:r w:rsidR="00E15D94">
        <w:rPr>
          <w:rFonts w:eastAsiaTheme="minorEastAsia"/>
          <w:color w:val="000000"/>
          <w:sz w:val="24"/>
          <w:szCs w:val="24"/>
          <w:lang w:eastAsia="zh-CN"/>
        </w:rPr>
        <w:t xml:space="preserve"> nøje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at overvåge resultatet ved anvendelse af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nitrendipin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og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på samme tid. En stigning i doseringen af ​​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nitrendipin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kan være nødvendig. En interaktion med en reduktion af den terapeutiske virkning af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dapson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blev også rapporteret.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Disse observationer, sa</w:t>
      </w:r>
      <w:r w:rsidR="00E15D94">
        <w:rPr>
          <w:rFonts w:eastAsiaTheme="minorEastAsia"/>
          <w:color w:val="000000"/>
          <w:sz w:val="24"/>
          <w:szCs w:val="24"/>
          <w:lang w:eastAsia="zh-CN"/>
        </w:rPr>
        <w:t xml:space="preserve">mmen med </w:t>
      </w:r>
      <w:r w:rsidR="00E15D94" w:rsidRPr="00E15D94">
        <w:rPr>
          <w:rFonts w:eastAsiaTheme="minorEastAsia"/>
          <w:i/>
          <w:color w:val="000000"/>
          <w:sz w:val="24"/>
          <w:szCs w:val="24"/>
          <w:lang w:eastAsia="zh-CN"/>
        </w:rPr>
        <w:t>in</w:t>
      </w:r>
      <w:r w:rsidR="002A2486">
        <w:rPr>
          <w:rFonts w:eastAsiaTheme="minorEastAsia"/>
          <w:i/>
          <w:color w:val="000000"/>
          <w:sz w:val="24"/>
          <w:szCs w:val="24"/>
          <w:lang w:eastAsia="zh-CN"/>
        </w:rPr>
        <w:t xml:space="preserve"> </w:t>
      </w:r>
      <w:proofErr w:type="spellStart"/>
      <w:r w:rsidRPr="00E15D94">
        <w:rPr>
          <w:rFonts w:eastAsiaTheme="minorEastAsia"/>
          <w:i/>
          <w:color w:val="000000"/>
          <w:sz w:val="24"/>
          <w:szCs w:val="24"/>
          <w:lang w:eastAsia="zh-CN"/>
        </w:rPr>
        <w:t>vitro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>-fund</w:t>
      </w:r>
      <w:r w:rsidR="005C0D9C">
        <w:rPr>
          <w:rFonts w:eastAsiaTheme="minorEastAsia"/>
          <w:color w:val="000000"/>
          <w:sz w:val="24"/>
          <w:szCs w:val="24"/>
          <w:lang w:eastAsia="zh-CN"/>
        </w:rPr>
        <w:t>,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kunne indikere, at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r w:rsidR="005C0D9C">
        <w:rPr>
          <w:rFonts w:eastAsiaTheme="minorEastAsia"/>
          <w:color w:val="000000"/>
          <w:sz w:val="24"/>
          <w:szCs w:val="24"/>
          <w:lang w:eastAsia="zh-CN"/>
        </w:rPr>
        <w:t>potentielt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inducere</w:t>
      </w:r>
      <w:r w:rsidR="005C0D9C">
        <w:rPr>
          <w:rFonts w:eastAsiaTheme="minorEastAsia"/>
          <w:color w:val="000000"/>
          <w:sz w:val="24"/>
          <w:szCs w:val="24"/>
          <w:lang w:eastAsia="zh-CN"/>
        </w:rPr>
        <w:t>r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cytokrom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P450 3A enzymer. Induktion er imidlertid ikke blevet observeret i et veldesignet interaktionsstudie med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budesonid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, hvilket er et kendt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cytokrom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P450 3A-substrat.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9260DE" w:rsidRPr="0064000E" w:rsidRDefault="009B3278" w:rsidP="0064000E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lastRenderedPageBreak/>
        <w:t xml:space="preserve">Østrogene hormoner og kolesterolsænkende midler, såsom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clofibrat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>, øg</w:t>
      </w:r>
      <w:r w:rsidR="00CC5189">
        <w:rPr>
          <w:rFonts w:eastAsiaTheme="minorEastAsia"/>
          <w:color w:val="000000"/>
          <w:sz w:val="24"/>
          <w:szCs w:val="24"/>
          <w:lang w:eastAsia="zh-CN"/>
        </w:rPr>
        <w:t xml:space="preserve">er </w:t>
      </w:r>
      <w:proofErr w:type="spellStart"/>
      <w:r w:rsidR="00CC5189">
        <w:rPr>
          <w:rFonts w:eastAsiaTheme="minorEastAsia"/>
          <w:color w:val="000000"/>
          <w:sz w:val="24"/>
          <w:szCs w:val="24"/>
          <w:lang w:eastAsia="zh-CN"/>
        </w:rPr>
        <w:t>hepatisk</w:t>
      </w:r>
      <w:proofErr w:type="spellEnd"/>
      <w:r w:rsidR="00CC5189">
        <w:rPr>
          <w:rFonts w:eastAsiaTheme="minorEastAsia"/>
          <w:color w:val="000000"/>
          <w:sz w:val="24"/>
          <w:szCs w:val="24"/>
          <w:lang w:eastAsia="zh-CN"/>
        </w:rPr>
        <w:t xml:space="preserve"> kolesterolsekretion og kan derfor øge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galde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lit</w:t>
      </w:r>
      <w:r w:rsidR="00620035">
        <w:rPr>
          <w:rFonts w:eastAsiaTheme="minorEastAsia"/>
          <w:color w:val="000000"/>
          <w:sz w:val="24"/>
          <w:szCs w:val="24"/>
          <w:lang w:eastAsia="zh-CN"/>
        </w:rPr>
        <w:t>h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iasis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, hvilket </w:t>
      </w:r>
      <w:r w:rsidR="00CC5189">
        <w:rPr>
          <w:rFonts w:eastAsiaTheme="minorEastAsia"/>
          <w:color w:val="000000"/>
          <w:sz w:val="24"/>
          <w:szCs w:val="24"/>
          <w:lang w:eastAsia="zh-CN"/>
        </w:rPr>
        <w:t xml:space="preserve">giver den modsatte virkning af </w:t>
      </w:r>
      <w:proofErr w:type="spellStart"/>
      <w:r w:rsidR="00CC5189"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proofErr w:type="spellEnd"/>
      <w:r w:rsidR="00CC5189">
        <w:rPr>
          <w:rFonts w:eastAsiaTheme="minorEastAsia"/>
          <w:color w:val="000000"/>
          <w:sz w:val="24"/>
          <w:szCs w:val="24"/>
          <w:lang w:eastAsia="zh-CN"/>
        </w:rPr>
        <w:t>, som anvendes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til opløsning af gal</w:t>
      </w:r>
      <w:r w:rsidR="00CC5189">
        <w:rPr>
          <w:rFonts w:eastAsiaTheme="minorEastAsia"/>
          <w:color w:val="000000"/>
          <w:sz w:val="24"/>
          <w:szCs w:val="24"/>
          <w:lang w:eastAsia="zh-CN"/>
        </w:rPr>
        <w:t>d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esten.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  <w:t>Graviditet og amning</w:t>
      </w:r>
    </w:p>
    <w:p w:rsidR="009B3278" w:rsidRDefault="009B3278" w:rsidP="004F48E4">
      <w:pPr>
        <w:keepNext/>
        <w:ind w:left="851"/>
        <w:rPr>
          <w:rFonts w:eastAsiaTheme="minorEastAsia"/>
          <w:color w:val="000000"/>
          <w:sz w:val="24"/>
          <w:szCs w:val="24"/>
          <w:u w:val="single"/>
          <w:lang w:eastAsia="zh-CN"/>
        </w:rPr>
      </w:pPr>
    </w:p>
    <w:p w:rsidR="004F48E4" w:rsidRPr="004F48E4" w:rsidRDefault="004F48E4" w:rsidP="004F48E4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u w:val="single"/>
          <w:lang w:eastAsia="zh-CN"/>
        </w:rPr>
        <w:t>Graviditet</w:t>
      </w:r>
    </w:p>
    <w:p w:rsidR="004F48E4" w:rsidRPr="004F48E4" w:rsidRDefault="004F48E4" w:rsidP="004F48E4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Der er ingen eller meget få oplysninger om brugen af ​​UDCA hos gravide kvinder. Undersøgelser hos dyr har vist reproduktionstoksicitet i den tidlige drægtighedsperiode (se pkt. 5.3). </w:t>
      </w:r>
      <w:proofErr w:type="spellStart"/>
      <w:r w:rsidR="00522DB5">
        <w:rPr>
          <w:rFonts w:eastAsiaTheme="minorEastAsia"/>
          <w:color w:val="000000"/>
          <w:sz w:val="24"/>
          <w:szCs w:val="24"/>
          <w:lang w:eastAsia="zh-CN"/>
        </w:rPr>
        <w:t>Ursosan</w:t>
      </w:r>
      <w:proofErr w:type="spellEnd"/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må ikke anvendes under graviditet, medmindre det er klart nødvendigt.</w:t>
      </w:r>
    </w:p>
    <w:p w:rsidR="004F48E4" w:rsidRPr="004F48E4" w:rsidRDefault="004F48E4" w:rsidP="004F48E4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4F48E4" w:rsidRPr="004F48E4" w:rsidRDefault="004F48E4" w:rsidP="004F48E4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>Kvinder i den fødedygtig</w:t>
      </w:r>
      <w:r w:rsidR="00A90D8D">
        <w:rPr>
          <w:rFonts w:eastAsiaTheme="minorEastAsia"/>
          <w:color w:val="000000"/>
          <w:sz w:val="24"/>
          <w:szCs w:val="24"/>
          <w:lang w:eastAsia="zh-CN"/>
        </w:rPr>
        <w:t>e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alder bør kun behandles, hvis de bruger pålidelig prævention: Præventionsmidler som ikke er hormonelle og med lav østrogen</w:t>
      </w:r>
      <w:r w:rsidR="00A90D8D">
        <w:rPr>
          <w:rFonts w:eastAsiaTheme="minorEastAsia"/>
          <w:color w:val="000000"/>
          <w:sz w:val="24"/>
          <w:szCs w:val="24"/>
          <w:lang w:eastAsia="zh-CN"/>
        </w:rPr>
        <w:t>dosis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anbefales. Hos patienter, der tager </w:t>
      </w:r>
      <w:proofErr w:type="spellStart"/>
      <w:r w:rsidR="00522DB5">
        <w:rPr>
          <w:rFonts w:eastAsiaTheme="minorEastAsia"/>
          <w:color w:val="000000"/>
          <w:sz w:val="24"/>
          <w:szCs w:val="24"/>
          <w:lang w:eastAsia="zh-CN"/>
        </w:rPr>
        <w:t>Ursosan</w:t>
      </w:r>
      <w:proofErr w:type="spellEnd"/>
      <w:r w:rsidR="00620035">
        <w:rPr>
          <w:rFonts w:eastAsiaTheme="minorEastAsia"/>
          <w:color w:val="000000"/>
          <w:sz w:val="24"/>
          <w:szCs w:val="24"/>
          <w:lang w:eastAsia="zh-CN"/>
        </w:rPr>
        <w:t xml:space="preserve"> til opløsning af gald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esten, bør der imidlertid anvendes en effektiv ikke-hormonal prævention, da hormonale orale præventionsmidler kan øge </w:t>
      </w:r>
      <w:proofErr w:type="spellStart"/>
      <w:r w:rsidRPr="004F48E4">
        <w:rPr>
          <w:rFonts w:eastAsiaTheme="minorEastAsia"/>
          <w:color w:val="000000"/>
          <w:sz w:val="24"/>
          <w:szCs w:val="24"/>
          <w:lang w:eastAsia="zh-CN"/>
        </w:rPr>
        <w:t>biliær</w:t>
      </w:r>
      <w:proofErr w:type="spellEnd"/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proofErr w:type="spellStart"/>
      <w:r w:rsidRPr="004F48E4">
        <w:rPr>
          <w:rFonts w:eastAsiaTheme="minorEastAsia"/>
          <w:color w:val="000000"/>
          <w:sz w:val="24"/>
          <w:szCs w:val="24"/>
          <w:lang w:eastAsia="zh-CN"/>
        </w:rPr>
        <w:t>lithiasis</w:t>
      </w:r>
      <w:proofErr w:type="spellEnd"/>
      <w:r w:rsidRPr="004F48E4">
        <w:rPr>
          <w:rFonts w:eastAsiaTheme="minorEastAsia"/>
          <w:color w:val="000000"/>
          <w:sz w:val="24"/>
          <w:szCs w:val="24"/>
          <w:lang w:eastAsia="zh-CN"/>
        </w:rPr>
        <w:t>.</w:t>
      </w:r>
    </w:p>
    <w:p w:rsidR="004F48E4" w:rsidRPr="004F48E4" w:rsidRDefault="004F48E4" w:rsidP="004F48E4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>Muligheden for graviditet skal udelukkes, før behandlingen påbegyndes.</w:t>
      </w:r>
    </w:p>
    <w:p w:rsidR="004F48E4" w:rsidRPr="004F48E4" w:rsidRDefault="004F48E4" w:rsidP="004F48E4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4F48E4" w:rsidRPr="004F48E4" w:rsidRDefault="004F48E4" w:rsidP="004F48E4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u w:val="single"/>
          <w:lang w:eastAsia="zh-CN"/>
        </w:rPr>
        <w:t>Amning</w:t>
      </w:r>
    </w:p>
    <w:p w:rsidR="004F48E4" w:rsidRPr="004F48E4" w:rsidRDefault="004F48E4" w:rsidP="004F48E4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Ifølge få dokumenterede tilfælde </w:t>
      </w:r>
      <w:r w:rsidR="00306519">
        <w:rPr>
          <w:rFonts w:eastAsiaTheme="minorEastAsia"/>
          <w:color w:val="000000"/>
          <w:sz w:val="24"/>
          <w:szCs w:val="24"/>
          <w:lang w:eastAsia="zh-CN"/>
        </w:rPr>
        <w:t>hos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ammende kvinder er mælkeniveauerne af </w:t>
      </w:r>
      <w:proofErr w:type="spellStart"/>
      <w:r w:rsidRPr="004F48E4"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proofErr w:type="spellEnd"/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meget lave, og sandsynligvis er der ingen negative reaktioner hos </w:t>
      </w:r>
      <w:r w:rsidR="00306519">
        <w:rPr>
          <w:rFonts w:eastAsiaTheme="minorEastAsia"/>
          <w:color w:val="000000"/>
          <w:sz w:val="24"/>
          <w:szCs w:val="24"/>
          <w:lang w:eastAsia="zh-CN"/>
        </w:rPr>
        <w:t>diende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spædbørn.</w:t>
      </w:r>
    </w:p>
    <w:p w:rsidR="004F48E4" w:rsidRPr="004F48E4" w:rsidRDefault="004F48E4" w:rsidP="004F48E4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4F48E4" w:rsidRPr="004F48E4" w:rsidRDefault="004F48E4" w:rsidP="004F48E4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u w:val="single"/>
          <w:lang w:eastAsia="zh-CN"/>
        </w:rPr>
        <w:t>Fertilitet</w:t>
      </w:r>
    </w:p>
    <w:p w:rsidR="009260DE" w:rsidRPr="00104616" w:rsidRDefault="004F48E4" w:rsidP="00104616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Dyreforsøg viste ikke, at UDCA påvirker fertiliteten (se pkt. 5.3). Der er ingen </w:t>
      </w:r>
      <w:r w:rsidR="00104616">
        <w:rPr>
          <w:rFonts w:eastAsiaTheme="minorEastAsia"/>
          <w:color w:val="000000"/>
          <w:sz w:val="24"/>
          <w:szCs w:val="24"/>
          <w:lang w:eastAsia="zh-CN"/>
        </w:rPr>
        <w:t>humane</w:t>
      </w:r>
      <w:r w:rsidRPr="004F48E4">
        <w:rPr>
          <w:rFonts w:eastAsiaTheme="minorEastAsia"/>
          <w:color w:val="000000"/>
          <w:sz w:val="24"/>
          <w:szCs w:val="24"/>
          <w:lang w:eastAsia="zh-CN"/>
        </w:rPr>
        <w:t xml:space="preserve"> data tilgængelige om fertilitetseffekter efter behandling med UDCA.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>Virkninger på evnen til at føre motorkøretøj eller betjene maskiner</w:t>
      </w:r>
    </w:p>
    <w:p w:rsidR="00104616" w:rsidRDefault="00104616" w:rsidP="00104616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 xml:space="preserve">Ikke </w:t>
      </w:r>
      <w:r w:rsidR="00044686">
        <w:rPr>
          <w:rFonts w:eastAsiaTheme="minorEastAsia"/>
          <w:color w:val="000000"/>
          <w:sz w:val="24"/>
          <w:szCs w:val="24"/>
          <w:lang w:eastAsia="zh-CN"/>
        </w:rPr>
        <w:t>m</w:t>
      </w:r>
      <w:r>
        <w:rPr>
          <w:rFonts w:eastAsiaTheme="minorEastAsia"/>
          <w:color w:val="000000"/>
          <w:sz w:val="24"/>
          <w:szCs w:val="24"/>
          <w:lang w:eastAsia="zh-CN"/>
        </w:rPr>
        <w:t>ærkning.</w:t>
      </w:r>
    </w:p>
    <w:p w:rsidR="009260DE" w:rsidRPr="00104616" w:rsidRDefault="009B3278" w:rsidP="00104616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r w:rsidR="00104616">
        <w:rPr>
          <w:rFonts w:eastAsiaTheme="minorEastAsia"/>
          <w:color w:val="000000"/>
          <w:sz w:val="24"/>
          <w:szCs w:val="24"/>
          <w:lang w:eastAsia="zh-CN"/>
        </w:rPr>
        <w:t xml:space="preserve">påvirker ikke eller kun i 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ubetydelig </w:t>
      </w:r>
      <w:r w:rsidR="00104616">
        <w:rPr>
          <w:rFonts w:eastAsiaTheme="minorEastAsia"/>
          <w:color w:val="000000"/>
          <w:sz w:val="24"/>
          <w:szCs w:val="24"/>
          <w:lang w:eastAsia="zh-CN"/>
        </w:rPr>
        <w:t>grad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evnen til at føre motorkøretøj eller betjene maskiner.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Evalueringen af ​​bivirkninger er baseret på følgende frekvens</w:t>
      </w:r>
      <w:r w:rsidR="00CD112D">
        <w:rPr>
          <w:rFonts w:eastAsiaTheme="minorEastAsia"/>
          <w:color w:val="000000"/>
          <w:sz w:val="24"/>
          <w:szCs w:val="24"/>
          <w:lang w:eastAsia="zh-CN"/>
        </w:rPr>
        <w:t>er: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Meget almindelig (≥ 1/10)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Almindelig (≥ 1/100 til &lt;1/10)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Ikke almindelig (≥ 1/1000 til &lt;1/100)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Sjælden (≥ 1</w:t>
      </w:r>
      <w:r w:rsidR="00760A1A">
        <w:rPr>
          <w:rFonts w:eastAsiaTheme="minorEastAsia"/>
          <w:color w:val="000000"/>
          <w:sz w:val="24"/>
          <w:szCs w:val="24"/>
          <w:lang w:eastAsia="zh-CN"/>
        </w:rPr>
        <w:t>/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10.000 til &lt;1</w:t>
      </w:r>
      <w:r w:rsidR="00760A1A">
        <w:rPr>
          <w:rFonts w:eastAsiaTheme="minorEastAsia"/>
          <w:color w:val="000000"/>
          <w:sz w:val="24"/>
          <w:szCs w:val="24"/>
          <w:lang w:eastAsia="zh-CN"/>
        </w:rPr>
        <w:t>/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1.000)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Meget sjælden (&lt;1</w:t>
      </w:r>
      <w:r w:rsidR="00760A1A">
        <w:rPr>
          <w:rFonts w:eastAsiaTheme="minorEastAsia"/>
          <w:color w:val="000000"/>
          <w:sz w:val="24"/>
          <w:szCs w:val="24"/>
          <w:lang w:eastAsia="zh-CN"/>
        </w:rPr>
        <w:t>/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10.000)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Ikke kendt (kan ikke estimeres ud fra </w:t>
      </w:r>
      <w:r w:rsidR="00C30949">
        <w:rPr>
          <w:rFonts w:eastAsiaTheme="minorEastAsia"/>
          <w:color w:val="000000"/>
          <w:sz w:val="24"/>
          <w:szCs w:val="24"/>
          <w:lang w:eastAsia="zh-CN"/>
        </w:rPr>
        <w:t>forhåndenværende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data)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9B3278" w:rsidRPr="009B3278" w:rsidRDefault="009B3278" w:rsidP="009B3278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  <w:proofErr w:type="spellStart"/>
      <w:r w:rsidRPr="009B3278">
        <w:rPr>
          <w:rFonts w:eastAsiaTheme="minorEastAsia"/>
          <w:color w:val="000000"/>
          <w:sz w:val="24"/>
          <w:szCs w:val="24"/>
          <w:u w:val="single"/>
          <w:lang w:eastAsia="zh-CN"/>
        </w:rPr>
        <w:t>Gastrointestinale</w:t>
      </w:r>
      <w:proofErr w:type="spellEnd"/>
      <w:r w:rsidRPr="009B3278">
        <w:rPr>
          <w:rFonts w:eastAsiaTheme="minorEastAsia"/>
          <w:color w:val="000000"/>
          <w:sz w:val="24"/>
          <w:szCs w:val="24"/>
          <w:u w:val="single"/>
          <w:lang w:eastAsia="zh-CN"/>
        </w:rPr>
        <w:t xml:space="preserve"> sygdomme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I kliniske forsøg var rapporter om </w:t>
      </w:r>
      <w:r w:rsidR="00C30949">
        <w:rPr>
          <w:rFonts w:eastAsiaTheme="minorEastAsia"/>
          <w:color w:val="000000"/>
          <w:sz w:val="24"/>
          <w:szCs w:val="24"/>
          <w:lang w:eastAsia="zh-CN"/>
        </w:rPr>
        <w:t>bleg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afføring eller diarré under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r w:rsidR="00C30949">
        <w:rPr>
          <w:rFonts w:eastAsiaTheme="minorEastAsia"/>
          <w:color w:val="000000"/>
          <w:sz w:val="24"/>
          <w:szCs w:val="24"/>
          <w:lang w:eastAsia="zh-CN"/>
        </w:rPr>
        <w:softHyphen/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behandling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almindeligt. 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I meget sjældne tilfælde er der o</w:t>
      </w:r>
      <w:r w:rsidR="00273FB5">
        <w:rPr>
          <w:rFonts w:eastAsiaTheme="minorEastAsia"/>
          <w:color w:val="000000"/>
          <w:sz w:val="24"/>
          <w:szCs w:val="24"/>
          <w:lang w:eastAsia="zh-CN"/>
        </w:rPr>
        <w:t>pstået alvorlig smerte i den øv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r</w:t>
      </w:r>
      <w:r w:rsidR="00273FB5">
        <w:rPr>
          <w:rFonts w:eastAsiaTheme="minorEastAsia"/>
          <w:color w:val="000000"/>
          <w:sz w:val="24"/>
          <w:szCs w:val="24"/>
          <w:lang w:eastAsia="zh-CN"/>
        </w:rPr>
        <w:t xml:space="preserve">e 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højre side </w:t>
      </w:r>
      <w:r w:rsidR="00086093">
        <w:rPr>
          <w:rFonts w:eastAsiaTheme="minorEastAsia"/>
          <w:color w:val="000000"/>
          <w:sz w:val="24"/>
          <w:szCs w:val="24"/>
          <w:lang w:eastAsia="zh-CN"/>
        </w:rPr>
        <w:t>af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maven </w:t>
      </w:r>
      <w:r w:rsidR="00086093">
        <w:rPr>
          <w:rFonts w:eastAsiaTheme="minorEastAsia"/>
          <w:color w:val="000000"/>
          <w:sz w:val="24"/>
          <w:szCs w:val="24"/>
          <w:lang w:eastAsia="zh-CN"/>
        </w:rPr>
        <w:t>ved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behandling af primær </w:t>
      </w:r>
      <w:proofErr w:type="spellStart"/>
      <w:r w:rsidR="00086093">
        <w:rPr>
          <w:rFonts w:eastAsiaTheme="minorEastAsia"/>
          <w:color w:val="000000"/>
          <w:sz w:val="24"/>
          <w:szCs w:val="24"/>
          <w:lang w:eastAsia="zh-CN"/>
        </w:rPr>
        <w:t>biliær</w:t>
      </w:r>
      <w:proofErr w:type="spellEnd"/>
      <w:r w:rsidR="00086093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proofErr w:type="spellStart"/>
      <w:r w:rsidR="00086093">
        <w:rPr>
          <w:rFonts w:eastAsiaTheme="minorEastAsia"/>
          <w:color w:val="000000"/>
          <w:sz w:val="24"/>
          <w:szCs w:val="24"/>
          <w:lang w:eastAsia="zh-CN"/>
        </w:rPr>
        <w:t>k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olangitis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>.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9B3278" w:rsidRPr="009B3278" w:rsidRDefault="009B3278" w:rsidP="009B3278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u w:val="single"/>
          <w:lang w:eastAsia="zh-CN"/>
        </w:rPr>
        <w:t>Lever og galdeveje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Under behandling med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ursodeoxy</w:t>
      </w:r>
      <w:r w:rsidR="00965F48">
        <w:rPr>
          <w:rFonts w:eastAsiaTheme="minorEastAsia"/>
          <w:color w:val="000000"/>
          <w:sz w:val="24"/>
          <w:szCs w:val="24"/>
          <w:lang w:eastAsia="zh-CN"/>
        </w:rPr>
        <w:t>cholsyre</w:t>
      </w:r>
      <w:proofErr w:type="spellEnd"/>
      <w:r w:rsidR="00965F48">
        <w:rPr>
          <w:rFonts w:eastAsiaTheme="minorEastAsia"/>
          <w:color w:val="000000"/>
          <w:sz w:val="24"/>
          <w:szCs w:val="24"/>
          <w:lang w:eastAsia="zh-CN"/>
        </w:rPr>
        <w:t xml:space="preserve"> kan forkalkning af gald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esten forekomme i meget sjældne tilfælde. 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lastRenderedPageBreak/>
        <w:t xml:space="preserve">Under behandling af de fremskredne stadier af primær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biliær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kolangitis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er der i meget sjældne tilfælde observeret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dekompens</w:t>
      </w:r>
      <w:r w:rsidR="00B81B70">
        <w:rPr>
          <w:rFonts w:eastAsiaTheme="minorEastAsia"/>
          <w:color w:val="000000"/>
          <w:sz w:val="24"/>
          <w:szCs w:val="24"/>
          <w:lang w:eastAsia="zh-CN"/>
        </w:rPr>
        <w:t>ation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af levercirrose, som </w:t>
      </w:r>
      <w:r w:rsidR="005E3E21">
        <w:rPr>
          <w:rFonts w:eastAsiaTheme="minorEastAsia"/>
          <w:color w:val="000000"/>
          <w:sz w:val="24"/>
          <w:szCs w:val="24"/>
          <w:lang w:eastAsia="zh-CN"/>
        </w:rPr>
        <w:t>e</w:t>
      </w:r>
      <w:r w:rsidR="003D67F3">
        <w:rPr>
          <w:rFonts w:eastAsiaTheme="minorEastAsia"/>
          <w:color w:val="000000"/>
          <w:sz w:val="24"/>
          <w:szCs w:val="24"/>
          <w:lang w:eastAsia="zh-CN"/>
        </w:rPr>
        <w:t xml:space="preserve">r 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delvist </w:t>
      </w:r>
      <w:r w:rsidR="003D67F3">
        <w:rPr>
          <w:rFonts w:eastAsiaTheme="minorEastAsia"/>
          <w:color w:val="000000"/>
          <w:sz w:val="24"/>
          <w:szCs w:val="24"/>
          <w:lang w:eastAsia="zh-CN"/>
        </w:rPr>
        <w:t>reversibel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efter behandlingen </w:t>
      </w:r>
      <w:r w:rsidR="00EC257F">
        <w:rPr>
          <w:rFonts w:eastAsiaTheme="minorEastAsia"/>
          <w:color w:val="000000"/>
          <w:sz w:val="24"/>
          <w:szCs w:val="24"/>
          <w:lang w:eastAsia="zh-CN"/>
        </w:rPr>
        <w:t xml:space="preserve">er 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blev</w:t>
      </w:r>
      <w:r w:rsidR="00EC257F">
        <w:rPr>
          <w:rFonts w:eastAsiaTheme="minorEastAsia"/>
          <w:color w:val="000000"/>
          <w:sz w:val="24"/>
          <w:szCs w:val="24"/>
          <w:lang w:eastAsia="zh-CN"/>
        </w:rPr>
        <w:t>et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afbrudt.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9B3278" w:rsidRPr="009B3278" w:rsidRDefault="009B3278" w:rsidP="009B3278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u w:val="single"/>
          <w:lang w:eastAsia="zh-CN"/>
        </w:rPr>
        <w:t>Hud- og subkutane sygdomme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Urticaria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kan forekomme i meget sjældne tilfælde.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3C293F" w:rsidRDefault="003C293F" w:rsidP="003C293F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  <w:lang w:eastAsia="da-DK"/>
        </w:rPr>
        <w:t>Indberetning af formodede bivirkninger</w:t>
      </w:r>
    </w:p>
    <w:p w:rsidR="003C293F" w:rsidRDefault="003C293F" w:rsidP="003C293F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Når lægemidlet er godkendt, er indberetning af formodede bivirkninger vigtig. Det muliggør løbende overvågning af </w:t>
      </w:r>
      <w:proofErr w:type="spellStart"/>
      <w:r>
        <w:rPr>
          <w:sz w:val="24"/>
          <w:szCs w:val="24"/>
          <w:lang w:eastAsia="da-DK"/>
        </w:rPr>
        <w:t>benefit</w:t>
      </w:r>
      <w:proofErr w:type="spellEnd"/>
      <w:r>
        <w:rPr>
          <w:sz w:val="24"/>
          <w:szCs w:val="24"/>
          <w:lang w:eastAsia="da-DK"/>
        </w:rPr>
        <w:t>/</w:t>
      </w:r>
      <w:proofErr w:type="spellStart"/>
      <w:r>
        <w:rPr>
          <w:sz w:val="24"/>
          <w:szCs w:val="24"/>
          <w:lang w:eastAsia="da-DK"/>
        </w:rPr>
        <w:t>risk</w:t>
      </w:r>
      <w:proofErr w:type="spellEnd"/>
      <w:r>
        <w:rPr>
          <w:sz w:val="24"/>
          <w:szCs w:val="24"/>
          <w:lang w:eastAsia="da-DK"/>
        </w:rPr>
        <w:t>-forholdet for lægemidlet. Læger og sundhedspersonale anmodes om at indberette alle formodede bivirkninger via:</w:t>
      </w:r>
    </w:p>
    <w:p w:rsidR="003C293F" w:rsidRDefault="003C293F" w:rsidP="003C293F">
      <w:pPr>
        <w:ind w:left="851"/>
        <w:rPr>
          <w:sz w:val="24"/>
          <w:szCs w:val="24"/>
          <w:lang w:eastAsia="da-DK"/>
        </w:rPr>
      </w:pPr>
    </w:p>
    <w:p w:rsidR="003C293F" w:rsidRDefault="003C293F" w:rsidP="003C293F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Lægemiddelstyrelsen</w:t>
      </w:r>
    </w:p>
    <w:p w:rsidR="003C293F" w:rsidRDefault="003C293F" w:rsidP="003C293F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Axel Heides Gade 1</w:t>
      </w:r>
    </w:p>
    <w:p w:rsidR="003C293F" w:rsidRDefault="003C293F" w:rsidP="003C293F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DK-2300 København S</w:t>
      </w:r>
    </w:p>
    <w:p w:rsidR="003C293F" w:rsidRDefault="003C293F" w:rsidP="003C293F">
      <w:pPr>
        <w:ind w:left="851"/>
        <w:rPr>
          <w:sz w:val="24"/>
          <w:szCs w:val="24"/>
          <w:lang w:val="en-US" w:eastAsia="da-DK"/>
        </w:rPr>
      </w:pPr>
      <w:proofErr w:type="spellStart"/>
      <w:r>
        <w:rPr>
          <w:sz w:val="24"/>
          <w:szCs w:val="24"/>
          <w:lang w:val="en-US" w:eastAsia="da-DK"/>
        </w:rPr>
        <w:t>Websted</w:t>
      </w:r>
      <w:proofErr w:type="spellEnd"/>
      <w:r>
        <w:rPr>
          <w:sz w:val="24"/>
          <w:szCs w:val="24"/>
          <w:lang w:val="en-US" w:eastAsia="da-DK"/>
        </w:rPr>
        <w:t xml:space="preserve">: </w:t>
      </w:r>
      <w:r>
        <w:rPr>
          <w:sz w:val="24"/>
          <w:lang w:val="en-US" w:eastAsia="da-DK"/>
        </w:rPr>
        <w:t>www.meldenbivirkning.dk</w:t>
      </w:r>
    </w:p>
    <w:p w:rsidR="003C293F" w:rsidRDefault="003C293F" w:rsidP="003C293F">
      <w:pPr>
        <w:ind w:left="851"/>
        <w:rPr>
          <w:color w:val="0000FF"/>
          <w:sz w:val="24"/>
          <w:szCs w:val="22"/>
          <w:u w:val="single"/>
          <w:lang w:val="en-US" w:eastAsia="da-DK"/>
        </w:rPr>
      </w:pPr>
      <w:r>
        <w:rPr>
          <w:sz w:val="24"/>
          <w:szCs w:val="24"/>
          <w:lang w:val="en-US" w:eastAsia="da-DK"/>
        </w:rPr>
        <w:t xml:space="preserve">E-mail: </w:t>
      </w:r>
      <w:r>
        <w:rPr>
          <w:sz w:val="24"/>
          <w:lang w:val="en-US" w:eastAsia="da-DK"/>
        </w:rPr>
        <w:t>dkma@dkma.dk</w:t>
      </w:r>
    </w:p>
    <w:p w:rsidR="009260DE" w:rsidRPr="004B075A" w:rsidRDefault="009260DE" w:rsidP="009260DE">
      <w:pPr>
        <w:pStyle w:val="Sidehoved"/>
        <w:tabs>
          <w:tab w:val="left" w:pos="851"/>
        </w:tabs>
        <w:ind w:left="851"/>
        <w:rPr>
          <w:szCs w:val="24"/>
          <w:lang w:val="en-US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Diarré kan forekomme i tilfælde af overdosering. Generelt er andre symptomer på overdosering usandsynlig</w:t>
      </w:r>
      <w:r w:rsidR="000C41B7">
        <w:rPr>
          <w:rFonts w:eastAsiaTheme="minorEastAsia"/>
          <w:color w:val="000000"/>
          <w:sz w:val="24"/>
          <w:szCs w:val="24"/>
          <w:lang w:eastAsia="zh-CN"/>
        </w:rPr>
        <w:t>e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, fordi absorptionen af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falder med stigende dosis, og derfor udskilles der mere med fæces.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Der er ikke behov for specifikke modforanstaltninger, og konsekvenserne af diarré skal behandles symptomatisk med genopretning af væske- og elektrolytbalancen.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9B3278" w:rsidRPr="009B3278" w:rsidRDefault="009B3278" w:rsidP="009B3278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u w:val="single"/>
          <w:lang w:eastAsia="zh-CN"/>
        </w:rPr>
        <w:t>Yderligere oplysninger om særlige befolkningsgrupper</w:t>
      </w:r>
    </w:p>
    <w:p w:rsidR="009260DE" w:rsidRPr="00905BB7" w:rsidRDefault="009B3278" w:rsidP="00905BB7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Langvarig behandling med UDCA </w:t>
      </w:r>
      <w:r w:rsidR="000C41B7">
        <w:rPr>
          <w:rFonts w:eastAsiaTheme="minorEastAsia"/>
          <w:color w:val="000000"/>
          <w:sz w:val="24"/>
          <w:szCs w:val="24"/>
          <w:lang w:eastAsia="zh-CN"/>
        </w:rPr>
        <w:t>i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høj</w:t>
      </w:r>
      <w:r w:rsidR="000C41B7">
        <w:rPr>
          <w:rFonts w:eastAsiaTheme="minorEastAsia"/>
          <w:color w:val="000000"/>
          <w:sz w:val="24"/>
          <w:szCs w:val="24"/>
          <w:lang w:eastAsia="zh-CN"/>
        </w:rPr>
        <w:t>e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dos</w:t>
      </w:r>
      <w:r w:rsidR="000C41B7">
        <w:rPr>
          <w:rFonts w:eastAsiaTheme="minorEastAsia"/>
          <w:color w:val="000000"/>
          <w:sz w:val="24"/>
          <w:szCs w:val="24"/>
          <w:lang w:eastAsia="zh-CN"/>
        </w:rPr>
        <w:t>er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(28-30 mg</w:t>
      </w:r>
      <w:r w:rsidR="00760A1A">
        <w:rPr>
          <w:rFonts w:eastAsiaTheme="minorEastAsia"/>
          <w:color w:val="000000"/>
          <w:sz w:val="24"/>
          <w:szCs w:val="24"/>
          <w:lang w:eastAsia="zh-CN"/>
        </w:rPr>
        <w:t>/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kg</w:t>
      </w:r>
      <w:r w:rsidR="00760A1A">
        <w:rPr>
          <w:rFonts w:eastAsiaTheme="minorEastAsia"/>
          <w:color w:val="000000"/>
          <w:sz w:val="24"/>
          <w:szCs w:val="24"/>
          <w:lang w:eastAsia="zh-CN"/>
        </w:rPr>
        <w:t>/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dag) hos patienter med primær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skleroserende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proofErr w:type="spellStart"/>
      <w:r w:rsidR="000C41B7">
        <w:rPr>
          <w:rFonts w:eastAsiaTheme="minorEastAsia"/>
          <w:color w:val="000000"/>
          <w:sz w:val="24"/>
          <w:szCs w:val="24"/>
          <w:lang w:eastAsia="zh-CN"/>
        </w:rPr>
        <w:t>k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olangitis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(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off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>-label</w:t>
      </w:r>
      <w:r w:rsidR="000C41B7">
        <w:rPr>
          <w:rFonts w:eastAsiaTheme="minorEastAsia"/>
          <w:color w:val="000000"/>
          <w:sz w:val="24"/>
          <w:szCs w:val="24"/>
          <w:lang w:eastAsia="zh-CN"/>
        </w:rPr>
        <w:t xml:space="preserve"> anvendelse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) var forbundet med flere alvorlige bivirkninger.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9260DE" w:rsidRPr="00C84483" w:rsidRDefault="00B00B76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5.0</w:t>
      </w:r>
      <w:r w:rsidRPr="00C84483">
        <w:rPr>
          <w:b/>
          <w:sz w:val="24"/>
          <w:szCs w:val="24"/>
        </w:rPr>
        <w:tab/>
        <w:t>Terapeutisk klassifikation</w:t>
      </w:r>
    </w:p>
    <w:p w:rsidR="009260DE" w:rsidRPr="00C84483" w:rsidRDefault="00F66257" w:rsidP="00F66257">
      <w:pPr>
        <w:ind w:left="851"/>
        <w:rPr>
          <w:sz w:val="24"/>
          <w:szCs w:val="24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ATC-kode: A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05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AA</w:t>
      </w:r>
      <w:r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02</w:t>
      </w:r>
      <w:r>
        <w:rPr>
          <w:rFonts w:eastAsiaTheme="minorEastAsia"/>
          <w:color w:val="000000"/>
          <w:sz w:val="24"/>
          <w:szCs w:val="24"/>
          <w:lang w:eastAsia="zh-CN"/>
        </w:rPr>
        <w:t>. G</w:t>
      </w:r>
      <w:r w:rsidR="009B3278" w:rsidRPr="009B3278">
        <w:rPr>
          <w:rFonts w:eastAsiaTheme="minorEastAsia"/>
          <w:color w:val="000000"/>
          <w:sz w:val="24"/>
          <w:szCs w:val="24"/>
          <w:lang w:eastAsia="zh-CN"/>
        </w:rPr>
        <w:t>alde</w:t>
      </w:r>
      <w:r>
        <w:rPr>
          <w:rFonts w:eastAsiaTheme="minorEastAsia"/>
          <w:color w:val="000000"/>
          <w:sz w:val="24"/>
          <w:szCs w:val="24"/>
          <w:lang w:eastAsia="zh-CN"/>
        </w:rPr>
        <w:t>syrepræparater.</w:t>
      </w:r>
      <w:r w:rsidRPr="00C84483">
        <w:rPr>
          <w:sz w:val="24"/>
          <w:szCs w:val="24"/>
        </w:rPr>
        <w:t xml:space="preserve"> 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Ursodeoxycho</w:t>
      </w:r>
      <w:r w:rsidR="000A09B7">
        <w:rPr>
          <w:rFonts w:eastAsiaTheme="minorEastAsia"/>
          <w:color w:val="000000"/>
          <w:sz w:val="24"/>
          <w:szCs w:val="24"/>
          <w:lang w:eastAsia="zh-CN"/>
        </w:rPr>
        <w:t>lsyre</w:t>
      </w:r>
      <w:proofErr w:type="spellEnd"/>
      <w:r w:rsidR="000A09B7">
        <w:rPr>
          <w:rFonts w:eastAsiaTheme="minorEastAsia"/>
          <w:color w:val="000000"/>
          <w:sz w:val="24"/>
          <w:szCs w:val="24"/>
          <w:lang w:eastAsia="zh-CN"/>
        </w:rPr>
        <w:t xml:space="preserve"> findes i små mængder i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r w:rsidR="000A09B7">
        <w:rPr>
          <w:rFonts w:eastAsiaTheme="minorEastAsia"/>
          <w:color w:val="000000"/>
          <w:sz w:val="24"/>
          <w:szCs w:val="24"/>
          <w:lang w:eastAsia="zh-CN"/>
        </w:rPr>
        <w:t>human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galde.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Ved oral administration inducerer det en nedgang i kolesterolmætning af galdeblæren gennem blokering af kolesterolresorption i tarmen og </w:t>
      </w:r>
      <w:r w:rsidR="002D44FD">
        <w:rPr>
          <w:rFonts w:eastAsiaTheme="minorEastAsia"/>
          <w:color w:val="000000"/>
          <w:sz w:val="24"/>
          <w:szCs w:val="24"/>
          <w:lang w:eastAsia="zh-CN"/>
        </w:rPr>
        <w:t>fald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i kolesterolsekretionen til gal</w:t>
      </w:r>
      <w:r w:rsidR="00577DF3">
        <w:rPr>
          <w:rFonts w:eastAsiaTheme="minorEastAsia"/>
          <w:color w:val="000000"/>
          <w:sz w:val="24"/>
          <w:szCs w:val="24"/>
          <w:lang w:eastAsia="zh-CN"/>
        </w:rPr>
        <w:t>d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en. En gradvis nedbrydning af kolesterolgaldesten opnås formodentlig ved dispersion af kolesterol og dannelse af flydende krystaller.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Vir</w:t>
      </w:r>
      <w:r w:rsidR="00577DF3">
        <w:rPr>
          <w:rFonts w:eastAsiaTheme="minorEastAsia"/>
          <w:color w:val="000000"/>
          <w:sz w:val="24"/>
          <w:szCs w:val="24"/>
          <w:lang w:eastAsia="zh-CN"/>
        </w:rPr>
        <w:t>kningen af ​​</w:t>
      </w:r>
      <w:proofErr w:type="spellStart"/>
      <w:r w:rsidR="00577DF3"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proofErr w:type="spellEnd"/>
      <w:r w:rsidR="00577DF3">
        <w:rPr>
          <w:rFonts w:eastAsiaTheme="minorEastAsia"/>
          <w:color w:val="000000"/>
          <w:sz w:val="24"/>
          <w:szCs w:val="24"/>
          <w:lang w:eastAsia="zh-CN"/>
        </w:rPr>
        <w:t xml:space="preserve"> på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lever</w:t>
      </w:r>
      <w:r w:rsidR="00577DF3">
        <w:rPr>
          <w:rFonts w:eastAsiaTheme="minorEastAsia"/>
          <w:color w:val="000000"/>
          <w:sz w:val="24"/>
          <w:szCs w:val="24"/>
          <w:lang w:eastAsia="zh-CN"/>
        </w:rPr>
        <w:t>-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og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kolestatiske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sygdomme e</w:t>
      </w:r>
      <w:r w:rsidR="00CF7940">
        <w:rPr>
          <w:rFonts w:eastAsiaTheme="minorEastAsia"/>
          <w:color w:val="000000"/>
          <w:sz w:val="24"/>
          <w:szCs w:val="24"/>
          <w:lang w:eastAsia="zh-CN"/>
        </w:rPr>
        <w:t>r ifølge den foreliggende viden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baseret på relativ ud</w:t>
      </w:r>
      <w:r w:rsidR="00CF7940">
        <w:rPr>
          <w:rFonts w:eastAsiaTheme="minorEastAsia"/>
          <w:color w:val="000000"/>
          <w:sz w:val="24"/>
          <w:szCs w:val="24"/>
          <w:lang w:eastAsia="zh-CN"/>
        </w:rPr>
        <w:t xml:space="preserve">skiftning 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af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lipofile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, </w:t>
      </w:r>
      <w:r w:rsidR="00CF7940">
        <w:rPr>
          <w:rFonts w:eastAsiaTheme="minorEastAsia"/>
          <w:color w:val="000000"/>
          <w:sz w:val="24"/>
          <w:szCs w:val="24"/>
          <w:lang w:eastAsia="zh-CN"/>
        </w:rPr>
        <w:t>toksiske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galdesyrer til hydrofil, c</w:t>
      </w:r>
      <w:r w:rsidR="009B1852">
        <w:rPr>
          <w:rFonts w:eastAsiaTheme="minorEastAsia"/>
          <w:color w:val="000000"/>
          <w:sz w:val="24"/>
          <w:szCs w:val="24"/>
          <w:lang w:eastAsia="zh-CN"/>
        </w:rPr>
        <w:t>elleb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eskyttende, </w:t>
      </w:r>
      <w:r w:rsidR="009B1852">
        <w:rPr>
          <w:rFonts w:eastAsiaTheme="minorEastAsia"/>
          <w:color w:val="000000"/>
          <w:sz w:val="24"/>
          <w:szCs w:val="24"/>
          <w:lang w:eastAsia="zh-CN"/>
        </w:rPr>
        <w:t>non-toksisk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>, forbedring af</w:t>
      </w:r>
      <w:r w:rsidR="009B1852">
        <w:rPr>
          <w:rFonts w:eastAsiaTheme="minorEastAsia"/>
          <w:color w:val="000000"/>
          <w:sz w:val="24"/>
          <w:szCs w:val="24"/>
          <w:lang w:eastAsia="zh-CN"/>
        </w:rPr>
        <w:t xml:space="preserve"> levercellers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sekretoriske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ydeevne og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immunoregulative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processer.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9B3278" w:rsidRPr="009B3278" w:rsidRDefault="009B3278" w:rsidP="009B3278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u w:val="single"/>
          <w:lang w:eastAsia="zh-CN"/>
        </w:rPr>
        <w:lastRenderedPageBreak/>
        <w:t>Pædiatrisk population</w:t>
      </w:r>
    </w:p>
    <w:p w:rsidR="00C2164C" w:rsidRDefault="00C2164C" w:rsidP="009B3278">
      <w:pPr>
        <w:keepNext/>
        <w:ind w:left="851"/>
        <w:rPr>
          <w:rFonts w:eastAsiaTheme="minorEastAsia"/>
          <w:color w:val="000000"/>
          <w:sz w:val="24"/>
          <w:szCs w:val="24"/>
          <w:u w:val="single"/>
          <w:lang w:eastAsia="zh-CN"/>
        </w:rPr>
      </w:pPr>
    </w:p>
    <w:p w:rsidR="009B3278" w:rsidRPr="00C2164C" w:rsidRDefault="009B3278" w:rsidP="009B3278">
      <w:pPr>
        <w:keepNext/>
        <w:ind w:left="851"/>
        <w:rPr>
          <w:rFonts w:eastAsiaTheme="minorEastAsia"/>
          <w:i/>
          <w:color w:val="000000"/>
          <w:sz w:val="24"/>
          <w:szCs w:val="24"/>
          <w:lang w:eastAsia="zh-CN"/>
        </w:rPr>
      </w:pPr>
      <w:r w:rsidRPr="00C2164C">
        <w:rPr>
          <w:rFonts w:eastAsiaTheme="minorEastAsia"/>
          <w:i/>
          <w:color w:val="000000"/>
          <w:sz w:val="24"/>
          <w:szCs w:val="24"/>
          <w:lang w:eastAsia="zh-CN"/>
        </w:rPr>
        <w:t>Cystisk fibrose</w:t>
      </w:r>
    </w:p>
    <w:p w:rsidR="009260DE" w:rsidRPr="00C2164C" w:rsidRDefault="009B3278" w:rsidP="00C2164C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Kliniske rapporter </w:t>
      </w:r>
      <w:r w:rsidR="00C2164C">
        <w:rPr>
          <w:rFonts w:eastAsiaTheme="minorEastAsia"/>
          <w:color w:val="000000"/>
          <w:sz w:val="24"/>
          <w:szCs w:val="24"/>
          <w:lang w:eastAsia="zh-CN"/>
        </w:rPr>
        <w:t>baseret på lang klinisk erfaring i op til 10 år eller mere</w:t>
      </w:r>
      <w:r w:rsidR="00BB3F93">
        <w:rPr>
          <w:rFonts w:eastAsiaTheme="minorEastAsia"/>
          <w:color w:val="000000"/>
          <w:sz w:val="24"/>
          <w:szCs w:val="24"/>
          <w:lang w:eastAsia="zh-CN"/>
        </w:rPr>
        <w:t xml:space="preserve"> er tilgængelige for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UDCA-behandling hos pædiatriske patienter, der lider af cystisk fibrose-relaterede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hepatobiliære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lidelser (CFAHD). Der er tegn på, at behandl</w:t>
      </w:r>
      <w:r w:rsidR="00BB3F93">
        <w:rPr>
          <w:rFonts w:eastAsiaTheme="minorEastAsia"/>
          <w:color w:val="000000"/>
          <w:sz w:val="24"/>
          <w:szCs w:val="24"/>
          <w:lang w:eastAsia="zh-CN"/>
        </w:rPr>
        <w:t xml:space="preserve">ingen med UDCA kan nedsætte </w:t>
      </w:r>
      <w:proofErr w:type="spellStart"/>
      <w:r w:rsidR="00BB3F93">
        <w:rPr>
          <w:rFonts w:eastAsiaTheme="minorEastAsia"/>
          <w:color w:val="000000"/>
          <w:sz w:val="24"/>
          <w:szCs w:val="24"/>
          <w:lang w:eastAsia="zh-CN"/>
        </w:rPr>
        <w:t>gald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e</w:t>
      </w:r>
      <w:r w:rsidR="00BB3F93">
        <w:rPr>
          <w:rFonts w:eastAsiaTheme="minorEastAsia"/>
          <w:color w:val="000000"/>
          <w:sz w:val="24"/>
          <w:szCs w:val="24"/>
          <w:lang w:eastAsia="zh-CN"/>
        </w:rPr>
        <w:t>vejs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proliferation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>, hæmme progressionen af ​​histol</w:t>
      </w:r>
      <w:r w:rsidR="00BB3F93">
        <w:rPr>
          <w:rFonts w:eastAsiaTheme="minorEastAsia"/>
          <w:color w:val="000000"/>
          <w:sz w:val="24"/>
          <w:szCs w:val="24"/>
          <w:lang w:eastAsia="zh-CN"/>
        </w:rPr>
        <w:t>ogisk skade og endda reversere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hepatobiliære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ændringer, hvis det gives i et tidlig stadium af CFAHD. Behandlingen med UDCA bør påbegyndes, så snart diagnosen CFAHD </w:t>
      </w:r>
      <w:r w:rsidR="006E34AF">
        <w:rPr>
          <w:rFonts w:eastAsiaTheme="minorEastAsia"/>
          <w:color w:val="000000"/>
          <w:sz w:val="24"/>
          <w:szCs w:val="24"/>
          <w:lang w:eastAsia="zh-CN"/>
        </w:rPr>
        <w:t>stilles,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for at optimere behandlingseffektiviteten.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5E57C2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proofErr w:type="spellEnd"/>
      <w:r w:rsidR="006E34AF">
        <w:rPr>
          <w:rFonts w:eastAsiaTheme="minorEastAsia"/>
          <w:color w:val="000000"/>
          <w:sz w:val="24"/>
          <w:szCs w:val="24"/>
          <w:lang w:eastAsia="zh-CN"/>
        </w:rPr>
        <w:t>,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der er administreret oral</w:t>
      </w:r>
      <w:r w:rsidR="006E34AF">
        <w:rPr>
          <w:rFonts w:eastAsiaTheme="minorEastAsia"/>
          <w:color w:val="000000"/>
          <w:sz w:val="24"/>
          <w:szCs w:val="24"/>
          <w:lang w:eastAsia="zh-CN"/>
        </w:rPr>
        <w:t xml:space="preserve">t, 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resorberes hurtigt </w:t>
      </w:r>
      <w:r w:rsidR="005E57C2" w:rsidRPr="009B3278">
        <w:rPr>
          <w:rFonts w:eastAsiaTheme="minorEastAsia"/>
          <w:color w:val="000000"/>
          <w:sz w:val="24"/>
          <w:szCs w:val="24"/>
          <w:lang w:eastAsia="zh-CN"/>
        </w:rPr>
        <w:t xml:space="preserve">gennem passiv </w:t>
      </w:r>
      <w:r w:rsidR="005E57C2">
        <w:rPr>
          <w:rFonts w:eastAsiaTheme="minorEastAsia"/>
          <w:color w:val="000000"/>
          <w:sz w:val="24"/>
          <w:szCs w:val="24"/>
          <w:lang w:eastAsia="zh-CN"/>
        </w:rPr>
        <w:t xml:space="preserve">transport 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i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jejunum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og øvre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ileum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og </w:t>
      </w:r>
      <w:r w:rsidR="005E57C2">
        <w:rPr>
          <w:rFonts w:eastAsiaTheme="minorEastAsia"/>
          <w:color w:val="000000"/>
          <w:sz w:val="24"/>
          <w:szCs w:val="24"/>
          <w:lang w:eastAsia="zh-CN"/>
        </w:rPr>
        <w:t xml:space="preserve">ved aktiv transport 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i </w:t>
      </w:r>
      <w:r w:rsidR="005E57C2">
        <w:rPr>
          <w:rFonts w:eastAsiaTheme="minorEastAsia"/>
          <w:color w:val="000000"/>
          <w:sz w:val="24"/>
          <w:szCs w:val="24"/>
          <w:lang w:eastAsia="zh-CN"/>
        </w:rPr>
        <w:t xml:space="preserve">terminal </w:t>
      </w:r>
      <w:proofErr w:type="spellStart"/>
      <w:r w:rsidR="005E57C2">
        <w:rPr>
          <w:rFonts w:eastAsiaTheme="minorEastAsia"/>
          <w:color w:val="000000"/>
          <w:sz w:val="24"/>
          <w:szCs w:val="24"/>
          <w:lang w:eastAsia="zh-CN"/>
        </w:rPr>
        <w:t>ileum</w:t>
      </w:r>
      <w:proofErr w:type="spellEnd"/>
      <w:r w:rsidR="005E57C2">
        <w:rPr>
          <w:rFonts w:eastAsiaTheme="minorEastAsia"/>
          <w:color w:val="000000"/>
          <w:sz w:val="24"/>
          <w:szCs w:val="24"/>
          <w:lang w:eastAsia="zh-CN"/>
        </w:rPr>
        <w:t>.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Resorptionshastigheden udgør generelt 60-80</w:t>
      </w:r>
      <w:r w:rsidR="00522DB5">
        <w:rPr>
          <w:rFonts w:eastAsiaTheme="minorEastAsia"/>
          <w:color w:val="000000"/>
          <w:sz w:val="24"/>
          <w:szCs w:val="24"/>
          <w:lang w:eastAsia="zh-CN"/>
        </w:rPr>
        <w:t xml:space="preserve"> %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. Efter resorption konjugerer galdesyren næsten fuldstændigt med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glycin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- og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taurinaminosyrerne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i leveren, og derefter følger gal</w:t>
      </w:r>
      <w:r w:rsidR="00B15E97">
        <w:rPr>
          <w:rFonts w:eastAsiaTheme="minorEastAsia"/>
          <w:color w:val="000000"/>
          <w:sz w:val="24"/>
          <w:szCs w:val="24"/>
          <w:lang w:eastAsia="zh-CN"/>
        </w:rPr>
        <w:t>de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udskillelsen. </w:t>
      </w:r>
      <w:r w:rsidR="00490AD1">
        <w:rPr>
          <w:rFonts w:eastAsiaTheme="minorEastAsia"/>
          <w:color w:val="000000"/>
          <w:sz w:val="24"/>
          <w:szCs w:val="24"/>
          <w:lang w:eastAsia="zh-CN"/>
        </w:rPr>
        <w:t>First-</w:t>
      </w:r>
      <w:proofErr w:type="spellStart"/>
      <w:r w:rsidR="00490AD1">
        <w:rPr>
          <w:rFonts w:eastAsiaTheme="minorEastAsia"/>
          <w:color w:val="000000"/>
          <w:sz w:val="24"/>
          <w:szCs w:val="24"/>
          <w:lang w:eastAsia="zh-CN"/>
        </w:rPr>
        <w:t>pass</w:t>
      </w:r>
      <w:proofErr w:type="spellEnd"/>
      <w:r w:rsidR="00490AD1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proofErr w:type="spellStart"/>
      <w:r w:rsidR="00490AD1">
        <w:rPr>
          <w:rFonts w:eastAsiaTheme="minorEastAsia"/>
          <w:color w:val="000000"/>
          <w:sz w:val="24"/>
          <w:szCs w:val="24"/>
          <w:lang w:eastAsia="zh-CN"/>
        </w:rPr>
        <w:t>clearance</w:t>
      </w:r>
      <w:proofErr w:type="spellEnd"/>
      <w:r w:rsidR="00490AD1">
        <w:rPr>
          <w:rFonts w:eastAsiaTheme="minorEastAsia"/>
          <w:color w:val="000000"/>
          <w:sz w:val="24"/>
          <w:szCs w:val="24"/>
          <w:lang w:eastAsia="zh-CN"/>
        </w:rPr>
        <w:t xml:space="preserve"> i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leveren udgør op til 60</w:t>
      </w:r>
      <w:r w:rsidR="00522DB5">
        <w:rPr>
          <w:rFonts w:eastAsiaTheme="minorEastAsia"/>
          <w:color w:val="000000"/>
          <w:sz w:val="24"/>
          <w:szCs w:val="24"/>
          <w:lang w:eastAsia="zh-CN"/>
        </w:rPr>
        <w:t xml:space="preserve"> %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.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Afhængig</w:t>
      </w:r>
      <w:r w:rsidR="00CD0553">
        <w:rPr>
          <w:rFonts w:eastAsiaTheme="minorEastAsia"/>
          <w:color w:val="000000"/>
          <w:sz w:val="24"/>
          <w:szCs w:val="24"/>
          <w:lang w:eastAsia="zh-CN"/>
        </w:rPr>
        <w:t>t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af den daglige dosis og den underliggende sygdom eller levertilstanden</w:t>
      </w:r>
      <w:r w:rsidR="00CD0553">
        <w:rPr>
          <w:rFonts w:eastAsiaTheme="minorEastAsia"/>
          <w:color w:val="000000"/>
          <w:sz w:val="24"/>
          <w:szCs w:val="24"/>
          <w:lang w:eastAsia="zh-CN"/>
        </w:rPr>
        <w:t xml:space="preserve"> akkumuleres mere hydrofil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i gal</w:t>
      </w:r>
      <w:r w:rsidR="00CD0553">
        <w:rPr>
          <w:rFonts w:eastAsiaTheme="minorEastAsia"/>
          <w:color w:val="000000"/>
          <w:sz w:val="24"/>
          <w:szCs w:val="24"/>
          <w:lang w:eastAsia="zh-CN"/>
        </w:rPr>
        <w:t>d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en. Samtidig foregår en relativ reduktion af den anden, mere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lipofile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galdesyre.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I tarmen sker en delvis bakteriel nedbrydning til 7-keto-lithocholsyre og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lithocholsyre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.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Litocholsyre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er levertoksisk og inducerer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leverparenkymskader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r w:rsidR="000C67DE">
        <w:rPr>
          <w:rFonts w:eastAsiaTheme="minorEastAsia"/>
          <w:color w:val="000000"/>
          <w:sz w:val="24"/>
          <w:szCs w:val="24"/>
          <w:lang w:eastAsia="zh-CN"/>
        </w:rPr>
        <w:t>hos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en række dyrearter. Hos mennesker resorbere</w:t>
      </w:r>
      <w:r w:rsidR="000C67DE">
        <w:rPr>
          <w:rFonts w:eastAsiaTheme="minorEastAsia"/>
          <w:color w:val="000000"/>
          <w:sz w:val="24"/>
          <w:szCs w:val="24"/>
          <w:lang w:eastAsia="zh-CN"/>
        </w:rPr>
        <w:t>s det kun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i meget </w:t>
      </w:r>
      <w:r w:rsidR="000C67DE">
        <w:rPr>
          <w:rFonts w:eastAsiaTheme="minorEastAsia"/>
          <w:color w:val="000000"/>
          <w:sz w:val="24"/>
          <w:szCs w:val="24"/>
          <w:lang w:eastAsia="zh-CN"/>
        </w:rPr>
        <w:t>lille udstrækning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. Denne </w:t>
      </w:r>
      <w:r w:rsidR="00E7421F">
        <w:rPr>
          <w:rFonts w:eastAsiaTheme="minorEastAsia"/>
          <w:color w:val="000000"/>
          <w:sz w:val="24"/>
          <w:szCs w:val="24"/>
          <w:lang w:eastAsia="zh-CN"/>
        </w:rPr>
        <w:t>del bindes til sulfat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i leveren</w:t>
      </w:r>
      <w:r w:rsidR="00E7421F">
        <w:rPr>
          <w:rFonts w:eastAsiaTheme="minorEastAsia"/>
          <w:color w:val="000000"/>
          <w:sz w:val="24"/>
          <w:szCs w:val="24"/>
          <w:lang w:eastAsia="zh-CN"/>
        </w:rPr>
        <w:t xml:space="preserve">, bliver 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dermed afgiftet</w:t>
      </w:r>
      <w:r w:rsidR="00E7421F">
        <w:rPr>
          <w:rFonts w:eastAsiaTheme="minorEastAsia"/>
          <w:color w:val="000000"/>
          <w:sz w:val="24"/>
          <w:szCs w:val="24"/>
          <w:lang w:eastAsia="zh-CN"/>
        </w:rPr>
        <w:t>,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og </w:t>
      </w:r>
      <w:r w:rsidR="00E7421F">
        <w:rPr>
          <w:rFonts w:eastAsiaTheme="minorEastAsia"/>
          <w:color w:val="000000"/>
          <w:sz w:val="24"/>
          <w:szCs w:val="24"/>
          <w:lang w:eastAsia="zh-CN"/>
        </w:rPr>
        <w:t>derefter sker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igen galde</w:t>
      </w:r>
      <w:r w:rsidR="00E7421F">
        <w:rPr>
          <w:rFonts w:eastAsiaTheme="minorEastAsia"/>
          <w:color w:val="000000"/>
          <w:sz w:val="24"/>
          <w:szCs w:val="24"/>
          <w:lang w:eastAsia="zh-CN"/>
        </w:rPr>
        <w:t>-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og fækal</w:t>
      </w:r>
      <w:r w:rsidR="000D7B7C">
        <w:rPr>
          <w:rFonts w:eastAsiaTheme="minorEastAsia"/>
          <w:color w:val="000000"/>
          <w:sz w:val="24"/>
          <w:szCs w:val="24"/>
          <w:lang w:eastAsia="zh-CN"/>
        </w:rPr>
        <w:t xml:space="preserve"> udskillelse.</w:t>
      </w:r>
    </w:p>
    <w:p w:rsidR="009260DE" w:rsidRPr="000D7B7C" w:rsidRDefault="009B3278" w:rsidP="000D7B7C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Den biologiske halveringstid for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er ca. 3,5 til 5,8 dage.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  <w:t>Prækliniske sikkerhedsdata</w:t>
      </w:r>
    </w:p>
    <w:p w:rsidR="007711C1" w:rsidRDefault="007711C1" w:rsidP="009B3278">
      <w:pPr>
        <w:keepNext/>
        <w:ind w:left="851"/>
        <w:rPr>
          <w:rFonts w:eastAsiaTheme="minorEastAsia"/>
          <w:color w:val="000000"/>
          <w:sz w:val="24"/>
          <w:szCs w:val="24"/>
          <w:u w:val="single"/>
          <w:lang w:eastAsia="zh-CN"/>
        </w:rPr>
      </w:pPr>
    </w:p>
    <w:p w:rsidR="009B3278" w:rsidRPr="009B3278" w:rsidRDefault="009B3278" w:rsidP="009B3278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u w:val="single"/>
          <w:lang w:eastAsia="zh-CN"/>
        </w:rPr>
        <w:t xml:space="preserve">Akut </w:t>
      </w:r>
      <w:r w:rsidR="007711C1">
        <w:rPr>
          <w:rFonts w:eastAsiaTheme="minorEastAsia"/>
          <w:color w:val="000000"/>
          <w:sz w:val="24"/>
          <w:szCs w:val="24"/>
          <w:u w:val="single"/>
          <w:lang w:eastAsia="zh-CN"/>
        </w:rPr>
        <w:t>toksicitet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Undersøgelser udført på dyr </w:t>
      </w:r>
      <w:r w:rsidR="007711C1">
        <w:rPr>
          <w:rFonts w:eastAsiaTheme="minorEastAsia"/>
          <w:color w:val="000000"/>
          <w:sz w:val="24"/>
          <w:szCs w:val="24"/>
          <w:lang w:eastAsia="zh-CN"/>
        </w:rPr>
        <w:t>vedrørende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akut </w:t>
      </w:r>
      <w:r w:rsidR="007711C1">
        <w:rPr>
          <w:rFonts w:eastAsiaTheme="minorEastAsia"/>
          <w:color w:val="000000"/>
          <w:sz w:val="24"/>
          <w:szCs w:val="24"/>
          <w:lang w:eastAsia="zh-CN"/>
        </w:rPr>
        <w:t>toksicitet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indikerede ikke nogen </w:t>
      </w:r>
      <w:r w:rsidR="007711C1">
        <w:rPr>
          <w:rFonts w:eastAsiaTheme="minorEastAsia"/>
          <w:color w:val="000000"/>
          <w:sz w:val="24"/>
          <w:szCs w:val="24"/>
          <w:lang w:eastAsia="zh-CN"/>
        </w:rPr>
        <w:t>toksisk effekt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>.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9B3278" w:rsidRPr="009B3278" w:rsidRDefault="009B3278" w:rsidP="009B3278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u w:val="single"/>
          <w:lang w:eastAsia="zh-CN"/>
        </w:rPr>
        <w:t xml:space="preserve">Kronisk </w:t>
      </w:r>
      <w:r w:rsidR="001C4EAD">
        <w:rPr>
          <w:rFonts w:eastAsiaTheme="minorEastAsia"/>
          <w:color w:val="000000"/>
          <w:sz w:val="24"/>
          <w:szCs w:val="24"/>
          <w:u w:val="single"/>
          <w:lang w:eastAsia="zh-CN"/>
        </w:rPr>
        <w:t>toksicitet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Subkroniske toksicitetsundersøgelser hos aber viste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hepatotoksiske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virkninger i de grupper, der fik høje doser, herunder funktionelle ændringer (fx leverenzymændringer) og morfologiske forandringer </w:t>
      </w:r>
      <w:r w:rsidR="007211DF">
        <w:rPr>
          <w:rFonts w:eastAsiaTheme="minorEastAsia"/>
          <w:color w:val="000000"/>
          <w:sz w:val="24"/>
          <w:szCs w:val="24"/>
          <w:lang w:eastAsia="zh-CN"/>
        </w:rPr>
        <w:t xml:space="preserve">så 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som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gal</w:t>
      </w:r>
      <w:r w:rsidR="007211DF">
        <w:rPr>
          <w:rFonts w:eastAsiaTheme="minorEastAsia"/>
          <w:color w:val="000000"/>
          <w:sz w:val="24"/>
          <w:szCs w:val="24"/>
          <w:lang w:eastAsia="zh-CN"/>
        </w:rPr>
        <w:t>deproliferation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, portalinflammatorisk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foci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og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hepatocellulær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nekrose. Disse toksiske virkninger skyldes sandsynligvis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lithocholsyre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, en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metabolit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af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>, som i aber - i modsætning til mennesker - ikke afgiftes.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Klinisk erfaring bekræfter, at de beskrevne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hepatotoksiske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virkninger ikke har nogen åbenbar relevans for mennesker.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9B3278" w:rsidRPr="009B3278" w:rsidRDefault="007211DF" w:rsidP="009B3278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  <w:proofErr w:type="spellStart"/>
      <w:r>
        <w:rPr>
          <w:rFonts w:eastAsiaTheme="minorEastAsia"/>
          <w:color w:val="000000"/>
          <w:sz w:val="24"/>
          <w:szCs w:val="24"/>
          <w:u w:val="single"/>
          <w:lang w:eastAsia="zh-CN"/>
        </w:rPr>
        <w:t>Karcinogenicitet</w:t>
      </w:r>
      <w:proofErr w:type="spellEnd"/>
      <w:r w:rsidR="009B3278" w:rsidRPr="009B3278">
        <w:rPr>
          <w:rFonts w:eastAsiaTheme="minorEastAsia"/>
          <w:color w:val="000000"/>
          <w:sz w:val="24"/>
          <w:szCs w:val="24"/>
          <w:u w:val="single"/>
          <w:lang w:eastAsia="zh-CN"/>
        </w:rPr>
        <w:t xml:space="preserve"> og mutagent potentiale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Langtidsstudier </w:t>
      </w:r>
      <w:r w:rsidR="007211DF">
        <w:rPr>
          <w:rFonts w:eastAsiaTheme="minorEastAsia"/>
          <w:color w:val="000000"/>
          <w:sz w:val="24"/>
          <w:szCs w:val="24"/>
          <w:lang w:eastAsia="zh-CN"/>
        </w:rPr>
        <w:t>i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mus og rotter afslørede ingen tegn på, at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r w:rsidR="008D0A0B">
        <w:rPr>
          <w:rFonts w:eastAsiaTheme="minorEastAsia"/>
          <w:color w:val="000000"/>
          <w:sz w:val="24"/>
          <w:szCs w:val="24"/>
          <w:lang w:eastAsia="zh-CN"/>
        </w:rPr>
        <w:t xml:space="preserve">er </w:t>
      </w:r>
      <w:proofErr w:type="spellStart"/>
      <w:r w:rsidR="008D0A0B">
        <w:rPr>
          <w:rFonts w:eastAsiaTheme="minorEastAsia"/>
          <w:color w:val="000000"/>
          <w:sz w:val="24"/>
          <w:szCs w:val="24"/>
          <w:lang w:eastAsia="zh-CN"/>
        </w:rPr>
        <w:t>karcinogent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>.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i/>
          <w:iCs/>
          <w:color w:val="000000"/>
          <w:sz w:val="24"/>
          <w:szCs w:val="24"/>
          <w:lang w:eastAsia="zh-CN"/>
        </w:rPr>
        <w:t xml:space="preserve">In </w:t>
      </w:r>
      <w:proofErr w:type="spellStart"/>
      <w:r w:rsidRPr="009B3278">
        <w:rPr>
          <w:rFonts w:eastAsiaTheme="minorEastAsia"/>
          <w:i/>
          <w:iCs/>
          <w:color w:val="000000"/>
          <w:sz w:val="24"/>
          <w:szCs w:val="24"/>
          <w:lang w:eastAsia="zh-CN"/>
        </w:rPr>
        <w:t>vitro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og </w:t>
      </w:r>
      <w:r w:rsidRPr="009B3278">
        <w:rPr>
          <w:rFonts w:eastAsiaTheme="minorEastAsia"/>
          <w:i/>
          <w:iCs/>
          <w:color w:val="000000"/>
          <w:sz w:val="24"/>
          <w:szCs w:val="24"/>
          <w:lang w:eastAsia="zh-CN"/>
        </w:rPr>
        <w:t xml:space="preserve">in </w:t>
      </w:r>
      <w:proofErr w:type="spellStart"/>
      <w:r w:rsidRPr="009B3278">
        <w:rPr>
          <w:rFonts w:eastAsiaTheme="minorEastAsia"/>
          <w:i/>
          <w:iCs/>
          <w:color w:val="000000"/>
          <w:sz w:val="24"/>
          <w:szCs w:val="24"/>
          <w:lang w:eastAsia="zh-CN"/>
        </w:rPr>
        <w:t>vivo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r w:rsidR="008D0A0B">
        <w:rPr>
          <w:rFonts w:eastAsiaTheme="minorEastAsia"/>
          <w:color w:val="000000"/>
          <w:sz w:val="24"/>
          <w:szCs w:val="24"/>
          <w:lang w:eastAsia="zh-CN"/>
        </w:rPr>
        <w:t>genotoksiske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forsøg med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var negative.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 </w:t>
      </w:r>
    </w:p>
    <w:p w:rsidR="009B3278" w:rsidRPr="009B3278" w:rsidRDefault="009B3278" w:rsidP="009B3278">
      <w:pPr>
        <w:keepNext/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u w:val="single"/>
          <w:lang w:eastAsia="zh-CN"/>
        </w:rPr>
        <w:t>Reproduktionstoksicitet</w:t>
      </w:r>
    </w:p>
    <w:p w:rsidR="009260DE" w:rsidRPr="00B153DC" w:rsidRDefault="009B3278" w:rsidP="00B153DC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I </w:t>
      </w:r>
      <w:r w:rsidR="007D15F6">
        <w:rPr>
          <w:rFonts w:eastAsiaTheme="minorEastAsia"/>
          <w:color w:val="000000"/>
          <w:sz w:val="24"/>
          <w:szCs w:val="24"/>
          <w:lang w:eastAsia="zh-CN"/>
        </w:rPr>
        <w:t>studier i rotter opstod der hale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misdannelser efter en dosis på 2.000 mg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pr. kg kropsvægt. </w:t>
      </w:r>
      <w:r w:rsidR="007D15F6">
        <w:rPr>
          <w:rFonts w:eastAsiaTheme="minorEastAsia"/>
          <w:color w:val="000000"/>
          <w:sz w:val="24"/>
          <w:szCs w:val="24"/>
          <w:lang w:eastAsia="zh-CN"/>
        </w:rPr>
        <w:t>I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kaniner blev der ikke fundet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teratogene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virkninger, selvom der var embryotoksiske virkninger (fra en dosis på 100 mg pr. kg kropsvægt). 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Ursodeoxycholsyre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</w:t>
      </w:r>
      <w:r w:rsidRPr="009B3278">
        <w:rPr>
          <w:rFonts w:eastAsiaTheme="minorEastAsia"/>
          <w:color w:val="000000"/>
          <w:sz w:val="24"/>
          <w:szCs w:val="24"/>
          <w:lang w:eastAsia="zh-CN"/>
        </w:rPr>
        <w:lastRenderedPageBreak/>
        <w:t>havde ingen effekt på frugtbarheden hos rotter og påvirker ikke peri-</w:t>
      </w:r>
      <w:r w:rsidR="00760A1A">
        <w:rPr>
          <w:rFonts w:eastAsiaTheme="minorEastAsia"/>
          <w:color w:val="000000"/>
          <w:sz w:val="24"/>
          <w:szCs w:val="24"/>
          <w:lang w:eastAsia="zh-CN"/>
        </w:rPr>
        <w:t>/</w:t>
      </w: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postnatal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udvikling af afkom.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9260DE" w:rsidRPr="00BA09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Majsstivelse</w:t>
      </w:r>
    </w:p>
    <w:p w:rsidR="009B3278" w:rsidRPr="009B3278" w:rsidRDefault="003E49B3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>
        <w:rPr>
          <w:rFonts w:eastAsiaTheme="minorEastAsia"/>
          <w:color w:val="000000"/>
          <w:sz w:val="24"/>
          <w:szCs w:val="24"/>
          <w:lang w:eastAsia="zh-CN"/>
        </w:rPr>
        <w:t xml:space="preserve">Majsstivelse, </w:t>
      </w:r>
      <w:proofErr w:type="spellStart"/>
      <w:r>
        <w:rPr>
          <w:rFonts w:eastAsiaTheme="minorEastAsia"/>
          <w:color w:val="000000"/>
          <w:sz w:val="24"/>
          <w:szCs w:val="24"/>
          <w:lang w:eastAsia="zh-CN"/>
        </w:rPr>
        <w:t>pre</w:t>
      </w:r>
      <w:r w:rsidR="009B3278" w:rsidRPr="009B3278">
        <w:rPr>
          <w:rFonts w:eastAsiaTheme="minorEastAsia"/>
          <w:color w:val="000000"/>
          <w:sz w:val="24"/>
          <w:szCs w:val="24"/>
          <w:lang w:eastAsia="zh-CN"/>
        </w:rPr>
        <w:t>gelatiniseret</w:t>
      </w:r>
      <w:proofErr w:type="spellEnd"/>
    </w:p>
    <w:p w:rsidR="009B3278" w:rsidRPr="009B3278" w:rsidRDefault="003E49B3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proofErr w:type="spellStart"/>
      <w:r>
        <w:rPr>
          <w:rFonts w:eastAsiaTheme="minorEastAsia"/>
          <w:color w:val="000000"/>
          <w:sz w:val="24"/>
          <w:szCs w:val="24"/>
          <w:lang w:eastAsia="zh-CN"/>
        </w:rPr>
        <w:t>Silic</w:t>
      </w:r>
      <w:r w:rsidR="009B3278" w:rsidRPr="009B3278">
        <w:rPr>
          <w:rFonts w:eastAsiaTheme="minorEastAsia"/>
          <w:color w:val="000000"/>
          <w:sz w:val="24"/>
          <w:szCs w:val="24"/>
          <w:lang w:eastAsia="zh-CN"/>
        </w:rPr>
        <w:t>a</w:t>
      </w:r>
      <w:proofErr w:type="spellEnd"/>
      <w:r w:rsidR="009B3278" w:rsidRPr="009B3278">
        <w:rPr>
          <w:rFonts w:eastAsiaTheme="minorEastAsia"/>
          <w:color w:val="000000"/>
          <w:sz w:val="24"/>
          <w:szCs w:val="24"/>
          <w:lang w:eastAsia="zh-CN"/>
        </w:rPr>
        <w:t>, kolloid vandfri (E551)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proofErr w:type="spellStart"/>
      <w:r w:rsidRPr="009B3278">
        <w:rPr>
          <w:rFonts w:eastAsiaTheme="minorEastAsia"/>
          <w:color w:val="000000"/>
          <w:sz w:val="24"/>
          <w:szCs w:val="24"/>
          <w:lang w:eastAsia="zh-CN"/>
        </w:rPr>
        <w:t>Magnesiumstearat</w:t>
      </w:r>
      <w:proofErr w:type="spellEnd"/>
      <w:r w:rsidRPr="009B3278">
        <w:rPr>
          <w:rFonts w:eastAsiaTheme="minorEastAsia"/>
          <w:color w:val="000000"/>
          <w:sz w:val="24"/>
          <w:szCs w:val="24"/>
          <w:lang w:eastAsia="zh-CN"/>
        </w:rPr>
        <w:t xml:space="preserve"> (E470b)</w:t>
      </w:r>
    </w:p>
    <w:p w:rsidR="009B3278" w:rsidRPr="009B3278" w:rsidRDefault="009B3278" w:rsidP="009B3278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Gelatine (E441)</w:t>
      </w:r>
    </w:p>
    <w:p w:rsidR="009260DE" w:rsidRPr="003E49B3" w:rsidRDefault="009B3278" w:rsidP="003E49B3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9B3278">
        <w:rPr>
          <w:rFonts w:eastAsiaTheme="minorEastAsia"/>
          <w:color w:val="000000"/>
          <w:sz w:val="24"/>
          <w:szCs w:val="24"/>
          <w:lang w:eastAsia="zh-CN"/>
        </w:rPr>
        <w:t>Titandioxid (E171)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9260DE" w:rsidRPr="003E49B3" w:rsidRDefault="00282226" w:rsidP="003E49B3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282226">
        <w:rPr>
          <w:rFonts w:eastAsiaTheme="minorEastAsia"/>
          <w:color w:val="000000"/>
          <w:sz w:val="24"/>
          <w:szCs w:val="24"/>
          <w:lang w:eastAsia="zh-CN"/>
        </w:rPr>
        <w:t>Ikke relevant.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9260DE" w:rsidRPr="003E49B3" w:rsidRDefault="00282226" w:rsidP="003E49B3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282226">
        <w:rPr>
          <w:rFonts w:eastAsiaTheme="minorEastAsia"/>
          <w:color w:val="000000"/>
          <w:sz w:val="24"/>
          <w:szCs w:val="24"/>
          <w:lang w:eastAsia="zh-CN"/>
        </w:rPr>
        <w:t>4 år.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9260DE" w:rsidRPr="003E5695" w:rsidRDefault="00282226" w:rsidP="003E5695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282226">
        <w:rPr>
          <w:rFonts w:eastAsiaTheme="minorEastAsia"/>
          <w:color w:val="000000"/>
          <w:sz w:val="24"/>
          <w:szCs w:val="24"/>
          <w:lang w:eastAsia="zh-CN"/>
        </w:rPr>
        <w:t xml:space="preserve">Dette lægemiddel kræver ingen særlige </w:t>
      </w:r>
      <w:r w:rsidR="003E5695">
        <w:rPr>
          <w:rFonts w:eastAsiaTheme="minorEastAsia"/>
          <w:color w:val="000000"/>
          <w:sz w:val="24"/>
          <w:szCs w:val="24"/>
          <w:lang w:eastAsia="zh-CN"/>
        </w:rPr>
        <w:t>forholdsregler vedrørende opbevaringen</w:t>
      </w:r>
      <w:r w:rsidRPr="00282226">
        <w:rPr>
          <w:rFonts w:eastAsiaTheme="minorEastAsia"/>
          <w:color w:val="000000"/>
          <w:sz w:val="24"/>
          <w:szCs w:val="24"/>
          <w:lang w:eastAsia="zh-CN"/>
        </w:rPr>
        <w:t>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Emballagetyper og pakningsstørrelser</w:t>
      </w:r>
    </w:p>
    <w:p w:rsidR="00282226" w:rsidRPr="0074272F" w:rsidRDefault="00282226" w:rsidP="00282226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74272F">
        <w:rPr>
          <w:rFonts w:eastAsiaTheme="minorEastAsia"/>
          <w:color w:val="000000"/>
          <w:sz w:val="24"/>
          <w:szCs w:val="24"/>
          <w:lang w:eastAsia="zh-CN"/>
        </w:rPr>
        <w:t>PVC-PVDC/Al blister</w:t>
      </w:r>
      <w:r w:rsidR="0074272F" w:rsidRPr="0074272F">
        <w:rPr>
          <w:rFonts w:eastAsiaTheme="minorEastAsia"/>
          <w:color w:val="000000"/>
          <w:sz w:val="24"/>
          <w:szCs w:val="24"/>
          <w:lang w:eastAsia="zh-CN"/>
        </w:rPr>
        <w:t>,</w:t>
      </w:r>
      <w:r w:rsidRPr="0074272F">
        <w:rPr>
          <w:rFonts w:eastAsiaTheme="minorEastAsia"/>
          <w:color w:val="000000"/>
          <w:sz w:val="24"/>
          <w:szCs w:val="24"/>
          <w:lang w:eastAsia="zh-CN"/>
        </w:rPr>
        <w:t xml:space="preserve"> i en</w:t>
      </w:r>
      <w:r w:rsidR="0074272F" w:rsidRPr="0074272F">
        <w:rPr>
          <w:rFonts w:eastAsiaTheme="minorEastAsia"/>
          <w:color w:val="000000"/>
          <w:sz w:val="24"/>
          <w:szCs w:val="24"/>
          <w:lang w:eastAsia="zh-CN"/>
        </w:rPr>
        <w:t xml:space="preserve"> æske</w:t>
      </w:r>
    </w:p>
    <w:p w:rsidR="0074272F" w:rsidRDefault="0074272F" w:rsidP="00282226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</w:p>
    <w:p w:rsidR="00282226" w:rsidRPr="00282226" w:rsidRDefault="00282226" w:rsidP="00282226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282226">
        <w:rPr>
          <w:rFonts w:eastAsiaTheme="minorEastAsia"/>
          <w:color w:val="000000"/>
          <w:sz w:val="24"/>
          <w:szCs w:val="24"/>
          <w:lang w:eastAsia="zh-CN"/>
        </w:rPr>
        <w:t>Pakningsstørrelse</w:t>
      </w:r>
      <w:r w:rsidR="0074272F">
        <w:rPr>
          <w:rFonts w:eastAsiaTheme="minorEastAsia"/>
          <w:color w:val="000000"/>
          <w:sz w:val="24"/>
          <w:szCs w:val="24"/>
          <w:lang w:eastAsia="zh-CN"/>
        </w:rPr>
        <w:t>r</w:t>
      </w:r>
      <w:r w:rsidRPr="00282226">
        <w:rPr>
          <w:rFonts w:eastAsiaTheme="minorEastAsia"/>
          <w:color w:val="000000"/>
          <w:sz w:val="24"/>
          <w:szCs w:val="24"/>
          <w:lang w:eastAsia="zh-CN"/>
        </w:rPr>
        <w:t xml:space="preserve">: 10, 20, 30, 40, 50, 60, 80, 90 </w:t>
      </w:r>
      <w:r w:rsidR="0074272F">
        <w:rPr>
          <w:rFonts w:eastAsiaTheme="minorEastAsia"/>
          <w:color w:val="000000"/>
          <w:sz w:val="24"/>
          <w:szCs w:val="24"/>
          <w:lang w:eastAsia="zh-CN"/>
        </w:rPr>
        <w:t>og</w:t>
      </w:r>
      <w:r w:rsidRPr="00282226">
        <w:rPr>
          <w:rFonts w:eastAsiaTheme="minorEastAsia"/>
          <w:color w:val="000000"/>
          <w:sz w:val="24"/>
          <w:szCs w:val="24"/>
          <w:lang w:eastAsia="zh-CN"/>
        </w:rPr>
        <w:t xml:space="preserve"> 100 </w:t>
      </w:r>
      <w:r w:rsidR="0074272F">
        <w:rPr>
          <w:rFonts w:eastAsiaTheme="minorEastAsia"/>
          <w:color w:val="000000"/>
          <w:sz w:val="24"/>
          <w:szCs w:val="24"/>
          <w:lang w:eastAsia="zh-CN"/>
        </w:rPr>
        <w:t>stk</w:t>
      </w:r>
      <w:r w:rsidRPr="00282226">
        <w:rPr>
          <w:rFonts w:eastAsiaTheme="minorEastAsia"/>
          <w:color w:val="000000"/>
          <w:sz w:val="24"/>
          <w:szCs w:val="24"/>
          <w:lang w:eastAsia="zh-CN"/>
        </w:rPr>
        <w:t xml:space="preserve">. </w:t>
      </w:r>
    </w:p>
    <w:p w:rsidR="009260DE" w:rsidRPr="0074272F" w:rsidRDefault="00282226" w:rsidP="0074272F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282226">
        <w:rPr>
          <w:rFonts w:eastAsiaTheme="minorEastAsia"/>
          <w:color w:val="000000"/>
          <w:sz w:val="24"/>
          <w:szCs w:val="24"/>
          <w:lang w:eastAsia="zh-CN"/>
        </w:rPr>
        <w:t>Ikke alle pakningsstørrelser er nødvendigvis markedsført.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>Regler for destruktion og anden håndtering</w:t>
      </w:r>
    </w:p>
    <w:p w:rsidR="009260DE" w:rsidRPr="006863FA" w:rsidRDefault="00282226" w:rsidP="006863FA">
      <w:pPr>
        <w:ind w:left="851"/>
        <w:rPr>
          <w:rFonts w:eastAsiaTheme="minorEastAsia"/>
          <w:color w:val="000000"/>
          <w:sz w:val="24"/>
          <w:szCs w:val="24"/>
          <w:lang w:eastAsia="zh-CN"/>
        </w:rPr>
      </w:pPr>
      <w:r w:rsidRPr="00282226">
        <w:rPr>
          <w:rFonts w:eastAsiaTheme="minorEastAsia"/>
          <w:color w:val="000000"/>
          <w:sz w:val="24"/>
          <w:szCs w:val="24"/>
          <w:lang w:eastAsia="zh-CN"/>
        </w:rPr>
        <w:t>Ingen særlige forholdsregler.</w:t>
      </w:r>
    </w:p>
    <w:p w:rsidR="009260DE" w:rsidRPr="00C84483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131595" w:rsidRPr="00131595" w:rsidRDefault="00131595" w:rsidP="00282226">
      <w:pPr>
        <w:ind w:left="851"/>
        <w:rPr>
          <w:rFonts w:eastAsiaTheme="minorEastAsia"/>
          <w:sz w:val="24"/>
          <w:szCs w:val="24"/>
          <w:lang w:val="en-US" w:eastAsia="zh-CN"/>
        </w:rPr>
      </w:pPr>
      <w:r w:rsidRPr="00131595">
        <w:rPr>
          <w:rFonts w:eastAsiaTheme="minorEastAsia"/>
          <w:sz w:val="24"/>
          <w:szCs w:val="24"/>
          <w:lang w:val="en-US" w:eastAsia="zh-CN"/>
        </w:rPr>
        <w:t xml:space="preserve">PRO.MED.CS </w:t>
      </w:r>
      <w:proofErr w:type="spellStart"/>
      <w:r w:rsidRPr="00131595">
        <w:rPr>
          <w:rFonts w:eastAsiaTheme="minorEastAsia"/>
          <w:sz w:val="24"/>
          <w:szCs w:val="24"/>
          <w:lang w:val="en-US" w:eastAsia="zh-CN"/>
        </w:rPr>
        <w:t>Praha</w:t>
      </w:r>
      <w:proofErr w:type="spellEnd"/>
      <w:r w:rsidRPr="00131595">
        <w:rPr>
          <w:rFonts w:eastAsiaTheme="minorEastAsia"/>
          <w:sz w:val="24"/>
          <w:szCs w:val="24"/>
          <w:lang w:val="en-US" w:eastAsia="zh-CN"/>
        </w:rPr>
        <w:t xml:space="preserve"> </w:t>
      </w:r>
      <w:proofErr w:type="spellStart"/>
      <w:r w:rsidRPr="00131595">
        <w:rPr>
          <w:rFonts w:eastAsiaTheme="minorEastAsia"/>
          <w:sz w:val="24"/>
          <w:szCs w:val="24"/>
          <w:lang w:val="en-US" w:eastAsia="zh-CN"/>
        </w:rPr>
        <w:t>a.s</w:t>
      </w:r>
      <w:proofErr w:type="spellEnd"/>
      <w:r w:rsidRPr="00131595">
        <w:rPr>
          <w:rFonts w:eastAsiaTheme="minorEastAsia"/>
          <w:sz w:val="24"/>
          <w:szCs w:val="24"/>
          <w:lang w:val="en-US" w:eastAsia="zh-CN"/>
        </w:rPr>
        <w:t>.</w:t>
      </w:r>
    </w:p>
    <w:p w:rsidR="00131595" w:rsidRDefault="00131595" w:rsidP="00282226">
      <w:pPr>
        <w:ind w:left="851"/>
        <w:rPr>
          <w:rFonts w:eastAsiaTheme="minorEastAsia"/>
          <w:sz w:val="24"/>
          <w:szCs w:val="24"/>
          <w:lang w:eastAsia="zh-CN"/>
        </w:rPr>
      </w:pPr>
      <w:proofErr w:type="spellStart"/>
      <w:r w:rsidRPr="00131595">
        <w:rPr>
          <w:rFonts w:eastAsiaTheme="minorEastAsia"/>
          <w:sz w:val="24"/>
          <w:szCs w:val="24"/>
          <w:lang w:eastAsia="zh-CN"/>
        </w:rPr>
        <w:t>Telcská</w:t>
      </w:r>
      <w:proofErr w:type="spellEnd"/>
      <w:r w:rsidRPr="00131595">
        <w:rPr>
          <w:rFonts w:eastAsiaTheme="minorEastAsia"/>
          <w:sz w:val="24"/>
          <w:szCs w:val="24"/>
          <w:lang w:eastAsia="zh-CN"/>
        </w:rPr>
        <w:t xml:space="preserve"> 377/1 </w:t>
      </w:r>
      <w:proofErr w:type="spellStart"/>
      <w:r w:rsidRPr="00131595">
        <w:rPr>
          <w:rFonts w:eastAsiaTheme="minorEastAsia"/>
          <w:sz w:val="24"/>
          <w:szCs w:val="24"/>
          <w:lang w:eastAsia="zh-CN"/>
        </w:rPr>
        <w:t>Michle</w:t>
      </w:r>
      <w:proofErr w:type="spellEnd"/>
    </w:p>
    <w:p w:rsidR="00282226" w:rsidRPr="00282226" w:rsidRDefault="00131595" w:rsidP="00282226">
      <w:pPr>
        <w:ind w:left="851"/>
        <w:rPr>
          <w:rFonts w:eastAsiaTheme="minorEastAsia"/>
          <w:sz w:val="24"/>
          <w:szCs w:val="24"/>
          <w:lang w:eastAsia="zh-CN"/>
        </w:rPr>
      </w:pPr>
      <w:r>
        <w:rPr>
          <w:rFonts w:eastAsiaTheme="minorEastAsia"/>
          <w:sz w:val="24"/>
          <w:szCs w:val="24"/>
          <w:lang w:eastAsia="zh-CN"/>
        </w:rPr>
        <w:t xml:space="preserve">140 00 </w:t>
      </w:r>
      <w:r w:rsidRPr="00131595">
        <w:rPr>
          <w:rFonts w:eastAsiaTheme="minorEastAsia"/>
          <w:sz w:val="24"/>
          <w:szCs w:val="24"/>
          <w:lang w:eastAsia="zh-CN"/>
        </w:rPr>
        <w:t>Praha 4</w:t>
      </w:r>
    </w:p>
    <w:p w:rsidR="009260DE" w:rsidRPr="006863FA" w:rsidRDefault="00282226" w:rsidP="006863FA">
      <w:pPr>
        <w:ind w:left="851"/>
        <w:rPr>
          <w:rFonts w:eastAsiaTheme="minorEastAsia"/>
          <w:sz w:val="24"/>
          <w:szCs w:val="24"/>
          <w:lang w:eastAsia="zh-CN"/>
        </w:rPr>
      </w:pPr>
      <w:r w:rsidRPr="00282226">
        <w:rPr>
          <w:rFonts w:eastAsiaTheme="minorEastAsia"/>
          <w:sz w:val="24"/>
          <w:szCs w:val="24"/>
          <w:lang w:eastAsia="zh-CN"/>
        </w:rPr>
        <w:t>T</w:t>
      </w:r>
      <w:r w:rsidR="00131595">
        <w:rPr>
          <w:rFonts w:eastAsiaTheme="minorEastAsia"/>
          <w:sz w:val="24"/>
          <w:szCs w:val="24"/>
          <w:lang w:eastAsia="zh-CN"/>
        </w:rPr>
        <w:t>jekkiet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(NUMRE)</w:t>
      </w:r>
    </w:p>
    <w:p w:rsidR="009260DE" w:rsidRPr="00C84483" w:rsidRDefault="00423A8A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58899</w:t>
      </w:r>
    </w:p>
    <w:p w:rsidR="009260DE" w:rsidRPr="00C84483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9260DE" w:rsidRPr="00C84483" w:rsidRDefault="004B075A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6. februar 2018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9260DE" w:rsidRPr="00C84483" w:rsidRDefault="00131595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24. maj 2018</w:t>
      </w:r>
    </w:p>
    <w:sectPr w:rsidR="009260DE" w:rsidRPr="00C84483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9F7" w:rsidRDefault="009E79F7">
      <w:r>
        <w:separator/>
      </w:r>
    </w:p>
  </w:endnote>
  <w:endnote w:type="continuationSeparator" w:id="0">
    <w:p w:rsidR="009E79F7" w:rsidRDefault="009E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9F7" w:rsidRDefault="009E79F7">
    <w:pPr>
      <w:pStyle w:val="Sidefod"/>
      <w:pBdr>
        <w:bottom w:val="single" w:sz="6" w:space="1" w:color="auto"/>
      </w:pBdr>
    </w:pPr>
  </w:p>
  <w:p w:rsidR="009E79F7" w:rsidRDefault="009E79F7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9E79F7" w:rsidRPr="00B373D7" w:rsidRDefault="009E79F7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131595">
      <w:rPr>
        <w:i/>
        <w:noProof/>
        <w:sz w:val="18"/>
        <w:szCs w:val="18"/>
      </w:rPr>
      <w:t>Ursosan, hårde kapsler 250 mg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131595">
      <w:rPr>
        <w:rStyle w:val="Sidetal"/>
        <w:i/>
        <w:noProof/>
        <w:sz w:val="18"/>
        <w:szCs w:val="18"/>
      </w:rPr>
      <w:t>1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131595">
      <w:rPr>
        <w:rStyle w:val="Sidetal"/>
        <w:i/>
        <w:noProof/>
        <w:sz w:val="18"/>
        <w:szCs w:val="18"/>
      </w:rPr>
      <w:t>8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9F7" w:rsidRDefault="009E79F7">
      <w:r>
        <w:separator/>
      </w:r>
    </w:p>
  </w:footnote>
  <w:footnote w:type="continuationSeparator" w:id="0">
    <w:p w:rsidR="009E79F7" w:rsidRDefault="009E7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4B568C0"/>
    <w:multiLevelType w:val="hybridMultilevel"/>
    <w:tmpl w:val="7474E3CA"/>
    <w:lvl w:ilvl="0" w:tplc="4EDA7052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D1"/>
    <w:rsid w:val="000259B9"/>
    <w:rsid w:val="00041491"/>
    <w:rsid w:val="00044686"/>
    <w:rsid w:val="00050D16"/>
    <w:rsid w:val="00074F2A"/>
    <w:rsid w:val="00081F86"/>
    <w:rsid w:val="00086093"/>
    <w:rsid w:val="000A09B7"/>
    <w:rsid w:val="000A1CA8"/>
    <w:rsid w:val="000A466B"/>
    <w:rsid w:val="000B058C"/>
    <w:rsid w:val="000C41B7"/>
    <w:rsid w:val="000C67DE"/>
    <w:rsid w:val="000D7B7C"/>
    <w:rsid w:val="000E4EE6"/>
    <w:rsid w:val="00104616"/>
    <w:rsid w:val="00131595"/>
    <w:rsid w:val="001454E2"/>
    <w:rsid w:val="00154532"/>
    <w:rsid w:val="001941E5"/>
    <w:rsid w:val="001C4EAD"/>
    <w:rsid w:val="001E6518"/>
    <w:rsid w:val="00206CE8"/>
    <w:rsid w:val="0021526C"/>
    <w:rsid w:val="002234EE"/>
    <w:rsid w:val="00224FE5"/>
    <w:rsid w:val="00273FB5"/>
    <w:rsid w:val="00282226"/>
    <w:rsid w:val="00283A2B"/>
    <w:rsid w:val="002A2486"/>
    <w:rsid w:val="002A720E"/>
    <w:rsid w:val="002B30AD"/>
    <w:rsid w:val="002C2C01"/>
    <w:rsid w:val="002D44FD"/>
    <w:rsid w:val="00306519"/>
    <w:rsid w:val="003A29AE"/>
    <w:rsid w:val="003A32D7"/>
    <w:rsid w:val="003A4AF2"/>
    <w:rsid w:val="003B4074"/>
    <w:rsid w:val="003C293F"/>
    <w:rsid w:val="003C769A"/>
    <w:rsid w:val="003D67F3"/>
    <w:rsid w:val="003E49B3"/>
    <w:rsid w:val="003E5695"/>
    <w:rsid w:val="003F1838"/>
    <w:rsid w:val="00423A8A"/>
    <w:rsid w:val="0045746C"/>
    <w:rsid w:val="00490AD1"/>
    <w:rsid w:val="0049104B"/>
    <w:rsid w:val="00491E9C"/>
    <w:rsid w:val="004B075A"/>
    <w:rsid w:val="004E3B12"/>
    <w:rsid w:val="004F48E4"/>
    <w:rsid w:val="00522DB5"/>
    <w:rsid w:val="00532310"/>
    <w:rsid w:val="00565F0F"/>
    <w:rsid w:val="00577DF3"/>
    <w:rsid w:val="00582731"/>
    <w:rsid w:val="00594A86"/>
    <w:rsid w:val="00596D86"/>
    <w:rsid w:val="005C0D9C"/>
    <w:rsid w:val="005D2F5E"/>
    <w:rsid w:val="005E3E21"/>
    <w:rsid w:val="005E57C2"/>
    <w:rsid w:val="00620035"/>
    <w:rsid w:val="00637F5A"/>
    <w:rsid w:val="0064000E"/>
    <w:rsid w:val="006560B1"/>
    <w:rsid w:val="006756DD"/>
    <w:rsid w:val="006863FA"/>
    <w:rsid w:val="006E34AF"/>
    <w:rsid w:val="006F7E56"/>
    <w:rsid w:val="007211DF"/>
    <w:rsid w:val="00737275"/>
    <w:rsid w:val="00740EEC"/>
    <w:rsid w:val="0074272F"/>
    <w:rsid w:val="00760A1A"/>
    <w:rsid w:val="007711C1"/>
    <w:rsid w:val="0078011A"/>
    <w:rsid w:val="00782AF4"/>
    <w:rsid w:val="00790EE7"/>
    <w:rsid w:val="00790F54"/>
    <w:rsid w:val="007B6649"/>
    <w:rsid w:val="007D15F6"/>
    <w:rsid w:val="008133F3"/>
    <w:rsid w:val="0082576E"/>
    <w:rsid w:val="00887A4B"/>
    <w:rsid w:val="008A22FB"/>
    <w:rsid w:val="008D0A0B"/>
    <w:rsid w:val="00900AAE"/>
    <w:rsid w:val="00905BB7"/>
    <w:rsid w:val="00907F75"/>
    <w:rsid w:val="009260DE"/>
    <w:rsid w:val="0093258A"/>
    <w:rsid w:val="00965F48"/>
    <w:rsid w:val="00974915"/>
    <w:rsid w:val="00993411"/>
    <w:rsid w:val="009B1852"/>
    <w:rsid w:val="009B3278"/>
    <w:rsid w:val="009C7BA3"/>
    <w:rsid w:val="009D1F5A"/>
    <w:rsid w:val="009E79F7"/>
    <w:rsid w:val="00A0718F"/>
    <w:rsid w:val="00A726CF"/>
    <w:rsid w:val="00A90857"/>
    <w:rsid w:val="00A90D8D"/>
    <w:rsid w:val="00AF2C95"/>
    <w:rsid w:val="00B003BF"/>
    <w:rsid w:val="00B00B76"/>
    <w:rsid w:val="00B137CF"/>
    <w:rsid w:val="00B153DC"/>
    <w:rsid w:val="00B15E97"/>
    <w:rsid w:val="00B373D7"/>
    <w:rsid w:val="00B81B70"/>
    <w:rsid w:val="00BB3F93"/>
    <w:rsid w:val="00BB5D6B"/>
    <w:rsid w:val="00BE47D9"/>
    <w:rsid w:val="00C15B96"/>
    <w:rsid w:val="00C2164C"/>
    <w:rsid w:val="00C30949"/>
    <w:rsid w:val="00C36276"/>
    <w:rsid w:val="00C42586"/>
    <w:rsid w:val="00C52263"/>
    <w:rsid w:val="00C60CCD"/>
    <w:rsid w:val="00C65706"/>
    <w:rsid w:val="00C84483"/>
    <w:rsid w:val="00C93FDD"/>
    <w:rsid w:val="00C95551"/>
    <w:rsid w:val="00CB20D7"/>
    <w:rsid w:val="00CC18D1"/>
    <w:rsid w:val="00CC5189"/>
    <w:rsid w:val="00CD0553"/>
    <w:rsid w:val="00CD112D"/>
    <w:rsid w:val="00CF7940"/>
    <w:rsid w:val="00D020B0"/>
    <w:rsid w:val="00D11748"/>
    <w:rsid w:val="00D13316"/>
    <w:rsid w:val="00D27788"/>
    <w:rsid w:val="00D366CF"/>
    <w:rsid w:val="00DA265C"/>
    <w:rsid w:val="00DB74BD"/>
    <w:rsid w:val="00E108AA"/>
    <w:rsid w:val="00E15D94"/>
    <w:rsid w:val="00E3749A"/>
    <w:rsid w:val="00E56059"/>
    <w:rsid w:val="00E7110C"/>
    <w:rsid w:val="00E73CF1"/>
    <w:rsid w:val="00E7421F"/>
    <w:rsid w:val="00E7437F"/>
    <w:rsid w:val="00E865B8"/>
    <w:rsid w:val="00EC0B9B"/>
    <w:rsid w:val="00EC257F"/>
    <w:rsid w:val="00ED5E9F"/>
    <w:rsid w:val="00EF095C"/>
    <w:rsid w:val="00EF4E9A"/>
    <w:rsid w:val="00F000BF"/>
    <w:rsid w:val="00F60A58"/>
    <w:rsid w:val="00F66257"/>
    <w:rsid w:val="00F66D4F"/>
    <w:rsid w:val="00F7632E"/>
    <w:rsid w:val="00FB6D01"/>
    <w:rsid w:val="00FD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0FE8B-81AD-44EE-BA8B-CA67F5ED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9B3278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val="cs-CZ" w:eastAsia="zh-CN"/>
    </w:rPr>
  </w:style>
  <w:style w:type="character" w:styleId="Hyperlink">
    <w:name w:val="Hyperlink"/>
    <w:basedOn w:val="Standardskrifttypeiafsnit"/>
    <w:uiPriority w:val="99"/>
    <w:semiHidden/>
    <w:unhideWhenUsed/>
    <w:rsid w:val="009B327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kma.local\lmsfil\QLM\Projects\GOD\docs\National\SPC%20Hum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2</TotalTime>
  <Pages>8</Pages>
  <Words>2233</Words>
  <Characters>14078</Characters>
  <Application>Microsoft Office Word</Application>
  <DocSecurity>0</DocSecurity>
  <Lines>117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Marianne Ott Jensen </dc:creator>
  <cp:keywords/>
  <dc:description>2018053575 - skift af MAH fra Kappler Pharma Consult GmbH </dc:description>
  <cp:lastModifiedBy>Marianne Ott Jensen</cp:lastModifiedBy>
  <cp:revision>4</cp:revision>
  <cp:lastPrinted>2018-05-24T11:00:00Z</cp:lastPrinted>
  <dcterms:created xsi:type="dcterms:W3CDTF">2018-05-24T10:59:00Z</dcterms:created>
  <dcterms:modified xsi:type="dcterms:W3CDTF">2018-05-24T11:01:00Z</dcterms:modified>
</cp:coreProperties>
</file>