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000" w:rsidRPr="00AF3E68" w:rsidRDefault="00406000" w:rsidP="00406000">
      <w:pPr>
        <w:pStyle w:val="Titel"/>
        <w:tabs>
          <w:tab w:val="left" w:pos="7938"/>
        </w:tabs>
        <w:jc w:val="left"/>
        <w:rPr>
          <w:b w:val="0"/>
          <w:szCs w:val="24"/>
        </w:rPr>
      </w:pPr>
      <w:r w:rsidRPr="00AF3E68">
        <w:rPr>
          <w:b w:val="0"/>
          <w:noProof/>
          <w:szCs w:val="24"/>
        </w:rPr>
        <w:drawing>
          <wp:inline distT="0" distB="0" distL="0" distR="0" wp14:anchorId="7CB8A5B8" wp14:editId="52BA7C67">
            <wp:extent cx="2463800" cy="692150"/>
            <wp:effectExtent l="0" t="0" r="0" b="0"/>
            <wp:docPr id="2"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logo (EN) - mind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0C1EAA" w:rsidRPr="00AF3E68" w:rsidRDefault="000C1EAA" w:rsidP="000C1EAA">
      <w:pPr>
        <w:pStyle w:val="Titel"/>
        <w:tabs>
          <w:tab w:val="left" w:pos="6804"/>
          <w:tab w:val="left" w:pos="7371"/>
        </w:tabs>
        <w:jc w:val="left"/>
        <w:rPr>
          <w:b w:val="0"/>
          <w:szCs w:val="24"/>
        </w:rPr>
      </w:pPr>
    </w:p>
    <w:p w:rsidR="00406000" w:rsidRPr="00AF3E68" w:rsidRDefault="00F138F0" w:rsidP="00406000">
      <w:pPr>
        <w:pStyle w:val="Titel"/>
        <w:tabs>
          <w:tab w:val="left" w:pos="6804"/>
          <w:tab w:val="left" w:pos="7371"/>
        </w:tabs>
        <w:jc w:val="right"/>
        <w:rPr>
          <w:szCs w:val="24"/>
        </w:rPr>
      </w:pPr>
      <w:r w:rsidRPr="00AF3E68">
        <w:rPr>
          <w:szCs w:val="24"/>
        </w:rPr>
        <w:t>24. januar 2024</w:t>
      </w:r>
    </w:p>
    <w:p w:rsidR="00E0450E" w:rsidRPr="00AF3E68" w:rsidRDefault="00E0450E" w:rsidP="00406000">
      <w:pPr>
        <w:pStyle w:val="Titel"/>
        <w:jc w:val="left"/>
        <w:rPr>
          <w:b w:val="0"/>
          <w:szCs w:val="24"/>
        </w:rPr>
      </w:pPr>
    </w:p>
    <w:p w:rsidR="00F138F0" w:rsidRPr="00AF3E68" w:rsidRDefault="00F138F0" w:rsidP="00406000">
      <w:pPr>
        <w:pStyle w:val="Titel"/>
        <w:jc w:val="left"/>
        <w:rPr>
          <w:b w:val="0"/>
          <w:szCs w:val="24"/>
        </w:rPr>
      </w:pPr>
    </w:p>
    <w:p w:rsidR="00406000" w:rsidRPr="00AF3E68" w:rsidRDefault="00406000" w:rsidP="00406000">
      <w:pPr>
        <w:pStyle w:val="Titel"/>
        <w:jc w:val="left"/>
        <w:rPr>
          <w:b w:val="0"/>
          <w:szCs w:val="24"/>
        </w:rPr>
      </w:pPr>
    </w:p>
    <w:p w:rsidR="00406000" w:rsidRPr="00AF3E68" w:rsidRDefault="00406000" w:rsidP="00406000">
      <w:pPr>
        <w:jc w:val="center"/>
        <w:rPr>
          <w:b/>
          <w:sz w:val="24"/>
          <w:szCs w:val="24"/>
        </w:rPr>
      </w:pPr>
      <w:r w:rsidRPr="00AF3E68">
        <w:rPr>
          <w:b/>
          <w:sz w:val="24"/>
          <w:szCs w:val="24"/>
        </w:rPr>
        <w:t>PRODUKTRESUMÉ</w:t>
      </w:r>
    </w:p>
    <w:p w:rsidR="00406000" w:rsidRPr="00AF3E68" w:rsidRDefault="00406000" w:rsidP="00406000">
      <w:pPr>
        <w:jc w:val="center"/>
        <w:rPr>
          <w:b/>
          <w:sz w:val="24"/>
          <w:szCs w:val="24"/>
        </w:rPr>
      </w:pPr>
    </w:p>
    <w:p w:rsidR="00406000" w:rsidRPr="00AF3E68" w:rsidRDefault="00406000" w:rsidP="00406000">
      <w:pPr>
        <w:jc w:val="center"/>
        <w:rPr>
          <w:b/>
          <w:sz w:val="24"/>
          <w:szCs w:val="24"/>
        </w:rPr>
      </w:pPr>
      <w:r w:rsidRPr="00AF3E68">
        <w:rPr>
          <w:b/>
          <w:sz w:val="24"/>
          <w:szCs w:val="24"/>
        </w:rPr>
        <w:t>for</w:t>
      </w:r>
    </w:p>
    <w:p w:rsidR="00406000" w:rsidRPr="00AF3E68" w:rsidRDefault="00406000" w:rsidP="00406000">
      <w:pPr>
        <w:jc w:val="center"/>
        <w:rPr>
          <w:b/>
          <w:sz w:val="24"/>
          <w:szCs w:val="24"/>
        </w:rPr>
      </w:pPr>
    </w:p>
    <w:p w:rsidR="00406000" w:rsidRPr="00AF3E68" w:rsidRDefault="00406000" w:rsidP="00406000">
      <w:pPr>
        <w:jc w:val="center"/>
        <w:rPr>
          <w:b/>
          <w:bCs/>
          <w:sz w:val="24"/>
          <w:szCs w:val="24"/>
        </w:rPr>
      </w:pPr>
      <w:proofErr w:type="spellStart"/>
      <w:r w:rsidRPr="00AF3E68">
        <w:rPr>
          <w:b/>
          <w:bCs/>
          <w:sz w:val="24"/>
          <w:szCs w:val="24"/>
        </w:rPr>
        <w:t>Uvadex</w:t>
      </w:r>
      <w:proofErr w:type="spellEnd"/>
      <w:r w:rsidR="00AA70BA" w:rsidRPr="00AF3E68">
        <w:rPr>
          <w:b/>
          <w:bCs/>
          <w:sz w:val="24"/>
          <w:szCs w:val="24"/>
        </w:rPr>
        <w:t>,</w:t>
      </w:r>
      <w:r w:rsidRPr="00AF3E68">
        <w:rPr>
          <w:b/>
          <w:bCs/>
          <w:sz w:val="24"/>
          <w:szCs w:val="24"/>
        </w:rPr>
        <w:t xml:space="preserve"> opløsning til modificering af blodfraktioner</w:t>
      </w:r>
    </w:p>
    <w:p w:rsidR="00406000" w:rsidRPr="00AF3E68" w:rsidRDefault="00406000" w:rsidP="00AA70BA">
      <w:pPr>
        <w:rPr>
          <w:sz w:val="24"/>
          <w:szCs w:val="24"/>
        </w:rPr>
      </w:pPr>
    </w:p>
    <w:p w:rsidR="00406000" w:rsidRPr="00AF3E68" w:rsidRDefault="00406000" w:rsidP="00406000">
      <w:pPr>
        <w:jc w:val="both"/>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0.</w:t>
      </w:r>
      <w:r w:rsidRPr="00AF3E68">
        <w:rPr>
          <w:b/>
          <w:sz w:val="24"/>
          <w:szCs w:val="24"/>
        </w:rPr>
        <w:tab/>
        <w:t>D.SP.NR.</w:t>
      </w:r>
    </w:p>
    <w:p w:rsidR="00406000" w:rsidRPr="00AF3E68" w:rsidRDefault="00406000" w:rsidP="00406000">
      <w:pPr>
        <w:tabs>
          <w:tab w:val="left" w:pos="851"/>
        </w:tabs>
        <w:rPr>
          <w:sz w:val="24"/>
          <w:szCs w:val="24"/>
        </w:rPr>
      </w:pPr>
      <w:r w:rsidRPr="00AF3E68">
        <w:rPr>
          <w:sz w:val="24"/>
          <w:szCs w:val="24"/>
        </w:rPr>
        <w:tab/>
        <w:t>23232</w:t>
      </w:r>
    </w:p>
    <w:p w:rsidR="00406000" w:rsidRPr="00AF3E68" w:rsidRDefault="00406000" w:rsidP="00406000">
      <w:pPr>
        <w:tabs>
          <w:tab w:val="left" w:pos="851"/>
        </w:tabs>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1.</w:t>
      </w:r>
      <w:r w:rsidRPr="00AF3E68">
        <w:rPr>
          <w:b/>
          <w:sz w:val="24"/>
          <w:szCs w:val="24"/>
        </w:rPr>
        <w:tab/>
        <w:t>LÆGEMIDLETS NAVN</w:t>
      </w:r>
    </w:p>
    <w:p w:rsidR="00406000" w:rsidRPr="00AF3E68" w:rsidRDefault="00406000" w:rsidP="00406000">
      <w:pPr>
        <w:tabs>
          <w:tab w:val="left" w:pos="851"/>
        </w:tabs>
        <w:rPr>
          <w:sz w:val="24"/>
          <w:szCs w:val="24"/>
        </w:rPr>
      </w:pPr>
      <w:r w:rsidRPr="00AF3E68">
        <w:rPr>
          <w:sz w:val="24"/>
          <w:szCs w:val="24"/>
        </w:rPr>
        <w:tab/>
      </w:r>
      <w:proofErr w:type="spellStart"/>
      <w:r w:rsidRPr="00AF3E68">
        <w:rPr>
          <w:sz w:val="24"/>
          <w:szCs w:val="24"/>
        </w:rPr>
        <w:t>Uvadex</w:t>
      </w:r>
      <w:proofErr w:type="spellEnd"/>
    </w:p>
    <w:p w:rsidR="00406000" w:rsidRPr="00AF3E68" w:rsidRDefault="00406000" w:rsidP="00406000">
      <w:pPr>
        <w:tabs>
          <w:tab w:val="left" w:pos="851"/>
        </w:tabs>
        <w:rPr>
          <w:sz w:val="24"/>
          <w:szCs w:val="24"/>
        </w:rPr>
      </w:pPr>
      <w:r w:rsidRPr="00AF3E68">
        <w:rPr>
          <w:sz w:val="24"/>
          <w:szCs w:val="24"/>
        </w:rPr>
        <w:tab/>
      </w:r>
    </w:p>
    <w:p w:rsidR="00F138F0" w:rsidRPr="00AF3E68" w:rsidRDefault="00F138F0" w:rsidP="00F138F0">
      <w:pPr>
        <w:tabs>
          <w:tab w:val="left" w:pos="851"/>
        </w:tabs>
        <w:ind w:left="851" w:hanging="851"/>
        <w:rPr>
          <w:b/>
          <w:sz w:val="24"/>
          <w:szCs w:val="24"/>
        </w:rPr>
      </w:pPr>
      <w:r w:rsidRPr="00AF3E68">
        <w:rPr>
          <w:b/>
          <w:sz w:val="24"/>
          <w:szCs w:val="24"/>
        </w:rPr>
        <w:t>2.</w:t>
      </w:r>
      <w:r w:rsidRPr="00AF3E68">
        <w:rPr>
          <w:b/>
          <w:sz w:val="24"/>
          <w:szCs w:val="24"/>
        </w:rPr>
        <w:tab/>
        <w:t>KVALITATIV OG KVANTITATIV SAMMENSÆTNING</w:t>
      </w:r>
    </w:p>
    <w:p w:rsidR="00406000" w:rsidRPr="00AF3E68" w:rsidRDefault="00406000" w:rsidP="00AA70BA">
      <w:pPr>
        <w:tabs>
          <w:tab w:val="left" w:pos="851"/>
        </w:tabs>
        <w:rPr>
          <w:sz w:val="24"/>
          <w:szCs w:val="24"/>
        </w:rPr>
      </w:pPr>
      <w:r w:rsidRPr="00AF3E68">
        <w:rPr>
          <w:sz w:val="24"/>
          <w:szCs w:val="24"/>
        </w:rPr>
        <w:tab/>
        <w:t xml:space="preserve">En ml opløsning indeholder 20 mikrogram </w:t>
      </w:r>
      <w:proofErr w:type="spellStart"/>
      <w:r w:rsidRPr="00AF3E68">
        <w:rPr>
          <w:sz w:val="24"/>
          <w:szCs w:val="24"/>
        </w:rPr>
        <w:t>methoxsalen</w:t>
      </w:r>
      <w:proofErr w:type="spellEnd"/>
      <w:r w:rsidRPr="00AF3E68">
        <w:rPr>
          <w:sz w:val="24"/>
          <w:szCs w:val="24"/>
        </w:rPr>
        <w:t>.</w:t>
      </w:r>
    </w:p>
    <w:p w:rsidR="00406000" w:rsidRPr="00AF3E68" w:rsidRDefault="00406000" w:rsidP="00AA70BA">
      <w:pPr>
        <w:ind w:left="851"/>
        <w:outlineLvl w:val="0"/>
        <w:rPr>
          <w:sz w:val="24"/>
          <w:szCs w:val="24"/>
        </w:rPr>
      </w:pPr>
      <w:r w:rsidRPr="00AF3E68">
        <w:rPr>
          <w:sz w:val="24"/>
          <w:szCs w:val="24"/>
        </w:rPr>
        <w:t xml:space="preserve">Et 10 ml hætteglas indeholder 200 mikrogram </w:t>
      </w:r>
      <w:proofErr w:type="spellStart"/>
      <w:r w:rsidRPr="00AF3E68">
        <w:rPr>
          <w:sz w:val="24"/>
          <w:szCs w:val="24"/>
        </w:rPr>
        <w:t>methoxsalen</w:t>
      </w:r>
      <w:proofErr w:type="spellEnd"/>
      <w:r w:rsidRPr="00AF3E68">
        <w:rPr>
          <w:sz w:val="24"/>
          <w:szCs w:val="24"/>
        </w:rPr>
        <w:t>.</w:t>
      </w:r>
    </w:p>
    <w:p w:rsidR="00406000" w:rsidRPr="00AF3E68" w:rsidRDefault="00406000" w:rsidP="00AA70BA">
      <w:pPr>
        <w:ind w:left="851"/>
        <w:rPr>
          <w:sz w:val="24"/>
          <w:szCs w:val="24"/>
        </w:rPr>
      </w:pPr>
    </w:p>
    <w:p w:rsidR="00C87782" w:rsidRPr="00AF3E68" w:rsidRDefault="00C87782" w:rsidP="00C87782">
      <w:pPr>
        <w:autoSpaceDE w:val="0"/>
        <w:autoSpaceDN w:val="0"/>
        <w:adjustRightInd w:val="0"/>
        <w:ind w:left="851"/>
        <w:rPr>
          <w:sz w:val="24"/>
          <w:szCs w:val="24"/>
          <w:u w:val="single"/>
        </w:rPr>
      </w:pPr>
      <w:r w:rsidRPr="00AF3E68">
        <w:rPr>
          <w:sz w:val="24"/>
          <w:szCs w:val="24"/>
          <w:u w:val="single"/>
        </w:rPr>
        <w:t>Hjælpestof(fer), som behandleren skal være opmærksom på</w:t>
      </w:r>
    </w:p>
    <w:p w:rsidR="008F37AC" w:rsidRPr="00AF3E68" w:rsidRDefault="008F37AC" w:rsidP="008F37AC">
      <w:pPr>
        <w:autoSpaceDE w:val="0"/>
        <w:autoSpaceDN w:val="0"/>
        <w:adjustRightInd w:val="0"/>
        <w:ind w:left="851"/>
        <w:rPr>
          <w:sz w:val="24"/>
          <w:szCs w:val="24"/>
        </w:rPr>
      </w:pPr>
      <w:r w:rsidRPr="00AF3E68">
        <w:rPr>
          <w:sz w:val="24"/>
          <w:szCs w:val="24"/>
        </w:rPr>
        <w:t xml:space="preserve">Produktet indeholder 5 % (v/v) </w:t>
      </w:r>
      <w:proofErr w:type="spellStart"/>
      <w:r w:rsidRPr="00AF3E68">
        <w:rPr>
          <w:sz w:val="24"/>
          <w:szCs w:val="24"/>
        </w:rPr>
        <w:t>ethanol</w:t>
      </w:r>
      <w:proofErr w:type="spellEnd"/>
      <w:r w:rsidRPr="00AF3E68">
        <w:rPr>
          <w:sz w:val="24"/>
          <w:szCs w:val="24"/>
        </w:rPr>
        <w:t>, og hver dosis indeholder op til 217 mg alkohol. Det indeholder endvidere mindre end 1 mmol natrium (23 mg) per administreret dosis (maksimumvolumen 5,6 ml).</w:t>
      </w:r>
    </w:p>
    <w:p w:rsidR="00406000" w:rsidRPr="00AF3E68" w:rsidRDefault="00406000" w:rsidP="00845302">
      <w:pPr>
        <w:ind w:left="851" w:hanging="851"/>
        <w:outlineLvl w:val="0"/>
        <w:rPr>
          <w:bCs/>
          <w:sz w:val="24"/>
          <w:szCs w:val="24"/>
        </w:rPr>
      </w:pPr>
    </w:p>
    <w:p w:rsidR="00C87782" w:rsidRPr="00AF3E68" w:rsidRDefault="00C87782" w:rsidP="00C87782">
      <w:pPr>
        <w:autoSpaceDE w:val="0"/>
        <w:autoSpaceDN w:val="0"/>
        <w:adjustRightInd w:val="0"/>
        <w:ind w:left="851"/>
        <w:rPr>
          <w:sz w:val="24"/>
          <w:szCs w:val="24"/>
        </w:rPr>
      </w:pPr>
      <w:r w:rsidRPr="00AF3E68">
        <w:rPr>
          <w:sz w:val="24"/>
          <w:szCs w:val="24"/>
        </w:rPr>
        <w:t>Alle hjælpestoffer er anført under pkt. 6.1.</w:t>
      </w:r>
    </w:p>
    <w:p w:rsidR="00C87782" w:rsidRPr="00AF3E68" w:rsidRDefault="00C87782" w:rsidP="00845302">
      <w:pPr>
        <w:ind w:left="851" w:hanging="851"/>
        <w:outlineLvl w:val="0"/>
        <w:rPr>
          <w:bCs/>
          <w:sz w:val="24"/>
          <w:szCs w:val="24"/>
        </w:rPr>
      </w:pPr>
    </w:p>
    <w:p w:rsidR="00F138F0" w:rsidRPr="00AF3E68" w:rsidRDefault="00F138F0" w:rsidP="00F138F0">
      <w:pPr>
        <w:tabs>
          <w:tab w:val="left" w:pos="851"/>
        </w:tabs>
        <w:ind w:left="851" w:hanging="851"/>
        <w:rPr>
          <w:b/>
          <w:sz w:val="24"/>
          <w:szCs w:val="24"/>
        </w:rPr>
      </w:pPr>
      <w:r w:rsidRPr="00AF3E68">
        <w:rPr>
          <w:b/>
          <w:sz w:val="24"/>
          <w:szCs w:val="24"/>
        </w:rPr>
        <w:t>3.</w:t>
      </w:r>
      <w:r w:rsidRPr="00AF3E68">
        <w:rPr>
          <w:b/>
          <w:sz w:val="24"/>
          <w:szCs w:val="24"/>
        </w:rPr>
        <w:tab/>
        <w:t>LÆGEMIDDELFORM</w:t>
      </w:r>
    </w:p>
    <w:p w:rsidR="00406000" w:rsidRPr="00AF3E68" w:rsidRDefault="00406000" w:rsidP="00AA70BA">
      <w:pPr>
        <w:ind w:left="851"/>
        <w:outlineLvl w:val="0"/>
        <w:rPr>
          <w:sz w:val="24"/>
          <w:szCs w:val="24"/>
        </w:rPr>
      </w:pPr>
      <w:r w:rsidRPr="00AF3E68">
        <w:rPr>
          <w:sz w:val="24"/>
          <w:szCs w:val="24"/>
        </w:rPr>
        <w:t xml:space="preserve">Opløsning til </w:t>
      </w:r>
      <w:r w:rsidR="00AA70BA" w:rsidRPr="00AF3E68">
        <w:rPr>
          <w:sz w:val="24"/>
          <w:szCs w:val="24"/>
        </w:rPr>
        <w:t xml:space="preserve">modificering af </w:t>
      </w:r>
      <w:r w:rsidRPr="00AF3E68">
        <w:rPr>
          <w:sz w:val="24"/>
          <w:szCs w:val="24"/>
        </w:rPr>
        <w:t>blodfraktion</w:t>
      </w:r>
      <w:r w:rsidR="00AA70BA" w:rsidRPr="00AF3E68">
        <w:rPr>
          <w:sz w:val="24"/>
          <w:szCs w:val="24"/>
        </w:rPr>
        <w:t>er</w:t>
      </w:r>
    </w:p>
    <w:p w:rsidR="00406000" w:rsidRPr="00AF3E68" w:rsidRDefault="00406000" w:rsidP="00AA70BA">
      <w:pPr>
        <w:ind w:left="851"/>
        <w:rPr>
          <w:sz w:val="24"/>
          <w:szCs w:val="24"/>
        </w:rPr>
      </w:pPr>
      <w:r w:rsidRPr="00AF3E68">
        <w:rPr>
          <w:sz w:val="24"/>
          <w:szCs w:val="24"/>
        </w:rPr>
        <w:t>Klar, farveløs til svagt gul opløsning.</w:t>
      </w:r>
    </w:p>
    <w:p w:rsidR="00406000" w:rsidRPr="00AF3E68" w:rsidRDefault="00406000" w:rsidP="00406000">
      <w:pPr>
        <w:ind w:left="851" w:hanging="851"/>
        <w:jc w:val="both"/>
        <w:rPr>
          <w:sz w:val="24"/>
          <w:szCs w:val="24"/>
        </w:rPr>
      </w:pPr>
    </w:p>
    <w:p w:rsidR="00406000" w:rsidRPr="00AF3E68" w:rsidRDefault="00406000" w:rsidP="00406000">
      <w:pPr>
        <w:ind w:left="851" w:hanging="851"/>
        <w:jc w:val="both"/>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4.</w:t>
      </w:r>
      <w:r w:rsidRPr="00AF3E68">
        <w:rPr>
          <w:b/>
          <w:sz w:val="24"/>
          <w:szCs w:val="24"/>
        </w:rPr>
        <w:tab/>
        <w:t>KLINISKE OPLYSNINGER</w:t>
      </w:r>
    </w:p>
    <w:p w:rsidR="00F138F0" w:rsidRPr="00AF3E68" w:rsidRDefault="00F138F0" w:rsidP="00F138F0">
      <w:pPr>
        <w:tabs>
          <w:tab w:val="left" w:pos="851"/>
        </w:tabs>
        <w:ind w:left="851"/>
        <w:rPr>
          <w:b/>
          <w:sz w:val="24"/>
          <w:szCs w:val="24"/>
        </w:rPr>
      </w:pPr>
    </w:p>
    <w:p w:rsidR="00F138F0" w:rsidRPr="00AF3E68" w:rsidRDefault="00F138F0" w:rsidP="00F138F0">
      <w:pPr>
        <w:tabs>
          <w:tab w:val="left" w:pos="851"/>
        </w:tabs>
        <w:ind w:left="851" w:hanging="851"/>
        <w:rPr>
          <w:b/>
          <w:sz w:val="24"/>
          <w:szCs w:val="24"/>
          <w:u w:val="single"/>
        </w:rPr>
      </w:pPr>
      <w:r w:rsidRPr="00AF3E68">
        <w:rPr>
          <w:b/>
          <w:sz w:val="24"/>
          <w:szCs w:val="24"/>
        </w:rPr>
        <w:t>4.1</w:t>
      </w:r>
      <w:r w:rsidRPr="00AF3E68">
        <w:rPr>
          <w:b/>
          <w:sz w:val="24"/>
          <w:szCs w:val="24"/>
        </w:rPr>
        <w:tab/>
        <w:t>Terapeutiske indikationer</w:t>
      </w:r>
    </w:p>
    <w:p w:rsidR="00406000" w:rsidRPr="00AF3E68" w:rsidRDefault="00406000" w:rsidP="00AA70BA">
      <w:pPr>
        <w:ind w:left="851"/>
        <w:rPr>
          <w:sz w:val="24"/>
          <w:szCs w:val="24"/>
        </w:rPr>
      </w:pPr>
      <w:proofErr w:type="spellStart"/>
      <w:r w:rsidRPr="00AF3E68">
        <w:rPr>
          <w:sz w:val="24"/>
          <w:szCs w:val="24"/>
        </w:rPr>
        <w:t>Uvadex</w:t>
      </w:r>
      <w:proofErr w:type="spellEnd"/>
      <w:r w:rsidRPr="00AF3E68">
        <w:rPr>
          <w:sz w:val="24"/>
          <w:szCs w:val="24"/>
        </w:rPr>
        <w:t xml:space="preserve"> anvendes </w:t>
      </w:r>
      <w:proofErr w:type="spellStart"/>
      <w:r w:rsidR="00D72340" w:rsidRPr="00AF3E68">
        <w:rPr>
          <w:sz w:val="24"/>
          <w:szCs w:val="24"/>
        </w:rPr>
        <w:t>anvendes</w:t>
      </w:r>
      <w:proofErr w:type="spellEnd"/>
      <w:r w:rsidR="00D72340" w:rsidRPr="00AF3E68">
        <w:rPr>
          <w:sz w:val="24"/>
          <w:szCs w:val="24"/>
        </w:rPr>
        <w:t xml:space="preserve"> sammen med </w:t>
      </w:r>
      <w:r w:rsidR="00D72340" w:rsidRPr="00AF3E68">
        <w:rPr>
          <w:color w:val="000000"/>
          <w:sz w:val="24"/>
          <w:szCs w:val="24"/>
        </w:rPr>
        <w:t>THERAKOS CELLEX</w:t>
      </w:r>
      <w:r w:rsidR="00D72340" w:rsidRPr="00AF3E68" w:rsidDel="0055551E">
        <w:rPr>
          <w:color w:val="000000"/>
          <w:sz w:val="24"/>
          <w:szCs w:val="24"/>
        </w:rPr>
        <w:t xml:space="preserve"> </w:t>
      </w:r>
      <w:r w:rsidR="00D72340" w:rsidRPr="00AF3E68">
        <w:rPr>
          <w:sz w:val="24"/>
          <w:szCs w:val="24"/>
        </w:rPr>
        <w:t>-</w:t>
      </w:r>
      <w:proofErr w:type="spellStart"/>
      <w:r w:rsidR="00D72340" w:rsidRPr="00AF3E68">
        <w:rPr>
          <w:sz w:val="24"/>
          <w:szCs w:val="24"/>
        </w:rPr>
        <w:t>fotoferesesystemet</w:t>
      </w:r>
      <w:proofErr w:type="spellEnd"/>
      <w:r w:rsidR="00D72340" w:rsidRPr="00AF3E68">
        <w:rPr>
          <w:sz w:val="24"/>
          <w:szCs w:val="24"/>
        </w:rPr>
        <w:t xml:space="preserve"> </w:t>
      </w:r>
      <w:r w:rsidRPr="00AF3E68">
        <w:rPr>
          <w:sz w:val="24"/>
          <w:szCs w:val="24"/>
        </w:rPr>
        <w:t xml:space="preserve">i den palliative behandling af de hudmanifestationer (pletvist </w:t>
      </w:r>
      <w:proofErr w:type="spellStart"/>
      <w:r w:rsidRPr="00AF3E68">
        <w:rPr>
          <w:sz w:val="24"/>
          <w:szCs w:val="24"/>
        </w:rPr>
        <w:t>plaque</w:t>
      </w:r>
      <w:proofErr w:type="spellEnd"/>
      <w:r w:rsidRPr="00AF3E68">
        <w:rPr>
          <w:sz w:val="24"/>
          <w:szCs w:val="24"/>
        </w:rPr>
        <w:t xml:space="preserve">, udbredt </w:t>
      </w:r>
      <w:proofErr w:type="spellStart"/>
      <w:r w:rsidRPr="00AF3E68">
        <w:rPr>
          <w:sz w:val="24"/>
          <w:szCs w:val="24"/>
        </w:rPr>
        <w:t>plaque</w:t>
      </w:r>
      <w:proofErr w:type="spellEnd"/>
      <w:r w:rsidRPr="00AF3E68">
        <w:rPr>
          <w:sz w:val="24"/>
          <w:szCs w:val="24"/>
        </w:rPr>
        <w:t xml:space="preserve">, </w:t>
      </w:r>
      <w:proofErr w:type="spellStart"/>
      <w:r w:rsidRPr="00AF3E68">
        <w:rPr>
          <w:sz w:val="24"/>
          <w:szCs w:val="24"/>
        </w:rPr>
        <w:t>erythrodermia</w:t>
      </w:r>
      <w:proofErr w:type="spellEnd"/>
      <w:r w:rsidRPr="00AF3E68">
        <w:rPr>
          <w:sz w:val="24"/>
          <w:szCs w:val="24"/>
        </w:rPr>
        <w:t xml:space="preserve">), der er forbundet med et fremskredent (T2-T4) </w:t>
      </w:r>
      <w:proofErr w:type="spellStart"/>
      <w:r w:rsidRPr="00AF3E68">
        <w:rPr>
          <w:sz w:val="24"/>
          <w:szCs w:val="24"/>
        </w:rPr>
        <w:t>kutant</w:t>
      </w:r>
      <w:proofErr w:type="spellEnd"/>
      <w:r w:rsidRPr="00AF3E68">
        <w:rPr>
          <w:sz w:val="24"/>
          <w:szCs w:val="24"/>
        </w:rPr>
        <w:t xml:space="preserve"> T-</w:t>
      </w:r>
      <w:proofErr w:type="spellStart"/>
      <w:r w:rsidRPr="00AF3E68">
        <w:rPr>
          <w:sz w:val="24"/>
          <w:szCs w:val="24"/>
        </w:rPr>
        <w:t>cellelymfom</w:t>
      </w:r>
      <w:proofErr w:type="spellEnd"/>
      <w:r w:rsidRPr="00AF3E68">
        <w:rPr>
          <w:sz w:val="24"/>
          <w:szCs w:val="24"/>
        </w:rPr>
        <w:t xml:space="preserve"> (CTCL), men kun til patienter, der ikke har reageret på andre former for behandling (f.eks. </w:t>
      </w:r>
      <w:proofErr w:type="spellStart"/>
      <w:r w:rsidRPr="00AF3E68">
        <w:rPr>
          <w:sz w:val="24"/>
          <w:szCs w:val="24"/>
        </w:rPr>
        <w:t>puvaterapi</w:t>
      </w:r>
      <w:proofErr w:type="spellEnd"/>
      <w:r w:rsidRPr="00AF3E68">
        <w:rPr>
          <w:sz w:val="24"/>
          <w:szCs w:val="24"/>
        </w:rPr>
        <w:t xml:space="preserve">, systemiske </w:t>
      </w:r>
      <w:proofErr w:type="spellStart"/>
      <w:r w:rsidRPr="00AF3E68">
        <w:rPr>
          <w:sz w:val="24"/>
          <w:szCs w:val="24"/>
        </w:rPr>
        <w:t>kortokosteroider</w:t>
      </w:r>
      <w:proofErr w:type="spellEnd"/>
      <w:r w:rsidRPr="00AF3E68">
        <w:rPr>
          <w:sz w:val="24"/>
          <w:szCs w:val="24"/>
        </w:rPr>
        <w:t xml:space="preserve">, </w:t>
      </w:r>
      <w:proofErr w:type="spellStart"/>
      <w:r w:rsidRPr="00AF3E68">
        <w:rPr>
          <w:sz w:val="24"/>
          <w:szCs w:val="24"/>
        </w:rPr>
        <w:t>caryolysin</w:t>
      </w:r>
      <w:proofErr w:type="spellEnd"/>
      <w:r w:rsidRPr="00AF3E68">
        <w:rPr>
          <w:sz w:val="24"/>
          <w:szCs w:val="24"/>
        </w:rPr>
        <w:t>, interferon-</w:t>
      </w:r>
      <w:proofErr w:type="spellStart"/>
      <w:r w:rsidRPr="00AF3E68">
        <w:rPr>
          <w:sz w:val="24"/>
          <w:szCs w:val="24"/>
        </w:rPr>
        <w:t>alpha</w:t>
      </w:r>
      <w:proofErr w:type="spellEnd"/>
      <w:r w:rsidRPr="00AF3E68">
        <w:rPr>
          <w:sz w:val="24"/>
          <w:szCs w:val="24"/>
        </w:rPr>
        <w:t>).</w:t>
      </w:r>
    </w:p>
    <w:p w:rsidR="00AF3E68" w:rsidRDefault="00AF3E68">
      <w:pPr>
        <w:rPr>
          <w:sz w:val="24"/>
          <w:szCs w:val="24"/>
        </w:rPr>
      </w:pPr>
      <w:r>
        <w:rPr>
          <w:sz w:val="24"/>
          <w:szCs w:val="24"/>
        </w:rPr>
        <w:br w:type="page"/>
      </w:r>
    </w:p>
    <w:p w:rsidR="00406000" w:rsidRPr="00AF3E68" w:rsidRDefault="00406000" w:rsidP="00406000">
      <w:pPr>
        <w:ind w:left="851" w:hanging="851"/>
        <w:jc w:val="both"/>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4.2</w:t>
      </w:r>
      <w:r w:rsidRPr="00AF3E68">
        <w:rPr>
          <w:b/>
          <w:sz w:val="24"/>
          <w:szCs w:val="24"/>
        </w:rPr>
        <w:tab/>
        <w:t>Dosering og administration</w:t>
      </w:r>
    </w:p>
    <w:p w:rsidR="00996EBB" w:rsidRPr="00AF3E68" w:rsidRDefault="00996EBB" w:rsidP="00B112C1">
      <w:pPr>
        <w:ind w:firstLine="851"/>
        <w:rPr>
          <w:sz w:val="24"/>
          <w:szCs w:val="24"/>
        </w:rPr>
      </w:pPr>
    </w:p>
    <w:p w:rsidR="00996EBB" w:rsidRPr="00AF3E68" w:rsidRDefault="00996EBB" w:rsidP="00996EBB">
      <w:pPr>
        <w:ind w:firstLine="851"/>
        <w:rPr>
          <w:sz w:val="24"/>
          <w:szCs w:val="24"/>
          <w:u w:val="single"/>
        </w:rPr>
      </w:pPr>
      <w:r w:rsidRPr="00AF3E68">
        <w:rPr>
          <w:sz w:val="24"/>
          <w:szCs w:val="24"/>
          <w:u w:val="single"/>
        </w:rPr>
        <w:t>Dosering</w:t>
      </w:r>
    </w:p>
    <w:p w:rsidR="00996EBB" w:rsidRPr="00AF3E68" w:rsidRDefault="00996EBB" w:rsidP="00996EBB">
      <w:pPr>
        <w:ind w:firstLine="851"/>
        <w:rPr>
          <w:sz w:val="24"/>
          <w:szCs w:val="24"/>
        </w:rPr>
      </w:pPr>
    </w:p>
    <w:p w:rsidR="00996EBB" w:rsidRPr="00AF3E68" w:rsidRDefault="00996EBB" w:rsidP="00996EBB">
      <w:pPr>
        <w:ind w:firstLine="851"/>
        <w:rPr>
          <w:i/>
          <w:sz w:val="24"/>
          <w:szCs w:val="24"/>
        </w:rPr>
      </w:pPr>
      <w:r w:rsidRPr="00AF3E68">
        <w:rPr>
          <w:i/>
          <w:sz w:val="24"/>
          <w:szCs w:val="24"/>
        </w:rPr>
        <w:t>Voksne</w:t>
      </w:r>
    </w:p>
    <w:p w:rsidR="00996EBB" w:rsidRPr="00AF3E68" w:rsidRDefault="00996EBB" w:rsidP="00996EBB">
      <w:pPr>
        <w:ind w:left="851"/>
        <w:rPr>
          <w:sz w:val="24"/>
          <w:szCs w:val="24"/>
        </w:rPr>
      </w:pPr>
      <w:r w:rsidRPr="00AF3E68">
        <w:rPr>
          <w:sz w:val="24"/>
          <w:szCs w:val="24"/>
        </w:rPr>
        <w:t xml:space="preserve">Under hver </w:t>
      </w:r>
      <w:proofErr w:type="spellStart"/>
      <w:r w:rsidRPr="00AF3E68">
        <w:rPr>
          <w:sz w:val="24"/>
          <w:szCs w:val="24"/>
        </w:rPr>
        <w:t>fotoferesebehandling</w:t>
      </w:r>
      <w:proofErr w:type="spellEnd"/>
      <w:r w:rsidRPr="00AF3E68">
        <w:rPr>
          <w:sz w:val="24"/>
          <w:szCs w:val="24"/>
        </w:rPr>
        <w:t xml:space="preserve"> med </w:t>
      </w:r>
      <w:proofErr w:type="spellStart"/>
      <w:r w:rsidRPr="00AF3E68">
        <w:rPr>
          <w:sz w:val="24"/>
          <w:szCs w:val="24"/>
        </w:rPr>
        <w:t>U</w:t>
      </w:r>
      <w:r w:rsidR="00EE4C29" w:rsidRPr="00AF3E68">
        <w:rPr>
          <w:sz w:val="24"/>
          <w:szCs w:val="24"/>
        </w:rPr>
        <w:t>vadex</w:t>
      </w:r>
      <w:proofErr w:type="spellEnd"/>
      <w:r w:rsidRPr="00AF3E68">
        <w:rPr>
          <w:sz w:val="24"/>
          <w:szCs w:val="24"/>
        </w:rPr>
        <w:t xml:space="preserve"> beregnes doseringen af </w:t>
      </w:r>
      <w:proofErr w:type="spellStart"/>
      <w:r w:rsidRPr="00AF3E68">
        <w:rPr>
          <w:sz w:val="24"/>
          <w:szCs w:val="24"/>
        </w:rPr>
        <w:t>U</w:t>
      </w:r>
      <w:r w:rsidR="00EE4C29" w:rsidRPr="00AF3E68">
        <w:rPr>
          <w:sz w:val="24"/>
          <w:szCs w:val="24"/>
        </w:rPr>
        <w:t>vadex</w:t>
      </w:r>
      <w:proofErr w:type="spellEnd"/>
      <w:r w:rsidRPr="00AF3E68">
        <w:rPr>
          <w:sz w:val="24"/>
          <w:szCs w:val="24"/>
        </w:rPr>
        <w:t xml:space="preserve"> på baggrund af behandlingsvolumen (der vises på displaypanelet på instrumentet) med anvendelse af formlen:</w:t>
      </w:r>
    </w:p>
    <w:p w:rsidR="00996EBB" w:rsidRPr="00AF3E68" w:rsidRDefault="00996EBB" w:rsidP="00996EBB">
      <w:pPr>
        <w:ind w:left="851"/>
        <w:rPr>
          <w:sz w:val="24"/>
          <w:szCs w:val="24"/>
        </w:rPr>
      </w:pPr>
    </w:p>
    <w:p w:rsidR="00996EBB" w:rsidRPr="00AF3E68" w:rsidRDefault="00996EBB" w:rsidP="00996EBB">
      <w:pPr>
        <w:pStyle w:val="Overskrift5"/>
        <w:spacing w:before="0" w:after="0"/>
        <w:ind w:left="2155" w:firstLine="453"/>
        <w:rPr>
          <w:b w:val="0"/>
          <w:i w:val="0"/>
          <w:sz w:val="24"/>
          <w:szCs w:val="24"/>
        </w:rPr>
      </w:pPr>
      <w:r w:rsidRPr="00AF3E68">
        <w:rPr>
          <w:b w:val="0"/>
          <w:i w:val="0"/>
          <w:sz w:val="24"/>
          <w:szCs w:val="24"/>
        </w:rPr>
        <w:t xml:space="preserve">Behandlingsvolumen x 0,017 ml </w:t>
      </w:r>
      <w:proofErr w:type="spellStart"/>
      <w:r w:rsidRPr="00AF3E68">
        <w:rPr>
          <w:b w:val="0"/>
          <w:i w:val="0"/>
          <w:sz w:val="24"/>
          <w:szCs w:val="24"/>
        </w:rPr>
        <w:t>U</w:t>
      </w:r>
      <w:r w:rsidR="00EE4C29" w:rsidRPr="00AF3E68">
        <w:rPr>
          <w:b w:val="0"/>
          <w:i w:val="0"/>
          <w:sz w:val="24"/>
          <w:szCs w:val="24"/>
        </w:rPr>
        <w:t>vadex</w:t>
      </w:r>
      <w:proofErr w:type="spellEnd"/>
      <w:r w:rsidRPr="00AF3E68">
        <w:rPr>
          <w:b w:val="0"/>
          <w:i w:val="0"/>
          <w:sz w:val="24"/>
          <w:szCs w:val="24"/>
        </w:rPr>
        <w:t xml:space="preserve"> til hver behandling</w:t>
      </w:r>
    </w:p>
    <w:p w:rsidR="00996EBB" w:rsidRPr="00AF3E68" w:rsidRDefault="00996EBB" w:rsidP="00996EBB">
      <w:pPr>
        <w:ind w:left="851"/>
        <w:rPr>
          <w:sz w:val="24"/>
          <w:szCs w:val="24"/>
        </w:rPr>
      </w:pPr>
      <w:r w:rsidRPr="00AF3E68">
        <w:rPr>
          <w:sz w:val="24"/>
          <w:szCs w:val="24"/>
        </w:rPr>
        <w:t xml:space="preserve">Et eksempel: </w:t>
      </w:r>
      <w:r w:rsidRPr="00AF3E68">
        <w:rPr>
          <w:sz w:val="24"/>
          <w:szCs w:val="24"/>
        </w:rPr>
        <w:tab/>
        <w:t xml:space="preserve">Behandlingsvolumen = 240 ml x 0,017 = 4,1 ml </w:t>
      </w:r>
      <w:proofErr w:type="spellStart"/>
      <w:r w:rsidRPr="00AF3E68">
        <w:rPr>
          <w:sz w:val="24"/>
          <w:szCs w:val="24"/>
        </w:rPr>
        <w:t>U</w:t>
      </w:r>
      <w:r w:rsidR="00EE4C29" w:rsidRPr="00AF3E68">
        <w:rPr>
          <w:sz w:val="24"/>
          <w:szCs w:val="24"/>
        </w:rPr>
        <w:t>vadex</w:t>
      </w:r>
      <w:proofErr w:type="spellEnd"/>
    </w:p>
    <w:p w:rsidR="00996EBB" w:rsidRPr="00AF3E68" w:rsidRDefault="00996EBB" w:rsidP="00996EBB">
      <w:pPr>
        <w:ind w:left="851"/>
        <w:rPr>
          <w:sz w:val="24"/>
          <w:szCs w:val="24"/>
        </w:rPr>
      </w:pPr>
    </w:p>
    <w:p w:rsidR="00996EBB" w:rsidRPr="00AF3E68" w:rsidRDefault="00996EBB" w:rsidP="00996EBB">
      <w:pPr>
        <w:ind w:left="851"/>
        <w:rPr>
          <w:i/>
          <w:sz w:val="24"/>
          <w:szCs w:val="24"/>
        </w:rPr>
      </w:pPr>
      <w:r w:rsidRPr="00AF3E68">
        <w:rPr>
          <w:i/>
          <w:sz w:val="24"/>
          <w:szCs w:val="24"/>
        </w:rPr>
        <w:t>Pædiatrisk population</w:t>
      </w:r>
    </w:p>
    <w:p w:rsidR="00996EBB" w:rsidRPr="00AF3E68" w:rsidRDefault="00996EBB" w:rsidP="00996EBB">
      <w:pPr>
        <w:ind w:left="851"/>
        <w:rPr>
          <w:sz w:val="24"/>
          <w:szCs w:val="24"/>
        </w:rPr>
      </w:pPr>
      <w:proofErr w:type="spellStart"/>
      <w:r w:rsidRPr="00AF3E68">
        <w:rPr>
          <w:sz w:val="24"/>
          <w:szCs w:val="24"/>
        </w:rPr>
        <w:t>U</w:t>
      </w:r>
      <w:r w:rsidR="00EE4C29" w:rsidRPr="00AF3E68">
        <w:rPr>
          <w:sz w:val="24"/>
          <w:szCs w:val="24"/>
        </w:rPr>
        <w:t>vadex</w:t>
      </w:r>
      <w:r w:rsidRPr="00AF3E68">
        <w:rPr>
          <w:sz w:val="24"/>
          <w:szCs w:val="24"/>
        </w:rPr>
        <w:t>s</w:t>
      </w:r>
      <w:proofErr w:type="spellEnd"/>
      <w:r w:rsidRPr="00AF3E68">
        <w:rPr>
          <w:sz w:val="24"/>
          <w:szCs w:val="24"/>
        </w:rPr>
        <w:t xml:space="preserve"> sikkerhed og virkning hos børn er ikke evalueret klinisk for denne indikation.</w:t>
      </w:r>
    </w:p>
    <w:p w:rsidR="00996EBB" w:rsidRPr="00AF3E68" w:rsidRDefault="00996EBB" w:rsidP="00996EBB">
      <w:pPr>
        <w:ind w:left="851"/>
        <w:rPr>
          <w:sz w:val="24"/>
          <w:szCs w:val="24"/>
        </w:rPr>
      </w:pPr>
    </w:p>
    <w:p w:rsidR="00996EBB" w:rsidRPr="00AF3E68" w:rsidRDefault="00996EBB" w:rsidP="00996EBB">
      <w:pPr>
        <w:ind w:left="851"/>
        <w:rPr>
          <w:i/>
          <w:sz w:val="24"/>
          <w:szCs w:val="24"/>
        </w:rPr>
      </w:pPr>
      <w:r w:rsidRPr="00AF3E68">
        <w:rPr>
          <w:i/>
          <w:sz w:val="24"/>
          <w:szCs w:val="24"/>
        </w:rPr>
        <w:t>Nedsat lever- eller nyrefunktion</w:t>
      </w:r>
    </w:p>
    <w:p w:rsidR="00996EBB" w:rsidRPr="00AF3E68" w:rsidRDefault="00996EBB" w:rsidP="00996EBB">
      <w:pPr>
        <w:ind w:left="851"/>
        <w:rPr>
          <w:sz w:val="24"/>
          <w:szCs w:val="24"/>
        </w:rPr>
      </w:pPr>
      <w:proofErr w:type="spellStart"/>
      <w:r w:rsidRPr="00AF3E68">
        <w:rPr>
          <w:sz w:val="24"/>
          <w:szCs w:val="24"/>
        </w:rPr>
        <w:t>U</w:t>
      </w:r>
      <w:r w:rsidR="00EE4C29" w:rsidRPr="00AF3E68">
        <w:rPr>
          <w:sz w:val="24"/>
          <w:szCs w:val="24"/>
        </w:rPr>
        <w:t>vadex</w:t>
      </w:r>
      <w:proofErr w:type="spellEnd"/>
      <w:r w:rsidRPr="00AF3E68">
        <w:rPr>
          <w:sz w:val="24"/>
          <w:szCs w:val="24"/>
        </w:rPr>
        <w:t xml:space="preserve"> er ikke evalueret klinisk til patienter med nedsat nyre- eller leverfunktion (se pkt. 4.4)</w:t>
      </w:r>
      <w:r w:rsidR="00AF3E68">
        <w:rPr>
          <w:sz w:val="24"/>
          <w:szCs w:val="24"/>
        </w:rPr>
        <w:t>.</w:t>
      </w:r>
    </w:p>
    <w:p w:rsidR="00996EBB" w:rsidRPr="00AF3E68" w:rsidRDefault="00996EBB" w:rsidP="00996EBB">
      <w:pPr>
        <w:ind w:left="851"/>
        <w:rPr>
          <w:sz w:val="24"/>
          <w:szCs w:val="24"/>
        </w:rPr>
      </w:pPr>
    </w:p>
    <w:p w:rsidR="00996EBB" w:rsidRPr="00AF3E68" w:rsidRDefault="00996EBB" w:rsidP="00EE4C29">
      <w:pPr>
        <w:ind w:left="851"/>
        <w:rPr>
          <w:sz w:val="24"/>
          <w:szCs w:val="24"/>
          <w:u w:val="single"/>
        </w:rPr>
      </w:pPr>
      <w:r w:rsidRPr="00AF3E68">
        <w:rPr>
          <w:sz w:val="24"/>
          <w:szCs w:val="24"/>
          <w:u w:val="single"/>
        </w:rPr>
        <w:t xml:space="preserve">Indgivelsesmåde </w:t>
      </w:r>
    </w:p>
    <w:p w:rsidR="00996EBB" w:rsidRPr="00AF3E68" w:rsidRDefault="00996EBB" w:rsidP="00EE4C29">
      <w:pPr>
        <w:ind w:left="851"/>
        <w:rPr>
          <w:sz w:val="24"/>
          <w:szCs w:val="24"/>
        </w:rPr>
      </w:pPr>
    </w:p>
    <w:p w:rsidR="00996EBB" w:rsidRPr="00AF3E68" w:rsidRDefault="00996EBB" w:rsidP="00EE4C29">
      <w:pPr>
        <w:ind w:left="851"/>
        <w:rPr>
          <w:sz w:val="24"/>
          <w:szCs w:val="24"/>
        </w:rPr>
      </w:pPr>
      <w:r w:rsidRPr="00AF3E68">
        <w:rPr>
          <w:sz w:val="24"/>
          <w:szCs w:val="24"/>
        </w:rPr>
        <w:t>Ekstrakorporal anvendelse.</w:t>
      </w:r>
    </w:p>
    <w:p w:rsidR="00996EBB" w:rsidRPr="00AF3E68" w:rsidRDefault="00996EBB" w:rsidP="00EE4C29">
      <w:pPr>
        <w:ind w:left="851"/>
        <w:rPr>
          <w:sz w:val="24"/>
          <w:szCs w:val="24"/>
        </w:rPr>
      </w:pPr>
    </w:p>
    <w:p w:rsidR="00406000" w:rsidRPr="00AF3E68" w:rsidRDefault="00406000" w:rsidP="00B112C1">
      <w:pPr>
        <w:ind w:firstLine="851"/>
        <w:rPr>
          <w:b/>
          <w:sz w:val="24"/>
          <w:szCs w:val="24"/>
        </w:rPr>
      </w:pPr>
      <w:r w:rsidRPr="00AF3E68">
        <w:rPr>
          <w:b/>
          <w:sz w:val="24"/>
          <w:szCs w:val="24"/>
        </w:rPr>
        <w:t>Må ikke injiceres direkte i patienten.</w:t>
      </w:r>
    </w:p>
    <w:p w:rsidR="00996EBB" w:rsidRPr="00AF3E68" w:rsidRDefault="00996EBB" w:rsidP="00B112C1">
      <w:pPr>
        <w:ind w:left="851"/>
        <w:rPr>
          <w:sz w:val="24"/>
          <w:szCs w:val="24"/>
        </w:rPr>
      </w:pPr>
    </w:p>
    <w:p w:rsidR="00406000" w:rsidRPr="00AF3E68" w:rsidRDefault="00406000" w:rsidP="00B112C1">
      <w:pPr>
        <w:ind w:left="851"/>
        <w:rPr>
          <w:sz w:val="24"/>
          <w:szCs w:val="24"/>
        </w:rPr>
      </w:pPr>
      <w:r w:rsidRPr="00AF3E68">
        <w:rPr>
          <w:sz w:val="24"/>
          <w:szCs w:val="24"/>
        </w:rPr>
        <w:t xml:space="preserve">Patienten er under </w:t>
      </w:r>
      <w:proofErr w:type="spellStart"/>
      <w:r w:rsidRPr="00AF3E68">
        <w:rPr>
          <w:sz w:val="24"/>
          <w:szCs w:val="24"/>
        </w:rPr>
        <w:t>fotofereseprocessen</w:t>
      </w:r>
      <w:proofErr w:type="spellEnd"/>
      <w:r w:rsidRPr="00AF3E68">
        <w:rPr>
          <w:sz w:val="24"/>
          <w:szCs w:val="24"/>
        </w:rPr>
        <w:t xml:space="preserve"> forbundet </w:t>
      </w:r>
      <w:r w:rsidR="00D72340" w:rsidRPr="00AF3E68">
        <w:rPr>
          <w:sz w:val="24"/>
          <w:szCs w:val="24"/>
        </w:rPr>
        <w:t xml:space="preserve">til </w:t>
      </w:r>
      <w:r w:rsidR="00D72340" w:rsidRPr="00AF3E68">
        <w:rPr>
          <w:color w:val="000000"/>
          <w:sz w:val="24"/>
          <w:szCs w:val="24"/>
        </w:rPr>
        <w:t>THERAKOS CELLEX</w:t>
      </w:r>
      <w:r w:rsidR="00D72340" w:rsidRPr="00AF3E68" w:rsidDel="00085D2D">
        <w:rPr>
          <w:color w:val="000000"/>
          <w:sz w:val="24"/>
          <w:szCs w:val="24"/>
        </w:rPr>
        <w:t xml:space="preserve"> </w:t>
      </w:r>
      <w:r w:rsidR="00D72340" w:rsidRPr="00AF3E68">
        <w:rPr>
          <w:sz w:val="24"/>
          <w:szCs w:val="24"/>
        </w:rPr>
        <w:t xml:space="preserve">-instrumentet </w:t>
      </w:r>
      <w:r w:rsidRPr="00AF3E68">
        <w:rPr>
          <w:sz w:val="24"/>
          <w:szCs w:val="24"/>
        </w:rPr>
        <w:t xml:space="preserve">via et kateter. I centrifugeskålen skilles de røde blodlegemer fra de hvide blodlegemer og plasma. De røde blodlegemer og </w:t>
      </w:r>
      <w:proofErr w:type="gramStart"/>
      <w:r w:rsidRPr="00AF3E68">
        <w:rPr>
          <w:sz w:val="24"/>
          <w:szCs w:val="24"/>
        </w:rPr>
        <w:t>den overskydende plasma</w:t>
      </w:r>
      <w:proofErr w:type="gramEnd"/>
      <w:r w:rsidRPr="00AF3E68">
        <w:rPr>
          <w:sz w:val="24"/>
          <w:szCs w:val="24"/>
        </w:rPr>
        <w:t xml:space="preserve"> sendes tilbage til patienten, mens </w:t>
      </w:r>
      <w:proofErr w:type="spellStart"/>
      <w:r w:rsidRPr="00AF3E68">
        <w:rPr>
          <w:sz w:val="24"/>
          <w:szCs w:val="24"/>
        </w:rPr>
        <w:t>buffy</w:t>
      </w:r>
      <w:proofErr w:type="spellEnd"/>
      <w:r w:rsidRPr="00AF3E68">
        <w:rPr>
          <w:sz w:val="24"/>
          <w:szCs w:val="24"/>
        </w:rPr>
        <w:t xml:space="preserve"> </w:t>
      </w:r>
      <w:proofErr w:type="spellStart"/>
      <w:r w:rsidRPr="00AF3E68">
        <w:rPr>
          <w:sz w:val="24"/>
          <w:szCs w:val="24"/>
        </w:rPr>
        <w:t>coaten</w:t>
      </w:r>
      <w:proofErr w:type="spellEnd"/>
      <w:r w:rsidRPr="00AF3E68">
        <w:rPr>
          <w:sz w:val="24"/>
          <w:szCs w:val="24"/>
        </w:rPr>
        <w:t xml:space="preserve"> (leukocytberiget blod) og noget plasma opsamles i</w:t>
      </w:r>
      <w:r w:rsidR="00AF3E68">
        <w:rPr>
          <w:sz w:val="24"/>
          <w:szCs w:val="24"/>
        </w:rPr>
        <w:t xml:space="preserve"> </w:t>
      </w:r>
      <w:r w:rsidRPr="00AF3E68">
        <w:rPr>
          <w:sz w:val="24"/>
          <w:szCs w:val="24"/>
        </w:rPr>
        <w:t>fotoaktiverings</w:t>
      </w:r>
      <w:r w:rsidR="00AF3E68">
        <w:rPr>
          <w:sz w:val="24"/>
          <w:szCs w:val="24"/>
        </w:rPr>
        <w:softHyphen/>
      </w:r>
      <w:r w:rsidRPr="00AF3E68">
        <w:rPr>
          <w:sz w:val="24"/>
          <w:szCs w:val="24"/>
        </w:rPr>
        <w:t xml:space="preserve">posen, der er placeret på siden af instrumentet. Cyklussen med opsamling af </w:t>
      </w:r>
      <w:proofErr w:type="spellStart"/>
      <w:r w:rsidRPr="00AF3E68">
        <w:rPr>
          <w:sz w:val="24"/>
          <w:szCs w:val="24"/>
        </w:rPr>
        <w:t>buffy</w:t>
      </w:r>
      <w:proofErr w:type="spellEnd"/>
      <w:r w:rsidRPr="00AF3E68">
        <w:rPr>
          <w:sz w:val="24"/>
          <w:szCs w:val="24"/>
        </w:rPr>
        <w:t xml:space="preserve"> coat gentages tre eller seks gange, afhængigt af størrelsen af den centrifugeskål, der anvendes i instrumentet.</w:t>
      </w:r>
    </w:p>
    <w:p w:rsidR="00C875AD" w:rsidRPr="00AF3E68" w:rsidRDefault="00C875AD" w:rsidP="00B112C1">
      <w:pPr>
        <w:autoSpaceDE w:val="0"/>
        <w:autoSpaceDN w:val="0"/>
        <w:adjustRightInd w:val="0"/>
        <w:ind w:left="851"/>
        <w:rPr>
          <w:sz w:val="24"/>
          <w:szCs w:val="24"/>
        </w:rPr>
      </w:pPr>
    </w:p>
    <w:p w:rsidR="00D72340" w:rsidRPr="00AF3E68" w:rsidRDefault="00406000" w:rsidP="00D72340">
      <w:pPr>
        <w:autoSpaceDE w:val="0"/>
        <w:autoSpaceDN w:val="0"/>
        <w:adjustRightInd w:val="0"/>
        <w:ind w:left="851"/>
        <w:rPr>
          <w:sz w:val="24"/>
          <w:szCs w:val="24"/>
        </w:rPr>
      </w:pPr>
      <w:r w:rsidRPr="00AF3E68">
        <w:rPr>
          <w:sz w:val="24"/>
          <w:szCs w:val="24"/>
        </w:rPr>
        <w:t xml:space="preserve">Den ordinerede mængde </w:t>
      </w:r>
      <w:proofErr w:type="spellStart"/>
      <w:r w:rsidRPr="00AF3E68">
        <w:rPr>
          <w:sz w:val="24"/>
          <w:szCs w:val="24"/>
        </w:rPr>
        <w:t>Uvadex</w:t>
      </w:r>
      <w:proofErr w:type="spellEnd"/>
      <w:r w:rsidRPr="00AF3E68">
        <w:rPr>
          <w:sz w:val="24"/>
          <w:szCs w:val="24"/>
        </w:rPr>
        <w:t xml:space="preserve"> injiceres i recirkulationsposen inden fotoaktiveringsfasen. Under fotoaktiveringen cirkuleres det leukocytberigede blod hele tiden rundt i fotoaktiveringskammeret (</w:t>
      </w:r>
      <w:proofErr w:type="spellStart"/>
      <w:r w:rsidRPr="00AF3E68">
        <w:rPr>
          <w:sz w:val="24"/>
          <w:szCs w:val="24"/>
        </w:rPr>
        <w:t>fotoceptoren</w:t>
      </w:r>
      <w:proofErr w:type="spellEnd"/>
      <w:r w:rsidRPr="00AF3E68">
        <w:rPr>
          <w:sz w:val="24"/>
          <w:szCs w:val="24"/>
        </w:rPr>
        <w:t>) i maksimalt 90 minutter, mens det eksponeres for UVA-lys (1-2 J/cm</w:t>
      </w:r>
      <w:r w:rsidRPr="00AF3E68">
        <w:rPr>
          <w:sz w:val="24"/>
          <w:szCs w:val="24"/>
          <w:vertAlign w:val="superscript"/>
        </w:rPr>
        <w:t>2</w:t>
      </w:r>
      <w:r w:rsidRPr="00AF3E68">
        <w:rPr>
          <w:sz w:val="24"/>
          <w:szCs w:val="24"/>
        </w:rPr>
        <w:t xml:space="preserve">) </w:t>
      </w:r>
      <w:r w:rsidR="00D72340" w:rsidRPr="00AF3E68">
        <w:rPr>
          <w:sz w:val="24"/>
          <w:szCs w:val="24"/>
        </w:rPr>
        <w:t>fra en række</w:t>
      </w:r>
      <w:r w:rsidR="00D72340" w:rsidRPr="00AF3E68">
        <w:rPr>
          <w:color w:val="000000"/>
          <w:sz w:val="24"/>
          <w:szCs w:val="24"/>
        </w:rPr>
        <w:t xml:space="preserve"> med </w:t>
      </w:r>
      <w:r w:rsidR="00D72340" w:rsidRPr="00AF3E68">
        <w:rPr>
          <w:sz w:val="24"/>
          <w:szCs w:val="24"/>
        </w:rPr>
        <w:t>UVA-lamper.</w:t>
      </w:r>
    </w:p>
    <w:p w:rsidR="00406000" w:rsidRPr="00AF3E68" w:rsidRDefault="00406000" w:rsidP="00B112C1">
      <w:pPr>
        <w:ind w:left="851" w:hanging="851"/>
        <w:rPr>
          <w:sz w:val="24"/>
          <w:szCs w:val="24"/>
        </w:rPr>
      </w:pPr>
    </w:p>
    <w:p w:rsidR="00406000" w:rsidRPr="00AF3E68" w:rsidRDefault="00406000" w:rsidP="00B112C1">
      <w:pPr>
        <w:ind w:left="851"/>
        <w:rPr>
          <w:sz w:val="24"/>
          <w:szCs w:val="24"/>
        </w:rPr>
      </w:pPr>
      <w:r w:rsidRPr="00AF3E68">
        <w:rPr>
          <w:sz w:val="24"/>
          <w:szCs w:val="24"/>
        </w:rPr>
        <w:t xml:space="preserve">Efter fotoaktiveringscyklussen </w:t>
      </w:r>
      <w:proofErr w:type="spellStart"/>
      <w:r w:rsidRPr="00AF3E68">
        <w:rPr>
          <w:sz w:val="24"/>
          <w:szCs w:val="24"/>
        </w:rPr>
        <w:t>reinfunderes</w:t>
      </w:r>
      <w:proofErr w:type="spellEnd"/>
      <w:r w:rsidRPr="00AF3E68">
        <w:rPr>
          <w:sz w:val="24"/>
          <w:szCs w:val="24"/>
        </w:rPr>
        <w:t xml:space="preserve"> de fotoaktiverede celler i patienten via tyngdekraft. Den anbefalede </w:t>
      </w:r>
      <w:proofErr w:type="spellStart"/>
      <w:r w:rsidRPr="00AF3E68">
        <w:rPr>
          <w:sz w:val="24"/>
          <w:szCs w:val="24"/>
        </w:rPr>
        <w:t>reinfusionstid</w:t>
      </w:r>
      <w:proofErr w:type="spellEnd"/>
      <w:r w:rsidRPr="00AF3E68">
        <w:rPr>
          <w:sz w:val="24"/>
          <w:szCs w:val="24"/>
        </w:rPr>
        <w:t xml:space="preserve"> er 15-20 minutter. Hele </w:t>
      </w:r>
      <w:proofErr w:type="spellStart"/>
      <w:r w:rsidRPr="00AF3E68">
        <w:rPr>
          <w:sz w:val="24"/>
          <w:szCs w:val="24"/>
        </w:rPr>
        <w:t>fotofereseprocessen</w:t>
      </w:r>
      <w:proofErr w:type="spellEnd"/>
      <w:r w:rsidRPr="00AF3E68">
        <w:rPr>
          <w:sz w:val="24"/>
          <w:szCs w:val="24"/>
        </w:rPr>
        <w:t xml:space="preserve"> varer op til 3 timer.</w:t>
      </w:r>
    </w:p>
    <w:p w:rsidR="00406000" w:rsidRPr="00AF3E68" w:rsidRDefault="00406000" w:rsidP="00B112C1">
      <w:pPr>
        <w:ind w:left="851" w:hanging="851"/>
        <w:rPr>
          <w:sz w:val="24"/>
          <w:szCs w:val="24"/>
        </w:rPr>
      </w:pPr>
    </w:p>
    <w:p w:rsidR="00406000" w:rsidRPr="00AF3E68" w:rsidRDefault="00406000" w:rsidP="00B112C1">
      <w:pPr>
        <w:ind w:left="851"/>
        <w:rPr>
          <w:sz w:val="24"/>
          <w:szCs w:val="24"/>
        </w:rPr>
      </w:pPr>
      <w:r w:rsidRPr="00AF3E68">
        <w:rPr>
          <w:sz w:val="24"/>
          <w:szCs w:val="24"/>
        </w:rPr>
        <w:t>Patienten skal behandles to dage i træk hver måned i seks måneder. For patienter, der ikke udviser tilstrækkelig respons på behandlingen efter otte behandlingsseancer, kan behandlingsplanen udvides til to dage i træk hver anden uge i de efterfølgende tre måneder.</w:t>
      </w:r>
    </w:p>
    <w:p w:rsidR="00406000" w:rsidRPr="00AF3E68" w:rsidRDefault="00406000" w:rsidP="00B112C1">
      <w:pPr>
        <w:ind w:left="851" w:hanging="851"/>
        <w:rPr>
          <w:sz w:val="24"/>
          <w:szCs w:val="24"/>
        </w:rPr>
      </w:pPr>
    </w:p>
    <w:p w:rsidR="00406000" w:rsidRPr="00AF3E68" w:rsidRDefault="00D91002" w:rsidP="00B112C1">
      <w:pPr>
        <w:ind w:left="851"/>
        <w:rPr>
          <w:sz w:val="24"/>
          <w:szCs w:val="24"/>
        </w:rPr>
      </w:pPr>
      <w:r w:rsidRPr="00AF3E68">
        <w:rPr>
          <w:sz w:val="24"/>
          <w:szCs w:val="24"/>
        </w:rPr>
        <w:t>'</w:t>
      </w:r>
      <w:r w:rsidR="00406000" w:rsidRPr="00AF3E68">
        <w:rPr>
          <w:sz w:val="24"/>
          <w:szCs w:val="24"/>
        </w:rPr>
        <w:t>Tilstrækkelig respons</w:t>
      </w:r>
      <w:r w:rsidRPr="00AF3E68">
        <w:rPr>
          <w:sz w:val="24"/>
          <w:szCs w:val="24"/>
        </w:rPr>
        <w:t>'</w:t>
      </w:r>
      <w:r w:rsidR="00406000" w:rsidRPr="00AF3E68">
        <w:rPr>
          <w:sz w:val="24"/>
          <w:szCs w:val="24"/>
        </w:rPr>
        <w:t xml:space="preserve"> anses for at være en 25 % forbedring i hudscore (se nedenstående), der opretholdes i mindst 4 uger.</w:t>
      </w:r>
    </w:p>
    <w:p w:rsidR="00406000" w:rsidRPr="00AF3E68" w:rsidRDefault="00406000" w:rsidP="00B112C1">
      <w:pPr>
        <w:ind w:left="851" w:hanging="851"/>
        <w:rPr>
          <w:sz w:val="24"/>
          <w:szCs w:val="24"/>
        </w:rPr>
      </w:pPr>
    </w:p>
    <w:p w:rsidR="00406000" w:rsidRPr="00AF3E68" w:rsidRDefault="00406000" w:rsidP="00B112C1">
      <w:pPr>
        <w:ind w:left="851"/>
        <w:rPr>
          <w:sz w:val="24"/>
          <w:szCs w:val="24"/>
        </w:rPr>
      </w:pPr>
      <w:r w:rsidRPr="00AF3E68">
        <w:rPr>
          <w:sz w:val="24"/>
          <w:szCs w:val="24"/>
        </w:rPr>
        <w:lastRenderedPageBreak/>
        <w:t>Fastlæggelse af hudscore: Hudlæsionernes sværhedsgrad skal fastlægges for hvert af 29 områder af legemsoverfladen (som ved vurdering af forbrændinger) fra 0 til 4 iht. følgende skala:</w:t>
      </w:r>
    </w:p>
    <w:p w:rsidR="00406000" w:rsidRPr="00AF3E68" w:rsidRDefault="00406000" w:rsidP="00B112C1">
      <w:pPr>
        <w:ind w:left="851"/>
        <w:rPr>
          <w:bCs/>
          <w:sz w:val="24"/>
          <w:szCs w:val="24"/>
        </w:rPr>
      </w:pPr>
      <w:r w:rsidRPr="00AF3E68">
        <w:rPr>
          <w:bCs/>
          <w:sz w:val="24"/>
          <w:szCs w:val="24"/>
        </w:rPr>
        <w:t xml:space="preserve">0 = normal </w:t>
      </w:r>
      <w:r w:rsidRPr="00AF3E68">
        <w:rPr>
          <w:sz w:val="24"/>
          <w:szCs w:val="24"/>
        </w:rPr>
        <w:t>hud</w:t>
      </w:r>
    </w:p>
    <w:p w:rsidR="00406000" w:rsidRPr="00AF3E68" w:rsidRDefault="00406000" w:rsidP="00B112C1">
      <w:pPr>
        <w:ind w:left="851"/>
        <w:rPr>
          <w:bCs/>
          <w:sz w:val="24"/>
          <w:szCs w:val="24"/>
        </w:rPr>
      </w:pPr>
      <w:r w:rsidRPr="00AF3E68">
        <w:rPr>
          <w:bCs/>
          <w:sz w:val="24"/>
          <w:szCs w:val="24"/>
        </w:rPr>
        <w:t xml:space="preserve">0,5 = baggrund normal med spredte </w:t>
      </w:r>
      <w:proofErr w:type="spellStart"/>
      <w:r w:rsidRPr="00AF3E68">
        <w:rPr>
          <w:bCs/>
          <w:sz w:val="24"/>
          <w:szCs w:val="24"/>
        </w:rPr>
        <w:t>erythemavækster</w:t>
      </w:r>
      <w:proofErr w:type="spellEnd"/>
    </w:p>
    <w:p w:rsidR="00406000" w:rsidRPr="00AF3E68" w:rsidRDefault="00406000" w:rsidP="00B112C1">
      <w:pPr>
        <w:ind w:left="851"/>
        <w:rPr>
          <w:bCs/>
          <w:sz w:val="24"/>
          <w:szCs w:val="24"/>
        </w:rPr>
      </w:pPr>
      <w:r w:rsidRPr="00AF3E68">
        <w:rPr>
          <w:bCs/>
          <w:sz w:val="24"/>
          <w:szCs w:val="24"/>
        </w:rPr>
        <w:t xml:space="preserve">1 = minimal </w:t>
      </w:r>
      <w:proofErr w:type="spellStart"/>
      <w:r w:rsidRPr="00AF3E68">
        <w:rPr>
          <w:bCs/>
          <w:sz w:val="24"/>
          <w:szCs w:val="24"/>
        </w:rPr>
        <w:t>erythema</w:t>
      </w:r>
      <w:proofErr w:type="spellEnd"/>
      <w:r w:rsidRPr="00AF3E68">
        <w:rPr>
          <w:bCs/>
          <w:sz w:val="24"/>
          <w:szCs w:val="24"/>
        </w:rPr>
        <w:t xml:space="preserve"> og ødem; ingen skældannelse eller sprækker</w:t>
      </w:r>
    </w:p>
    <w:p w:rsidR="00406000" w:rsidRPr="00AF3E68" w:rsidRDefault="00406000" w:rsidP="00B112C1">
      <w:pPr>
        <w:ind w:left="851"/>
        <w:rPr>
          <w:bCs/>
          <w:sz w:val="24"/>
          <w:szCs w:val="24"/>
        </w:rPr>
      </w:pPr>
      <w:r w:rsidRPr="00AF3E68">
        <w:rPr>
          <w:bCs/>
          <w:sz w:val="24"/>
          <w:szCs w:val="24"/>
        </w:rPr>
        <w:t xml:space="preserve">2 = væsentlig </w:t>
      </w:r>
      <w:proofErr w:type="spellStart"/>
      <w:r w:rsidRPr="00AF3E68">
        <w:rPr>
          <w:bCs/>
          <w:sz w:val="24"/>
          <w:szCs w:val="24"/>
        </w:rPr>
        <w:t>erythema</w:t>
      </w:r>
      <w:proofErr w:type="spellEnd"/>
      <w:r w:rsidRPr="00AF3E68">
        <w:rPr>
          <w:bCs/>
          <w:sz w:val="24"/>
          <w:szCs w:val="24"/>
        </w:rPr>
        <w:t xml:space="preserve"> og ødem; ingen skældannelse eller sprækker</w:t>
      </w:r>
    </w:p>
    <w:p w:rsidR="00406000" w:rsidRPr="00AF3E68" w:rsidRDefault="00406000" w:rsidP="00B112C1">
      <w:pPr>
        <w:ind w:left="851"/>
        <w:rPr>
          <w:bCs/>
          <w:sz w:val="24"/>
          <w:szCs w:val="24"/>
        </w:rPr>
      </w:pPr>
      <w:r w:rsidRPr="00AF3E68">
        <w:rPr>
          <w:bCs/>
          <w:sz w:val="24"/>
          <w:szCs w:val="24"/>
        </w:rPr>
        <w:t xml:space="preserve">3 = submaksimal </w:t>
      </w:r>
      <w:proofErr w:type="spellStart"/>
      <w:r w:rsidRPr="00AF3E68">
        <w:rPr>
          <w:bCs/>
          <w:sz w:val="24"/>
          <w:szCs w:val="24"/>
        </w:rPr>
        <w:t>erythema</w:t>
      </w:r>
      <w:proofErr w:type="spellEnd"/>
      <w:r w:rsidRPr="00AF3E68">
        <w:rPr>
          <w:bCs/>
          <w:sz w:val="24"/>
          <w:szCs w:val="24"/>
        </w:rPr>
        <w:t xml:space="preserve">, skældannelse og ødem; ingen sprækker eller </w:t>
      </w:r>
      <w:proofErr w:type="spellStart"/>
      <w:r w:rsidRPr="00AF3E68">
        <w:rPr>
          <w:bCs/>
          <w:sz w:val="24"/>
          <w:szCs w:val="24"/>
        </w:rPr>
        <w:t>ektropion</w:t>
      </w:r>
      <w:proofErr w:type="spellEnd"/>
      <w:r w:rsidRPr="00AF3E68">
        <w:rPr>
          <w:bCs/>
          <w:sz w:val="24"/>
          <w:szCs w:val="24"/>
        </w:rPr>
        <w:t>.</w:t>
      </w:r>
    </w:p>
    <w:p w:rsidR="00406000" w:rsidRPr="00AF3E68" w:rsidRDefault="00406000" w:rsidP="00B112C1">
      <w:pPr>
        <w:ind w:left="851"/>
        <w:rPr>
          <w:bCs/>
          <w:sz w:val="24"/>
          <w:szCs w:val="24"/>
        </w:rPr>
      </w:pPr>
      <w:r w:rsidRPr="00AF3E68">
        <w:rPr>
          <w:bCs/>
          <w:sz w:val="24"/>
          <w:szCs w:val="24"/>
        </w:rPr>
        <w:t xml:space="preserve">4 = mest alvorlige; udtalt udbredelse med maksimal </w:t>
      </w:r>
      <w:proofErr w:type="spellStart"/>
      <w:r w:rsidRPr="00AF3E68">
        <w:rPr>
          <w:bCs/>
          <w:sz w:val="24"/>
          <w:szCs w:val="24"/>
        </w:rPr>
        <w:t>erythema</w:t>
      </w:r>
      <w:proofErr w:type="spellEnd"/>
      <w:r w:rsidRPr="00AF3E68">
        <w:rPr>
          <w:bCs/>
          <w:sz w:val="24"/>
          <w:szCs w:val="24"/>
        </w:rPr>
        <w:t xml:space="preserve">, ødem og skældannelse; nogen sprækkedannelse og </w:t>
      </w:r>
      <w:proofErr w:type="spellStart"/>
      <w:r w:rsidRPr="00AF3E68">
        <w:rPr>
          <w:bCs/>
          <w:sz w:val="24"/>
          <w:szCs w:val="24"/>
        </w:rPr>
        <w:t>ektropion</w:t>
      </w:r>
      <w:proofErr w:type="spellEnd"/>
      <w:r w:rsidRPr="00AF3E68">
        <w:rPr>
          <w:bCs/>
          <w:sz w:val="24"/>
          <w:szCs w:val="24"/>
        </w:rPr>
        <w:t xml:space="preserve">. </w:t>
      </w:r>
    </w:p>
    <w:p w:rsidR="00406000" w:rsidRPr="00AF3E68" w:rsidRDefault="00406000" w:rsidP="00B112C1">
      <w:pPr>
        <w:ind w:left="851" w:hanging="851"/>
        <w:rPr>
          <w:bCs/>
          <w:sz w:val="24"/>
          <w:szCs w:val="24"/>
        </w:rPr>
      </w:pPr>
    </w:p>
    <w:p w:rsidR="00406000" w:rsidRPr="00AF3E68" w:rsidRDefault="00406000" w:rsidP="00B112C1">
      <w:pPr>
        <w:ind w:left="851"/>
        <w:rPr>
          <w:sz w:val="24"/>
          <w:szCs w:val="24"/>
        </w:rPr>
      </w:pPr>
      <w:r w:rsidRPr="00AF3E68">
        <w:rPr>
          <w:sz w:val="24"/>
          <w:szCs w:val="24"/>
        </w:rPr>
        <w:t>Den fastlagte score for sværhed</w:t>
      </w:r>
      <w:r w:rsidR="00DB5AB5" w:rsidRPr="00AF3E68">
        <w:rPr>
          <w:sz w:val="24"/>
          <w:szCs w:val="24"/>
        </w:rPr>
        <w:t>s</w:t>
      </w:r>
      <w:r w:rsidRPr="00AF3E68">
        <w:rPr>
          <w:sz w:val="24"/>
          <w:szCs w:val="24"/>
        </w:rPr>
        <w:t>grad ganges derefter med den procentdel, som det pågældende område udgør af den samlede legemsoverflade for at nå frem til en områdescore. Alle områdescorer skal lægges sammen for at opnå den samlede læsionsscore.</w:t>
      </w:r>
    </w:p>
    <w:p w:rsidR="00406000" w:rsidRPr="00AF3E68" w:rsidRDefault="00406000" w:rsidP="00B112C1">
      <w:pPr>
        <w:ind w:left="851" w:hanging="851"/>
        <w:rPr>
          <w:sz w:val="24"/>
          <w:szCs w:val="24"/>
        </w:rPr>
      </w:pPr>
    </w:p>
    <w:p w:rsidR="00406000" w:rsidRPr="00AF3E68" w:rsidRDefault="00406000" w:rsidP="00B112C1">
      <w:pPr>
        <w:ind w:left="851"/>
        <w:rPr>
          <w:sz w:val="24"/>
          <w:szCs w:val="24"/>
        </w:rPr>
      </w:pPr>
      <w:r w:rsidRPr="00AF3E68">
        <w:rPr>
          <w:sz w:val="24"/>
          <w:szCs w:val="24"/>
        </w:rPr>
        <w:t>En 25 % forbedring er en klinisk signifikant ændring, som typisk er forbundet med den overordnede sygdomsbelastnings omfang (i hvor høj grad maligne T-lymfocytter har spredt sig til blod og lymfekirtler), da en forbedring i sygdommens hudmanifestationer ledsages af en parallel bedring af den systemiske lidelse. For at undgå, at kortvarig, moderat bedring af hudlæsionerne forveksles med en reel bedring, skal eventuelle ændringer i hudlæsionerne vedvare i mindst fire uger, inden de kan anses for at være klinisk signifikante.</w:t>
      </w:r>
    </w:p>
    <w:p w:rsidR="00406000" w:rsidRPr="00AF3E68" w:rsidRDefault="00406000" w:rsidP="00B112C1">
      <w:pPr>
        <w:ind w:left="851" w:hanging="851"/>
        <w:rPr>
          <w:sz w:val="24"/>
          <w:szCs w:val="24"/>
        </w:rPr>
      </w:pPr>
    </w:p>
    <w:p w:rsidR="00406000" w:rsidRPr="00AF3E68" w:rsidRDefault="00406000" w:rsidP="00B112C1">
      <w:pPr>
        <w:ind w:left="851"/>
        <w:rPr>
          <w:sz w:val="24"/>
          <w:szCs w:val="24"/>
        </w:rPr>
      </w:pPr>
      <w:r w:rsidRPr="00AF3E68">
        <w:rPr>
          <w:sz w:val="24"/>
          <w:szCs w:val="24"/>
        </w:rPr>
        <w:t xml:space="preserve">Antallet af </w:t>
      </w:r>
      <w:proofErr w:type="spellStart"/>
      <w:r w:rsidRPr="00AF3E68">
        <w:rPr>
          <w:sz w:val="24"/>
          <w:szCs w:val="24"/>
        </w:rPr>
        <w:t>fotoferesebehandlingsseancer</w:t>
      </w:r>
      <w:proofErr w:type="spellEnd"/>
      <w:r w:rsidRPr="00AF3E68">
        <w:rPr>
          <w:sz w:val="24"/>
          <w:szCs w:val="24"/>
        </w:rPr>
        <w:t xml:space="preserve"> bør ikke overstige 20 på 6 måneder.</w:t>
      </w:r>
    </w:p>
    <w:p w:rsidR="00406000" w:rsidRPr="00AF3E68" w:rsidRDefault="00406000" w:rsidP="00406000">
      <w:pPr>
        <w:ind w:left="851" w:hanging="851"/>
        <w:jc w:val="both"/>
        <w:outlineLvl w:val="0"/>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4.3</w:t>
      </w:r>
      <w:r w:rsidRPr="00AF3E68">
        <w:rPr>
          <w:b/>
          <w:sz w:val="24"/>
          <w:szCs w:val="24"/>
        </w:rPr>
        <w:tab/>
        <w:t>Kontraindikationer</w:t>
      </w:r>
    </w:p>
    <w:p w:rsidR="008446B7" w:rsidRPr="00AF3E68" w:rsidRDefault="008446B7" w:rsidP="00E7466C">
      <w:pPr>
        <w:ind w:left="851"/>
        <w:rPr>
          <w:sz w:val="24"/>
          <w:szCs w:val="24"/>
        </w:rPr>
      </w:pPr>
      <w:r w:rsidRPr="00AF3E68">
        <w:rPr>
          <w:sz w:val="24"/>
          <w:szCs w:val="24"/>
        </w:rPr>
        <w:t>Overfølsomhed over for det aktive stof eller over for et eller flere af hjælpestofferne anført i pkt. 6.1.</w:t>
      </w:r>
    </w:p>
    <w:p w:rsidR="008446B7" w:rsidRPr="00AF3E68" w:rsidRDefault="008446B7" w:rsidP="00E7466C">
      <w:pPr>
        <w:ind w:left="851"/>
        <w:rPr>
          <w:sz w:val="24"/>
          <w:szCs w:val="24"/>
        </w:rPr>
      </w:pPr>
    </w:p>
    <w:p w:rsidR="00406000" w:rsidRPr="00AF3E68" w:rsidRDefault="00406000" w:rsidP="00E7466C">
      <w:pPr>
        <w:ind w:left="851"/>
        <w:rPr>
          <w:sz w:val="24"/>
          <w:szCs w:val="24"/>
        </w:rPr>
      </w:pPr>
      <w:r w:rsidRPr="00AF3E68">
        <w:rPr>
          <w:sz w:val="24"/>
          <w:szCs w:val="24"/>
        </w:rPr>
        <w:t xml:space="preserve">Tidligere tilfælde af idiosynkratisk eller allergisk reaktion over for </w:t>
      </w:r>
      <w:proofErr w:type="spellStart"/>
      <w:r w:rsidRPr="00AF3E68">
        <w:rPr>
          <w:sz w:val="24"/>
          <w:szCs w:val="24"/>
        </w:rPr>
        <w:t>methoxsalen</w:t>
      </w:r>
      <w:proofErr w:type="spellEnd"/>
      <w:r w:rsidRPr="00AF3E68">
        <w:rPr>
          <w:sz w:val="24"/>
          <w:szCs w:val="24"/>
        </w:rPr>
        <w:t xml:space="preserve">, </w:t>
      </w:r>
      <w:proofErr w:type="spellStart"/>
      <w:r w:rsidRPr="00AF3E68">
        <w:rPr>
          <w:sz w:val="24"/>
          <w:szCs w:val="24"/>
        </w:rPr>
        <w:t>psoralenforbindelser</w:t>
      </w:r>
      <w:proofErr w:type="spellEnd"/>
      <w:r w:rsidRPr="00AF3E68">
        <w:rPr>
          <w:sz w:val="24"/>
          <w:szCs w:val="24"/>
        </w:rPr>
        <w:t xml:space="preserve"> eller et eller flere af hjælpestofferne.</w:t>
      </w:r>
    </w:p>
    <w:p w:rsidR="00406000" w:rsidRPr="00AF3E68" w:rsidRDefault="00406000" w:rsidP="00E7466C">
      <w:pPr>
        <w:ind w:left="851"/>
        <w:rPr>
          <w:sz w:val="24"/>
          <w:szCs w:val="24"/>
        </w:rPr>
      </w:pPr>
    </w:p>
    <w:p w:rsidR="00406000" w:rsidRPr="00AF3E68" w:rsidRDefault="00406000" w:rsidP="00E7466C">
      <w:pPr>
        <w:ind w:left="851"/>
        <w:rPr>
          <w:sz w:val="24"/>
          <w:szCs w:val="24"/>
        </w:rPr>
      </w:pPr>
      <w:r w:rsidRPr="00AF3E68">
        <w:rPr>
          <w:sz w:val="24"/>
          <w:szCs w:val="24"/>
        </w:rPr>
        <w:t>Samtidigt melanom, basalcellekarcinom eller pladecellekarcinom i huden.</w:t>
      </w:r>
    </w:p>
    <w:p w:rsidR="00406000" w:rsidRPr="00AF3E68" w:rsidRDefault="00406000" w:rsidP="00E7466C">
      <w:pPr>
        <w:ind w:left="851"/>
        <w:rPr>
          <w:sz w:val="24"/>
          <w:szCs w:val="24"/>
        </w:rPr>
      </w:pPr>
    </w:p>
    <w:p w:rsidR="00406000" w:rsidRPr="00AF3E68" w:rsidRDefault="00406000" w:rsidP="00E7466C">
      <w:pPr>
        <w:ind w:left="851"/>
        <w:rPr>
          <w:sz w:val="24"/>
          <w:szCs w:val="24"/>
        </w:rPr>
      </w:pPr>
      <w:r w:rsidRPr="00AF3E68">
        <w:rPr>
          <w:sz w:val="24"/>
          <w:szCs w:val="24"/>
        </w:rPr>
        <w:t xml:space="preserve">Seksuelt aktive mænd og seksuelt aktive kvinder i den fødedygtige alder, medmindre effektiv antikonception anvendes i behandlingsperioden (se </w:t>
      </w:r>
      <w:r w:rsidR="008446B7" w:rsidRPr="00AF3E68">
        <w:rPr>
          <w:sz w:val="24"/>
          <w:szCs w:val="24"/>
        </w:rPr>
        <w:t xml:space="preserve">pkt. </w:t>
      </w:r>
      <w:r w:rsidRPr="00AF3E68">
        <w:rPr>
          <w:sz w:val="24"/>
          <w:szCs w:val="24"/>
        </w:rPr>
        <w:t>4.6).</w:t>
      </w:r>
    </w:p>
    <w:p w:rsidR="00406000" w:rsidRPr="00AF3E68" w:rsidRDefault="00406000" w:rsidP="00E7466C">
      <w:pPr>
        <w:ind w:left="851"/>
        <w:rPr>
          <w:sz w:val="24"/>
          <w:szCs w:val="24"/>
        </w:rPr>
      </w:pPr>
    </w:p>
    <w:p w:rsidR="00406000" w:rsidRPr="00AF3E68" w:rsidRDefault="008446B7" w:rsidP="00E7466C">
      <w:pPr>
        <w:ind w:left="851"/>
        <w:rPr>
          <w:sz w:val="24"/>
          <w:szCs w:val="24"/>
        </w:rPr>
      </w:pPr>
      <w:r w:rsidRPr="00AF3E68">
        <w:rPr>
          <w:sz w:val="24"/>
          <w:szCs w:val="24"/>
        </w:rPr>
        <w:t>Under g</w:t>
      </w:r>
      <w:r w:rsidR="00406000" w:rsidRPr="00AF3E68">
        <w:rPr>
          <w:sz w:val="24"/>
          <w:szCs w:val="24"/>
        </w:rPr>
        <w:t>raviditet og amning.</w:t>
      </w:r>
    </w:p>
    <w:p w:rsidR="00406000" w:rsidRPr="00AF3E68" w:rsidRDefault="00406000" w:rsidP="00E7466C">
      <w:pPr>
        <w:ind w:left="851"/>
        <w:rPr>
          <w:sz w:val="24"/>
          <w:szCs w:val="24"/>
        </w:rPr>
      </w:pPr>
    </w:p>
    <w:p w:rsidR="00406000" w:rsidRPr="00AF3E68" w:rsidRDefault="00406000" w:rsidP="00E7466C">
      <w:pPr>
        <w:ind w:left="851"/>
        <w:rPr>
          <w:sz w:val="24"/>
          <w:szCs w:val="24"/>
        </w:rPr>
      </w:pPr>
      <w:proofErr w:type="spellStart"/>
      <w:r w:rsidRPr="00AF3E68">
        <w:rPr>
          <w:sz w:val="24"/>
          <w:szCs w:val="24"/>
        </w:rPr>
        <w:t>Afaki</w:t>
      </w:r>
      <w:proofErr w:type="spellEnd"/>
      <w:r w:rsidRPr="00AF3E68">
        <w:rPr>
          <w:sz w:val="24"/>
          <w:szCs w:val="24"/>
        </w:rPr>
        <w:t>.</w:t>
      </w:r>
    </w:p>
    <w:p w:rsidR="00406000" w:rsidRPr="00AF3E68" w:rsidRDefault="00406000" w:rsidP="00E7466C">
      <w:pPr>
        <w:ind w:left="851"/>
        <w:rPr>
          <w:sz w:val="24"/>
          <w:szCs w:val="24"/>
        </w:rPr>
      </w:pPr>
    </w:p>
    <w:p w:rsidR="00406000" w:rsidRPr="00AF3E68" w:rsidRDefault="00406000" w:rsidP="00E7466C">
      <w:pPr>
        <w:ind w:left="851"/>
        <w:rPr>
          <w:sz w:val="24"/>
          <w:szCs w:val="24"/>
        </w:rPr>
      </w:pPr>
      <w:r w:rsidRPr="00AF3E68">
        <w:rPr>
          <w:sz w:val="24"/>
          <w:szCs w:val="24"/>
        </w:rPr>
        <w:t xml:space="preserve">Kontraindikationer for </w:t>
      </w:r>
      <w:proofErr w:type="spellStart"/>
      <w:r w:rsidRPr="00AF3E68">
        <w:rPr>
          <w:sz w:val="24"/>
          <w:szCs w:val="24"/>
        </w:rPr>
        <w:t>fotoferese</w:t>
      </w:r>
      <w:proofErr w:type="spellEnd"/>
      <w:r w:rsidRPr="00AF3E68">
        <w:rPr>
          <w:sz w:val="24"/>
          <w:szCs w:val="24"/>
        </w:rPr>
        <w:t>:</w:t>
      </w:r>
    </w:p>
    <w:p w:rsidR="00406000" w:rsidRPr="00AF3E68" w:rsidRDefault="00406000" w:rsidP="00E7466C">
      <w:pPr>
        <w:ind w:left="851"/>
        <w:rPr>
          <w:sz w:val="24"/>
          <w:szCs w:val="24"/>
        </w:rPr>
      </w:pPr>
    </w:p>
    <w:p w:rsidR="00406000" w:rsidRPr="00AF3E68" w:rsidRDefault="00406000" w:rsidP="00E7466C">
      <w:pPr>
        <w:ind w:left="851"/>
        <w:rPr>
          <w:sz w:val="24"/>
          <w:szCs w:val="24"/>
        </w:rPr>
      </w:pPr>
      <w:r w:rsidRPr="00AF3E68">
        <w:rPr>
          <w:sz w:val="24"/>
          <w:szCs w:val="24"/>
        </w:rPr>
        <w:t xml:space="preserve">Sygdom, der medfører fotosensibilitet (f.eks. </w:t>
      </w:r>
      <w:proofErr w:type="spellStart"/>
      <w:r w:rsidRPr="00AF3E68">
        <w:rPr>
          <w:sz w:val="24"/>
          <w:szCs w:val="24"/>
        </w:rPr>
        <w:t>porfyri</w:t>
      </w:r>
      <w:proofErr w:type="spellEnd"/>
      <w:r w:rsidRPr="00AF3E68">
        <w:rPr>
          <w:sz w:val="24"/>
          <w:szCs w:val="24"/>
        </w:rPr>
        <w:t xml:space="preserve">, systemisk lupus </w:t>
      </w:r>
      <w:proofErr w:type="spellStart"/>
      <w:r w:rsidRPr="00AF3E68">
        <w:rPr>
          <w:sz w:val="24"/>
          <w:szCs w:val="24"/>
        </w:rPr>
        <w:t>erythematosus</w:t>
      </w:r>
      <w:proofErr w:type="spellEnd"/>
      <w:r w:rsidRPr="00AF3E68">
        <w:rPr>
          <w:sz w:val="24"/>
          <w:szCs w:val="24"/>
        </w:rPr>
        <w:t xml:space="preserve"> eller albinisme).</w:t>
      </w:r>
    </w:p>
    <w:p w:rsidR="00406000" w:rsidRPr="00AF3E68" w:rsidRDefault="00406000" w:rsidP="00E7466C">
      <w:pPr>
        <w:ind w:left="851"/>
        <w:rPr>
          <w:sz w:val="24"/>
          <w:szCs w:val="24"/>
        </w:rPr>
      </w:pPr>
    </w:p>
    <w:p w:rsidR="00406000" w:rsidRPr="00AF3E68" w:rsidRDefault="00406000" w:rsidP="00E7466C">
      <w:pPr>
        <w:ind w:left="851"/>
        <w:rPr>
          <w:sz w:val="24"/>
          <w:szCs w:val="24"/>
        </w:rPr>
      </w:pPr>
      <w:r w:rsidRPr="00AF3E68">
        <w:rPr>
          <w:sz w:val="24"/>
          <w:szCs w:val="24"/>
        </w:rPr>
        <w:t xml:space="preserve">Patienter, der ikke tåler </w:t>
      </w:r>
      <w:proofErr w:type="spellStart"/>
      <w:r w:rsidRPr="00AF3E68">
        <w:rPr>
          <w:sz w:val="24"/>
          <w:szCs w:val="24"/>
        </w:rPr>
        <w:t>ekstrakorporalt</w:t>
      </w:r>
      <w:proofErr w:type="spellEnd"/>
      <w:r w:rsidRPr="00AF3E68">
        <w:rPr>
          <w:sz w:val="24"/>
          <w:szCs w:val="24"/>
        </w:rPr>
        <w:t xml:space="preserve"> blodtab (f.eks. på grund af svær hjertelidelse, svær anæmi osv.).</w:t>
      </w:r>
    </w:p>
    <w:p w:rsidR="00406000" w:rsidRPr="00AF3E68" w:rsidRDefault="00406000" w:rsidP="00E7466C">
      <w:pPr>
        <w:ind w:left="851"/>
        <w:rPr>
          <w:sz w:val="24"/>
          <w:szCs w:val="24"/>
        </w:rPr>
      </w:pPr>
    </w:p>
    <w:p w:rsidR="00406000" w:rsidRPr="00AF3E68" w:rsidRDefault="00406000" w:rsidP="00E7466C">
      <w:pPr>
        <w:ind w:left="851"/>
        <w:rPr>
          <w:sz w:val="24"/>
          <w:szCs w:val="24"/>
        </w:rPr>
      </w:pPr>
      <w:r w:rsidRPr="00AF3E68">
        <w:rPr>
          <w:sz w:val="24"/>
          <w:szCs w:val="24"/>
        </w:rPr>
        <w:t>Leukocyttal på over 25.000</w:t>
      </w:r>
      <w:r w:rsidR="008446B7" w:rsidRPr="00AF3E68">
        <w:rPr>
          <w:sz w:val="24"/>
          <w:szCs w:val="24"/>
        </w:rPr>
        <w:t xml:space="preserve"> pr.</w:t>
      </w:r>
      <w:r w:rsidRPr="00AF3E68">
        <w:rPr>
          <w:sz w:val="24"/>
          <w:szCs w:val="24"/>
        </w:rPr>
        <w:t xml:space="preserve"> mm³.</w:t>
      </w:r>
    </w:p>
    <w:p w:rsidR="00406000" w:rsidRPr="00AF3E68" w:rsidRDefault="00406000" w:rsidP="00E7466C">
      <w:pPr>
        <w:ind w:left="851"/>
        <w:rPr>
          <w:sz w:val="24"/>
          <w:szCs w:val="24"/>
        </w:rPr>
      </w:pPr>
    </w:p>
    <w:p w:rsidR="00406000" w:rsidRPr="00AF3E68" w:rsidRDefault="00406000" w:rsidP="00E7466C">
      <w:pPr>
        <w:ind w:left="851"/>
        <w:rPr>
          <w:sz w:val="24"/>
          <w:szCs w:val="24"/>
        </w:rPr>
      </w:pPr>
      <w:r w:rsidRPr="00AF3E68">
        <w:rPr>
          <w:sz w:val="24"/>
          <w:szCs w:val="24"/>
        </w:rPr>
        <w:t xml:space="preserve">Tidligere </w:t>
      </w:r>
      <w:proofErr w:type="spellStart"/>
      <w:r w:rsidRPr="00AF3E68">
        <w:rPr>
          <w:sz w:val="24"/>
          <w:szCs w:val="24"/>
        </w:rPr>
        <w:t>splenektomi</w:t>
      </w:r>
      <w:proofErr w:type="spellEnd"/>
      <w:r w:rsidRPr="00AF3E68">
        <w:rPr>
          <w:sz w:val="24"/>
          <w:szCs w:val="24"/>
        </w:rPr>
        <w:t>.</w:t>
      </w:r>
    </w:p>
    <w:p w:rsidR="00406000" w:rsidRPr="00AF3E68" w:rsidRDefault="00406000" w:rsidP="00E7466C">
      <w:pPr>
        <w:ind w:left="851"/>
        <w:rPr>
          <w:sz w:val="24"/>
          <w:szCs w:val="24"/>
        </w:rPr>
      </w:pPr>
    </w:p>
    <w:p w:rsidR="00406000" w:rsidRPr="00AF3E68" w:rsidRDefault="00406000" w:rsidP="00E7466C">
      <w:pPr>
        <w:ind w:left="851"/>
        <w:rPr>
          <w:sz w:val="24"/>
          <w:szCs w:val="24"/>
        </w:rPr>
      </w:pPr>
      <w:r w:rsidRPr="00AF3E68">
        <w:rPr>
          <w:sz w:val="24"/>
          <w:szCs w:val="24"/>
        </w:rPr>
        <w:t>Koagulationsforstyrrelser.</w:t>
      </w:r>
    </w:p>
    <w:p w:rsidR="00406000" w:rsidRPr="00AF3E68" w:rsidRDefault="00406000" w:rsidP="00406000">
      <w:pPr>
        <w:ind w:left="851" w:hanging="851"/>
        <w:jc w:val="both"/>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4.4</w:t>
      </w:r>
      <w:r w:rsidRPr="00AF3E68">
        <w:rPr>
          <w:b/>
          <w:sz w:val="24"/>
          <w:szCs w:val="24"/>
        </w:rPr>
        <w:tab/>
        <w:t>Særlige advarsler og forsigtighedsregler vedrørende brugen</w:t>
      </w:r>
    </w:p>
    <w:p w:rsidR="00406000" w:rsidRPr="00AF3E68" w:rsidRDefault="00406000" w:rsidP="00B112C1">
      <w:pPr>
        <w:autoSpaceDE w:val="0"/>
        <w:autoSpaceDN w:val="0"/>
        <w:adjustRightInd w:val="0"/>
        <w:ind w:left="851"/>
        <w:rPr>
          <w:sz w:val="24"/>
          <w:szCs w:val="24"/>
        </w:rPr>
      </w:pPr>
      <w:proofErr w:type="spellStart"/>
      <w:r w:rsidRPr="00AF3E68">
        <w:rPr>
          <w:sz w:val="24"/>
          <w:szCs w:val="24"/>
        </w:rPr>
        <w:t>Uvadex</w:t>
      </w:r>
      <w:proofErr w:type="spellEnd"/>
      <w:r w:rsidRPr="00AF3E68">
        <w:rPr>
          <w:sz w:val="24"/>
          <w:szCs w:val="24"/>
        </w:rPr>
        <w:t xml:space="preserve"> må kun anvendes af læger, der har særlig kompetence inden for diagnosticering og behandling af </w:t>
      </w:r>
      <w:proofErr w:type="spellStart"/>
      <w:r w:rsidRPr="00AF3E68">
        <w:rPr>
          <w:sz w:val="24"/>
          <w:szCs w:val="24"/>
        </w:rPr>
        <w:t>kutant</w:t>
      </w:r>
      <w:proofErr w:type="spellEnd"/>
      <w:r w:rsidRPr="00AF3E68">
        <w:rPr>
          <w:sz w:val="24"/>
          <w:szCs w:val="24"/>
        </w:rPr>
        <w:t xml:space="preserve"> T-</w:t>
      </w:r>
      <w:proofErr w:type="spellStart"/>
      <w:r w:rsidRPr="00AF3E68">
        <w:rPr>
          <w:sz w:val="24"/>
          <w:szCs w:val="24"/>
        </w:rPr>
        <w:t>cellelymfom</w:t>
      </w:r>
      <w:proofErr w:type="spellEnd"/>
      <w:r w:rsidRPr="00AF3E68">
        <w:rPr>
          <w:sz w:val="24"/>
          <w:szCs w:val="24"/>
        </w:rPr>
        <w:t xml:space="preserve">, og som har specialuddannelse og erfaring inden for anvendelse af </w:t>
      </w:r>
      <w:proofErr w:type="spellStart"/>
      <w:r w:rsidR="00D72340" w:rsidRPr="00AF3E68">
        <w:rPr>
          <w:sz w:val="24"/>
          <w:szCs w:val="24"/>
        </w:rPr>
        <w:t>fotoferese</w:t>
      </w:r>
      <w:r w:rsidR="00D72340" w:rsidRPr="00AF3E68">
        <w:rPr>
          <w:color w:val="000000"/>
          <w:sz w:val="24"/>
          <w:szCs w:val="24"/>
        </w:rPr>
        <w:t>systemet</w:t>
      </w:r>
      <w:proofErr w:type="spellEnd"/>
      <w:r w:rsidR="00D72340" w:rsidRPr="00AF3E68">
        <w:rPr>
          <w:color w:val="000000"/>
          <w:sz w:val="24"/>
          <w:szCs w:val="24"/>
        </w:rPr>
        <w:t xml:space="preserve"> THERAKOS CELLEX</w:t>
      </w:r>
      <w:r w:rsidR="00D72340" w:rsidRPr="00AF3E68">
        <w:rPr>
          <w:sz w:val="24"/>
          <w:szCs w:val="24"/>
        </w:rPr>
        <w:t>.</w:t>
      </w:r>
      <w:r w:rsidRPr="00AF3E68">
        <w:rPr>
          <w:sz w:val="24"/>
          <w:szCs w:val="24"/>
        </w:rPr>
        <w:t xml:space="preserve"> Behandling med </w:t>
      </w:r>
      <w:proofErr w:type="spellStart"/>
      <w:r w:rsidRPr="00AF3E68">
        <w:rPr>
          <w:sz w:val="24"/>
          <w:szCs w:val="24"/>
        </w:rPr>
        <w:t>psoralen</w:t>
      </w:r>
      <w:proofErr w:type="spellEnd"/>
      <w:r w:rsidRPr="00AF3E68">
        <w:rPr>
          <w:sz w:val="24"/>
          <w:szCs w:val="24"/>
        </w:rPr>
        <w:t xml:space="preserve"> og ultraviolet bestråling skal ske under en sådan læges kontinuerlige overvågning. På grund af muligheden for øjenskader skal lægen informere patienten fyldestgørende om de risici, der er uløseligt forbundet med denne behandling. </w:t>
      </w:r>
      <w:proofErr w:type="spellStart"/>
      <w:r w:rsidRPr="00AF3E68">
        <w:rPr>
          <w:sz w:val="24"/>
          <w:szCs w:val="24"/>
        </w:rPr>
        <w:t>Uvadex</w:t>
      </w:r>
      <w:proofErr w:type="spellEnd"/>
      <w:r w:rsidRPr="00AF3E68">
        <w:rPr>
          <w:sz w:val="24"/>
          <w:szCs w:val="24"/>
        </w:rPr>
        <w:t xml:space="preserve"> må kun anvendes </w:t>
      </w:r>
      <w:r w:rsidRPr="00AF3E68">
        <w:rPr>
          <w:i/>
          <w:iCs/>
          <w:sz w:val="24"/>
          <w:szCs w:val="24"/>
        </w:rPr>
        <w:t xml:space="preserve">ex </w:t>
      </w:r>
      <w:proofErr w:type="spellStart"/>
      <w:r w:rsidRPr="00AF3E68">
        <w:rPr>
          <w:i/>
          <w:iCs/>
          <w:sz w:val="24"/>
          <w:szCs w:val="24"/>
        </w:rPr>
        <w:t>vivo</w:t>
      </w:r>
      <w:proofErr w:type="spellEnd"/>
      <w:r w:rsidRPr="00AF3E68">
        <w:rPr>
          <w:sz w:val="24"/>
          <w:szCs w:val="24"/>
        </w:rPr>
        <w:t xml:space="preserve"> indgivet direkte i fotoaktiveringsposen. Hvis der er risiko for </w:t>
      </w:r>
      <w:proofErr w:type="spellStart"/>
      <w:r w:rsidRPr="00AF3E68">
        <w:rPr>
          <w:sz w:val="24"/>
          <w:szCs w:val="24"/>
        </w:rPr>
        <w:t>uplanlagt</w:t>
      </w:r>
      <w:proofErr w:type="spellEnd"/>
      <w:r w:rsidRPr="00AF3E68">
        <w:rPr>
          <w:sz w:val="24"/>
          <w:szCs w:val="24"/>
        </w:rPr>
        <w:t xml:space="preserve"> beskadigelse af blodet under proceduren (f.eks. hvis alarmen for &gt; 43</w:t>
      </w:r>
      <w:r w:rsidR="00A130FE" w:rsidRPr="00AF3E68">
        <w:rPr>
          <w:sz w:val="24"/>
          <w:szCs w:val="24"/>
        </w:rPr>
        <w:t xml:space="preserve"> </w:t>
      </w:r>
      <w:r w:rsidRPr="00AF3E68">
        <w:rPr>
          <w:sz w:val="24"/>
          <w:szCs w:val="24"/>
        </w:rPr>
        <w:t xml:space="preserve">ºC udløses), må blodet kun </w:t>
      </w:r>
      <w:proofErr w:type="spellStart"/>
      <w:r w:rsidRPr="00AF3E68">
        <w:rPr>
          <w:sz w:val="24"/>
          <w:szCs w:val="24"/>
        </w:rPr>
        <w:t>reinfunderes</w:t>
      </w:r>
      <w:proofErr w:type="spellEnd"/>
      <w:r w:rsidRPr="00AF3E68">
        <w:rPr>
          <w:sz w:val="24"/>
          <w:szCs w:val="24"/>
        </w:rPr>
        <w:t xml:space="preserve"> i patienten, såfremt der ikke er forekommet </w:t>
      </w:r>
      <w:proofErr w:type="spellStart"/>
      <w:r w:rsidRPr="00AF3E68">
        <w:rPr>
          <w:sz w:val="24"/>
          <w:szCs w:val="24"/>
        </w:rPr>
        <w:t>hæmolyse</w:t>
      </w:r>
      <w:proofErr w:type="spellEnd"/>
      <w:r w:rsidRPr="00AF3E68">
        <w:rPr>
          <w:sz w:val="24"/>
          <w:szCs w:val="24"/>
        </w:rPr>
        <w:t>.</w:t>
      </w:r>
    </w:p>
    <w:p w:rsidR="00406000" w:rsidRPr="00AF3E68" w:rsidRDefault="00406000" w:rsidP="00B112C1">
      <w:pPr>
        <w:ind w:left="851" w:hanging="851"/>
        <w:rPr>
          <w:sz w:val="24"/>
          <w:szCs w:val="24"/>
        </w:rPr>
      </w:pPr>
    </w:p>
    <w:p w:rsidR="00CA56FB" w:rsidRPr="00AF3E68" w:rsidRDefault="00406000" w:rsidP="00B112C1">
      <w:pPr>
        <w:ind w:left="851"/>
        <w:rPr>
          <w:sz w:val="24"/>
          <w:szCs w:val="24"/>
        </w:rPr>
      </w:pPr>
      <w:r w:rsidRPr="00AF3E68">
        <w:rPr>
          <w:i/>
          <w:iCs/>
          <w:sz w:val="24"/>
          <w:szCs w:val="24"/>
        </w:rPr>
        <w:t>Forsigtighedsregler vedrørende antikonception</w:t>
      </w:r>
      <w:r w:rsidRPr="00AF3E68">
        <w:rPr>
          <w:sz w:val="24"/>
          <w:szCs w:val="24"/>
        </w:rPr>
        <w:t xml:space="preserve"> </w:t>
      </w:r>
    </w:p>
    <w:p w:rsidR="00406000" w:rsidRPr="00AF3E68" w:rsidRDefault="00406000" w:rsidP="00B112C1">
      <w:pPr>
        <w:ind w:left="851"/>
        <w:rPr>
          <w:sz w:val="24"/>
          <w:szCs w:val="24"/>
        </w:rPr>
      </w:pPr>
      <w:r w:rsidRPr="00AF3E68">
        <w:rPr>
          <w:sz w:val="24"/>
          <w:szCs w:val="24"/>
        </w:rPr>
        <w:t xml:space="preserve">Både mænd og kvinder, der behandles med </w:t>
      </w:r>
      <w:proofErr w:type="spellStart"/>
      <w:r w:rsidRPr="00AF3E68">
        <w:rPr>
          <w:sz w:val="24"/>
          <w:szCs w:val="24"/>
        </w:rPr>
        <w:t>Uvadex</w:t>
      </w:r>
      <w:proofErr w:type="spellEnd"/>
      <w:r w:rsidRPr="00AF3E68">
        <w:rPr>
          <w:sz w:val="24"/>
          <w:szCs w:val="24"/>
        </w:rPr>
        <w:t xml:space="preserve">, bør træffe de fornødne foranstaltninger til antikonception både under og efter behandlingen med </w:t>
      </w:r>
      <w:proofErr w:type="spellStart"/>
      <w:r w:rsidRPr="00AF3E68">
        <w:rPr>
          <w:sz w:val="24"/>
          <w:szCs w:val="24"/>
        </w:rPr>
        <w:t>fotoferese</w:t>
      </w:r>
      <w:proofErr w:type="spellEnd"/>
      <w:r w:rsidRPr="00AF3E68">
        <w:rPr>
          <w:sz w:val="24"/>
          <w:szCs w:val="24"/>
        </w:rPr>
        <w:t>.</w:t>
      </w:r>
    </w:p>
    <w:p w:rsidR="00406000" w:rsidRPr="00AF3E68" w:rsidRDefault="00406000" w:rsidP="00B112C1">
      <w:pPr>
        <w:ind w:left="851" w:hanging="851"/>
        <w:rPr>
          <w:sz w:val="24"/>
          <w:szCs w:val="24"/>
        </w:rPr>
      </w:pPr>
    </w:p>
    <w:p w:rsidR="00CA56FB" w:rsidRPr="00AF3E68" w:rsidRDefault="00406000" w:rsidP="00B112C1">
      <w:pPr>
        <w:ind w:left="851"/>
        <w:rPr>
          <w:sz w:val="24"/>
          <w:szCs w:val="24"/>
        </w:rPr>
      </w:pPr>
      <w:proofErr w:type="spellStart"/>
      <w:r w:rsidRPr="00AF3E68">
        <w:rPr>
          <w:i/>
          <w:iCs/>
          <w:sz w:val="24"/>
          <w:szCs w:val="24"/>
        </w:rPr>
        <w:t>Kataraktogenicitet</w:t>
      </w:r>
      <w:proofErr w:type="spellEnd"/>
      <w:r w:rsidRPr="00AF3E68">
        <w:rPr>
          <w:sz w:val="24"/>
          <w:szCs w:val="24"/>
        </w:rPr>
        <w:t xml:space="preserve"> </w:t>
      </w:r>
    </w:p>
    <w:p w:rsidR="00406000" w:rsidRPr="00AF3E68" w:rsidRDefault="00406000" w:rsidP="00B112C1">
      <w:pPr>
        <w:ind w:left="851"/>
        <w:rPr>
          <w:sz w:val="24"/>
          <w:szCs w:val="24"/>
        </w:rPr>
      </w:pPr>
      <w:r w:rsidRPr="00AF3E68">
        <w:rPr>
          <w:sz w:val="24"/>
          <w:szCs w:val="24"/>
        </w:rPr>
        <w:t xml:space="preserve">Eksponering for store doser UVA forårsager katarakter hos dyr; en effekt, der forstærkes ved administration af oral </w:t>
      </w:r>
      <w:proofErr w:type="spellStart"/>
      <w:r w:rsidRPr="00AF3E68">
        <w:rPr>
          <w:sz w:val="24"/>
          <w:szCs w:val="24"/>
        </w:rPr>
        <w:t>methoxsalen</w:t>
      </w:r>
      <w:proofErr w:type="spellEnd"/>
      <w:r w:rsidRPr="00AF3E68">
        <w:rPr>
          <w:sz w:val="24"/>
          <w:szCs w:val="24"/>
        </w:rPr>
        <w:t xml:space="preserve">. Da koncentrationen af </w:t>
      </w:r>
      <w:proofErr w:type="spellStart"/>
      <w:r w:rsidRPr="00AF3E68">
        <w:rPr>
          <w:sz w:val="24"/>
          <w:szCs w:val="24"/>
        </w:rPr>
        <w:t>methoxsalen</w:t>
      </w:r>
      <w:proofErr w:type="spellEnd"/>
      <w:r w:rsidRPr="00AF3E68">
        <w:rPr>
          <w:sz w:val="24"/>
          <w:szCs w:val="24"/>
        </w:rPr>
        <w:t xml:space="preserve"> i menneskets linse er proportional med serumniveauet, vil koncentrationen i alt væsentligt være lavere efter behandling med </w:t>
      </w:r>
      <w:proofErr w:type="spellStart"/>
      <w:r w:rsidRPr="00AF3E68">
        <w:rPr>
          <w:sz w:val="24"/>
          <w:szCs w:val="24"/>
        </w:rPr>
        <w:t>methoxsalen</w:t>
      </w:r>
      <w:proofErr w:type="spellEnd"/>
      <w:r w:rsidRPr="00AF3E68">
        <w:rPr>
          <w:sz w:val="24"/>
          <w:szCs w:val="24"/>
        </w:rPr>
        <w:t xml:space="preserve"> </w:t>
      </w:r>
      <w:r w:rsidRPr="00AF3E68">
        <w:rPr>
          <w:i/>
          <w:iCs/>
          <w:sz w:val="24"/>
          <w:szCs w:val="24"/>
        </w:rPr>
        <w:t xml:space="preserve">ex </w:t>
      </w:r>
      <w:proofErr w:type="spellStart"/>
      <w:r w:rsidRPr="00AF3E68">
        <w:rPr>
          <w:i/>
          <w:iCs/>
          <w:sz w:val="24"/>
          <w:szCs w:val="24"/>
        </w:rPr>
        <w:t>vivo</w:t>
      </w:r>
      <w:proofErr w:type="spellEnd"/>
      <w:r w:rsidRPr="00AF3E68">
        <w:rPr>
          <w:i/>
          <w:iCs/>
          <w:sz w:val="24"/>
          <w:szCs w:val="24"/>
        </w:rPr>
        <w:t xml:space="preserve"> </w:t>
      </w:r>
      <w:r w:rsidRPr="00AF3E68">
        <w:rPr>
          <w:sz w:val="24"/>
          <w:szCs w:val="24"/>
        </w:rPr>
        <w:t xml:space="preserve">(med </w:t>
      </w:r>
      <w:proofErr w:type="spellStart"/>
      <w:r w:rsidRPr="00AF3E68">
        <w:rPr>
          <w:sz w:val="24"/>
          <w:szCs w:val="24"/>
        </w:rPr>
        <w:t>Uvadex</w:t>
      </w:r>
      <w:proofErr w:type="spellEnd"/>
      <w:r w:rsidRPr="00AF3E68">
        <w:rPr>
          <w:sz w:val="24"/>
          <w:szCs w:val="24"/>
        </w:rPr>
        <w:t xml:space="preserve">) sammenlignet med koncentrationen efter oral administration. Hvis linsen eksponeres for UVA på det tidspunkt, hvor der er </w:t>
      </w:r>
      <w:proofErr w:type="spellStart"/>
      <w:r w:rsidRPr="00AF3E68">
        <w:rPr>
          <w:sz w:val="24"/>
          <w:szCs w:val="24"/>
        </w:rPr>
        <w:t>methoxsalen</w:t>
      </w:r>
      <w:proofErr w:type="spellEnd"/>
      <w:r w:rsidRPr="00AF3E68">
        <w:rPr>
          <w:sz w:val="24"/>
          <w:szCs w:val="24"/>
        </w:rPr>
        <w:t xml:space="preserve"> i den, kan en fotokemisk virkning ikke desto mindre føre til irreversibel binding af </w:t>
      </w:r>
      <w:proofErr w:type="spellStart"/>
      <w:r w:rsidRPr="00AF3E68">
        <w:rPr>
          <w:sz w:val="24"/>
          <w:szCs w:val="24"/>
        </w:rPr>
        <w:t>methoxsalen</w:t>
      </w:r>
      <w:proofErr w:type="spellEnd"/>
      <w:r w:rsidRPr="00AF3E68">
        <w:rPr>
          <w:sz w:val="24"/>
          <w:szCs w:val="24"/>
        </w:rPr>
        <w:t xml:space="preserve"> til protein- og DNA-komponenter i linsen. Patientens øjne skal derfor beskyttes mod UVA-lys ved hjælp af tætsiddende solbriller med UVA-beskyttelse, der bæres under behandlingscyklussen og i de efterfølgende 24 timer.</w:t>
      </w:r>
    </w:p>
    <w:p w:rsidR="00406000" w:rsidRPr="00AF3E68" w:rsidRDefault="00406000" w:rsidP="00B112C1">
      <w:pPr>
        <w:ind w:left="851" w:hanging="851"/>
        <w:rPr>
          <w:sz w:val="24"/>
          <w:szCs w:val="24"/>
        </w:rPr>
      </w:pPr>
    </w:p>
    <w:p w:rsidR="00CA56FB" w:rsidRPr="00AF3E68" w:rsidRDefault="00406000" w:rsidP="00B112C1">
      <w:pPr>
        <w:ind w:left="851" w:hanging="851"/>
        <w:rPr>
          <w:sz w:val="24"/>
          <w:szCs w:val="24"/>
        </w:rPr>
      </w:pPr>
      <w:r w:rsidRPr="00AF3E68">
        <w:rPr>
          <w:sz w:val="24"/>
          <w:szCs w:val="24"/>
        </w:rPr>
        <w:tab/>
      </w:r>
      <w:r w:rsidRPr="00AF3E68">
        <w:rPr>
          <w:i/>
          <w:iCs/>
          <w:sz w:val="24"/>
          <w:szCs w:val="24"/>
        </w:rPr>
        <w:t>Bivirkninger på huden</w:t>
      </w:r>
      <w:r w:rsidRPr="00AF3E68">
        <w:rPr>
          <w:sz w:val="24"/>
          <w:szCs w:val="24"/>
        </w:rPr>
        <w:t xml:space="preserve"> </w:t>
      </w:r>
    </w:p>
    <w:p w:rsidR="00406000" w:rsidRPr="00AF3E68" w:rsidRDefault="00406000" w:rsidP="00CA56FB">
      <w:pPr>
        <w:ind w:left="851"/>
        <w:rPr>
          <w:sz w:val="24"/>
          <w:szCs w:val="24"/>
        </w:rPr>
      </w:pPr>
      <w:r w:rsidRPr="00AF3E68">
        <w:rPr>
          <w:sz w:val="24"/>
          <w:szCs w:val="24"/>
        </w:rPr>
        <w:t xml:space="preserve">Efter oral administration af </w:t>
      </w:r>
      <w:proofErr w:type="spellStart"/>
      <w:r w:rsidRPr="00AF3E68">
        <w:rPr>
          <w:sz w:val="24"/>
          <w:szCs w:val="24"/>
        </w:rPr>
        <w:t>psoralen</w:t>
      </w:r>
      <w:proofErr w:type="spellEnd"/>
      <w:r w:rsidRPr="00AF3E68">
        <w:rPr>
          <w:sz w:val="24"/>
          <w:szCs w:val="24"/>
        </w:rPr>
        <w:t>, hvor serumkoncentrationerne kan overstige 200</w:t>
      </w:r>
      <w:r w:rsidR="00AF3E68">
        <w:rPr>
          <w:sz w:val="24"/>
          <w:szCs w:val="24"/>
        </w:rPr>
        <w:t> </w:t>
      </w:r>
      <w:proofErr w:type="spellStart"/>
      <w:r w:rsidRPr="00AF3E68">
        <w:rPr>
          <w:sz w:val="24"/>
          <w:szCs w:val="24"/>
        </w:rPr>
        <w:t>ng</w:t>
      </w:r>
      <w:proofErr w:type="spellEnd"/>
      <w:r w:rsidRPr="00AF3E68">
        <w:rPr>
          <w:sz w:val="24"/>
          <w:szCs w:val="24"/>
        </w:rPr>
        <w:t xml:space="preserve">/ml, kan eksponering for sollys eller ultraviolet bestråling (selv igennem vinduesruder) medføre svære forbrændinger og på længere “sigt fremskyndet” ældning af huden. Ekstrakorporal anvendelse af </w:t>
      </w:r>
      <w:proofErr w:type="spellStart"/>
      <w:r w:rsidRPr="00AF3E68">
        <w:rPr>
          <w:sz w:val="24"/>
          <w:szCs w:val="24"/>
        </w:rPr>
        <w:t>Uvadex</w:t>
      </w:r>
      <w:proofErr w:type="spellEnd"/>
      <w:r w:rsidRPr="00AF3E68">
        <w:rPr>
          <w:sz w:val="24"/>
          <w:szCs w:val="24"/>
        </w:rPr>
        <w:t xml:space="preserve"> er forbundet med en meget lavere systemisk eksponering for </w:t>
      </w:r>
      <w:proofErr w:type="spellStart"/>
      <w:r w:rsidRPr="00AF3E68">
        <w:rPr>
          <w:sz w:val="24"/>
          <w:szCs w:val="24"/>
        </w:rPr>
        <w:t>methoxsalen</w:t>
      </w:r>
      <w:proofErr w:type="spellEnd"/>
      <w:r w:rsidRPr="00AF3E68">
        <w:rPr>
          <w:sz w:val="24"/>
          <w:szCs w:val="24"/>
        </w:rPr>
        <w:t xml:space="preserve"> (mere end 80 % af blodprøver, der blev udtaget 30 minutter efter </w:t>
      </w:r>
      <w:proofErr w:type="spellStart"/>
      <w:r w:rsidRPr="00AF3E68">
        <w:rPr>
          <w:sz w:val="24"/>
          <w:szCs w:val="24"/>
        </w:rPr>
        <w:t>reinfusion</w:t>
      </w:r>
      <w:proofErr w:type="spellEnd"/>
      <w:r w:rsidRPr="00AF3E68">
        <w:rPr>
          <w:sz w:val="24"/>
          <w:szCs w:val="24"/>
        </w:rPr>
        <w:t xml:space="preserve"> af den fotoaktiverede </w:t>
      </w:r>
      <w:proofErr w:type="spellStart"/>
      <w:r w:rsidRPr="00AF3E68">
        <w:rPr>
          <w:sz w:val="24"/>
          <w:szCs w:val="24"/>
        </w:rPr>
        <w:t>buffy</w:t>
      </w:r>
      <w:proofErr w:type="spellEnd"/>
      <w:r w:rsidRPr="00AF3E68">
        <w:rPr>
          <w:sz w:val="24"/>
          <w:szCs w:val="24"/>
        </w:rPr>
        <w:t xml:space="preserve"> coat, havde </w:t>
      </w:r>
      <w:proofErr w:type="spellStart"/>
      <w:r w:rsidRPr="00AF3E68">
        <w:rPr>
          <w:sz w:val="24"/>
          <w:szCs w:val="24"/>
        </w:rPr>
        <w:t>methoxsalenniveauer</w:t>
      </w:r>
      <w:proofErr w:type="spellEnd"/>
      <w:r w:rsidRPr="00AF3E68">
        <w:rPr>
          <w:sz w:val="24"/>
          <w:szCs w:val="24"/>
        </w:rPr>
        <w:t xml:space="preserve"> på &lt;</w:t>
      </w:r>
      <w:r w:rsidR="00AF3E68">
        <w:rPr>
          <w:sz w:val="24"/>
          <w:szCs w:val="24"/>
        </w:rPr>
        <w:t> </w:t>
      </w:r>
      <w:r w:rsidRPr="00AF3E68">
        <w:rPr>
          <w:sz w:val="24"/>
          <w:szCs w:val="24"/>
        </w:rPr>
        <w:t>10</w:t>
      </w:r>
      <w:r w:rsidR="00AF3E68">
        <w:rPr>
          <w:sz w:val="24"/>
          <w:szCs w:val="24"/>
        </w:rPr>
        <w:t> </w:t>
      </w:r>
      <w:proofErr w:type="spellStart"/>
      <w:r w:rsidRPr="00AF3E68">
        <w:rPr>
          <w:sz w:val="24"/>
          <w:szCs w:val="24"/>
        </w:rPr>
        <w:t>ng</w:t>
      </w:r>
      <w:proofErr w:type="spellEnd"/>
      <w:r w:rsidRPr="00AF3E68">
        <w:rPr>
          <w:sz w:val="24"/>
          <w:szCs w:val="24"/>
        </w:rPr>
        <w:t xml:space="preserve">/ml, og gennemsnitskoncentrationen af </w:t>
      </w:r>
      <w:proofErr w:type="spellStart"/>
      <w:r w:rsidRPr="00AF3E68">
        <w:rPr>
          <w:sz w:val="24"/>
          <w:szCs w:val="24"/>
        </w:rPr>
        <w:t>methoxsalen</w:t>
      </w:r>
      <w:proofErr w:type="spellEnd"/>
      <w:r w:rsidRPr="00AF3E68">
        <w:rPr>
          <w:sz w:val="24"/>
          <w:szCs w:val="24"/>
        </w:rPr>
        <w:t xml:space="preserve"> i plasma var cirka 25 </w:t>
      </w:r>
      <w:proofErr w:type="spellStart"/>
      <w:r w:rsidRPr="00AF3E68">
        <w:rPr>
          <w:sz w:val="24"/>
          <w:szCs w:val="24"/>
        </w:rPr>
        <w:t>ng</w:t>
      </w:r>
      <w:proofErr w:type="spellEnd"/>
      <w:r w:rsidRPr="00AF3E68">
        <w:rPr>
          <w:sz w:val="24"/>
          <w:szCs w:val="24"/>
        </w:rPr>
        <w:t xml:space="preserve">/ml). Graden af fototoksicitet med disse niveauer er dog ikke undersøgt systematisk. Som en sikkerhedsforanstaltning skal patienten derfor undgå sollys i 24 timer efter behandlingen med </w:t>
      </w:r>
      <w:proofErr w:type="spellStart"/>
      <w:r w:rsidRPr="00AF3E68">
        <w:rPr>
          <w:sz w:val="24"/>
          <w:szCs w:val="24"/>
        </w:rPr>
        <w:t>fotoferese</w:t>
      </w:r>
      <w:proofErr w:type="spellEnd"/>
      <w:r w:rsidRPr="00AF3E68">
        <w:rPr>
          <w:sz w:val="24"/>
          <w:szCs w:val="24"/>
        </w:rPr>
        <w:t>.</w:t>
      </w:r>
    </w:p>
    <w:p w:rsidR="00406000" w:rsidRPr="00AF3E68" w:rsidRDefault="00406000" w:rsidP="00B112C1">
      <w:pPr>
        <w:ind w:left="851" w:hanging="851"/>
        <w:rPr>
          <w:sz w:val="24"/>
          <w:szCs w:val="24"/>
        </w:rPr>
      </w:pPr>
    </w:p>
    <w:p w:rsidR="00406000" w:rsidRPr="00AF3E68" w:rsidRDefault="00406000" w:rsidP="00B112C1">
      <w:pPr>
        <w:ind w:left="851"/>
        <w:rPr>
          <w:sz w:val="24"/>
          <w:szCs w:val="24"/>
        </w:rPr>
      </w:pPr>
      <w:r w:rsidRPr="00AF3E68">
        <w:rPr>
          <w:sz w:val="24"/>
          <w:szCs w:val="24"/>
        </w:rPr>
        <w:t>Evalueringen af hudscoren kan påvirkes, hvis patienten kort forinden har solbadet.</w:t>
      </w:r>
    </w:p>
    <w:p w:rsidR="00406000" w:rsidRPr="00AF3E68" w:rsidRDefault="00406000" w:rsidP="00B112C1">
      <w:pPr>
        <w:ind w:left="851" w:hanging="851"/>
        <w:rPr>
          <w:i/>
          <w:iCs/>
          <w:sz w:val="24"/>
          <w:szCs w:val="24"/>
        </w:rPr>
      </w:pPr>
    </w:p>
    <w:p w:rsidR="00CA56FB" w:rsidRPr="00AF3E68" w:rsidRDefault="00406000" w:rsidP="00B112C1">
      <w:pPr>
        <w:ind w:left="851"/>
        <w:rPr>
          <w:sz w:val="24"/>
          <w:szCs w:val="24"/>
        </w:rPr>
      </w:pPr>
      <w:r w:rsidRPr="00AF3E68">
        <w:rPr>
          <w:i/>
          <w:iCs/>
          <w:sz w:val="24"/>
          <w:szCs w:val="24"/>
        </w:rPr>
        <w:t>Svækket nyrefunktion</w:t>
      </w:r>
      <w:r w:rsidRPr="00AF3E68">
        <w:rPr>
          <w:sz w:val="24"/>
          <w:szCs w:val="24"/>
        </w:rPr>
        <w:t xml:space="preserve"> </w:t>
      </w:r>
    </w:p>
    <w:p w:rsidR="00406000" w:rsidRPr="00AF3E68" w:rsidRDefault="00406000" w:rsidP="00B112C1">
      <w:pPr>
        <w:ind w:left="851"/>
        <w:rPr>
          <w:sz w:val="24"/>
          <w:szCs w:val="24"/>
        </w:rPr>
      </w:pPr>
      <w:r w:rsidRPr="00AF3E68">
        <w:rPr>
          <w:sz w:val="24"/>
          <w:szCs w:val="24"/>
        </w:rPr>
        <w:t xml:space="preserve">Selvom adskillige nyretransplanterede patienter med forringet nyrefunktion er blevet behandlet med </w:t>
      </w:r>
      <w:proofErr w:type="spellStart"/>
      <w:r w:rsidRPr="00AF3E68">
        <w:rPr>
          <w:sz w:val="24"/>
          <w:szCs w:val="24"/>
        </w:rPr>
        <w:t>fotoferese</w:t>
      </w:r>
      <w:proofErr w:type="spellEnd"/>
      <w:r w:rsidRPr="00AF3E68">
        <w:rPr>
          <w:sz w:val="24"/>
          <w:szCs w:val="24"/>
        </w:rPr>
        <w:t xml:space="preserve"> med anvendelse af </w:t>
      </w:r>
      <w:proofErr w:type="spellStart"/>
      <w:r w:rsidRPr="00AF3E68">
        <w:rPr>
          <w:sz w:val="24"/>
          <w:szCs w:val="24"/>
        </w:rPr>
        <w:t>Uvadex</w:t>
      </w:r>
      <w:proofErr w:type="spellEnd"/>
      <w:r w:rsidRPr="00AF3E68">
        <w:rPr>
          <w:sz w:val="24"/>
          <w:szCs w:val="24"/>
        </w:rPr>
        <w:t xml:space="preserve">, findes der kun begrænsede oplysninger om anvendelsen af </w:t>
      </w:r>
      <w:proofErr w:type="spellStart"/>
      <w:r w:rsidRPr="00AF3E68">
        <w:rPr>
          <w:sz w:val="24"/>
          <w:szCs w:val="24"/>
        </w:rPr>
        <w:t>Uvadex</w:t>
      </w:r>
      <w:proofErr w:type="spellEnd"/>
      <w:r w:rsidRPr="00AF3E68">
        <w:rPr>
          <w:sz w:val="24"/>
          <w:szCs w:val="24"/>
        </w:rPr>
        <w:t xml:space="preserve"> til patienter med svækket nyrefunktion. For de få nyretransplanterede patienter, som er blevet behandlet med </w:t>
      </w:r>
      <w:proofErr w:type="spellStart"/>
      <w:r w:rsidRPr="00AF3E68">
        <w:rPr>
          <w:sz w:val="24"/>
          <w:szCs w:val="24"/>
        </w:rPr>
        <w:t>fotoferese</w:t>
      </w:r>
      <w:proofErr w:type="spellEnd"/>
      <w:r w:rsidRPr="00AF3E68">
        <w:rPr>
          <w:sz w:val="24"/>
          <w:szCs w:val="24"/>
        </w:rPr>
        <w:t>, blev der ikke truffet ekstra sikkerhedsforanstaltninger, såsom dosisreduktion eller længere tids beskyttelse mod UV-lys, og procedurerne blev tolereret godt og var effektive.</w:t>
      </w:r>
    </w:p>
    <w:p w:rsidR="00406000" w:rsidRPr="00AF3E68" w:rsidRDefault="00406000" w:rsidP="00B112C1">
      <w:pPr>
        <w:ind w:left="851" w:hanging="851"/>
        <w:rPr>
          <w:i/>
          <w:iCs/>
          <w:sz w:val="24"/>
          <w:szCs w:val="24"/>
        </w:rPr>
      </w:pPr>
    </w:p>
    <w:p w:rsidR="00CA56FB" w:rsidRPr="00AF3E68" w:rsidRDefault="00406000" w:rsidP="00B112C1">
      <w:pPr>
        <w:ind w:left="851"/>
        <w:rPr>
          <w:sz w:val="24"/>
          <w:szCs w:val="24"/>
        </w:rPr>
      </w:pPr>
      <w:r w:rsidRPr="00AF3E68">
        <w:rPr>
          <w:i/>
          <w:iCs/>
          <w:sz w:val="24"/>
          <w:szCs w:val="24"/>
        </w:rPr>
        <w:t>Leversygdomme</w:t>
      </w:r>
      <w:r w:rsidRPr="00AF3E68">
        <w:rPr>
          <w:sz w:val="24"/>
          <w:szCs w:val="24"/>
        </w:rPr>
        <w:t xml:space="preserve"> </w:t>
      </w:r>
    </w:p>
    <w:p w:rsidR="00406000" w:rsidRPr="00AF3E68" w:rsidRDefault="00406000" w:rsidP="00B112C1">
      <w:pPr>
        <w:ind w:left="851"/>
        <w:rPr>
          <w:sz w:val="24"/>
          <w:szCs w:val="24"/>
        </w:rPr>
      </w:pPr>
      <w:r w:rsidRPr="00AF3E68">
        <w:rPr>
          <w:sz w:val="24"/>
          <w:szCs w:val="24"/>
        </w:rPr>
        <w:t xml:space="preserve">Der findes ingen specifikke oplysninger om anvendelse af </w:t>
      </w:r>
      <w:proofErr w:type="spellStart"/>
      <w:r w:rsidRPr="00AF3E68">
        <w:rPr>
          <w:sz w:val="24"/>
          <w:szCs w:val="24"/>
        </w:rPr>
        <w:t>fotoferese</w:t>
      </w:r>
      <w:proofErr w:type="spellEnd"/>
      <w:r w:rsidRPr="00AF3E68">
        <w:rPr>
          <w:sz w:val="24"/>
          <w:szCs w:val="24"/>
        </w:rPr>
        <w:t xml:space="preserve"> med </w:t>
      </w:r>
      <w:proofErr w:type="spellStart"/>
      <w:r w:rsidRPr="00AF3E68">
        <w:rPr>
          <w:sz w:val="24"/>
          <w:szCs w:val="24"/>
        </w:rPr>
        <w:t>Uvadex</w:t>
      </w:r>
      <w:proofErr w:type="spellEnd"/>
      <w:r w:rsidRPr="00AF3E68">
        <w:rPr>
          <w:sz w:val="24"/>
          <w:szCs w:val="24"/>
        </w:rPr>
        <w:t xml:space="preserve"> til patienter med svækket leverfunktion. Da biotransformationen i leveren er nødvendig for udskillelse i urinen, er det muligt, at en svækket leverfunktion kan resultere i en forlænget halveringstid for </w:t>
      </w:r>
      <w:proofErr w:type="spellStart"/>
      <w:r w:rsidRPr="00AF3E68">
        <w:rPr>
          <w:sz w:val="24"/>
          <w:szCs w:val="24"/>
        </w:rPr>
        <w:t>methoxsalen</w:t>
      </w:r>
      <w:proofErr w:type="spellEnd"/>
      <w:r w:rsidRPr="00AF3E68">
        <w:rPr>
          <w:sz w:val="24"/>
          <w:szCs w:val="24"/>
        </w:rPr>
        <w:t xml:space="preserve">. Dette kan føre til forlænget fotosensibilitet og dermed nødvendiggøre, at sikkerhedsforanstaltningerne for eksponering for sollys fortsætter ud over de 24 timer efter behandlingen med </w:t>
      </w:r>
      <w:proofErr w:type="spellStart"/>
      <w:r w:rsidRPr="00AF3E68">
        <w:rPr>
          <w:sz w:val="24"/>
          <w:szCs w:val="24"/>
        </w:rPr>
        <w:t>fotoferese</w:t>
      </w:r>
      <w:proofErr w:type="spellEnd"/>
      <w:r w:rsidRPr="00AF3E68">
        <w:rPr>
          <w:sz w:val="24"/>
          <w:szCs w:val="24"/>
        </w:rPr>
        <w:t xml:space="preserve">. De potentielle fordele ved behandlingen med </w:t>
      </w:r>
      <w:proofErr w:type="spellStart"/>
      <w:r w:rsidRPr="00AF3E68">
        <w:rPr>
          <w:sz w:val="24"/>
          <w:szCs w:val="24"/>
        </w:rPr>
        <w:t>fotoferese</w:t>
      </w:r>
      <w:proofErr w:type="spellEnd"/>
      <w:r w:rsidRPr="00AF3E68">
        <w:rPr>
          <w:sz w:val="24"/>
          <w:szCs w:val="24"/>
        </w:rPr>
        <w:t xml:space="preserve"> bør afvejes i forhold til en eventuel risiko, inden proceduren sættes i gang.</w:t>
      </w:r>
    </w:p>
    <w:p w:rsidR="00406000" w:rsidRPr="00AF3E68" w:rsidRDefault="00406000" w:rsidP="00B112C1">
      <w:pPr>
        <w:ind w:left="851" w:hanging="851"/>
        <w:rPr>
          <w:sz w:val="24"/>
          <w:szCs w:val="24"/>
        </w:rPr>
      </w:pPr>
    </w:p>
    <w:p w:rsidR="00CA56FB" w:rsidRPr="00AF3E68" w:rsidRDefault="00CA56FB" w:rsidP="00AA1CBE">
      <w:pPr>
        <w:ind w:left="851"/>
        <w:rPr>
          <w:i/>
          <w:sz w:val="24"/>
          <w:szCs w:val="24"/>
        </w:rPr>
      </w:pPr>
      <w:r w:rsidRPr="00AF3E68">
        <w:rPr>
          <w:sz w:val="24"/>
          <w:szCs w:val="24"/>
        </w:rPr>
        <w:t>Pædiatrisk population</w:t>
      </w:r>
    </w:p>
    <w:p w:rsidR="00CA56FB" w:rsidRPr="00AF3E68" w:rsidRDefault="00CA56FB" w:rsidP="00AA1CBE">
      <w:pPr>
        <w:ind w:left="851"/>
        <w:rPr>
          <w:sz w:val="24"/>
          <w:szCs w:val="24"/>
        </w:rPr>
      </w:pPr>
      <w:proofErr w:type="spellStart"/>
      <w:r w:rsidRPr="00AF3E68">
        <w:rPr>
          <w:sz w:val="24"/>
          <w:szCs w:val="24"/>
        </w:rPr>
        <w:t>U</w:t>
      </w:r>
      <w:r w:rsidR="00E52C26" w:rsidRPr="00AF3E68">
        <w:rPr>
          <w:sz w:val="24"/>
          <w:szCs w:val="24"/>
        </w:rPr>
        <w:t>vadex</w:t>
      </w:r>
      <w:proofErr w:type="spellEnd"/>
      <w:r w:rsidR="00E52C26" w:rsidRPr="00AF3E68">
        <w:rPr>
          <w:sz w:val="24"/>
          <w:szCs w:val="24"/>
        </w:rPr>
        <w:t xml:space="preserve"> </w:t>
      </w:r>
      <w:r w:rsidRPr="00AF3E68">
        <w:rPr>
          <w:sz w:val="24"/>
          <w:szCs w:val="24"/>
        </w:rPr>
        <w:t>er ikke blevet klinisk evalueret hos børn.</w:t>
      </w:r>
    </w:p>
    <w:p w:rsidR="00406000" w:rsidRPr="00AF3E68" w:rsidRDefault="00406000" w:rsidP="00AA1CBE">
      <w:pPr>
        <w:ind w:left="851"/>
        <w:rPr>
          <w:i/>
          <w:sz w:val="24"/>
          <w:szCs w:val="24"/>
        </w:rPr>
      </w:pPr>
    </w:p>
    <w:p w:rsidR="008F37AC" w:rsidRPr="00AF3E68" w:rsidRDefault="008F37AC" w:rsidP="008F37AC">
      <w:pPr>
        <w:ind w:left="851"/>
        <w:rPr>
          <w:i/>
          <w:sz w:val="24"/>
          <w:szCs w:val="24"/>
        </w:rPr>
      </w:pPr>
      <w:r w:rsidRPr="00AF3E68">
        <w:rPr>
          <w:i/>
          <w:sz w:val="24"/>
          <w:szCs w:val="24"/>
        </w:rPr>
        <w:t xml:space="preserve">Alkoholindhold </w:t>
      </w:r>
    </w:p>
    <w:p w:rsidR="008F37AC" w:rsidRPr="00AF3E68" w:rsidRDefault="008F37AC" w:rsidP="008F37AC">
      <w:pPr>
        <w:ind w:left="851"/>
        <w:rPr>
          <w:sz w:val="24"/>
          <w:szCs w:val="24"/>
        </w:rPr>
      </w:pPr>
      <w:r w:rsidRPr="00AF3E68">
        <w:rPr>
          <w:sz w:val="24"/>
          <w:szCs w:val="24"/>
        </w:rPr>
        <w:t xml:space="preserve">Dette lægemiddel indeholder små mængder 5 % (v/v) </w:t>
      </w:r>
      <w:proofErr w:type="spellStart"/>
      <w:r w:rsidRPr="00AF3E68">
        <w:rPr>
          <w:sz w:val="24"/>
          <w:szCs w:val="24"/>
        </w:rPr>
        <w:t>ethanol</w:t>
      </w:r>
      <w:proofErr w:type="spellEnd"/>
      <w:r w:rsidRPr="00AF3E68">
        <w:rPr>
          <w:sz w:val="24"/>
          <w:szCs w:val="24"/>
        </w:rPr>
        <w:t>, og hver dosis (maksimumvolumen 5,6 ml) indeholder op til 217 mg alkohol, hvilket svarer til 3,1 mg/kg per 5,6 ml dosis. Mængden i én 5,6 ml dosis af dette lægemiddel svarer til mindre end 6 ml øl eller 3 ml vin.</w:t>
      </w:r>
    </w:p>
    <w:p w:rsidR="008F37AC" w:rsidRPr="00AF3E68" w:rsidRDefault="008F37AC" w:rsidP="008F37AC">
      <w:pPr>
        <w:ind w:left="851"/>
        <w:rPr>
          <w:sz w:val="24"/>
          <w:szCs w:val="24"/>
        </w:rPr>
      </w:pPr>
    </w:p>
    <w:p w:rsidR="008F37AC" w:rsidRPr="00AF3E68" w:rsidRDefault="008F37AC" w:rsidP="008F37AC">
      <w:pPr>
        <w:ind w:left="851"/>
        <w:rPr>
          <w:sz w:val="24"/>
          <w:szCs w:val="24"/>
        </w:rPr>
      </w:pPr>
      <w:r w:rsidRPr="00AF3E68">
        <w:rPr>
          <w:sz w:val="24"/>
          <w:szCs w:val="24"/>
        </w:rPr>
        <w:t xml:space="preserve">Idet den </w:t>
      </w:r>
      <w:proofErr w:type="spellStart"/>
      <w:r w:rsidRPr="00AF3E68">
        <w:rPr>
          <w:sz w:val="24"/>
          <w:szCs w:val="24"/>
        </w:rPr>
        <w:t>ekstrakorporale</w:t>
      </w:r>
      <w:proofErr w:type="spellEnd"/>
      <w:r w:rsidRPr="00AF3E68">
        <w:rPr>
          <w:sz w:val="24"/>
          <w:szCs w:val="24"/>
        </w:rPr>
        <w:t>, systemiske udsættelse forventes at være lav, og en klinisk virkning ikke er blevet dokumenteret, skal den ordinerende læge være klar over de potentielle indvirkninger fra andre lægemidler, og der opfordres til forsigtighed i tilfælde af leverlidelser, alkoholisme, epilepsi, hjerneskade eller sygdom.</w:t>
      </w:r>
    </w:p>
    <w:p w:rsidR="008F37AC" w:rsidRPr="00AF3E68" w:rsidRDefault="008F37AC" w:rsidP="008F37AC">
      <w:pPr>
        <w:ind w:left="851"/>
        <w:rPr>
          <w:sz w:val="24"/>
          <w:szCs w:val="24"/>
        </w:rPr>
      </w:pPr>
    </w:p>
    <w:p w:rsidR="008F37AC" w:rsidRPr="00AF3E68" w:rsidRDefault="008F37AC" w:rsidP="008F37AC">
      <w:pPr>
        <w:ind w:left="851"/>
        <w:rPr>
          <w:i/>
          <w:sz w:val="24"/>
          <w:szCs w:val="24"/>
        </w:rPr>
      </w:pPr>
      <w:r w:rsidRPr="00AF3E68">
        <w:rPr>
          <w:i/>
          <w:sz w:val="24"/>
          <w:szCs w:val="24"/>
        </w:rPr>
        <w:t>Natriumindhold</w:t>
      </w:r>
    </w:p>
    <w:p w:rsidR="008F37AC" w:rsidRPr="00AF3E68" w:rsidRDefault="008F37AC" w:rsidP="008F37AC">
      <w:pPr>
        <w:ind w:left="851"/>
        <w:rPr>
          <w:sz w:val="24"/>
          <w:szCs w:val="24"/>
        </w:rPr>
      </w:pPr>
      <w:proofErr w:type="spellStart"/>
      <w:r w:rsidRPr="00AF3E68">
        <w:rPr>
          <w:sz w:val="24"/>
          <w:szCs w:val="24"/>
        </w:rPr>
        <w:t>Uvadex</w:t>
      </w:r>
      <w:proofErr w:type="spellEnd"/>
      <w:r w:rsidRPr="00AF3E68">
        <w:rPr>
          <w:sz w:val="24"/>
          <w:szCs w:val="24"/>
        </w:rPr>
        <w:t xml:space="preserve"> indeholder mindre end 1 mmol natrium (23 mg) per administreret dosis (maksimumvolumen 5,6 ml).</w:t>
      </w:r>
    </w:p>
    <w:p w:rsidR="00406000" w:rsidRPr="00AF3E68" w:rsidRDefault="00406000" w:rsidP="00406000">
      <w:pPr>
        <w:ind w:left="851" w:hanging="851"/>
        <w:jc w:val="both"/>
        <w:rPr>
          <w:i/>
          <w:sz w:val="24"/>
          <w:szCs w:val="24"/>
        </w:rPr>
      </w:pPr>
    </w:p>
    <w:p w:rsidR="00F138F0" w:rsidRPr="00AF3E68" w:rsidRDefault="00F138F0" w:rsidP="00F138F0">
      <w:pPr>
        <w:tabs>
          <w:tab w:val="left" w:pos="851"/>
        </w:tabs>
        <w:ind w:left="851" w:hanging="851"/>
        <w:rPr>
          <w:b/>
          <w:sz w:val="24"/>
          <w:szCs w:val="24"/>
        </w:rPr>
      </w:pPr>
      <w:r w:rsidRPr="00AF3E68">
        <w:rPr>
          <w:b/>
          <w:sz w:val="24"/>
          <w:szCs w:val="24"/>
        </w:rPr>
        <w:t>4.5</w:t>
      </w:r>
      <w:r w:rsidRPr="00AF3E68">
        <w:rPr>
          <w:b/>
          <w:sz w:val="24"/>
          <w:szCs w:val="24"/>
        </w:rPr>
        <w:tab/>
        <w:t>Interaktion med andre lægemidler og andre former for interaktion</w:t>
      </w:r>
    </w:p>
    <w:p w:rsidR="00406000" w:rsidRPr="00AF3E68" w:rsidRDefault="00406000" w:rsidP="00A130FE">
      <w:pPr>
        <w:ind w:left="851"/>
        <w:rPr>
          <w:sz w:val="24"/>
          <w:szCs w:val="24"/>
        </w:rPr>
      </w:pPr>
      <w:r w:rsidRPr="00AF3E68">
        <w:rPr>
          <w:sz w:val="24"/>
          <w:szCs w:val="24"/>
        </w:rPr>
        <w:t xml:space="preserve">Selvom </w:t>
      </w:r>
      <w:proofErr w:type="spellStart"/>
      <w:r w:rsidRPr="00AF3E68">
        <w:rPr>
          <w:sz w:val="24"/>
          <w:szCs w:val="24"/>
        </w:rPr>
        <w:t>methoxsalen</w:t>
      </w:r>
      <w:proofErr w:type="spellEnd"/>
      <w:r w:rsidRPr="00AF3E68">
        <w:rPr>
          <w:sz w:val="24"/>
          <w:szCs w:val="24"/>
        </w:rPr>
        <w:t xml:space="preserve"> har vist sig at kunne både inducere og hæmme leverenzymer, synes det hos mennesket at fungere primært som en kraftigt virkende hæmmer af </w:t>
      </w:r>
      <w:proofErr w:type="spellStart"/>
      <w:r w:rsidRPr="00AF3E68">
        <w:rPr>
          <w:sz w:val="24"/>
          <w:szCs w:val="24"/>
        </w:rPr>
        <w:t>mikrosomale</w:t>
      </w:r>
      <w:proofErr w:type="spellEnd"/>
      <w:r w:rsidRPr="00AF3E68">
        <w:rPr>
          <w:sz w:val="24"/>
          <w:szCs w:val="24"/>
        </w:rPr>
        <w:t xml:space="preserve"> </w:t>
      </w:r>
      <w:proofErr w:type="spellStart"/>
      <w:r w:rsidRPr="00AF3E68">
        <w:rPr>
          <w:sz w:val="24"/>
          <w:szCs w:val="24"/>
        </w:rPr>
        <w:t>oxidative</w:t>
      </w:r>
      <w:proofErr w:type="spellEnd"/>
      <w:r w:rsidRPr="00AF3E68">
        <w:rPr>
          <w:sz w:val="24"/>
          <w:szCs w:val="24"/>
        </w:rPr>
        <w:t xml:space="preserve"> stofskifteprocesser i leveren, heriblandt, men ikke begrænset til CYP1A2, 2 A6 og 2B1. Det må derfor forventes, at der vil opstå interaktioner mellem </w:t>
      </w:r>
      <w:proofErr w:type="spellStart"/>
      <w:r w:rsidRPr="00AF3E68">
        <w:rPr>
          <w:sz w:val="24"/>
          <w:szCs w:val="24"/>
        </w:rPr>
        <w:t>methoxsalen</w:t>
      </w:r>
      <w:proofErr w:type="spellEnd"/>
      <w:r w:rsidRPr="00AF3E68">
        <w:rPr>
          <w:sz w:val="24"/>
          <w:szCs w:val="24"/>
        </w:rPr>
        <w:t xml:space="preserve"> og andre præparater, hvis metabolisme involverer </w:t>
      </w:r>
      <w:proofErr w:type="spellStart"/>
      <w:r w:rsidRPr="00AF3E68">
        <w:rPr>
          <w:sz w:val="24"/>
          <w:szCs w:val="24"/>
        </w:rPr>
        <w:t>cytokrom</w:t>
      </w:r>
      <w:proofErr w:type="spellEnd"/>
      <w:r w:rsidRPr="00AF3E68">
        <w:rPr>
          <w:sz w:val="24"/>
          <w:szCs w:val="24"/>
        </w:rPr>
        <w:t xml:space="preserve"> P450-systemet i leveren. </w:t>
      </w:r>
      <w:proofErr w:type="spellStart"/>
      <w:r w:rsidRPr="00AF3E68">
        <w:rPr>
          <w:sz w:val="24"/>
          <w:szCs w:val="24"/>
        </w:rPr>
        <w:t>Clearancen</w:t>
      </w:r>
      <w:proofErr w:type="spellEnd"/>
      <w:r w:rsidRPr="00AF3E68">
        <w:rPr>
          <w:sz w:val="24"/>
          <w:szCs w:val="24"/>
        </w:rPr>
        <w:t xml:space="preserve"> af koffein og antipyrin har vist sig at være markant reduceret efter behandling med </w:t>
      </w:r>
      <w:proofErr w:type="spellStart"/>
      <w:r w:rsidRPr="00AF3E68">
        <w:rPr>
          <w:sz w:val="24"/>
          <w:szCs w:val="24"/>
        </w:rPr>
        <w:t>methoxsalen</w:t>
      </w:r>
      <w:proofErr w:type="spellEnd"/>
      <w:r w:rsidRPr="00AF3E68">
        <w:rPr>
          <w:sz w:val="24"/>
          <w:szCs w:val="24"/>
        </w:rPr>
        <w:t>.</w:t>
      </w:r>
    </w:p>
    <w:p w:rsidR="00406000" w:rsidRPr="00AF3E68" w:rsidRDefault="00406000" w:rsidP="00A130FE">
      <w:pPr>
        <w:ind w:left="851"/>
        <w:rPr>
          <w:sz w:val="24"/>
          <w:szCs w:val="24"/>
        </w:rPr>
      </w:pPr>
      <w:r w:rsidRPr="00AF3E68">
        <w:rPr>
          <w:sz w:val="24"/>
          <w:szCs w:val="24"/>
        </w:rPr>
        <w:t xml:space="preserve">Undersøgelser har vist, at </w:t>
      </w:r>
      <w:proofErr w:type="spellStart"/>
      <w:r w:rsidRPr="00AF3E68">
        <w:rPr>
          <w:sz w:val="24"/>
          <w:szCs w:val="24"/>
        </w:rPr>
        <w:t>methoxsalen</w:t>
      </w:r>
      <w:proofErr w:type="spellEnd"/>
      <w:r w:rsidRPr="00AF3E68">
        <w:rPr>
          <w:sz w:val="24"/>
          <w:szCs w:val="24"/>
        </w:rPr>
        <w:t xml:space="preserve"> desuden nedsætter den metaboliske aktivering af paracetamol hos dyr og mennesker, sandsynligvis på grund af den med </w:t>
      </w:r>
      <w:proofErr w:type="spellStart"/>
      <w:r w:rsidRPr="00AF3E68">
        <w:rPr>
          <w:sz w:val="24"/>
          <w:szCs w:val="24"/>
        </w:rPr>
        <w:t>methoxsalen</w:t>
      </w:r>
      <w:proofErr w:type="spellEnd"/>
      <w:r w:rsidRPr="00AF3E68">
        <w:rPr>
          <w:sz w:val="24"/>
          <w:szCs w:val="24"/>
        </w:rPr>
        <w:t xml:space="preserve"> forbundne hæmning af den </w:t>
      </w:r>
      <w:proofErr w:type="spellStart"/>
      <w:r w:rsidRPr="00AF3E68">
        <w:rPr>
          <w:sz w:val="24"/>
          <w:szCs w:val="24"/>
        </w:rPr>
        <w:t>oxidative</w:t>
      </w:r>
      <w:proofErr w:type="spellEnd"/>
      <w:r w:rsidRPr="00AF3E68">
        <w:rPr>
          <w:sz w:val="24"/>
          <w:szCs w:val="24"/>
        </w:rPr>
        <w:t xml:space="preserve"> transformation af paracetamol i leverens </w:t>
      </w:r>
      <w:proofErr w:type="spellStart"/>
      <w:r w:rsidRPr="00AF3E68">
        <w:rPr>
          <w:sz w:val="24"/>
          <w:szCs w:val="24"/>
        </w:rPr>
        <w:t>cytokrom</w:t>
      </w:r>
      <w:proofErr w:type="spellEnd"/>
      <w:r w:rsidRPr="00AF3E68">
        <w:rPr>
          <w:sz w:val="24"/>
          <w:szCs w:val="24"/>
        </w:rPr>
        <w:t xml:space="preserve"> P450-system. </w:t>
      </w:r>
    </w:p>
    <w:p w:rsidR="00406000" w:rsidRPr="00AF3E68" w:rsidRDefault="00406000" w:rsidP="00A130FE">
      <w:pPr>
        <w:ind w:left="851" w:hanging="851"/>
        <w:rPr>
          <w:sz w:val="24"/>
          <w:szCs w:val="24"/>
        </w:rPr>
      </w:pPr>
    </w:p>
    <w:p w:rsidR="00406000" w:rsidRPr="00AF3E68" w:rsidRDefault="00406000" w:rsidP="00A130FE">
      <w:pPr>
        <w:ind w:left="851"/>
        <w:rPr>
          <w:sz w:val="24"/>
          <w:szCs w:val="24"/>
        </w:rPr>
      </w:pPr>
      <w:r w:rsidRPr="00AF3E68">
        <w:rPr>
          <w:sz w:val="24"/>
          <w:szCs w:val="24"/>
        </w:rPr>
        <w:t xml:space="preserve">Derfor kan forbruget af P450-substrater resultere i en forlænget halveringstid for </w:t>
      </w:r>
      <w:proofErr w:type="spellStart"/>
      <w:r w:rsidRPr="00AF3E68">
        <w:rPr>
          <w:sz w:val="24"/>
          <w:szCs w:val="24"/>
        </w:rPr>
        <w:t>methoxsalen</w:t>
      </w:r>
      <w:proofErr w:type="spellEnd"/>
      <w:r w:rsidRPr="00AF3E68">
        <w:rPr>
          <w:sz w:val="24"/>
          <w:szCs w:val="24"/>
        </w:rPr>
        <w:t xml:space="preserve"> og dermed en længere periode med fotosensitivitet, hvilket kræver fortsat forsigtighed ved udsættelse for sollys i længere tid end 24 timer efter </w:t>
      </w:r>
      <w:proofErr w:type="spellStart"/>
      <w:r w:rsidRPr="00AF3E68">
        <w:rPr>
          <w:sz w:val="24"/>
          <w:szCs w:val="24"/>
        </w:rPr>
        <w:t>fotoforesebehandlingen</w:t>
      </w:r>
      <w:proofErr w:type="spellEnd"/>
      <w:r w:rsidRPr="00AF3E68">
        <w:rPr>
          <w:sz w:val="24"/>
          <w:szCs w:val="24"/>
        </w:rPr>
        <w:t>.</w:t>
      </w:r>
    </w:p>
    <w:p w:rsidR="00406000" w:rsidRPr="00AF3E68" w:rsidRDefault="00406000" w:rsidP="00A130FE">
      <w:pPr>
        <w:ind w:left="851" w:hanging="851"/>
        <w:rPr>
          <w:sz w:val="24"/>
          <w:szCs w:val="24"/>
        </w:rPr>
      </w:pPr>
    </w:p>
    <w:p w:rsidR="00406000" w:rsidRPr="00AF3E68" w:rsidRDefault="00406000" w:rsidP="00A130FE">
      <w:pPr>
        <w:ind w:left="851"/>
        <w:rPr>
          <w:sz w:val="24"/>
          <w:szCs w:val="24"/>
        </w:rPr>
      </w:pPr>
      <w:r w:rsidRPr="00AF3E68">
        <w:rPr>
          <w:sz w:val="24"/>
          <w:szCs w:val="24"/>
        </w:rPr>
        <w:t xml:space="preserve">En enkelt rapport beskriver en patient med psoriasis og epilepsi, hos hvem administrationen af </w:t>
      </w:r>
      <w:proofErr w:type="spellStart"/>
      <w:r w:rsidRPr="00AF3E68">
        <w:rPr>
          <w:sz w:val="24"/>
          <w:szCs w:val="24"/>
        </w:rPr>
        <w:t>phenytoin</w:t>
      </w:r>
      <w:proofErr w:type="spellEnd"/>
      <w:r w:rsidRPr="00AF3E68">
        <w:rPr>
          <w:sz w:val="24"/>
          <w:szCs w:val="24"/>
        </w:rPr>
        <w:t xml:space="preserve"> inducerede øget metabolisme af </w:t>
      </w:r>
      <w:proofErr w:type="spellStart"/>
      <w:r w:rsidRPr="00AF3E68">
        <w:rPr>
          <w:sz w:val="24"/>
          <w:szCs w:val="24"/>
        </w:rPr>
        <w:t>methoxsalen</w:t>
      </w:r>
      <w:proofErr w:type="spellEnd"/>
      <w:r w:rsidRPr="00AF3E68">
        <w:rPr>
          <w:sz w:val="24"/>
          <w:szCs w:val="24"/>
        </w:rPr>
        <w:t xml:space="preserve">, hvilket resulterede i lavere </w:t>
      </w:r>
      <w:proofErr w:type="spellStart"/>
      <w:r w:rsidRPr="00AF3E68">
        <w:rPr>
          <w:sz w:val="24"/>
          <w:szCs w:val="24"/>
        </w:rPr>
        <w:t>methoxsalenniveauer</w:t>
      </w:r>
      <w:proofErr w:type="spellEnd"/>
      <w:r w:rsidRPr="00AF3E68">
        <w:rPr>
          <w:sz w:val="24"/>
          <w:szCs w:val="24"/>
        </w:rPr>
        <w:t xml:space="preserve"> og medførte, at PUVA-behandlingen mislykkedes. Udskiftning af </w:t>
      </w:r>
      <w:proofErr w:type="spellStart"/>
      <w:r w:rsidRPr="00AF3E68">
        <w:rPr>
          <w:sz w:val="24"/>
          <w:szCs w:val="24"/>
        </w:rPr>
        <w:t>phenytoin</w:t>
      </w:r>
      <w:proofErr w:type="spellEnd"/>
      <w:r w:rsidRPr="00AF3E68">
        <w:rPr>
          <w:sz w:val="24"/>
          <w:szCs w:val="24"/>
        </w:rPr>
        <w:t xml:space="preserve"> med </w:t>
      </w:r>
      <w:proofErr w:type="spellStart"/>
      <w:r w:rsidRPr="00AF3E68">
        <w:rPr>
          <w:sz w:val="24"/>
          <w:szCs w:val="24"/>
        </w:rPr>
        <w:t>valproat</w:t>
      </w:r>
      <w:proofErr w:type="spellEnd"/>
      <w:r w:rsidRPr="00AF3E68">
        <w:rPr>
          <w:sz w:val="24"/>
          <w:szCs w:val="24"/>
        </w:rPr>
        <w:t xml:space="preserve"> medførte en tre- til </w:t>
      </w:r>
      <w:proofErr w:type="spellStart"/>
      <w:r w:rsidRPr="00AF3E68">
        <w:rPr>
          <w:sz w:val="24"/>
          <w:szCs w:val="24"/>
        </w:rPr>
        <w:t>firefoldig</w:t>
      </w:r>
      <w:proofErr w:type="spellEnd"/>
      <w:r w:rsidRPr="00AF3E68">
        <w:rPr>
          <w:sz w:val="24"/>
          <w:szCs w:val="24"/>
        </w:rPr>
        <w:t xml:space="preserve"> stigning i </w:t>
      </w:r>
      <w:proofErr w:type="spellStart"/>
      <w:r w:rsidRPr="00AF3E68">
        <w:rPr>
          <w:sz w:val="24"/>
          <w:szCs w:val="24"/>
        </w:rPr>
        <w:t>methoxsalenniveauerne</w:t>
      </w:r>
      <w:proofErr w:type="spellEnd"/>
      <w:r w:rsidRPr="00AF3E68">
        <w:rPr>
          <w:sz w:val="24"/>
          <w:szCs w:val="24"/>
        </w:rPr>
        <w:t xml:space="preserve"> til et niveau inden for det formodede terapeutiske område.</w:t>
      </w:r>
    </w:p>
    <w:p w:rsidR="00406000" w:rsidRPr="00AF3E68" w:rsidRDefault="00406000" w:rsidP="00A130FE">
      <w:pPr>
        <w:ind w:left="851" w:hanging="851"/>
        <w:rPr>
          <w:sz w:val="24"/>
          <w:szCs w:val="24"/>
        </w:rPr>
      </w:pPr>
    </w:p>
    <w:p w:rsidR="00406000" w:rsidRPr="00AF3E68" w:rsidRDefault="00406000" w:rsidP="00A130FE">
      <w:pPr>
        <w:ind w:left="851"/>
        <w:rPr>
          <w:sz w:val="24"/>
          <w:szCs w:val="24"/>
        </w:rPr>
      </w:pPr>
      <w:r w:rsidRPr="00AF3E68">
        <w:rPr>
          <w:sz w:val="24"/>
          <w:szCs w:val="24"/>
        </w:rPr>
        <w:t xml:space="preserve">I blodet er </w:t>
      </w:r>
      <w:proofErr w:type="spellStart"/>
      <w:r w:rsidRPr="00AF3E68">
        <w:rPr>
          <w:sz w:val="24"/>
          <w:szCs w:val="24"/>
        </w:rPr>
        <w:t>methoxsalen</w:t>
      </w:r>
      <w:proofErr w:type="spellEnd"/>
      <w:r w:rsidRPr="00AF3E68">
        <w:rPr>
          <w:sz w:val="24"/>
          <w:szCs w:val="24"/>
        </w:rPr>
        <w:t xml:space="preserve"> normalt stærkt bundet til albumin, men kan fortrænges af et antal præparater, for eksempel </w:t>
      </w:r>
      <w:proofErr w:type="spellStart"/>
      <w:r w:rsidRPr="00AF3E68">
        <w:rPr>
          <w:sz w:val="24"/>
          <w:szCs w:val="24"/>
        </w:rPr>
        <w:t>dicoumarol</w:t>
      </w:r>
      <w:proofErr w:type="spellEnd"/>
      <w:r w:rsidRPr="00AF3E68">
        <w:rPr>
          <w:sz w:val="24"/>
          <w:szCs w:val="24"/>
        </w:rPr>
        <w:t xml:space="preserve">, </w:t>
      </w:r>
      <w:proofErr w:type="spellStart"/>
      <w:r w:rsidRPr="00AF3E68">
        <w:rPr>
          <w:sz w:val="24"/>
          <w:szCs w:val="24"/>
        </w:rPr>
        <w:t>promethazin</w:t>
      </w:r>
      <w:proofErr w:type="spellEnd"/>
      <w:r w:rsidRPr="00AF3E68">
        <w:rPr>
          <w:sz w:val="24"/>
          <w:szCs w:val="24"/>
        </w:rPr>
        <w:t xml:space="preserve"> og </w:t>
      </w:r>
      <w:proofErr w:type="spellStart"/>
      <w:r w:rsidRPr="00AF3E68">
        <w:rPr>
          <w:sz w:val="24"/>
          <w:szCs w:val="24"/>
        </w:rPr>
        <w:t>tolbutamid</w:t>
      </w:r>
      <w:proofErr w:type="spellEnd"/>
      <w:r w:rsidRPr="00AF3E68">
        <w:rPr>
          <w:sz w:val="24"/>
          <w:szCs w:val="24"/>
        </w:rPr>
        <w:t xml:space="preserve">. Da </w:t>
      </w:r>
      <w:proofErr w:type="spellStart"/>
      <w:r w:rsidRPr="00AF3E68">
        <w:rPr>
          <w:sz w:val="24"/>
          <w:szCs w:val="24"/>
        </w:rPr>
        <w:t>methoxsalen</w:t>
      </w:r>
      <w:proofErr w:type="spellEnd"/>
      <w:r w:rsidRPr="00AF3E68">
        <w:rPr>
          <w:sz w:val="24"/>
          <w:szCs w:val="24"/>
        </w:rPr>
        <w:t xml:space="preserve"> er et </w:t>
      </w:r>
      <w:proofErr w:type="spellStart"/>
      <w:r w:rsidRPr="00AF3E68">
        <w:rPr>
          <w:sz w:val="24"/>
          <w:szCs w:val="24"/>
        </w:rPr>
        <w:t>coumarin</w:t>
      </w:r>
      <w:proofErr w:type="spellEnd"/>
      <w:r w:rsidRPr="00AF3E68">
        <w:rPr>
          <w:sz w:val="24"/>
          <w:szCs w:val="24"/>
        </w:rPr>
        <w:t xml:space="preserve">-derivat, er det tænkeligt, at det binder til det samme sted på albumin som </w:t>
      </w:r>
      <w:proofErr w:type="spellStart"/>
      <w:r w:rsidRPr="00AF3E68">
        <w:rPr>
          <w:sz w:val="24"/>
          <w:szCs w:val="24"/>
        </w:rPr>
        <w:t>warfarin</w:t>
      </w:r>
      <w:proofErr w:type="spellEnd"/>
      <w:r w:rsidRPr="00AF3E68">
        <w:rPr>
          <w:sz w:val="24"/>
          <w:szCs w:val="24"/>
        </w:rPr>
        <w:t xml:space="preserve">, hvilket kan være af klinisk betydning, hvis de to præparater administreres samtidigt. Ud af de præparater, der blev undersøgt, er det dog kun </w:t>
      </w:r>
      <w:proofErr w:type="spellStart"/>
      <w:r w:rsidRPr="00AF3E68">
        <w:rPr>
          <w:sz w:val="24"/>
          <w:szCs w:val="24"/>
        </w:rPr>
        <w:t>tolbutamid</w:t>
      </w:r>
      <w:proofErr w:type="spellEnd"/>
      <w:r w:rsidRPr="00AF3E68">
        <w:rPr>
          <w:sz w:val="24"/>
          <w:szCs w:val="24"/>
        </w:rPr>
        <w:t xml:space="preserve">, som i terapeutiske koncentrationer fortrænger </w:t>
      </w:r>
      <w:proofErr w:type="spellStart"/>
      <w:r w:rsidRPr="00AF3E68">
        <w:rPr>
          <w:sz w:val="24"/>
          <w:szCs w:val="24"/>
        </w:rPr>
        <w:t>methoxsalen</w:t>
      </w:r>
      <w:proofErr w:type="spellEnd"/>
      <w:r w:rsidRPr="00AF3E68">
        <w:rPr>
          <w:sz w:val="24"/>
          <w:szCs w:val="24"/>
        </w:rPr>
        <w:t xml:space="preserve"> fra dets bindingssted i en klinisk relevant udstrækning. Samtidig anvendelse af </w:t>
      </w:r>
      <w:proofErr w:type="spellStart"/>
      <w:r w:rsidRPr="00AF3E68">
        <w:rPr>
          <w:sz w:val="24"/>
          <w:szCs w:val="24"/>
        </w:rPr>
        <w:t>methoxsalen</w:t>
      </w:r>
      <w:proofErr w:type="spellEnd"/>
      <w:r w:rsidRPr="00AF3E68">
        <w:rPr>
          <w:sz w:val="24"/>
          <w:szCs w:val="24"/>
        </w:rPr>
        <w:t xml:space="preserve"> og </w:t>
      </w:r>
      <w:proofErr w:type="spellStart"/>
      <w:r w:rsidRPr="00AF3E68">
        <w:rPr>
          <w:sz w:val="24"/>
          <w:szCs w:val="24"/>
        </w:rPr>
        <w:t>tolbutamid</w:t>
      </w:r>
      <w:proofErr w:type="spellEnd"/>
      <w:r w:rsidRPr="00AF3E68">
        <w:rPr>
          <w:sz w:val="24"/>
          <w:szCs w:val="24"/>
        </w:rPr>
        <w:t xml:space="preserve"> kan derfor føre til øget fotosensibilitet.</w:t>
      </w:r>
    </w:p>
    <w:p w:rsidR="00406000" w:rsidRPr="00AF3E68" w:rsidRDefault="00406000" w:rsidP="00A130FE">
      <w:pPr>
        <w:ind w:left="851" w:hanging="851"/>
        <w:rPr>
          <w:sz w:val="24"/>
          <w:szCs w:val="24"/>
        </w:rPr>
      </w:pPr>
    </w:p>
    <w:p w:rsidR="00406000" w:rsidRPr="00AF3E68" w:rsidRDefault="00406000" w:rsidP="00A130FE">
      <w:pPr>
        <w:ind w:left="851"/>
        <w:rPr>
          <w:sz w:val="24"/>
          <w:szCs w:val="24"/>
        </w:rPr>
      </w:pPr>
      <w:r w:rsidRPr="00AF3E68">
        <w:rPr>
          <w:sz w:val="24"/>
          <w:szCs w:val="24"/>
        </w:rPr>
        <w:t xml:space="preserve">Der skal udvises særlig forsigtighed ved behandling af patienter, som er i samtidig behandling (enten topisk eller systemisk) med kendte fotosensibiliserende midler. Sådanne midler omfatter </w:t>
      </w:r>
      <w:proofErr w:type="spellStart"/>
      <w:r w:rsidRPr="00AF3E68">
        <w:rPr>
          <w:sz w:val="24"/>
          <w:szCs w:val="24"/>
        </w:rPr>
        <w:t>fluoroquinolon</w:t>
      </w:r>
      <w:proofErr w:type="spellEnd"/>
      <w:r w:rsidRPr="00AF3E68">
        <w:rPr>
          <w:sz w:val="24"/>
          <w:szCs w:val="24"/>
        </w:rPr>
        <w:t xml:space="preserve">, </w:t>
      </w:r>
      <w:proofErr w:type="spellStart"/>
      <w:r w:rsidRPr="00AF3E68">
        <w:rPr>
          <w:sz w:val="24"/>
          <w:szCs w:val="24"/>
        </w:rPr>
        <w:t>furosemid</w:t>
      </w:r>
      <w:proofErr w:type="spellEnd"/>
      <w:r w:rsidRPr="00AF3E68">
        <w:rPr>
          <w:sz w:val="24"/>
          <w:szCs w:val="24"/>
        </w:rPr>
        <w:t xml:space="preserve">, </w:t>
      </w:r>
      <w:proofErr w:type="spellStart"/>
      <w:r w:rsidRPr="00AF3E68">
        <w:rPr>
          <w:sz w:val="24"/>
          <w:szCs w:val="24"/>
        </w:rPr>
        <w:t>nalidixinsyre</w:t>
      </w:r>
      <w:proofErr w:type="spellEnd"/>
      <w:r w:rsidRPr="00AF3E68">
        <w:rPr>
          <w:sz w:val="24"/>
          <w:szCs w:val="24"/>
        </w:rPr>
        <w:t xml:space="preserve">, </w:t>
      </w:r>
      <w:proofErr w:type="spellStart"/>
      <w:r w:rsidRPr="00AF3E68">
        <w:rPr>
          <w:sz w:val="24"/>
          <w:szCs w:val="24"/>
        </w:rPr>
        <w:t>phenothiaziner</w:t>
      </w:r>
      <w:proofErr w:type="spellEnd"/>
      <w:r w:rsidRPr="00AF3E68">
        <w:rPr>
          <w:sz w:val="24"/>
          <w:szCs w:val="24"/>
        </w:rPr>
        <w:t xml:space="preserve">, </w:t>
      </w:r>
      <w:proofErr w:type="spellStart"/>
      <w:r w:rsidRPr="00AF3E68">
        <w:rPr>
          <w:sz w:val="24"/>
          <w:szCs w:val="24"/>
        </w:rPr>
        <w:t>retinoirder</w:t>
      </w:r>
      <w:proofErr w:type="spellEnd"/>
      <w:r w:rsidRPr="00AF3E68">
        <w:rPr>
          <w:sz w:val="24"/>
          <w:szCs w:val="24"/>
        </w:rPr>
        <w:t xml:space="preserve">, sulfonamider, </w:t>
      </w:r>
      <w:proofErr w:type="spellStart"/>
      <w:r w:rsidRPr="00AF3E68">
        <w:rPr>
          <w:sz w:val="24"/>
          <w:szCs w:val="24"/>
        </w:rPr>
        <w:t>sulfonylurea</w:t>
      </w:r>
      <w:proofErr w:type="spellEnd"/>
      <w:r w:rsidRPr="00AF3E68">
        <w:rPr>
          <w:sz w:val="24"/>
          <w:szCs w:val="24"/>
        </w:rPr>
        <w:t xml:space="preserve">, </w:t>
      </w:r>
      <w:proofErr w:type="spellStart"/>
      <w:r w:rsidRPr="00AF3E68">
        <w:rPr>
          <w:sz w:val="24"/>
          <w:szCs w:val="24"/>
        </w:rPr>
        <w:t>tetracyclin</w:t>
      </w:r>
      <w:proofErr w:type="spellEnd"/>
      <w:r w:rsidRPr="00AF3E68">
        <w:rPr>
          <w:sz w:val="24"/>
          <w:szCs w:val="24"/>
        </w:rPr>
        <w:t xml:space="preserve"> og </w:t>
      </w:r>
      <w:proofErr w:type="spellStart"/>
      <w:r w:rsidRPr="00AF3E68">
        <w:rPr>
          <w:sz w:val="24"/>
          <w:szCs w:val="24"/>
        </w:rPr>
        <w:t>thiazider</w:t>
      </w:r>
      <w:proofErr w:type="spellEnd"/>
      <w:r w:rsidRPr="00AF3E68">
        <w:rPr>
          <w:sz w:val="24"/>
          <w:szCs w:val="24"/>
        </w:rPr>
        <w:t>.</w:t>
      </w:r>
    </w:p>
    <w:p w:rsidR="00406000" w:rsidRPr="00AF3E68" w:rsidRDefault="00406000" w:rsidP="00A130FE">
      <w:pPr>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4.6</w:t>
      </w:r>
      <w:r w:rsidRPr="00AF3E68">
        <w:rPr>
          <w:b/>
          <w:sz w:val="24"/>
          <w:szCs w:val="24"/>
        </w:rPr>
        <w:tab/>
        <w:t>Fertilitet, graviditet og amning</w:t>
      </w:r>
    </w:p>
    <w:p w:rsidR="009E4C98" w:rsidRPr="00AF3E68" w:rsidRDefault="009E4C98" w:rsidP="009E4C98">
      <w:pPr>
        <w:ind w:left="851"/>
        <w:rPr>
          <w:sz w:val="24"/>
          <w:szCs w:val="24"/>
        </w:rPr>
      </w:pPr>
      <w:r w:rsidRPr="00AF3E68">
        <w:rPr>
          <w:sz w:val="24"/>
          <w:szCs w:val="24"/>
        </w:rPr>
        <w:t xml:space="preserve">Forsigtighedsregler vedrørende antikonception: Både mænd og kvinder, der behandles med </w:t>
      </w:r>
      <w:proofErr w:type="spellStart"/>
      <w:r w:rsidRPr="00AF3E68">
        <w:rPr>
          <w:sz w:val="24"/>
          <w:szCs w:val="24"/>
        </w:rPr>
        <w:t>U</w:t>
      </w:r>
      <w:r w:rsidR="003B5BA2" w:rsidRPr="00AF3E68">
        <w:rPr>
          <w:sz w:val="24"/>
          <w:szCs w:val="24"/>
        </w:rPr>
        <w:t>vadex</w:t>
      </w:r>
      <w:proofErr w:type="spellEnd"/>
      <w:r w:rsidRPr="00AF3E68">
        <w:rPr>
          <w:sz w:val="24"/>
          <w:szCs w:val="24"/>
        </w:rPr>
        <w:t xml:space="preserve">, bør træffe de fornødne foranstaltninger til antikonception både under og efter behandlingen med </w:t>
      </w:r>
      <w:proofErr w:type="spellStart"/>
      <w:r w:rsidRPr="00AF3E68">
        <w:rPr>
          <w:sz w:val="24"/>
          <w:szCs w:val="24"/>
        </w:rPr>
        <w:t>fotoferese</w:t>
      </w:r>
      <w:proofErr w:type="spellEnd"/>
      <w:r w:rsidRPr="00AF3E68">
        <w:rPr>
          <w:sz w:val="24"/>
          <w:szCs w:val="24"/>
        </w:rPr>
        <w:t>.</w:t>
      </w:r>
    </w:p>
    <w:p w:rsidR="009E4C98" w:rsidRPr="00AF3E68" w:rsidRDefault="009E4C98" w:rsidP="009E4C98">
      <w:pPr>
        <w:ind w:left="851"/>
        <w:rPr>
          <w:sz w:val="24"/>
          <w:szCs w:val="24"/>
          <w:u w:val="single"/>
        </w:rPr>
      </w:pPr>
    </w:p>
    <w:p w:rsidR="009E4C98" w:rsidRPr="00AF3E68" w:rsidRDefault="009E4C98" w:rsidP="009E4C98">
      <w:pPr>
        <w:ind w:left="851"/>
        <w:rPr>
          <w:sz w:val="24"/>
          <w:szCs w:val="24"/>
          <w:u w:val="single"/>
        </w:rPr>
      </w:pPr>
      <w:r w:rsidRPr="00AF3E68">
        <w:rPr>
          <w:sz w:val="24"/>
          <w:szCs w:val="24"/>
          <w:u w:val="single"/>
        </w:rPr>
        <w:t>Graviditet</w:t>
      </w:r>
    </w:p>
    <w:p w:rsidR="009E4C98" w:rsidRPr="00AF3E68" w:rsidRDefault="009E4C98" w:rsidP="009E4C98">
      <w:pPr>
        <w:ind w:left="851"/>
        <w:rPr>
          <w:sz w:val="24"/>
          <w:szCs w:val="24"/>
        </w:rPr>
      </w:pPr>
      <w:r w:rsidRPr="00AF3E68">
        <w:rPr>
          <w:sz w:val="24"/>
          <w:szCs w:val="24"/>
        </w:rPr>
        <w:t xml:space="preserve">Selvom der ikke er nogen erfaring med anvendelse af </w:t>
      </w:r>
      <w:proofErr w:type="spellStart"/>
      <w:r w:rsidRPr="00AF3E68">
        <w:rPr>
          <w:sz w:val="24"/>
          <w:szCs w:val="24"/>
        </w:rPr>
        <w:t>U</w:t>
      </w:r>
      <w:r w:rsidR="003B5BA2" w:rsidRPr="00AF3E68">
        <w:rPr>
          <w:sz w:val="24"/>
          <w:szCs w:val="24"/>
        </w:rPr>
        <w:t>vadex</w:t>
      </w:r>
      <w:proofErr w:type="spellEnd"/>
      <w:r w:rsidRPr="00AF3E68">
        <w:rPr>
          <w:sz w:val="24"/>
          <w:szCs w:val="24"/>
        </w:rPr>
        <w:t xml:space="preserve"> under graviditet til mennesker, tyder data fra dyreforsøg på, at </w:t>
      </w:r>
      <w:proofErr w:type="spellStart"/>
      <w:r w:rsidRPr="00AF3E68">
        <w:rPr>
          <w:sz w:val="24"/>
          <w:szCs w:val="24"/>
        </w:rPr>
        <w:t>methoxsalen</w:t>
      </w:r>
      <w:proofErr w:type="spellEnd"/>
      <w:r w:rsidRPr="00AF3E68">
        <w:rPr>
          <w:sz w:val="24"/>
          <w:szCs w:val="24"/>
        </w:rPr>
        <w:t xml:space="preserve"> kan have en skadelig virkning på fosteret, hvis det administreres til en gravid kvinde. </w:t>
      </w:r>
      <w:proofErr w:type="spellStart"/>
      <w:r w:rsidRPr="00AF3E68">
        <w:rPr>
          <w:sz w:val="24"/>
          <w:szCs w:val="24"/>
        </w:rPr>
        <w:t>U</w:t>
      </w:r>
      <w:r w:rsidR="003B5BA2" w:rsidRPr="00AF3E68">
        <w:rPr>
          <w:sz w:val="24"/>
          <w:szCs w:val="24"/>
        </w:rPr>
        <w:t>vadex</w:t>
      </w:r>
      <w:proofErr w:type="spellEnd"/>
      <w:r w:rsidRPr="00AF3E68">
        <w:rPr>
          <w:sz w:val="24"/>
          <w:szCs w:val="24"/>
        </w:rPr>
        <w:t xml:space="preserve"> er derfor kontraindiceret til kvinder, som er gravide eller kan blive gravide (se pkt. 4.3).</w:t>
      </w:r>
    </w:p>
    <w:p w:rsidR="009E4C98" w:rsidRPr="00AF3E68" w:rsidRDefault="009E4C98" w:rsidP="009E4C98">
      <w:pPr>
        <w:ind w:left="851" w:hanging="851"/>
        <w:rPr>
          <w:sz w:val="24"/>
          <w:szCs w:val="24"/>
        </w:rPr>
      </w:pPr>
    </w:p>
    <w:p w:rsidR="009E4C98" w:rsidRPr="00AF3E68" w:rsidRDefault="009E4C98" w:rsidP="009E4C98">
      <w:pPr>
        <w:ind w:left="851"/>
        <w:rPr>
          <w:sz w:val="24"/>
          <w:szCs w:val="24"/>
          <w:u w:val="single"/>
        </w:rPr>
      </w:pPr>
      <w:r w:rsidRPr="00AF3E68">
        <w:rPr>
          <w:sz w:val="24"/>
          <w:szCs w:val="24"/>
          <w:u w:val="single"/>
        </w:rPr>
        <w:t>Amning</w:t>
      </w:r>
    </w:p>
    <w:p w:rsidR="009E4C98" w:rsidRPr="00AF3E68" w:rsidRDefault="009E4C98" w:rsidP="009E4C98">
      <w:pPr>
        <w:ind w:left="851"/>
        <w:rPr>
          <w:sz w:val="24"/>
          <w:szCs w:val="24"/>
        </w:rPr>
      </w:pPr>
      <w:r w:rsidRPr="00AF3E68">
        <w:rPr>
          <w:sz w:val="24"/>
          <w:szCs w:val="24"/>
        </w:rPr>
        <w:t xml:space="preserve">Det vides ikke, om </w:t>
      </w:r>
      <w:proofErr w:type="spellStart"/>
      <w:r w:rsidRPr="00AF3E68">
        <w:rPr>
          <w:sz w:val="24"/>
          <w:szCs w:val="24"/>
        </w:rPr>
        <w:t>methoxsalen</w:t>
      </w:r>
      <w:proofErr w:type="spellEnd"/>
      <w:r w:rsidRPr="00AF3E68">
        <w:rPr>
          <w:sz w:val="24"/>
          <w:szCs w:val="24"/>
        </w:rPr>
        <w:t xml:space="preserve"> udskilles i menneskets modermælk. Derfor, og på grund af de </w:t>
      </w:r>
      <w:proofErr w:type="spellStart"/>
      <w:r w:rsidRPr="00AF3E68">
        <w:rPr>
          <w:sz w:val="24"/>
          <w:szCs w:val="24"/>
        </w:rPr>
        <w:t>farmakodynamiske</w:t>
      </w:r>
      <w:proofErr w:type="spellEnd"/>
      <w:r w:rsidRPr="00AF3E68">
        <w:rPr>
          <w:sz w:val="24"/>
          <w:szCs w:val="24"/>
        </w:rPr>
        <w:t xml:space="preserve"> egenskaber for </w:t>
      </w:r>
      <w:proofErr w:type="spellStart"/>
      <w:r w:rsidRPr="00AF3E68">
        <w:rPr>
          <w:sz w:val="24"/>
          <w:szCs w:val="24"/>
        </w:rPr>
        <w:t>U</w:t>
      </w:r>
      <w:r w:rsidR="003B5BA2" w:rsidRPr="00AF3E68">
        <w:rPr>
          <w:sz w:val="24"/>
          <w:szCs w:val="24"/>
        </w:rPr>
        <w:t>vadex</w:t>
      </w:r>
      <w:proofErr w:type="spellEnd"/>
      <w:r w:rsidRPr="00AF3E68">
        <w:rPr>
          <w:sz w:val="24"/>
          <w:szCs w:val="24"/>
        </w:rPr>
        <w:t>, er amning en kontraindikation.</w:t>
      </w:r>
    </w:p>
    <w:p w:rsidR="009E4C98" w:rsidRPr="00AF3E68" w:rsidRDefault="009E4C98" w:rsidP="009E4C98">
      <w:pPr>
        <w:ind w:left="851" w:hanging="851"/>
        <w:rPr>
          <w:sz w:val="24"/>
          <w:szCs w:val="24"/>
        </w:rPr>
      </w:pPr>
    </w:p>
    <w:p w:rsidR="009E4C98" w:rsidRPr="00AF3E68" w:rsidRDefault="009E4C98" w:rsidP="009E4C98">
      <w:pPr>
        <w:ind w:left="851"/>
        <w:rPr>
          <w:sz w:val="24"/>
          <w:szCs w:val="24"/>
          <w:u w:val="single"/>
        </w:rPr>
      </w:pPr>
      <w:r w:rsidRPr="00AF3E68">
        <w:rPr>
          <w:sz w:val="24"/>
          <w:szCs w:val="24"/>
          <w:u w:val="single"/>
        </w:rPr>
        <w:t>Fertilitet</w:t>
      </w:r>
    </w:p>
    <w:p w:rsidR="009E4C98" w:rsidRPr="00AF3E68" w:rsidRDefault="009E4C98" w:rsidP="009E4C98">
      <w:pPr>
        <w:ind w:left="851"/>
        <w:rPr>
          <w:sz w:val="24"/>
          <w:szCs w:val="24"/>
        </w:rPr>
      </w:pPr>
      <w:r w:rsidRPr="00AF3E68">
        <w:rPr>
          <w:sz w:val="24"/>
          <w:szCs w:val="24"/>
        </w:rPr>
        <w:t xml:space="preserve">Der er ikke blevet foretaget fertilitetsundersøgelser til fastlæggelse af den reproduktive toksicitet forbundet med </w:t>
      </w:r>
      <w:proofErr w:type="spellStart"/>
      <w:r w:rsidRPr="00AF3E68">
        <w:rPr>
          <w:sz w:val="24"/>
          <w:szCs w:val="24"/>
        </w:rPr>
        <w:t>U</w:t>
      </w:r>
      <w:r w:rsidR="003B5BA2" w:rsidRPr="00AF3E68">
        <w:rPr>
          <w:sz w:val="24"/>
          <w:szCs w:val="24"/>
        </w:rPr>
        <w:t>vadex</w:t>
      </w:r>
      <w:proofErr w:type="spellEnd"/>
      <w:r w:rsidRPr="00AF3E68">
        <w:rPr>
          <w:sz w:val="24"/>
          <w:szCs w:val="24"/>
        </w:rPr>
        <w:t xml:space="preserve">. </w:t>
      </w:r>
    </w:p>
    <w:p w:rsidR="00406000" w:rsidRPr="00AF3E68" w:rsidRDefault="00406000" w:rsidP="00406000">
      <w:pPr>
        <w:ind w:left="851" w:hanging="851"/>
        <w:jc w:val="both"/>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4.7</w:t>
      </w:r>
      <w:r w:rsidRPr="00AF3E68">
        <w:rPr>
          <w:b/>
          <w:sz w:val="24"/>
          <w:szCs w:val="24"/>
        </w:rPr>
        <w:tab/>
        <w:t>Virkning på evnen til at føre motorkøretøj og betjene maskiner</w:t>
      </w:r>
    </w:p>
    <w:p w:rsidR="00A130FE" w:rsidRPr="00AF3E68" w:rsidRDefault="00A130FE" w:rsidP="00A130FE">
      <w:pPr>
        <w:ind w:left="851"/>
        <w:rPr>
          <w:sz w:val="24"/>
          <w:szCs w:val="24"/>
        </w:rPr>
      </w:pPr>
      <w:r w:rsidRPr="00AF3E68">
        <w:rPr>
          <w:sz w:val="24"/>
          <w:szCs w:val="24"/>
        </w:rPr>
        <w:t>Mærkning.</w:t>
      </w:r>
    </w:p>
    <w:p w:rsidR="00406000" w:rsidRPr="00AF3E68" w:rsidRDefault="00406000" w:rsidP="00A130FE">
      <w:pPr>
        <w:ind w:left="851"/>
        <w:rPr>
          <w:sz w:val="24"/>
          <w:szCs w:val="24"/>
        </w:rPr>
      </w:pPr>
      <w:r w:rsidRPr="00AF3E68">
        <w:rPr>
          <w:sz w:val="24"/>
          <w:szCs w:val="24"/>
        </w:rPr>
        <w:t xml:space="preserve">På grund af muligheden for forbigående </w:t>
      </w:r>
      <w:proofErr w:type="spellStart"/>
      <w:r w:rsidRPr="00AF3E68">
        <w:rPr>
          <w:sz w:val="24"/>
          <w:szCs w:val="24"/>
        </w:rPr>
        <w:t>kardiovaskulær</w:t>
      </w:r>
      <w:proofErr w:type="spellEnd"/>
      <w:r w:rsidRPr="00AF3E68">
        <w:rPr>
          <w:sz w:val="24"/>
          <w:szCs w:val="24"/>
        </w:rPr>
        <w:t xml:space="preserve"> </w:t>
      </w:r>
      <w:proofErr w:type="spellStart"/>
      <w:r w:rsidRPr="00AF3E68">
        <w:rPr>
          <w:sz w:val="24"/>
          <w:szCs w:val="24"/>
        </w:rPr>
        <w:t>instabilitet</w:t>
      </w:r>
      <w:proofErr w:type="spellEnd"/>
      <w:r w:rsidRPr="00AF3E68">
        <w:rPr>
          <w:sz w:val="24"/>
          <w:szCs w:val="24"/>
        </w:rPr>
        <w:t xml:space="preserve"> og anbefalingen om, at patienterne bruger solbriller efter </w:t>
      </w:r>
      <w:proofErr w:type="spellStart"/>
      <w:r w:rsidRPr="00AF3E68">
        <w:rPr>
          <w:sz w:val="24"/>
          <w:szCs w:val="24"/>
        </w:rPr>
        <w:t>fotoferesebehandling</w:t>
      </w:r>
      <w:proofErr w:type="spellEnd"/>
      <w:r w:rsidRPr="00AF3E68">
        <w:rPr>
          <w:sz w:val="24"/>
          <w:szCs w:val="24"/>
        </w:rPr>
        <w:t xml:space="preserve">, vil behandling med anvendelse af </w:t>
      </w:r>
      <w:proofErr w:type="spellStart"/>
      <w:r w:rsidRPr="00AF3E68">
        <w:rPr>
          <w:sz w:val="24"/>
          <w:szCs w:val="24"/>
        </w:rPr>
        <w:t>Uvadex</w:t>
      </w:r>
      <w:proofErr w:type="spellEnd"/>
      <w:r w:rsidRPr="00AF3E68">
        <w:rPr>
          <w:sz w:val="24"/>
          <w:szCs w:val="24"/>
        </w:rPr>
        <w:t xml:space="preserve"> sandsynligvis forårsage mindre eller moderate bivirkninger, og patienterne bør ikke føre bil eller betjene maskiner efter behandlingen med </w:t>
      </w:r>
      <w:proofErr w:type="spellStart"/>
      <w:r w:rsidRPr="00AF3E68">
        <w:rPr>
          <w:sz w:val="24"/>
          <w:szCs w:val="24"/>
        </w:rPr>
        <w:t>fotoferese</w:t>
      </w:r>
      <w:proofErr w:type="spellEnd"/>
      <w:r w:rsidRPr="00AF3E68">
        <w:rPr>
          <w:sz w:val="24"/>
          <w:szCs w:val="24"/>
        </w:rPr>
        <w:t>.</w:t>
      </w:r>
    </w:p>
    <w:p w:rsidR="00406000" w:rsidRPr="00AF3E68" w:rsidRDefault="00406000" w:rsidP="00406000">
      <w:pPr>
        <w:ind w:left="851" w:hanging="851"/>
        <w:jc w:val="both"/>
        <w:outlineLvl w:val="0"/>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4.8</w:t>
      </w:r>
      <w:r w:rsidRPr="00AF3E68">
        <w:rPr>
          <w:b/>
          <w:sz w:val="24"/>
          <w:szCs w:val="24"/>
        </w:rPr>
        <w:tab/>
        <w:t>Bivirkninger</w:t>
      </w:r>
    </w:p>
    <w:p w:rsidR="00406000" w:rsidRPr="00AF3E68" w:rsidRDefault="00406000" w:rsidP="00A130FE">
      <w:pPr>
        <w:ind w:left="851"/>
        <w:rPr>
          <w:sz w:val="24"/>
          <w:szCs w:val="24"/>
        </w:rPr>
      </w:pPr>
      <w:r w:rsidRPr="00AF3E68">
        <w:rPr>
          <w:sz w:val="24"/>
          <w:szCs w:val="24"/>
        </w:rPr>
        <w:t xml:space="preserve">I den kliniske undersøgelse af </w:t>
      </w:r>
      <w:proofErr w:type="spellStart"/>
      <w:r w:rsidRPr="00AF3E68">
        <w:rPr>
          <w:sz w:val="24"/>
          <w:szCs w:val="24"/>
        </w:rPr>
        <w:t>fotoferese</w:t>
      </w:r>
      <w:proofErr w:type="spellEnd"/>
      <w:r w:rsidRPr="00AF3E68">
        <w:rPr>
          <w:sz w:val="24"/>
          <w:szCs w:val="24"/>
        </w:rPr>
        <w:t>/</w:t>
      </w:r>
      <w:proofErr w:type="spellStart"/>
      <w:r w:rsidRPr="00AF3E68">
        <w:rPr>
          <w:sz w:val="24"/>
          <w:szCs w:val="24"/>
        </w:rPr>
        <w:t>Uvadex</w:t>
      </w:r>
      <w:proofErr w:type="spellEnd"/>
      <w:r w:rsidRPr="00AF3E68">
        <w:rPr>
          <w:sz w:val="24"/>
          <w:szCs w:val="24"/>
        </w:rPr>
        <w:t xml:space="preserve"> (CTCL 3) var bivirkningerne normalt milde og forbigående og i de fleste tilfælde forbundet med den tilgrundliggende patologi. </w:t>
      </w:r>
      <w:proofErr w:type="spellStart"/>
      <w:r w:rsidRPr="00AF3E68">
        <w:rPr>
          <w:sz w:val="24"/>
          <w:szCs w:val="24"/>
        </w:rPr>
        <w:t>Nausea</w:t>
      </w:r>
      <w:proofErr w:type="spellEnd"/>
      <w:r w:rsidRPr="00AF3E68">
        <w:rPr>
          <w:sz w:val="24"/>
          <w:szCs w:val="24"/>
        </w:rPr>
        <w:t xml:space="preserve"> og opkastninger (almindeligvis forbundet med </w:t>
      </w:r>
      <w:proofErr w:type="spellStart"/>
      <w:r w:rsidRPr="00AF3E68">
        <w:rPr>
          <w:sz w:val="24"/>
          <w:szCs w:val="24"/>
        </w:rPr>
        <w:t>methoxsalen</w:t>
      </w:r>
      <w:proofErr w:type="spellEnd"/>
      <w:r w:rsidRPr="00AF3E68">
        <w:rPr>
          <w:sz w:val="24"/>
          <w:szCs w:val="24"/>
        </w:rPr>
        <w:t xml:space="preserve">, der administreres oralt) blev kun indberettet én gang for to patienter i undersøgelsen, hvilket repræsenterer en </w:t>
      </w:r>
      <w:proofErr w:type="spellStart"/>
      <w:r w:rsidRPr="00AF3E68">
        <w:rPr>
          <w:sz w:val="24"/>
          <w:szCs w:val="24"/>
        </w:rPr>
        <w:t>incidens</w:t>
      </w:r>
      <w:proofErr w:type="spellEnd"/>
      <w:r w:rsidRPr="00AF3E68">
        <w:rPr>
          <w:sz w:val="24"/>
          <w:szCs w:val="24"/>
        </w:rPr>
        <w:t xml:space="preserve"> på 3,9 %.</w:t>
      </w:r>
    </w:p>
    <w:p w:rsidR="00406000" w:rsidRPr="00AF3E68" w:rsidRDefault="00406000" w:rsidP="00406000">
      <w:pPr>
        <w:ind w:left="851" w:hanging="851"/>
        <w:jc w:val="both"/>
        <w:rPr>
          <w:sz w:val="24"/>
          <w:szCs w:val="24"/>
        </w:rPr>
      </w:pPr>
    </w:p>
    <w:p w:rsidR="00406000" w:rsidRPr="00AF3E68" w:rsidRDefault="00406000" w:rsidP="00406000">
      <w:pPr>
        <w:ind w:left="851"/>
        <w:jc w:val="both"/>
        <w:rPr>
          <w:sz w:val="24"/>
          <w:szCs w:val="24"/>
        </w:rPr>
      </w:pPr>
      <w:r w:rsidRPr="00AF3E68">
        <w:rPr>
          <w:sz w:val="24"/>
          <w:szCs w:val="24"/>
        </w:rPr>
        <w:t xml:space="preserve">Bivirkninger forbundet med den </w:t>
      </w:r>
      <w:proofErr w:type="spellStart"/>
      <w:r w:rsidRPr="00AF3E68">
        <w:rPr>
          <w:sz w:val="24"/>
          <w:szCs w:val="24"/>
        </w:rPr>
        <w:t>fotofereseprocedure</w:t>
      </w:r>
      <w:proofErr w:type="spellEnd"/>
      <w:r w:rsidRPr="00AF3E68">
        <w:rPr>
          <w:sz w:val="24"/>
          <w:szCs w:val="24"/>
        </w:rPr>
        <w:t>, der blev anvendt ved behandlingen af CTCL var som angivet herunder.</w:t>
      </w:r>
    </w:p>
    <w:p w:rsidR="00406000" w:rsidRPr="00AF3E68" w:rsidRDefault="00406000" w:rsidP="00F138F0">
      <w:pPr>
        <w:ind w:left="851" w:hanging="851"/>
        <w:rPr>
          <w:iCs/>
          <w:sz w:val="24"/>
          <w:szCs w:val="24"/>
        </w:rPr>
      </w:pP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1528"/>
        <w:gridCol w:w="1780"/>
        <w:gridCol w:w="1382"/>
        <w:gridCol w:w="1807"/>
      </w:tblGrid>
      <w:tr w:rsidR="00406000" w:rsidRPr="00AF3E68" w:rsidTr="00AC3BC9">
        <w:tc>
          <w:tcPr>
            <w:tcW w:w="2008" w:type="dxa"/>
            <w:tcBorders>
              <w:top w:val="single" w:sz="4" w:space="0" w:color="auto"/>
              <w:left w:val="single" w:sz="4" w:space="0" w:color="auto"/>
              <w:bottom w:val="nil"/>
              <w:right w:val="single" w:sz="4" w:space="0" w:color="auto"/>
            </w:tcBorders>
          </w:tcPr>
          <w:p w:rsidR="00406000" w:rsidRPr="00AF3E68" w:rsidRDefault="00406000" w:rsidP="00A130FE">
            <w:pPr>
              <w:rPr>
                <w:sz w:val="22"/>
                <w:szCs w:val="22"/>
              </w:rPr>
            </w:pPr>
          </w:p>
        </w:tc>
        <w:tc>
          <w:tcPr>
            <w:tcW w:w="3308" w:type="dxa"/>
            <w:gridSpan w:val="2"/>
            <w:tcBorders>
              <w:top w:val="single" w:sz="4" w:space="0" w:color="auto"/>
              <w:left w:val="single" w:sz="4" w:space="0" w:color="auto"/>
              <w:bottom w:val="nil"/>
              <w:right w:val="single" w:sz="4" w:space="0" w:color="auto"/>
            </w:tcBorders>
          </w:tcPr>
          <w:p w:rsidR="00406000" w:rsidRPr="00AF3E68" w:rsidRDefault="00406000" w:rsidP="00A130FE">
            <w:pPr>
              <w:rPr>
                <w:b/>
                <w:bCs/>
                <w:sz w:val="22"/>
                <w:szCs w:val="22"/>
              </w:rPr>
            </w:pPr>
            <w:r w:rsidRPr="00AF3E68">
              <w:rPr>
                <w:b/>
                <w:bCs/>
                <w:sz w:val="22"/>
                <w:szCs w:val="22"/>
              </w:rPr>
              <w:t>CTCL 3</w:t>
            </w:r>
          </w:p>
          <w:p w:rsidR="00406000" w:rsidRPr="00AF3E68" w:rsidRDefault="00406000" w:rsidP="00A130FE">
            <w:pPr>
              <w:rPr>
                <w:sz w:val="22"/>
                <w:szCs w:val="22"/>
              </w:rPr>
            </w:pPr>
            <w:proofErr w:type="spellStart"/>
            <w:r w:rsidRPr="00AF3E68">
              <w:rPr>
                <w:b/>
                <w:bCs/>
                <w:sz w:val="22"/>
                <w:szCs w:val="22"/>
              </w:rPr>
              <w:t>Uvadex</w:t>
            </w:r>
            <w:proofErr w:type="spellEnd"/>
          </w:p>
        </w:tc>
        <w:tc>
          <w:tcPr>
            <w:tcW w:w="3189" w:type="dxa"/>
            <w:gridSpan w:val="2"/>
            <w:tcBorders>
              <w:top w:val="single" w:sz="4" w:space="0" w:color="auto"/>
              <w:left w:val="single" w:sz="4" w:space="0" w:color="auto"/>
              <w:bottom w:val="nil"/>
              <w:right w:val="single" w:sz="4" w:space="0" w:color="auto"/>
            </w:tcBorders>
          </w:tcPr>
          <w:p w:rsidR="00406000" w:rsidRPr="00AF3E68" w:rsidRDefault="00406000" w:rsidP="00A130FE">
            <w:pPr>
              <w:rPr>
                <w:b/>
                <w:bCs/>
                <w:sz w:val="22"/>
                <w:szCs w:val="22"/>
              </w:rPr>
            </w:pPr>
            <w:r w:rsidRPr="00AF3E68">
              <w:rPr>
                <w:b/>
                <w:bCs/>
                <w:sz w:val="22"/>
                <w:szCs w:val="22"/>
              </w:rPr>
              <w:t>CTCL 1 &amp; 2</w:t>
            </w:r>
          </w:p>
          <w:p w:rsidR="00406000" w:rsidRPr="00AF3E68" w:rsidRDefault="00406000" w:rsidP="00A130FE">
            <w:pPr>
              <w:rPr>
                <w:sz w:val="22"/>
                <w:szCs w:val="22"/>
              </w:rPr>
            </w:pPr>
            <w:r w:rsidRPr="00AF3E68">
              <w:rPr>
                <w:b/>
                <w:bCs/>
                <w:sz w:val="22"/>
                <w:szCs w:val="22"/>
              </w:rPr>
              <w:t xml:space="preserve">Oral </w:t>
            </w:r>
            <w:proofErr w:type="spellStart"/>
            <w:r w:rsidRPr="00AF3E68">
              <w:rPr>
                <w:b/>
                <w:bCs/>
                <w:sz w:val="22"/>
                <w:szCs w:val="22"/>
              </w:rPr>
              <w:t>methoxsalen</w:t>
            </w:r>
            <w:proofErr w:type="spellEnd"/>
          </w:p>
        </w:tc>
      </w:tr>
      <w:tr w:rsidR="00406000" w:rsidRPr="00AF3E68" w:rsidTr="00AC3BC9">
        <w:tc>
          <w:tcPr>
            <w:tcW w:w="2008" w:type="dxa"/>
            <w:tcBorders>
              <w:top w:val="nil"/>
              <w:left w:val="single" w:sz="4" w:space="0" w:color="auto"/>
              <w:bottom w:val="nil"/>
              <w:right w:val="single" w:sz="4" w:space="0" w:color="auto"/>
            </w:tcBorders>
          </w:tcPr>
          <w:p w:rsidR="00406000" w:rsidRPr="00AF3E68" w:rsidRDefault="00406000" w:rsidP="00A130FE">
            <w:pPr>
              <w:rPr>
                <w:sz w:val="22"/>
                <w:szCs w:val="22"/>
              </w:rPr>
            </w:pPr>
          </w:p>
        </w:tc>
        <w:tc>
          <w:tcPr>
            <w:tcW w:w="1528" w:type="dxa"/>
            <w:tcBorders>
              <w:top w:val="single" w:sz="4" w:space="0" w:color="auto"/>
              <w:left w:val="single" w:sz="4" w:space="0" w:color="auto"/>
              <w:bottom w:val="nil"/>
              <w:right w:val="single" w:sz="4" w:space="0" w:color="auto"/>
            </w:tcBorders>
          </w:tcPr>
          <w:p w:rsidR="00406000" w:rsidRPr="00AF3E68" w:rsidRDefault="00406000" w:rsidP="00A130FE">
            <w:pPr>
              <w:rPr>
                <w:b/>
                <w:bCs/>
                <w:sz w:val="22"/>
                <w:szCs w:val="22"/>
              </w:rPr>
            </w:pPr>
            <w:r w:rsidRPr="00AF3E68">
              <w:rPr>
                <w:b/>
                <w:bCs/>
                <w:sz w:val="22"/>
                <w:szCs w:val="22"/>
              </w:rPr>
              <w:t xml:space="preserve">Antal patienter </w:t>
            </w:r>
          </w:p>
          <w:p w:rsidR="00406000" w:rsidRPr="00AF3E68" w:rsidRDefault="00406000" w:rsidP="00A130FE">
            <w:pPr>
              <w:rPr>
                <w:b/>
                <w:bCs/>
                <w:sz w:val="22"/>
                <w:szCs w:val="22"/>
              </w:rPr>
            </w:pPr>
            <w:r w:rsidRPr="00AF3E68">
              <w:rPr>
                <w:b/>
                <w:bCs/>
                <w:sz w:val="22"/>
                <w:szCs w:val="22"/>
              </w:rPr>
              <w:t>(%)</w:t>
            </w:r>
          </w:p>
          <w:p w:rsidR="00406000" w:rsidRPr="00AF3E68" w:rsidRDefault="00406000" w:rsidP="00A130FE">
            <w:pPr>
              <w:rPr>
                <w:b/>
                <w:bCs/>
                <w:sz w:val="22"/>
                <w:szCs w:val="22"/>
              </w:rPr>
            </w:pPr>
          </w:p>
          <w:p w:rsidR="00406000" w:rsidRPr="00AF3E68" w:rsidRDefault="00406000" w:rsidP="00A130FE">
            <w:pPr>
              <w:rPr>
                <w:b/>
                <w:bCs/>
                <w:sz w:val="22"/>
                <w:szCs w:val="22"/>
              </w:rPr>
            </w:pPr>
          </w:p>
          <w:p w:rsidR="00406000" w:rsidRPr="00AF3E68" w:rsidRDefault="00406000" w:rsidP="00A130FE">
            <w:pPr>
              <w:rPr>
                <w:sz w:val="22"/>
                <w:szCs w:val="22"/>
              </w:rPr>
            </w:pPr>
            <w:r w:rsidRPr="00AF3E68">
              <w:rPr>
                <w:b/>
                <w:bCs/>
                <w:sz w:val="22"/>
                <w:szCs w:val="22"/>
              </w:rPr>
              <w:t>N=51</w:t>
            </w:r>
          </w:p>
        </w:tc>
        <w:tc>
          <w:tcPr>
            <w:tcW w:w="1780" w:type="dxa"/>
            <w:tcBorders>
              <w:top w:val="single" w:sz="4" w:space="0" w:color="auto"/>
              <w:left w:val="single" w:sz="4" w:space="0" w:color="auto"/>
              <w:bottom w:val="nil"/>
              <w:right w:val="single" w:sz="4" w:space="0" w:color="auto"/>
            </w:tcBorders>
          </w:tcPr>
          <w:p w:rsidR="00406000" w:rsidRPr="00AF3E68" w:rsidRDefault="00406000" w:rsidP="00A130FE">
            <w:pPr>
              <w:rPr>
                <w:b/>
                <w:bCs/>
                <w:sz w:val="22"/>
                <w:szCs w:val="22"/>
              </w:rPr>
            </w:pPr>
            <w:r w:rsidRPr="00AF3E68">
              <w:rPr>
                <w:b/>
                <w:bCs/>
                <w:sz w:val="22"/>
                <w:szCs w:val="22"/>
              </w:rPr>
              <w:t>Antal i alt efter behandlinger</w:t>
            </w:r>
          </w:p>
          <w:p w:rsidR="00406000" w:rsidRPr="00AF3E68" w:rsidRDefault="00406000" w:rsidP="00A130FE">
            <w:pPr>
              <w:rPr>
                <w:b/>
                <w:bCs/>
                <w:sz w:val="22"/>
                <w:szCs w:val="22"/>
              </w:rPr>
            </w:pPr>
          </w:p>
          <w:p w:rsidR="00406000" w:rsidRPr="00AF3E68" w:rsidRDefault="00406000" w:rsidP="00A130FE">
            <w:pPr>
              <w:rPr>
                <w:b/>
                <w:sz w:val="22"/>
                <w:szCs w:val="22"/>
              </w:rPr>
            </w:pPr>
            <w:r w:rsidRPr="00AF3E68">
              <w:rPr>
                <w:b/>
                <w:sz w:val="22"/>
                <w:szCs w:val="22"/>
              </w:rPr>
              <w:t>Antal behandlinger =</w:t>
            </w:r>
          </w:p>
          <w:p w:rsidR="00406000" w:rsidRPr="00AF3E68" w:rsidRDefault="00406000" w:rsidP="00A130FE">
            <w:pPr>
              <w:rPr>
                <w:b/>
                <w:bCs/>
                <w:sz w:val="22"/>
                <w:szCs w:val="22"/>
              </w:rPr>
            </w:pPr>
            <w:r w:rsidRPr="00AF3E68">
              <w:rPr>
                <w:b/>
                <w:bCs/>
                <w:sz w:val="22"/>
                <w:szCs w:val="22"/>
              </w:rPr>
              <w:t>1 032</w:t>
            </w:r>
          </w:p>
        </w:tc>
        <w:tc>
          <w:tcPr>
            <w:tcW w:w="1382" w:type="dxa"/>
            <w:tcBorders>
              <w:top w:val="single" w:sz="4" w:space="0" w:color="auto"/>
              <w:left w:val="single" w:sz="4" w:space="0" w:color="auto"/>
              <w:bottom w:val="nil"/>
              <w:right w:val="single" w:sz="4" w:space="0" w:color="auto"/>
            </w:tcBorders>
          </w:tcPr>
          <w:p w:rsidR="00406000" w:rsidRPr="00AF3E68" w:rsidRDefault="00406000" w:rsidP="00A130FE">
            <w:pPr>
              <w:rPr>
                <w:b/>
                <w:bCs/>
                <w:sz w:val="22"/>
                <w:szCs w:val="22"/>
              </w:rPr>
            </w:pPr>
            <w:r w:rsidRPr="00AF3E68">
              <w:rPr>
                <w:b/>
                <w:bCs/>
                <w:sz w:val="22"/>
                <w:szCs w:val="22"/>
              </w:rPr>
              <w:t>Antal patienter (%)</w:t>
            </w:r>
          </w:p>
          <w:p w:rsidR="00406000" w:rsidRPr="00AF3E68" w:rsidRDefault="00406000" w:rsidP="00A130FE">
            <w:pPr>
              <w:rPr>
                <w:b/>
                <w:bCs/>
                <w:sz w:val="22"/>
                <w:szCs w:val="22"/>
              </w:rPr>
            </w:pPr>
          </w:p>
          <w:p w:rsidR="00406000" w:rsidRPr="00AF3E68" w:rsidRDefault="00406000" w:rsidP="00A130FE">
            <w:pPr>
              <w:rPr>
                <w:b/>
                <w:bCs/>
                <w:sz w:val="22"/>
                <w:szCs w:val="22"/>
              </w:rPr>
            </w:pPr>
          </w:p>
          <w:p w:rsidR="00406000" w:rsidRPr="00AF3E68" w:rsidRDefault="00406000" w:rsidP="00A130FE">
            <w:pPr>
              <w:rPr>
                <w:sz w:val="22"/>
                <w:szCs w:val="22"/>
              </w:rPr>
            </w:pPr>
            <w:r w:rsidRPr="00AF3E68">
              <w:rPr>
                <w:b/>
                <w:bCs/>
                <w:sz w:val="22"/>
                <w:szCs w:val="22"/>
              </w:rPr>
              <w:t>N=96</w:t>
            </w:r>
          </w:p>
        </w:tc>
        <w:tc>
          <w:tcPr>
            <w:tcW w:w="1807" w:type="dxa"/>
            <w:tcBorders>
              <w:top w:val="single" w:sz="4" w:space="0" w:color="auto"/>
              <w:left w:val="single" w:sz="4" w:space="0" w:color="auto"/>
              <w:bottom w:val="nil"/>
              <w:right w:val="single" w:sz="4" w:space="0" w:color="auto"/>
            </w:tcBorders>
          </w:tcPr>
          <w:p w:rsidR="00406000" w:rsidRPr="00AF3E68" w:rsidRDefault="00406000" w:rsidP="00A130FE">
            <w:pPr>
              <w:rPr>
                <w:b/>
                <w:bCs/>
                <w:sz w:val="22"/>
                <w:szCs w:val="22"/>
              </w:rPr>
            </w:pPr>
            <w:r w:rsidRPr="00AF3E68">
              <w:rPr>
                <w:b/>
                <w:bCs/>
                <w:sz w:val="22"/>
                <w:szCs w:val="22"/>
              </w:rPr>
              <w:t>Antal i alt efter behandlinger</w:t>
            </w:r>
          </w:p>
          <w:p w:rsidR="00B46EE9" w:rsidRPr="00AF3E68" w:rsidRDefault="00B46EE9" w:rsidP="00A130FE">
            <w:pPr>
              <w:rPr>
                <w:b/>
                <w:bCs/>
                <w:sz w:val="22"/>
                <w:szCs w:val="22"/>
              </w:rPr>
            </w:pPr>
          </w:p>
          <w:p w:rsidR="00406000" w:rsidRPr="00AF3E68" w:rsidRDefault="00406000" w:rsidP="00A130FE">
            <w:pPr>
              <w:rPr>
                <w:b/>
                <w:bCs/>
                <w:sz w:val="22"/>
                <w:szCs w:val="22"/>
              </w:rPr>
            </w:pPr>
            <w:r w:rsidRPr="00AF3E68">
              <w:rPr>
                <w:b/>
                <w:bCs/>
                <w:sz w:val="22"/>
                <w:szCs w:val="22"/>
              </w:rPr>
              <w:t>Antal behandlinger =</w:t>
            </w:r>
          </w:p>
          <w:p w:rsidR="00406000" w:rsidRPr="00AF3E68" w:rsidRDefault="00406000" w:rsidP="00A130FE">
            <w:pPr>
              <w:rPr>
                <w:b/>
                <w:bCs/>
                <w:sz w:val="22"/>
                <w:szCs w:val="22"/>
              </w:rPr>
            </w:pPr>
            <w:r w:rsidRPr="00AF3E68">
              <w:rPr>
                <w:b/>
                <w:bCs/>
                <w:sz w:val="22"/>
                <w:szCs w:val="22"/>
              </w:rPr>
              <w:t>4 319</w:t>
            </w:r>
          </w:p>
        </w:tc>
      </w:tr>
      <w:tr w:rsidR="00406000" w:rsidRPr="00AF3E68" w:rsidTr="00AC3BC9">
        <w:tc>
          <w:tcPr>
            <w:tcW w:w="2008" w:type="dxa"/>
            <w:tcBorders>
              <w:top w:val="doub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Hypotension</w:t>
            </w:r>
          </w:p>
        </w:tc>
        <w:tc>
          <w:tcPr>
            <w:tcW w:w="1528" w:type="dxa"/>
            <w:tcBorders>
              <w:top w:val="doub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0</w:t>
            </w:r>
          </w:p>
        </w:tc>
        <w:tc>
          <w:tcPr>
            <w:tcW w:w="1780" w:type="dxa"/>
            <w:tcBorders>
              <w:top w:val="doub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0</w:t>
            </w:r>
          </w:p>
        </w:tc>
        <w:tc>
          <w:tcPr>
            <w:tcW w:w="1382" w:type="dxa"/>
            <w:tcBorders>
              <w:top w:val="doub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7 (7,3)</w:t>
            </w:r>
          </w:p>
        </w:tc>
        <w:tc>
          <w:tcPr>
            <w:tcW w:w="1807" w:type="dxa"/>
            <w:tcBorders>
              <w:top w:val="doub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7 (&lt; 0,2)</w:t>
            </w:r>
          </w:p>
        </w:tc>
      </w:tr>
      <w:tr w:rsidR="00406000" w:rsidRPr="00AF3E68" w:rsidTr="00AC3BC9">
        <w:tc>
          <w:tcPr>
            <w:tcW w:w="2008"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 xml:space="preserve">Forbigående feber </w:t>
            </w:r>
          </w:p>
          <w:p w:rsidR="00406000" w:rsidRPr="00AF3E68" w:rsidRDefault="00406000" w:rsidP="00A130FE">
            <w:pPr>
              <w:rPr>
                <w:sz w:val="22"/>
                <w:szCs w:val="22"/>
              </w:rPr>
            </w:pPr>
            <w:r w:rsidRPr="00AF3E68">
              <w:rPr>
                <w:sz w:val="22"/>
                <w:szCs w:val="22"/>
              </w:rPr>
              <w:t xml:space="preserve">6-8 timer efter </w:t>
            </w:r>
            <w:proofErr w:type="spellStart"/>
            <w:r w:rsidRPr="00AF3E68">
              <w:rPr>
                <w:sz w:val="22"/>
                <w:szCs w:val="22"/>
              </w:rPr>
              <w:t>reinfusion</w:t>
            </w:r>
            <w:proofErr w:type="spellEnd"/>
            <w:r w:rsidRPr="00AF3E68">
              <w:rPr>
                <w:sz w:val="22"/>
                <w:szCs w:val="22"/>
              </w:rPr>
              <w:t xml:space="preserve"> af fotoaktiverede celler</w:t>
            </w:r>
          </w:p>
        </w:tc>
        <w:tc>
          <w:tcPr>
            <w:tcW w:w="1528"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0</w:t>
            </w:r>
          </w:p>
        </w:tc>
        <w:tc>
          <w:tcPr>
            <w:tcW w:w="1780"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0</w:t>
            </w:r>
          </w:p>
        </w:tc>
        <w:tc>
          <w:tcPr>
            <w:tcW w:w="1382"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8 (8,3)</w:t>
            </w:r>
          </w:p>
        </w:tc>
        <w:tc>
          <w:tcPr>
            <w:tcW w:w="1807"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17 (&lt; 0,4)</w:t>
            </w:r>
          </w:p>
        </w:tc>
      </w:tr>
      <w:tr w:rsidR="00406000" w:rsidRPr="00AF3E68" w:rsidTr="00AC3BC9">
        <w:tc>
          <w:tcPr>
            <w:tcW w:w="2008"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 xml:space="preserve">Komplikation ved venøs adgang </w:t>
            </w:r>
          </w:p>
        </w:tc>
        <w:tc>
          <w:tcPr>
            <w:tcW w:w="1528"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9 (17,6)</w:t>
            </w:r>
          </w:p>
        </w:tc>
        <w:tc>
          <w:tcPr>
            <w:tcW w:w="1780"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10 (&lt; 0,1)</w:t>
            </w:r>
          </w:p>
        </w:tc>
        <w:tc>
          <w:tcPr>
            <w:tcW w:w="1382"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0</w:t>
            </w:r>
          </w:p>
        </w:tc>
        <w:tc>
          <w:tcPr>
            <w:tcW w:w="1807"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0</w:t>
            </w:r>
          </w:p>
        </w:tc>
      </w:tr>
      <w:tr w:rsidR="00406000" w:rsidRPr="00AF3E68" w:rsidTr="00AC3BC9">
        <w:tc>
          <w:tcPr>
            <w:tcW w:w="2008"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Infektion</w:t>
            </w:r>
          </w:p>
        </w:tc>
        <w:tc>
          <w:tcPr>
            <w:tcW w:w="1528"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1 (2,0)</w:t>
            </w:r>
          </w:p>
        </w:tc>
        <w:tc>
          <w:tcPr>
            <w:tcW w:w="1780"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1 (&lt; 0,1)</w:t>
            </w:r>
          </w:p>
        </w:tc>
        <w:tc>
          <w:tcPr>
            <w:tcW w:w="1382"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5 (5,2)</w:t>
            </w:r>
          </w:p>
        </w:tc>
        <w:tc>
          <w:tcPr>
            <w:tcW w:w="1807" w:type="dxa"/>
            <w:tcBorders>
              <w:top w:val="single" w:sz="4" w:space="0" w:color="auto"/>
              <w:left w:val="single" w:sz="4" w:space="0" w:color="auto"/>
              <w:bottom w:val="single" w:sz="4" w:space="0" w:color="auto"/>
              <w:right w:val="single" w:sz="4" w:space="0" w:color="auto"/>
            </w:tcBorders>
          </w:tcPr>
          <w:p w:rsidR="00406000" w:rsidRPr="00AF3E68" w:rsidRDefault="00406000" w:rsidP="00A130FE">
            <w:pPr>
              <w:rPr>
                <w:sz w:val="22"/>
                <w:szCs w:val="22"/>
              </w:rPr>
            </w:pPr>
            <w:r w:rsidRPr="00AF3E68">
              <w:rPr>
                <w:sz w:val="22"/>
                <w:szCs w:val="22"/>
              </w:rPr>
              <w:t>5 (&lt; 0,2)</w:t>
            </w:r>
          </w:p>
        </w:tc>
      </w:tr>
    </w:tbl>
    <w:p w:rsidR="00406000" w:rsidRPr="00AF3E68" w:rsidRDefault="00406000" w:rsidP="00406000">
      <w:pPr>
        <w:ind w:left="851" w:hanging="851"/>
        <w:jc w:val="both"/>
        <w:rPr>
          <w:sz w:val="24"/>
          <w:szCs w:val="24"/>
        </w:rPr>
      </w:pPr>
    </w:p>
    <w:p w:rsidR="00406000" w:rsidRPr="00AF3E68" w:rsidRDefault="00406000" w:rsidP="00406000">
      <w:pPr>
        <w:ind w:left="851"/>
        <w:jc w:val="both"/>
        <w:rPr>
          <w:iCs/>
          <w:sz w:val="24"/>
          <w:szCs w:val="24"/>
        </w:rPr>
      </w:pPr>
      <w:r w:rsidRPr="00AF3E68">
        <w:rPr>
          <w:iCs/>
          <w:sz w:val="24"/>
          <w:szCs w:val="24"/>
        </w:rPr>
        <w:t xml:space="preserve">Bivirkninger forbundet med </w:t>
      </w:r>
      <w:proofErr w:type="spellStart"/>
      <w:r w:rsidRPr="00AF3E68">
        <w:rPr>
          <w:iCs/>
          <w:sz w:val="24"/>
          <w:szCs w:val="24"/>
        </w:rPr>
        <w:t>fotofereseproceduren</w:t>
      </w:r>
      <w:proofErr w:type="spellEnd"/>
      <w:r w:rsidRPr="00AF3E68">
        <w:rPr>
          <w:iCs/>
          <w:sz w:val="24"/>
          <w:szCs w:val="24"/>
        </w:rPr>
        <w:t xml:space="preserve"> fra klinisk erfaring (kliniske forsøg) med </w:t>
      </w:r>
      <w:proofErr w:type="spellStart"/>
      <w:r w:rsidRPr="00AF3E68">
        <w:rPr>
          <w:iCs/>
          <w:sz w:val="24"/>
          <w:szCs w:val="24"/>
        </w:rPr>
        <w:t>Uvadex</w:t>
      </w:r>
      <w:proofErr w:type="spellEnd"/>
      <w:r w:rsidRPr="00AF3E68">
        <w:rPr>
          <w:iCs/>
          <w:sz w:val="24"/>
          <w:szCs w:val="24"/>
        </w:rPr>
        <w:t xml:space="preserve"> til andre indikationer vises herunder.</w:t>
      </w:r>
    </w:p>
    <w:p w:rsidR="00406000" w:rsidRPr="00AF3E68" w:rsidRDefault="00406000" w:rsidP="00406000">
      <w:pPr>
        <w:ind w:left="851" w:hanging="851"/>
        <w:jc w:val="both"/>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2693"/>
        <w:gridCol w:w="2693"/>
      </w:tblGrid>
      <w:tr w:rsidR="00406000" w:rsidRPr="00AF3E68" w:rsidTr="0063332C">
        <w:trPr>
          <w:cantSplit/>
        </w:trPr>
        <w:tc>
          <w:tcPr>
            <w:tcW w:w="3118" w:type="dxa"/>
            <w:tcBorders>
              <w:bottom w:val="nil"/>
            </w:tcBorders>
          </w:tcPr>
          <w:p w:rsidR="00406000" w:rsidRPr="00AF3E68" w:rsidRDefault="00406000" w:rsidP="00B46EE9">
            <w:pPr>
              <w:rPr>
                <w:b/>
                <w:sz w:val="24"/>
                <w:szCs w:val="24"/>
              </w:rPr>
            </w:pPr>
            <w:r w:rsidRPr="00AF3E68">
              <w:rPr>
                <w:b/>
                <w:sz w:val="24"/>
                <w:szCs w:val="24"/>
              </w:rPr>
              <w:t>Hændelse</w:t>
            </w:r>
          </w:p>
        </w:tc>
        <w:tc>
          <w:tcPr>
            <w:tcW w:w="5386" w:type="dxa"/>
            <w:gridSpan w:val="2"/>
            <w:tcBorders>
              <w:bottom w:val="nil"/>
            </w:tcBorders>
          </w:tcPr>
          <w:p w:rsidR="00406000" w:rsidRPr="00AF3E68" w:rsidRDefault="00406000" w:rsidP="00B46EE9">
            <w:pPr>
              <w:rPr>
                <w:b/>
                <w:sz w:val="24"/>
                <w:szCs w:val="24"/>
              </w:rPr>
            </w:pPr>
            <w:r w:rsidRPr="00AF3E68">
              <w:rPr>
                <w:b/>
                <w:sz w:val="24"/>
                <w:szCs w:val="24"/>
              </w:rPr>
              <w:t xml:space="preserve">Erfaringer fra andre kliniske forsøg med </w:t>
            </w:r>
            <w:proofErr w:type="spellStart"/>
            <w:r w:rsidRPr="00AF3E68">
              <w:rPr>
                <w:b/>
                <w:sz w:val="24"/>
                <w:szCs w:val="24"/>
              </w:rPr>
              <w:t>Uvadex</w:t>
            </w:r>
            <w:proofErr w:type="spellEnd"/>
          </w:p>
        </w:tc>
      </w:tr>
      <w:tr w:rsidR="00406000" w:rsidRPr="00AF3E68" w:rsidTr="0063332C">
        <w:tc>
          <w:tcPr>
            <w:tcW w:w="3118" w:type="dxa"/>
            <w:tcBorders>
              <w:top w:val="nil"/>
              <w:bottom w:val="nil"/>
            </w:tcBorders>
          </w:tcPr>
          <w:p w:rsidR="00406000" w:rsidRPr="00AF3E68" w:rsidRDefault="00406000" w:rsidP="00B46EE9">
            <w:pPr>
              <w:rPr>
                <w:sz w:val="24"/>
                <w:szCs w:val="24"/>
              </w:rPr>
            </w:pPr>
          </w:p>
        </w:tc>
        <w:tc>
          <w:tcPr>
            <w:tcW w:w="2693" w:type="dxa"/>
            <w:tcBorders>
              <w:bottom w:val="nil"/>
            </w:tcBorders>
          </w:tcPr>
          <w:p w:rsidR="00406000" w:rsidRPr="00AF3E68" w:rsidRDefault="00406000" w:rsidP="00B46EE9">
            <w:pPr>
              <w:rPr>
                <w:b/>
                <w:sz w:val="24"/>
                <w:szCs w:val="24"/>
              </w:rPr>
            </w:pPr>
            <w:r w:rsidRPr="00AF3E68">
              <w:rPr>
                <w:b/>
                <w:sz w:val="24"/>
                <w:szCs w:val="24"/>
              </w:rPr>
              <w:t>Efter patienter</w:t>
            </w:r>
          </w:p>
        </w:tc>
        <w:tc>
          <w:tcPr>
            <w:tcW w:w="2693" w:type="dxa"/>
            <w:tcBorders>
              <w:bottom w:val="nil"/>
            </w:tcBorders>
          </w:tcPr>
          <w:p w:rsidR="00406000" w:rsidRPr="00AF3E68" w:rsidRDefault="00406000" w:rsidP="00B46EE9">
            <w:pPr>
              <w:rPr>
                <w:b/>
                <w:sz w:val="24"/>
                <w:szCs w:val="24"/>
              </w:rPr>
            </w:pPr>
            <w:r w:rsidRPr="00AF3E68">
              <w:rPr>
                <w:b/>
                <w:sz w:val="24"/>
                <w:szCs w:val="24"/>
              </w:rPr>
              <w:t>Efter antal behandlinger</w:t>
            </w:r>
          </w:p>
        </w:tc>
      </w:tr>
      <w:tr w:rsidR="00406000" w:rsidRPr="00AF3E68" w:rsidTr="0063332C">
        <w:tc>
          <w:tcPr>
            <w:tcW w:w="3118" w:type="dxa"/>
            <w:tcBorders>
              <w:top w:val="double" w:sz="4" w:space="0" w:color="auto"/>
              <w:bottom w:val="single" w:sz="4" w:space="0" w:color="auto"/>
            </w:tcBorders>
          </w:tcPr>
          <w:p w:rsidR="00406000" w:rsidRPr="00AF3E68" w:rsidRDefault="00406000" w:rsidP="00B46EE9">
            <w:pPr>
              <w:rPr>
                <w:sz w:val="24"/>
                <w:szCs w:val="24"/>
              </w:rPr>
            </w:pPr>
            <w:r w:rsidRPr="00AF3E68">
              <w:rPr>
                <w:sz w:val="24"/>
                <w:szCs w:val="24"/>
              </w:rPr>
              <w:t>Hypotension</w:t>
            </w:r>
          </w:p>
        </w:tc>
        <w:tc>
          <w:tcPr>
            <w:tcW w:w="2693" w:type="dxa"/>
            <w:tcBorders>
              <w:top w:val="double" w:sz="4" w:space="0" w:color="auto"/>
              <w:bottom w:val="single" w:sz="4" w:space="0" w:color="auto"/>
            </w:tcBorders>
          </w:tcPr>
          <w:p w:rsidR="00406000" w:rsidRPr="00AF3E68" w:rsidRDefault="00406000" w:rsidP="00B46EE9">
            <w:pPr>
              <w:rPr>
                <w:sz w:val="24"/>
                <w:szCs w:val="24"/>
              </w:rPr>
            </w:pPr>
            <w:r w:rsidRPr="00AF3E68">
              <w:rPr>
                <w:sz w:val="24"/>
                <w:szCs w:val="24"/>
              </w:rPr>
              <w:t>&lt; 2/100</w:t>
            </w:r>
          </w:p>
        </w:tc>
        <w:tc>
          <w:tcPr>
            <w:tcW w:w="2693" w:type="dxa"/>
            <w:tcBorders>
              <w:top w:val="double" w:sz="4" w:space="0" w:color="auto"/>
              <w:bottom w:val="single" w:sz="4" w:space="0" w:color="auto"/>
            </w:tcBorders>
          </w:tcPr>
          <w:p w:rsidR="00406000" w:rsidRPr="00AF3E68" w:rsidRDefault="00406000" w:rsidP="00B46EE9">
            <w:pPr>
              <w:rPr>
                <w:sz w:val="24"/>
                <w:szCs w:val="24"/>
              </w:rPr>
            </w:pPr>
            <w:r w:rsidRPr="00AF3E68">
              <w:rPr>
                <w:sz w:val="24"/>
                <w:szCs w:val="24"/>
              </w:rPr>
              <w:t>&lt;8/10 000</w:t>
            </w:r>
          </w:p>
        </w:tc>
      </w:tr>
      <w:tr w:rsidR="00406000" w:rsidRPr="00AF3E68" w:rsidTr="0063332C">
        <w:tc>
          <w:tcPr>
            <w:tcW w:w="3118" w:type="dxa"/>
            <w:tcBorders>
              <w:top w:val="single" w:sz="4" w:space="0" w:color="auto"/>
              <w:bottom w:val="single" w:sz="4" w:space="0" w:color="auto"/>
            </w:tcBorders>
          </w:tcPr>
          <w:p w:rsidR="00406000" w:rsidRPr="00AF3E68" w:rsidRDefault="00406000" w:rsidP="00B46EE9">
            <w:pPr>
              <w:rPr>
                <w:sz w:val="24"/>
                <w:szCs w:val="24"/>
              </w:rPr>
            </w:pPr>
            <w:r w:rsidRPr="00AF3E68">
              <w:rPr>
                <w:sz w:val="24"/>
                <w:szCs w:val="24"/>
              </w:rPr>
              <w:t xml:space="preserve">Forbigående feber 6-8 timer efter </w:t>
            </w:r>
            <w:proofErr w:type="spellStart"/>
            <w:r w:rsidRPr="00AF3E68">
              <w:rPr>
                <w:sz w:val="24"/>
                <w:szCs w:val="24"/>
              </w:rPr>
              <w:t>reinfusion</w:t>
            </w:r>
            <w:proofErr w:type="spellEnd"/>
            <w:r w:rsidRPr="00AF3E68">
              <w:rPr>
                <w:sz w:val="24"/>
                <w:szCs w:val="24"/>
              </w:rPr>
              <w:t xml:space="preserve"> af fotoaktiverede blodlegemer</w:t>
            </w:r>
          </w:p>
        </w:tc>
        <w:tc>
          <w:tcPr>
            <w:tcW w:w="2693" w:type="dxa"/>
            <w:tcBorders>
              <w:top w:val="single" w:sz="4" w:space="0" w:color="auto"/>
              <w:bottom w:val="single" w:sz="4" w:space="0" w:color="auto"/>
            </w:tcBorders>
          </w:tcPr>
          <w:p w:rsidR="00406000" w:rsidRPr="00AF3E68" w:rsidRDefault="00406000" w:rsidP="00B46EE9">
            <w:pPr>
              <w:rPr>
                <w:sz w:val="24"/>
                <w:szCs w:val="24"/>
              </w:rPr>
            </w:pPr>
            <w:r w:rsidRPr="00AF3E68">
              <w:rPr>
                <w:sz w:val="24"/>
                <w:szCs w:val="24"/>
              </w:rPr>
              <w:t>&lt; 1/100</w:t>
            </w:r>
          </w:p>
        </w:tc>
        <w:tc>
          <w:tcPr>
            <w:tcW w:w="2693" w:type="dxa"/>
            <w:tcBorders>
              <w:top w:val="single" w:sz="4" w:space="0" w:color="auto"/>
              <w:bottom w:val="single" w:sz="4" w:space="0" w:color="auto"/>
            </w:tcBorders>
          </w:tcPr>
          <w:p w:rsidR="00406000" w:rsidRPr="00AF3E68" w:rsidRDefault="00406000" w:rsidP="00B46EE9">
            <w:pPr>
              <w:rPr>
                <w:sz w:val="24"/>
                <w:szCs w:val="24"/>
              </w:rPr>
            </w:pPr>
            <w:r w:rsidRPr="00AF3E68">
              <w:rPr>
                <w:sz w:val="24"/>
                <w:szCs w:val="24"/>
              </w:rPr>
              <w:t>&lt;2 /10 000</w:t>
            </w:r>
          </w:p>
        </w:tc>
      </w:tr>
      <w:tr w:rsidR="00406000" w:rsidRPr="00AF3E68" w:rsidTr="0063332C">
        <w:tc>
          <w:tcPr>
            <w:tcW w:w="3118" w:type="dxa"/>
            <w:tcBorders>
              <w:top w:val="single" w:sz="4" w:space="0" w:color="auto"/>
              <w:bottom w:val="single" w:sz="4" w:space="0" w:color="auto"/>
            </w:tcBorders>
          </w:tcPr>
          <w:p w:rsidR="00406000" w:rsidRPr="00AF3E68" w:rsidRDefault="00406000" w:rsidP="00B46EE9">
            <w:pPr>
              <w:rPr>
                <w:sz w:val="24"/>
                <w:szCs w:val="24"/>
              </w:rPr>
            </w:pPr>
            <w:r w:rsidRPr="00AF3E68">
              <w:rPr>
                <w:sz w:val="24"/>
                <w:szCs w:val="24"/>
              </w:rPr>
              <w:t>Komplikation ved venøs adgang</w:t>
            </w:r>
          </w:p>
        </w:tc>
        <w:tc>
          <w:tcPr>
            <w:tcW w:w="2693" w:type="dxa"/>
            <w:tcBorders>
              <w:top w:val="single" w:sz="4" w:space="0" w:color="auto"/>
              <w:bottom w:val="single" w:sz="4" w:space="0" w:color="auto"/>
            </w:tcBorders>
          </w:tcPr>
          <w:p w:rsidR="00406000" w:rsidRPr="00AF3E68" w:rsidRDefault="00406000" w:rsidP="00B46EE9">
            <w:pPr>
              <w:rPr>
                <w:sz w:val="24"/>
                <w:szCs w:val="24"/>
              </w:rPr>
            </w:pPr>
            <w:r w:rsidRPr="00AF3E68">
              <w:rPr>
                <w:sz w:val="24"/>
                <w:szCs w:val="24"/>
              </w:rPr>
              <w:t>&lt; 5/100*</w:t>
            </w:r>
          </w:p>
        </w:tc>
        <w:tc>
          <w:tcPr>
            <w:tcW w:w="2693" w:type="dxa"/>
            <w:tcBorders>
              <w:top w:val="single" w:sz="4" w:space="0" w:color="auto"/>
              <w:bottom w:val="single" w:sz="4" w:space="0" w:color="auto"/>
            </w:tcBorders>
          </w:tcPr>
          <w:p w:rsidR="00406000" w:rsidRPr="00AF3E68" w:rsidRDefault="00406000" w:rsidP="00B46EE9">
            <w:pPr>
              <w:rPr>
                <w:sz w:val="24"/>
                <w:szCs w:val="24"/>
              </w:rPr>
            </w:pPr>
            <w:r w:rsidRPr="00AF3E68">
              <w:rPr>
                <w:sz w:val="24"/>
                <w:szCs w:val="24"/>
              </w:rPr>
              <w:t>&lt;4/1 000**</w:t>
            </w:r>
          </w:p>
        </w:tc>
      </w:tr>
      <w:tr w:rsidR="00406000" w:rsidRPr="00AF3E68" w:rsidTr="0063332C">
        <w:tc>
          <w:tcPr>
            <w:tcW w:w="3118" w:type="dxa"/>
            <w:tcBorders>
              <w:top w:val="single" w:sz="4" w:space="0" w:color="auto"/>
              <w:bottom w:val="single" w:sz="4" w:space="0" w:color="auto"/>
            </w:tcBorders>
          </w:tcPr>
          <w:p w:rsidR="00406000" w:rsidRPr="00AF3E68" w:rsidRDefault="00406000" w:rsidP="00B46EE9">
            <w:pPr>
              <w:rPr>
                <w:sz w:val="24"/>
                <w:szCs w:val="24"/>
              </w:rPr>
            </w:pPr>
            <w:r w:rsidRPr="00AF3E68">
              <w:rPr>
                <w:sz w:val="24"/>
                <w:szCs w:val="24"/>
              </w:rPr>
              <w:t>Infektion/kateterrelateret infektion/sepsis</w:t>
            </w:r>
          </w:p>
        </w:tc>
        <w:tc>
          <w:tcPr>
            <w:tcW w:w="2693" w:type="dxa"/>
            <w:tcBorders>
              <w:top w:val="single" w:sz="4" w:space="0" w:color="auto"/>
              <w:bottom w:val="single" w:sz="4" w:space="0" w:color="auto"/>
            </w:tcBorders>
          </w:tcPr>
          <w:p w:rsidR="00406000" w:rsidRPr="00AF3E68" w:rsidRDefault="00406000" w:rsidP="00B46EE9">
            <w:pPr>
              <w:rPr>
                <w:sz w:val="24"/>
                <w:szCs w:val="24"/>
              </w:rPr>
            </w:pPr>
            <w:r w:rsidRPr="00AF3E68">
              <w:rPr>
                <w:sz w:val="24"/>
                <w:szCs w:val="24"/>
              </w:rPr>
              <w:t>&lt; 4/100</w:t>
            </w:r>
          </w:p>
        </w:tc>
        <w:tc>
          <w:tcPr>
            <w:tcW w:w="2693" w:type="dxa"/>
            <w:tcBorders>
              <w:top w:val="single" w:sz="4" w:space="0" w:color="auto"/>
              <w:bottom w:val="single" w:sz="4" w:space="0" w:color="auto"/>
            </w:tcBorders>
          </w:tcPr>
          <w:p w:rsidR="00406000" w:rsidRPr="00AF3E68" w:rsidRDefault="00406000" w:rsidP="00B46EE9">
            <w:pPr>
              <w:rPr>
                <w:sz w:val="24"/>
                <w:szCs w:val="24"/>
              </w:rPr>
            </w:pPr>
            <w:r w:rsidRPr="00AF3E68">
              <w:rPr>
                <w:sz w:val="24"/>
                <w:szCs w:val="24"/>
              </w:rPr>
              <w:t>&lt;2/1 000</w:t>
            </w:r>
          </w:p>
        </w:tc>
      </w:tr>
    </w:tbl>
    <w:p w:rsidR="00406000" w:rsidRPr="00AF3E68" w:rsidRDefault="00406000" w:rsidP="00B46EE9">
      <w:pPr>
        <w:ind w:left="851"/>
        <w:rPr>
          <w:sz w:val="24"/>
          <w:szCs w:val="24"/>
        </w:rPr>
      </w:pPr>
      <w:r w:rsidRPr="00AF3E68">
        <w:rPr>
          <w:sz w:val="24"/>
          <w:szCs w:val="24"/>
        </w:rPr>
        <w:t>* To tredjedele af pati</w:t>
      </w:r>
      <w:r w:rsidR="00F42D88" w:rsidRPr="00AF3E68">
        <w:rPr>
          <w:sz w:val="24"/>
          <w:szCs w:val="24"/>
        </w:rPr>
        <w:t>e</w:t>
      </w:r>
      <w:r w:rsidRPr="00AF3E68">
        <w:rPr>
          <w:sz w:val="24"/>
          <w:szCs w:val="24"/>
        </w:rPr>
        <w:t>nterne havde progressiv systemisk sklerose</w:t>
      </w:r>
    </w:p>
    <w:p w:rsidR="00406000" w:rsidRPr="00AF3E68" w:rsidRDefault="00406000" w:rsidP="00B46EE9">
      <w:pPr>
        <w:ind w:left="851"/>
        <w:rPr>
          <w:sz w:val="24"/>
          <w:szCs w:val="24"/>
        </w:rPr>
      </w:pPr>
      <w:r w:rsidRPr="00AF3E68">
        <w:rPr>
          <w:sz w:val="24"/>
          <w:szCs w:val="24"/>
        </w:rPr>
        <w:t>** To tredjedele af hændelserne forekom hos patienter med progressiv systemisk sklerose</w:t>
      </w:r>
    </w:p>
    <w:p w:rsidR="00406000" w:rsidRPr="00AF3E68" w:rsidRDefault="00406000" w:rsidP="00B46EE9">
      <w:pPr>
        <w:ind w:left="851"/>
        <w:rPr>
          <w:sz w:val="24"/>
          <w:szCs w:val="24"/>
        </w:rPr>
      </w:pPr>
    </w:p>
    <w:p w:rsidR="00406000" w:rsidRPr="00AF3E68" w:rsidRDefault="00406000" w:rsidP="00B46EE9">
      <w:pPr>
        <w:ind w:left="851"/>
        <w:rPr>
          <w:sz w:val="24"/>
          <w:szCs w:val="24"/>
        </w:rPr>
      </w:pPr>
      <w:r w:rsidRPr="00AF3E68">
        <w:rPr>
          <w:sz w:val="24"/>
          <w:szCs w:val="24"/>
        </w:rPr>
        <w:t xml:space="preserve">Der forekom små men statistisk signifikante ændringer af flere biokemiske og hæmatologiske parametre under behandling af CTCL med </w:t>
      </w:r>
      <w:proofErr w:type="spellStart"/>
      <w:r w:rsidRPr="00AF3E68">
        <w:rPr>
          <w:sz w:val="24"/>
          <w:szCs w:val="24"/>
        </w:rPr>
        <w:t>Uvadex</w:t>
      </w:r>
      <w:proofErr w:type="spellEnd"/>
      <w:r w:rsidRPr="00AF3E68">
        <w:rPr>
          <w:sz w:val="24"/>
          <w:szCs w:val="24"/>
        </w:rPr>
        <w:t>. Disse anses ikke for at være af klinisk relevans og opsummeres nedenfor.</w:t>
      </w:r>
    </w:p>
    <w:p w:rsidR="00406000" w:rsidRPr="00AF3E68" w:rsidRDefault="00406000" w:rsidP="003075E2">
      <w:pPr>
        <w:ind w:left="851"/>
        <w:rPr>
          <w:bCs/>
          <w:sz w:val="24"/>
          <w:szCs w:val="24"/>
        </w:rPr>
      </w:pPr>
    </w:p>
    <w:p w:rsidR="00406000" w:rsidRPr="00AF3E68" w:rsidRDefault="00406000" w:rsidP="00406000">
      <w:pPr>
        <w:ind w:left="851" w:hanging="851"/>
        <w:jc w:val="center"/>
        <w:rPr>
          <w:b/>
          <w:bCs/>
          <w:sz w:val="24"/>
          <w:szCs w:val="24"/>
        </w:rPr>
      </w:pPr>
      <w:r w:rsidRPr="00AF3E68">
        <w:rPr>
          <w:b/>
          <w:bCs/>
          <w:sz w:val="24"/>
          <w:szCs w:val="24"/>
        </w:rPr>
        <w:t>Statistisk signifikante ændringer i laboratorieværdier</w:t>
      </w:r>
    </w:p>
    <w:p w:rsidR="00406000" w:rsidRPr="00AF3E68" w:rsidRDefault="00406000" w:rsidP="00406000">
      <w:pPr>
        <w:ind w:left="851" w:hanging="851"/>
        <w:jc w:val="center"/>
        <w:rPr>
          <w:b/>
          <w:bCs/>
          <w:sz w:val="24"/>
          <w:szCs w:val="24"/>
        </w:rPr>
      </w:pPr>
      <w:r w:rsidRPr="00AF3E68">
        <w:rPr>
          <w:b/>
          <w:bCs/>
          <w:sz w:val="24"/>
          <w:szCs w:val="24"/>
        </w:rPr>
        <w:t>Gennemsnit ± SD</w:t>
      </w:r>
    </w:p>
    <w:tbl>
      <w:tblPr>
        <w:tblW w:w="90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1"/>
        <w:gridCol w:w="1849"/>
        <w:gridCol w:w="1849"/>
        <w:gridCol w:w="1849"/>
        <w:gridCol w:w="1712"/>
      </w:tblGrid>
      <w:tr w:rsidR="00406000" w:rsidRPr="00AF3E68" w:rsidTr="00B46EE9">
        <w:tc>
          <w:tcPr>
            <w:tcW w:w="1741" w:type="dxa"/>
            <w:tcBorders>
              <w:top w:val="single" w:sz="4" w:space="0" w:color="auto"/>
              <w:left w:val="single" w:sz="4" w:space="0" w:color="auto"/>
              <w:bottom w:val="double" w:sz="4" w:space="0" w:color="auto"/>
              <w:right w:val="single" w:sz="4" w:space="0" w:color="auto"/>
            </w:tcBorders>
          </w:tcPr>
          <w:p w:rsidR="00406000" w:rsidRPr="00AF3E68" w:rsidRDefault="00406000" w:rsidP="00B46EE9">
            <w:pPr>
              <w:rPr>
                <w:sz w:val="22"/>
                <w:szCs w:val="22"/>
              </w:rPr>
            </w:pPr>
            <w:r w:rsidRPr="00AF3E68">
              <w:rPr>
                <w:sz w:val="22"/>
                <w:szCs w:val="22"/>
              </w:rPr>
              <w:t>Parameter</w:t>
            </w:r>
          </w:p>
        </w:tc>
        <w:tc>
          <w:tcPr>
            <w:tcW w:w="1849" w:type="dxa"/>
            <w:tcBorders>
              <w:top w:val="single" w:sz="4" w:space="0" w:color="auto"/>
              <w:left w:val="single" w:sz="4" w:space="0" w:color="auto"/>
              <w:bottom w:val="double" w:sz="4" w:space="0" w:color="auto"/>
              <w:right w:val="single" w:sz="4" w:space="0" w:color="auto"/>
            </w:tcBorders>
          </w:tcPr>
          <w:p w:rsidR="00406000" w:rsidRPr="00AF3E68" w:rsidRDefault="00406000" w:rsidP="00B46EE9">
            <w:pPr>
              <w:rPr>
                <w:sz w:val="22"/>
                <w:szCs w:val="22"/>
              </w:rPr>
            </w:pPr>
            <w:r w:rsidRPr="00AF3E68">
              <w:rPr>
                <w:sz w:val="22"/>
                <w:szCs w:val="22"/>
              </w:rPr>
              <w:t>N</w:t>
            </w:r>
          </w:p>
        </w:tc>
        <w:tc>
          <w:tcPr>
            <w:tcW w:w="1849" w:type="dxa"/>
            <w:tcBorders>
              <w:top w:val="single" w:sz="4" w:space="0" w:color="auto"/>
              <w:left w:val="single" w:sz="4" w:space="0" w:color="auto"/>
              <w:bottom w:val="double" w:sz="4" w:space="0" w:color="auto"/>
              <w:right w:val="single" w:sz="4" w:space="0" w:color="auto"/>
            </w:tcBorders>
          </w:tcPr>
          <w:p w:rsidR="00406000" w:rsidRPr="00AF3E68" w:rsidRDefault="00406000" w:rsidP="00B46EE9">
            <w:pPr>
              <w:rPr>
                <w:sz w:val="22"/>
                <w:szCs w:val="22"/>
              </w:rPr>
            </w:pPr>
            <w:r w:rsidRPr="00AF3E68">
              <w:rPr>
                <w:sz w:val="22"/>
                <w:szCs w:val="22"/>
              </w:rPr>
              <w:t>Baseline</w:t>
            </w:r>
          </w:p>
        </w:tc>
        <w:tc>
          <w:tcPr>
            <w:tcW w:w="1849" w:type="dxa"/>
            <w:tcBorders>
              <w:top w:val="single" w:sz="4" w:space="0" w:color="auto"/>
              <w:left w:val="single" w:sz="4" w:space="0" w:color="auto"/>
              <w:bottom w:val="double" w:sz="4" w:space="0" w:color="auto"/>
              <w:right w:val="single" w:sz="4" w:space="0" w:color="auto"/>
            </w:tcBorders>
          </w:tcPr>
          <w:p w:rsidR="00406000" w:rsidRPr="00AF3E68" w:rsidRDefault="00406000" w:rsidP="00B46EE9">
            <w:pPr>
              <w:rPr>
                <w:sz w:val="22"/>
                <w:szCs w:val="22"/>
              </w:rPr>
            </w:pPr>
            <w:r w:rsidRPr="00AF3E68">
              <w:rPr>
                <w:sz w:val="22"/>
                <w:szCs w:val="22"/>
              </w:rPr>
              <w:t>Endelig</w:t>
            </w:r>
          </w:p>
        </w:tc>
        <w:tc>
          <w:tcPr>
            <w:tcW w:w="1712" w:type="dxa"/>
            <w:tcBorders>
              <w:top w:val="single" w:sz="4" w:space="0" w:color="auto"/>
              <w:left w:val="single" w:sz="4" w:space="0" w:color="auto"/>
              <w:bottom w:val="double" w:sz="4" w:space="0" w:color="auto"/>
              <w:right w:val="single" w:sz="4" w:space="0" w:color="auto"/>
            </w:tcBorders>
          </w:tcPr>
          <w:p w:rsidR="00406000" w:rsidRPr="00AF3E68" w:rsidRDefault="00406000" w:rsidP="00B46EE9">
            <w:pPr>
              <w:rPr>
                <w:sz w:val="22"/>
                <w:szCs w:val="22"/>
              </w:rPr>
            </w:pPr>
            <w:r w:rsidRPr="00AF3E68">
              <w:rPr>
                <w:sz w:val="22"/>
                <w:szCs w:val="22"/>
              </w:rPr>
              <w:t>Delta</w:t>
            </w:r>
          </w:p>
        </w:tc>
      </w:tr>
      <w:tr w:rsidR="00406000" w:rsidRPr="00AF3E68" w:rsidTr="00B46EE9">
        <w:tc>
          <w:tcPr>
            <w:tcW w:w="1741" w:type="dxa"/>
            <w:tcBorders>
              <w:top w:val="nil"/>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Albumin (g/l)</w:t>
            </w:r>
          </w:p>
        </w:tc>
        <w:tc>
          <w:tcPr>
            <w:tcW w:w="1849" w:type="dxa"/>
            <w:tcBorders>
              <w:top w:val="nil"/>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51</w:t>
            </w:r>
          </w:p>
        </w:tc>
        <w:tc>
          <w:tcPr>
            <w:tcW w:w="1849" w:type="dxa"/>
            <w:tcBorders>
              <w:top w:val="nil"/>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13,8 ± 16,8</w:t>
            </w:r>
          </w:p>
        </w:tc>
        <w:tc>
          <w:tcPr>
            <w:tcW w:w="1849" w:type="dxa"/>
            <w:tcBorders>
              <w:top w:val="nil"/>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12,8 ± 15,6</w:t>
            </w:r>
          </w:p>
        </w:tc>
        <w:tc>
          <w:tcPr>
            <w:tcW w:w="1712" w:type="dxa"/>
            <w:tcBorders>
              <w:top w:val="nil"/>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-1,0</w:t>
            </w:r>
          </w:p>
        </w:tc>
      </w:tr>
      <w:tr w:rsidR="00406000" w:rsidRPr="00AF3E68" w:rsidTr="00B46EE9">
        <w:tc>
          <w:tcPr>
            <w:tcW w:w="1741"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Calcium (mg/dl)</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51</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7,8 ± 3,2</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7,5 ± 3,1</w:t>
            </w:r>
          </w:p>
        </w:tc>
        <w:tc>
          <w:tcPr>
            <w:tcW w:w="1712"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-0,3</w:t>
            </w:r>
          </w:p>
        </w:tc>
      </w:tr>
      <w:tr w:rsidR="00406000" w:rsidRPr="00AF3E68" w:rsidTr="00B46EE9">
        <w:tc>
          <w:tcPr>
            <w:tcW w:w="1741"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Hæmatokrit (%)</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51</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41,1 ± 4,3</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38,0 ± 4,7</w:t>
            </w:r>
          </w:p>
        </w:tc>
        <w:tc>
          <w:tcPr>
            <w:tcW w:w="1712"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-3,1</w:t>
            </w:r>
          </w:p>
        </w:tc>
      </w:tr>
      <w:tr w:rsidR="00406000" w:rsidRPr="00AF3E68" w:rsidTr="00B46EE9">
        <w:tc>
          <w:tcPr>
            <w:tcW w:w="1741"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Hæmoglobin (g/dl)</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51</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13,8 ± 1,4</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12,7 ± 1,6</w:t>
            </w:r>
          </w:p>
        </w:tc>
        <w:tc>
          <w:tcPr>
            <w:tcW w:w="1712"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-1,1</w:t>
            </w:r>
          </w:p>
        </w:tc>
      </w:tr>
      <w:tr w:rsidR="00406000" w:rsidRPr="00AF3E68" w:rsidTr="00B46EE9">
        <w:tc>
          <w:tcPr>
            <w:tcW w:w="1741"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Kalium (</w:t>
            </w:r>
            <w:proofErr w:type="spellStart"/>
            <w:proofErr w:type="gramStart"/>
            <w:r w:rsidRPr="00AF3E68">
              <w:rPr>
                <w:sz w:val="22"/>
                <w:szCs w:val="22"/>
              </w:rPr>
              <w:t>mækv</w:t>
            </w:r>
            <w:proofErr w:type="spellEnd"/>
            <w:r w:rsidRPr="00AF3E68">
              <w:rPr>
                <w:sz w:val="22"/>
                <w:szCs w:val="22"/>
              </w:rPr>
              <w:t>./</w:t>
            </w:r>
            <w:proofErr w:type="gramEnd"/>
            <w:r w:rsidRPr="00AF3E68">
              <w:rPr>
                <w:sz w:val="22"/>
                <w:szCs w:val="22"/>
              </w:rPr>
              <w:t>l</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48</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4,4 ± 0,5</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4,1 ± 0,4</w:t>
            </w:r>
          </w:p>
        </w:tc>
        <w:tc>
          <w:tcPr>
            <w:tcW w:w="1712"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-0,3</w:t>
            </w:r>
          </w:p>
        </w:tc>
      </w:tr>
      <w:tr w:rsidR="00406000" w:rsidRPr="00AF3E68" w:rsidTr="00B46EE9">
        <w:tc>
          <w:tcPr>
            <w:tcW w:w="1741"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Røde blodlegemer (x10</w:t>
            </w:r>
            <w:r w:rsidRPr="00AF3E68">
              <w:rPr>
                <w:sz w:val="22"/>
                <w:szCs w:val="22"/>
                <w:vertAlign w:val="superscript"/>
              </w:rPr>
              <w:t>12</w:t>
            </w:r>
            <w:r w:rsidRPr="00AF3E68">
              <w:rPr>
                <w:sz w:val="22"/>
                <w:szCs w:val="22"/>
              </w:rPr>
              <w:t>/l)</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51</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4,6 ± 0,5</w:t>
            </w:r>
          </w:p>
        </w:tc>
        <w:tc>
          <w:tcPr>
            <w:tcW w:w="1849"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4,4 ± 0,6</w:t>
            </w:r>
          </w:p>
        </w:tc>
        <w:tc>
          <w:tcPr>
            <w:tcW w:w="1712" w:type="dxa"/>
            <w:tcBorders>
              <w:top w:val="single" w:sz="4" w:space="0" w:color="auto"/>
              <w:left w:val="single" w:sz="4" w:space="0" w:color="auto"/>
              <w:bottom w:val="single" w:sz="4" w:space="0" w:color="auto"/>
              <w:right w:val="single" w:sz="4" w:space="0" w:color="auto"/>
            </w:tcBorders>
          </w:tcPr>
          <w:p w:rsidR="00406000" w:rsidRPr="00AF3E68" w:rsidRDefault="00406000" w:rsidP="00B46EE9">
            <w:pPr>
              <w:rPr>
                <w:sz w:val="22"/>
                <w:szCs w:val="22"/>
              </w:rPr>
            </w:pPr>
            <w:r w:rsidRPr="00AF3E68">
              <w:rPr>
                <w:sz w:val="22"/>
                <w:szCs w:val="22"/>
              </w:rPr>
              <w:t>-0,2</w:t>
            </w:r>
          </w:p>
        </w:tc>
      </w:tr>
    </w:tbl>
    <w:p w:rsidR="00406000" w:rsidRPr="00AF3E68" w:rsidRDefault="00406000" w:rsidP="003075E2">
      <w:pPr>
        <w:ind w:left="851"/>
        <w:rPr>
          <w:bCs/>
          <w:sz w:val="24"/>
          <w:szCs w:val="24"/>
        </w:rPr>
      </w:pPr>
    </w:p>
    <w:p w:rsidR="0022103F" w:rsidRPr="00AF3E68" w:rsidRDefault="0022103F" w:rsidP="0022103F">
      <w:pPr>
        <w:ind w:left="851"/>
        <w:outlineLvl w:val="0"/>
        <w:rPr>
          <w:sz w:val="24"/>
          <w:szCs w:val="24"/>
        </w:rPr>
      </w:pPr>
      <w:r w:rsidRPr="00AF3E68">
        <w:rPr>
          <w:sz w:val="24"/>
          <w:szCs w:val="24"/>
        </w:rPr>
        <w:t>Den følgende liste over bivirkninger er baseret på erfaringer fra kliniske forsøg og erfaringer efter markedsføring og er opdelt efter systemorganklasse og hyppighed i nedenstående tabel: meget almindelig (1/10); almindelig (1/100 til &lt; 1/10); ikke almindelig (1/1.000 til &lt; 1/100); sjælden (1/10.000 til &lt; 1/1.000); og ikke kendt (kan ikke estimeres ud fra forhåndenværende data).</w:t>
      </w:r>
    </w:p>
    <w:p w:rsidR="0022103F" w:rsidRPr="00AF3E68" w:rsidRDefault="0022103F" w:rsidP="0022103F">
      <w:pPr>
        <w:ind w:left="851"/>
        <w:outlineLvl w:val="0"/>
        <w:rPr>
          <w:sz w:val="24"/>
          <w:szCs w:val="24"/>
        </w:rPr>
      </w:pPr>
    </w:p>
    <w:tbl>
      <w:tblPr>
        <w:tblStyle w:val="Tabel-Gitter"/>
        <w:tblW w:w="0" w:type="auto"/>
        <w:tblInd w:w="851" w:type="dxa"/>
        <w:tblLook w:val="04A0" w:firstRow="1" w:lastRow="0" w:firstColumn="1" w:lastColumn="0" w:noHBand="0" w:noVBand="1"/>
      </w:tblPr>
      <w:tblGrid>
        <w:gridCol w:w="2926"/>
        <w:gridCol w:w="2925"/>
        <w:gridCol w:w="2926"/>
      </w:tblGrid>
      <w:tr w:rsidR="0022103F" w:rsidRPr="00AF3E68" w:rsidTr="00D650BD">
        <w:tc>
          <w:tcPr>
            <w:tcW w:w="2926" w:type="dxa"/>
          </w:tcPr>
          <w:p w:rsidR="0022103F" w:rsidRPr="00AF3E68" w:rsidRDefault="0022103F" w:rsidP="00D650BD">
            <w:pPr>
              <w:keepNext/>
              <w:keepLines/>
              <w:outlineLvl w:val="0"/>
              <w:rPr>
                <w:b/>
                <w:sz w:val="24"/>
                <w:szCs w:val="24"/>
              </w:rPr>
            </w:pPr>
            <w:r w:rsidRPr="00AF3E68">
              <w:rPr>
                <w:b/>
                <w:bCs/>
                <w:noProof/>
                <w:sz w:val="24"/>
                <w:szCs w:val="24"/>
              </w:rPr>
              <w:t>Systemorganklasse</w:t>
            </w:r>
          </w:p>
        </w:tc>
        <w:tc>
          <w:tcPr>
            <w:tcW w:w="2925" w:type="dxa"/>
          </w:tcPr>
          <w:p w:rsidR="0022103F" w:rsidRPr="00AF3E68" w:rsidRDefault="0022103F" w:rsidP="00D650BD">
            <w:pPr>
              <w:keepNext/>
              <w:keepLines/>
              <w:outlineLvl w:val="0"/>
              <w:rPr>
                <w:b/>
                <w:sz w:val="24"/>
                <w:szCs w:val="24"/>
              </w:rPr>
            </w:pPr>
            <w:r w:rsidRPr="00AF3E68">
              <w:rPr>
                <w:b/>
                <w:bCs/>
                <w:noProof/>
                <w:sz w:val="24"/>
                <w:szCs w:val="24"/>
              </w:rPr>
              <w:t>Bivirkning(er)</w:t>
            </w:r>
          </w:p>
        </w:tc>
        <w:tc>
          <w:tcPr>
            <w:tcW w:w="2926" w:type="dxa"/>
          </w:tcPr>
          <w:p w:rsidR="0022103F" w:rsidRPr="00AF3E68" w:rsidRDefault="0022103F" w:rsidP="00D650BD">
            <w:pPr>
              <w:keepNext/>
              <w:keepLines/>
              <w:outlineLvl w:val="0"/>
              <w:rPr>
                <w:b/>
                <w:sz w:val="24"/>
                <w:szCs w:val="24"/>
              </w:rPr>
            </w:pPr>
            <w:r w:rsidRPr="00AF3E68">
              <w:rPr>
                <w:b/>
                <w:bCs/>
                <w:noProof/>
                <w:sz w:val="24"/>
                <w:szCs w:val="24"/>
              </w:rPr>
              <w:t>Hyppighed</w:t>
            </w:r>
          </w:p>
        </w:tc>
      </w:tr>
      <w:tr w:rsidR="0022103F" w:rsidRPr="00AF3E68" w:rsidTr="00D650BD">
        <w:tc>
          <w:tcPr>
            <w:tcW w:w="2926" w:type="dxa"/>
          </w:tcPr>
          <w:p w:rsidR="0022103F" w:rsidRPr="00AF3E68" w:rsidRDefault="0022103F" w:rsidP="00D650BD">
            <w:pPr>
              <w:keepNext/>
              <w:keepLines/>
              <w:outlineLvl w:val="0"/>
              <w:rPr>
                <w:sz w:val="24"/>
                <w:szCs w:val="24"/>
              </w:rPr>
            </w:pPr>
            <w:r w:rsidRPr="00AF3E68">
              <w:rPr>
                <w:noProof/>
                <w:sz w:val="24"/>
                <w:szCs w:val="24"/>
              </w:rPr>
              <w:t>Infektioner og parasitære sygdomme</w:t>
            </w:r>
          </w:p>
        </w:tc>
        <w:tc>
          <w:tcPr>
            <w:tcW w:w="2925" w:type="dxa"/>
          </w:tcPr>
          <w:p w:rsidR="0022103F" w:rsidRPr="00AF3E68" w:rsidRDefault="0022103F" w:rsidP="00D650BD">
            <w:pPr>
              <w:keepNext/>
              <w:keepLines/>
              <w:outlineLvl w:val="0"/>
              <w:rPr>
                <w:sz w:val="24"/>
                <w:szCs w:val="24"/>
              </w:rPr>
            </w:pPr>
            <w:r w:rsidRPr="00AF3E68">
              <w:rPr>
                <w:noProof/>
                <w:sz w:val="24"/>
                <w:szCs w:val="24"/>
              </w:rPr>
              <w:t>Infektioner</w:t>
            </w:r>
          </w:p>
        </w:tc>
        <w:tc>
          <w:tcPr>
            <w:tcW w:w="2926" w:type="dxa"/>
          </w:tcPr>
          <w:p w:rsidR="0022103F" w:rsidRPr="00AF3E68" w:rsidRDefault="0022103F" w:rsidP="00D650BD">
            <w:pPr>
              <w:keepNext/>
              <w:keepLines/>
              <w:outlineLvl w:val="0"/>
              <w:rPr>
                <w:sz w:val="24"/>
                <w:szCs w:val="24"/>
              </w:rPr>
            </w:pPr>
            <w:r w:rsidRPr="00AF3E68">
              <w:rPr>
                <w:noProof/>
                <w:sz w:val="24"/>
                <w:szCs w:val="24"/>
              </w:rPr>
              <w:t>Almindelig</w:t>
            </w:r>
          </w:p>
        </w:tc>
      </w:tr>
      <w:tr w:rsidR="0022103F" w:rsidRPr="00AF3E68" w:rsidTr="00D650BD">
        <w:tc>
          <w:tcPr>
            <w:tcW w:w="2926" w:type="dxa"/>
          </w:tcPr>
          <w:p w:rsidR="0022103F" w:rsidRPr="00AF3E68" w:rsidRDefault="0022103F" w:rsidP="00D650BD">
            <w:pPr>
              <w:keepNext/>
              <w:keepLines/>
              <w:outlineLvl w:val="0"/>
              <w:rPr>
                <w:sz w:val="24"/>
                <w:szCs w:val="24"/>
              </w:rPr>
            </w:pPr>
            <w:r w:rsidRPr="00AF3E68">
              <w:rPr>
                <w:noProof/>
                <w:sz w:val="24"/>
                <w:szCs w:val="24"/>
              </w:rPr>
              <w:t xml:space="preserve">Immunsystemet </w:t>
            </w:r>
          </w:p>
        </w:tc>
        <w:tc>
          <w:tcPr>
            <w:tcW w:w="2925" w:type="dxa"/>
          </w:tcPr>
          <w:p w:rsidR="0022103F" w:rsidRPr="00AF3E68" w:rsidRDefault="0022103F" w:rsidP="00D650BD">
            <w:pPr>
              <w:keepNext/>
              <w:keepLines/>
              <w:outlineLvl w:val="0"/>
              <w:rPr>
                <w:sz w:val="24"/>
                <w:szCs w:val="24"/>
              </w:rPr>
            </w:pPr>
            <w:r w:rsidRPr="00AF3E68">
              <w:rPr>
                <w:noProof/>
                <w:sz w:val="24"/>
                <w:szCs w:val="24"/>
              </w:rPr>
              <w:t>Allergisk reaktion</w:t>
            </w:r>
          </w:p>
        </w:tc>
        <w:tc>
          <w:tcPr>
            <w:tcW w:w="2926" w:type="dxa"/>
          </w:tcPr>
          <w:p w:rsidR="0022103F" w:rsidRPr="00AF3E68" w:rsidRDefault="0022103F" w:rsidP="00D650BD">
            <w:pPr>
              <w:keepNext/>
              <w:keepLines/>
              <w:outlineLvl w:val="0"/>
              <w:rPr>
                <w:sz w:val="24"/>
                <w:szCs w:val="24"/>
              </w:rPr>
            </w:pPr>
            <w:r w:rsidRPr="00AF3E68">
              <w:rPr>
                <w:noProof/>
                <w:sz w:val="24"/>
                <w:szCs w:val="24"/>
              </w:rPr>
              <w:t>Ikke kendt</w:t>
            </w:r>
          </w:p>
        </w:tc>
      </w:tr>
      <w:tr w:rsidR="0022103F" w:rsidRPr="00AF3E68" w:rsidTr="00D650BD">
        <w:tc>
          <w:tcPr>
            <w:tcW w:w="2926" w:type="dxa"/>
          </w:tcPr>
          <w:p w:rsidR="0022103F" w:rsidRPr="00AF3E68" w:rsidRDefault="0022103F" w:rsidP="00D650BD">
            <w:pPr>
              <w:keepNext/>
              <w:keepLines/>
              <w:outlineLvl w:val="0"/>
              <w:rPr>
                <w:sz w:val="24"/>
                <w:szCs w:val="24"/>
              </w:rPr>
            </w:pPr>
            <w:r w:rsidRPr="00AF3E68">
              <w:rPr>
                <w:noProof/>
                <w:sz w:val="24"/>
                <w:szCs w:val="24"/>
              </w:rPr>
              <w:t xml:space="preserve">Nervesystemet </w:t>
            </w:r>
          </w:p>
        </w:tc>
        <w:tc>
          <w:tcPr>
            <w:tcW w:w="2925" w:type="dxa"/>
          </w:tcPr>
          <w:p w:rsidR="0022103F" w:rsidRPr="00AF3E68" w:rsidRDefault="0022103F" w:rsidP="00D650BD">
            <w:pPr>
              <w:keepNext/>
              <w:keepLines/>
              <w:outlineLvl w:val="0"/>
              <w:rPr>
                <w:sz w:val="24"/>
                <w:szCs w:val="24"/>
              </w:rPr>
            </w:pPr>
            <w:r w:rsidRPr="00AF3E68">
              <w:rPr>
                <w:noProof/>
                <w:sz w:val="24"/>
                <w:szCs w:val="24"/>
              </w:rPr>
              <w:t>Dysgeusi</w:t>
            </w:r>
          </w:p>
        </w:tc>
        <w:tc>
          <w:tcPr>
            <w:tcW w:w="2926" w:type="dxa"/>
          </w:tcPr>
          <w:p w:rsidR="0022103F" w:rsidRPr="00AF3E68" w:rsidRDefault="0022103F" w:rsidP="00D650BD">
            <w:pPr>
              <w:keepNext/>
              <w:keepLines/>
              <w:outlineLvl w:val="0"/>
              <w:rPr>
                <w:sz w:val="24"/>
                <w:szCs w:val="24"/>
              </w:rPr>
            </w:pPr>
            <w:r w:rsidRPr="00AF3E68">
              <w:rPr>
                <w:noProof/>
                <w:sz w:val="24"/>
                <w:szCs w:val="24"/>
              </w:rPr>
              <w:t>Almindelig</w:t>
            </w:r>
          </w:p>
        </w:tc>
      </w:tr>
      <w:tr w:rsidR="0022103F" w:rsidRPr="00AF3E68" w:rsidTr="00D650BD">
        <w:tc>
          <w:tcPr>
            <w:tcW w:w="2926" w:type="dxa"/>
          </w:tcPr>
          <w:p w:rsidR="0022103F" w:rsidRPr="00AF3E68" w:rsidRDefault="0022103F" w:rsidP="00D650BD">
            <w:pPr>
              <w:keepNext/>
              <w:keepLines/>
              <w:outlineLvl w:val="0"/>
              <w:rPr>
                <w:sz w:val="24"/>
                <w:szCs w:val="24"/>
              </w:rPr>
            </w:pPr>
            <w:r w:rsidRPr="00AF3E68">
              <w:rPr>
                <w:noProof/>
                <w:sz w:val="24"/>
                <w:szCs w:val="24"/>
              </w:rPr>
              <w:t xml:space="preserve">Hjerte </w:t>
            </w:r>
          </w:p>
        </w:tc>
        <w:tc>
          <w:tcPr>
            <w:tcW w:w="2925" w:type="dxa"/>
          </w:tcPr>
          <w:p w:rsidR="0022103F" w:rsidRPr="00AF3E68" w:rsidRDefault="0022103F" w:rsidP="00D650BD">
            <w:pPr>
              <w:keepNext/>
              <w:keepLines/>
              <w:outlineLvl w:val="0"/>
              <w:rPr>
                <w:sz w:val="24"/>
                <w:szCs w:val="24"/>
              </w:rPr>
            </w:pPr>
            <w:r w:rsidRPr="00AF3E68">
              <w:rPr>
                <w:noProof/>
                <w:sz w:val="24"/>
                <w:szCs w:val="24"/>
              </w:rPr>
              <w:t>Hypotension</w:t>
            </w:r>
          </w:p>
        </w:tc>
        <w:tc>
          <w:tcPr>
            <w:tcW w:w="2926" w:type="dxa"/>
          </w:tcPr>
          <w:p w:rsidR="0022103F" w:rsidRPr="00AF3E68" w:rsidRDefault="0022103F" w:rsidP="00D650BD">
            <w:pPr>
              <w:keepNext/>
              <w:keepLines/>
              <w:outlineLvl w:val="0"/>
              <w:rPr>
                <w:sz w:val="24"/>
                <w:szCs w:val="24"/>
              </w:rPr>
            </w:pPr>
            <w:r w:rsidRPr="00AF3E68">
              <w:rPr>
                <w:noProof/>
                <w:sz w:val="24"/>
                <w:szCs w:val="24"/>
              </w:rPr>
              <w:t>Almindelig</w:t>
            </w:r>
          </w:p>
        </w:tc>
      </w:tr>
      <w:tr w:rsidR="0022103F" w:rsidRPr="00AF3E68" w:rsidTr="00D650BD">
        <w:tc>
          <w:tcPr>
            <w:tcW w:w="2926" w:type="dxa"/>
          </w:tcPr>
          <w:p w:rsidR="0022103F" w:rsidRPr="00AF3E68" w:rsidRDefault="0022103F" w:rsidP="00D650BD">
            <w:pPr>
              <w:keepNext/>
              <w:keepLines/>
              <w:outlineLvl w:val="0"/>
              <w:rPr>
                <w:sz w:val="24"/>
                <w:szCs w:val="24"/>
              </w:rPr>
            </w:pPr>
            <w:r w:rsidRPr="00AF3E68">
              <w:rPr>
                <w:noProof/>
                <w:sz w:val="24"/>
                <w:szCs w:val="24"/>
              </w:rPr>
              <w:t xml:space="preserve">Mave-tarm-kanalen </w:t>
            </w:r>
          </w:p>
        </w:tc>
        <w:tc>
          <w:tcPr>
            <w:tcW w:w="2925" w:type="dxa"/>
          </w:tcPr>
          <w:p w:rsidR="0022103F" w:rsidRPr="00AF3E68" w:rsidRDefault="0022103F" w:rsidP="00D650BD">
            <w:pPr>
              <w:keepNext/>
              <w:keepLines/>
              <w:outlineLvl w:val="0"/>
              <w:rPr>
                <w:sz w:val="24"/>
                <w:szCs w:val="24"/>
              </w:rPr>
            </w:pPr>
            <w:r w:rsidRPr="00AF3E68">
              <w:rPr>
                <w:noProof/>
                <w:sz w:val="24"/>
                <w:szCs w:val="24"/>
              </w:rPr>
              <w:t>Kvalme og opkastninger</w:t>
            </w:r>
          </w:p>
        </w:tc>
        <w:tc>
          <w:tcPr>
            <w:tcW w:w="2926" w:type="dxa"/>
          </w:tcPr>
          <w:p w:rsidR="0022103F" w:rsidRPr="00AF3E68" w:rsidRDefault="0022103F" w:rsidP="00D650BD">
            <w:pPr>
              <w:keepNext/>
              <w:keepLines/>
              <w:outlineLvl w:val="0"/>
              <w:rPr>
                <w:sz w:val="24"/>
                <w:szCs w:val="24"/>
              </w:rPr>
            </w:pPr>
            <w:r w:rsidRPr="00AF3E68">
              <w:rPr>
                <w:noProof/>
                <w:sz w:val="24"/>
                <w:szCs w:val="24"/>
              </w:rPr>
              <w:t>Almindelig</w:t>
            </w:r>
          </w:p>
        </w:tc>
      </w:tr>
      <w:tr w:rsidR="0022103F" w:rsidRPr="00AF3E68" w:rsidTr="00D650BD">
        <w:tc>
          <w:tcPr>
            <w:tcW w:w="2926" w:type="dxa"/>
          </w:tcPr>
          <w:p w:rsidR="0022103F" w:rsidRPr="00AF3E68" w:rsidRDefault="0022103F" w:rsidP="00D650BD">
            <w:pPr>
              <w:keepNext/>
              <w:keepLines/>
              <w:outlineLvl w:val="0"/>
              <w:rPr>
                <w:sz w:val="24"/>
                <w:szCs w:val="24"/>
              </w:rPr>
            </w:pPr>
            <w:r w:rsidRPr="00AF3E68">
              <w:rPr>
                <w:noProof/>
                <w:sz w:val="24"/>
                <w:szCs w:val="24"/>
              </w:rPr>
              <w:t xml:space="preserve">Hud og subkutane væv </w:t>
            </w:r>
          </w:p>
        </w:tc>
        <w:tc>
          <w:tcPr>
            <w:tcW w:w="2925" w:type="dxa"/>
          </w:tcPr>
          <w:p w:rsidR="0022103F" w:rsidRPr="00AF3E68" w:rsidRDefault="0022103F" w:rsidP="00D650BD">
            <w:pPr>
              <w:keepNext/>
              <w:keepLines/>
              <w:outlineLvl w:val="0"/>
              <w:rPr>
                <w:sz w:val="24"/>
                <w:szCs w:val="24"/>
              </w:rPr>
            </w:pPr>
            <w:r w:rsidRPr="00AF3E68">
              <w:rPr>
                <w:noProof/>
                <w:sz w:val="24"/>
                <w:szCs w:val="24"/>
              </w:rPr>
              <w:t>Fotosensibilitetsreaktion</w:t>
            </w:r>
          </w:p>
        </w:tc>
        <w:tc>
          <w:tcPr>
            <w:tcW w:w="2926" w:type="dxa"/>
          </w:tcPr>
          <w:p w:rsidR="0022103F" w:rsidRPr="00AF3E68" w:rsidRDefault="0022103F" w:rsidP="00D650BD">
            <w:pPr>
              <w:keepNext/>
              <w:keepLines/>
              <w:outlineLvl w:val="0"/>
              <w:rPr>
                <w:sz w:val="24"/>
                <w:szCs w:val="24"/>
              </w:rPr>
            </w:pPr>
            <w:r w:rsidRPr="00AF3E68">
              <w:rPr>
                <w:noProof/>
                <w:sz w:val="24"/>
                <w:szCs w:val="24"/>
              </w:rPr>
              <w:t>Ikke almindelig</w:t>
            </w:r>
          </w:p>
        </w:tc>
      </w:tr>
      <w:tr w:rsidR="0022103F" w:rsidRPr="00AF3E68" w:rsidTr="00D650BD">
        <w:tc>
          <w:tcPr>
            <w:tcW w:w="2926" w:type="dxa"/>
          </w:tcPr>
          <w:p w:rsidR="0022103F" w:rsidRPr="00AF3E68" w:rsidRDefault="0022103F" w:rsidP="00D650BD">
            <w:pPr>
              <w:keepNext/>
              <w:keepLines/>
              <w:outlineLvl w:val="0"/>
              <w:rPr>
                <w:sz w:val="24"/>
                <w:szCs w:val="24"/>
              </w:rPr>
            </w:pPr>
            <w:r w:rsidRPr="00AF3E68">
              <w:rPr>
                <w:noProof/>
                <w:sz w:val="24"/>
                <w:szCs w:val="24"/>
              </w:rPr>
              <w:t xml:space="preserve">Traumer, forgiftninger og behandlingskomplikationer </w:t>
            </w:r>
          </w:p>
        </w:tc>
        <w:tc>
          <w:tcPr>
            <w:tcW w:w="2925" w:type="dxa"/>
          </w:tcPr>
          <w:p w:rsidR="0022103F" w:rsidRPr="00AF3E68" w:rsidRDefault="0022103F" w:rsidP="00D650BD">
            <w:pPr>
              <w:keepNext/>
              <w:keepLines/>
              <w:outlineLvl w:val="0"/>
              <w:rPr>
                <w:sz w:val="24"/>
                <w:szCs w:val="24"/>
              </w:rPr>
            </w:pPr>
            <w:r w:rsidRPr="00AF3E68">
              <w:rPr>
                <w:noProof/>
                <w:sz w:val="24"/>
                <w:szCs w:val="24"/>
              </w:rPr>
              <w:t>Forbigående feber og Komplikationer ved venøs adgang</w:t>
            </w:r>
          </w:p>
        </w:tc>
        <w:tc>
          <w:tcPr>
            <w:tcW w:w="2926" w:type="dxa"/>
          </w:tcPr>
          <w:p w:rsidR="0022103F" w:rsidRPr="00AF3E68" w:rsidRDefault="0022103F" w:rsidP="00D650BD">
            <w:pPr>
              <w:keepNext/>
              <w:keepLines/>
              <w:outlineLvl w:val="0"/>
              <w:rPr>
                <w:sz w:val="24"/>
                <w:szCs w:val="24"/>
              </w:rPr>
            </w:pPr>
            <w:r w:rsidRPr="00AF3E68">
              <w:rPr>
                <w:noProof/>
                <w:sz w:val="24"/>
                <w:szCs w:val="24"/>
              </w:rPr>
              <w:t>Almindelig</w:t>
            </w:r>
          </w:p>
        </w:tc>
      </w:tr>
    </w:tbl>
    <w:p w:rsidR="0022103F" w:rsidRPr="00AF3E68" w:rsidRDefault="0022103F" w:rsidP="0022103F">
      <w:pPr>
        <w:ind w:left="851"/>
        <w:outlineLvl w:val="0"/>
        <w:rPr>
          <w:sz w:val="24"/>
          <w:szCs w:val="24"/>
        </w:rPr>
      </w:pPr>
    </w:p>
    <w:p w:rsidR="003075E2" w:rsidRPr="00AF3E68" w:rsidRDefault="003075E2" w:rsidP="003075E2">
      <w:pPr>
        <w:autoSpaceDE w:val="0"/>
        <w:autoSpaceDN w:val="0"/>
        <w:ind w:left="851"/>
        <w:rPr>
          <w:sz w:val="24"/>
          <w:szCs w:val="24"/>
          <w:u w:val="single"/>
        </w:rPr>
      </w:pPr>
      <w:r w:rsidRPr="00AF3E68">
        <w:rPr>
          <w:sz w:val="24"/>
          <w:szCs w:val="24"/>
          <w:u w:val="single"/>
        </w:rPr>
        <w:t>Indberetning af formodede bivirkninger</w:t>
      </w:r>
    </w:p>
    <w:p w:rsidR="003075E2" w:rsidRPr="00AF3E68" w:rsidRDefault="003075E2" w:rsidP="003075E2">
      <w:pPr>
        <w:ind w:left="851"/>
        <w:rPr>
          <w:sz w:val="24"/>
          <w:szCs w:val="24"/>
        </w:rPr>
      </w:pPr>
      <w:r w:rsidRPr="00AF3E68">
        <w:rPr>
          <w:sz w:val="24"/>
          <w:szCs w:val="24"/>
        </w:rPr>
        <w:t>Når lægemidlet er godkendt, er indberetning af formodede bivirkninger vigtig. Det muliggør løbende overvågning af benefit/</w:t>
      </w:r>
      <w:proofErr w:type="spellStart"/>
      <w:r w:rsidRPr="00AF3E68">
        <w:rPr>
          <w:sz w:val="24"/>
          <w:szCs w:val="24"/>
        </w:rPr>
        <w:t>risk</w:t>
      </w:r>
      <w:proofErr w:type="spellEnd"/>
      <w:r w:rsidRPr="00AF3E68">
        <w:rPr>
          <w:sz w:val="24"/>
          <w:szCs w:val="24"/>
        </w:rPr>
        <w:t>-forholdet for lægemidlet. Sundhedspersoner anmodes om at indberette alle formodede bivirkninger via:</w:t>
      </w:r>
    </w:p>
    <w:p w:rsidR="003075E2" w:rsidRPr="00AF3E68" w:rsidRDefault="003075E2" w:rsidP="003075E2">
      <w:pPr>
        <w:tabs>
          <w:tab w:val="left" w:pos="2440"/>
        </w:tabs>
        <w:ind w:left="851"/>
        <w:rPr>
          <w:sz w:val="24"/>
          <w:szCs w:val="24"/>
        </w:rPr>
      </w:pPr>
    </w:p>
    <w:p w:rsidR="003075E2" w:rsidRPr="00AF3E68" w:rsidRDefault="003075E2" w:rsidP="003075E2">
      <w:pPr>
        <w:ind w:left="851"/>
        <w:rPr>
          <w:sz w:val="24"/>
          <w:szCs w:val="24"/>
        </w:rPr>
      </w:pPr>
      <w:r w:rsidRPr="00AF3E68">
        <w:rPr>
          <w:sz w:val="24"/>
          <w:szCs w:val="24"/>
        </w:rPr>
        <w:t>Lægemiddelstyrelsen</w:t>
      </w:r>
    </w:p>
    <w:p w:rsidR="003075E2" w:rsidRPr="00AF3E68" w:rsidRDefault="003075E2" w:rsidP="003075E2">
      <w:pPr>
        <w:ind w:left="851"/>
        <w:rPr>
          <w:sz w:val="24"/>
          <w:szCs w:val="24"/>
        </w:rPr>
      </w:pPr>
      <w:r w:rsidRPr="00AF3E68">
        <w:rPr>
          <w:sz w:val="24"/>
          <w:szCs w:val="24"/>
        </w:rPr>
        <w:t>Axel Heides Gade 1</w:t>
      </w:r>
    </w:p>
    <w:p w:rsidR="003075E2" w:rsidRPr="00AF3E68" w:rsidRDefault="003075E2" w:rsidP="003075E2">
      <w:pPr>
        <w:ind w:left="851"/>
        <w:rPr>
          <w:sz w:val="24"/>
          <w:szCs w:val="24"/>
        </w:rPr>
      </w:pPr>
      <w:r w:rsidRPr="00AF3E68">
        <w:rPr>
          <w:sz w:val="24"/>
          <w:szCs w:val="24"/>
        </w:rPr>
        <w:t>DK-2300 København S</w:t>
      </w:r>
    </w:p>
    <w:p w:rsidR="003075E2" w:rsidRPr="00AF3E68" w:rsidRDefault="003075E2" w:rsidP="003075E2">
      <w:pPr>
        <w:ind w:left="851"/>
        <w:rPr>
          <w:sz w:val="24"/>
          <w:szCs w:val="24"/>
        </w:rPr>
      </w:pPr>
      <w:r w:rsidRPr="00AF3E68">
        <w:rPr>
          <w:sz w:val="24"/>
          <w:szCs w:val="24"/>
        </w:rPr>
        <w:t xml:space="preserve">Websted: </w:t>
      </w:r>
      <w:hyperlink r:id="rId8" w:history="1">
        <w:r w:rsidRPr="00AF3E68">
          <w:rPr>
            <w:rStyle w:val="Hyperlink"/>
            <w:sz w:val="24"/>
            <w:szCs w:val="24"/>
          </w:rPr>
          <w:t>www.meldenbivirkning.dk</w:t>
        </w:r>
      </w:hyperlink>
    </w:p>
    <w:p w:rsidR="00406000" w:rsidRPr="00AF3E68" w:rsidRDefault="00406000" w:rsidP="00B46EE9">
      <w:pPr>
        <w:ind w:left="851" w:hanging="851"/>
        <w:rPr>
          <w:bCs/>
          <w:sz w:val="24"/>
          <w:szCs w:val="24"/>
        </w:rPr>
      </w:pPr>
    </w:p>
    <w:p w:rsidR="00F138F0" w:rsidRPr="00AF3E68" w:rsidRDefault="00F138F0" w:rsidP="00F138F0">
      <w:pPr>
        <w:tabs>
          <w:tab w:val="left" w:pos="851"/>
        </w:tabs>
        <w:ind w:left="851" w:hanging="851"/>
        <w:rPr>
          <w:b/>
          <w:sz w:val="24"/>
          <w:szCs w:val="24"/>
        </w:rPr>
      </w:pPr>
      <w:r w:rsidRPr="00AF3E68">
        <w:rPr>
          <w:b/>
          <w:sz w:val="24"/>
          <w:szCs w:val="24"/>
        </w:rPr>
        <w:t>4.9</w:t>
      </w:r>
      <w:r w:rsidRPr="00AF3E68">
        <w:rPr>
          <w:b/>
          <w:sz w:val="24"/>
          <w:szCs w:val="24"/>
        </w:rPr>
        <w:tab/>
        <w:t>Overdosering</w:t>
      </w:r>
    </w:p>
    <w:p w:rsidR="00406000" w:rsidRPr="00AF3E68" w:rsidRDefault="00406000" w:rsidP="00B46EE9">
      <w:pPr>
        <w:ind w:left="851"/>
        <w:rPr>
          <w:sz w:val="24"/>
          <w:szCs w:val="24"/>
        </w:rPr>
      </w:pPr>
      <w:r w:rsidRPr="00AF3E68">
        <w:rPr>
          <w:sz w:val="24"/>
          <w:szCs w:val="24"/>
        </w:rPr>
        <w:t>Erfaringer fra dyreforsøg med intense doser tyder på en stor sikkerhedsmargen, og farlig overdosering vil med særdeles stor sandsynlighed ikke forekomme.</w:t>
      </w:r>
    </w:p>
    <w:p w:rsidR="00406000" w:rsidRPr="00AF3E68" w:rsidRDefault="00406000" w:rsidP="00B46EE9">
      <w:pPr>
        <w:ind w:left="851" w:hanging="851"/>
        <w:rPr>
          <w:sz w:val="24"/>
          <w:szCs w:val="24"/>
        </w:rPr>
      </w:pPr>
    </w:p>
    <w:p w:rsidR="00406000" w:rsidRPr="00AF3E68" w:rsidRDefault="00406000" w:rsidP="00B46EE9">
      <w:pPr>
        <w:ind w:left="851"/>
        <w:rPr>
          <w:sz w:val="24"/>
          <w:szCs w:val="24"/>
        </w:rPr>
      </w:pPr>
      <w:r w:rsidRPr="00AF3E68">
        <w:rPr>
          <w:sz w:val="24"/>
          <w:szCs w:val="24"/>
        </w:rPr>
        <w:t xml:space="preserve">Selvom der ikke findes erfaring med overdosering af </w:t>
      </w:r>
      <w:proofErr w:type="spellStart"/>
      <w:r w:rsidRPr="00AF3E68">
        <w:rPr>
          <w:sz w:val="24"/>
          <w:szCs w:val="24"/>
        </w:rPr>
        <w:t>Uvadex</w:t>
      </w:r>
      <w:proofErr w:type="spellEnd"/>
      <w:r w:rsidRPr="00AF3E68">
        <w:rPr>
          <w:sz w:val="24"/>
          <w:szCs w:val="24"/>
        </w:rPr>
        <w:t xml:space="preserve"> til mennesker, beskriver den medicinske litteratur et enkelt tilfælde af overdosering af oral </w:t>
      </w:r>
      <w:proofErr w:type="spellStart"/>
      <w:r w:rsidRPr="00AF3E68">
        <w:rPr>
          <w:sz w:val="24"/>
          <w:szCs w:val="24"/>
        </w:rPr>
        <w:t>methoxsalen</w:t>
      </w:r>
      <w:proofErr w:type="spellEnd"/>
      <w:r w:rsidRPr="00AF3E68">
        <w:rPr>
          <w:sz w:val="24"/>
          <w:szCs w:val="24"/>
        </w:rPr>
        <w:t xml:space="preserve">. En 25-årig kvinde indtog en dosis svarende til cirka 85 mg/kg legemsvægt (dvs. cirka 140 gange den terapeutiske dosis oral </w:t>
      </w:r>
      <w:proofErr w:type="spellStart"/>
      <w:r w:rsidRPr="00AF3E68">
        <w:rPr>
          <w:sz w:val="24"/>
          <w:szCs w:val="24"/>
        </w:rPr>
        <w:t>methoxsalen</w:t>
      </w:r>
      <w:proofErr w:type="spellEnd"/>
      <w:r w:rsidRPr="00AF3E68">
        <w:rPr>
          <w:sz w:val="24"/>
          <w:szCs w:val="24"/>
        </w:rPr>
        <w:t xml:space="preserve">). De mest fremtrædende symptomer på forgiftning var </w:t>
      </w:r>
      <w:proofErr w:type="spellStart"/>
      <w:r w:rsidRPr="00AF3E68">
        <w:rPr>
          <w:sz w:val="24"/>
          <w:szCs w:val="24"/>
        </w:rPr>
        <w:t>nausea</w:t>
      </w:r>
      <w:proofErr w:type="spellEnd"/>
      <w:r w:rsidRPr="00AF3E68">
        <w:rPr>
          <w:sz w:val="24"/>
          <w:szCs w:val="24"/>
        </w:rPr>
        <w:t xml:space="preserve">, opkastning og svimmelhed. Patienten opholdt sig i et mørkelagt rum, og hendes </w:t>
      </w:r>
      <w:proofErr w:type="spellStart"/>
      <w:r w:rsidRPr="00AF3E68">
        <w:rPr>
          <w:sz w:val="24"/>
          <w:szCs w:val="24"/>
        </w:rPr>
        <w:t>kardiovaskulære</w:t>
      </w:r>
      <w:proofErr w:type="spellEnd"/>
      <w:r w:rsidRPr="00AF3E68">
        <w:rPr>
          <w:sz w:val="24"/>
          <w:szCs w:val="24"/>
        </w:rPr>
        <w:t xml:space="preserve"> funktion blev overvåget. Patienten kom sig uden </w:t>
      </w:r>
      <w:proofErr w:type="spellStart"/>
      <w:r w:rsidRPr="00AF3E68">
        <w:rPr>
          <w:sz w:val="24"/>
          <w:szCs w:val="24"/>
        </w:rPr>
        <w:t>sequelae</w:t>
      </w:r>
      <w:proofErr w:type="spellEnd"/>
      <w:r w:rsidRPr="00AF3E68">
        <w:rPr>
          <w:sz w:val="24"/>
          <w:szCs w:val="24"/>
        </w:rPr>
        <w:t xml:space="preserve"> og blev udskrevet fra hospitalet 36 timer efter indlæggelse.</w:t>
      </w:r>
    </w:p>
    <w:p w:rsidR="00406000" w:rsidRPr="00AF3E68" w:rsidRDefault="00406000" w:rsidP="00B46EE9">
      <w:pPr>
        <w:ind w:left="851" w:hanging="851"/>
        <w:rPr>
          <w:sz w:val="24"/>
          <w:szCs w:val="24"/>
        </w:rPr>
      </w:pPr>
    </w:p>
    <w:p w:rsidR="00406000" w:rsidRPr="00AF3E68" w:rsidRDefault="00406000" w:rsidP="00B46EE9">
      <w:pPr>
        <w:ind w:left="851"/>
        <w:rPr>
          <w:sz w:val="24"/>
          <w:szCs w:val="24"/>
        </w:rPr>
      </w:pPr>
      <w:r w:rsidRPr="00AF3E68">
        <w:rPr>
          <w:sz w:val="24"/>
          <w:szCs w:val="24"/>
        </w:rPr>
        <w:t xml:space="preserve">Patienten skal i tilfælde af overdosering af </w:t>
      </w:r>
      <w:proofErr w:type="spellStart"/>
      <w:r w:rsidRPr="00AF3E68">
        <w:rPr>
          <w:sz w:val="24"/>
          <w:szCs w:val="24"/>
        </w:rPr>
        <w:t>methoxsalen</w:t>
      </w:r>
      <w:proofErr w:type="spellEnd"/>
      <w:r w:rsidRPr="00AF3E68">
        <w:rPr>
          <w:sz w:val="24"/>
          <w:szCs w:val="24"/>
        </w:rPr>
        <w:t xml:space="preserve"> opholde sig i et mørkelagt rum i mindst 24 timer.</w:t>
      </w:r>
    </w:p>
    <w:p w:rsidR="00406000" w:rsidRPr="00AF3E68" w:rsidRDefault="00406000" w:rsidP="00406000">
      <w:pPr>
        <w:ind w:left="851" w:hanging="851"/>
        <w:jc w:val="both"/>
        <w:rPr>
          <w:sz w:val="24"/>
          <w:szCs w:val="24"/>
        </w:rPr>
      </w:pPr>
    </w:p>
    <w:p w:rsidR="00406000" w:rsidRPr="00AF3E68" w:rsidRDefault="00406000" w:rsidP="00406000">
      <w:pPr>
        <w:ind w:left="851"/>
        <w:rPr>
          <w:sz w:val="24"/>
          <w:szCs w:val="24"/>
        </w:rPr>
      </w:pPr>
      <w:r w:rsidRPr="00AF3E68">
        <w:rPr>
          <w:color w:val="000000"/>
          <w:sz w:val="24"/>
          <w:szCs w:val="24"/>
        </w:rPr>
        <w:t xml:space="preserve">THERAKOS </w:t>
      </w:r>
      <w:r w:rsidR="00D72340" w:rsidRPr="00AF3E68">
        <w:rPr>
          <w:color w:val="000000"/>
          <w:sz w:val="24"/>
          <w:szCs w:val="24"/>
        </w:rPr>
        <w:t>CELLEX</w:t>
      </w:r>
      <w:r w:rsidR="00D72340" w:rsidRPr="00AF3E68" w:rsidDel="00085D2D">
        <w:rPr>
          <w:color w:val="000000"/>
          <w:sz w:val="24"/>
          <w:szCs w:val="24"/>
        </w:rPr>
        <w:t xml:space="preserve"> </w:t>
      </w:r>
      <w:r w:rsidR="00D72340" w:rsidRPr="00AF3E68">
        <w:rPr>
          <w:sz w:val="24"/>
          <w:szCs w:val="24"/>
        </w:rPr>
        <w:t xml:space="preserve">-instrumentet </w:t>
      </w:r>
      <w:r w:rsidRPr="00AF3E68">
        <w:rPr>
          <w:sz w:val="24"/>
          <w:szCs w:val="24"/>
        </w:rPr>
        <w:t>er konstrueret til at levere det optimale niveau af UVA-energi til den leukocytberigede blodfraktion, når eksponeringstiden indstilles til 1,5</w:t>
      </w:r>
      <w:r w:rsidR="00813596">
        <w:rPr>
          <w:sz w:val="24"/>
          <w:szCs w:val="24"/>
        </w:rPr>
        <w:t> </w:t>
      </w:r>
      <w:r w:rsidRPr="00AF3E68">
        <w:rPr>
          <w:sz w:val="24"/>
          <w:szCs w:val="24"/>
        </w:rPr>
        <w:t>timer efter opsamling. Såfremt den leukocytberigede blodfraktion overeksponeres for UVA-energi i mere end 30 ekstra minutter, må de fotoaktiverede blodlegemer ikke returneres til patienten.</w:t>
      </w:r>
    </w:p>
    <w:p w:rsidR="00406000" w:rsidRPr="00AF3E68" w:rsidRDefault="00406000" w:rsidP="00406000">
      <w:pPr>
        <w:rPr>
          <w:caps/>
          <w:sz w:val="24"/>
          <w:szCs w:val="24"/>
        </w:rPr>
      </w:pPr>
    </w:p>
    <w:p w:rsidR="00F138F0" w:rsidRPr="00AF3E68" w:rsidRDefault="00F138F0" w:rsidP="00F138F0">
      <w:pPr>
        <w:tabs>
          <w:tab w:val="left" w:pos="851"/>
        </w:tabs>
        <w:ind w:left="851" w:hanging="851"/>
        <w:rPr>
          <w:b/>
          <w:sz w:val="24"/>
          <w:szCs w:val="24"/>
        </w:rPr>
      </w:pPr>
      <w:r w:rsidRPr="00AF3E68">
        <w:rPr>
          <w:b/>
          <w:sz w:val="24"/>
          <w:szCs w:val="24"/>
        </w:rPr>
        <w:t>4.10</w:t>
      </w:r>
      <w:r w:rsidRPr="00AF3E68">
        <w:rPr>
          <w:b/>
          <w:sz w:val="24"/>
          <w:szCs w:val="24"/>
        </w:rPr>
        <w:tab/>
        <w:t>Udlevering</w:t>
      </w:r>
    </w:p>
    <w:p w:rsidR="00406000" w:rsidRPr="00AF3E68" w:rsidRDefault="00406000" w:rsidP="00406000">
      <w:pPr>
        <w:tabs>
          <w:tab w:val="left" w:pos="851"/>
        </w:tabs>
        <w:ind w:left="851" w:hanging="851"/>
        <w:rPr>
          <w:sz w:val="24"/>
          <w:szCs w:val="24"/>
        </w:rPr>
      </w:pPr>
      <w:r w:rsidRPr="00AF3E68">
        <w:rPr>
          <w:sz w:val="24"/>
          <w:szCs w:val="24"/>
        </w:rPr>
        <w:tab/>
        <w:t>BEGR</w:t>
      </w:r>
      <w:r w:rsidR="00813596">
        <w:rPr>
          <w:sz w:val="24"/>
          <w:szCs w:val="24"/>
        </w:rPr>
        <w:t xml:space="preserve"> (</w:t>
      </w:r>
      <w:r w:rsidR="00F42D88" w:rsidRPr="00AF3E68">
        <w:rPr>
          <w:sz w:val="24"/>
          <w:szCs w:val="24"/>
        </w:rPr>
        <w:t>kun til sygehuse</w:t>
      </w:r>
      <w:r w:rsidR="00813596">
        <w:rPr>
          <w:sz w:val="24"/>
          <w:szCs w:val="24"/>
        </w:rPr>
        <w:t>)</w:t>
      </w:r>
    </w:p>
    <w:p w:rsidR="00406000" w:rsidRPr="00AF3E68" w:rsidRDefault="00406000" w:rsidP="00406000">
      <w:pPr>
        <w:tabs>
          <w:tab w:val="left" w:pos="851"/>
        </w:tabs>
        <w:rPr>
          <w:sz w:val="24"/>
          <w:szCs w:val="24"/>
        </w:rPr>
      </w:pPr>
    </w:p>
    <w:p w:rsidR="00406000" w:rsidRPr="00AF3E68" w:rsidRDefault="00406000" w:rsidP="00406000">
      <w:pPr>
        <w:tabs>
          <w:tab w:val="left" w:pos="851"/>
        </w:tabs>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5.</w:t>
      </w:r>
      <w:r w:rsidRPr="00AF3E68">
        <w:rPr>
          <w:b/>
          <w:sz w:val="24"/>
          <w:szCs w:val="24"/>
        </w:rPr>
        <w:tab/>
        <w:t>FARMAKOLOGISKE EGENSKABER</w:t>
      </w:r>
    </w:p>
    <w:p w:rsidR="00F138F0" w:rsidRPr="00AF3E68" w:rsidRDefault="00F138F0" w:rsidP="00F138F0">
      <w:pPr>
        <w:tabs>
          <w:tab w:val="left" w:pos="851"/>
        </w:tabs>
        <w:ind w:left="851"/>
        <w:rPr>
          <w:sz w:val="24"/>
          <w:szCs w:val="24"/>
        </w:rPr>
      </w:pPr>
    </w:p>
    <w:p w:rsidR="00F138F0" w:rsidRPr="00AF3E68" w:rsidRDefault="00F138F0" w:rsidP="00F138F0">
      <w:pPr>
        <w:tabs>
          <w:tab w:val="num" w:pos="851"/>
        </w:tabs>
        <w:ind w:left="851" w:hanging="851"/>
        <w:rPr>
          <w:b/>
          <w:sz w:val="24"/>
          <w:szCs w:val="24"/>
        </w:rPr>
      </w:pPr>
      <w:r w:rsidRPr="00AF3E68">
        <w:rPr>
          <w:b/>
          <w:sz w:val="24"/>
          <w:szCs w:val="24"/>
        </w:rPr>
        <w:t>5.1</w:t>
      </w:r>
      <w:r w:rsidRPr="00AF3E68">
        <w:rPr>
          <w:b/>
          <w:sz w:val="24"/>
          <w:szCs w:val="24"/>
        </w:rPr>
        <w:tab/>
      </w:r>
      <w:proofErr w:type="spellStart"/>
      <w:r w:rsidRPr="00AF3E68">
        <w:rPr>
          <w:b/>
          <w:sz w:val="24"/>
          <w:szCs w:val="24"/>
        </w:rPr>
        <w:t>Farmakodynamiske</w:t>
      </w:r>
      <w:proofErr w:type="spellEnd"/>
      <w:r w:rsidRPr="00AF3E68">
        <w:rPr>
          <w:b/>
          <w:sz w:val="24"/>
          <w:szCs w:val="24"/>
        </w:rPr>
        <w:t xml:space="preserve"> egenskaber</w:t>
      </w:r>
    </w:p>
    <w:p w:rsidR="00F138F0" w:rsidRPr="00AF3E68" w:rsidRDefault="00F138F0" w:rsidP="00F138F0">
      <w:pPr>
        <w:ind w:left="851"/>
        <w:rPr>
          <w:sz w:val="24"/>
          <w:szCs w:val="24"/>
        </w:rPr>
      </w:pPr>
      <w:proofErr w:type="spellStart"/>
      <w:r w:rsidRPr="00AF3E68">
        <w:rPr>
          <w:sz w:val="24"/>
          <w:szCs w:val="24"/>
        </w:rPr>
        <w:t>Farmakoterapeutisk</w:t>
      </w:r>
      <w:proofErr w:type="spellEnd"/>
      <w:r w:rsidRPr="00AF3E68">
        <w:rPr>
          <w:sz w:val="24"/>
          <w:szCs w:val="24"/>
        </w:rPr>
        <w:t xml:space="preserve"> klassifikation: </w:t>
      </w:r>
      <w:proofErr w:type="spellStart"/>
      <w:r w:rsidRPr="00AF3E68">
        <w:rPr>
          <w:sz w:val="24"/>
          <w:szCs w:val="24"/>
        </w:rPr>
        <w:t>Antineoplastiske</w:t>
      </w:r>
      <w:proofErr w:type="spellEnd"/>
      <w:r w:rsidRPr="00AF3E68">
        <w:rPr>
          <w:sz w:val="24"/>
          <w:szCs w:val="24"/>
        </w:rPr>
        <w:t xml:space="preserve"> og immunmodulerende stoffer</w:t>
      </w:r>
      <w:r w:rsidRPr="00AF3E68">
        <w:rPr>
          <w:sz w:val="24"/>
          <w:szCs w:val="24"/>
        </w:rPr>
        <w:t xml:space="preserve">, </w:t>
      </w:r>
      <w:r w:rsidRPr="00AF3E68">
        <w:rPr>
          <w:bCs/>
          <w:sz w:val="24"/>
          <w:szCs w:val="24"/>
        </w:rPr>
        <w:t>ATC-kode: L03AX.</w:t>
      </w:r>
    </w:p>
    <w:p w:rsidR="00F138F0" w:rsidRPr="00AF3E68" w:rsidRDefault="00F138F0" w:rsidP="00F138F0">
      <w:pPr>
        <w:ind w:left="851"/>
        <w:rPr>
          <w:sz w:val="24"/>
          <w:szCs w:val="24"/>
        </w:rPr>
      </w:pPr>
    </w:p>
    <w:p w:rsidR="0022103F" w:rsidRPr="00AF3E68" w:rsidRDefault="0022103F" w:rsidP="00AC73D7">
      <w:pPr>
        <w:ind w:left="851"/>
        <w:rPr>
          <w:sz w:val="24"/>
          <w:szCs w:val="24"/>
          <w:u w:val="single"/>
        </w:rPr>
      </w:pPr>
      <w:r w:rsidRPr="00AF3E68">
        <w:rPr>
          <w:sz w:val="24"/>
          <w:szCs w:val="24"/>
          <w:u w:val="single"/>
        </w:rPr>
        <w:t>Virkningsmekanisme</w:t>
      </w:r>
    </w:p>
    <w:p w:rsidR="00406000" w:rsidRPr="00AF3E68" w:rsidRDefault="00406000" w:rsidP="00AC73D7">
      <w:pPr>
        <w:ind w:left="851"/>
        <w:rPr>
          <w:sz w:val="24"/>
          <w:szCs w:val="24"/>
        </w:rPr>
      </w:pPr>
      <w:proofErr w:type="spellStart"/>
      <w:r w:rsidRPr="00AF3E68">
        <w:rPr>
          <w:sz w:val="24"/>
          <w:szCs w:val="24"/>
        </w:rPr>
        <w:t>Methoxsalen</w:t>
      </w:r>
      <w:proofErr w:type="spellEnd"/>
      <w:r w:rsidRPr="00AF3E68">
        <w:rPr>
          <w:sz w:val="24"/>
          <w:szCs w:val="24"/>
        </w:rPr>
        <w:t xml:space="preserve"> er et fotosensibiliserende middel, som fortrinsvis akkumuleres i </w:t>
      </w:r>
      <w:proofErr w:type="spellStart"/>
      <w:r w:rsidRPr="00AF3E68">
        <w:rPr>
          <w:sz w:val="24"/>
          <w:szCs w:val="24"/>
        </w:rPr>
        <w:t>epidermale</w:t>
      </w:r>
      <w:proofErr w:type="spellEnd"/>
      <w:r w:rsidRPr="00AF3E68">
        <w:rPr>
          <w:sz w:val="24"/>
          <w:szCs w:val="24"/>
        </w:rPr>
        <w:t xml:space="preserve"> celler.</w:t>
      </w:r>
    </w:p>
    <w:p w:rsidR="00406000" w:rsidRPr="00AF3E68" w:rsidRDefault="00406000" w:rsidP="00AC73D7">
      <w:pPr>
        <w:ind w:left="851"/>
        <w:rPr>
          <w:sz w:val="24"/>
          <w:szCs w:val="24"/>
        </w:rPr>
      </w:pPr>
    </w:p>
    <w:p w:rsidR="00CA5094" w:rsidRPr="00AF3E68" w:rsidRDefault="00406000" w:rsidP="00AC73D7">
      <w:pPr>
        <w:ind w:left="851"/>
        <w:rPr>
          <w:sz w:val="24"/>
          <w:szCs w:val="24"/>
        </w:rPr>
      </w:pPr>
      <w:r w:rsidRPr="00AF3E68">
        <w:rPr>
          <w:sz w:val="24"/>
          <w:szCs w:val="24"/>
        </w:rPr>
        <w:t xml:space="preserve">Selvom fotokemoterapi er blevet anvendt klinisk i mange år, er den mekanisme, som gør behandlingen effektiv, endnu ikke belyst fuldt ud. Selvom den nøjagtige virkningsmåde endnu ikke er fastlagt, er det generelt anerkendt, at de molekylære processer, som fører til </w:t>
      </w:r>
      <w:proofErr w:type="spellStart"/>
      <w:r w:rsidRPr="00AF3E68">
        <w:rPr>
          <w:sz w:val="24"/>
          <w:szCs w:val="24"/>
        </w:rPr>
        <w:t>apoptotisk</w:t>
      </w:r>
      <w:proofErr w:type="spellEnd"/>
      <w:r w:rsidRPr="00AF3E68">
        <w:rPr>
          <w:sz w:val="24"/>
          <w:szCs w:val="24"/>
        </w:rPr>
        <w:t xml:space="preserve"> </w:t>
      </w:r>
      <w:proofErr w:type="spellStart"/>
      <w:r w:rsidRPr="00AF3E68">
        <w:rPr>
          <w:sz w:val="24"/>
          <w:szCs w:val="24"/>
        </w:rPr>
        <w:t>celledød</w:t>
      </w:r>
      <w:proofErr w:type="spellEnd"/>
      <w:r w:rsidRPr="00AF3E68">
        <w:rPr>
          <w:sz w:val="24"/>
          <w:szCs w:val="24"/>
        </w:rPr>
        <w:t xml:space="preserve">, indebærer </w:t>
      </w:r>
      <w:proofErr w:type="spellStart"/>
      <w:r w:rsidRPr="00AF3E68">
        <w:rPr>
          <w:sz w:val="24"/>
          <w:szCs w:val="24"/>
        </w:rPr>
        <w:t>interkalering</w:t>
      </w:r>
      <w:proofErr w:type="spellEnd"/>
      <w:r w:rsidRPr="00AF3E68">
        <w:rPr>
          <w:sz w:val="24"/>
          <w:szCs w:val="24"/>
        </w:rPr>
        <w:t xml:space="preserve"> af </w:t>
      </w:r>
      <w:proofErr w:type="spellStart"/>
      <w:r w:rsidRPr="00AF3E68">
        <w:rPr>
          <w:sz w:val="24"/>
          <w:szCs w:val="24"/>
        </w:rPr>
        <w:t>methoxsalen</w:t>
      </w:r>
      <w:proofErr w:type="spellEnd"/>
      <w:r w:rsidRPr="00AF3E68">
        <w:rPr>
          <w:sz w:val="24"/>
          <w:szCs w:val="24"/>
        </w:rPr>
        <w:t xml:space="preserve"> ind i det dobbeltstrengede DNA-molekyle i kernen. De nukleinsyre-</w:t>
      </w:r>
      <w:proofErr w:type="spellStart"/>
      <w:r w:rsidRPr="00AF3E68">
        <w:rPr>
          <w:sz w:val="24"/>
          <w:szCs w:val="24"/>
        </w:rPr>
        <w:t>furocoumarin</w:t>
      </w:r>
      <w:proofErr w:type="spellEnd"/>
      <w:r w:rsidRPr="00AF3E68">
        <w:rPr>
          <w:sz w:val="24"/>
          <w:szCs w:val="24"/>
        </w:rPr>
        <w:t xml:space="preserve">-komplekser, der dannes i denne </w:t>
      </w:r>
      <w:proofErr w:type="spellStart"/>
      <w:r w:rsidRPr="00AF3E68">
        <w:rPr>
          <w:sz w:val="24"/>
          <w:szCs w:val="24"/>
        </w:rPr>
        <w:t>interkaleringsproces</w:t>
      </w:r>
      <w:proofErr w:type="spellEnd"/>
      <w:r w:rsidRPr="00AF3E68">
        <w:rPr>
          <w:sz w:val="24"/>
          <w:szCs w:val="24"/>
        </w:rPr>
        <w:t xml:space="preserve">, involverer svage bindingskræfter, såsom Van der </w:t>
      </w:r>
      <w:proofErr w:type="spellStart"/>
      <w:r w:rsidRPr="00AF3E68">
        <w:rPr>
          <w:sz w:val="24"/>
          <w:szCs w:val="24"/>
        </w:rPr>
        <w:t>Waals</w:t>
      </w:r>
      <w:proofErr w:type="spellEnd"/>
      <w:r w:rsidRPr="00AF3E68">
        <w:rPr>
          <w:sz w:val="24"/>
          <w:szCs w:val="24"/>
        </w:rPr>
        <w:t xml:space="preserve">, hydrogenbinding og hydrofile kræfter. Deres dannelse reverseres nemt, og uden fotoaktivering er de uden farmakologisk betydning. I forbindelse med aktivering ved eksponering for UVA-lys binder </w:t>
      </w:r>
      <w:proofErr w:type="spellStart"/>
      <w:r w:rsidRPr="00AF3E68">
        <w:rPr>
          <w:sz w:val="24"/>
          <w:szCs w:val="24"/>
        </w:rPr>
        <w:t>methoxsalen</w:t>
      </w:r>
      <w:proofErr w:type="spellEnd"/>
      <w:r w:rsidRPr="00AF3E68">
        <w:rPr>
          <w:sz w:val="24"/>
          <w:szCs w:val="24"/>
        </w:rPr>
        <w:t xml:space="preserve"> dog til </w:t>
      </w:r>
      <w:proofErr w:type="spellStart"/>
      <w:r w:rsidRPr="00AF3E68">
        <w:rPr>
          <w:sz w:val="24"/>
          <w:szCs w:val="24"/>
        </w:rPr>
        <w:t>pyrimidinbaser</w:t>
      </w:r>
      <w:proofErr w:type="spellEnd"/>
      <w:r w:rsidRPr="00AF3E68">
        <w:rPr>
          <w:sz w:val="24"/>
          <w:szCs w:val="24"/>
        </w:rPr>
        <w:t xml:space="preserve"> af nukleinsyren (thymin, cytosin og </w:t>
      </w:r>
      <w:proofErr w:type="spellStart"/>
      <w:r w:rsidRPr="00AF3E68">
        <w:rPr>
          <w:sz w:val="24"/>
          <w:szCs w:val="24"/>
        </w:rPr>
        <w:t>uracil</w:t>
      </w:r>
      <w:proofErr w:type="spellEnd"/>
      <w:r w:rsidRPr="00AF3E68">
        <w:rPr>
          <w:sz w:val="24"/>
          <w:szCs w:val="24"/>
        </w:rPr>
        <w:t xml:space="preserve">) og danner kovalente krydsforbindelser mellem de to DNA-strenge. Reaktionen opstår i få mikrosekunder, og det aktive stof vender straks tilbage til sin inaktive form, når bestrålingen standser. </w:t>
      </w:r>
    </w:p>
    <w:p w:rsidR="00CA5094" w:rsidRPr="00AF3E68" w:rsidRDefault="00CA5094" w:rsidP="00AC73D7">
      <w:pPr>
        <w:ind w:left="851"/>
        <w:rPr>
          <w:sz w:val="24"/>
          <w:szCs w:val="24"/>
        </w:rPr>
      </w:pPr>
    </w:p>
    <w:p w:rsidR="00CA5094" w:rsidRPr="00AF3E68" w:rsidRDefault="00CA5094" w:rsidP="00AC73D7">
      <w:pPr>
        <w:ind w:left="851"/>
        <w:rPr>
          <w:sz w:val="24"/>
          <w:szCs w:val="24"/>
          <w:u w:val="single"/>
        </w:rPr>
      </w:pPr>
      <w:proofErr w:type="spellStart"/>
      <w:r w:rsidRPr="00AF3E68">
        <w:rPr>
          <w:sz w:val="24"/>
          <w:szCs w:val="24"/>
          <w:u w:val="single"/>
        </w:rPr>
        <w:t>Farmakodynamisk</w:t>
      </w:r>
      <w:proofErr w:type="spellEnd"/>
      <w:r w:rsidRPr="00AF3E68">
        <w:rPr>
          <w:sz w:val="24"/>
          <w:szCs w:val="24"/>
          <w:u w:val="single"/>
        </w:rPr>
        <w:t xml:space="preserve"> virkning</w:t>
      </w:r>
    </w:p>
    <w:p w:rsidR="00406000" w:rsidRPr="00AF3E68" w:rsidRDefault="00406000" w:rsidP="00AC73D7">
      <w:pPr>
        <w:ind w:left="851"/>
        <w:rPr>
          <w:sz w:val="24"/>
          <w:szCs w:val="24"/>
        </w:rPr>
      </w:pPr>
      <w:r w:rsidRPr="00AF3E68">
        <w:rPr>
          <w:sz w:val="24"/>
          <w:szCs w:val="24"/>
        </w:rPr>
        <w:t xml:space="preserve">Dannelsen af disse </w:t>
      </w:r>
      <w:proofErr w:type="spellStart"/>
      <w:r w:rsidRPr="00AF3E68">
        <w:rPr>
          <w:sz w:val="24"/>
          <w:szCs w:val="24"/>
        </w:rPr>
        <w:t>fotoaddukter</w:t>
      </w:r>
      <w:proofErr w:type="spellEnd"/>
      <w:r w:rsidRPr="00AF3E68">
        <w:rPr>
          <w:sz w:val="24"/>
          <w:szCs w:val="24"/>
        </w:rPr>
        <w:t xml:space="preserve"> resulterer i </w:t>
      </w:r>
      <w:proofErr w:type="spellStart"/>
      <w:r w:rsidRPr="00AF3E68">
        <w:rPr>
          <w:sz w:val="24"/>
          <w:szCs w:val="24"/>
        </w:rPr>
        <w:t>proliferativ</w:t>
      </w:r>
      <w:proofErr w:type="spellEnd"/>
      <w:r w:rsidRPr="00AF3E68">
        <w:rPr>
          <w:sz w:val="24"/>
          <w:szCs w:val="24"/>
        </w:rPr>
        <w:t xml:space="preserve"> standsning af lymfocytter, som dør i løbet af cirka 72 timer. Denne heftige virkning på T-cellen er sandsynligvis en mindre betydelig effekt for så vidt angår den terapeutiske effektivitet. En stadig større bevismængde tyder på, at </w:t>
      </w:r>
      <w:proofErr w:type="spellStart"/>
      <w:r w:rsidRPr="00AF3E68">
        <w:rPr>
          <w:sz w:val="24"/>
          <w:szCs w:val="24"/>
        </w:rPr>
        <w:t>fotoferesen</w:t>
      </w:r>
      <w:proofErr w:type="spellEnd"/>
      <w:r w:rsidRPr="00AF3E68">
        <w:rPr>
          <w:sz w:val="24"/>
          <w:szCs w:val="24"/>
        </w:rPr>
        <w:t xml:space="preserve"> kan fungere som en </w:t>
      </w:r>
      <w:proofErr w:type="spellStart"/>
      <w:r w:rsidRPr="00AF3E68">
        <w:rPr>
          <w:sz w:val="24"/>
          <w:szCs w:val="24"/>
        </w:rPr>
        <w:t>immunmodulator</w:t>
      </w:r>
      <w:proofErr w:type="spellEnd"/>
      <w:r w:rsidRPr="00AF3E68">
        <w:rPr>
          <w:sz w:val="24"/>
          <w:szCs w:val="24"/>
        </w:rPr>
        <w:t xml:space="preserve">, der fører til stigningen i systemiske </w:t>
      </w:r>
      <w:proofErr w:type="spellStart"/>
      <w:r w:rsidRPr="00AF3E68">
        <w:rPr>
          <w:sz w:val="24"/>
          <w:szCs w:val="24"/>
        </w:rPr>
        <w:t>antitumorreaktioner</w:t>
      </w:r>
      <w:proofErr w:type="spellEnd"/>
      <w:r w:rsidRPr="00AF3E68">
        <w:rPr>
          <w:sz w:val="24"/>
          <w:szCs w:val="24"/>
        </w:rPr>
        <w:t>.</w:t>
      </w:r>
    </w:p>
    <w:p w:rsidR="00406000" w:rsidRPr="00AF3E68" w:rsidRDefault="00406000" w:rsidP="00AC73D7">
      <w:pPr>
        <w:ind w:left="851"/>
        <w:rPr>
          <w:sz w:val="24"/>
          <w:szCs w:val="24"/>
        </w:rPr>
      </w:pPr>
    </w:p>
    <w:p w:rsidR="00CA5094" w:rsidRPr="00AF3E68" w:rsidRDefault="00CA5094" w:rsidP="00AC73D7">
      <w:pPr>
        <w:ind w:left="851"/>
        <w:rPr>
          <w:sz w:val="24"/>
          <w:szCs w:val="24"/>
          <w:u w:val="single"/>
        </w:rPr>
      </w:pPr>
      <w:r w:rsidRPr="00AF3E68">
        <w:rPr>
          <w:sz w:val="24"/>
          <w:szCs w:val="24"/>
          <w:u w:val="single"/>
        </w:rPr>
        <w:t>Klinisk virkning og sikkerhed</w:t>
      </w:r>
    </w:p>
    <w:p w:rsidR="00406000" w:rsidRPr="00AF3E68" w:rsidRDefault="00406000" w:rsidP="00AC73D7">
      <w:pPr>
        <w:ind w:left="851"/>
        <w:rPr>
          <w:sz w:val="24"/>
          <w:szCs w:val="24"/>
        </w:rPr>
      </w:pPr>
      <w:r w:rsidRPr="00AF3E68">
        <w:rPr>
          <w:sz w:val="24"/>
          <w:szCs w:val="24"/>
        </w:rPr>
        <w:t xml:space="preserve">Effekten af </w:t>
      </w:r>
      <w:proofErr w:type="spellStart"/>
      <w:r w:rsidRPr="00AF3E68">
        <w:rPr>
          <w:sz w:val="24"/>
          <w:szCs w:val="24"/>
        </w:rPr>
        <w:t>Uvadex</w:t>
      </w:r>
      <w:proofErr w:type="spellEnd"/>
      <w:r w:rsidRPr="00AF3E68">
        <w:rPr>
          <w:sz w:val="24"/>
          <w:szCs w:val="24"/>
        </w:rPr>
        <w:t xml:space="preserve"> har været undersøgt i ét enkeltsporet, ukontrolleret, åbent multicenterforsøg med 51 patienter. Patienter, som havde tumorer på mindst 5 mm i diameter, samt patienter, der havde klinisk evident CTCL med inddragelse af lever, milt, knoglemarv eller andre indre organer, blev ikke inkluderet i dette forsøg. Inden for de første seks måneders behandling blev der for 17/51 patienter (33 %) indberettet tilstrækkelig klinisk respons. Oplysninger om definitionen af tilstrækkelig klinisk respons findes under pkt. 4.2.</w:t>
      </w:r>
    </w:p>
    <w:p w:rsidR="00406000" w:rsidRPr="00AF3E68" w:rsidRDefault="00406000" w:rsidP="00AC73D7">
      <w:pPr>
        <w:ind w:left="851"/>
        <w:rPr>
          <w:bCs/>
          <w:sz w:val="24"/>
          <w:szCs w:val="24"/>
        </w:rPr>
      </w:pPr>
    </w:p>
    <w:p w:rsidR="00F138F0" w:rsidRPr="00AF3E68" w:rsidRDefault="00F138F0" w:rsidP="00F138F0">
      <w:pPr>
        <w:tabs>
          <w:tab w:val="left" w:pos="851"/>
        </w:tabs>
        <w:ind w:left="851" w:hanging="851"/>
        <w:rPr>
          <w:b/>
          <w:sz w:val="24"/>
          <w:szCs w:val="24"/>
        </w:rPr>
      </w:pPr>
      <w:r w:rsidRPr="00AF3E68">
        <w:rPr>
          <w:b/>
          <w:sz w:val="24"/>
          <w:szCs w:val="24"/>
        </w:rPr>
        <w:t>5.2</w:t>
      </w:r>
      <w:r w:rsidRPr="00AF3E68">
        <w:rPr>
          <w:b/>
          <w:sz w:val="24"/>
          <w:szCs w:val="24"/>
        </w:rPr>
        <w:tab/>
      </w:r>
      <w:proofErr w:type="spellStart"/>
      <w:r w:rsidRPr="00AF3E68">
        <w:rPr>
          <w:b/>
          <w:sz w:val="24"/>
          <w:szCs w:val="24"/>
        </w:rPr>
        <w:t>Farmakokinetiske</w:t>
      </w:r>
      <w:proofErr w:type="spellEnd"/>
      <w:r w:rsidRPr="00AF3E68">
        <w:rPr>
          <w:b/>
          <w:sz w:val="24"/>
          <w:szCs w:val="24"/>
        </w:rPr>
        <w:t xml:space="preserve"> egenskaber</w:t>
      </w:r>
    </w:p>
    <w:p w:rsidR="00CA5094" w:rsidRPr="00AF3E68" w:rsidRDefault="00CA5094" w:rsidP="002B5D61">
      <w:pPr>
        <w:ind w:left="851"/>
        <w:rPr>
          <w:sz w:val="24"/>
          <w:szCs w:val="24"/>
        </w:rPr>
      </w:pPr>
    </w:p>
    <w:p w:rsidR="00CA5094" w:rsidRPr="00AF3E68" w:rsidRDefault="00CA5094" w:rsidP="00CA5094">
      <w:pPr>
        <w:ind w:left="851"/>
        <w:rPr>
          <w:sz w:val="24"/>
          <w:szCs w:val="24"/>
          <w:u w:val="single"/>
        </w:rPr>
      </w:pPr>
      <w:r w:rsidRPr="00AF3E68">
        <w:rPr>
          <w:sz w:val="24"/>
          <w:szCs w:val="24"/>
          <w:u w:val="single"/>
        </w:rPr>
        <w:t>Absorption</w:t>
      </w:r>
    </w:p>
    <w:p w:rsidR="00406000" w:rsidRPr="00AF3E68" w:rsidRDefault="00406000" w:rsidP="002B5D61">
      <w:pPr>
        <w:ind w:left="851"/>
        <w:rPr>
          <w:sz w:val="24"/>
          <w:szCs w:val="24"/>
        </w:rPr>
      </w:pPr>
      <w:r w:rsidRPr="00AF3E68">
        <w:rPr>
          <w:sz w:val="24"/>
          <w:szCs w:val="24"/>
        </w:rPr>
        <w:t xml:space="preserve">Farmakokinetikken for intravenøst administreret </w:t>
      </w:r>
      <w:proofErr w:type="spellStart"/>
      <w:r w:rsidRPr="00AF3E68">
        <w:rPr>
          <w:sz w:val="24"/>
          <w:szCs w:val="24"/>
        </w:rPr>
        <w:t>methoxsalen</w:t>
      </w:r>
      <w:proofErr w:type="spellEnd"/>
      <w:r w:rsidRPr="00AF3E68">
        <w:rPr>
          <w:sz w:val="24"/>
          <w:szCs w:val="24"/>
        </w:rPr>
        <w:t xml:space="preserve"> er blevet undersøgt i tre grupper raske frivillige, som fik 5, 10 eller 15 mg </w:t>
      </w:r>
      <w:proofErr w:type="spellStart"/>
      <w:r w:rsidRPr="00AF3E68">
        <w:rPr>
          <w:sz w:val="24"/>
          <w:szCs w:val="24"/>
        </w:rPr>
        <w:t>methoxsalen</w:t>
      </w:r>
      <w:proofErr w:type="spellEnd"/>
      <w:r w:rsidRPr="00AF3E68">
        <w:rPr>
          <w:sz w:val="24"/>
          <w:szCs w:val="24"/>
        </w:rPr>
        <w:t xml:space="preserve"> </w:t>
      </w:r>
      <w:proofErr w:type="spellStart"/>
      <w:r w:rsidRPr="00AF3E68">
        <w:rPr>
          <w:sz w:val="24"/>
          <w:szCs w:val="24"/>
        </w:rPr>
        <w:t>infunderet</w:t>
      </w:r>
      <w:proofErr w:type="spellEnd"/>
      <w:r w:rsidRPr="00AF3E68">
        <w:rPr>
          <w:sz w:val="24"/>
          <w:szCs w:val="24"/>
        </w:rPr>
        <w:t xml:space="preserve"> i 60 minutter. Farmakokinetikken for </w:t>
      </w:r>
      <w:proofErr w:type="spellStart"/>
      <w:r w:rsidRPr="00AF3E68">
        <w:rPr>
          <w:sz w:val="24"/>
          <w:szCs w:val="24"/>
        </w:rPr>
        <w:t>methoxsalen</w:t>
      </w:r>
      <w:proofErr w:type="spellEnd"/>
      <w:r w:rsidRPr="00AF3E68">
        <w:rPr>
          <w:sz w:val="24"/>
          <w:szCs w:val="24"/>
        </w:rPr>
        <w:t xml:space="preserve"> blev beskrevet bedst med en 3-kamret </w:t>
      </w:r>
      <w:proofErr w:type="spellStart"/>
      <w:r w:rsidRPr="00AF3E68">
        <w:rPr>
          <w:sz w:val="24"/>
          <w:szCs w:val="24"/>
        </w:rPr>
        <w:t>mammillærmodel</w:t>
      </w:r>
      <w:proofErr w:type="spellEnd"/>
      <w:r w:rsidRPr="00AF3E68">
        <w:rPr>
          <w:sz w:val="24"/>
          <w:szCs w:val="24"/>
        </w:rPr>
        <w:t xml:space="preserve">, hvor volumen og </w:t>
      </w:r>
      <w:proofErr w:type="spellStart"/>
      <w:r w:rsidRPr="00AF3E68">
        <w:rPr>
          <w:sz w:val="24"/>
          <w:szCs w:val="24"/>
        </w:rPr>
        <w:t>clearance</w:t>
      </w:r>
      <w:proofErr w:type="spellEnd"/>
      <w:r w:rsidRPr="00AF3E68">
        <w:rPr>
          <w:sz w:val="24"/>
          <w:szCs w:val="24"/>
        </w:rPr>
        <w:t xml:space="preserve"> var proportional med vægt. De gennemsnitlige </w:t>
      </w:r>
      <w:proofErr w:type="spellStart"/>
      <w:r w:rsidRPr="00AF3E68">
        <w:rPr>
          <w:sz w:val="24"/>
          <w:szCs w:val="24"/>
        </w:rPr>
        <w:t>farmakokinetiske</w:t>
      </w:r>
      <w:proofErr w:type="spellEnd"/>
      <w:r w:rsidRPr="00AF3E68">
        <w:rPr>
          <w:sz w:val="24"/>
          <w:szCs w:val="24"/>
        </w:rPr>
        <w:t xml:space="preserve"> parametre er vist i nedenstående tabel.</w:t>
      </w:r>
    </w:p>
    <w:p w:rsidR="00406000" w:rsidRPr="00AF3E68" w:rsidRDefault="00406000" w:rsidP="002B5D61">
      <w:pPr>
        <w:ind w:left="851"/>
        <w:rPr>
          <w:sz w:val="24"/>
          <w:szCs w:val="24"/>
        </w:rPr>
      </w:pPr>
      <w:r w:rsidRPr="00AF3E68">
        <w:rPr>
          <w:sz w:val="24"/>
          <w:szCs w:val="24"/>
        </w:rPr>
        <w:t xml:space="preserve">Oversigt over </w:t>
      </w:r>
      <w:proofErr w:type="spellStart"/>
      <w:r w:rsidRPr="00AF3E68">
        <w:rPr>
          <w:sz w:val="24"/>
          <w:szCs w:val="24"/>
        </w:rPr>
        <w:t>farmakokinetiske</w:t>
      </w:r>
      <w:proofErr w:type="spellEnd"/>
      <w:r w:rsidRPr="00AF3E68">
        <w:rPr>
          <w:sz w:val="24"/>
          <w:szCs w:val="24"/>
        </w:rPr>
        <w:t xml:space="preserve"> parametre for intravenøst administreret </w:t>
      </w:r>
      <w:proofErr w:type="spellStart"/>
      <w:r w:rsidRPr="00AF3E68">
        <w:rPr>
          <w:sz w:val="24"/>
          <w:szCs w:val="24"/>
        </w:rPr>
        <w:t>methoxsalen</w:t>
      </w:r>
      <w:proofErr w:type="spellEnd"/>
    </w:p>
    <w:p w:rsidR="00406000" w:rsidRPr="00AF3E68" w:rsidRDefault="00406000" w:rsidP="00406000">
      <w:pPr>
        <w:ind w:left="851" w:hanging="851"/>
        <w:jc w:val="both"/>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32"/>
        <w:gridCol w:w="1578"/>
        <w:gridCol w:w="1578"/>
        <w:gridCol w:w="1578"/>
        <w:gridCol w:w="1578"/>
        <w:gridCol w:w="1578"/>
      </w:tblGrid>
      <w:tr w:rsidR="00406000" w:rsidRPr="00AF3E68" w:rsidTr="00AC73D7">
        <w:trPr>
          <w:trHeight w:val="503"/>
        </w:trPr>
        <w:tc>
          <w:tcPr>
            <w:tcW w:w="900" w:type="pct"/>
            <w:tcBorders>
              <w:top w:val="single" w:sz="6" w:space="0" w:color="auto"/>
              <w:left w:val="single" w:sz="6" w:space="0" w:color="auto"/>
              <w:bottom w:val="double" w:sz="4" w:space="0" w:color="auto"/>
              <w:right w:val="single" w:sz="6" w:space="0" w:color="auto"/>
            </w:tcBorders>
          </w:tcPr>
          <w:p w:rsidR="00406000" w:rsidRPr="00AF3E68" w:rsidRDefault="00406000" w:rsidP="002B5D61"/>
        </w:tc>
        <w:tc>
          <w:tcPr>
            <w:tcW w:w="820" w:type="pct"/>
            <w:tcBorders>
              <w:top w:val="single" w:sz="6" w:space="0" w:color="auto"/>
              <w:left w:val="single" w:sz="6" w:space="0" w:color="auto"/>
              <w:bottom w:val="double" w:sz="4" w:space="0" w:color="auto"/>
              <w:right w:val="single" w:sz="6" w:space="0" w:color="auto"/>
            </w:tcBorders>
          </w:tcPr>
          <w:p w:rsidR="00406000" w:rsidRPr="00AF3E68" w:rsidRDefault="00406000" w:rsidP="002B5D61">
            <w:pPr>
              <w:jc w:val="center"/>
              <w:rPr>
                <w:vertAlign w:val="subscript"/>
              </w:rPr>
            </w:pPr>
            <w:proofErr w:type="spellStart"/>
            <w:r w:rsidRPr="00AF3E68">
              <w:t>C</w:t>
            </w:r>
            <w:r w:rsidRPr="00AF3E68">
              <w:rPr>
                <w:vertAlign w:val="subscript"/>
              </w:rPr>
              <w:t>maks</w:t>
            </w:r>
            <w:proofErr w:type="spellEnd"/>
          </w:p>
          <w:p w:rsidR="00406000" w:rsidRPr="00AF3E68" w:rsidRDefault="00406000" w:rsidP="002B5D61">
            <w:pPr>
              <w:jc w:val="center"/>
            </w:pPr>
            <w:r w:rsidRPr="00AF3E68">
              <w:t>(</w:t>
            </w:r>
            <w:proofErr w:type="spellStart"/>
            <w:r w:rsidRPr="00AF3E68">
              <w:t>ng</w:t>
            </w:r>
            <w:proofErr w:type="spellEnd"/>
            <w:r w:rsidRPr="00AF3E68">
              <w:t xml:space="preserve"> ml</w:t>
            </w:r>
            <w:r w:rsidRPr="00AF3E68">
              <w:rPr>
                <w:vertAlign w:val="superscript"/>
              </w:rPr>
              <w:t>-1</w:t>
            </w:r>
            <w:r w:rsidRPr="00AF3E68">
              <w:t>)</w:t>
            </w:r>
          </w:p>
        </w:tc>
        <w:tc>
          <w:tcPr>
            <w:tcW w:w="820" w:type="pct"/>
            <w:tcBorders>
              <w:top w:val="single" w:sz="6" w:space="0" w:color="auto"/>
              <w:left w:val="single" w:sz="6" w:space="0" w:color="auto"/>
              <w:bottom w:val="double" w:sz="4" w:space="0" w:color="auto"/>
              <w:right w:val="single" w:sz="6" w:space="0" w:color="auto"/>
            </w:tcBorders>
          </w:tcPr>
          <w:p w:rsidR="00406000" w:rsidRPr="00AF3E68" w:rsidRDefault="00406000" w:rsidP="002B5D61">
            <w:pPr>
              <w:jc w:val="center"/>
            </w:pPr>
            <w:r w:rsidRPr="00AF3E68">
              <w:t>AUC</w:t>
            </w:r>
          </w:p>
          <w:p w:rsidR="00406000" w:rsidRPr="00AF3E68" w:rsidRDefault="00406000" w:rsidP="002B5D61">
            <w:pPr>
              <w:jc w:val="center"/>
            </w:pPr>
            <w:r w:rsidRPr="00AF3E68">
              <w:t>(</w:t>
            </w:r>
            <w:proofErr w:type="spellStart"/>
            <w:r w:rsidRPr="00AF3E68">
              <w:t>ng</w:t>
            </w:r>
            <w:proofErr w:type="spellEnd"/>
            <w:r w:rsidRPr="00AF3E68">
              <w:t xml:space="preserve"> ml</w:t>
            </w:r>
            <w:r w:rsidRPr="00AF3E68">
              <w:rPr>
                <w:vertAlign w:val="superscript"/>
              </w:rPr>
              <w:t>-1</w:t>
            </w:r>
            <w:r w:rsidRPr="00AF3E68">
              <w:t xml:space="preserve"> min)</w:t>
            </w:r>
          </w:p>
        </w:tc>
        <w:tc>
          <w:tcPr>
            <w:tcW w:w="820" w:type="pct"/>
            <w:tcBorders>
              <w:top w:val="single" w:sz="6" w:space="0" w:color="auto"/>
              <w:left w:val="single" w:sz="6" w:space="0" w:color="auto"/>
              <w:bottom w:val="double" w:sz="4" w:space="0" w:color="auto"/>
              <w:right w:val="single" w:sz="6" w:space="0" w:color="auto"/>
            </w:tcBorders>
          </w:tcPr>
          <w:p w:rsidR="00406000" w:rsidRPr="00AF3E68" w:rsidRDefault="00406000" w:rsidP="002B5D61">
            <w:pPr>
              <w:jc w:val="center"/>
            </w:pPr>
            <w:proofErr w:type="spellStart"/>
            <w:r w:rsidRPr="00AF3E68">
              <w:t>Clearance</w:t>
            </w:r>
            <w:proofErr w:type="spellEnd"/>
          </w:p>
          <w:p w:rsidR="00406000" w:rsidRPr="00AF3E68" w:rsidRDefault="00406000" w:rsidP="002B5D61">
            <w:pPr>
              <w:jc w:val="center"/>
            </w:pPr>
            <w:r w:rsidRPr="00AF3E68">
              <w:t>(l kg</w:t>
            </w:r>
            <w:r w:rsidRPr="00AF3E68">
              <w:rPr>
                <w:vertAlign w:val="superscript"/>
              </w:rPr>
              <w:t>-1</w:t>
            </w:r>
            <w:r w:rsidRPr="00AF3E68">
              <w:t xml:space="preserve"> min</w:t>
            </w:r>
            <w:r w:rsidRPr="00AF3E68">
              <w:rPr>
                <w:vertAlign w:val="superscript"/>
              </w:rPr>
              <w:t>-1</w:t>
            </w:r>
            <w:r w:rsidRPr="00AF3E68">
              <w:t>)</w:t>
            </w:r>
          </w:p>
        </w:tc>
        <w:tc>
          <w:tcPr>
            <w:tcW w:w="820" w:type="pct"/>
            <w:tcBorders>
              <w:top w:val="single" w:sz="6" w:space="0" w:color="auto"/>
              <w:left w:val="single" w:sz="6" w:space="0" w:color="auto"/>
              <w:bottom w:val="double" w:sz="4" w:space="0" w:color="auto"/>
              <w:right w:val="single" w:sz="6" w:space="0" w:color="auto"/>
            </w:tcBorders>
          </w:tcPr>
          <w:p w:rsidR="00406000" w:rsidRPr="00AF3E68" w:rsidRDefault="00406000" w:rsidP="002B5D61">
            <w:pPr>
              <w:jc w:val="center"/>
            </w:pPr>
            <w:r w:rsidRPr="00AF3E68">
              <w:t>MRT</w:t>
            </w:r>
          </w:p>
          <w:p w:rsidR="00406000" w:rsidRPr="00AF3E68" w:rsidRDefault="00406000" w:rsidP="002B5D61">
            <w:pPr>
              <w:jc w:val="center"/>
            </w:pPr>
            <w:r w:rsidRPr="00AF3E68">
              <w:t>(min)</w:t>
            </w:r>
          </w:p>
        </w:tc>
        <w:tc>
          <w:tcPr>
            <w:tcW w:w="820" w:type="pct"/>
            <w:tcBorders>
              <w:top w:val="single" w:sz="6" w:space="0" w:color="auto"/>
              <w:left w:val="single" w:sz="6" w:space="0" w:color="auto"/>
              <w:bottom w:val="double" w:sz="4" w:space="0" w:color="auto"/>
              <w:right w:val="single" w:sz="6" w:space="0" w:color="auto"/>
            </w:tcBorders>
          </w:tcPr>
          <w:p w:rsidR="00406000" w:rsidRPr="00AF3E68" w:rsidRDefault="00406000" w:rsidP="002B5D61">
            <w:pPr>
              <w:jc w:val="center"/>
            </w:pPr>
            <w:proofErr w:type="spellStart"/>
            <w:r w:rsidRPr="00AF3E68">
              <w:t>V</w:t>
            </w:r>
            <w:r w:rsidRPr="00AF3E68">
              <w:rPr>
                <w:vertAlign w:val="subscript"/>
              </w:rPr>
              <w:t>ss</w:t>
            </w:r>
            <w:proofErr w:type="spellEnd"/>
          </w:p>
          <w:p w:rsidR="00406000" w:rsidRPr="00AF3E68" w:rsidRDefault="00406000" w:rsidP="002B5D61">
            <w:pPr>
              <w:jc w:val="center"/>
            </w:pPr>
            <w:r w:rsidRPr="00AF3E68">
              <w:t>(l kg</w:t>
            </w:r>
            <w:r w:rsidRPr="00AF3E68">
              <w:rPr>
                <w:vertAlign w:val="superscript"/>
              </w:rPr>
              <w:t>-1</w:t>
            </w:r>
            <w:r w:rsidRPr="00AF3E68">
              <w:t>)</w:t>
            </w:r>
          </w:p>
        </w:tc>
      </w:tr>
      <w:tr w:rsidR="00406000" w:rsidRPr="00AF3E68" w:rsidTr="00AC73D7">
        <w:trPr>
          <w:trHeight w:val="234"/>
        </w:trPr>
        <w:tc>
          <w:tcPr>
            <w:tcW w:w="900" w:type="pct"/>
            <w:tcBorders>
              <w:top w:val="nil"/>
              <w:left w:val="single" w:sz="6" w:space="0" w:color="auto"/>
              <w:bottom w:val="nil"/>
              <w:right w:val="single" w:sz="6" w:space="0" w:color="auto"/>
            </w:tcBorders>
          </w:tcPr>
          <w:p w:rsidR="00406000" w:rsidRPr="00AF3E68" w:rsidRDefault="00406000" w:rsidP="002B5D61">
            <w:r w:rsidRPr="00AF3E68">
              <w:rPr>
                <w:i/>
                <w:iCs/>
              </w:rPr>
              <w:t>5 mg dosis (n=6)</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r>
      <w:tr w:rsidR="00406000" w:rsidRPr="00AF3E68" w:rsidTr="00AC73D7">
        <w:trPr>
          <w:trHeight w:val="234"/>
        </w:trPr>
        <w:tc>
          <w:tcPr>
            <w:tcW w:w="900" w:type="pct"/>
            <w:tcBorders>
              <w:top w:val="nil"/>
              <w:left w:val="single" w:sz="6" w:space="0" w:color="auto"/>
              <w:bottom w:val="nil"/>
              <w:right w:val="single" w:sz="6" w:space="0" w:color="auto"/>
            </w:tcBorders>
          </w:tcPr>
          <w:p w:rsidR="00406000" w:rsidRPr="00AF3E68" w:rsidRDefault="00406000" w:rsidP="002B5D61">
            <w:r w:rsidRPr="00AF3E68">
              <w:t>Gennemsnit</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60,2</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4 756</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0,012</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50,4</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0,52</w:t>
            </w:r>
          </w:p>
        </w:tc>
      </w:tr>
      <w:tr w:rsidR="00406000" w:rsidRPr="00AF3E68" w:rsidTr="00AC73D7">
        <w:trPr>
          <w:trHeight w:val="252"/>
        </w:trPr>
        <w:tc>
          <w:tcPr>
            <w:tcW w:w="900" w:type="pct"/>
            <w:tcBorders>
              <w:top w:val="nil"/>
              <w:left w:val="single" w:sz="6" w:space="0" w:color="auto"/>
              <w:bottom w:val="nil"/>
              <w:right w:val="single" w:sz="6" w:space="0" w:color="auto"/>
            </w:tcBorders>
          </w:tcPr>
          <w:p w:rsidR="00406000" w:rsidRPr="00AF3E68" w:rsidRDefault="00406000" w:rsidP="002B5D61">
            <w:proofErr w:type="spellStart"/>
            <w:r w:rsidRPr="00AF3E68">
              <w:t>Sd</w:t>
            </w:r>
            <w:proofErr w:type="spellEnd"/>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10,4</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978</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0,0035</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35,1</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0,022</w:t>
            </w:r>
          </w:p>
        </w:tc>
      </w:tr>
      <w:tr w:rsidR="00406000" w:rsidRPr="00AF3E68" w:rsidTr="00AC73D7">
        <w:trPr>
          <w:trHeight w:val="252"/>
        </w:trPr>
        <w:tc>
          <w:tcPr>
            <w:tcW w:w="900" w:type="pct"/>
            <w:tcBorders>
              <w:top w:val="nil"/>
              <w:left w:val="single" w:sz="6" w:space="0" w:color="auto"/>
              <w:bottom w:val="single" w:sz="6" w:space="0" w:color="auto"/>
              <w:right w:val="single" w:sz="6" w:space="0" w:color="auto"/>
            </w:tcBorders>
          </w:tcPr>
          <w:p w:rsidR="00406000" w:rsidRPr="00AF3E68" w:rsidRDefault="00406000" w:rsidP="002B5D61"/>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r>
      <w:tr w:rsidR="00406000" w:rsidRPr="00AF3E68" w:rsidTr="00AC73D7">
        <w:trPr>
          <w:trHeight w:val="252"/>
        </w:trPr>
        <w:tc>
          <w:tcPr>
            <w:tcW w:w="900" w:type="pct"/>
            <w:tcBorders>
              <w:top w:val="nil"/>
              <w:left w:val="single" w:sz="6" w:space="0" w:color="auto"/>
              <w:bottom w:val="nil"/>
              <w:right w:val="single" w:sz="6" w:space="0" w:color="auto"/>
            </w:tcBorders>
          </w:tcPr>
          <w:p w:rsidR="00406000" w:rsidRPr="00AF3E68" w:rsidRDefault="00406000" w:rsidP="002B5D61">
            <w:r w:rsidRPr="00AF3E68">
              <w:rPr>
                <w:i/>
                <w:iCs/>
              </w:rPr>
              <w:t>10 mg dosis (n=6)</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r>
      <w:tr w:rsidR="00406000" w:rsidRPr="00AF3E68" w:rsidTr="00AC73D7">
        <w:trPr>
          <w:trHeight w:val="252"/>
        </w:trPr>
        <w:tc>
          <w:tcPr>
            <w:tcW w:w="900" w:type="pct"/>
            <w:tcBorders>
              <w:top w:val="nil"/>
              <w:left w:val="single" w:sz="6" w:space="0" w:color="auto"/>
              <w:bottom w:val="nil"/>
              <w:right w:val="single" w:sz="6" w:space="0" w:color="auto"/>
            </w:tcBorders>
          </w:tcPr>
          <w:p w:rsidR="00406000" w:rsidRPr="00AF3E68" w:rsidRDefault="00406000" w:rsidP="002B5D61">
            <w:r w:rsidRPr="00AF3E68">
              <w:t>Gennemsnit</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138,7</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11 626</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0,011</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56,8</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0,61</w:t>
            </w:r>
          </w:p>
        </w:tc>
      </w:tr>
      <w:tr w:rsidR="00406000" w:rsidRPr="00AF3E68" w:rsidTr="00AC73D7">
        <w:trPr>
          <w:trHeight w:val="234"/>
        </w:trPr>
        <w:tc>
          <w:tcPr>
            <w:tcW w:w="900" w:type="pct"/>
            <w:tcBorders>
              <w:top w:val="nil"/>
              <w:left w:val="single" w:sz="6" w:space="0" w:color="auto"/>
              <w:bottom w:val="nil"/>
              <w:right w:val="single" w:sz="6" w:space="0" w:color="auto"/>
            </w:tcBorders>
          </w:tcPr>
          <w:p w:rsidR="00406000" w:rsidRPr="00AF3E68" w:rsidRDefault="00406000" w:rsidP="002B5D61">
            <w:proofErr w:type="spellStart"/>
            <w:r w:rsidRPr="00AF3E68">
              <w:t>Sd</w:t>
            </w:r>
            <w:proofErr w:type="spellEnd"/>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33,3</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3 366</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0,0018</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16,5</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0,09</w:t>
            </w:r>
          </w:p>
        </w:tc>
      </w:tr>
      <w:tr w:rsidR="00406000" w:rsidRPr="00AF3E68" w:rsidTr="00AC73D7">
        <w:trPr>
          <w:trHeight w:val="252"/>
        </w:trPr>
        <w:tc>
          <w:tcPr>
            <w:tcW w:w="900" w:type="pct"/>
            <w:tcBorders>
              <w:top w:val="nil"/>
              <w:left w:val="single" w:sz="6" w:space="0" w:color="auto"/>
              <w:bottom w:val="single" w:sz="6" w:space="0" w:color="auto"/>
              <w:right w:val="single" w:sz="6" w:space="0" w:color="auto"/>
            </w:tcBorders>
          </w:tcPr>
          <w:p w:rsidR="00406000" w:rsidRPr="00AF3E68" w:rsidRDefault="00406000" w:rsidP="002B5D61"/>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r>
      <w:tr w:rsidR="00406000" w:rsidRPr="00AF3E68" w:rsidTr="00AC73D7">
        <w:trPr>
          <w:trHeight w:val="252"/>
        </w:trPr>
        <w:tc>
          <w:tcPr>
            <w:tcW w:w="900" w:type="pct"/>
            <w:tcBorders>
              <w:top w:val="nil"/>
              <w:left w:val="single" w:sz="6" w:space="0" w:color="auto"/>
              <w:bottom w:val="nil"/>
              <w:right w:val="single" w:sz="6" w:space="0" w:color="auto"/>
            </w:tcBorders>
          </w:tcPr>
          <w:p w:rsidR="00406000" w:rsidRPr="00AF3E68" w:rsidRDefault="00406000" w:rsidP="002B5D61">
            <w:r w:rsidRPr="00AF3E68">
              <w:rPr>
                <w:i/>
                <w:iCs/>
              </w:rPr>
              <w:t>15 mg dosis (n=6)</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c>
          <w:tcPr>
            <w:tcW w:w="820" w:type="pct"/>
            <w:tcBorders>
              <w:top w:val="nil"/>
              <w:left w:val="single" w:sz="6" w:space="0" w:color="auto"/>
              <w:bottom w:val="nil"/>
              <w:right w:val="single" w:sz="6" w:space="0" w:color="auto"/>
            </w:tcBorders>
          </w:tcPr>
          <w:p w:rsidR="00406000" w:rsidRPr="00AF3E68" w:rsidRDefault="00406000" w:rsidP="002B5D61">
            <w:pPr>
              <w:jc w:val="center"/>
            </w:pPr>
          </w:p>
        </w:tc>
      </w:tr>
      <w:tr w:rsidR="00406000" w:rsidRPr="00AF3E68" w:rsidTr="00AC73D7">
        <w:trPr>
          <w:trHeight w:val="252"/>
        </w:trPr>
        <w:tc>
          <w:tcPr>
            <w:tcW w:w="900" w:type="pct"/>
            <w:tcBorders>
              <w:top w:val="nil"/>
              <w:left w:val="single" w:sz="6" w:space="0" w:color="auto"/>
              <w:bottom w:val="nil"/>
              <w:right w:val="single" w:sz="6" w:space="0" w:color="auto"/>
            </w:tcBorders>
          </w:tcPr>
          <w:p w:rsidR="00406000" w:rsidRPr="00AF3E68" w:rsidRDefault="00406000" w:rsidP="002B5D61">
            <w:r w:rsidRPr="00AF3E68">
              <w:t>Gennemsnit</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195,8</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16 340</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0,014</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58,5</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0,81</w:t>
            </w:r>
          </w:p>
        </w:tc>
      </w:tr>
      <w:tr w:rsidR="00406000" w:rsidRPr="00AF3E68" w:rsidTr="00AC73D7">
        <w:trPr>
          <w:trHeight w:val="252"/>
        </w:trPr>
        <w:tc>
          <w:tcPr>
            <w:tcW w:w="900" w:type="pct"/>
            <w:tcBorders>
              <w:top w:val="nil"/>
              <w:left w:val="single" w:sz="6" w:space="0" w:color="auto"/>
              <w:bottom w:val="nil"/>
              <w:right w:val="single" w:sz="6" w:space="0" w:color="auto"/>
            </w:tcBorders>
          </w:tcPr>
          <w:p w:rsidR="00406000" w:rsidRPr="00AF3E68" w:rsidRDefault="00406000" w:rsidP="002B5D61">
            <w:proofErr w:type="spellStart"/>
            <w:r w:rsidRPr="00AF3E68">
              <w:t>Sd</w:t>
            </w:r>
            <w:proofErr w:type="spellEnd"/>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89,2</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8 474</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0,0034</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23,9</w:t>
            </w:r>
          </w:p>
        </w:tc>
        <w:tc>
          <w:tcPr>
            <w:tcW w:w="820" w:type="pct"/>
            <w:tcBorders>
              <w:top w:val="nil"/>
              <w:left w:val="single" w:sz="6" w:space="0" w:color="auto"/>
              <w:bottom w:val="nil"/>
              <w:right w:val="single" w:sz="6" w:space="0" w:color="auto"/>
            </w:tcBorders>
          </w:tcPr>
          <w:p w:rsidR="00406000" w:rsidRPr="00AF3E68" w:rsidRDefault="00406000" w:rsidP="002B5D61">
            <w:pPr>
              <w:jc w:val="center"/>
            </w:pPr>
            <w:r w:rsidRPr="00AF3E68">
              <w:t>0,34</w:t>
            </w:r>
          </w:p>
        </w:tc>
      </w:tr>
      <w:tr w:rsidR="00406000" w:rsidRPr="00AF3E68" w:rsidTr="00AC73D7">
        <w:trPr>
          <w:trHeight w:val="234"/>
        </w:trPr>
        <w:tc>
          <w:tcPr>
            <w:tcW w:w="900" w:type="pct"/>
            <w:tcBorders>
              <w:top w:val="nil"/>
              <w:left w:val="single" w:sz="6" w:space="0" w:color="auto"/>
              <w:bottom w:val="single" w:sz="6" w:space="0" w:color="auto"/>
              <w:right w:val="single" w:sz="6" w:space="0" w:color="auto"/>
            </w:tcBorders>
          </w:tcPr>
          <w:p w:rsidR="00406000" w:rsidRPr="00AF3E68" w:rsidRDefault="00406000" w:rsidP="002B5D61"/>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c>
          <w:tcPr>
            <w:tcW w:w="820" w:type="pct"/>
            <w:tcBorders>
              <w:top w:val="nil"/>
              <w:left w:val="single" w:sz="6" w:space="0" w:color="auto"/>
              <w:bottom w:val="single" w:sz="6" w:space="0" w:color="auto"/>
              <w:right w:val="single" w:sz="6" w:space="0" w:color="auto"/>
            </w:tcBorders>
          </w:tcPr>
          <w:p w:rsidR="00406000" w:rsidRPr="00AF3E68" w:rsidRDefault="00406000" w:rsidP="002B5D61">
            <w:pPr>
              <w:jc w:val="center"/>
            </w:pPr>
          </w:p>
        </w:tc>
      </w:tr>
    </w:tbl>
    <w:p w:rsidR="00406000" w:rsidRPr="00AF3E68" w:rsidRDefault="00406000" w:rsidP="00406000">
      <w:pPr>
        <w:ind w:left="851" w:hanging="851"/>
        <w:jc w:val="both"/>
        <w:rPr>
          <w:sz w:val="24"/>
          <w:szCs w:val="24"/>
        </w:rPr>
      </w:pPr>
    </w:p>
    <w:p w:rsidR="00406000" w:rsidRPr="00AF3E68" w:rsidRDefault="00406000" w:rsidP="00AC73D7">
      <w:pPr>
        <w:ind w:left="851"/>
        <w:rPr>
          <w:sz w:val="24"/>
          <w:szCs w:val="24"/>
        </w:rPr>
      </w:pPr>
      <w:r w:rsidRPr="00AF3E68">
        <w:rPr>
          <w:sz w:val="24"/>
          <w:szCs w:val="24"/>
        </w:rPr>
        <w:t>I de</w:t>
      </w:r>
      <w:r w:rsidR="00CA5094" w:rsidRPr="00AF3E68">
        <w:rPr>
          <w:sz w:val="24"/>
          <w:szCs w:val="24"/>
        </w:rPr>
        <w:t>n</w:t>
      </w:r>
      <w:r w:rsidRPr="00AF3E68">
        <w:rPr>
          <w:sz w:val="24"/>
          <w:szCs w:val="24"/>
        </w:rPr>
        <w:t xml:space="preserve"> kliniske undersøgelse, der blev gennemført med </w:t>
      </w:r>
      <w:proofErr w:type="spellStart"/>
      <w:r w:rsidRPr="00AF3E68">
        <w:rPr>
          <w:sz w:val="24"/>
          <w:szCs w:val="24"/>
        </w:rPr>
        <w:t>Uvadex</w:t>
      </w:r>
      <w:proofErr w:type="spellEnd"/>
      <w:r w:rsidRPr="00AF3E68">
        <w:rPr>
          <w:sz w:val="24"/>
          <w:szCs w:val="24"/>
        </w:rPr>
        <w:t xml:space="preserve">, var koncentrationerne af </w:t>
      </w:r>
      <w:proofErr w:type="spellStart"/>
      <w:r w:rsidRPr="00AF3E68">
        <w:rPr>
          <w:sz w:val="24"/>
          <w:szCs w:val="24"/>
        </w:rPr>
        <w:t>methoxsalen</w:t>
      </w:r>
      <w:proofErr w:type="spellEnd"/>
      <w:r w:rsidRPr="00AF3E68">
        <w:rPr>
          <w:sz w:val="24"/>
          <w:szCs w:val="24"/>
        </w:rPr>
        <w:t xml:space="preserve"> i plasma 30 minutter efter </w:t>
      </w:r>
      <w:proofErr w:type="spellStart"/>
      <w:r w:rsidRPr="00AF3E68">
        <w:rPr>
          <w:sz w:val="24"/>
          <w:szCs w:val="24"/>
        </w:rPr>
        <w:t>reinfusion</w:t>
      </w:r>
      <w:proofErr w:type="spellEnd"/>
      <w:r w:rsidRPr="00AF3E68">
        <w:rPr>
          <w:sz w:val="24"/>
          <w:szCs w:val="24"/>
        </w:rPr>
        <w:t xml:space="preserve"> af de fotoaktiverede celler mindre end 10 </w:t>
      </w:r>
      <w:proofErr w:type="spellStart"/>
      <w:r w:rsidRPr="00AF3E68">
        <w:rPr>
          <w:sz w:val="24"/>
          <w:szCs w:val="24"/>
        </w:rPr>
        <w:t>ng</w:t>
      </w:r>
      <w:proofErr w:type="spellEnd"/>
      <w:r w:rsidRPr="00AF3E68">
        <w:rPr>
          <w:sz w:val="24"/>
          <w:szCs w:val="24"/>
        </w:rPr>
        <w:t xml:space="preserve">/ml hos 82 % af de målte 754 prøver. Det gennemsnitlige niveau af </w:t>
      </w:r>
      <w:proofErr w:type="spellStart"/>
      <w:r w:rsidRPr="00AF3E68">
        <w:rPr>
          <w:sz w:val="24"/>
          <w:szCs w:val="24"/>
        </w:rPr>
        <w:t>methoxsalen</w:t>
      </w:r>
      <w:proofErr w:type="spellEnd"/>
      <w:r w:rsidRPr="00AF3E68">
        <w:rPr>
          <w:sz w:val="24"/>
          <w:szCs w:val="24"/>
        </w:rPr>
        <w:t xml:space="preserve"> i plasma var cirka 25 </w:t>
      </w:r>
      <w:proofErr w:type="spellStart"/>
      <w:r w:rsidRPr="00AF3E68">
        <w:rPr>
          <w:sz w:val="24"/>
          <w:szCs w:val="24"/>
        </w:rPr>
        <w:t>ng</w:t>
      </w:r>
      <w:proofErr w:type="spellEnd"/>
      <w:r w:rsidRPr="00AF3E68">
        <w:rPr>
          <w:sz w:val="24"/>
          <w:szCs w:val="24"/>
        </w:rPr>
        <w:t>/ml.</w:t>
      </w:r>
    </w:p>
    <w:p w:rsidR="00406000" w:rsidRPr="00AF3E68" w:rsidRDefault="00406000" w:rsidP="00AC73D7">
      <w:pPr>
        <w:ind w:left="851"/>
        <w:rPr>
          <w:sz w:val="24"/>
          <w:szCs w:val="24"/>
        </w:rPr>
      </w:pPr>
    </w:p>
    <w:p w:rsidR="00CA5094" w:rsidRPr="00AF3E68" w:rsidRDefault="00406000" w:rsidP="00AC73D7">
      <w:pPr>
        <w:ind w:left="851"/>
        <w:rPr>
          <w:sz w:val="24"/>
          <w:szCs w:val="24"/>
          <w:u w:val="single"/>
        </w:rPr>
      </w:pPr>
      <w:r w:rsidRPr="00AF3E68">
        <w:rPr>
          <w:iCs/>
          <w:sz w:val="24"/>
          <w:szCs w:val="24"/>
          <w:u w:val="single"/>
        </w:rPr>
        <w:t>Distribution</w:t>
      </w:r>
    </w:p>
    <w:p w:rsidR="00406000" w:rsidRPr="00AF3E68" w:rsidRDefault="00406000" w:rsidP="00AC73D7">
      <w:pPr>
        <w:ind w:left="851"/>
        <w:rPr>
          <w:sz w:val="24"/>
          <w:szCs w:val="24"/>
        </w:rPr>
      </w:pPr>
      <w:r w:rsidRPr="00AF3E68">
        <w:rPr>
          <w:sz w:val="24"/>
          <w:szCs w:val="24"/>
        </w:rPr>
        <w:t xml:space="preserve">Resultaterne af autoradiografiske undersøgelser viser, at </w:t>
      </w:r>
      <w:proofErr w:type="spellStart"/>
      <w:r w:rsidRPr="00AF3E68">
        <w:rPr>
          <w:sz w:val="24"/>
          <w:szCs w:val="24"/>
        </w:rPr>
        <w:t>psoralen</w:t>
      </w:r>
      <w:proofErr w:type="spellEnd"/>
      <w:r w:rsidRPr="00AF3E68">
        <w:rPr>
          <w:sz w:val="24"/>
          <w:szCs w:val="24"/>
        </w:rPr>
        <w:t xml:space="preserve"> hos rotter fordeles i de fleste organer, men bindingen forekommer at være kortvarig og reversibel. Andre undersøgelser af rotter har vist de højeste koncentrationer af aktivt stof i lever og nyrer samt et fedt/muskel-tal på 3:1. Bindingen til humant albumin er høj (80-90 %).</w:t>
      </w:r>
    </w:p>
    <w:p w:rsidR="00406000" w:rsidRPr="00AF3E68" w:rsidRDefault="00406000" w:rsidP="00AC73D7">
      <w:pPr>
        <w:ind w:left="851"/>
        <w:rPr>
          <w:i/>
          <w:iCs/>
          <w:sz w:val="24"/>
          <w:szCs w:val="24"/>
        </w:rPr>
      </w:pPr>
    </w:p>
    <w:p w:rsidR="00CA5094" w:rsidRPr="00AF3E68" w:rsidRDefault="00CA5094" w:rsidP="00AC73D7">
      <w:pPr>
        <w:ind w:left="851"/>
        <w:rPr>
          <w:iCs/>
          <w:sz w:val="24"/>
          <w:szCs w:val="24"/>
          <w:u w:val="single"/>
        </w:rPr>
      </w:pPr>
      <w:r w:rsidRPr="00AF3E68">
        <w:rPr>
          <w:iCs/>
          <w:sz w:val="24"/>
          <w:szCs w:val="24"/>
          <w:u w:val="single"/>
        </w:rPr>
        <w:t>Biotransformation</w:t>
      </w:r>
    </w:p>
    <w:p w:rsidR="00406000" w:rsidRPr="00AF3E68" w:rsidRDefault="00406000" w:rsidP="00AC73D7">
      <w:pPr>
        <w:ind w:left="851"/>
        <w:rPr>
          <w:sz w:val="24"/>
          <w:szCs w:val="24"/>
        </w:rPr>
      </w:pPr>
      <w:r w:rsidRPr="00AF3E68">
        <w:rPr>
          <w:sz w:val="24"/>
          <w:szCs w:val="24"/>
        </w:rPr>
        <w:t xml:space="preserve">Hos mennesker gennemgår </w:t>
      </w:r>
      <w:proofErr w:type="spellStart"/>
      <w:r w:rsidRPr="00AF3E68">
        <w:rPr>
          <w:sz w:val="24"/>
          <w:szCs w:val="24"/>
        </w:rPr>
        <w:t>methoxsalen</w:t>
      </w:r>
      <w:proofErr w:type="spellEnd"/>
      <w:r w:rsidRPr="00AF3E68">
        <w:rPr>
          <w:sz w:val="24"/>
          <w:szCs w:val="24"/>
        </w:rPr>
        <w:t xml:space="preserve"> næsten fuldstændig biotransformation, og kun lidt </w:t>
      </w:r>
      <w:proofErr w:type="spellStart"/>
      <w:r w:rsidRPr="00AF3E68">
        <w:rPr>
          <w:sz w:val="24"/>
          <w:szCs w:val="24"/>
        </w:rPr>
        <w:t>uomdannet</w:t>
      </w:r>
      <w:proofErr w:type="spellEnd"/>
      <w:r w:rsidRPr="00AF3E68">
        <w:rPr>
          <w:sz w:val="24"/>
          <w:szCs w:val="24"/>
        </w:rPr>
        <w:t xml:space="preserve"> eller intet </w:t>
      </w:r>
      <w:proofErr w:type="spellStart"/>
      <w:r w:rsidRPr="00AF3E68">
        <w:rPr>
          <w:sz w:val="24"/>
          <w:szCs w:val="24"/>
        </w:rPr>
        <w:t>uomdannet</w:t>
      </w:r>
      <w:proofErr w:type="spellEnd"/>
      <w:r w:rsidRPr="00AF3E68">
        <w:rPr>
          <w:sz w:val="24"/>
          <w:szCs w:val="24"/>
        </w:rPr>
        <w:t xml:space="preserve"> aktivt stof findes i urin eller fæces. Både konjugerede og </w:t>
      </w:r>
      <w:proofErr w:type="spellStart"/>
      <w:r w:rsidRPr="00AF3E68">
        <w:rPr>
          <w:sz w:val="24"/>
          <w:szCs w:val="24"/>
        </w:rPr>
        <w:t>ukonjugerede</w:t>
      </w:r>
      <w:proofErr w:type="spellEnd"/>
      <w:r w:rsidRPr="00AF3E68">
        <w:rPr>
          <w:sz w:val="24"/>
          <w:szCs w:val="24"/>
        </w:rPr>
        <w:t xml:space="preserve"> metabolitter er blevet identificeret. De få data, der findes vedrørende metabolitternes aktivitet, tyder på, at de ikke har den samme farmakologiske aktivitet som udgangsstoffet.</w:t>
      </w:r>
    </w:p>
    <w:p w:rsidR="00AC3BC9" w:rsidRPr="00AF3E68" w:rsidRDefault="00AC3BC9" w:rsidP="00AC73D7">
      <w:pPr>
        <w:ind w:left="851"/>
        <w:rPr>
          <w:i/>
          <w:iCs/>
          <w:sz w:val="24"/>
          <w:szCs w:val="24"/>
        </w:rPr>
      </w:pPr>
    </w:p>
    <w:p w:rsidR="00F6612F" w:rsidRPr="00AF3E68" w:rsidRDefault="00F6612F" w:rsidP="00AC73D7">
      <w:pPr>
        <w:ind w:left="851"/>
        <w:rPr>
          <w:sz w:val="24"/>
          <w:szCs w:val="24"/>
        </w:rPr>
      </w:pPr>
      <w:r w:rsidRPr="00AF3E68">
        <w:rPr>
          <w:iCs/>
          <w:sz w:val="24"/>
          <w:szCs w:val="24"/>
          <w:u w:val="single"/>
        </w:rPr>
        <w:t>Elimination</w:t>
      </w:r>
    </w:p>
    <w:p w:rsidR="00406000" w:rsidRPr="00AF3E68" w:rsidRDefault="00406000" w:rsidP="00AC73D7">
      <w:pPr>
        <w:ind w:left="851"/>
        <w:rPr>
          <w:sz w:val="24"/>
          <w:szCs w:val="24"/>
        </w:rPr>
      </w:pPr>
      <w:r w:rsidRPr="00AF3E68">
        <w:rPr>
          <w:sz w:val="24"/>
          <w:szCs w:val="24"/>
        </w:rPr>
        <w:t xml:space="preserve">Hos mennesket findes praktisk talt intet omdannet </w:t>
      </w:r>
      <w:proofErr w:type="spellStart"/>
      <w:r w:rsidRPr="00AF3E68">
        <w:rPr>
          <w:sz w:val="24"/>
          <w:szCs w:val="24"/>
        </w:rPr>
        <w:t>methoxsalen</w:t>
      </w:r>
      <w:proofErr w:type="spellEnd"/>
      <w:r w:rsidRPr="00AF3E68">
        <w:rPr>
          <w:sz w:val="24"/>
          <w:szCs w:val="24"/>
        </w:rPr>
        <w:t xml:space="preserve"> i urin eller fæces efter oral administration. I undersøgelser med radiomærket stof var den gennemsnitlige udskillelse af radioaktivitet i urin 74 % 48 timer efter administration. Den biliære udskillelse af </w:t>
      </w:r>
      <w:proofErr w:type="spellStart"/>
      <w:r w:rsidRPr="00AF3E68">
        <w:rPr>
          <w:sz w:val="24"/>
          <w:szCs w:val="24"/>
        </w:rPr>
        <w:t>methoxsalen</w:t>
      </w:r>
      <w:proofErr w:type="spellEnd"/>
      <w:r w:rsidRPr="00AF3E68">
        <w:rPr>
          <w:sz w:val="24"/>
          <w:szCs w:val="24"/>
        </w:rPr>
        <w:t xml:space="preserve"> og dets metabolitter, som det afspejles i forekomsten i fæces, var relativt lille (14 %).</w:t>
      </w:r>
    </w:p>
    <w:p w:rsidR="00406000" w:rsidRPr="00AF3E68" w:rsidRDefault="00406000" w:rsidP="009621E7">
      <w:pPr>
        <w:ind w:left="851" w:hanging="851"/>
        <w:rPr>
          <w:bCs/>
          <w:sz w:val="24"/>
          <w:szCs w:val="24"/>
        </w:rPr>
      </w:pPr>
    </w:p>
    <w:p w:rsidR="00F138F0" w:rsidRPr="00AF3E68" w:rsidRDefault="00F138F0" w:rsidP="00F138F0">
      <w:pPr>
        <w:tabs>
          <w:tab w:val="left" w:pos="851"/>
        </w:tabs>
        <w:ind w:left="851" w:hanging="851"/>
        <w:rPr>
          <w:b/>
          <w:sz w:val="24"/>
          <w:szCs w:val="24"/>
        </w:rPr>
      </w:pPr>
      <w:r w:rsidRPr="00AF3E68">
        <w:rPr>
          <w:b/>
          <w:sz w:val="24"/>
          <w:szCs w:val="24"/>
        </w:rPr>
        <w:t>5.3</w:t>
      </w:r>
      <w:r w:rsidRPr="00AF3E68">
        <w:rPr>
          <w:b/>
          <w:sz w:val="24"/>
          <w:szCs w:val="24"/>
        </w:rPr>
        <w:tab/>
        <w:t>Non-kliniske sikkerhedsdata</w:t>
      </w:r>
    </w:p>
    <w:p w:rsidR="00406000" w:rsidRPr="00AF3E68" w:rsidRDefault="00406000" w:rsidP="009621E7">
      <w:pPr>
        <w:ind w:left="851"/>
        <w:rPr>
          <w:sz w:val="24"/>
          <w:szCs w:val="24"/>
        </w:rPr>
      </w:pPr>
      <w:r w:rsidRPr="00AF3E68">
        <w:rPr>
          <w:sz w:val="24"/>
          <w:szCs w:val="24"/>
        </w:rPr>
        <w:t xml:space="preserve">Der blev kun iagttaget prækliniske virkninger ved eksponeringer, der var markant højere end den maksimale eksponering for mennesker, hvilket indikerer, at det har ringe relevans for klinisk brug, bortset fra det, der er beskrevet i andre </w:t>
      </w:r>
      <w:r w:rsidRPr="00813596">
        <w:rPr>
          <w:sz w:val="24"/>
          <w:szCs w:val="24"/>
        </w:rPr>
        <w:t>afsnit (se pkt. 4.4).</w:t>
      </w:r>
    </w:p>
    <w:p w:rsidR="00406000" w:rsidRPr="00AF3E68" w:rsidRDefault="00406000" w:rsidP="009621E7">
      <w:pPr>
        <w:ind w:left="851" w:hanging="851"/>
        <w:rPr>
          <w:sz w:val="24"/>
          <w:szCs w:val="24"/>
        </w:rPr>
      </w:pPr>
    </w:p>
    <w:p w:rsidR="00406000" w:rsidRPr="00AF3E68" w:rsidRDefault="00406000" w:rsidP="009621E7">
      <w:pPr>
        <w:ind w:left="851"/>
        <w:rPr>
          <w:sz w:val="24"/>
          <w:szCs w:val="24"/>
        </w:rPr>
      </w:pPr>
      <w:r w:rsidRPr="00AF3E68">
        <w:rPr>
          <w:sz w:val="24"/>
          <w:szCs w:val="24"/>
        </w:rPr>
        <w:t xml:space="preserve">Ingen </w:t>
      </w:r>
      <w:proofErr w:type="spellStart"/>
      <w:r w:rsidRPr="00AF3E68">
        <w:rPr>
          <w:sz w:val="24"/>
          <w:szCs w:val="24"/>
        </w:rPr>
        <w:t>potientielle</w:t>
      </w:r>
      <w:proofErr w:type="spellEnd"/>
      <w:r w:rsidRPr="00AF3E68">
        <w:rPr>
          <w:sz w:val="24"/>
          <w:szCs w:val="24"/>
        </w:rPr>
        <w:t xml:space="preserve"> manifestationer af toksicitet blev identificeret efter </w:t>
      </w:r>
      <w:proofErr w:type="gramStart"/>
      <w:r w:rsidRPr="00AF3E68">
        <w:rPr>
          <w:sz w:val="24"/>
          <w:szCs w:val="24"/>
        </w:rPr>
        <w:t>en fire ugers</w:t>
      </w:r>
      <w:proofErr w:type="gramEnd"/>
      <w:r w:rsidRPr="00AF3E68">
        <w:rPr>
          <w:sz w:val="24"/>
          <w:szCs w:val="24"/>
        </w:rPr>
        <w:t xml:space="preserve"> simuleret toksicitetsundersøgelse af hunde, der otte gange i alt blev udsat for ekstrakorporal </w:t>
      </w:r>
      <w:proofErr w:type="spellStart"/>
      <w:r w:rsidRPr="00AF3E68">
        <w:rPr>
          <w:sz w:val="24"/>
          <w:szCs w:val="24"/>
        </w:rPr>
        <w:t>fotoferese</w:t>
      </w:r>
      <w:proofErr w:type="spellEnd"/>
      <w:r w:rsidRPr="00AF3E68">
        <w:rPr>
          <w:sz w:val="24"/>
          <w:szCs w:val="24"/>
        </w:rPr>
        <w:t xml:space="preserve"> med 1</w:t>
      </w:r>
      <w:r w:rsidRPr="00AF3E68">
        <w:rPr>
          <w:sz w:val="24"/>
          <w:szCs w:val="24"/>
        </w:rPr>
        <w:noBreakHyphen/>
        <w:t xml:space="preserve">2 J/cm², da </w:t>
      </w:r>
      <w:proofErr w:type="spellStart"/>
      <w:r w:rsidRPr="00AF3E68">
        <w:rPr>
          <w:sz w:val="24"/>
          <w:szCs w:val="24"/>
        </w:rPr>
        <w:t>Uvadex</w:t>
      </w:r>
      <w:proofErr w:type="spellEnd"/>
      <w:r w:rsidRPr="00AF3E68">
        <w:rPr>
          <w:sz w:val="24"/>
          <w:szCs w:val="24"/>
        </w:rPr>
        <w:t xml:space="preserve"> blev tilsat </w:t>
      </w:r>
      <w:proofErr w:type="spellStart"/>
      <w:r w:rsidRPr="00AF3E68">
        <w:rPr>
          <w:sz w:val="24"/>
          <w:szCs w:val="24"/>
        </w:rPr>
        <w:t>buffy</w:t>
      </w:r>
      <w:proofErr w:type="spellEnd"/>
      <w:r w:rsidRPr="00AF3E68">
        <w:rPr>
          <w:sz w:val="24"/>
          <w:szCs w:val="24"/>
        </w:rPr>
        <w:t xml:space="preserve"> </w:t>
      </w:r>
      <w:proofErr w:type="spellStart"/>
      <w:r w:rsidRPr="00AF3E68">
        <w:rPr>
          <w:sz w:val="24"/>
          <w:szCs w:val="24"/>
        </w:rPr>
        <w:t>coaten</w:t>
      </w:r>
      <w:proofErr w:type="spellEnd"/>
      <w:r w:rsidRPr="00AF3E68">
        <w:rPr>
          <w:sz w:val="24"/>
          <w:szCs w:val="24"/>
        </w:rPr>
        <w:t xml:space="preserve"> med koncentrationer på 100 og 500 </w:t>
      </w:r>
      <w:proofErr w:type="spellStart"/>
      <w:r w:rsidRPr="00AF3E68">
        <w:rPr>
          <w:sz w:val="24"/>
          <w:szCs w:val="24"/>
        </w:rPr>
        <w:t>ng</w:t>
      </w:r>
      <w:proofErr w:type="spellEnd"/>
      <w:r w:rsidRPr="00AF3E68">
        <w:rPr>
          <w:sz w:val="24"/>
          <w:szCs w:val="24"/>
        </w:rPr>
        <w:t>/ml.</w:t>
      </w:r>
    </w:p>
    <w:p w:rsidR="00406000" w:rsidRPr="00AF3E68" w:rsidRDefault="00406000" w:rsidP="009621E7">
      <w:pPr>
        <w:ind w:left="851" w:hanging="851"/>
        <w:rPr>
          <w:sz w:val="24"/>
          <w:szCs w:val="24"/>
        </w:rPr>
      </w:pPr>
    </w:p>
    <w:p w:rsidR="00406000" w:rsidRPr="00AF3E68" w:rsidRDefault="00406000" w:rsidP="009621E7">
      <w:pPr>
        <w:ind w:left="851"/>
        <w:rPr>
          <w:sz w:val="24"/>
          <w:szCs w:val="24"/>
        </w:rPr>
      </w:pPr>
      <w:r w:rsidRPr="00AF3E68">
        <w:rPr>
          <w:sz w:val="24"/>
          <w:szCs w:val="24"/>
        </w:rPr>
        <w:t xml:space="preserve">Undersøgelser af reproduktionstoksiciteten hos rotter har vist, at </w:t>
      </w:r>
      <w:proofErr w:type="spellStart"/>
      <w:r w:rsidRPr="00AF3E68">
        <w:rPr>
          <w:sz w:val="24"/>
          <w:szCs w:val="24"/>
        </w:rPr>
        <w:t>methoxsalen</w:t>
      </w:r>
      <w:proofErr w:type="spellEnd"/>
      <w:r w:rsidRPr="00AF3E68">
        <w:rPr>
          <w:sz w:val="24"/>
          <w:szCs w:val="24"/>
        </w:rPr>
        <w:t xml:space="preserve"> påvirker fosterets vækst, levedygtighed og morfologiske udvikling i negativ retning ved doser, som forårsagede markant toksicitet hos moderen.</w:t>
      </w:r>
    </w:p>
    <w:p w:rsidR="00406000" w:rsidRPr="00AF3E68" w:rsidRDefault="00406000" w:rsidP="009621E7">
      <w:pPr>
        <w:ind w:left="851" w:hanging="851"/>
        <w:rPr>
          <w:sz w:val="24"/>
          <w:szCs w:val="24"/>
        </w:rPr>
      </w:pPr>
    </w:p>
    <w:p w:rsidR="00406000" w:rsidRPr="00AF3E68" w:rsidRDefault="00406000" w:rsidP="009621E7">
      <w:pPr>
        <w:ind w:left="851"/>
        <w:rPr>
          <w:sz w:val="24"/>
          <w:szCs w:val="24"/>
        </w:rPr>
      </w:pPr>
      <w:r w:rsidRPr="00AF3E68">
        <w:rPr>
          <w:sz w:val="24"/>
          <w:szCs w:val="24"/>
        </w:rPr>
        <w:t>Der er ikke blevet foretaget fertilitetsundersøgelser til fastlæggelse af den reprodu</w:t>
      </w:r>
      <w:r w:rsidR="009621E7" w:rsidRPr="00AF3E68">
        <w:rPr>
          <w:sz w:val="24"/>
          <w:szCs w:val="24"/>
        </w:rPr>
        <w:t>k</w:t>
      </w:r>
      <w:r w:rsidRPr="00AF3E68">
        <w:rPr>
          <w:sz w:val="24"/>
          <w:szCs w:val="24"/>
        </w:rPr>
        <w:t xml:space="preserve">tive toksicitet forbundet med </w:t>
      </w:r>
      <w:proofErr w:type="spellStart"/>
      <w:r w:rsidRPr="00AF3E68">
        <w:rPr>
          <w:sz w:val="24"/>
          <w:szCs w:val="24"/>
        </w:rPr>
        <w:t>U</w:t>
      </w:r>
      <w:r w:rsidR="00AC3BC9" w:rsidRPr="00AF3E68">
        <w:rPr>
          <w:sz w:val="24"/>
          <w:szCs w:val="24"/>
        </w:rPr>
        <w:t>vadex</w:t>
      </w:r>
      <w:proofErr w:type="spellEnd"/>
      <w:r w:rsidRPr="00AF3E68">
        <w:rPr>
          <w:sz w:val="24"/>
          <w:szCs w:val="24"/>
        </w:rPr>
        <w:t xml:space="preserve">. </w:t>
      </w:r>
    </w:p>
    <w:p w:rsidR="00406000" w:rsidRPr="00AF3E68" w:rsidRDefault="00406000" w:rsidP="009621E7">
      <w:pPr>
        <w:ind w:left="851" w:hanging="851"/>
        <w:rPr>
          <w:sz w:val="24"/>
          <w:szCs w:val="24"/>
        </w:rPr>
      </w:pPr>
    </w:p>
    <w:p w:rsidR="00406000" w:rsidRPr="00AF3E68" w:rsidRDefault="00406000" w:rsidP="009621E7">
      <w:pPr>
        <w:ind w:left="851"/>
        <w:rPr>
          <w:sz w:val="24"/>
          <w:szCs w:val="24"/>
        </w:rPr>
      </w:pPr>
      <w:r w:rsidRPr="00AF3E68">
        <w:rPr>
          <w:sz w:val="24"/>
          <w:szCs w:val="24"/>
        </w:rPr>
        <w:t xml:space="preserve">Potentialet for fototoksicitet er undersøgt grundigt på dyremodeller. Manifestationer af fototoksiske reaktioner er identificeret i hud og øjne efter oral administration og i leveren efter </w:t>
      </w:r>
      <w:proofErr w:type="spellStart"/>
      <w:r w:rsidRPr="00AF3E68">
        <w:rPr>
          <w:sz w:val="24"/>
          <w:szCs w:val="24"/>
        </w:rPr>
        <w:t>intraperitoneal</w:t>
      </w:r>
      <w:proofErr w:type="spellEnd"/>
      <w:r w:rsidRPr="00AF3E68">
        <w:rPr>
          <w:sz w:val="24"/>
          <w:szCs w:val="24"/>
        </w:rPr>
        <w:t xml:space="preserve"> administration. Undersøgelser af mennesker har vist, at fototoksiske reaktioner sandsynligvis ikke opstår, medmindre de systemiske eksponeringer er på mindst 30 </w:t>
      </w:r>
      <w:proofErr w:type="spellStart"/>
      <w:r w:rsidRPr="00AF3E68">
        <w:rPr>
          <w:sz w:val="24"/>
          <w:szCs w:val="24"/>
        </w:rPr>
        <w:t>ng</w:t>
      </w:r>
      <w:proofErr w:type="spellEnd"/>
      <w:r w:rsidRPr="00AF3E68">
        <w:rPr>
          <w:sz w:val="24"/>
          <w:szCs w:val="24"/>
        </w:rPr>
        <w:t xml:space="preserve">/ml. Da koncentrationerne af </w:t>
      </w:r>
      <w:proofErr w:type="spellStart"/>
      <w:r w:rsidRPr="00AF3E68">
        <w:rPr>
          <w:sz w:val="24"/>
          <w:szCs w:val="24"/>
        </w:rPr>
        <w:t>methoxsalen</w:t>
      </w:r>
      <w:proofErr w:type="spellEnd"/>
      <w:r w:rsidRPr="00AF3E68">
        <w:rPr>
          <w:sz w:val="24"/>
          <w:szCs w:val="24"/>
        </w:rPr>
        <w:t xml:space="preserve"> i plasma efter </w:t>
      </w:r>
      <w:proofErr w:type="spellStart"/>
      <w:r w:rsidRPr="00AF3E68">
        <w:rPr>
          <w:sz w:val="24"/>
          <w:szCs w:val="24"/>
        </w:rPr>
        <w:t>reinfusion</w:t>
      </w:r>
      <w:proofErr w:type="spellEnd"/>
      <w:r w:rsidRPr="00AF3E68">
        <w:rPr>
          <w:sz w:val="24"/>
          <w:szCs w:val="24"/>
        </w:rPr>
        <w:t xml:space="preserve"> af leukocytberiget plasma efter ekstrakorporal </w:t>
      </w:r>
      <w:proofErr w:type="spellStart"/>
      <w:r w:rsidRPr="00AF3E68">
        <w:rPr>
          <w:sz w:val="24"/>
          <w:szCs w:val="24"/>
        </w:rPr>
        <w:t>fotoferese</w:t>
      </w:r>
      <w:proofErr w:type="spellEnd"/>
      <w:r w:rsidRPr="00AF3E68">
        <w:rPr>
          <w:sz w:val="24"/>
          <w:szCs w:val="24"/>
        </w:rPr>
        <w:t xml:space="preserve"> konsekvent er under detekteringsniveau (10 </w:t>
      </w:r>
      <w:proofErr w:type="spellStart"/>
      <w:r w:rsidRPr="00AF3E68">
        <w:rPr>
          <w:sz w:val="24"/>
          <w:szCs w:val="24"/>
        </w:rPr>
        <w:t>ng</w:t>
      </w:r>
      <w:proofErr w:type="spellEnd"/>
      <w:r w:rsidRPr="00AF3E68">
        <w:rPr>
          <w:sz w:val="24"/>
          <w:szCs w:val="24"/>
        </w:rPr>
        <w:t xml:space="preserve">/ml), er fundene fra dyreforsøgene af begrænset relevans i forbindelse med anvendelsen af </w:t>
      </w:r>
      <w:proofErr w:type="spellStart"/>
      <w:r w:rsidRPr="00AF3E68">
        <w:rPr>
          <w:sz w:val="24"/>
          <w:szCs w:val="24"/>
        </w:rPr>
        <w:t>Uvadex</w:t>
      </w:r>
      <w:proofErr w:type="spellEnd"/>
      <w:r w:rsidRPr="00AF3E68">
        <w:rPr>
          <w:sz w:val="24"/>
          <w:szCs w:val="24"/>
        </w:rPr>
        <w:t>.</w:t>
      </w:r>
    </w:p>
    <w:p w:rsidR="00406000" w:rsidRPr="00AF3E68" w:rsidRDefault="00406000" w:rsidP="009621E7">
      <w:pPr>
        <w:ind w:left="851" w:hanging="851"/>
        <w:rPr>
          <w:sz w:val="24"/>
          <w:szCs w:val="24"/>
        </w:rPr>
      </w:pPr>
    </w:p>
    <w:p w:rsidR="00406000" w:rsidRPr="00AF3E68" w:rsidRDefault="00406000" w:rsidP="009621E7">
      <w:pPr>
        <w:ind w:left="851"/>
        <w:rPr>
          <w:sz w:val="24"/>
          <w:szCs w:val="24"/>
        </w:rPr>
      </w:pPr>
      <w:r w:rsidRPr="00AF3E68">
        <w:rPr>
          <w:sz w:val="24"/>
          <w:szCs w:val="24"/>
        </w:rPr>
        <w:t xml:space="preserve">Nogle eksperimentelle undersøgelser har indikeret, at </w:t>
      </w:r>
      <w:proofErr w:type="spellStart"/>
      <w:r w:rsidRPr="00AF3E68">
        <w:rPr>
          <w:sz w:val="24"/>
          <w:szCs w:val="24"/>
        </w:rPr>
        <w:t>methoxsalen</w:t>
      </w:r>
      <w:proofErr w:type="spellEnd"/>
      <w:r w:rsidRPr="00AF3E68">
        <w:rPr>
          <w:sz w:val="24"/>
          <w:szCs w:val="24"/>
        </w:rPr>
        <w:t xml:space="preserve"> kan øge modtageligheden over for </w:t>
      </w:r>
      <w:proofErr w:type="spellStart"/>
      <w:r w:rsidRPr="00AF3E68">
        <w:rPr>
          <w:sz w:val="24"/>
          <w:szCs w:val="24"/>
        </w:rPr>
        <w:t>carcinogenese</w:t>
      </w:r>
      <w:proofErr w:type="spellEnd"/>
      <w:r w:rsidRPr="00AF3E68">
        <w:rPr>
          <w:sz w:val="24"/>
          <w:szCs w:val="24"/>
        </w:rPr>
        <w:t xml:space="preserve"> i huden på grund af eksponeringen for UV-lys. Ikke-fotoaktiveret </w:t>
      </w:r>
      <w:proofErr w:type="spellStart"/>
      <w:r w:rsidRPr="00AF3E68">
        <w:rPr>
          <w:sz w:val="24"/>
          <w:szCs w:val="24"/>
        </w:rPr>
        <w:t>methoxsalen</w:t>
      </w:r>
      <w:proofErr w:type="spellEnd"/>
      <w:r w:rsidRPr="00AF3E68">
        <w:rPr>
          <w:sz w:val="24"/>
          <w:szCs w:val="24"/>
        </w:rPr>
        <w:t xml:space="preserve"> har vist sig at inducere genmutationer i bakterier samt kromosomafvigelser og </w:t>
      </w:r>
      <w:proofErr w:type="spellStart"/>
      <w:r w:rsidRPr="00AF3E68">
        <w:rPr>
          <w:sz w:val="24"/>
          <w:szCs w:val="24"/>
        </w:rPr>
        <w:t>søsterkromatidudvekslinger</w:t>
      </w:r>
      <w:proofErr w:type="spellEnd"/>
      <w:r w:rsidRPr="00AF3E68">
        <w:rPr>
          <w:sz w:val="24"/>
          <w:szCs w:val="24"/>
        </w:rPr>
        <w:t xml:space="preserve"> i dyrkede </w:t>
      </w:r>
      <w:proofErr w:type="spellStart"/>
      <w:r w:rsidRPr="00AF3E68">
        <w:rPr>
          <w:sz w:val="24"/>
          <w:szCs w:val="24"/>
        </w:rPr>
        <w:t>mammaliaceller</w:t>
      </w:r>
      <w:proofErr w:type="spellEnd"/>
      <w:r w:rsidRPr="00AF3E68">
        <w:rPr>
          <w:sz w:val="24"/>
          <w:szCs w:val="24"/>
        </w:rPr>
        <w:t>, og det er rapporteret, at det har induceret en usædvanlig stor mængde tumorer i nyrer, lunger og subkutant hos hanrotter efter oral administration med doser på 37,5 og 75 mg/kg/dag (5</w:t>
      </w:r>
      <w:r w:rsidR="00813596">
        <w:rPr>
          <w:sz w:val="24"/>
          <w:szCs w:val="24"/>
        </w:rPr>
        <w:t> </w:t>
      </w:r>
      <w:r w:rsidRPr="00AF3E68">
        <w:rPr>
          <w:sz w:val="24"/>
          <w:szCs w:val="24"/>
        </w:rPr>
        <w:t>gange ugentlig) i op til to år.</w:t>
      </w:r>
    </w:p>
    <w:p w:rsidR="00406000" w:rsidRPr="00AF3E68" w:rsidRDefault="00406000" w:rsidP="00406000">
      <w:pPr>
        <w:tabs>
          <w:tab w:val="left" w:pos="851"/>
        </w:tabs>
        <w:ind w:left="851" w:hanging="851"/>
        <w:rPr>
          <w:sz w:val="24"/>
          <w:szCs w:val="24"/>
        </w:rPr>
      </w:pPr>
    </w:p>
    <w:p w:rsidR="00406000" w:rsidRPr="00AF3E68" w:rsidRDefault="00406000" w:rsidP="00406000">
      <w:pPr>
        <w:tabs>
          <w:tab w:val="left" w:pos="851"/>
        </w:tabs>
        <w:ind w:left="851" w:hanging="851"/>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6.</w:t>
      </w:r>
      <w:r w:rsidRPr="00AF3E68">
        <w:rPr>
          <w:b/>
          <w:sz w:val="24"/>
          <w:szCs w:val="24"/>
        </w:rPr>
        <w:tab/>
        <w:t>FARMACEUTISKE OPLYSNINGER</w:t>
      </w:r>
    </w:p>
    <w:p w:rsidR="00F138F0" w:rsidRPr="00AF3E68" w:rsidRDefault="00F138F0" w:rsidP="00F138F0">
      <w:pPr>
        <w:tabs>
          <w:tab w:val="left" w:pos="851"/>
        </w:tabs>
        <w:ind w:left="851"/>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6.1</w:t>
      </w:r>
      <w:r w:rsidRPr="00AF3E68">
        <w:rPr>
          <w:b/>
          <w:sz w:val="24"/>
          <w:szCs w:val="24"/>
        </w:rPr>
        <w:tab/>
        <w:t>Hjælpestoffer</w:t>
      </w:r>
    </w:p>
    <w:p w:rsidR="00406000" w:rsidRPr="00AF3E68" w:rsidRDefault="00406000" w:rsidP="003754D7">
      <w:pPr>
        <w:ind w:left="851"/>
        <w:rPr>
          <w:sz w:val="24"/>
          <w:szCs w:val="24"/>
        </w:rPr>
      </w:pPr>
      <w:proofErr w:type="spellStart"/>
      <w:r w:rsidRPr="00AF3E68">
        <w:rPr>
          <w:sz w:val="24"/>
          <w:szCs w:val="24"/>
        </w:rPr>
        <w:t>Ethanol</w:t>
      </w:r>
      <w:proofErr w:type="spellEnd"/>
      <w:r w:rsidRPr="00AF3E68">
        <w:rPr>
          <w:sz w:val="24"/>
          <w:szCs w:val="24"/>
        </w:rPr>
        <w:t xml:space="preserve"> 95 %</w:t>
      </w:r>
    </w:p>
    <w:p w:rsidR="00406000" w:rsidRPr="00AF3E68" w:rsidRDefault="00406000" w:rsidP="003754D7">
      <w:pPr>
        <w:ind w:left="851"/>
        <w:rPr>
          <w:sz w:val="24"/>
          <w:szCs w:val="24"/>
        </w:rPr>
      </w:pPr>
      <w:r w:rsidRPr="00AF3E68">
        <w:rPr>
          <w:sz w:val="24"/>
          <w:szCs w:val="24"/>
        </w:rPr>
        <w:t>Propylenglycol</w:t>
      </w:r>
    </w:p>
    <w:p w:rsidR="00406000" w:rsidRPr="00AF3E68" w:rsidRDefault="00406000" w:rsidP="003754D7">
      <w:pPr>
        <w:ind w:left="851"/>
        <w:rPr>
          <w:sz w:val="24"/>
          <w:szCs w:val="24"/>
        </w:rPr>
      </w:pPr>
      <w:r w:rsidRPr="00AF3E68">
        <w:rPr>
          <w:sz w:val="24"/>
          <w:szCs w:val="24"/>
        </w:rPr>
        <w:t>Iseddike</w:t>
      </w:r>
    </w:p>
    <w:p w:rsidR="00406000" w:rsidRPr="00AF3E68" w:rsidRDefault="00406000" w:rsidP="003754D7">
      <w:pPr>
        <w:ind w:left="851"/>
        <w:rPr>
          <w:sz w:val="24"/>
          <w:szCs w:val="24"/>
        </w:rPr>
      </w:pPr>
      <w:proofErr w:type="spellStart"/>
      <w:r w:rsidRPr="00AF3E68">
        <w:rPr>
          <w:sz w:val="24"/>
          <w:szCs w:val="24"/>
        </w:rPr>
        <w:t>Natriumacetattrihydrat</w:t>
      </w:r>
      <w:proofErr w:type="spellEnd"/>
    </w:p>
    <w:p w:rsidR="00406000" w:rsidRPr="00AF3E68" w:rsidRDefault="00406000" w:rsidP="003754D7">
      <w:pPr>
        <w:ind w:left="851"/>
        <w:rPr>
          <w:sz w:val="24"/>
          <w:szCs w:val="24"/>
        </w:rPr>
      </w:pPr>
      <w:proofErr w:type="spellStart"/>
      <w:r w:rsidRPr="00AF3E68">
        <w:rPr>
          <w:sz w:val="24"/>
          <w:szCs w:val="24"/>
        </w:rPr>
        <w:t>Natriumchlorid</w:t>
      </w:r>
      <w:proofErr w:type="spellEnd"/>
    </w:p>
    <w:p w:rsidR="00406000" w:rsidRPr="00AF3E68" w:rsidRDefault="00406000" w:rsidP="003754D7">
      <w:pPr>
        <w:ind w:left="851"/>
        <w:rPr>
          <w:sz w:val="24"/>
          <w:szCs w:val="24"/>
        </w:rPr>
      </w:pPr>
      <w:r w:rsidRPr="00AF3E68">
        <w:rPr>
          <w:sz w:val="24"/>
          <w:szCs w:val="24"/>
        </w:rPr>
        <w:t>Natriumhydroxid</w:t>
      </w:r>
    </w:p>
    <w:p w:rsidR="00406000" w:rsidRPr="00AF3E68" w:rsidRDefault="00406000" w:rsidP="003754D7">
      <w:pPr>
        <w:ind w:left="851"/>
        <w:rPr>
          <w:sz w:val="24"/>
          <w:szCs w:val="24"/>
        </w:rPr>
      </w:pPr>
      <w:r w:rsidRPr="00AF3E68">
        <w:rPr>
          <w:sz w:val="24"/>
          <w:szCs w:val="24"/>
        </w:rPr>
        <w:t>Vand til injektion</w:t>
      </w:r>
      <w:r w:rsidR="00CE1ABE" w:rsidRPr="00AF3E68">
        <w:rPr>
          <w:sz w:val="24"/>
          <w:szCs w:val="24"/>
        </w:rPr>
        <w:t>svæske</w:t>
      </w:r>
      <w:r w:rsidR="001E4964" w:rsidRPr="00AF3E68">
        <w:rPr>
          <w:sz w:val="24"/>
          <w:szCs w:val="24"/>
        </w:rPr>
        <w:t>r</w:t>
      </w:r>
    </w:p>
    <w:p w:rsidR="00406000" w:rsidRPr="00AF3E68" w:rsidRDefault="00406000" w:rsidP="00406000">
      <w:pPr>
        <w:tabs>
          <w:tab w:val="left" w:pos="851"/>
        </w:tabs>
        <w:ind w:left="851" w:hanging="851"/>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6.2</w:t>
      </w:r>
      <w:r w:rsidRPr="00AF3E68">
        <w:rPr>
          <w:b/>
          <w:sz w:val="24"/>
          <w:szCs w:val="24"/>
        </w:rPr>
        <w:tab/>
        <w:t>Uforligeligheder</w:t>
      </w:r>
    </w:p>
    <w:p w:rsidR="00D72340" w:rsidRPr="00AF3E68" w:rsidRDefault="00406000" w:rsidP="00D72340">
      <w:pPr>
        <w:autoSpaceDE w:val="0"/>
        <w:autoSpaceDN w:val="0"/>
        <w:adjustRightInd w:val="0"/>
        <w:ind w:left="851"/>
        <w:rPr>
          <w:sz w:val="24"/>
          <w:szCs w:val="24"/>
        </w:rPr>
      </w:pPr>
      <w:proofErr w:type="spellStart"/>
      <w:r w:rsidRPr="00AF3E68">
        <w:rPr>
          <w:sz w:val="24"/>
          <w:szCs w:val="24"/>
        </w:rPr>
        <w:t>Uvadex</w:t>
      </w:r>
      <w:proofErr w:type="spellEnd"/>
      <w:r w:rsidRPr="00AF3E68">
        <w:rPr>
          <w:sz w:val="24"/>
          <w:szCs w:val="24"/>
        </w:rPr>
        <w:t xml:space="preserve"> kan sorberes på PVC og andre </w:t>
      </w:r>
      <w:r w:rsidR="00D72340" w:rsidRPr="00AF3E68">
        <w:rPr>
          <w:sz w:val="24"/>
          <w:szCs w:val="24"/>
        </w:rPr>
        <w:t xml:space="preserve">plastmaterialer; kun </w:t>
      </w:r>
      <w:r w:rsidR="00D72340" w:rsidRPr="00AF3E68">
        <w:rPr>
          <w:color w:val="000000"/>
          <w:sz w:val="24"/>
          <w:szCs w:val="24"/>
        </w:rPr>
        <w:t xml:space="preserve">THERAKOS CELLEX </w:t>
      </w:r>
      <w:r w:rsidR="00D72340" w:rsidRPr="00AF3E68">
        <w:rPr>
          <w:sz w:val="24"/>
          <w:szCs w:val="24"/>
        </w:rPr>
        <w:t xml:space="preserve">proceduresæt til </w:t>
      </w:r>
      <w:proofErr w:type="spellStart"/>
      <w:r w:rsidR="00D72340" w:rsidRPr="00AF3E68">
        <w:rPr>
          <w:sz w:val="24"/>
          <w:szCs w:val="24"/>
        </w:rPr>
        <w:t>fotoferese</w:t>
      </w:r>
      <w:proofErr w:type="spellEnd"/>
      <w:r w:rsidR="00D72340" w:rsidRPr="00AF3E68">
        <w:rPr>
          <w:sz w:val="24"/>
          <w:szCs w:val="24"/>
        </w:rPr>
        <w:t xml:space="preserve">, der leveres til anvendelse med instrumentet, må bruges til administration af dette lægemiddel. Den typiske </w:t>
      </w:r>
      <w:proofErr w:type="spellStart"/>
      <w:r w:rsidR="00D72340" w:rsidRPr="00AF3E68">
        <w:rPr>
          <w:sz w:val="24"/>
          <w:szCs w:val="24"/>
        </w:rPr>
        <w:t>sorption</w:t>
      </w:r>
      <w:proofErr w:type="spellEnd"/>
      <w:r w:rsidR="00D72340" w:rsidRPr="00AF3E68">
        <w:rPr>
          <w:sz w:val="24"/>
          <w:szCs w:val="24"/>
        </w:rPr>
        <w:t xml:space="preserve"> af </w:t>
      </w:r>
      <w:proofErr w:type="spellStart"/>
      <w:r w:rsidR="00D72340" w:rsidRPr="00AF3E68">
        <w:rPr>
          <w:sz w:val="24"/>
          <w:szCs w:val="24"/>
        </w:rPr>
        <w:t>U</w:t>
      </w:r>
      <w:r w:rsidR="00813596">
        <w:rPr>
          <w:sz w:val="24"/>
          <w:szCs w:val="24"/>
        </w:rPr>
        <w:t>vadex</w:t>
      </w:r>
      <w:proofErr w:type="spellEnd"/>
      <w:r w:rsidR="00D72340" w:rsidRPr="00AF3E68">
        <w:rPr>
          <w:sz w:val="24"/>
          <w:szCs w:val="24"/>
        </w:rPr>
        <w:t xml:space="preserve"> i plastmaterialer under behandling i en fotoaktiveringscyklus med </w:t>
      </w:r>
      <w:proofErr w:type="spellStart"/>
      <w:r w:rsidR="00D72340" w:rsidRPr="00AF3E68">
        <w:rPr>
          <w:sz w:val="24"/>
          <w:szCs w:val="24"/>
        </w:rPr>
        <w:t>fotoferese</w:t>
      </w:r>
      <w:proofErr w:type="spellEnd"/>
      <w:r w:rsidR="00D72340" w:rsidRPr="00AF3E68">
        <w:rPr>
          <w:sz w:val="24"/>
          <w:szCs w:val="24"/>
        </w:rPr>
        <w:t xml:space="preserve"> med </w:t>
      </w:r>
      <w:r w:rsidR="00D72340" w:rsidRPr="00AF3E68">
        <w:rPr>
          <w:color w:val="000000"/>
          <w:sz w:val="24"/>
          <w:szCs w:val="24"/>
        </w:rPr>
        <w:t>instrumentet</w:t>
      </w:r>
      <w:r w:rsidR="00D72340" w:rsidRPr="00AF3E68">
        <w:rPr>
          <w:sz w:val="24"/>
          <w:szCs w:val="24"/>
        </w:rPr>
        <w:t xml:space="preserve"> er cirka 30 %. </w:t>
      </w:r>
      <w:proofErr w:type="spellStart"/>
      <w:r w:rsidR="00D72340" w:rsidRPr="00AF3E68">
        <w:rPr>
          <w:sz w:val="24"/>
          <w:szCs w:val="24"/>
        </w:rPr>
        <w:t>U</w:t>
      </w:r>
      <w:r w:rsidR="00813596">
        <w:rPr>
          <w:sz w:val="24"/>
          <w:szCs w:val="24"/>
        </w:rPr>
        <w:t>vadex</w:t>
      </w:r>
      <w:proofErr w:type="spellEnd"/>
      <w:r w:rsidR="00D72340" w:rsidRPr="00AF3E68">
        <w:rPr>
          <w:sz w:val="24"/>
          <w:szCs w:val="24"/>
        </w:rPr>
        <w:t xml:space="preserve"> skal straks injiceres i fotoaktiveringsposen, efter at det er trukket ind i en plastsprøjte.</w:t>
      </w:r>
    </w:p>
    <w:p w:rsidR="00813596" w:rsidRDefault="00813596">
      <w:pPr>
        <w:rPr>
          <w:sz w:val="24"/>
          <w:szCs w:val="24"/>
        </w:rPr>
      </w:pPr>
      <w:r>
        <w:rPr>
          <w:sz w:val="24"/>
          <w:szCs w:val="24"/>
        </w:rPr>
        <w:br w:type="page"/>
      </w:r>
    </w:p>
    <w:p w:rsidR="00406000" w:rsidRPr="00AF3E68" w:rsidRDefault="00406000" w:rsidP="00406000">
      <w:pPr>
        <w:tabs>
          <w:tab w:val="left" w:pos="851"/>
        </w:tabs>
        <w:ind w:left="851" w:hanging="851"/>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6.3</w:t>
      </w:r>
      <w:r w:rsidRPr="00AF3E68">
        <w:rPr>
          <w:b/>
          <w:sz w:val="24"/>
          <w:szCs w:val="24"/>
        </w:rPr>
        <w:tab/>
        <w:t>Opbevaringstid</w:t>
      </w:r>
    </w:p>
    <w:p w:rsidR="00406000" w:rsidRPr="00AF3E68" w:rsidRDefault="00406000" w:rsidP="00406000">
      <w:pPr>
        <w:tabs>
          <w:tab w:val="left" w:pos="851"/>
        </w:tabs>
        <w:ind w:left="851" w:hanging="851"/>
        <w:rPr>
          <w:sz w:val="24"/>
          <w:szCs w:val="24"/>
        </w:rPr>
      </w:pPr>
      <w:r w:rsidRPr="00AF3E68">
        <w:rPr>
          <w:sz w:val="24"/>
          <w:szCs w:val="24"/>
        </w:rPr>
        <w:tab/>
        <w:t>3 år</w:t>
      </w:r>
    </w:p>
    <w:p w:rsidR="00406000" w:rsidRPr="00AF3E68" w:rsidRDefault="00406000" w:rsidP="00406000">
      <w:pPr>
        <w:tabs>
          <w:tab w:val="left" w:pos="851"/>
        </w:tabs>
        <w:ind w:left="851" w:hanging="851"/>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6.4</w:t>
      </w:r>
      <w:r w:rsidRPr="00AF3E68">
        <w:rPr>
          <w:b/>
          <w:sz w:val="24"/>
          <w:szCs w:val="24"/>
        </w:rPr>
        <w:tab/>
        <w:t>Særlige opbevaringsforhold</w:t>
      </w:r>
    </w:p>
    <w:p w:rsidR="00406000" w:rsidRPr="00AF3E68" w:rsidRDefault="00406000" w:rsidP="00406000">
      <w:pPr>
        <w:tabs>
          <w:tab w:val="left" w:pos="851"/>
        </w:tabs>
        <w:ind w:left="851" w:hanging="851"/>
        <w:rPr>
          <w:sz w:val="24"/>
          <w:szCs w:val="24"/>
        </w:rPr>
      </w:pPr>
      <w:r w:rsidRPr="00AF3E68">
        <w:rPr>
          <w:sz w:val="24"/>
          <w:szCs w:val="24"/>
        </w:rPr>
        <w:tab/>
        <w:t>Må ikke opbevares over 25</w:t>
      </w:r>
      <w:r w:rsidR="007A6348" w:rsidRPr="00AF3E68">
        <w:rPr>
          <w:sz w:val="24"/>
          <w:szCs w:val="24"/>
        </w:rPr>
        <w:t xml:space="preserve"> </w:t>
      </w:r>
      <w:r w:rsidRPr="00AF3E68">
        <w:rPr>
          <w:sz w:val="24"/>
          <w:szCs w:val="24"/>
        </w:rPr>
        <w:t>°C</w:t>
      </w:r>
      <w:r w:rsidR="007A6348" w:rsidRPr="00AF3E68">
        <w:rPr>
          <w:sz w:val="24"/>
          <w:szCs w:val="24"/>
        </w:rPr>
        <w:t>.</w:t>
      </w:r>
    </w:p>
    <w:p w:rsidR="00406000" w:rsidRPr="00AF3E68" w:rsidRDefault="00406000" w:rsidP="00406000">
      <w:pPr>
        <w:tabs>
          <w:tab w:val="left" w:pos="851"/>
        </w:tabs>
        <w:ind w:left="851" w:hanging="851"/>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6.5</w:t>
      </w:r>
      <w:r w:rsidRPr="00AF3E68">
        <w:rPr>
          <w:b/>
          <w:sz w:val="24"/>
          <w:szCs w:val="24"/>
        </w:rPr>
        <w:tab/>
        <w:t>Emballagetype og pakningsstørrelser</w:t>
      </w:r>
    </w:p>
    <w:p w:rsidR="00406000" w:rsidRPr="00AF3E68" w:rsidRDefault="00406000" w:rsidP="009621E7">
      <w:pPr>
        <w:autoSpaceDE w:val="0"/>
        <w:autoSpaceDN w:val="0"/>
        <w:adjustRightInd w:val="0"/>
        <w:ind w:left="851"/>
        <w:rPr>
          <w:sz w:val="24"/>
          <w:szCs w:val="24"/>
        </w:rPr>
      </w:pPr>
      <w:r w:rsidRPr="00AF3E68">
        <w:rPr>
          <w:sz w:val="24"/>
          <w:szCs w:val="24"/>
        </w:rPr>
        <w:t>10 ml opløsning i ravgule hætteglas (Type 1) med laminerede propper (butylgummi lamineret med fluor-kulstof polymerfilm), forseglet med flip-</w:t>
      </w:r>
      <w:proofErr w:type="spellStart"/>
      <w:r w:rsidRPr="00AF3E68">
        <w:rPr>
          <w:sz w:val="24"/>
          <w:szCs w:val="24"/>
        </w:rPr>
        <w:t>off</w:t>
      </w:r>
      <w:proofErr w:type="spellEnd"/>
      <w:r w:rsidRPr="00AF3E68">
        <w:rPr>
          <w:sz w:val="24"/>
          <w:szCs w:val="24"/>
        </w:rPr>
        <w:t xml:space="preserve"> aluminiumhætter. Pakkestørrelse 12 </w:t>
      </w:r>
      <w:r w:rsidR="001E4964" w:rsidRPr="00AF3E68">
        <w:rPr>
          <w:sz w:val="24"/>
          <w:szCs w:val="24"/>
        </w:rPr>
        <w:t>×</w:t>
      </w:r>
      <w:r w:rsidRPr="00AF3E68">
        <w:rPr>
          <w:sz w:val="24"/>
          <w:szCs w:val="24"/>
        </w:rPr>
        <w:t xml:space="preserve"> 10 ml.</w:t>
      </w:r>
    </w:p>
    <w:p w:rsidR="00406000" w:rsidRPr="00AF3E68" w:rsidRDefault="00406000" w:rsidP="00406000">
      <w:pPr>
        <w:ind w:left="851" w:hanging="851"/>
        <w:jc w:val="both"/>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6.6</w:t>
      </w:r>
      <w:r w:rsidRPr="00AF3E68">
        <w:rPr>
          <w:b/>
          <w:sz w:val="24"/>
          <w:szCs w:val="24"/>
        </w:rPr>
        <w:tab/>
        <w:t>Regler for bortskaffelse og anden håndtering</w:t>
      </w:r>
    </w:p>
    <w:p w:rsidR="00406000" w:rsidRPr="00AF3E68" w:rsidRDefault="00406000" w:rsidP="007A6348">
      <w:pPr>
        <w:ind w:left="851"/>
        <w:rPr>
          <w:sz w:val="24"/>
          <w:szCs w:val="24"/>
        </w:rPr>
      </w:pPr>
      <w:proofErr w:type="spellStart"/>
      <w:r w:rsidRPr="00AF3E68">
        <w:rPr>
          <w:sz w:val="24"/>
          <w:szCs w:val="24"/>
        </w:rPr>
        <w:t>Uvadex</w:t>
      </w:r>
      <w:proofErr w:type="spellEnd"/>
      <w:r w:rsidRPr="00AF3E68">
        <w:rPr>
          <w:sz w:val="24"/>
          <w:szCs w:val="24"/>
        </w:rPr>
        <w:t xml:space="preserve"> må ikke fortyndes. Indholdet af hætteglasset skal injiceres i </w:t>
      </w:r>
      <w:r w:rsidRPr="00AF3E68">
        <w:rPr>
          <w:color w:val="000000"/>
          <w:sz w:val="24"/>
          <w:szCs w:val="24"/>
        </w:rPr>
        <w:t xml:space="preserve">THERAKOS </w:t>
      </w:r>
      <w:r w:rsidR="00D72340" w:rsidRPr="00AF3E68">
        <w:rPr>
          <w:color w:val="000000"/>
          <w:sz w:val="24"/>
          <w:szCs w:val="24"/>
        </w:rPr>
        <w:t>CELLEX</w:t>
      </w:r>
      <w:r w:rsidR="00D72340" w:rsidRPr="00AF3E68">
        <w:rPr>
          <w:sz w:val="24"/>
          <w:szCs w:val="24"/>
        </w:rPr>
        <w:t>-</w:t>
      </w:r>
      <w:proofErr w:type="spellStart"/>
      <w:r w:rsidR="00D72340" w:rsidRPr="00AF3E68">
        <w:rPr>
          <w:sz w:val="24"/>
          <w:szCs w:val="24"/>
        </w:rPr>
        <w:t>fotoferesesystemet</w:t>
      </w:r>
      <w:proofErr w:type="spellEnd"/>
      <w:r w:rsidR="00D72340" w:rsidRPr="00AF3E68">
        <w:rPr>
          <w:sz w:val="24"/>
          <w:szCs w:val="24"/>
        </w:rPr>
        <w:t xml:space="preserve"> </w:t>
      </w:r>
      <w:r w:rsidRPr="00AF3E68">
        <w:rPr>
          <w:sz w:val="24"/>
          <w:szCs w:val="24"/>
        </w:rPr>
        <w:t>straks efter at det er trukket ind i en sprøjte. Må ikke injiceres direkte i patienten.</w:t>
      </w:r>
    </w:p>
    <w:p w:rsidR="00406000" w:rsidRPr="00AF3E68" w:rsidRDefault="00406000" w:rsidP="007A6348">
      <w:pPr>
        <w:ind w:left="851"/>
        <w:rPr>
          <w:sz w:val="24"/>
          <w:szCs w:val="24"/>
        </w:rPr>
      </w:pPr>
    </w:p>
    <w:p w:rsidR="00406000" w:rsidRPr="00AF3E68" w:rsidRDefault="00406000" w:rsidP="007A6348">
      <w:pPr>
        <w:ind w:left="851"/>
        <w:rPr>
          <w:sz w:val="24"/>
          <w:szCs w:val="24"/>
        </w:rPr>
      </w:pPr>
      <w:r w:rsidRPr="00AF3E68">
        <w:rPr>
          <w:sz w:val="24"/>
          <w:szCs w:val="24"/>
        </w:rPr>
        <w:t xml:space="preserve">Brugermanualen til </w:t>
      </w:r>
      <w:r w:rsidRPr="00AF3E68">
        <w:rPr>
          <w:color w:val="000000"/>
          <w:sz w:val="24"/>
          <w:szCs w:val="24"/>
        </w:rPr>
        <w:t xml:space="preserve">THERAKOS </w:t>
      </w:r>
      <w:r w:rsidR="00D72340" w:rsidRPr="00AF3E68">
        <w:rPr>
          <w:color w:val="000000"/>
          <w:sz w:val="24"/>
          <w:szCs w:val="24"/>
        </w:rPr>
        <w:t>CELLEX</w:t>
      </w:r>
      <w:bookmarkStart w:id="0" w:name="_GoBack"/>
      <w:bookmarkEnd w:id="0"/>
      <w:r w:rsidR="00D72340" w:rsidRPr="00AF3E68">
        <w:rPr>
          <w:sz w:val="24"/>
          <w:szCs w:val="24"/>
        </w:rPr>
        <w:t xml:space="preserve">-instrumentet </w:t>
      </w:r>
      <w:r w:rsidRPr="00AF3E68">
        <w:rPr>
          <w:sz w:val="24"/>
          <w:szCs w:val="24"/>
        </w:rPr>
        <w:t>skal læses, inden dette lægemiddel tages i brug.</w:t>
      </w:r>
    </w:p>
    <w:p w:rsidR="00406000" w:rsidRPr="00AF3E68" w:rsidRDefault="00406000" w:rsidP="007A6348">
      <w:pPr>
        <w:ind w:left="851"/>
        <w:rPr>
          <w:sz w:val="24"/>
          <w:szCs w:val="24"/>
        </w:rPr>
      </w:pPr>
      <w:proofErr w:type="spellStart"/>
      <w:r w:rsidRPr="00AF3E68">
        <w:rPr>
          <w:sz w:val="24"/>
          <w:szCs w:val="24"/>
        </w:rPr>
        <w:t>Uvadex</w:t>
      </w:r>
      <w:proofErr w:type="spellEnd"/>
      <w:r w:rsidRPr="00AF3E68">
        <w:rPr>
          <w:sz w:val="24"/>
          <w:szCs w:val="24"/>
        </w:rPr>
        <w:t>, der er opbevaret i en plastsprøjte i mere end 1 time, skal kasseres.</w:t>
      </w:r>
    </w:p>
    <w:p w:rsidR="00406000" w:rsidRPr="00AF3E68" w:rsidRDefault="00406000" w:rsidP="007A6348">
      <w:pPr>
        <w:tabs>
          <w:tab w:val="left" w:pos="851"/>
        </w:tabs>
        <w:ind w:left="851" w:hanging="851"/>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7.</w:t>
      </w:r>
      <w:r w:rsidRPr="00AF3E68">
        <w:rPr>
          <w:b/>
          <w:sz w:val="24"/>
          <w:szCs w:val="24"/>
        </w:rPr>
        <w:tab/>
        <w:t>INDEHAVER AF MARKEDSFØRINGSTILLADELSEN</w:t>
      </w:r>
    </w:p>
    <w:p w:rsidR="00A660D9" w:rsidRPr="00AF3E68" w:rsidRDefault="00A660D9" w:rsidP="009621E7">
      <w:pPr>
        <w:ind w:left="851"/>
        <w:rPr>
          <w:sz w:val="24"/>
          <w:szCs w:val="24"/>
        </w:rPr>
      </w:pPr>
      <w:proofErr w:type="spellStart"/>
      <w:r w:rsidRPr="00AF3E68">
        <w:rPr>
          <w:sz w:val="24"/>
          <w:szCs w:val="24"/>
        </w:rPr>
        <w:t>Therakos</w:t>
      </w:r>
      <w:proofErr w:type="spellEnd"/>
      <w:r w:rsidRPr="00AF3E68">
        <w:rPr>
          <w:sz w:val="24"/>
          <w:szCs w:val="24"/>
        </w:rPr>
        <w:t xml:space="preserve"> Europe Ltd</w:t>
      </w:r>
    </w:p>
    <w:p w:rsidR="00A660D9" w:rsidRPr="00AF3E68" w:rsidRDefault="00A660D9" w:rsidP="009621E7">
      <w:pPr>
        <w:ind w:left="851"/>
        <w:rPr>
          <w:sz w:val="24"/>
          <w:szCs w:val="24"/>
        </w:rPr>
      </w:pPr>
      <w:r w:rsidRPr="00AF3E68">
        <w:rPr>
          <w:sz w:val="24"/>
          <w:szCs w:val="24"/>
        </w:rPr>
        <w:t>College Business &amp; Technology Park</w:t>
      </w:r>
    </w:p>
    <w:p w:rsidR="00A660D9" w:rsidRPr="00AF3E68" w:rsidRDefault="00A660D9" w:rsidP="009621E7">
      <w:pPr>
        <w:ind w:left="851"/>
        <w:rPr>
          <w:sz w:val="24"/>
          <w:szCs w:val="24"/>
        </w:rPr>
      </w:pPr>
      <w:proofErr w:type="spellStart"/>
      <w:r w:rsidRPr="00AF3E68">
        <w:rPr>
          <w:sz w:val="24"/>
          <w:szCs w:val="24"/>
        </w:rPr>
        <w:t>Cruiserath</w:t>
      </w:r>
      <w:proofErr w:type="spellEnd"/>
      <w:r w:rsidRPr="00AF3E68">
        <w:rPr>
          <w:sz w:val="24"/>
          <w:szCs w:val="24"/>
        </w:rPr>
        <w:t xml:space="preserve">, </w:t>
      </w:r>
      <w:proofErr w:type="spellStart"/>
      <w:r w:rsidRPr="00AF3E68">
        <w:rPr>
          <w:sz w:val="24"/>
          <w:szCs w:val="24"/>
        </w:rPr>
        <w:t>Blanchardstown</w:t>
      </w:r>
      <w:proofErr w:type="spellEnd"/>
    </w:p>
    <w:p w:rsidR="00A660D9" w:rsidRPr="00AF3E68" w:rsidRDefault="00A660D9" w:rsidP="009621E7">
      <w:pPr>
        <w:ind w:left="851"/>
        <w:rPr>
          <w:sz w:val="24"/>
          <w:szCs w:val="24"/>
        </w:rPr>
      </w:pPr>
      <w:r w:rsidRPr="00AF3E68">
        <w:rPr>
          <w:sz w:val="24"/>
          <w:szCs w:val="24"/>
        </w:rPr>
        <w:t>Dublin 15</w:t>
      </w:r>
    </w:p>
    <w:p w:rsidR="00406000" w:rsidRPr="00AF3E68" w:rsidRDefault="00A660D9" w:rsidP="009621E7">
      <w:pPr>
        <w:ind w:left="851"/>
        <w:rPr>
          <w:sz w:val="24"/>
          <w:szCs w:val="24"/>
        </w:rPr>
      </w:pPr>
      <w:r w:rsidRPr="00AF3E68">
        <w:rPr>
          <w:sz w:val="24"/>
          <w:szCs w:val="24"/>
        </w:rPr>
        <w:t>Irland</w:t>
      </w:r>
    </w:p>
    <w:p w:rsidR="00406000" w:rsidRPr="00AF3E68" w:rsidRDefault="00406000" w:rsidP="00406000">
      <w:pPr>
        <w:tabs>
          <w:tab w:val="left" w:pos="851"/>
        </w:tabs>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8.</w:t>
      </w:r>
      <w:r w:rsidRPr="00AF3E68">
        <w:rPr>
          <w:b/>
          <w:sz w:val="24"/>
          <w:szCs w:val="24"/>
        </w:rPr>
        <w:tab/>
        <w:t>MARKEDSFØRINGSTILLADELSESNUMMER (-NUMRE)</w:t>
      </w:r>
    </w:p>
    <w:p w:rsidR="00406000" w:rsidRPr="00AF3E68" w:rsidRDefault="00406000" w:rsidP="00406000">
      <w:pPr>
        <w:tabs>
          <w:tab w:val="left" w:pos="851"/>
        </w:tabs>
        <w:ind w:left="851" w:hanging="851"/>
        <w:rPr>
          <w:sz w:val="24"/>
          <w:szCs w:val="24"/>
        </w:rPr>
      </w:pPr>
      <w:r w:rsidRPr="00AF3E68">
        <w:rPr>
          <w:sz w:val="24"/>
          <w:szCs w:val="24"/>
        </w:rPr>
        <w:tab/>
        <w:t>38834</w:t>
      </w:r>
    </w:p>
    <w:p w:rsidR="00406000" w:rsidRPr="00AF3E68" w:rsidRDefault="00406000" w:rsidP="00406000">
      <w:pPr>
        <w:tabs>
          <w:tab w:val="left" w:pos="851"/>
        </w:tabs>
        <w:ind w:left="851" w:hanging="851"/>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9.</w:t>
      </w:r>
      <w:r w:rsidRPr="00AF3E68">
        <w:rPr>
          <w:b/>
          <w:sz w:val="24"/>
          <w:szCs w:val="24"/>
        </w:rPr>
        <w:tab/>
        <w:t>DATO FOR FØRSTE MARKEDSFØRINGSTILLADELSE</w:t>
      </w:r>
    </w:p>
    <w:p w:rsidR="00406000" w:rsidRPr="00AF3E68" w:rsidRDefault="00406000" w:rsidP="00406000">
      <w:pPr>
        <w:tabs>
          <w:tab w:val="left" w:pos="851"/>
        </w:tabs>
        <w:rPr>
          <w:sz w:val="24"/>
          <w:szCs w:val="24"/>
        </w:rPr>
      </w:pPr>
      <w:r w:rsidRPr="00AF3E68">
        <w:rPr>
          <w:sz w:val="24"/>
          <w:szCs w:val="24"/>
        </w:rPr>
        <w:tab/>
        <w:t>8. september 2006</w:t>
      </w:r>
    </w:p>
    <w:p w:rsidR="00406000" w:rsidRPr="00AF3E68" w:rsidRDefault="00406000" w:rsidP="00406000">
      <w:pPr>
        <w:tabs>
          <w:tab w:val="left" w:pos="851"/>
        </w:tabs>
        <w:rPr>
          <w:sz w:val="24"/>
          <w:szCs w:val="24"/>
        </w:rPr>
      </w:pPr>
    </w:p>
    <w:p w:rsidR="00F138F0" w:rsidRPr="00AF3E68" w:rsidRDefault="00F138F0" w:rsidP="00F138F0">
      <w:pPr>
        <w:tabs>
          <w:tab w:val="left" w:pos="851"/>
        </w:tabs>
        <w:ind w:left="851" w:hanging="851"/>
        <w:rPr>
          <w:b/>
          <w:sz w:val="24"/>
          <w:szCs w:val="24"/>
        </w:rPr>
      </w:pPr>
      <w:r w:rsidRPr="00AF3E68">
        <w:rPr>
          <w:b/>
          <w:sz w:val="24"/>
          <w:szCs w:val="24"/>
        </w:rPr>
        <w:t>10.</w:t>
      </w:r>
      <w:r w:rsidRPr="00AF3E68">
        <w:rPr>
          <w:b/>
          <w:sz w:val="24"/>
          <w:szCs w:val="24"/>
        </w:rPr>
        <w:tab/>
        <w:t>DATO FOR ÆNDRING AF TEKSTEN</w:t>
      </w:r>
    </w:p>
    <w:p w:rsidR="003754D7" w:rsidRPr="00AF3E68" w:rsidRDefault="00406000" w:rsidP="00AC0F06">
      <w:pPr>
        <w:tabs>
          <w:tab w:val="left" w:pos="851"/>
        </w:tabs>
        <w:rPr>
          <w:sz w:val="24"/>
          <w:szCs w:val="24"/>
        </w:rPr>
      </w:pPr>
      <w:r w:rsidRPr="00AF3E68">
        <w:rPr>
          <w:sz w:val="24"/>
          <w:szCs w:val="24"/>
        </w:rPr>
        <w:tab/>
      </w:r>
      <w:r w:rsidR="00F138F0" w:rsidRPr="00AF3E68">
        <w:rPr>
          <w:sz w:val="24"/>
          <w:szCs w:val="24"/>
        </w:rPr>
        <w:t>24. januar 2024</w:t>
      </w:r>
    </w:p>
    <w:sectPr w:rsidR="003754D7" w:rsidRPr="00AF3E6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000" w:rsidRDefault="00406000">
      <w:r>
        <w:separator/>
      </w:r>
    </w:p>
  </w:endnote>
  <w:endnote w:type="continuationSeparator" w:id="0">
    <w:p w:rsidR="00406000" w:rsidRDefault="0040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67CCF">
      <w:rPr>
        <w:i/>
        <w:noProof/>
        <w:sz w:val="18"/>
        <w:szCs w:val="18"/>
      </w:rPr>
      <w:t>Uvadex, opløsning til modificering af blodfraktioner 20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000" w:rsidRDefault="00406000">
      <w:r>
        <w:separator/>
      </w:r>
    </w:p>
  </w:footnote>
  <w:footnote w:type="continuationSeparator" w:id="0">
    <w:p w:rsidR="00406000" w:rsidRDefault="00406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00"/>
    <w:rsid w:val="000103E3"/>
    <w:rsid w:val="000259B9"/>
    <w:rsid w:val="00041491"/>
    <w:rsid w:val="00050D16"/>
    <w:rsid w:val="00074F2A"/>
    <w:rsid w:val="000A1CA8"/>
    <w:rsid w:val="000A466B"/>
    <w:rsid w:val="000B058C"/>
    <w:rsid w:val="000C1EAA"/>
    <w:rsid w:val="000E1086"/>
    <w:rsid w:val="000E4EE6"/>
    <w:rsid w:val="001454E2"/>
    <w:rsid w:val="00160669"/>
    <w:rsid w:val="00170066"/>
    <w:rsid w:val="001E1691"/>
    <w:rsid w:val="001E4964"/>
    <w:rsid w:val="00206CE8"/>
    <w:rsid w:val="0021526C"/>
    <w:rsid w:val="0022103F"/>
    <w:rsid w:val="00221C4B"/>
    <w:rsid w:val="00283A2B"/>
    <w:rsid w:val="002B30AD"/>
    <w:rsid w:val="002B5D61"/>
    <w:rsid w:val="002C2C01"/>
    <w:rsid w:val="003075E2"/>
    <w:rsid w:val="003754D7"/>
    <w:rsid w:val="003A29AE"/>
    <w:rsid w:val="003A32D7"/>
    <w:rsid w:val="003B4074"/>
    <w:rsid w:val="003B5BA2"/>
    <w:rsid w:val="003C769A"/>
    <w:rsid w:val="003F1838"/>
    <w:rsid w:val="004059AE"/>
    <w:rsid w:val="00406000"/>
    <w:rsid w:val="0045746C"/>
    <w:rsid w:val="0049104B"/>
    <w:rsid w:val="004A2FB3"/>
    <w:rsid w:val="004E0128"/>
    <w:rsid w:val="004E3B12"/>
    <w:rsid w:val="005217D3"/>
    <w:rsid w:val="00532310"/>
    <w:rsid w:val="00560ECC"/>
    <w:rsid w:val="00565F0F"/>
    <w:rsid w:val="00567CCF"/>
    <w:rsid w:val="00594A86"/>
    <w:rsid w:val="00596D86"/>
    <w:rsid w:val="005D21D8"/>
    <w:rsid w:val="0063332C"/>
    <w:rsid w:val="00637F5A"/>
    <w:rsid w:val="006560B1"/>
    <w:rsid w:val="006756DD"/>
    <w:rsid w:val="00712BC8"/>
    <w:rsid w:val="00737275"/>
    <w:rsid w:val="00740EEC"/>
    <w:rsid w:val="0078011A"/>
    <w:rsid w:val="00782AF4"/>
    <w:rsid w:val="00790EE7"/>
    <w:rsid w:val="00795D21"/>
    <w:rsid w:val="007A6348"/>
    <w:rsid w:val="007B6649"/>
    <w:rsid w:val="00813596"/>
    <w:rsid w:val="0081406E"/>
    <w:rsid w:val="0081546F"/>
    <w:rsid w:val="0082576E"/>
    <w:rsid w:val="00833CE0"/>
    <w:rsid w:val="008446B7"/>
    <w:rsid w:val="00845302"/>
    <w:rsid w:val="008A376E"/>
    <w:rsid w:val="008F37AC"/>
    <w:rsid w:val="00907F75"/>
    <w:rsid w:val="00921201"/>
    <w:rsid w:val="009260DE"/>
    <w:rsid w:val="0093258A"/>
    <w:rsid w:val="009621E7"/>
    <w:rsid w:val="00996EBB"/>
    <w:rsid w:val="009C7BA3"/>
    <w:rsid w:val="009D1F5A"/>
    <w:rsid w:val="009E4A3D"/>
    <w:rsid w:val="009E4C98"/>
    <w:rsid w:val="00A130FE"/>
    <w:rsid w:val="00A65C13"/>
    <w:rsid w:val="00A660D9"/>
    <w:rsid w:val="00AA1CBE"/>
    <w:rsid w:val="00AA70BA"/>
    <w:rsid w:val="00AC0F06"/>
    <w:rsid w:val="00AC3BC9"/>
    <w:rsid w:val="00AC73D7"/>
    <w:rsid w:val="00AD6AAF"/>
    <w:rsid w:val="00AF3E68"/>
    <w:rsid w:val="00B003BF"/>
    <w:rsid w:val="00B112C1"/>
    <w:rsid w:val="00B373D7"/>
    <w:rsid w:val="00B466B0"/>
    <w:rsid w:val="00B46EE9"/>
    <w:rsid w:val="00BB1F8D"/>
    <w:rsid w:val="00C36276"/>
    <w:rsid w:val="00C42586"/>
    <w:rsid w:val="00C60CCD"/>
    <w:rsid w:val="00C84483"/>
    <w:rsid w:val="00C875AD"/>
    <w:rsid w:val="00C87782"/>
    <w:rsid w:val="00C95551"/>
    <w:rsid w:val="00CA5094"/>
    <w:rsid w:val="00CA56FB"/>
    <w:rsid w:val="00CB20D7"/>
    <w:rsid w:val="00CC72BE"/>
    <w:rsid w:val="00CE1ABE"/>
    <w:rsid w:val="00D020B0"/>
    <w:rsid w:val="00D11748"/>
    <w:rsid w:val="00D366CF"/>
    <w:rsid w:val="00D72340"/>
    <w:rsid w:val="00D91002"/>
    <w:rsid w:val="00DB5AB5"/>
    <w:rsid w:val="00E0450E"/>
    <w:rsid w:val="00E108AA"/>
    <w:rsid w:val="00E31812"/>
    <w:rsid w:val="00E3749A"/>
    <w:rsid w:val="00E52C26"/>
    <w:rsid w:val="00E7437F"/>
    <w:rsid w:val="00E7466C"/>
    <w:rsid w:val="00E865B8"/>
    <w:rsid w:val="00EC0B9B"/>
    <w:rsid w:val="00ED5E9F"/>
    <w:rsid w:val="00EE4C29"/>
    <w:rsid w:val="00F138F0"/>
    <w:rsid w:val="00F26114"/>
    <w:rsid w:val="00F42D88"/>
    <w:rsid w:val="00F6612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8A4A2"/>
  <w15:chartTrackingRefBased/>
  <w15:docId w15:val="{96EA03F0-7F2C-48C3-9F52-B6D51ADC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406000"/>
    <w:pPr>
      <w:keepNext/>
      <w:jc w:val="both"/>
      <w:outlineLvl w:val="3"/>
    </w:pPr>
    <w:rPr>
      <w:snapToGrid w:val="0"/>
      <w:sz w:val="18"/>
      <w:szCs w:val="18"/>
      <w:lang w:val="en-GB" w:eastAsia="da-DK"/>
    </w:rPr>
  </w:style>
  <w:style w:type="paragraph" w:styleId="Overskrift5">
    <w:name w:val="heading 5"/>
    <w:basedOn w:val="Normal"/>
    <w:next w:val="Normal"/>
    <w:link w:val="Overskrift5Tegn"/>
    <w:qFormat/>
    <w:rsid w:val="00406000"/>
    <w:pPr>
      <w:spacing w:before="240" w:after="60"/>
      <w:outlineLvl w:val="4"/>
    </w:pPr>
    <w:rPr>
      <w:b/>
      <w:bCs/>
      <w:i/>
      <w:iCs/>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rsid w:val="00406000"/>
    <w:rPr>
      <w:snapToGrid w:val="0"/>
      <w:sz w:val="18"/>
      <w:szCs w:val="18"/>
      <w:lang w:val="en-GB"/>
    </w:rPr>
  </w:style>
  <w:style w:type="character" w:customStyle="1" w:styleId="Overskrift5Tegn">
    <w:name w:val="Overskrift 5 Tegn"/>
    <w:basedOn w:val="Standardskrifttypeiafsnit"/>
    <w:link w:val="Overskrift5"/>
    <w:rsid w:val="00406000"/>
    <w:rPr>
      <w:b/>
      <w:bCs/>
      <w:i/>
      <w:iCs/>
      <w:sz w:val="26"/>
      <w:szCs w:val="26"/>
    </w:rPr>
  </w:style>
  <w:style w:type="paragraph" w:styleId="Fodnotetekst">
    <w:name w:val="footnote text"/>
    <w:basedOn w:val="Normal"/>
    <w:link w:val="FodnotetekstTegn"/>
    <w:semiHidden/>
    <w:rsid w:val="00406000"/>
    <w:rPr>
      <w:snapToGrid w:val="0"/>
      <w:sz w:val="20"/>
      <w:lang w:val="en-GB" w:eastAsia="da-DK"/>
    </w:rPr>
  </w:style>
  <w:style w:type="character" w:customStyle="1" w:styleId="FodnotetekstTegn">
    <w:name w:val="Fodnotetekst Tegn"/>
    <w:basedOn w:val="Standardskrifttypeiafsnit"/>
    <w:link w:val="Fodnotetekst"/>
    <w:semiHidden/>
    <w:rsid w:val="00406000"/>
    <w:rPr>
      <w:snapToGrid w:val="0"/>
      <w:lang w:val="en-GB"/>
    </w:rPr>
  </w:style>
  <w:style w:type="character" w:styleId="Fodnotehenvisning">
    <w:name w:val="footnote reference"/>
    <w:semiHidden/>
    <w:rsid w:val="00406000"/>
    <w:rPr>
      <w:vertAlign w:val="superscript"/>
    </w:rPr>
  </w:style>
  <w:style w:type="paragraph" w:styleId="Brdtekst">
    <w:name w:val="Body Text"/>
    <w:basedOn w:val="Normal"/>
    <w:link w:val="BrdtekstTegn"/>
    <w:rsid w:val="00406000"/>
    <w:pPr>
      <w:spacing w:after="120"/>
    </w:pPr>
    <w:rPr>
      <w:sz w:val="24"/>
      <w:lang w:eastAsia="da-DK"/>
    </w:rPr>
  </w:style>
  <w:style w:type="character" w:customStyle="1" w:styleId="BrdtekstTegn">
    <w:name w:val="Brødtekst Tegn"/>
    <w:basedOn w:val="Standardskrifttypeiafsnit"/>
    <w:link w:val="Brdtekst"/>
    <w:rsid w:val="00406000"/>
    <w:rPr>
      <w:sz w:val="24"/>
    </w:rPr>
  </w:style>
  <w:style w:type="paragraph" w:styleId="Brdtekstindrykning">
    <w:name w:val="Body Text Indent"/>
    <w:basedOn w:val="Normal"/>
    <w:link w:val="BrdtekstindrykningTegn"/>
    <w:rsid w:val="00406000"/>
    <w:pPr>
      <w:spacing w:after="120"/>
      <w:ind w:left="283"/>
    </w:pPr>
    <w:rPr>
      <w:sz w:val="24"/>
      <w:lang w:eastAsia="da-DK"/>
    </w:rPr>
  </w:style>
  <w:style w:type="character" w:customStyle="1" w:styleId="BrdtekstindrykningTegn">
    <w:name w:val="Brødtekstindrykning Tegn"/>
    <w:basedOn w:val="Standardskrifttypeiafsnit"/>
    <w:link w:val="Brdtekstindrykning"/>
    <w:rsid w:val="00406000"/>
    <w:rPr>
      <w:sz w:val="24"/>
    </w:rPr>
  </w:style>
  <w:style w:type="paragraph" w:styleId="Brdtekst2">
    <w:name w:val="Body Text 2"/>
    <w:basedOn w:val="Normal"/>
    <w:link w:val="Brdtekst2Tegn"/>
    <w:rsid w:val="00406000"/>
    <w:pPr>
      <w:spacing w:after="120" w:line="480" w:lineRule="auto"/>
    </w:pPr>
    <w:rPr>
      <w:sz w:val="24"/>
      <w:lang w:eastAsia="da-DK"/>
    </w:rPr>
  </w:style>
  <w:style w:type="character" w:customStyle="1" w:styleId="Brdtekst2Tegn">
    <w:name w:val="Brødtekst 2 Tegn"/>
    <w:basedOn w:val="Standardskrifttypeiafsnit"/>
    <w:link w:val="Brdtekst2"/>
    <w:rsid w:val="00406000"/>
    <w:rPr>
      <w:sz w:val="24"/>
    </w:rPr>
  </w:style>
  <w:style w:type="table" w:styleId="Tabel-Gitter">
    <w:name w:val="Table Grid"/>
    <w:basedOn w:val="Tabel-Normal"/>
    <w:uiPriority w:val="59"/>
    <w:rsid w:val="00221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210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41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946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3693</Words>
  <Characters>23408</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2023071200, var. 38, pkt. 2 og 4.4</dc:description>
  <cp:lastModifiedBy>Gitte Jørgensen</cp:lastModifiedBy>
  <cp:revision>8</cp:revision>
  <cp:lastPrinted>2020-03-13T09:05:00Z</cp:lastPrinted>
  <dcterms:created xsi:type="dcterms:W3CDTF">2024-01-24T13:15:00Z</dcterms:created>
  <dcterms:modified xsi:type="dcterms:W3CDTF">2024-01-24T13:29:00Z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