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4B7F9" w14:textId="77777777" w:rsidR="009260DE" w:rsidRPr="00917ADB" w:rsidRDefault="0021526C" w:rsidP="009260DE">
      <w:pPr>
        <w:rPr>
          <w:sz w:val="24"/>
          <w:szCs w:val="24"/>
        </w:rPr>
      </w:pPr>
      <w:bookmarkStart w:id="0" w:name="_GoBack"/>
      <w:bookmarkEnd w:id="0"/>
      <w:r w:rsidRPr="00917ADB">
        <w:rPr>
          <w:noProof/>
          <w:sz w:val="24"/>
          <w:szCs w:val="24"/>
          <w:lang w:eastAsia="da-DK"/>
        </w:rPr>
        <w:drawing>
          <wp:anchor distT="0" distB="0" distL="114300" distR="114300" simplePos="0" relativeHeight="251658240" behindDoc="0" locked="0" layoutInCell="1" allowOverlap="1" wp14:anchorId="140791B8" wp14:editId="016DFE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17ADB">
        <w:rPr>
          <w:sz w:val="24"/>
          <w:szCs w:val="24"/>
        </w:rPr>
        <w:br w:type="textWrapping" w:clear="all"/>
      </w:r>
    </w:p>
    <w:p w14:paraId="6E3F211B" w14:textId="70CF6B8B" w:rsidR="009260DE" w:rsidRPr="00917ADB" w:rsidRDefault="009260DE" w:rsidP="009260DE">
      <w:pPr>
        <w:pStyle w:val="Titel"/>
        <w:tabs>
          <w:tab w:val="right" w:pos="9356"/>
        </w:tabs>
        <w:jc w:val="left"/>
        <w:rPr>
          <w:b w:val="0"/>
          <w:szCs w:val="24"/>
          <w:lang w:eastAsia="en-US"/>
        </w:rPr>
      </w:pPr>
      <w:r w:rsidRPr="00917ADB">
        <w:rPr>
          <w:b w:val="0"/>
          <w:szCs w:val="24"/>
          <w:lang w:eastAsia="en-US"/>
        </w:rPr>
        <w:tab/>
      </w:r>
      <w:r w:rsidR="001220E9">
        <w:rPr>
          <w:szCs w:val="24"/>
        </w:rPr>
        <w:t>17. juni 2025</w:t>
      </w:r>
    </w:p>
    <w:p w14:paraId="06E5FD2D" w14:textId="77777777" w:rsidR="009260DE" w:rsidRPr="00917ADB" w:rsidRDefault="009260DE" w:rsidP="009260DE">
      <w:pPr>
        <w:pStyle w:val="Titel"/>
        <w:tabs>
          <w:tab w:val="left" w:pos="8222"/>
        </w:tabs>
        <w:jc w:val="left"/>
        <w:rPr>
          <w:b w:val="0"/>
          <w:szCs w:val="24"/>
        </w:rPr>
      </w:pPr>
    </w:p>
    <w:p w14:paraId="402E5E45" w14:textId="77777777" w:rsidR="009260DE" w:rsidRPr="00917ADB" w:rsidRDefault="009260DE" w:rsidP="009260DE">
      <w:pPr>
        <w:pStyle w:val="Titel"/>
        <w:jc w:val="left"/>
        <w:rPr>
          <w:b w:val="0"/>
          <w:szCs w:val="24"/>
        </w:rPr>
      </w:pPr>
    </w:p>
    <w:p w14:paraId="4DE35C60" w14:textId="77777777" w:rsidR="009260DE" w:rsidRPr="00917ADB" w:rsidRDefault="009260DE" w:rsidP="009260DE">
      <w:pPr>
        <w:pStyle w:val="Titel"/>
        <w:jc w:val="left"/>
        <w:rPr>
          <w:b w:val="0"/>
          <w:szCs w:val="24"/>
        </w:rPr>
      </w:pPr>
    </w:p>
    <w:p w14:paraId="265BAA84" w14:textId="77777777" w:rsidR="009260DE" w:rsidRPr="00917ADB" w:rsidRDefault="009260DE" w:rsidP="009260DE">
      <w:pPr>
        <w:jc w:val="center"/>
        <w:rPr>
          <w:b/>
          <w:sz w:val="24"/>
          <w:szCs w:val="24"/>
        </w:rPr>
      </w:pPr>
      <w:r w:rsidRPr="00917ADB">
        <w:rPr>
          <w:b/>
          <w:sz w:val="24"/>
          <w:szCs w:val="24"/>
        </w:rPr>
        <w:t>PRODUKTRESUMÉ</w:t>
      </w:r>
    </w:p>
    <w:p w14:paraId="25A9430D" w14:textId="77777777" w:rsidR="009260DE" w:rsidRPr="00917ADB" w:rsidRDefault="009260DE" w:rsidP="009260DE">
      <w:pPr>
        <w:jc w:val="center"/>
        <w:rPr>
          <w:b/>
          <w:sz w:val="24"/>
          <w:szCs w:val="24"/>
        </w:rPr>
      </w:pPr>
    </w:p>
    <w:p w14:paraId="697E0CEE" w14:textId="77777777" w:rsidR="009260DE" w:rsidRPr="00917ADB" w:rsidRDefault="009260DE" w:rsidP="009260DE">
      <w:pPr>
        <w:jc w:val="center"/>
        <w:rPr>
          <w:b/>
          <w:sz w:val="24"/>
          <w:szCs w:val="24"/>
        </w:rPr>
      </w:pPr>
      <w:r w:rsidRPr="00917ADB">
        <w:rPr>
          <w:b/>
          <w:sz w:val="24"/>
          <w:szCs w:val="24"/>
        </w:rPr>
        <w:t>for</w:t>
      </w:r>
    </w:p>
    <w:p w14:paraId="23C3040B" w14:textId="77777777" w:rsidR="000B058C" w:rsidRPr="00917ADB" w:rsidRDefault="000B058C" w:rsidP="009260DE">
      <w:pPr>
        <w:jc w:val="center"/>
        <w:rPr>
          <w:b/>
          <w:sz w:val="24"/>
          <w:szCs w:val="24"/>
        </w:rPr>
      </w:pPr>
    </w:p>
    <w:p w14:paraId="0B7EDDF6" w14:textId="07A4EC33" w:rsidR="009260DE" w:rsidRPr="00917ADB" w:rsidRDefault="00B901E7" w:rsidP="009260DE">
      <w:pPr>
        <w:jc w:val="center"/>
        <w:rPr>
          <w:b/>
          <w:sz w:val="24"/>
          <w:szCs w:val="24"/>
        </w:rPr>
      </w:pPr>
      <w:proofErr w:type="spellStart"/>
      <w:r w:rsidRPr="00917ADB">
        <w:rPr>
          <w:b/>
          <w:sz w:val="24"/>
          <w:szCs w:val="24"/>
        </w:rPr>
        <w:t>Uvesol</w:t>
      </w:r>
      <w:proofErr w:type="spellEnd"/>
      <w:r w:rsidRPr="00917ADB">
        <w:rPr>
          <w:b/>
          <w:sz w:val="24"/>
          <w:szCs w:val="24"/>
        </w:rPr>
        <w:t>, øjendråber, emulsion i enkeltdosisbeholder</w:t>
      </w:r>
    </w:p>
    <w:p w14:paraId="1D15D02E" w14:textId="77777777" w:rsidR="009260DE" w:rsidRPr="00917ADB" w:rsidRDefault="009260DE" w:rsidP="009260DE">
      <w:pPr>
        <w:jc w:val="both"/>
        <w:rPr>
          <w:sz w:val="24"/>
          <w:szCs w:val="24"/>
        </w:rPr>
      </w:pPr>
    </w:p>
    <w:p w14:paraId="68E035D2" w14:textId="77777777" w:rsidR="009260DE" w:rsidRPr="00917ADB" w:rsidRDefault="009260DE" w:rsidP="009260DE">
      <w:pPr>
        <w:jc w:val="both"/>
        <w:rPr>
          <w:sz w:val="24"/>
          <w:szCs w:val="24"/>
        </w:rPr>
      </w:pPr>
    </w:p>
    <w:p w14:paraId="7C7DB392" w14:textId="77777777" w:rsidR="009260DE" w:rsidRPr="00917ADB" w:rsidRDefault="009260DE" w:rsidP="009260DE">
      <w:pPr>
        <w:tabs>
          <w:tab w:val="left" w:pos="851"/>
        </w:tabs>
        <w:ind w:left="851" w:hanging="851"/>
        <w:rPr>
          <w:b/>
          <w:sz w:val="24"/>
          <w:szCs w:val="24"/>
        </w:rPr>
      </w:pPr>
      <w:r w:rsidRPr="00917ADB">
        <w:rPr>
          <w:b/>
          <w:sz w:val="24"/>
          <w:szCs w:val="24"/>
        </w:rPr>
        <w:t>0.</w:t>
      </w:r>
      <w:r w:rsidRPr="00917ADB">
        <w:rPr>
          <w:b/>
          <w:sz w:val="24"/>
          <w:szCs w:val="24"/>
        </w:rPr>
        <w:tab/>
        <w:t>D.SP.NR.</w:t>
      </w:r>
    </w:p>
    <w:p w14:paraId="7D5ED2A9" w14:textId="607CF25C" w:rsidR="009260DE" w:rsidRPr="00917ADB" w:rsidRDefault="00B901E7" w:rsidP="009260DE">
      <w:pPr>
        <w:tabs>
          <w:tab w:val="left" w:pos="851"/>
        </w:tabs>
        <w:ind w:left="851"/>
        <w:rPr>
          <w:sz w:val="24"/>
          <w:szCs w:val="24"/>
        </w:rPr>
      </w:pPr>
      <w:r w:rsidRPr="00917ADB">
        <w:rPr>
          <w:sz w:val="24"/>
          <w:szCs w:val="24"/>
        </w:rPr>
        <w:t>33867</w:t>
      </w:r>
    </w:p>
    <w:p w14:paraId="39C48984" w14:textId="77777777" w:rsidR="009260DE" w:rsidRPr="00917ADB" w:rsidRDefault="009260DE" w:rsidP="009260DE">
      <w:pPr>
        <w:tabs>
          <w:tab w:val="left" w:pos="851"/>
        </w:tabs>
        <w:ind w:left="851"/>
        <w:rPr>
          <w:sz w:val="24"/>
          <w:szCs w:val="24"/>
        </w:rPr>
      </w:pPr>
    </w:p>
    <w:p w14:paraId="43DC6AFD" w14:textId="77777777" w:rsidR="009260DE" w:rsidRPr="00917ADB" w:rsidRDefault="009260DE" w:rsidP="009260DE">
      <w:pPr>
        <w:tabs>
          <w:tab w:val="left" w:pos="851"/>
        </w:tabs>
        <w:ind w:left="851" w:hanging="851"/>
        <w:rPr>
          <w:b/>
          <w:sz w:val="24"/>
          <w:szCs w:val="24"/>
        </w:rPr>
      </w:pPr>
      <w:r w:rsidRPr="00917ADB">
        <w:rPr>
          <w:b/>
          <w:sz w:val="24"/>
          <w:szCs w:val="24"/>
        </w:rPr>
        <w:t>1.</w:t>
      </w:r>
      <w:r w:rsidRPr="00917ADB">
        <w:rPr>
          <w:b/>
          <w:sz w:val="24"/>
          <w:szCs w:val="24"/>
        </w:rPr>
        <w:tab/>
        <w:t>LÆGEMIDLETS NAVN</w:t>
      </w:r>
    </w:p>
    <w:p w14:paraId="7A01442C" w14:textId="40D95692" w:rsidR="009260DE" w:rsidRPr="00917ADB" w:rsidRDefault="00B901E7" w:rsidP="009260DE">
      <w:pPr>
        <w:tabs>
          <w:tab w:val="left" w:pos="851"/>
        </w:tabs>
        <w:ind w:left="851"/>
        <w:rPr>
          <w:sz w:val="24"/>
          <w:szCs w:val="24"/>
        </w:rPr>
      </w:pPr>
      <w:proofErr w:type="spellStart"/>
      <w:r w:rsidRPr="00917ADB">
        <w:rPr>
          <w:sz w:val="24"/>
          <w:szCs w:val="24"/>
        </w:rPr>
        <w:t>Uvesol</w:t>
      </w:r>
      <w:proofErr w:type="spellEnd"/>
    </w:p>
    <w:p w14:paraId="1DA14B24" w14:textId="77777777" w:rsidR="009260DE" w:rsidRPr="00917ADB" w:rsidRDefault="009260DE" w:rsidP="009260DE">
      <w:pPr>
        <w:tabs>
          <w:tab w:val="left" w:pos="851"/>
        </w:tabs>
        <w:ind w:left="851"/>
        <w:rPr>
          <w:sz w:val="24"/>
          <w:szCs w:val="24"/>
        </w:rPr>
      </w:pPr>
    </w:p>
    <w:p w14:paraId="4FCC60FF" w14:textId="77777777" w:rsidR="009260DE" w:rsidRPr="00917ADB" w:rsidRDefault="009260DE" w:rsidP="009260DE">
      <w:pPr>
        <w:tabs>
          <w:tab w:val="left" w:pos="851"/>
        </w:tabs>
        <w:ind w:left="851" w:hanging="851"/>
        <w:rPr>
          <w:b/>
          <w:sz w:val="24"/>
          <w:szCs w:val="24"/>
        </w:rPr>
      </w:pPr>
      <w:r w:rsidRPr="00917ADB">
        <w:rPr>
          <w:b/>
          <w:sz w:val="24"/>
          <w:szCs w:val="24"/>
        </w:rPr>
        <w:t>2.</w:t>
      </w:r>
      <w:r w:rsidRPr="00917ADB">
        <w:rPr>
          <w:b/>
          <w:sz w:val="24"/>
          <w:szCs w:val="24"/>
        </w:rPr>
        <w:tab/>
        <w:t>KVALITATIV OG KVANTITATIV SAMMENSÆTNING</w:t>
      </w:r>
    </w:p>
    <w:p w14:paraId="63240C9A" w14:textId="77777777" w:rsidR="00D50D42" w:rsidRPr="00917ADB" w:rsidRDefault="00D50D42" w:rsidP="00917ADB">
      <w:pPr>
        <w:ind w:left="851"/>
        <w:rPr>
          <w:sz w:val="24"/>
          <w:szCs w:val="24"/>
        </w:rPr>
      </w:pPr>
      <w:r w:rsidRPr="00917ADB">
        <w:rPr>
          <w:sz w:val="24"/>
          <w:szCs w:val="24"/>
        </w:rPr>
        <w:t xml:space="preserve">1 ml emulsion indeholder 0,5 mg </w:t>
      </w:r>
      <w:proofErr w:type="spellStart"/>
      <w:r w:rsidRPr="00917ADB">
        <w:rPr>
          <w:sz w:val="24"/>
          <w:szCs w:val="24"/>
        </w:rPr>
        <w:t>clobetasolpropionat</w:t>
      </w:r>
      <w:proofErr w:type="spellEnd"/>
      <w:r w:rsidRPr="00917ADB">
        <w:rPr>
          <w:sz w:val="24"/>
          <w:szCs w:val="24"/>
        </w:rPr>
        <w:t>.</w:t>
      </w:r>
    </w:p>
    <w:p w14:paraId="790467FA" w14:textId="77777777" w:rsidR="00D50D42" w:rsidRPr="00917ADB" w:rsidRDefault="00D50D42" w:rsidP="00917ADB">
      <w:pPr>
        <w:ind w:left="851"/>
        <w:rPr>
          <w:sz w:val="24"/>
          <w:szCs w:val="24"/>
        </w:rPr>
      </w:pPr>
      <w:r w:rsidRPr="00917ADB">
        <w:rPr>
          <w:sz w:val="24"/>
          <w:szCs w:val="24"/>
        </w:rPr>
        <w:t xml:space="preserve">En dråbe indeholder ca. 0,015 mg </w:t>
      </w:r>
      <w:proofErr w:type="spellStart"/>
      <w:r w:rsidRPr="00917ADB">
        <w:rPr>
          <w:sz w:val="24"/>
          <w:szCs w:val="24"/>
        </w:rPr>
        <w:t>clobetasolpropionat</w:t>
      </w:r>
      <w:proofErr w:type="spellEnd"/>
      <w:r w:rsidRPr="00917ADB">
        <w:rPr>
          <w:sz w:val="24"/>
          <w:szCs w:val="24"/>
        </w:rPr>
        <w:t>.</w:t>
      </w:r>
    </w:p>
    <w:p w14:paraId="3915E193" w14:textId="77777777" w:rsidR="00D50D42" w:rsidRPr="00917ADB" w:rsidRDefault="00D50D42" w:rsidP="00917ADB">
      <w:pPr>
        <w:ind w:left="851"/>
        <w:rPr>
          <w:sz w:val="24"/>
          <w:szCs w:val="24"/>
        </w:rPr>
      </w:pPr>
    </w:p>
    <w:p w14:paraId="177B92B5" w14:textId="77777777" w:rsidR="00D50D42" w:rsidRPr="00917ADB" w:rsidRDefault="00D50D42" w:rsidP="00917ADB">
      <w:pPr>
        <w:ind w:left="851"/>
        <w:rPr>
          <w:sz w:val="24"/>
          <w:szCs w:val="24"/>
        </w:rPr>
      </w:pPr>
      <w:r w:rsidRPr="00917ADB">
        <w:rPr>
          <w:sz w:val="24"/>
          <w:szCs w:val="24"/>
          <w:u w:val="single"/>
        </w:rPr>
        <w:t>Hjælpestof, som behandleren skal være opmærksom på</w:t>
      </w:r>
      <w:r w:rsidRPr="00917ADB">
        <w:rPr>
          <w:sz w:val="24"/>
          <w:szCs w:val="24"/>
        </w:rPr>
        <w:t xml:space="preserve"> </w:t>
      </w:r>
    </w:p>
    <w:p w14:paraId="7AB7D61C" w14:textId="77777777" w:rsidR="00D50D42" w:rsidRPr="00917ADB" w:rsidRDefault="00D50D42" w:rsidP="00917ADB">
      <w:pPr>
        <w:ind w:left="851"/>
        <w:rPr>
          <w:iCs/>
          <w:sz w:val="24"/>
          <w:szCs w:val="24"/>
        </w:rPr>
      </w:pPr>
      <w:r w:rsidRPr="00917ADB">
        <w:rPr>
          <w:sz w:val="24"/>
          <w:szCs w:val="24"/>
        </w:rPr>
        <w:t xml:space="preserve">Dette lægemiddel indeholder 0,02 mg </w:t>
      </w:r>
      <w:proofErr w:type="spellStart"/>
      <w:r w:rsidRPr="00917ADB">
        <w:rPr>
          <w:sz w:val="24"/>
          <w:szCs w:val="24"/>
        </w:rPr>
        <w:t>benzalkoniumchlorid</w:t>
      </w:r>
      <w:proofErr w:type="spellEnd"/>
      <w:r w:rsidRPr="00917ADB">
        <w:rPr>
          <w:sz w:val="24"/>
          <w:szCs w:val="24"/>
        </w:rPr>
        <w:t xml:space="preserve"> i hver enkeltdosisbeholder, hvilket svarer til </w:t>
      </w:r>
      <w:bookmarkStart w:id="1" w:name="_Hlk187659335"/>
      <w:r w:rsidRPr="00917ADB">
        <w:rPr>
          <w:sz w:val="24"/>
          <w:szCs w:val="24"/>
        </w:rPr>
        <w:t>0,003 mg pr. dråbe.</w:t>
      </w:r>
      <w:bookmarkEnd w:id="1"/>
    </w:p>
    <w:p w14:paraId="799DDE63" w14:textId="77777777" w:rsidR="00D50D42" w:rsidRPr="00917ADB" w:rsidRDefault="00D50D42" w:rsidP="00917ADB">
      <w:pPr>
        <w:ind w:left="851"/>
        <w:rPr>
          <w:sz w:val="24"/>
          <w:szCs w:val="24"/>
        </w:rPr>
      </w:pPr>
    </w:p>
    <w:p w14:paraId="386983A9" w14:textId="77777777" w:rsidR="00D50D42" w:rsidRPr="00917ADB" w:rsidRDefault="00D50D42" w:rsidP="00917ADB">
      <w:pPr>
        <w:ind w:left="851"/>
        <w:rPr>
          <w:sz w:val="24"/>
          <w:szCs w:val="24"/>
        </w:rPr>
      </w:pPr>
      <w:r w:rsidRPr="00917ADB">
        <w:rPr>
          <w:sz w:val="24"/>
          <w:szCs w:val="24"/>
        </w:rPr>
        <w:t>Alle hjælpestoffer er anført under pkt. 6.1.</w:t>
      </w:r>
    </w:p>
    <w:p w14:paraId="39833F97" w14:textId="77777777" w:rsidR="009260DE" w:rsidRPr="00917ADB" w:rsidRDefault="009260DE" w:rsidP="009260DE">
      <w:pPr>
        <w:tabs>
          <w:tab w:val="left" w:pos="851"/>
        </w:tabs>
        <w:ind w:left="851"/>
        <w:rPr>
          <w:sz w:val="24"/>
          <w:szCs w:val="24"/>
        </w:rPr>
      </w:pPr>
    </w:p>
    <w:p w14:paraId="7B2B5AFE" w14:textId="77777777" w:rsidR="009260DE" w:rsidRPr="00917ADB" w:rsidRDefault="009260DE" w:rsidP="009260DE">
      <w:pPr>
        <w:tabs>
          <w:tab w:val="left" w:pos="851"/>
        </w:tabs>
        <w:ind w:left="851" w:hanging="851"/>
        <w:rPr>
          <w:b/>
          <w:sz w:val="24"/>
          <w:szCs w:val="24"/>
        </w:rPr>
      </w:pPr>
      <w:r w:rsidRPr="00917ADB">
        <w:rPr>
          <w:b/>
          <w:sz w:val="24"/>
          <w:szCs w:val="24"/>
        </w:rPr>
        <w:t>3.</w:t>
      </w:r>
      <w:r w:rsidRPr="00917ADB">
        <w:rPr>
          <w:b/>
          <w:sz w:val="24"/>
          <w:szCs w:val="24"/>
        </w:rPr>
        <w:tab/>
        <w:t>LÆGEMIDDELFORM</w:t>
      </w:r>
    </w:p>
    <w:p w14:paraId="48D46373" w14:textId="2FE32753" w:rsidR="00D50D42" w:rsidRPr="00917ADB" w:rsidRDefault="00D50D42" w:rsidP="00917ADB">
      <w:pPr>
        <w:ind w:left="851"/>
        <w:rPr>
          <w:sz w:val="24"/>
          <w:szCs w:val="24"/>
        </w:rPr>
      </w:pPr>
      <w:r w:rsidRPr="00917ADB">
        <w:rPr>
          <w:sz w:val="24"/>
          <w:szCs w:val="24"/>
        </w:rPr>
        <w:t>Øjendråber, emulsion i enkeltdosisbeholder (øjendråber)</w:t>
      </w:r>
    </w:p>
    <w:p w14:paraId="16F80427" w14:textId="77777777" w:rsidR="00D50D42" w:rsidRPr="00917ADB" w:rsidRDefault="00D50D42" w:rsidP="00917ADB">
      <w:pPr>
        <w:ind w:left="851"/>
        <w:rPr>
          <w:sz w:val="24"/>
          <w:szCs w:val="24"/>
        </w:rPr>
      </w:pPr>
      <w:r w:rsidRPr="00917ADB">
        <w:rPr>
          <w:sz w:val="24"/>
          <w:szCs w:val="24"/>
        </w:rPr>
        <w:t>Klar, let gullig emulsion.</w:t>
      </w:r>
    </w:p>
    <w:p w14:paraId="43C409AF" w14:textId="77777777" w:rsidR="00D50D42" w:rsidRPr="00917ADB" w:rsidRDefault="00D50D42" w:rsidP="00917ADB">
      <w:pPr>
        <w:ind w:left="851"/>
        <w:rPr>
          <w:sz w:val="24"/>
          <w:szCs w:val="24"/>
        </w:rPr>
      </w:pPr>
      <w:r w:rsidRPr="00917ADB">
        <w:rPr>
          <w:sz w:val="24"/>
          <w:szCs w:val="24"/>
        </w:rPr>
        <w:t>pH: 5,0-7,0</w:t>
      </w:r>
    </w:p>
    <w:p w14:paraId="52B45D48" w14:textId="77777777" w:rsidR="00D50D42" w:rsidRPr="00917ADB" w:rsidRDefault="00D50D42" w:rsidP="00917ADB">
      <w:pPr>
        <w:ind w:left="851"/>
        <w:rPr>
          <w:sz w:val="24"/>
          <w:szCs w:val="24"/>
        </w:rPr>
      </w:pPr>
      <w:proofErr w:type="spellStart"/>
      <w:r w:rsidRPr="00917ADB">
        <w:rPr>
          <w:sz w:val="24"/>
          <w:szCs w:val="24"/>
        </w:rPr>
        <w:t>Osmolalitet</w:t>
      </w:r>
      <w:proofErr w:type="spellEnd"/>
      <w:r w:rsidRPr="00917ADB">
        <w:rPr>
          <w:sz w:val="24"/>
          <w:szCs w:val="24"/>
        </w:rPr>
        <w:t xml:space="preserve">: 270-330 </w:t>
      </w:r>
      <w:proofErr w:type="spellStart"/>
      <w:r w:rsidRPr="00917ADB">
        <w:rPr>
          <w:sz w:val="24"/>
          <w:szCs w:val="24"/>
        </w:rPr>
        <w:t>mOsmol</w:t>
      </w:r>
      <w:proofErr w:type="spellEnd"/>
      <w:r w:rsidRPr="00917ADB">
        <w:rPr>
          <w:sz w:val="24"/>
          <w:szCs w:val="24"/>
        </w:rPr>
        <w:t>/kg</w:t>
      </w:r>
    </w:p>
    <w:p w14:paraId="6EF4A3B7" w14:textId="77777777" w:rsidR="009260DE" w:rsidRPr="00917ADB" w:rsidRDefault="009260DE" w:rsidP="009260DE">
      <w:pPr>
        <w:tabs>
          <w:tab w:val="left" w:pos="851"/>
        </w:tabs>
        <w:ind w:left="851"/>
        <w:rPr>
          <w:sz w:val="24"/>
          <w:szCs w:val="24"/>
        </w:rPr>
      </w:pPr>
    </w:p>
    <w:p w14:paraId="3A399885" w14:textId="77777777" w:rsidR="009260DE" w:rsidRPr="00917ADB" w:rsidRDefault="009260DE" w:rsidP="009260DE">
      <w:pPr>
        <w:tabs>
          <w:tab w:val="left" w:pos="851"/>
        </w:tabs>
        <w:ind w:left="851"/>
        <w:rPr>
          <w:sz w:val="24"/>
          <w:szCs w:val="24"/>
        </w:rPr>
      </w:pPr>
    </w:p>
    <w:p w14:paraId="4E9CF5AA" w14:textId="77777777" w:rsidR="009260DE" w:rsidRPr="00917ADB" w:rsidRDefault="009260DE" w:rsidP="009260DE">
      <w:pPr>
        <w:tabs>
          <w:tab w:val="left" w:pos="851"/>
        </w:tabs>
        <w:ind w:left="851" w:hanging="851"/>
        <w:rPr>
          <w:b/>
          <w:sz w:val="24"/>
          <w:szCs w:val="24"/>
        </w:rPr>
      </w:pPr>
      <w:r w:rsidRPr="00917ADB">
        <w:rPr>
          <w:b/>
          <w:sz w:val="24"/>
          <w:szCs w:val="24"/>
        </w:rPr>
        <w:t>4.</w:t>
      </w:r>
      <w:r w:rsidRPr="00917ADB">
        <w:rPr>
          <w:b/>
          <w:sz w:val="24"/>
          <w:szCs w:val="24"/>
        </w:rPr>
        <w:tab/>
        <w:t>KLINISKE OPLYSNINGER</w:t>
      </w:r>
    </w:p>
    <w:p w14:paraId="7689624E" w14:textId="77777777" w:rsidR="009260DE" w:rsidRPr="00917ADB" w:rsidRDefault="009260DE" w:rsidP="009260DE">
      <w:pPr>
        <w:tabs>
          <w:tab w:val="left" w:pos="851"/>
        </w:tabs>
        <w:ind w:left="851"/>
        <w:rPr>
          <w:b/>
          <w:sz w:val="24"/>
          <w:szCs w:val="24"/>
        </w:rPr>
      </w:pPr>
    </w:p>
    <w:p w14:paraId="0F8D4B97" w14:textId="77777777" w:rsidR="009260DE" w:rsidRPr="00917ADB" w:rsidRDefault="009260DE" w:rsidP="009260DE">
      <w:pPr>
        <w:tabs>
          <w:tab w:val="left" w:pos="851"/>
        </w:tabs>
        <w:ind w:left="851" w:hanging="851"/>
        <w:rPr>
          <w:b/>
          <w:sz w:val="24"/>
          <w:szCs w:val="24"/>
          <w:u w:val="single"/>
        </w:rPr>
      </w:pPr>
      <w:r w:rsidRPr="00917ADB">
        <w:rPr>
          <w:b/>
          <w:sz w:val="24"/>
          <w:szCs w:val="24"/>
        </w:rPr>
        <w:t>4.1</w:t>
      </w:r>
      <w:r w:rsidRPr="00917ADB">
        <w:rPr>
          <w:b/>
          <w:sz w:val="24"/>
          <w:szCs w:val="24"/>
        </w:rPr>
        <w:tab/>
        <w:t>Terapeutiske indikationer</w:t>
      </w:r>
    </w:p>
    <w:p w14:paraId="188D0B0C" w14:textId="77777777" w:rsidR="00D50D42" w:rsidRPr="00917ADB" w:rsidRDefault="00D50D42" w:rsidP="00917ADB">
      <w:pPr>
        <w:ind w:left="851"/>
        <w:rPr>
          <w:i/>
          <w:color w:val="000000"/>
          <w:sz w:val="24"/>
          <w:szCs w:val="24"/>
        </w:rPr>
      </w:pPr>
      <w:proofErr w:type="spellStart"/>
      <w:r w:rsidRPr="00917ADB">
        <w:rPr>
          <w:sz w:val="24"/>
          <w:szCs w:val="24"/>
        </w:rPr>
        <w:t>Uvesol</w:t>
      </w:r>
      <w:proofErr w:type="spellEnd"/>
      <w:r w:rsidRPr="00917ADB">
        <w:rPr>
          <w:sz w:val="24"/>
          <w:szCs w:val="24"/>
        </w:rPr>
        <w:t xml:space="preserve"> er indiceret til behandling af inflammation i forbindelse med kataraktkirurgi hos voksne.</w:t>
      </w:r>
    </w:p>
    <w:p w14:paraId="329E9F91" w14:textId="77777777" w:rsidR="009260DE" w:rsidRPr="00917ADB" w:rsidRDefault="009260DE" w:rsidP="009260DE">
      <w:pPr>
        <w:tabs>
          <w:tab w:val="left" w:pos="851"/>
        </w:tabs>
        <w:ind w:left="851"/>
        <w:rPr>
          <w:sz w:val="24"/>
          <w:szCs w:val="24"/>
        </w:rPr>
      </w:pPr>
    </w:p>
    <w:p w14:paraId="0A5C4D07" w14:textId="77777777" w:rsidR="009260DE" w:rsidRPr="00917ADB" w:rsidRDefault="009260DE" w:rsidP="009260DE">
      <w:pPr>
        <w:tabs>
          <w:tab w:val="left" w:pos="851"/>
        </w:tabs>
        <w:ind w:left="851" w:hanging="851"/>
        <w:rPr>
          <w:b/>
          <w:sz w:val="24"/>
          <w:szCs w:val="24"/>
        </w:rPr>
      </w:pPr>
      <w:r w:rsidRPr="00917ADB">
        <w:rPr>
          <w:b/>
          <w:sz w:val="24"/>
          <w:szCs w:val="24"/>
        </w:rPr>
        <w:t>4.2</w:t>
      </w:r>
      <w:r w:rsidRPr="00917ADB">
        <w:rPr>
          <w:b/>
          <w:sz w:val="24"/>
          <w:szCs w:val="24"/>
        </w:rPr>
        <w:tab/>
        <w:t xml:space="preserve">Dosering og </w:t>
      </w:r>
      <w:r w:rsidR="002C1EC0" w:rsidRPr="00917ADB">
        <w:rPr>
          <w:b/>
          <w:sz w:val="24"/>
          <w:szCs w:val="24"/>
        </w:rPr>
        <w:t>administration</w:t>
      </w:r>
    </w:p>
    <w:p w14:paraId="1B1D9D48" w14:textId="77777777" w:rsidR="00917ADB" w:rsidRDefault="00917ADB" w:rsidP="00917ADB">
      <w:pPr>
        <w:ind w:left="851"/>
        <w:rPr>
          <w:sz w:val="24"/>
          <w:szCs w:val="24"/>
        </w:rPr>
      </w:pPr>
    </w:p>
    <w:p w14:paraId="0B906421" w14:textId="38687A03" w:rsidR="00D50D42" w:rsidRPr="00917ADB" w:rsidRDefault="00D50D42" w:rsidP="00917ADB">
      <w:pPr>
        <w:ind w:left="851"/>
        <w:rPr>
          <w:sz w:val="24"/>
          <w:szCs w:val="24"/>
          <w:u w:val="single"/>
        </w:rPr>
      </w:pPr>
      <w:r w:rsidRPr="00917ADB">
        <w:rPr>
          <w:sz w:val="24"/>
          <w:szCs w:val="24"/>
          <w:u w:val="single"/>
        </w:rPr>
        <w:t>Dosering</w:t>
      </w:r>
    </w:p>
    <w:p w14:paraId="3D5DF2A5" w14:textId="77777777" w:rsidR="00D50D42" w:rsidRPr="00917ADB" w:rsidRDefault="00D50D42" w:rsidP="00917ADB">
      <w:pPr>
        <w:ind w:left="851"/>
        <w:rPr>
          <w:sz w:val="24"/>
          <w:szCs w:val="24"/>
        </w:rPr>
      </w:pPr>
      <w:r w:rsidRPr="00917ADB">
        <w:rPr>
          <w:sz w:val="24"/>
          <w:szCs w:val="24"/>
        </w:rPr>
        <w:t xml:space="preserve">Dryp én dråbe </w:t>
      </w:r>
      <w:proofErr w:type="spellStart"/>
      <w:r w:rsidRPr="00917ADB">
        <w:rPr>
          <w:sz w:val="24"/>
          <w:szCs w:val="24"/>
        </w:rPr>
        <w:t>Uvesol</w:t>
      </w:r>
      <w:proofErr w:type="spellEnd"/>
      <w:r w:rsidRPr="00917ADB">
        <w:rPr>
          <w:sz w:val="24"/>
          <w:szCs w:val="24"/>
        </w:rPr>
        <w:t xml:space="preserve"> i </w:t>
      </w:r>
      <w:proofErr w:type="spellStart"/>
      <w:r w:rsidRPr="00917ADB">
        <w:rPr>
          <w:sz w:val="24"/>
          <w:szCs w:val="24"/>
        </w:rPr>
        <w:t>konjunktivalsækken</w:t>
      </w:r>
      <w:proofErr w:type="spellEnd"/>
      <w:r w:rsidRPr="00917ADB">
        <w:rPr>
          <w:sz w:val="24"/>
          <w:szCs w:val="24"/>
        </w:rPr>
        <w:t xml:space="preserve"> i det berørte øje 4 gange dagligt fra 24 timer efter operationen og i de første to uger af den postoperative periode.</w:t>
      </w:r>
    </w:p>
    <w:p w14:paraId="583287AB" w14:textId="77777777" w:rsidR="00D50D42" w:rsidRPr="00917ADB" w:rsidRDefault="00D50D42" w:rsidP="00917ADB">
      <w:pPr>
        <w:ind w:left="851"/>
        <w:rPr>
          <w:sz w:val="24"/>
          <w:szCs w:val="24"/>
        </w:rPr>
      </w:pPr>
    </w:p>
    <w:p w14:paraId="258BA242" w14:textId="77777777" w:rsidR="00D50D42" w:rsidRPr="00917ADB" w:rsidRDefault="00D50D42" w:rsidP="00917ADB">
      <w:pPr>
        <w:ind w:left="851"/>
        <w:rPr>
          <w:sz w:val="24"/>
          <w:szCs w:val="24"/>
        </w:rPr>
      </w:pPr>
      <w:bookmarkStart w:id="2" w:name="_Hlk187659363"/>
      <w:r w:rsidRPr="00917ADB">
        <w:rPr>
          <w:sz w:val="24"/>
          <w:szCs w:val="24"/>
        </w:rPr>
        <w:lastRenderedPageBreak/>
        <w:t>Der er ikke forsøgt behandling i mere end to uger.</w:t>
      </w:r>
    </w:p>
    <w:bookmarkEnd w:id="2"/>
    <w:p w14:paraId="78DC9078" w14:textId="77777777" w:rsidR="00D50D42" w:rsidRPr="00917ADB" w:rsidRDefault="00D50D42" w:rsidP="00917ADB">
      <w:pPr>
        <w:ind w:left="851"/>
        <w:rPr>
          <w:sz w:val="24"/>
          <w:szCs w:val="24"/>
        </w:rPr>
      </w:pPr>
    </w:p>
    <w:p w14:paraId="409F4B46" w14:textId="77777777" w:rsidR="00D50D42" w:rsidRPr="00917ADB" w:rsidRDefault="00D50D42" w:rsidP="00917ADB">
      <w:pPr>
        <w:ind w:left="851"/>
        <w:rPr>
          <w:sz w:val="24"/>
          <w:szCs w:val="24"/>
          <w:u w:val="single"/>
        </w:rPr>
      </w:pPr>
      <w:r w:rsidRPr="00917ADB">
        <w:rPr>
          <w:sz w:val="24"/>
          <w:szCs w:val="24"/>
          <w:u w:val="single"/>
        </w:rPr>
        <w:t xml:space="preserve">Administrationsmetode </w:t>
      </w:r>
    </w:p>
    <w:p w14:paraId="3A1783B0" w14:textId="77777777" w:rsidR="00D50D42" w:rsidRPr="00917ADB" w:rsidRDefault="00D50D42" w:rsidP="00917ADB">
      <w:pPr>
        <w:ind w:left="851"/>
        <w:rPr>
          <w:bCs/>
          <w:sz w:val="24"/>
          <w:szCs w:val="24"/>
        </w:rPr>
      </w:pPr>
      <w:proofErr w:type="spellStart"/>
      <w:r w:rsidRPr="00917ADB">
        <w:rPr>
          <w:sz w:val="24"/>
          <w:szCs w:val="24"/>
        </w:rPr>
        <w:t>Okulær</w:t>
      </w:r>
      <w:proofErr w:type="spellEnd"/>
      <w:r w:rsidRPr="00917ADB">
        <w:rPr>
          <w:sz w:val="24"/>
          <w:szCs w:val="24"/>
        </w:rPr>
        <w:t xml:space="preserve"> anvendelse.</w:t>
      </w:r>
    </w:p>
    <w:p w14:paraId="3323C6D0" w14:textId="77777777" w:rsidR="00D50D42" w:rsidRPr="00917ADB" w:rsidRDefault="00D50D42" w:rsidP="00917ADB">
      <w:pPr>
        <w:ind w:left="851"/>
        <w:rPr>
          <w:bCs/>
          <w:sz w:val="24"/>
          <w:szCs w:val="24"/>
        </w:rPr>
      </w:pPr>
    </w:p>
    <w:p w14:paraId="7E8EE529" w14:textId="77777777" w:rsidR="00D50D42" w:rsidRPr="00917ADB" w:rsidRDefault="00D50D42" w:rsidP="00917ADB">
      <w:pPr>
        <w:ind w:left="851"/>
        <w:rPr>
          <w:sz w:val="24"/>
          <w:szCs w:val="24"/>
        </w:rPr>
      </w:pPr>
      <w:r w:rsidRPr="00917ADB">
        <w:rPr>
          <w:sz w:val="24"/>
          <w:szCs w:val="24"/>
        </w:rPr>
        <w:t>Emulsionen fra en enkelt enkeltdosisbeholder skal administreres umiddelbart efter åbning til i et eller begge øjne og det resterende indhold skal kasseres umiddelbart efter administration. Patienten skal undgå at spidsen af beholderen berører øjet eller andre overflader, da dette kan kontaminere emulsionen og potentielt forårsage skader på øjet.</w:t>
      </w:r>
    </w:p>
    <w:p w14:paraId="4AFA60A9" w14:textId="77777777" w:rsidR="00D50D42" w:rsidRPr="00917ADB" w:rsidRDefault="00D50D42" w:rsidP="00917ADB">
      <w:pPr>
        <w:ind w:left="851"/>
        <w:rPr>
          <w:sz w:val="24"/>
          <w:szCs w:val="24"/>
        </w:rPr>
      </w:pPr>
    </w:p>
    <w:p w14:paraId="025B1C86" w14:textId="77777777" w:rsidR="00D50D42" w:rsidRPr="00917ADB" w:rsidRDefault="00D50D42" w:rsidP="00917ADB">
      <w:pPr>
        <w:ind w:left="851"/>
        <w:rPr>
          <w:sz w:val="24"/>
          <w:szCs w:val="24"/>
        </w:rPr>
      </w:pPr>
      <w:r w:rsidRPr="00917ADB">
        <w:rPr>
          <w:sz w:val="24"/>
          <w:szCs w:val="24"/>
        </w:rPr>
        <w:t>Hvis der anvendes mere end ét topisk lægemiddel i øjet, skal lægemidlerne administreres med mindst 5 minutters mellemrum.</w:t>
      </w:r>
    </w:p>
    <w:p w14:paraId="35EBCED3" w14:textId="77777777" w:rsidR="009260DE" w:rsidRPr="00917ADB" w:rsidRDefault="009260DE" w:rsidP="009260DE">
      <w:pPr>
        <w:tabs>
          <w:tab w:val="left" w:pos="851"/>
        </w:tabs>
        <w:ind w:left="851"/>
        <w:rPr>
          <w:sz w:val="24"/>
          <w:szCs w:val="24"/>
        </w:rPr>
      </w:pPr>
    </w:p>
    <w:p w14:paraId="326A34CB" w14:textId="77777777" w:rsidR="009260DE" w:rsidRPr="00917ADB" w:rsidRDefault="009260DE" w:rsidP="009260DE">
      <w:pPr>
        <w:tabs>
          <w:tab w:val="left" w:pos="851"/>
        </w:tabs>
        <w:ind w:left="851" w:hanging="851"/>
        <w:rPr>
          <w:b/>
          <w:sz w:val="24"/>
          <w:szCs w:val="24"/>
        </w:rPr>
      </w:pPr>
      <w:r w:rsidRPr="00917ADB">
        <w:rPr>
          <w:b/>
          <w:sz w:val="24"/>
          <w:szCs w:val="24"/>
        </w:rPr>
        <w:t>4.3</w:t>
      </w:r>
      <w:r w:rsidRPr="00917ADB">
        <w:rPr>
          <w:b/>
          <w:sz w:val="24"/>
          <w:szCs w:val="24"/>
        </w:rPr>
        <w:tab/>
        <w:t>Kontraindikationer</w:t>
      </w:r>
    </w:p>
    <w:p w14:paraId="555AC491" w14:textId="77777777" w:rsidR="00D50D42" w:rsidRPr="00917ADB" w:rsidRDefault="00D50D42" w:rsidP="00E6549C">
      <w:pPr>
        <w:pStyle w:val="Listeafsnit"/>
        <w:numPr>
          <w:ilvl w:val="0"/>
          <w:numId w:val="8"/>
        </w:numPr>
        <w:tabs>
          <w:tab w:val="clear" w:pos="567"/>
        </w:tabs>
        <w:spacing w:line="240" w:lineRule="auto"/>
        <w:ind w:left="1276" w:hanging="425"/>
        <w:rPr>
          <w:noProof/>
          <w:sz w:val="24"/>
          <w:szCs w:val="24"/>
        </w:rPr>
      </w:pPr>
      <w:r w:rsidRPr="00917ADB">
        <w:rPr>
          <w:sz w:val="24"/>
          <w:szCs w:val="24"/>
        </w:rPr>
        <w:t xml:space="preserve">Overfølsomhed over for det aktive stof </w:t>
      </w:r>
      <w:proofErr w:type="spellStart"/>
      <w:r w:rsidRPr="00917ADB">
        <w:rPr>
          <w:sz w:val="24"/>
          <w:szCs w:val="24"/>
        </w:rPr>
        <w:t>clobetasolpropionat</w:t>
      </w:r>
      <w:proofErr w:type="spellEnd"/>
      <w:r w:rsidRPr="00917ADB">
        <w:rPr>
          <w:sz w:val="24"/>
          <w:szCs w:val="24"/>
        </w:rPr>
        <w:t xml:space="preserve"> eller over for et eller flere af hjælpestofferne anført i pkt. 6.1 </w:t>
      </w:r>
    </w:p>
    <w:p w14:paraId="1633C6DF" w14:textId="40816AA4" w:rsidR="00D50D42" w:rsidRPr="00917ADB" w:rsidRDefault="00D50D42" w:rsidP="00E6549C">
      <w:pPr>
        <w:pStyle w:val="Listeafsnit"/>
        <w:numPr>
          <w:ilvl w:val="0"/>
          <w:numId w:val="8"/>
        </w:numPr>
        <w:tabs>
          <w:tab w:val="clear" w:pos="567"/>
        </w:tabs>
        <w:spacing w:line="240" w:lineRule="auto"/>
        <w:ind w:left="1276" w:hanging="425"/>
        <w:rPr>
          <w:noProof/>
          <w:sz w:val="24"/>
          <w:szCs w:val="24"/>
        </w:rPr>
      </w:pPr>
      <w:r w:rsidRPr="00917ADB">
        <w:rPr>
          <w:sz w:val="24"/>
          <w:szCs w:val="24"/>
        </w:rPr>
        <w:t>Øjeninfektioner, der ikke er kontrolleret af anti-infektiøs behandling, som f.eks</w:t>
      </w:r>
      <w:r w:rsidR="00917ADB">
        <w:rPr>
          <w:sz w:val="24"/>
          <w:szCs w:val="24"/>
        </w:rPr>
        <w:t>.</w:t>
      </w:r>
      <w:r w:rsidRPr="00917ADB">
        <w:rPr>
          <w:sz w:val="24"/>
          <w:szCs w:val="24"/>
        </w:rPr>
        <w:t xml:space="preserve">: </w:t>
      </w:r>
    </w:p>
    <w:p w14:paraId="5B610478" w14:textId="77777777" w:rsidR="00D50D42" w:rsidRPr="00917ADB" w:rsidRDefault="00D50D42" w:rsidP="00E6549C">
      <w:pPr>
        <w:pStyle w:val="Listeafsnit"/>
        <w:numPr>
          <w:ilvl w:val="0"/>
          <w:numId w:val="11"/>
        </w:numPr>
        <w:tabs>
          <w:tab w:val="clear" w:pos="567"/>
        </w:tabs>
        <w:spacing w:line="240" w:lineRule="auto"/>
        <w:ind w:left="1560" w:hanging="284"/>
        <w:rPr>
          <w:sz w:val="24"/>
          <w:szCs w:val="24"/>
        </w:rPr>
      </w:pPr>
      <w:r w:rsidRPr="00917ADB">
        <w:rPr>
          <w:sz w:val="24"/>
          <w:szCs w:val="24"/>
        </w:rPr>
        <w:t xml:space="preserve">Akutte </w:t>
      </w:r>
      <w:proofErr w:type="spellStart"/>
      <w:r w:rsidRPr="00917ADB">
        <w:rPr>
          <w:sz w:val="24"/>
          <w:szCs w:val="24"/>
        </w:rPr>
        <w:t>purulente</w:t>
      </w:r>
      <w:proofErr w:type="spellEnd"/>
      <w:r w:rsidRPr="00917ADB">
        <w:rPr>
          <w:sz w:val="24"/>
          <w:szCs w:val="24"/>
        </w:rPr>
        <w:t xml:space="preserve"> bakterielle infektioner, herunder </w:t>
      </w:r>
      <w:proofErr w:type="spellStart"/>
      <w:r w:rsidRPr="00917ADB">
        <w:rPr>
          <w:sz w:val="24"/>
          <w:szCs w:val="24"/>
        </w:rPr>
        <w:t>Pseudomonas</w:t>
      </w:r>
      <w:proofErr w:type="spellEnd"/>
      <w:r w:rsidRPr="00917ADB">
        <w:rPr>
          <w:sz w:val="24"/>
          <w:szCs w:val="24"/>
        </w:rPr>
        <w:t xml:space="preserve">-infektioner og </w:t>
      </w:r>
      <w:proofErr w:type="spellStart"/>
      <w:r w:rsidRPr="00917ADB">
        <w:rPr>
          <w:sz w:val="24"/>
          <w:szCs w:val="24"/>
        </w:rPr>
        <w:t>mykobakterielle</w:t>
      </w:r>
      <w:proofErr w:type="spellEnd"/>
      <w:r w:rsidRPr="00917ADB">
        <w:rPr>
          <w:sz w:val="24"/>
          <w:szCs w:val="24"/>
        </w:rPr>
        <w:t xml:space="preserve"> infektioner.</w:t>
      </w:r>
    </w:p>
    <w:p w14:paraId="33F556EC" w14:textId="77777777" w:rsidR="00D50D42" w:rsidRPr="00917ADB" w:rsidRDefault="00D50D42" w:rsidP="00E6549C">
      <w:pPr>
        <w:pStyle w:val="Listeafsnit"/>
        <w:numPr>
          <w:ilvl w:val="0"/>
          <w:numId w:val="11"/>
        </w:numPr>
        <w:tabs>
          <w:tab w:val="clear" w:pos="567"/>
        </w:tabs>
        <w:spacing w:line="240" w:lineRule="auto"/>
        <w:ind w:left="1560" w:hanging="284"/>
        <w:rPr>
          <w:sz w:val="24"/>
          <w:szCs w:val="24"/>
        </w:rPr>
      </w:pPr>
      <w:r w:rsidRPr="00917ADB">
        <w:rPr>
          <w:sz w:val="24"/>
          <w:szCs w:val="24"/>
        </w:rPr>
        <w:t>Svampeinfektioner.</w:t>
      </w:r>
    </w:p>
    <w:p w14:paraId="661461B7" w14:textId="77777777" w:rsidR="00D50D42" w:rsidRPr="00917ADB" w:rsidRDefault="00D50D42" w:rsidP="00E6549C">
      <w:pPr>
        <w:pStyle w:val="Listeafsnit"/>
        <w:numPr>
          <w:ilvl w:val="0"/>
          <w:numId w:val="11"/>
        </w:numPr>
        <w:tabs>
          <w:tab w:val="clear" w:pos="567"/>
        </w:tabs>
        <w:spacing w:line="240" w:lineRule="auto"/>
        <w:ind w:left="1560" w:hanging="284"/>
        <w:rPr>
          <w:sz w:val="24"/>
          <w:szCs w:val="24"/>
        </w:rPr>
      </w:pPr>
      <w:proofErr w:type="spellStart"/>
      <w:r w:rsidRPr="00917ADB">
        <w:rPr>
          <w:sz w:val="24"/>
          <w:szCs w:val="24"/>
        </w:rPr>
        <w:t>Epithelial</w:t>
      </w:r>
      <w:proofErr w:type="spellEnd"/>
      <w:r w:rsidRPr="00917ADB">
        <w:rPr>
          <w:sz w:val="24"/>
          <w:szCs w:val="24"/>
        </w:rPr>
        <w:t xml:space="preserve"> herpes </w:t>
      </w:r>
      <w:proofErr w:type="spellStart"/>
      <w:r w:rsidRPr="00917ADB">
        <w:rPr>
          <w:sz w:val="24"/>
          <w:szCs w:val="24"/>
        </w:rPr>
        <w:t>simplex</w:t>
      </w:r>
      <w:proofErr w:type="spellEnd"/>
      <w:r w:rsidRPr="00917ADB">
        <w:rPr>
          <w:sz w:val="24"/>
          <w:szCs w:val="24"/>
        </w:rPr>
        <w:t xml:space="preserve"> </w:t>
      </w:r>
      <w:proofErr w:type="spellStart"/>
      <w:r w:rsidRPr="00917ADB">
        <w:rPr>
          <w:sz w:val="24"/>
          <w:szCs w:val="24"/>
        </w:rPr>
        <w:t>keratitis</w:t>
      </w:r>
      <w:proofErr w:type="spellEnd"/>
      <w:r w:rsidRPr="00917ADB">
        <w:rPr>
          <w:sz w:val="24"/>
          <w:szCs w:val="24"/>
        </w:rPr>
        <w:t xml:space="preserve"> (</w:t>
      </w:r>
      <w:proofErr w:type="spellStart"/>
      <w:r w:rsidRPr="00917ADB">
        <w:rPr>
          <w:sz w:val="24"/>
          <w:szCs w:val="24"/>
        </w:rPr>
        <w:t>dendritisk</w:t>
      </w:r>
      <w:proofErr w:type="spellEnd"/>
      <w:r w:rsidRPr="00917ADB">
        <w:rPr>
          <w:sz w:val="24"/>
          <w:szCs w:val="24"/>
        </w:rPr>
        <w:t xml:space="preserve"> </w:t>
      </w:r>
      <w:proofErr w:type="spellStart"/>
      <w:r w:rsidRPr="00917ADB">
        <w:rPr>
          <w:sz w:val="24"/>
          <w:szCs w:val="24"/>
        </w:rPr>
        <w:t>keratitis</w:t>
      </w:r>
      <w:proofErr w:type="spellEnd"/>
      <w:r w:rsidRPr="00917ADB">
        <w:rPr>
          <w:sz w:val="24"/>
          <w:szCs w:val="24"/>
        </w:rPr>
        <w:t xml:space="preserve">), </w:t>
      </w:r>
      <w:proofErr w:type="spellStart"/>
      <w:r w:rsidRPr="00917ADB">
        <w:rPr>
          <w:sz w:val="24"/>
          <w:szCs w:val="24"/>
        </w:rPr>
        <w:t>varicella</w:t>
      </w:r>
      <w:proofErr w:type="spellEnd"/>
      <w:r w:rsidRPr="00917ADB">
        <w:rPr>
          <w:sz w:val="24"/>
          <w:szCs w:val="24"/>
        </w:rPr>
        <w:t xml:space="preserve"> </w:t>
      </w:r>
      <w:proofErr w:type="spellStart"/>
      <w:r w:rsidRPr="00917ADB">
        <w:rPr>
          <w:sz w:val="24"/>
          <w:szCs w:val="24"/>
        </w:rPr>
        <w:t>zoster</w:t>
      </w:r>
      <w:proofErr w:type="spellEnd"/>
      <w:r w:rsidRPr="00917ADB">
        <w:rPr>
          <w:sz w:val="24"/>
          <w:szCs w:val="24"/>
        </w:rPr>
        <w:t xml:space="preserve"> (især i den akutte aktive fase af infektionen). </w:t>
      </w:r>
    </w:p>
    <w:p w14:paraId="36F59C59" w14:textId="77777777" w:rsidR="00D50D42" w:rsidRPr="00917ADB" w:rsidRDefault="00D50D42" w:rsidP="00E6549C">
      <w:pPr>
        <w:pStyle w:val="Listeafsnit"/>
        <w:numPr>
          <w:ilvl w:val="0"/>
          <w:numId w:val="11"/>
        </w:numPr>
        <w:tabs>
          <w:tab w:val="clear" w:pos="567"/>
        </w:tabs>
        <w:spacing w:line="240" w:lineRule="auto"/>
        <w:ind w:left="1560" w:hanging="284"/>
        <w:rPr>
          <w:sz w:val="24"/>
          <w:szCs w:val="24"/>
        </w:rPr>
      </w:pPr>
      <w:proofErr w:type="spellStart"/>
      <w:r w:rsidRPr="00917ADB">
        <w:rPr>
          <w:sz w:val="24"/>
          <w:szCs w:val="24"/>
        </w:rPr>
        <w:t>Amøbekeratitis</w:t>
      </w:r>
      <w:proofErr w:type="spellEnd"/>
      <w:r w:rsidRPr="00917ADB">
        <w:rPr>
          <w:sz w:val="24"/>
          <w:szCs w:val="24"/>
        </w:rPr>
        <w:t>.</w:t>
      </w:r>
    </w:p>
    <w:p w14:paraId="077BC745" w14:textId="77777777" w:rsidR="00D50D42" w:rsidRPr="00917ADB" w:rsidRDefault="00D50D42" w:rsidP="00E6549C">
      <w:pPr>
        <w:pStyle w:val="Listeafsnit"/>
        <w:numPr>
          <w:ilvl w:val="0"/>
          <w:numId w:val="9"/>
        </w:numPr>
        <w:tabs>
          <w:tab w:val="clear" w:pos="567"/>
        </w:tabs>
        <w:spacing w:line="240" w:lineRule="auto"/>
        <w:ind w:left="1276" w:hanging="425"/>
        <w:rPr>
          <w:sz w:val="24"/>
          <w:szCs w:val="24"/>
        </w:rPr>
      </w:pPr>
      <w:r w:rsidRPr="00917ADB">
        <w:rPr>
          <w:sz w:val="24"/>
          <w:szCs w:val="24"/>
        </w:rPr>
        <w:t xml:space="preserve">Perforering, </w:t>
      </w:r>
      <w:proofErr w:type="spellStart"/>
      <w:r w:rsidRPr="00917ADB">
        <w:rPr>
          <w:sz w:val="24"/>
          <w:szCs w:val="24"/>
        </w:rPr>
        <w:t>ulceration</w:t>
      </w:r>
      <w:proofErr w:type="spellEnd"/>
      <w:r w:rsidRPr="00917ADB">
        <w:rPr>
          <w:sz w:val="24"/>
          <w:szCs w:val="24"/>
        </w:rPr>
        <w:t xml:space="preserve"> og skader på hornhinden med ufuldstændig </w:t>
      </w:r>
      <w:proofErr w:type="spellStart"/>
      <w:r w:rsidRPr="00917ADB">
        <w:rPr>
          <w:sz w:val="24"/>
          <w:szCs w:val="24"/>
        </w:rPr>
        <w:t>epitelialisering</w:t>
      </w:r>
      <w:proofErr w:type="spellEnd"/>
      <w:r w:rsidRPr="00917ADB">
        <w:rPr>
          <w:sz w:val="24"/>
          <w:szCs w:val="24"/>
        </w:rPr>
        <w:t>.</w:t>
      </w:r>
    </w:p>
    <w:p w14:paraId="19B77FEE" w14:textId="77777777" w:rsidR="00D50D42" w:rsidRPr="00917ADB" w:rsidRDefault="00D50D42" w:rsidP="00E6549C">
      <w:pPr>
        <w:pStyle w:val="Listeafsnit"/>
        <w:numPr>
          <w:ilvl w:val="0"/>
          <w:numId w:val="9"/>
        </w:numPr>
        <w:tabs>
          <w:tab w:val="clear" w:pos="567"/>
        </w:tabs>
        <w:spacing w:line="240" w:lineRule="auto"/>
        <w:ind w:left="1276" w:hanging="425"/>
        <w:rPr>
          <w:sz w:val="24"/>
          <w:szCs w:val="24"/>
        </w:rPr>
      </w:pPr>
      <w:bookmarkStart w:id="3" w:name="_Hlk187659454"/>
      <w:r w:rsidRPr="00917ADB">
        <w:rPr>
          <w:sz w:val="24"/>
          <w:szCs w:val="24"/>
        </w:rPr>
        <w:t xml:space="preserve">Kendt </w:t>
      </w:r>
      <w:proofErr w:type="spellStart"/>
      <w:r w:rsidRPr="00917ADB">
        <w:rPr>
          <w:sz w:val="24"/>
          <w:szCs w:val="24"/>
        </w:rPr>
        <w:t>glukokortikoid</w:t>
      </w:r>
      <w:proofErr w:type="spellEnd"/>
      <w:r w:rsidRPr="00917ADB">
        <w:rPr>
          <w:sz w:val="24"/>
          <w:szCs w:val="24"/>
        </w:rPr>
        <w:t xml:space="preserve">-steroid-induceret </w:t>
      </w:r>
      <w:proofErr w:type="spellStart"/>
      <w:r w:rsidRPr="00917ADB">
        <w:rPr>
          <w:sz w:val="24"/>
          <w:szCs w:val="24"/>
        </w:rPr>
        <w:t>okulær</w:t>
      </w:r>
      <w:proofErr w:type="spellEnd"/>
      <w:r w:rsidRPr="00917ADB">
        <w:rPr>
          <w:sz w:val="24"/>
          <w:szCs w:val="24"/>
        </w:rPr>
        <w:t xml:space="preserve"> hypertension.</w:t>
      </w:r>
      <w:bookmarkEnd w:id="3"/>
    </w:p>
    <w:p w14:paraId="2CE9534F" w14:textId="77777777" w:rsidR="009260DE" w:rsidRPr="00917ADB" w:rsidRDefault="009260DE" w:rsidP="00E6549C">
      <w:pPr>
        <w:tabs>
          <w:tab w:val="left" w:pos="851"/>
        </w:tabs>
        <w:ind w:left="851"/>
        <w:rPr>
          <w:sz w:val="24"/>
          <w:szCs w:val="24"/>
        </w:rPr>
      </w:pPr>
    </w:p>
    <w:p w14:paraId="0E2DBE84" w14:textId="77777777" w:rsidR="009260DE" w:rsidRPr="00917ADB" w:rsidRDefault="009260DE" w:rsidP="009260DE">
      <w:pPr>
        <w:tabs>
          <w:tab w:val="left" w:pos="851"/>
        </w:tabs>
        <w:ind w:left="851" w:hanging="851"/>
        <w:rPr>
          <w:b/>
          <w:sz w:val="24"/>
          <w:szCs w:val="24"/>
        </w:rPr>
      </w:pPr>
      <w:r w:rsidRPr="00917ADB">
        <w:rPr>
          <w:b/>
          <w:sz w:val="24"/>
          <w:szCs w:val="24"/>
        </w:rPr>
        <w:t>4.4</w:t>
      </w:r>
      <w:r w:rsidRPr="00917ADB">
        <w:rPr>
          <w:b/>
          <w:sz w:val="24"/>
          <w:szCs w:val="24"/>
        </w:rPr>
        <w:tab/>
        <w:t>Særlige advarsler og forsigtighedsregler vedrørende brugen</w:t>
      </w:r>
    </w:p>
    <w:p w14:paraId="79E8FB85" w14:textId="77777777" w:rsidR="00D50D42" w:rsidRPr="00917ADB" w:rsidRDefault="00D50D42" w:rsidP="00917ADB">
      <w:pPr>
        <w:ind w:left="851"/>
        <w:rPr>
          <w:sz w:val="24"/>
          <w:szCs w:val="24"/>
        </w:rPr>
      </w:pPr>
      <w:r w:rsidRPr="00917ADB">
        <w:rPr>
          <w:sz w:val="24"/>
          <w:szCs w:val="24"/>
        </w:rPr>
        <w:t xml:space="preserve">Langvarig brug af </w:t>
      </w:r>
      <w:proofErr w:type="spellStart"/>
      <w:r w:rsidRPr="00917ADB">
        <w:rPr>
          <w:sz w:val="24"/>
          <w:szCs w:val="24"/>
        </w:rPr>
        <w:t>kortikosteroider</w:t>
      </w:r>
      <w:proofErr w:type="spellEnd"/>
      <w:r w:rsidRPr="00917ADB">
        <w:rPr>
          <w:sz w:val="24"/>
          <w:szCs w:val="24"/>
        </w:rPr>
        <w:t xml:space="preserve"> kan medføre en stigning i det </w:t>
      </w:r>
      <w:proofErr w:type="spellStart"/>
      <w:r w:rsidRPr="00917ADB">
        <w:rPr>
          <w:sz w:val="24"/>
          <w:szCs w:val="24"/>
        </w:rPr>
        <w:t>intraokulære</w:t>
      </w:r>
      <w:proofErr w:type="spellEnd"/>
      <w:r w:rsidRPr="00917ADB">
        <w:rPr>
          <w:sz w:val="24"/>
          <w:szCs w:val="24"/>
        </w:rPr>
        <w:t xml:space="preserve"> tryk, hvilket kan resultere i </w:t>
      </w:r>
      <w:proofErr w:type="spellStart"/>
      <w:r w:rsidRPr="00917ADB">
        <w:rPr>
          <w:sz w:val="24"/>
          <w:szCs w:val="24"/>
        </w:rPr>
        <w:t>glaukom</w:t>
      </w:r>
      <w:proofErr w:type="spellEnd"/>
      <w:r w:rsidRPr="00917ADB">
        <w:rPr>
          <w:sz w:val="24"/>
          <w:szCs w:val="24"/>
        </w:rPr>
        <w:t xml:space="preserve"> med skader på synsnerven, defekter i synsstyrken og synsfeltet. Steroider bør anvendes med forsigtighed ved tilstedeværelse af grøn stær, og det </w:t>
      </w:r>
      <w:proofErr w:type="spellStart"/>
      <w:r w:rsidRPr="00917ADB">
        <w:rPr>
          <w:sz w:val="24"/>
          <w:szCs w:val="24"/>
        </w:rPr>
        <w:t>intraokulære</w:t>
      </w:r>
      <w:proofErr w:type="spellEnd"/>
      <w:r w:rsidRPr="00917ADB">
        <w:rPr>
          <w:sz w:val="24"/>
          <w:szCs w:val="24"/>
        </w:rPr>
        <w:t xml:space="preserve"> tryk bør overvåges hyppigt.</w:t>
      </w:r>
    </w:p>
    <w:p w14:paraId="7A0615DF" w14:textId="77777777" w:rsidR="00D50D42" w:rsidRPr="00917ADB" w:rsidRDefault="00D50D42" w:rsidP="00917ADB">
      <w:pPr>
        <w:ind w:left="851"/>
        <w:rPr>
          <w:sz w:val="24"/>
          <w:szCs w:val="24"/>
        </w:rPr>
      </w:pPr>
    </w:p>
    <w:p w14:paraId="56821641" w14:textId="77777777" w:rsidR="00D50D42" w:rsidRPr="00917ADB" w:rsidRDefault="00D50D42" w:rsidP="00917ADB">
      <w:pPr>
        <w:ind w:left="851"/>
        <w:rPr>
          <w:sz w:val="24"/>
          <w:szCs w:val="24"/>
        </w:rPr>
      </w:pPr>
      <w:r w:rsidRPr="00917ADB">
        <w:rPr>
          <w:sz w:val="24"/>
          <w:szCs w:val="24"/>
        </w:rPr>
        <w:t xml:space="preserve">Langvarig brug af </w:t>
      </w:r>
      <w:proofErr w:type="spellStart"/>
      <w:r w:rsidRPr="00917ADB">
        <w:rPr>
          <w:sz w:val="24"/>
          <w:szCs w:val="24"/>
        </w:rPr>
        <w:t>kortikosteroider</w:t>
      </w:r>
      <w:proofErr w:type="spellEnd"/>
      <w:r w:rsidRPr="00917ADB">
        <w:rPr>
          <w:sz w:val="24"/>
          <w:szCs w:val="24"/>
        </w:rPr>
        <w:t xml:space="preserve"> kan resultere i dannelse af </w:t>
      </w:r>
      <w:proofErr w:type="spellStart"/>
      <w:r w:rsidRPr="00917ADB">
        <w:rPr>
          <w:sz w:val="24"/>
          <w:szCs w:val="24"/>
        </w:rPr>
        <w:t>posterior</w:t>
      </w:r>
      <w:proofErr w:type="spellEnd"/>
      <w:r w:rsidRPr="00917ADB">
        <w:rPr>
          <w:sz w:val="24"/>
          <w:szCs w:val="24"/>
        </w:rPr>
        <w:t xml:space="preserve"> </w:t>
      </w:r>
      <w:proofErr w:type="spellStart"/>
      <w:r w:rsidRPr="00917ADB">
        <w:rPr>
          <w:sz w:val="24"/>
          <w:szCs w:val="24"/>
        </w:rPr>
        <w:t>subkapsulær</w:t>
      </w:r>
      <w:proofErr w:type="spellEnd"/>
      <w:r w:rsidRPr="00917ADB">
        <w:rPr>
          <w:sz w:val="24"/>
          <w:szCs w:val="24"/>
        </w:rPr>
        <w:t xml:space="preserve"> katarakt.</w:t>
      </w:r>
    </w:p>
    <w:p w14:paraId="579C9A65" w14:textId="77777777" w:rsidR="00D50D42" w:rsidRPr="00917ADB" w:rsidRDefault="00D50D42" w:rsidP="00917ADB">
      <w:pPr>
        <w:ind w:left="851"/>
        <w:rPr>
          <w:sz w:val="24"/>
          <w:szCs w:val="24"/>
        </w:rPr>
      </w:pPr>
    </w:p>
    <w:p w14:paraId="2DDC0C47" w14:textId="77777777" w:rsidR="00D50D42" w:rsidRPr="00917ADB" w:rsidRDefault="00D50D42" w:rsidP="00917ADB">
      <w:pPr>
        <w:ind w:left="851"/>
        <w:rPr>
          <w:sz w:val="24"/>
          <w:szCs w:val="24"/>
        </w:rPr>
      </w:pPr>
      <w:r w:rsidRPr="00917ADB">
        <w:rPr>
          <w:sz w:val="24"/>
          <w:szCs w:val="24"/>
        </w:rPr>
        <w:t xml:space="preserve">Topiske </w:t>
      </w:r>
      <w:proofErr w:type="spellStart"/>
      <w:r w:rsidRPr="00917ADB">
        <w:rPr>
          <w:sz w:val="24"/>
          <w:szCs w:val="24"/>
        </w:rPr>
        <w:t>oftalmiske</w:t>
      </w:r>
      <w:proofErr w:type="spellEnd"/>
      <w:r w:rsidRPr="00917ADB">
        <w:rPr>
          <w:sz w:val="24"/>
          <w:szCs w:val="24"/>
        </w:rPr>
        <w:t xml:space="preserve"> </w:t>
      </w:r>
      <w:proofErr w:type="spellStart"/>
      <w:r w:rsidRPr="00917ADB">
        <w:rPr>
          <w:sz w:val="24"/>
          <w:szCs w:val="24"/>
        </w:rPr>
        <w:t>kortikosteroider</w:t>
      </w:r>
      <w:proofErr w:type="spellEnd"/>
      <w:r w:rsidRPr="00917ADB">
        <w:rPr>
          <w:sz w:val="24"/>
          <w:szCs w:val="24"/>
        </w:rPr>
        <w:t xml:space="preserve"> kan forlænge helingen af sår på hornhinden. Topiske </w:t>
      </w:r>
      <w:proofErr w:type="spellStart"/>
      <w:r w:rsidRPr="00917ADB">
        <w:rPr>
          <w:sz w:val="24"/>
          <w:szCs w:val="24"/>
        </w:rPr>
        <w:t>okulære</w:t>
      </w:r>
      <w:proofErr w:type="spellEnd"/>
      <w:r w:rsidRPr="00917ADB">
        <w:rPr>
          <w:sz w:val="24"/>
          <w:szCs w:val="24"/>
        </w:rPr>
        <w:t xml:space="preserve"> </w:t>
      </w:r>
      <w:proofErr w:type="spellStart"/>
      <w:r w:rsidRPr="00917ADB">
        <w:rPr>
          <w:sz w:val="24"/>
          <w:szCs w:val="24"/>
        </w:rPr>
        <w:t>NSAID'er</w:t>
      </w:r>
      <w:proofErr w:type="spellEnd"/>
      <w:r w:rsidRPr="00917ADB">
        <w:rPr>
          <w:sz w:val="24"/>
          <w:szCs w:val="24"/>
        </w:rPr>
        <w:t xml:space="preserve"> er også kendt for at forlænge eller forsinke helingen. Samtidig brug af topiske </w:t>
      </w:r>
      <w:proofErr w:type="spellStart"/>
      <w:r w:rsidRPr="00917ADB">
        <w:rPr>
          <w:sz w:val="24"/>
          <w:szCs w:val="24"/>
        </w:rPr>
        <w:t>okulære</w:t>
      </w:r>
      <w:proofErr w:type="spellEnd"/>
      <w:r w:rsidRPr="00917ADB">
        <w:rPr>
          <w:sz w:val="24"/>
          <w:szCs w:val="24"/>
        </w:rPr>
        <w:t xml:space="preserve"> </w:t>
      </w:r>
      <w:proofErr w:type="spellStart"/>
      <w:r w:rsidRPr="00917ADB">
        <w:rPr>
          <w:sz w:val="24"/>
          <w:szCs w:val="24"/>
        </w:rPr>
        <w:t>NSAID'er</w:t>
      </w:r>
      <w:proofErr w:type="spellEnd"/>
      <w:r w:rsidRPr="00917ADB">
        <w:rPr>
          <w:sz w:val="24"/>
          <w:szCs w:val="24"/>
        </w:rPr>
        <w:t xml:space="preserve"> og steroider kan øge risikoen for komplikationer i forbindelse med heling (se pkt. 4.5).</w:t>
      </w:r>
    </w:p>
    <w:p w14:paraId="6DCFD5BC" w14:textId="77777777" w:rsidR="00D50D42" w:rsidRPr="00917ADB" w:rsidRDefault="00D50D42" w:rsidP="00917ADB">
      <w:pPr>
        <w:ind w:left="851"/>
        <w:rPr>
          <w:sz w:val="24"/>
          <w:szCs w:val="24"/>
        </w:rPr>
      </w:pPr>
    </w:p>
    <w:p w14:paraId="5947743F" w14:textId="77777777" w:rsidR="00D50D42" w:rsidRPr="00917ADB" w:rsidRDefault="00D50D42" w:rsidP="00917ADB">
      <w:pPr>
        <w:ind w:left="851"/>
        <w:rPr>
          <w:sz w:val="24"/>
          <w:szCs w:val="24"/>
        </w:rPr>
      </w:pPr>
      <w:r w:rsidRPr="00917ADB">
        <w:rPr>
          <w:sz w:val="24"/>
          <w:szCs w:val="24"/>
        </w:rPr>
        <w:t xml:space="preserve">Topiske steroider kan forårsage perforering af hornhinden. Topiske steroider kan føre til perforation, hvis de anvendes i forbindelse med sygdomme, der forårsager fortynding af hornhinden eller </w:t>
      </w:r>
      <w:proofErr w:type="spellStart"/>
      <w:r w:rsidRPr="00917ADB">
        <w:rPr>
          <w:sz w:val="24"/>
          <w:szCs w:val="24"/>
        </w:rPr>
        <w:t>sclera</w:t>
      </w:r>
      <w:proofErr w:type="spellEnd"/>
      <w:r w:rsidRPr="00917ADB">
        <w:rPr>
          <w:sz w:val="24"/>
          <w:szCs w:val="24"/>
        </w:rPr>
        <w:t>.</w:t>
      </w:r>
    </w:p>
    <w:p w14:paraId="254384E8" w14:textId="77777777" w:rsidR="00D50D42" w:rsidRPr="00917ADB" w:rsidRDefault="00D50D42" w:rsidP="00917ADB">
      <w:pPr>
        <w:ind w:left="851"/>
        <w:rPr>
          <w:sz w:val="24"/>
          <w:szCs w:val="24"/>
        </w:rPr>
      </w:pPr>
      <w:r w:rsidRPr="00917ADB">
        <w:rPr>
          <w:sz w:val="24"/>
          <w:szCs w:val="24"/>
        </w:rPr>
        <w:t xml:space="preserve">Langvarig brug af </w:t>
      </w:r>
      <w:proofErr w:type="spellStart"/>
      <w:r w:rsidRPr="00917ADB">
        <w:rPr>
          <w:sz w:val="24"/>
          <w:szCs w:val="24"/>
        </w:rPr>
        <w:t>kortikosteroider</w:t>
      </w:r>
      <w:proofErr w:type="spellEnd"/>
      <w:r w:rsidRPr="00917ADB">
        <w:rPr>
          <w:sz w:val="24"/>
          <w:szCs w:val="24"/>
        </w:rPr>
        <w:t xml:space="preserve"> kan undertrykke værtsresponsen og dermed </w:t>
      </w:r>
      <w:bookmarkStart w:id="4" w:name="_Hlk189491735"/>
      <w:r w:rsidRPr="00917ADB">
        <w:rPr>
          <w:sz w:val="24"/>
          <w:szCs w:val="24"/>
        </w:rPr>
        <w:t xml:space="preserve">øge risikoen for sekundære </w:t>
      </w:r>
      <w:bookmarkStart w:id="5" w:name="_Hlk155796351"/>
      <w:r w:rsidRPr="00917ADB">
        <w:rPr>
          <w:sz w:val="24"/>
          <w:szCs w:val="24"/>
        </w:rPr>
        <w:t xml:space="preserve">bakterielle infektioner, virusinfektioner (herunder herpes </w:t>
      </w:r>
      <w:proofErr w:type="spellStart"/>
      <w:r w:rsidRPr="00917ADB">
        <w:rPr>
          <w:sz w:val="24"/>
          <w:szCs w:val="24"/>
        </w:rPr>
        <w:t>simplex</w:t>
      </w:r>
      <w:proofErr w:type="spellEnd"/>
      <w:r w:rsidRPr="00917ADB">
        <w:rPr>
          <w:sz w:val="24"/>
          <w:szCs w:val="24"/>
        </w:rPr>
        <w:t>) og svampeinfektioner</w:t>
      </w:r>
      <w:bookmarkEnd w:id="4"/>
      <w:r w:rsidRPr="00917ADB">
        <w:rPr>
          <w:sz w:val="24"/>
          <w:szCs w:val="24"/>
        </w:rPr>
        <w:t xml:space="preserve"> i øjet.</w:t>
      </w:r>
      <w:bookmarkEnd w:id="5"/>
      <w:r w:rsidRPr="00917ADB">
        <w:rPr>
          <w:sz w:val="24"/>
          <w:szCs w:val="24"/>
        </w:rPr>
        <w:t xml:space="preserve"> Ved akutte </w:t>
      </w:r>
      <w:proofErr w:type="spellStart"/>
      <w:r w:rsidRPr="00917ADB">
        <w:rPr>
          <w:sz w:val="24"/>
          <w:szCs w:val="24"/>
        </w:rPr>
        <w:t>purulente</w:t>
      </w:r>
      <w:proofErr w:type="spellEnd"/>
      <w:r w:rsidRPr="00917ADB">
        <w:rPr>
          <w:sz w:val="24"/>
          <w:szCs w:val="24"/>
        </w:rPr>
        <w:t xml:space="preserve"> tilstande kan </w:t>
      </w:r>
      <w:proofErr w:type="spellStart"/>
      <w:r w:rsidRPr="00917ADB">
        <w:rPr>
          <w:sz w:val="24"/>
          <w:szCs w:val="24"/>
        </w:rPr>
        <w:t>kortikosteroider</w:t>
      </w:r>
      <w:proofErr w:type="spellEnd"/>
      <w:r w:rsidRPr="00917ADB">
        <w:rPr>
          <w:sz w:val="24"/>
          <w:szCs w:val="24"/>
        </w:rPr>
        <w:t xml:space="preserve"> skjule infektionen eller forstærke en eksisterende infektion. </w:t>
      </w:r>
    </w:p>
    <w:p w14:paraId="2A4E80F7" w14:textId="77777777" w:rsidR="00D50D42" w:rsidRPr="00917ADB" w:rsidRDefault="00D50D42" w:rsidP="00917ADB">
      <w:pPr>
        <w:ind w:left="851"/>
        <w:rPr>
          <w:sz w:val="24"/>
          <w:szCs w:val="24"/>
        </w:rPr>
      </w:pPr>
    </w:p>
    <w:p w14:paraId="20B63E8D" w14:textId="77777777" w:rsidR="00D50D42" w:rsidRPr="00917ADB" w:rsidRDefault="00D50D42" w:rsidP="00917ADB">
      <w:pPr>
        <w:ind w:left="851"/>
        <w:rPr>
          <w:sz w:val="24"/>
          <w:szCs w:val="24"/>
        </w:rPr>
      </w:pPr>
      <w:r w:rsidRPr="00917ADB">
        <w:rPr>
          <w:sz w:val="24"/>
          <w:szCs w:val="24"/>
        </w:rPr>
        <w:t>Muligheden for binyrebarksuppression ved langvarig og hyppig brug af høje doser af topiske steroider bør overvejes, især hos spædbørn og børn.</w:t>
      </w:r>
    </w:p>
    <w:p w14:paraId="0A8A7141" w14:textId="77777777" w:rsidR="00D50D42" w:rsidRPr="00917ADB" w:rsidRDefault="00D50D42" w:rsidP="00917ADB">
      <w:pPr>
        <w:ind w:left="851"/>
        <w:rPr>
          <w:sz w:val="24"/>
          <w:szCs w:val="24"/>
        </w:rPr>
      </w:pPr>
    </w:p>
    <w:p w14:paraId="7C278FC5" w14:textId="77777777" w:rsidR="00D50D42" w:rsidRPr="00917ADB" w:rsidRDefault="00D50D42" w:rsidP="00917ADB">
      <w:pPr>
        <w:ind w:left="851"/>
        <w:rPr>
          <w:sz w:val="24"/>
          <w:szCs w:val="24"/>
        </w:rPr>
      </w:pPr>
      <w:r w:rsidRPr="00917ADB">
        <w:rPr>
          <w:sz w:val="24"/>
          <w:szCs w:val="24"/>
        </w:rPr>
        <w:lastRenderedPageBreak/>
        <w:t xml:space="preserve">Dette lægemiddel er kun til </w:t>
      </w:r>
      <w:proofErr w:type="spellStart"/>
      <w:r w:rsidRPr="00917ADB">
        <w:rPr>
          <w:sz w:val="24"/>
          <w:szCs w:val="24"/>
        </w:rPr>
        <w:t>okulær</w:t>
      </w:r>
      <w:proofErr w:type="spellEnd"/>
      <w:r w:rsidRPr="00917ADB">
        <w:rPr>
          <w:sz w:val="24"/>
          <w:szCs w:val="24"/>
        </w:rPr>
        <w:t xml:space="preserve"> anvendelse.</w:t>
      </w:r>
    </w:p>
    <w:p w14:paraId="14C36B82" w14:textId="77777777" w:rsidR="00D50D42" w:rsidRPr="00917ADB" w:rsidRDefault="00D50D42" w:rsidP="00917ADB">
      <w:pPr>
        <w:ind w:left="851"/>
        <w:rPr>
          <w:sz w:val="24"/>
          <w:szCs w:val="24"/>
        </w:rPr>
      </w:pPr>
    </w:p>
    <w:p w14:paraId="28002648" w14:textId="77777777" w:rsidR="00D50D42" w:rsidRPr="00917ADB" w:rsidRDefault="00D50D42" w:rsidP="00917ADB">
      <w:pPr>
        <w:ind w:left="851"/>
        <w:rPr>
          <w:color w:val="000000" w:themeColor="text1"/>
          <w:sz w:val="24"/>
          <w:szCs w:val="24"/>
        </w:rPr>
      </w:pPr>
      <w:r w:rsidRPr="00917ADB">
        <w:rPr>
          <w:color w:val="000000" w:themeColor="text1"/>
          <w:sz w:val="24"/>
          <w:szCs w:val="24"/>
        </w:rPr>
        <w:t>Brug af kontaktlinser anbefales ikke i den postoperative periode efter øjenkirurgi.</w:t>
      </w:r>
    </w:p>
    <w:p w14:paraId="28C959A5" w14:textId="77777777" w:rsidR="00D50D42" w:rsidRPr="00917ADB" w:rsidRDefault="00D50D42" w:rsidP="00917ADB">
      <w:pPr>
        <w:ind w:left="851"/>
        <w:rPr>
          <w:color w:val="000000" w:themeColor="text1"/>
          <w:sz w:val="24"/>
          <w:szCs w:val="24"/>
        </w:rPr>
      </w:pPr>
      <w:r w:rsidRPr="00917ADB">
        <w:rPr>
          <w:color w:val="000000" w:themeColor="text1"/>
          <w:sz w:val="24"/>
          <w:szCs w:val="24"/>
        </w:rPr>
        <w:t>Derfor bør patienterne tilrådes ikke at bære kontaktlinser, medmindre det udtrykkeligt anbefales af deres læge.</w:t>
      </w:r>
    </w:p>
    <w:p w14:paraId="4F80DF57" w14:textId="77777777" w:rsidR="00D50D42" w:rsidRPr="00917ADB" w:rsidRDefault="00D50D42" w:rsidP="00917ADB">
      <w:pPr>
        <w:ind w:left="851"/>
        <w:rPr>
          <w:color w:val="000000" w:themeColor="text1"/>
          <w:sz w:val="24"/>
          <w:szCs w:val="24"/>
          <w:lang w:eastAsia="en-GB"/>
        </w:rPr>
      </w:pPr>
    </w:p>
    <w:p w14:paraId="1E04E2A0" w14:textId="77777777" w:rsidR="00D50D42" w:rsidRPr="00917ADB" w:rsidRDefault="00D50D42" w:rsidP="00917ADB">
      <w:pPr>
        <w:ind w:left="851"/>
        <w:rPr>
          <w:color w:val="000000" w:themeColor="text1"/>
          <w:sz w:val="24"/>
          <w:szCs w:val="24"/>
          <w:u w:val="single"/>
        </w:rPr>
      </w:pPr>
      <w:r w:rsidRPr="00917ADB">
        <w:rPr>
          <w:color w:val="000000" w:themeColor="text1"/>
          <w:sz w:val="24"/>
          <w:szCs w:val="24"/>
          <w:u w:val="single"/>
        </w:rPr>
        <w:t>Hjælpestoffer</w:t>
      </w:r>
    </w:p>
    <w:p w14:paraId="3C76DBAF" w14:textId="77777777" w:rsidR="00D50D42" w:rsidRPr="00917ADB" w:rsidRDefault="00D50D42" w:rsidP="00917ADB">
      <w:pPr>
        <w:ind w:left="851"/>
        <w:rPr>
          <w:color w:val="000000" w:themeColor="text1"/>
          <w:sz w:val="24"/>
          <w:szCs w:val="24"/>
        </w:rPr>
      </w:pPr>
      <w:r w:rsidRPr="00917ADB">
        <w:rPr>
          <w:color w:val="000000" w:themeColor="text1"/>
          <w:sz w:val="24"/>
          <w:szCs w:val="24"/>
        </w:rPr>
        <w:t xml:space="preserve">Dette lægemiddel indeholder </w:t>
      </w:r>
      <w:proofErr w:type="spellStart"/>
      <w:r w:rsidRPr="00917ADB">
        <w:rPr>
          <w:color w:val="000000" w:themeColor="text1"/>
          <w:sz w:val="24"/>
          <w:szCs w:val="24"/>
        </w:rPr>
        <w:t>benzalkoniumchlorid</w:t>
      </w:r>
      <w:proofErr w:type="spellEnd"/>
      <w:r w:rsidRPr="00917ADB">
        <w:rPr>
          <w:color w:val="000000" w:themeColor="text1"/>
          <w:sz w:val="24"/>
          <w:szCs w:val="24"/>
        </w:rPr>
        <w:t xml:space="preserve">. </w:t>
      </w:r>
    </w:p>
    <w:p w14:paraId="36D68DF5" w14:textId="77777777" w:rsidR="00D50D42" w:rsidRPr="00917ADB" w:rsidRDefault="00D50D42" w:rsidP="00917ADB">
      <w:pPr>
        <w:ind w:left="851"/>
        <w:rPr>
          <w:color w:val="000000" w:themeColor="text1"/>
          <w:sz w:val="24"/>
          <w:szCs w:val="24"/>
        </w:rPr>
      </w:pPr>
      <w:r w:rsidRPr="00917ADB">
        <w:rPr>
          <w:color w:val="000000" w:themeColor="text1"/>
          <w:sz w:val="24"/>
          <w:szCs w:val="24"/>
        </w:rPr>
        <w:t xml:space="preserve">Det er rapporteret, at </w:t>
      </w:r>
      <w:proofErr w:type="spellStart"/>
      <w:r w:rsidRPr="00917ADB">
        <w:rPr>
          <w:color w:val="000000" w:themeColor="text1"/>
          <w:sz w:val="24"/>
          <w:szCs w:val="24"/>
        </w:rPr>
        <w:t>benzalkoniumchlorid</w:t>
      </w:r>
      <w:proofErr w:type="spellEnd"/>
      <w:r w:rsidRPr="00917ADB">
        <w:rPr>
          <w:color w:val="000000" w:themeColor="text1"/>
          <w:sz w:val="24"/>
          <w:szCs w:val="24"/>
        </w:rPr>
        <w:t xml:space="preserve"> forårsager øjenirritation, symptomer på tørre øjne og kan påvirke tårefilmen og hornhindens overflade. Det bør anvendes med forsigtighed hos patienter med tørre øjne og hos patienter, hvor hornhinden kan være kompromitteret. Patienter bør overvåges i tilfælde af langvarig brug. </w:t>
      </w:r>
    </w:p>
    <w:p w14:paraId="6010D17C" w14:textId="77777777" w:rsidR="00D50D42" w:rsidRPr="00917ADB" w:rsidRDefault="00D50D42" w:rsidP="00917ADB">
      <w:pPr>
        <w:ind w:left="851"/>
        <w:rPr>
          <w:color w:val="000000" w:themeColor="text1"/>
          <w:sz w:val="24"/>
          <w:szCs w:val="24"/>
        </w:rPr>
      </w:pPr>
      <w:proofErr w:type="spellStart"/>
      <w:r w:rsidRPr="00917ADB">
        <w:rPr>
          <w:color w:val="000000" w:themeColor="text1"/>
          <w:sz w:val="24"/>
          <w:szCs w:val="24"/>
        </w:rPr>
        <w:t>Benzalkoniumchlorid</w:t>
      </w:r>
      <w:proofErr w:type="spellEnd"/>
      <w:r w:rsidRPr="00917ADB">
        <w:rPr>
          <w:color w:val="000000" w:themeColor="text1"/>
          <w:sz w:val="24"/>
          <w:szCs w:val="24"/>
        </w:rPr>
        <w:t xml:space="preserve"> er kendt for at misfarve bløde kontaktlinser. Undgå kontakt med bløde kontaktlinser. Hvis lægen anbefaler brug af kontaktlinser, skal patienterne instrueres i at fjerne kontaktlinserne før påføring af </w:t>
      </w:r>
      <w:proofErr w:type="spellStart"/>
      <w:r w:rsidRPr="00917ADB">
        <w:rPr>
          <w:color w:val="000000" w:themeColor="text1"/>
          <w:sz w:val="24"/>
          <w:szCs w:val="24"/>
        </w:rPr>
        <w:t>Uvesol</w:t>
      </w:r>
      <w:proofErr w:type="spellEnd"/>
      <w:r w:rsidRPr="00917ADB">
        <w:rPr>
          <w:color w:val="000000" w:themeColor="text1"/>
          <w:sz w:val="24"/>
          <w:szCs w:val="24"/>
        </w:rPr>
        <w:t xml:space="preserve"> og vente 15 minutter efter </w:t>
      </w:r>
      <w:proofErr w:type="spellStart"/>
      <w:r w:rsidRPr="00917ADB">
        <w:rPr>
          <w:color w:val="000000" w:themeColor="text1"/>
          <w:sz w:val="24"/>
          <w:szCs w:val="24"/>
        </w:rPr>
        <w:t>inddrypning</w:t>
      </w:r>
      <w:proofErr w:type="spellEnd"/>
      <w:r w:rsidRPr="00917ADB">
        <w:rPr>
          <w:color w:val="000000" w:themeColor="text1"/>
          <w:sz w:val="24"/>
          <w:szCs w:val="24"/>
        </w:rPr>
        <w:t xml:space="preserve"> af dosis, før kontaktlinserne sættes i igen.</w:t>
      </w:r>
    </w:p>
    <w:p w14:paraId="720B82BE" w14:textId="77777777" w:rsidR="009260DE" w:rsidRPr="00917ADB" w:rsidRDefault="009260DE" w:rsidP="009260DE">
      <w:pPr>
        <w:tabs>
          <w:tab w:val="left" w:pos="851"/>
        </w:tabs>
        <w:ind w:left="851"/>
        <w:rPr>
          <w:sz w:val="24"/>
          <w:szCs w:val="24"/>
        </w:rPr>
      </w:pPr>
    </w:p>
    <w:p w14:paraId="3EA39D92" w14:textId="77777777" w:rsidR="009260DE" w:rsidRPr="00917ADB" w:rsidRDefault="009260DE" w:rsidP="009260DE">
      <w:pPr>
        <w:tabs>
          <w:tab w:val="left" w:pos="851"/>
        </w:tabs>
        <w:ind w:left="851" w:hanging="851"/>
        <w:rPr>
          <w:b/>
          <w:sz w:val="24"/>
          <w:szCs w:val="24"/>
        </w:rPr>
      </w:pPr>
      <w:r w:rsidRPr="00917ADB">
        <w:rPr>
          <w:b/>
          <w:sz w:val="24"/>
          <w:szCs w:val="24"/>
        </w:rPr>
        <w:t>4.5</w:t>
      </w:r>
      <w:r w:rsidRPr="00917ADB">
        <w:rPr>
          <w:b/>
          <w:sz w:val="24"/>
          <w:szCs w:val="24"/>
        </w:rPr>
        <w:tab/>
        <w:t>Interaktion med andre lægemidler og andre former for interaktion</w:t>
      </w:r>
    </w:p>
    <w:p w14:paraId="43CD72DB" w14:textId="77777777" w:rsidR="00D50D42" w:rsidRPr="00917ADB" w:rsidRDefault="00D50D42" w:rsidP="00917ADB">
      <w:pPr>
        <w:ind w:left="851"/>
        <w:rPr>
          <w:sz w:val="24"/>
          <w:szCs w:val="24"/>
        </w:rPr>
      </w:pPr>
      <w:r w:rsidRPr="00917ADB">
        <w:rPr>
          <w:sz w:val="24"/>
          <w:szCs w:val="24"/>
        </w:rPr>
        <w:t>Der er ikke udført interaktionsstudier.</w:t>
      </w:r>
    </w:p>
    <w:p w14:paraId="3BBC0CDB" w14:textId="77777777" w:rsidR="00D50D42" w:rsidRPr="00917ADB" w:rsidRDefault="00D50D42" w:rsidP="00917ADB">
      <w:pPr>
        <w:ind w:left="851"/>
        <w:rPr>
          <w:sz w:val="24"/>
          <w:szCs w:val="24"/>
        </w:rPr>
      </w:pPr>
    </w:p>
    <w:p w14:paraId="38460A78" w14:textId="77777777" w:rsidR="00D50D42" w:rsidRPr="00917ADB" w:rsidRDefault="00D50D42" w:rsidP="00917ADB">
      <w:pPr>
        <w:ind w:left="851"/>
        <w:rPr>
          <w:sz w:val="24"/>
          <w:szCs w:val="24"/>
        </w:rPr>
      </w:pPr>
      <w:r w:rsidRPr="00917ADB">
        <w:rPr>
          <w:sz w:val="24"/>
          <w:szCs w:val="24"/>
        </w:rPr>
        <w:t xml:space="preserve">Samtidig brug af topiske </w:t>
      </w:r>
      <w:proofErr w:type="spellStart"/>
      <w:r w:rsidRPr="00917ADB">
        <w:rPr>
          <w:sz w:val="24"/>
          <w:szCs w:val="24"/>
        </w:rPr>
        <w:t>NSAID'er</w:t>
      </w:r>
      <w:proofErr w:type="spellEnd"/>
      <w:r w:rsidRPr="00917ADB">
        <w:rPr>
          <w:sz w:val="24"/>
          <w:szCs w:val="24"/>
        </w:rPr>
        <w:t xml:space="preserve"> og topiske steroider kan øge risikoen for helingsproblemer.</w:t>
      </w:r>
    </w:p>
    <w:p w14:paraId="720C806C" w14:textId="77777777" w:rsidR="00D50D42" w:rsidRPr="00917ADB" w:rsidRDefault="00D50D42" w:rsidP="00917ADB">
      <w:pPr>
        <w:ind w:left="851"/>
        <w:rPr>
          <w:sz w:val="24"/>
          <w:szCs w:val="24"/>
        </w:rPr>
      </w:pPr>
    </w:p>
    <w:p w14:paraId="64A79F7A" w14:textId="77777777" w:rsidR="00D50D42" w:rsidRPr="00917ADB" w:rsidRDefault="00D50D42" w:rsidP="00917ADB">
      <w:pPr>
        <w:ind w:left="851"/>
        <w:rPr>
          <w:sz w:val="24"/>
          <w:szCs w:val="24"/>
        </w:rPr>
      </w:pPr>
      <w:r w:rsidRPr="00917ADB">
        <w:rPr>
          <w:sz w:val="24"/>
          <w:szCs w:val="24"/>
        </w:rPr>
        <w:t xml:space="preserve">Samtidig behandling med CYP3A-hæmmere, herunder lægemidler, der indeholder </w:t>
      </w:r>
      <w:proofErr w:type="spellStart"/>
      <w:r w:rsidRPr="00917ADB">
        <w:rPr>
          <w:sz w:val="24"/>
          <w:szCs w:val="24"/>
        </w:rPr>
        <w:t>cobicistat</w:t>
      </w:r>
      <w:proofErr w:type="spellEnd"/>
      <w:r w:rsidRPr="00917ADB">
        <w:rPr>
          <w:sz w:val="24"/>
          <w:szCs w:val="24"/>
        </w:rPr>
        <w:t xml:space="preserve">, forventes at øge risikoen for systemiske bivirkninger. Denne kombination bør undgås, medmindre fordelene opvejer den øgede risiko for </w:t>
      </w:r>
      <w:proofErr w:type="spellStart"/>
      <w:r w:rsidRPr="00917ADB">
        <w:rPr>
          <w:sz w:val="24"/>
          <w:szCs w:val="24"/>
        </w:rPr>
        <w:t>kortikosteroidrelaterede</w:t>
      </w:r>
      <w:proofErr w:type="spellEnd"/>
      <w:r w:rsidRPr="00917ADB">
        <w:rPr>
          <w:sz w:val="24"/>
          <w:szCs w:val="24"/>
        </w:rPr>
        <w:t xml:space="preserve"> systemiske bivirkninger. I så fald skal patienterne overvåges for systemiske </w:t>
      </w:r>
      <w:proofErr w:type="spellStart"/>
      <w:r w:rsidRPr="00917ADB">
        <w:rPr>
          <w:sz w:val="24"/>
          <w:szCs w:val="24"/>
        </w:rPr>
        <w:t>kortikosteroidreaktioner</w:t>
      </w:r>
      <w:proofErr w:type="spellEnd"/>
      <w:r w:rsidRPr="00917ADB">
        <w:rPr>
          <w:sz w:val="24"/>
          <w:szCs w:val="24"/>
        </w:rPr>
        <w:t>.</w:t>
      </w:r>
    </w:p>
    <w:p w14:paraId="3C7C4CC1" w14:textId="77777777" w:rsidR="009260DE" w:rsidRPr="00917ADB" w:rsidRDefault="009260DE" w:rsidP="009260DE">
      <w:pPr>
        <w:tabs>
          <w:tab w:val="left" w:pos="851"/>
        </w:tabs>
        <w:ind w:left="851"/>
        <w:rPr>
          <w:sz w:val="24"/>
          <w:szCs w:val="24"/>
        </w:rPr>
      </w:pPr>
    </w:p>
    <w:p w14:paraId="079954EB" w14:textId="77777777" w:rsidR="009260DE" w:rsidRPr="00917ADB" w:rsidRDefault="009260DE" w:rsidP="009260DE">
      <w:pPr>
        <w:tabs>
          <w:tab w:val="left" w:pos="851"/>
        </w:tabs>
        <w:ind w:left="851" w:hanging="851"/>
        <w:rPr>
          <w:b/>
          <w:sz w:val="24"/>
          <w:szCs w:val="24"/>
        </w:rPr>
      </w:pPr>
      <w:r w:rsidRPr="00917ADB">
        <w:rPr>
          <w:b/>
          <w:sz w:val="24"/>
          <w:szCs w:val="24"/>
        </w:rPr>
        <w:t>4.6</w:t>
      </w:r>
      <w:r w:rsidRPr="00917ADB">
        <w:rPr>
          <w:b/>
          <w:sz w:val="24"/>
          <w:szCs w:val="24"/>
        </w:rPr>
        <w:tab/>
      </w:r>
      <w:r w:rsidR="0071241E" w:rsidRPr="00917ADB">
        <w:rPr>
          <w:b/>
          <w:sz w:val="24"/>
          <w:szCs w:val="24"/>
        </w:rPr>
        <w:t>Fertilitet, g</w:t>
      </w:r>
      <w:r w:rsidRPr="00917ADB">
        <w:rPr>
          <w:b/>
          <w:sz w:val="24"/>
          <w:szCs w:val="24"/>
        </w:rPr>
        <w:t>raviditet og amning</w:t>
      </w:r>
    </w:p>
    <w:p w14:paraId="38E4A9B5" w14:textId="77777777" w:rsidR="00917ADB" w:rsidRDefault="00917ADB" w:rsidP="00917ADB">
      <w:pPr>
        <w:ind w:left="851"/>
        <w:rPr>
          <w:sz w:val="24"/>
          <w:szCs w:val="24"/>
        </w:rPr>
      </w:pPr>
    </w:p>
    <w:p w14:paraId="05C2D168" w14:textId="6A040FF2" w:rsidR="00D50D42" w:rsidRPr="00917ADB" w:rsidRDefault="00D50D42" w:rsidP="00917ADB">
      <w:pPr>
        <w:ind w:left="851"/>
        <w:rPr>
          <w:noProof/>
          <w:sz w:val="24"/>
          <w:szCs w:val="24"/>
          <w:u w:val="single"/>
        </w:rPr>
      </w:pPr>
      <w:r w:rsidRPr="00917ADB">
        <w:rPr>
          <w:sz w:val="24"/>
          <w:szCs w:val="24"/>
          <w:u w:val="single"/>
        </w:rPr>
        <w:t>Graviditet</w:t>
      </w:r>
    </w:p>
    <w:p w14:paraId="1DE83F40" w14:textId="77777777" w:rsidR="00D50D42" w:rsidRPr="00917ADB" w:rsidRDefault="00D50D42" w:rsidP="00917ADB">
      <w:pPr>
        <w:ind w:left="851"/>
        <w:rPr>
          <w:sz w:val="24"/>
          <w:szCs w:val="24"/>
        </w:rPr>
      </w:pPr>
      <w:r w:rsidRPr="00917ADB">
        <w:rPr>
          <w:sz w:val="24"/>
          <w:szCs w:val="24"/>
        </w:rPr>
        <w:t xml:space="preserve">Der er ingen eller en begrænset mængde data fra brugen af </w:t>
      </w:r>
      <w:proofErr w:type="spellStart"/>
      <w:r w:rsidRPr="00917ADB">
        <w:rPr>
          <w:sz w:val="24"/>
          <w:szCs w:val="24"/>
        </w:rPr>
        <w:t>clobetasolpropionat</w:t>
      </w:r>
      <w:proofErr w:type="spellEnd"/>
      <w:r w:rsidRPr="00917ADB">
        <w:rPr>
          <w:sz w:val="24"/>
          <w:szCs w:val="24"/>
        </w:rPr>
        <w:t xml:space="preserve"> hos gravide kvinder. Tilgængelige observationsforsøg hos gravide kvinder identificerede ikke en lægemiddelassocieret risiko for alvorlige fødselsdefekter, for tidlig fødsel eller fosterdødelighed ved brug af topiske </w:t>
      </w:r>
      <w:proofErr w:type="spellStart"/>
      <w:r w:rsidRPr="00917ADB">
        <w:rPr>
          <w:sz w:val="24"/>
          <w:szCs w:val="24"/>
        </w:rPr>
        <w:t>kortikosteroider</w:t>
      </w:r>
      <w:proofErr w:type="spellEnd"/>
      <w:r w:rsidRPr="00917ADB">
        <w:rPr>
          <w:sz w:val="24"/>
          <w:szCs w:val="24"/>
        </w:rPr>
        <w:t xml:space="preserve"> af nogen styrke. Men når den udleverede mængde af potente eller meget potente topiske </w:t>
      </w:r>
      <w:proofErr w:type="spellStart"/>
      <w:r w:rsidRPr="00917ADB">
        <w:rPr>
          <w:sz w:val="24"/>
          <w:szCs w:val="24"/>
        </w:rPr>
        <w:t>kortikosteroider</w:t>
      </w:r>
      <w:proofErr w:type="spellEnd"/>
      <w:r w:rsidRPr="00917ADB">
        <w:rPr>
          <w:sz w:val="24"/>
          <w:szCs w:val="24"/>
        </w:rPr>
        <w:t xml:space="preserve"> oversteg 300 g under hele graviditeten, var moderens brug forbundet med en øget risiko for lav fødselsvægt hos spædbørn.</w:t>
      </w:r>
    </w:p>
    <w:p w14:paraId="71CF4420" w14:textId="77777777" w:rsidR="00D50D42" w:rsidRPr="00917ADB" w:rsidRDefault="00D50D42" w:rsidP="00917ADB">
      <w:pPr>
        <w:ind w:left="851"/>
        <w:rPr>
          <w:sz w:val="24"/>
          <w:szCs w:val="24"/>
        </w:rPr>
      </w:pPr>
      <w:r w:rsidRPr="00917ADB">
        <w:rPr>
          <w:color w:val="000000" w:themeColor="text1"/>
          <w:sz w:val="24"/>
          <w:szCs w:val="24"/>
        </w:rPr>
        <w:t xml:space="preserve">Dyreforsøg med </w:t>
      </w:r>
      <w:proofErr w:type="spellStart"/>
      <w:r w:rsidRPr="00917ADB">
        <w:rPr>
          <w:color w:val="000000" w:themeColor="text1"/>
          <w:sz w:val="24"/>
          <w:szCs w:val="24"/>
        </w:rPr>
        <w:t>clobetasolpropionat</w:t>
      </w:r>
      <w:proofErr w:type="spellEnd"/>
      <w:r w:rsidRPr="00917ADB">
        <w:rPr>
          <w:color w:val="000000" w:themeColor="text1"/>
          <w:sz w:val="24"/>
          <w:szCs w:val="24"/>
        </w:rPr>
        <w:t xml:space="preserve"> har vist reproduktionstoksicitet efter systemisk administration (se </w:t>
      </w:r>
      <w:r w:rsidRPr="00917ADB">
        <w:rPr>
          <w:sz w:val="24"/>
          <w:szCs w:val="24"/>
        </w:rPr>
        <w:t>punkt 5.3).</w:t>
      </w:r>
    </w:p>
    <w:p w14:paraId="37758393" w14:textId="77777777" w:rsidR="00D50D42" w:rsidRPr="00917ADB" w:rsidRDefault="00D50D42" w:rsidP="00917ADB">
      <w:pPr>
        <w:ind w:left="851"/>
        <w:rPr>
          <w:sz w:val="24"/>
          <w:szCs w:val="24"/>
        </w:rPr>
      </w:pPr>
      <w:bookmarkStart w:id="6" w:name="_Hlk189492839"/>
      <w:proofErr w:type="spellStart"/>
      <w:r w:rsidRPr="00917ADB">
        <w:rPr>
          <w:sz w:val="24"/>
          <w:szCs w:val="24"/>
        </w:rPr>
        <w:t>Uvesol</w:t>
      </w:r>
      <w:proofErr w:type="spellEnd"/>
      <w:r w:rsidRPr="00917ADB">
        <w:rPr>
          <w:sz w:val="24"/>
          <w:szCs w:val="24"/>
        </w:rPr>
        <w:t xml:space="preserve"> anbefales ikke under graviditet eller til kvinder i den fødedygtige alder, der ikke bruger prævention.</w:t>
      </w:r>
    </w:p>
    <w:bookmarkEnd w:id="6"/>
    <w:p w14:paraId="3245734C" w14:textId="77777777" w:rsidR="00D50D42" w:rsidRPr="00917ADB" w:rsidRDefault="00D50D42" w:rsidP="00917ADB">
      <w:pPr>
        <w:ind w:left="851"/>
        <w:rPr>
          <w:noProof/>
          <w:sz w:val="24"/>
          <w:szCs w:val="24"/>
        </w:rPr>
      </w:pPr>
    </w:p>
    <w:p w14:paraId="2D64FCBB" w14:textId="77777777" w:rsidR="00D50D42" w:rsidRPr="00917ADB" w:rsidRDefault="00D50D42" w:rsidP="00917ADB">
      <w:pPr>
        <w:ind w:left="851"/>
        <w:rPr>
          <w:noProof/>
          <w:sz w:val="24"/>
          <w:szCs w:val="24"/>
          <w:u w:val="single"/>
        </w:rPr>
      </w:pPr>
      <w:r w:rsidRPr="00917ADB">
        <w:rPr>
          <w:sz w:val="24"/>
          <w:szCs w:val="24"/>
          <w:u w:val="single"/>
        </w:rPr>
        <w:t>Amning</w:t>
      </w:r>
    </w:p>
    <w:p w14:paraId="16406EC6" w14:textId="77777777" w:rsidR="00D50D42" w:rsidRPr="00917ADB" w:rsidRDefault="00D50D42" w:rsidP="00917ADB">
      <w:pPr>
        <w:ind w:left="851"/>
        <w:rPr>
          <w:sz w:val="24"/>
          <w:szCs w:val="24"/>
        </w:rPr>
      </w:pPr>
      <w:bookmarkStart w:id="7" w:name="_Hlk189492905"/>
      <w:r w:rsidRPr="00917ADB">
        <w:rPr>
          <w:sz w:val="24"/>
          <w:szCs w:val="24"/>
        </w:rPr>
        <w:t xml:space="preserve">Det vides ikke, om </w:t>
      </w:r>
      <w:proofErr w:type="spellStart"/>
      <w:r w:rsidRPr="00917ADB">
        <w:rPr>
          <w:sz w:val="24"/>
          <w:szCs w:val="24"/>
        </w:rPr>
        <w:t>clobetasolpropionat</w:t>
      </w:r>
      <w:proofErr w:type="spellEnd"/>
      <w:r w:rsidRPr="00917ADB">
        <w:rPr>
          <w:sz w:val="24"/>
          <w:szCs w:val="24"/>
        </w:rPr>
        <w:t>/metabolitter udskilles i modermælken.</w:t>
      </w:r>
    </w:p>
    <w:bookmarkEnd w:id="7"/>
    <w:p w14:paraId="40E6576E" w14:textId="77777777" w:rsidR="00D50D42" w:rsidRPr="00917ADB" w:rsidRDefault="00D50D42" w:rsidP="00917ADB">
      <w:pPr>
        <w:ind w:left="851"/>
        <w:rPr>
          <w:sz w:val="24"/>
          <w:szCs w:val="24"/>
        </w:rPr>
      </w:pPr>
      <w:r w:rsidRPr="00917ADB">
        <w:rPr>
          <w:sz w:val="24"/>
          <w:szCs w:val="24"/>
        </w:rPr>
        <w:t xml:space="preserve">Det forventes ikke, at </w:t>
      </w:r>
      <w:proofErr w:type="spellStart"/>
      <w:r w:rsidRPr="00917ADB">
        <w:rPr>
          <w:sz w:val="24"/>
          <w:szCs w:val="24"/>
        </w:rPr>
        <w:t>topikal</w:t>
      </w:r>
      <w:proofErr w:type="spellEnd"/>
      <w:r w:rsidRPr="00917ADB">
        <w:rPr>
          <w:sz w:val="24"/>
          <w:szCs w:val="24"/>
        </w:rPr>
        <w:t xml:space="preserve"> </w:t>
      </w:r>
      <w:proofErr w:type="spellStart"/>
      <w:r w:rsidRPr="00917ADB">
        <w:rPr>
          <w:sz w:val="24"/>
          <w:szCs w:val="24"/>
        </w:rPr>
        <w:t>okulær</w:t>
      </w:r>
      <w:proofErr w:type="spellEnd"/>
      <w:r w:rsidRPr="00917ADB">
        <w:rPr>
          <w:sz w:val="24"/>
          <w:szCs w:val="24"/>
        </w:rPr>
        <w:t xml:space="preserve"> administration af </w:t>
      </w:r>
      <w:proofErr w:type="spellStart"/>
      <w:r w:rsidRPr="00917ADB">
        <w:rPr>
          <w:sz w:val="24"/>
          <w:szCs w:val="24"/>
        </w:rPr>
        <w:t>clobetasolpropionat</w:t>
      </w:r>
      <w:proofErr w:type="spellEnd"/>
      <w:r w:rsidRPr="00917ADB">
        <w:rPr>
          <w:sz w:val="24"/>
          <w:szCs w:val="24"/>
        </w:rPr>
        <w:t xml:space="preserve"> kan resultere i tilstrækkelig systemisk absorption til at producere påviselige mængder i modermælk. </w:t>
      </w:r>
    </w:p>
    <w:p w14:paraId="5FB4E4F6" w14:textId="77777777" w:rsidR="00D50D42" w:rsidRPr="00917ADB" w:rsidRDefault="00D50D42" w:rsidP="00917ADB">
      <w:pPr>
        <w:ind w:left="851"/>
        <w:rPr>
          <w:sz w:val="24"/>
          <w:szCs w:val="24"/>
        </w:rPr>
      </w:pPr>
      <w:bookmarkStart w:id="8" w:name="_Hlk189492919"/>
      <w:r w:rsidRPr="00917ADB">
        <w:rPr>
          <w:sz w:val="24"/>
          <w:szCs w:val="24"/>
        </w:rPr>
        <w:t>Det kan ikke udelukkes, at der er en risiko for nyfødte/spædbørn.</w:t>
      </w:r>
    </w:p>
    <w:p w14:paraId="39C08E94" w14:textId="77777777" w:rsidR="00D50D42" w:rsidRPr="00917ADB" w:rsidRDefault="00D50D42" w:rsidP="00917ADB">
      <w:pPr>
        <w:ind w:left="851"/>
        <w:rPr>
          <w:sz w:val="24"/>
          <w:szCs w:val="24"/>
        </w:rPr>
      </w:pPr>
      <w:bookmarkStart w:id="9" w:name="_Hlk189492866"/>
      <w:bookmarkEnd w:id="8"/>
      <w:r w:rsidRPr="00917ADB">
        <w:rPr>
          <w:sz w:val="24"/>
          <w:szCs w:val="24"/>
        </w:rPr>
        <w:t xml:space="preserve">Der skal tages stilling til, om amningen skal afbrydes, eller om behandlingen med </w:t>
      </w:r>
      <w:proofErr w:type="spellStart"/>
      <w:r w:rsidRPr="00917ADB">
        <w:rPr>
          <w:sz w:val="24"/>
          <w:szCs w:val="24"/>
        </w:rPr>
        <w:t>Uvesol</w:t>
      </w:r>
      <w:proofErr w:type="spellEnd"/>
      <w:r w:rsidRPr="00917ADB">
        <w:rPr>
          <w:sz w:val="24"/>
          <w:szCs w:val="24"/>
        </w:rPr>
        <w:t xml:space="preserve"> skal stoppes/undlades under hensyntagen til risikoen ved amning for barnet og fordelen ved behandling for kvinden.</w:t>
      </w:r>
    </w:p>
    <w:bookmarkEnd w:id="9"/>
    <w:p w14:paraId="2B2A9C1C" w14:textId="77777777" w:rsidR="00D50D42" w:rsidRPr="00917ADB" w:rsidRDefault="00D50D42" w:rsidP="00917ADB">
      <w:pPr>
        <w:ind w:left="851"/>
        <w:rPr>
          <w:noProof/>
          <w:sz w:val="24"/>
          <w:szCs w:val="24"/>
        </w:rPr>
      </w:pPr>
    </w:p>
    <w:p w14:paraId="1CB39792" w14:textId="77777777" w:rsidR="00D50D42" w:rsidRPr="00917ADB" w:rsidRDefault="00D50D42" w:rsidP="00917ADB">
      <w:pPr>
        <w:ind w:left="851"/>
        <w:rPr>
          <w:noProof/>
          <w:sz w:val="24"/>
          <w:szCs w:val="24"/>
          <w:u w:val="single"/>
        </w:rPr>
      </w:pPr>
      <w:r w:rsidRPr="00917ADB">
        <w:rPr>
          <w:sz w:val="24"/>
          <w:szCs w:val="24"/>
          <w:u w:val="single"/>
        </w:rPr>
        <w:t>Fertilitet</w:t>
      </w:r>
    </w:p>
    <w:p w14:paraId="30CA74C3" w14:textId="77777777" w:rsidR="00D50D42" w:rsidRPr="00917ADB" w:rsidRDefault="00D50D42" w:rsidP="00917ADB">
      <w:pPr>
        <w:ind w:left="851"/>
        <w:rPr>
          <w:sz w:val="24"/>
          <w:szCs w:val="24"/>
        </w:rPr>
      </w:pPr>
      <w:r w:rsidRPr="00917ADB">
        <w:rPr>
          <w:sz w:val="24"/>
          <w:szCs w:val="24"/>
        </w:rPr>
        <w:t xml:space="preserve">Der findes ingen kliniske data vedrørende </w:t>
      </w:r>
      <w:proofErr w:type="spellStart"/>
      <w:r w:rsidRPr="00917ADB">
        <w:rPr>
          <w:sz w:val="24"/>
          <w:szCs w:val="24"/>
        </w:rPr>
        <w:t>clobetasolpropionats</w:t>
      </w:r>
      <w:proofErr w:type="spellEnd"/>
      <w:r w:rsidRPr="00917ADB">
        <w:rPr>
          <w:sz w:val="24"/>
          <w:szCs w:val="24"/>
        </w:rPr>
        <w:t xml:space="preserve"> påvirkning af fertiliteten hos mennesker. </w:t>
      </w:r>
    </w:p>
    <w:p w14:paraId="6FC3A079" w14:textId="77777777" w:rsidR="009260DE" w:rsidRPr="00917ADB" w:rsidRDefault="009260DE" w:rsidP="009260DE">
      <w:pPr>
        <w:tabs>
          <w:tab w:val="left" w:pos="851"/>
        </w:tabs>
        <w:ind w:left="851"/>
        <w:rPr>
          <w:sz w:val="24"/>
          <w:szCs w:val="24"/>
        </w:rPr>
      </w:pPr>
    </w:p>
    <w:p w14:paraId="3EF04216" w14:textId="77777777" w:rsidR="009260DE" w:rsidRPr="00917ADB" w:rsidRDefault="009260DE" w:rsidP="009260DE">
      <w:pPr>
        <w:tabs>
          <w:tab w:val="left" w:pos="851"/>
        </w:tabs>
        <w:ind w:left="851" w:hanging="851"/>
        <w:rPr>
          <w:b/>
          <w:sz w:val="24"/>
          <w:szCs w:val="24"/>
        </w:rPr>
      </w:pPr>
      <w:r w:rsidRPr="00917ADB">
        <w:rPr>
          <w:b/>
          <w:sz w:val="24"/>
          <w:szCs w:val="24"/>
        </w:rPr>
        <w:t>4.7</w:t>
      </w:r>
      <w:r w:rsidRPr="00917ADB">
        <w:rPr>
          <w:b/>
          <w:sz w:val="24"/>
          <w:szCs w:val="24"/>
        </w:rPr>
        <w:tab/>
        <w:t xml:space="preserve">Virkning på evnen til at føre motorkøretøj </w:t>
      </w:r>
      <w:r w:rsidR="0071241E" w:rsidRPr="00917ADB">
        <w:rPr>
          <w:b/>
          <w:sz w:val="24"/>
          <w:szCs w:val="24"/>
        </w:rPr>
        <w:t>og</w:t>
      </w:r>
      <w:r w:rsidRPr="00917ADB">
        <w:rPr>
          <w:b/>
          <w:sz w:val="24"/>
          <w:szCs w:val="24"/>
        </w:rPr>
        <w:t xml:space="preserve"> betjene maskiner</w:t>
      </w:r>
    </w:p>
    <w:p w14:paraId="5993E8C7" w14:textId="77777777" w:rsidR="00D50D42" w:rsidRPr="00917ADB" w:rsidRDefault="00D50D42" w:rsidP="00917ADB">
      <w:pPr>
        <w:ind w:left="851"/>
        <w:rPr>
          <w:sz w:val="24"/>
          <w:szCs w:val="24"/>
        </w:rPr>
      </w:pPr>
      <w:r w:rsidRPr="00917ADB">
        <w:rPr>
          <w:sz w:val="24"/>
          <w:szCs w:val="24"/>
        </w:rPr>
        <w:t>Ikke mærkning.</w:t>
      </w:r>
    </w:p>
    <w:p w14:paraId="1A55ED51" w14:textId="77777777" w:rsidR="00D50D42" w:rsidRPr="00917ADB" w:rsidRDefault="00D50D42" w:rsidP="00917ADB">
      <w:pPr>
        <w:ind w:left="851"/>
        <w:rPr>
          <w:i/>
          <w:sz w:val="24"/>
          <w:szCs w:val="24"/>
        </w:rPr>
      </w:pPr>
      <w:r w:rsidRPr="00917ADB">
        <w:rPr>
          <w:sz w:val="24"/>
          <w:szCs w:val="24"/>
        </w:rPr>
        <w:t xml:space="preserve">Som med alle topiske </w:t>
      </w:r>
      <w:proofErr w:type="spellStart"/>
      <w:r w:rsidRPr="00917ADB">
        <w:rPr>
          <w:sz w:val="24"/>
          <w:szCs w:val="24"/>
        </w:rPr>
        <w:t>oftalmiske</w:t>
      </w:r>
      <w:proofErr w:type="spellEnd"/>
      <w:r w:rsidRPr="00917ADB">
        <w:rPr>
          <w:sz w:val="24"/>
          <w:szCs w:val="24"/>
        </w:rPr>
        <w:t xml:space="preserve"> lægemidler kan midlertidigt sløret syn eller andre synsforstyrrelser påvirke evnen til at køre bil eller betjene maskiner. Hvis der opstår sløret syn ved </w:t>
      </w:r>
      <w:proofErr w:type="spellStart"/>
      <w:r w:rsidRPr="00917ADB">
        <w:rPr>
          <w:sz w:val="24"/>
          <w:szCs w:val="24"/>
        </w:rPr>
        <w:t>inddrypning</w:t>
      </w:r>
      <w:proofErr w:type="spellEnd"/>
      <w:r w:rsidRPr="00917ADB">
        <w:rPr>
          <w:sz w:val="24"/>
          <w:szCs w:val="24"/>
        </w:rPr>
        <w:t>, skal patienten vente med at køre bil eller bruge maskiner, indtil synet er normalt.</w:t>
      </w:r>
    </w:p>
    <w:p w14:paraId="5CA719EA" w14:textId="77777777" w:rsidR="009260DE" w:rsidRPr="00917ADB" w:rsidRDefault="009260DE" w:rsidP="009260DE">
      <w:pPr>
        <w:tabs>
          <w:tab w:val="left" w:pos="851"/>
        </w:tabs>
        <w:ind w:left="851"/>
        <w:rPr>
          <w:sz w:val="24"/>
          <w:szCs w:val="24"/>
        </w:rPr>
      </w:pPr>
    </w:p>
    <w:p w14:paraId="119A11FC" w14:textId="77777777" w:rsidR="009260DE" w:rsidRPr="00917ADB" w:rsidRDefault="009260DE" w:rsidP="009260DE">
      <w:pPr>
        <w:tabs>
          <w:tab w:val="left" w:pos="851"/>
        </w:tabs>
        <w:ind w:left="851" w:hanging="851"/>
        <w:rPr>
          <w:b/>
          <w:sz w:val="24"/>
          <w:szCs w:val="24"/>
        </w:rPr>
      </w:pPr>
      <w:r w:rsidRPr="00917ADB">
        <w:rPr>
          <w:b/>
          <w:sz w:val="24"/>
          <w:szCs w:val="24"/>
        </w:rPr>
        <w:t>4.8</w:t>
      </w:r>
      <w:r w:rsidRPr="00917ADB">
        <w:rPr>
          <w:b/>
          <w:sz w:val="24"/>
          <w:szCs w:val="24"/>
        </w:rPr>
        <w:tab/>
        <w:t>Bivirkninger</w:t>
      </w:r>
    </w:p>
    <w:p w14:paraId="5034AA5D" w14:textId="77777777" w:rsidR="00D50D42" w:rsidRPr="00917ADB" w:rsidRDefault="00D50D42" w:rsidP="00917ADB">
      <w:pPr>
        <w:ind w:left="851"/>
        <w:rPr>
          <w:sz w:val="24"/>
          <w:szCs w:val="24"/>
        </w:rPr>
      </w:pPr>
      <w:r w:rsidRPr="00917ADB">
        <w:rPr>
          <w:sz w:val="24"/>
          <w:szCs w:val="24"/>
        </w:rPr>
        <w:t xml:space="preserve">Følgende bivirkninger blev rapporteret i forbindelse med kliniske forsøg med </w:t>
      </w:r>
      <w:proofErr w:type="spellStart"/>
      <w:r w:rsidRPr="00917ADB">
        <w:rPr>
          <w:sz w:val="24"/>
          <w:szCs w:val="24"/>
        </w:rPr>
        <w:t>clobetasolpropionat</w:t>
      </w:r>
      <w:proofErr w:type="spellEnd"/>
      <w:r w:rsidRPr="00917ADB">
        <w:rPr>
          <w:sz w:val="24"/>
          <w:szCs w:val="24"/>
        </w:rPr>
        <w:t>. De fleste af dem var milde.</w:t>
      </w:r>
    </w:p>
    <w:p w14:paraId="0F787FDD" w14:textId="77777777" w:rsidR="00D50D42" w:rsidRPr="00917ADB" w:rsidRDefault="00D50D42" w:rsidP="00917ADB">
      <w:pPr>
        <w:ind w:left="851"/>
        <w:rPr>
          <w:sz w:val="24"/>
          <w:szCs w:val="24"/>
        </w:rPr>
      </w:pPr>
    </w:p>
    <w:p w14:paraId="1CCDFF1A" w14:textId="77777777" w:rsidR="00D50D42" w:rsidRPr="00917ADB" w:rsidRDefault="00D50D42" w:rsidP="00917ADB">
      <w:pPr>
        <w:ind w:left="851"/>
        <w:rPr>
          <w:sz w:val="24"/>
          <w:szCs w:val="24"/>
        </w:rPr>
      </w:pPr>
      <w:r w:rsidRPr="00917ADB">
        <w:rPr>
          <w:sz w:val="24"/>
          <w:szCs w:val="24"/>
        </w:rPr>
        <w:t>Meget almindelige (≥1/10); almindelige (≥1/100 til &lt;1/10); ikke almindelige (≥1/1.000 til &lt;1/100); sjældne (≥1/10.000 til &lt;1/1.000); meget sjældne (&lt;1/10.000) og ikke kendte (kan ikke estimeres ud fra forhåndenværende data) bivirkninger er vist i henhold til systemorganklasse i nedenstående tabel. Inden for hver frekvensgruppering vises bivirkningerne i rækkefølge efter faldende alvorlighed.</w:t>
      </w:r>
    </w:p>
    <w:p w14:paraId="5FAFC5E4" w14:textId="77777777" w:rsidR="00D50D42" w:rsidRPr="00917ADB" w:rsidRDefault="00D50D42" w:rsidP="00917ADB">
      <w:pPr>
        <w:ind w:left="851"/>
        <w:rPr>
          <w:sz w:val="24"/>
          <w:szCs w:val="24"/>
        </w:rPr>
      </w:pPr>
    </w:p>
    <w:tbl>
      <w:tblPr>
        <w:tblStyle w:val="Tabel-Gitter"/>
        <w:tblW w:w="8788" w:type="dxa"/>
        <w:tblInd w:w="846" w:type="dxa"/>
        <w:tblLook w:val="04A0" w:firstRow="1" w:lastRow="0" w:firstColumn="1" w:lastColumn="0" w:noHBand="0" w:noVBand="1"/>
      </w:tblPr>
      <w:tblGrid>
        <w:gridCol w:w="2410"/>
        <w:gridCol w:w="2126"/>
        <w:gridCol w:w="4252"/>
      </w:tblGrid>
      <w:tr w:rsidR="00D50D42" w:rsidRPr="00917ADB" w14:paraId="394FD47A" w14:textId="77777777" w:rsidTr="00917ADB">
        <w:tc>
          <w:tcPr>
            <w:tcW w:w="2410" w:type="dxa"/>
            <w:tcBorders>
              <w:top w:val="single" w:sz="4" w:space="0" w:color="auto"/>
              <w:left w:val="single" w:sz="4" w:space="0" w:color="auto"/>
              <w:bottom w:val="single" w:sz="4" w:space="0" w:color="auto"/>
              <w:right w:val="single" w:sz="4" w:space="0" w:color="auto"/>
            </w:tcBorders>
            <w:hideMark/>
          </w:tcPr>
          <w:p w14:paraId="75479763" w14:textId="77777777" w:rsidR="00D50D42" w:rsidRPr="00917ADB" w:rsidRDefault="00D50D42">
            <w:pPr>
              <w:widowControl w:val="0"/>
              <w:tabs>
                <w:tab w:val="left" w:pos="1304"/>
              </w:tabs>
              <w:autoSpaceDE w:val="0"/>
              <w:autoSpaceDN w:val="0"/>
              <w:spacing w:before="40" w:after="40"/>
              <w:rPr>
                <w:sz w:val="24"/>
                <w:szCs w:val="24"/>
              </w:rPr>
            </w:pPr>
            <w:r w:rsidRPr="00917ADB">
              <w:rPr>
                <w:b/>
                <w:sz w:val="24"/>
                <w:szCs w:val="24"/>
              </w:rPr>
              <w:t>Systemorganklasse</w:t>
            </w:r>
          </w:p>
        </w:tc>
        <w:tc>
          <w:tcPr>
            <w:tcW w:w="2126" w:type="dxa"/>
            <w:tcBorders>
              <w:top w:val="single" w:sz="4" w:space="0" w:color="auto"/>
              <w:left w:val="single" w:sz="4" w:space="0" w:color="auto"/>
              <w:bottom w:val="single" w:sz="4" w:space="0" w:color="auto"/>
              <w:right w:val="single" w:sz="4" w:space="0" w:color="auto"/>
            </w:tcBorders>
            <w:hideMark/>
          </w:tcPr>
          <w:p w14:paraId="5687AFD1" w14:textId="77777777" w:rsidR="00D50D42" w:rsidRPr="00917ADB" w:rsidRDefault="00D50D42">
            <w:pPr>
              <w:widowControl w:val="0"/>
              <w:tabs>
                <w:tab w:val="left" w:pos="1304"/>
              </w:tabs>
              <w:autoSpaceDE w:val="0"/>
              <w:autoSpaceDN w:val="0"/>
              <w:spacing w:before="40" w:after="40"/>
              <w:rPr>
                <w:sz w:val="24"/>
                <w:szCs w:val="24"/>
              </w:rPr>
            </w:pPr>
            <w:r w:rsidRPr="00917ADB">
              <w:rPr>
                <w:b/>
                <w:sz w:val="24"/>
                <w:szCs w:val="24"/>
              </w:rPr>
              <w:t>Hyppighed</w:t>
            </w:r>
          </w:p>
        </w:tc>
        <w:tc>
          <w:tcPr>
            <w:tcW w:w="4252" w:type="dxa"/>
            <w:tcBorders>
              <w:top w:val="single" w:sz="4" w:space="0" w:color="auto"/>
              <w:left w:val="single" w:sz="4" w:space="0" w:color="auto"/>
              <w:bottom w:val="single" w:sz="4" w:space="0" w:color="auto"/>
              <w:right w:val="single" w:sz="4" w:space="0" w:color="auto"/>
            </w:tcBorders>
            <w:hideMark/>
          </w:tcPr>
          <w:p w14:paraId="2E70D2B2" w14:textId="77777777" w:rsidR="00D50D42" w:rsidRPr="00917ADB" w:rsidRDefault="00D50D42">
            <w:pPr>
              <w:widowControl w:val="0"/>
              <w:tabs>
                <w:tab w:val="left" w:pos="1304"/>
              </w:tabs>
              <w:autoSpaceDE w:val="0"/>
              <w:autoSpaceDN w:val="0"/>
              <w:spacing w:before="40" w:after="40"/>
              <w:rPr>
                <w:sz w:val="24"/>
                <w:szCs w:val="24"/>
              </w:rPr>
            </w:pPr>
            <w:r w:rsidRPr="00917ADB">
              <w:rPr>
                <w:b/>
                <w:sz w:val="24"/>
                <w:szCs w:val="24"/>
              </w:rPr>
              <w:t>Bivirkning</w:t>
            </w:r>
          </w:p>
        </w:tc>
      </w:tr>
      <w:tr w:rsidR="00D50D42" w:rsidRPr="00917ADB" w14:paraId="4F4E0592" w14:textId="77777777" w:rsidTr="00917ADB">
        <w:tc>
          <w:tcPr>
            <w:tcW w:w="2410" w:type="dxa"/>
            <w:tcBorders>
              <w:top w:val="single" w:sz="4" w:space="0" w:color="auto"/>
              <w:left w:val="single" w:sz="4" w:space="0" w:color="auto"/>
              <w:bottom w:val="single" w:sz="4" w:space="0" w:color="auto"/>
              <w:right w:val="single" w:sz="4" w:space="0" w:color="auto"/>
            </w:tcBorders>
            <w:hideMark/>
          </w:tcPr>
          <w:p w14:paraId="46970FAE" w14:textId="77777777" w:rsidR="00D50D42" w:rsidRPr="00917ADB" w:rsidRDefault="00D50D42">
            <w:pPr>
              <w:widowControl w:val="0"/>
              <w:tabs>
                <w:tab w:val="left" w:pos="1304"/>
              </w:tabs>
              <w:autoSpaceDE w:val="0"/>
              <w:autoSpaceDN w:val="0"/>
              <w:spacing w:before="40" w:after="40"/>
              <w:rPr>
                <w:sz w:val="24"/>
                <w:szCs w:val="24"/>
              </w:rPr>
            </w:pPr>
            <w:r w:rsidRPr="00917ADB">
              <w:rPr>
                <w:i/>
                <w:sz w:val="24"/>
                <w:szCs w:val="24"/>
              </w:rPr>
              <w:t>Øjne</w:t>
            </w:r>
          </w:p>
        </w:tc>
        <w:tc>
          <w:tcPr>
            <w:tcW w:w="2126" w:type="dxa"/>
            <w:tcBorders>
              <w:top w:val="single" w:sz="4" w:space="0" w:color="auto"/>
              <w:left w:val="single" w:sz="4" w:space="0" w:color="auto"/>
              <w:bottom w:val="single" w:sz="4" w:space="0" w:color="auto"/>
              <w:right w:val="single" w:sz="4" w:space="0" w:color="auto"/>
            </w:tcBorders>
            <w:hideMark/>
          </w:tcPr>
          <w:p w14:paraId="2C416B5E" w14:textId="77777777" w:rsidR="00D50D42" w:rsidRPr="00917ADB" w:rsidRDefault="00D50D42">
            <w:pPr>
              <w:widowControl w:val="0"/>
              <w:tabs>
                <w:tab w:val="left" w:pos="1304"/>
              </w:tabs>
              <w:autoSpaceDE w:val="0"/>
              <w:autoSpaceDN w:val="0"/>
              <w:spacing w:before="40" w:after="40"/>
              <w:rPr>
                <w:sz w:val="24"/>
                <w:szCs w:val="24"/>
              </w:rPr>
            </w:pPr>
            <w:r w:rsidRPr="00917ADB">
              <w:rPr>
                <w:sz w:val="24"/>
                <w:szCs w:val="24"/>
              </w:rPr>
              <w:t>Ikke almindelig</w:t>
            </w:r>
          </w:p>
        </w:tc>
        <w:tc>
          <w:tcPr>
            <w:tcW w:w="4252" w:type="dxa"/>
            <w:tcBorders>
              <w:top w:val="single" w:sz="4" w:space="0" w:color="auto"/>
              <w:left w:val="single" w:sz="4" w:space="0" w:color="auto"/>
              <w:bottom w:val="single" w:sz="4" w:space="0" w:color="auto"/>
              <w:right w:val="single" w:sz="4" w:space="0" w:color="auto"/>
            </w:tcBorders>
            <w:hideMark/>
          </w:tcPr>
          <w:p w14:paraId="64C0B0DD" w14:textId="77777777" w:rsidR="00D50D42" w:rsidRPr="00917ADB" w:rsidRDefault="00D50D42">
            <w:pPr>
              <w:widowControl w:val="0"/>
              <w:tabs>
                <w:tab w:val="left" w:pos="1304"/>
              </w:tabs>
              <w:autoSpaceDE w:val="0"/>
              <w:autoSpaceDN w:val="0"/>
              <w:spacing w:before="40" w:after="40"/>
              <w:rPr>
                <w:sz w:val="24"/>
                <w:szCs w:val="24"/>
              </w:rPr>
            </w:pPr>
            <w:proofErr w:type="spellStart"/>
            <w:r w:rsidRPr="00917ADB">
              <w:rPr>
                <w:sz w:val="24"/>
                <w:szCs w:val="24"/>
              </w:rPr>
              <w:t>Cystoidt</w:t>
            </w:r>
            <w:proofErr w:type="spellEnd"/>
            <w:r w:rsidRPr="00917ADB">
              <w:rPr>
                <w:sz w:val="24"/>
                <w:szCs w:val="24"/>
              </w:rPr>
              <w:t xml:space="preserve"> </w:t>
            </w:r>
            <w:proofErr w:type="spellStart"/>
            <w:r w:rsidRPr="00917ADB">
              <w:rPr>
                <w:sz w:val="24"/>
                <w:szCs w:val="24"/>
              </w:rPr>
              <w:t>makulaødem</w:t>
            </w:r>
            <w:proofErr w:type="spellEnd"/>
            <w:r w:rsidRPr="00917ADB">
              <w:rPr>
                <w:sz w:val="24"/>
                <w:szCs w:val="24"/>
              </w:rPr>
              <w:t xml:space="preserve">, hornhindeødem, øjenbetændelse, øjenirritation, smerter i øjet, </w:t>
            </w:r>
            <w:proofErr w:type="spellStart"/>
            <w:r w:rsidRPr="00917ADB">
              <w:rPr>
                <w:sz w:val="24"/>
                <w:szCs w:val="24"/>
              </w:rPr>
              <w:t>glaukom</w:t>
            </w:r>
            <w:proofErr w:type="spellEnd"/>
            <w:r w:rsidRPr="00917ADB">
              <w:rPr>
                <w:sz w:val="24"/>
                <w:szCs w:val="24"/>
              </w:rPr>
              <w:t xml:space="preserve">, </w:t>
            </w:r>
            <w:proofErr w:type="spellStart"/>
            <w:r w:rsidRPr="00917ADB">
              <w:rPr>
                <w:sz w:val="24"/>
                <w:szCs w:val="24"/>
              </w:rPr>
              <w:t>okulær</w:t>
            </w:r>
            <w:proofErr w:type="spellEnd"/>
            <w:r w:rsidRPr="00917ADB">
              <w:rPr>
                <w:sz w:val="24"/>
                <w:szCs w:val="24"/>
              </w:rPr>
              <w:t xml:space="preserve"> </w:t>
            </w:r>
            <w:proofErr w:type="spellStart"/>
            <w:r w:rsidRPr="00917ADB">
              <w:rPr>
                <w:sz w:val="24"/>
                <w:szCs w:val="24"/>
              </w:rPr>
              <w:t>hyperæmi</w:t>
            </w:r>
            <w:proofErr w:type="spellEnd"/>
            <w:r w:rsidRPr="00917ADB">
              <w:rPr>
                <w:sz w:val="24"/>
                <w:szCs w:val="24"/>
              </w:rPr>
              <w:t xml:space="preserve">, </w:t>
            </w:r>
            <w:proofErr w:type="spellStart"/>
            <w:r w:rsidRPr="00917ADB">
              <w:rPr>
                <w:sz w:val="24"/>
                <w:szCs w:val="24"/>
              </w:rPr>
              <w:t>iridocyklit</w:t>
            </w:r>
            <w:proofErr w:type="spellEnd"/>
            <w:r w:rsidRPr="00917ADB">
              <w:rPr>
                <w:sz w:val="24"/>
                <w:szCs w:val="24"/>
              </w:rPr>
              <w:t>, øget tåreflod, fotofobi, sløret syn.</w:t>
            </w:r>
          </w:p>
        </w:tc>
      </w:tr>
      <w:tr w:rsidR="00D50D42" w:rsidRPr="00917ADB" w14:paraId="78441094" w14:textId="77777777" w:rsidTr="00917ADB">
        <w:tc>
          <w:tcPr>
            <w:tcW w:w="2410" w:type="dxa"/>
            <w:tcBorders>
              <w:top w:val="single" w:sz="4" w:space="0" w:color="auto"/>
              <w:left w:val="single" w:sz="4" w:space="0" w:color="auto"/>
              <w:bottom w:val="single" w:sz="4" w:space="0" w:color="auto"/>
              <w:right w:val="single" w:sz="4" w:space="0" w:color="auto"/>
            </w:tcBorders>
            <w:hideMark/>
          </w:tcPr>
          <w:p w14:paraId="7F389278" w14:textId="77777777" w:rsidR="00D50D42" w:rsidRPr="00917ADB" w:rsidRDefault="00D50D42">
            <w:pPr>
              <w:widowControl w:val="0"/>
              <w:tabs>
                <w:tab w:val="left" w:pos="1304"/>
              </w:tabs>
              <w:autoSpaceDE w:val="0"/>
              <w:autoSpaceDN w:val="0"/>
              <w:spacing w:before="40" w:after="40"/>
              <w:rPr>
                <w:i/>
                <w:sz w:val="24"/>
                <w:szCs w:val="24"/>
              </w:rPr>
            </w:pPr>
            <w:r w:rsidRPr="00917ADB">
              <w:rPr>
                <w:i/>
                <w:sz w:val="24"/>
                <w:szCs w:val="24"/>
              </w:rPr>
              <w:t>Undersøgelser</w:t>
            </w:r>
          </w:p>
        </w:tc>
        <w:tc>
          <w:tcPr>
            <w:tcW w:w="2126" w:type="dxa"/>
            <w:tcBorders>
              <w:top w:val="single" w:sz="4" w:space="0" w:color="auto"/>
              <w:left w:val="single" w:sz="4" w:space="0" w:color="auto"/>
              <w:bottom w:val="single" w:sz="4" w:space="0" w:color="auto"/>
              <w:right w:val="single" w:sz="4" w:space="0" w:color="auto"/>
            </w:tcBorders>
            <w:hideMark/>
          </w:tcPr>
          <w:p w14:paraId="3857FD08" w14:textId="77777777" w:rsidR="00D50D42" w:rsidRPr="00917ADB" w:rsidRDefault="00D50D42">
            <w:pPr>
              <w:widowControl w:val="0"/>
              <w:tabs>
                <w:tab w:val="left" w:pos="1304"/>
              </w:tabs>
              <w:autoSpaceDE w:val="0"/>
              <w:autoSpaceDN w:val="0"/>
              <w:spacing w:before="40" w:after="40"/>
              <w:rPr>
                <w:sz w:val="24"/>
                <w:szCs w:val="24"/>
              </w:rPr>
            </w:pPr>
            <w:r w:rsidRPr="00917ADB">
              <w:rPr>
                <w:sz w:val="24"/>
                <w:szCs w:val="24"/>
              </w:rPr>
              <w:t>Ikke almindelig</w:t>
            </w:r>
          </w:p>
        </w:tc>
        <w:tc>
          <w:tcPr>
            <w:tcW w:w="4252" w:type="dxa"/>
            <w:tcBorders>
              <w:top w:val="single" w:sz="4" w:space="0" w:color="auto"/>
              <w:left w:val="single" w:sz="4" w:space="0" w:color="auto"/>
              <w:bottom w:val="single" w:sz="4" w:space="0" w:color="auto"/>
              <w:right w:val="single" w:sz="4" w:space="0" w:color="auto"/>
            </w:tcBorders>
            <w:hideMark/>
          </w:tcPr>
          <w:p w14:paraId="2292E410" w14:textId="77777777" w:rsidR="00D50D42" w:rsidRPr="00917ADB" w:rsidRDefault="00D50D42">
            <w:pPr>
              <w:widowControl w:val="0"/>
              <w:tabs>
                <w:tab w:val="left" w:pos="1304"/>
              </w:tabs>
              <w:autoSpaceDE w:val="0"/>
              <w:autoSpaceDN w:val="0"/>
              <w:spacing w:before="40" w:after="40"/>
              <w:rPr>
                <w:sz w:val="24"/>
                <w:szCs w:val="24"/>
              </w:rPr>
            </w:pPr>
            <w:r w:rsidRPr="00917ADB">
              <w:rPr>
                <w:sz w:val="24"/>
                <w:szCs w:val="24"/>
              </w:rPr>
              <w:t xml:space="preserve">Forhøjet </w:t>
            </w:r>
            <w:proofErr w:type="spellStart"/>
            <w:r w:rsidRPr="00917ADB">
              <w:rPr>
                <w:sz w:val="24"/>
                <w:szCs w:val="24"/>
              </w:rPr>
              <w:t>intraokulært</w:t>
            </w:r>
            <w:proofErr w:type="spellEnd"/>
            <w:r w:rsidRPr="00917ADB">
              <w:rPr>
                <w:sz w:val="24"/>
                <w:szCs w:val="24"/>
              </w:rPr>
              <w:t xml:space="preserve"> tryk.</w:t>
            </w:r>
          </w:p>
        </w:tc>
      </w:tr>
    </w:tbl>
    <w:p w14:paraId="5E4B1D6B" w14:textId="77777777" w:rsidR="00D50D42" w:rsidRPr="00917ADB" w:rsidRDefault="00D50D42" w:rsidP="00917ADB">
      <w:pPr>
        <w:ind w:left="851"/>
        <w:rPr>
          <w:sz w:val="24"/>
          <w:szCs w:val="24"/>
        </w:rPr>
      </w:pPr>
    </w:p>
    <w:p w14:paraId="02B476CE" w14:textId="77777777" w:rsidR="00D50D42" w:rsidRPr="00917ADB" w:rsidRDefault="00D50D42" w:rsidP="00917ADB">
      <w:pPr>
        <w:ind w:left="851"/>
        <w:rPr>
          <w:sz w:val="24"/>
          <w:szCs w:val="24"/>
          <w:u w:val="single"/>
        </w:rPr>
      </w:pPr>
      <w:r w:rsidRPr="00917ADB">
        <w:rPr>
          <w:sz w:val="24"/>
          <w:szCs w:val="24"/>
          <w:u w:val="single"/>
        </w:rPr>
        <w:t>Indberetning af formodede bivirkninger</w:t>
      </w:r>
    </w:p>
    <w:p w14:paraId="603E63A6" w14:textId="77777777" w:rsidR="00D50D42" w:rsidRPr="00917ADB" w:rsidRDefault="00D50D42" w:rsidP="00917ADB">
      <w:pPr>
        <w:ind w:left="851"/>
        <w:rPr>
          <w:sz w:val="24"/>
          <w:szCs w:val="24"/>
        </w:rPr>
      </w:pPr>
      <w:r w:rsidRPr="00917ADB">
        <w:rPr>
          <w:sz w:val="24"/>
          <w:szCs w:val="24"/>
        </w:rPr>
        <w:t>Når lægemidlet er godkendt, er indberetning af formodede bivirkninger vigtig. Det muliggør løbende overvågning af benefit/</w:t>
      </w:r>
      <w:proofErr w:type="spellStart"/>
      <w:r w:rsidRPr="00917ADB">
        <w:rPr>
          <w:sz w:val="24"/>
          <w:szCs w:val="24"/>
        </w:rPr>
        <w:t>risk</w:t>
      </w:r>
      <w:proofErr w:type="spellEnd"/>
      <w:r w:rsidRPr="00917ADB">
        <w:rPr>
          <w:sz w:val="24"/>
          <w:szCs w:val="24"/>
        </w:rPr>
        <w:t>-forholdet for lægemidlet. Sundhedspersoner anmodes om at indberette alle formodede bivirkninger via:</w:t>
      </w:r>
    </w:p>
    <w:p w14:paraId="5481B498" w14:textId="77777777" w:rsidR="00D50D42" w:rsidRPr="00917ADB" w:rsidRDefault="00D50D42" w:rsidP="00917ADB">
      <w:pPr>
        <w:ind w:left="851"/>
        <w:rPr>
          <w:noProof/>
          <w:sz w:val="24"/>
          <w:szCs w:val="24"/>
        </w:rPr>
      </w:pPr>
    </w:p>
    <w:p w14:paraId="0EF9FB2C" w14:textId="77777777" w:rsidR="00D50D42" w:rsidRPr="00917ADB" w:rsidRDefault="00D50D42" w:rsidP="00917ADB">
      <w:pPr>
        <w:ind w:left="851"/>
        <w:rPr>
          <w:sz w:val="24"/>
          <w:szCs w:val="24"/>
        </w:rPr>
      </w:pPr>
      <w:r w:rsidRPr="00917ADB">
        <w:rPr>
          <w:sz w:val="24"/>
          <w:szCs w:val="24"/>
        </w:rPr>
        <w:t>Lægemiddelstyrelsen</w:t>
      </w:r>
    </w:p>
    <w:p w14:paraId="27257332" w14:textId="77777777" w:rsidR="00D50D42" w:rsidRPr="00917ADB" w:rsidRDefault="00D50D42" w:rsidP="00917ADB">
      <w:pPr>
        <w:ind w:left="851"/>
        <w:rPr>
          <w:sz w:val="24"/>
          <w:szCs w:val="24"/>
        </w:rPr>
      </w:pPr>
      <w:r w:rsidRPr="00917ADB">
        <w:rPr>
          <w:sz w:val="24"/>
          <w:szCs w:val="24"/>
        </w:rPr>
        <w:t>Axel Heides Gade 1</w:t>
      </w:r>
    </w:p>
    <w:p w14:paraId="62C0FF15" w14:textId="77777777" w:rsidR="00D50D42" w:rsidRPr="00917ADB" w:rsidRDefault="00D50D42" w:rsidP="00917ADB">
      <w:pPr>
        <w:ind w:left="851"/>
        <w:rPr>
          <w:sz w:val="24"/>
          <w:szCs w:val="24"/>
        </w:rPr>
      </w:pPr>
      <w:r w:rsidRPr="00917ADB">
        <w:rPr>
          <w:sz w:val="24"/>
          <w:szCs w:val="24"/>
        </w:rPr>
        <w:t>DK-2300 København S</w:t>
      </w:r>
    </w:p>
    <w:p w14:paraId="2106B221" w14:textId="77777777" w:rsidR="00D50D42" w:rsidRPr="00917ADB" w:rsidRDefault="00D50D42" w:rsidP="00917ADB">
      <w:pPr>
        <w:ind w:left="851"/>
        <w:rPr>
          <w:noProof/>
          <w:sz w:val="24"/>
          <w:szCs w:val="24"/>
        </w:rPr>
      </w:pPr>
      <w:r w:rsidRPr="00917ADB">
        <w:rPr>
          <w:sz w:val="24"/>
          <w:szCs w:val="24"/>
        </w:rPr>
        <w:t xml:space="preserve">Websted: </w:t>
      </w:r>
      <w:hyperlink r:id="rId9" w:history="1">
        <w:r w:rsidRPr="00917ADB">
          <w:rPr>
            <w:rStyle w:val="Hyperlink"/>
            <w:sz w:val="24"/>
            <w:szCs w:val="24"/>
          </w:rPr>
          <w:t>www.meldenbivirkning.dk</w:t>
        </w:r>
      </w:hyperlink>
    </w:p>
    <w:p w14:paraId="3818BCCB" w14:textId="77777777" w:rsidR="009260DE" w:rsidRPr="00917ADB" w:rsidRDefault="009260DE" w:rsidP="00917ADB">
      <w:pPr>
        <w:ind w:left="851"/>
        <w:rPr>
          <w:sz w:val="24"/>
          <w:szCs w:val="24"/>
        </w:rPr>
      </w:pPr>
    </w:p>
    <w:p w14:paraId="280F93E9" w14:textId="77777777" w:rsidR="009260DE" w:rsidRPr="00917ADB" w:rsidRDefault="009260DE" w:rsidP="009260DE">
      <w:pPr>
        <w:tabs>
          <w:tab w:val="left" w:pos="851"/>
        </w:tabs>
        <w:ind w:left="851" w:hanging="851"/>
        <w:rPr>
          <w:b/>
          <w:sz w:val="24"/>
          <w:szCs w:val="24"/>
        </w:rPr>
      </w:pPr>
      <w:r w:rsidRPr="00917ADB">
        <w:rPr>
          <w:b/>
          <w:sz w:val="24"/>
          <w:szCs w:val="24"/>
        </w:rPr>
        <w:t>4.9</w:t>
      </w:r>
      <w:r w:rsidRPr="00917ADB">
        <w:rPr>
          <w:b/>
          <w:sz w:val="24"/>
          <w:szCs w:val="24"/>
        </w:rPr>
        <w:tab/>
        <w:t>Overdosering</w:t>
      </w:r>
    </w:p>
    <w:p w14:paraId="0E4C19D3" w14:textId="77777777" w:rsidR="00D50D42" w:rsidRPr="00917ADB" w:rsidRDefault="00D50D42" w:rsidP="00917ADB">
      <w:pPr>
        <w:ind w:left="851"/>
        <w:rPr>
          <w:sz w:val="24"/>
          <w:szCs w:val="24"/>
        </w:rPr>
      </w:pPr>
      <w:r w:rsidRPr="00917ADB">
        <w:rPr>
          <w:sz w:val="24"/>
          <w:szCs w:val="24"/>
        </w:rPr>
        <w:t xml:space="preserve">Der er ikke rapporteret om tilfælde af overdosering. </w:t>
      </w:r>
    </w:p>
    <w:p w14:paraId="18877CDC" w14:textId="77777777" w:rsidR="00D50D42" w:rsidRPr="00917ADB" w:rsidRDefault="00D50D42" w:rsidP="00917ADB">
      <w:pPr>
        <w:ind w:left="851"/>
        <w:rPr>
          <w:sz w:val="24"/>
          <w:szCs w:val="24"/>
        </w:rPr>
      </w:pPr>
      <w:r w:rsidRPr="00917ADB">
        <w:rPr>
          <w:sz w:val="24"/>
          <w:szCs w:val="24"/>
        </w:rPr>
        <w:t xml:space="preserve">Akut overdosering ved </w:t>
      </w:r>
      <w:proofErr w:type="spellStart"/>
      <w:r w:rsidRPr="00917ADB">
        <w:rPr>
          <w:sz w:val="24"/>
          <w:szCs w:val="24"/>
        </w:rPr>
        <w:t>okulær</w:t>
      </w:r>
      <w:proofErr w:type="spellEnd"/>
      <w:r w:rsidRPr="00917ADB">
        <w:rPr>
          <w:sz w:val="24"/>
          <w:szCs w:val="24"/>
        </w:rPr>
        <w:t xml:space="preserve"> anvendelse af </w:t>
      </w:r>
      <w:proofErr w:type="spellStart"/>
      <w:r w:rsidRPr="00917ADB">
        <w:rPr>
          <w:sz w:val="24"/>
          <w:szCs w:val="24"/>
        </w:rPr>
        <w:t>Uvesol</w:t>
      </w:r>
      <w:proofErr w:type="spellEnd"/>
      <w:r w:rsidRPr="00917ADB">
        <w:rPr>
          <w:sz w:val="24"/>
          <w:szCs w:val="24"/>
        </w:rPr>
        <w:t xml:space="preserve"> er usandsynlig på grund af enhedsdosens lille størrelse.</w:t>
      </w:r>
    </w:p>
    <w:p w14:paraId="2FFA6C42" w14:textId="77777777" w:rsidR="009260DE" w:rsidRPr="00917ADB" w:rsidRDefault="009260DE" w:rsidP="009260DE">
      <w:pPr>
        <w:tabs>
          <w:tab w:val="left" w:pos="851"/>
        </w:tabs>
        <w:ind w:left="851"/>
        <w:rPr>
          <w:sz w:val="24"/>
          <w:szCs w:val="24"/>
        </w:rPr>
      </w:pPr>
    </w:p>
    <w:p w14:paraId="3517F9D1" w14:textId="77777777" w:rsidR="009260DE" w:rsidRPr="00917ADB" w:rsidRDefault="009260DE" w:rsidP="009260DE">
      <w:pPr>
        <w:tabs>
          <w:tab w:val="left" w:pos="851"/>
        </w:tabs>
        <w:ind w:left="851" w:hanging="851"/>
        <w:rPr>
          <w:b/>
          <w:sz w:val="24"/>
          <w:szCs w:val="24"/>
        </w:rPr>
      </w:pPr>
      <w:r w:rsidRPr="00917ADB">
        <w:rPr>
          <w:b/>
          <w:sz w:val="24"/>
          <w:szCs w:val="24"/>
        </w:rPr>
        <w:t>4.10</w:t>
      </w:r>
      <w:r w:rsidRPr="00917ADB">
        <w:rPr>
          <w:b/>
          <w:sz w:val="24"/>
          <w:szCs w:val="24"/>
        </w:rPr>
        <w:tab/>
        <w:t>Udlevering</w:t>
      </w:r>
    </w:p>
    <w:p w14:paraId="73D79898" w14:textId="57C32939" w:rsidR="009260DE" w:rsidRPr="00917ADB" w:rsidRDefault="00917ADB" w:rsidP="009260DE">
      <w:pPr>
        <w:tabs>
          <w:tab w:val="left" w:pos="851"/>
        </w:tabs>
        <w:ind w:left="851"/>
        <w:rPr>
          <w:sz w:val="24"/>
          <w:szCs w:val="24"/>
        </w:rPr>
      </w:pPr>
      <w:r w:rsidRPr="00917ADB">
        <w:rPr>
          <w:sz w:val="24"/>
          <w:szCs w:val="24"/>
        </w:rPr>
        <w:t>A</w:t>
      </w:r>
    </w:p>
    <w:p w14:paraId="3105FEF9" w14:textId="77777777" w:rsidR="009260DE" w:rsidRPr="00917ADB" w:rsidRDefault="009260DE" w:rsidP="009260DE">
      <w:pPr>
        <w:tabs>
          <w:tab w:val="left" w:pos="851"/>
        </w:tabs>
        <w:ind w:left="851"/>
        <w:rPr>
          <w:sz w:val="24"/>
          <w:szCs w:val="24"/>
        </w:rPr>
      </w:pPr>
    </w:p>
    <w:p w14:paraId="4E1364C2" w14:textId="77777777" w:rsidR="009260DE" w:rsidRPr="00917ADB" w:rsidRDefault="009260DE" w:rsidP="009260DE">
      <w:pPr>
        <w:tabs>
          <w:tab w:val="left" w:pos="851"/>
        </w:tabs>
        <w:ind w:left="851"/>
        <w:rPr>
          <w:sz w:val="24"/>
          <w:szCs w:val="24"/>
        </w:rPr>
      </w:pPr>
    </w:p>
    <w:p w14:paraId="590D3932" w14:textId="77777777" w:rsidR="009260DE" w:rsidRPr="00917ADB" w:rsidRDefault="009260DE" w:rsidP="009260DE">
      <w:pPr>
        <w:tabs>
          <w:tab w:val="left" w:pos="851"/>
        </w:tabs>
        <w:ind w:left="851" w:hanging="851"/>
        <w:rPr>
          <w:b/>
          <w:sz w:val="24"/>
          <w:szCs w:val="24"/>
        </w:rPr>
      </w:pPr>
      <w:r w:rsidRPr="00917ADB">
        <w:rPr>
          <w:b/>
          <w:sz w:val="24"/>
          <w:szCs w:val="24"/>
        </w:rPr>
        <w:t>5.</w:t>
      </w:r>
      <w:r w:rsidRPr="00917ADB">
        <w:rPr>
          <w:b/>
          <w:sz w:val="24"/>
          <w:szCs w:val="24"/>
        </w:rPr>
        <w:tab/>
        <w:t>FARMAKOLOGISKE EGENSKABER</w:t>
      </w:r>
    </w:p>
    <w:p w14:paraId="6B582162" w14:textId="77777777" w:rsidR="009260DE" w:rsidRPr="00917ADB" w:rsidRDefault="009260DE" w:rsidP="009260DE">
      <w:pPr>
        <w:tabs>
          <w:tab w:val="left" w:pos="851"/>
        </w:tabs>
        <w:ind w:left="851"/>
        <w:rPr>
          <w:sz w:val="24"/>
          <w:szCs w:val="24"/>
        </w:rPr>
      </w:pPr>
    </w:p>
    <w:p w14:paraId="2F058DDC" w14:textId="77777777" w:rsidR="009260DE" w:rsidRPr="00917ADB" w:rsidRDefault="009260DE" w:rsidP="009260DE">
      <w:pPr>
        <w:tabs>
          <w:tab w:val="num" w:pos="851"/>
        </w:tabs>
        <w:ind w:left="851" w:hanging="851"/>
        <w:rPr>
          <w:b/>
          <w:sz w:val="24"/>
          <w:szCs w:val="24"/>
        </w:rPr>
      </w:pPr>
      <w:r w:rsidRPr="00917ADB">
        <w:rPr>
          <w:b/>
          <w:sz w:val="24"/>
          <w:szCs w:val="24"/>
        </w:rPr>
        <w:t>5.1</w:t>
      </w:r>
      <w:r w:rsidRPr="00917ADB">
        <w:rPr>
          <w:b/>
          <w:sz w:val="24"/>
          <w:szCs w:val="24"/>
        </w:rPr>
        <w:tab/>
      </w:r>
      <w:proofErr w:type="spellStart"/>
      <w:r w:rsidRPr="00917ADB">
        <w:rPr>
          <w:b/>
          <w:sz w:val="24"/>
          <w:szCs w:val="24"/>
        </w:rPr>
        <w:t>Farmakodynamiske</w:t>
      </w:r>
      <w:proofErr w:type="spellEnd"/>
      <w:r w:rsidRPr="00917ADB">
        <w:rPr>
          <w:b/>
          <w:sz w:val="24"/>
          <w:szCs w:val="24"/>
        </w:rPr>
        <w:t xml:space="preserve"> egenskaber</w:t>
      </w:r>
    </w:p>
    <w:p w14:paraId="0434F0F6" w14:textId="77777777" w:rsidR="00D50D42" w:rsidRPr="00917ADB" w:rsidRDefault="00D50D42" w:rsidP="00917ADB">
      <w:pPr>
        <w:ind w:left="851"/>
        <w:rPr>
          <w:noProof/>
          <w:sz w:val="24"/>
          <w:szCs w:val="24"/>
        </w:rPr>
      </w:pPr>
      <w:proofErr w:type="spellStart"/>
      <w:r w:rsidRPr="00917ADB">
        <w:rPr>
          <w:sz w:val="24"/>
          <w:szCs w:val="24"/>
        </w:rPr>
        <w:t>Farmakoterapeutisk</w:t>
      </w:r>
      <w:proofErr w:type="spellEnd"/>
      <w:r w:rsidRPr="00917ADB">
        <w:rPr>
          <w:sz w:val="24"/>
          <w:szCs w:val="24"/>
        </w:rPr>
        <w:t xml:space="preserve"> klassifikation: Oftalmologiske lægemidler – Antiinflammatoriske stoffer – </w:t>
      </w:r>
      <w:proofErr w:type="spellStart"/>
      <w:r w:rsidRPr="00917ADB">
        <w:rPr>
          <w:sz w:val="24"/>
          <w:szCs w:val="24"/>
        </w:rPr>
        <w:t>Kortikosteroider</w:t>
      </w:r>
      <w:proofErr w:type="spellEnd"/>
      <w:r w:rsidRPr="00917ADB">
        <w:rPr>
          <w:sz w:val="24"/>
          <w:szCs w:val="24"/>
        </w:rPr>
        <w:t>, usammensatte, ATC-kode: S01BA</w:t>
      </w:r>
    </w:p>
    <w:p w14:paraId="7E0CBB72" w14:textId="77777777" w:rsidR="00D50D42" w:rsidRPr="00917ADB" w:rsidRDefault="00D50D42" w:rsidP="00917ADB">
      <w:pPr>
        <w:ind w:left="851"/>
        <w:rPr>
          <w:i/>
          <w:noProof/>
          <w:sz w:val="24"/>
          <w:szCs w:val="24"/>
        </w:rPr>
      </w:pPr>
    </w:p>
    <w:p w14:paraId="497FF974" w14:textId="77777777" w:rsidR="00D50D42" w:rsidRPr="00917ADB" w:rsidRDefault="00D50D42" w:rsidP="00917ADB">
      <w:pPr>
        <w:ind w:left="851"/>
        <w:rPr>
          <w:sz w:val="24"/>
          <w:szCs w:val="24"/>
          <w:u w:val="single"/>
        </w:rPr>
      </w:pPr>
      <w:r w:rsidRPr="00917ADB">
        <w:rPr>
          <w:sz w:val="24"/>
          <w:szCs w:val="24"/>
          <w:u w:val="single"/>
        </w:rPr>
        <w:t>Virkningsmekanisme</w:t>
      </w:r>
    </w:p>
    <w:p w14:paraId="4D91A67D" w14:textId="77777777" w:rsidR="00D50D42" w:rsidRPr="00917ADB" w:rsidRDefault="00D50D42" w:rsidP="00917ADB">
      <w:pPr>
        <w:ind w:left="851"/>
        <w:rPr>
          <w:sz w:val="24"/>
          <w:szCs w:val="24"/>
        </w:rPr>
      </w:pPr>
      <w:proofErr w:type="spellStart"/>
      <w:r w:rsidRPr="00917ADB">
        <w:rPr>
          <w:sz w:val="24"/>
          <w:szCs w:val="24"/>
        </w:rPr>
        <w:t>Kortikosteroider</w:t>
      </w:r>
      <w:proofErr w:type="spellEnd"/>
      <w:r w:rsidRPr="00917ADB">
        <w:rPr>
          <w:sz w:val="24"/>
          <w:szCs w:val="24"/>
        </w:rPr>
        <w:t xml:space="preserve"> udøver deres antiinflammatoriske virkninger ved at blokere kaskader af inflammatoriske mekanismer, herunder biosyntese af </w:t>
      </w:r>
      <w:proofErr w:type="spellStart"/>
      <w:r w:rsidRPr="00917ADB">
        <w:rPr>
          <w:sz w:val="24"/>
          <w:szCs w:val="24"/>
        </w:rPr>
        <w:t>eicosanoid</w:t>
      </w:r>
      <w:proofErr w:type="spellEnd"/>
      <w:r w:rsidRPr="00917ADB">
        <w:rPr>
          <w:sz w:val="24"/>
          <w:szCs w:val="24"/>
        </w:rPr>
        <w:t xml:space="preserve">; frigivelse og aktivering af cytokiner, kemotaktiske proteiner og </w:t>
      </w:r>
      <w:proofErr w:type="spellStart"/>
      <w:r w:rsidRPr="00917ADB">
        <w:rPr>
          <w:sz w:val="24"/>
          <w:szCs w:val="24"/>
        </w:rPr>
        <w:t>matrixmetalloproteinaser</w:t>
      </w:r>
      <w:proofErr w:type="spellEnd"/>
      <w:r w:rsidRPr="00917ADB">
        <w:rPr>
          <w:sz w:val="24"/>
          <w:szCs w:val="24"/>
        </w:rPr>
        <w:t xml:space="preserve">; samt ophobning af inflammatoriske proteiner såsom </w:t>
      </w:r>
      <w:proofErr w:type="spellStart"/>
      <w:r w:rsidRPr="00917ADB">
        <w:rPr>
          <w:sz w:val="24"/>
          <w:szCs w:val="24"/>
        </w:rPr>
        <w:t>vaskulær</w:t>
      </w:r>
      <w:proofErr w:type="spellEnd"/>
      <w:r w:rsidRPr="00917ADB">
        <w:rPr>
          <w:sz w:val="24"/>
          <w:szCs w:val="24"/>
        </w:rPr>
        <w:t xml:space="preserve"> </w:t>
      </w:r>
      <w:proofErr w:type="spellStart"/>
      <w:r w:rsidRPr="00917ADB">
        <w:rPr>
          <w:sz w:val="24"/>
          <w:szCs w:val="24"/>
        </w:rPr>
        <w:t>endotelvækstfaktor</w:t>
      </w:r>
      <w:proofErr w:type="spellEnd"/>
      <w:r w:rsidRPr="00917ADB">
        <w:rPr>
          <w:sz w:val="24"/>
          <w:szCs w:val="24"/>
        </w:rPr>
        <w:t xml:space="preserve"> (VEGF) og cyclooxygenase-2 ved at nedsætte stabiliteten af deres mRNA.</w:t>
      </w:r>
    </w:p>
    <w:p w14:paraId="67ACF0F5" w14:textId="77777777" w:rsidR="00D50D42" w:rsidRPr="00917ADB" w:rsidRDefault="00D50D42" w:rsidP="00917ADB">
      <w:pPr>
        <w:ind w:left="851"/>
        <w:rPr>
          <w:sz w:val="24"/>
          <w:szCs w:val="24"/>
          <w:u w:val="single"/>
        </w:rPr>
      </w:pPr>
    </w:p>
    <w:p w14:paraId="70A4E841" w14:textId="77777777" w:rsidR="00D50D42" w:rsidRPr="00917ADB" w:rsidRDefault="00D50D42" w:rsidP="00917ADB">
      <w:pPr>
        <w:ind w:left="851"/>
        <w:rPr>
          <w:sz w:val="24"/>
          <w:szCs w:val="24"/>
          <w:u w:val="single"/>
        </w:rPr>
      </w:pPr>
      <w:proofErr w:type="spellStart"/>
      <w:r w:rsidRPr="00917ADB">
        <w:rPr>
          <w:sz w:val="24"/>
          <w:szCs w:val="24"/>
          <w:u w:val="single"/>
        </w:rPr>
        <w:t>Farmakodynamisk</w:t>
      </w:r>
      <w:proofErr w:type="spellEnd"/>
      <w:r w:rsidRPr="00917ADB">
        <w:rPr>
          <w:sz w:val="24"/>
          <w:szCs w:val="24"/>
          <w:u w:val="single"/>
        </w:rPr>
        <w:t xml:space="preserve"> virkning</w:t>
      </w:r>
    </w:p>
    <w:p w14:paraId="016EEC1F" w14:textId="77777777" w:rsidR="00D50D42" w:rsidRPr="00917ADB" w:rsidRDefault="00D50D42" w:rsidP="00917ADB">
      <w:pPr>
        <w:ind w:left="851"/>
        <w:rPr>
          <w:sz w:val="24"/>
          <w:szCs w:val="24"/>
        </w:rPr>
      </w:pPr>
      <w:r w:rsidRPr="00917ADB">
        <w:rPr>
          <w:sz w:val="24"/>
          <w:szCs w:val="24"/>
        </w:rPr>
        <w:t xml:space="preserve">Der er ikke udført kliniske </w:t>
      </w:r>
      <w:proofErr w:type="spellStart"/>
      <w:r w:rsidRPr="00917ADB">
        <w:rPr>
          <w:sz w:val="24"/>
          <w:szCs w:val="24"/>
        </w:rPr>
        <w:t>farmakodynamiske</w:t>
      </w:r>
      <w:proofErr w:type="spellEnd"/>
      <w:r w:rsidRPr="00917ADB">
        <w:rPr>
          <w:sz w:val="24"/>
          <w:szCs w:val="24"/>
        </w:rPr>
        <w:t xml:space="preserve"> forsøg med </w:t>
      </w:r>
      <w:proofErr w:type="spellStart"/>
      <w:r w:rsidRPr="00917ADB">
        <w:rPr>
          <w:sz w:val="24"/>
          <w:szCs w:val="24"/>
        </w:rPr>
        <w:t>Uvesol</w:t>
      </w:r>
      <w:proofErr w:type="spellEnd"/>
      <w:r w:rsidRPr="00917ADB">
        <w:rPr>
          <w:sz w:val="24"/>
          <w:szCs w:val="24"/>
        </w:rPr>
        <w:t xml:space="preserve"> på grund af de kendte effekter og virkningsmekanismer for </w:t>
      </w:r>
      <w:proofErr w:type="spellStart"/>
      <w:r w:rsidRPr="00917ADB">
        <w:rPr>
          <w:sz w:val="24"/>
          <w:szCs w:val="24"/>
        </w:rPr>
        <w:t>kortikosteroider</w:t>
      </w:r>
      <w:proofErr w:type="spellEnd"/>
      <w:r w:rsidRPr="00917ADB">
        <w:rPr>
          <w:sz w:val="24"/>
          <w:szCs w:val="24"/>
        </w:rPr>
        <w:t xml:space="preserve">, herunder </w:t>
      </w:r>
      <w:proofErr w:type="spellStart"/>
      <w:r w:rsidRPr="00917ADB">
        <w:rPr>
          <w:sz w:val="24"/>
          <w:szCs w:val="24"/>
        </w:rPr>
        <w:t>clobetasolpropionat</w:t>
      </w:r>
      <w:proofErr w:type="spellEnd"/>
      <w:r w:rsidRPr="00917ADB">
        <w:rPr>
          <w:sz w:val="24"/>
          <w:szCs w:val="24"/>
        </w:rPr>
        <w:t xml:space="preserve">. </w:t>
      </w:r>
    </w:p>
    <w:p w14:paraId="176500F6" w14:textId="77777777" w:rsidR="00D50D42" w:rsidRPr="00917ADB" w:rsidRDefault="00D50D42" w:rsidP="00917ADB">
      <w:pPr>
        <w:ind w:left="851"/>
        <w:rPr>
          <w:sz w:val="24"/>
          <w:szCs w:val="24"/>
          <w:u w:val="single"/>
        </w:rPr>
      </w:pPr>
    </w:p>
    <w:p w14:paraId="18E28A7A" w14:textId="77777777" w:rsidR="00D50D42" w:rsidRPr="00917ADB" w:rsidRDefault="00D50D42" w:rsidP="00917ADB">
      <w:pPr>
        <w:ind w:left="851"/>
        <w:rPr>
          <w:sz w:val="24"/>
          <w:szCs w:val="24"/>
          <w:u w:val="single"/>
        </w:rPr>
      </w:pPr>
      <w:r w:rsidRPr="00917ADB">
        <w:rPr>
          <w:sz w:val="24"/>
          <w:szCs w:val="24"/>
          <w:u w:val="single"/>
        </w:rPr>
        <w:t>Klinisk virkning og sikkerhed</w:t>
      </w:r>
    </w:p>
    <w:p w14:paraId="45E736A2" w14:textId="77777777" w:rsidR="00D50D42" w:rsidRPr="00917ADB" w:rsidRDefault="00D50D42" w:rsidP="00917ADB">
      <w:pPr>
        <w:ind w:left="851"/>
        <w:rPr>
          <w:sz w:val="24"/>
          <w:szCs w:val="24"/>
        </w:rPr>
      </w:pPr>
      <w:r w:rsidRPr="00917ADB">
        <w:rPr>
          <w:sz w:val="24"/>
          <w:szCs w:val="24"/>
        </w:rPr>
        <w:t xml:space="preserve">Der blev gennemført to fase 3 multicenter, randomiserede, dobbeltmaskerede, placebokontrollerede forsøg med voksne patienter for at vurdere effekten og sikkerheden af </w:t>
      </w:r>
      <w:proofErr w:type="spellStart"/>
      <w:r w:rsidRPr="00917ADB">
        <w:rPr>
          <w:sz w:val="24"/>
          <w:szCs w:val="24"/>
        </w:rPr>
        <w:t>Uvesol</w:t>
      </w:r>
      <w:proofErr w:type="spellEnd"/>
      <w:r w:rsidRPr="00917ADB">
        <w:rPr>
          <w:sz w:val="24"/>
          <w:szCs w:val="24"/>
        </w:rPr>
        <w:t xml:space="preserve"> sammenlignet med placebo til behandling af inflammation og smerter i forbindelse med kataraktkirurgi (CLOSE-1 og CLOSE-2 forsøg).</w:t>
      </w:r>
    </w:p>
    <w:p w14:paraId="5227D1E9" w14:textId="77777777" w:rsidR="00D50D42" w:rsidRPr="00917ADB" w:rsidRDefault="00D50D42" w:rsidP="00917ADB">
      <w:pPr>
        <w:ind w:left="851"/>
        <w:rPr>
          <w:sz w:val="24"/>
          <w:szCs w:val="24"/>
          <w:lang w:eastAsia="en-GB"/>
        </w:rPr>
      </w:pPr>
    </w:p>
    <w:p w14:paraId="5CACACC3" w14:textId="77777777" w:rsidR="00D50D42" w:rsidRPr="00917ADB" w:rsidRDefault="00D50D42" w:rsidP="00917ADB">
      <w:pPr>
        <w:ind w:left="851"/>
        <w:rPr>
          <w:sz w:val="24"/>
          <w:szCs w:val="24"/>
        </w:rPr>
      </w:pPr>
      <w:r w:rsidRPr="00917ADB">
        <w:rPr>
          <w:sz w:val="24"/>
          <w:szCs w:val="24"/>
        </w:rPr>
        <w:t xml:space="preserve">I begge forsøg viste </w:t>
      </w:r>
      <w:proofErr w:type="spellStart"/>
      <w:r w:rsidRPr="00917ADB">
        <w:rPr>
          <w:sz w:val="24"/>
          <w:szCs w:val="24"/>
        </w:rPr>
        <w:t>Uvesol</w:t>
      </w:r>
      <w:proofErr w:type="spellEnd"/>
      <w:r w:rsidRPr="00917ADB">
        <w:rPr>
          <w:sz w:val="24"/>
          <w:szCs w:val="24"/>
        </w:rPr>
        <w:t xml:space="preserve"> overlegenhed i forhold til placebo for det primære endepunkt (andelen af patienter med forkammercelle (ACC) grad ”0” på dag 8), når der blev administreret en dråbe fire gange dagligt i 14 dage efter rutinemæssig ensidig kataraktkirurgi. </w:t>
      </w:r>
    </w:p>
    <w:p w14:paraId="4CA4641F" w14:textId="77777777" w:rsidR="00D50D42" w:rsidRPr="00917ADB" w:rsidRDefault="00D50D42" w:rsidP="00917ADB">
      <w:pPr>
        <w:ind w:left="851"/>
        <w:rPr>
          <w:sz w:val="24"/>
          <w:szCs w:val="24"/>
          <w:lang w:eastAsia="en-GB"/>
        </w:rPr>
      </w:pPr>
    </w:p>
    <w:p w14:paraId="59A1D63F" w14:textId="77777777" w:rsidR="00D50D42" w:rsidRPr="00917ADB" w:rsidRDefault="00D50D42" w:rsidP="00917ADB">
      <w:pPr>
        <w:ind w:left="1843" w:hanging="992"/>
        <w:rPr>
          <w:b/>
          <w:sz w:val="24"/>
          <w:szCs w:val="24"/>
        </w:rPr>
      </w:pPr>
      <w:r w:rsidRPr="00917ADB">
        <w:rPr>
          <w:b/>
          <w:sz w:val="24"/>
          <w:szCs w:val="24"/>
        </w:rPr>
        <w:t>Tabel 1:</w:t>
      </w:r>
      <w:r w:rsidRPr="00917ADB">
        <w:rPr>
          <w:b/>
          <w:sz w:val="24"/>
          <w:szCs w:val="24"/>
        </w:rPr>
        <w:tab/>
        <w:t>Resultater, primært endepunkt: Procentdel af patienter uden inflammation (forkammercellegrad ”0” på dag 8 (FAS-population))</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6"/>
        <w:gridCol w:w="2157"/>
        <w:gridCol w:w="2095"/>
      </w:tblGrid>
      <w:tr w:rsidR="00D50D42" w:rsidRPr="00917ADB" w14:paraId="4435D3A0" w14:textId="77777777" w:rsidTr="00917ADB">
        <w:trPr>
          <w:trHeight w:val="340"/>
        </w:trPr>
        <w:tc>
          <w:tcPr>
            <w:tcW w:w="2581"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tcPr>
          <w:p w14:paraId="30A518B0" w14:textId="77777777" w:rsidR="00D50D42" w:rsidRPr="00917ADB" w:rsidRDefault="00D50D42">
            <w:pPr>
              <w:widowControl w:val="0"/>
              <w:tabs>
                <w:tab w:val="left" w:pos="1304"/>
              </w:tabs>
              <w:rPr>
                <w:b/>
                <w:sz w:val="24"/>
                <w:szCs w:val="24"/>
              </w:rPr>
            </w:pPr>
          </w:p>
        </w:tc>
        <w:tc>
          <w:tcPr>
            <w:tcW w:w="2419" w:type="pct"/>
            <w:gridSpan w:val="2"/>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48B0DDB2" w14:textId="77777777" w:rsidR="00D50D42" w:rsidRPr="00917ADB" w:rsidRDefault="00D50D42">
            <w:pPr>
              <w:widowControl w:val="0"/>
              <w:tabs>
                <w:tab w:val="left" w:pos="1304"/>
              </w:tabs>
              <w:jc w:val="center"/>
              <w:rPr>
                <w:b/>
                <w:sz w:val="24"/>
                <w:szCs w:val="24"/>
              </w:rPr>
            </w:pPr>
            <w:r w:rsidRPr="00917ADB">
              <w:rPr>
                <w:b/>
                <w:sz w:val="24"/>
                <w:szCs w:val="24"/>
              </w:rPr>
              <w:t>Behandlingsarm</w:t>
            </w:r>
          </w:p>
        </w:tc>
      </w:tr>
      <w:tr w:rsidR="00D50D42" w:rsidRPr="00917ADB" w14:paraId="192D2415" w14:textId="77777777" w:rsidTr="00917ADB">
        <w:trPr>
          <w:trHeight w:val="510"/>
        </w:trPr>
        <w:tc>
          <w:tcPr>
            <w:tcW w:w="2581"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6004726C" w14:textId="77777777" w:rsidR="00D50D42" w:rsidRPr="00917ADB" w:rsidRDefault="00D50D42">
            <w:pPr>
              <w:widowControl w:val="0"/>
              <w:tabs>
                <w:tab w:val="left" w:pos="1304"/>
              </w:tabs>
              <w:rPr>
                <w:b/>
                <w:sz w:val="24"/>
                <w:szCs w:val="24"/>
              </w:rPr>
            </w:pPr>
            <w:r w:rsidRPr="00917ADB">
              <w:rPr>
                <w:b/>
                <w:sz w:val="24"/>
                <w:szCs w:val="24"/>
              </w:rPr>
              <w:t xml:space="preserve">CLOSE-1 </w:t>
            </w:r>
          </w:p>
        </w:tc>
        <w:tc>
          <w:tcPr>
            <w:tcW w:w="1227"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25A67626" w14:textId="77777777" w:rsidR="00D50D42" w:rsidRPr="00917ADB" w:rsidRDefault="00D50D42">
            <w:pPr>
              <w:widowControl w:val="0"/>
              <w:tabs>
                <w:tab w:val="left" w:pos="1304"/>
              </w:tabs>
              <w:jc w:val="center"/>
              <w:rPr>
                <w:b/>
                <w:sz w:val="24"/>
                <w:szCs w:val="24"/>
              </w:rPr>
            </w:pPr>
            <w:r w:rsidRPr="00917ADB">
              <w:rPr>
                <w:b/>
                <w:sz w:val="24"/>
                <w:szCs w:val="24"/>
              </w:rPr>
              <w:t>PRODUKTNAVN</w:t>
            </w:r>
          </w:p>
          <w:p w14:paraId="7E0F4C45" w14:textId="77777777" w:rsidR="00D50D42" w:rsidRPr="00917ADB" w:rsidRDefault="00D50D42">
            <w:pPr>
              <w:widowControl w:val="0"/>
              <w:tabs>
                <w:tab w:val="left" w:pos="1304"/>
              </w:tabs>
              <w:jc w:val="center"/>
              <w:rPr>
                <w:b/>
                <w:sz w:val="24"/>
                <w:szCs w:val="24"/>
              </w:rPr>
            </w:pPr>
            <w:r w:rsidRPr="00917ADB">
              <w:rPr>
                <w:b/>
                <w:sz w:val="24"/>
                <w:szCs w:val="24"/>
              </w:rPr>
              <w:t>(N=139)</w:t>
            </w:r>
          </w:p>
        </w:tc>
        <w:tc>
          <w:tcPr>
            <w:tcW w:w="1192"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2BEDE350" w14:textId="77777777" w:rsidR="00D50D42" w:rsidRPr="00917ADB" w:rsidRDefault="00D50D42">
            <w:pPr>
              <w:widowControl w:val="0"/>
              <w:tabs>
                <w:tab w:val="left" w:pos="1304"/>
              </w:tabs>
              <w:jc w:val="center"/>
              <w:rPr>
                <w:b/>
                <w:sz w:val="24"/>
                <w:szCs w:val="24"/>
              </w:rPr>
            </w:pPr>
            <w:r w:rsidRPr="00917ADB">
              <w:rPr>
                <w:b/>
                <w:sz w:val="24"/>
                <w:szCs w:val="24"/>
              </w:rPr>
              <w:t>Placebo</w:t>
            </w:r>
          </w:p>
          <w:p w14:paraId="60362B6F" w14:textId="77777777" w:rsidR="00D50D42" w:rsidRPr="00917ADB" w:rsidRDefault="00D50D42">
            <w:pPr>
              <w:widowControl w:val="0"/>
              <w:tabs>
                <w:tab w:val="left" w:pos="1304"/>
              </w:tabs>
              <w:jc w:val="center"/>
              <w:rPr>
                <w:b/>
                <w:sz w:val="24"/>
                <w:szCs w:val="24"/>
              </w:rPr>
            </w:pPr>
            <w:r w:rsidRPr="00917ADB">
              <w:rPr>
                <w:b/>
                <w:sz w:val="24"/>
                <w:szCs w:val="24"/>
              </w:rPr>
              <w:t>(N=67)</w:t>
            </w:r>
          </w:p>
        </w:tc>
      </w:tr>
      <w:tr w:rsidR="00D50D42" w:rsidRPr="00917ADB" w14:paraId="53197EE6" w14:textId="77777777" w:rsidTr="00917ADB">
        <w:trPr>
          <w:trHeight w:val="284"/>
        </w:trPr>
        <w:tc>
          <w:tcPr>
            <w:tcW w:w="2581"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73CDFC89" w14:textId="77777777" w:rsidR="00D50D42" w:rsidRPr="00917ADB" w:rsidRDefault="00D50D42">
            <w:pPr>
              <w:widowControl w:val="0"/>
              <w:tabs>
                <w:tab w:val="left" w:pos="1304"/>
              </w:tabs>
              <w:rPr>
                <w:sz w:val="24"/>
                <w:szCs w:val="24"/>
              </w:rPr>
            </w:pPr>
            <w:r w:rsidRPr="00917ADB">
              <w:rPr>
                <w:sz w:val="24"/>
                <w:szCs w:val="24"/>
              </w:rPr>
              <w:t>Patient uden inflammation (ACC-grad ”0”)</w:t>
            </w:r>
          </w:p>
        </w:tc>
        <w:tc>
          <w:tcPr>
            <w:tcW w:w="1227"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405E1BD7" w14:textId="77777777" w:rsidR="00D50D42" w:rsidRPr="00917ADB" w:rsidRDefault="00D50D42">
            <w:pPr>
              <w:widowControl w:val="0"/>
              <w:tabs>
                <w:tab w:val="left" w:pos="1304"/>
              </w:tabs>
              <w:jc w:val="center"/>
              <w:rPr>
                <w:sz w:val="24"/>
                <w:szCs w:val="24"/>
              </w:rPr>
            </w:pPr>
            <w:r w:rsidRPr="00917ADB">
              <w:rPr>
                <w:sz w:val="24"/>
                <w:szCs w:val="24"/>
              </w:rPr>
              <w:t>67 (48,2 %)</w:t>
            </w:r>
          </w:p>
        </w:tc>
        <w:tc>
          <w:tcPr>
            <w:tcW w:w="1192"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755EDB8C" w14:textId="77777777" w:rsidR="00D50D42" w:rsidRPr="00917ADB" w:rsidRDefault="00D50D42">
            <w:pPr>
              <w:widowControl w:val="0"/>
              <w:tabs>
                <w:tab w:val="left" w:pos="1304"/>
              </w:tabs>
              <w:jc w:val="center"/>
              <w:rPr>
                <w:sz w:val="24"/>
                <w:szCs w:val="24"/>
              </w:rPr>
            </w:pPr>
            <w:r w:rsidRPr="00917ADB">
              <w:rPr>
                <w:sz w:val="24"/>
                <w:szCs w:val="24"/>
              </w:rPr>
              <w:t>18 (26,9 %)</w:t>
            </w:r>
          </w:p>
        </w:tc>
      </w:tr>
      <w:tr w:rsidR="00D50D42" w:rsidRPr="00917ADB" w14:paraId="65DB937B" w14:textId="77777777" w:rsidTr="00917ADB">
        <w:trPr>
          <w:trHeight w:val="284"/>
        </w:trPr>
        <w:tc>
          <w:tcPr>
            <w:tcW w:w="2581"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14260CE8" w14:textId="77777777" w:rsidR="00D50D42" w:rsidRPr="00917ADB" w:rsidRDefault="00D50D42">
            <w:pPr>
              <w:widowControl w:val="0"/>
              <w:tabs>
                <w:tab w:val="left" w:pos="1304"/>
              </w:tabs>
              <w:rPr>
                <w:sz w:val="24"/>
                <w:szCs w:val="24"/>
              </w:rPr>
            </w:pPr>
            <w:proofErr w:type="spellStart"/>
            <w:r w:rsidRPr="00917ADB">
              <w:rPr>
                <w:sz w:val="24"/>
                <w:szCs w:val="24"/>
              </w:rPr>
              <w:t>p-værdi</w:t>
            </w:r>
            <w:proofErr w:type="spellEnd"/>
          </w:p>
        </w:tc>
        <w:tc>
          <w:tcPr>
            <w:tcW w:w="2419" w:type="pct"/>
            <w:gridSpan w:val="2"/>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12C9E179" w14:textId="77777777" w:rsidR="00D50D42" w:rsidRPr="00917ADB" w:rsidRDefault="00D50D42">
            <w:pPr>
              <w:widowControl w:val="0"/>
              <w:tabs>
                <w:tab w:val="left" w:pos="1304"/>
              </w:tabs>
              <w:jc w:val="center"/>
              <w:rPr>
                <w:sz w:val="24"/>
                <w:szCs w:val="24"/>
              </w:rPr>
            </w:pPr>
            <w:r w:rsidRPr="00917ADB">
              <w:rPr>
                <w:sz w:val="24"/>
                <w:szCs w:val="24"/>
              </w:rPr>
              <w:t>0,0036</w:t>
            </w:r>
          </w:p>
        </w:tc>
      </w:tr>
      <w:tr w:rsidR="00D50D42" w:rsidRPr="00917ADB" w14:paraId="480EE71E" w14:textId="77777777" w:rsidTr="00917ADB">
        <w:trPr>
          <w:trHeight w:val="454"/>
        </w:trPr>
        <w:tc>
          <w:tcPr>
            <w:tcW w:w="2581"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33B5BC30" w14:textId="77777777" w:rsidR="00D50D42" w:rsidRPr="00917ADB" w:rsidRDefault="00D50D42">
            <w:pPr>
              <w:widowControl w:val="0"/>
              <w:tabs>
                <w:tab w:val="left" w:pos="1304"/>
              </w:tabs>
              <w:rPr>
                <w:sz w:val="24"/>
                <w:szCs w:val="24"/>
              </w:rPr>
            </w:pPr>
            <w:r w:rsidRPr="00917ADB">
              <w:rPr>
                <w:b/>
                <w:sz w:val="24"/>
                <w:szCs w:val="24"/>
              </w:rPr>
              <w:t>CLOSE-2</w:t>
            </w:r>
          </w:p>
        </w:tc>
        <w:tc>
          <w:tcPr>
            <w:tcW w:w="1227"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5E01437E" w14:textId="77777777" w:rsidR="00D50D42" w:rsidRPr="00917ADB" w:rsidRDefault="00D50D42">
            <w:pPr>
              <w:widowControl w:val="0"/>
              <w:tabs>
                <w:tab w:val="left" w:pos="1304"/>
              </w:tabs>
              <w:jc w:val="center"/>
              <w:rPr>
                <w:b/>
                <w:sz w:val="24"/>
                <w:szCs w:val="24"/>
              </w:rPr>
            </w:pPr>
            <w:r w:rsidRPr="00917ADB">
              <w:rPr>
                <w:b/>
                <w:sz w:val="24"/>
                <w:szCs w:val="24"/>
              </w:rPr>
              <w:t>PRODUKTNAVN</w:t>
            </w:r>
          </w:p>
          <w:p w14:paraId="7187329B" w14:textId="77777777" w:rsidR="00D50D42" w:rsidRPr="00917ADB" w:rsidRDefault="00D50D42">
            <w:pPr>
              <w:widowControl w:val="0"/>
              <w:tabs>
                <w:tab w:val="left" w:pos="1304"/>
              </w:tabs>
              <w:jc w:val="center"/>
              <w:rPr>
                <w:sz w:val="24"/>
                <w:szCs w:val="24"/>
              </w:rPr>
            </w:pPr>
            <w:r w:rsidRPr="00917ADB">
              <w:rPr>
                <w:b/>
                <w:sz w:val="24"/>
                <w:szCs w:val="24"/>
              </w:rPr>
              <w:t>(N=139)</w:t>
            </w:r>
          </w:p>
        </w:tc>
        <w:tc>
          <w:tcPr>
            <w:tcW w:w="1192"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6AAD4B7C" w14:textId="77777777" w:rsidR="00D50D42" w:rsidRPr="00917ADB" w:rsidRDefault="00D50D42">
            <w:pPr>
              <w:widowControl w:val="0"/>
              <w:tabs>
                <w:tab w:val="left" w:pos="1304"/>
              </w:tabs>
              <w:jc w:val="center"/>
              <w:rPr>
                <w:b/>
                <w:sz w:val="24"/>
                <w:szCs w:val="24"/>
              </w:rPr>
            </w:pPr>
            <w:r w:rsidRPr="00917ADB">
              <w:rPr>
                <w:b/>
                <w:sz w:val="24"/>
                <w:szCs w:val="24"/>
              </w:rPr>
              <w:t>Placebo</w:t>
            </w:r>
          </w:p>
          <w:p w14:paraId="1535B289" w14:textId="77777777" w:rsidR="00D50D42" w:rsidRPr="00917ADB" w:rsidRDefault="00D50D42">
            <w:pPr>
              <w:widowControl w:val="0"/>
              <w:tabs>
                <w:tab w:val="left" w:pos="1304"/>
              </w:tabs>
              <w:jc w:val="center"/>
              <w:rPr>
                <w:sz w:val="24"/>
                <w:szCs w:val="24"/>
              </w:rPr>
            </w:pPr>
            <w:r w:rsidRPr="00917ADB">
              <w:rPr>
                <w:b/>
                <w:sz w:val="24"/>
                <w:szCs w:val="24"/>
              </w:rPr>
              <w:t>(N=71)</w:t>
            </w:r>
          </w:p>
        </w:tc>
      </w:tr>
      <w:tr w:rsidR="00D50D42" w:rsidRPr="00917ADB" w14:paraId="47D4982C" w14:textId="77777777" w:rsidTr="00917ADB">
        <w:trPr>
          <w:trHeight w:val="284"/>
        </w:trPr>
        <w:tc>
          <w:tcPr>
            <w:tcW w:w="2581"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7EC55052" w14:textId="77777777" w:rsidR="00D50D42" w:rsidRPr="00917ADB" w:rsidRDefault="00D50D42">
            <w:pPr>
              <w:widowControl w:val="0"/>
              <w:tabs>
                <w:tab w:val="left" w:pos="1304"/>
              </w:tabs>
              <w:rPr>
                <w:b/>
                <w:sz w:val="24"/>
                <w:szCs w:val="24"/>
              </w:rPr>
            </w:pPr>
            <w:r w:rsidRPr="00917ADB">
              <w:rPr>
                <w:sz w:val="24"/>
                <w:szCs w:val="24"/>
              </w:rPr>
              <w:t>Patient uden inflammation (ACC-grad ”0”)</w:t>
            </w:r>
          </w:p>
        </w:tc>
        <w:tc>
          <w:tcPr>
            <w:tcW w:w="1227"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72A7659A" w14:textId="77777777" w:rsidR="00D50D42" w:rsidRPr="00917ADB" w:rsidRDefault="00D50D42">
            <w:pPr>
              <w:widowControl w:val="0"/>
              <w:tabs>
                <w:tab w:val="left" w:pos="1304"/>
              </w:tabs>
              <w:jc w:val="center"/>
              <w:rPr>
                <w:sz w:val="24"/>
                <w:szCs w:val="24"/>
              </w:rPr>
            </w:pPr>
            <w:r w:rsidRPr="00917ADB">
              <w:rPr>
                <w:sz w:val="24"/>
                <w:szCs w:val="24"/>
              </w:rPr>
              <w:t>38 (27,3 %)</w:t>
            </w:r>
          </w:p>
        </w:tc>
        <w:tc>
          <w:tcPr>
            <w:tcW w:w="1192"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1AF1C30D" w14:textId="77777777" w:rsidR="00D50D42" w:rsidRPr="00917ADB" w:rsidRDefault="00D50D42">
            <w:pPr>
              <w:widowControl w:val="0"/>
              <w:tabs>
                <w:tab w:val="left" w:pos="1304"/>
              </w:tabs>
              <w:jc w:val="center"/>
              <w:rPr>
                <w:sz w:val="24"/>
                <w:szCs w:val="24"/>
              </w:rPr>
            </w:pPr>
            <w:r w:rsidRPr="00917ADB">
              <w:rPr>
                <w:sz w:val="24"/>
                <w:szCs w:val="24"/>
              </w:rPr>
              <w:t>7 (9,9 %)</w:t>
            </w:r>
          </w:p>
        </w:tc>
      </w:tr>
      <w:tr w:rsidR="00D50D42" w:rsidRPr="00917ADB" w14:paraId="777D4E97" w14:textId="77777777" w:rsidTr="00917ADB">
        <w:trPr>
          <w:trHeight w:val="284"/>
        </w:trPr>
        <w:tc>
          <w:tcPr>
            <w:tcW w:w="2581" w:type="pct"/>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41DEB0A4" w14:textId="77777777" w:rsidR="00D50D42" w:rsidRPr="00917ADB" w:rsidRDefault="00D50D42">
            <w:pPr>
              <w:widowControl w:val="0"/>
              <w:tabs>
                <w:tab w:val="left" w:pos="1304"/>
              </w:tabs>
              <w:rPr>
                <w:sz w:val="24"/>
                <w:szCs w:val="24"/>
              </w:rPr>
            </w:pPr>
            <w:proofErr w:type="spellStart"/>
            <w:r w:rsidRPr="00917ADB">
              <w:rPr>
                <w:sz w:val="24"/>
                <w:szCs w:val="24"/>
              </w:rPr>
              <w:t>p-værdi</w:t>
            </w:r>
            <w:proofErr w:type="spellEnd"/>
            <w:r w:rsidRPr="00917ADB">
              <w:rPr>
                <w:sz w:val="24"/>
                <w:szCs w:val="24"/>
              </w:rPr>
              <w:t xml:space="preserve"> </w:t>
            </w:r>
          </w:p>
        </w:tc>
        <w:tc>
          <w:tcPr>
            <w:tcW w:w="2419" w:type="pct"/>
            <w:gridSpan w:val="2"/>
            <w:tcBorders>
              <w:top w:val="single" w:sz="4" w:space="0" w:color="auto"/>
              <w:left w:val="single" w:sz="4" w:space="0" w:color="auto"/>
              <w:bottom w:val="single" w:sz="4" w:space="0" w:color="auto"/>
              <w:right w:val="single" w:sz="4" w:space="0" w:color="auto"/>
            </w:tcBorders>
            <w:noWrap/>
            <w:tcMar>
              <w:top w:w="28" w:type="dxa"/>
              <w:left w:w="85" w:type="dxa"/>
              <w:bottom w:w="28" w:type="dxa"/>
              <w:right w:w="85" w:type="dxa"/>
            </w:tcMar>
            <w:vAlign w:val="center"/>
            <w:hideMark/>
          </w:tcPr>
          <w:p w14:paraId="172B698F" w14:textId="77777777" w:rsidR="00D50D42" w:rsidRPr="00917ADB" w:rsidRDefault="00D50D42">
            <w:pPr>
              <w:widowControl w:val="0"/>
              <w:tabs>
                <w:tab w:val="left" w:pos="1304"/>
              </w:tabs>
              <w:jc w:val="center"/>
              <w:rPr>
                <w:sz w:val="24"/>
                <w:szCs w:val="24"/>
              </w:rPr>
            </w:pPr>
            <w:r w:rsidRPr="00917ADB">
              <w:rPr>
                <w:sz w:val="24"/>
                <w:szCs w:val="24"/>
              </w:rPr>
              <w:t>0,0035</w:t>
            </w:r>
          </w:p>
        </w:tc>
      </w:tr>
    </w:tbl>
    <w:p w14:paraId="7DFC3B83" w14:textId="77777777" w:rsidR="009260DE" w:rsidRPr="00917ADB" w:rsidRDefault="009260DE" w:rsidP="009260DE">
      <w:pPr>
        <w:tabs>
          <w:tab w:val="left" w:pos="851"/>
        </w:tabs>
        <w:ind w:left="851"/>
        <w:rPr>
          <w:sz w:val="24"/>
          <w:szCs w:val="24"/>
        </w:rPr>
      </w:pPr>
    </w:p>
    <w:p w14:paraId="5083FBAA" w14:textId="77777777" w:rsidR="009260DE" w:rsidRPr="00917ADB" w:rsidRDefault="009260DE" w:rsidP="009260DE">
      <w:pPr>
        <w:tabs>
          <w:tab w:val="left" w:pos="851"/>
        </w:tabs>
        <w:ind w:left="851" w:hanging="851"/>
        <w:rPr>
          <w:b/>
          <w:sz w:val="24"/>
          <w:szCs w:val="24"/>
        </w:rPr>
      </w:pPr>
      <w:r w:rsidRPr="00917ADB">
        <w:rPr>
          <w:b/>
          <w:sz w:val="24"/>
          <w:szCs w:val="24"/>
        </w:rPr>
        <w:t>5.2</w:t>
      </w:r>
      <w:r w:rsidRPr="00917ADB">
        <w:rPr>
          <w:b/>
          <w:sz w:val="24"/>
          <w:szCs w:val="24"/>
        </w:rPr>
        <w:tab/>
      </w:r>
      <w:proofErr w:type="spellStart"/>
      <w:r w:rsidRPr="00917ADB">
        <w:rPr>
          <w:b/>
          <w:sz w:val="24"/>
          <w:szCs w:val="24"/>
        </w:rPr>
        <w:t>Farmakokinetiske</w:t>
      </w:r>
      <w:proofErr w:type="spellEnd"/>
      <w:r w:rsidRPr="00917ADB">
        <w:rPr>
          <w:b/>
          <w:sz w:val="24"/>
          <w:szCs w:val="24"/>
        </w:rPr>
        <w:t xml:space="preserve"> egenskaber</w:t>
      </w:r>
    </w:p>
    <w:p w14:paraId="152F381C" w14:textId="77777777" w:rsidR="00D50D42" w:rsidRPr="00917ADB" w:rsidRDefault="00D50D42" w:rsidP="00917ADB">
      <w:pPr>
        <w:ind w:left="851"/>
        <w:rPr>
          <w:sz w:val="24"/>
          <w:szCs w:val="24"/>
        </w:rPr>
      </w:pPr>
      <w:r w:rsidRPr="00917ADB">
        <w:rPr>
          <w:sz w:val="24"/>
          <w:szCs w:val="24"/>
        </w:rPr>
        <w:t xml:space="preserve">Der foreligger ingen </w:t>
      </w:r>
      <w:proofErr w:type="spellStart"/>
      <w:r w:rsidRPr="00917ADB">
        <w:rPr>
          <w:sz w:val="24"/>
          <w:szCs w:val="24"/>
        </w:rPr>
        <w:t>farmakokinetiske</w:t>
      </w:r>
      <w:proofErr w:type="spellEnd"/>
      <w:r w:rsidRPr="00917ADB">
        <w:rPr>
          <w:sz w:val="24"/>
          <w:szCs w:val="24"/>
        </w:rPr>
        <w:t xml:space="preserve"> data fra de kliniske forsøg med </w:t>
      </w:r>
      <w:proofErr w:type="spellStart"/>
      <w:r w:rsidRPr="00917ADB">
        <w:rPr>
          <w:sz w:val="24"/>
          <w:szCs w:val="24"/>
        </w:rPr>
        <w:t>Uvesol</w:t>
      </w:r>
      <w:proofErr w:type="spellEnd"/>
      <w:r w:rsidRPr="00917ADB">
        <w:rPr>
          <w:sz w:val="24"/>
          <w:szCs w:val="24"/>
        </w:rPr>
        <w:t xml:space="preserve"> (</w:t>
      </w:r>
      <w:proofErr w:type="spellStart"/>
      <w:r w:rsidRPr="00917ADB">
        <w:rPr>
          <w:sz w:val="24"/>
          <w:szCs w:val="24"/>
        </w:rPr>
        <w:t>clobetasolpropionat</w:t>
      </w:r>
      <w:proofErr w:type="spellEnd"/>
      <w:r w:rsidRPr="00917ADB">
        <w:rPr>
          <w:sz w:val="24"/>
          <w:szCs w:val="24"/>
        </w:rPr>
        <w:t xml:space="preserve">) 0,5 mg/ml. Ekstrapolering af </w:t>
      </w:r>
      <w:proofErr w:type="spellStart"/>
      <w:r w:rsidRPr="00917ADB">
        <w:rPr>
          <w:sz w:val="24"/>
          <w:szCs w:val="24"/>
        </w:rPr>
        <w:t>farmakokinetiske</w:t>
      </w:r>
      <w:proofErr w:type="spellEnd"/>
      <w:r w:rsidRPr="00917ADB">
        <w:rPr>
          <w:sz w:val="24"/>
          <w:szCs w:val="24"/>
        </w:rPr>
        <w:t xml:space="preserve"> data fra ikke-kliniske forsøg viste, at den systemiske eksponering efter påføring af </w:t>
      </w:r>
      <w:proofErr w:type="spellStart"/>
      <w:r w:rsidRPr="00917ADB">
        <w:rPr>
          <w:sz w:val="24"/>
          <w:szCs w:val="24"/>
        </w:rPr>
        <w:t>Uvesol</w:t>
      </w:r>
      <w:proofErr w:type="spellEnd"/>
      <w:r w:rsidRPr="00917ADB">
        <w:rPr>
          <w:sz w:val="24"/>
          <w:szCs w:val="24"/>
        </w:rPr>
        <w:t xml:space="preserve"> i øjet er under detektionsgrænsen for </w:t>
      </w:r>
      <w:proofErr w:type="spellStart"/>
      <w:r w:rsidRPr="00917ADB">
        <w:rPr>
          <w:sz w:val="24"/>
          <w:szCs w:val="24"/>
        </w:rPr>
        <w:t>clobetasolpropionat</w:t>
      </w:r>
      <w:proofErr w:type="spellEnd"/>
      <w:r w:rsidRPr="00917ADB">
        <w:rPr>
          <w:sz w:val="24"/>
          <w:szCs w:val="24"/>
        </w:rPr>
        <w:t xml:space="preserve">, hvilket indikerer, at den systemiske absorption af </w:t>
      </w:r>
      <w:proofErr w:type="spellStart"/>
      <w:r w:rsidRPr="00917ADB">
        <w:rPr>
          <w:sz w:val="24"/>
          <w:szCs w:val="24"/>
        </w:rPr>
        <w:t>clobetasolpropionat</w:t>
      </w:r>
      <w:proofErr w:type="spellEnd"/>
      <w:r w:rsidRPr="00917ADB">
        <w:rPr>
          <w:sz w:val="24"/>
          <w:szCs w:val="24"/>
        </w:rPr>
        <w:t xml:space="preserve"> efter </w:t>
      </w:r>
      <w:proofErr w:type="spellStart"/>
      <w:r w:rsidRPr="00917ADB">
        <w:rPr>
          <w:sz w:val="24"/>
          <w:szCs w:val="24"/>
        </w:rPr>
        <w:t>okulær</w:t>
      </w:r>
      <w:proofErr w:type="spellEnd"/>
      <w:r w:rsidRPr="00917ADB">
        <w:rPr>
          <w:sz w:val="24"/>
          <w:szCs w:val="24"/>
        </w:rPr>
        <w:t xml:space="preserve"> </w:t>
      </w:r>
      <w:proofErr w:type="spellStart"/>
      <w:r w:rsidRPr="00917ADB">
        <w:rPr>
          <w:sz w:val="24"/>
          <w:szCs w:val="24"/>
        </w:rPr>
        <w:t>instillation</w:t>
      </w:r>
      <w:proofErr w:type="spellEnd"/>
      <w:r w:rsidRPr="00917ADB">
        <w:rPr>
          <w:sz w:val="24"/>
          <w:szCs w:val="24"/>
        </w:rPr>
        <w:t xml:space="preserve"> af </w:t>
      </w:r>
      <w:proofErr w:type="spellStart"/>
      <w:r w:rsidRPr="00917ADB">
        <w:rPr>
          <w:sz w:val="24"/>
          <w:szCs w:val="24"/>
        </w:rPr>
        <w:t>Uvesol</w:t>
      </w:r>
      <w:proofErr w:type="spellEnd"/>
      <w:r w:rsidRPr="00917ADB">
        <w:rPr>
          <w:sz w:val="24"/>
          <w:szCs w:val="24"/>
        </w:rPr>
        <w:t xml:space="preserve"> er begrænset. </w:t>
      </w:r>
    </w:p>
    <w:p w14:paraId="16426E65" w14:textId="77777777" w:rsidR="009260DE" w:rsidRPr="00917ADB" w:rsidRDefault="009260DE" w:rsidP="009260DE">
      <w:pPr>
        <w:tabs>
          <w:tab w:val="left" w:pos="851"/>
        </w:tabs>
        <w:ind w:left="851"/>
        <w:rPr>
          <w:sz w:val="24"/>
          <w:szCs w:val="24"/>
        </w:rPr>
      </w:pPr>
    </w:p>
    <w:p w14:paraId="0D91CAF9" w14:textId="77777777" w:rsidR="009260DE" w:rsidRPr="00917ADB" w:rsidRDefault="009260DE" w:rsidP="009260DE">
      <w:pPr>
        <w:tabs>
          <w:tab w:val="left" w:pos="851"/>
        </w:tabs>
        <w:ind w:left="851" w:hanging="851"/>
        <w:rPr>
          <w:b/>
          <w:sz w:val="24"/>
          <w:szCs w:val="24"/>
        </w:rPr>
      </w:pPr>
      <w:r w:rsidRPr="00917ADB">
        <w:rPr>
          <w:b/>
          <w:sz w:val="24"/>
          <w:szCs w:val="24"/>
        </w:rPr>
        <w:t>5.3</w:t>
      </w:r>
      <w:r w:rsidRPr="00917ADB">
        <w:rPr>
          <w:b/>
          <w:sz w:val="24"/>
          <w:szCs w:val="24"/>
        </w:rPr>
        <w:tab/>
      </w:r>
      <w:r w:rsidR="00BD7931" w:rsidRPr="00917ADB">
        <w:rPr>
          <w:b/>
          <w:sz w:val="24"/>
          <w:szCs w:val="24"/>
        </w:rPr>
        <w:t>Non-</w:t>
      </w:r>
      <w:r w:rsidRPr="00917ADB">
        <w:rPr>
          <w:b/>
          <w:sz w:val="24"/>
          <w:szCs w:val="24"/>
        </w:rPr>
        <w:t>kliniske sikkerhedsdata</w:t>
      </w:r>
    </w:p>
    <w:p w14:paraId="48805EA6" w14:textId="77777777" w:rsidR="00D50D42" w:rsidRPr="00917ADB" w:rsidRDefault="00D50D42" w:rsidP="00917ADB">
      <w:pPr>
        <w:ind w:left="851"/>
        <w:rPr>
          <w:sz w:val="24"/>
          <w:szCs w:val="24"/>
        </w:rPr>
      </w:pPr>
      <w:r w:rsidRPr="00917ADB">
        <w:rPr>
          <w:sz w:val="24"/>
          <w:szCs w:val="24"/>
        </w:rPr>
        <w:t>Non-kliniske data viser ingen speciel risiko for mennesker vurderet ud fra toksicitet efter enkeltdosis, toksicitet efter gentagne doser og genotoksicitet.</w:t>
      </w:r>
    </w:p>
    <w:p w14:paraId="7FBBE28A" w14:textId="77777777" w:rsidR="00D50D42" w:rsidRPr="00917ADB" w:rsidRDefault="00D50D42" w:rsidP="00917ADB">
      <w:pPr>
        <w:ind w:left="851"/>
        <w:rPr>
          <w:bCs/>
          <w:sz w:val="24"/>
          <w:szCs w:val="24"/>
        </w:rPr>
      </w:pPr>
    </w:p>
    <w:p w14:paraId="65EEB8F9" w14:textId="77777777" w:rsidR="00D50D42" w:rsidRPr="00917ADB" w:rsidRDefault="00D50D42" w:rsidP="00917ADB">
      <w:pPr>
        <w:ind w:left="851"/>
        <w:rPr>
          <w:sz w:val="24"/>
          <w:szCs w:val="24"/>
        </w:rPr>
      </w:pPr>
      <w:r w:rsidRPr="00917ADB">
        <w:rPr>
          <w:sz w:val="24"/>
          <w:szCs w:val="24"/>
        </w:rPr>
        <w:t xml:space="preserve">I forsøg med </w:t>
      </w:r>
      <w:proofErr w:type="spellStart"/>
      <w:r w:rsidRPr="00917ADB">
        <w:rPr>
          <w:sz w:val="24"/>
          <w:szCs w:val="24"/>
        </w:rPr>
        <w:t>embryoføtal</w:t>
      </w:r>
      <w:proofErr w:type="spellEnd"/>
      <w:r w:rsidRPr="00917ADB">
        <w:rPr>
          <w:sz w:val="24"/>
          <w:szCs w:val="24"/>
        </w:rPr>
        <w:t xml:space="preserve"> udvikling hos mus var </w:t>
      </w:r>
      <w:proofErr w:type="spellStart"/>
      <w:r w:rsidRPr="00917ADB">
        <w:rPr>
          <w:sz w:val="24"/>
          <w:szCs w:val="24"/>
        </w:rPr>
        <w:t>clobetasolpropionat</w:t>
      </w:r>
      <w:proofErr w:type="spellEnd"/>
      <w:r w:rsidRPr="00917ADB">
        <w:rPr>
          <w:sz w:val="24"/>
          <w:szCs w:val="24"/>
        </w:rPr>
        <w:t xml:space="preserve"> </w:t>
      </w:r>
      <w:proofErr w:type="spellStart"/>
      <w:r w:rsidRPr="00917ADB">
        <w:rPr>
          <w:sz w:val="24"/>
          <w:szCs w:val="24"/>
        </w:rPr>
        <w:t>føtotoksisk</w:t>
      </w:r>
      <w:proofErr w:type="spellEnd"/>
      <w:r w:rsidRPr="00917ADB">
        <w:rPr>
          <w:sz w:val="24"/>
          <w:szCs w:val="24"/>
        </w:rPr>
        <w:t xml:space="preserve"> ved den højeste testede subkutane dosis (1 mg/kg) og </w:t>
      </w:r>
      <w:proofErr w:type="spellStart"/>
      <w:r w:rsidRPr="00917ADB">
        <w:rPr>
          <w:sz w:val="24"/>
          <w:szCs w:val="24"/>
        </w:rPr>
        <w:t>teratogen</w:t>
      </w:r>
      <w:proofErr w:type="spellEnd"/>
      <w:r w:rsidRPr="00917ADB">
        <w:rPr>
          <w:sz w:val="24"/>
          <w:szCs w:val="24"/>
        </w:rPr>
        <w:t xml:space="preserve"> ved alle testede subkutane dosisniveauer op til 0,03 mg/kg. De observerede abnormiteter omfattede ganespalte og skeletmisdannelser. Disse doser er henholdsvis ca. 49 gange og 1,5 gange den daglige kliniske dosis, baseret på kroppens overfladeareal og under antagelse af 100 % systemisk absorption. I lignende forsøg med kaniner var </w:t>
      </w:r>
      <w:proofErr w:type="spellStart"/>
      <w:r w:rsidRPr="00917ADB">
        <w:rPr>
          <w:sz w:val="24"/>
          <w:szCs w:val="24"/>
        </w:rPr>
        <w:t>clobetasolpropionat</w:t>
      </w:r>
      <w:proofErr w:type="spellEnd"/>
      <w:r w:rsidRPr="00917ADB">
        <w:rPr>
          <w:sz w:val="24"/>
          <w:szCs w:val="24"/>
        </w:rPr>
        <w:t xml:space="preserve"> </w:t>
      </w:r>
      <w:proofErr w:type="spellStart"/>
      <w:r w:rsidRPr="00917ADB">
        <w:rPr>
          <w:sz w:val="24"/>
          <w:szCs w:val="24"/>
        </w:rPr>
        <w:t>teratogent</w:t>
      </w:r>
      <w:proofErr w:type="spellEnd"/>
      <w:r w:rsidRPr="00917ADB">
        <w:rPr>
          <w:sz w:val="24"/>
          <w:szCs w:val="24"/>
        </w:rPr>
        <w:t xml:space="preserve"> ved subkutane doser på 3 og 10 </w:t>
      </w:r>
      <w:proofErr w:type="spellStart"/>
      <w:r w:rsidRPr="00917ADB">
        <w:rPr>
          <w:sz w:val="24"/>
          <w:szCs w:val="24"/>
        </w:rPr>
        <w:t>μg</w:t>
      </w:r>
      <w:proofErr w:type="spellEnd"/>
      <w:r w:rsidRPr="00917ADB">
        <w:rPr>
          <w:sz w:val="24"/>
          <w:szCs w:val="24"/>
        </w:rPr>
        <w:t xml:space="preserve">/kg. De observerede defekter omfattede ganespalte, </w:t>
      </w:r>
      <w:proofErr w:type="spellStart"/>
      <w:r w:rsidRPr="00917ADB">
        <w:rPr>
          <w:sz w:val="24"/>
          <w:szCs w:val="24"/>
        </w:rPr>
        <w:t>cranioschisis</w:t>
      </w:r>
      <w:proofErr w:type="spellEnd"/>
      <w:r w:rsidRPr="00917ADB">
        <w:rPr>
          <w:sz w:val="24"/>
          <w:szCs w:val="24"/>
        </w:rPr>
        <w:t xml:space="preserve"> og andre skeletmisdannelser. Disse doser er henholdsvis ca. 0,6 gange og 2 gange den daglige kliniske dosis, som også er estimeret ud fra kroppens overfladeareal og under antagelse af 100 % systemisk absorption.</w:t>
      </w:r>
    </w:p>
    <w:p w14:paraId="123B1794" w14:textId="77777777" w:rsidR="00D50D42" w:rsidRPr="00917ADB" w:rsidRDefault="00D50D42" w:rsidP="00917ADB">
      <w:pPr>
        <w:ind w:left="851"/>
        <w:rPr>
          <w:sz w:val="24"/>
          <w:szCs w:val="24"/>
        </w:rPr>
      </w:pPr>
    </w:p>
    <w:p w14:paraId="00044A8F" w14:textId="77777777" w:rsidR="00D50D42" w:rsidRPr="00917ADB" w:rsidRDefault="00D50D42" w:rsidP="00917ADB">
      <w:pPr>
        <w:ind w:left="851"/>
        <w:rPr>
          <w:sz w:val="24"/>
          <w:szCs w:val="24"/>
          <w:u w:val="single"/>
        </w:rPr>
      </w:pPr>
      <w:r w:rsidRPr="00917ADB">
        <w:rPr>
          <w:sz w:val="24"/>
          <w:szCs w:val="24"/>
          <w:u w:val="single"/>
        </w:rPr>
        <w:t>Vurdering af miljørisiko (ERA)</w:t>
      </w:r>
    </w:p>
    <w:p w14:paraId="3FACEF7F" w14:textId="77777777" w:rsidR="00D50D42" w:rsidRPr="00917ADB" w:rsidRDefault="00D50D42" w:rsidP="00917ADB">
      <w:pPr>
        <w:ind w:left="851"/>
        <w:rPr>
          <w:sz w:val="24"/>
          <w:szCs w:val="24"/>
          <w:u w:val="single"/>
        </w:rPr>
      </w:pPr>
    </w:p>
    <w:p w14:paraId="686CA0AB" w14:textId="77777777" w:rsidR="00D50D42" w:rsidRPr="00917ADB" w:rsidRDefault="00D50D42" w:rsidP="00917ADB">
      <w:pPr>
        <w:ind w:left="851"/>
        <w:rPr>
          <w:sz w:val="24"/>
          <w:szCs w:val="24"/>
        </w:rPr>
      </w:pPr>
      <w:r w:rsidRPr="00917ADB">
        <w:rPr>
          <w:sz w:val="24"/>
          <w:szCs w:val="24"/>
        </w:rPr>
        <w:t xml:space="preserve">Baseret på dets endokrine virkningsmekanisme kan </w:t>
      </w:r>
      <w:proofErr w:type="spellStart"/>
      <w:r w:rsidRPr="00917ADB">
        <w:rPr>
          <w:sz w:val="24"/>
          <w:szCs w:val="24"/>
        </w:rPr>
        <w:t>clobetasolpropionat</w:t>
      </w:r>
      <w:proofErr w:type="spellEnd"/>
      <w:r w:rsidRPr="00917ADB">
        <w:rPr>
          <w:sz w:val="24"/>
          <w:szCs w:val="24"/>
        </w:rPr>
        <w:t xml:space="preserve"> udgøre en risiko for miljømæssige afsnit, især for det </w:t>
      </w:r>
      <w:proofErr w:type="spellStart"/>
      <w:r w:rsidRPr="00917ADB">
        <w:rPr>
          <w:sz w:val="24"/>
          <w:szCs w:val="24"/>
        </w:rPr>
        <w:t>akvatiske</w:t>
      </w:r>
      <w:proofErr w:type="spellEnd"/>
      <w:r w:rsidRPr="00917ADB">
        <w:rPr>
          <w:sz w:val="24"/>
          <w:szCs w:val="24"/>
        </w:rPr>
        <w:t xml:space="preserve"> afsnit.</w:t>
      </w:r>
    </w:p>
    <w:p w14:paraId="67B7FB62" w14:textId="77777777" w:rsidR="009260DE" w:rsidRPr="00917ADB" w:rsidRDefault="009260DE" w:rsidP="009260DE">
      <w:pPr>
        <w:tabs>
          <w:tab w:val="left" w:pos="851"/>
        </w:tabs>
        <w:ind w:left="851"/>
        <w:rPr>
          <w:sz w:val="24"/>
          <w:szCs w:val="24"/>
        </w:rPr>
      </w:pPr>
    </w:p>
    <w:p w14:paraId="1833CD33" w14:textId="77777777" w:rsidR="009260DE" w:rsidRPr="00917ADB" w:rsidRDefault="009260DE" w:rsidP="009260DE">
      <w:pPr>
        <w:tabs>
          <w:tab w:val="left" w:pos="851"/>
        </w:tabs>
        <w:ind w:left="851"/>
        <w:rPr>
          <w:sz w:val="24"/>
          <w:szCs w:val="24"/>
        </w:rPr>
      </w:pPr>
    </w:p>
    <w:p w14:paraId="1653D4E7" w14:textId="77777777" w:rsidR="009260DE" w:rsidRPr="00917ADB" w:rsidRDefault="009260DE" w:rsidP="009260DE">
      <w:pPr>
        <w:tabs>
          <w:tab w:val="left" w:pos="851"/>
        </w:tabs>
        <w:ind w:left="851" w:hanging="851"/>
        <w:rPr>
          <w:b/>
          <w:sz w:val="24"/>
          <w:szCs w:val="24"/>
        </w:rPr>
      </w:pPr>
      <w:r w:rsidRPr="00917ADB">
        <w:rPr>
          <w:b/>
          <w:sz w:val="24"/>
          <w:szCs w:val="24"/>
        </w:rPr>
        <w:t>6.</w:t>
      </w:r>
      <w:r w:rsidRPr="00917ADB">
        <w:rPr>
          <w:b/>
          <w:sz w:val="24"/>
          <w:szCs w:val="24"/>
        </w:rPr>
        <w:tab/>
        <w:t>FARMACEUTISKE OPLYSNINGER</w:t>
      </w:r>
    </w:p>
    <w:p w14:paraId="291B5E50" w14:textId="77777777" w:rsidR="009260DE" w:rsidRPr="00917ADB" w:rsidRDefault="009260DE" w:rsidP="009260DE">
      <w:pPr>
        <w:tabs>
          <w:tab w:val="left" w:pos="851"/>
        </w:tabs>
        <w:ind w:left="851"/>
        <w:rPr>
          <w:sz w:val="24"/>
          <w:szCs w:val="24"/>
        </w:rPr>
      </w:pPr>
    </w:p>
    <w:p w14:paraId="19FDE5FA" w14:textId="77777777" w:rsidR="009260DE" w:rsidRPr="00917ADB" w:rsidRDefault="009260DE" w:rsidP="009260DE">
      <w:pPr>
        <w:tabs>
          <w:tab w:val="left" w:pos="851"/>
        </w:tabs>
        <w:ind w:left="851" w:hanging="851"/>
        <w:rPr>
          <w:b/>
          <w:sz w:val="24"/>
          <w:szCs w:val="24"/>
        </w:rPr>
      </w:pPr>
      <w:r w:rsidRPr="00917ADB">
        <w:rPr>
          <w:b/>
          <w:sz w:val="24"/>
          <w:szCs w:val="24"/>
        </w:rPr>
        <w:t>6.1</w:t>
      </w:r>
      <w:r w:rsidRPr="00917ADB">
        <w:rPr>
          <w:b/>
          <w:sz w:val="24"/>
          <w:szCs w:val="24"/>
        </w:rPr>
        <w:tab/>
        <w:t>Hjælpestoffer</w:t>
      </w:r>
    </w:p>
    <w:p w14:paraId="4A8A548C" w14:textId="77777777" w:rsidR="00D50D42" w:rsidRPr="00917ADB" w:rsidRDefault="00D50D42" w:rsidP="00917ADB">
      <w:pPr>
        <w:ind w:left="851"/>
        <w:rPr>
          <w:sz w:val="24"/>
          <w:szCs w:val="24"/>
        </w:rPr>
      </w:pPr>
      <w:proofErr w:type="spellStart"/>
      <w:r w:rsidRPr="00917ADB">
        <w:rPr>
          <w:sz w:val="24"/>
          <w:szCs w:val="24"/>
        </w:rPr>
        <w:t>Polysorbat</w:t>
      </w:r>
      <w:proofErr w:type="spellEnd"/>
      <w:r w:rsidRPr="00917ADB">
        <w:rPr>
          <w:sz w:val="24"/>
          <w:szCs w:val="24"/>
        </w:rPr>
        <w:t xml:space="preserve"> 80</w:t>
      </w:r>
    </w:p>
    <w:p w14:paraId="37DA4E22" w14:textId="77777777" w:rsidR="00D50D42" w:rsidRPr="00917ADB" w:rsidRDefault="00D50D42" w:rsidP="00917ADB">
      <w:pPr>
        <w:ind w:left="851"/>
        <w:rPr>
          <w:sz w:val="24"/>
          <w:szCs w:val="24"/>
        </w:rPr>
      </w:pPr>
      <w:r w:rsidRPr="00917ADB">
        <w:rPr>
          <w:sz w:val="24"/>
          <w:szCs w:val="24"/>
        </w:rPr>
        <w:t>Mellemkædede triglycerider</w:t>
      </w:r>
    </w:p>
    <w:p w14:paraId="4CF44EEF" w14:textId="77777777" w:rsidR="00D50D42" w:rsidRPr="00917ADB" w:rsidRDefault="00D50D42" w:rsidP="00917ADB">
      <w:pPr>
        <w:ind w:left="851"/>
        <w:rPr>
          <w:sz w:val="24"/>
          <w:szCs w:val="24"/>
        </w:rPr>
      </w:pPr>
      <w:proofErr w:type="spellStart"/>
      <w:r w:rsidRPr="00917ADB">
        <w:rPr>
          <w:sz w:val="24"/>
          <w:szCs w:val="24"/>
        </w:rPr>
        <w:t>Benzalkoniumchlorid</w:t>
      </w:r>
      <w:proofErr w:type="spellEnd"/>
      <w:r w:rsidRPr="00917ADB">
        <w:rPr>
          <w:sz w:val="24"/>
          <w:szCs w:val="24"/>
        </w:rPr>
        <w:t xml:space="preserve"> </w:t>
      </w:r>
    </w:p>
    <w:p w14:paraId="538505D5" w14:textId="77777777" w:rsidR="00D50D42" w:rsidRPr="00917ADB" w:rsidRDefault="00D50D42" w:rsidP="00917ADB">
      <w:pPr>
        <w:ind w:left="851"/>
        <w:rPr>
          <w:sz w:val="24"/>
          <w:szCs w:val="24"/>
        </w:rPr>
      </w:pPr>
      <w:proofErr w:type="spellStart"/>
      <w:r w:rsidRPr="00917ADB">
        <w:rPr>
          <w:sz w:val="24"/>
          <w:szCs w:val="24"/>
        </w:rPr>
        <w:t>Dinatriumedetat</w:t>
      </w:r>
      <w:proofErr w:type="spellEnd"/>
    </w:p>
    <w:p w14:paraId="313DA282" w14:textId="77777777" w:rsidR="00D50D42" w:rsidRPr="00917ADB" w:rsidRDefault="00D50D42" w:rsidP="00917ADB">
      <w:pPr>
        <w:ind w:left="851"/>
        <w:rPr>
          <w:sz w:val="24"/>
          <w:szCs w:val="24"/>
        </w:rPr>
      </w:pPr>
      <w:proofErr w:type="spellStart"/>
      <w:r w:rsidRPr="00917ADB">
        <w:rPr>
          <w:sz w:val="24"/>
          <w:szCs w:val="24"/>
        </w:rPr>
        <w:t>Povidon</w:t>
      </w:r>
      <w:proofErr w:type="spellEnd"/>
      <w:r w:rsidRPr="00917ADB">
        <w:rPr>
          <w:sz w:val="24"/>
          <w:szCs w:val="24"/>
        </w:rPr>
        <w:t xml:space="preserve"> </w:t>
      </w:r>
    </w:p>
    <w:p w14:paraId="24901ECF" w14:textId="77777777" w:rsidR="00D50D42" w:rsidRPr="00917ADB" w:rsidRDefault="00D50D42" w:rsidP="00917ADB">
      <w:pPr>
        <w:ind w:left="851"/>
        <w:rPr>
          <w:sz w:val="24"/>
          <w:szCs w:val="24"/>
        </w:rPr>
      </w:pPr>
      <w:r w:rsidRPr="00917ADB">
        <w:rPr>
          <w:sz w:val="24"/>
          <w:szCs w:val="24"/>
        </w:rPr>
        <w:t>Trometamol</w:t>
      </w:r>
      <w:bookmarkStart w:id="10" w:name="_Hlk154849034"/>
      <w:r w:rsidRPr="00917ADB">
        <w:rPr>
          <w:sz w:val="24"/>
          <w:szCs w:val="24"/>
        </w:rPr>
        <w:t>/</w:t>
      </w:r>
      <w:proofErr w:type="spellStart"/>
      <w:r w:rsidRPr="00917ADB">
        <w:rPr>
          <w:sz w:val="24"/>
          <w:szCs w:val="24"/>
        </w:rPr>
        <w:t>trometamolhydrochlorid</w:t>
      </w:r>
      <w:bookmarkEnd w:id="10"/>
      <w:proofErr w:type="spellEnd"/>
      <w:r w:rsidRPr="00917ADB">
        <w:rPr>
          <w:sz w:val="24"/>
          <w:szCs w:val="24"/>
        </w:rPr>
        <w:t xml:space="preserve"> (til pH-justering)</w:t>
      </w:r>
    </w:p>
    <w:p w14:paraId="47FAACE9" w14:textId="77777777" w:rsidR="00D50D42" w:rsidRPr="00917ADB" w:rsidRDefault="00D50D42" w:rsidP="00917ADB">
      <w:pPr>
        <w:ind w:left="851"/>
        <w:rPr>
          <w:sz w:val="24"/>
          <w:szCs w:val="24"/>
        </w:rPr>
      </w:pPr>
      <w:r w:rsidRPr="00917ADB">
        <w:rPr>
          <w:sz w:val="24"/>
          <w:szCs w:val="24"/>
        </w:rPr>
        <w:t>Glycerol</w:t>
      </w:r>
    </w:p>
    <w:p w14:paraId="76C84BF2" w14:textId="77777777" w:rsidR="00D50D42" w:rsidRPr="00917ADB" w:rsidRDefault="00D50D42" w:rsidP="00917ADB">
      <w:pPr>
        <w:ind w:left="851"/>
        <w:rPr>
          <w:sz w:val="24"/>
          <w:szCs w:val="24"/>
        </w:rPr>
      </w:pPr>
      <w:r w:rsidRPr="00917ADB">
        <w:rPr>
          <w:sz w:val="24"/>
          <w:szCs w:val="24"/>
        </w:rPr>
        <w:t>Vand til injektionsvæsker</w:t>
      </w:r>
    </w:p>
    <w:p w14:paraId="252516B4" w14:textId="77777777" w:rsidR="009260DE" w:rsidRPr="00917ADB" w:rsidRDefault="009260DE" w:rsidP="009260DE">
      <w:pPr>
        <w:tabs>
          <w:tab w:val="left" w:pos="851"/>
        </w:tabs>
        <w:ind w:left="851"/>
        <w:rPr>
          <w:sz w:val="24"/>
          <w:szCs w:val="24"/>
        </w:rPr>
      </w:pPr>
    </w:p>
    <w:p w14:paraId="1AE4C611" w14:textId="77777777" w:rsidR="009260DE" w:rsidRPr="00917ADB" w:rsidRDefault="009260DE" w:rsidP="009260DE">
      <w:pPr>
        <w:tabs>
          <w:tab w:val="left" w:pos="851"/>
        </w:tabs>
        <w:ind w:left="851" w:hanging="851"/>
        <w:rPr>
          <w:b/>
          <w:sz w:val="24"/>
          <w:szCs w:val="24"/>
        </w:rPr>
      </w:pPr>
      <w:r w:rsidRPr="00917ADB">
        <w:rPr>
          <w:b/>
          <w:sz w:val="24"/>
          <w:szCs w:val="24"/>
        </w:rPr>
        <w:t>6.2</w:t>
      </w:r>
      <w:r w:rsidRPr="00917ADB">
        <w:rPr>
          <w:b/>
          <w:sz w:val="24"/>
          <w:szCs w:val="24"/>
        </w:rPr>
        <w:tab/>
        <w:t>Uforligeligheder</w:t>
      </w:r>
    </w:p>
    <w:p w14:paraId="29AC0F09" w14:textId="77777777" w:rsidR="00D50D42" w:rsidRPr="00917ADB" w:rsidRDefault="00D50D42" w:rsidP="00917ADB">
      <w:pPr>
        <w:ind w:left="851"/>
        <w:rPr>
          <w:sz w:val="24"/>
          <w:szCs w:val="24"/>
        </w:rPr>
      </w:pPr>
      <w:r w:rsidRPr="00917ADB">
        <w:rPr>
          <w:sz w:val="24"/>
          <w:szCs w:val="24"/>
        </w:rPr>
        <w:t>Ikke relevant.</w:t>
      </w:r>
    </w:p>
    <w:p w14:paraId="74FEC17D" w14:textId="77777777" w:rsidR="009260DE" w:rsidRPr="00917ADB" w:rsidRDefault="009260DE" w:rsidP="009260DE">
      <w:pPr>
        <w:tabs>
          <w:tab w:val="left" w:pos="851"/>
        </w:tabs>
        <w:ind w:left="851"/>
        <w:rPr>
          <w:sz w:val="24"/>
          <w:szCs w:val="24"/>
        </w:rPr>
      </w:pPr>
    </w:p>
    <w:p w14:paraId="6C51BB8A" w14:textId="77777777" w:rsidR="009260DE" w:rsidRPr="00917ADB" w:rsidRDefault="009260DE" w:rsidP="009260DE">
      <w:pPr>
        <w:tabs>
          <w:tab w:val="left" w:pos="851"/>
        </w:tabs>
        <w:ind w:left="851" w:hanging="851"/>
        <w:rPr>
          <w:b/>
          <w:sz w:val="24"/>
          <w:szCs w:val="24"/>
        </w:rPr>
      </w:pPr>
      <w:r w:rsidRPr="00917ADB">
        <w:rPr>
          <w:b/>
          <w:sz w:val="24"/>
          <w:szCs w:val="24"/>
        </w:rPr>
        <w:t>6.3</w:t>
      </w:r>
      <w:r w:rsidRPr="00917ADB">
        <w:rPr>
          <w:b/>
          <w:sz w:val="24"/>
          <w:szCs w:val="24"/>
        </w:rPr>
        <w:tab/>
        <w:t>Opbevaringstid</w:t>
      </w:r>
    </w:p>
    <w:p w14:paraId="3DCBAAB0" w14:textId="77777777" w:rsidR="00D50D42" w:rsidRPr="00917ADB" w:rsidRDefault="00D50D42" w:rsidP="00917ADB">
      <w:pPr>
        <w:ind w:left="851"/>
        <w:rPr>
          <w:sz w:val="24"/>
          <w:szCs w:val="24"/>
        </w:rPr>
      </w:pPr>
      <w:r w:rsidRPr="00917ADB">
        <w:rPr>
          <w:sz w:val="24"/>
          <w:szCs w:val="24"/>
        </w:rPr>
        <w:t>3 år.</w:t>
      </w:r>
    </w:p>
    <w:p w14:paraId="5A70EB83" w14:textId="77777777" w:rsidR="009260DE" w:rsidRPr="00917ADB" w:rsidRDefault="009260DE" w:rsidP="009260DE">
      <w:pPr>
        <w:tabs>
          <w:tab w:val="left" w:pos="851"/>
        </w:tabs>
        <w:ind w:left="851"/>
        <w:rPr>
          <w:sz w:val="24"/>
          <w:szCs w:val="24"/>
        </w:rPr>
      </w:pPr>
    </w:p>
    <w:p w14:paraId="3907D9C1" w14:textId="77777777" w:rsidR="009260DE" w:rsidRPr="00917ADB" w:rsidRDefault="009260DE" w:rsidP="009260DE">
      <w:pPr>
        <w:tabs>
          <w:tab w:val="left" w:pos="851"/>
        </w:tabs>
        <w:ind w:left="851" w:hanging="851"/>
        <w:rPr>
          <w:b/>
          <w:sz w:val="24"/>
          <w:szCs w:val="24"/>
        </w:rPr>
      </w:pPr>
      <w:r w:rsidRPr="00917ADB">
        <w:rPr>
          <w:b/>
          <w:sz w:val="24"/>
          <w:szCs w:val="24"/>
        </w:rPr>
        <w:t>6.4</w:t>
      </w:r>
      <w:r w:rsidRPr="00917ADB">
        <w:rPr>
          <w:b/>
          <w:sz w:val="24"/>
          <w:szCs w:val="24"/>
        </w:rPr>
        <w:tab/>
        <w:t>Særlige opbevaringsforhold</w:t>
      </w:r>
    </w:p>
    <w:p w14:paraId="748957BB" w14:textId="6DFF8AF5" w:rsidR="00D50D42" w:rsidRPr="00917ADB" w:rsidRDefault="00D50D42" w:rsidP="00917ADB">
      <w:pPr>
        <w:ind w:left="851"/>
        <w:rPr>
          <w:sz w:val="24"/>
          <w:szCs w:val="24"/>
        </w:rPr>
      </w:pPr>
      <w:bookmarkStart w:id="11" w:name="_Hlk187659547"/>
      <w:bookmarkStart w:id="12" w:name="_Hlk154848786"/>
      <w:r w:rsidRPr="00917ADB">
        <w:rPr>
          <w:sz w:val="24"/>
          <w:szCs w:val="24"/>
        </w:rPr>
        <w:t>Der er ingen særlige krav vedrørende opbevaringstemperaturer for dette lægemiddel.</w:t>
      </w:r>
      <w:bookmarkEnd w:id="11"/>
      <w:r w:rsidRPr="00917ADB">
        <w:rPr>
          <w:sz w:val="24"/>
          <w:szCs w:val="24"/>
        </w:rPr>
        <w:t xml:space="preserve"> Opbevar enkeltdosisbeholderne i posen for at beskytte dem mod lys. </w:t>
      </w:r>
    </w:p>
    <w:p w14:paraId="53F78D5B" w14:textId="77777777" w:rsidR="00D50D42" w:rsidRPr="00917ADB" w:rsidRDefault="00D50D42" w:rsidP="00917ADB">
      <w:pPr>
        <w:ind w:left="851"/>
        <w:rPr>
          <w:sz w:val="24"/>
          <w:szCs w:val="24"/>
        </w:rPr>
      </w:pPr>
    </w:p>
    <w:p w14:paraId="5AF6AF9A" w14:textId="77777777" w:rsidR="00D50D42" w:rsidRPr="00917ADB" w:rsidRDefault="00D50D42" w:rsidP="00917ADB">
      <w:pPr>
        <w:ind w:left="851"/>
        <w:rPr>
          <w:sz w:val="24"/>
          <w:szCs w:val="24"/>
        </w:rPr>
      </w:pPr>
      <w:r w:rsidRPr="00917ADB">
        <w:rPr>
          <w:sz w:val="24"/>
          <w:szCs w:val="24"/>
        </w:rPr>
        <w:t xml:space="preserve">Efter første åbning af enkeltdosisbeholderen: Brug straks, og kassér enkeltdosisbeholderen efter brug. </w:t>
      </w:r>
    </w:p>
    <w:bookmarkEnd w:id="12"/>
    <w:p w14:paraId="44BB9517" w14:textId="77777777" w:rsidR="00D50D42" w:rsidRPr="00917ADB" w:rsidRDefault="00D50D42" w:rsidP="00917ADB">
      <w:pPr>
        <w:ind w:left="851"/>
        <w:rPr>
          <w:sz w:val="24"/>
          <w:szCs w:val="24"/>
        </w:rPr>
      </w:pPr>
      <w:r w:rsidRPr="00917ADB">
        <w:rPr>
          <w:sz w:val="24"/>
          <w:szCs w:val="24"/>
        </w:rPr>
        <w:t>Når posen er åbnet, skal enkeltdosisbeholderne bruges inden for 30 dage.</w:t>
      </w:r>
    </w:p>
    <w:p w14:paraId="26DA8A3A" w14:textId="77777777" w:rsidR="009260DE" w:rsidRPr="00917ADB" w:rsidRDefault="009260DE" w:rsidP="009260DE">
      <w:pPr>
        <w:tabs>
          <w:tab w:val="left" w:pos="851"/>
        </w:tabs>
        <w:ind w:left="851"/>
        <w:rPr>
          <w:sz w:val="24"/>
          <w:szCs w:val="24"/>
        </w:rPr>
      </w:pPr>
    </w:p>
    <w:p w14:paraId="28F59DED" w14:textId="77777777" w:rsidR="009260DE" w:rsidRPr="00917ADB" w:rsidRDefault="009260DE" w:rsidP="009260DE">
      <w:pPr>
        <w:tabs>
          <w:tab w:val="left" w:pos="851"/>
        </w:tabs>
        <w:ind w:left="851" w:hanging="851"/>
        <w:rPr>
          <w:b/>
          <w:sz w:val="24"/>
          <w:szCs w:val="24"/>
        </w:rPr>
      </w:pPr>
      <w:r w:rsidRPr="00917ADB">
        <w:rPr>
          <w:b/>
          <w:sz w:val="24"/>
          <w:szCs w:val="24"/>
        </w:rPr>
        <w:t>6.5</w:t>
      </w:r>
      <w:r w:rsidRPr="00917ADB">
        <w:rPr>
          <w:b/>
          <w:sz w:val="24"/>
          <w:szCs w:val="24"/>
        </w:rPr>
        <w:tab/>
        <w:t>Emballagetype og pakningsstørrelser</w:t>
      </w:r>
    </w:p>
    <w:p w14:paraId="309A4690" w14:textId="77777777" w:rsidR="00D50D42" w:rsidRPr="00917ADB" w:rsidRDefault="00D50D42" w:rsidP="00917ADB">
      <w:pPr>
        <w:ind w:left="851"/>
        <w:rPr>
          <w:sz w:val="24"/>
          <w:szCs w:val="24"/>
        </w:rPr>
      </w:pPr>
      <w:proofErr w:type="spellStart"/>
      <w:r w:rsidRPr="00917ADB">
        <w:rPr>
          <w:sz w:val="24"/>
          <w:szCs w:val="24"/>
        </w:rPr>
        <w:t>Uvesol</w:t>
      </w:r>
      <w:proofErr w:type="spellEnd"/>
      <w:r w:rsidRPr="00917ADB">
        <w:rPr>
          <w:sz w:val="24"/>
          <w:szCs w:val="24"/>
        </w:rPr>
        <w:t xml:space="preserve"> er en steril emulsion, der leveres i en formet enkeltdosisbeholder af </w:t>
      </w:r>
      <w:proofErr w:type="spellStart"/>
      <w:r w:rsidRPr="00917ADB">
        <w:rPr>
          <w:sz w:val="24"/>
          <w:szCs w:val="24"/>
        </w:rPr>
        <w:t>lavdensitetspolyethylen</w:t>
      </w:r>
      <w:proofErr w:type="spellEnd"/>
      <w:r w:rsidRPr="00917ADB">
        <w:rPr>
          <w:sz w:val="24"/>
          <w:szCs w:val="24"/>
        </w:rPr>
        <w:t xml:space="preserve"> (LDPE) med ca. 0,20 ml produkt. To strips med hver 5 enkeltdosisbeholdere er pakket i en overtrækspose af aluminiumsfolie og en kartonæske. </w:t>
      </w:r>
    </w:p>
    <w:p w14:paraId="2991E119" w14:textId="77777777" w:rsidR="00D50D42" w:rsidRPr="00917ADB" w:rsidRDefault="00D50D42" w:rsidP="00917ADB">
      <w:pPr>
        <w:ind w:left="851"/>
        <w:rPr>
          <w:sz w:val="24"/>
          <w:szCs w:val="24"/>
        </w:rPr>
      </w:pPr>
    </w:p>
    <w:p w14:paraId="5C754D4E" w14:textId="77777777" w:rsidR="00D50D42" w:rsidRPr="00917ADB" w:rsidRDefault="00D50D42" w:rsidP="00917ADB">
      <w:pPr>
        <w:ind w:left="851"/>
        <w:rPr>
          <w:sz w:val="24"/>
          <w:szCs w:val="24"/>
        </w:rPr>
      </w:pPr>
      <w:r w:rsidRPr="00917ADB">
        <w:rPr>
          <w:sz w:val="24"/>
          <w:szCs w:val="24"/>
        </w:rPr>
        <w:t>Pakningsstørrelser: 30 eller 60 enkeltdosisbeholdere i henholdsvis 3 eller 6 aluminiumsfolieposer.</w:t>
      </w:r>
    </w:p>
    <w:p w14:paraId="46E5D064" w14:textId="77777777" w:rsidR="00917ADB" w:rsidRPr="00917ADB" w:rsidRDefault="00917ADB" w:rsidP="00917ADB">
      <w:pPr>
        <w:pStyle w:val="NormalWeb"/>
        <w:spacing w:before="0" w:beforeAutospacing="0" w:after="0" w:afterAutospacing="0"/>
        <w:ind w:left="851"/>
      </w:pPr>
      <w:r w:rsidRPr="00917ADB">
        <w:t>Ikke alle pakningsstørrelser er nødvendigvis markedsført.</w:t>
      </w:r>
    </w:p>
    <w:p w14:paraId="47359AAF" w14:textId="77777777" w:rsidR="009260DE" w:rsidRPr="00917ADB" w:rsidRDefault="009260DE" w:rsidP="009260DE">
      <w:pPr>
        <w:tabs>
          <w:tab w:val="left" w:pos="851"/>
        </w:tabs>
        <w:ind w:left="851"/>
        <w:rPr>
          <w:sz w:val="24"/>
          <w:szCs w:val="24"/>
        </w:rPr>
      </w:pPr>
    </w:p>
    <w:p w14:paraId="6E7BFBAC" w14:textId="77777777" w:rsidR="009260DE" w:rsidRPr="00917ADB" w:rsidRDefault="009260DE" w:rsidP="009260DE">
      <w:pPr>
        <w:tabs>
          <w:tab w:val="left" w:pos="851"/>
        </w:tabs>
        <w:ind w:left="851" w:hanging="851"/>
        <w:rPr>
          <w:b/>
          <w:sz w:val="24"/>
          <w:szCs w:val="24"/>
        </w:rPr>
      </w:pPr>
      <w:r w:rsidRPr="00917ADB">
        <w:rPr>
          <w:b/>
          <w:sz w:val="24"/>
          <w:szCs w:val="24"/>
        </w:rPr>
        <w:t>6.6</w:t>
      </w:r>
      <w:r w:rsidRPr="00917ADB">
        <w:rPr>
          <w:b/>
          <w:sz w:val="24"/>
          <w:szCs w:val="24"/>
        </w:rPr>
        <w:tab/>
        <w:t xml:space="preserve">Regler for </w:t>
      </w:r>
      <w:r w:rsidR="00BD7931" w:rsidRPr="00917ADB">
        <w:rPr>
          <w:b/>
          <w:sz w:val="24"/>
          <w:szCs w:val="24"/>
        </w:rPr>
        <w:t>bortskaffelse</w:t>
      </w:r>
      <w:r w:rsidRPr="00917ADB">
        <w:rPr>
          <w:b/>
          <w:sz w:val="24"/>
          <w:szCs w:val="24"/>
        </w:rPr>
        <w:t xml:space="preserve"> og anden håndtering</w:t>
      </w:r>
    </w:p>
    <w:p w14:paraId="2F095FC2" w14:textId="77777777" w:rsidR="00D50D42" w:rsidRPr="00917ADB" w:rsidRDefault="00D50D42" w:rsidP="00917ADB">
      <w:pPr>
        <w:ind w:left="851"/>
        <w:rPr>
          <w:i/>
          <w:iCs/>
          <w:noProof/>
          <w:sz w:val="24"/>
          <w:szCs w:val="24"/>
        </w:rPr>
      </w:pPr>
      <w:r w:rsidRPr="00917ADB">
        <w:rPr>
          <w:sz w:val="24"/>
          <w:szCs w:val="24"/>
        </w:rPr>
        <w:t>Ikke anvendt lægemiddel samt affald heraf skal bortskaffes i henhold til lokale retningslinjer.</w:t>
      </w:r>
    </w:p>
    <w:p w14:paraId="41884950" w14:textId="77777777" w:rsidR="009260DE" w:rsidRPr="00917ADB" w:rsidRDefault="009260DE" w:rsidP="000730CA">
      <w:pPr>
        <w:tabs>
          <w:tab w:val="left" w:pos="851"/>
        </w:tabs>
        <w:ind w:left="851"/>
        <w:rPr>
          <w:sz w:val="24"/>
          <w:szCs w:val="24"/>
        </w:rPr>
      </w:pPr>
    </w:p>
    <w:p w14:paraId="24716C50" w14:textId="77777777" w:rsidR="009260DE" w:rsidRPr="00917ADB" w:rsidRDefault="009260DE" w:rsidP="009260DE">
      <w:pPr>
        <w:tabs>
          <w:tab w:val="left" w:pos="851"/>
        </w:tabs>
        <w:ind w:left="851" w:hanging="851"/>
        <w:rPr>
          <w:b/>
          <w:sz w:val="24"/>
          <w:szCs w:val="24"/>
        </w:rPr>
      </w:pPr>
      <w:r w:rsidRPr="00917ADB">
        <w:rPr>
          <w:b/>
          <w:sz w:val="24"/>
          <w:szCs w:val="24"/>
        </w:rPr>
        <w:t>7.</w:t>
      </w:r>
      <w:r w:rsidRPr="00917ADB">
        <w:rPr>
          <w:b/>
          <w:sz w:val="24"/>
          <w:szCs w:val="24"/>
        </w:rPr>
        <w:tab/>
        <w:t>INDEHAVER AF MARKEDSFØRINGSTILLADELSEN</w:t>
      </w:r>
    </w:p>
    <w:p w14:paraId="0F71DE34" w14:textId="77777777" w:rsidR="00D50D42" w:rsidRPr="00917ADB" w:rsidRDefault="00D50D42" w:rsidP="00917ADB">
      <w:pPr>
        <w:ind w:left="851"/>
        <w:rPr>
          <w:sz w:val="24"/>
          <w:szCs w:val="24"/>
        </w:rPr>
      </w:pPr>
      <w:proofErr w:type="spellStart"/>
      <w:r w:rsidRPr="00917ADB">
        <w:rPr>
          <w:sz w:val="24"/>
          <w:szCs w:val="24"/>
        </w:rPr>
        <w:t>Laboratorios</w:t>
      </w:r>
      <w:proofErr w:type="spellEnd"/>
      <w:r w:rsidRPr="00917ADB">
        <w:rPr>
          <w:sz w:val="24"/>
          <w:szCs w:val="24"/>
        </w:rPr>
        <w:t xml:space="preserve"> </w:t>
      </w:r>
      <w:proofErr w:type="spellStart"/>
      <w:r w:rsidRPr="00917ADB">
        <w:rPr>
          <w:sz w:val="24"/>
          <w:szCs w:val="24"/>
        </w:rPr>
        <w:t>Salvat</w:t>
      </w:r>
      <w:proofErr w:type="spellEnd"/>
      <w:r w:rsidRPr="00917ADB">
        <w:rPr>
          <w:sz w:val="24"/>
          <w:szCs w:val="24"/>
        </w:rPr>
        <w:t>, S.A.</w:t>
      </w:r>
    </w:p>
    <w:p w14:paraId="1E663348" w14:textId="77777777" w:rsidR="00D50D42" w:rsidRPr="00917ADB" w:rsidRDefault="00D50D42" w:rsidP="00917ADB">
      <w:pPr>
        <w:ind w:left="851"/>
        <w:rPr>
          <w:sz w:val="24"/>
          <w:szCs w:val="24"/>
          <w:lang w:val="en-US"/>
        </w:rPr>
      </w:pPr>
      <w:r w:rsidRPr="00917ADB">
        <w:rPr>
          <w:sz w:val="24"/>
          <w:szCs w:val="24"/>
          <w:lang w:val="en-US"/>
        </w:rPr>
        <w:t xml:space="preserve">Gall, 30-36 - 08950 </w:t>
      </w:r>
    </w:p>
    <w:p w14:paraId="51CA0215" w14:textId="77777777" w:rsidR="00D50D42" w:rsidRPr="00917ADB" w:rsidRDefault="00D50D42" w:rsidP="00917ADB">
      <w:pPr>
        <w:ind w:left="851"/>
        <w:rPr>
          <w:sz w:val="24"/>
          <w:szCs w:val="24"/>
          <w:lang w:val="en-US"/>
        </w:rPr>
      </w:pPr>
      <w:proofErr w:type="spellStart"/>
      <w:r w:rsidRPr="00917ADB">
        <w:rPr>
          <w:sz w:val="24"/>
          <w:szCs w:val="24"/>
          <w:lang w:val="en-US"/>
        </w:rPr>
        <w:t>Esplugues</w:t>
      </w:r>
      <w:proofErr w:type="spellEnd"/>
      <w:r w:rsidRPr="00917ADB">
        <w:rPr>
          <w:sz w:val="24"/>
          <w:szCs w:val="24"/>
          <w:lang w:val="en-US"/>
        </w:rPr>
        <w:t xml:space="preserve"> de </w:t>
      </w:r>
      <w:proofErr w:type="spellStart"/>
      <w:r w:rsidRPr="00917ADB">
        <w:rPr>
          <w:sz w:val="24"/>
          <w:szCs w:val="24"/>
          <w:lang w:val="en-US"/>
        </w:rPr>
        <w:t>Llobregat</w:t>
      </w:r>
      <w:proofErr w:type="spellEnd"/>
      <w:r w:rsidRPr="00917ADB">
        <w:rPr>
          <w:sz w:val="24"/>
          <w:szCs w:val="24"/>
          <w:lang w:val="en-US"/>
        </w:rPr>
        <w:t xml:space="preserve"> (Barcelona) </w:t>
      </w:r>
    </w:p>
    <w:p w14:paraId="4DBED0EC" w14:textId="77777777" w:rsidR="00D50D42" w:rsidRPr="00917ADB" w:rsidRDefault="00D50D42" w:rsidP="00917ADB">
      <w:pPr>
        <w:ind w:left="851"/>
        <w:rPr>
          <w:sz w:val="24"/>
          <w:szCs w:val="24"/>
        </w:rPr>
      </w:pPr>
      <w:r w:rsidRPr="00917ADB">
        <w:rPr>
          <w:sz w:val="24"/>
          <w:szCs w:val="24"/>
        </w:rPr>
        <w:t>Spanien</w:t>
      </w:r>
    </w:p>
    <w:p w14:paraId="6748EA5F" w14:textId="77777777" w:rsidR="00641C65" w:rsidRPr="00917ADB" w:rsidRDefault="00641C65" w:rsidP="009260DE">
      <w:pPr>
        <w:tabs>
          <w:tab w:val="left" w:pos="851"/>
        </w:tabs>
        <w:ind w:left="851"/>
        <w:rPr>
          <w:sz w:val="24"/>
          <w:szCs w:val="24"/>
        </w:rPr>
      </w:pPr>
    </w:p>
    <w:p w14:paraId="73542AA1" w14:textId="77777777" w:rsidR="009260DE" w:rsidRPr="00917ADB" w:rsidRDefault="009260DE" w:rsidP="009260DE">
      <w:pPr>
        <w:tabs>
          <w:tab w:val="left" w:pos="851"/>
        </w:tabs>
        <w:ind w:left="851" w:hanging="851"/>
        <w:rPr>
          <w:b/>
          <w:sz w:val="24"/>
          <w:szCs w:val="24"/>
        </w:rPr>
      </w:pPr>
      <w:r w:rsidRPr="00917ADB">
        <w:rPr>
          <w:b/>
          <w:sz w:val="24"/>
          <w:szCs w:val="24"/>
        </w:rPr>
        <w:t>8.</w:t>
      </w:r>
      <w:r w:rsidRPr="00917ADB">
        <w:rPr>
          <w:b/>
          <w:sz w:val="24"/>
          <w:szCs w:val="24"/>
        </w:rPr>
        <w:tab/>
        <w:t>MARKEDSFØRINGSTILLADELSESNUMMER (</w:t>
      </w:r>
      <w:r w:rsidR="00BF6243" w:rsidRPr="00917ADB">
        <w:rPr>
          <w:b/>
          <w:sz w:val="24"/>
          <w:szCs w:val="24"/>
        </w:rPr>
        <w:t>-</w:t>
      </w:r>
      <w:r w:rsidRPr="00917ADB">
        <w:rPr>
          <w:b/>
          <w:sz w:val="24"/>
          <w:szCs w:val="24"/>
        </w:rPr>
        <w:t>NUMRE)</w:t>
      </w:r>
    </w:p>
    <w:p w14:paraId="7EF466CF" w14:textId="0F7BD5BF" w:rsidR="009260DE" w:rsidRPr="00917ADB" w:rsidRDefault="00D50D42" w:rsidP="009260DE">
      <w:pPr>
        <w:tabs>
          <w:tab w:val="left" w:pos="851"/>
        </w:tabs>
        <w:ind w:left="851"/>
        <w:rPr>
          <w:sz w:val="24"/>
          <w:szCs w:val="24"/>
        </w:rPr>
      </w:pPr>
      <w:r w:rsidRPr="00917ADB">
        <w:rPr>
          <w:sz w:val="24"/>
          <w:szCs w:val="24"/>
        </w:rPr>
        <w:t>71</w:t>
      </w:r>
      <w:r w:rsidR="00917ADB" w:rsidRPr="00917ADB">
        <w:rPr>
          <w:sz w:val="24"/>
          <w:szCs w:val="24"/>
        </w:rPr>
        <w:t>302</w:t>
      </w:r>
    </w:p>
    <w:p w14:paraId="01190B04" w14:textId="77777777" w:rsidR="009260DE" w:rsidRPr="00917ADB" w:rsidRDefault="009260DE" w:rsidP="009260DE">
      <w:pPr>
        <w:tabs>
          <w:tab w:val="left" w:pos="851"/>
        </w:tabs>
        <w:ind w:left="851"/>
        <w:jc w:val="both"/>
        <w:rPr>
          <w:sz w:val="24"/>
          <w:szCs w:val="24"/>
        </w:rPr>
      </w:pPr>
    </w:p>
    <w:p w14:paraId="38C836A6" w14:textId="77777777" w:rsidR="009260DE" w:rsidRPr="00917ADB" w:rsidRDefault="009260DE" w:rsidP="009260DE">
      <w:pPr>
        <w:tabs>
          <w:tab w:val="left" w:pos="851"/>
        </w:tabs>
        <w:ind w:left="851" w:hanging="851"/>
        <w:rPr>
          <w:b/>
          <w:sz w:val="24"/>
          <w:szCs w:val="24"/>
        </w:rPr>
      </w:pPr>
      <w:r w:rsidRPr="00917ADB">
        <w:rPr>
          <w:b/>
          <w:sz w:val="24"/>
          <w:szCs w:val="24"/>
        </w:rPr>
        <w:t>9.</w:t>
      </w:r>
      <w:r w:rsidRPr="00917ADB">
        <w:rPr>
          <w:b/>
          <w:sz w:val="24"/>
          <w:szCs w:val="24"/>
        </w:rPr>
        <w:tab/>
        <w:t>DATO FOR FØRSTE MARKEDSFØRINGSTILLADELSE</w:t>
      </w:r>
    </w:p>
    <w:p w14:paraId="73E55FDC" w14:textId="0B869A1D" w:rsidR="009260DE" w:rsidRPr="00917ADB" w:rsidRDefault="001220E9" w:rsidP="009260DE">
      <w:pPr>
        <w:tabs>
          <w:tab w:val="left" w:pos="851"/>
        </w:tabs>
        <w:ind w:left="851"/>
        <w:rPr>
          <w:sz w:val="24"/>
          <w:szCs w:val="24"/>
        </w:rPr>
      </w:pPr>
      <w:r>
        <w:rPr>
          <w:sz w:val="24"/>
          <w:szCs w:val="24"/>
        </w:rPr>
        <w:t>17. juni 2025</w:t>
      </w:r>
    </w:p>
    <w:p w14:paraId="419B7342" w14:textId="77777777" w:rsidR="009260DE" w:rsidRPr="00917ADB" w:rsidRDefault="009260DE" w:rsidP="009260DE">
      <w:pPr>
        <w:tabs>
          <w:tab w:val="left" w:pos="851"/>
        </w:tabs>
        <w:ind w:left="851"/>
        <w:rPr>
          <w:sz w:val="24"/>
          <w:szCs w:val="24"/>
        </w:rPr>
      </w:pPr>
    </w:p>
    <w:p w14:paraId="03A17A08" w14:textId="77777777" w:rsidR="009260DE" w:rsidRPr="00917ADB" w:rsidRDefault="009260DE" w:rsidP="009260DE">
      <w:pPr>
        <w:tabs>
          <w:tab w:val="left" w:pos="851"/>
        </w:tabs>
        <w:ind w:left="851" w:hanging="851"/>
        <w:rPr>
          <w:b/>
          <w:sz w:val="24"/>
          <w:szCs w:val="24"/>
        </w:rPr>
      </w:pPr>
      <w:r w:rsidRPr="00917ADB">
        <w:rPr>
          <w:b/>
          <w:sz w:val="24"/>
          <w:szCs w:val="24"/>
        </w:rPr>
        <w:t>10.</w:t>
      </w:r>
      <w:r w:rsidRPr="00917ADB">
        <w:rPr>
          <w:b/>
          <w:sz w:val="24"/>
          <w:szCs w:val="24"/>
        </w:rPr>
        <w:tab/>
        <w:t>DATO FOR ÆNDRING AF TEKSTEN</w:t>
      </w:r>
    </w:p>
    <w:p w14:paraId="64D32A38" w14:textId="4E07615D" w:rsidR="009260DE" w:rsidRPr="00917ADB" w:rsidRDefault="00917ADB" w:rsidP="009260DE">
      <w:pPr>
        <w:tabs>
          <w:tab w:val="left" w:pos="851"/>
        </w:tabs>
        <w:ind w:left="851"/>
        <w:rPr>
          <w:sz w:val="24"/>
          <w:szCs w:val="24"/>
        </w:rPr>
      </w:pPr>
      <w:r w:rsidRPr="00917ADB">
        <w:rPr>
          <w:sz w:val="24"/>
          <w:szCs w:val="24"/>
        </w:rPr>
        <w:t>-</w:t>
      </w:r>
    </w:p>
    <w:sectPr w:rsidR="009260DE" w:rsidRPr="00917AD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0640E" w14:textId="77777777" w:rsidR="008673A1" w:rsidRDefault="008673A1">
      <w:r>
        <w:separator/>
      </w:r>
    </w:p>
  </w:endnote>
  <w:endnote w:type="continuationSeparator" w:id="0">
    <w:p w14:paraId="1AACAD11" w14:textId="77777777" w:rsidR="008673A1" w:rsidRDefault="0086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4C00" w14:textId="77777777" w:rsidR="000259B9" w:rsidRDefault="000259B9">
    <w:pPr>
      <w:pStyle w:val="Sidefod"/>
      <w:pBdr>
        <w:bottom w:val="single" w:sz="6" w:space="1" w:color="auto"/>
      </w:pBdr>
    </w:pPr>
  </w:p>
  <w:p w14:paraId="26366E59" w14:textId="77777777" w:rsidR="000259B9" w:rsidRDefault="000259B9" w:rsidP="00C42586">
    <w:pPr>
      <w:pStyle w:val="Sidefod"/>
      <w:tabs>
        <w:tab w:val="clear" w:pos="4819"/>
        <w:tab w:val="left" w:pos="8505"/>
      </w:tabs>
      <w:rPr>
        <w:i/>
        <w:sz w:val="18"/>
        <w:szCs w:val="18"/>
      </w:rPr>
    </w:pPr>
  </w:p>
  <w:p w14:paraId="113417B7" w14:textId="2C312EE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85459">
      <w:rPr>
        <w:i/>
        <w:noProof/>
        <w:sz w:val="18"/>
        <w:szCs w:val="18"/>
      </w:rPr>
      <w:t>Uvesol, øjendråber, emulsion i enkeltdosisbeholder 0,5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6D1D5" w14:textId="77777777" w:rsidR="008673A1" w:rsidRDefault="008673A1">
      <w:r>
        <w:separator/>
      </w:r>
    </w:p>
  </w:footnote>
  <w:footnote w:type="continuationSeparator" w:id="0">
    <w:p w14:paraId="5AC881B2" w14:textId="77777777" w:rsidR="008673A1" w:rsidRDefault="00867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A4E"/>
    <w:multiLevelType w:val="hybridMultilevel"/>
    <w:tmpl w:val="5D96DDA6"/>
    <w:lvl w:ilvl="0" w:tplc="8626D5D0">
      <w:start w:val="1"/>
      <w:numFmt w:val="bullet"/>
      <w:lvlText w:val=""/>
      <w:lvlJc w:val="left"/>
      <w:pPr>
        <w:ind w:left="720" w:hanging="360"/>
      </w:pPr>
      <w:rPr>
        <w:rFonts w:ascii="Symbol" w:hAnsi="Symbol" w:hint="default"/>
      </w:rPr>
    </w:lvl>
    <w:lvl w:ilvl="1" w:tplc="1D188014">
      <w:start w:val="1"/>
      <w:numFmt w:val="lowerLetter"/>
      <w:lvlText w:val="%2."/>
      <w:lvlJc w:val="left"/>
      <w:pPr>
        <w:ind w:left="1440" w:hanging="360"/>
      </w:pPr>
    </w:lvl>
    <w:lvl w:ilvl="2" w:tplc="EF9CE656">
      <w:start w:val="1"/>
      <w:numFmt w:val="lowerRoman"/>
      <w:lvlText w:val="%3."/>
      <w:lvlJc w:val="right"/>
      <w:pPr>
        <w:ind w:left="2160" w:hanging="180"/>
      </w:pPr>
    </w:lvl>
    <w:lvl w:ilvl="3" w:tplc="F5405208">
      <w:start w:val="1"/>
      <w:numFmt w:val="decimal"/>
      <w:lvlText w:val="%4."/>
      <w:lvlJc w:val="left"/>
      <w:pPr>
        <w:ind w:left="2880" w:hanging="360"/>
      </w:pPr>
    </w:lvl>
    <w:lvl w:ilvl="4" w:tplc="81B0A822">
      <w:start w:val="1"/>
      <w:numFmt w:val="lowerLetter"/>
      <w:lvlText w:val="%5."/>
      <w:lvlJc w:val="left"/>
      <w:pPr>
        <w:ind w:left="3600" w:hanging="360"/>
      </w:pPr>
    </w:lvl>
    <w:lvl w:ilvl="5" w:tplc="9D007B72">
      <w:start w:val="1"/>
      <w:numFmt w:val="lowerRoman"/>
      <w:lvlText w:val="%6."/>
      <w:lvlJc w:val="right"/>
      <w:pPr>
        <w:ind w:left="4320" w:hanging="180"/>
      </w:pPr>
    </w:lvl>
    <w:lvl w:ilvl="6" w:tplc="5BC2B496">
      <w:start w:val="1"/>
      <w:numFmt w:val="decimal"/>
      <w:lvlText w:val="%7."/>
      <w:lvlJc w:val="left"/>
      <w:pPr>
        <w:ind w:left="5040" w:hanging="360"/>
      </w:pPr>
    </w:lvl>
    <w:lvl w:ilvl="7" w:tplc="8C064AE6">
      <w:start w:val="1"/>
      <w:numFmt w:val="lowerLetter"/>
      <w:lvlText w:val="%8."/>
      <w:lvlJc w:val="left"/>
      <w:pPr>
        <w:ind w:left="5760" w:hanging="360"/>
      </w:pPr>
    </w:lvl>
    <w:lvl w:ilvl="8" w:tplc="C66C94F4">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FE44A79"/>
    <w:multiLevelType w:val="hybridMultilevel"/>
    <w:tmpl w:val="96A858BC"/>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6653949"/>
    <w:multiLevelType w:val="hybridMultilevel"/>
    <w:tmpl w:val="C7F6E1EA"/>
    <w:lvl w:ilvl="0" w:tplc="0C0A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F854161"/>
    <w:multiLevelType w:val="hybridMultilevel"/>
    <w:tmpl w:val="E6F0116C"/>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6151010"/>
    <w:multiLevelType w:val="hybridMultilevel"/>
    <w:tmpl w:val="22348ADA"/>
    <w:lvl w:ilvl="0" w:tplc="0C0A0001">
      <w:start w:val="1"/>
      <w:numFmt w:val="bullet"/>
      <w:lvlText w:val=""/>
      <w:lvlJc w:val="left"/>
      <w:pPr>
        <w:ind w:left="927" w:hanging="360"/>
      </w:pPr>
      <w:rPr>
        <w:rFonts w:ascii="Symbol" w:hAnsi="Symbol"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A1"/>
    <w:rsid w:val="000259B9"/>
    <w:rsid w:val="00041491"/>
    <w:rsid w:val="00050D16"/>
    <w:rsid w:val="000730CA"/>
    <w:rsid w:val="00074F2A"/>
    <w:rsid w:val="000A1CA8"/>
    <w:rsid w:val="000A466B"/>
    <w:rsid w:val="000B058C"/>
    <w:rsid w:val="000D68B0"/>
    <w:rsid w:val="000E4EE6"/>
    <w:rsid w:val="001220E9"/>
    <w:rsid w:val="00142A0F"/>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7D7C7B"/>
    <w:rsid w:val="0082576E"/>
    <w:rsid w:val="008673A1"/>
    <w:rsid w:val="0089346F"/>
    <w:rsid w:val="00907F75"/>
    <w:rsid w:val="00917ADB"/>
    <w:rsid w:val="009260DE"/>
    <w:rsid w:val="0093258A"/>
    <w:rsid w:val="00985459"/>
    <w:rsid w:val="009C7BA3"/>
    <w:rsid w:val="009D1F5A"/>
    <w:rsid w:val="00A10294"/>
    <w:rsid w:val="00B003BF"/>
    <w:rsid w:val="00B373D7"/>
    <w:rsid w:val="00B55271"/>
    <w:rsid w:val="00B901E7"/>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50D42"/>
    <w:rsid w:val="00D93992"/>
    <w:rsid w:val="00E108AA"/>
    <w:rsid w:val="00E3749A"/>
    <w:rsid w:val="00E6549C"/>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0CE68"/>
  <w15:chartTrackingRefBased/>
  <w15:docId w15:val="{61976EA2-1F09-4925-A358-207A7851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50D42"/>
    <w:pPr>
      <w:spacing w:before="120" w:after="120"/>
      <w:jc w:val="both"/>
    </w:pPr>
    <w:rPr>
      <w:sz w:val="22"/>
    </w:rPr>
  </w:style>
  <w:style w:type="paragraph" w:styleId="Listeafsnit">
    <w:name w:val="List Paragraph"/>
    <w:basedOn w:val="Normal"/>
    <w:uiPriority w:val="34"/>
    <w:qFormat/>
    <w:rsid w:val="00D50D42"/>
    <w:pPr>
      <w:tabs>
        <w:tab w:val="left" w:pos="567"/>
      </w:tabs>
      <w:spacing w:line="260" w:lineRule="exact"/>
      <w:ind w:left="720"/>
      <w:contextualSpacing/>
    </w:pPr>
    <w:rPr>
      <w:sz w:val="22"/>
    </w:rPr>
  </w:style>
  <w:style w:type="paragraph" w:customStyle="1" w:styleId="Default">
    <w:name w:val="Default"/>
    <w:rsid w:val="00D50D42"/>
    <w:pPr>
      <w:autoSpaceDE w:val="0"/>
      <w:autoSpaceDN w:val="0"/>
      <w:adjustRightInd w:val="0"/>
    </w:pPr>
    <w:rPr>
      <w:lang w:eastAsia="en-US"/>
    </w:rPr>
  </w:style>
  <w:style w:type="character" w:styleId="Hyperlink">
    <w:name w:val="Hyperlink"/>
    <w:semiHidden/>
    <w:unhideWhenUsed/>
    <w:rsid w:val="00D50D42"/>
    <w:rPr>
      <w:color w:val="0000FF"/>
      <w:u w:val="single"/>
    </w:rPr>
  </w:style>
  <w:style w:type="table" w:styleId="Tabel-Gitter">
    <w:name w:val="Table Grid"/>
    <w:basedOn w:val="Tabel-Normal"/>
    <w:rsid w:val="00D50D42"/>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7ADB"/>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19744">
      <w:bodyDiv w:val="1"/>
      <w:marLeft w:val="0"/>
      <w:marRight w:val="0"/>
      <w:marTop w:val="0"/>
      <w:marBottom w:val="0"/>
      <w:divBdr>
        <w:top w:val="none" w:sz="0" w:space="0" w:color="auto"/>
        <w:left w:val="none" w:sz="0" w:space="0" w:color="auto"/>
        <w:bottom w:val="none" w:sz="0" w:space="0" w:color="auto"/>
        <w:right w:val="none" w:sz="0" w:space="0" w:color="auto"/>
      </w:divBdr>
    </w:div>
    <w:div w:id="134611150">
      <w:bodyDiv w:val="1"/>
      <w:marLeft w:val="0"/>
      <w:marRight w:val="0"/>
      <w:marTop w:val="0"/>
      <w:marBottom w:val="0"/>
      <w:divBdr>
        <w:top w:val="none" w:sz="0" w:space="0" w:color="auto"/>
        <w:left w:val="none" w:sz="0" w:space="0" w:color="auto"/>
        <w:bottom w:val="none" w:sz="0" w:space="0" w:color="auto"/>
        <w:right w:val="none" w:sz="0" w:space="0" w:color="auto"/>
      </w:divBdr>
    </w:div>
    <w:div w:id="1558767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8999291">
      <w:bodyDiv w:val="1"/>
      <w:marLeft w:val="0"/>
      <w:marRight w:val="0"/>
      <w:marTop w:val="0"/>
      <w:marBottom w:val="0"/>
      <w:divBdr>
        <w:top w:val="none" w:sz="0" w:space="0" w:color="auto"/>
        <w:left w:val="none" w:sz="0" w:space="0" w:color="auto"/>
        <w:bottom w:val="none" w:sz="0" w:space="0" w:color="auto"/>
        <w:right w:val="none" w:sz="0" w:space="0" w:color="auto"/>
      </w:divBdr>
    </w:div>
    <w:div w:id="375549824">
      <w:bodyDiv w:val="1"/>
      <w:marLeft w:val="0"/>
      <w:marRight w:val="0"/>
      <w:marTop w:val="0"/>
      <w:marBottom w:val="0"/>
      <w:divBdr>
        <w:top w:val="none" w:sz="0" w:space="0" w:color="auto"/>
        <w:left w:val="none" w:sz="0" w:space="0" w:color="auto"/>
        <w:bottom w:val="none" w:sz="0" w:space="0" w:color="auto"/>
        <w:right w:val="none" w:sz="0" w:space="0" w:color="auto"/>
      </w:divBdr>
    </w:div>
    <w:div w:id="399443591">
      <w:bodyDiv w:val="1"/>
      <w:marLeft w:val="0"/>
      <w:marRight w:val="0"/>
      <w:marTop w:val="0"/>
      <w:marBottom w:val="0"/>
      <w:divBdr>
        <w:top w:val="none" w:sz="0" w:space="0" w:color="auto"/>
        <w:left w:val="none" w:sz="0" w:space="0" w:color="auto"/>
        <w:bottom w:val="none" w:sz="0" w:space="0" w:color="auto"/>
        <w:right w:val="none" w:sz="0" w:space="0" w:color="auto"/>
      </w:divBdr>
    </w:div>
    <w:div w:id="757561644">
      <w:bodyDiv w:val="1"/>
      <w:marLeft w:val="0"/>
      <w:marRight w:val="0"/>
      <w:marTop w:val="0"/>
      <w:marBottom w:val="0"/>
      <w:divBdr>
        <w:top w:val="none" w:sz="0" w:space="0" w:color="auto"/>
        <w:left w:val="none" w:sz="0" w:space="0" w:color="auto"/>
        <w:bottom w:val="none" w:sz="0" w:space="0" w:color="auto"/>
        <w:right w:val="none" w:sz="0" w:space="0" w:color="auto"/>
      </w:divBdr>
    </w:div>
    <w:div w:id="782923160">
      <w:bodyDiv w:val="1"/>
      <w:marLeft w:val="0"/>
      <w:marRight w:val="0"/>
      <w:marTop w:val="0"/>
      <w:marBottom w:val="0"/>
      <w:divBdr>
        <w:top w:val="none" w:sz="0" w:space="0" w:color="auto"/>
        <w:left w:val="none" w:sz="0" w:space="0" w:color="auto"/>
        <w:bottom w:val="none" w:sz="0" w:space="0" w:color="auto"/>
        <w:right w:val="none" w:sz="0" w:space="0" w:color="auto"/>
      </w:divBdr>
    </w:div>
    <w:div w:id="903031537">
      <w:bodyDiv w:val="1"/>
      <w:marLeft w:val="0"/>
      <w:marRight w:val="0"/>
      <w:marTop w:val="0"/>
      <w:marBottom w:val="0"/>
      <w:divBdr>
        <w:top w:val="none" w:sz="0" w:space="0" w:color="auto"/>
        <w:left w:val="none" w:sz="0" w:space="0" w:color="auto"/>
        <w:bottom w:val="none" w:sz="0" w:space="0" w:color="auto"/>
        <w:right w:val="none" w:sz="0" w:space="0" w:color="auto"/>
      </w:divBdr>
    </w:div>
    <w:div w:id="971442206">
      <w:bodyDiv w:val="1"/>
      <w:marLeft w:val="0"/>
      <w:marRight w:val="0"/>
      <w:marTop w:val="0"/>
      <w:marBottom w:val="0"/>
      <w:divBdr>
        <w:top w:val="none" w:sz="0" w:space="0" w:color="auto"/>
        <w:left w:val="none" w:sz="0" w:space="0" w:color="auto"/>
        <w:bottom w:val="none" w:sz="0" w:space="0" w:color="auto"/>
        <w:right w:val="none" w:sz="0" w:space="0" w:color="auto"/>
      </w:divBdr>
    </w:div>
    <w:div w:id="977296272">
      <w:bodyDiv w:val="1"/>
      <w:marLeft w:val="0"/>
      <w:marRight w:val="0"/>
      <w:marTop w:val="0"/>
      <w:marBottom w:val="0"/>
      <w:divBdr>
        <w:top w:val="none" w:sz="0" w:space="0" w:color="auto"/>
        <w:left w:val="none" w:sz="0" w:space="0" w:color="auto"/>
        <w:bottom w:val="none" w:sz="0" w:space="0" w:color="auto"/>
        <w:right w:val="none" w:sz="0" w:space="0" w:color="auto"/>
      </w:divBdr>
    </w:div>
    <w:div w:id="1119180378">
      <w:bodyDiv w:val="1"/>
      <w:marLeft w:val="0"/>
      <w:marRight w:val="0"/>
      <w:marTop w:val="0"/>
      <w:marBottom w:val="0"/>
      <w:divBdr>
        <w:top w:val="none" w:sz="0" w:space="0" w:color="auto"/>
        <w:left w:val="none" w:sz="0" w:space="0" w:color="auto"/>
        <w:bottom w:val="none" w:sz="0" w:space="0" w:color="auto"/>
        <w:right w:val="none" w:sz="0" w:space="0" w:color="auto"/>
      </w:divBdr>
    </w:div>
    <w:div w:id="1190073250">
      <w:bodyDiv w:val="1"/>
      <w:marLeft w:val="0"/>
      <w:marRight w:val="0"/>
      <w:marTop w:val="0"/>
      <w:marBottom w:val="0"/>
      <w:divBdr>
        <w:top w:val="none" w:sz="0" w:space="0" w:color="auto"/>
        <w:left w:val="none" w:sz="0" w:space="0" w:color="auto"/>
        <w:bottom w:val="none" w:sz="0" w:space="0" w:color="auto"/>
        <w:right w:val="none" w:sz="0" w:space="0" w:color="auto"/>
      </w:divBdr>
    </w:div>
    <w:div w:id="1215654659">
      <w:bodyDiv w:val="1"/>
      <w:marLeft w:val="0"/>
      <w:marRight w:val="0"/>
      <w:marTop w:val="0"/>
      <w:marBottom w:val="0"/>
      <w:divBdr>
        <w:top w:val="none" w:sz="0" w:space="0" w:color="auto"/>
        <w:left w:val="none" w:sz="0" w:space="0" w:color="auto"/>
        <w:bottom w:val="none" w:sz="0" w:space="0" w:color="auto"/>
        <w:right w:val="none" w:sz="0" w:space="0" w:color="auto"/>
      </w:divBdr>
    </w:div>
    <w:div w:id="1257328216">
      <w:bodyDiv w:val="1"/>
      <w:marLeft w:val="0"/>
      <w:marRight w:val="0"/>
      <w:marTop w:val="0"/>
      <w:marBottom w:val="0"/>
      <w:divBdr>
        <w:top w:val="none" w:sz="0" w:space="0" w:color="auto"/>
        <w:left w:val="none" w:sz="0" w:space="0" w:color="auto"/>
        <w:bottom w:val="none" w:sz="0" w:space="0" w:color="auto"/>
        <w:right w:val="none" w:sz="0" w:space="0" w:color="auto"/>
      </w:divBdr>
    </w:div>
    <w:div w:id="1356615107">
      <w:bodyDiv w:val="1"/>
      <w:marLeft w:val="0"/>
      <w:marRight w:val="0"/>
      <w:marTop w:val="0"/>
      <w:marBottom w:val="0"/>
      <w:divBdr>
        <w:top w:val="none" w:sz="0" w:space="0" w:color="auto"/>
        <w:left w:val="none" w:sz="0" w:space="0" w:color="auto"/>
        <w:bottom w:val="none" w:sz="0" w:space="0" w:color="auto"/>
        <w:right w:val="none" w:sz="0" w:space="0" w:color="auto"/>
      </w:divBdr>
    </w:div>
    <w:div w:id="1398934201">
      <w:bodyDiv w:val="1"/>
      <w:marLeft w:val="0"/>
      <w:marRight w:val="0"/>
      <w:marTop w:val="0"/>
      <w:marBottom w:val="0"/>
      <w:divBdr>
        <w:top w:val="none" w:sz="0" w:space="0" w:color="auto"/>
        <w:left w:val="none" w:sz="0" w:space="0" w:color="auto"/>
        <w:bottom w:val="none" w:sz="0" w:space="0" w:color="auto"/>
        <w:right w:val="none" w:sz="0" w:space="0" w:color="auto"/>
      </w:divBdr>
    </w:div>
    <w:div w:id="1515455704">
      <w:bodyDiv w:val="1"/>
      <w:marLeft w:val="0"/>
      <w:marRight w:val="0"/>
      <w:marTop w:val="0"/>
      <w:marBottom w:val="0"/>
      <w:divBdr>
        <w:top w:val="none" w:sz="0" w:space="0" w:color="auto"/>
        <w:left w:val="none" w:sz="0" w:space="0" w:color="auto"/>
        <w:bottom w:val="none" w:sz="0" w:space="0" w:color="auto"/>
        <w:right w:val="none" w:sz="0" w:space="0" w:color="auto"/>
      </w:divBdr>
    </w:div>
    <w:div w:id="1550265601">
      <w:bodyDiv w:val="1"/>
      <w:marLeft w:val="0"/>
      <w:marRight w:val="0"/>
      <w:marTop w:val="0"/>
      <w:marBottom w:val="0"/>
      <w:divBdr>
        <w:top w:val="none" w:sz="0" w:space="0" w:color="auto"/>
        <w:left w:val="none" w:sz="0" w:space="0" w:color="auto"/>
        <w:bottom w:val="none" w:sz="0" w:space="0" w:color="auto"/>
        <w:right w:val="none" w:sz="0" w:space="0" w:color="auto"/>
      </w:divBdr>
    </w:div>
    <w:div w:id="1838493631">
      <w:bodyDiv w:val="1"/>
      <w:marLeft w:val="0"/>
      <w:marRight w:val="0"/>
      <w:marTop w:val="0"/>
      <w:marBottom w:val="0"/>
      <w:divBdr>
        <w:top w:val="none" w:sz="0" w:space="0" w:color="auto"/>
        <w:left w:val="none" w:sz="0" w:space="0" w:color="auto"/>
        <w:bottom w:val="none" w:sz="0" w:space="0" w:color="auto"/>
        <w:right w:val="none" w:sz="0" w:space="0" w:color="auto"/>
      </w:divBdr>
    </w:div>
    <w:div w:id="1906722865">
      <w:bodyDiv w:val="1"/>
      <w:marLeft w:val="0"/>
      <w:marRight w:val="0"/>
      <w:marTop w:val="0"/>
      <w:marBottom w:val="0"/>
      <w:divBdr>
        <w:top w:val="none" w:sz="0" w:space="0" w:color="auto"/>
        <w:left w:val="none" w:sz="0" w:space="0" w:color="auto"/>
        <w:bottom w:val="none" w:sz="0" w:space="0" w:color="auto"/>
        <w:right w:val="none" w:sz="0" w:space="0" w:color="auto"/>
      </w:divBdr>
    </w:div>
    <w:div w:id="192337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33177-A5C3-4786-B4B2-2F5F8DC2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skabelon.dotx</Template>
  <TotalTime>35</TotalTime>
  <Pages>7</Pages>
  <Words>1703</Words>
  <Characters>11658</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2024023600, MT</dc:description>
  <cp:lastModifiedBy>Gitte Jørgensen</cp:lastModifiedBy>
  <cp:revision>7</cp:revision>
  <cp:lastPrinted>2012-08-22T08:53:00Z</cp:lastPrinted>
  <dcterms:created xsi:type="dcterms:W3CDTF">2025-06-16T08:49:00Z</dcterms:created>
  <dcterms:modified xsi:type="dcterms:W3CDTF">2025-06-17T06:45:00Z</dcterms:modified>
</cp:coreProperties>
</file>