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2B7" w:rsidRPr="008F49E1" w:rsidRDefault="007712B7" w:rsidP="007712B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8B33BEB" wp14:editId="3F0E92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712B7" w:rsidRPr="00C84483" w:rsidRDefault="007712B7" w:rsidP="007712B7">
      <w:pPr>
        <w:pStyle w:val="Titel"/>
        <w:tabs>
          <w:tab w:val="right" w:pos="9356"/>
        </w:tabs>
        <w:jc w:val="left"/>
        <w:rPr>
          <w:b w:val="0"/>
          <w:szCs w:val="24"/>
          <w:lang w:eastAsia="en-US"/>
        </w:rPr>
      </w:pPr>
      <w:r w:rsidRPr="00C84483">
        <w:rPr>
          <w:b w:val="0"/>
          <w:szCs w:val="24"/>
          <w:lang w:eastAsia="en-US"/>
        </w:rPr>
        <w:tab/>
      </w:r>
      <w:r w:rsidR="0065369D">
        <w:rPr>
          <w:szCs w:val="24"/>
        </w:rPr>
        <w:t>7. januar 2022</w:t>
      </w:r>
    </w:p>
    <w:p w:rsidR="007712B7" w:rsidRPr="00C84483" w:rsidRDefault="007712B7" w:rsidP="007712B7">
      <w:pPr>
        <w:pStyle w:val="Titel"/>
        <w:tabs>
          <w:tab w:val="left" w:pos="8222"/>
        </w:tabs>
        <w:jc w:val="left"/>
        <w:rPr>
          <w:b w:val="0"/>
          <w:szCs w:val="24"/>
        </w:rPr>
      </w:pPr>
    </w:p>
    <w:p w:rsidR="007712B7" w:rsidRDefault="007712B7" w:rsidP="007712B7">
      <w:pPr>
        <w:pStyle w:val="Titel"/>
        <w:jc w:val="left"/>
        <w:rPr>
          <w:b w:val="0"/>
          <w:szCs w:val="24"/>
        </w:rPr>
      </w:pPr>
    </w:p>
    <w:p w:rsidR="00A56658" w:rsidRPr="00C84483" w:rsidRDefault="00A56658" w:rsidP="007712B7">
      <w:pPr>
        <w:pStyle w:val="Titel"/>
        <w:jc w:val="left"/>
        <w:rPr>
          <w:b w:val="0"/>
          <w:szCs w:val="24"/>
        </w:rPr>
      </w:pPr>
    </w:p>
    <w:p w:rsidR="007712B7" w:rsidRPr="00C84483" w:rsidRDefault="007712B7" w:rsidP="007712B7">
      <w:pPr>
        <w:jc w:val="center"/>
        <w:rPr>
          <w:b/>
          <w:sz w:val="24"/>
          <w:szCs w:val="24"/>
        </w:rPr>
      </w:pPr>
      <w:r w:rsidRPr="00C84483">
        <w:rPr>
          <w:b/>
          <w:sz w:val="24"/>
          <w:szCs w:val="24"/>
        </w:rPr>
        <w:t>PRODUKTRESUMÉ</w:t>
      </w:r>
    </w:p>
    <w:p w:rsidR="007712B7" w:rsidRPr="00C84483" w:rsidRDefault="007712B7" w:rsidP="007712B7">
      <w:pPr>
        <w:jc w:val="center"/>
        <w:rPr>
          <w:b/>
          <w:sz w:val="24"/>
          <w:szCs w:val="24"/>
        </w:rPr>
      </w:pPr>
    </w:p>
    <w:p w:rsidR="007712B7" w:rsidRDefault="007712B7" w:rsidP="007712B7">
      <w:pPr>
        <w:jc w:val="center"/>
        <w:rPr>
          <w:b/>
          <w:sz w:val="24"/>
          <w:szCs w:val="24"/>
        </w:rPr>
      </w:pPr>
      <w:r w:rsidRPr="00C84483">
        <w:rPr>
          <w:b/>
          <w:sz w:val="24"/>
          <w:szCs w:val="24"/>
        </w:rPr>
        <w:t>for</w:t>
      </w:r>
    </w:p>
    <w:p w:rsidR="007712B7" w:rsidRPr="00C84483" w:rsidRDefault="007712B7" w:rsidP="007712B7">
      <w:pPr>
        <w:jc w:val="center"/>
        <w:rPr>
          <w:b/>
          <w:sz w:val="24"/>
          <w:szCs w:val="24"/>
        </w:rPr>
      </w:pPr>
    </w:p>
    <w:p w:rsidR="007712B7" w:rsidRPr="00C84483" w:rsidRDefault="007712B7" w:rsidP="007712B7">
      <w:pPr>
        <w:jc w:val="center"/>
        <w:rPr>
          <w:b/>
          <w:sz w:val="24"/>
          <w:szCs w:val="24"/>
        </w:rPr>
      </w:pPr>
      <w:proofErr w:type="spellStart"/>
      <w:r>
        <w:rPr>
          <w:b/>
          <w:sz w:val="24"/>
          <w:szCs w:val="24"/>
        </w:rPr>
        <w:t>Vadyrano</w:t>
      </w:r>
      <w:proofErr w:type="spellEnd"/>
      <w:r>
        <w:rPr>
          <w:b/>
          <w:sz w:val="24"/>
          <w:szCs w:val="24"/>
        </w:rPr>
        <w:t>, filmovertrukne tabletter</w:t>
      </w:r>
    </w:p>
    <w:p w:rsidR="007712B7" w:rsidRPr="00C84483" w:rsidRDefault="007712B7" w:rsidP="007712B7">
      <w:pPr>
        <w:jc w:val="both"/>
        <w:rPr>
          <w:sz w:val="24"/>
          <w:szCs w:val="24"/>
        </w:rPr>
      </w:pPr>
    </w:p>
    <w:p w:rsidR="007712B7" w:rsidRPr="00C84483" w:rsidRDefault="007712B7" w:rsidP="007712B7">
      <w:pPr>
        <w:jc w:val="both"/>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0.</w:t>
      </w:r>
      <w:r w:rsidRPr="00C84483">
        <w:rPr>
          <w:b/>
          <w:sz w:val="24"/>
          <w:szCs w:val="24"/>
        </w:rPr>
        <w:tab/>
        <w:t>D.SP.NR.</w:t>
      </w:r>
    </w:p>
    <w:p w:rsidR="007712B7" w:rsidRPr="00C84483" w:rsidRDefault="007712B7" w:rsidP="007712B7">
      <w:pPr>
        <w:tabs>
          <w:tab w:val="left" w:pos="851"/>
        </w:tabs>
        <w:ind w:left="851"/>
        <w:rPr>
          <w:sz w:val="24"/>
          <w:szCs w:val="24"/>
        </w:rPr>
      </w:pPr>
      <w:r>
        <w:rPr>
          <w:sz w:val="24"/>
          <w:szCs w:val="24"/>
        </w:rPr>
        <w:t>30030</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1.</w:t>
      </w:r>
      <w:r w:rsidRPr="00C84483">
        <w:rPr>
          <w:b/>
          <w:sz w:val="24"/>
          <w:szCs w:val="24"/>
        </w:rPr>
        <w:tab/>
        <w:t>LÆGEMIDLETS NAVN</w:t>
      </w:r>
    </w:p>
    <w:p w:rsidR="007712B7" w:rsidRPr="00C84483" w:rsidRDefault="007712B7" w:rsidP="007712B7">
      <w:pPr>
        <w:tabs>
          <w:tab w:val="left" w:pos="851"/>
        </w:tabs>
        <w:ind w:left="851"/>
        <w:rPr>
          <w:sz w:val="24"/>
          <w:szCs w:val="24"/>
        </w:rPr>
      </w:pPr>
      <w:proofErr w:type="spellStart"/>
      <w:r>
        <w:rPr>
          <w:sz w:val="24"/>
          <w:szCs w:val="24"/>
        </w:rPr>
        <w:t>Vadyrano</w:t>
      </w:r>
      <w:proofErr w:type="spellEnd"/>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Vadyrano</w:t>
      </w:r>
      <w:proofErr w:type="spellEnd"/>
      <w:r>
        <w:rPr>
          <w:u w:val="single"/>
          <w:lang w:val="da-DK"/>
        </w:rPr>
        <w:t xml:space="preserve"> 5 mg</w:t>
      </w:r>
    </w:p>
    <w:p w:rsidR="007712B7" w:rsidRDefault="007712B7" w:rsidP="007712B7">
      <w:pPr>
        <w:pStyle w:val="Default"/>
        <w:ind w:left="851"/>
        <w:rPr>
          <w:lang w:val="da-DK"/>
        </w:rPr>
      </w:pPr>
      <w:r>
        <w:rPr>
          <w:lang w:val="da-DK"/>
        </w:rPr>
        <w:t xml:space="preserve">Hver filmovertrukket tablet indeholder 5 mg </w:t>
      </w:r>
      <w:proofErr w:type="spellStart"/>
      <w:r>
        <w:rPr>
          <w:lang w:val="da-DK"/>
        </w:rPr>
        <w:t>ivabradin</w:t>
      </w:r>
      <w:proofErr w:type="spellEnd"/>
      <w:r>
        <w:rPr>
          <w:lang w:val="da-DK"/>
        </w:rPr>
        <w:t xml:space="preserve"> (som </w:t>
      </w:r>
      <w:proofErr w:type="spellStart"/>
      <w:r>
        <w:rPr>
          <w:lang w:val="da-DK"/>
        </w:rPr>
        <w:t>hydrochlorid</w:t>
      </w:r>
      <w:proofErr w:type="spellEnd"/>
      <w:r>
        <w:rPr>
          <w:lang w:val="da-DK"/>
        </w:rPr>
        <w:t xml:space="preserve">). </w:t>
      </w:r>
    </w:p>
    <w:p w:rsidR="00A56658" w:rsidRDefault="00A56658" w:rsidP="007712B7">
      <w:pPr>
        <w:pStyle w:val="Default"/>
        <w:ind w:left="851"/>
        <w:rPr>
          <w:u w:val="single"/>
          <w:lang w:val="da-DK"/>
        </w:rPr>
      </w:pPr>
    </w:p>
    <w:p w:rsidR="007712B7" w:rsidRPr="00A56658" w:rsidRDefault="007712B7" w:rsidP="007712B7">
      <w:pPr>
        <w:pStyle w:val="Default"/>
        <w:ind w:left="851"/>
        <w:rPr>
          <w:i/>
          <w:lang w:val="da-DK"/>
        </w:rPr>
      </w:pPr>
      <w:r w:rsidRPr="00A56658">
        <w:rPr>
          <w:i/>
          <w:lang w:val="da-DK"/>
        </w:rPr>
        <w:t>Hjælpestof, som behandleren skal være opmærksom på</w:t>
      </w:r>
    </w:p>
    <w:p w:rsidR="007712B7" w:rsidRDefault="007712B7" w:rsidP="007712B7">
      <w:pPr>
        <w:pStyle w:val="Default"/>
        <w:ind w:left="851"/>
        <w:rPr>
          <w:lang w:val="da-DK"/>
        </w:rPr>
      </w:pPr>
      <w:r>
        <w:rPr>
          <w:lang w:val="da-DK"/>
        </w:rPr>
        <w:t xml:space="preserve">Hver tablet indeholder 62 mg </w:t>
      </w:r>
      <w:proofErr w:type="spellStart"/>
      <w:r>
        <w:rPr>
          <w:lang w:val="da-DK"/>
        </w:rPr>
        <w:t>lactose</w:t>
      </w:r>
      <w:proofErr w:type="spellEnd"/>
      <w:r>
        <w:rPr>
          <w:lang w:val="da-DK"/>
        </w:rPr>
        <w:t>.</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Vadyrano</w:t>
      </w:r>
      <w:proofErr w:type="spellEnd"/>
      <w:r>
        <w:rPr>
          <w:u w:val="single"/>
          <w:lang w:val="da-DK"/>
        </w:rPr>
        <w:t xml:space="preserve"> 7,5 mg</w:t>
      </w:r>
    </w:p>
    <w:p w:rsidR="007712B7" w:rsidRDefault="007712B7" w:rsidP="007712B7">
      <w:pPr>
        <w:pStyle w:val="Default"/>
        <w:ind w:left="851"/>
        <w:rPr>
          <w:lang w:val="da-DK"/>
        </w:rPr>
      </w:pPr>
      <w:r>
        <w:rPr>
          <w:lang w:val="da-DK"/>
        </w:rPr>
        <w:t xml:space="preserve">Hver filmovertrukket tablet indeholder 7,5 mg </w:t>
      </w:r>
      <w:proofErr w:type="spellStart"/>
      <w:r>
        <w:rPr>
          <w:lang w:val="da-DK"/>
        </w:rPr>
        <w:t>ivabradin</w:t>
      </w:r>
      <w:proofErr w:type="spellEnd"/>
      <w:r>
        <w:rPr>
          <w:lang w:val="da-DK"/>
        </w:rPr>
        <w:t xml:space="preserve"> (som </w:t>
      </w:r>
      <w:proofErr w:type="spellStart"/>
      <w:r>
        <w:rPr>
          <w:lang w:val="da-DK"/>
        </w:rPr>
        <w:t>hydrochlorid</w:t>
      </w:r>
      <w:proofErr w:type="spellEnd"/>
      <w:r>
        <w:rPr>
          <w:lang w:val="da-DK"/>
        </w:rPr>
        <w:t xml:space="preserve">). </w:t>
      </w:r>
    </w:p>
    <w:p w:rsidR="00A56658" w:rsidRDefault="00A56658" w:rsidP="007712B7">
      <w:pPr>
        <w:pStyle w:val="Default"/>
        <w:ind w:left="851"/>
        <w:rPr>
          <w:u w:val="single"/>
          <w:lang w:val="da-DK"/>
        </w:rPr>
      </w:pPr>
    </w:p>
    <w:p w:rsidR="007712B7" w:rsidRPr="00A56658" w:rsidRDefault="007712B7" w:rsidP="007712B7">
      <w:pPr>
        <w:pStyle w:val="Default"/>
        <w:ind w:left="851"/>
        <w:rPr>
          <w:i/>
          <w:lang w:val="da-DK"/>
        </w:rPr>
      </w:pPr>
      <w:r w:rsidRPr="00A56658">
        <w:rPr>
          <w:i/>
          <w:lang w:val="da-DK"/>
        </w:rPr>
        <w:t>Hjælpestof, som behandleren skal være opmærksom på</w:t>
      </w:r>
    </w:p>
    <w:p w:rsidR="007712B7" w:rsidRDefault="007712B7" w:rsidP="007712B7">
      <w:pPr>
        <w:pStyle w:val="Default"/>
        <w:ind w:left="851"/>
        <w:rPr>
          <w:lang w:val="da-DK"/>
        </w:rPr>
      </w:pPr>
      <w:r>
        <w:rPr>
          <w:lang w:val="da-DK"/>
        </w:rPr>
        <w:t xml:space="preserve">Hver tablet indeholder 93 mg </w:t>
      </w:r>
      <w:proofErr w:type="spellStart"/>
      <w:r>
        <w:rPr>
          <w:lang w:val="da-DK"/>
        </w:rPr>
        <w:t>lactose</w:t>
      </w:r>
      <w:proofErr w:type="spellEnd"/>
      <w:r>
        <w:rPr>
          <w:lang w:val="da-DK"/>
        </w:rPr>
        <w:t>.</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Alle hjælpestoffer er anført under pkt. 6.1.</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3.</w:t>
      </w:r>
      <w:r>
        <w:rPr>
          <w:b/>
          <w:sz w:val="24"/>
          <w:szCs w:val="24"/>
        </w:rPr>
        <w:tab/>
        <w:t>LÆGEMIDDELFORM</w:t>
      </w:r>
    </w:p>
    <w:p w:rsidR="007712B7" w:rsidRDefault="007712B7" w:rsidP="007712B7">
      <w:pPr>
        <w:pStyle w:val="Default"/>
        <w:ind w:left="851"/>
        <w:rPr>
          <w:lang w:val="da-DK"/>
        </w:rPr>
      </w:pPr>
      <w:r>
        <w:rPr>
          <w:lang w:val="da-DK"/>
        </w:rPr>
        <w:t xml:space="preserve">Filmovertrukne tabletter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Vadyrano</w:t>
      </w:r>
      <w:proofErr w:type="spellEnd"/>
      <w:r>
        <w:rPr>
          <w:u w:val="single"/>
          <w:lang w:val="da-DK"/>
        </w:rPr>
        <w:t xml:space="preserve"> 5</w:t>
      </w:r>
      <w:r w:rsidR="0000114A">
        <w:rPr>
          <w:u w:val="single"/>
          <w:lang w:val="da-DK"/>
        </w:rPr>
        <w:t xml:space="preserve"> </w:t>
      </w:r>
      <w:r>
        <w:rPr>
          <w:u w:val="single"/>
          <w:lang w:val="da-DK"/>
        </w:rPr>
        <w:t xml:space="preserve">mg </w:t>
      </w:r>
    </w:p>
    <w:p w:rsidR="007712B7" w:rsidRDefault="007712B7" w:rsidP="007712B7">
      <w:pPr>
        <w:pStyle w:val="Default"/>
        <w:ind w:left="851"/>
        <w:rPr>
          <w:lang w:val="da-DK"/>
        </w:rPr>
      </w:pPr>
      <w:r>
        <w:rPr>
          <w:lang w:val="da-DK"/>
        </w:rPr>
        <w:t>Laksefarvede, ovale</w:t>
      </w:r>
      <w:r w:rsidR="0000114A">
        <w:rPr>
          <w:lang w:val="da-DK"/>
        </w:rPr>
        <w:t>,</w:t>
      </w:r>
      <w:r>
        <w:rPr>
          <w:lang w:val="da-DK"/>
        </w:rPr>
        <w:t xml:space="preserve"> </w:t>
      </w:r>
      <w:proofErr w:type="spellStart"/>
      <w:r>
        <w:rPr>
          <w:lang w:val="da-DK"/>
        </w:rPr>
        <w:t>bikonvekse</w:t>
      </w:r>
      <w:proofErr w:type="spellEnd"/>
      <w:r>
        <w:rPr>
          <w:lang w:val="da-DK"/>
        </w:rPr>
        <w:t xml:space="preserve"> tabletter, delekærv på begge sider, præget med "5" på den ene side, ca. 8,6 mm i længden og 4,5 mm i bredden.</w:t>
      </w:r>
    </w:p>
    <w:p w:rsidR="007712B7" w:rsidRDefault="007712B7" w:rsidP="007712B7">
      <w:pPr>
        <w:pStyle w:val="Default"/>
        <w:ind w:left="851"/>
        <w:rPr>
          <w:lang w:val="da-DK"/>
        </w:rPr>
      </w:pPr>
      <w:r>
        <w:rPr>
          <w:lang w:val="da-DK"/>
        </w:rPr>
        <w:t xml:space="preserve">Tabletten kan deles i lige store doser.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Vadyrano</w:t>
      </w:r>
      <w:proofErr w:type="spellEnd"/>
      <w:r>
        <w:rPr>
          <w:u w:val="single"/>
          <w:lang w:val="da-DK"/>
        </w:rPr>
        <w:t xml:space="preserve"> 7,5 mg </w:t>
      </w:r>
    </w:p>
    <w:p w:rsidR="007712B7" w:rsidRDefault="007712B7" w:rsidP="007712B7">
      <w:pPr>
        <w:pStyle w:val="Default"/>
        <w:ind w:left="851"/>
        <w:rPr>
          <w:lang w:val="da-DK"/>
        </w:rPr>
      </w:pPr>
      <w:r>
        <w:rPr>
          <w:lang w:val="da-DK"/>
        </w:rPr>
        <w:t xml:space="preserve">Laksefarvede, trekantede </w:t>
      </w:r>
      <w:proofErr w:type="spellStart"/>
      <w:r>
        <w:rPr>
          <w:lang w:val="da-DK"/>
        </w:rPr>
        <w:t>bikonvekse</w:t>
      </w:r>
      <w:proofErr w:type="spellEnd"/>
      <w:r>
        <w:rPr>
          <w:lang w:val="da-DK"/>
        </w:rPr>
        <w:t xml:space="preserve"> tabletter indgraveret med "7.5" på den ene side, med en trekant median på ca. 6,6 mm.</w:t>
      </w:r>
    </w:p>
    <w:p w:rsidR="007712B7" w:rsidRDefault="007712B7" w:rsidP="007712B7">
      <w:pPr>
        <w:ind w:left="851" w:hanging="851"/>
        <w:rPr>
          <w:sz w:val="24"/>
          <w:szCs w:val="24"/>
        </w:rPr>
      </w:pP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lastRenderedPageBreak/>
        <w:t>4.</w:t>
      </w:r>
      <w:r>
        <w:rPr>
          <w:b/>
          <w:sz w:val="24"/>
          <w:szCs w:val="24"/>
        </w:rPr>
        <w:tab/>
        <w:t>KLINISKE OPLYSNINGER</w:t>
      </w:r>
    </w:p>
    <w:p w:rsidR="007712B7" w:rsidRDefault="007712B7" w:rsidP="007712B7">
      <w:pPr>
        <w:ind w:left="851" w:hanging="851"/>
        <w:rPr>
          <w:b/>
          <w:sz w:val="24"/>
          <w:szCs w:val="24"/>
        </w:rPr>
      </w:pPr>
    </w:p>
    <w:p w:rsidR="007712B7" w:rsidRDefault="007712B7" w:rsidP="007712B7">
      <w:pPr>
        <w:ind w:left="851" w:hanging="851"/>
        <w:rPr>
          <w:b/>
          <w:sz w:val="24"/>
          <w:szCs w:val="24"/>
          <w:u w:val="single"/>
        </w:rPr>
      </w:pPr>
      <w:r>
        <w:rPr>
          <w:b/>
          <w:sz w:val="24"/>
          <w:szCs w:val="24"/>
        </w:rPr>
        <w:t>4.1</w:t>
      </w:r>
      <w:r>
        <w:rPr>
          <w:b/>
          <w:sz w:val="24"/>
          <w:szCs w:val="24"/>
        </w:rPr>
        <w:tab/>
        <w:t>Terapeutiske indikationer</w:t>
      </w:r>
    </w:p>
    <w:p w:rsidR="00C32DCC" w:rsidRDefault="00C32DCC" w:rsidP="007712B7">
      <w:pPr>
        <w:pStyle w:val="Default"/>
        <w:ind w:left="851"/>
        <w:rPr>
          <w:lang w:val="da-DK"/>
        </w:rPr>
      </w:pPr>
    </w:p>
    <w:p w:rsidR="007712B7" w:rsidRPr="00C32DCC" w:rsidRDefault="007712B7" w:rsidP="007712B7">
      <w:pPr>
        <w:pStyle w:val="Default"/>
        <w:ind w:left="851"/>
        <w:rPr>
          <w:u w:val="single"/>
          <w:lang w:val="da-DK"/>
        </w:rPr>
      </w:pPr>
      <w:r w:rsidRPr="00C32DCC">
        <w:rPr>
          <w:u w:val="single"/>
          <w:lang w:val="da-DK"/>
        </w:rPr>
        <w:t xml:space="preserve">Symptomatisk behandling af kronisk stabil angina pectoris </w:t>
      </w:r>
    </w:p>
    <w:p w:rsidR="007712B7" w:rsidRDefault="007712B7" w:rsidP="007712B7">
      <w:pPr>
        <w:pStyle w:val="Default"/>
        <w:ind w:left="851"/>
        <w:rPr>
          <w:lang w:val="da-DK"/>
        </w:rPr>
      </w:pPr>
      <w:proofErr w:type="spellStart"/>
      <w:r>
        <w:rPr>
          <w:lang w:val="da-DK"/>
        </w:rPr>
        <w:t>Ivabradin</w:t>
      </w:r>
      <w:proofErr w:type="spellEnd"/>
      <w:r>
        <w:rPr>
          <w:lang w:val="da-DK"/>
        </w:rPr>
        <w:t xml:space="preserve"> er indiceret til symptomatisk behandling af kronisk stabil angina pectoris hos voksne med koronararteriesygdom og normal sinusrytme og hjertefrekvens ≥ 70 slag i minuttet. </w:t>
      </w:r>
      <w:proofErr w:type="spellStart"/>
      <w:r>
        <w:rPr>
          <w:lang w:val="da-DK"/>
        </w:rPr>
        <w:t>Ivabradin</w:t>
      </w:r>
      <w:proofErr w:type="spellEnd"/>
      <w:r>
        <w:rPr>
          <w:lang w:val="da-DK"/>
        </w:rPr>
        <w:t xml:space="preserve"> er indiceret: </w:t>
      </w:r>
    </w:p>
    <w:p w:rsidR="007712B7" w:rsidRDefault="007712B7" w:rsidP="00C32DCC">
      <w:pPr>
        <w:pStyle w:val="Default"/>
        <w:numPr>
          <w:ilvl w:val="0"/>
          <w:numId w:val="6"/>
        </w:numPr>
        <w:ind w:left="1134" w:hanging="283"/>
        <w:rPr>
          <w:lang w:val="da-DK"/>
        </w:rPr>
      </w:pPr>
      <w:r>
        <w:rPr>
          <w:lang w:val="da-DK"/>
        </w:rPr>
        <w:t xml:space="preserve">til voksne, som ikke tåler betablokkere, eller for hvem betablokkere er kontraindiceret. </w:t>
      </w:r>
    </w:p>
    <w:p w:rsidR="007712B7" w:rsidRDefault="007712B7" w:rsidP="00C32DCC">
      <w:pPr>
        <w:pStyle w:val="Default"/>
        <w:numPr>
          <w:ilvl w:val="0"/>
          <w:numId w:val="6"/>
        </w:numPr>
        <w:ind w:left="1134" w:hanging="283"/>
        <w:rPr>
          <w:lang w:val="da-DK"/>
        </w:rPr>
      </w:pPr>
      <w:r>
        <w:rPr>
          <w:lang w:val="da-DK"/>
        </w:rPr>
        <w:t xml:space="preserve">i kombination med </w:t>
      </w:r>
      <w:proofErr w:type="gramStart"/>
      <w:r>
        <w:rPr>
          <w:lang w:val="da-DK"/>
        </w:rPr>
        <w:t>betablokkere</w:t>
      </w:r>
      <w:proofErr w:type="gramEnd"/>
      <w:r>
        <w:rPr>
          <w:lang w:val="da-DK"/>
        </w:rPr>
        <w:t xml:space="preserve"> til patienter, som ikke opnår tilstrækkelig kontrol med optimal dosering af en betablokker. </w:t>
      </w:r>
    </w:p>
    <w:p w:rsidR="007712B7" w:rsidRDefault="007712B7" w:rsidP="007712B7">
      <w:pPr>
        <w:pStyle w:val="Default"/>
        <w:ind w:left="851" w:hanging="851"/>
        <w:rPr>
          <w:lang w:val="da-DK"/>
        </w:rPr>
      </w:pPr>
    </w:p>
    <w:p w:rsidR="007712B7" w:rsidRPr="00C32DCC" w:rsidRDefault="007712B7" w:rsidP="007712B7">
      <w:pPr>
        <w:pStyle w:val="Default"/>
        <w:ind w:left="851"/>
        <w:rPr>
          <w:u w:val="single"/>
          <w:lang w:val="da-DK"/>
        </w:rPr>
      </w:pPr>
      <w:r w:rsidRPr="00C32DCC">
        <w:rPr>
          <w:u w:val="single"/>
          <w:lang w:val="da-DK"/>
        </w:rPr>
        <w:t xml:space="preserve">Behandling af kronisk hjerteinsufficiens </w:t>
      </w:r>
    </w:p>
    <w:p w:rsidR="007712B7" w:rsidRDefault="007712B7" w:rsidP="007712B7">
      <w:pPr>
        <w:pStyle w:val="Default"/>
        <w:ind w:left="851"/>
        <w:rPr>
          <w:lang w:val="da-DK"/>
        </w:rPr>
      </w:pPr>
      <w:proofErr w:type="spellStart"/>
      <w:r>
        <w:rPr>
          <w:lang w:val="da-DK"/>
        </w:rPr>
        <w:t>Ivabradin</w:t>
      </w:r>
      <w:proofErr w:type="spellEnd"/>
      <w:r>
        <w:rPr>
          <w:lang w:val="da-DK"/>
        </w:rPr>
        <w:t xml:space="preserve"> er indiceret ved kronisk hjerteinsufficiens af NYHA-klasse II til IV med systolisk dysfunktion hos patienter med normal sinusrytme og hjertefrekvens på ≥ 75 slag i minuttet i kombination med standardbehandling inkluderende betablokker, eller når betablokker er kontraindiceret eller ikke tolereres (se pkt. 5.1).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4.2</w:t>
      </w:r>
      <w:r>
        <w:rPr>
          <w:b/>
          <w:sz w:val="24"/>
          <w:szCs w:val="24"/>
        </w:rPr>
        <w:tab/>
        <w:t>Dosering og indgivelsesmåde</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Dosering </w:t>
      </w:r>
    </w:p>
    <w:p w:rsidR="007712B7" w:rsidRDefault="007712B7" w:rsidP="007712B7">
      <w:pPr>
        <w:pStyle w:val="Default"/>
        <w:ind w:left="851"/>
        <w:rPr>
          <w:lang w:val="da-DK"/>
        </w:rPr>
      </w:pPr>
      <w:r>
        <w:rPr>
          <w:lang w:val="da-DK"/>
        </w:rPr>
        <w:t xml:space="preserve">Til at danne de forskellige doser foreligger de filmovertrukne tabletter i styrker på 5 mg og 7,5 mg. </w:t>
      </w:r>
    </w:p>
    <w:p w:rsidR="007712B7" w:rsidRDefault="007712B7" w:rsidP="007712B7">
      <w:pPr>
        <w:pStyle w:val="Default"/>
        <w:ind w:left="851"/>
        <w:rPr>
          <w:lang w:val="da-DK"/>
        </w:rPr>
      </w:pPr>
    </w:p>
    <w:p w:rsidR="007712B7" w:rsidRDefault="007712B7" w:rsidP="007712B7">
      <w:pPr>
        <w:pStyle w:val="Default"/>
        <w:ind w:left="851"/>
        <w:rPr>
          <w:i/>
          <w:lang w:val="da-DK"/>
        </w:rPr>
      </w:pPr>
      <w:r>
        <w:rPr>
          <w:i/>
          <w:lang w:val="da-DK"/>
        </w:rPr>
        <w:t xml:space="preserve">Symptomatisk behandling af kronisk stabil angina pectoris </w:t>
      </w:r>
    </w:p>
    <w:p w:rsidR="007712B7" w:rsidRDefault="007712B7" w:rsidP="007712B7">
      <w:pPr>
        <w:pStyle w:val="Default"/>
        <w:ind w:left="851"/>
        <w:rPr>
          <w:lang w:val="da-DK"/>
        </w:rPr>
      </w:pPr>
      <w:r>
        <w:rPr>
          <w:lang w:val="da-DK"/>
        </w:rPr>
        <w:t xml:space="preserve">Det anbefales, at beslutningen om at initiere eller titrere behandlingen foregår med mulighed for seriemåling af hjertefrekvens, ekg- eller ambulant 24-timers monitorering. </w:t>
      </w:r>
    </w:p>
    <w:p w:rsidR="007712B7" w:rsidRDefault="007712B7" w:rsidP="007712B7">
      <w:pPr>
        <w:pStyle w:val="Default"/>
        <w:ind w:left="851"/>
        <w:rPr>
          <w:lang w:val="da-DK"/>
        </w:rPr>
      </w:pPr>
      <w:r>
        <w:rPr>
          <w:lang w:val="da-DK"/>
        </w:rPr>
        <w:t xml:space="preserve">Startdosis af </w:t>
      </w:r>
      <w:proofErr w:type="spellStart"/>
      <w:r>
        <w:rPr>
          <w:lang w:val="da-DK"/>
        </w:rPr>
        <w:t>ivabradin</w:t>
      </w:r>
      <w:proofErr w:type="spellEnd"/>
      <w:r>
        <w:rPr>
          <w:lang w:val="da-DK"/>
        </w:rPr>
        <w:t xml:space="preserve"> bør ikke overskride 5 mg to gange daglig hos patienter under 75 år. Hvis patienten efter 3 til 4 ugers behandling stadig har symptomer, og hvis startdosis er veltolereret og hjertefrekvensen i hvile forbliver over 60 slag/min., kan dosis øges til den næste højere dosis hos patienter, der får 2,5 mg to gange daglig eller 5 mg to gange daglig. Vedligeholdelsesdosis bør ikke overskride 7,5 mg to gange daglig. </w:t>
      </w:r>
    </w:p>
    <w:p w:rsidR="007712B7" w:rsidRDefault="007712B7" w:rsidP="007712B7">
      <w:pPr>
        <w:pStyle w:val="Default"/>
        <w:ind w:left="851"/>
        <w:rPr>
          <w:lang w:val="da-DK"/>
        </w:rPr>
      </w:pPr>
      <w:r>
        <w:rPr>
          <w:lang w:val="da-DK"/>
        </w:rPr>
        <w:t xml:space="preserve">Hvis der ikke ses forbedringer i symptomerne på angina inden for 3 måneder efter behandlingsstart, skal </w:t>
      </w:r>
      <w:proofErr w:type="spellStart"/>
      <w:r>
        <w:rPr>
          <w:lang w:val="da-DK"/>
        </w:rPr>
        <w:t>ivabradinbehandlingen</w:t>
      </w:r>
      <w:proofErr w:type="spellEnd"/>
      <w:r>
        <w:rPr>
          <w:lang w:val="da-DK"/>
        </w:rPr>
        <w:t xml:space="preserve"> stoppes. </w:t>
      </w:r>
    </w:p>
    <w:p w:rsidR="007712B7" w:rsidRDefault="007712B7" w:rsidP="007712B7">
      <w:pPr>
        <w:pStyle w:val="Default"/>
        <w:ind w:left="851"/>
        <w:rPr>
          <w:lang w:val="da-DK"/>
        </w:rPr>
      </w:pPr>
      <w:proofErr w:type="spellStart"/>
      <w:r>
        <w:rPr>
          <w:lang w:val="da-DK"/>
        </w:rPr>
        <w:t>Seponering</w:t>
      </w:r>
      <w:proofErr w:type="spellEnd"/>
      <w:r>
        <w:rPr>
          <w:lang w:val="da-DK"/>
        </w:rPr>
        <w:t xml:space="preserve"> skal også overvejes, hvis der kun er begrænset symptomatisk respons, og når der ikke er nogen klinisk relevant reduktion i hjertefrekvensen i hvile inden for 3 måneder. Hvis hjertefrekvensen i hvile permanent falder til under 50 slag/min, eller hvis patienten får symptomer på bradykardi som f.eks. svimmelhed, træthed, eller hypotension, skal dosis nedsættes, herunder den laveste dosis på 2,5 mg to gange daglig (en halv 5 mg tablet to gange daglig). Hjertefrekvensen skal monitoreres efter dosisreduktion (se pkt. 4.4). Behandlingen skal stoppes, hvis hjertefrekvensen forbliver under 50 slag/min, eller symptomer på bradykardi persisterer på trods af dosisreduktion.</w:t>
      </w:r>
    </w:p>
    <w:p w:rsidR="007712B7" w:rsidRDefault="007712B7" w:rsidP="007712B7">
      <w:pPr>
        <w:pStyle w:val="Default"/>
        <w:ind w:left="851" w:hanging="851"/>
        <w:rPr>
          <w:lang w:val="da-DK"/>
        </w:rPr>
      </w:pPr>
    </w:p>
    <w:p w:rsidR="007712B7" w:rsidRDefault="007712B7" w:rsidP="007712B7">
      <w:pPr>
        <w:pStyle w:val="Default"/>
        <w:ind w:left="851"/>
        <w:rPr>
          <w:i/>
          <w:lang w:val="da-DK"/>
        </w:rPr>
      </w:pPr>
      <w:r>
        <w:rPr>
          <w:i/>
          <w:lang w:val="da-DK"/>
        </w:rPr>
        <w:t xml:space="preserve">Behandling af kronisk hjerteinsufficiens </w:t>
      </w:r>
    </w:p>
    <w:p w:rsidR="007712B7" w:rsidRDefault="007712B7" w:rsidP="007712B7">
      <w:pPr>
        <w:pStyle w:val="Default"/>
        <w:ind w:left="851"/>
        <w:rPr>
          <w:lang w:val="da-DK"/>
        </w:rPr>
      </w:pPr>
      <w:r>
        <w:rPr>
          <w:lang w:val="da-DK"/>
        </w:rPr>
        <w:t xml:space="preserve">Behandlingen må kun initieres hos patient med stabil hjerteinsufficiens. Det anbefales, at den behandlende læge har erfaring med behandling af kronisk hjerteinsufficiens. </w:t>
      </w:r>
    </w:p>
    <w:p w:rsidR="007712B7" w:rsidRDefault="007712B7" w:rsidP="007712B7">
      <w:pPr>
        <w:pStyle w:val="Default"/>
        <w:ind w:left="851"/>
        <w:rPr>
          <w:lang w:val="da-DK"/>
        </w:rPr>
      </w:pPr>
      <w:r>
        <w:rPr>
          <w:lang w:val="da-DK"/>
        </w:rPr>
        <w:t xml:space="preserve">Den normalt anbefalede initialdosis er 5 mg </w:t>
      </w:r>
      <w:proofErr w:type="spellStart"/>
      <w:r>
        <w:rPr>
          <w:lang w:val="da-DK"/>
        </w:rPr>
        <w:t>ivabradin</w:t>
      </w:r>
      <w:proofErr w:type="spellEnd"/>
      <w:r>
        <w:rPr>
          <w:lang w:val="da-DK"/>
        </w:rPr>
        <w:t xml:space="preserve"> to gange daglig. Efter to ugers behandling kan dosis øges til 7,5 mg to gange daglig, hvis hjertets hvilefrekvens er over 60 slag i minuttet, eller reduceres til 2,5 mg to gange daglig (½ tablet a 5 mg to gange daglig), hvis hvilefrekvensen vedvarende er under 50 slag i minuttet eller ved symptomer som </w:t>
      </w:r>
      <w:r>
        <w:rPr>
          <w:lang w:val="da-DK"/>
        </w:rPr>
        <w:lastRenderedPageBreak/>
        <w:t xml:space="preserve">svimmelhed, træthed eller hypotension på grund af bradykardi. Hvis hjertefrekvensen ligger mellem 50 og 60 slag i minuttet, skal dosis fastholdes på 5 mg to gange daglig. </w:t>
      </w:r>
    </w:p>
    <w:p w:rsidR="007712B7" w:rsidRDefault="007712B7" w:rsidP="007712B7">
      <w:pPr>
        <w:pStyle w:val="Default"/>
        <w:ind w:left="851"/>
        <w:rPr>
          <w:lang w:val="da-DK"/>
        </w:rPr>
      </w:pPr>
      <w:r>
        <w:rPr>
          <w:lang w:val="da-DK"/>
        </w:rPr>
        <w:t xml:space="preserve">Hvis hvilefrekvensen i løbet af behandlingen vedvarende falder til under 50 slag i minuttet, eller hvis patienten får symptomer på grund af bradykardi, skal dosis nedtitreres til den nærmeste lavere dosis hos patienter, der får 7,5 mg to gange daglig eller 5 mg to gange daglig. Hvis hjertefrekvensen vedvarende stiger til over 60 slag i minuttet, kan dosis </w:t>
      </w:r>
      <w:proofErr w:type="spellStart"/>
      <w:r>
        <w:rPr>
          <w:lang w:val="da-DK"/>
        </w:rPr>
        <w:t>optitreres</w:t>
      </w:r>
      <w:proofErr w:type="spellEnd"/>
      <w:r>
        <w:rPr>
          <w:lang w:val="da-DK"/>
        </w:rPr>
        <w:t xml:space="preserve"> til den nærmeste højere dosis hos patienter, der får 2,5 mg to gange daglig eller 5 mg to gange daglig. </w:t>
      </w:r>
    </w:p>
    <w:p w:rsidR="007712B7" w:rsidRDefault="007712B7" w:rsidP="007712B7">
      <w:pPr>
        <w:pStyle w:val="Default"/>
        <w:ind w:left="851"/>
        <w:rPr>
          <w:lang w:val="da-DK"/>
        </w:rPr>
      </w:pPr>
      <w:r>
        <w:rPr>
          <w:lang w:val="da-DK"/>
        </w:rPr>
        <w:t xml:space="preserve">Behandlingen skal seponeres, hvis hjertefrekvensen forbliver under 50 slag i minuttet, eller hvis der er vedholdende symptomer på grund af bradykardi (se pkt. 4.4).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Særlige populationer </w:t>
      </w:r>
    </w:p>
    <w:p w:rsidR="00C32DCC" w:rsidRDefault="00C32DCC" w:rsidP="007712B7">
      <w:pPr>
        <w:pStyle w:val="Default"/>
        <w:ind w:left="851"/>
        <w:rPr>
          <w:i/>
          <w:iCs/>
          <w:lang w:val="da-DK"/>
        </w:rPr>
      </w:pPr>
    </w:p>
    <w:p w:rsidR="007712B7" w:rsidRDefault="007712B7" w:rsidP="007712B7">
      <w:pPr>
        <w:pStyle w:val="Default"/>
        <w:ind w:left="851"/>
        <w:rPr>
          <w:lang w:val="da-DK"/>
        </w:rPr>
      </w:pPr>
      <w:r>
        <w:rPr>
          <w:i/>
          <w:iCs/>
          <w:lang w:val="da-DK"/>
        </w:rPr>
        <w:t xml:space="preserve">Ældre </w:t>
      </w:r>
    </w:p>
    <w:p w:rsidR="007712B7" w:rsidRDefault="007712B7" w:rsidP="007712B7">
      <w:pPr>
        <w:pStyle w:val="Default"/>
        <w:ind w:left="851"/>
        <w:rPr>
          <w:lang w:val="da-DK"/>
        </w:rPr>
      </w:pPr>
      <w:r>
        <w:rPr>
          <w:lang w:val="da-DK"/>
        </w:rPr>
        <w:t xml:space="preserve">Hos patienter på 75 år og derover, bør det overvejes at starte med en lavere dosis hos disse patienter (2,5 mg to gange daglig, dvs. en halv 5 mg tablet to gange daglig), før dosis om nødvendigt øges.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Nedsat nyrefunktion </w:t>
      </w:r>
    </w:p>
    <w:p w:rsidR="007712B7" w:rsidRDefault="007712B7" w:rsidP="007712B7">
      <w:pPr>
        <w:pStyle w:val="Default"/>
        <w:ind w:left="851"/>
        <w:rPr>
          <w:lang w:val="da-DK"/>
        </w:rPr>
      </w:pPr>
      <w:r>
        <w:rPr>
          <w:lang w:val="da-DK"/>
        </w:rPr>
        <w:t xml:space="preserve">Dosisjustering er ikke nødvendig til patienter med nyreinsufficiens og </w:t>
      </w:r>
      <w:proofErr w:type="spellStart"/>
      <w:r>
        <w:rPr>
          <w:lang w:val="da-DK"/>
        </w:rPr>
        <w:t>kreatininclearance</w:t>
      </w:r>
      <w:proofErr w:type="spellEnd"/>
      <w:r>
        <w:rPr>
          <w:lang w:val="da-DK"/>
        </w:rPr>
        <w:t xml:space="preserve"> over 15 ml/min (se pkt. 5.2).</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Der foreligger ikke data fra patienter med </w:t>
      </w:r>
      <w:proofErr w:type="spellStart"/>
      <w:r>
        <w:rPr>
          <w:lang w:val="da-DK"/>
        </w:rPr>
        <w:t>kreatininclearance</w:t>
      </w:r>
      <w:proofErr w:type="spellEnd"/>
      <w:r>
        <w:rPr>
          <w:lang w:val="da-DK"/>
        </w:rPr>
        <w:t xml:space="preserve"> under 15 ml/min. </w:t>
      </w:r>
      <w:proofErr w:type="spellStart"/>
      <w:r>
        <w:rPr>
          <w:lang w:val="da-DK"/>
        </w:rPr>
        <w:t>Ivabradin</w:t>
      </w:r>
      <w:proofErr w:type="spellEnd"/>
      <w:r>
        <w:rPr>
          <w:lang w:val="da-DK"/>
        </w:rPr>
        <w:t xml:space="preserve"> skal derfor anvendes med forsigtighed hos denne population.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Nedsat leverfunktion </w:t>
      </w:r>
    </w:p>
    <w:p w:rsidR="007712B7" w:rsidRDefault="007712B7" w:rsidP="007712B7">
      <w:pPr>
        <w:pStyle w:val="Default"/>
        <w:ind w:left="851"/>
        <w:rPr>
          <w:lang w:val="da-DK"/>
        </w:rPr>
      </w:pPr>
      <w:r>
        <w:rPr>
          <w:lang w:val="da-DK"/>
        </w:rPr>
        <w:t xml:space="preserve">Dosisjustering er ikke nødvendig til patienter med mild leverinsufficiens. Der bør udvises forsigtighed ved anvendelse af </w:t>
      </w:r>
      <w:proofErr w:type="spellStart"/>
      <w:r>
        <w:rPr>
          <w:lang w:val="da-DK"/>
        </w:rPr>
        <w:t>ivabradin</w:t>
      </w:r>
      <w:proofErr w:type="spellEnd"/>
      <w:r>
        <w:rPr>
          <w:lang w:val="da-DK"/>
        </w:rPr>
        <w:t xml:space="preserve"> til patienter med moderat leverinsufficiens. </w:t>
      </w:r>
      <w:proofErr w:type="spellStart"/>
      <w:r>
        <w:rPr>
          <w:lang w:val="da-DK"/>
        </w:rPr>
        <w:t>Ivabradin</w:t>
      </w:r>
      <w:proofErr w:type="spellEnd"/>
      <w:r>
        <w:rPr>
          <w:lang w:val="da-DK"/>
        </w:rPr>
        <w:t xml:space="preserve"> er kontraindiceret til patienter med svær leverinsufficiens, da det ikke er undersøgt hos denne population, og der forudses en stor stigning i systemisk eksponering (se pkt. 4.3 og 5.2).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Pædiatrisk population </w:t>
      </w:r>
    </w:p>
    <w:p w:rsidR="007712B7" w:rsidRDefault="007712B7" w:rsidP="007712B7">
      <w:pPr>
        <w:pStyle w:val="Default"/>
        <w:ind w:left="851"/>
        <w:rPr>
          <w:lang w:val="da-DK"/>
        </w:rPr>
      </w:pPr>
      <w:proofErr w:type="spellStart"/>
      <w:r>
        <w:rPr>
          <w:lang w:val="da-DK"/>
        </w:rPr>
        <w:t>Ivabradins</w:t>
      </w:r>
      <w:proofErr w:type="spellEnd"/>
      <w:r>
        <w:rPr>
          <w:lang w:val="da-DK"/>
        </w:rPr>
        <w:t xml:space="preserve"> sikkerhed og virkning ved behandling af kronisk hjerteinsufficiens hos børn i alderen under 18 år er ikke klarlagt. </w:t>
      </w:r>
    </w:p>
    <w:p w:rsidR="007712B7" w:rsidRDefault="007712B7" w:rsidP="007712B7">
      <w:pPr>
        <w:pStyle w:val="Default"/>
        <w:ind w:left="851"/>
        <w:rPr>
          <w:lang w:val="da-DK"/>
        </w:rPr>
      </w:pPr>
      <w:r>
        <w:rPr>
          <w:lang w:val="da-DK"/>
        </w:rPr>
        <w:t xml:space="preserve">De foreliggende data er beskrevet i pkt. 5.1 og 5.2, men der kan ikke gives nogen anbefalinger vedrørende dosering.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Administration </w:t>
      </w:r>
    </w:p>
    <w:p w:rsidR="007712B7" w:rsidRDefault="007712B7" w:rsidP="007712B7">
      <w:pPr>
        <w:pStyle w:val="Default"/>
        <w:ind w:left="851"/>
        <w:rPr>
          <w:lang w:val="da-DK"/>
        </w:rPr>
      </w:pPr>
      <w:r>
        <w:rPr>
          <w:lang w:val="da-DK"/>
        </w:rPr>
        <w:t>Tabletterne skal tages per os to gange daglig, dvs. en tablet om morgenen og en om aftenen i forbindelse med et måltid (se pkt. 5.2).</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4.3</w:t>
      </w:r>
      <w:r>
        <w:rPr>
          <w:b/>
          <w:sz w:val="24"/>
          <w:szCs w:val="24"/>
        </w:rPr>
        <w:tab/>
        <w:t>Kontraindikationer</w:t>
      </w:r>
    </w:p>
    <w:p w:rsidR="007712B7" w:rsidRDefault="007712B7" w:rsidP="00C32DCC">
      <w:pPr>
        <w:pStyle w:val="Default"/>
        <w:numPr>
          <w:ilvl w:val="0"/>
          <w:numId w:val="7"/>
        </w:numPr>
        <w:ind w:left="1134" w:hanging="283"/>
        <w:rPr>
          <w:lang w:val="da-DK"/>
        </w:rPr>
      </w:pPr>
      <w:r>
        <w:rPr>
          <w:lang w:val="da-DK"/>
        </w:rPr>
        <w:t xml:space="preserve">Overfølsomhed over for det aktive stof eller over for et eller flere af hjælpestofferne anført i pkt. 6.1 </w:t>
      </w:r>
    </w:p>
    <w:p w:rsidR="007712B7" w:rsidRDefault="007712B7" w:rsidP="00C32DCC">
      <w:pPr>
        <w:pStyle w:val="Default"/>
        <w:numPr>
          <w:ilvl w:val="0"/>
          <w:numId w:val="7"/>
        </w:numPr>
        <w:ind w:left="1134" w:hanging="283"/>
        <w:rPr>
          <w:lang w:val="da-DK"/>
        </w:rPr>
      </w:pPr>
      <w:r>
        <w:rPr>
          <w:lang w:val="da-DK"/>
        </w:rPr>
        <w:t xml:space="preserve">Hjertefrekvens i hvile under 70 slag/min før behandlingen </w:t>
      </w:r>
    </w:p>
    <w:p w:rsidR="007712B7" w:rsidRDefault="007712B7" w:rsidP="00C32DCC">
      <w:pPr>
        <w:pStyle w:val="Default"/>
        <w:numPr>
          <w:ilvl w:val="0"/>
          <w:numId w:val="7"/>
        </w:numPr>
        <w:ind w:left="1134" w:hanging="283"/>
        <w:rPr>
          <w:lang w:val="da-DK"/>
        </w:rPr>
      </w:pPr>
      <w:proofErr w:type="spellStart"/>
      <w:r>
        <w:rPr>
          <w:lang w:val="da-DK"/>
        </w:rPr>
        <w:t>Kardiogent</w:t>
      </w:r>
      <w:proofErr w:type="spellEnd"/>
      <w:r>
        <w:rPr>
          <w:lang w:val="da-DK"/>
        </w:rPr>
        <w:t xml:space="preserve"> </w:t>
      </w:r>
      <w:proofErr w:type="spellStart"/>
      <w:r>
        <w:rPr>
          <w:lang w:val="da-DK"/>
        </w:rPr>
        <w:t>shock</w:t>
      </w:r>
      <w:proofErr w:type="spellEnd"/>
      <w:r>
        <w:rPr>
          <w:lang w:val="da-DK"/>
        </w:rPr>
        <w:t xml:space="preserve"> </w:t>
      </w:r>
    </w:p>
    <w:p w:rsidR="007712B7" w:rsidRDefault="007712B7" w:rsidP="00C32DCC">
      <w:pPr>
        <w:pStyle w:val="Default"/>
        <w:numPr>
          <w:ilvl w:val="0"/>
          <w:numId w:val="7"/>
        </w:numPr>
        <w:ind w:left="1134" w:hanging="283"/>
        <w:rPr>
          <w:lang w:val="da-DK"/>
        </w:rPr>
      </w:pPr>
      <w:r>
        <w:rPr>
          <w:lang w:val="da-DK"/>
        </w:rPr>
        <w:t xml:space="preserve">Akut myokardieinfarkt </w:t>
      </w:r>
    </w:p>
    <w:p w:rsidR="007712B7" w:rsidRDefault="007712B7" w:rsidP="00C32DCC">
      <w:pPr>
        <w:pStyle w:val="Default"/>
        <w:numPr>
          <w:ilvl w:val="0"/>
          <w:numId w:val="7"/>
        </w:numPr>
        <w:ind w:left="1134" w:hanging="283"/>
        <w:rPr>
          <w:lang w:val="da-DK"/>
        </w:rPr>
      </w:pPr>
      <w:r>
        <w:rPr>
          <w:lang w:val="da-DK"/>
        </w:rPr>
        <w:t xml:space="preserve">Svær hypotension (&lt; 90/50 </w:t>
      </w:r>
      <w:proofErr w:type="spellStart"/>
      <w:r>
        <w:rPr>
          <w:lang w:val="da-DK"/>
        </w:rPr>
        <w:t>mmHg</w:t>
      </w:r>
      <w:proofErr w:type="spellEnd"/>
      <w:r>
        <w:rPr>
          <w:lang w:val="da-DK"/>
        </w:rPr>
        <w:t xml:space="preserve">) </w:t>
      </w:r>
    </w:p>
    <w:p w:rsidR="007712B7" w:rsidRDefault="007712B7" w:rsidP="00C32DCC">
      <w:pPr>
        <w:pStyle w:val="Default"/>
        <w:numPr>
          <w:ilvl w:val="0"/>
          <w:numId w:val="7"/>
        </w:numPr>
        <w:ind w:left="1134" w:hanging="283"/>
        <w:rPr>
          <w:lang w:val="da-DK"/>
        </w:rPr>
      </w:pPr>
      <w:r>
        <w:rPr>
          <w:lang w:val="da-DK"/>
        </w:rPr>
        <w:t xml:space="preserve">Svær leverinsufficiens </w:t>
      </w:r>
    </w:p>
    <w:p w:rsidR="007712B7" w:rsidRDefault="007712B7" w:rsidP="00C32DCC">
      <w:pPr>
        <w:pStyle w:val="Default"/>
        <w:numPr>
          <w:ilvl w:val="0"/>
          <w:numId w:val="7"/>
        </w:numPr>
        <w:ind w:left="1134" w:hanging="283"/>
        <w:rPr>
          <w:lang w:val="da-DK"/>
        </w:rPr>
      </w:pPr>
      <w:r>
        <w:rPr>
          <w:lang w:val="da-DK"/>
        </w:rPr>
        <w:t xml:space="preserve">Syg sinus-syndrom </w:t>
      </w:r>
    </w:p>
    <w:p w:rsidR="007712B7" w:rsidRDefault="007712B7" w:rsidP="00C32DCC">
      <w:pPr>
        <w:pStyle w:val="Default"/>
        <w:numPr>
          <w:ilvl w:val="0"/>
          <w:numId w:val="7"/>
        </w:numPr>
        <w:ind w:left="1134" w:hanging="283"/>
        <w:rPr>
          <w:lang w:val="da-DK"/>
        </w:rPr>
      </w:pPr>
      <w:proofErr w:type="spellStart"/>
      <w:r>
        <w:rPr>
          <w:lang w:val="da-DK"/>
        </w:rPr>
        <w:lastRenderedPageBreak/>
        <w:t>Sinuatrialt</w:t>
      </w:r>
      <w:proofErr w:type="spellEnd"/>
      <w:r>
        <w:rPr>
          <w:lang w:val="da-DK"/>
        </w:rPr>
        <w:t xml:space="preserve"> blok </w:t>
      </w:r>
    </w:p>
    <w:p w:rsidR="007712B7" w:rsidRDefault="007712B7" w:rsidP="00C32DCC">
      <w:pPr>
        <w:pStyle w:val="Default"/>
        <w:numPr>
          <w:ilvl w:val="0"/>
          <w:numId w:val="7"/>
        </w:numPr>
        <w:ind w:left="1134" w:hanging="283"/>
        <w:rPr>
          <w:lang w:val="da-DK"/>
        </w:rPr>
      </w:pPr>
      <w:r>
        <w:rPr>
          <w:lang w:val="da-DK"/>
        </w:rPr>
        <w:t xml:space="preserve">Ustabil eller akut hjerteinsufficiens </w:t>
      </w:r>
    </w:p>
    <w:p w:rsidR="007712B7" w:rsidRDefault="007712B7" w:rsidP="00C32DCC">
      <w:pPr>
        <w:pStyle w:val="Default"/>
        <w:numPr>
          <w:ilvl w:val="0"/>
          <w:numId w:val="7"/>
        </w:numPr>
        <w:ind w:left="1134" w:hanging="283"/>
        <w:rPr>
          <w:lang w:val="da-DK"/>
        </w:rPr>
      </w:pPr>
      <w:r>
        <w:rPr>
          <w:lang w:val="da-DK"/>
        </w:rPr>
        <w:t xml:space="preserve">Afhængighed af pacemaker (hjertefrekvensen styres udelukkende af pacemaker) </w:t>
      </w:r>
    </w:p>
    <w:p w:rsidR="007712B7" w:rsidRDefault="007712B7" w:rsidP="00C32DCC">
      <w:pPr>
        <w:pStyle w:val="Default"/>
        <w:numPr>
          <w:ilvl w:val="0"/>
          <w:numId w:val="7"/>
        </w:numPr>
        <w:ind w:left="1134" w:hanging="283"/>
        <w:rPr>
          <w:lang w:val="da-DK"/>
        </w:rPr>
      </w:pPr>
      <w:r>
        <w:rPr>
          <w:lang w:val="da-DK"/>
        </w:rPr>
        <w:t xml:space="preserve">Ustabil angina pectoris </w:t>
      </w:r>
    </w:p>
    <w:p w:rsidR="007712B7" w:rsidRDefault="007712B7" w:rsidP="00C32DCC">
      <w:pPr>
        <w:pStyle w:val="Default"/>
        <w:numPr>
          <w:ilvl w:val="0"/>
          <w:numId w:val="7"/>
        </w:numPr>
        <w:ind w:left="1134" w:hanging="283"/>
        <w:rPr>
          <w:lang w:val="da-DK"/>
        </w:rPr>
      </w:pPr>
      <w:r>
        <w:rPr>
          <w:lang w:val="da-DK"/>
        </w:rPr>
        <w:t xml:space="preserve">3. grads AV-blok </w:t>
      </w:r>
    </w:p>
    <w:p w:rsidR="007712B7" w:rsidRDefault="007712B7" w:rsidP="00C32DCC">
      <w:pPr>
        <w:pStyle w:val="Default"/>
        <w:numPr>
          <w:ilvl w:val="0"/>
          <w:numId w:val="7"/>
        </w:numPr>
        <w:ind w:left="1134" w:hanging="283"/>
        <w:rPr>
          <w:lang w:val="da-DK"/>
        </w:rPr>
      </w:pPr>
      <w:r>
        <w:rPr>
          <w:lang w:val="da-DK"/>
        </w:rPr>
        <w:t xml:space="preserve">Samtidig behandling med stærke CYP3A4-hæmmere som f.eks. </w:t>
      </w:r>
      <w:proofErr w:type="spellStart"/>
      <w:r>
        <w:rPr>
          <w:lang w:val="da-DK"/>
        </w:rPr>
        <w:t>azol-antimykotika</w:t>
      </w:r>
      <w:proofErr w:type="spellEnd"/>
      <w:r>
        <w:rPr>
          <w:lang w:val="da-DK"/>
        </w:rPr>
        <w:t xml:space="preserve"> (</w:t>
      </w:r>
      <w:proofErr w:type="spellStart"/>
      <w:r>
        <w:rPr>
          <w:lang w:val="da-DK"/>
        </w:rPr>
        <w:t>ketoconazol</w:t>
      </w:r>
      <w:proofErr w:type="spellEnd"/>
      <w:r>
        <w:rPr>
          <w:lang w:val="da-DK"/>
        </w:rPr>
        <w:t xml:space="preserve">, </w:t>
      </w:r>
      <w:proofErr w:type="spellStart"/>
      <w:r>
        <w:rPr>
          <w:lang w:val="da-DK"/>
        </w:rPr>
        <w:t>itraconazol</w:t>
      </w:r>
      <w:proofErr w:type="spellEnd"/>
      <w:r>
        <w:rPr>
          <w:lang w:val="da-DK"/>
        </w:rPr>
        <w:t xml:space="preserve">), </w:t>
      </w:r>
      <w:proofErr w:type="spellStart"/>
      <w:r>
        <w:rPr>
          <w:lang w:val="da-DK"/>
        </w:rPr>
        <w:t>makrolidantibiotika</w:t>
      </w:r>
      <w:proofErr w:type="spellEnd"/>
      <w:r>
        <w:rPr>
          <w:lang w:val="da-DK"/>
        </w:rPr>
        <w:t xml:space="preserve"> (</w:t>
      </w:r>
      <w:proofErr w:type="spellStart"/>
      <w:r>
        <w:rPr>
          <w:lang w:val="da-DK"/>
        </w:rPr>
        <w:t>clarithromycin</w:t>
      </w:r>
      <w:proofErr w:type="spellEnd"/>
      <w:r>
        <w:rPr>
          <w:lang w:val="da-DK"/>
        </w:rPr>
        <w:t xml:space="preserve">, </w:t>
      </w:r>
      <w:proofErr w:type="spellStart"/>
      <w:r>
        <w:rPr>
          <w:lang w:val="da-DK"/>
        </w:rPr>
        <w:t>erythromycin</w:t>
      </w:r>
      <w:proofErr w:type="spellEnd"/>
      <w:r>
        <w:rPr>
          <w:lang w:val="da-DK"/>
        </w:rPr>
        <w:t xml:space="preserve"> </w:t>
      </w:r>
      <w:r>
        <w:rPr>
          <w:i/>
          <w:iCs/>
          <w:lang w:val="da-DK"/>
        </w:rPr>
        <w:t>per os</w:t>
      </w:r>
      <w:r>
        <w:rPr>
          <w:lang w:val="da-DK"/>
        </w:rPr>
        <w:t xml:space="preserve">, </w:t>
      </w:r>
      <w:proofErr w:type="spellStart"/>
      <w:r>
        <w:rPr>
          <w:lang w:val="da-DK"/>
        </w:rPr>
        <w:t>josamycin</w:t>
      </w:r>
      <w:proofErr w:type="spellEnd"/>
      <w:r>
        <w:rPr>
          <w:lang w:val="da-DK"/>
        </w:rPr>
        <w:t xml:space="preserve">, </w:t>
      </w:r>
      <w:proofErr w:type="spellStart"/>
      <w:r>
        <w:rPr>
          <w:lang w:val="da-DK"/>
        </w:rPr>
        <w:t>telithromycin</w:t>
      </w:r>
      <w:proofErr w:type="spellEnd"/>
      <w:r>
        <w:rPr>
          <w:lang w:val="da-DK"/>
        </w:rPr>
        <w:t>), hiv-</w:t>
      </w:r>
      <w:proofErr w:type="spellStart"/>
      <w:r>
        <w:rPr>
          <w:lang w:val="da-DK"/>
        </w:rPr>
        <w:t>proteasehæmmere</w:t>
      </w:r>
      <w:proofErr w:type="spellEnd"/>
      <w:r>
        <w:rPr>
          <w:lang w:val="da-DK"/>
        </w:rPr>
        <w:t xml:space="preserve"> (</w:t>
      </w:r>
      <w:proofErr w:type="spellStart"/>
      <w:r>
        <w:rPr>
          <w:lang w:val="da-DK"/>
        </w:rPr>
        <w:t>nelfinavir</w:t>
      </w:r>
      <w:proofErr w:type="spellEnd"/>
      <w:r>
        <w:rPr>
          <w:lang w:val="da-DK"/>
        </w:rPr>
        <w:t xml:space="preserve">, </w:t>
      </w:r>
      <w:proofErr w:type="spellStart"/>
      <w:r>
        <w:rPr>
          <w:lang w:val="da-DK"/>
        </w:rPr>
        <w:t>ritonavir</w:t>
      </w:r>
      <w:proofErr w:type="spellEnd"/>
      <w:r>
        <w:rPr>
          <w:lang w:val="da-DK"/>
        </w:rPr>
        <w:t xml:space="preserve">) og </w:t>
      </w:r>
      <w:proofErr w:type="spellStart"/>
      <w:r>
        <w:rPr>
          <w:lang w:val="da-DK"/>
        </w:rPr>
        <w:t>nefazodon</w:t>
      </w:r>
      <w:proofErr w:type="spellEnd"/>
      <w:r>
        <w:rPr>
          <w:lang w:val="da-DK"/>
        </w:rPr>
        <w:t xml:space="preserve"> (se pkt. 4.5 og 5.2) </w:t>
      </w:r>
    </w:p>
    <w:p w:rsidR="007712B7" w:rsidRDefault="007712B7" w:rsidP="00C32DCC">
      <w:pPr>
        <w:pStyle w:val="Default"/>
        <w:numPr>
          <w:ilvl w:val="0"/>
          <w:numId w:val="7"/>
        </w:numPr>
        <w:ind w:left="1134" w:hanging="283"/>
        <w:rPr>
          <w:lang w:val="da-DK"/>
        </w:rPr>
      </w:pPr>
      <w:r>
        <w:rPr>
          <w:lang w:val="da-DK"/>
        </w:rPr>
        <w:t xml:space="preserve">Samtidig behandling med </w:t>
      </w:r>
      <w:proofErr w:type="spellStart"/>
      <w:r>
        <w:rPr>
          <w:lang w:val="da-DK"/>
        </w:rPr>
        <w:t>verapamil</w:t>
      </w:r>
      <w:proofErr w:type="spellEnd"/>
      <w:r>
        <w:rPr>
          <w:lang w:val="da-DK"/>
        </w:rPr>
        <w:t xml:space="preserve"> eller </w:t>
      </w:r>
      <w:proofErr w:type="spellStart"/>
      <w:r>
        <w:rPr>
          <w:lang w:val="da-DK"/>
        </w:rPr>
        <w:t>diltiazem</w:t>
      </w:r>
      <w:proofErr w:type="spellEnd"/>
      <w:r>
        <w:rPr>
          <w:lang w:val="da-DK"/>
        </w:rPr>
        <w:t xml:space="preserve">, som er moderate CYPP3A4-hæmmere med hjertefrekvenssænkende egenskaber (se pkt. 4.5) </w:t>
      </w:r>
    </w:p>
    <w:p w:rsidR="007712B7" w:rsidRDefault="007712B7" w:rsidP="00C32DCC">
      <w:pPr>
        <w:pStyle w:val="Default"/>
        <w:numPr>
          <w:ilvl w:val="0"/>
          <w:numId w:val="7"/>
        </w:numPr>
        <w:ind w:left="1134" w:hanging="283"/>
        <w:rPr>
          <w:lang w:val="da-DK"/>
        </w:rPr>
      </w:pPr>
      <w:r>
        <w:rPr>
          <w:lang w:val="da-DK"/>
        </w:rPr>
        <w:t xml:space="preserve">Graviditet, amning samt kvinder i den fertile alder, der ikke anvender sikker </w:t>
      </w:r>
      <w:proofErr w:type="spellStart"/>
      <w:r>
        <w:rPr>
          <w:lang w:val="da-DK"/>
        </w:rPr>
        <w:t>kontraception</w:t>
      </w:r>
      <w:proofErr w:type="spellEnd"/>
      <w:r>
        <w:rPr>
          <w:lang w:val="da-DK"/>
        </w:rPr>
        <w:t xml:space="preserve"> (se pkt. 4.6)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4.4</w:t>
      </w:r>
      <w:r>
        <w:rPr>
          <w:b/>
          <w:sz w:val="24"/>
          <w:szCs w:val="24"/>
        </w:rPr>
        <w:tab/>
        <w:t>Særlige advarsler og forsigtighedsregler vedrørende brugen</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Særlige advarsler </w:t>
      </w:r>
    </w:p>
    <w:p w:rsidR="000742B5" w:rsidRDefault="000742B5" w:rsidP="007712B7">
      <w:pPr>
        <w:pStyle w:val="Default"/>
        <w:ind w:left="851"/>
        <w:rPr>
          <w:i/>
          <w:iCs/>
          <w:lang w:val="da-DK"/>
        </w:rPr>
      </w:pPr>
    </w:p>
    <w:p w:rsidR="007712B7" w:rsidRDefault="007712B7" w:rsidP="007712B7">
      <w:pPr>
        <w:pStyle w:val="Default"/>
        <w:ind w:left="851"/>
        <w:rPr>
          <w:lang w:val="da-DK"/>
        </w:rPr>
      </w:pPr>
      <w:r>
        <w:rPr>
          <w:i/>
          <w:iCs/>
          <w:lang w:val="da-DK"/>
        </w:rPr>
        <w:t xml:space="preserve">Manglende gavnlig virkning på kliniske udfald hos patienter med symptomatisk kronisk stabil angina pectoris </w:t>
      </w:r>
    </w:p>
    <w:p w:rsidR="007712B7" w:rsidRDefault="007712B7" w:rsidP="007712B7">
      <w:pPr>
        <w:ind w:left="851"/>
        <w:rPr>
          <w:color w:val="000000"/>
          <w:sz w:val="24"/>
          <w:szCs w:val="24"/>
        </w:rPr>
      </w:pPr>
      <w:proofErr w:type="spellStart"/>
      <w:r>
        <w:rPr>
          <w:color w:val="000000"/>
          <w:sz w:val="24"/>
          <w:szCs w:val="24"/>
        </w:rPr>
        <w:t>Ivabradin</w:t>
      </w:r>
      <w:proofErr w:type="spellEnd"/>
      <w:r>
        <w:rPr>
          <w:color w:val="000000"/>
          <w:sz w:val="24"/>
          <w:szCs w:val="24"/>
        </w:rPr>
        <w:t xml:space="preserve"> er kun indiceret som symptomatisk behandling af kronisk stabil angina pectoris, idet </w:t>
      </w:r>
      <w:proofErr w:type="spellStart"/>
      <w:r>
        <w:rPr>
          <w:color w:val="000000"/>
          <w:sz w:val="24"/>
          <w:szCs w:val="24"/>
        </w:rPr>
        <w:t>ivabradin</w:t>
      </w:r>
      <w:proofErr w:type="spellEnd"/>
      <w:r>
        <w:rPr>
          <w:color w:val="000000"/>
          <w:sz w:val="24"/>
          <w:szCs w:val="24"/>
        </w:rPr>
        <w:t xml:space="preserve"> ikke har gavnlig virkning på </w:t>
      </w:r>
      <w:proofErr w:type="spellStart"/>
      <w:r>
        <w:rPr>
          <w:color w:val="000000"/>
          <w:sz w:val="24"/>
          <w:szCs w:val="24"/>
        </w:rPr>
        <w:t>kardiovaskulære</w:t>
      </w:r>
      <w:proofErr w:type="spellEnd"/>
      <w:r>
        <w:rPr>
          <w:color w:val="000000"/>
          <w:sz w:val="24"/>
          <w:szCs w:val="24"/>
        </w:rPr>
        <w:t xml:space="preserve"> udfald (f.eks. myokardie</w:t>
      </w:r>
      <w:r>
        <w:rPr>
          <w:color w:val="000000"/>
          <w:sz w:val="24"/>
          <w:szCs w:val="24"/>
        </w:rPr>
        <w:softHyphen/>
        <w:t xml:space="preserve">infarkt eller </w:t>
      </w:r>
      <w:proofErr w:type="spellStart"/>
      <w:r>
        <w:rPr>
          <w:color w:val="000000"/>
          <w:sz w:val="24"/>
          <w:szCs w:val="24"/>
        </w:rPr>
        <w:t>kardiovaskulær</w:t>
      </w:r>
      <w:proofErr w:type="spellEnd"/>
      <w:r>
        <w:rPr>
          <w:color w:val="000000"/>
          <w:sz w:val="24"/>
          <w:szCs w:val="24"/>
        </w:rPr>
        <w:t xml:space="preserve"> død) (se pkt. 5.1).</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Måling af hjertefrekvens </w:t>
      </w:r>
    </w:p>
    <w:p w:rsidR="007712B7" w:rsidRDefault="007712B7" w:rsidP="007712B7">
      <w:pPr>
        <w:pStyle w:val="Default"/>
        <w:ind w:left="851"/>
        <w:rPr>
          <w:lang w:val="da-DK"/>
        </w:rPr>
      </w:pPr>
      <w:r>
        <w:rPr>
          <w:lang w:val="da-DK"/>
        </w:rPr>
        <w:t xml:space="preserve">Eftersom hjertefrekvensen kan variere betydeligt over tid, bør seriemålinger af hjertefrekvensen, ekg eller ambulant 24-timers monitorering overvejes ved bestemmelse af hjertefrekvensen i hvile før initiering af </w:t>
      </w:r>
      <w:proofErr w:type="spellStart"/>
      <w:r>
        <w:rPr>
          <w:lang w:val="da-DK"/>
        </w:rPr>
        <w:t>ivabradinbehandlingen</w:t>
      </w:r>
      <w:proofErr w:type="spellEnd"/>
      <w:r>
        <w:rPr>
          <w:lang w:val="da-DK"/>
        </w:rPr>
        <w:t xml:space="preserve"> samt hos patienter i </w:t>
      </w:r>
      <w:proofErr w:type="spellStart"/>
      <w:r>
        <w:rPr>
          <w:lang w:val="da-DK"/>
        </w:rPr>
        <w:t>ivabradinbehandling</w:t>
      </w:r>
      <w:proofErr w:type="spellEnd"/>
      <w:r>
        <w:rPr>
          <w:lang w:val="da-DK"/>
        </w:rPr>
        <w:t xml:space="preserve">, når titrering overvejes. Dette gælder også for patienter med lav hjertefrekvens, især hvis hjertefrekvensen falder til under 50 slag/min, eller efter dosisreduktion (se pkt. 4.2).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proofErr w:type="spellStart"/>
      <w:r>
        <w:rPr>
          <w:i/>
          <w:iCs/>
          <w:lang w:val="da-DK"/>
        </w:rPr>
        <w:t>Hjertearytmier</w:t>
      </w:r>
      <w:proofErr w:type="spellEnd"/>
      <w:r>
        <w:rPr>
          <w:i/>
          <w:iCs/>
          <w:lang w:val="da-DK"/>
        </w:rPr>
        <w:t xml:space="preserve"> </w:t>
      </w:r>
    </w:p>
    <w:p w:rsidR="007712B7" w:rsidRDefault="007712B7" w:rsidP="007712B7">
      <w:pPr>
        <w:pStyle w:val="Default"/>
        <w:ind w:left="851"/>
        <w:rPr>
          <w:lang w:val="da-DK"/>
        </w:rPr>
      </w:pPr>
      <w:proofErr w:type="spellStart"/>
      <w:r>
        <w:rPr>
          <w:lang w:val="da-DK"/>
        </w:rPr>
        <w:t>Ivabradin</w:t>
      </w:r>
      <w:proofErr w:type="spellEnd"/>
      <w:r>
        <w:rPr>
          <w:lang w:val="da-DK"/>
        </w:rPr>
        <w:t xml:space="preserve"> er ikke egnet til behandling eller profylakse af </w:t>
      </w:r>
      <w:proofErr w:type="spellStart"/>
      <w:r>
        <w:rPr>
          <w:lang w:val="da-DK"/>
        </w:rPr>
        <w:t>hjertearytmi</w:t>
      </w:r>
      <w:proofErr w:type="spellEnd"/>
      <w:r>
        <w:rPr>
          <w:lang w:val="da-DK"/>
        </w:rPr>
        <w:t xml:space="preserve"> og vil sandsynligvis være uden effekt i tilfælde af </w:t>
      </w:r>
      <w:proofErr w:type="spellStart"/>
      <w:r>
        <w:rPr>
          <w:lang w:val="da-DK"/>
        </w:rPr>
        <w:t>takyarytmi</w:t>
      </w:r>
      <w:proofErr w:type="spellEnd"/>
      <w:r>
        <w:rPr>
          <w:lang w:val="da-DK"/>
        </w:rPr>
        <w:t xml:space="preserve"> (f.eks. </w:t>
      </w:r>
      <w:proofErr w:type="spellStart"/>
      <w:r>
        <w:rPr>
          <w:lang w:val="da-DK"/>
        </w:rPr>
        <w:t>ventrikulær</w:t>
      </w:r>
      <w:proofErr w:type="spellEnd"/>
      <w:r>
        <w:rPr>
          <w:lang w:val="da-DK"/>
        </w:rPr>
        <w:t xml:space="preserve"> eller </w:t>
      </w:r>
      <w:proofErr w:type="spellStart"/>
      <w:r>
        <w:rPr>
          <w:lang w:val="da-DK"/>
        </w:rPr>
        <w:t>supraventrikulær</w:t>
      </w:r>
      <w:proofErr w:type="spellEnd"/>
      <w:r>
        <w:rPr>
          <w:lang w:val="da-DK"/>
        </w:rPr>
        <w:t xml:space="preserve"> </w:t>
      </w:r>
      <w:proofErr w:type="spellStart"/>
      <w:r>
        <w:rPr>
          <w:lang w:val="da-DK"/>
        </w:rPr>
        <w:t>takykardi</w:t>
      </w:r>
      <w:proofErr w:type="spellEnd"/>
      <w:r>
        <w:rPr>
          <w:lang w:val="da-DK"/>
        </w:rPr>
        <w:t xml:space="preserve">). </w:t>
      </w:r>
      <w:proofErr w:type="spellStart"/>
      <w:r>
        <w:rPr>
          <w:lang w:val="da-DK"/>
        </w:rPr>
        <w:t>Ivabradin</w:t>
      </w:r>
      <w:proofErr w:type="spellEnd"/>
      <w:r>
        <w:rPr>
          <w:lang w:val="da-DK"/>
        </w:rPr>
        <w:t xml:space="preserve"> kan derfor ikke anbefales til patienter med atrieflimren eller andre </w:t>
      </w:r>
      <w:proofErr w:type="spellStart"/>
      <w:r>
        <w:rPr>
          <w:lang w:val="da-DK"/>
        </w:rPr>
        <w:t>hjertearytmier</w:t>
      </w:r>
      <w:proofErr w:type="spellEnd"/>
      <w:r>
        <w:rPr>
          <w:lang w:val="da-DK"/>
        </w:rPr>
        <w:t xml:space="preserve">, der påvirker sinusknudens funktion. </w:t>
      </w:r>
    </w:p>
    <w:p w:rsidR="007712B7" w:rsidRDefault="007712B7" w:rsidP="007712B7">
      <w:pPr>
        <w:pStyle w:val="Default"/>
        <w:ind w:left="851"/>
        <w:rPr>
          <w:lang w:val="da-DK"/>
        </w:rPr>
      </w:pPr>
      <w:r>
        <w:rPr>
          <w:lang w:val="da-DK"/>
        </w:rPr>
        <w:t xml:space="preserve">Risikoen for udvikling af atrieflimren er øget hos patienter i </w:t>
      </w:r>
      <w:proofErr w:type="spellStart"/>
      <w:r>
        <w:rPr>
          <w:lang w:val="da-DK"/>
        </w:rPr>
        <w:t>ivabradinbehandling</w:t>
      </w:r>
      <w:proofErr w:type="spellEnd"/>
      <w:r>
        <w:rPr>
          <w:lang w:val="da-DK"/>
        </w:rPr>
        <w:t xml:space="preserve"> (se pkt. 4.8). Atrieflimren har været hyppigere hos patienter, der samtidigt tager </w:t>
      </w:r>
      <w:proofErr w:type="spellStart"/>
      <w:r>
        <w:rPr>
          <w:lang w:val="da-DK"/>
        </w:rPr>
        <w:t>amiodaron</w:t>
      </w:r>
      <w:proofErr w:type="spellEnd"/>
      <w:r>
        <w:rPr>
          <w:lang w:val="da-DK"/>
        </w:rPr>
        <w:t xml:space="preserve"> eller potente klasse I-</w:t>
      </w:r>
      <w:proofErr w:type="spellStart"/>
      <w:r>
        <w:rPr>
          <w:lang w:val="da-DK"/>
        </w:rPr>
        <w:t>antiarytmika</w:t>
      </w:r>
      <w:proofErr w:type="spellEnd"/>
      <w:r>
        <w:rPr>
          <w:lang w:val="da-DK"/>
        </w:rPr>
        <w:t xml:space="preserve">. Det anbefales, at patienter, som behandles med </w:t>
      </w:r>
      <w:proofErr w:type="spellStart"/>
      <w:r>
        <w:rPr>
          <w:lang w:val="da-DK"/>
        </w:rPr>
        <w:t>ivabradin</w:t>
      </w:r>
      <w:proofErr w:type="spellEnd"/>
      <w:r>
        <w:rPr>
          <w:lang w:val="da-DK"/>
        </w:rPr>
        <w:t xml:space="preserve">, kontrolleres regelmæssigt for atrieflimren (kronisk eller </w:t>
      </w:r>
      <w:proofErr w:type="spellStart"/>
      <w:r>
        <w:rPr>
          <w:lang w:val="da-DK"/>
        </w:rPr>
        <w:t>paroksystisk</w:t>
      </w:r>
      <w:proofErr w:type="spellEnd"/>
      <w:r>
        <w:rPr>
          <w:lang w:val="da-DK"/>
        </w:rPr>
        <w:t xml:space="preserve">), inklusive ekg-registrering, hvis klinisk nødvendigt (f.eks. i tilfælde af accelereret angina, </w:t>
      </w:r>
      <w:proofErr w:type="spellStart"/>
      <w:r>
        <w:rPr>
          <w:lang w:val="da-DK"/>
        </w:rPr>
        <w:t>palpitationer</w:t>
      </w:r>
      <w:proofErr w:type="spellEnd"/>
      <w:r>
        <w:rPr>
          <w:lang w:val="da-DK"/>
        </w:rPr>
        <w:t xml:space="preserve"> eller uregelmæssig puls). </w:t>
      </w:r>
    </w:p>
    <w:p w:rsidR="007712B7" w:rsidRDefault="007712B7" w:rsidP="007712B7">
      <w:pPr>
        <w:pStyle w:val="Default"/>
        <w:ind w:left="851"/>
        <w:rPr>
          <w:lang w:val="da-DK"/>
        </w:rPr>
      </w:pPr>
      <w:r>
        <w:rPr>
          <w:lang w:val="da-DK"/>
        </w:rPr>
        <w:t xml:space="preserve">Patienterne skal informeres om tegn og symptomer på atrieflimren og informeres om at kontakte deres læge, hvis disse tegn opstår. </w:t>
      </w:r>
    </w:p>
    <w:p w:rsidR="007712B7" w:rsidRDefault="007712B7" w:rsidP="007712B7">
      <w:pPr>
        <w:pStyle w:val="Default"/>
        <w:ind w:left="851"/>
        <w:rPr>
          <w:lang w:val="da-DK"/>
        </w:rPr>
      </w:pPr>
      <w:r>
        <w:rPr>
          <w:lang w:val="da-DK"/>
        </w:rPr>
        <w:t xml:space="preserve">Hvis der under behandlingen opstår atrieflimren, skal balancen mellem fordele og ulemper ved fortsat </w:t>
      </w:r>
      <w:proofErr w:type="spellStart"/>
      <w:r>
        <w:rPr>
          <w:lang w:val="da-DK"/>
        </w:rPr>
        <w:t>ivabradinbehandlingen</w:t>
      </w:r>
      <w:proofErr w:type="spellEnd"/>
      <w:r>
        <w:rPr>
          <w:lang w:val="da-DK"/>
        </w:rPr>
        <w:t xml:space="preserve"> overvejes nøje. </w:t>
      </w:r>
    </w:p>
    <w:p w:rsidR="007712B7" w:rsidRDefault="007712B7" w:rsidP="007712B7">
      <w:pPr>
        <w:pStyle w:val="Default"/>
        <w:ind w:left="851"/>
        <w:rPr>
          <w:lang w:val="da-DK"/>
        </w:rPr>
      </w:pPr>
      <w:r>
        <w:rPr>
          <w:lang w:val="da-DK"/>
        </w:rPr>
        <w:t xml:space="preserve">Patienter med kronisk hjerteinsufficiens og samtidig </w:t>
      </w:r>
      <w:proofErr w:type="spellStart"/>
      <w:r>
        <w:rPr>
          <w:lang w:val="da-DK"/>
        </w:rPr>
        <w:t>intraventrikulær</w:t>
      </w:r>
      <w:proofErr w:type="spellEnd"/>
      <w:r>
        <w:rPr>
          <w:lang w:val="da-DK"/>
        </w:rPr>
        <w:t xml:space="preserve"> ledningsforstyrrelse (</w:t>
      </w:r>
      <w:proofErr w:type="spellStart"/>
      <w:r>
        <w:rPr>
          <w:lang w:val="da-DK"/>
        </w:rPr>
        <w:t>venstresidig</w:t>
      </w:r>
      <w:proofErr w:type="spellEnd"/>
      <w:r>
        <w:rPr>
          <w:lang w:val="da-DK"/>
        </w:rPr>
        <w:t xml:space="preserve"> grenblok, højresidig grenblok) eller </w:t>
      </w:r>
      <w:proofErr w:type="spellStart"/>
      <w:r>
        <w:rPr>
          <w:lang w:val="da-DK"/>
        </w:rPr>
        <w:t>ventrikulær</w:t>
      </w:r>
      <w:proofErr w:type="spellEnd"/>
      <w:r>
        <w:rPr>
          <w:lang w:val="da-DK"/>
        </w:rPr>
        <w:t xml:space="preserve"> </w:t>
      </w:r>
      <w:proofErr w:type="spellStart"/>
      <w:r>
        <w:rPr>
          <w:lang w:val="da-DK"/>
        </w:rPr>
        <w:t>dyssynkroni</w:t>
      </w:r>
      <w:proofErr w:type="spellEnd"/>
      <w:r>
        <w:rPr>
          <w:lang w:val="da-DK"/>
        </w:rPr>
        <w:t xml:space="preserve"> skal monitoreres nøje.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lastRenderedPageBreak/>
        <w:t xml:space="preserve">Anvendelse til patienter med 2. grads AV-blok </w:t>
      </w:r>
    </w:p>
    <w:p w:rsidR="007712B7" w:rsidRDefault="007712B7" w:rsidP="007712B7">
      <w:pPr>
        <w:pStyle w:val="Default"/>
        <w:ind w:left="851"/>
        <w:rPr>
          <w:lang w:val="da-DK"/>
        </w:rPr>
      </w:pPr>
      <w:proofErr w:type="spellStart"/>
      <w:r>
        <w:rPr>
          <w:lang w:val="da-DK"/>
        </w:rPr>
        <w:t>Ivabradin</w:t>
      </w:r>
      <w:proofErr w:type="spellEnd"/>
      <w:r>
        <w:rPr>
          <w:lang w:val="da-DK"/>
        </w:rPr>
        <w:t xml:space="preserve"> kan ikke anbefales til patienter med 2. grads AV-blok.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Anvendelse til patienter med lav hjertefrekvens </w:t>
      </w:r>
    </w:p>
    <w:p w:rsidR="007712B7" w:rsidRDefault="007712B7" w:rsidP="007712B7">
      <w:pPr>
        <w:pStyle w:val="Default"/>
        <w:ind w:left="851"/>
        <w:rPr>
          <w:lang w:val="da-DK"/>
        </w:rPr>
      </w:pPr>
      <w:proofErr w:type="spellStart"/>
      <w:r>
        <w:rPr>
          <w:lang w:val="da-DK"/>
        </w:rPr>
        <w:t>Ivabradin</w:t>
      </w:r>
      <w:proofErr w:type="spellEnd"/>
      <w:r>
        <w:rPr>
          <w:lang w:val="da-DK"/>
        </w:rPr>
        <w:t xml:space="preserve"> må ikke anvendes til patienter, hvis hjertefrekvens i hvile var under 70 slag/min før behandlingen (se pkt. 4.3). </w:t>
      </w:r>
    </w:p>
    <w:p w:rsidR="007712B7" w:rsidRDefault="007712B7" w:rsidP="007712B7">
      <w:pPr>
        <w:pStyle w:val="Default"/>
        <w:ind w:left="851"/>
        <w:rPr>
          <w:lang w:val="da-DK"/>
        </w:rPr>
      </w:pPr>
      <w:r>
        <w:rPr>
          <w:lang w:val="da-DK"/>
        </w:rPr>
        <w:t xml:space="preserve">Hvis hjertefrekvensen i hvile falder permanent til under 50 slag/min under behandlingen, eller hvis patienten får symptomer på bradykardi som f.eks. svimmelhed, træthed, eller hypotension, skal dosis nedsættes eller behandlingen stoppes, hvis hjertefrekvensen kommer under 50 slag/min, eller hvis symptomerne på bradykardi persisterer (se pkt. 4.2).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Kombination med calciumantagonister </w:t>
      </w:r>
    </w:p>
    <w:p w:rsidR="007712B7" w:rsidRDefault="007712B7" w:rsidP="007712B7">
      <w:pPr>
        <w:pStyle w:val="Default"/>
        <w:ind w:left="851"/>
        <w:rPr>
          <w:lang w:val="da-DK"/>
        </w:rPr>
      </w:pPr>
      <w:r>
        <w:rPr>
          <w:lang w:val="da-DK"/>
        </w:rPr>
        <w:t xml:space="preserve">Samtidig anvendelse af </w:t>
      </w:r>
      <w:proofErr w:type="spellStart"/>
      <w:r>
        <w:rPr>
          <w:lang w:val="da-DK"/>
        </w:rPr>
        <w:t>ivabradin</w:t>
      </w:r>
      <w:proofErr w:type="spellEnd"/>
      <w:r>
        <w:rPr>
          <w:lang w:val="da-DK"/>
        </w:rPr>
        <w:t xml:space="preserve"> og hjertefrekvenssænkende calciumantagonister som f.eks. </w:t>
      </w:r>
      <w:proofErr w:type="spellStart"/>
      <w:r>
        <w:rPr>
          <w:lang w:val="da-DK"/>
        </w:rPr>
        <w:t>verapamil</w:t>
      </w:r>
      <w:proofErr w:type="spellEnd"/>
      <w:r>
        <w:rPr>
          <w:lang w:val="da-DK"/>
        </w:rPr>
        <w:t xml:space="preserve"> eller </w:t>
      </w:r>
      <w:proofErr w:type="spellStart"/>
      <w:r>
        <w:rPr>
          <w:lang w:val="da-DK"/>
        </w:rPr>
        <w:t>diltiazem</w:t>
      </w:r>
      <w:proofErr w:type="spellEnd"/>
      <w:r>
        <w:rPr>
          <w:lang w:val="da-DK"/>
        </w:rPr>
        <w:t xml:space="preserve"> er kontraindiceret (se pkt. 4.3 og 4.5). Der er ikke sat spørgsmålstegn ved sikkerheden af </w:t>
      </w:r>
      <w:proofErr w:type="spellStart"/>
      <w:r>
        <w:rPr>
          <w:lang w:val="da-DK"/>
        </w:rPr>
        <w:t>ivabradin</w:t>
      </w:r>
      <w:proofErr w:type="spellEnd"/>
      <w:r>
        <w:rPr>
          <w:lang w:val="da-DK"/>
        </w:rPr>
        <w:t xml:space="preserve"> i kombination med nitratpræparater og </w:t>
      </w:r>
      <w:proofErr w:type="spellStart"/>
      <w:r>
        <w:rPr>
          <w:lang w:val="da-DK"/>
        </w:rPr>
        <w:t>dihydropyridin</w:t>
      </w:r>
      <w:proofErr w:type="spellEnd"/>
      <w:r>
        <w:rPr>
          <w:lang w:val="da-DK"/>
        </w:rPr>
        <w:t xml:space="preserve">-calciumantagonister som f.eks. </w:t>
      </w:r>
      <w:proofErr w:type="spellStart"/>
      <w:r>
        <w:rPr>
          <w:lang w:val="da-DK"/>
        </w:rPr>
        <w:t>amlodipin</w:t>
      </w:r>
      <w:proofErr w:type="spellEnd"/>
      <w:r>
        <w:rPr>
          <w:lang w:val="da-DK"/>
        </w:rPr>
        <w:t xml:space="preserve">. Der er ikke dokumenteret yderligere effekt af </w:t>
      </w:r>
      <w:proofErr w:type="spellStart"/>
      <w:r>
        <w:rPr>
          <w:lang w:val="da-DK"/>
        </w:rPr>
        <w:t>ivabradin</w:t>
      </w:r>
      <w:proofErr w:type="spellEnd"/>
      <w:r>
        <w:rPr>
          <w:lang w:val="da-DK"/>
        </w:rPr>
        <w:t xml:space="preserve"> i kombination med </w:t>
      </w:r>
      <w:proofErr w:type="spellStart"/>
      <w:r>
        <w:rPr>
          <w:lang w:val="da-DK"/>
        </w:rPr>
        <w:t>dihydropyridin</w:t>
      </w:r>
      <w:proofErr w:type="spellEnd"/>
      <w:r>
        <w:rPr>
          <w:lang w:val="da-DK"/>
        </w:rPr>
        <w:t xml:space="preserve">-calciumantagonister (se pkt. 5.1).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Kronisk hjerteinsufficiens </w:t>
      </w:r>
    </w:p>
    <w:p w:rsidR="007712B7" w:rsidRDefault="007712B7" w:rsidP="007712B7">
      <w:pPr>
        <w:pStyle w:val="Default"/>
        <w:ind w:left="851"/>
        <w:rPr>
          <w:lang w:val="da-DK"/>
        </w:rPr>
      </w:pPr>
      <w:r>
        <w:rPr>
          <w:lang w:val="da-DK"/>
        </w:rPr>
        <w:t xml:space="preserve">Før behandling med </w:t>
      </w:r>
      <w:proofErr w:type="spellStart"/>
      <w:r>
        <w:rPr>
          <w:lang w:val="da-DK"/>
        </w:rPr>
        <w:t>ivabradin</w:t>
      </w:r>
      <w:proofErr w:type="spellEnd"/>
      <w:r>
        <w:rPr>
          <w:lang w:val="da-DK"/>
        </w:rPr>
        <w:t xml:space="preserve"> overvejes, skal patientens hjerteinsufficiens være stabil. </w:t>
      </w:r>
      <w:proofErr w:type="spellStart"/>
      <w:r>
        <w:rPr>
          <w:lang w:val="da-DK"/>
        </w:rPr>
        <w:t>Ivabradin</w:t>
      </w:r>
      <w:proofErr w:type="spellEnd"/>
      <w:r>
        <w:rPr>
          <w:lang w:val="da-DK"/>
        </w:rPr>
        <w:t xml:space="preserve"> bør anvendes med forsigtighed hos patienter med hjerteinsufficiens af NYHA-klasse IV, da der kun foreligger begrænsede data for denne population.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Apopleksi </w:t>
      </w:r>
    </w:p>
    <w:p w:rsidR="007712B7" w:rsidRDefault="007712B7" w:rsidP="007712B7">
      <w:pPr>
        <w:ind w:left="851"/>
        <w:rPr>
          <w:sz w:val="24"/>
          <w:szCs w:val="24"/>
        </w:rPr>
      </w:pPr>
      <w:r>
        <w:rPr>
          <w:sz w:val="24"/>
          <w:szCs w:val="24"/>
        </w:rPr>
        <w:t xml:space="preserve">Anvendelse af </w:t>
      </w:r>
      <w:proofErr w:type="spellStart"/>
      <w:r>
        <w:rPr>
          <w:sz w:val="24"/>
          <w:szCs w:val="24"/>
        </w:rPr>
        <w:t>ivabradin</w:t>
      </w:r>
      <w:proofErr w:type="spellEnd"/>
      <w:r>
        <w:rPr>
          <w:sz w:val="24"/>
          <w:szCs w:val="24"/>
        </w:rPr>
        <w:t xml:space="preserve"> anbefales ikke umiddelbart efter et slagtilfælde, da der ikke foreligger data for disse tilstande.</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Synet </w:t>
      </w:r>
    </w:p>
    <w:p w:rsidR="007712B7" w:rsidRDefault="007712B7" w:rsidP="007712B7">
      <w:pPr>
        <w:pStyle w:val="Default"/>
        <w:ind w:left="851"/>
        <w:rPr>
          <w:lang w:val="da-DK"/>
        </w:rPr>
      </w:pPr>
      <w:proofErr w:type="spellStart"/>
      <w:r>
        <w:rPr>
          <w:lang w:val="da-DK"/>
        </w:rPr>
        <w:t>Ivabradin</w:t>
      </w:r>
      <w:proofErr w:type="spellEnd"/>
      <w:r>
        <w:rPr>
          <w:lang w:val="da-DK"/>
        </w:rPr>
        <w:t xml:space="preserve"> påvirker funktionen af </w:t>
      </w:r>
      <w:proofErr w:type="spellStart"/>
      <w:r>
        <w:rPr>
          <w:lang w:val="da-DK"/>
        </w:rPr>
        <w:t>retina</w:t>
      </w:r>
      <w:proofErr w:type="spellEnd"/>
      <w:r>
        <w:rPr>
          <w:lang w:val="da-DK"/>
        </w:rPr>
        <w:t xml:space="preserve">. Der er ingen evidens for en toksisk virkning på </w:t>
      </w:r>
      <w:proofErr w:type="spellStart"/>
      <w:r>
        <w:rPr>
          <w:lang w:val="da-DK"/>
        </w:rPr>
        <w:t>retina</w:t>
      </w:r>
      <w:proofErr w:type="spellEnd"/>
      <w:r>
        <w:rPr>
          <w:lang w:val="da-DK"/>
        </w:rPr>
        <w:t xml:space="preserve"> ved langvarig behandling med </w:t>
      </w:r>
      <w:proofErr w:type="spellStart"/>
      <w:r>
        <w:rPr>
          <w:lang w:val="da-DK"/>
        </w:rPr>
        <w:t>ivabradin</w:t>
      </w:r>
      <w:proofErr w:type="spellEnd"/>
      <w:r>
        <w:rPr>
          <w:lang w:val="da-DK"/>
        </w:rPr>
        <w:t xml:space="preserve"> (se pkt. 5.1). Det skal overvejes at stoppe behandlingen, hvis der indtræffer uventet forværring af synet. Der skal iagttages forsigtighed hos patienter med </w:t>
      </w:r>
      <w:proofErr w:type="spellStart"/>
      <w:r>
        <w:rPr>
          <w:lang w:val="da-DK"/>
        </w:rPr>
        <w:t>retinitis</w:t>
      </w:r>
      <w:proofErr w:type="spellEnd"/>
      <w:r>
        <w:rPr>
          <w:lang w:val="da-DK"/>
        </w:rPr>
        <w:t xml:space="preserve"> </w:t>
      </w:r>
      <w:proofErr w:type="spellStart"/>
      <w:r>
        <w:rPr>
          <w:lang w:val="da-DK"/>
        </w:rPr>
        <w:t>pigmentosa</w:t>
      </w:r>
      <w:proofErr w:type="spellEnd"/>
      <w:r>
        <w:rPr>
          <w:lang w:val="da-DK"/>
        </w:rPr>
        <w:t xml:space="preserve">.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Forsigtighedsregler ved anvendelsen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Patienter med hypotension </w:t>
      </w:r>
    </w:p>
    <w:p w:rsidR="007712B7" w:rsidRDefault="007712B7" w:rsidP="007712B7">
      <w:pPr>
        <w:pStyle w:val="Default"/>
        <w:ind w:left="851"/>
        <w:rPr>
          <w:lang w:val="da-DK"/>
        </w:rPr>
      </w:pPr>
      <w:r>
        <w:rPr>
          <w:lang w:val="da-DK"/>
        </w:rPr>
        <w:t xml:space="preserve">Der foreligger kun begrænsede data fra patienter med let til moderat hypotension, og </w:t>
      </w:r>
      <w:proofErr w:type="spellStart"/>
      <w:r>
        <w:rPr>
          <w:lang w:val="da-DK"/>
        </w:rPr>
        <w:t>ivabradin</w:t>
      </w:r>
      <w:proofErr w:type="spellEnd"/>
      <w:r>
        <w:rPr>
          <w:lang w:val="da-DK"/>
        </w:rPr>
        <w:t xml:space="preserve"> bør anvendes med forsigtighed til disse patienter. </w:t>
      </w:r>
      <w:proofErr w:type="spellStart"/>
      <w:r>
        <w:rPr>
          <w:lang w:val="da-DK"/>
        </w:rPr>
        <w:t>Ivabradin</w:t>
      </w:r>
      <w:proofErr w:type="spellEnd"/>
      <w:r>
        <w:rPr>
          <w:lang w:val="da-DK"/>
        </w:rPr>
        <w:t xml:space="preserve"> er kontraindiceret til patienter med svær hypotension (blodtryk &lt; 90/50 </w:t>
      </w:r>
      <w:proofErr w:type="spellStart"/>
      <w:r>
        <w:rPr>
          <w:lang w:val="da-DK"/>
        </w:rPr>
        <w:t>mmHg</w:t>
      </w:r>
      <w:proofErr w:type="spellEnd"/>
      <w:r>
        <w:rPr>
          <w:lang w:val="da-DK"/>
        </w:rPr>
        <w:t xml:space="preserve">) (se pkt. 4.3)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Atrieflimren – </w:t>
      </w:r>
      <w:proofErr w:type="spellStart"/>
      <w:r>
        <w:rPr>
          <w:i/>
          <w:iCs/>
          <w:lang w:val="da-DK"/>
        </w:rPr>
        <w:t>arytmier</w:t>
      </w:r>
      <w:proofErr w:type="spellEnd"/>
      <w:r>
        <w:rPr>
          <w:i/>
          <w:iCs/>
          <w:lang w:val="da-DK"/>
        </w:rPr>
        <w:t xml:space="preserve"> </w:t>
      </w:r>
    </w:p>
    <w:p w:rsidR="007712B7" w:rsidRDefault="007712B7" w:rsidP="007712B7">
      <w:pPr>
        <w:pStyle w:val="Default"/>
        <w:ind w:left="851"/>
        <w:rPr>
          <w:lang w:val="da-DK"/>
        </w:rPr>
      </w:pPr>
      <w:r>
        <w:rPr>
          <w:lang w:val="da-DK"/>
        </w:rPr>
        <w:t xml:space="preserve">Det er ikke dokumenteret, at der foreligger en risiko for (voldsom) bradykardi ved genoprettelse af sinusrytme efter indledning af farmakologisk </w:t>
      </w:r>
      <w:proofErr w:type="spellStart"/>
      <w:r>
        <w:rPr>
          <w:lang w:val="da-DK"/>
        </w:rPr>
        <w:t>kardiovertering</w:t>
      </w:r>
      <w:proofErr w:type="spellEnd"/>
      <w:r>
        <w:rPr>
          <w:lang w:val="da-DK"/>
        </w:rPr>
        <w:t xml:space="preserve"> hos patienter, der får </w:t>
      </w:r>
      <w:proofErr w:type="spellStart"/>
      <w:r>
        <w:rPr>
          <w:lang w:val="da-DK"/>
        </w:rPr>
        <w:t>ivabradin</w:t>
      </w:r>
      <w:proofErr w:type="spellEnd"/>
      <w:r>
        <w:rPr>
          <w:lang w:val="da-DK"/>
        </w:rPr>
        <w:t>. Da datamængden imidlertid ikke er omfattende, bør ikke-akut DC-</w:t>
      </w:r>
      <w:proofErr w:type="spellStart"/>
      <w:r>
        <w:rPr>
          <w:lang w:val="da-DK"/>
        </w:rPr>
        <w:t>kardiovertering</w:t>
      </w:r>
      <w:proofErr w:type="spellEnd"/>
      <w:r>
        <w:rPr>
          <w:lang w:val="da-DK"/>
        </w:rPr>
        <w:t xml:space="preserve"> overvejes inden for et døgn efter sidste dosis af </w:t>
      </w:r>
      <w:proofErr w:type="spellStart"/>
      <w:r>
        <w:rPr>
          <w:lang w:val="da-DK"/>
        </w:rPr>
        <w:t>ivabradin</w:t>
      </w:r>
      <w:proofErr w:type="spellEnd"/>
      <w:r>
        <w:rPr>
          <w:lang w:val="da-DK"/>
        </w:rPr>
        <w:t xml:space="preserve">. </w:t>
      </w:r>
    </w:p>
    <w:p w:rsidR="000742B5" w:rsidRDefault="000742B5">
      <w:pPr>
        <w:rPr>
          <w:rFonts w:eastAsiaTheme="minorHAnsi"/>
          <w:i/>
          <w:iCs/>
          <w:color w:val="000000"/>
          <w:sz w:val="24"/>
          <w:szCs w:val="24"/>
        </w:rPr>
      </w:pPr>
      <w:r>
        <w:rPr>
          <w:i/>
          <w:iCs/>
        </w:rPr>
        <w:br w:type="page"/>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Anvendelse hos patienter med kongenit QT-syndrom eller hos patienter, som behandles med lægemidler, der forlænger QT-intervallet </w:t>
      </w:r>
    </w:p>
    <w:p w:rsidR="007712B7" w:rsidRDefault="007712B7" w:rsidP="007712B7">
      <w:pPr>
        <w:pStyle w:val="Default"/>
        <w:ind w:left="851"/>
        <w:rPr>
          <w:lang w:val="da-DK"/>
        </w:rPr>
      </w:pPr>
      <w:r>
        <w:rPr>
          <w:lang w:val="da-DK"/>
        </w:rPr>
        <w:t xml:space="preserve">Anvendelse af </w:t>
      </w:r>
      <w:proofErr w:type="spellStart"/>
      <w:r>
        <w:rPr>
          <w:lang w:val="da-DK"/>
        </w:rPr>
        <w:t>ivabradin</w:t>
      </w:r>
      <w:proofErr w:type="spellEnd"/>
      <w:r>
        <w:rPr>
          <w:lang w:val="da-DK"/>
        </w:rPr>
        <w:t xml:space="preserve"> hos patienter med kongenit QT-syndrom eller hos patienter, som behandles med QT-forlængende lægemidler, skal undgås (se pkt. 4.5). Hvis kombinationen er nødvendig, skal hjertefunktionen monitoreres omhyggeligt. </w:t>
      </w:r>
    </w:p>
    <w:p w:rsidR="007712B7" w:rsidRDefault="007712B7" w:rsidP="007712B7">
      <w:pPr>
        <w:pStyle w:val="Default"/>
        <w:ind w:left="851"/>
        <w:rPr>
          <w:lang w:val="da-DK"/>
        </w:rPr>
      </w:pPr>
      <w:r>
        <w:rPr>
          <w:lang w:val="da-DK"/>
        </w:rPr>
        <w:t xml:space="preserve">Nedsat hjertefrekvens, forårsaget af </w:t>
      </w:r>
      <w:proofErr w:type="spellStart"/>
      <w:r>
        <w:rPr>
          <w:lang w:val="da-DK"/>
        </w:rPr>
        <w:t>ivabradin</w:t>
      </w:r>
      <w:proofErr w:type="spellEnd"/>
      <w:r>
        <w:rPr>
          <w:lang w:val="da-DK"/>
        </w:rPr>
        <w:t xml:space="preserve">, kan forværre QT-forlængelse, hvilket kan give anledning til svære </w:t>
      </w:r>
      <w:proofErr w:type="spellStart"/>
      <w:r>
        <w:rPr>
          <w:lang w:val="da-DK"/>
        </w:rPr>
        <w:t>arytmier</w:t>
      </w:r>
      <w:proofErr w:type="spellEnd"/>
      <w:r>
        <w:rPr>
          <w:lang w:val="da-DK"/>
        </w:rPr>
        <w:t xml:space="preserve">, især </w:t>
      </w:r>
      <w:proofErr w:type="spellStart"/>
      <w:r>
        <w:rPr>
          <w:i/>
          <w:iCs/>
          <w:lang w:val="da-DK"/>
        </w:rPr>
        <w:t>torsades</w:t>
      </w:r>
      <w:proofErr w:type="spellEnd"/>
      <w:r>
        <w:rPr>
          <w:i/>
          <w:iCs/>
          <w:lang w:val="da-DK"/>
        </w:rPr>
        <w:t xml:space="preserve"> de pointes.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proofErr w:type="spellStart"/>
      <w:r>
        <w:rPr>
          <w:i/>
          <w:iCs/>
          <w:lang w:val="da-DK"/>
        </w:rPr>
        <w:t>Hypertensive</w:t>
      </w:r>
      <w:proofErr w:type="spellEnd"/>
      <w:r>
        <w:rPr>
          <w:i/>
          <w:iCs/>
          <w:lang w:val="da-DK"/>
        </w:rPr>
        <w:t xml:space="preserve"> patienter med behov for ændring af blodtryksbehandlingen </w:t>
      </w:r>
    </w:p>
    <w:p w:rsidR="007712B7" w:rsidRDefault="007712B7" w:rsidP="007712B7">
      <w:pPr>
        <w:pStyle w:val="Default"/>
        <w:ind w:left="851"/>
        <w:rPr>
          <w:lang w:val="da-DK"/>
        </w:rPr>
      </w:pPr>
      <w:r>
        <w:rPr>
          <w:lang w:val="da-DK"/>
        </w:rPr>
        <w:t xml:space="preserve">I SHIFT-studiet sås episoder med forhøjet blodtryk hos flere </w:t>
      </w:r>
      <w:proofErr w:type="spellStart"/>
      <w:r>
        <w:rPr>
          <w:lang w:val="da-DK"/>
        </w:rPr>
        <w:t>ivabradinbehandlede</w:t>
      </w:r>
      <w:proofErr w:type="spellEnd"/>
      <w:r>
        <w:rPr>
          <w:lang w:val="da-DK"/>
        </w:rPr>
        <w:t xml:space="preserve"> patienter (7,1 %) sammenlignet med placebobehandlede (6,1 %). Disse episoder optrådte hyppigst umiddelbart efter ændringer i blodtryksbehandlingen, var forbigående og påvirkede ikke behandlingseffekten af </w:t>
      </w:r>
      <w:proofErr w:type="spellStart"/>
      <w:r>
        <w:rPr>
          <w:lang w:val="da-DK"/>
        </w:rPr>
        <w:t>ivabradin</w:t>
      </w:r>
      <w:proofErr w:type="spellEnd"/>
      <w:r>
        <w:rPr>
          <w:lang w:val="da-DK"/>
        </w:rPr>
        <w:t xml:space="preserve">. Når der foretages ændringer i behandlingen hos patienter med kronisk hjerteinsufficiens, der er i behandling med </w:t>
      </w:r>
      <w:proofErr w:type="spellStart"/>
      <w:r>
        <w:rPr>
          <w:lang w:val="da-DK"/>
        </w:rPr>
        <w:t>ivabradin</w:t>
      </w:r>
      <w:proofErr w:type="spellEnd"/>
      <w:r>
        <w:rPr>
          <w:lang w:val="da-DK"/>
        </w:rPr>
        <w:t xml:space="preserve">, skal blodtrykket kontrolleres med passende intervaller (se pkt. 4.8).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Hjælpestoffer </w:t>
      </w:r>
    </w:p>
    <w:p w:rsidR="007712B7" w:rsidRDefault="007712B7" w:rsidP="007712B7">
      <w:pPr>
        <w:pStyle w:val="Default"/>
        <w:ind w:left="851"/>
        <w:rPr>
          <w:lang w:val="da-DK"/>
        </w:rPr>
      </w:pPr>
      <w:r>
        <w:rPr>
          <w:lang w:val="da-DK"/>
        </w:rPr>
        <w:t xml:space="preserve">Tabletterne indeholder </w:t>
      </w:r>
      <w:proofErr w:type="spellStart"/>
      <w:r>
        <w:rPr>
          <w:lang w:val="da-DK"/>
        </w:rPr>
        <w:t>lactose</w:t>
      </w:r>
      <w:proofErr w:type="spellEnd"/>
      <w:r>
        <w:rPr>
          <w:lang w:val="da-DK"/>
        </w:rPr>
        <w:t xml:space="preserve"> og bør ikke anvendes til patienter med arvelig </w:t>
      </w:r>
      <w:proofErr w:type="spellStart"/>
      <w:r>
        <w:rPr>
          <w:lang w:val="da-DK"/>
        </w:rPr>
        <w:t>galactoseintolerans</w:t>
      </w:r>
      <w:proofErr w:type="spellEnd"/>
      <w:r>
        <w:rPr>
          <w:lang w:val="da-DK"/>
        </w:rPr>
        <w:t xml:space="preserve">, </w:t>
      </w:r>
      <w:r w:rsidR="000742B5">
        <w:rPr>
          <w:lang w:val="da-DK"/>
        </w:rPr>
        <w:t xml:space="preserve">total </w:t>
      </w:r>
      <w:proofErr w:type="spellStart"/>
      <w:r>
        <w:rPr>
          <w:lang w:val="da-DK"/>
        </w:rPr>
        <w:t>lactasemangel</w:t>
      </w:r>
      <w:proofErr w:type="spellEnd"/>
      <w:r>
        <w:rPr>
          <w:lang w:val="da-DK"/>
        </w:rPr>
        <w:t xml:space="preserve"> eller </w:t>
      </w:r>
      <w:proofErr w:type="spellStart"/>
      <w:r>
        <w:rPr>
          <w:lang w:val="da-DK"/>
        </w:rPr>
        <w:t>glucose</w:t>
      </w:r>
      <w:proofErr w:type="spellEnd"/>
      <w:r>
        <w:rPr>
          <w:lang w:val="da-DK"/>
        </w:rPr>
        <w:t>/</w:t>
      </w:r>
      <w:proofErr w:type="spellStart"/>
      <w:r>
        <w:rPr>
          <w:lang w:val="da-DK"/>
        </w:rPr>
        <w:t>galactosemalabsorption</w:t>
      </w:r>
      <w:proofErr w:type="spellEnd"/>
      <w:r>
        <w:rPr>
          <w:lang w:val="da-DK"/>
        </w:rPr>
        <w:t xml:space="preserve">.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4.5</w:t>
      </w:r>
      <w:r>
        <w:rPr>
          <w:b/>
          <w:sz w:val="24"/>
          <w:szCs w:val="24"/>
        </w:rPr>
        <w:tab/>
        <w:t>Interaktion med andre lægemidler og andre former for interaktion</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Farmakodynamiske</w:t>
      </w:r>
      <w:proofErr w:type="spellEnd"/>
      <w:r>
        <w:rPr>
          <w:u w:val="single"/>
          <w:lang w:val="da-DK"/>
        </w:rPr>
        <w:t xml:space="preserve"> interaktioner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Samtidig anvendelse anbefales ikke </w:t>
      </w:r>
    </w:p>
    <w:p w:rsidR="007712B7" w:rsidRDefault="007712B7" w:rsidP="007712B7">
      <w:pPr>
        <w:pStyle w:val="Default"/>
        <w:ind w:left="851"/>
        <w:rPr>
          <w:lang w:val="da-DK"/>
        </w:rPr>
      </w:pPr>
      <w:r>
        <w:rPr>
          <w:lang w:val="da-DK"/>
        </w:rPr>
        <w:t xml:space="preserve">Lægemidler, der forlænger QT-intervallet </w:t>
      </w:r>
    </w:p>
    <w:p w:rsidR="007712B7" w:rsidRDefault="007712B7" w:rsidP="000742B5">
      <w:pPr>
        <w:pStyle w:val="Default"/>
        <w:numPr>
          <w:ilvl w:val="0"/>
          <w:numId w:val="8"/>
        </w:numPr>
        <w:ind w:left="1134" w:hanging="283"/>
        <w:rPr>
          <w:lang w:val="da-DK"/>
        </w:rPr>
      </w:pPr>
      <w:proofErr w:type="spellStart"/>
      <w:r>
        <w:rPr>
          <w:lang w:val="da-DK"/>
        </w:rPr>
        <w:t>Kardiovaskulære</w:t>
      </w:r>
      <w:proofErr w:type="spellEnd"/>
      <w:r>
        <w:rPr>
          <w:lang w:val="da-DK"/>
        </w:rPr>
        <w:t xml:space="preserve"> QT-forlængende lægemidler (f.eks. </w:t>
      </w:r>
      <w:proofErr w:type="spellStart"/>
      <w:r>
        <w:rPr>
          <w:lang w:val="da-DK"/>
        </w:rPr>
        <w:t>quinidin</w:t>
      </w:r>
      <w:proofErr w:type="spellEnd"/>
      <w:r>
        <w:rPr>
          <w:lang w:val="da-DK"/>
        </w:rPr>
        <w:t xml:space="preserve">, </w:t>
      </w:r>
      <w:proofErr w:type="spellStart"/>
      <w:r>
        <w:rPr>
          <w:lang w:val="da-DK"/>
        </w:rPr>
        <w:t>disopyramid</w:t>
      </w:r>
      <w:proofErr w:type="spellEnd"/>
      <w:r>
        <w:rPr>
          <w:lang w:val="da-DK"/>
        </w:rPr>
        <w:t xml:space="preserve">, </w:t>
      </w:r>
      <w:proofErr w:type="spellStart"/>
      <w:r>
        <w:rPr>
          <w:lang w:val="da-DK"/>
        </w:rPr>
        <w:t>bepridil</w:t>
      </w:r>
      <w:proofErr w:type="spellEnd"/>
      <w:r>
        <w:rPr>
          <w:lang w:val="da-DK"/>
        </w:rPr>
        <w:t xml:space="preserve">, </w:t>
      </w:r>
      <w:proofErr w:type="spellStart"/>
      <w:r>
        <w:rPr>
          <w:lang w:val="da-DK"/>
        </w:rPr>
        <w:t>sotalol</w:t>
      </w:r>
      <w:proofErr w:type="spellEnd"/>
      <w:r>
        <w:rPr>
          <w:lang w:val="da-DK"/>
        </w:rPr>
        <w:t xml:space="preserve">, </w:t>
      </w:r>
      <w:proofErr w:type="spellStart"/>
      <w:r>
        <w:rPr>
          <w:lang w:val="da-DK"/>
        </w:rPr>
        <w:t>ibutilid</w:t>
      </w:r>
      <w:proofErr w:type="spellEnd"/>
      <w:r>
        <w:rPr>
          <w:lang w:val="da-DK"/>
        </w:rPr>
        <w:t xml:space="preserve"> eller </w:t>
      </w:r>
      <w:proofErr w:type="spellStart"/>
      <w:r>
        <w:rPr>
          <w:lang w:val="da-DK"/>
        </w:rPr>
        <w:t>amiodaron</w:t>
      </w:r>
      <w:proofErr w:type="spellEnd"/>
      <w:r>
        <w:rPr>
          <w:lang w:val="da-DK"/>
        </w:rPr>
        <w:t xml:space="preserve">) </w:t>
      </w:r>
    </w:p>
    <w:p w:rsidR="007712B7" w:rsidRDefault="007712B7" w:rsidP="000742B5">
      <w:pPr>
        <w:pStyle w:val="Default"/>
        <w:numPr>
          <w:ilvl w:val="0"/>
          <w:numId w:val="8"/>
        </w:numPr>
        <w:ind w:left="1134" w:hanging="283"/>
        <w:rPr>
          <w:lang w:val="da-DK"/>
        </w:rPr>
      </w:pPr>
      <w:r>
        <w:rPr>
          <w:lang w:val="da-DK"/>
        </w:rPr>
        <w:t>Non-</w:t>
      </w:r>
      <w:proofErr w:type="spellStart"/>
      <w:r>
        <w:rPr>
          <w:lang w:val="da-DK"/>
        </w:rPr>
        <w:t>kardiovaskulære</w:t>
      </w:r>
      <w:proofErr w:type="spellEnd"/>
      <w:r>
        <w:rPr>
          <w:lang w:val="da-DK"/>
        </w:rPr>
        <w:t xml:space="preserve"> QT-forlængende lægemidler (f.eks. </w:t>
      </w:r>
      <w:proofErr w:type="spellStart"/>
      <w:r>
        <w:rPr>
          <w:lang w:val="da-DK"/>
        </w:rPr>
        <w:t>pimozid</w:t>
      </w:r>
      <w:proofErr w:type="spellEnd"/>
      <w:r>
        <w:rPr>
          <w:lang w:val="da-DK"/>
        </w:rPr>
        <w:t xml:space="preserve">, </w:t>
      </w:r>
      <w:proofErr w:type="spellStart"/>
      <w:r>
        <w:rPr>
          <w:lang w:val="da-DK"/>
        </w:rPr>
        <w:t>ziprasidon</w:t>
      </w:r>
      <w:proofErr w:type="spellEnd"/>
      <w:r>
        <w:rPr>
          <w:lang w:val="da-DK"/>
        </w:rPr>
        <w:t xml:space="preserve">, </w:t>
      </w:r>
      <w:proofErr w:type="spellStart"/>
      <w:r>
        <w:rPr>
          <w:lang w:val="da-DK"/>
        </w:rPr>
        <w:t>sertindol</w:t>
      </w:r>
      <w:proofErr w:type="spellEnd"/>
      <w:r>
        <w:rPr>
          <w:lang w:val="da-DK"/>
        </w:rPr>
        <w:t xml:space="preserve">, </w:t>
      </w:r>
      <w:proofErr w:type="spellStart"/>
      <w:r>
        <w:rPr>
          <w:lang w:val="da-DK"/>
        </w:rPr>
        <w:t>mefloquin</w:t>
      </w:r>
      <w:proofErr w:type="spellEnd"/>
      <w:r>
        <w:rPr>
          <w:lang w:val="da-DK"/>
        </w:rPr>
        <w:t xml:space="preserve">, </w:t>
      </w:r>
      <w:proofErr w:type="spellStart"/>
      <w:r>
        <w:rPr>
          <w:lang w:val="da-DK"/>
        </w:rPr>
        <w:t>halofantrin</w:t>
      </w:r>
      <w:proofErr w:type="spellEnd"/>
      <w:r>
        <w:rPr>
          <w:lang w:val="da-DK"/>
        </w:rPr>
        <w:t xml:space="preserve">, </w:t>
      </w:r>
      <w:proofErr w:type="spellStart"/>
      <w:r>
        <w:rPr>
          <w:lang w:val="da-DK"/>
        </w:rPr>
        <w:t>pentamidin</w:t>
      </w:r>
      <w:proofErr w:type="spellEnd"/>
      <w:r>
        <w:rPr>
          <w:lang w:val="da-DK"/>
        </w:rPr>
        <w:t xml:space="preserve">, </w:t>
      </w:r>
      <w:proofErr w:type="spellStart"/>
      <w:r>
        <w:rPr>
          <w:lang w:val="da-DK"/>
        </w:rPr>
        <w:t>cisaprid</w:t>
      </w:r>
      <w:proofErr w:type="spellEnd"/>
      <w:r>
        <w:rPr>
          <w:lang w:val="da-DK"/>
        </w:rPr>
        <w:t xml:space="preserve"> og intravenøst </w:t>
      </w:r>
      <w:proofErr w:type="spellStart"/>
      <w:r>
        <w:rPr>
          <w:lang w:val="da-DK"/>
        </w:rPr>
        <w:t>erythromycin</w:t>
      </w:r>
      <w:proofErr w:type="spellEnd"/>
      <w:r>
        <w:rPr>
          <w:lang w:val="da-DK"/>
        </w:rPr>
        <w:t xml:space="preserve">) </w:t>
      </w:r>
    </w:p>
    <w:p w:rsidR="007712B7" w:rsidRDefault="007712B7" w:rsidP="007712B7">
      <w:pPr>
        <w:pStyle w:val="Default"/>
        <w:ind w:left="1276" w:hanging="425"/>
        <w:rPr>
          <w:lang w:val="da-DK"/>
        </w:rPr>
      </w:pPr>
    </w:p>
    <w:p w:rsidR="007712B7" w:rsidRDefault="007712B7" w:rsidP="007712B7">
      <w:pPr>
        <w:ind w:left="851"/>
        <w:rPr>
          <w:color w:val="000000"/>
          <w:sz w:val="24"/>
          <w:szCs w:val="24"/>
        </w:rPr>
      </w:pPr>
      <w:r>
        <w:rPr>
          <w:color w:val="000000"/>
          <w:sz w:val="24"/>
          <w:szCs w:val="24"/>
        </w:rPr>
        <w:t xml:space="preserve">Samtidig anvendelse af </w:t>
      </w:r>
      <w:proofErr w:type="spellStart"/>
      <w:r>
        <w:rPr>
          <w:color w:val="000000"/>
          <w:sz w:val="24"/>
          <w:szCs w:val="24"/>
        </w:rPr>
        <w:t>kardiovaskulære</w:t>
      </w:r>
      <w:proofErr w:type="spellEnd"/>
      <w:r>
        <w:rPr>
          <w:color w:val="000000"/>
          <w:sz w:val="24"/>
          <w:szCs w:val="24"/>
        </w:rPr>
        <w:t xml:space="preserve"> og non-</w:t>
      </w:r>
      <w:proofErr w:type="spellStart"/>
      <w:r>
        <w:rPr>
          <w:color w:val="000000"/>
          <w:sz w:val="24"/>
          <w:szCs w:val="24"/>
        </w:rPr>
        <w:t>kardiovaskulære</w:t>
      </w:r>
      <w:proofErr w:type="spellEnd"/>
      <w:r>
        <w:rPr>
          <w:color w:val="000000"/>
          <w:sz w:val="24"/>
          <w:szCs w:val="24"/>
        </w:rPr>
        <w:t xml:space="preserve"> QT-forlængende lægemidler med </w:t>
      </w:r>
      <w:proofErr w:type="spellStart"/>
      <w:r>
        <w:rPr>
          <w:color w:val="000000"/>
          <w:sz w:val="24"/>
          <w:szCs w:val="24"/>
        </w:rPr>
        <w:t>ivabradin</w:t>
      </w:r>
      <w:proofErr w:type="spellEnd"/>
      <w:r>
        <w:rPr>
          <w:color w:val="000000"/>
          <w:sz w:val="24"/>
          <w:szCs w:val="24"/>
        </w:rPr>
        <w:t xml:space="preserve"> bør dog undgås, da QT-forlængelsen kan forstærkes ved reduktion af hjertefrekvensen. Hvis kombination bliver nødvendig, skal hjertefunktionen monitoreres omhyggeligt (se pkt. 4.4).</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Samtidig anvendelse med forsigtighed </w:t>
      </w:r>
    </w:p>
    <w:p w:rsidR="007712B7" w:rsidRDefault="007712B7" w:rsidP="007712B7">
      <w:pPr>
        <w:pStyle w:val="Default"/>
        <w:ind w:left="851"/>
        <w:rPr>
          <w:lang w:val="da-DK"/>
        </w:rPr>
      </w:pPr>
      <w:r>
        <w:rPr>
          <w:lang w:val="da-DK"/>
        </w:rPr>
        <w:t xml:space="preserve">Ikke-kaliumbesparende </w:t>
      </w:r>
      <w:proofErr w:type="spellStart"/>
      <w:r>
        <w:rPr>
          <w:lang w:val="da-DK"/>
        </w:rPr>
        <w:t>diuretika</w:t>
      </w:r>
      <w:proofErr w:type="spellEnd"/>
      <w:r>
        <w:rPr>
          <w:lang w:val="da-DK"/>
        </w:rPr>
        <w:t xml:space="preserve"> (</w:t>
      </w:r>
      <w:proofErr w:type="spellStart"/>
      <w:r>
        <w:rPr>
          <w:lang w:val="da-DK"/>
        </w:rPr>
        <w:t>thiazid-diuretika</w:t>
      </w:r>
      <w:proofErr w:type="spellEnd"/>
      <w:r>
        <w:rPr>
          <w:lang w:val="da-DK"/>
        </w:rPr>
        <w:t xml:space="preserve"> og loop-</w:t>
      </w:r>
      <w:proofErr w:type="spellStart"/>
      <w:r>
        <w:rPr>
          <w:lang w:val="da-DK"/>
        </w:rPr>
        <w:t>diuretika</w:t>
      </w:r>
      <w:proofErr w:type="spellEnd"/>
      <w:r>
        <w:rPr>
          <w:lang w:val="da-DK"/>
        </w:rPr>
        <w:t xml:space="preserve">): </w:t>
      </w:r>
      <w:proofErr w:type="spellStart"/>
      <w:r>
        <w:rPr>
          <w:lang w:val="da-DK"/>
        </w:rPr>
        <w:t>Hypokaliæmi</w:t>
      </w:r>
      <w:proofErr w:type="spellEnd"/>
      <w:r>
        <w:rPr>
          <w:lang w:val="da-DK"/>
        </w:rPr>
        <w:t xml:space="preserve"> kan øge risikoen for </w:t>
      </w:r>
      <w:proofErr w:type="spellStart"/>
      <w:r>
        <w:rPr>
          <w:lang w:val="da-DK"/>
        </w:rPr>
        <w:t>arytmi</w:t>
      </w:r>
      <w:proofErr w:type="spellEnd"/>
      <w:r>
        <w:rPr>
          <w:lang w:val="da-DK"/>
        </w:rPr>
        <w:t xml:space="preserve">. Da </w:t>
      </w:r>
      <w:proofErr w:type="spellStart"/>
      <w:r>
        <w:rPr>
          <w:lang w:val="da-DK"/>
        </w:rPr>
        <w:t>ivabradin</w:t>
      </w:r>
      <w:proofErr w:type="spellEnd"/>
      <w:r>
        <w:rPr>
          <w:lang w:val="da-DK"/>
        </w:rPr>
        <w:t xml:space="preserve"> kan medføre bradykardi, er den resulterende kombination af </w:t>
      </w:r>
      <w:proofErr w:type="spellStart"/>
      <w:r>
        <w:rPr>
          <w:lang w:val="da-DK"/>
        </w:rPr>
        <w:t>hypokaliæmi</w:t>
      </w:r>
      <w:proofErr w:type="spellEnd"/>
      <w:r>
        <w:rPr>
          <w:lang w:val="da-DK"/>
        </w:rPr>
        <w:t xml:space="preserve"> og bradykardi en prædisponerende faktor til svære </w:t>
      </w:r>
      <w:proofErr w:type="spellStart"/>
      <w:r>
        <w:rPr>
          <w:lang w:val="da-DK"/>
        </w:rPr>
        <w:t>arytmier</w:t>
      </w:r>
      <w:proofErr w:type="spellEnd"/>
      <w:r>
        <w:rPr>
          <w:lang w:val="da-DK"/>
        </w:rPr>
        <w:t xml:space="preserve">, især hos patienter med langt QT-syndrom, hvad enten det er kongenitalt eller lægemiddel-induceret.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Farmakokinetiske</w:t>
      </w:r>
      <w:proofErr w:type="spellEnd"/>
      <w:r>
        <w:rPr>
          <w:u w:val="single"/>
          <w:lang w:val="da-DK"/>
        </w:rPr>
        <w:t xml:space="preserve"> interaktioner </w:t>
      </w:r>
    </w:p>
    <w:p w:rsidR="00006DA3" w:rsidRDefault="00006DA3" w:rsidP="007712B7">
      <w:pPr>
        <w:pStyle w:val="Default"/>
        <w:ind w:left="851"/>
        <w:rPr>
          <w:i/>
          <w:iCs/>
          <w:lang w:val="da-DK"/>
        </w:rPr>
      </w:pPr>
    </w:p>
    <w:p w:rsidR="007712B7" w:rsidRDefault="007712B7" w:rsidP="007712B7">
      <w:pPr>
        <w:pStyle w:val="Default"/>
        <w:ind w:left="851"/>
        <w:rPr>
          <w:lang w:val="da-DK"/>
        </w:rPr>
      </w:pPr>
      <w:r>
        <w:rPr>
          <w:i/>
          <w:iCs/>
          <w:lang w:val="da-DK"/>
        </w:rPr>
        <w:t>CYP3A4 (</w:t>
      </w:r>
      <w:proofErr w:type="spellStart"/>
      <w:r>
        <w:rPr>
          <w:i/>
          <w:iCs/>
          <w:lang w:val="da-DK"/>
        </w:rPr>
        <w:t>Cytokrom</w:t>
      </w:r>
      <w:proofErr w:type="spellEnd"/>
      <w:r>
        <w:rPr>
          <w:i/>
          <w:iCs/>
          <w:lang w:val="da-DK"/>
        </w:rPr>
        <w:t xml:space="preserve"> P450 3A4) </w:t>
      </w:r>
    </w:p>
    <w:p w:rsidR="007712B7" w:rsidRDefault="007712B7" w:rsidP="007712B7">
      <w:pPr>
        <w:pStyle w:val="Default"/>
        <w:ind w:left="851"/>
        <w:rPr>
          <w:lang w:val="da-DK"/>
        </w:rPr>
      </w:pPr>
      <w:proofErr w:type="spellStart"/>
      <w:r>
        <w:rPr>
          <w:lang w:val="da-DK"/>
        </w:rPr>
        <w:t>Ivabradin</w:t>
      </w:r>
      <w:proofErr w:type="spellEnd"/>
      <w:r>
        <w:rPr>
          <w:lang w:val="da-DK"/>
        </w:rPr>
        <w:t xml:space="preserve"> </w:t>
      </w:r>
      <w:proofErr w:type="spellStart"/>
      <w:r>
        <w:rPr>
          <w:lang w:val="da-DK"/>
        </w:rPr>
        <w:t>metaboliseres</w:t>
      </w:r>
      <w:proofErr w:type="spellEnd"/>
      <w:r>
        <w:rPr>
          <w:lang w:val="da-DK"/>
        </w:rPr>
        <w:t xml:space="preserve"> kun af CYP3A4 og er en meget </w:t>
      </w:r>
      <w:proofErr w:type="gramStart"/>
      <w:r>
        <w:rPr>
          <w:lang w:val="da-DK"/>
        </w:rPr>
        <w:t>svag</w:t>
      </w:r>
      <w:proofErr w:type="gramEnd"/>
      <w:r>
        <w:rPr>
          <w:lang w:val="da-DK"/>
        </w:rPr>
        <w:t xml:space="preserve"> hæmmer af dette </w:t>
      </w:r>
      <w:proofErr w:type="spellStart"/>
      <w:r>
        <w:rPr>
          <w:lang w:val="da-DK"/>
        </w:rPr>
        <w:t>cytokrom</w:t>
      </w:r>
      <w:proofErr w:type="spellEnd"/>
      <w:r>
        <w:rPr>
          <w:lang w:val="da-DK"/>
        </w:rPr>
        <w:t xml:space="preserve">. </w:t>
      </w:r>
    </w:p>
    <w:p w:rsidR="007712B7" w:rsidRDefault="007712B7" w:rsidP="007712B7">
      <w:pPr>
        <w:pStyle w:val="Default"/>
        <w:ind w:left="851"/>
        <w:rPr>
          <w:lang w:val="da-DK"/>
        </w:rPr>
      </w:pPr>
      <w:r>
        <w:rPr>
          <w:lang w:val="da-DK"/>
        </w:rPr>
        <w:t xml:space="preserve">Det er påvist, at </w:t>
      </w:r>
      <w:proofErr w:type="spellStart"/>
      <w:r>
        <w:rPr>
          <w:lang w:val="da-DK"/>
        </w:rPr>
        <w:t>ivabradin</w:t>
      </w:r>
      <w:proofErr w:type="spellEnd"/>
      <w:r>
        <w:rPr>
          <w:lang w:val="da-DK"/>
        </w:rPr>
        <w:t xml:space="preserve"> ikke påvirker metabolismen og plasmakoncentrationerne af andre CYP3A4-substrater (svage, moderate og stærke </w:t>
      </w:r>
      <w:proofErr w:type="spellStart"/>
      <w:r>
        <w:rPr>
          <w:lang w:val="da-DK"/>
        </w:rPr>
        <w:t>hæmmere</w:t>
      </w:r>
      <w:proofErr w:type="spellEnd"/>
      <w:r>
        <w:rPr>
          <w:lang w:val="da-DK"/>
        </w:rPr>
        <w:t xml:space="preserve">). </w:t>
      </w:r>
      <w:proofErr w:type="spellStart"/>
      <w:r>
        <w:rPr>
          <w:lang w:val="da-DK"/>
        </w:rPr>
        <w:t>Hæmmere</w:t>
      </w:r>
      <w:proofErr w:type="spellEnd"/>
      <w:r>
        <w:rPr>
          <w:lang w:val="da-DK"/>
        </w:rPr>
        <w:t xml:space="preserve"> og induktorer af CYP3A4 er tilbøjelige til at interagere med </w:t>
      </w:r>
      <w:proofErr w:type="spellStart"/>
      <w:r>
        <w:rPr>
          <w:lang w:val="da-DK"/>
        </w:rPr>
        <w:t>ivabradin</w:t>
      </w:r>
      <w:proofErr w:type="spellEnd"/>
      <w:r>
        <w:rPr>
          <w:lang w:val="da-DK"/>
        </w:rPr>
        <w:t xml:space="preserve"> og påvirke dets metabolisme og </w:t>
      </w:r>
      <w:r>
        <w:rPr>
          <w:lang w:val="da-DK"/>
        </w:rPr>
        <w:lastRenderedPageBreak/>
        <w:t xml:space="preserve">farmakokinetik i klinisk signifikant grad. Lægemiddelinteraktionsstudier har vist, at CYP3A4-hæmmere øger plasmakoncentrationen af </w:t>
      </w:r>
      <w:proofErr w:type="spellStart"/>
      <w:r>
        <w:rPr>
          <w:lang w:val="da-DK"/>
        </w:rPr>
        <w:t>ivabradin</w:t>
      </w:r>
      <w:proofErr w:type="spellEnd"/>
      <w:r>
        <w:rPr>
          <w:lang w:val="da-DK"/>
        </w:rPr>
        <w:t xml:space="preserve">, mens induktorer nedsætter den. Øget plasmakoncentration af </w:t>
      </w:r>
      <w:proofErr w:type="spellStart"/>
      <w:r>
        <w:rPr>
          <w:lang w:val="da-DK"/>
        </w:rPr>
        <w:t>ivabradin</w:t>
      </w:r>
      <w:proofErr w:type="spellEnd"/>
      <w:r>
        <w:rPr>
          <w:lang w:val="da-DK"/>
        </w:rPr>
        <w:t xml:space="preserve"> kan ledsages af risiko for kraftig bradykardi (se pkt. 4.4).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Kontraindikationer for samtidig anvendelse </w:t>
      </w:r>
    </w:p>
    <w:p w:rsidR="007712B7" w:rsidRDefault="007712B7" w:rsidP="007712B7">
      <w:pPr>
        <w:pStyle w:val="Default"/>
        <w:ind w:left="851"/>
        <w:rPr>
          <w:lang w:val="da-DK"/>
        </w:rPr>
      </w:pPr>
      <w:r>
        <w:rPr>
          <w:lang w:val="da-DK"/>
        </w:rPr>
        <w:t xml:space="preserve">Samtidig anvendelse af stærke CYP3A4-hæmmere som f.eks. </w:t>
      </w:r>
      <w:proofErr w:type="spellStart"/>
      <w:r>
        <w:rPr>
          <w:lang w:val="da-DK"/>
        </w:rPr>
        <w:t>azol-antimykotika</w:t>
      </w:r>
      <w:proofErr w:type="spellEnd"/>
      <w:r>
        <w:rPr>
          <w:lang w:val="da-DK"/>
        </w:rPr>
        <w:t xml:space="preserve"> (</w:t>
      </w:r>
      <w:proofErr w:type="spellStart"/>
      <w:r>
        <w:rPr>
          <w:lang w:val="da-DK"/>
        </w:rPr>
        <w:t>ketoconazol</w:t>
      </w:r>
      <w:proofErr w:type="spellEnd"/>
      <w:r>
        <w:rPr>
          <w:lang w:val="da-DK"/>
        </w:rPr>
        <w:t xml:space="preserve">, </w:t>
      </w:r>
      <w:proofErr w:type="spellStart"/>
      <w:r>
        <w:rPr>
          <w:lang w:val="da-DK"/>
        </w:rPr>
        <w:t>itraconazol</w:t>
      </w:r>
      <w:proofErr w:type="spellEnd"/>
      <w:r>
        <w:rPr>
          <w:lang w:val="da-DK"/>
        </w:rPr>
        <w:t xml:space="preserve">), </w:t>
      </w:r>
      <w:proofErr w:type="spellStart"/>
      <w:r>
        <w:rPr>
          <w:lang w:val="da-DK"/>
        </w:rPr>
        <w:t>makrolidantibiotika</w:t>
      </w:r>
      <w:proofErr w:type="spellEnd"/>
      <w:r>
        <w:rPr>
          <w:lang w:val="da-DK"/>
        </w:rPr>
        <w:t xml:space="preserve"> (</w:t>
      </w:r>
      <w:proofErr w:type="spellStart"/>
      <w:r>
        <w:rPr>
          <w:lang w:val="da-DK"/>
        </w:rPr>
        <w:t>clarithromycin</w:t>
      </w:r>
      <w:proofErr w:type="spellEnd"/>
      <w:r>
        <w:rPr>
          <w:lang w:val="da-DK"/>
        </w:rPr>
        <w:t xml:space="preserve">, </w:t>
      </w:r>
      <w:proofErr w:type="spellStart"/>
      <w:r>
        <w:rPr>
          <w:lang w:val="da-DK"/>
        </w:rPr>
        <w:t>erythromycin</w:t>
      </w:r>
      <w:proofErr w:type="spellEnd"/>
      <w:r>
        <w:rPr>
          <w:lang w:val="da-DK"/>
        </w:rPr>
        <w:t xml:space="preserve"> </w:t>
      </w:r>
      <w:r>
        <w:rPr>
          <w:i/>
          <w:iCs/>
          <w:lang w:val="da-DK"/>
        </w:rPr>
        <w:t>per os</w:t>
      </w:r>
      <w:r>
        <w:rPr>
          <w:lang w:val="da-DK"/>
        </w:rPr>
        <w:t xml:space="preserve">, </w:t>
      </w:r>
      <w:proofErr w:type="spellStart"/>
      <w:r>
        <w:rPr>
          <w:lang w:val="da-DK"/>
        </w:rPr>
        <w:t>josamycin</w:t>
      </w:r>
      <w:proofErr w:type="spellEnd"/>
      <w:r>
        <w:rPr>
          <w:lang w:val="da-DK"/>
        </w:rPr>
        <w:t xml:space="preserve">, </w:t>
      </w:r>
      <w:proofErr w:type="spellStart"/>
      <w:r>
        <w:rPr>
          <w:lang w:val="da-DK"/>
        </w:rPr>
        <w:t>telithromycin</w:t>
      </w:r>
      <w:proofErr w:type="spellEnd"/>
      <w:r>
        <w:rPr>
          <w:lang w:val="da-DK"/>
        </w:rPr>
        <w:t>), hiv-</w:t>
      </w:r>
      <w:proofErr w:type="spellStart"/>
      <w:r>
        <w:rPr>
          <w:lang w:val="da-DK"/>
        </w:rPr>
        <w:t>proteasehæmmere</w:t>
      </w:r>
      <w:proofErr w:type="spellEnd"/>
      <w:r>
        <w:rPr>
          <w:lang w:val="da-DK"/>
        </w:rPr>
        <w:t xml:space="preserve"> (</w:t>
      </w:r>
      <w:proofErr w:type="spellStart"/>
      <w:r>
        <w:rPr>
          <w:lang w:val="da-DK"/>
        </w:rPr>
        <w:t>nelfinavir</w:t>
      </w:r>
      <w:proofErr w:type="spellEnd"/>
      <w:r>
        <w:rPr>
          <w:lang w:val="da-DK"/>
        </w:rPr>
        <w:t xml:space="preserve">, </w:t>
      </w:r>
      <w:proofErr w:type="spellStart"/>
      <w:r>
        <w:rPr>
          <w:lang w:val="da-DK"/>
        </w:rPr>
        <w:t>ritonavir</w:t>
      </w:r>
      <w:proofErr w:type="spellEnd"/>
      <w:r>
        <w:rPr>
          <w:lang w:val="da-DK"/>
        </w:rPr>
        <w:t xml:space="preserve">) og </w:t>
      </w:r>
      <w:proofErr w:type="spellStart"/>
      <w:r>
        <w:rPr>
          <w:lang w:val="da-DK"/>
        </w:rPr>
        <w:t>nefazodon</w:t>
      </w:r>
      <w:proofErr w:type="spellEnd"/>
      <w:r>
        <w:rPr>
          <w:lang w:val="da-DK"/>
        </w:rPr>
        <w:t xml:space="preserve"> er kontraindiceret (se pkt. 4.3). De stærke CYP3A4-hæmmere </w:t>
      </w:r>
      <w:proofErr w:type="spellStart"/>
      <w:r>
        <w:rPr>
          <w:lang w:val="da-DK"/>
        </w:rPr>
        <w:t>ketoconazol</w:t>
      </w:r>
      <w:proofErr w:type="spellEnd"/>
      <w:r>
        <w:rPr>
          <w:lang w:val="da-DK"/>
        </w:rPr>
        <w:t xml:space="preserve"> (200 mg en gang daglig) og </w:t>
      </w:r>
      <w:proofErr w:type="spellStart"/>
      <w:r>
        <w:rPr>
          <w:lang w:val="da-DK"/>
        </w:rPr>
        <w:t>josamycin</w:t>
      </w:r>
      <w:proofErr w:type="spellEnd"/>
      <w:r>
        <w:rPr>
          <w:lang w:val="da-DK"/>
        </w:rPr>
        <w:t xml:space="preserve"> (1 g to gange daglig) øgede den gennemsnitlige plasmaeksponering for </w:t>
      </w:r>
      <w:proofErr w:type="spellStart"/>
      <w:r>
        <w:rPr>
          <w:lang w:val="da-DK"/>
        </w:rPr>
        <w:t>ivabradin</w:t>
      </w:r>
      <w:proofErr w:type="spellEnd"/>
      <w:r>
        <w:rPr>
          <w:lang w:val="da-DK"/>
        </w:rPr>
        <w:t xml:space="preserve"> 7-8 gange. </w:t>
      </w:r>
    </w:p>
    <w:p w:rsidR="007712B7" w:rsidRDefault="007712B7" w:rsidP="007712B7">
      <w:pPr>
        <w:pStyle w:val="Default"/>
        <w:ind w:left="851"/>
        <w:rPr>
          <w:lang w:val="da-DK"/>
        </w:rPr>
      </w:pPr>
      <w:r>
        <w:rPr>
          <w:lang w:val="da-DK"/>
        </w:rPr>
        <w:t xml:space="preserve">Moderate CYP3A4-hæmmere: specifikke interaktionsstudier hos raske frivillige og patienter har vist, at kombinationen af </w:t>
      </w:r>
      <w:proofErr w:type="spellStart"/>
      <w:r>
        <w:rPr>
          <w:lang w:val="da-DK"/>
        </w:rPr>
        <w:t>ivabradin</w:t>
      </w:r>
      <w:proofErr w:type="spellEnd"/>
      <w:r>
        <w:rPr>
          <w:lang w:val="da-DK"/>
        </w:rPr>
        <w:t xml:space="preserve"> med de hjertefrekvenssænkende stoffer </w:t>
      </w:r>
      <w:proofErr w:type="spellStart"/>
      <w:r>
        <w:rPr>
          <w:lang w:val="da-DK"/>
        </w:rPr>
        <w:t>diltiazem</w:t>
      </w:r>
      <w:proofErr w:type="spellEnd"/>
      <w:r>
        <w:rPr>
          <w:lang w:val="da-DK"/>
        </w:rPr>
        <w:t xml:space="preserve"> eller </w:t>
      </w:r>
      <w:proofErr w:type="spellStart"/>
      <w:r>
        <w:rPr>
          <w:lang w:val="da-DK"/>
        </w:rPr>
        <w:t>verapamil</w:t>
      </w:r>
      <w:proofErr w:type="spellEnd"/>
      <w:r>
        <w:rPr>
          <w:lang w:val="da-DK"/>
        </w:rPr>
        <w:t xml:space="preserve"> medførte en øgning af eksponeringen overfor </w:t>
      </w:r>
      <w:proofErr w:type="spellStart"/>
      <w:r>
        <w:rPr>
          <w:lang w:val="da-DK"/>
        </w:rPr>
        <w:t>ivabradin</w:t>
      </w:r>
      <w:proofErr w:type="spellEnd"/>
      <w:r>
        <w:rPr>
          <w:lang w:val="da-DK"/>
        </w:rPr>
        <w:t xml:space="preserve"> (to til tre gange øgning af AUC) samt en yderligere reduktion af hjertefrekvensen på 5 slag/min. Samtidig anvendelse af </w:t>
      </w:r>
      <w:proofErr w:type="spellStart"/>
      <w:r>
        <w:rPr>
          <w:lang w:val="da-DK"/>
        </w:rPr>
        <w:t>ivabradin</w:t>
      </w:r>
      <w:proofErr w:type="spellEnd"/>
      <w:r>
        <w:rPr>
          <w:lang w:val="da-DK"/>
        </w:rPr>
        <w:t xml:space="preserve"> og disse lægemidler er kontraindiceret (se pkt. 4.3).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Samtidig anvendelse anbefales ikke </w:t>
      </w:r>
    </w:p>
    <w:p w:rsidR="007712B7" w:rsidRDefault="007712B7" w:rsidP="007712B7">
      <w:pPr>
        <w:pStyle w:val="Default"/>
        <w:ind w:left="851"/>
        <w:rPr>
          <w:lang w:val="da-DK"/>
        </w:rPr>
      </w:pPr>
      <w:r>
        <w:rPr>
          <w:lang w:val="da-DK"/>
        </w:rPr>
        <w:t xml:space="preserve">Grapefrugtjuice: Eksponeringen for </w:t>
      </w:r>
      <w:proofErr w:type="spellStart"/>
      <w:r>
        <w:rPr>
          <w:lang w:val="da-DK"/>
        </w:rPr>
        <w:t>ivabradin</w:t>
      </w:r>
      <w:proofErr w:type="spellEnd"/>
      <w:r>
        <w:rPr>
          <w:lang w:val="da-DK"/>
        </w:rPr>
        <w:t xml:space="preserve"> blev øget med en faktor 2 ved samtidig indtagelse af grapefrugtjuice. Indtagelse af grapefrugtjuice skal derfor undgås. </w:t>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Samtidig anvendelse med forsigtighed </w:t>
      </w:r>
    </w:p>
    <w:p w:rsidR="007712B7" w:rsidRDefault="007712B7" w:rsidP="00006DA3">
      <w:pPr>
        <w:pStyle w:val="Default"/>
        <w:numPr>
          <w:ilvl w:val="0"/>
          <w:numId w:val="9"/>
        </w:numPr>
        <w:ind w:left="1134" w:hanging="283"/>
        <w:rPr>
          <w:lang w:val="da-DK"/>
        </w:rPr>
      </w:pPr>
      <w:r>
        <w:rPr>
          <w:lang w:val="da-DK"/>
        </w:rPr>
        <w:t xml:space="preserve">Moderate CYP3A4-hæmmere: Samtidig anvendelse af </w:t>
      </w:r>
      <w:proofErr w:type="spellStart"/>
      <w:r>
        <w:rPr>
          <w:lang w:val="da-DK"/>
        </w:rPr>
        <w:t>ivabradin</w:t>
      </w:r>
      <w:proofErr w:type="spellEnd"/>
      <w:r>
        <w:rPr>
          <w:lang w:val="da-DK"/>
        </w:rPr>
        <w:t xml:space="preserve"> og andre moderate CYP3A4-hæmmere (f.eks. </w:t>
      </w:r>
      <w:proofErr w:type="spellStart"/>
      <w:r>
        <w:rPr>
          <w:lang w:val="da-DK"/>
        </w:rPr>
        <w:t>fluconazol</w:t>
      </w:r>
      <w:proofErr w:type="spellEnd"/>
      <w:r>
        <w:rPr>
          <w:lang w:val="da-DK"/>
        </w:rPr>
        <w:t xml:space="preserve">) kan overvejes med en startdosis på 2,5 mg to gange daglig og kontrol af hjertefrekvensen, hvis hjertefrekvensen i hvile er over 70 slag/min.). </w:t>
      </w:r>
    </w:p>
    <w:p w:rsidR="007712B7" w:rsidRDefault="007712B7" w:rsidP="00006DA3">
      <w:pPr>
        <w:pStyle w:val="Default"/>
        <w:numPr>
          <w:ilvl w:val="0"/>
          <w:numId w:val="9"/>
        </w:numPr>
        <w:ind w:left="1134" w:hanging="283"/>
        <w:rPr>
          <w:lang w:val="da-DK"/>
        </w:rPr>
      </w:pPr>
      <w:r>
        <w:rPr>
          <w:lang w:val="da-DK"/>
        </w:rPr>
        <w:t xml:space="preserve">CYP3A4-induktorer: CYP3A4-induktorer (f.eks. </w:t>
      </w:r>
      <w:proofErr w:type="spellStart"/>
      <w:r>
        <w:rPr>
          <w:lang w:val="da-DK"/>
        </w:rPr>
        <w:t>rifampicin</w:t>
      </w:r>
      <w:proofErr w:type="spellEnd"/>
      <w:r>
        <w:rPr>
          <w:lang w:val="da-DK"/>
        </w:rPr>
        <w:t xml:space="preserve">, barbiturater, </w:t>
      </w:r>
      <w:proofErr w:type="spellStart"/>
      <w:r>
        <w:rPr>
          <w:lang w:val="da-DK"/>
        </w:rPr>
        <w:t>phenytoin</w:t>
      </w:r>
      <w:proofErr w:type="spellEnd"/>
      <w:r>
        <w:rPr>
          <w:lang w:val="da-DK"/>
        </w:rPr>
        <w:t xml:space="preserve">, </w:t>
      </w:r>
      <w:proofErr w:type="spellStart"/>
      <w:r>
        <w:rPr>
          <w:i/>
          <w:iCs/>
          <w:lang w:val="da-DK"/>
        </w:rPr>
        <w:t>Hypericum</w:t>
      </w:r>
      <w:proofErr w:type="spellEnd"/>
      <w:r>
        <w:rPr>
          <w:i/>
          <w:iCs/>
          <w:lang w:val="da-DK"/>
        </w:rPr>
        <w:t xml:space="preserve"> </w:t>
      </w:r>
      <w:proofErr w:type="spellStart"/>
      <w:r>
        <w:rPr>
          <w:i/>
          <w:iCs/>
          <w:lang w:val="da-DK"/>
        </w:rPr>
        <w:t>perforatum</w:t>
      </w:r>
      <w:proofErr w:type="spellEnd"/>
      <w:r>
        <w:rPr>
          <w:i/>
          <w:iCs/>
          <w:lang w:val="da-DK"/>
        </w:rPr>
        <w:t xml:space="preserve"> </w:t>
      </w:r>
      <w:r>
        <w:rPr>
          <w:lang w:val="da-DK"/>
        </w:rPr>
        <w:t xml:space="preserve">[perikon]) kan nedsætte eksponeringen over for </w:t>
      </w:r>
      <w:proofErr w:type="spellStart"/>
      <w:r>
        <w:rPr>
          <w:lang w:val="da-DK"/>
        </w:rPr>
        <w:t>ivabradin</w:t>
      </w:r>
      <w:proofErr w:type="spellEnd"/>
      <w:r>
        <w:rPr>
          <w:lang w:val="da-DK"/>
        </w:rPr>
        <w:t xml:space="preserve"> og aktiviteten af </w:t>
      </w:r>
      <w:proofErr w:type="spellStart"/>
      <w:r>
        <w:rPr>
          <w:lang w:val="da-DK"/>
        </w:rPr>
        <w:t>ivabradin</w:t>
      </w:r>
      <w:proofErr w:type="spellEnd"/>
      <w:r>
        <w:rPr>
          <w:lang w:val="da-DK"/>
        </w:rPr>
        <w:t xml:space="preserve">. Samtidig anvendelse af CYP3A4-induktorer kan nødvendiggøre dosisjustering af </w:t>
      </w:r>
      <w:proofErr w:type="spellStart"/>
      <w:r>
        <w:rPr>
          <w:lang w:val="da-DK"/>
        </w:rPr>
        <w:t>ivabradin</w:t>
      </w:r>
      <w:proofErr w:type="spellEnd"/>
      <w:r>
        <w:rPr>
          <w:lang w:val="da-DK"/>
        </w:rPr>
        <w:t xml:space="preserve">. Det er vist, at kombinationen af 10 mg </w:t>
      </w:r>
      <w:proofErr w:type="spellStart"/>
      <w:r>
        <w:rPr>
          <w:lang w:val="da-DK"/>
        </w:rPr>
        <w:t>ivabradin</w:t>
      </w:r>
      <w:proofErr w:type="spellEnd"/>
      <w:r>
        <w:rPr>
          <w:lang w:val="da-DK"/>
        </w:rPr>
        <w:t xml:space="preserve"> to gange daglig med perikon nedsætter </w:t>
      </w:r>
      <w:proofErr w:type="spellStart"/>
      <w:r>
        <w:rPr>
          <w:lang w:val="da-DK"/>
        </w:rPr>
        <w:t>ivabradin</w:t>
      </w:r>
      <w:proofErr w:type="spellEnd"/>
      <w:r>
        <w:rPr>
          <w:lang w:val="da-DK"/>
        </w:rPr>
        <w:t xml:space="preserve">-AUC til det halve. Indtagelse af perikon skal begrænses under behandling med </w:t>
      </w:r>
      <w:proofErr w:type="spellStart"/>
      <w:r>
        <w:rPr>
          <w:lang w:val="da-DK"/>
        </w:rPr>
        <w:t>ivabradin</w:t>
      </w:r>
      <w:proofErr w:type="spellEnd"/>
      <w:r>
        <w:rPr>
          <w:lang w:val="da-DK"/>
        </w:rPr>
        <w:t xml:space="preserve">.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i/>
          <w:iCs/>
          <w:lang w:val="da-DK"/>
        </w:rPr>
        <w:t xml:space="preserve">Anden samtidig anvendelse </w:t>
      </w:r>
    </w:p>
    <w:p w:rsidR="007712B7" w:rsidRDefault="007712B7" w:rsidP="007712B7">
      <w:pPr>
        <w:pStyle w:val="Default"/>
        <w:ind w:left="851"/>
        <w:rPr>
          <w:lang w:val="da-DK"/>
        </w:rPr>
      </w:pPr>
      <w:r>
        <w:rPr>
          <w:lang w:val="da-DK"/>
        </w:rPr>
        <w:t xml:space="preserve">I specielle lægemiddelinteraktionsstudier sås ingen klinisk signifikant påvirkning af </w:t>
      </w:r>
      <w:proofErr w:type="spellStart"/>
      <w:r>
        <w:rPr>
          <w:lang w:val="da-DK"/>
        </w:rPr>
        <w:t>ivabradins</w:t>
      </w:r>
      <w:proofErr w:type="spellEnd"/>
      <w:r>
        <w:rPr>
          <w:lang w:val="da-DK"/>
        </w:rPr>
        <w:t xml:space="preserve"> farmakokinetik eller </w:t>
      </w:r>
      <w:proofErr w:type="spellStart"/>
      <w:r>
        <w:rPr>
          <w:lang w:val="da-DK"/>
        </w:rPr>
        <w:t>farmakodynamik</w:t>
      </w:r>
      <w:proofErr w:type="spellEnd"/>
      <w:r>
        <w:rPr>
          <w:lang w:val="da-DK"/>
        </w:rPr>
        <w:t xml:space="preserve"> med følgende lægemidler: </w:t>
      </w:r>
      <w:proofErr w:type="spellStart"/>
      <w:r>
        <w:rPr>
          <w:lang w:val="da-DK"/>
        </w:rPr>
        <w:t>Syrepumpehæmmere</w:t>
      </w:r>
      <w:proofErr w:type="spellEnd"/>
      <w:r>
        <w:rPr>
          <w:lang w:val="da-DK"/>
        </w:rPr>
        <w:t xml:space="preserve"> (</w:t>
      </w:r>
      <w:proofErr w:type="spellStart"/>
      <w:r>
        <w:rPr>
          <w:lang w:val="da-DK"/>
        </w:rPr>
        <w:t>omeprazol</w:t>
      </w:r>
      <w:proofErr w:type="spellEnd"/>
      <w:r>
        <w:rPr>
          <w:lang w:val="da-DK"/>
        </w:rPr>
        <w:t xml:space="preserve">, </w:t>
      </w:r>
      <w:proofErr w:type="spellStart"/>
      <w:r>
        <w:rPr>
          <w:lang w:val="da-DK"/>
        </w:rPr>
        <w:t>lansoprazol</w:t>
      </w:r>
      <w:proofErr w:type="spellEnd"/>
      <w:r>
        <w:rPr>
          <w:lang w:val="da-DK"/>
        </w:rPr>
        <w:t xml:space="preserve">), </w:t>
      </w:r>
      <w:proofErr w:type="spellStart"/>
      <w:r>
        <w:rPr>
          <w:lang w:val="da-DK"/>
        </w:rPr>
        <w:t>sildefanil</w:t>
      </w:r>
      <w:proofErr w:type="spellEnd"/>
      <w:r>
        <w:rPr>
          <w:lang w:val="da-DK"/>
        </w:rPr>
        <w:t>, HMG-</w:t>
      </w:r>
      <w:proofErr w:type="spellStart"/>
      <w:r>
        <w:rPr>
          <w:lang w:val="da-DK"/>
        </w:rPr>
        <w:t>CoA</w:t>
      </w:r>
      <w:proofErr w:type="spellEnd"/>
      <w:r>
        <w:rPr>
          <w:lang w:val="da-DK"/>
        </w:rPr>
        <w:t>-</w:t>
      </w:r>
      <w:proofErr w:type="spellStart"/>
      <w:r>
        <w:rPr>
          <w:lang w:val="da-DK"/>
        </w:rPr>
        <w:t>reduktasehæmmere</w:t>
      </w:r>
      <w:proofErr w:type="spellEnd"/>
      <w:r>
        <w:rPr>
          <w:lang w:val="da-DK"/>
        </w:rPr>
        <w:t xml:space="preserve"> (</w:t>
      </w:r>
      <w:proofErr w:type="spellStart"/>
      <w:r>
        <w:rPr>
          <w:lang w:val="da-DK"/>
        </w:rPr>
        <w:t>simvastatin</w:t>
      </w:r>
      <w:proofErr w:type="spellEnd"/>
      <w:r>
        <w:rPr>
          <w:lang w:val="da-DK"/>
        </w:rPr>
        <w:t xml:space="preserve">), </w:t>
      </w:r>
      <w:proofErr w:type="spellStart"/>
      <w:r>
        <w:rPr>
          <w:lang w:val="da-DK"/>
        </w:rPr>
        <w:t>dihydropyridin</w:t>
      </w:r>
      <w:proofErr w:type="spellEnd"/>
      <w:r>
        <w:rPr>
          <w:lang w:val="da-DK"/>
        </w:rPr>
        <w:t>-calciumantagonister (</w:t>
      </w:r>
      <w:proofErr w:type="spellStart"/>
      <w:r>
        <w:rPr>
          <w:lang w:val="da-DK"/>
        </w:rPr>
        <w:t>amlodipin</w:t>
      </w:r>
      <w:proofErr w:type="spellEnd"/>
      <w:r>
        <w:rPr>
          <w:lang w:val="da-DK"/>
        </w:rPr>
        <w:t xml:space="preserve">, </w:t>
      </w:r>
      <w:proofErr w:type="spellStart"/>
      <w:r>
        <w:rPr>
          <w:lang w:val="da-DK"/>
        </w:rPr>
        <w:t>lacidipin</w:t>
      </w:r>
      <w:proofErr w:type="spellEnd"/>
      <w:r>
        <w:rPr>
          <w:lang w:val="da-DK"/>
        </w:rPr>
        <w:t xml:space="preserve">), </w:t>
      </w:r>
      <w:proofErr w:type="spellStart"/>
      <w:r>
        <w:rPr>
          <w:lang w:val="da-DK"/>
        </w:rPr>
        <w:t>digoxin</w:t>
      </w:r>
      <w:proofErr w:type="spellEnd"/>
      <w:r>
        <w:rPr>
          <w:lang w:val="da-DK"/>
        </w:rPr>
        <w:t xml:space="preserve"> og </w:t>
      </w:r>
      <w:proofErr w:type="spellStart"/>
      <w:r>
        <w:rPr>
          <w:lang w:val="da-DK"/>
        </w:rPr>
        <w:t>warfarin</w:t>
      </w:r>
      <w:proofErr w:type="spellEnd"/>
      <w:r>
        <w:rPr>
          <w:lang w:val="da-DK"/>
        </w:rPr>
        <w:t xml:space="preserve">. Endvidere havde </w:t>
      </w:r>
      <w:proofErr w:type="spellStart"/>
      <w:r>
        <w:rPr>
          <w:lang w:val="da-DK"/>
        </w:rPr>
        <w:t>ivabradin</w:t>
      </w:r>
      <w:proofErr w:type="spellEnd"/>
      <w:r>
        <w:rPr>
          <w:lang w:val="da-DK"/>
        </w:rPr>
        <w:t xml:space="preserve"> ingen klinisk signifikant </w:t>
      </w:r>
      <w:proofErr w:type="spellStart"/>
      <w:r>
        <w:rPr>
          <w:lang w:val="da-DK"/>
        </w:rPr>
        <w:t>farmakokinetisk</w:t>
      </w:r>
      <w:proofErr w:type="spellEnd"/>
      <w:r>
        <w:rPr>
          <w:lang w:val="da-DK"/>
        </w:rPr>
        <w:t xml:space="preserve"> virkning på </w:t>
      </w:r>
      <w:proofErr w:type="spellStart"/>
      <w:r>
        <w:rPr>
          <w:lang w:val="da-DK"/>
        </w:rPr>
        <w:t>simvastatin</w:t>
      </w:r>
      <w:proofErr w:type="spellEnd"/>
      <w:r>
        <w:rPr>
          <w:lang w:val="da-DK"/>
        </w:rPr>
        <w:t xml:space="preserve">, </w:t>
      </w:r>
      <w:proofErr w:type="spellStart"/>
      <w:r>
        <w:rPr>
          <w:lang w:val="da-DK"/>
        </w:rPr>
        <w:t>amlodipin</w:t>
      </w:r>
      <w:proofErr w:type="spellEnd"/>
      <w:r>
        <w:rPr>
          <w:lang w:val="da-DK"/>
        </w:rPr>
        <w:t xml:space="preserve"> eller </w:t>
      </w:r>
      <w:proofErr w:type="spellStart"/>
      <w:r>
        <w:rPr>
          <w:lang w:val="da-DK"/>
        </w:rPr>
        <w:t>lacidipin</w:t>
      </w:r>
      <w:proofErr w:type="spellEnd"/>
      <w:r>
        <w:rPr>
          <w:lang w:val="da-DK"/>
        </w:rPr>
        <w:t xml:space="preserve">, ingen </w:t>
      </w:r>
      <w:proofErr w:type="spellStart"/>
      <w:r>
        <w:rPr>
          <w:lang w:val="da-DK"/>
        </w:rPr>
        <w:t>farmakokinetisk</w:t>
      </w:r>
      <w:proofErr w:type="spellEnd"/>
      <w:r>
        <w:rPr>
          <w:lang w:val="da-DK"/>
        </w:rPr>
        <w:t xml:space="preserve"> eller </w:t>
      </w:r>
      <w:proofErr w:type="spellStart"/>
      <w:r>
        <w:rPr>
          <w:lang w:val="da-DK"/>
        </w:rPr>
        <w:t>farmakodynamisk</w:t>
      </w:r>
      <w:proofErr w:type="spellEnd"/>
      <w:r>
        <w:rPr>
          <w:lang w:val="da-DK"/>
        </w:rPr>
        <w:t xml:space="preserve"> virkning på </w:t>
      </w:r>
      <w:proofErr w:type="spellStart"/>
      <w:r>
        <w:rPr>
          <w:lang w:val="da-DK"/>
        </w:rPr>
        <w:t>digoxin</w:t>
      </w:r>
      <w:proofErr w:type="spellEnd"/>
      <w:r>
        <w:rPr>
          <w:lang w:val="da-DK"/>
        </w:rPr>
        <w:t xml:space="preserve"> eller </w:t>
      </w:r>
      <w:proofErr w:type="spellStart"/>
      <w:r>
        <w:rPr>
          <w:lang w:val="da-DK"/>
        </w:rPr>
        <w:t>warfarin</w:t>
      </w:r>
      <w:proofErr w:type="spellEnd"/>
      <w:r>
        <w:rPr>
          <w:lang w:val="da-DK"/>
        </w:rPr>
        <w:t xml:space="preserve"> og ingen </w:t>
      </w:r>
      <w:proofErr w:type="spellStart"/>
      <w:r>
        <w:rPr>
          <w:lang w:val="da-DK"/>
        </w:rPr>
        <w:t>farmakodynamisk</w:t>
      </w:r>
      <w:proofErr w:type="spellEnd"/>
      <w:r>
        <w:rPr>
          <w:lang w:val="da-DK"/>
        </w:rPr>
        <w:t xml:space="preserve"> virkning på acetylsalicylsyre. </w:t>
      </w:r>
    </w:p>
    <w:p w:rsidR="007712B7" w:rsidRDefault="007712B7" w:rsidP="007712B7">
      <w:pPr>
        <w:pStyle w:val="Default"/>
        <w:ind w:left="851"/>
        <w:rPr>
          <w:lang w:val="da-DK"/>
        </w:rPr>
      </w:pPr>
    </w:p>
    <w:p w:rsidR="007712B7" w:rsidRDefault="007712B7" w:rsidP="007712B7">
      <w:pPr>
        <w:pStyle w:val="Default"/>
        <w:ind w:left="851"/>
        <w:rPr>
          <w:lang w:val="da-DK"/>
        </w:rPr>
      </w:pPr>
      <w:r>
        <w:rPr>
          <w:lang w:val="da-DK"/>
        </w:rPr>
        <w:t xml:space="preserve">I de pivotale kliniske studier i fase III blev følgende lægemidler rutinemæssigt kombineret med </w:t>
      </w:r>
      <w:proofErr w:type="spellStart"/>
      <w:r>
        <w:rPr>
          <w:lang w:val="da-DK"/>
        </w:rPr>
        <w:t>ivabradin</w:t>
      </w:r>
      <w:proofErr w:type="spellEnd"/>
      <w:r>
        <w:rPr>
          <w:lang w:val="da-DK"/>
        </w:rPr>
        <w:t xml:space="preserve"> uden tegn på sikkerhedsmæssige problemer: ACE-</w:t>
      </w:r>
      <w:proofErr w:type="spellStart"/>
      <w:r>
        <w:rPr>
          <w:lang w:val="da-DK"/>
        </w:rPr>
        <w:t>hæmmere</w:t>
      </w:r>
      <w:proofErr w:type="spellEnd"/>
      <w:r>
        <w:rPr>
          <w:lang w:val="da-DK"/>
        </w:rPr>
        <w:t xml:space="preserve">, </w:t>
      </w:r>
      <w:proofErr w:type="spellStart"/>
      <w:r>
        <w:rPr>
          <w:lang w:val="da-DK"/>
        </w:rPr>
        <w:t>angiotensin</w:t>
      </w:r>
      <w:proofErr w:type="spellEnd"/>
      <w:r>
        <w:rPr>
          <w:lang w:val="da-DK"/>
        </w:rPr>
        <w:t xml:space="preserve"> II-antagonister, betablokkere, </w:t>
      </w:r>
      <w:proofErr w:type="spellStart"/>
      <w:r>
        <w:rPr>
          <w:lang w:val="da-DK"/>
        </w:rPr>
        <w:t>diuretika</w:t>
      </w:r>
      <w:proofErr w:type="spellEnd"/>
      <w:r>
        <w:rPr>
          <w:lang w:val="da-DK"/>
        </w:rPr>
        <w:t xml:space="preserve">, </w:t>
      </w:r>
      <w:proofErr w:type="spellStart"/>
      <w:r>
        <w:rPr>
          <w:lang w:val="da-DK"/>
        </w:rPr>
        <w:t>aldosteronantagonister</w:t>
      </w:r>
      <w:proofErr w:type="spellEnd"/>
      <w:r>
        <w:rPr>
          <w:lang w:val="da-DK"/>
        </w:rPr>
        <w:t>, kort- og langtidsvirkende nitratpræparater, HMG-</w:t>
      </w:r>
      <w:proofErr w:type="spellStart"/>
      <w:r>
        <w:rPr>
          <w:lang w:val="da-DK"/>
        </w:rPr>
        <w:t>CoA</w:t>
      </w:r>
      <w:proofErr w:type="spellEnd"/>
      <w:r>
        <w:rPr>
          <w:lang w:val="da-DK"/>
        </w:rPr>
        <w:t>-</w:t>
      </w:r>
      <w:proofErr w:type="spellStart"/>
      <w:r>
        <w:rPr>
          <w:lang w:val="da-DK"/>
        </w:rPr>
        <w:t>reduktasehæmmere</w:t>
      </w:r>
      <w:proofErr w:type="spellEnd"/>
      <w:r>
        <w:rPr>
          <w:lang w:val="da-DK"/>
        </w:rPr>
        <w:t xml:space="preserve">, </w:t>
      </w:r>
      <w:proofErr w:type="spellStart"/>
      <w:r>
        <w:rPr>
          <w:lang w:val="da-DK"/>
        </w:rPr>
        <w:t>fibrater</w:t>
      </w:r>
      <w:proofErr w:type="spellEnd"/>
      <w:r>
        <w:rPr>
          <w:lang w:val="da-DK"/>
        </w:rPr>
        <w:t xml:space="preserve">, </w:t>
      </w:r>
      <w:proofErr w:type="spellStart"/>
      <w:r>
        <w:rPr>
          <w:lang w:val="da-DK"/>
        </w:rPr>
        <w:t>syrepumpehæmmere</w:t>
      </w:r>
      <w:proofErr w:type="spellEnd"/>
      <w:r>
        <w:rPr>
          <w:lang w:val="da-DK"/>
        </w:rPr>
        <w:t xml:space="preserve">, orale </w:t>
      </w:r>
      <w:proofErr w:type="spellStart"/>
      <w:r>
        <w:rPr>
          <w:lang w:val="da-DK"/>
        </w:rPr>
        <w:t>antidiabetika</w:t>
      </w:r>
      <w:proofErr w:type="spellEnd"/>
      <w:r>
        <w:rPr>
          <w:lang w:val="da-DK"/>
        </w:rPr>
        <w:t xml:space="preserve">, acetylsalicylsyre og andre </w:t>
      </w:r>
      <w:proofErr w:type="spellStart"/>
      <w:r>
        <w:rPr>
          <w:lang w:val="da-DK"/>
        </w:rPr>
        <w:t>trombocytfunktionshæmmende</w:t>
      </w:r>
      <w:proofErr w:type="spellEnd"/>
      <w:r>
        <w:rPr>
          <w:lang w:val="da-DK"/>
        </w:rPr>
        <w:t xml:space="preserve"> lægemidler. </w:t>
      </w:r>
    </w:p>
    <w:p w:rsidR="00006DA3" w:rsidRDefault="00006DA3">
      <w:pPr>
        <w:rPr>
          <w:rFonts w:eastAsiaTheme="minorHAnsi"/>
          <w:i/>
          <w:iCs/>
          <w:color w:val="000000"/>
          <w:sz w:val="24"/>
          <w:szCs w:val="24"/>
        </w:rPr>
      </w:pPr>
      <w:r>
        <w:rPr>
          <w:i/>
          <w:iCs/>
        </w:rPr>
        <w:br w:type="page"/>
      </w:r>
    </w:p>
    <w:p w:rsidR="007712B7" w:rsidRDefault="007712B7" w:rsidP="007712B7">
      <w:pPr>
        <w:pStyle w:val="Default"/>
        <w:ind w:left="851" w:hanging="851"/>
        <w:rPr>
          <w:i/>
          <w:iCs/>
          <w:lang w:val="da-DK"/>
        </w:rPr>
      </w:pPr>
    </w:p>
    <w:p w:rsidR="007712B7" w:rsidRDefault="007712B7" w:rsidP="007712B7">
      <w:pPr>
        <w:pStyle w:val="Default"/>
        <w:ind w:left="851"/>
        <w:rPr>
          <w:lang w:val="da-DK"/>
        </w:rPr>
      </w:pPr>
      <w:r>
        <w:rPr>
          <w:i/>
          <w:iCs/>
          <w:lang w:val="da-DK"/>
        </w:rPr>
        <w:t xml:space="preserve">Pædiatrisk population </w:t>
      </w:r>
    </w:p>
    <w:p w:rsidR="007712B7" w:rsidRDefault="007712B7" w:rsidP="007712B7">
      <w:pPr>
        <w:pStyle w:val="Default"/>
        <w:ind w:left="851"/>
        <w:rPr>
          <w:lang w:val="da-DK"/>
        </w:rPr>
      </w:pPr>
      <w:r>
        <w:rPr>
          <w:lang w:val="da-DK"/>
        </w:rPr>
        <w:t xml:space="preserve">Interaktionsstudier er kun udført hos voksne.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4.6</w:t>
      </w:r>
      <w:r>
        <w:rPr>
          <w:b/>
          <w:sz w:val="24"/>
          <w:szCs w:val="24"/>
        </w:rPr>
        <w:tab/>
        <w:t>Graviditet og amning</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Fertilitet </w:t>
      </w:r>
    </w:p>
    <w:p w:rsidR="007712B7" w:rsidRDefault="007712B7" w:rsidP="007712B7">
      <w:pPr>
        <w:pStyle w:val="Default"/>
        <w:ind w:left="851"/>
        <w:rPr>
          <w:lang w:val="da-DK"/>
        </w:rPr>
      </w:pPr>
      <w:r>
        <w:rPr>
          <w:lang w:val="da-DK"/>
        </w:rPr>
        <w:t xml:space="preserve">I rottestudier sås ingen påvirkning af fertiliteten hos hanner eller hunner (se pkt. 5.3).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Kvinder i den fertile alder </w:t>
      </w:r>
    </w:p>
    <w:p w:rsidR="007712B7" w:rsidRDefault="007712B7" w:rsidP="007712B7">
      <w:pPr>
        <w:pStyle w:val="Default"/>
        <w:ind w:left="851"/>
        <w:rPr>
          <w:lang w:val="da-DK"/>
        </w:rPr>
      </w:pPr>
      <w:r>
        <w:rPr>
          <w:lang w:val="da-DK"/>
        </w:rPr>
        <w:t xml:space="preserve">Kvinder i den fertile alder skal anvende sikker </w:t>
      </w:r>
      <w:proofErr w:type="spellStart"/>
      <w:r>
        <w:rPr>
          <w:lang w:val="da-DK"/>
        </w:rPr>
        <w:t>kontraception</w:t>
      </w:r>
      <w:proofErr w:type="spellEnd"/>
      <w:r>
        <w:rPr>
          <w:lang w:val="da-DK"/>
        </w:rPr>
        <w:t xml:space="preserve"> under behandlingen (se pkt. 4.3).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Graviditet </w:t>
      </w:r>
    </w:p>
    <w:p w:rsidR="007712B7" w:rsidRDefault="007712B7" w:rsidP="007712B7">
      <w:pPr>
        <w:pStyle w:val="Default"/>
        <w:ind w:left="851"/>
        <w:rPr>
          <w:lang w:val="da-DK"/>
        </w:rPr>
      </w:pPr>
      <w:r>
        <w:rPr>
          <w:lang w:val="da-DK"/>
        </w:rPr>
        <w:t xml:space="preserve">Der er ingen eller utilstrækkelige data fra anvendelse af </w:t>
      </w:r>
      <w:proofErr w:type="spellStart"/>
      <w:r>
        <w:rPr>
          <w:lang w:val="da-DK"/>
        </w:rPr>
        <w:t>ivabradin</w:t>
      </w:r>
      <w:proofErr w:type="spellEnd"/>
      <w:r>
        <w:rPr>
          <w:lang w:val="da-DK"/>
        </w:rPr>
        <w:t xml:space="preserve"> til gravide kvinder. Dyreforsøg har påvist reproduktionstoksicitet. Forsøgene viste embryotoksiske og </w:t>
      </w:r>
      <w:proofErr w:type="spellStart"/>
      <w:r>
        <w:rPr>
          <w:lang w:val="da-DK"/>
        </w:rPr>
        <w:t>teratogene</w:t>
      </w:r>
      <w:proofErr w:type="spellEnd"/>
      <w:r>
        <w:rPr>
          <w:lang w:val="da-DK"/>
        </w:rPr>
        <w:t xml:space="preserve"> virkninger (se pkt. 5.3). Den potentielle risiko hos mennesker kendes ikke. </w:t>
      </w:r>
      <w:proofErr w:type="spellStart"/>
      <w:r>
        <w:rPr>
          <w:lang w:val="da-DK"/>
        </w:rPr>
        <w:t>Ivabradin</w:t>
      </w:r>
      <w:proofErr w:type="spellEnd"/>
      <w:r>
        <w:rPr>
          <w:lang w:val="da-DK"/>
        </w:rPr>
        <w:t xml:space="preserve"> er derfor kontraindiceret under graviditet (se pkt. 4.3).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Amning </w:t>
      </w:r>
    </w:p>
    <w:p w:rsidR="007712B7" w:rsidRDefault="007712B7" w:rsidP="007712B7">
      <w:pPr>
        <w:pStyle w:val="Default"/>
        <w:ind w:left="851"/>
        <w:rPr>
          <w:lang w:val="da-DK"/>
        </w:rPr>
      </w:pPr>
      <w:r>
        <w:rPr>
          <w:lang w:val="da-DK"/>
        </w:rPr>
        <w:t xml:space="preserve">Dyrestudier indikerer, at </w:t>
      </w:r>
      <w:proofErr w:type="spellStart"/>
      <w:r>
        <w:rPr>
          <w:lang w:val="da-DK"/>
        </w:rPr>
        <w:t>ivabradin</w:t>
      </w:r>
      <w:proofErr w:type="spellEnd"/>
      <w:r>
        <w:rPr>
          <w:lang w:val="da-DK"/>
        </w:rPr>
        <w:t xml:space="preserve"> udskilles i mælk. </w:t>
      </w:r>
      <w:proofErr w:type="spellStart"/>
      <w:r>
        <w:rPr>
          <w:lang w:val="da-DK"/>
        </w:rPr>
        <w:t>Ivabradin</w:t>
      </w:r>
      <w:proofErr w:type="spellEnd"/>
      <w:r>
        <w:rPr>
          <w:lang w:val="da-DK"/>
        </w:rPr>
        <w:t xml:space="preserve"> er derfor kontraindiceret under amning (se pkt. 4.3). </w:t>
      </w:r>
    </w:p>
    <w:p w:rsidR="007712B7" w:rsidRDefault="007712B7" w:rsidP="007712B7">
      <w:pPr>
        <w:pStyle w:val="Default"/>
        <w:ind w:left="851"/>
        <w:rPr>
          <w:lang w:val="da-DK"/>
        </w:rPr>
      </w:pPr>
      <w:r>
        <w:rPr>
          <w:lang w:val="da-DK"/>
        </w:rPr>
        <w:t xml:space="preserve">Kvinder, der har behov for behandling med </w:t>
      </w:r>
      <w:proofErr w:type="spellStart"/>
      <w:r>
        <w:rPr>
          <w:lang w:val="da-DK"/>
        </w:rPr>
        <w:t>ivabradin</w:t>
      </w:r>
      <w:proofErr w:type="spellEnd"/>
      <w:r>
        <w:rPr>
          <w:lang w:val="da-DK"/>
        </w:rPr>
        <w:t xml:space="preserve">, skal ophøre med at amme og vælge en anden form for ernæring til deres barn.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4.7</w:t>
      </w:r>
      <w:r>
        <w:rPr>
          <w:b/>
          <w:sz w:val="24"/>
          <w:szCs w:val="24"/>
        </w:rPr>
        <w:tab/>
        <w:t>Virkninger på evnen til at føre motorkøretøj eller betjene maskiner</w:t>
      </w:r>
    </w:p>
    <w:p w:rsidR="007712B7" w:rsidRDefault="007712B7" w:rsidP="007712B7">
      <w:pPr>
        <w:pStyle w:val="Default"/>
        <w:ind w:left="851"/>
        <w:rPr>
          <w:lang w:val="da-DK"/>
        </w:rPr>
      </w:pPr>
      <w:r>
        <w:rPr>
          <w:lang w:val="da-DK"/>
        </w:rPr>
        <w:t>Ikke mærkning.</w:t>
      </w:r>
    </w:p>
    <w:p w:rsidR="007712B7" w:rsidRDefault="007712B7" w:rsidP="007712B7">
      <w:pPr>
        <w:pStyle w:val="Default"/>
        <w:ind w:left="851"/>
        <w:rPr>
          <w:lang w:val="da-DK"/>
        </w:rPr>
      </w:pPr>
      <w:r>
        <w:rPr>
          <w:lang w:val="da-DK"/>
        </w:rPr>
        <w:t xml:space="preserve">Der er udført et specifikt studie hos raske frivillige for at vurdere </w:t>
      </w:r>
      <w:proofErr w:type="spellStart"/>
      <w:r>
        <w:rPr>
          <w:lang w:val="da-DK"/>
        </w:rPr>
        <w:t>ivabradins</w:t>
      </w:r>
      <w:proofErr w:type="spellEnd"/>
      <w:r>
        <w:rPr>
          <w:lang w:val="da-DK"/>
        </w:rPr>
        <w:t xml:space="preserve"> indflydelse på evnen til at føre motorkøretøj. Der var ingen tegn på ændringer i evnen til at føre motorkøretøj. Efter markedsføringen er der imidlertid indberettet tilfælde med nedsat køreevne på grund af synsforstyrrelser. </w:t>
      </w:r>
      <w:proofErr w:type="spellStart"/>
      <w:r>
        <w:rPr>
          <w:lang w:val="da-DK"/>
        </w:rPr>
        <w:t>Ivabradin</w:t>
      </w:r>
      <w:proofErr w:type="spellEnd"/>
      <w:r>
        <w:rPr>
          <w:lang w:val="da-DK"/>
        </w:rPr>
        <w:t xml:space="preserve"> kan forårsage forbigående lysfænomener, hovedsageligt omfattende </w:t>
      </w:r>
      <w:proofErr w:type="spellStart"/>
      <w:r>
        <w:rPr>
          <w:lang w:val="da-DK"/>
        </w:rPr>
        <w:t>fosfener</w:t>
      </w:r>
      <w:proofErr w:type="spellEnd"/>
      <w:r>
        <w:rPr>
          <w:lang w:val="da-DK"/>
        </w:rPr>
        <w:t xml:space="preserve"> (se pkt. 4.8). Den mulige optræden af sådanne lysfænomener skal tages i betragtning ved bilkørsel eller betjening af maskiner i situationer, hvor der kan indtræffe pludselige variationer i lysintensitet, især ved nattekørsel. </w:t>
      </w:r>
    </w:p>
    <w:p w:rsidR="007712B7" w:rsidRDefault="007712B7" w:rsidP="007712B7">
      <w:pPr>
        <w:pStyle w:val="Default"/>
        <w:ind w:left="851"/>
        <w:rPr>
          <w:lang w:val="da-DK"/>
        </w:rPr>
      </w:pPr>
      <w:proofErr w:type="spellStart"/>
      <w:r>
        <w:rPr>
          <w:lang w:val="da-DK"/>
        </w:rPr>
        <w:t>Ivabradin</w:t>
      </w:r>
      <w:proofErr w:type="spellEnd"/>
      <w:r>
        <w:rPr>
          <w:lang w:val="da-DK"/>
        </w:rPr>
        <w:t xml:space="preserve"> påvirker ikke evnen til at betjene maskiner.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4.8</w:t>
      </w:r>
      <w:r>
        <w:rPr>
          <w:b/>
          <w:sz w:val="24"/>
          <w:szCs w:val="24"/>
        </w:rPr>
        <w:tab/>
        <w:t>Bivirkninger</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Resumé af sikkerhedsprofilen </w:t>
      </w:r>
    </w:p>
    <w:p w:rsidR="007712B7" w:rsidRDefault="007712B7" w:rsidP="007712B7">
      <w:pPr>
        <w:pStyle w:val="Default"/>
        <w:ind w:left="851"/>
        <w:rPr>
          <w:lang w:val="da-DK"/>
        </w:rPr>
      </w:pPr>
      <w:proofErr w:type="spellStart"/>
      <w:r>
        <w:rPr>
          <w:lang w:val="da-DK"/>
        </w:rPr>
        <w:t>Ivabradin</w:t>
      </w:r>
      <w:proofErr w:type="spellEnd"/>
      <w:r>
        <w:rPr>
          <w:lang w:val="da-DK"/>
        </w:rPr>
        <w:t xml:space="preserve"> er blevet undersøgt i kliniske studier omfattende næsten 45.000 deltagere. De almindeligste bivirkninger ved </w:t>
      </w:r>
      <w:proofErr w:type="spellStart"/>
      <w:r>
        <w:rPr>
          <w:lang w:val="da-DK"/>
        </w:rPr>
        <w:t>ivabradin</w:t>
      </w:r>
      <w:proofErr w:type="spellEnd"/>
      <w:r>
        <w:rPr>
          <w:lang w:val="da-DK"/>
        </w:rPr>
        <w:t xml:space="preserve"> – lysfænomener (</w:t>
      </w:r>
      <w:proofErr w:type="spellStart"/>
      <w:r>
        <w:rPr>
          <w:lang w:val="da-DK"/>
        </w:rPr>
        <w:t>fosfener</w:t>
      </w:r>
      <w:proofErr w:type="spellEnd"/>
      <w:r>
        <w:rPr>
          <w:lang w:val="da-DK"/>
        </w:rPr>
        <w:t xml:space="preserve">, fotopsier) og bradykardi - er dosisafhængige og relateret til lægemidlets farmakologiske effekt.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Liste over bivirkninger i tabelform </w:t>
      </w:r>
    </w:p>
    <w:p w:rsidR="007712B7" w:rsidRDefault="007712B7" w:rsidP="007712B7">
      <w:pPr>
        <w:ind w:left="851"/>
        <w:rPr>
          <w:sz w:val="24"/>
          <w:szCs w:val="24"/>
        </w:rPr>
      </w:pPr>
      <w:r>
        <w:rPr>
          <w:sz w:val="24"/>
          <w:szCs w:val="24"/>
        </w:rPr>
        <w:t xml:space="preserve">I de kliniske studier er der rapporteret om følgende bivirkninger, som er opstillet efter hyppighed i henhold til denne konvention: </w:t>
      </w:r>
      <w:r w:rsidR="00006DA3">
        <w:rPr>
          <w:sz w:val="24"/>
          <w:szCs w:val="24"/>
        </w:rPr>
        <w:t>M</w:t>
      </w:r>
      <w:r>
        <w:rPr>
          <w:sz w:val="24"/>
          <w:szCs w:val="24"/>
        </w:rPr>
        <w:t>eget almindelig (≥1/10); almindelig (≥1/100 til &lt;1/10), ikke almindelig (≥1/1.000 til &lt;1/100); sjælden (≥1/10.000 til &lt;1/1.000); meget sjælden (&lt;1/10.000); ikke kendt (kan ikke estimeres ud fra forhåndenværende data).</w:t>
      </w:r>
    </w:p>
    <w:p w:rsidR="007712B7" w:rsidRDefault="007712B7" w:rsidP="007712B7">
      <w:pPr>
        <w:rPr>
          <w:sz w:val="24"/>
          <w:szCs w:val="24"/>
        </w:rPr>
      </w:pPr>
      <w:r>
        <w:rPr>
          <w:sz w:val="24"/>
          <w:szCs w:val="24"/>
        </w:rPr>
        <w:br w:type="page"/>
      </w:r>
    </w:p>
    <w:p w:rsidR="007712B7" w:rsidRDefault="007712B7" w:rsidP="007712B7">
      <w:pPr>
        <w:ind w:left="851"/>
        <w:rPr>
          <w:sz w:val="24"/>
          <w:szCs w:val="24"/>
        </w:rPr>
      </w:pPr>
    </w:p>
    <w:tbl>
      <w:tblPr>
        <w:tblStyle w:val="Tabel-Gitter"/>
        <w:tblW w:w="5000" w:type="pct"/>
        <w:tblInd w:w="0" w:type="dxa"/>
        <w:tblLook w:val="04A0" w:firstRow="1" w:lastRow="0" w:firstColumn="1" w:lastColumn="0" w:noHBand="0" w:noVBand="1"/>
      </w:tblPr>
      <w:tblGrid>
        <w:gridCol w:w="3653"/>
        <w:gridCol w:w="2603"/>
        <w:gridCol w:w="3372"/>
      </w:tblGrid>
      <w:tr w:rsidR="007712B7" w:rsidTr="00147DC0">
        <w:tc>
          <w:tcPr>
            <w:tcW w:w="1897"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b/>
                <w:sz w:val="24"/>
                <w:szCs w:val="24"/>
              </w:rPr>
            </w:pPr>
            <w:r>
              <w:rPr>
                <w:rFonts w:ascii="Times New Roman" w:hAnsi="Times New Roman" w:cs="Times New Roman"/>
                <w:b/>
                <w:sz w:val="24"/>
                <w:szCs w:val="24"/>
              </w:rPr>
              <w:t xml:space="preserve">Systemorganklasse </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b/>
                <w:sz w:val="24"/>
                <w:szCs w:val="24"/>
              </w:rPr>
            </w:pPr>
            <w:r>
              <w:rPr>
                <w:rFonts w:ascii="Times New Roman" w:hAnsi="Times New Roman" w:cs="Times New Roman"/>
                <w:b/>
                <w:sz w:val="24"/>
                <w:szCs w:val="24"/>
              </w:rPr>
              <w:t xml:space="preserve">Hyppighed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b/>
                <w:sz w:val="24"/>
                <w:szCs w:val="24"/>
              </w:rPr>
            </w:pPr>
            <w:r>
              <w:rPr>
                <w:rFonts w:ascii="Times New Roman" w:hAnsi="Times New Roman" w:cs="Times New Roman"/>
                <w:b/>
                <w:sz w:val="24"/>
                <w:szCs w:val="24"/>
              </w:rPr>
              <w:t xml:space="preserve">Bivirkninger </w:t>
            </w:r>
          </w:p>
        </w:tc>
      </w:tr>
      <w:tr w:rsidR="007712B7" w:rsidTr="00147DC0">
        <w:tc>
          <w:tcPr>
            <w:tcW w:w="1897"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Blod og lymfesystem </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Eosinofili </w:t>
            </w:r>
          </w:p>
        </w:tc>
      </w:tr>
      <w:tr w:rsidR="007712B7" w:rsidTr="00147DC0">
        <w:tc>
          <w:tcPr>
            <w:tcW w:w="1897"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Metabolisme og ernæring </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color w:val="000000"/>
                <w:sz w:val="24"/>
                <w:szCs w:val="24"/>
              </w:rPr>
              <w:t>Ikke almindelig</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Hyperurikæmi </w:t>
            </w:r>
          </w:p>
        </w:tc>
      </w:tr>
      <w:tr w:rsidR="007712B7" w:rsidTr="00147DC0">
        <w:trPr>
          <w:trHeight w:val="370"/>
        </w:trPr>
        <w:tc>
          <w:tcPr>
            <w:tcW w:w="1897"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Nervesystemet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Hovedpine, specielt i den første behandlingsmåned </w:t>
            </w:r>
          </w:p>
        </w:tc>
      </w:tr>
      <w:tr w:rsidR="007712B7" w:rsidTr="00147DC0">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sz w:val="24"/>
                <w:szCs w:val="24"/>
              </w:rPr>
            </w:pPr>
            <w:r>
              <w:rPr>
                <w:rFonts w:ascii="Times New Roman" w:hAnsi="Times New Roman" w:cs="Times New Roman"/>
                <w:sz w:val="24"/>
                <w:szCs w:val="24"/>
              </w:rPr>
              <w:t>Svimmelhed, eventuelt i forbindelse med bradykardi</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Synkope, kan være forbundet med bradykardi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Øjne</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Meget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Lysfænomen (fosfener)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Uskarpt syn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Diplopi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Nedsat syn </w:t>
            </w:r>
          </w:p>
        </w:tc>
      </w:tr>
      <w:tr w:rsidR="007712B7" w:rsidTr="00147DC0">
        <w:tc>
          <w:tcPr>
            <w:tcW w:w="1897"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Øre og labyrint </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Vertigo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Hjerte </w:t>
            </w:r>
          </w:p>
        </w:tc>
        <w:tc>
          <w:tcPr>
            <w:tcW w:w="1352" w:type="pct"/>
            <w:vMerge w:val="restart"/>
            <w:tcBorders>
              <w:top w:val="single" w:sz="4" w:space="0" w:color="auto"/>
              <w:left w:val="single" w:sz="4" w:space="0" w:color="auto"/>
              <w:bottom w:val="single" w:sz="4" w:space="0" w:color="auto"/>
              <w:right w:val="single" w:sz="4" w:space="0" w:color="auto"/>
            </w:tcBorders>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Almindelig </w:t>
            </w:r>
          </w:p>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Bradykardi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AV-blok af 1. grad (forlænget PQ-interval i ekg)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Ventrikulære ekstrasystoler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Atrieflimren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Palpitationer, supraventrikulære ekstrasystoler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Meget sjælden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AV-blok af 2. grad, AV-blok af 3. grad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Syg sinus-syndrom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Vaskulære sygdomme </w:t>
            </w:r>
          </w:p>
          <w:p w:rsidR="007712B7" w:rsidRDefault="007712B7" w:rsidP="00147DC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Ukontrolleret blodtryk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Hypotension, kan være forbundet med bradykardi </w:t>
            </w:r>
          </w:p>
        </w:tc>
      </w:tr>
      <w:tr w:rsidR="007712B7" w:rsidTr="00147DC0">
        <w:tc>
          <w:tcPr>
            <w:tcW w:w="1897"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Luftveje, thorax og mediastinum </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Dyspnø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Mave-tarm-kanalen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Kvalme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Obstipation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Diarré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Mavesmerter*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Hud og subkutane væv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Angioødem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Udslæt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Sjælden*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Erytem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Pruritus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Urticaria </w:t>
            </w:r>
          </w:p>
        </w:tc>
      </w:tr>
      <w:tr w:rsidR="007712B7" w:rsidTr="00147DC0">
        <w:tc>
          <w:tcPr>
            <w:tcW w:w="1897"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Knogler, led, muskler og bindevæv </w:t>
            </w: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Muskelkramper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Almene symptomer og reaktioner på administrationsstedet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Asteni, kan være forbundet med bradykardi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Træthed, kan være forbundet med bradykardi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Sjælden* </w:t>
            </w: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Utilpashed, kan være forbundet med bradykardi </w:t>
            </w:r>
          </w:p>
        </w:tc>
      </w:tr>
      <w:tr w:rsidR="007712B7" w:rsidTr="00147DC0">
        <w:tc>
          <w:tcPr>
            <w:tcW w:w="1897" w:type="pct"/>
            <w:vMerge w:val="restart"/>
            <w:tcBorders>
              <w:top w:val="single" w:sz="4" w:space="0" w:color="auto"/>
              <w:left w:val="single" w:sz="4" w:space="0" w:color="auto"/>
              <w:bottom w:val="single" w:sz="4" w:space="0" w:color="auto"/>
              <w:right w:val="single" w:sz="4" w:space="0" w:color="auto"/>
            </w:tcBorders>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Undersøgelser </w:t>
            </w:r>
          </w:p>
          <w:p w:rsidR="007712B7" w:rsidRDefault="007712B7" w:rsidP="00147DC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Ikke almindelig </w:t>
            </w:r>
          </w:p>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Forhøjet kreatinin i blodet </w:t>
            </w:r>
          </w:p>
        </w:tc>
      </w:tr>
      <w:tr w:rsidR="007712B7" w:rsidTr="00147DC0">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2B7" w:rsidRDefault="007712B7" w:rsidP="00147DC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Forlænget QT-interval i ekg </w:t>
            </w:r>
          </w:p>
        </w:tc>
      </w:tr>
    </w:tbl>
    <w:p w:rsidR="007712B7" w:rsidRDefault="007712B7" w:rsidP="007712B7">
      <w:pPr>
        <w:pStyle w:val="Default"/>
        <w:ind w:left="851" w:hanging="851"/>
        <w:rPr>
          <w:lang w:val="da-DK"/>
        </w:rPr>
      </w:pPr>
      <w:r>
        <w:rPr>
          <w:lang w:val="da-DK"/>
        </w:rPr>
        <w:t xml:space="preserve">* Hyppighed for spontant indberettede bivirkninger beregnet på grundlag af kliniske forsøg </w:t>
      </w:r>
    </w:p>
    <w:p w:rsidR="007712B7" w:rsidRDefault="007712B7" w:rsidP="007712B7">
      <w:pPr>
        <w:rPr>
          <w:sz w:val="24"/>
          <w:szCs w:val="24"/>
          <w:u w:val="single"/>
        </w:rPr>
      </w:pPr>
      <w:r>
        <w:rPr>
          <w:sz w:val="24"/>
          <w:szCs w:val="24"/>
          <w:u w:val="single"/>
        </w:rPr>
        <w:br w:type="page"/>
      </w:r>
    </w:p>
    <w:p w:rsidR="007712B7" w:rsidRDefault="007712B7" w:rsidP="007712B7">
      <w:pPr>
        <w:ind w:left="851" w:hanging="851"/>
        <w:rPr>
          <w:sz w:val="24"/>
          <w:szCs w:val="24"/>
          <w:u w:val="single"/>
        </w:rPr>
      </w:pPr>
    </w:p>
    <w:p w:rsidR="007712B7" w:rsidRDefault="007712B7" w:rsidP="007712B7">
      <w:pPr>
        <w:pStyle w:val="Default"/>
        <w:ind w:left="851"/>
        <w:rPr>
          <w:lang w:val="da-DK"/>
        </w:rPr>
      </w:pPr>
      <w:r>
        <w:rPr>
          <w:u w:val="single"/>
          <w:lang w:val="da-DK"/>
        </w:rPr>
        <w:t xml:space="preserve">Beskrivelse af udvalgte bivirkninger </w:t>
      </w:r>
    </w:p>
    <w:p w:rsidR="007712B7" w:rsidRDefault="007712B7" w:rsidP="007712B7">
      <w:pPr>
        <w:pStyle w:val="Default"/>
        <w:ind w:left="851"/>
        <w:rPr>
          <w:lang w:val="da-DK"/>
        </w:rPr>
      </w:pPr>
      <w:r>
        <w:rPr>
          <w:lang w:val="da-DK"/>
        </w:rPr>
        <w:t>Lysfænomener (</w:t>
      </w:r>
      <w:proofErr w:type="spellStart"/>
      <w:r>
        <w:rPr>
          <w:lang w:val="da-DK"/>
        </w:rPr>
        <w:t>fosfener</w:t>
      </w:r>
      <w:proofErr w:type="spellEnd"/>
      <w:r>
        <w:rPr>
          <w:lang w:val="da-DK"/>
        </w:rPr>
        <w:t xml:space="preserve">) rapporteredes af 14,5 % af patienterne, som beskrev dem som et forbigående lysglimt i en begrænset del af synsfeltet. De udløses normalt af pludselige variationer i lysintensiteten. </w:t>
      </w:r>
      <w:proofErr w:type="spellStart"/>
      <w:r>
        <w:rPr>
          <w:lang w:val="da-DK"/>
        </w:rPr>
        <w:t>Fosfener</w:t>
      </w:r>
      <w:proofErr w:type="spellEnd"/>
      <w:r>
        <w:rPr>
          <w:lang w:val="da-DK"/>
        </w:rPr>
        <w:t xml:space="preserve"> kan også beskrives som en ring, billeddekomposition (stroboskopiske eller </w:t>
      </w:r>
      <w:proofErr w:type="spellStart"/>
      <w:r>
        <w:rPr>
          <w:lang w:val="da-DK"/>
        </w:rPr>
        <w:t>kaleidoskopiske</w:t>
      </w:r>
      <w:proofErr w:type="spellEnd"/>
      <w:r>
        <w:rPr>
          <w:lang w:val="da-DK"/>
        </w:rPr>
        <w:t xml:space="preserve"> effekter), farvet, stærkt lys eller multipel billeddannelse (</w:t>
      </w:r>
      <w:proofErr w:type="spellStart"/>
      <w:r>
        <w:rPr>
          <w:lang w:val="da-DK"/>
        </w:rPr>
        <w:t>retinal</w:t>
      </w:r>
      <w:proofErr w:type="spellEnd"/>
      <w:r>
        <w:rPr>
          <w:lang w:val="da-DK"/>
        </w:rPr>
        <w:t xml:space="preserve"> </w:t>
      </w:r>
      <w:proofErr w:type="spellStart"/>
      <w:r>
        <w:rPr>
          <w:lang w:val="da-DK"/>
        </w:rPr>
        <w:t>persistens</w:t>
      </w:r>
      <w:proofErr w:type="spellEnd"/>
      <w:r>
        <w:rPr>
          <w:lang w:val="da-DK"/>
        </w:rPr>
        <w:t xml:space="preserve">). </w:t>
      </w:r>
    </w:p>
    <w:p w:rsidR="007712B7" w:rsidRDefault="007712B7" w:rsidP="007712B7">
      <w:pPr>
        <w:ind w:left="851"/>
        <w:rPr>
          <w:color w:val="000000"/>
          <w:sz w:val="24"/>
          <w:szCs w:val="24"/>
        </w:rPr>
      </w:pPr>
      <w:proofErr w:type="spellStart"/>
      <w:r>
        <w:rPr>
          <w:color w:val="000000"/>
          <w:sz w:val="24"/>
          <w:szCs w:val="24"/>
        </w:rPr>
        <w:t>Fosfener</w:t>
      </w:r>
      <w:proofErr w:type="spellEnd"/>
      <w:r>
        <w:rPr>
          <w:color w:val="000000"/>
          <w:sz w:val="24"/>
          <w:szCs w:val="24"/>
        </w:rPr>
        <w:t xml:space="preserve"> opstår generelt inden for de første to behandlingsmåneder, hvorefter de kan optræde gentagne gange. </w:t>
      </w:r>
      <w:proofErr w:type="spellStart"/>
      <w:r>
        <w:rPr>
          <w:color w:val="000000"/>
          <w:sz w:val="24"/>
          <w:szCs w:val="24"/>
        </w:rPr>
        <w:t>Fosfener</w:t>
      </w:r>
      <w:proofErr w:type="spellEnd"/>
      <w:r>
        <w:rPr>
          <w:color w:val="000000"/>
          <w:sz w:val="24"/>
          <w:szCs w:val="24"/>
        </w:rPr>
        <w:t xml:space="preserve"> rapporteredes normalt som lette eller moderate i intensitet. Alle </w:t>
      </w:r>
      <w:proofErr w:type="spellStart"/>
      <w:r>
        <w:rPr>
          <w:color w:val="000000"/>
          <w:sz w:val="24"/>
          <w:szCs w:val="24"/>
        </w:rPr>
        <w:t>fosfener</w:t>
      </w:r>
      <w:proofErr w:type="spellEnd"/>
      <w:r>
        <w:rPr>
          <w:color w:val="000000"/>
          <w:sz w:val="24"/>
          <w:szCs w:val="24"/>
        </w:rPr>
        <w:t xml:space="preserve"> forsvandt under eller efter behandlingen, de fleste (77,5 %) under behandlingen. Færre end 1 % af patienterne måtte ændre deres daglige rutine eller stoppe behandlingen på grund af </w:t>
      </w:r>
      <w:proofErr w:type="spellStart"/>
      <w:r>
        <w:rPr>
          <w:color w:val="000000"/>
          <w:sz w:val="24"/>
          <w:szCs w:val="24"/>
        </w:rPr>
        <w:t>fosfener</w:t>
      </w:r>
      <w:proofErr w:type="spellEnd"/>
      <w:r>
        <w:rPr>
          <w:color w:val="000000"/>
          <w:sz w:val="24"/>
          <w:szCs w:val="24"/>
        </w:rPr>
        <w:t>.</w:t>
      </w:r>
    </w:p>
    <w:p w:rsidR="007712B7" w:rsidRDefault="007712B7" w:rsidP="007712B7">
      <w:pPr>
        <w:pStyle w:val="Default"/>
        <w:ind w:left="851"/>
        <w:rPr>
          <w:lang w:val="da-DK"/>
        </w:rPr>
      </w:pPr>
      <w:r>
        <w:rPr>
          <w:lang w:val="da-DK"/>
        </w:rPr>
        <w:t xml:space="preserve">Bradykardi rapporteredes af 3,3 % af patienterne, specielt inden for de første to til tre måneders behandling. 0,5 % af patienterne fik svær bradykardi under eller svarende til 40 slag/minut. </w:t>
      </w:r>
    </w:p>
    <w:p w:rsidR="007712B7" w:rsidRDefault="007712B7" w:rsidP="007712B7">
      <w:pPr>
        <w:pStyle w:val="Default"/>
        <w:ind w:left="851"/>
        <w:rPr>
          <w:lang w:val="da-DK"/>
        </w:rPr>
      </w:pPr>
    </w:p>
    <w:p w:rsidR="007712B7" w:rsidRDefault="007712B7" w:rsidP="007712B7">
      <w:pPr>
        <w:pStyle w:val="Default"/>
        <w:ind w:left="851"/>
        <w:rPr>
          <w:lang w:val="da-DK"/>
        </w:rPr>
      </w:pPr>
      <w:r>
        <w:rPr>
          <w:lang w:val="da-DK"/>
        </w:rPr>
        <w:t xml:space="preserve">I SIGNIFY-studiet blev der observeret atrieflimren hos 5,3 % af de patienter, der tog </w:t>
      </w:r>
      <w:proofErr w:type="spellStart"/>
      <w:r>
        <w:rPr>
          <w:lang w:val="da-DK"/>
        </w:rPr>
        <w:t>ivabradin</w:t>
      </w:r>
      <w:proofErr w:type="spellEnd"/>
      <w:r>
        <w:rPr>
          <w:lang w:val="da-DK"/>
        </w:rPr>
        <w:t xml:space="preserve"> sammenlignet med 3,8 % i placebogruppen. I en </w:t>
      </w:r>
      <w:proofErr w:type="spellStart"/>
      <w:r>
        <w:rPr>
          <w:lang w:val="da-DK"/>
        </w:rPr>
        <w:t>puljet</w:t>
      </w:r>
      <w:proofErr w:type="spellEnd"/>
      <w:r>
        <w:rPr>
          <w:lang w:val="da-DK"/>
        </w:rPr>
        <w:t xml:space="preserve"> analyse af alle fase II/III-dobbeltblindede kontrollerede kliniske studier med en varighed på mindst 3 måneder, der inkluderede flere end 40.000 patienter, var </w:t>
      </w:r>
      <w:proofErr w:type="spellStart"/>
      <w:r>
        <w:rPr>
          <w:lang w:val="da-DK"/>
        </w:rPr>
        <w:t>incidensen</w:t>
      </w:r>
      <w:proofErr w:type="spellEnd"/>
      <w:r>
        <w:rPr>
          <w:lang w:val="da-DK"/>
        </w:rPr>
        <w:t xml:space="preserve"> af atrieflimren 4,86 % hos </w:t>
      </w:r>
      <w:proofErr w:type="spellStart"/>
      <w:r>
        <w:rPr>
          <w:lang w:val="da-DK"/>
        </w:rPr>
        <w:t>ivabradinbehandlede</w:t>
      </w:r>
      <w:proofErr w:type="spellEnd"/>
      <w:r>
        <w:rPr>
          <w:lang w:val="da-DK"/>
        </w:rPr>
        <w:t xml:space="preserve"> patienter sammenlignet med 4,08 % i kontrolgruppen, svarende til en </w:t>
      </w:r>
      <w:proofErr w:type="spellStart"/>
      <w:r>
        <w:rPr>
          <w:i/>
          <w:iCs/>
          <w:lang w:val="da-DK"/>
        </w:rPr>
        <w:t>hazard</w:t>
      </w:r>
      <w:proofErr w:type="spellEnd"/>
      <w:r>
        <w:rPr>
          <w:i/>
          <w:iCs/>
          <w:lang w:val="da-DK"/>
        </w:rPr>
        <w:t xml:space="preserve"> ratio </w:t>
      </w:r>
      <w:r>
        <w:rPr>
          <w:lang w:val="da-DK"/>
        </w:rPr>
        <w:t xml:space="preserve">på 1,26, 95 % KI [1,15;1,39]. </w:t>
      </w:r>
    </w:p>
    <w:p w:rsidR="007712B7" w:rsidRDefault="007712B7" w:rsidP="007712B7">
      <w:pPr>
        <w:pStyle w:val="Default"/>
        <w:ind w:left="851" w:hanging="851"/>
        <w:rPr>
          <w:u w:val="single"/>
          <w:lang w:val="da-DK"/>
        </w:rPr>
      </w:pPr>
    </w:p>
    <w:p w:rsidR="007712B7" w:rsidRDefault="007712B7" w:rsidP="007712B7">
      <w:pPr>
        <w:autoSpaceDE w:val="0"/>
        <w:autoSpaceDN w:val="0"/>
        <w:ind w:left="851"/>
        <w:rPr>
          <w:sz w:val="24"/>
          <w:szCs w:val="24"/>
          <w:u w:val="single"/>
        </w:rPr>
      </w:pPr>
      <w:r>
        <w:rPr>
          <w:sz w:val="24"/>
          <w:szCs w:val="24"/>
          <w:u w:val="single"/>
        </w:rPr>
        <w:t>Indberetning af formodede bivirkninger</w:t>
      </w:r>
    </w:p>
    <w:p w:rsidR="007712B7" w:rsidRDefault="007712B7" w:rsidP="007712B7">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006DA3">
        <w:rPr>
          <w:sz w:val="24"/>
          <w:szCs w:val="24"/>
        </w:rPr>
        <w:t xml:space="preserve">Sundhedspersoner </w:t>
      </w:r>
      <w:r>
        <w:rPr>
          <w:sz w:val="24"/>
          <w:szCs w:val="24"/>
        </w:rPr>
        <w:t>anmodes om at indberette alle formodede bivirkninger via:</w:t>
      </w:r>
    </w:p>
    <w:p w:rsidR="007712B7" w:rsidRDefault="007712B7" w:rsidP="007712B7">
      <w:pPr>
        <w:tabs>
          <w:tab w:val="left" w:pos="2440"/>
        </w:tabs>
        <w:ind w:left="851"/>
        <w:rPr>
          <w:sz w:val="24"/>
          <w:szCs w:val="24"/>
        </w:rPr>
      </w:pPr>
    </w:p>
    <w:p w:rsidR="007712B7" w:rsidRDefault="007712B7" w:rsidP="007712B7">
      <w:pPr>
        <w:ind w:left="851"/>
        <w:rPr>
          <w:sz w:val="24"/>
          <w:szCs w:val="24"/>
        </w:rPr>
      </w:pPr>
      <w:r>
        <w:rPr>
          <w:sz w:val="24"/>
          <w:szCs w:val="24"/>
        </w:rPr>
        <w:t>Lægemiddelstyrelsen</w:t>
      </w:r>
    </w:p>
    <w:p w:rsidR="007712B7" w:rsidRDefault="007712B7" w:rsidP="007712B7">
      <w:pPr>
        <w:ind w:left="851"/>
        <w:rPr>
          <w:sz w:val="24"/>
          <w:szCs w:val="24"/>
        </w:rPr>
      </w:pPr>
      <w:r>
        <w:rPr>
          <w:sz w:val="24"/>
          <w:szCs w:val="24"/>
        </w:rPr>
        <w:t>Axel Heides Gade 1</w:t>
      </w:r>
    </w:p>
    <w:p w:rsidR="007712B7" w:rsidRDefault="007712B7" w:rsidP="007712B7">
      <w:pPr>
        <w:ind w:left="851"/>
        <w:rPr>
          <w:sz w:val="24"/>
          <w:szCs w:val="24"/>
        </w:rPr>
      </w:pPr>
      <w:r>
        <w:rPr>
          <w:sz w:val="24"/>
          <w:szCs w:val="24"/>
        </w:rPr>
        <w:t>DK-2300 København S</w:t>
      </w:r>
    </w:p>
    <w:p w:rsidR="007712B7" w:rsidRPr="00D94B6B" w:rsidRDefault="007712B7" w:rsidP="007712B7">
      <w:pPr>
        <w:ind w:left="851"/>
        <w:rPr>
          <w:sz w:val="24"/>
          <w:szCs w:val="24"/>
        </w:rPr>
      </w:pPr>
      <w:r w:rsidRPr="00D94B6B">
        <w:rPr>
          <w:sz w:val="24"/>
          <w:szCs w:val="24"/>
        </w:rPr>
        <w:t>Websted: www.meldenbivirkning.dk</w:t>
      </w:r>
    </w:p>
    <w:p w:rsidR="007712B7" w:rsidRPr="00D94B6B" w:rsidRDefault="007712B7" w:rsidP="007712B7">
      <w:pPr>
        <w:pStyle w:val="Sidehoved"/>
        <w:tabs>
          <w:tab w:val="left" w:pos="1304"/>
        </w:tabs>
        <w:ind w:left="851" w:hanging="851"/>
        <w:rPr>
          <w:szCs w:val="24"/>
        </w:rPr>
      </w:pPr>
    </w:p>
    <w:p w:rsidR="007712B7" w:rsidRDefault="007712B7" w:rsidP="007712B7">
      <w:pPr>
        <w:ind w:left="851" w:hanging="851"/>
        <w:rPr>
          <w:b/>
          <w:sz w:val="24"/>
          <w:szCs w:val="24"/>
        </w:rPr>
      </w:pPr>
      <w:r>
        <w:rPr>
          <w:b/>
          <w:sz w:val="24"/>
          <w:szCs w:val="24"/>
        </w:rPr>
        <w:t>4.9</w:t>
      </w:r>
      <w:r>
        <w:rPr>
          <w:b/>
          <w:sz w:val="24"/>
          <w:szCs w:val="24"/>
        </w:rPr>
        <w:tab/>
        <w:t>Overdosering</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Symptomer </w:t>
      </w:r>
    </w:p>
    <w:p w:rsidR="007712B7" w:rsidRDefault="007712B7" w:rsidP="007712B7">
      <w:pPr>
        <w:pStyle w:val="Default"/>
        <w:ind w:left="851"/>
        <w:rPr>
          <w:lang w:val="da-DK"/>
        </w:rPr>
      </w:pPr>
      <w:r>
        <w:rPr>
          <w:lang w:val="da-DK"/>
        </w:rPr>
        <w:t xml:space="preserve">Overdosering kan medføre svær og forlænget bradykardi (se pkt. 4.8).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Behandling </w:t>
      </w:r>
    </w:p>
    <w:p w:rsidR="007712B7" w:rsidRDefault="007712B7" w:rsidP="007712B7">
      <w:pPr>
        <w:pStyle w:val="Default"/>
        <w:ind w:left="851"/>
        <w:rPr>
          <w:lang w:val="da-DK"/>
        </w:rPr>
      </w:pPr>
      <w:r>
        <w:rPr>
          <w:lang w:val="da-DK"/>
        </w:rPr>
        <w:t xml:space="preserve">Svær bradykardi skal behandles symptomatisk i en specialafdeling. Hvis der optræder bradykardi med dårlig </w:t>
      </w:r>
      <w:proofErr w:type="spellStart"/>
      <w:r>
        <w:rPr>
          <w:lang w:val="da-DK"/>
        </w:rPr>
        <w:t>hæmodynamisk</w:t>
      </w:r>
      <w:proofErr w:type="spellEnd"/>
      <w:r>
        <w:rPr>
          <w:lang w:val="da-DK"/>
        </w:rPr>
        <w:t xml:space="preserve"> tolerans, kan symptomatisk behandling, inklusive intravenøs behandling med β-stimulerende lægemidler som f.eks. </w:t>
      </w:r>
      <w:proofErr w:type="spellStart"/>
      <w:r>
        <w:rPr>
          <w:lang w:val="da-DK"/>
        </w:rPr>
        <w:t>isoprenalin</w:t>
      </w:r>
      <w:proofErr w:type="spellEnd"/>
      <w:r>
        <w:rPr>
          <w:lang w:val="da-DK"/>
        </w:rPr>
        <w:t xml:space="preserve">, overvejes. Midlertidig kardial elektrisk </w:t>
      </w:r>
      <w:proofErr w:type="spellStart"/>
      <w:r>
        <w:rPr>
          <w:lang w:val="da-DK"/>
        </w:rPr>
        <w:t>pacing</w:t>
      </w:r>
      <w:proofErr w:type="spellEnd"/>
      <w:r>
        <w:rPr>
          <w:lang w:val="da-DK"/>
        </w:rPr>
        <w:t xml:space="preserve"> kan om nødvendigt igangsættes. </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4.10</w:t>
      </w:r>
      <w:r>
        <w:rPr>
          <w:b/>
          <w:sz w:val="24"/>
          <w:szCs w:val="24"/>
        </w:rPr>
        <w:tab/>
        <w:t>Udlevering</w:t>
      </w:r>
    </w:p>
    <w:p w:rsidR="007712B7" w:rsidRDefault="007712B7" w:rsidP="007712B7">
      <w:pPr>
        <w:ind w:left="851"/>
        <w:rPr>
          <w:sz w:val="24"/>
          <w:szCs w:val="24"/>
        </w:rPr>
      </w:pPr>
      <w:r>
        <w:rPr>
          <w:sz w:val="24"/>
          <w:szCs w:val="24"/>
        </w:rPr>
        <w:t>B</w:t>
      </w:r>
    </w:p>
    <w:p w:rsidR="007712B7" w:rsidRDefault="007712B7" w:rsidP="007712B7">
      <w:pPr>
        <w:rPr>
          <w:sz w:val="24"/>
          <w:szCs w:val="24"/>
        </w:rPr>
      </w:pPr>
    </w:p>
    <w:p w:rsidR="00A32D93" w:rsidRDefault="00A32D93">
      <w:pPr>
        <w:rPr>
          <w:sz w:val="24"/>
          <w:szCs w:val="24"/>
        </w:rPr>
      </w:pPr>
      <w:r>
        <w:rPr>
          <w:sz w:val="24"/>
          <w:szCs w:val="24"/>
        </w:rPr>
        <w:br w:type="page"/>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5.</w:t>
      </w:r>
      <w:r>
        <w:rPr>
          <w:b/>
          <w:sz w:val="24"/>
          <w:szCs w:val="24"/>
        </w:rPr>
        <w:tab/>
        <w:t>FARMAKOLOGISKE EGENSKABER</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5.0</w:t>
      </w:r>
      <w:r>
        <w:rPr>
          <w:b/>
          <w:sz w:val="24"/>
          <w:szCs w:val="24"/>
        </w:rPr>
        <w:tab/>
        <w:t>Terapeutisk klassifikation</w:t>
      </w:r>
    </w:p>
    <w:p w:rsidR="007712B7" w:rsidRDefault="007712B7" w:rsidP="007712B7">
      <w:pPr>
        <w:pStyle w:val="Default"/>
        <w:ind w:left="851"/>
        <w:rPr>
          <w:lang w:val="da-DK"/>
        </w:rPr>
      </w:pPr>
      <w:r>
        <w:rPr>
          <w:lang w:val="da-DK"/>
        </w:rPr>
        <w:t>ATC-kode: C 01 EB 17. Hjerteterapi, andre hjertemidler.</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Virkningsmekanisme </w:t>
      </w:r>
    </w:p>
    <w:p w:rsidR="007712B7" w:rsidRDefault="007712B7" w:rsidP="007712B7">
      <w:pPr>
        <w:pStyle w:val="Default"/>
        <w:ind w:left="851"/>
        <w:rPr>
          <w:lang w:val="da-DK"/>
        </w:rPr>
      </w:pPr>
      <w:proofErr w:type="spellStart"/>
      <w:r>
        <w:rPr>
          <w:lang w:val="da-DK"/>
        </w:rPr>
        <w:t>Ivabradin</w:t>
      </w:r>
      <w:proofErr w:type="spellEnd"/>
      <w:r>
        <w:rPr>
          <w:lang w:val="da-DK"/>
        </w:rPr>
        <w:t xml:space="preserve"> er et rent hjertefrekvenssænkende stof, som virker ved selektiv og specifik hæmning af den kardiale pacemaker </w:t>
      </w:r>
      <w:r>
        <w:rPr>
          <w:i/>
          <w:iCs/>
          <w:lang w:val="da-DK"/>
        </w:rPr>
        <w:t>I</w:t>
      </w:r>
      <w:r>
        <w:rPr>
          <w:i/>
          <w:iCs/>
          <w:vertAlign w:val="subscript"/>
          <w:lang w:val="da-DK"/>
        </w:rPr>
        <w:t>f</w:t>
      </w:r>
      <w:r>
        <w:rPr>
          <w:position w:val="-8"/>
          <w:vertAlign w:val="subscript"/>
          <w:lang w:val="da-DK"/>
        </w:rPr>
        <w:t xml:space="preserve"> </w:t>
      </w:r>
      <w:r>
        <w:rPr>
          <w:lang w:val="da-DK"/>
        </w:rPr>
        <w:t xml:space="preserve">jonkanalstrøm, som kontrollerer den spontane, diastoliske depolarisering i sinusknuden og regulerer hjertefrekvensen. De kardiale virkninger er specifikke for sinusknuden og uden effekt på hverken de </w:t>
      </w:r>
      <w:proofErr w:type="spellStart"/>
      <w:r>
        <w:rPr>
          <w:lang w:val="da-DK"/>
        </w:rPr>
        <w:t>intra-atriale</w:t>
      </w:r>
      <w:proofErr w:type="spellEnd"/>
      <w:r>
        <w:rPr>
          <w:lang w:val="da-DK"/>
        </w:rPr>
        <w:t xml:space="preserve">, </w:t>
      </w:r>
      <w:proofErr w:type="spellStart"/>
      <w:r>
        <w:rPr>
          <w:lang w:val="da-DK"/>
        </w:rPr>
        <w:t>atrioventrikulære</w:t>
      </w:r>
      <w:proofErr w:type="spellEnd"/>
      <w:r>
        <w:rPr>
          <w:lang w:val="da-DK"/>
        </w:rPr>
        <w:t xml:space="preserve"> eller </w:t>
      </w:r>
      <w:proofErr w:type="spellStart"/>
      <w:r>
        <w:rPr>
          <w:lang w:val="da-DK"/>
        </w:rPr>
        <w:t>intraventrikulære</w:t>
      </w:r>
      <w:proofErr w:type="spellEnd"/>
      <w:r>
        <w:rPr>
          <w:lang w:val="da-DK"/>
        </w:rPr>
        <w:t xml:space="preserve"> overledningstider eller på den </w:t>
      </w:r>
      <w:proofErr w:type="spellStart"/>
      <w:r>
        <w:rPr>
          <w:lang w:val="da-DK"/>
        </w:rPr>
        <w:t>myokardiale</w:t>
      </w:r>
      <w:proofErr w:type="spellEnd"/>
      <w:r>
        <w:rPr>
          <w:lang w:val="da-DK"/>
        </w:rPr>
        <w:t xml:space="preserve"> </w:t>
      </w:r>
      <w:proofErr w:type="spellStart"/>
      <w:r>
        <w:rPr>
          <w:lang w:val="da-DK"/>
        </w:rPr>
        <w:t>kontraktilitet</w:t>
      </w:r>
      <w:proofErr w:type="spellEnd"/>
      <w:r>
        <w:rPr>
          <w:lang w:val="da-DK"/>
        </w:rPr>
        <w:t xml:space="preserve"> eller den </w:t>
      </w:r>
      <w:proofErr w:type="spellStart"/>
      <w:r>
        <w:rPr>
          <w:lang w:val="da-DK"/>
        </w:rPr>
        <w:t>ventrikulære</w:t>
      </w:r>
      <w:proofErr w:type="spellEnd"/>
      <w:r>
        <w:rPr>
          <w:lang w:val="da-DK"/>
        </w:rPr>
        <w:t xml:space="preserve"> </w:t>
      </w:r>
      <w:proofErr w:type="spellStart"/>
      <w:r>
        <w:rPr>
          <w:lang w:val="da-DK"/>
        </w:rPr>
        <w:t>repolarisering</w:t>
      </w:r>
      <w:proofErr w:type="spellEnd"/>
      <w:r>
        <w:rPr>
          <w:lang w:val="da-DK"/>
        </w:rPr>
        <w:t xml:space="preserve">. </w:t>
      </w:r>
    </w:p>
    <w:p w:rsidR="007712B7" w:rsidRDefault="007712B7" w:rsidP="007712B7">
      <w:pPr>
        <w:pStyle w:val="Default"/>
        <w:ind w:left="851"/>
        <w:rPr>
          <w:lang w:val="da-DK"/>
        </w:rPr>
      </w:pPr>
      <w:proofErr w:type="spellStart"/>
      <w:r>
        <w:rPr>
          <w:lang w:val="da-DK"/>
        </w:rPr>
        <w:t>Ivabradin</w:t>
      </w:r>
      <w:proofErr w:type="spellEnd"/>
      <w:r>
        <w:rPr>
          <w:lang w:val="da-DK"/>
        </w:rPr>
        <w:t xml:space="preserve"> kan interagere med den </w:t>
      </w:r>
      <w:proofErr w:type="spellStart"/>
      <w:r>
        <w:rPr>
          <w:lang w:val="da-DK"/>
        </w:rPr>
        <w:t>retinale</w:t>
      </w:r>
      <w:proofErr w:type="spellEnd"/>
      <w:r>
        <w:rPr>
          <w:lang w:val="da-DK"/>
        </w:rPr>
        <w:t xml:space="preserve"> jonkanalstrøm </w:t>
      </w:r>
      <w:r>
        <w:rPr>
          <w:i/>
          <w:iCs/>
          <w:lang w:val="da-DK"/>
        </w:rPr>
        <w:t>I</w:t>
      </w:r>
      <w:r>
        <w:rPr>
          <w:i/>
          <w:iCs/>
          <w:vertAlign w:val="subscript"/>
          <w:lang w:val="da-DK"/>
        </w:rPr>
        <w:t>h</w:t>
      </w:r>
      <w:r>
        <w:rPr>
          <w:lang w:val="da-DK"/>
        </w:rPr>
        <w:t xml:space="preserve">, som ligner den kardiale </w:t>
      </w:r>
      <w:r>
        <w:rPr>
          <w:i/>
          <w:iCs/>
          <w:lang w:val="da-DK"/>
        </w:rPr>
        <w:t>I</w:t>
      </w:r>
      <w:r>
        <w:rPr>
          <w:i/>
          <w:iCs/>
          <w:vertAlign w:val="subscript"/>
          <w:lang w:val="da-DK"/>
        </w:rPr>
        <w:t>f</w:t>
      </w:r>
      <w:r>
        <w:rPr>
          <w:i/>
          <w:iCs/>
          <w:lang w:val="da-DK"/>
        </w:rPr>
        <w:t xml:space="preserve"> </w:t>
      </w:r>
      <w:r>
        <w:rPr>
          <w:lang w:val="da-DK"/>
        </w:rPr>
        <w:t xml:space="preserve">meget. Den deltager i den temporale opløsningsevne af det visuelle system ved at forkorte det </w:t>
      </w:r>
      <w:proofErr w:type="spellStart"/>
      <w:r>
        <w:rPr>
          <w:lang w:val="da-DK"/>
        </w:rPr>
        <w:t>retinale</w:t>
      </w:r>
      <w:proofErr w:type="spellEnd"/>
      <w:r>
        <w:rPr>
          <w:lang w:val="da-DK"/>
        </w:rPr>
        <w:t xml:space="preserve"> respons på klare lysstimuli. Ved </w:t>
      </w:r>
      <w:proofErr w:type="spellStart"/>
      <w:r>
        <w:rPr>
          <w:lang w:val="da-DK"/>
        </w:rPr>
        <w:t>trigning</w:t>
      </w:r>
      <w:proofErr w:type="spellEnd"/>
      <w:r>
        <w:rPr>
          <w:lang w:val="da-DK"/>
        </w:rPr>
        <w:t xml:space="preserve"> (f.eks. hurtig ændring i lysstyrken), skyldes de lysfænomener, som lejlighedsvis opleves af patienterne, </w:t>
      </w:r>
      <w:proofErr w:type="spellStart"/>
      <w:r>
        <w:rPr>
          <w:lang w:val="da-DK"/>
        </w:rPr>
        <w:t>ivabradins</w:t>
      </w:r>
      <w:proofErr w:type="spellEnd"/>
      <w:r>
        <w:rPr>
          <w:lang w:val="da-DK"/>
        </w:rPr>
        <w:t xml:space="preserve"> partielle hæmning af </w:t>
      </w:r>
      <w:r>
        <w:rPr>
          <w:i/>
          <w:iCs/>
          <w:lang w:val="da-DK"/>
        </w:rPr>
        <w:t>I</w:t>
      </w:r>
      <w:r>
        <w:rPr>
          <w:i/>
          <w:iCs/>
          <w:vertAlign w:val="subscript"/>
          <w:lang w:val="da-DK"/>
        </w:rPr>
        <w:t>h</w:t>
      </w:r>
      <w:r>
        <w:rPr>
          <w:lang w:val="da-DK"/>
        </w:rPr>
        <w:t>. Lysfænomenerne (</w:t>
      </w:r>
      <w:proofErr w:type="spellStart"/>
      <w:r>
        <w:rPr>
          <w:lang w:val="da-DK"/>
        </w:rPr>
        <w:t>fosfener</w:t>
      </w:r>
      <w:proofErr w:type="spellEnd"/>
      <w:r>
        <w:rPr>
          <w:lang w:val="da-DK"/>
        </w:rPr>
        <w:t xml:space="preserve">) beskrives som et forbigående lysglimt i en begrænset del af synsfeltet (se pkt. 4.8).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proofErr w:type="spellStart"/>
      <w:r>
        <w:rPr>
          <w:u w:val="single"/>
          <w:lang w:val="da-DK"/>
        </w:rPr>
        <w:t>Farmakodynamisk</w:t>
      </w:r>
      <w:proofErr w:type="spellEnd"/>
      <w:r>
        <w:rPr>
          <w:u w:val="single"/>
          <w:lang w:val="da-DK"/>
        </w:rPr>
        <w:t xml:space="preserve"> virkning </w:t>
      </w:r>
    </w:p>
    <w:p w:rsidR="007712B7" w:rsidRDefault="007712B7" w:rsidP="007712B7">
      <w:pPr>
        <w:pStyle w:val="Default"/>
        <w:ind w:left="851"/>
        <w:rPr>
          <w:lang w:val="da-DK"/>
        </w:rPr>
      </w:pPr>
      <w:r>
        <w:rPr>
          <w:lang w:val="da-DK"/>
        </w:rPr>
        <w:t xml:space="preserve">Den vigtigste </w:t>
      </w:r>
      <w:proofErr w:type="spellStart"/>
      <w:r>
        <w:rPr>
          <w:lang w:val="da-DK"/>
        </w:rPr>
        <w:t>farmakodynamiske</w:t>
      </w:r>
      <w:proofErr w:type="spellEnd"/>
      <w:r>
        <w:rPr>
          <w:lang w:val="da-DK"/>
        </w:rPr>
        <w:t xml:space="preserve"> egenskab af </w:t>
      </w:r>
      <w:proofErr w:type="spellStart"/>
      <w:r>
        <w:rPr>
          <w:lang w:val="da-DK"/>
        </w:rPr>
        <w:t>ivabradin</w:t>
      </w:r>
      <w:proofErr w:type="spellEnd"/>
      <w:r>
        <w:rPr>
          <w:lang w:val="da-DK"/>
        </w:rPr>
        <w:t xml:space="preserve"> hos mennesker er en specifik dosisafhængig reduktion af hjertefrekvensen. Analyser af hjertefrekvensreduktionen efter doser op til 20 mg to gange daglig tyder på en tendens til en plateaueffekt, som er konsistent med en nedsat risiko for svær bradykardi under 40 slag/min (se pkt. 4.8). </w:t>
      </w:r>
    </w:p>
    <w:p w:rsidR="007712B7" w:rsidRDefault="007712B7" w:rsidP="007712B7">
      <w:pPr>
        <w:pStyle w:val="Default"/>
        <w:ind w:left="851"/>
        <w:rPr>
          <w:lang w:val="da-DK"/>
        </w:rPr>
      </w:pPr>
      <w:r>
        <w:rPr>
          <w:lang w:val="da-DK"/>
        </w:rPr>
        <w:t xml:space="preserve">I de normalt anbefalede doser er reduktionen af hjertefrekvensen ca. 10 slag/min i hvile og under arbejde. Det medfører en reduktion i hjertets pumpearbejde og </w:t>
      </w:r>
      <w:proofErr w:type="spellStart"/>
      <w:r>
        <w:rPr>
          <w:lang w:val="da-DK"/>
        </w:rPr>
        <w:t>myokardiets</w:t>
      </w:r>
      <w:proofErr w:type="spellEnd"/>
      <w:r>
        <w:rPr>
          <w:lang w:val="da-DK"/>
        </w:rPr>
        <w:t xml:space="preserve"> iltforbrug. </w:t>
      </w:r>
      <w:proofErr w:type="spellStart"/>
      <w:r>
        <w:rPr>
          <w:lang w:val="da-DK"/>
        </w:rPr>
        <w:t>Ivabradin</w:t>
      </w:r>
      <w:proofErr w:type="spellEnd"/>
      <w:r>
        <w:rPr>
          <w:lang w:val="da-DK"/>
        </w:rPr>
        <w:t xml:space="preserve"> påvirker ikke den intrakardiale overledning, </w:t>
      </w:r>
      <w:proofErr w:type="spellStart"/>
      <w:r>
        <w:rPr>
          <w:lang w:val="da-DK"/>
        </w:rPr>
        <w:t>kontraktiliteten</w:t>
      </w:r>
      <w:proofErr w:type="spellEnd"/>
      <w:r>
        <w:rPr>
          <w:lang w:val="da-DK"/>
        </w:rPr>
        <w:t xml:space="preserve"> (ingen negativ inotrop effekt) eller den </w:t>
      </w:r>
      <w:proofErr w:type="spellStart"/>
      <w:r>
        <w:rPr>
          <w:lang w:val="da-DK"/>
        </w:rPr>
        <w:t>ventrikulære</w:t>
      </w:r>
      <w:proofErr w:type="spellEnd"/>
      <w:r>
        <w:rPr>
          <w:lang w:val="da-DK"/>
        </w:rPr>
        <w:t xml:space="preserve"> </w:t>
      </w:r>
      <w:proofErr w:type="spellStart"/>
      <w:r>
        <w:rPr>
          <w:lang w:val="da-DK"/>
        </w:rPr>
        <w:t>repolarisering</w:t>
      </w:r>
      <w:proofErr w:type="spellEnd"/>
      <w:r>
        <w:rPr>
          <w:lang w:val="da-DK"/>
        </w:rPr>
        <w:t xml:space="preserve">: </w:t>
      </w:r>
    </w:p>
    <w:p w:rsidR="007712B7" w:rsidRDefault="007712B7" w:rsidP="00A32D93">
      <w:pPr>
        <w:pStyle w:val="Default"/>
        <w:numPr>
          <w:ilvl w:val="0"/>
          <w:numId w:val="10"/>
        </w:numPr>
        <w:ind w:left="1134" w:hanging="283"/>
        <w:rPr>
          <w:lang w:val="da-DK"/>
        </w:rPr>
      </w:pPr>
      <w:r>
        <w:rPr>
          <w:lang w:val="da-DK"/>
        </w:rPr>
        <w:t xml:space="preserve">I kliniske elektrofysiologiske studier havde </w:t>
      </w:r>
      <w:proofErr w:type="spellStart"/>
      <w:r>
        <w:rPr>
          <w:lang w:val="da-DK"/>
        </w:rPr>
        <w:t>ivabradin</w:t>
      </w:r>
      <w:proofErr w:type="spellEnd"/>
      <w:r>
        <w:rPr>
          <w:lang w:val="da-DK"/>
        </w:rPr>
        <w:t xml:space="preserve"> ingen effekt på de </w:t>
      </w:r>
      <w:proofErr w:type="spellStart"/>
      <w:r>
        <w:rPr>
          <w:lang w:val="da-DK"/>
        </w:rPr>
        <w:t>atrioventrikulære</w:t>
      </w:r>
      <w:proofErr w:type="spellEnd"/>
      <w:r>
        <w:rPr>
          <w:lang w:val="da-DK"/>
        </w:rPr>
        <w:t xml:space="preserve"> eller </w:t>
      </w:r>
      <w:proofErr w:type="spellStart"/>
      <w:r>
        <w:rPr>
          <w:lang w:val="da-DK"/>
        </w:rPr>
        <w:t>intraventrikulære</w:t>
      </w:r>
      <w:proofErr w:type="spellEnd"/>
      <w:r>
        <w:rPr>
          <w:lang w:val="da-DK"/>
        </w:rPr>
        <w:t xml:space="preserve"> overledningstider eller de korrigerede QT-intervaller. </w:t>
      </w:r>
    </w:p>
    <w:p w:rsidR="007712B7" w:rsidRDefault="007712B7" w:rsidP="00A32D93">
      <w:pPr>
        <w:pStyle w:val="Default"/>
        <w:numPr>
          <w:ilvl w:val="0"/>
          <w:numId w:val="10"/>
        </w:numPr>
        <w:ind w:left="1134" w:hanging="283"/>
        <w:rPr>
          <w:lang w:val="da-DK"/>
        </w:rPr>
      </w:pPr>
      <w:r>
        <w:rPr>
          <w:lang w:val="da-DK"/>
        </w:rPr>
        <w:t xml:space="preserve">Hos patienter med dysfunktion af venstre ventrikel (venstre </w:t>
      </w:r>
      <w:proofErr w:type="spellStart"/>
      <w:r>
        <w:rPr>
          <w:lang w:val="da-DK"/>
        </w:rPr>
        <w:t>ventrikulære</w:t>
      </w:r>
      <w:proofErr w:type="spellEnd"/>
      <w:r>
        <w:rPr>
          <w:lang w:val="da-DK"/>
        </w:rPr>
        <w:t xml:space="preserve"> uddrivningsfraktion (LVEF) mellem 30 og 45 %) havde </w:t>
      </w:r>
      <w:proofErr w:type="spellStart"/>
      <w:r>
        <w:rPr>
          <w:lang w:val="da-DK"/>
        </w:rPr>
        <w:t>ivabradin</w:t>
      </w:r>
      <w:proofErr w:type="spellEnd"/>
      <w:r>
        <w:rPr>
          <w:lang w:val="da-DK"/>
        </w:rPr>
        <w:t xml:space="preserve"> ingen negativ indflydelse på LVEF. </w:t>
      </w:r>
    </w:p>
    <w:p w:rsidR="007712B7" w:rsidRDefault="007712B7" w:rsidP="007712B7">
      <w:pPr>
        <w:ind w:left="851" w:hanging="851"/>
        <w:rPr>
          <w:color w:val="000000"/>
          <w:sz w:val="24"/>
          <w:szCs w:val="24"/>
        </w:rPr>
      </w:pPr>
    </w:p>
    <w:p w:rsidR="007712B7" w:rsidRDefault="007712B7" w:rsidP="007712B7">
      <w:pPr>
        <w:pStyle w:val="Default"/>
        <w:ind w:left="851"/>
        <w:rPr>
          <w:lang w:val="da-DK"/>
        </w:rPr>
      </w:pPr>
      <w:r>
        <w:rPr>
          <w:u w:val="single"/>
          <w:lang w:val="da-DK"/>
        </w:rPr>
        <w:t xml:space="preserve">Klinisk virkning og sikkerhed </w:t>
      </w:r>
    </w:p>
    <w:p w:rsidR="007712B7" w:rsidRDefault="007712B7" w:rsidP="007712B7">
      <w:pPr>
        <w:pStyle w:val="Default"/>
        <w:ind w:left="851"/>
        <w:rPr>
          <w:lang w:val="da-DK"/>
        </w:rPr>
      </w:pPr>
      <w:r>
        <w:rPr>
          <w:lang w:val="da-DK"/>
        </w:rPr>
        <w:t xml:space="preserve">Virkningen af </w:t>
      </w:r>
      <w:proofErr w:type="spellStart"/>
      <w:r>
        <w:rPr>
          <w:lang w:val="da-DK"/>
        </w:rPr>
        <w:t>ivabradin</w:t>
      </w:r>
      <w:proofErr w:type="spellEnd"/>
      <w:r>
        <w:rPr>
          <w:lang w:val="da-DK"/>
        </w:rPr>
        <w:t xml:space="preserve"> på angina pectoris og iskæmi blev undersøgt i fem dobbeltblinde randomiserede studier (tre </w:t>
      </w:r>
      <w:r>
        <w:rPr>
          <w:i/>
          <w:iCs/>
          <w:lang w:val="da-DK"/>
        </w:rPr>
        <w:t xml:space="preserve">versus </w:t>
      </w:r>
      <w:r>
        <w:rPr>
          <w:lang w:val="da-DK"/>
        </w:rPr>
        <w:t xml:space="preserve">placebo og et </w:t>
      </w:r>
      <w:r>
        <w:rPr>
          <w:i/>
          <w:iCs/>
          <w:lang w:val="da-DK"/>
        </w:rPr>
        <w:t xml:space="preserve">versus </w:t>
      </w:r>
      <w:r>
        <w:rPr>
          <w:lang w:val="da-DK"/>
        </w:rPr>
        <w:t xml:space="preserve">hhv. </w:t>
      </w:r>
      <w:proofErr w:type="spellStart"/>
      <w:r>
        <w:rPr>
          <w:lang w:val="da-DK"/>
        </w:rPr>
        <w:t>atenolol</w:t>
      </w:r>
      <w:proofErr w:type="spellEnd"/>
      <w:r>
        <w:rPr>
          <w:lang w:val="da-DK"/>
        </w:rPr>
        <w:t xml:space="preserve"> og </w:t>
      </w:r>
      <w:proofErr w:type="spellStart"/>
      <w:r>
        <w:rPr>
          <w:lang w:val="da-DK"/>
        </w:rPr>
        <w:t>amlodipin</w:t>
      </w:r>
      <w:proofErr w:type="spellEnd"/>
      <w:r>
        <w:rPr>
          <w:lang w:val="da-DK"/>
        </w:rPr>
        <w:t xml:space="preserve">). Studierne inkluderede 4.111 patienter med kronisk stabil angina pectoris, hvoraf 2.617 fik </w:t>
      </w:r>
      <w:proofErr w:type="spellStart"/>
      <w:r>
        <w:rPr>
          <w:lang w:val="da-DK"/>
        </w:rPr>
        <w:t>ivabradin</w:t>
      </w:r>
      <w:proofErr w:type="spellEnd"/>
      <w:r>
        <w:rPr>
          <w:lang w:val="da-DK"/>
        </w:rPr>
        <w:t xml:space="preserve">. </w:t>
      </w:r>
    </w:p>
    <w:p w:rsidR="007712B7" w:rsidRDefault="007712B7" w:rsidP="007712B7">
      <w:pPr>
        <w:pStyle w:val="Default"/>
        <w:ind w:left="851"/>
        <w:rPr>
          <w:lang w:val="da-DK"/>
        </w:rPr>
      </w:pPr>
      <w:proofErr w:type="spellStart"/>
      <w:r>
        <w:rPr>
          <w:lang w:val="da-DK"/>
        </w:rPr>
        <w:t>Ivabradin</w:t>
      </w:r>
      <w:proofErr w:type="spellEnd"/>
      <w:r>
        <w:rPr>
          <w:lang w:val="da-DK"/>
        </w:rPr>
        <w:t xml:space="preserve"> 5 mg to gange daglig viste sig at være effektivt på arbejdstestparametre i løbet af 3 til 4 ugers behandling. Effekten blev bekræftet med 7,5 mg to gange daglig. Specielt blev den yderligere nytte i forhold til 5 mg to gange daglig dokumenteret i et reference-kontrolleret studie </w:t>
      </w:r>
      <w:r>
        <w:rPr>
          <w:i/>
          <w:iCs/>
          <w:lang w:val="da-DK"/>
        </w:rPr>
        <w:t xml:space="preserve">versus </w:t>
      </w:r>
      <w:proofErr w:type="spellStart"/>
      <w:r>
        <w:rPr>
          <w:lang w:val="da-DK"/>
        </w:rPr>
        <w:t>atenolol</w:t>
      </w:r>
      <w:proofErr w:type="spellEnd"/>
      <w:r>
        <w:rPr>
          <w:lang w:val="da-DK"/>
        </w:rPr>
        <w:t xml:space="preserve">: den samlede arbejdsvarighed ved </w:t>
      </w:r>
      <w:proofErr w:type="spellStart"/>
      <w:r>
        <w:rPr>
          <w:i/>
          <w:iCs/>
          <w:lang w:val="da-DK"/>
        </w:rPr>
        <w:t>trough</w:t>
      </w:r>
      <w:proofErr w:type="spellEnd"/>
      <w:r>
        <w:rPr>
          <w:lang w:val="da-DK"/>
        </w:rPr>
        <w:t>-koncentra</w:t>
      </w:r>
      <w:r>
        <w:rPr>
          <w:lang w:val="da-DK"/>
        </w:rPr>
        <w:softHyphen/>
        <w:t xml:space="preserve">tioner var øget med ca. 1 minut efter en måneds behandling med 5 mg to gange daglig og yderligere forbedret med næsten 25 sek. efter yderligere 3 måneder med tvungen stigning til 7,5 mg to gange daglig. I dette studie blev </w:t>
      </w:r>
      <w:proofErr w:type="spellStart"/>
      <w:r>
        <w:rPr>
          <w:lang w:val="da-DK"/>
        </w:rPr>
        <w:t>ivabradins</w:t>
      </w:r>
      <w:proofErr w:type="spellEnd"/>
      <w:r>
        <w:rPr>
          <w:lang w:val="da-DK"/>
        </w:rPr>
        <w:t xml:space="preserve"> positive effekt på angina pectoris og iskæmi bekræftet hos patienter på 65 år og derover. Effekten af 5 og 7,5 mg to gange </w:t>
      </w:r>
      <w:r>
        <w:rPr>
          <w:lang w:val="da-DK"/>
        </w:rPr>
        <w:lastRenderedPageBreak/>
        <w:t>daglig var konsistent i alle studier på arbejdstestparametre (samlet arbejdsvarighed, tid indtil limiterende angina, tid indtil start af angina og tid indtil 1 mm ST-segment</w:t>
      </w:r>
      <w:r>
        <w:rPr>
          <w:lang w:val="da-DK"/>
        </w:rPr>
        <w:softHyphen/>
        <w:t>depression) og var ledsaget af et fald på ca. 70 % i antallet af anginaanfald. Et doserings</w:t>
      </w:r>
      <w:r>
        <w:rPr>
          <w:lang w:val="da-DK"/>
        </w:rPr>
        <w:softHyphen/>
        <w:t xml:space="preserve">regime med to daglige doser </w:t>
      </w:r>
      <w:proofErr w:type="spellStart"/>
      <w:r>
        <w:rPr>
          <w:lang w:val="da-DK"/>
        </w:rPr>
        <w:t>ivabradin</w:t>
      </w:r>
      <w:proofErr w:type="spellEnd"/>
      <w:r>
        <w:rPr>
          <w:lang w:val="da-DK"/>
        </w:rPr>
        <w:t xml:space="preserve"> gav ensartede resultater i 24 timer. </w:t>
      </w:r>
    </w:p>
    <w:p w:rsidR="007712B7" w:rsidRDefault="007712B7" w:rsidP="007712B7">
      <w:pPr>
        <w:pStyle w:val="Default"/>
        <w:ind w:left="851"/>
        <w:rPr>
          <w:lang w:val="da-DK"/>
        </w:rPr>
      </w:pPr>
      <w:r>
        <w:rPr>
          <w:lang w:val="da-DK"/>
        </w:rPr>
        <w:t xml:space="preserve">I et randomiseret, placebokontrolleret studie, som omfattede 889 patienter, blev </w:t>
      </w:r>
      <w:proofErr w:type="spellStart"/>
      <w:r>
        <w:rPr>
          <w:lang w:val="da-DK"/>
        </w:rPr>
        <w:t>ivabradin</w:t>
      </w:r>
      <w:proofErr w:type="spellEnd"/>
      <w:r>
        <w:rPr>
          <w:lang w:val="da-DK"/>
        </w:rPr>
        <w:t xml:space="preserve"> givet sammen med </w:t>
      </w:r>
      <w:proofErr w:type="spellStart"/>
      <w:r>
        <w:rPr>
          <w:lang w:val="da-DK"/>
        </w:rPr>
        <w:t>atenolol</w:t>
      </w:r>
      <w:proofErr w:type="spellEnd"/>
      <w:r>
        <w:rPr>
          <w:lang w:val="da-DK"/>
        </w:rPr>
        <w:t xml:space="preserve"> 50 mg en gang daglig, og der sås øget effekt på alle parametre i en arbejdstolerancetest ved </w:t>
      </w:r>
      <w:proofErr w:type="spellStart"/>
      <w:r>
        <w:rPr>
          <w:i/>
          <w:iCs/>
          <w:lang w:val="da-DK"/>
        </w:rPr>
        <w:t>trough</w:t>
      </w:r>
      <w:proofErr w:type="spellEnd"/>
      <w:r>
        <w:rPr>
          <w:lang w:val="da-DK"/>
        </w:rPr>
        <w:t xml:space="preserve">-niveauet for lægemidlets virkning (12 timer efter oral indgift). </w:t>
      </w:r>
    </w:p>
    <w:p w:rsidR="007712B7" w:rsidRDefault="007712B7" w:rsidP="007712B7">
      <w:pPr>
        <w:pStyle w:val="Default"/>
        <w:ind w:left="851"/>
        <w:rPr>
          <w:lang w:val="da-DK"/>
        </w:rPr>
      </w:pPr>
      <w:r>
        <w:rPr>
          <w:lang w:val="da-DK"/>
        </w:rPr>
        <w:t xml:space="preserve">I et randomiseret, placebokontrolleret studie, som omfattede 725 patienter, viste </w:t>
      </w:r>
      <w:proofErr w:type="spellStart"/>
      <w:r>
        <w:rPr>
          <w:lang w:val="da-DK"/>
        </w:rPr>
        <w:t>ivabradin</w:t>
      </w:r>
      <w:proofErr w:type="spellEnd"/>
      <w:r>
        <w:rPr>
          <w:lang w:val="da-DK"/>
        </w:rPr>
        <w:t xml:space="preserve">, givet som tillæg til 10 mg </w:t>
      </w:r>
      <w:proofErr w:type="spellStart"/>
      <w:r>
        <w:rPr>
          <w:lang w:val="da-DK"/>
        </w:rPr>
        <w:t>amlodipin</w:t>
      </w:r>
      <w:proofErr w:type="spellEnd"/>
      <w:r>
        <w:rPr>
          <w:lang w:val="da-DK"/>
        </w:rPr>
        <w:t xml:space="preserve"> én gang daglig, ingen yderligere effekt ved </w:t>
      </w:r>
      <w:proofErr w:type="spellStart"/>
      <w:r>
        <w:rPr>
          <w:i/>
          <w:iCs/>
          <w:lang w:val="da-DK"/>
        </w:rPr>
        <w:t>trough</w:t>
      </w:r>
      <w:proofErr w:type="spellEnd"/>
      <w:r>
        <w:rPr>
          <w:lang w:val="da-DK"/>
        </w:rPr>
        <w:t xml:space="preserve">-niveauet for lægemidlets virkning (12 timer efter oral indtagelse), hvorimod der observeredes yderligere effekt på tidspunktet med maksimal aktivitet (3-4 timer efter oral indtagelse). </w:t>
      </w:r>
    </w:p>
    <w:p w:rsidR="007712B7" w:rsidRDefault="007712B7" w:rsidP="007712B7">
      <w:pPr>
        <w:pStyle w:val="Default"/>
        <w:ind w:left="851"/>
        <w:rPr>
          <w:lang w:val="da-DK"/>
        </w:rPr>
      </w:pPr>
      <w:r>
        <w:rPr>
          <w:lang w:val="da-DK"/>
        </w:rPr>
        <w:t xml:space="preserve">I et randomiseret, placebokontrolleret studie, som omfattede 1.277 patienter, viste </w:t>
      </w:r>
      <w:proofErr w:type="spellStart"/>
      <w:r>
        <w:rPr>
          <w:lang w:val="da-DK"/>
        </w:rPr>
        <w:t>ivabradin</w:t>
      </w:r>
      <w:proofErr w:type="spellEnd"/>
      <w:r>
        <w:rPr>
          <w:lang w:val="da-DK"/>
        </w:rPr>
        <w:t xml:space="preserve"> en statistisk signifikant yderligere virkning på behandlingsrespons (defineret som fald i </w:t>
      </w:r>
      <w:proofErr w:type="spellStart"/>
      <w:r>
        <w:rPr>
          <w:lang w:val="da-DK"/>
        </w:rPr>
        <w:t>anfaldshyppighed</w:t>
      </w:r>
      <w:proofErr w:type="spellEnd"/>
      <w:r>
        <w:rPr>
          <w:lang w:val="da-DK"/>
        </w:rPr>
        <w:t xml:space="preserve"> på mindst 3 færre angina pectoris anfald per uge og/eller en stigning i tiden til 1 mm depression af ST-segmentet på mindst 60 s i en arbejdstolerance</w:t>
      </w:r>
      <w:r>
        <w:rPr>
          <w:lang w:val="da-DK"/>
        </w:rPr>
        <w:softHyphen/>
        <w:t xml:space="preserve">test) sammen med 5 mg </w:t>
      </w:r>
      <w:proofErr w:type="spellStart"/>
      <w:r>
        <w:rPr>
          <w:lang w:val="da-DK"/>
        </w:rPr>
        <w:t>amlodipin</w:t>
      </w:r>
      <w:proofErr w:type="spellEnd"/>
      <w:r>
        <w:rPr>
          <w:lang w:val="da-DK"/>
        </w:rPr>
        <w:t xml:space="preserve"> én gang daglig eller </w:t>
      </w:r>
      <w:proofErr w:type="spellStart"/>
      <w:r>
        <w:rPr>
          <w:lang w:val="da-DK"/>
        </w:rPr>
        <w:t>nifedipin</w:t>
      </w:r>
      <w:proofErr w:type="spellEnd"/>
      <w:r>
        <w:rPr>
          <w:lang w:val="da-DK"/>
        </w:rPr>
        <w:t xml:space="preserve"> GITS (retarderet præparat) 30 mg én gang daglig ved </w:t>
      </w:r>
      <w:proofErr w:type="spellStart"/>
      <w:r>
        <w:rPr>
          <w:i/>
          <w:iCs/>
          <w:lang w:val="da-DK"/>
        </w:rPr>
        <w:t>trough</w:t>
      </w:r>
      <w:proofErr w:type="spellEnd"/>
      <w:r>
        <w:rPr>
          <w:lang w:val="da-DK"/>
        </w:rPr>
        <w:t xml:space="preserve">-niveauet for lægemidlets virkning (12 timer efter oral indtagelse af </w:t>
      </w:r>
      <w:proofErr w:type="spellStart"/>
      <w:r>
        <w:rPr>
          <w:lang w:val="da-DK"/>
        </w:rPr>
        <w:t>ivabradin</w:t>
      </w:r>
      <w:proofErr w:type="spellEnd"/>
      <w:r>
        <w:rPr>
          <w:lang w:val="da-DK"/>
        </w:rPr>
        <w:t xml:space="preserve">) i en 6-ugers behandlingsperiode (OR = 1,3 95 % KI [1,0;1,7]; p=0,012). </w:t>
      </w:r>
      <w:proofErr w:type="spellStart"/>
      <w:r>
        <w:rPr>
          <w:lang w:val="da-DK"/>
        </w:rPr>
        <w:t>Ivabradin</w:t>
      </w:r>
      <w:proofErr w:type="spellEnd"/>
      <w:r>
        <w:rPr>
          <w:lang w:val="da-DK"/>
        </w:rPr>
        <w:t xml:space="preserve"> viste ingen yderligere effekt på sekundære endepunkter på parametre i en arbejdstolerancetest ved </w:t>
      </w:r>
      <w:proofErr w:type="spellStart"/>
      <w:r>
        <w:rPr>
          <w:i/>
          <w:iCs/>
          <w:lang w:val="da-DK"/>
        </w:rPr>
        <w:t>trough</w:t>
      </w:r>
      <w:proofErr w:type="spellEnd"/>
      <w:r>
        <w:rPr>
          <w:lang w:val="da-DK"/>
        </w:rPr>
        <w:t xml:space="preserve">-niveauet for lægemidlets virkning, hvorimod der observeredes yderligere effekt på tidspunktet med maksimal aktivitet (3-4 timer efter oral indtagelse af </w:t>
      </w:r>
      <w:proofErr w:type="spellStart"/>
      <w:r>
        <w:rPr>
          <w:lang w:val="da-DK"/>
        </w:rPr>
        <w:t>ivabradin</w:t>
      </w:r>
      <w:proofErr w:type="spellEnd"/>
      <w:r>
        <w:rPr>
          <w:lang w:val="da-DK"/>
        </w:rPr>
        <w:t xml:space="preserve">). </w:t>
      </w:r>
    </w:p>
    <w:p w:rsidR="007712B7" w:rsidRDefault="007712B7" w:rsidP="007712B7">
      <w:pPr>
        <w:pStyle w:val="Default"/>
        <w:ind w:left="851"/>
        <w:rPr>
          <w:lang w:val="da-DK"/>
        </w:rPr>
      </w:pPr>
      <w:r>
        <w:rPr>
          <w:lang w:val="da-DK"/>
        </w:rPr>
        <w:t xml:space="preserve">I effektstudierne opretholdtes den fulde effekt af </w:t>
      </w:r>
      <w:proofErr w:type="spellStart"/>
      <w:r>
        <w:rPr>
          <w:lang w:val="da-DK"/>
        </w:rPr>
        <w:t>ivabradin</w:t>
      </w:r>
      <w:proofErr w:type="spellEnd"/>
      <w:r>
        <w:rPr>
          <w:lang w:val="da-DK"/>
        </w:rPr>
        <w:t xml:space="preserve"> under hele behandlingsforløbet på 3-4 måneder. Der var ikke tegn på udvikling af farmakologisk tolerans (tab af effekt) under behandlingen og heller ikke på </w:t>
      </w:r>
      <w:proofErr w:type="spellStart"/>
      <w:r>
        <w:rPr>
          <w:lang w:val="da-DK"/>
        </w:rPr>
        <w:t>rebound</w:t>
      </w:r>
      <w:proofErr w:type="spellEnd"/>
      <w:r>
        <w:rPr>
          <w:lang w:val="da-DK"/>
        </w:rPr>
        <w:t xml:space="preserve">-fænomener efter abrupt afbrydelse af behandlingen. </w:t>
      </w:r>
      <w:proofErr w:type="spellStart"/>
      <w:r>
        <w:rPr>
          <w:lang w:val="da-DK"/>
        </w:rPr>
        <w:t>Ivabradins</w:t>
      </w:r>
      <w:proofErr w:type="spellEnd"/>
      <w:r>
        <w:rPr>
          <w:lang w:val="da-DK"/>
        </w:rPr>
        <w:t xml:space="preserve"> effekt på angina pectoris og iskæmi ledsagedes af et dosisafhængigt fald i hjertefrekvensen og et signifikant fald i rate </w:t>
      </w:r>
      <w:proofErr w:type="spellStart"/>
      <w:r>
        <w:rPr>
          <w:lang w:val="da-DK"/>
        </w:rPr>
        <w:t>pressure</w:t>
      </w:r>
      <w:proofErr w:type="spellEnd"/>
      <w:r>
        <w:rPr>
          <w:lang w:val="da-DK"/>
        </w:rPr>
        <w:t xml:space="preserve"> product (hjertefrekvens x systolisk blodtryk) i hvile og under arbejde. Der var kun mindre virkninger på blodtryk og perifer karmodstand uden klinisk signifikans.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Hos patienter, som blev behandlet med </w:t>
      </w:r>
      <w:proofErr w:type="spellStart"/>
      <w:r>
        <w:rPr>
          <w:lang w:val="da-DK"/>
        </w:rPr>
        <w:t>ivabradin</w:t>
      </w:r>
      <w:proofErr w:type="spellEnd"/>
      <w:r>
        <w:rPr>
          <w:lang w:val="da-DK"/>
        </w:rPr>
        <w:t xml:space="preserve"> i mindst et år (n = 713), dokumenteredes et vedvarende fald i hjertefrekvensen. Der blev ikke set påvirkning af </w:t>
      </w:r>
      <w:proofErr w:type="spellStart"/>
      <w:r>
        <w:rPr>
          <w:lang w:val="da-DK"/>
        </w:rPr>
        <w:t>glucose</w:t>
      </w:r>
      <w:proofErr w:type="spellEnd"/>
      <w:r>
        <w:rPr>
          <w:lang w:val="da-DK"/>
        </w:rPr>
        <w:t>- eller lipidmetabolismen.</w:t>
      </w:r>
    </w:p>
    <w:p w:rsidR="007712B7" w:rsidRDefault="007712B7" w:rsidP="007712B7">
      <w:pPr>
        <w:pStyle w:val="Default"/>
        <w:ind w:left="851"/>
        <w:rPr>
          <w:lang w:val="da-DK"/>
        </w:rPr>
      </w:pPr>
      <w:r>
        <w:rPr>
          <w:lang w:val="da-DK"/>
        </w:rPr>
        <w:t xml:space="preserve">Effekten af </w:t>
      </w:r>
      <w:proofErr w:type="spellStart"/>
      <w:r>
        <w:rPr>
          <w:lang w:val="da-DK"/>
        </w:rPr>
        <w:t>ivabradin</w:t>
      </w:r>
      <w:proofErr w:type="spellEnd"/>
      <w:r>
        <w:rPr>
          <w:lang w:val="da-DK"/>
        </w:rPr>
        <w:t xml:space="preserve"> på angina pectoris og iskæmi var bevaret hos diabetespatienter (n = 457) med samme sikkerhedsprofil som for hele populationen. </w:t>
      </w:r>
    </w:p>
    <w:p w:rsidR="007712B7" w:rsidRDefault="007712B7" w:rsidP="007712B7">
      <w:pPr>
        <w:pStyle w:val="Default"/>
        <w:ind w:left="851"/>
        <w:rPr>
          <w:lang w:val="da-DK"/>
        </w:rPr>
      </w:pPr>
      <w:r>
        <w:rPr>
          <w:lang w:val="da-DK"/>
        </w:rPr>
        <w:t xml:space="preserve">I et større studie, BEAUTIFUL, der omfattede 10.917 patienter med koronararteriesygdom og dysfunktion af venstre ventrikel (LVEF &lt;40 %), blev </w:t>
      </w:r>
      <w:proofErr w:type="spellStart"/>
      <w:r>
        <w:rPr>
          <w:lang w:val="da-DK"/>
        </w:rPr>
        <w:t>ivabradin</w:t>
      </w:r>
      <w:proofErr w:type="spellEnd"/>
      <w:r>
        <w:rPr>
          <w:lang w:val="da-DK"/>
        </w:rPr>
        <w:t xml:space="preserve"> givet sammen med optimal igangværende behandling, hvor 86,9 % af patienterne fik β-</w:t>
      </w:r>
      <w:proofErr w:type="spellStart"/>
      <w:r>
        <w:rPr>
          <w:lang w:val="da-DK"/>
        </w:rPr>
        <w:t>blokkere</w:t>
      </w:r>
      <w:proofErr w:type="spellEnd"/>
      <w:r>
        <w:rPr>
          <w:lang w:val="da-DK"/>
        </w:rPr>
        <w:t xml:space="preserve">. Det væsentligste effektmål var sammensat af </w:t>
      </w:r>
      <w:proofErr w:type="spellStart"/>
      <w:r>
        <w:rPr>
          <w:lang w:val="da-DK"/>
        </w:rPr>
        <w:t>kardiovaskulær</w:t>
      </w:r>
      <w:proofErr w:type="spellEnd"/>
      <w:r>
        <w:rPr>
          <w:lang w:val="da-DK"/>
        </w:rPr>
        <w:t xml:space="preserve"> død, indlæggelse pga. AMI eller indlæggelse pga. nyopstået eller tiltagende hjertesvigt. Studiet viste ingen forskel i det primære sammensatte effektmål ved sammenligning af </w:t>
      </w:r>
      <w:proofErr w:type="spellStart"/>
      <w:r>
        <w:rPr>
          <w:lang w:val="da-DK"/>
        </w:rPr>
        <w:t>ivabradingruppen</w:t>
      </w:r>
      <w:proofErr w:type="spellEnd"/>
      <w:r>
        <w:rPr>
          <w:lang w:val="da-DK"/>
        </w:rPr>
        <w:t xml:space="preserve"> og placebogruppen (relativ risiko for </w:t>
      </w:r>
      <w:proofErr w:type="spellStart"/>
      <w:r>
        <w:rPr>
          <w:lang w:val="da-DK"/>
        </w:rPr>
        <w:t>ivabradin:placebo</w:t>
      </w:r>
      <w:proofErr w:type="spellEnd"/>
      <w:r>
        <w:rPr>
          <w:lang w:val="da-DK"/>
        </w:rPr>
        <w:t xml:space="preserve"> 1,00; p=0,945). </w:t>
      </w:r>
    </w:p>
    <w:p w:rsidR="007712B7" w:rsidRDefault="007712B7" w:rsidP="007712B7">
      <w:pPr>
        <w:pStyle w:val="Default"/>
        <w:ind w:left="851"/>
        <w:rPr>
          <w:lang w:val="da-DK"/>
        </w:rPr>
      </w:pPr>
      <w:r>
        <w:rPr>
          <w:lang w:val="da-DK"/>
        </w:rPr>
        <w:t xml:space="preserve">I en post-hoc undergruppe, der omfattede patienter med symptomatisk angina pectoris ved </w:t>
      </w:r>
      <w:proofErr w:type="spellStart"/>
      <w:r>
        <w:rPr>
          <w:lang w:val="da-DK"/>
        </w:rPr>
        <w:t>randomiseringen</w:t>
      </w:r>
      <w:proofErr w:type="spellEnd"/>
      <w:r>
        <w:rPr>
          <w:lang w:val="da-DK"/>
        </w:rPr>
        <w:t xml:space="preserve"> (n=1.507), sås ingen faresignaler for så vidt angår </w:t>
      </w:r>
      <w:proofErr w:type="spellStart"/>
      <w:r>
        <w:rPr>
          <w:lang w:val="da-DK"/>
        </w:rPr>
        <w:t>kardiovaskulær</w:t>
      </w:r>
      <w:proofErr w:type="spellEnd"/>
      <w:r>
        <w:rPr>
          <w:lang w:val="da-DK"/>
        </w:rPr>
        <w:t xml:space="preserve"> død, indlæggelse pga. AMI eller hjertesvigt (</w:t>
      </w:r>
      <w:proofErr w:type="spellStart"/>
      <w:r>
        <w:rPr>
          <w:lang w:val="da-DK"/>
        </w:rPr>
        <w:t>ivabradin</w:t>
      </w:r>
      <w:proofErr w:type="spellEnd"/>
      <w:r>
        <w:rPr>
          <w:lang w:val="da-DK"/>
        </w:rPr>
        <w:t xml:space="preserve"> 12,0 % </w:t>
      </w:r>
      <w:r>
        <w:rPr>
          <w:i/>
          <w:iCs/>
          <w:lang w:val="da-DK"/>
        </w:rPr>
        <w:t xml:space="preserve">versus </w:t>
      </w:r>
      <w:r>
        <w:rPr>
          <w:lang w:val="da-DK"/>
        </w:rPr>
        <w:t xml:space="preserve">placebo 15,5 %; p=0,05). </w:t>
      </w:r>
    </w:p>
    <w:p w:rsidR="007712B7" w:rsidRDefault="007712B7" w:rsidP="007712B7">
      <w:pPr>
        <w:pStyle w:val="Default"/>
        <w:ind w:left="851"/>
        <w:rPr>
          <w:lang w:val="da-DK"/>
        </w:rPr>
      </w:pPr>
      <w:r>
        <w:rPr>
          <w:lang w:val="da-DK"/>
        </w:rPr>
        <w:t xml:space="preserve">Der blev udført et stort </w:t>
      </w:r>
      <w:proofErr w:type="spellStart"/>
      <w:r>
        <w:rPr>
          <w:i/>
          <w:iCs/>
          <w:lang w:val="da-DK"/>
        </w:rPr>
        <w:t>outcome</w:t>
      </w:r>
      <w:proofErr w:type="spellEnd"/>
      <w:r>
        <w:rPr>
          <w:lang w:val="da-DK"/>
        </w:rPr>
        <w:t xml:space="preserve">-studie, SIGNIFY, der omfattede 19.102 patienter med koronararteriesygdom og uden klinisk hjerteinsufficiens (LVEF &gt; 40 %) i optimal igangværende behandling. Der blev anvendt et terapeutisk skema med højere doser end de godkendte (startdosis 7,5 mg to gange daglig (5 mg to gange daglig, hvis alderen er ≥75 år) </w:t>
      </w:r>
      <w:r>
        <w:rPr>
          <w:lang w:val="da-DK"/>
        </w:rPr>
        <w:lastRenderedPageBreak/>
        <w:t xml:space="preserve">og titreret op til 10 mg to gange daglig). Det væsentligste effektmål var sammensat af </w:t>
      </w:r>
      <w:proofErr w:type="spellStart"/>
      <w:r>
        <w:rPr>
          <w:lang w:val="da-DK"/>
        </w:rPr>
        <w:t>kardiovaskulær</w:t>
      </w:r>
      <w:proofErr w:type="spellEnd"/>
      <w:r>
        <w:rPr>
          <w:lang w:val="da-DK"/>
        </w:rPr>
        <w:t xml:space="preserve"> død og ikke-dødeligt myokardieinfarkt. Studiet viste ingen forskel for det primære sammensatte effektmål (PCE) i </w:t>
      </w:r>
      <w:proofErr w:type="spellStart"/>
      <w:r>
        <w:rPr>
          <w:lang w:val="da-DK"/>
        </w:rPr>
        <w:t>ivabradingruppen</w:t>
      </w:r>
      <w:proofErr w:type="spellEnd"/>
      <w:r>
        <w:rPr>
          <w:lang w:val="da-DK"/>
        </w:rPr>
        <w:t xml:space="preserve"> sammenlignet med placebogruppen (relativ risiko </w:t>
      </w:r>
      <w:proofErr w:type="spellStart"/>
      <w:r>
        <w:rPr>
          <w:lang w:val="da-DK"/>
        </w:rPr>
        <w:t>ivabradin</w:t>
      </w:r>
      <w:proofErr w:type="spellEnd"/>
      <w:r>
        <w:rPr>
          <w:lang w:val="da-DK"/>
        </w:rPr>
        <w:t xml:space="preserve">/placebo 1,08, p=0,197). Bradykardi blev rapporteret hos 17,9 % af patienterne i </w:t>
      </w:r>
      <w:proofErr w:type="spellStart"/>
      <w:r>
        <w:rPr>
          <w:lang w:val="da-DK"/>
        </w:rPr>
        <w:t>ivabradingruppen</w:t>
      </w:r>
      <w:proofErr w:type="spellEnd"/>
      <w:r>
        <w:rPr>
          <w:lang w:val="da-DK"/>
        </w:rPr>
        <w:t xml:space="preserve"> (2,1 % i placebogruppen). I løbet af studiet fik 7,1 % af patienterne </w:t>
      </w:r>
      <w:proofErr w:type="spellStart"/>
      <w:r>
        <w:rPr>
          <w:lang w:val="da-DK"/>
        </w:rPr>
        <w:t>verapamil</w:t>
      </w:r>
      <w:proofErr w:type="spellEnd"/>
      <w:r>
        <w:rPr>
          <w:lang w:val="da-DK"/>
        </w:rPr>
        <w:t xml:space="preserve">, </w:t>
      </w:r>
      <w:proofErr w:type="spellStart"/>
      <w:r>
        <w:rPr>
          <w:lang w:val="da-DK"/>
        </w:rPr>
        <w:t>diltiazem</w:t>
      </w:r>
      <w:proofErr w:type="spellEnd"/>
      <w:r>
        <w:rPr>
          <w:lang w:val="da-DK"/>
        </w:rPr>
        <w:t xml:space="preserve"> eller potente CYP 3A4-hæmmere. </w:t>
      </w:r>
    </w:p>
    <w:p w:rsidR="007712B7" w:rsidRDefault="007712B7" w:rsidP="007712B7">
      <w:pPr>
        <w:pStyle w:val="Default"/>
        <w:ind w:left="851"/>
        <w:rPr>
          <w:lang w:val="da-DK"/>
        </w:rPr>
      </w:pPr>
      <w:r>
        <w:rPr>
          <w:lang w:val="da-DK"/>
        </w:rPr>
        <w:t xml:space="preserve">En lille statistisk signifikant stigning i PCE blev observeret i en præ-specificeret subgruppe af patienter med angina pectoris i CCS-klasse II eller højere ved </w:t>
      </w:r>
      <w:r>
        <w:rPr>
          <w:i/>
          <w:iCs/>
          <w:lang w:val="da-DK"/>
        </w:rPr>
        <w:t xml:space="preserve">baseline </w:t>
      </w:r>
      <w:r>
        <w:rPr>
          <w:lang w:val="da-DK"/>
        </w:rPr>
        <w:t xml:space="preserve">(n=12.049) (årsrate 3,4 % </w:t>
      </w:r>
      <w:r>
        <w:rPr>
          <w:i/>
          <w:iCs/>
          <w:lang w:val="da-DK"/>
        </w:rPr>
        <w:t xml:space="preserve">versus </w:t>
      </w:r>
      <w:r>
        <w:rPr>
          <w:lang w:val="da-DK"/>
        </w:rPr>
        <w:t xml:space="preserve">2,9 %, relativ risiko </w:t>
      </w:r>
      <w:proofErr w:type="spellStart"/>
      <w:r>
        <w:rPr>
          <w:lang w:val="da-DK"/>
        </w:rPr>
        <w:t>ivabradin</w:t>
      </w:r>
      <w:proofErr w:type="spellEnd"/>
      <w:r>
        <w:rPr>
          <w:lang w:val="da-DK"/>
        </w:rPr>
        <w:t xml:space="preserve">/placebo 1,18, p=0,018), men ikke i subgruppen af den totale anginapopulation i CCS-klasse ≥ I (n=14.286) (relativ risiko </w:t>
      </w:r>
      <w:proofErr w:type="spellStart"/>
      <w:r>
        <w:rPr>
          <w:lang w:val="da-DK"/>
        </w:rPr>
        <w:t>ivabradin</w:t>
      </w:r>
      <w:proofErr w:type="spellEnd"/>
      <w:r>
        <w:rPr>
          <w:lang w:val="da-DK"/>
        </w:rPr>
        <w:t xml:space="preserve">/placebo 1,11, p=0,110). </w:t>
      </w:r>
    </w:p>
    <w:p w:rsidR="007712B7" w:rsidRDefault="007712B7" w:rsidP="007712B7">
      <w:pPr>
        <w:pStyle w:val="Default"/>
        <w:ind w:left="851"/>
        <w:rPr>
          <w:lang w:val="da-DK"/>
        </w:rPr>
      </w:pPr>
      <w:r>
        <w:rPr>
          <w:lang w:val="da-DK"/>
        </w:rPr>
        <w:t xml:space="preserve">Den højere ikke-godkendte dosis anvendt i dette studie forklarede ikke fuldstændigt disse fund. </w:t>
      </w:r>
    </w:p>
    <w:p w:rsidR="007712B7" w:rsidRDefault="007712B7" w:rsidP="007712B7">
      <w:pPr>
        <w:pStyle w:val="Default"/>
        <w:ind w:left="851"/>
        <w:rPr>
          <w:lang w:val="da-DK"/>
        </w:rPr>
      </w:pPr>
      <w:r>
        <w:rPr>
          <w:lang w:val="da-DK"/>
        </w:rPr>
        <w:t xml:space="preserve">SHIFT-studiet var et stort multicenter, internationalt, randomiseret dobbeltblindt placebokontrolleret resultatstudie, der omfattede 6.505 voksne patienter med stabil kronisk hjerteinsufficiens (i ≥ 4 uger), NYHA-klasse II-IV, med nedsat venstre ventrikels uddrivningsfraktion (LVEF ≤ 35 %) og hvilepuls ≥ 70 slag i minuttet. </w:t>
      </w:r>
    </w:p>
    <w:p w:rsidR="007712B7" w:rsidRDefault="007712B7" w:rsidP="007712B7">
      <w:pPr>
        <w:pStyle w:val="Default"/>
        <w:ind w:left="851"/>
        <w:rPr>
          <w:lang w:val="da-DK"/>
        </w:rPr>
      </w:pPr>
      <w:r>
        <w:rPr>
          <w:lang w:val="da-DK"/>
        </w:rPr>
        <w:t xml:space="preserve">Patienterne fik standardbehandling, der omfattede </w:t>
      </w:r>
      <w:proofErr w:type="gramStart"/>
      <w:r>
        <w:rPr>
          <w:lang w:val="da-DK"/>
        </w:rPr>
        <w:t>betablokkere</w:t>
      </w:r>
      <w:proofErr w:type="gramEnd"/>
      <w:r>
        <w:rPr>
          <w:lang w:val="da-DK"/>
        </w:rPr>
        <w:t xml:space="preserve"> (89 %), ACE-</w:t>
      </w:r>
      <w:proofErr w:type="spellStart"/>
      <w:r>
        <w:rPr>
          <w:lang w:val="da-DK"/>
        </w:rPr>
        <w:t>hæmmere</w:t>
      </w:r>
      <w:proofErr w:type="spellEnd"/>
      <w:r>
        <w:rPr>
          <w:lang w:val="da-DK"/>
        </w:rPr>
        <w:t xml:space="preserve"> og/eller </w:t>
      </w:r>
      <w:proofErr w:type="spellStart"/>
      <w:r>
        <w:rPr>
          <w:lang w:val="da-DK"/>
        </w:rPr>
        <w:t>angiotensin</w:t>
      </w:r>
      <w:proofErr w:type="spellEnd"/>
      <w:r>
        <w:rPr>
          <w:lang w:val="da-DK"/>
        </w:rPr>
        <w:t xml:space="preserve"> II-antagonister (91 %), </w:t>
      </w:r>
      <w:proofErr w:type="spellStart"/>
      <w:r>
        <w:rPr>
          <w:lang w:val="da-DK"/>
        </w:rPr>
        <w:t>diuretika</w:t>
      </w:r>
      <w:proofErr w:type="spellEnd"/>
      <w:r>
        <w:rPr>
          <w:lang w:val="da-DK"/>
        </w:rPr>
        <w:t xml:space="preserve"> (83 %) og </w:t>
      </w:r>
      <w:proofErr w:type="spellStart"/>
      <w:r>
        <w:rPr>
          <w:lang w:val="da-DK"/>
        </w:rPr>
        <w:t>aldosteronantagonister</w:t>
      </w:r>
      <w:proofErr w:type="spellEnd"/>
      <w:r>
        <w:rPr>
          <w:lang w:val="da-DK"/>
        </w:rPr>
        <w:t xml:space="preserve"> (60 %). I </w:t>
      </w:r>
      <w:proofErr w:type="spellStart"/>
      <w:r>
        <w:rPr>
          <w:lang w:val="da-DK"/>
        </w:rPr>
        <w:t>ivabradin</w:t>
      </w:r>
      <w:proofErr w:type="spellEnd"/>
      <w:r>
        <w:rPr>
          <w:lang w:val="da-DK"/>
        </w:rPr>
        <w:t xml:space="preserve">-gruppen blev 67 % af patienterne behandlet med 7,5 mg to gange daglig. Den </w:t>
      </w:r>
      <w:proofErr w:type="spellStart"/>
      <w:r>
        <w:rPr>
          <w:lang w:val="da-DK"/>
        </w:rPr>
        <w:t>mediane</w:t>
      </w:r>
      <w:proofErr w:type="spellEnd"/>
      <w:r>
        <w:rPr>
          <w:lang w:val="da-DK"/>
        </w:rPr>
        <w:t xml:space="preserve"> opfølgningstid var 22,9 måneder. </w:t>
      </w:r>
      <w:proofErr w:type="spellStart"/>
      <w:r>
        <w:rPr>
          <w:lang w:val="da-DK"/>
        </w:rPr>
        <w:t>Ivabradinbehandling</w:t>
      </w:r>
      <w:proofErr w:type="spellEnd"/>
      <w:r>
        <w:rPr>
          <w:lang w:val="da-DK"/>
        </w:rPr>
        <w:t xml:space="preserve"> medførte en gennemsnitlig reduktion i hjertefrekvensen på 15 slag i minuttet fra en </w:t>
      </w:r>
      <w:r>
        <w:rPr>
          <w:i/>
          <w:iCs/>
          <w:lang w:val="da-DK"/>
        </w:rPr>
        <w:t>baseline</w:t>
      </w:r>
      <w:r>
        <w:rPr>
          <w:lang w:val="da-DK"/>
        </w:rPr>
        <w:t xml:space="preserve">værdi på 80 slag i minuttet. Forskellen i hjertefrekvens mellem </w:t>
      </w:r>
      <w:proofErr w:type="spellStart"/>
      <w:r>
        <w:rPr>
          <w:lang w:val="da-DK"/>
        </w:rPr>
        <w:t>ivabradin</w:t>
      </w:r>
      <w:proofErr w:type="spellEnd"/>
      <w:r>
        <w:rPr>
          <w:lang w:val="da-DK"/>
        </w:rPr>
        <w:t xml:space="preserve">- og placeboarmen var 10,8 slag i minuttet efter 28 dage, 9,1 slag i minuttet efter 12 måneder og 8,3 slag i minuttet efter 24 måneder. </w:t>
      </w:r>
    </w:p>
    <w:p w:rsidR="007712B7" w:rsidRDefault="007712B7" w:rsidP="007712B7">
      <w:pPr>
        <w:pStyle w:val="Default"/>
        <w:ind w:left="851"/>
        <w:rPr>
          <w:lang w:val="da-DK"/>
        </w:rPr>
      </w:pPr>
      <w:r>
        <w:rPr>
          <w:lang w:val="da-DK"/>
        </w:rPr>
        <w:t xml:space="preserve">Studiet påviste en klinisk og statistisk signifikant relativ risikoreduktion på 18 % for det primære sammensatte endepunkt, der omfatter </w:t>
      </w:r>
      <w:proofErr w:type="spellStart"/>
      <w:r>
        <w:rPr>
          <w:lang w:val="da-DK"/>
        </w:rPr>
        <w:t>kardiovaskulær</w:t>
      </w:r>
      <w:proofErr w:type="spellEnd"/>
      <w:r>
        <w:rPr>
          <w:lang w:val="da-DK"/>
        </w:rPr>
        <w:t xml:space="preserve"> mortalitet og hospitalsindlæggelse pga. tiltagende hjerteinsufficiens (</w:t>
      </w:r>
      <w:proofErr w:type="spellStart"/>
      <w:r>
        <w:rPr>
          <w:i/>
          <w:iCs/>
          <w:lang w:val="da-DK"/>
        </w:rPr>
        <w:t>hazard</w:t>
      </w:r>
      <w:proofErr w:type="spellEnd"/>
      <w:r>
        <w:rPr>
          <w:i/>
          <w:iCs/>
          <w:lang w:val="da-DK"/>
        </w:rPr>
        <w:t xml:space="preserve"> ratio</w:t>
      </w:r>
      <w:r>
        <w:rPr>
          <w:lang w:val="da-DK"/>
        </w:rPr>
        <w:t>: 0,82; 95 % KI [0,75;0,90]; p</w:t>
      </w:r>
      <w:r>
        <w:rPr>
          <w:i/>
          <w:iCs/>
          <w:lang w:val="da-DK"/>
        </w:rPr>
        <w:t>&lt;</w:t>
      </w:r>
      <w:r>
        <w:rPr>
          <w:lang w:val="da-DK"/>
        </w:rPr>
        <w:t>0,0001), som var åbenbar inden for 3 måneder efter behandlingsstart. Den absolutte risikoreduktion var 4,2 %. Hvad angår det primære endepunkt, skyldes resultatet især komponenterne hjerteinsufficiens i form af indlæggelse på grund af tiltagende hjerteinsufficiens (absolut risikoreduktion 4,7 %) og død på grund af hjerteinsufficiens (absolut risikoreduktion 1,1 %).</w:t>
      </w:r>
    </w:p>
    <w:p w:rsidR="007712B7" w:rsidRDefault="007712B7" w:rsidP="007712B7">
      <w:pPr>
        <w:pStyle w:val="Default"/>
        <w:ind w:left="851" w:hanging="851"/>
        <w:rPr>
          <w:lang w:val="da-DK"/>
        </w:rPr>
      </w:pPr>
    </w:p>
    <w:p w:rsidR="007712B7" w:rsidRDefault="007712B7" w:rsidP="007712B7">
      <w:pPr>
        <w:pStyle w:val="Default"/>
        <w:rPr>
          <w:lang w:val="da-DK"/>
        </w:rPr>
      </w:pPr>
      <w:r>
        <w:rPr>
          <w:lang w:val="da-DK"/>
        </w:rPr>
        <w:t>Behandlingens påvirkning af det primære sammensatte endepunkt, dets komponenter og de sekundære endepunkter</w:t>
      </w:r>
    </w:p>
    <w:p w:rsidR="007712B7" w:rsidRDefault="007712B7" w:rsidP="007712B7">
      <w:pPr>
        <w:pStyle w:val="Default"/>
        <w:ind w:left="851" w:hanging="851"/>
        <w:jc w:val="center"/>
        <w:rPr>
          <w:lang w:val="da-DK"/>
        </w:rPr>
      </w:pPr>
    </w:p>
    <w:tbl>
      <w:tblPr>
        <w:tblStyle w:val="Tabel-Gitter"/>
        <w:tblW w:w="5000" w:type="pct"/>
        <w:tblInd w:w="0" w:type="dxa"/>
        <w:tblLook w:val="04A0" w:firstRow="1" w:lastRow="0" w:firstColumn="1" w:lastColumn="0" w:noHBand="0" w:noVBand="1"/>
      </w:tblPr>
      <w:tblGrid>
        <w:gridCol w:w="3579"/>
        <w:gridCol w:w="1435"/>
        <w:gridCol w:w="1583"/>
        <w:gridCol w:w="1897"/>
        <w:gridCol w:w="1134"/>
      </w:tblGrid>
      <w:tr w:rsidR="007712B7" w:rsidTr="00147DC0">
        <w:tc>
          <w:tcPr>
            <w:tcW w:w="1859" w:type="pct"/>
            <w:tcBorders>
              <w:top w:val="single" w:sz="4" w:space="0" w:color="auto"/>
              <w:left w:val="single" w:sz="4" w:space="0" w:color="auto"/>
              <w:bottom w:val="single" w:sz="4" w:space="0" w:color="auto"/>
              <w:right w:val="single" w:sz="4" w:space="0" w:color="auto"/>
            </w:tcBorders>
          </w:tcPr>
          <w:p w:rsidR="007712B7" w:rsidRDefault="007712B7" w:rsidP="00147DC0">
            <w:pPr>
              <w:rPr>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Ivabradin</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(N=3.241)</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n (%)</w:t>
            </w:r>
          </w:p>
        </w:tc>
        <w:tc>
          <w:tcPr>
            <w:tcW w:w="822" w:type="pct"/>
            <w:tcBorders>
              <w:top w:val="single" w:sz="4" w:space="0" w:color="auto"/>
              <w:left w:val="single" w:sz="4" w:space="0" w:color="auto"/>
              <w:bottom w:val="single" w:sz="4" w:space="0" w:color="auto"/>
              <w:right w:val="single" w:sz="4" w:space="0" w:color="auto"/>
            </w:tcBorders>
            <w:hideMark/>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Placebo</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(N=3.264)</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n (%)</w:t>
            </w:r>
          </w:p>
        </w:tc>
        <w:tc>
          <w:tcPr>
            <w:tcW w:w="985" w:type="pct"/>
            <w:tcBorders>
              <w:top w:val="single" w:sz="4" w:space="0" w:color="auto"/>
              <w:left w:val="single" w:sz="4" w:space="0" w:color="auto"/>
              <w:bottom w:val="single" w:sz="4" w:space="0" w:color="auto"/>
              <w:right w:val="single" w:sz="4" w:space="0" w:color="auto"/>
            </w:tcBorders>
            <w:hideMark/>
          </w:tcPr>
          <w:p w:rsidR="007712B7" w:rsidRDefault="007712B7" w:rsidP="00147DC0">
            <w:pPr>
              <w:jc w:val="center"/>
              <w:rPr>
                <w:rFonts w:ascii="Times New Roman" w:hAnsi="Times New Roman" w:cs="Times New Roman"/>
                <w:sz w:val="24"/>
                <w:szCs w:val="24"/>
              </w:rPr>
            </w:pPr>
            <w:r>
              <w:rPr>
                <w:rFonts w:ascii="Times New Roman" w:hAnsi="Times New Roman" w:cs="Times New Roman"/>
                <w:i/>
                <w:iCs/>
                <w:sz w:val="24"/>
                <w:szCs w:val="24"/>
              </w:rPr>
              <w:t>Hazard ratio</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[95 % KI]</w:t>
            </w:r>
          </w:p>
        </w:tc>
        <w:tc>
          <w:tcPr>
            <w:tcW w:w="589"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p-værdi</w:t>
            </w:r>
          </w:p>
          <w:p w:rsidR="007712B7" w:rsidRDefault="007712B7" w:rsidP="00147DC0">
            <w:pPr>
              <w:jc w:val="center"/>
              <w:rPr>
                <w:rFonts w:ascii="Times New Roman" w:hAnsi="Times New Roman" w:cs="Times New Roman"/>
                <w:sz w:val="24"/>
                <w:szCs w:val="24"/>
              </w:rPr>
            </w:pPr>
          </w:p>
        </w:tc>
      </w:tr>
      <w:tr w:rsidR="007712B7" w:rsidTr="00147DC0">
        <w:trPr>
          <w:trHeight w:val="343"/>
        </w:trPr>
        <w:tc>
          <w:tcPr>
            <w:tcW w:w="1859" w:type="pct"/>
            <w:tcBorders>
              <w:top w:val="single" w:sz="4" w:space="0" w:color="auto"/>
              <w:left w:val="single" w:sz="4" w:space="0" w:color="auto"/>
              <w:bottom w:val="single" w:sz="4" w:space="0" w:color="auto"/>
              <w:right w:val="single" w:sz="4" w:space="0" w:color="auto"/>
            </w:tcBorders>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Primære sammensatte endepunkt </w:t>
            </w:r>
          </w:p>
          <w:p w:rsidR="007712B7" w:rsidRDefault="007712B7" w:rsidP="00147DC0">
            <w:pPr>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793 (24,47)</w:t>
            </w:r>
          </w:p>
        </w:tc>
        <w:tc>
          <w:tcPr>
            <w:tcW w:w="822"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937 (28,71)</w:t>
            </w:r>
          </w:p>
          <w:p w:rsidR="007712B7" w:rsidRDefault="007712B7" w:rsidP="00147DC0">
            <w:pPr>
              <w:jc w:val="center"/>
              <w:rPr>
                <w:rFonts w:ascii="Times New Roman" w:hAnsi="Times New Roman" w:cs="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0,82 [0,75;0,90]</w:t>
            </w:r>
          </w:p>
          <w:p w:rsidR="007712B7" w:rsidRDefault="007712B7" w:rsidP="00147DC0">
            <w:pPr>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hideMark/>
          </w:tcPr>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&lt;0,0001</w:t>
            </w:r>
          </w:p>
        </w:tc>
      </w:tr>
      <w:tr w:rsidR="007712B7" w:rsidTr="00147DC0">
        <w:tc>
          <w:tcPr>
            <w:tcW w:w="1859"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Komponenterne i det sammensatte endepunkt: </w:t>
            </w:r>
          </w:p>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 Kardiovaskulær død </w:t>
            </w:r>
          </w:p>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 Indlæggelse pga. tiltagende hjerteinsufficiens </w:t>
            </w:r>
          </w:p>
        </w:tc>
        <w:tc>
          <w:tcPr>
            <w:tcW w:w="745"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449 (13,85)</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514 (15,86)</w:t>
            </w:r>
          </w:p>
        </w:tc>
        <w:tc>
          <w:tcPr>
            <w:tcW w:w="822"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491 (15,04)</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672 (20,59)</w:t>
            </w:r>
          </w:p>
        </w:tc>
        <w:tc>
          <w:tcPr>
            <w:tcW w:w="985"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0,91 [0,80;1,03]</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0,74 [0,66;0,83]</w:t>
            </w:r>
          </w:p>
        </w:tc>
        <w:tc>
          <w:tcPr>
            <w:tcW w:w="589"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0,128</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&lt;0,0001</w:t>
            </w:r>
          </w:p>
        </w:tc>
      </w:tr>
      <w:tr w:rsidR="007712B7" w:rsidTr="00147DC0">
        <w:tc>
          <w:tcPr>
            <w:tcW w:w="1859" w:type="pct"/>
            <w:tcBorders>
              <w:top w:val="single" w:sz="4" w:space="0" w:color="auto"/>
              <w:left w:val="single" w:sz="4" w:space="0" w:color="auto"/>
              <w:bottom w:val="single" w:sz="4" w:space="0" w:color="auto"/>
              <w:right w:val="single" w:sz="4" w:space="0" w:color="auto"/>
            </w:tcBorders>
            <w:hideMark/>
          </w:tcPr>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Sekundære endepunkter: </w:t>
            </w:r>
          </w:p>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 Død uanset årsag </w:t>
            </w:r>
          </w:p>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 Død pga. hjerteinsufficiens </w:t>
            </w:r>
          </w:p>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t xml:space="preserve">- Indlæggelse uanset årsag </w:t>
            </w:r>
          </w:p>
          <w:p w:rsidR="007712B7" w:rsidRDefault="007712B7" w:rsidP="00147DC0">
            <w:pPr>
              <w:rPr>
                <w:rFonts w:ascii="Times New Roman" w:hAnsi="Times New Roman" w:cs="Times New Roman"/>
                <w:sz w:val="24"/>
                <w:szCs w:val="24"/>
              </w:rPr>
            </w:pPr>
            <w:r>
              <w:rPr>
                <w:rFonts w:ascii="Times New Roman" w:hAnsi="Times New Roman" w:cs="Times New Roman"/>
                <w:sz w:val="24"/>
                <w:szCs w:val="24"/>
              </w:rPr>
              <w:lastRenderedPageBreak/>
              <w:t xml:space="preserve">- Indlæggelse pga. kardiovaskulær sygdom </w:t>
            </w:r>
          </w:p>
        </w:tc>
        <w:tc>
          <w:tcPr>
            <w:tcW w:w="745"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503 (15,52)</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113 (3,49)</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lastRenderedPageBreak/>
              <w:t>1.231 (37,98)</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977 (30,15)</w:t>
            </w:r>
          </w:p>
        </w:tc>
        <w:tc>
          <w:tcPr>
            <w:tcW w:w="822"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552 (16,91)</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151 (4,63)</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1.356 (41,54)</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lastRenderedPageBreak/>
              <w:t>1.122 (34,38)</w:t>
            </w:r>
          </w:p>
        </w:tc>
        <w:tc>
          <w:tcPr>
            <w:tcW w:w="985"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0,90 [0,80;1,02]</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0,74 [0,58;0,94]</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0,89 [0,82;0,96]</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lastRenderedPageBreak/>
              <w:t>0,85 [0,78;0,92]</w:t>
            </w:r>
          </w:p>
        </w:tc>
        <w:tc>
          <w:tcPr>
            <w:tcW w:w="589" w:type="pct"/>
            <w:tcBorders>
              <w:top w:val="single" w:sz="4" w:space="0" w:color="auto"/>
              <w:left w:val="single" w:sz="4" w:space="0" w:color="auto"/>
              <w:bottom w:val="single" w:sz="4" w:space="0" w:color="auto"/>
              <w:right w:val="single" w:sz="4" w:space="0" w:color="auto"/>
            </w:tcBorders>
          </w:tcPr>
          <w:p w:rsidR="007712B7" w:rsidRDefault="007712B7" w:rsidP="00147DC0">
            <w:pPr>
              <w:jc w:val="center"/>
              <w:rPr>
                <w:rFonts w:ascii="Times New Roman" w:hAnsi="Times New Roman" w:cs="Times New Roman"/>
                <w:sz w:val="24"/>
                <w:szCs w:val="24"/>
              </w:rPr>
            </w:pP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0,092</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0,014</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t>0,003</w:t>
            </w:r>
          </w:p>
          <w:p w:rsidR="007712B7" w:rsidRDefault="007712B7" w:rsidP="00147DC0">
            <w:pPr>
              <w:jc w:val="center"/>
              <w:rPr>
                <w:rFonts w:ascii="Times New Roman" w:hAnsi="Times New Roman" w:cs="Times New Roman"/>
                <w:sz w:val="24"/>
                <w:szCs w:val="24"/>
              </w:rPr>
            </w:pPr>
            <w:r>
              <w:rPr>
                <w:rFonts w:ascii="Times New Roman" w:hAnsi="Times New Roman" w:cs="Times New Roman"/>
                <w:sz w:val="24"/>
                <w:szCs w:val="24"/>
              </w:rPr>
              <w:lastRenderedPageBreak/>
              <w:t>0,0002</w:t>
            </w:r>
          </w:p>
        </w:tc>
      </w:tr>
    </w:tbl>
    <w:p w:rsidR="007712B7" w:rsidRDefault="007712B7" w:rsidP="007712B7">
      <w:pPr>
        <w:pStyle w:val="Default"/>
        <w:ind w:left="851" w:hanging="851"/>
        <w:jc w:val="center"/>
        <w:rPr>
          <w:lang w:val="da-DK"/>
        </w:rPr>
      </w:pPr>
    </w:p>
    <w:p w:rsidR="007712B7" w:rsidRDefault="007712B7" w:rsidP="007712B7">
      <w:pPr>
        <w:pStyle w:val="Default"/>
        <w:ind w:left="851"/>
        <w:rPr>
          <w:lang w:val="da-DK"/>
        </w:rPr>
      </w:pPr>
      <w:r>
        <w:rPr>
          <w:lang w:val="da-DK"/>
        </w:rPr>
        <w:t xml:space="preserve">Risikoreduktionen for det primære endepunkt forekom konsekvent uanset køn, NYHA-klasse, hjerteinsufficiens med/uden iskæmisk ætiologi og anamnese med diabetes eller hypertension. </w:t>
      </w:r>
    </w:p>
    <w:p w:rsidR="007712B7" w:rsidRDefault="007712B7" w:rsidP="007712B7">
      <w:pPr>
        <w:pStyle w:val="Default"/>
        <w:ind w:left="851"/>
        <w:rPr>
          <w:lang w:val="da-DK"/>
        </w:rPr>
      </w:pPr>
    </w:p>
    <w:p w:rsidR="007712B7" w:rsidRDefault="007712B7" w:rsidP="007712B7">
      <w:pPr>
        <w:pStyle w:val="Default"/>
        <w:ind w:left="851"/>
        <w:rPr>
          <w:lang w:val="da-DK"/>
        </w:rPr>
      </w:pPr>
      <w:r>
        <w:rPr>
          <w:lang w:val="da-DK"/>
        </w:rPr>
        <w:t>I undergruppen med patienter med hjertefrekvens ≥ 75 slag i minuttet (n=4.150) sås en større risikoreduktion for det primære sammensatte endepunkt på 24 % (</w:t>
      </w:r>
      <w:proofErr w:type="spellStart"/>
      <w:r>
        <w:rPr>
          <w:i/>
          <w:iCs/>
          <w:lang w:val="da-DK"/>
        </w:rPr>
        <w:t>hazard</w:t>
      </w:r>
      <w:proofErr w:type="spellEnd"/>
      <w:r>
        <w:rPr>
          <w:i/>
          <w:iCs/>
          <w:lang w:val="da-DK"/>
        </w:rPr>
        <w:t xml:space="preserve"> ratio</w:t>
      </w:r>
      <w:r>
        <w:rPr>
          <w:lang w:val="da-DK"/>
        </w:rPr>
        <w:t>: 0,76; 95 % KI [0,68;0,85]; p</w:t>
      </w:r>
      <w:r>
        <w:rPr>
          <w:i/>
          <w:iCs/>
          <w:lang w:val="da-DK"/>
        </w:rPr>
        <w:t>&lt;</w:t>
      </w:r>
      <w:r>
        <w:rPr>
          <w:lang w:val="da-DK"/>
        </w:rPr>
        <w:t>0,0001) og for de sekundære endepunkter inklusive død uanset årsag (</w:t>
      </w:r>
      <w:proofErr w:type="spellStart"/>
      <w:r>
        <w:rPr>
          <w:i/>
          <w:iCs/>
          <w:lang w:val="da-DK"/>
        </w:rPr>
        <w:t>hazard</w:t>
      </w:r>
      <w:proofErr w:type="spellEnd"/>
      <w:r>
        <w:rPr>
          <w:i/>
          <w:iCs/>
          <w:lang w:val="da-DK"/>
        </w:rPr>
        <w:t xml:space="preserve"> ratio</w:t>
      </w:r>
      <w:r>
        <w:rPr>
          <w:lang w:val="da-DK"/>
        </w:rPr>
        <w:t>: 0,83; 95 % KI [0,72;0,96]; p</w:t>
      </w:r>
      <w:r>
        <w:rPr>
          <w:i/>
          <w:iCs/>
          <w:lang w:val="da-DK"/>
        </w:rPr>
        <w:t>=</w:t>
      </w:r>
      <w:r>
        <w:rPr>
          <w:lang w:val="da-DK"/>
        </w:rPr>
        <w:t xml:space="preserve">0,0109) og </w:t>
      </w:r>
      <w:proofErr w:type="spellStart"/>
      <w:r>
        <w:rPr>
          <w:lang w:val="da-DK"/>
        </w:rPr>
        <w:t>kardiovaskulær</w:t>
      </w:r>
      <w:proofErr w:type="spellEnd"/>
      <w:r>
        <w:rPr>
          <w:lang w:val="da-DK"/>
        </w:rPr>
        <w:t xml:space="preserve"> død (</w:t>
      </w:r>
      <w:proofErr w:type="spellStart"/>
      <w:r>
        <w:rPr>
          <w:i/>
          <w:iCs/>
          <w:lang w:val="da-DK"/>
        </w:rPr>
        <w:t>hazard</w:t>
      </w:r>
      <w:proofErr w:type="spellEnd"/>
      <w:r>
        <w:rPr>
          <w:i/>
          <w:iCs/>
          <w:lang w:val="da-DK"/>
        </w:rPr>
        <w:t xml:space="preserve"> ratio</w:t>
      </w:r>
      <w:r>
        <w:rPr>
          <w:lang w:val="da-DK"/>
        </w:rPr>
        <w:t>: 0,83; 95 % KI [0,71;0,97]; p</w:t>
      </w:r>
      <w:r>
        <w:rPr>
          <w:i/>
          <w:iCs/>
          <w:lang w:val="da-DK"/>
        </w:rPr>
        <w:t>=</w:t>
      </w:r>
      <w:r>
        <w:rPr>
          <w:lang w:val="da-DK"/>
        </w:rPr>
        <w:t xml:space="preserve">0,0166). I denne patientundergruppe svarer </w:t>
      </w:r>
      <w:proofErr w:type="spellStart"/>
      <w:r>
        <w:rPr>
          <w:lang w:val="da-DK"/>
        </w:rPr>
        <w:t>ivabradins</w:t>
      </w:r>
      <w:proofErr w:type="spellEnd"/>
      <w:r>
        <w:rPr>
          <w:lang w:val="da-DK"/>
        </w:rPr>
        <w:t xml:space="preserve"> sikkerhedsprofil til profilen i hele populationen.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Der sås en signifikant virkning på det primære sammensatte endepunkt i den totale gruppe af patienter, der fik </w:t>
      </w:r>
      <w:proofErr w:type="spellStart"/>
      <w:r>
        <w:rPr>
          <w:lang w:val="da-DK"/>
        </w:rPr>
        <w:t>betablokkerbehandling</w:t>
      </w:r>
      <w:proofErr w:type="spellEnd"/>
      <w:r>
        <w:rPr>
          <w:lang w:val="da-DK"/>
        </w:rPr>
        <w:t xml:space="preserve"> (</w:t>
      </w:r>
      <w:proofErr w:type="spellStart"/>
      <w:r>
        <w:rPr>
          <w:i/>
          <w:iCs/>
          <w:lang w:val="da-DK"/>
        </w:rPr>
        <w:t>hazard</w:t>
      </w:r>
      <w:proofErr w:type="spellEnd"/>
      <w:r>
        <w:rPr>
          <w:i/>
          <w:iCs/>
          <w:lang w:val="da-DK"/>
        </w:rPr>
        <w:t xml:space="preserve"> ratio</w:t>
      </w:r>
      <w:r>
        <w:rPr>
          <w:lang w:val="da-DK"/>
        </w:rPr>
        <w:t>: 0,85; 95 % KI [0,76;0,94]). I undergruppen med patienter med hjertefrekvens ≥ 75 slag i minuttet, som fik den anbefalede dosis betablokker, sås ingen statistisk signifikant fordel på det primære sammensatte endepunkt (</w:t>
      </w:r>
      <w:proofErr w:type="spellStart"/>
      <w:r>
        <w:rPr>
          <w:i/>
          <w:iCs/>
          <w:lang w:val="da-DK"/>
        </w:rPr>
        <w:t>hazard</w:t>
      </w:r>
      <w:proofErr w:type="spellEnd"/>
      <w:r>
        <w:rPr>
          <w:i/>
          <w:iCs/>
          <w:lang w:val="da-DK"/>
        </w:rPr>
        <w:t xml:space="preserve"> ratio</w:t>
      </w:r>
      <w:r>
        <w:rPr>
          <w:lang w:val="da-DK"/>
        </w:rPr>
        <w:t>: 0,97; 95 % KI [0,74;1,28]) eller på de sekundære endepunkter inklusive indlæggelse for tiltagende hjerteinsufficiens (</w:t>
      </w:r>
      <w:proofErr w:type="spellStart"/>
      <w:r>
        <w:rPr>
          <w:i/>
          <w:iCs/>
          <w:lang w:val="da-DK"/>
        </w:rPr>
        <w:t>hazard</w:t>
      </w:r>
      <w:proofErr w:type="spellEnd"/>
      <w:r>
        <w:rPr>
          <w:i/>
          <w:iCs/>
          <w:lang w:val="da-DK"/>
        </w:rPr>
        <w:t xml:space="preserve"> ratio</w:t>
      </w:r>
      <w:r>
        <w:rPr>
          <w:lang w:val="da-DK"/>
        </w:rPr>
        <w:t>: 0,79; 95 % KI [0,56;1,10]) eller død pga. hjerteinsufficiens (</w:t>
      </w:r>
      <w:proofErr w:type="spellStart"/>
      <w:r>
        <w:rPr>
          <w:i/>
          <w:iCs/>
          <w:lang w:val="da-DK"/>
        </w:rPr>
        <w:t>hazard</w:t>
      </w:r>
      <w:proofErr w:type="spellEnd"/>
      <w:r>
        <w:rPr>
          <w:i/>
          <w:iCs/>
          <w:lang w:val="da-DK"/>
        </w:rPr>
        <w:t xml:space="preserve"> ratio</w:t>
      </w:r>
      <w:r>
        <w:rPr>
          <w:lang w:val="da-DK"/>
        </w:rPr>
        <w:t xml:space="preserve">: 0,69; 95 % KI [0,31;1,53]).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Der sås en signifikant forbedring i NYHA-klasse ved den sidst registrerede bestemmelse, hvor 887 patienter (28 %), der fik </w:t>
      </w:r>
      <w:proofErr w:type="spellStart"/>
      <w:r>
        <w:rPr>
          <w:lang w:val="da-DK"/>
        </w:rPr>
        <w:t>ivabradin</w:t>
      </w:r>
      <w:proofErr w:type="spellEnd"/>
      <w:r>
        <w:rPr>
          <w:lang w:val="da-DK"/>
        </w:rPr>
        <w:t xml:space="preserve">, opnåede bedring </w:t>
      </w:r>
      <w:r>
        <w:rPr>
          <w:i/>
          <w:iCs/>
          <w:lang w:val="da-DK"/>
        </w:rPr>
        <w:t xml:space="preserve">versus </w:t>
      </w:r>
      <w:r>
        <w:rPr>
          <w:lang w:val="da-DK"/>
        </w:rPr>
        <w:t xml:space="preserve">776 patienter (24 %), der fik placebo (p=0,001).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I et randomiseret, placebokontrolleret studie med 97 patienter viste de data, der blev indsamlet i forbindelse med specifikke oftalmologiske undersøgelser, ingen </w:t>
      </w:r>
      <w:proofErr w:type="spellStart"/>
      <w:r>
        <w:rPr>
          <w:lang w:val="da-DK"/>
        </w:rPr>
        <w:t>retinal</w:t>
      </w:r>
      <w:proofErr w:type="spellEnd"/>
      <w:r>
        <w:rPr>
          <w:lang w:val="da-DK"/>
        </w:rPr>
        <w:t xml:space="preserve"> </w:t>
      </w:r>
      <w:proofErr w:type="spellStart"/>
      <w:r>
        <w:rPr>
          <w:lang w:val="da-DK"/>
        </w:rPr>
        <w:t>tokscitet</w:t>
      </w:r>
      <w:proofErr w:type="spellEnd"/>
      <w:r>
        <w:rPr>
          <w:lang w:val="da-DK"/>
        </w:rPr>
        <w:t xml:space="preserve">. Undersøgelserne havde til formål at dokumentere funktionen af tappe og stave og </w:t>
      </w:r>
      <w:proofErr w:type="spellStart"/>
      <w:r>
        <w:rPr>
          <w:lang w:val="da-DK"/>
        </w:rPr>
        <w:t>ascenderende</w:t>
      </w:r>
      <w:proofErr w:type="spellEnd"/>
      <w:r>
        <w:rPr>
          <w:lang w:val="da-DK"/>
        </w:rPr>
        <w:t xml:space="preserve"> synsbaner (dvs. </w:t>
      </w:r>
      <w:proofErr w:type="spellStart"/>
      <w:r>
        <w:rPr>
          <w:lang w:val="da-DK"/>
        </w:rPr>
        <w:t>elektroretinogram</w:t>
      </w:r>
      <w:proofErr w:type="spellEnd"/>
      <w:r>
        <w:rPr>
          <w:lang w:val="da-DK"/>
        </w:rPr>
        <w:t xml:space="preserve">, statiske og kinetiske synsfelter, farvesyn, skarpsyn), hos patienter i behandling med </w:t>
      </w:r>
      <w:proofErr w:type="spellStart"/>
      <w:r>
        <w:rPr>
          <w:lang w:val="da-DK"/>
        </w:rPr>
        <w:t>ivabradin</w:t>
      </w:r>
      <w:proofErr w:type="spellEnd"/>
      <w:r>
        <w:rPr>
          <w:lang w:val="da-DK"/>
        </w:rPr>
        <w:t xml:space="preserve"> for kronisk stabil angina pectoris i 3 år.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Pædiatrisk population </w:t>
      </w:r>
    </w:p>
    <w:p w:rsidR="007712B7" w:rsidRDefault="007712B7" w:rsidP="007712B7">
      <w:pPr>
        <w:pStyle w:val="Default"/>
        <w:ind w:left="851"/>
        <w:rPr>
          <w:lang w:val="da-DK"/>
        </w:rPr>
      </w:pPr>
      <w:r>
        <w:rPr>
          <w:lang w:val="da-DK"/>
        </w:rPr>
        <w:t>Et randomiseret, dobbeltblindet, placebokontrolleret studie blev udført med 116 pædiatriske patienter (17 i alderen [6-</w:t>
      </w:r>
      <w:proofErr w:type="gramStart"/>
      <w:r>
        <w:rPr>
          <w:lang w:val="da-DK"/>
        </w:rPr>
        <w:t>12[ måneder</w:t>
      </w:r>
      <w:proofErr w:type="gramEnd"/>
      <w:r>
        <w:rPr>
          <w:lang w:val="da-DK"/>
        </w:rPr>
        <w:t xml:space="preserve">, 36 i alderen [1-3[ år og 63 i alderen [3-18[ år) med kronisk hjerteinsufficiens og </w:t>
      </w:r>
      <w:proofErr w:type="spellStart"/>
      <w:r>
        <w:rPr>
          <w:lang w:val="da-DK"/>
        </w:rPr>
        <w:t>dilateret</w:t>
      </w:r>
      <w:proofErr w:type="spellEnd"/>
      <w:r>
        <w:rPr>
          <w:lang w:val="da-DK"/>
        </w:rPr>
        <w:t xml:space="preserve"> </w:t>
      </w:r>
      <w:proofErr w:type="spellStart"/>
      <w:r>
        <w:rPr>
          <w:lang w:val="da-DK"/>
        </w:rPr>
        <w:t>kardiomyopati</w:t>
      </w:r>
      <w:proofErr w:type="spellEnd"/>
      <w:r>
        <w:rPr>
          <w:lang w:val="da-DK"/>
        </w:rPr>
        <w:t xml:space="preserve"> (DCM) sammen med optimal igangværende behandling. 74 fik </w:t>
      </w:r>
      <w:proofErr w:type="spellStart"/>
      <w:r>
        <w:rPr>
          <w:lang w:val="da-DK"/>
        </w:rPr>
        <w:t>ivabradin</w:t>
      </w:r>
      <w:proofErr w:type="spellEnd"/>
      <w:r>
        <w:rPr>
          <w:lang w:val="da-DK"/>
        </w:rPr>
        <w:t xml:space="preserve"> (ratio 2:1).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Initialdosis var 0,02 mg/kg to gange daglig i aldersgruppen [6-</w:t>
      </w:r>
      <w:proofErr w:type="gramStart"/>
      <w:r>
        <w:rPr>
          <w:lang w:val="da-DK"/>
        </w:rPr>
        <w:t>12[ måneder</w:t>
      </w:r>
      <w:proofErr w:type="gramEnd"/>
      <w:r>
        <w:rPr>
          <w:lang w:val="da-DK"/>
        </w:rPr>
        <w:t xml:space="preserve">, 0,05 mg/kg to gange daglig ved [1-3[ år og [3-18[ år &lt;40 kg, og 2,5 mg to gange daglig i aldersgruppen [3-18[ år og ≥ 40 kg. Dosis blev justeret afhængigt af terapeutisk respons med maksimaldoser på hhv.0,2 mg/kg to gange daglig, 0,3 mg/kg to gange daglig og 15 mg to gange daglig. </w:t>
      </w:r>
    </w:p>
    <w:p w:rsidR="007712B7" w:rsidRDefault="007712B7" w:rsidP="007712B7">
      <w:pPr>
        <w:pStyle w:val="Default"/>
        <w:ind w:left="851"/>
        <w:rPr>
          <w:lang w:val="da-DK"/>
        </w:rPr>
      </w:pPr>
      <w:r>
        <w:rPr>
          <w:lang w:val="da-DK"/>
        </w:rPr>
        <w:t xml:space="preserve">I dette studie blev </w:t>
      </w:r>
      <w:proofErr w:type="spellStart"/>
      <w:r>
        <w:rPr>
          <w:lang w:val="da-DK"/>
        </w:rPr>
        <w:t>ivabradin</w:t>
      </w:r>
      <w:proofErr w:type="spellEnd"/>
      <w:r>
        <w:rPr>
          <w:lang w:val="da-DK"/>
        </w:rPr>
        <w:t xml:space="preserve"> administreret som oral flydende formulering eller tabletter to gange daglig. Fravær af </w:t>
      </w:r>
      <w:proofErr w:type="spellStart"/>
      <w:r>
        <w:rPr>
          <w:lang w:val="da-DK"/>
        </w:rPr>
        <w:t>farmakokinetiske</w:t>
      </w:r>
      <w:proofErr w:type="spellEnd"/>
      <w:r>
        <w:rPr>
          <w:lang w:val="da-DK"/>
        </w:rPr>
        <w:t xml:space="preserve"> forskelle mellem de to lægemiddelformuleringer blev vist i et åbent randomiseret to-perioders crossover studie hos 24 voksne raske frivillige.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lastRenderedPageBreak/>
        <w:t xml:space="preserve">Der blev opnået en reduktion i hjertefrekvens på 20 % uden bradykardi hos 69,9 % af patienterne i </w:t>
      </w:r>
      <w:proofErr w:type="spellStart"/>
      <w:r>
        <w:rPr>
          <w:lang w:val="da-DK"/>
        </w:rPr>
        <w:t>ivabradin</w:t>
      </w:r>
      <w:proofErr w:type="spellEnd"/>
      <w:r>
        <w:rPr>
          <w:lang w:val="da-DK"/>
        </w:rPr>
        <w:t>-gruppen mod 12,2 % i placebogruppen i titreringsperioden på 2 til 8 uger (</w:t>
      </w:r>
      <w:proofErr w:type="spellStart"/>
      <w:r>
        <w:rPr>
          <w:lang w:val="da-DK"/>
        </w:rPr>
        <w:t>Oddsratio</w:t>
      </w:r>
      <w:proofErr w:type="spellEnd"/>
      <w:r>
        <w:rPr>
          <w:lang w:val="da-DK"/>
        </w:rPr>
        <w:t xml:space="preserve">: E = 17,24; 95 % KI [5,91;50,30]). </w:t>
      </w:r>
    </w:p>
    <w:p w:rsidR="007712B7" w:rsidRDefault="007712B7" w:rsidP="007712B7">
      <w:pPr>
        <w:pStyle w:val="Default"/>
        <w:ind w:left="851"/>
        <w:rPr>
          <w:lang w:val="da-DK"/>
        </w:rPr>
      </w:pPr>
      <w:r>
        <w:rPr>
          <w:lang w:val="da-DK"/>
        </w:rPr>
        <w:t xml:space="preserve">De gennemsnitlige </w:t>
      </w:r>
      <w:proofErr w:type="spellStart"/>
      <w:r>
        <w:rPr>
          <w:lang w:val="da-DK"/>
        </w:rPr>
        <w:t>ivabradindoser</w:t>
      </w:r>
      <w:proofErr w:type="spellEnd"/>
      <w:r>
        <w:rPr>
          <w:lang w:val="da-DK"/>
        </w:rPr>
        <w:t xml:space="preserve"> som muliggør opnåelse af 20 % reduktion i hjertefrekvens, var hhv. 0,13 ± 0,04 mg/kg to gange daglig; 0,10 ± 0,04 mg/kg to gange daglig og 4,1 ± 2,2 mg to gange daglig i aldersgrupperne [1-</w:t>
      </w:r>
      <w:proofErr w:type="gramStart"/>
      <w:r>
        <w:rPr>
          <w:lang w:val="da-DK"/>
        </w:rPr>
        <w:t>3[ år</w:t>
      </w:r>
      <w:proofErr w:type="gramEnd"/>
      <w:r>
        <w:rPr>
          <w:lang w:val="da-DK"/>
        </w:rPr>
        <w:t xml:space="preserve">, [3-18[ år og &lt;40 kg og [3-18[ år og ≥ 40 kg.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Den gennemsnitlige LVEF steg fra 31,8 % til 45,3 % ved M012 i </w:t>
      </w:r>
      <w:proofErr w:type="spellStart"/>
      <w:r>
        <w:rPr>
          <w:lang w:val="da-DK"/>
        </w:rPr>
        <w:t>ivabradin</w:t>
      </w:r>
      <w:proofErr w:type="spellEnd"/>
      <w:r>
        <w:rPr>
          <w:lang w:val="da-DK"/>
        </w:rPr>
        <w:t xml:space="preserve">-gruppen mod 35,4 % til 42,3 % i placebogruppen. Der var en forbedring i NYHA-klasse hos 37,7 % af patienterne i </w:t>
      </w:r>
      <w:proofErr w:type="spellStart"/>
      <w:r>
        <w:rPr>
          <w:lang w:val="da-DK"/>
        </w:rPr>
        <w:t>ivabradin</w:t>
      </w:r>
      <w:proofErr w:type="spellEnd"/>
      <w:r>
        <w:rPr>
          <w:lang w:val="da-DK"/>
        </w:rPr>
        <w:t xml:space="preserve">-gruppen mod 25,0 % i placebogruppen. Disse forbedringer var ikke statistisk signifikante. </w:t>
      </w:r>
    </w:p>
    <w:p w:rsidR="007712B7" w:rsidRDefault="007712B7" w:rsidP="007712B7">
      <w:pPr>
        <w:pStyle w:val="Default"/>
        <w:ind w:left="851"/>
        <w:rPr>
          <w:lang w:val="da-DK"/>
        </w:rPr>
      </w:pPr>
      <w:r>
        <w:rPr>
          <w:lang w:val="da-DK"/>
        </w:rPr>
        <w:t xml:space="preserve">Sikkerhedsprofilen over ét år var lig med den, som er beskrevet hos voksne patienter med kronisk hjerteinsufficiens. </w:t>
      </w:r>
    </w:p>
    <w:p w:rsidR="007712B7" w:rsidRDefault="007712B7" w:rsidP="007712B7">
      <w:pPr>
        <w:pStyle w:val="Default"/>
        <w:ind w:left="851" w:hanging="851"/>
        <w:rPr>
          <w:lang w:val="da-DK"/>
        </w:rPr>
      </w:pPr>
    </w:p>
    <w:p w:rsidR="007712B7" w:rsidRDefault="007712B7" w:rsidP="007712B7">
      <w:pPr>
        <w:pStyle w:val="Default"/>
        <w:ind w:left="851"/>
        <w:rPr>
          <w:lang w:val="da-DK"/>
        </w:rPr>
      </w:pPr>
      <w:proofErr w:type="spellStart"/>
      <w:r>
        <w:rPr>
          <w:lang w:val="da-DK"/>
        </w:rPr>
        <w:t>Ivabradins</w:t>
      </w:r>
      <w:proofErr w:type="spellEnd"/>
      <w:r>
        <w:rPr>
          <w:lang w:val="da-DK"/>
        </w:rPr>
        <w:t xml:space="preserve"> langtidsvirkninger på vækst, pubertet og den generelle udvikling såvel som landtidsvirkningen af behandling med </w:t>
      </w:r>
      <w:proofErr w:type="spellStart"/>
      <w:r>
        <w:rPr>
          <w:lang w:val="da-DK"/>
        </w:rPr>
        <w:t>ivabradin</w:t>
      </w:r>
      <w:proofErr w:type="spellEnd"/>
      <w:r>
        <w:rPr>
          <w:lang w:val="da-DK"/>
        </w:rPr>
        <w:t xml:space="preserve"> til reduktion af </w:t>
      </w:r>
      <w:proofErr w:type="spellStart"/>
      <w:r>
        <w:rPr>
          <w:lang w:val="da-DK"/>
        </w:rPr>
        <w:t>kardiovaskulær</w:t>
      </w:r>
      <w:proofErr w:type="spellEnd"/>
      <w:r>
        <w:rPr>
          <w:lang w:val="da-DK"/>
        </w:rPr>
        <w:t xml:space="preserve"> morbiditet og mortalitet i barndommen er ikke blevet undersøgt. </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lang w:val="da-DK"/>
        </w:rPr>
        <w:t xml:space="preserve">Det Europæiske Lægemiddelagentur har dispenseret fra kravet om at fremlægge resultaterne af studier med referencelægemidlet indeholder </w:t>
      </w:r>
      <w:proofErr w:type="spellStart"/>
      <w:r>
        <w:rPr>
          <w:lang w:val="da-DK"/>
        </w:rPr>
        <w:t>ivabradin</w:t>
      </w:r>
      <w:proofErr w:type="spellEnd"/>
      <w:r>
        <w:rPr>
          <w:lang w:val="da-DK"/>
        </w:rPr>
        <w:t xml:space="preserve"> i alle undergrupper af den pædiatriske population med angina pectoris. </w:t>
      </w:r>
    </w:p>
    <w:p w:rsidR="007712B7" w:rsidRDefault="007712B7" w:rsidP="007712B7">
      <w:pPr>
        <w:pStyle w:val="Default"/>
        <w:ind w:left="851"/>
        <w:rPr>
          <w:lang w:val="da-DK"/>
        </w:rPr>
      </w:pPr>
      <w:r>
        <w:rPr>
          <w:lang w:val="da-DK"/>
        </w:rPr>
        <w:t xml:space="preserve">Det Europæiske Lægemiddelagentur har dispenseret fra kravet om at fremlægge resultaterne af studier med referencelægemidlet indeholder </w:t>
      </w:r>
      <w:proofErr w:type="spellStart"/>
      <w:r>
        <w:rPr>
          <w:lang w:val="da-DK"/>
        </w:rPr>
        <w:t>ivabradin</w:t>
      </w:r>
      <w:proofErr w:type="spellEnd"/>
      <w:r>
        <w:rPr>
          <w:lang w:val="da-DK"/>
        </w:rPr>
        <w:t xml:space="preserve"> til børn i alderen 0 til under 6 måneder til behandling af kronisk hjerteinsufficiens.</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7712B7" w:rsidRDefault="007712B7" w:rsidP="007712B7">
      <w:pPr>
        <w:pStyle w:val="Default"/>
        <w:ind w:left="851"/>
        <w:rPr>
          <w:lang w:val="da-DK"/>
        </w:rPr>
      </w:pPr>
      <w:r>
        <w:rPr>
          <w:lang w:val="da-DK"/>
        </w:rPr>
        <w:t xml:space="preserve">Under fysiologiske betingelser frigøres </w:t>
      </w:r>
      <w:proofErr w:type="spellStart"/>
      <w:r>
        <w:rPr>
          <w:lang w:val="da-DK"/>
        </w:rPr>
        <w:t>ivabradin</w:t>
      </w:r>
      <w:proofErr w:type="spellEnd"/>
      <w:r>
        <w:rPr>
          <w:lang w:val="da-DK"/>
        </w:rPr>
        <w:t xml:space="preserve"> hurtigt fra tabletterne og er letopløseligt i vand (&gt;10 mg/ml). </w:t>
      </w:r>
      <w:proofErr w:type="spellStart"/>
      <w:r>
        <w:rPr>
          <w:lang w:val="da-DK"/>
        </w:rPr>
        <w:t>Ivabradin</w:t>
      </w:r>
      <w:proofErr w:type="spellEnd"/>
      <w:r>
        <w:rPr>
          <w:lang w:val="da-DK"/>
        </w:rPr>
        <w:t xml:space="preserve"> er S-</w:t>
      </w:r>
      <w:proofErr w:type="spellStart"/>
      <w:r>
        <w:rPr>
          <w:lang w:val="da-DK"/>
        </w:rPr>
        <w:t>enantiomeren</w:t>
      </w:r>
      <w:proofErr w:type="spellEnd"/>
      <w:r>
        <w:rPr>
          <w:lang w:val="da-DK"/>
        </w:rPr>
        <w:t xml:space="preserve">, og der er ikke påvist bioomdannelse </w:t>
      </w:r>
      <w:r>
        <w:rPr>
          <w:i/>
          <w:iCs/>
          <w:lang w:val="da-DK"/>
        </w:rPr>
        <w:t xml:space="preserve">in </w:t>
      </w:r>
      <w:proofErr w:type="spellStart"/>
      <w:r>
        <w:rPr>
          <w:i/>
          <w:iCs/>
          <w:lang w:val="da-DK"/>
        </w:rPr>
        <w:t>vivo</w:t>
      </w:r>
      <w:proofErr w:type="spellEnd"/>
      <w:r>
        <w:rPr>
          <w:lang w:val="da-DK"/>
        </w:rPr>
        <w:t>. Det N-</w:t>
      </w:r>
      <w:proofErr w:type="spellStart"/>
      <w:r>
        <w:rPr>
          <w:lang w:val="da-DK"/>
        </w:rPr>
        <w:t>demethylerede</w:t>
      </w:r>
      <w:proofErr w:type="spellEnd"/>
      <w:r>
        <w:rPr>
          <w:lang w:val="da-DK"/>
        </w:rPr>
        <w:t xml:space="preserve"> derivat af </w:t>
      </w:r>
      <w:proofErr w:type="spellStart"/>
      <w:r>
        <w:rPr>
          <w:lang w:val="da-DK"/>
        </w:rPr>
        <w:t>ivabradin</w:t>
      </w:r>
      <w:proofErr w:type="spellEnd"/>
      <w:r>
        <w:rPr>
          <w:lang w:val="da-DK"/>
        </w:rPr>
        <w:t xml:space="preserve"> er identificeret som den aktive hovedmetabolit hos mennesker.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Absorption og biotilgængelighed </w:t>
      </w:r>
    </w:p>
    <w:p w:rsidR="007712B7" w:rsidRDefault="007712B7" w:rsidP="007712B7">
      <w:pPr>
        <w:pStyle w:val="Default"/>
        <w:ind w:left="851"/>
        <w:rPr>
          <w:lang w:val="da-DK"/>
        </w:rPr>
      </w:pPr>
      <w:proofErr w:type="spellStart"/>
      <w:r>
        <w:rPr>
          <w:lang w:val="da-DK"/>
        </w:rPr>
        <w:t>Ivabradin</w:t>
      </w:r>
      <w:proofErr w:type="spellEnd"/>
      <w:r>
        <w:rPr>
          <w:lang w:val="da-DK"/>
        </w:rPr>
        <w:t xml:space="preserve"> absorberes hurtigt og næsten fuldstændigt efter oral administration, og peak-plasmakoncentrationen nås inden for ca. 1 time under fastende betingelser. Den absolutte biotilgængelighed af de filmovertrukne tabletter er ca. 40 % på grund af en førstepassage-effekt i tarm og lever. </w:t>
      </w:r>
    </w:p>
    <w:p w:rsidR="007712B7" w:rsidRDefault="007712B7" w:rsidP="007712B7">
      <w:pPr>
        <w:pStyle w:val="Default"/>
        <w:ind w:left="851"/>
        <w:rPr>
          <w:lang w:val="da-DK"/>
        </w:rPr>
      </w:pPr>
      <w:r>
        <w:rPr>
          <w:lang w:val="da-DK"/>
        </w:rPr>
        <w:t xml:space="preserve">Føde forsinkede absorptionen med ca. 1 time og øgede plasmaeksponering med 20-30 %. Det anbefales at indtage tabletterne under et måltid for at nedsætte forskelle i individuel eksponering (se pkt. 4.2). </w:t>
      </w:r>
    </w:p>
    <w:p w:rsidR="007712B7" w:rsidRDefault="007712B7" w:rsidP="007712B7">
      <w:pPr>
        <w:pStyle w:val="Default"/>
        <w:ind w:left="851"/>
        <w:rPr>
          <w:lang w:val="da-DK"/>
        </w:rPr>
      </w:pPr>
    </w:p>
    <w:p w:rsidR="007712B7" w:rsidRDefault="007712B7" w:rsidP="007712B7">
      <w:pPr>
        <w:pStyle w:val="Default"/>
        <w:ind w:left="851"/>
        <w:rPr>
          <w:u w:val="single"/>
          <w:lang w:val="da-DK"/>
        </w:rPr>
      </w:pPr>
      <w:r>
        <w:rPr>
          <w:u w:val="single"/>
          <w:lang w:val="da-DK"/>
        </w:rPr>
        <w:t xml:space="preserve">Fordeling </w:t>
      </w:r>
    </w:p>
    <w:p w:rsidR="007712B7" w:rsidRDefault="007712B7" w:rsidP="007712B7">
      <w:pPr>
        <w:pStyle w:val="Default"/>
        <w:ind w:left="851"/>
        <w:rPr>
          <w:lang w:val="da-DK"/>
        </w:rPr>
      </w:pPr>
      <w:proofErr w:type="spellStart"/>
      <w:r>
        <w:rPr>
          <w:lang w:val="da-DK"/>
        </w:rPr>
        <w:t>Ivabradin</w:t>
      </w:r>
      <w:proofErr w:type="spellEnd"/>
      <w:r>
        <w:rPr>
          <w:lang w:val="da-DK"/>
        </w:rPr>
        <w:t xml:space="preserve"> er ca. 70 % bundet til plasmaproteiner, og fordelingsvolumenet i </w:t>
      </w:r>
      <w:proofErr w:type="spellStart"/>
      <w:r>
        <w:rPr>
          <w:lang w:val="da-DK"/>
        </w:rPr>
        <w:t>steady-state</w:t>
      </w:r>
      <w:proofErr w:type="spellEnd"/>
      <w:r>
        <w:rPr>
          <w:lang w:val="da-DK"/>
        </w:rPr>
        <w:t xml:space="preserve"> er næsten 100 l hos patienter. Den maksimale plasmakoncentration efter kronisk administration i den anbefalede dosis på 5 mg to gange daglig er ca. 22 </w:t>
      </w:r>
      <w:proofErr w:type="spellStart"/>
      <w:r>
        <w:rPr>
          <w:lang w:val="da-DK"/>
        </w:rPr>
        <w:t>ng</w:t>
      </w:r>
      <w:proofErr w:type="spellEnd"/>
      <w:r>
        <w:rPr>
          <w:lang w:val="da-DK"/>
        </w:rPr>
        <w:t xml:space="preserve">/ml (CV = 29 %). Den gennemsnitlige plasmakoncentration i </w:t>
      </w:r>
      <w:proofErr w:type="spellStart"/>
      <w:r>
        <w:rPr>
          <w:lang w:val="da-DK"/>
        </w:rPr>
        <w:t>steady-state</w:t>
      </w:r>
      <w:proofErr w:type="spellEnd"/>
      <w:r>
        <w:rPr>
          <w:lang w:val="da-DK"/>
        </w:rPr>
        <w:t xml:space="preserve"> er 10 </w:t>
      </w:r>
      <w:proofErr w:type="spellStart"/>
      <w:r>
        <w:rPr>
          <w:lang w:val="da-DK"/>
        </w:rPr>
        <w:t>ng</w:t>
      </w:r>
      <w:proofErr w:type="spellEnd"/>
      <w:r>
        <w:rPr>
          <w:lang w:val="da-DK"/>
        </w:rPr>
        <w:t xml:space="preserve">/ml (CV = 38 %).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Biotransformation </w:t>
      </w:r>
    </w:p>
    <w:p w:rsidR="007712B7" w:rsidRDefault="007712B7" w:rsidP="007712B7">
      <w:pPr>
        <w:pStyle w:val="Default"/>
        <w:ind w:left="851"/>
        <w:rPr>
          <w:lang w:val="da-DK"/>
        </w:rPr>
      </w:pPr>
      <w:proofErr w:type="spellStart"/>
      <w:r>
        <w:rPr>
          <w:lang w:val="da-DK"/>
        </w:rPr>
        <w:t>Ivabradin</w:t>
      </w:r>
      <w:proofErr w:type="spellEnd"/>
      <w:r>
        <w:rPr>
          <w:lang w:val="da-DK"/>
        </w:rPr>
        <w:t xml:space="preserve"> undergår en omfattende </w:t>
      </w:r>
      <w:proofErr w:type="spellStart"/>
      <w:r>
        <w:rPr>
          <w:lang w:val="da-DK"/>
        </w:rPr>
        <w:t>metabolisering</w:t>
      </w:r>
      <w:proofErr w:type="spellEnd"/>
      <w:r>
        <w:rPr>
          <w:lang w:val="da-DK"/>
        </w:rPr>
        <w:t xml:space="preserve"> i leveren og tarmen ved oxidation, udelukkende ved hjælp af </w:t>
      </w:r>
      <w:proofErr w:type="spellStart"/>
      <w:r>
        <w:rPr>
          <w:lang w:val="da-DK"/>
        </w:rPr>
        <w:t>cytokrom</w:t>
      </w:r>
      <w:proofErr w:type="spellEnd"/>
      <w:r>
        <w:rPr>
          <w:lang w:val="da-DK"/>
        </w:rPr>
        <w:t xml:space="preserve"> P450 3A4 (CYP3A4). Den aktive hovedmetabolit er N-</w:t>
      </w:r>
      <w:proofErr w:type="spellStart"/>
      <w:r>
        <w:rPr>
          <w:lang w:val="da-DK"/>
        </w:rPr>
        <w:t>demethylderivatet</w:t>
      </w:r>
      <w:proofErr w:type="spellEnd"/>
      <w:r>
        <w:rPr>
          <w:lang w:val="da-DK"/>
        </w:rPr>
        <w:t xml:space="preserve"> (S 18982) med en eksponering på ca. 40 % af moderstoffets </w:t>
      </w:r>
      <w:r>
        <w:rPr>
          <w:lang w:val="da-DK"/>
        </w:rPr>
        <w:lastRenderedPageBreak/>
        <w:t xml:space="preserve">eksponering. Metabolismen af den aktive metabolit involverer også CYP3A4. </w:t>
      </w:r>
      <w:proofErr w:type="spellStart"/>
      <w:r>
        <w:rPr>
          <w:lang w:val="da-DK"/>
        </w:rPr>
        <w:t>Ivabradin</w:t>
      </w:r>
      <w:proofErr w:type="spellEnd"/>
      <w:r>
        <w:rPr>
          <w:lang w:val="da-DK"/>
        </w:rPr>
        <w:t xml:space="preserve"> har lav affinitet til CYP3A4, viser ingen klinisk relevant induktion eller hæmning af CYP3A4- og vil derfor sandsynligvis ikke modificere metabolismen af CYP3A4-substrater eller deres plasmakoncentrationer. Omvendt kan stærke </w:t>
      </w:r>
      <w:proofErr w:type="spellStart"/>
      <w:r>
        <w:rPr>
          <w:lang w:val="da-DK"/>
        </w:rPr>
        <w:t>hæmmere</w:t>
      </w:r>
      <w:proofErr w:type="spellEnd"/>
      <w:r>
        <w:rPr>
          <w:lang w:val="da-DK"/>
        </w:rPr>
        <w:t xml:space="preserve"> og induktorer påvirke plasmakoncentrationerne af </w:t>
      </w:r>
      <w:proofErr w:type="spellStart"/>
      <w:r>
        <w:rPr>
          <w:lang w:val="da-DK"/>
        </w:rPr>
        <w:t>ivabradin</w:t>
      </w:r>
      <w:proofErr w:type="spellEnd"/>
      <w:r>
        <w:rPr>
          <w:lang w:val="da-DK"/>
        </w:rPr>
        <w:t xml:space="preserve"> i betydeligt omfang (se pkt. 4.5).</w:t>
      </w:r>
    </w:p>
    <w:p w:rsidR="007712B7" w:rsidRDefault="007712B7" w:rsidP="007712B7">
      <w:pPr>
        <w:pStyle w:val="Default"/>
        <w:ind w:left="851" w:hanging="851"/>
        <w:rPr>
          <w:lang w:val="da-DK"/>
        </w:rPr>
      </w:pPr>
    </w:p>
    <w:p w:rsidR="007712B7" w:rsidRDefault="007712B7" w:rsidP="007712B7">
      <w:pPr>
        <w:pStyle w:val="Default"/>
        <w:ind w:left="851"/>
        <w:rPr>
          <w:lang w:val="da-DK"/>
        </w:rPr>
      </w:pPr>
      <w:r>
        <w:rPr>
          <w:u w:val="single"/>
          <w:lang w:val="da-DK"/>
        </w:rPr>
        <w:t xml:space="preserve">Elimination </w:t>
      </w:r>
    </w:p>
    <w:p w:rsidR="007712B7" w:rsidRDefault="007712B7" w:rsidP="007712B7">
      <w:pPr>
        <w:pStyle w:val="Default"/>
        <w:ind w:left="851"/>
        <w:rPr>
          <w:lang w:val="da-DK"/>
        </w:rPr>
      </w:pPr>
      <w:proofErr w:type="spellStart"/>
      <w:r>
        <w:rPr>
          <w:lang w:val="da-DK"/>
        </w:rPr>
        <w:t>Ivabradin</w:t>
      </w:r>
      <w:proofErr w:type="spellEnd"/>
      <w:r>
        <w:rPr>
          <w:lang w:val="da-DK"/>
        </w:rPr>
        <w:t xml:space="preserve"> udskilles med en hovedhalveringstid på 2 timer (70-75 % af AUC) i plasma og en effektiv eliminationshalveringstid på 11 timer. Total </w:t>
      </w:r>
      <w:proofErr w:type="spellStart"/>
      <w:r>
        <w:rPr>
          <w:lang w:val="da-DK"/>
        </w:rPr>
        <w:t>clearance</w:t>
      </w:r>
      <w:proofErr w:type="spellEnd"/>
      <w:r>
        <w:rPr>
          <w:lang w:val="da-DK"/>
        </w:rPr>
        <w:t xml:space="preserve"> er ca. 400 ml/min, og den </w:t>
      </w:r>
      <w:proofErr w:type="spellStart"/>
      <w:r>
        <w:rPr>
          <w:lang w:val="da-DK"/>
        </w:rPr>
        <w:t>renale</w:t>
      </w:r>
      <w:proofErr w:type="spellEnd"/>
      <w:r>
        <w:rPr>
          <w:lang w:val="da-DK"/>
        </w:rPr>
        <w:t xml:space="preserve"> </w:t>
      </w:r>
      <w:proofErr w:type="spellStart"/>
      <w:r>
        <w:rPr>
          <w:lang w:val="da-DK"/>
        </w:rPr>
        <w:t>clearance</w:t>
      </w:r>
      <w:proofErr w:type="spellEnd"/>
      <w:r>
        <w:rPr>
          <w:lang w:val="da-DK"/>
        </w:rPr>
        <w:t xml:space="preserve"> er ca. 70 ml/min. Udskillelsen af metabolitter og små mængder </w:t>
      </w:r>
      <w:proofErr w:type="spellStart"/>
      <w:r>
        <w:rPr>
          <w:lang w:val="da-DK"/>
        </w:rPr>
        <w:t>uomdannede</w:t>
      </w:r>
      <w:proofErr w:type="spellEnd"/>
      <w:r>
        <w:rPr>
          <w:lang w:val="da-DK"/>
        </w:rPr>
        <w:t xml:space="preserve"> stoffer sker i samme målestof via fæces og urin. Ca. 4 % af en oral dosis udskilles </w:t>
      </w:r>
      <w:proofErr w:type="spellStart"/>
      <w:r>
        <w:rPr>
          <w:lang w:val="da-DK"/>
        </w:rPr>
        <w:t>uomdannet</w:t>
      </w:r>
      <w:proofErr w:type="spellEnd"/>
      <w:r>
        <w:rPr>
          <w:lang w:val="da-DK"/>
        </w:rPr>
        <w:t xml:space="preserve"> med urinen.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Linearitet/non-linearitet </w:t>
      </w:r>
    </w:p>
    <w:p w:rsidR="007712B7" w:rsidRDefault="007712B7" w:rsidP="007712B7">
      <w:pPr>
        <w:pStyle w:val="Default"/>
        <w:ind w:left="851"/>
        <w:rPr>
          <w:lang w:val="da-DK"/>
        </w:rPr>
      </w:pPr>
      <w:proofErr w:type="spellStart"/>
      <w:r>
        <w:rPr>
          <w:lang w:val="da-DK"/>
        </w:rPr>
        <w:t>Ivabradins</w:t>
      </w:r>
      <w:proofErr w:type="spellEnd"/>
      <w:r>
        <w:rPr>
          <w:lang w:val="da-DK"/>
        </w:rPr>
        <w:t xml:space="preserve"> kinetik er lineær over en oral dosisspændvidde på 0,5</w:t>
      </w:r>
      <w:r w:rsidR="005067BE">
        <w:rPr>
          <w:lang w:val="da-DK"/>
        </w:rPr>
        <w:t>-</w:t>
      </w:r>
      <w:r>
        <w:rPr>
          <w:lang w:val="da-DK"/>
        </w:rPr>
        <w:t xml:space="preserve">24 mg. </w:t>
      </w:r>
    </w:p>
    <w:p w:rsidR="007712B7" w:rsidRDefault="007712B7" w:rsidP="007712B7">
      <w:pPr>
        <w:pStyle w:val="Default"/>
        <w:ind w:left="851" w:hanging="851"/>
        <w:rPr>
          <w:u w:val="single"/>
          <w:lang w:val="da-DK"/>
        </w:rPr>
      </w:pPr>
    </w:p>
    <w:p w:rsidR="007712B7" w:rsidRDefault="007712B7" w:rsidP="007712B7">
      <w:pPr>
        <w:pStyle w:val="Default"/>
        <w:ind w:left="851"/>
        <w:rPr>
          <w:lang w:val="da-DK"/>
        </w:rPr>
      </w:pPr>
      <w:r>
        <w:rPr>
          <w:u w:val="single"/>
          <w:lang w:val="da-DK"/>
        </w:rPr>
        <w:t xml:space="preserve">Særlige populationer </w:t>
      </w:r>
    </w:p>
    <w:p w:rsidR="007712B7" w:rsidRDefault="007712B7" w:rsidP="005067BE">
      <w:pPr>
        <w:pStyle w:val="Default"/>
        <w:numPr>
          <w:ilvl w:val="0"/>
          <w:numId w:val="11"/>
        </w:numPr>
        <w:ind w:left="1134" w:hanging="283"/>
        <w:rPr>
          <w:lang w:val="da-DK"/>
        </w:rPr>
      </w:pPr>
      <w:r>
        <w:rPr>
          <w:lang w:val="da-DK"/>
        </w:rPr>
        <w:t xml:space="preserve">Ældre: Der er ikke observeret </w:t>
      </w:r>
      <w:proofErr w:type="spellStart"/>
      <w:r>
        <w:rPr>
          <w:lang w:val="da-DK"/>
        </w:rPr>
        <w:t>farmakokinetiske</w:t>
      </w:r>
      <w:proofErr w:type="spellEnd"/>
      <w:r>
        <w:rPr>
          <w:lang w:val="da-DK"/>
        </w:rPr>
        <w:t xml:space="preserve"> forskelle (AUC og </w:t>
      </w:r>
      <w:proofErr w:type="spellStart"/>
      <w:r>
        <w:rPr>
          <w:lang w:val="da-DK"/>
        </w:rPr>
        <w:t>Cmax</w:t>
      </w:r>
      <w:proofErr w:type="spellEnd"/>
      <w:r>
        <w:rPr>
          <w:lang w:val="da-DK"/>
        </w:rPr>
        <w:t xml:space="preserve">) mellem ældre (≥ 65 år) eller gamle patienter (≥ 75 år) og den samlede population (se pkt. 4.2). </w:t>
      </w:r>
    </w:p>
    <w:p w:rsidR="007712B7" w:rsidRDefault="007712B7" w:rsidP="005067BE">
      <w:pPr>
        <w:pStyle w:val="Default"/>
        <w:numPr>
          <w:ilvl w:val="0"/>
          <w:numId w:val="11"/>
        </w:numPr>
        <w:ind w:left="1134" w:hanging="283"/>
        <w:rPr>
          <w:lang w:val="da-DK"/>
        </w:rPr>
      </w:pPr>
      <w:r>
        <w:rPr>
          <w:lang w:val="da-DK"/>
        </w:rPr>
        <w:t>Nedsat nyrefunktion: Påvirkningen af nedsat nyrefunktion (</w:t>
      </w:r>
      <w:proofErr w:type="spellStart"/>
      <w:r>
        <w:rPr>
          <w:lang w:val="da-DK"/>
        </w:rPr>
        <w:t>kreatininclearance</w:t>
      </w:r>
      <w:proofErr w:type="spellEnd"/>
      <w:r>
        <w:rPr>
          <w:lang w:val="da-DK"/>
        </w:rPr>
        <w:t xml:space="preserve"> fra 15 til 60 ml/min) på </w:t>
      </w:r>
      <w:proofErr w:type="spellStart"/>
      <w:r>
        <w:rPr>
          <w:lang w:val="da-DK"/>
        </w:rPr>
        <w:t>ivabradins</w:t>
      </w:r>
      <w:proofErr w:type="spellEnd"/>
      <w:r>
        <w:rPr>
          <w:lang w:val="da-DK"/>
        </w:rPr>
        <w:t xml:space="preserve"> farmakokinetik er minimal, sammenholdt med det lille bidrag af </w:t>
      </w:r>
      <w:proofErr w:type="spellStart"/>
      <w:r>
        <w:rPr>
          <w:lang w:val="da-DK"/>
        </w:rPr>
        <w:t>renal</w:t>
      </w:r>
      <w:proofErr w:type="spellEnd"/>
      <w:r>
        <w:rPr>
          <w:lang w:val="da-DK"/>
        </w:rPr>
        <w:t xml:space="preserve"> </w:t>
      </w:r>
      <w:proofErr w:type="spellStart"/>
      <w:r>
        <w:rPr>
          <w:lang w:val="da-DK"/>
        </w:rPr>
        <w:t>clearance</w:t>
      </w:r>
      <w:proofErr w:type="spellEnd"/>
      <w:r>
        <w:rPr>
          <w:lang w:val="da-DK"/>
        </w:rPr>
        <w:t xml:space="preserve"> (ca. 20 %) til den samlede elimination af både </w:t>
      </w:r>
      <w:proofErr w:type="spellStart"/>
      <w:r>
        <w:rPr>
          <w:lang w:val="da-DK"/>
        </w:rPr>
        <w:t>ivabradin</w:t>
      </w:r>
      <w:proofErr w:type="spellEnd"/>
      <w:r>
        <w:rPr>
          <w:lang w:val="da-DK"/>
        </w:rPr>
        <w:t xml:space="preserve"> og dets hovedmetabolit S 18982 (se pkt. 4.2). </w:t>
      </w:r>
    </w:p>
    <w:p w:rsidR="007712B7" w:rsidRDefault="007712B7" w:rsidP="005067BE">
      <w:pPr>
        <w:pStyle w:val="Default"/>
        <w:numPr>
          <w:ilvl w:val="0"/>
          <w:numId w:val="11"/>
        </w:numPr>
        <w:ind w:left="1134" w:hanging="283"/>
        <w:rPr>
          <w:lang w:val="da-DK"/>
        </w:rPr>
      </w:pPr>
      <w:r>
        <w:rPr>
          <w:lang w:val="da-DK"/>
        </w:rPr>
        <w:t>Nedsat leverfunktion: Hos patienter med let leverinsufficiens (Child-</w:t>
      </w:r>
      <w:proofErr w:type="spellStart"/>
      <w:r>
        <w:rPr>
          <w:lang w:val="da-DK"/>
        </w:rPr>
        <w:t>Pugh</w:t>
      </w:r>
      <w:proofErr w:type="spellEnd"/>
      <w:r>
        <w:rPr>
          <w:lang w:val="da-DK"/>
        </w:rPr>
        <w:t xml:space="preserve"> Score op til 7) var AUC for ubundet </w:t>
      </w:r>
      <w:proofErr w:type="spellStart"/>
      <w:r>
        <w:rPr>
          <w:lang w:val="da-DK"/>
        </w:rPr>
        <w:t>ivabradin</w:t>
      </w:r>
      <w:proofErr w:type="spellEnd"/>
      <w:r>
        <w:rPr>
          <w:lang w:val="da-DK"/>
        </w:rPr>
        <w:t xml:space="preserve"> og dets aktive hovedmetabolit ca. 20 % større end hos patienter med normal leverfunktion. Der er ikke tilstrækkelige data til at trække konklusioner hos patienter med moderat leverinsufficiens. Der foreligger ingen data fra patienter med svær leverinsufficiens (se pkt. 4.2 og 4.3). </w:t>
      </w:r>
    </w:p>
    <w:p w:rsidR="007712B7" w:rsidRDefault="007712B7" w:rsidP="005067BE">
      <w:pPr>
        <w:pStyle w:val="Default"/>
        <w:numPr>
          <w:ilvl w:val="0"/>
          <w:numId w:val="11"/>
        </w:numPr>
        <w:ind w:left="1134" w:hanging="283"/>
        <w:rPr>
          <w:lang w:val="da-DK"/>
        </w:rPr>
      </w:pPr>
      <w:r>
        <w:rPr>
          <w:lang w:val="da-DK"/>
        </w:rPr>
        <w:t xml:space="preserve">Pædiatrisk population: </w:t>
      </w:r>
      <w:proofErr w:type="spellStart"/>
      <w:r>
        <w:rPr>
          <w:lang w:val="da-DK"/>
        </w:rPr>
        <w:t>Ivabradins</w:t>
      </w:r>
      <w:proofErr w:type="spellEnd"/>
      <w:r>
        <w:rPr>
          <w:lang w:val="da-DK"/>
        </w:rPr>
        <w:t xml:space="preserve"> </w:t>
      </w:r>
      <w:proofErr w:type="spellStart"/>
      <w:r>
        <w:rPr>
          <w:lang w:val="da-DK"/>
        </w:rPr>
        <w:t>farmakokinetiske</w:t>
      </w:r>
      <w:proofErr w:type="spellEnd"/>
      <w:r>
        <w:rPr>
          <w:lang w:val="da-DK"/>
        </w:rPr>
        <w:t xml:space="preserve"> profil hos pædiatriske patienter i alderen 6 måneder til under 18 år med kronisk hjerteinsufficiens svarer til farmakokinetikken, der er beskrevet hos voksne, når et titreringsskema baseret på alder og vægt anvendes. </w:t>
      </w:r>
    </w:p>
    <w:p w:rsidR="007712B7" w:rsidRDefault="007712B7" w:rsidP="007712B7">
      <w:pPr>
        <w:pStyle w:val="Default"/>
        <w:ind w:left="851" w:hanging="851"/>
        <w:rPr>
          <w:lang w:val="da-DK"/>
        </w:rPr>
      </w:pPr>
    </w:p>
    <w:p w:rsidR="007712B7" w:rsidRDefault="007712B7" w:rsidP="007712B7">
      <w:pPr>
        <w:pStyle w:val="Default"/>
        <w:ind w:left="851"/>
        <w:rPr>
          <w:lang w:val="da-DK"/>
        </w:rPr>
      </w:pPr>
      <w:proofErr w:type="spellStart"/>
      <w:r>
        <w:rPr>
          <w:u w:val="single"/>
          <w:lang w:val="da-DK"/>
        </w:rPr>
        <w:t>Farmakokinetiske</w:t>
      </w:r>
      <w:proofErr w:type="spellEnd"/>
      <w:r>
        <w:rPr>
          <w:u w:val="single"/>
          <w:lang w:val="da-DK"/>
        </w:rPr>
        <w:t>/</w:t>
      </w:r>
      <w:proofErr w:type="spellStart"/>
      <w:r>
        <w:rPr>
          <w:u w:val="single"/>
          <w:lang w:val="da-DK"/>
        </w:rPr>
        <w:t>farmakodynamiske</w:t>
      </w:r>
      <w:proofErr w:type="spellEnd"/>
      <w:r>
        <w:rPr>
          <w:u w:val="single"/>
          <w:lang w:val="da-DK"/>
        </w:rPr>
        <w:t xml:space="preserve"> forhold </w:t>
      </w:r>
    </w:p>
    <w:p w:rsidR="007712B7" w:rsidRDefault="007712B7" w:rsidP="007712B7">
      <w:pPr>
        <w:pStyle w:val="Default"/>
        <w:ind w:left="851"/>
        <w:rPr>
          <w:lang w:val="da-DK"/>
        </w:rPr>
      </w:pPr>
      <w:r>
        <w:rPr>
          <w:lang w:val="da-DK"/>
        </w:rPr>
        <w:t xml:space="preserve">Analyse af PK/PD-forholdet har vist, at hjertefrekvensen falder næsten lineært med stigende plasmakoncentrationer af </w:t>
      </w:r>
      <w:proofErr w:type="spellStart"/>
      <w:r>
        <w:rPr>
          <w:lang w:val="da-DK"/>
        </w:rPr>
        <w:t>ivabradin</w:t>
      </w:r>
      <w:proofErr w:type="spellEnd"/>
      <w:r>
        <w:rPr>
          <w:lang w:val="da-DK"/>
        </w:rPr>
        <w:t xml:space="preserve"> og S 18982 i doser op til 15-20 mg to gange daglig. Efter højere doser er faldet i hjertefrekvens ikke længere proportionalt med plasmakoncentrationen af </w:t>
      </w:r>
      <w:proofErr w:type="spellStart"/>
      <w:r>
        <w:rPr>
          <w:lang w:val="da-DK"/>
        </w:rPr>
        <w:t>ivabradin</w:t>
      </w:r>
      <w:proofErr w:type="spellEnd"/>
      <w:r>
        <w:rPr>
          <w:lang w:val="da-DK"/>
        </w:rPr>
        <w:t xml:space="preserve"> og tenderer til at nå et plateau. Høj eksponering over for </w:t>
      </w:r>
      <w:proofErr w:type="spellStart"/>
      <w:r>
        <w:rPr>
          <w:lang w:val="da-DK"/>
        </w:rPr>
        <w:t>ivabradin</w:t>
      </w:r>
      <w:proofErr w:type="spellEnd"/>
      <w:r>
        <w:rPr>
          <w:lang w:val="da-DK"/>
        </w:rPr>
        <w:t xml:space="preserve">, som kan indtræffe, hvis </w:t>
      </w:r>
      <w:proofErr w:type="spellStart"/>
      <w:r>
        <w:rPr>
          <w:lang w:val="da-DK"/>
        </w:rPr>
        <w:t>ivabradin</w:t>
      </w:r>
      <w:proofErr w:type="spellEnd"/>
      <w:r>
        <w:rPr>
          <w:lang w:val="da-DK"/>
        </w:rPr>
        <w:t xml:space="preserve"> gives i kombination med kraftige CYP3A4-hæmmere, kan medføre et meget stort fald i hjerte-frekvensen, selvom denne risiko er nedsat med moderate CYP3A4-hæmmere (se pkt. 4.3, 4.4 og 4.5). </w:t>
      </w:r>
    </w:p>
    <w:p w:rsidR="007712B7" w:rsidRDefault="007712B7" w:rsidP="007712B7">
      <w:pPr>
        <w:pStyle w:val="Default"/>
        <w:ind w:left="851"/>
        <w:rPr>
          <w:lang w:val="da-DK"/>
        </w:rPr>
      </w:pPr>
      <w:proofErr w:type="spellStart"/>
      <w:r>
        <w:rPr>
          <w:lang w:val="da-DK"/>
        </w:rPr>
        <w:t>Ivabradins</w:t>
      </w:r>
      <w:proofErr w:type="spellEnd"/>
      <w:r>
        <w:rPr>
          <w:lang w:val="da-DK"/>
        </w:rPr>
        <w:t xml:space="preserve"> PK/PD-forhold hos pædiatriske patienter i alderen 6 måneder til under 18 år med kronisk hjerteinsufficiens svarer til det PK/PD-forhold, der er beskrevet hos voksne.</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5.3</w:t>
      </w:r>
      <w:r>
        <w:rPr>
          <w:b/>
          <w:sz w:val="24"/>
          <w:szCs w:val="24"/>
        </w:rPr>
        <w:tab/>
        <w:t>Prækliniske sikkerhedsdata</w:t>
      </w:r>
    </w:p>
    <w:p w:rsidR="007712B7" w:rsidRDefault="007712B7" w:rsidP="007712B7">
      <w:pPr>
        <w:pStyle w:val="Default"/>
        <w:ind w:left="851"/>
        <w:rPr>
          <w:lang w:val="da-DK"/>
        </w:rPr>
      </w:pPr>
      <w:r>
        <w:rPr>
          <w:lang w:val="da-DK"/>
        </w:rPr>
        <w:t xml:space="preserve">Prækliniske data viser ingen speciel risiko for mennesker vurderet ud fra konventionelle studier af sikkerhedsfarmakologi, toksicitet efter gentagne doser, genotoksicitet og </w:t>
      </w:r>
      <w:proofErr w:type="spellStart"/>
      <w:r>
        <w:rPr>
          <w:lang w:val="da-DK"/>
        </w:rPr>
        <w:t>karcinogenicitet</w:t>
      </w:r>
      <w:proofErr w:type="spellEnd"/>
      <w:r>
        <w:rPr>
          <w:lang w:val="da-DK"/>
        </w:rPr>
        <w:t xml:space="preserve">. Reproduktionstoksikologiske studier viste ingen effekt af </w:t>
      </w:r>
      <w:proofErr w:type="spellStart"/>
      <w:r>
        <w:rPr>
          <w:lang w:val="da-DK"/>
        </w:rPr>
        <w:t>ivabradin</w:t>
      </w:r>
      <w:proofErr w:type="spellEnd"/>
      <w:r>
        <w:rPr>
          <w:lang w:val="da-DK"/>
        </w:rPr>
        <w:t xml:space="preserve"> på fertiliteten hos han- og hunrotter. Når gravide dyr blev behandlet under </w:t>
      </w:r>
      <w:proofErr w:type="spellStart"/>
      <w:r>
        <w:rPr>
          <w:lang w:val="da-DK"/>
        </w:rPr>
        <w:t>organogenesen</w:t>
      </w:r>
      <w:proofErr w:type="spellEnd"/>
      <w:r>
        <w:rPr>
          <w:lang w:val="da-DK"/>
        </w:rPr>
        <w:t xml:space="preserve"> ved eksponeringer tæt på de terapeutiske doser, var der en højere </w:t>
      </w:r>
      <w:proofErr w:type="spellStart"/>
      <w:r>
        <w:rPr>
          <w:lang w:val="da-DK"/>
        </w:rPr>
        <w:t>incidens</w:t>
      </w:r>
      <w:proofErr w:type="spellEnd"/>
      <w:r>
        <w:rPr>
          <w:lang w:val="da-DK"/>
        </w:rPr>
        <w:t xml:space="preserve"> af fostre med kardiale defekter hos rotte og et mindre antal fostre med </w:t>
      </w:r>
      <w:proofErr w:type="spellStart"/>
      <w:r>
        <w:rPr>
          <w:lang w:val="da-DK"/>
        </w:rPr>
        <w:t>ektrodaktyli</w:t>
      </w:r>
      <w:proofErr w:type="spellEnd"/>
      <w:r>
        <w:rPr>
          <w:lang w:val="da-DK"/>
        </w:rPr>
        <w:t xml:space="preserve"> hos kanin. </w:t>
      </w:r>
    </w:p>
    <w:p w:rsidR="007712B7" w:rsidRDefault="007712B7" w:rsidP="007712B7">
      <w:pPr>
        <w:pStyle w:val="Default"/>
        <w:ind w:left="851"/>
        <w:rPr>
          <w:lang w:val="da-DK"/>
        </w:rPr>
      </w:pPr>
      <w:r>
        <w:rPr>
          <w:lang w:val="da-DK"/>
        </w:rPr>
        <w:lastRenderedPageBreak/>
        <w:t xml:space="preserve">Hos hund førte </w:t>
      </w:r>
      <w:proofErr w:type="spellStart"/>
      <w:r>
        <w:rPr>
          <w:lang w:val="da-DK"/>
        </w:rPr>
        <w:t>ivabradindoser</w:t>
      </w:r>
      <w:proofErr w:type="spellEnd"/>
      <w:r>
        <w:rPr>
          <w:lang w:val="da-DK"/>
        </w:rPr>
        <w:t xml:space="preserve"> på 2, 7 eller 24 mg/kg/dag i et år til observation af reversible forandringer i </w:t>
      </w:r>
      <w:proofErr w:type="spellStart"/>
      <w:r>
        <w:rPr>
          <w:lang w:val="da-DK"/>
        </w:rPr>
        <w:t>retinafunktionen</w:t>
      </w:r>
      <w:proofErr w:type="spellEnd"/>
      <w:r>
        <w:rPr>
          <w:lang w:val="da-DK"/>
        </w:rPr>
        <w:t xml:space="preserve">, men var ikke forbundet med skader i </w:t>
      </w:r>
      <w:proofErr w:type="spellStart"/>
      <w:r>
        <w:rPr>
          <w:lang w:val="da-DK"/>
        </w:rPr>
        <w:t>okulære</w:t>
      </w:r>
      <w:proofErr w:type="spellEnd"/>
      <w:r>
        <w:rPr>
          <w:lang w:val="da-DK"/>
        </w:rPr>
        <w:t xml:space="preserve"> strukturer. Disse data er konsistente med den farmakologiske effekt af </w:t>
      </w:r>
      <w:proofErr w:type="spellStart"/>
      <w:r>
        <w:rPr>
          <w:lang w:val="da-DK"/>
        </w:rPr>
        <w:t>ivabradin</w:t>
      </w:r>
      <w:proofErr w:type="spellEnd"/>
      <w:r>
        <w:rPr>
          <w:lang w:val="da-DK"/>
        </w:rPr>
        <w:t xml:space="preserve">, relateret til dets interaktion med </w:t>
      </w:r>
      <w:proofErr w:type="spellStart"/>
      <w:r>
        <w:rPr>
          <w:lang w:val="da-DK"/>
        </w:rPr>
        <w:t>hyperpolarisations</w:t>
      </w:r>
      <w:proofErr w:type="spellEnd"/>
      <w:r>
        <w:rPr>
          <w:lang w:val="da-DK"/>
        </w:rPr>
        <w:t xml:space="preserve">-aktiverede </w:t>
      </w:r>
      <w:proofErr w:type="spellStart"/>
      <w:r>
        <w:rPr>
          <w:i/>
          <w:iCs/>
          <w:lang w:val="da-DK"/>
        </w:rPr>
        <w:t>I</w:t>
      </w:r>
      <w:r>
        <w:rPr>
          <w:i/>
          <w:iCs/>
          <w:vertAlign w:val="subscript"/>
          <w:lang w:val="da-DK"/>
        </w:rPr>
        <w:t>h</w:t>
      </w:r>
      <w:r>
        <w:rPr>
          <w:lang w:val="da-DK"/>
        </w:rPr>
        <w:t>jonkanalstrømme</w:t>
      </w:r>
      <w:proofErr w:type="spellEnd"/>
      <w:r>
        <w:rPr>
          <w:lang w:val="da-DK"/>
        </w:rPr>
        <w:t xml:space="preserve"> i </w:t>
      </w:r>
      <w:proofErr w:type="spellStart"/>
      <w:r>
        <w:rPr>
          <w:lang w:val="da-DK"/>
        </w:rPr>
        <w:t>retina</w:t>
      </w:r>
      <w:proofErr w:type="spellEnd"/>
      <w:r>
        <w:rPr>
          <w:lang w:val="da-DK"/>
        </w:rPr>
        <w:t xml:space="preserve">, som har omfattende fælles homologi med den kardiale pacemaker </w:t>
      </w:r>
      <w:proofErr w:type="spellStart"/>
      <w:r>
        <w:rPr>
          <w:i/>
          <w:iCs/>
          <w:lang w:val="da-DK"/>
        </w:rPr>
        <w:t>I</w:t>
      </w:r>
      <w:r>
        <w:rPr>
          <w:i/>
          <w:iCs/>
          <w:vertAlign w:val="subscript"/>
          <w:lang w:val="da-DK"/>
        </w:rPr>
        <w:t>f</w:t>
      </w:r>
      <w:r>
        <w:rPr>
          <w:lang w:val="da-DK"/>
        </w:rPr>
        <w:t>jonkanalstrøm</w:t>
      </w:r>
      <w:proofErr w:type="spellEnd"/>
      <w:r>
        <w:rPr>
          <w:lang w:val="da-DK"/>
        </w:rPr>
        <w:t xml:space="preserve">. </w:t>
      </w:r>
    </w:p>
    <w:p w:rsidR="007712B7" w:rsidRDefault="007712B7" w:rsidP="007712B7">
      <w:pPr>
        <w:pStyle w:val="Default"/>
        <w:ind w:left="851"/>
        <w:rPr>
          <w:lang w:val="da-DK"/>
        </w:rPr>
      </w:pPr>
      <w:r>
        <w:rPr>
          <w:lang w:val="da-DK"/>
        </w:rPr>
        <w:t xml:space="preserve">Andre langtidsstudier med gentagne doser og </w:t>
      </w:r>
      <w:proofErr w:type="spellStart"/>
      <w:r>
        <w:rPr>
          <w:lang w:val="da-DK"/>
        </w:rPr>
        <w:t>karcinogenicitetsstudier</w:t>
      </w:r>
      <w:proofErr w:type="spellEnd"/>
      <w:r>
        <w:rPr>
          <w:lang w:val="da-DK"/>
        </w:rPr>
        <w:t xml:space="preserve"> afslørede ingen klinisk relevante forandringer. </w:t>
      </w:r>
    </w:p>
    <w:p w:rsidR="007712B7" w:rsidRDefault="007712B7" w:rsidP="007712B7">
      <w:pPr>
        <w:pStyle w:val="Default"/>
        <w:ind w:left="851" w:right="11" w:hanging="851"/>
        <w:rPr>
          <w:u w:val="single"/>
          <w:lang w:val="da-DK"/>
        </w:rPr>
      </w:pPr>
    </w:p>
    <w:p w:rsidR="007712B7" w:rsidRDefault="007712B7" w:rsidP="007712B7">
      <w:pPr>
        <w:pStyle w:val="Default"/>
        <w:ind w:left="851" w:right="11"/>
        <w:rPr>
          <w:lang w:val="da-DK"/>
        </w:rPr>
      </w:pPr>
      <w:r>
        <w:rPr>
          <w:u w:val="single"/>
          <w:lang w:val="da-DK"/>
        </w:rPr>
        <w:t xml:space="preserve">Miljørisikovurdering </w:t>
      </w:r>
    </w:p>
    <w:p w:rsidR="007712B7" w:rsidRDefault="007712B7" w:rsidP="007712B7">
      <w:pPr>
        <w:pStyle w:val="Default"/>
        <w:ind w:left="851"/>
        <w:rPr>
          <w:lang w:val="da-DK"/>
        </w:rPr>
      </w:pPr>
      <w:r>
        <w:rPr>
          <w:lang w:val="da-DK"/>
        </w:rPr>
        <w:t xml:space="preserve">Miljørisikovurderingen (ERA) af </w:t>
      </w:r>
      <w:proofErr w:type="spellStart"/>
      <w:r>
        <w:rPr>
          <w:lang w:val="da-DK"/>
        </w:rPr>
        <w:t>ivabradin</w:t>
      </w:r>
      <w:proofErr w:type="spellEnd"/>
      <w:r>
        <w:rPr>
          <w:lang w:val="da-DK"/>
        </w:rPr>
        <w:t xml:space="preserve"> blev udført i henhold til europæiske retningslinjer for ERA. </w:t>
      </w:r>
    </w:p>
    <w:p w:rsidR="007712B7" w:rsidRDefault="007712B7" w:rsidP="007712B7">
      <w:pPr>
        <w:pStyle w:val="Default"/>
        <w:ind w:left="851"/>
        <w:rPr>
          <w:lang w:val="da-DK"/>
        </w:rPr>
      </w:pPr>
      <w:r>
        <w:rPr>
          <w:lang w:val="da-DK"/>
        </w:rPr>
        <w:t xml:space="preserve">Resultaterne af vurderingen bekræfter, at </w:t>
      </w:r>
      <w:proofErr w:type="spellStart"/>
      <w:r>
        <w:rPr>
          <w:lang w:val="da-DK"/>
        </w:rPr>
        <w:t>ivabradin</w:t>
      </w:r>
      <w:proofErr w:type="spellEnd"/>
      <w:r>
        <w:rPr>
          <w:lang w:val="da-DK"/>
        </w:rPr>
        <w:t xml:space="preserve"> ikke er forbundet med miljømæssige risici, og at </w:t>
      </w:r>
      <w:proofErr w:type="spellStart"/>
      <w:r>
        <w:rPr>
          <w:lang w:val="da-DK"/>
        </w:rPr>
        <w:t>ivabradin</w:t>
      </w:r>
      <w:proofErr w:type="spellEnd"/>
      <w:r>
        <w:rPr>
          <w:lang w:val="da-DK"/>
        </w:rPr>
        <w:t xml:space="preserve"> ikke udgør en trussel for miljøet.</w:t>
      </w:r>
    </w:p>
    <w:p w:rsidR="007712B7" w:rsidRDefault="007712B7" w:rsidP="007712B7">
      <w:pPr>
        <w:ind w:left="851" w:hanging="851"/>
        <w:rPr>
          <w:sz w:val="24"/>
          <w:szCs w:val="24"/>
        </w:rPr>
      </w:pP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6.</w:t>
      </w:r>
      <w:r>
        <w:rPr>
          <w:b/>
          <w:sz w:val="24"/>
          <w:szCs w:val="24"/>
        </w:rPr>
        <w:tab/>
        <w:t>FARMACEUTISKE OPLYSNINGER</w:t>
      </w:r>
    </w:p>
    <w:p w:rsidR="007712B7" w:rsidRDefault="007712B7" w:rsidP="007712B7">
      <w:pPr>
        <w:ind w:left="851" w:hanging="851"/>
        <w:rPr>
          <w:sz w:val="24"/>
          <w:szCs w:val="24"/>
        </w:rPr>
      </w:pPr>
    </w:p>
    <w:p w:rsidR="007712B7" w:rsidRDefault="007712B7" w:rsidP="007712B7">
      <w:pPr>
        <w:ind w:left="851" w:hanging="851"/>
        <w:rPr>
          <w:b/>
          <w:sz w:val="24"/>
          <w:szCs w:val="24"/>
        </w:rPr>
      </w:pPr>
      <w:r>
        <w:rPr>
          <w:b/>
          <w:sz w:val="24"/>
          <w:szCs w:val="24"/>
        </w:rPr>
        <w:t>6.1</w:t>
      </w:r>
      <w:r>
        <w:rPr>
          <w:b/>
          <w:sz w:val="24"/>
          <w:szCs w:val="24"/>
        </w:rPr>
        <w:tab/>
        <w:t>Hjælpestoffer</w:t>
      </w:r>
    </w:p>
    <w:p w:rsidR="007712B7" w:rsidRDefault="007712B7" w:rsidP="007712B7">
      <w:pPr>
        <w:pStyle w:val="Default"/>
        <w:ind w:left="851" w:hanging="851"/>
        <w:rPr>
          <w:i/>
          <w:iCs/>
          <w:lang w:val="da-DK"/>
        </w:rPr>
      </w:pPr>
    </w:p>
    <w:p w:rsidR="007712B7" w:rsidRPr="005067BE" w:rsidRDefault="007712B7" w:rsidP="007712B7">
      <w:pPr>
        <w:pStyle w:val="Default"/>
        <w:ind w:left="851"/>
        <w:rPr>
          <w:u w:val="single"/>
          <w:lang w:val="da-DK"/>
        </w:rPr>
      </w:pPr>
      <w:r w:rsidRPr="005067BE">
        <w:rPr>
          <w:iCs/>
          <w:u w:val="single"/>
          <w:lang w:val="da-DK"/>
        </w:rPr>
        <w:t xml:space="preserve">Kerne </w:t>
      </w:r>
    </w:p>
    <w:p w:rsidR="007712B7" w:rsidRDefault="007712B7" w:rsidP="007712B7">
      <w:pPr>
        <w:pStyle w:val="Default"/>
        <w:ind w:left="851"/>
        <w:rPr>
          <w:lang w:val="da-DK"/>
        </w:rPr>
      </w:pPr>
      <w:proofErr w:type="spellStart"/>
      <w:r>
        <w:rPr>
          <w:lang w:val="da-DK"/>
        </w:rPr>
        <w:t>Lactose</w:t>
      </w:r>
      <w:proofErr w:type="spellEnd"/>
    </w:p>
    <w:p w:rsidR="007712B7" w:rsidRDefault="007712B7" w:rsidP="007712B7">
      <w:pPr>
        <w:pStyle w:val="Default"/>
        <w:ind w:left="851"/>
        <w:rPr>
          <w:lang w:val="en-US"/>
        </w:rPr>
      </w:pPr>
      <w:r>
        <w:rPr>
          <w:lang w:val="en-US"/>
        </w:rPr>
        <w:t>Maltodextrin</w:t>
      </w:r>
    </w:p>
    <w:p w:rsidR="007712B7" w:rsidRDefault="007712B7" w:rsidP="007712B7">
      <w:pPr>
        <w:pStyle w:val="Default"/>
        <w:ind w:left="851"/>
        <w:rPr>
          <w:lang w:val="en-US"/>
        </w:rPr>
      </w:pPr>
      <w:proofErr w:type="spellStart"/>
      <w:r>
        <w:rPr>
          <w:lang w:val="en-US"/>
        </w:rPr>
        <w:t>Crospovidon</w:t>
      </w:r>
      <w:proofErr w:type="spellEnd"/>
      <w:r>
        <w:rPr>
          <w:lang w:val="en-US"/>
        </w:rPr>
        <w:t xml:space="preserve"> Type A</w:t>
      </w:r>
    </w:p>
    <w:p w:rsidR="007712B7" w:rsidRDefault="007712B7" w:rsidP="007712B7">
      <w:pPr>
        <w:pStyle w:val="Default"/>
        <w:ind w:left="851"/>
        <w:rPr>
          <w:lang w:val="en-US"/>
        </w:rPr>
      </w:pPr>
      <w:r>
        <w:rPr>
          <w:lang w:val="en-US"/>
        </w:rPr>
        <w:t xml:space="preserve">Silica, </w:t>
      </w:r>
      <w:proofErr w:type="spellStart"/>
      <w:r>
        <w:rPr>
          <w:lang w:val="en-US"/>
        </w:rPr>
        <w:t>kolloid</w:t>
      </w:r>
      <w:proofErr w:type="spellEnd"/>
      <w:r>
        <w:rPr>
          <w:lang w:val="en-US"/>
        </w:rPr>
        <w:t xml:space="preserve"> </w:t>
      </w:r>
      <w:proofErr w:type="spellStart"/>
      <w:r>
        <w:rPr>
          <w:lang w:val="en-US"/>
        </w:rPr>
        <w:t>vandfri</w:t>
      </w:r>
      <w:proofErr w:type="spellEnd"/>
    </w:p>
    <w:p w:rsidR="007712B7" w:rsidRDefault="007712B7" w:rsidP="007712B7">
      <w:pPr>
        <w:pStyle w:val="Default"/>
        <w:ind w:left="851"/>
        <w:rPr>
          <w:lang w:val="en-US"/>
        </w:rPr>
      </w:pPr>
      <w:proofErr w:type="spellStart"/>
      <w:r>
        <w:rPr>
          <w:lang w:val="en-US"/>
        </w:rPr>
        <w:t>Magnesiumstearat</w:t>
      </w:r>
      <w:proofErr w:type="spellEnd"/>
    </w:p>
    <w:p w:rsidR="007712B7" w:rsidRDefault="007712B7" w:rsidP="007712B7">
      <w:pPr>
        <w:pStyle w:val="Default"/>
        <w:ind w:left="851"/>
        <w:rPr>
          <w:i/>
          <w:iCs/>
          <w:lang w:val="en-US"/>
        </w:rPr>
      </w:pPr>
    </w:p>
    <w:p w:rsidR="007712B7" w:rsidRPr="005067BE" w:rsidRDefault="007712B7" w:rsidP="007712B7">
      <w:pPr>
        <w:pStyle w:val="Default"/>
        <w:ind w:left="851"/>
        <w:rPr>
          <w:u w:val="single"/>
          <w:lang w:val="en-US"/>
        </w:rPr>
      </w:pPr>
      <w:proofErr w:type="spellStart"/>
      <w:r w:rsidRPr="005067BE">
        <w:rPr>
          <w:iCs/>
          <w:u w:val="single"/>
          <w:lang w:val="en-US"/>
        </w:rPr>
        <w:t>Filmovertræk</w:t>
      </w:r>
      <w:proofErr w:type="spellEnd"/>
      <w:r w:rsidRPr="005067BE">
        <w:rPr>
          <w:iCs/>
          <w:u w:val="single"/>
          <w:lang w:val="en-US"/>
        </w:rPr>
        <w:t xml:space="preserve"> </w:t>
      </w:r>
    </w:p>
    <w:p w:rsidR="007712B7" w:rsidRDefault="007712B7" w:rsidP="007712B7">
      <w:pPr>
        <w:pStyle w:val="Default"/>
        <w:ind w:left="851"/>
        <w:rPr>
          <w:lang w:val="en-US"/>
        </w:rPr>
      </w:pPr>
      <w:r>
        <w:rPr>
          <w:lang w:val="en-US"/>
        </w:rPr>
        <w:t>Hypromellose 2910 (15mPas)</w:t>
      </w:r>
    </w:p>
    <w:p w:rsidR="007712B7" w:rsidRDefault="007712B7" w:rsidP="007712B7">
      <w:pPr>
        <w:pStyle w:val="Default"/>
        <w:ind w:left="851"/>
        <w:rPr>
          <w:lang w:val="en-US"/>
        </w:rPr>
      </w:pPr>
      <w:r>
        <w:rPr>
          <w:lang w:val="en-US"/>
        </w:rPr>
        <w:t>Polydextrose</w:t>
      </w:r>
    </w:p>
    <w:p w:rsidR="007712B7" w:rsidRDefault="007712B7" w:rsidP="007712B7">
      <w:pPr>
        <w:pStyle w:val="Default"/>
        <w:ind w:left="851"/>
        <w:rPr>
          <w:lang w:val="en-US"/>
        </w:rPr>
      </w:pPr>
      <w:proofErr w:type="spellStart"/>
      <w:r>
        <w:rPr>
          <w:lang w:val="en-US"/>
        </w:rPr>
        <w:t>Titandioxid</w:t>
      </w:r>
      <w:proofErr w:type="spellEnd"/>
      <w:r>
        <w:rPr>
          <w:lang w:val="en-US"/>
        </w:rPr>
        <w:t xml:space="preserve"> (E171)</w:t>
      </w:r>
    </w:p>
    <w:p w:rsidR="007712B7" w:rsidRDefault="007712B7" w:rsidP="007712B7">
      <w:pPr>
        <w:pStyle w:val="Default"/>
        <w:ind w:left="851"/>
        <w:rPr>
          <w:lang w:val="en-US"/>
        </w:rPr>
      </w:pPr>
      <w:r>
        <w:rPr>
          <w:lang w:val="en-US"/>
        </w:rPr>
        <w:t>Talcum</w:t>
      </w:r>
    </w:p>
    <w:p w:rsidR="007712B7" w:rsidRDefault="007712B7" w:rsidP="007712B7">
      <w:pPr>
        <w:pStyle w:val="Default"/>
        <w:ind w:left="851"/>
        <w:rPr>
          <w:lang w:val="en-US"/>
        </w:rPr>
      </w:pPr>
      <w:r>
        <w:rPr>
          <w:lang w:val="en-US"/>
        </w:rPr>
        <w:t>Maltodextrin/dextrin</w:t>
      </w:r>
    </w:p>
    <w:p w:rsidR="007712B7" w:rsidRDefault="007712B7" w:rsidP="007712B7">
      <w:pPr>
        <w:pStyle w:val="Default"/>
        <w:ind w:left="851"/>
        <w:rPr>
          <w:lang w:val="da-DK"/>
        </w:rPr>
      </w:pPr>
      <w:r>
        <w:rPr>
          <w:lang w:val="da-DK"/>
        </w:rPr>
        <w:t>Mellemkædede triglycerider</w:t>
      </w:r>
    </w:p>
    <w:p w:rsidR="007712B7" w:rsidRDefault="007712B7" w:rsidP="007712B7">
      <w:pPr>
        <w:pStyle w:val="Default"/>
        <w:ind w:left="851"/>
        <w:rPr>
          <w:lang w:val="da-DK"/>
        </w:rPr>
      </w:pPr>
      <w:r>
        <w:rPr>
          <w:lang w:val="da-DK"/>
        </w:rPr>
        <w:t>Jernoxid gul (E172)</w:t>
      </w:r>
    </w:p>
    <w:p w:rsidR="007712B7" w:rsidRDefault="007712B7" w:rsidP="007712B7">
      <w:pPr>
        <w:pStyle w:val="Default"/>
        <w:ind w:left="851"/>
        <w:rPr>
          <w:lang w:val="da-DK"/>
        </w:rPr>
      </w:pPr>
      <w:r>
        <w:rPr>
          <w:lang w:val="da-DK"/>
        </w:rPr>
        <w:t>Jernoxid rød (E172)</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6.2</w:t>
      </w:r>
      <w:r w:rsidRPr="00C84483">
        <w:rPr>
          <w:b/>
          <w:sz w:val="24"/>
          <w:szCs w:val="24"/>
        </w:rPr>
        <w:tab/>
        <w:t>Uforligeligheder</w:t>
      </w:r>
    </w:p>
    <w:p w:rsidR="007712B7" w:rsidRPr="00C84483" w:rsidRDefault="007712B7" w:rsidP="007712B7">
      <w:pPr>
        <w:tabs>
          <w:tab w:val="left" w:pos="851"/>
        </w:tabs>
        <w:ind w:left="851"/>
        <w:rPr>
          <w:sz w:val="24"/>
          <w:szCs w:val="24"/>
        </w:rPr>
      </w:pPr>
      <w:r>
        <w:rPr>
          <w:sz w:val="24"/>
          <w:szCs w:val="24"/>
        </w:rPr>
        <w:t>Ikke relevant.</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6.3</w:t>
      </w:r>
      <w:r w:rsidRPr="00C84483">
        <w:rPr>
          <w:b/>
          <w:sz w:val="24"/>
          <w:szCs w:val="24"/>
        </w:rPr>
        <w:tab/>
        <w:t>Opbevaringstid</w:t>
      </w:r>
    </w:p>
    <w:p w:rsidR="007712B7" w:rsidRPr="00C84483" w:rsidRDefault="007712B7" w:rsidP="007712B7">
      <w:pPr>
        <w:tabs>
          <w:tab w:val="left" w:pos="851"/>
        </w:tabs>
        <w:ind w:left="851" w:hanging="851"/>
        <w:rPr>
          <w:sz w:val="24"/>
          <w:szCs w:val="24"/>
        </w:rPr>
      </w:pPr>
      <w:r w:rsidRPr="00C84483">
        <w:rPr>
          <w:sz w:val="24"/>
          <w:szCs w:val="24"/>
        </w:rPr>
        <w:tab/>
      </w:r>
      <w:r>
        <w:rPr>
          <w:sz w:val="24"/>
          <w:szCs w:val="24"/>
        </w:rPr>
        <w:t>30 måneder.</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712B7" w:rsidRPr="00C84483" w:rsidRDefault="007712B7" w:rsidP="007712B7">
      <w:pPr>
        <w:tabs>
          <w:tab w:val="left" w:pos="851"/>
        </w:tabs>
        <w:ind w:left="851"/>
        <w:rPr>
          <w:sz w:val="24"/>
          <w:szCs w:val="24"/>
        </w:rPr>
      </w:pPr>
      <w:r>
        <w:rPr>
          <w:sz w:val="24"/>
          <w:szCs w:val="24"/>
        </w:rPr>
        <w:t>Dette lægemiddel kræver ingen særlige forholdsregler vedrørende opbevaringen.</w:t>
      </w:r>
    </w:p>
    <w:p w:rsidR="00F05016" w:rsidRDefault="00F05016">
      <w:pPr>
        <w:rPr>
          <w:sz w:val="24"/>
          <w:szCs w:val="24"/>
        </w:rPr>
      </w:pPr>
      <w:r>
        <w:rPr>
          <w:sz w:val="24"/>
          <w:szCs w:val="24"/>
        </w:rPr>
        <w:br w:type="page"/>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712B7" w:rsidRDefault="007712B7" w:rsidP="007712B7">
      <w:pPr>
        <w:tabs>
          <w:tab w:val="left" w:pos="851"/>
        </w:tabs>
        <w:ind w:left="851"/>
        <w:rPr>
          <w:sz w:val="24"/>
          <w:szCs w:val="24"/>
        </w:rPr>
      </w:pPr>
      <w:r>
        <w:rPr>
          <w:sz w:val="24"/>
          <w:szCs w:val="24"/>
        </w:rPr>
        <w:t>PA/ALL/PVC-aluminium folie blister (</w:t>
      </w:r>
      <w:proofErr w:type="spellStart"/>
      <w:r>
        <w:rPr>
          <w:sz w:val="24"/>
          <w:szCs w:val="24"/>
        </w:rPr>
        <w:t>Alu-Alu</w:t>
      </w:r>
      <w:proofErr w:type="spellEnd"/>
      <w:r>
        <w:rPr>
          <w:sz w:val="24"/>
          <w:szCs w:val="24"/>
        </w:rPr>
        <w:t xml:space="preserve"> blister) pakket i karton.</w:t>
      </w:r>
    </w:p>
    <w:p w:rsidR="007712B7" w:rsidRDefault="007712B7" w:rsidP="007712B7">
      <w:pPr>
        <w:tabs>
          <w:tab w:val="left" w:pos="851"/>
        </w:tabs>
        <w:ind w:left="851"/>
        <w:rPr>
          <w:sz w:val="24"/>
          <w:szCs w:val="24"/>
        </w:rPr>
      </w:pPr>
    </w:p>
    <w:p w:rsidR="007712B7" w:rsidRPr="005067BE" w:rsidRDefault="007712B7" w:rsidP="007712B7">
      <w:pPr>
        <w:tabs>
          <w:tab w:val="left" w:pos="851"/>
        </w:tabs>
        <w:ind w:left="851"/>
        <w:rPr>
          <w:sz w:val="24"/>
          <w:szCs w:val="24"/>
          <w:u w:val="single"/>
        </w:rPr>
      </w:pPr>
      <w:r w:rsidRPr="005067BE">
        <w:rPr>
          <w:sz w:val="24"/>
          <w:szCs w:val="24"/>
          <w:u w:val="single"/>
        </w:rPr>
        <w:t>Pakningsstørrelser</w:t>
      </w:r>
    </w:p>
    <w:p w:rsidR="007712B7" w:rsidRDefault="007712B7" w:rsidP="007712B7">
      <w:pPr>
        <w:tabs>
          <w:tab w:val="left" w:pos="851"/>
        </w:tabs>
        <w:ind w:left="851"/>
        <w:rPr>
          <w:sz w:val="24"/>
          <w:szCs w:val="24"/>
        </w:rPr>
      </w:pPr>
      <w:r>
        <w:rPr>
          <w:sz w:val="24"/>
          <w:szCs w:val="24"/>
        </w:rPr>
        <w:t>Kalenderpakninger</w:t>
      </w:r>
      <w:r w:rsidR="00F05016">
        <w:rPr>
          <w:sz w:val="24"/>
          <w:szCs w:val="24"/>
        </w:rPr>
        <w:t>:</w:t>
      </w:r>
      <w:r>
        <w:rPr>
          <w:sz w:val="24"/>
          <w:szCs w:val="24"/>
        </w:rPr>
        <w:t xml:space="preserve"> 28, 56 </w:t>
      </w:r>
      <w:r w:rsidR="005067BE">
        <w:rPr>
          <w:sz w:val="24"/>
          <w:szCs w:val="24"/>
        </w:rPr>
        <w:t>og</w:t>
      </w:r>
      <w:r>
        <w:rPr>
          <w:sz w:val="24"/>
          <w:szCs w:val="24"/>
        </w:rPr>
        <w:t xml:space="preserve"> 98 </w:t>
      </w:r>
      <w:r w:rsidR="00F05016">
        <w:rPr>
          <w:sz w:val="24"/>
          <w:szCs w:val="24"/>
        </w:rPr>
        <w:t>stk.</w:t>
      </w:r>
    </w:p>
    <w:p w:rsidR="00F05016" w:rsidRDefault="00F05016" w:rsidP="007712B7">
      <w:pPr>
        <w:tabs>
          <w:tab w:val="left" w:pos="851"/>
        </w:tabs>
        <w:ind w:left="851"/>
        <w:rPr>
          <w:sz w:val="24"/>
          <w:szCs w:val="24"/>
        </w:rPr>
      </w:pPr>
    </w:p>
    <w:p w:rsidR="007712B7" w:rsidRPr="00C84483" w:rsidRDefault="007712B7" w:rsidP="007712B7">
      <w:pPr>
        <w:tabs>
          <w:tab w:val="left" w:pos="851"/>
        </w:tabs>
        <w:ind w:left="851"/>
        <w:rPr>
          <w:sz w:val="24"/>
          <w:szCs w:val="24"/>
        </w:rPr>
      </w:pPr>
      <w:r>
        <w:rPr>
          <w:sz w:val="24"/>
          <w:szCs w:val="24"/>
        </w:rPr>
        <w:t>Ikke alle pakningsstørrelser er nødvendigvis markedsført.</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712B7" w:rsidRPr="00C84483" w:rsidRDefault="007712B7" w:rsidP="007712B7">
      <w:pPr>
        <w:tabs>
          <w:tab w:val="left" w:pos="851"/>
        </w:tabs>
        <w:ind w:left="851"/>
        <w:rPr>
          <w:sz w:val="24"/>
          <w:szCs w:val="24"/>
        </w:rPr>
      </w:pPr>
      <w:r>
        <w:rPr>
          <w:sz w:val="24"/>
          <w:szCs w:val="24"/>
        </w:rPr>
        <w:t>Ingen særlige forholdsregler.</w:t>
      </w:r>
    </w:p>
    <w:p w:rsidR="007712B7" w:rsidRPr="00C84483" w:rsidRDefault="007712B7" w:rsidP="007712B7">
      <w:pPr>
        <w:tabs>
          <w:tab w:val="left" w:pos="851"/>
        </w:tabs>
        <w:ind w:left="851"/>
        <w:jc w:val="both"/>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712B7" w:rsidRDefault="007712B7" w:rsidP="007712B7">
      <w:pPr>
        <w:tabs>
          <w:tab w:val="left" w:pos="851"/>
        </w:tabs>
        <w:ind w:left="851"/>
        <w:rPr>
          <w:sz w:val="24"/>
          <w:szCs w:val="24"/>
        </w:rPr>
      </w:pPr>
      <w:proofErr w:type="spellStart"/>
      <w:r>
        <w:rPr>
          <w:sz w:val="24"/>
          <w:szCs w:val="24"/>
        </w:rPr>
        <w:t>Pharmathen</w:t>
      </w:r>
      <w:proofErr w:type="spellEnd"/>
      <w:r>
        <w:rPr>
          <w:sz w:val="24"/>
          <w:szCs w:val="24"/>
        </w:rPr>
        <w:t xml:space="preserve"> SA</w:t>
      </w:r>
    </w:p>
    <w:p w:rsidR="007712B7" w:rsidRDefault="007712B7" w:rsidP="007712B7">
      <w:pPr>
        <w:tabs>
          <w:tab w:val="left" w:pos="851"/>
        </w:tabs>
        <w:ind w:left="851"/>
        <w:rPr>
          <w:sz w:val="24"/>
          <w:szCs w:val="24"/>
        </w:rPr>
      </w:pPr>
      <w:r>
        <w:rPr>
          <w:sz w:val="24"/>
          <w:szCs w:val="24"/>
        </w:rPr>
        <w:t xml:space="preserve">6 </w:t>
      </w:r>
      <w:proofErr w:type="spellStart"/>
      <w:r>
        <w:rPr>
          <w:sz w:val="24"/>
          <w:szCs w:val="24"/>
        </w:rPr>
        <w:t>Dervenakion</w:t>
      </w:r>
      <w:proofErr w:type="spellEnd"/>
      <w:r>
        <w:rPr>
          <w:sz w:val="24"/>
          <w:szCs w:val="24"/>
        </w:rPr>
        <w:t xml:space="preserve"> Str.</w:t>
      </w:r>
    </w:p>
    <w:p w:rsidR="007712B7" w:rsidRDefault="007712B7" w:rsidP="007712B7">
      <w:pPr>
        <w:tabs>
          <w:tab w:val="left" w:pos="851"/>
        </w:tabs>
        <w:ind w:left="851"/>
        <w:rPr>
          <w:sz w:val="24"/>
          <w:szCs w:val="24"/>
        </w:rPr>
      </w:pPr>
      <w:r>
        <w:rPr>
          <w:sz w:val="24"/>
          <w:szCs w:val="24"/>
        </w:rPr>
        <w:t xml:space="preserve">153 51 </w:t>
      </w:r>
      <w:proofErr w:type="spellStart"/>
      <w:r>
        <w:rPr>
          <w:sz w:val="24"/>
          <w:szCs w:val="24"/>
        </w:rPr>
        <w:t>Pallini</w:t>
      </w:r>
      <w:proofErr w:type="spellEnd"/>
      <w:r>
        <w:rPr>
          <w:sz w:val="24"/>
          <w:szCs w:val="24"/>
        </w:rPr>
        <w:t xml:space="preserve">, </w:t>
      </w:r>
      <w:proofErr w:type="spellStart"/>
      <w:r>
        <w:rPr>
          <w:sz w:val="24"/>
          <w:szCs w:val="24"/>
        </w:rPr>
        <w:t>Attiki</w:t>
      </w:r>
      <w:proofErr w:type="spellEnd"/>
    </w:p>
    <w:p w:rsidR="007712B7" w:rsidRPr="00C84483" w:rsidRDefault="007712B7" w:rsidP="007712B7">
      <w:pPr>
        <w:tabs>
          <w:tab w:val="left" w:pos="851"/>
        </w:tabs>
        <w:ind w:left="851"/>
        <w:rPr>
          <w:sz w:val="24"/>
          <w:szCs w:val="24"/>
        </w:rPr>
      </w:pPr>
      <w:r>
        <w:rPr>
          <w:sz w:val="24"/>
          <w:szCs w:val="24"/>
        </w:rPr>
        <w:t>Grækenland</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712B7" w:rsidRDefault="007712B7" w:rsidP="00F05016">
      <w:pPr>
        <w:tabs>
          <w:tab w:val="left" w:pos="851"/>
          <w:tab w:val="left" w:pos="1701"/>
        </w:tabs>
        <w:ind w:left="851"/>
        <w:rPr>
          <w:sz w:val="24"/>
          <w:szCs w:val="24"/>
        </w:rPr>
      </w:pPr>
      <w:r>
        <w:rPr>
          <w:sz w:val="24"/>
          <w:szCs w:val="24"/>
        </w:rPr>
        <w:t>5 mg:</w:t>
      </w:r>
      <w:r>
        <w:rPr>
          <w:sz w:val="24"/>
          <w:szCs w:val="24"/>
        </w:rPr>
        <w:tab/>
        <w:t>56864</w:t>
      </w:r>
    </w:p>
    <w:p w:rsidR="007712B7" w:rsidRPr="00C84483" w:rsidRDefault="007712B7" w:rsidP="00F05016">
      <w:pPr>
        <w:tabs>
          <w:tab w:val="left" w:pos="851"/>
          <w:tab w:val="left" w:pos="1701"/>
        </w:tabs>
        <w:ind w:left="851"/>
        <w:rPr>
          <w:sz w:val="24"/>
          <w:szCs w:val="24"/>
        </w:rPr>
      </w:pPr>
      <w:r>
        <w:rPr>
          <w:sz w:val="24"/>
          <w:szCs w:val="24"/>
        </w:rPr>
        <w:t>7,5 mg:</w:t>
      </w:r>
      <w:r>
        <w:rPr>
          <w:sz w:val="24"/>
          <w:szCs w:val="24"/>
        </w:rPr>
        <w:tab/>
        <w:t>56865</w:t>
      </w:r>
    </w:p>
    <w:p w:rsidR="007712B7" w:rsidRPr="00C84483" w:rsidRDefault="007712B7" w:rsidP="007712B7">
      <w:pPr>
        <w:tabs>
          <w:tab w:val="left" w:pos="851"/>
        </w:tabs>
        <w:ind w:left="851"/>
        <w:jc w:val="both"/>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712B7" w:rsidRPr="00C84483" w:rsidRDefault="007712B7" w:rsidP="007712B7">
      <w:pPr>
        <w:tabs>
          <w:tab w:val="left" w:pos="851"/>
        </w:tabs>
        <w:ind w:left="851"/>
        <w:rPr>
          <w:sz w:val="24"/>
          <w:szCs w:val="24"/>
        </w:rPr>
      </w:pPr>
      <w:r>
        <w:rPr>
          <w:sz w:val="24"/>
          <w:szCs w:val="24"/>
        </w:rPr>
        <w:t>3. april 2017</w:t>
      </w:r>
    </w:p>
    <w:p w:rsidR="007712B7" w:rsidRPr="00C84483" w:rsidRDefault="007712B7" w:rsidP="007712B7">
      <w:pPr>
        <w:tabs>
          <w:tab w:val="left" w:pos="851"/>
        </w:tabs>
        <w:ind w:left="851"/>
        <w:rPr>
          <w:sz w:val="24"/>
          <w:szCs w:val="24"/>
        </w:rPr>
      </w:pPr>
    </w:p>
    <w:p w:rsidR="007712B7" w:rsidRPr="00C84483" w:rsidRDefault="007712B7" w:rsidP="007712B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A56658" w:rsidRDefault="0065369D" w:rsidP="00A56658">
      <w:pPr>
        <w:tabs>
          <w:tab w:val="left" w:pos="851"/>
        </w:tabs>
        <w:ind w:left="851"/>
        <w:rPr>
          <w:sz w:val="24"/>
          <w:szCs w:val="24"/>
        </w:rPr>
      </w:pPr>
      <w:r>
        <w:rPr>
          <w:sz w:val="24"/>
          <w:szCs w:val="24"/>
        </w:rPr>
        <w:t>7. januar 2022</w:t>
      </w:r>
    </w:p>
    <w:sectPr w:rsidR="009260DE" w:rsidRPr="00A5665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DC0" w:rsidRDefault="00147DC0">
      <w:r>
        <w:separator/>
      </w:r>
    </w:p>
  </w:endnote>
  <w:endnote w:type="continuationSeparator" w:id="0">
    <w:p w:rsidR="00147DC0" w:rsidRDefault="001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C0" w:rsidRDefault="00147DC0">
    <w:pPr>
      <w:pStyle w:val="Sidefod"/>
      <w:pBdr>
        <w:bottom w:val="single" w:sz="6" w:space="1" w:color="auto"/>
      </w:pBdr>
    </w:pPr>
  </w:p>
  <w:p w:rsidR="00147DC0" w:rsidRDefault="00147DC0" w:rsidP="00C42586">
    <w:pPr>
      <w:pStyle w:val="Sidefod"/>
      <w:tabs>
        <w:tab w:val="clear" w:pos="4819"/>
        <w:tab w:val="left" w:pos="8505"/>
      </w:tabs>
      <w:rPr>
        <w:i/>
        <w:sz w:val="18"/>
        <w:szCs w:val="18"/>
      </w:rPr>
    </w:pPr>
  </w:p>
  <w:p w:rsidR="00147DC0" w:rsidRPr="00B373D7" w:rsidRDefault="00147DC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05016">
      <w:rPr>
        <w:i/>
        <w:noProof/>
        <w:sz w:val="18"/>
        <w:szCs w:val="18"/>
      </w:rPr>
      <w:t>Vadyrano, filmovertrukne tabletter 5 mg og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DC0" w:rsidRDefault="00147DC0">
      <w:r>
        <w:separator/>
      </w:r>
    </w:p>
  </w:footnote>
  <w:footnote w:type="continuationSeparator" w:id="0">
    <w:p w:rsidR="00147DC0" w:rsidRDefault="0014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A35A29"/>
    <w:multiLevelType w:val="hybridMultilevel"/>
    <w:tmpl w:val="2C6A28A6"/>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47674A"/>
    <w:multiLevelType w:val="hybridMultilevel"/>
    <w:tmpl w:val="A71A0E2C"/>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5D2CDC"/>
    <w:multiLevelType w:val="hybridMultilevel"/>
    <w:tmpl w:val="56BE3222"/>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3E72B8"/>
    <w:multiLevelType w:val="hybridMultilevel"/>
    <w:tmpl w:val="BF6C0966"/>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E7A7F1C"/>
    <w:multiLevelType w:val="hybridMultilevel"/>
    <w:tmpl w:val="61E61978"/>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EEC2446"/>
    <w:multiLevelType w:val="hybridMultilevel"/>
    <w:tmpl w:val="A5A63DC8"/>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B7"/>
    <w:rsid w:val="0000114A"/>
    <w:rsid w:val="00006DA3"/>
    <w:rsid w:val="000259B9"/>
    <w:rsid w:val="00041491"/>
    <w:rsid w:val="00050D16"/>
    <w:rsid w:val="000742B5"/>
    <w:rsid w:val="00074F2A"/>
    <w:rsid w:val="000A1CA8"/>
    <w:rsid w:val="000A466B"/>
    <w:rsid w:val="000B058C"/>
    <w:rsid w:val="000E4EE6"/>
    <w:rsid w:val="001454E2"/>
    <w:rsid w:val="00147DC0"/>
    <w:rsid w:val="00206CE8"/>
    <w:rsid w:val="0021526C"/>
    <w:rsid w:val="00283A2B"/>
    <w:rsid w:val="002B30AD"/>
    <w:rsid w:val="002C2C01"/>
    <w:rsid w:val="003A29AE"/>
    <w:rsid w:val="003A32D7"/>
    <w:rsid w:val="003B4074"/>
    <w:rsid w:val="003C769A"/>
    <w:rsid w:val="003F1838"/>
    <w:rsid w:val="0045746C"/>
    <w:rsid w:val="0049104B"/>
    <w:rsid w:val="004E3B12"/>
    <w:rsid w:val="005067BE"/>
    <w:rsid w:val="00532310"/>
    <w:rsid w:val="00560ECC"/>
    <w:rsid w:val="00565F0F"/>
    <w:rsid w:val="00594A86"/>
    <w:rsid w:val="00596D86"/>
    <w:rsid w:val="00637F5A"/>
    <w:rsid w:val="0065369D"/>
    <w:rsid w:val="006560B1"/>
    <w:rsid w:val="006756DD"/>
    <w:rsid w:val="00737275"/>
    <w:rsid w:val="00740EEC"/>
    <w:rsid w:val="007712B7"/>
    <w:rsid w:val="0078011A"/>
    <w:rsid w:val="00782AF4"/>
    <w:rsid w:val="00790EE7"/>
    <w:rsid w:val="007B6649"/>
    <w:rsid w:val="008147F5"/>
    <w:rsid w:val="0081546F"/>
    <w:rsid w:val="0082576E"/>
    <w:rsid w:val="00907F75"/>
    <w:rsid w:val="009260DE"/>
    <w:rsid w:val="0093258A"/>
    <w:rsid w:val="009C7BA3"/>
    <w:rsid w:val="009D1F5A"/>
    <w:rsid w:val="00A32D93"/>
    <w:rsid w:val="00A56658"/>
    <w:rsid w:val="00B003BF"/>
    <w:rsid w:val="00B373D7"/>
    <w:rsid w:val="00B546BF"/>
    <w:rsid w:val="00BB5DA8"/>
    <w:rsid w:val="00C32DCC"/>
    <w:rsid w:val="00C36276"/>
    <w:rsid w:val="00C42586"/>
    <w:rsid w:val="00C60CCD"/>
    <w:rsid w:val="00C84483"/>
    <w:rsid w:val="00C95551"/>
    <w:rsid w:val="00CB20D7"/>
    <w:rsid w:val="00D020B0"/>
    <w:rsid w:val="00D11748"/>
    <w:rsid w:val="00D366CF"/>
    <w:rsid w:val="00D94B6B"/>
    <w:rsid w:val="00E108AA"/>
    <w:rsid w:val="00E31812"/>
    <w:rsid w:val="00E3749A"/>
    <w:rsid w:val="00E7437F"/>
    <w:rsid w:val="00E865B8"/>
    <w:rsid w:val="00EC0B9B"/>
    <w:rsid w:val="00ED5E9F"/>
    <w:rsid w:val="00F05016"/>
    <w:rsid w:val="00F66D4F"/>
    <w:rsid w:val="00F74AA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E765"/>
  <w15:chartTrackingRefBased/>
  <w15:docId w15:val="{CB70EB16-08DA-4257-B705-9B34112A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7712B7"/>
    <w:rPr>
      <w:color w:val="0563C1" w:themeColor="hyperlink"/>
      <w:u w:val="single"/>
    </w:rPr>
  </w:style>
  <w:style w:type="paragraph" w:customStyle="1" w:styleId="Default">
    <w:name w:val="Default"/>
    <w:rsid w:val="007712B7"/>
    <w:pPr>
      <w:autoSpaceDE w:val="0"/>
      <w:autoSpaceDN w:val="0"/>
      <w:adjustRightInd w:val="0"/>
    </w:pPr>
    <w:rPr>
      <w:rFonts w:eastAsiaTheme="minorHAnsi"/>
      <w:color w:val="000000"/>
      <w:sz w:val="24"/>
      <w:szCs w:val="24"/>
      <w:lang w:val="el-GR" w:eastAsia="en-US"/>
    </w:rPr>
  </w:style>
  <w:style w:type="table" w:styleId="Tabel-Gitter">
    <w:name w:val="Table Grid"/>
    <w:basedOn w:val="Tabel-Normal"/>
    <w:uiPriority w:val="59"/>
    <w:rsid w:val="007712B7"/>
    <w:rPr>
      <w:rFonts w:asciiTheme="minorHAnsi" w:eastAsiaTheme="minorHAnsi" w:hAnsiTheme="minorHAnsi" w:cstheme="minorBidi"/>
      <w:sz w:val="22"/>
      <w:szCs w:val="22"/>
      <w:lang w:val="el-G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TotalTime>
  <Pages>18</Pages>
  <Words>6202</Words>
  <Characters>40013</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2021121321: pkt. 2 og 6.1</dc:description>
  <cp:lastModifiedBy>Helle Venn</cp:lastModifiedBy>
  <cp:revision>3</cp:revision>
  <cp:lastPrinted>2021-01-20T12:11:00Z</cp:lastPrinted>
  <dcterms:created xsi:type="dcterms:W3CDTF">2022-01-07T07:17:00Z</dcterms:created>
  <dcterms:modified xsi:type="dcterms:W3CDTF">2022-01-07T07:20:00Z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