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BC3" w:rsidRPr="008F49E1" w:rsidRDefault="00E24BC3" w:rsidP="00E24BC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E36D4D6" wp14:editId="388FDF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24BC3" w:rsidRPr="00C84483" w:rsidRDefault="00E24BC3" w:rsidP="00E24BC3">
      <w:pPr>
        <w:pStyle w:val="Titel"/>
        <w:tabs>
          <w:tab w:val="right" w:pos="9356"/>
        </w:tabs>
        <w:jc w:val="left"/>
        <w:rPr>
          <w:b w:val="0"/>
          <w:szCs w:val="24"/>
          <w:lang w:eastAsia="en-US"/>
        </w:rPr>
      </w:pPr>
    </w:p>
    <w:p w:rsidR="00E24BC3" w:rsidRPr="00C84483" w:rsidRDefault="00E24BC3" w:rsidP="00E24BC3">
      <w:pPr>
        <w:pStyle w:val="Titel"/>
        <w:tabs>
          <w:tab w:val="right" w:pos="9356"/>
        </w:tabs>
        <w:jc w:val="left"/>
        <w:rPr>
          <w:b w:val="0"/>
          <w:szCs w:val="24"/>
          <w:lang w:eastAsia="en-US"/>
        </w:rPr>
      </w:pPr>
      <w:r w:rsidRPr="00C84483">
        <w:rPr>
          <w:b w:val="0"/>
          <w:szCs w:val="24"/>
          <w:lang w:eastAsia="en-US"/>
        </w:rPr>
        <w:tab/>
      </w:r>
      <w:r w:rsidR="002A487F">
        <w:rPr>
          <w:szCs w:val="24"/>
          <w:lang w:eastAsia="en-US"/>
        </w:rPr>
        <w:t>26</w:t>
      </w:r>
      <w:r>
        <w:rPr>
          <w:szCs w:val="24"/>
          <w:lang w:eastAsia="en-US"/>
        </w:rPr>
        <w:t xml:space="preserve">. </w:t>
      </w:r>
      <w:r w:rsidR="002A487F">
        <w:rPr>
          <w:szCs w:val="24"/>
          <w:lang w:eastAsia="en-US"/>
        </w:rPr>
        <w:t>februar</w:t>
      </w:r>
      <w:r>
        <w:rPr>
          <w:szCs w:val="24"/>
          <w:lang w:eastAsia="en-US"/>
        </w:rPr>
        <w:t xml:space="preserve"> 20</w:t>
      </w:r>
      <w:r w:rsidR="002A487F">
        <w:rPr>
          <w:szCs w:val="24"/>
          <w:lang w:eastAsia="en-US"/>
        </w:rPr>
        <w:t>20</w:t>
      </w:r>
    </w:p>
    <w:p w:rsidR="00E24BC3" w:rsidRPr="00C84483" w:rsidRDefault="00E24BC3" w:rsidP="00E24BC3">
      <w:pPr>
        <w:pStyle w:val="Titel"/>
        <w:tabs>
          <w:tab w:val="left" w:pos="8222"/>
        </w:tabs>
        <w:jc w:val="left"/>
        <w:rPr>
          <w:b w:val="0"/>
          <w:szCs w:val="24"/>
        </w:rPr>
      </w:pPr>
    </w:p>
    <w:p w:rsidR="00E24BC3" w:rsidRDefault="00E24BC3" w:rsidP="00E24BC3">
      <w:pPr>
        <w:jc w:val="center"/>
        <w:rPr>
          <w:b/>
          <w:sz w:val="24"/>
          <w:szCs w:val="24"/>
        </w:rPr>
      </w:pPr>
    </w:p>
    <w:p w:rsidR="00E24BC3" w:rsidRPr="00C84483" w:rsidRDefault="00E24BC3" w:rsidP="00E24BC3">
      <w:pPr>
        <w:jc w:val="center"/>
        <w:rPr>
          <w:b/>
          <w:sz w:val="24"/>
          <w:szCs w:val="24"/>
        </w:rPr>
      </w:pPr>
      <w:r w:rsidRPr="00C84483">
        <w:rPr>
          <w:b/>
          <w:sz w:val="24"/>
          <w:szCs w:val="24"/>
        </w:rPr>
        <w:t>PRODUKTRESUMÉ</w:t>
      </w:r>
    </w:p>
    <w:p w:rsidR="00E24BC3" w:rsidRPr="00C84483" w:rsidRDefault="00E24BC3" w:rsidP="00E24BC3">
      <w:pPr>
        <w:jc w:val="center"/>
        <w:rPr>
          <w:b/>
          <w:sz w:val="24"/>
          <w:szCs w:val="24"/>
        </w:rPr>
      </w:pPr>
    </w:p>
    <w:p w:rsidR="00E24BC3" w:rsidRDefault="00E24BC3" w:rsidP="00E24BC3">
      <w:pPr>
        <w:tabs>
          <w:tab w:val="center" w:pos="4819"/>
        </w:tabs>
        <w:rPr>
          <w:b/>
          <w:sz w:val="24"/>
          <w:szCs w:val="24"/>
        </w:rPr>
      </w:pPr>
      <w:r>
        <w:rPr>
          <w:b/>
          <w:sz w:val="24"/>
          <w:szCs w:val="24"/>
        </w:rPr>
        <w:tab/>
      </w:r>
      <w:r w:rsidRPr="00C84483">
        <w:rPr>
          <w:b/>
          <w:sz w:val="24"/>
          <w:szCs w:val="24"/>
        </w:rPr>
        <w:t>for</w:t>
      </w:r>
    </w:p>
    <w:p w:rsidR="00E24BC3" w:rsidRPr="00C84483" w:rsidRDefault="00E24BC3" w:rsidP="00E24BC3">
      <w:pPr>
        <w:jc w:val="center"/>
        <w:rPr>
          <w:b/>
          <w:sz w:val="24"/>
          <w:szCs w:val="24"/>
        </w:rPr>
      </w:pPr>
    </w:p>
    <w:p w:rsidR="00E24BC3" w:rsidRPr="00C84483" w:rsidRDefault="00E24BC3" w:rsidP="00E24BC3">
      <w:pPr>
        <w:jc w:val="center"/>
        <w:rPr>
          <w:b/>
          <w:sz w:val="24"/>
          <w:szCs w:val="24"/>
        </w:rPr>
      </w:pPr>
      <w:r>
        <w:rPr>
          <w:b/>
          <w:sz w:val="24"/>
          <w:szCs w:val="24"/>
        </w:rPr>
        <w:t>Valganciclovir "Accord", filmovertrukne tabletter</w:t>
      </w:r>
    </w:p>
    <w:p w:rsidR="00E24BC3" w:rsidRPr="00C84483" w:rsidRDefault="00E24BC3" w:rsidP="00E24BC3">
      <w:pPr>
        <w:jc w:val="both"/>
        <w:rPr>
          <w:sz w:val="24"/>
          <w:szCs w:val="24"/>
        </w:rPr>
      </w:pPr>
    </w:p>
    <w:p w:rsidR="00E24BC3" w:rsidRPr="00C84483" w:rsidRDefault="00E24BC3" w:rsidP="00E24BC3">
      <w:pPr>
        <w:jc w:val="both"/>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0.</w:t>
      </w:r>
      <w:r w:rsidRPr="00C84483">
        <w:rPr>
          <w:b/>
          <w:sz w:val="24"/>
          <w:szCs w:val="24"/>
        </w:rPr>
        <w:tab/>
        <w:t>D.SP.NR.</w:t>
      </w:r>
    </w:p>
    <w:p w:rsidR="00E24BC3" w:rsidRPr="00C84483" w:rsidRDefault="00E24BC3" w:rsidP="00E24BC3">
      <w:pPr>
        <w:tabs>
          <w:tab w:val="left" w:pos="851"/>
        </w:tabs>
        <w:ind w:left="851"/>
        <w:rPr>
          <w:sz w:val="24"/>
          <w:szCs w:val="24"/>
        </w:rPr>
      </w:pPr>
      <w:r>
        <w:rPr>
          <w:sz w:val="24"/>
          <w:szCs w:val="24"/>
        </w:rPr>
        <w:t>29460</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1.</w:t>
      </w:r>
      <w:r w:rsidRPr="00C84483">
        <w:rPr>
          <w:b/>
          <w:sz w:val="24"/>
          <w:szCs w:val="24"/>
        </w:rPr>
        <w:tab/>
        <w:t>LÆGEMIDLETS NAVN</w:t>
      </w:r>
    </w:p>
    <w:p w:rsidR="00E24BC3" w:rsidRPr="00C84483" w:rsidRDefault="00E24BC3" w:rsidP="00E24BC3">
      <w:pPr>
        <w:tabs>
          <w:tab w:val="left" w:pos="851"/>
        </w:tabs>
        <w:ind w:left="851"/>
        <w:rPr>
          <w:sz w:val="24"/>
          <w:szCs w:val="24"/>
        </w:rPr>
      </w:pPr>
      <w:r>
        <w:rPr>
          <w:sz w:val="24"/>
          <w:szCs w:val="24"/>
        </w:rPr>
        <w:t>Valganciclovir "Accord"</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24BC3" w:rsidRDefault="00E24BC3" w:rsidP="00E24BC3">
      <w:pPr>
        <w:ind w:left="851"/>
        <w:rPr>
          <w:rFonts w:eastAsiaTheme="minorEastAsia"/>
          <w:sz w:val="24"/>
          <w:szCs w:val="24"/>
          <w:lang w:eastAsia="da-DK"/>
        </w:rPr>
      </w:pPr>
      <w:r w:rsidRPr="004F678B">
        <w:rPr>
          <w:rFonts w:eastAsiaTheme="minorEastAsia"/>
          <w:sz w:val="24"/>
          <w:szCs w:val="24"/>
          <w:lang w:eastAsia="da-DK"/>
        </w:rPr>
        <w:t>Hver filmovertrukket tablet indeholder 496,3 mg valganciclovirhydrochlorid svarende til 450 mg valganciclovir (som fri base).</w:t>
      </w:r>
    </w:p>
    <w:p w:rsidR="00E24BC3" w:rsidRPr="004F678B" w:rsidRDefault="00E24BC3" w:rsidP="00E24BC3">
      <w:pPr>
        <w:ind w:left="851"/>
        <w:rPr>
          <w:rFonts w:eastAsiaTheme="minorEastAsia"/>
          <w:sz w:val="24"/>
          <w:szCs w:val="24"/>
          <w:lang w:eastAsia="da-DK"/>
        </w:rPr>
      </w:pPr>
    </w:p>
    <w:p w:rsidR="00E24BC3" w:rsidRPr="00176123" w:rsidRDefault="00E24BC3" w:rsidP="00E24BC3">
      <w:pPr>
        <w:ind w:left="851"/>
        <w:rPr>
          <w:rFonts w:eastAsiaTheme="minorEastAsia"/>
          <w:sz w:val="24"/>
          <w:szCs w:val="24"/>
          <w:lang w:eastAsia="da-DK"/>
        </w:rPr>
      </w:pPr>
      <w:r w:rsidRPr="004F678B">
        <w:rPr>
          <w:rFonts w:eastAsiaTheme="minorEastAsia"/>
          <w:sz w:val="24"/>
          <w:szCs w:val="24"/>
          <w:lang w:eastAsia="da-DK"/>
        </w:rPr>
        <w:t>Alle hjælpestoffer er anført under pkt. 6.1</w:t>
      </w:r>
      <w:r>
        <w:rPr>
          <w:rFonts w:eastAsiaTheme="minorEastAsia"/>
          <w:sz w:val="24"/>
          <w:szCs w:val="24"/>
          <w:lang w:eastAsia="da-DK"/>
        </w:rPr>
        <w:t>.</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3.</w:t>
      </w:r>
      <w:r w:rsidRPr="00C84483">
        <w:rPr>
          <w:b/>
          <w:sz w:val="24"/>
          <w:szCs w:val="24"/>
        </w:rPr>
        <w:tab/>
        <w:t>LÆGEMIDDELFORM</w:t>
      </w:r>
    </w:p>
    <w:p w:rsidR="00E24BC3" w:rsidRPr="004F678B"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Filmovertrukne tabletter</w:t>
      </w:r>
    </w:p>
    <w:p w:rsidR="00E24BC3" w:rsidRPr="004F678B" w:rsidRDefault="00E24BC3" w:rsidP="00E24BC3">
      <w:pPr>
        <w:shd w:val="clear" w:color="auto" w:fill="FFFFFF"/>
        <w:ind w:left="851"/>
        <w:rPr>
          <w:rFonts w:eastAsiaTheme="minorEastAsia"/>
          <w:sz w:val="24"/>
          <w:szCs w:val="24"/>
          <w:lang w:eastAsia="da-DK"/>
        </w:rPr>
      </w:pPr>
    </w:p>
    <w:p w:rsidR="00E24BC3" w:rsidRPr="006D3C82"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Ca. 16,7</w:t>
      </w:r>
      <w:r>
        <w:rPr>
          <w:rFonts w:eastAsiaTheme="minorEastAsia"/>
          <w:sz w:val="24"/>
          <w:szCs w:val="24"/>
          <w:lang w:eastAsia="da-DK"/>
        </w:rPr>
        <w:t>×</w:t>
      </w:r>
      <w:r w:rsidRPr="004F678B">
        <w:rPr>
          <w:rFonts w:eastAsiaTheme="minorEastAsia"/>
          <w:sz w:val="24"/>
          <w:szCs w:val="24"/>
          <w:lang w:eastAsia="da-DK"/>
        </w:rPr>
        <w:t>7,8 mm, lyserøde, ovale, bikonvekse</w:t>
      </w:r>
      <w:r>
        <w:rPr>
          <w:rFonts w:eastAsiaTheme="minorEastAsia"/>
          <w:sz w:val="24"/>
          <w:szCs w:val="24"/>
          <w:lang w:eastAsia="da-DK"/>
        </w:rPr>
        <w:t>,</w:t>
      </w:r>
      <w:r w:rsidRPr="004F678B">
        <w:rPr>
          <w:rFonts w:eastAsiaTheme="minorEastAsia"/>
          <w:sz w:val="24"/>
          <w:szCs w:val="24"/>
          <w:lang w:eastAsia="da-DK"/>
        </w:rPr>
        <w:t xml:space="preserve"> filmovertrukne tabletter præget med 'J' på den ene side og ’156’ på den anden side.</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4.</w:t>
      </w:r>
      <w:r w:rsidRPr="00C84483">
        <w:rPr>
          <w:b/>
          <w:sz w:val="24"/>
          <w:szCs w:val="24"/>
        </w:rPr>
        <w:tab/>
        <w:t>KLINISKE OPLYSNINGER</w:t>
      </w:r>
    </w:p>
    <w:p w:rsidR="00E24BC3" w:rsidRPr="00C84483" w:rsidRDefault="00E24BC3" w:rsidP="00E24BC3">
      <w:pPr>
        <w:tabs>
          <w:tab w:val="left" w:pos="851"/>
        </w:tabs>
        <w:ind w:left="851"/>
        <w:rPr>
          <w:b/>
          <w:sz w:val="24"/>
          <w:szCs w:val="24"/>
        </w:rPr>
      </w:pPr>
    </w:p>
    <w:p w:rsidR="00E24BC3" w:rsidRPr="00C84483" w:rsidRDefault="00E24BC3" w:rsidP="00E24BC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24BC3" w:rsidRPr="004F678B" w:rsidRDefault="00E24BC3" w:rsidP="00E24BC3">
      <w:pPr>
        <w:shd w:val="clear" w:color="auto" w:fill="FFFFFF"/>
        <w:ind w:left="851"/>
        <w:rPr>
          <w:rFonts w:eastAsiaTheme="minorEastAsia"/>
          <w:bCs/>
          <w:sz w:val="24"/>
          <w:szCs w:val="24"/>
          <w:lang w:eastAsia="da-DK"/>
        </w:rPr>
      </w:pPr>
      <w:r w:rsidRPr="004F678B">
        <w:rPr>
          <w:rFonts w:eastAsiaTheme="minorEastAsia"/>
          <w:sz w:val="24"/>
          <w:szCs w:val="24"/>
          <w:lang w:eastAsia="da-DK"/>
        </w:rPr>
        <w:t>Valganciclovir "Accord" er indiceret til induktions- og vedligeholdelsesbehandling af cytomegalovirus (CMV) retinitis hos voksne patienter med erhvervet immundefektsyndrom (AIDS).</w:t>
      </w:r>
    </w:p>
    <w:p w:rsidR="00E24BC3" w:rsidRPr="004F678B" w:rsidRDefault="00E24BC3" w:rsidP="00E24BC3">
      <w:pPr>
        <w:shd w:val="clear" w:color="auto" w:fill="FFFFFF"/>
        <w:ind w:left="851"/>
        <w:rPr>
          <w:rFonts w:eastAsiaTheme="minorEastAsia"/>
          <w:bCs/>
          <w:sz w:val="24"/>
          <w:szCs w:val="24"/>
          <w:lang w:eastAsia="da-DK"/>
        </w:rPr>
      </w:pPr>
    </w:p>
    <w:p w:rsidR="00E24BC3" w:rsidRPr="00AB4816"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Valganciclovir "Accord" er indiceret til forebyggelse af CMV-sygdom hos CMV-negative voksne og børn (fra fødsel til 18 år), der er transplanteret med et organ fra en CMV-positiv donor.</w:t>
      </w:r>
    </w:p>
    <w:p w:rsidR="00E24BC3" w:rsidRDefault="00E24BC3" w:rsidP="00E24BC3">
      <w:pPr>
        <w:rPr>
          <w:sz w:val="24"/>
          <w:szCs w:val="24"/>
        </w:rPr>
      </w:pPr>
      <w:r>
        <w:rPr>
          <w:sz w:val="24"/>
          <w:szCs w:val="24"/>
        </w:rPr>
        <w:br w:type="page"/>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E24BC3" w:rsidRPr="004F678B" w:rsidRDefault="00E24BC3" w:rsidP="00E24BC3">
      <w:pPr>
        <w:shd w:val="clear" w:color="auto" w:fill="FFFFFF"/>
        <w:ind w:left="851"/>
        <w:rPr>
          <w:rFonts w:eastAsiaTheme="minorEastAsia"/>
          <w:sz w:val="24"/>
          <w:szCs w:val="24"/>
          <w:lang w:eastAsia="da-DK"/>
        </w:rPr>
      </w:pPr>
    </w:p>
    <w:p w:rsidR="00E24BC3" w:rsidRPr="00A06A65" w:rsidRDefault="00E24BC3" w:rsidP="00E24BC3">
      <w:pPr>
        <w:shd w:val="clear" w:color="auto" w:fill="FFFFFF"/>
        <w:ind w:left="851"/>
        <w:rPr>
          <w:rFonts w:eastAsiaTheme="minorEastAsia"/>
          <w:b/>
          <w:sz w:val="24"/>
          <w:szCs w:val="24"/>
          <w:u w:val="single"/>
          <w:lang w:eastAsia="da-DK"/>
        </w:rPr>
      </w:pPr>
      <w:r w:rsidRPr="00A06A65">
        <w:rPr>
          <w:rFonts w:eastAsiaTheme="minorEastAsia"/>
          <w:b/>
          <w:sz w:val="24"/>
          <w:szCs w:val="24"/>
          <w:u w:val="single"/>
          <w:lang w:eastAsia="da-DK"/>
        </w:rPr>
        <w:t xml:space="preserve">Dosering </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b/>
          <w:sz w:val="24"/>
          <w:szCs w:val="24"/>
          <w:lang w:eastAsia="da-DK"/>
        </w:rPr>
      </w:pPr>
      <w:r w:rsidRPr="004F678B">
        <w:rPr>
          <w:rFonts w:eastAsiaTheme="minorEastAsia"/>
          <w:b/>
          <w:sz w:val="24"/>
          <w:szCs w:val="24"/>
          <w:lang w:eastAsia="da-DK"/>
        </w:rPr>
        <w:t>Advarsel – For at undgå overdosering er det vigtigt nøje at overholde de anbefalede doser (se pkt. 4.4 og 4.9).</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Valganciclovir metaboliseres hurtigt og ekstensivt til ganciclovir efter oral administration. Oral valganciclovir 900 mg to gange daglig er terapeutisk ækvivalent med i.v. ganciclovir 5 mg/kg to gange daglig.</w:t>
      </w:r>
    </w:p>
    <w:p w:rsidR="00E24BC3" w:rsidRPr="004F678B" w:rsidRDefault="00E24BC3" w:rsidP="00E24BC3">
      <w:pPr>
        <w:shd w:val="clear" w:color="auto" w:fill="FFFFFF"/>
        <w:ind w:left="851"/>
        <w:rPr>
          <w:rFonts w:eastAsiaTheme="minorEastAsia"/>
          <w:sz w:val="24"/>
          <w:szCs w:val="24"/>
          <w:lang w:eastAsia="da-DK"/>
        </w:rPr>
      </w:pPr>
    </w:p>
    <w:p w:rsidR="00E24BC3" w:rsidRPr="000C0B4E" w:rsidRDefault="00E24BC3" w:rsidP="00E24BC3">
      <w:pPr>
        <w:shd w:val="clear" w:color="auto" w:fill="FFFFFF"/>
        <w:ind w:left="851"/>
        <w:rPr>
          <w:rFonts w:eastAsiaTheme="minorEastAsia"/>
          <w:b/>
          <w:sz w:val="24"/>
          <w:szCs w:val="24"/>
          <w:lang w:eastAsia="da-DK"/>
        </w:rPr>
      </w:pPr>
      <w:r w:rsidRPr="000C0B4E">
        <w:rPr>
          <w:rFonts w:eastAsiaTheme="minorEastAsia"/>
          <w:b/>
          <w:sz w:val="24"/>
          <w:szCs w:val="24"/>
          <w:lang w:eastAsia="da-DK"/>
        </w:rPr>
        <w:t>Behandling af cytomegalovirus (CMV) retinitis</w:t>
      </w:r>
    </w:p>
    <w:p w:rsidR="00E24BC3" w:rsidRPr="004F678B" w:rsidRDefault="00E24BC3" w:rsidP="00E24BC3">
      <w:pPr>
        <w:shd w:val="clear" w:color="auto" w:fill="FFFFFF"/>
        <w:ind w:left="851"/>
        <w:rPr>
          <w:rFonts w:eastAsiaTheme="minorEastAsia"/>
          <w:sz w:val="24"/>
          <w:szCs w:val="24"/>
          <w:lang w:eastAsia="da-DK"/>
        </w:rPr>
      </w:pPr>
    </w:p>
    <w:p w:rsidR="00E24BC3" w:rsidRPr="000C0B4E" w:rsidRDefault="00E24BC3" w:rsidP="00E24BC3">
      <w:pPr>
        <w:shd w:val="clear" w:color="auto" w:fill="FFFFFF"/>
        <w:ind w:left="851"/>
        <w:rPr>
          <w:rFonts w:eastAsiaTheme="minorEastAsia"/>
          <w:sz w:val="24"/>
          <w:szCs w:val="24"/>
          <w:u w:val="single"/>
          <w:lang w:eastAsia="da-DK"/>
        </w:rPr>
      </w:pPr>
      <w:r w:rsidRPr="000C0B4E">
        <w:rPr>
          <w:rFonts w:eastAsiaTheme="minorEastAsia"/>
          <w:sz w:val="24"/>
          <w:szCs w:val="24"/>
          <w:u w:val="single"/>
          <w:lang w:eastAsia="da-DK"/>
        </w:rPr>
        <w:t>Voksne patienter</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i/>
          <w:sz w:val="24"/>
          <w:szCs w:val="24"/>
          <w:lang w:eastAsia="da-DK"/>
        </w:rPr>
      </w:pPr>
      <w:r w:rsidRPr="004F678B">
        <w:rPr>
          <w:rFonts w:eastAsiaTheme="minorEastAsia"/>
          <w:i/>
          <w:sz w:val="24"/>
          <w:szCs w:val="24"/>
          <w:lang w:eastAsia="da-DK"/>
        </w:rPr>
        <w:t>Induktionsbehandling af CMV-retinitis</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Den anbefalede dosis til patienter med aktiv CMV-retinitis er 900 mg valganciclovir (to Valganciclovir "Accord" 450 mg filmovertrukne tabletter) to gange daglig i 21 dage, og de bør om muligt indtages sammen med føde. Længerevarende induktionsbehandling kan forøge risikoen for knoglemarvstoksicitet (se pkt. 4.4).</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i/>
          <w:sz w:val="24"/>
          <w:szCs w:val="24"/>
          <w:lang w:eastAsia="da-DK"/>
        </w:rPr>
      </w:pPr>
      <w:r w:rsidRPr="004F678B">
        <w:rPr>
          <w:rFonts w:eastAsiaTheme="minorEastAsia"/>
          <w:i/>
          <w:sz w:val="24"/>
          <w:szCs w:val="24"/>
          <w:lang w:eastAsia="da-DK"/>
        </w:rPr>
        <w:t>Vedligeholdelsesbehandling af CMV-retinitis</w:t>
      </w:r>
    </w:p>
    <w:p w:rsidR="00E24BC3"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Efter induktionsbehandling eller hos patienter med inaktiv retinitis er den anbefalede dosis 900 mg valganciclovir (to Valganciclovir "Accord" 450 mg filmovertrukne tabletter) en gang daglig, og de bør om muligt indtages sammen med føde. Hos patienter med retinitis, som forværres, kan induktionsbehandlingen gentages, idet risikoen for viral lægemiddelresistens dog skal tages i betragtning.</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Varigheden af vedligeholdelsesbehandling skal bestemmes individuelt.</w:t>
      </w:r>
    </w:p>
    <w:p w:rsidR="00E24BC3" w:rsidRPr="004F678B" w:rsidRDefault="00E24BC3" w:rsidP="00E24BC3">
      <w:pPr>
        <w:shd w:val="clear" w:color="auto" w:fill="FFFFFF"/>
        <w:ind w:left="851"/>
        <w:rPr>
          <w:rFonts w:eastAsiaTheme="minorEastAsia"/>
          <w:sz w:val="24"/>
          <w:szCs w:val="24"/>
          <w:lang w:eastAsia="da-DK"/>
        </w:rPr>
      </w:pPr>
    </w:p>
    <w:p w:rsidR="00E24BC3" w:rsidRPr="000C0B4E" w:rsidRDefault="00E24BC3" w:rsidP="00E24BC3">
      <w:pPr>
        <w:shd w:val="clear" w:color="auto" w:fill="FFFFFF"/>
        <w:ind w:left="851"/>
        <w:rPr>
          <w:rFonts w:eastAsiaTheme="minorEastAsia"/>
          <w:sz w:val="24"/>
          <w:szCs w:val="24"/>
          <w:u w:val="single"/>
          <w:lang w:eastAsia="da-DK"/>
        </w:rPr>
      </w:pPr>
      <w:r w:rsidRPr="000C0B4E">
        <w:rPr>
          <w:rFonts w:eastAsiaTheme="minorEastAsia"/>
          <w:sz w:val="24"/>
          <w:szCs w:val="24"/>
          <w:u w:val="single"/>
          <w:lang w:eastAsia="da-DK"/>
        </w:rPr>
        <w:t>Pædiatrisk population</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Valganciclovirs sikkerhed og virkning i behandlingen af ​​CMV-retinitis er ikke klarlagt i fyldestgørende og velkontrollerede kliniske studier hos pædiatriske patienter.</w:t>
      </w:r>
    </w:p>
    <w:p w:rsidR="00E24BC3" w:rsidRPr="004F678B" w:rsidRDefault="00E24BC3" w:rsidP="00E24BC3">
      <w:pPr>
        <w:shd w:val="clear" w:color="auto" w:fill="FFFFFF"/>
        <w:ind w:left="851"/>
        <w:rPr>
          <w:rFonts w:eastAsiaTheme="minorEastAsia"/>
          <w:sz w:val="24"/>
          <w:szCs w:val="24"/>
          <w:lang w:eastAsia="da-DK"/>
        </w:rPr>
      </w:pPr>
    </w:p>
    <w:p w:rsidR="00E24BC3" w:rsidRPr="000C0B4E" w:rsidRDefault="00E24BC3" w:rsidP="00E24BC3">
      <w:pPr>
        <w:shd w:val="clear" w:color="auto" w:fill="FFFFFF"/>
        <w:ind w:left="851"/>
        <w:rPr>
          <w:rFonts w:eastAsiaTheme="minorEastAsia"/>
          <w:b/>
          <w:sz w:val="24"/>
          <w:szCs w:val="24"/>
          <w:lang w:eastAsia="da-DK"/>
        </w:rPr>
      </w:pPr>
      <w:r w:rsidRPr="000C0B4E">
        <w:rPr>
          <w:rFonts w:eastAsiaTheme="minorEastAsia"/>
          <w:b/>
          <w:sz w:val="24"/>
          <w:szCs w:val="24"/>
          <w:lang w:eastAsia="da-DK"/>
        </w:rPr>
        <w:t>Forebyggelse af CMV-sygdom ved organtransplantation</w:t>
      </w:r>
    </w:p>
    <w:p w:rsidR="00E24BC3" w:rsidRPr="004F678B" w:rsidRDefault="00E24BC3" w:rsidP="00E24BC3">
      <w:pPr>
        <w:shd w:val="clear" w:color="auto" w:fill="FFFFFF"/>
        <w:ind w:left="851"/>
        <w:rPr>
          <w:rFonts w:eastAsiaTheme="minorEastAsia"/>
          <w:sz w:val="24"/>
          <w:szCs w:val="24"/>
          <w:lang w:eastAsia="da-DK"/>
        </w:rPr>
      </w:pPr>
    </w:p>
    <w:p w:rsidR="00E24BC3" w:rsidRPr="000C0B4E" w:rsidRDefault="00E24BC3" w:rsidP="00E24BC3">
      <w:pPr>
        <w:shd w:val="clear" w:color="auto" w:fill="FFFFFF"/>
        <w:ind w:left="851"/>
        <w:rPr>
          <w:rFonts w:eastAsiaTheme="minorEastAsia"/>
          <w:sz w:val="24"/>
          <w:szCs w:val="24"/>
          <w:u w:val="single"/>
          <w:lang w:eastAsia="da-DK"/>
        </w:rPr>
      </w:pPr>
      <w:r w:rsidRPr="000C0B4E">
        <w:rPr>
          <w:rFonts w:eastAsiaTheme="minorEastAsia"/>
          <w:sz w:val="24"/>
          <w:szCs w:val="24"/>
          <w:u w:val="single"/>
          <w:lang w:eastAsia="da-DK"/>
        </w:rPr>
        <w:t>Voksne patienter</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Den anbefalede dosis til patienter, der har gennemgået en nyretransplantation, er 900 mg (to Valganciclovir "Accord" 450 mg filmovertrukne tabletter) en gang daglig. Forebyggelsen skal påbegyndes inden for 10 dage efter transplantationen og fortsættes indtil 100 dage efter transplantationen. Forebyggelsen kan fortsættes til 200 dage efter transplantationen (se pkt. 4.4, 4.8 og 5.1).</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Den anbefalede dosis til patienter, der har gennemgået en organtransplantation af andet end nyre, er 900 mg (to Valganciclovir "Accord" 450 mg filmovertrukne tabletter) en gang daglig. Forebyggelsen skal påbegyndes inden for 10 dage efter transplantationen og fortsætte indtil 100 dage efter transplantationen.</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Tabletterne skal, så vidt det er muligt, indtages sammen med føde.</w:t>
      </w:r>
    </w:p>
    <w:p w:rsidR="00E24BC3" w:rsidRDefault="00E24BC3" w:rsidP="00E24BC3">
      <w:pPr>
        <w:rPr>
          <w:rFonts w:eastAsiaTheme="minorEastAsia"/>
          <w:sz w:val="24"/>
          <w:szCs w:val="24"/>
          <w:lang w:eastAsia="da-DK"/>
        </w:rPr>
      </w:pPr>
      <w:r>
        <w:rPr>
          <w:rFonts w:eastAsiaTheme="minorEastAsia"/>
          <w:sz w:val="24"/>
          <w:szCs w:val="24"/>
          <w:lang w:eastAsia="da-DK"/>
        </w:rPr>
        <w:br w:type="page"/>
      </w:r>
    </w:p>
    <w:p w:rsidR="00E24BC3" w:rsidRPr="004F678B" w:rsidRDefault="00E24BC3" w:rsidP="00E24BC3">
      <w:pPr>
        <w:shd w:val="clear" w:color="auto" w:fill="FFFFFF"/>
        <w:ind w:left="851"/>
        <w:rPr>
          <w:rFonts w:eastAsiaTheme="minorEastAsia"/>
          <w:sz w:val="24"/>
          <w:szCs w:val="24"/>
          <w:lang w:eastAsia="da-DK"/>
        </w:rPr>
      </w:pPr>
    </w:p>
    <w:p w:rsidR="00E24BC3" w:rsidRPr="000C0B4E" w:rsidRDefault="00E24BC3" w:rsidP="00E24BC3">
      <w:pPr>
        <w:shd w:val="clear" w:color="auto" w:fill="FFFFFF"/>
        <w:ind w:left="851"/>
        <w:rPr>
          <w:rFonts w:eastAsiaTheme="minorEastAsia"/>
          <w:sz w:val="24"/>
          <w:szCs w:val="24"/>
          <w:u w:val="single"/>
          <w:lang w:eastAsia="da-DK"/>
        </w:rPr>
      </w:pPr>
      <w:r w:rsidRPr="000C0B4E">
        <w:rPr>
          <w:rFonts w:eastAsiaTheme="minorEastAsia"/>
          <w:sz w:val="24"/>
          <w:szCs w:val="24"/>
          <w:u w:val="single"/>
          <w:lang w:eastAsia="da-DK"/>
        </w:rPr>
        <w:t>Pædiatrisk population</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Hos pædiatriske organtransplanterede patienter, fra fødsel, som er i risiko for at udvikle CMV-sygdom, er den anbefalede en gang daglig dosis af valganciclovir baseret på legemsoverfladareal (BSA) og kreatininclearance (</w:t>
      </w:r>
      <w:r>
        <w:t>Clcr</w:t>
      </w:r>
      <w:r>
        <w:rPr>
          <w:rFonts w:eastAsiaTheme="minorEastAsia"/>
          <w:sz w:val="24"/>
          <w:szCs w:val="24"/>
          <w:lang w:eastAsia="da-DK"/>
        </w:rPr>
        <w:t xml:space="preserve">) afledt af Schwarts formel </w:t>
      </w:r>
      <w:r>
        <w:t>ClcrS</w:t>
      </w:r>
      <w:r>
        <w:rPr>
          <w:rFonts w:eastAsiaTheme="minorEastAsia"/>
          <w:sz w:val="24"/>
          <w:szCs w:val="24"/>
          <w:lang w:eastAsia="da-DK"/>
        </w:rPr>
        <w:t>) og der udregnes ved hjælp af formlen nedenfor:</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 xml:space="preserve">Pædiatrisk dosis (mg) = 7 x BSA x </w:t>
      </w:r>
      <w:r>
        <w:t>ClcrS</w:t>
      </w:r>
      <w:r>
        <w:rPr>
          <w:rFonts w:eastAsiaTheme="minorEastAsia"/>
          <w:sz w:val="24"/>
          <w:szCs w:val="24"/>
          <w:lang w:eastAsia="da-DK"/>
        </w:rPr>
        <w:t xml:space="preserve"> (se Mosteller BSA formel og Schwartz kreatininclearance formel nedenfor).</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Desuden skal en maksimumværdi på 150 ml/min/1,73m</w:t>
      </w:r>
      <w:r w:rsidRPr="004F678B">
        <w:rPr>
          <w:rFonts w:eastAsiaTheme="minorEastAsia"/>
          <w:sz w:val="24"/>
          <w:szCs w:val="24"/>
          <w:vertAlign w:val="superscript"/>
          <w:lang w:eastAsia="da-DK"/>
        </w:rPr>
        <w:t>2</w:t>
      </w:r>
      <w:r w:rsidRPr="004F678B">
        <w:rPr>
          <w:rFonts w:eastAsiaTheme="minorEastAsia"/>
          <w:sz w:val="24"/>
          <w:szCs w:val="24"/>
          <w:lang w:eastAsia="da-DK"/>
        </w:rPr>
        <w:t xml:space="preserve"> anvendes i formlen, hvis den beregnede Schwartz kreatininclearance overstiger 150 ml/min/1,73 m</w:t>
      </w:r>
      <w:r w:rsidRPr="004F678B">
        <w:rPr>
          <w:rFonts w:eastAsiaTheme="minorEastAsia"/>
          <w:sz w:val="24"/>
          <w:szCs w:val="24"/>
          <w:vertAlign w:val="superscript"/>
          <w:lang w:eastAsia="da-DK"/>
        </w:rPr>
        <w:t>2</w:t>
      </w:r>
      <w:r w:rsidRPr="004F678B">
        <w:rPr>
          <w:rFonts w:eastAsiaTheme="minorEastAsia"/>
          <w:sz w:val="24"/>
          <w:szCs w:val="24"/>
          <w:lang w:eastAsia="da-DK"/>
        </w:rPr>
        <w:t>:</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noProof/>
          <w:sz w:val="24"/>
          <w:szCs w:val="24"/>
          <w:lang w:eastAsia="da-DK"/>
        </w:rPr>
        <w:drawing>
          <wp:inline distT="0" distB="0" distL="0" distR="0" wp14:anchorId="027454FF" wp14:editId="43ED7DB3">
            <wp:extent cx="3139440" cy="624840"/>
            <wp:effectExtent l="0" t="0" r="3810" b="0"/>
            <wp:docPr id="3" name="Billede 3" descr="https://www.medicines.org.uk/emc/images/spc~9315~11~11277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www.medicines.org.uk/emc/images/spc~9315~11~112778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9440" cy="624840"/>
                    </a:xfrm>
                    <a:prstGeom prst="rect">
                      <a:avLst/>
                    </a:prstGeom>
                    <a:noFill/>
                    <a:ln>
                      <a:noFill/>
                    </a:ln>
                  </pic:spPr>
                </pic:pic>
              </a:graphicData>
            </a:graphic>
          </wp:inline>
        </w:drawing>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noProof/>
          <w:sz w:val="24"/>
          <w:szCs w:val="24"/>
          <w:lang w:eastAsia="da-DK"/>
        </w:rPr>
        <w:drawing>
          <wp:inline distT="0" distB="0" distL="0" distR="0" wp14:anchorId="08FC0550" wp14:editId="47648AE7">
            <wp:extent cx="5128260" cy="502920"/>
            <wp:effectExtent l="0" t="0" r="0" b="0"/>
            <wp:docPr id="2" name="Billede 2" descr="https://www.medicines.org.uk/emc/images/spc~9315~11~11277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www.medicines.org.uk/emc/images/spc~9315~11~112778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260" cy="502920"/>
                    </a:xfrm>
                    <a:prstGeom prst="rect">
                      <a:avLst/>
                    </a:prstGeom>
                    <a:noFill/>
                    <a:ln>
                      <a:noFill/>
                    </a:ln>
                  </pic:spPr>
                </pic:pic>
              </a:graphicData>
            </a:graphic>
          </wp:inline>
        </w:drawing>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hvor k = 0,45* for patienter &lt; 2 år gamle;  0,55 for drenge i alderen 2 til &lt; 13 år samt piger i alderen 2 til 16 år og 0,7 for drenge i alderen 13 til 16 år. For patienter, der er ældre end 16 år anvendes dosering for voksne patienter.</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 k-værdier, som er angivet, er baseret på Jaffe-metoden til at måle serumkreatinin og det kan være nødvendigt at tilrette den, hvis enzymatiske metoder anvendes.</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 For nogle subpopulationer kan det være nødvendigt at nedsætte k-værdien (f.eks. hos pædiatriske patienter med lav fødselsvægt).</w:t>
      </w:r>
    </w:p>
    <w:p w:rsidR="00E24BC3" w:rsidRPr="004F678B"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 xml:space="preserve">For nyretransplanterede pædiatriske patienter skal den anbefalede en daglig dosis i mg (7 x BSA x </w:t>
      </w:r>
      <w:r>
        <w:t>ClcrS</w:t>
      </w:r>
      <w:r>
        <w:rPr>
          <w:rFonts w:eastAsiaTheme="minorEastAsia"/>
          <w:sz w:val="24"/>
          <w:szCs w:val="24"/>
          <w:lang w:eastAsia="da-DK"/>
        </w:rPr>
        <w:t>) initieres inden for 10 dage efter transplantationen og fortsætte indtil 200 dage efter transplantationen.</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 xml:space="preserve">For pædiatriske patienter, som har fået anden organtransplantation end nyretransplantation, skal den anbefalede daglige dosis i mg (7 x BSA x </w:t>
      </w:r>
      <w:r>
        <w:t>ClcrS</w:t>
      </w:r>
      <w:r>
        <w:rPr>
          <w:rFonts w:eastAsiaTheme="minorEastAsia"/>
          <w:sz w:val="24"/>
          <w:szCs w:val="24"/>
          <w:lang w:eastAsia="da-DK"/>
        </w:rPr>
        <w:t>) initieres inden for 10 dage efter transplantationen og fortsætte indtil 100 dage efter transplantationen.</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 xml:space="preserve">Alle udregnede doser skal rundes op til det nærmeste 25 mg interval for fastlæggelse af den aktuelle dosis, der er muligt at afmåle. Maksimum dosis på 900 mg skal gives, hvis den udregnede dosis overstiger 900 mg. Den orale suspension er den foretrukne formulering, eftersom den giver mulighed for at give en dosis, som er udregnet efter formlen overfor. Valganciclovir "Accord" kan også anvendes, hvis den udregnede dosis er indenfor 10 % af den tilgængelige tabletstyrke og hvis patienten kan sluge tabletter. For eksempel kan en 450 mg tablet anvendes, hvis den beregnede dosis er mellem 405 og 495 mg. </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Det anbefales, at serumkreatinin-værdierne monitoreres regelmæssigt og der tages hensyn til ændringer i højde og vægt, og dosis justeres tilsvarende under den forebyggende behandlingsperiode.</w:t>
      </w:r>
    </w:p>
    <w:p w:rsidR="00E24BC3" w:rsidRDefault="00E24BC3" w:rsidP="00E24BC3">
      <w:pPr>
        <w:rPr>
          <w:rFonts w:eastAsiaTheme="minorEastAsia"/>
          <w:sz w:val="24"/>
          <w:szCs w:val="24"/>
          <w:lang w:eastAsia="da-DK"/>
        </w:rPr>
      </w:pPr>
      <w:r>
        <w:rPr>
          <w:rFonts w:eastAsiaTheme="minorEastAsia"/>
          <w:sz w:val="24"/>
          <w:szCs w:val="24"/>
          <w:lang w:eastAsia="da-DK"/>
        </w:rPr>
        <w:br w:type="page"/>
      </w:r>
    </w:p>
    <w:p w:rsidR="00E24BC3" w:rsidRPr="004F678B" w:rsidRDefault="00E24BC3" w:rsidP="00E24BC3">
      <w:pPr>
        <w:shd w:val="clear" w:color="auto" w:fill="FFFFFF"/>
        <w:ind w:left="851"/>
        <w:rPr>
          <w:rFonts w:eastAsiaTheme="minorEastAsia"/>
          <w:sz w:val="24"/>
          <w:szCs w:val="24"/>
          <w:lang w:eastAsia="da-DK"/>
        </w:rPr>
      </w:pPr>
    </w:p>
    <w:p w:rsidR="00E24BC3" w:rsidRPr="00CB3A99" w:rsidRDefault="00E24BC3" w:rsidP="00E24BC3">
      <w:pPr>
        <w:shd w:val="clear" w:color="auto" w:fill="FFFFFF"/>
        <w:ind w:left="851"/>
        <w:rPr>
          <w:rFonts w:eastAsiaTheme="minorEastAsia"/>
          <w:b/>
          <w:sz w:val="24"/>
          <w:szCs w:val="24"/>
          <w:lang w:eastAsia="da-DK"/>
        </w:rPr>
      </w:pPr>
      <w:r w:rsidRPr="00CB3A99">
        <w:rPr>
          <w:rFonts w:eastAsiaTheme="minorEastAsia"/>
          <w:b/>
          <w:sz w:val="24"/>
          <w:szCs w:val="24"/>
          <w:lang w:eastAsia="da-DK"/>
        </w:rPr>
        <w:t>Særlige dosisinstruktioner</w:t>
      </w:r>
    </w:p>
    <w:p w:rsidR="00E24BC3" w:rsidRPr="004F678B"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i/>
          <w:sz w:val="24"/>
          <w:szCs w:val="24"/>
          <w:lang w:eastAsia="da-DK"/>
        </w:rPr>
      </w:pPr>
      <w:r>
        <w:rPr>
          <w:rFonts w:eastAsiaTheme="minorEastAsia"/>
          <w:i/>
          <w:sz w:val="24"/>
          <w:szCs w:val="24"/>
          <w:lang w:eastAsia="da-DK"/>
        </w:rPr>
        <w:t>Pædiatrisk population:</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Dosis til pædiatriske SOT-patienter er individuelt baseret ud fra patientens nyrefunktion sammen med kropsoverflademål.</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 </w:t>
      </w:r>
    </w:p>
    <w:p w:rsidR="00E24BC3" w:rsidRDefault="00E24BC3" w:rsidP="00E24BC3">
      <w:pPr>
        <w:shd w:val="clear" w:color="auto" w:fill="FFFFFF"/>
        <w:ind w:left="851"/>
        <w:rPr>
          <w:rFonts w:eastAsiaTheme="minorEastAsia"/>
          <w:i/>
          <w:sz w:val="24"/>
          <w:szCs w:val="24"/>
          <w:lang w:eastAsia="da-DK"/>
        </w:rPr>
      </w:pPr>
      <w:r>
        <w:rPr>
          <w:rFonts w:eastAsiaTheme="minorEastAsia"/>
          <w:i/>
          <w:sz w:val="24"/>
          <w:szCs w:val="24"/>
          <w:lang w:eastAsia="da-DK"/>
        </w:rPr>
        <w:t>Ældre patienter:</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Sikkerhed og virkning er ikke fastslået hos denne patientpopulation. Der er ikke udført undersøgelser hos voksne over 65 år. Da nyreinsufficiens falder med alderen, bør Valganciclovir "Accord" administreres til ældre patienter med særlig hensyntagen til deres nyrestatus (se tabel herunder). (Se pkt. 5.2)</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u w:val="single"/>
          <w:lang w:eastAsia="da-DK"/>
        </w:rPr>
      </w:pPr>
      <w:r>
        <w:rPr>
          <w:rFonts w:eastAsiaTheme="minorEastAsia"/>
          <w:sz w:val="24"/>
          <w:szCs w:val="24"/>
          <w:u w:val="single"/>
          <w:lang w:eastAsia="da-DK"/>
        </w:rPr>
        <w:t>Patienter med nedsat nyrefunktion</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Serumkreatinin eller estimeret kreatininclearance skal kontrolleres omhyggeligt. Dosis skal justeres iht. kreatininclearance, som vist i nedenstående tabel (se pkt. 4.4 og 5.2).</w:t>
      </w:r>
    </w:p>
    <w:p w:rsidR="00E24BC3" w:rsidRPr="004F678B" w:rsidRDefault="00E24BC3" w:rsidP="00E24BC3">
      <w:pPr>
        <w:shd w:val="clear" w:color="auto" w:fill="FFFFFF"/>
        <w:ind w:left="851"/>
        <w:rPr>
          <w:rFonts w:eastAsiaTheme="minorEastAsia"/>
          <w:sz w:val="24"/>
          <w:szCs w:val="24"/>
          <w:lang w:eastAsia="da-DK"/>
        </w:rPr>
      </w:pPr>
    </w:p>
    <w:p w:rsidR="00E24BC3" w:rsidRPr="005112B5" w:rsidRDefault="00E24BC3" w:rsidP="00E24BC3">
      <w:pPr>
        <w:shd w:val="clear" w:color="auto" w:fill="FFFFFF"/>
        <w:ind w:left="851"/>
        <w:rPr>
          <w:rFonts w:eastAsiaTheme="minorEastAsia"/>
          <w:sz w:val="24"/>
          <w:szCs w:val="24"/>
          <w:lang w:eastAsia="da-DK"/>
        </w:rPr>
      </w:pPr>
      <w:r w:rsidRPr="005112B5">
        <w:rPr>
          <w:rFonts w:eastAsiaTheme="minorEastAsia"/>
          <w:sz w:val="24"/>
          <w:szCs w:val="24"/>
          <w:lang w:eastAsia="da-DK"/>
        </w:rPr>
        <w:t>Kreatininclearance (ml/min) kan estimeres fra serumkreatinin ved hjælp af følgende formel:</w:t>
      </w:r>
    </w:p>
    <w:p w:rsidR="00E24BC3" w:rsidRPr="005112B5" w:rsidRDefault="00E24BC3" w:rsidP="00E24BC3">
      <w:pPr>
        <w:shd w:val="clear" w:color="auto" w:fill="FFFFFF"/>
        <w:ind w:left="851"/>
        <w:rPr>
          <w:rFonts w:eastAsiaTheme="minorEastAsia"/>
          <w:sz w:val="24"/>
          <w:szCs w:val="24"/>
          <w:lang w:eastAsia="da-DK"/>
        </w:rPr>
      </w:pPr>
    </w:p>
    <w:p w:rsidR="00E24BC3" w:rsidRPr="005112B5" w:rsidRDefault="00E24BC3" w:rsidP="00E24BC3">
      <w:pPr>
        <w:shd w:val="clear" w:color="auto" w:fill="FFFFFF"/>
        <w:ind w:left="851"/>
        <w:rPr>
          <w:rFonts w:eastAsiaTheme="minorEastAsia"/>
          <w:i/>
          <w:sz w:val="22"/>
          <w:szCs w:val="22"/>
          <w:lang w:eastAsia="da-DK"/>
        </w:rPr>
      </w:pPr>
      <m:oMathPara>
        <m:oMathParaPr>
          <m:jc m:val="left"/>
        </m:oMathParaPr>
        <m:oMath>
          <m:r>
            <w:rPr>
              <w:rFonts w:ascii="Cambria Math" w:eastAsiaTheme="minorEastAsia" w:hAnsi="Cambria Math"/>
              <w:sz w:val="22"/>
              <w:szCs w:val="22"/>
              <w:lang w:eastAsia="da-DK"/>
            </w:rPr>
            <m:t xml:space="preserve">Til mænd= </m:t>
          </m:r>
          <m:f>
            <m:fPr>
              <m:ctrlPr>
                <w:rPr>
                  <w:rFonts w:ascii="Cambria Math" w:eastAsiaTheme="minorEastAsia" w:hAnsi="Cambria Math"/>
                  <w:i/>
                  <w:sz w:val="22"/>
                  <w:szCs w:val="22"/>
                  <w:lang w:eastAsia="da-DK"/>
                </w:rPr>
              </m:ctrlPr>
            </m:fPr>
            <m:num>
              <m:d>
                <m:dPr>
                  <m:ctrlPr>
                    <w:rPr>
                      <w:rFonts w:ascii="Cambria Math" w:eastAsiaTheme="minorEastAsia" w:hAnsi="Cambria Math"/>
                      <w:i/>
                      <w:sz w:val="22"/>
                      <w:szCs w:val="22"/>
                      <w:lang w:eastAsia="da-DK"/>
                    </w:rPr>
                  </m:ctrlPr>
                </m:dPr>
                <m:e>
                  <m:r>
                    <w:rPr>
                      <w:rFonts w:ascii="Cambria Math" w:eastAsiaTheme="minorEastAsia" w:hAnsi="Cambria Math"/>
                      <w:sz w:val="22"/>
                      <w:szCs w:val="22"/>
                      <w:lang w:eastAsia="da-DK"/>
                    </w:rPr>
                    <m:t>140-alder [år]</m:t>
                  </m:r>
                </m:e>
              </m:d>
              <m:r>
                <w:rPr>
                  <w:rFonts w:ascii="Cambria Math" w:eastAsiaTheme="minorEastAsia" w:hAnsi="Cambria Math"/>
                  <w:sz w:val="22"/>
                  <w:szCs w:val="22"/>
                  <w:lang w:eastAsia="da-DK"/>
                </w:rPr>
                <m:t xml:space="preserve"> x </m:t>
              </m:r>
              <m:d>
                <m:dPr>
                  <m:ctrlPr>
                    <w:rPr>
                      <w:rFonts w:ascii="Cambria Math" w:eastAsiaTheme="minorEastAsia" w:hAnsi="Cambria Math"/>
                      <w:i/>
                      <w:sz w:val="22"/>
                      <w:szCs w:val="22"/>
                      <w:lang w:eastAsia="da-DK"/>
                    </w:rPr>
                  </m:ctrlPr>
                </m:dPr>
                <m:e>
                  <m:r>
                    <w:rPr>
                      <w:rFonts w:ascii="Cambria Math" w:eastAsiaTheme="minorEastAsia" w:hAnsi="Cambria Math"/>
                      <w:sz w:val="22"/>
                      <w:szCs w:val="22"/>
                      <w:lang w:eastAsia="da-DK"/>
                    </w:rPr>
                    <m:t>kropsvægt [kg]</m:t>
                  </m:r>
                </m:e>
              </m:d>
            </m:num>
            <m:den>
              <m:r>
                <w:rPr>
                  <w:rFonts w:ascii="Cambria Math" w:eastAsiaTheme="minorEastAsia" w:hAnsi="Cambria Math"/>
                  <w:sz w:val="22"/>
                  <w:szCs w:val="22"/>
                  <w:lang w:eastAsia="da-DK"/>
                </w:rPr>
                <m:t>72 x (0,011 x serumkreatinin [</m:t>
              </m:r>
              <m:f>
                <m:fPr>
                  <m:type m:val="lin"/>
                  <m:ctrlPr>
                    <w:rPr>
                      <w:rFonts w:ascii="Cambria Math" w:eastAsiaTheme="minorEastAsia" w:hAnsi="Cambria Math"/>
                      <w:i/>
                      <w:sz w:val="22"/>
                      <w:szCs w:val="22"/>
                      <w:lang w:eastAsia="da-DK"/>
                    </w:rPr>
                  </m:ctrlPr>
                </m:fPr>
                <m:num>
                  <m:r>
                    <w:rPr>
                      <w:rFonts w:ascii="Cambria Math" w:eastAsiaTheme="minorEastAsia" w:hAnsi="Cambria Math"/>
                      <w:sz w:val="22"/>
                      <w:szCs w:val="22"/>
                      <w:lang w:eastAsia="da-DK"/>
                    </w:rPr>
                    <m:t>micromol</m:t>
                  </m:r>
                </m:num>
                <m:den>
                  <m:r>
                    <w:rPr>
                      <w:rFonts w:ascii="Cambria Math" w:eastAsiaTheme="minorEastAsia" w:hAnsi="Cambria Math"/>
                      <w:sz w:val="22"/>
                      <w:szCs w:val="22"/>
                      <w:lang w:eastAsia="da-DK"/>
                    </w:rPr>
                    <m:t>l</m:t>
                  </m:r>
                </m:den>
              </m:f>
              <m:r>
                <w:rPr>
                  <w:rFonts w:ascii="Cambria Math" w:eastAsiaTheme="minorEastAsia" w:hAnsi="Cambria Math"/>
                  <w:sz w:val="22"/>
                  <w:szCs w:val="22"/>
                  <w:lang w:eastAsia="da-DK"/>
                </w:rPr>
                <m:t>])</m:t>
              </m:r>
            </m:den>
          </m:f>
        </m:oMath>
      </m:oMathPara>
    </w:p>
    <w:p w:rsidR="00E24BC3" w:rsidRPr="005112B5" w:rsidRDefault="00E24BC3" w:rsidP="00E24BC3">
      <w:pPr>
        <w:shd w:val="clear" w:color="auto" w:fill="FFFFFF"/>
        <w:ind w:left="851"/>
        <w:rPr>
          <w:rFonts w:eastAsiaTheme="minorEastAsia"/>
          <w:i/>
          <w:sz w:val="22"/>
          <w:szCs w:val="22"/>
          <w:lang w:eastAsia="da-DK"/>
        </w:rPr>
      </w:pPr>
    </w:p>
    <w:p w:rsidR="00E24BC3" w:rsidRPr="005112B5" w:rsidRDefault="00E24BC3" w:rsidP="00E24BC3">
      <w:pPr>
        <w:shd w:val="clear" w:color="auto" w:fill="FFFFFF"/>
        <w:ind w:left="851"/>
        <w:rPr>
          <w:rFonts w:eastAsiaTheme="minorEastAsia"/>
          <w:i/>
          <w:sz w:val="22"/>
          <w:szCs w:val="22"/>
          <w:lang w:eastAsia="da-DK"/>
        </w:rPr>
      </w:pPr>
      <m:oMathPara>
        <m:oMathParaPr>
          <m:jc m:val="left"/>
        </m:oMathParaPr>
        <m:oMath>
          <m:r>
            <w:rPr>
              <w:rFonts w:ascii="Cambria Math" w:eastAsiaTheme="minorEastAsia" w:hAnsi="Cambria Math"/>
              <w:sz w:val="22"/>
              <w:szCs w:val="22"/>
              <w:lang w:eastAsia="da-DK"/>
            </w:rPr>
            <m:t>Til kvinder=0,85 x mandlig værdi</m:t>
          </m:r>
        </m:oMath>
      </m:oMathPara>
    </w:p>
    <w:p w:rsidR="00E24BC3" w:rsidRPr="005112B5" w:rsidRDefault="00E24BC3" w:rsidP="00E24BC3">
      <w:pPr>
        <w:shd w:val="clear" w:color="auto" w:fill="FFFFFF"/>
        <w:ind w:left="851"/>
        <w:rPr>
          <w:rFonts w:eastAsiaTheme="minorEastAsia"/>
          <w:sz w:val="24"/>
          <w:szCs w:val="24"/>
          <w:lang w:eastAsia="da-DK"/>
        </w:rPr>
      </w:pPr>
    </w:p>
    <w:tbl>
      <w:tblPr>
        <w:tblStyle w:val="Tabel-Gitter"/>
        <w:tblW w:w="0" w:type="auto"/>
        <w:tblLook w:val="04A0" w:firstRow="1" w:lastRow="0" w:firstColumn="1" w:lastColumn="0" w:noHBand="0" w:noVBand="1"/>
      </w:tblPr>
      <w:tblGrid>
        <w:gridCol w:w="2235"/>
        <w:gridCol w:w="3572"/>
        <w:gridCol w:w="3573"/>
      </w:tblGrid>
      <w:tr w:rsidR="00E24BC3" w:rsidRPr="005112B5" w:rsidTr="003B4BCE">
        <w:trPr>
          <w:trHeight w:val="645"/>
        </w:trPr>
        <w:tc>
          <w:tcPr>
            <w:tcW w:w="2235" w:type="dxa"/>
            <w:vAlign w:val="center"/>
          </w:tcPr>
          <w:p w:rsidR="00E24BC3" w:rsidRPr="005112B5" w:rsidRDefault="00E24BC3" w:rsidP="003B4BCE">
            <w:pPr>
              <w:spacing w:line="276" w:lineRule="auto"/>
              <w:ind w:left="29"/>
              <w:rPr>
                <w:rFonts w:ascii="Times New Roman" w:hAnsi="Times New Roman"/>
                <w:sz w:val="22"/>
                <w:lang w:eastAsia="da-DK"/>
              </w:rPr>
            </w:pPr>
            <w:r w:rsidRPr="005112B5">
              <w:rPr>
                <w:rFonts w:ascii="Times New Roman" w:hAnsi="Times New Roman"/>
                <w:sz w:val="22"/>
                <w:lang w:eastAsia="da-DK"/>
              </w:rPr>
              <w:t>Kreatinin-clearance (ml/min)</w:t>
            </w:r>
          </w:p>
        </w:tc>
        <w:tc>
          <w:tcPr>
            <w:tcW w:w="3572" w:type="dxa"/>
            <w:vAlign w:val="center"/>
          </w:tcPr>
          <w:p w:rsidR="00E24BC3" w:rsidRPr="005112B5" w:rsidRDefault="00E24BC3" w:rsidP="003B4BCE">
            <w:pPr>
              <w:spacing w:line="276" w:lineRule="auto"/>
              <w:ind w:left="25"/>
              <w:rPr>
                <w:rFonts w:ascii="Times New Roman" w:hAnsi="Times New Roman"/>
                <w:sz w:val="22"/>
                <w:lang w:eastAsia="da-DK"/>
              </w:rPr>
            </w:pPr>
            <w:r w:rsidRPr="005112B5">
              <w:rPr>
                <w:rFonts w:ascii="Times New Roman" w:hAnsi="Times New Roman"/>
                <w:sz w:val="22"/>
                <w:lang w:eastAsia="da-DK"/>
              </w:rPr>
              <w:t>Induktionsdosis for valganciclovir</w:t>
            </w:r>
          </w:p>
        </w:tc>
        <w:tc>
          <w:tcPr>
            <w:tcW w:w="3573" w:type="dxa"/>
            <w:vAlign w:val="center"/>
          </w:tcPr>
          <w:p w:rsidR="00E24BC3" w:rsidRPr="005112B5" w:rsidRDefault="00E24BC3" w:rsidP="003B4BCE">
            <w:pPr>
              <w:spacing w:line="276" w:lineRule="auto"/>
              <w:ind w:left="34"/>
              <w:rPr>
                <w:rFonts w:ascii="Times New Roman" w:hAnsi="Times New Roman"/>
                <w:sz w:val="22"/>
                <w:lang w:eastAsia="da-DK"/>
              </w:rPr>
            </w:pPr>
            <w:r w:rsidRPr="005112B5">
              <w:rPr>
                <w:rFonts w:ascii="Times New Roman" w:hAnsi="Times New Roman"/>
                <w:sz w:val="22"/>
                <w:lang w:eastAsia="da-DK"/>
              </w:rPr>
              <w:t>Vedligeholdelses/forebyggelsesdosis for valganciclovir</w:t>
            </w:r>
          </w:p>
        </w:tc>
      </w:tr>
      <w:tr w:rsidR="00E24BC3" w:rsidRPr="005112B5" w:rsidTr="003B4BCE">
        <w:trPr>
          <w:trHeight w:val="330"/>
        </w:trPr>
        <w:tc>
          <w:tcPr>
            <w:tcW w:w="2235" w:type="dxa"/>
            <w:vAlign w:val="center"/>
          </w:tcPr>
          <w:p w:rsidR="00E24BC3" w:rsidRPr="005112B5" w:rsidRDefault="00E24BC3" w:rsidP="003B4BCE">
            <w:pPr>
              <w:spacing w:line="276" w:lineRule="auto"/>
              <w:ind w:left="29"/>
              <w:rPr>
                <w:rFonts w:ascii="Times New Roman" w:hAnsi="Times New Roman"/>
                <w:sz w:val="22"/>
                <w:lang w:eastAsia="da-DK"/>
              </w:rPr>
            </w:pPr>
            <w:r w:rsidRPr="005112B5">
              <w:rPr>
                <w:rFonts w:ascii="Times New Roman" w:hAnsi="Times New Roman"/>
                <w:sz w:val="22"/>
                <w:lang w:eastAsia="da-DK"/>
              </w:rPr>
              <w:t>≥ 60</w:t>
            </w:r>
          </w:p>
        </w:tc>
        <w:tc>
          <w:tcPr>
            <w:tcW w:w="3572" w:type="dxa"/>
            <w:vAlign w:val="center"/>
          </w:tcPr>
          <w:p w:rsidR="00E24BC3" w:rsidRPr="005112B5" w:rsidRDefault="00E24BC3" w:rsidP="003B4BCE">
            <w:pPr>
              <w:spacing w:line="276" w:lineRule="auto"/>
              <w:ind w:left="25"/>
              <w:rPr>
                <w:rFonts w:ascii="Times New Roman" w:hAnsi="Times New Roman"/>
                <w:sz w:val="22"/>
                <w:lang w:eastAsia="da-DK"/>
              </w:rPr>
            </w:pPr>
            <w:r w:rsidRPr="005112B5">
              <w:rPr>
                <w:rFonts w:ascii="Times New Roman" w:hAnsi="Times New Roman"/>
                <w:sz w:val="22"/>
                <w:lang w:eastAsia="da-DK"/>
              </w:rPr>
              <w:t>900 mg (2 tabletter) to gange daglig</w:t>
            </w:r>
          </w:p>
        </w:tc>
        <w:tc>
          <w:tcPr>
            <w:tcW w:w="3573" w:type="dxa"/>
            <w:vAlign w:val="center"/>
          </w:tcPr>
          <w:p w:rsidR="00E24BC3" w:rsidRPr="005112B5" w:rsidRDefault="00E24BC3" w:rsidP="003B4BCE">
            <w:pPr>
              <w:spacing w:line="276" w:lineRule="auto"/>
              <w:ind w:left="34"/>
              <w:rPr>
                <w:rFonts w:ascii="Times New Roman" w:hAnsi="Times New Roman"/>
                <w:sz w:val="22"/>
                <w:lang w:eastAsia="da-DK"/>
              </w:rPr>
            </w:pPr>
            <w:r w:rsidRPr="005112B5">
              <w:rPr>
                <w:rFonts w:ascii="Times New Roman" w:hAnsi="Times New Roman"/>
                <w:sz w:val="22"/>
                <w:lang w:eastAsia="da-DK"/>
              </w:rPr>
              <w:t>900 mg (2 tabletter) en gang daglig</w:t>
            </w:r>
          </w:p>
        </w:tc>
      </w:tr>
      <w:tr w:rsidR="00E24BC3" w:rsidRPr="005112B5" w:rsidTr="003B4BCE">
        <w:trPr>
          <w:trHeight w:val="330"/>
        </w:trPr>
        <w:tc>
          <w:tcPr>
            <w:tcW w:w="2235" w:type="dxa"/>
            <w:vAlign w:val="center"/>
          </w:tcPr>
          <w:p w:rsidR="00E24BC3" w:rsidRPr="005112B5" w:rsidRDefault="00E24BC3" w:rsidP="003B4BCE">
            <w:pPr>
              <w:spacing w:line="276" w:lineRule="auto"/>
              <w:ind w:left="29"/>
              <w:rPr>
                <w:rFonts w:ascii="Times New Roman" w:hAnsi="Times New Roman"/>
                <w:sz w:val="22"/>
                <w:lang w:eastAsia="da-DK"/>
              </w:rPr>
            </w:pPr>
            <w:r w:rsidRPr="005112B5">
              <w:rPr>
                <w:rFonts w:ascii="Times New Roman" w:hAnsi="Times New Roman"/>
                <w:sz w:val="22"/>
                <w:lang w:eastAsia="da-DK"/>
              </w:rPr>
              <w:t>40 – 59</w:t>
            </w:r>
          </w:p>
        </w:tc>
        <w:tc>
          <w:tcPr>
            <w:tcW w:w="3572" w:type="dxa"/>
            <w:vAlign w:val="center"/>
          </w:tcPr>
          <w:p w:rsidR="00E24BC3" w:rsidRPr="005112B5" w:rsidRDefault="00E24BC3" w:rsidP="003B4BCE">
            <w:pPr>
              <w:spacing w:line="276" w:lineRule="auto"/>
              <w:ind w:left="25"/>
              <w:rPr>
                <w:rFonts w:ascii="Times New Roman" w:hAnsi="Times New Roman"/>
                <w:sz w:val="22"/>
                <w:lang w:eastAsia="da-DK"/>
              </w:rPr>
            </w:pPr>
            <w:r w:rsidRPr="005112B5">
              <w:rPr>
                <w:rFonts w:ascii="Times New Roman" w:hAnsi="Times New Roman"/>
                <w:sz w:val="22"/>
                <w:lang w:eastAsia="da-DK"/>
              </w:rPr>
              <w:t>450 mg (1 tablet) to gange daglig</w:t>
            </w:r>
          </w:p>
        </w:tc>
        <w:tc>
          <w:tcPr>
            <w:tcW w:w="3573" w:type="dxa"/>
            <w:vAlign w:val="center"/>
          </w:tcPr>
          <w:p w:rsidR="00E24BC3" w:rsidRPr="005112B5" w:rsidRDefault="00E24BC3" w:rsidP="003B4BCE">
            <w:pPr>
              <w:spacing w:line="276" w:lineRule="auto"/>
              <w:ind w:left="34"/>
              <w:rPr>
                <w:rFonts w:ascii="Times New Roman" w:hAnsi="Times New Roman"/>
                <w:sz w:val="22"/>
                <w:lang w:eastAsia="da-DK"/>
              </w:rPr>
            </w:pPr>
            <w:r w:rsidRPr="005112B5">
              <w:rPr>
                <w:rFonts w:ascii="Times New Roman" w:hAnsi="Times New Roman"/>
                <w:sz w:val="22"/>
                <w:lang w:eastAsia="da-DK"/>
              </w:rPr>
              <w:t>450 mg (1 tablet) en gang daglig</w:t>
            </w:r>
          </w:p>
        </w:tc>
      </w:tr>
      <w:tr w:rsidR="00E24BC3" w:rsidRPr="005112B5" w:rsidTr="003B4BCE">
        <w:trPr>
          <w:trHeight w:val="330"/>
        </w:trPr>
        <w:tc>
          <w:tcPr>
            <w:tcW w:w="2235" w:type="dxa"/>
            <w:vAlign w:val="center"/>
          </w:tcPr>
          <w:p w:rsidR="00E24BC3" w:rsidRPr="005112B5" w:rsidRDefault="00E24BC3" w:rsidP="003B4BCE">
            <w:pPr>
              <w:spacing w:line="276" w:lineRule="auto"/>
              <w:ind w:left="29"/>
              <w:rPr>
                <w:rFonts w:ascii="Times New Roman" w:hAnsi="Times New Roman"/>
                <w:sz w:val="22"/>
                <w:lang w:eastAsia="da-DK"/>
              </w:rPr>
            </w:pPr>
            <w:r w:rsidRPr="005112B5">
              <w:rPr>
                <w:rFonts w:ascii="Times New Roman" w:hAnsi="Times New Roman"/>
                <w:sz w:val="22"/>
                <w:lang w:eastAsia="da-DK"/>
              </w:rPr>
              <w:t>25 – 39</w:t>
            </w:r>
          </w:p>
        </w:tc>
        <w:tc>
          <w:tcPr>
            <w:tcW w:w="3572" w:type="dxa"/>
            <w:vAlign w:val="center"/>
          </w:tcPr>
          <w:p w:rsidR="00E24BC3" w:rsidRPr="005112B5" w:rsidRDefault="00E24BC3" w:rsidP="003B4BCE">
            <w:pPr>
              <w:spacing w:line="276" w:lineRule="auto"/>
              <w:ind w:left="25"/>
              <w:rPr>
                <w:rFonts w:ascii="Times New Roman" w:hAnsi="Times New Roman"/>
                <w:sz w:val="22"/>
                <w:lang w:eastAsia="da-DK"/>
              </w:rPr>
            </w:pPr>
            <w:r w:rsidRPr="005112B5">
              <w:rPr>
                <w:rFonts w:ascii="Times New Roman" w:hAnsi="Times New Roman"/>
                <w:sz w:val="22"/>
                <w:lang w:eastAsia="da-DK"/>
              </w:rPr>
              <w:t>450 mg (1 tablet) en gang daglig</w:t>
            </w:r>
          </w:p>
        </w:tc>
        <w:tc>
          <w:tcPr>
            <w:tcW w:w="3573" w:type="dxa"/>
            <w:vAlign w:val="center"/>
          </w:tcPr>
          <w:p w:rsidR="00E24BC3" w:rsidRPr="005112B5" w:rsidRDefault="00E24BC3" w:rsidP="003B4BCE">
            <w:pPr>
              <w:spacing w:line="276" w:lineRule="auto"/>
              <w:ind w:left="34"/>
              <w:rPr>
                <w:rFonts w:ascii="Times New Roman" w:hAnsi="Times New Roman"/>
                <w:sz w:val="22"/>
                <w:lang w:eastAsia="da-DK"/>
              </w:rPr>
            </w:pPr>
            <w:r w:rsidRPr="005112B5">
              <w:rPr>
                <w:rFonts w:ascii="Times New Roman" w:hAnsi="Times New Roman"/>
                <w:sz w:val="22"/>
                <w:lang w:eastAsia="da-DK"/>
              </w:rPr>
              <w:t>450 mg (1 tablet) hver 2. dag</w:t>
            </w:r>
          </w:p>
        </w:tc>
      </w:tr>
      <w:tr w:rsidR="00E24BC3" w:rsidRPr="005112B5" w:rsidTr="003B4BCE">
        <w:trPr>
          <w:trHeight w:val="330"/>
        </w:trPr>
        <w:tc>
          <w:tcPr>
            <w:tcW w:w="2235" w:type="dxa"/>
            <w:vAlign w:val="center"/>
          </w:tcPr>
          <w:p w:rsidR="00E24BC3" w:rsidRPr="005112B5" w:rsidRDefault="00E24BC3" w:rsidP="003B4BCE">
            <w:pPr>
              <w:spacing w:line="276" w:lineRule="auto"/>
              <w:ind w:left="29"/>
              <w:rPr>
                <w:rFonts w:ascii="Times New Roman" w:hAnsi="Times New Roman"/>
                <w:sz w:val="22"/>
                <w:lang w:eastAsia="da-DK"/>
              </w:rPr>
            </w:pPr>
            <w:r w:rsidRPr="005112B5">
              <w:rPr>
                <w:rFonts w:ascii="Times New Roman" w:hAnsi="Times New Roman"/>
                <w:sz w:val="22"/>
                <w:lang w:eastAsia="da-DK"/>
              </w:rPr>
              <w:t>10 – 24</w:t>
            </w:r>
          </w:p>
        </w:tc>
        <w:tc>
          <w:tcPr>
            <w:tcW w:w="3572" w:type="dxa"/>
            <w:vAlign w:val="center"/>
          </w:tcPr>
          <w:p w:rsidR="00E24BC3" w:rsidRPr="005112B5" w:rsidRDefault="00E24BC3" w:rsidP="003B4BCE">
            <w:pPr>
              <w:spacing w:line="276" w:lineRule="auto"/>
              <w:ind w:left="25"/>
              <w:rPr>
                <w:rFonts w:ascii="Times New Roman" w:hAnsi="Times New Roman"/>
                <w:sz w:val="22"/>
                <w:lang w:eastAsia="da-DK"/>
              </w:rPr>
            </w:pPr>
            <w:r w:rsidRPr="005112B5">
              <w:rPr>
                <w:rFonts w:ascii="Times New Roman" w:hAnsi="Times New Roman"/>
                <w:sz w:val="22"/>
                <w:lang w:eastAsia="da-DK"/>
              </w:rPr>
              <w:t>450 mg (1 tablet) hver 2. dag</w:t>
            </w:r>
          </w:p>
        </w:tc>
        <w:tc>
          <w:tcPr>
            <w:tcW w:w="3573" w:type="dxa"/>
            <w:vAlign w:val="center"/>
          </w:tcPr>
          <w:p w:rsidR="00E24BC3" w:rsidRPr="005112B5" w:rsidRDefault="00E24BC3" w:rsidP="003B4BCE">
            <w:pPr>
              <w:spacing w:line="276" w:lineRule="auto"/>
              <w:ind w:left="34"/>
              <w:rPr>
                <w:rFonts w:ascii="Times New Roman" w:hAnsi="Times New Roman"/>
                <w:sz w:val="22"/>
                <w:lang w:eastAsia="da-DK"/>
              </w:rPr>
            </w:pPr>
            <w:r w:rsidRPr="005112B5">
              <w:rPr>
                <w:rFonts w:ascii="Times New Roman" w:hAnsi="Times New Roman"/>
                <w:sz w:val="22"/>
                <w:lang w:eastAsia="da-DK"/>
              </w:rPr>
              <w:t>450 mg (1 tablet) to gange om ugen</w:t>
            </w:r>
          </w:p>
        </w:tc>
      </w:tr>
      <w:tr w:rsidR="00E24BC3" w:rsidRPr="005112B5" w:rsidTr="003B4BCE">
        <w:trPr>
          <w:trHeight w:val="330"/>
        </w:trPr>
        <w:tc>
          <w:tcPr>
            <w:tcW w:w="2235" w:type="dxa"/>
            <w:vAlign w:val="center"/>
          </w:tcPr>
          <w:p w:rsidR="00E24BC3" w:rsidRPr="005112B5" w:rsidRDefault="00E24BC3" w:rsidP="003B4BCE">
            <w:pPr>
              <w:spacing w:line="276" w:lineRule="auto"/>
              <w:ind w:left="29"/>
              <w:rPr>
                <w:rFonts w:ascii="Times New Roman" w:hAnsi="Times New Roman"/>
                <w:sz w:val="22"/>
                <w:lang w:eastAsia="da-DK"/>
              </w:rPr>
            </w:pPr>
            <w:r w:rsidRPr="005112B5">
              <w:rPr>
                <w:rFonts w:ascii="Times New Roman" w:hAnsi="Times New Roman"/>
                <w:sz w:val="22"/>
                <w:lang w:eastAsia="da-DK"/>
              </w:rPr>
              <w:t>&lt; 10</w:t>
            </w:r>
          </w:p>
        </w:tc>
        <w:tc>
          <w:tcPr>
            <w:tcW w:w="3572" w:type="dxa"/>
            <w:vAlign w:val="center"/>
          </w:tcPr>
          <w:p w:rsidR="00E24BC3" w:rsidRPr="005112B5" w:rsidRDefault="00E24BC3" w:rsidP="003B4BCE">
            <w:pPr>
              <w:spacing w:line="276" w:lineRule="auto"/>
              <w:ind w:left="25"/>
              <w:rPr>
                <w:rFonts w:ascii="Times New Roman" w:hAnsi="Times New Roman"/>
                <w:sz w:val="22"/>
                <w:lang w:eastAsia="da-DK"/>
              </w:rPr>
            </w:pPr>
            <w:r w:rsidRPr="005112B5">
              <w:rPr>
                <w:rFonts w:ascii="Times New Roman" w:hAnsi="Times New Roman"/>
                <w:sz w:val="22"/>
                <w:lang w:eastAsia="da-DK"/>
              </w:rPr>
              <w:t>Anbefales ikke</w:t>
            </w:r>
          </w:p>
        </w:tc>
        <w:tc>
          <w:tcPr>
            <w:tcW w:w="3573" w:type="dxa"/>
            <w:vAlign w:val="center"/>
          </w:tcPr>
          <w:p w:rsidR="00E24BC3" w:rsidRPr="005112B5" w:rsidRDefault="00E24BC3" w:rsidP="003B4BCE">
            <w:pPr>
              <w:spacing w:line="276" w:lineRule="auto"/>
              <w:ind w:left="34"/>
              <w:rPr>
                <w:rFonts w:ascii="Times New Roman" w:hAnsi="Times New Roman"/>
                <w:sz w:val="22"/>
                <w:lang w:eastAsia="da-DK"/>
              </w:rPr>
            </w:pPr>
            <w:r w:rsidRPr="005112B5">
              <w:rPr>
                <w:rFonts w:ascii="Times New Roman" w:hAnsi="Times New Roman"/>
                <w:sz w:val="22"/>
                <w:lang w:eastAsia="da-DK"/>
              </w:rPr>
              <w:t>Anbefales ikke</w:t>
            </w:r>
          </w:p>
        </w:tc>
      </w:tr>
    </w:tbl>
    <w:p w:rsidR="00E24BC3" w:rsidRPr="004F678B" w:rsidRDefault="00E24BC3" w:rsidP="00E24BC3">
      <w:pPr>
        <w:shd w:val="clear" w:color="auto" w:fill="FFFFFF"/>
        <w:ind w:left="851"/>
        <w:rPr>
          <w:rFonts w:eastAsiaTheme="minorEastAsia"/>
          <w:sz w:val="24"/>
          <w:szCs w:val="24"/>
          <w:lang w:eastAsia="da-DK"/>
        </w:rPr>
      </w:pPr>
    </w:p>
    <w:p w:rsidR="00E24BC3" w:rsidRPr="00147B05" w:rsidRDefault="00E24BC3" w:rsidP="00E24BC3">
      <w:pPr>
        <w:shd w:val="clear" w:color="auto" w:fill="FFFFFF"/>
        <w:ind w:left="851"/>
        <w:rPr>
          <w:rFonts w:eastAsiaTheme="minorEastAsia"/>
          <w:sz w:val="24"/>
          <w:szCs w:val="24"/>
          <w:u w:val="single"/>
          <w:lang w:eastAsia="da-DK"/>
        </w:rPr>
      </w:pPr>
      <w:r>
        <w:rPr>
          <w:rFonts w:eastAsiaTheme="minorEastAsia"/>
          <w:sz w:val="24"/>
          <w:szCs w:val="24"/>
          <w:u w:val="single"/>
          <w:lang w:eastAsia="da-DK"/>
        </w:rPr>
        <w:t>Patienter i hæmodialyse</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Der kan ikke gives dosisrekommendationer for patienter i hæmodialyse (kreatininclearance &lt; 10 ml/min). Valganciclovir "Accord" bør derfor ikke anvendes til disse patienter (se pkt. 4.4 og 5.2).</w:t>
      </w:r>
    </w:p>
    <w:p w:rsidR="00E24BC3" w:rsidRPr="004F678B" w:rsidRDefault="00E24BC3" w:rsidP="00E24BC3">
      <w:pPr>
        <w:shd w:val="clear" w:color="auto" w:fill="FFFFFF"/>
        <w:ind w:left="851"/>
        <w:rPr>
          <w:rFonts w:eastAsiaTheme="minorEastAsia"/>
          <w:sz w:val="24"/>
          <w:szCs w:val="24"/>
          <w:lang w:eastAsia="da-DK"/>
        </w:rPr>
      </w:pPr>
    </w:p>
    <w:p w:rsidR="00E24BC3" w:rsidRPr="00147B05" w:rsidRDefault="00E24BC3" w:rsidP="00E24BC3">
      <w:pPr>
        <w:shd w:val="clear" w:color="auto" w:fill="FFFFFF"/>
        <w:ind w:left="851"/>
        <w:rPr>
          <w:rFonts w:eastAsiaTheme="minorEastAsia"/>
          <w:sz w:val="24"/>
          <w:szCs w:val="24"/>
          <w:u w:val="single"/>
          <w:lang w:eastAsia="da-DK"/>
        </w:rPr>
      </w:pPr>
      <w:r w:rsidRPr="00147B05">
        <w:rPr>
          <w:rFonts w:eastAsiaTheme="minorEastAsia"/>
          <w:sz w:val="24"/>
          <w:szCs w:val="24"/>
          <w:u w:val="single"/>
          <w:lang w:eastAsia="da-DK"/>
        </w:rPr>
        <w:t>Patienter med nedsat leverfunktion</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Sikkerhed og virkning er ikke etableret hos patienter med nedsat leverfunktion (se pkt. 5.2).</w:t>
      </w:r>
    </w:p>
    <w:p w:rsidR="00E24BC3" w:rsidRDefault="00E24BC3" w:rsidP="00E24BC3">
      <w:pPr>
        <w:shd w:val="clear" w:color="auto" w:fill="FFFFFF"/>
        <w:ind w:left="851"/>
        <w:rPr>
          <w:rFonts w:eastAsiaTheme="minorEastAsia"/>
          <w:sz w:val="24"/>
          <w:szCs w:val="24"/>
          <w:lang w:eastAsia="da-DK"/>
        </w:rPr>
      </w:pPr>
    </w:p>
    <w:p w:rsidR="00E24BC3" w:rsidRPr="00147B05" w:rsidRDefault="00E24BC3" w:rsidP="00E24BC3">
      <w:pPr>
        <w:shd w:val="clear" w:color="auto" w:fill="FFFFFF"/>
        <w:ind w:left="851"/>
        <w:rPr>
          <w:rFonts w:eastAsiaTheme="minorEastAsia"/>
          <w:sz w:val="24"/>
          <w:szCs w:val="24"/>
          <w:u w:val="single"/>
          <w:lang w:eastAsia="da-DK"/>
        </w:rPr>
      </w:pPr>
      <w:r w:rsidRPr="00147B05">
        <w:rPr>
          <w:rFonts w:eastAsiaTheme="minorEastAsia"/>
          <w:sz w:val="24"/>
          <w:szCs w:val="24"/>
          <w:u w:val="single"/>
          <w:lang w:eastAsia="da-DK"/>
        </w:rPr>
        <w:t>Patienter med svær leukopeni, neutropeni, anæmi</w:t>
      </w:r>
      <w:r>
        <w:rPr>
          <w:rFonts w:eastAsiaTheme="minorEastAsia"/>
          <w:sz w:val="24"/>
          <w:szCs w:val="24"/>
          <w:u w:val="single"/>
          <w:lang w:eastAsia="da-DK"/>
        </w:rPr>
        <w:t>, trombocytopeni og pancytopeni</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Se pkt. 4.4 før påbegyndelse af behandlingen.</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 xml:space="preserve">Hvis blodcelletallene forværres signifikant under behandlingen med valganciclovir, skal det overvejes at behandle med hæmatopoietiske vækstfaktorer og/eller afbryde behandlingen (se pkt. 4.4). </w:t>
      </w:r>
    </w:p>
    <w:p w:rsidR="00E24BC3"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p>
    <w:p w:rsidR="00E24BC3" w:rsidRPr="00A06A65" w:rsidRDefault="00E24BC3" w:rsidP="00E24BC3">
      <w:pPr>
        <w:shd w:val="clear" w:color="auto" w:fill="FFFFFF"/>
        <w:ind w:left="851"/>
        <w:rPr>
          <w:rFonts w:eastAsiaTheme="minorEastAsia"/>
          <w:b/>
          <w:sz w:val="24"/>
          <w:szCs w:val="24"/>
          <w:u w:val="single"/>
          <w:lang w:eastAsia="da-DK"/>
        </w:rPr>
      </w:pPr>
      <w:r w:rsidRPr="00A06A65">
        <w:rPr>
          <w:rFonts w:eastAsiaTheme="minorEastAsia"/>
          <w:b/>
          <w:sz w:val="24"/>
          <w:szCs w:val="24"/>
          <w:u w:val="single"/>
          <w:lang w:eastAsia="da-DK"/>
        </w:rPr>
        <w:lastRenderedPageBreak/>
        <w:t>Administration</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Valganciclovir "Accord" administreres oralt og skal om muligt tages sammen med føde (se pkt. 5.2).</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Til pædiatriske patienter, som ikke kan synke Valganciclovir "Accord" 450 mg filmovertrukne tabletter, kan valganciclovir-pulver til oral opløsning administreres.</w:t>
      </w:r>
    </w:p>
    <w:p w:rsidR="00E24BC3" w:rsidRPr="004F678B" w:rsidRDefault="00E24BC3" w:rsidP="00E24BC3">
      <w:pPr>
        <w:shd w:val="clear" w:color="auto" w:fill="FFFFFF"/>
        <w:ind w:left="851"/>
        <w:rPr>
          <w:rFonts w:eastAsiaTheme="minorEastAsia"/>
          <w:sz w:val="24"/>
          <w:szCs w:val="24"/>
          <w:lang w:eastAsia="da-DK"/>
        </w:rPr>
      </w:pPr>
    </w:p>
    <w:p w:rsidR="00E24BC3" w:rsidRPr="00A06A65" w:rsidRDefault="00E24BC3" w:rsidP="00E24BC3">
      <w:pPr>
        <w:shd w:val="clear" w:color="auto" w:fill="FFFFFF"/>
        <w:ind w:left="851"/>
        <w:rPr>
          <w:rFonts w:eastAsiaTheme="minorEastAsia"/>
          <w:sz w:val="24"/>
          <w:szCs w:val="24"/>
          <w:u w:val="single"/>
          <w:lang w:eastAsia="da-DK"/>
        </w:rPr>
      </w:pPr>
      <w:r w:rsidRPr="00A06A65">
        <w:rPr>
          <w:rFonts w:eastAsiaTheme="minorEastAsia"/>
          <w:sz w:val="24"/>
          <w:szCs w:val="24"/>
          <w:u w:val="single"/>
          <w:lang w:eastAsia="da-DK"/>
        </w:rPr>
        <w:t>Sikkerhedsforanstaltninger, der skal tages før håndtering og administration af lægemidlet</w:t>
      </w:r>
    </w:p>
    <w:p w:rsidR="00E24BC3" w:rsidRPr="00A06A65"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Tabletterne bør ikke knækkes eller knuses. Da valganciclovir anses for at være potentielt teratogent og carcinogent hos mennesker, skal der iagttages forsigtighed ved håndtering af knækkede tabletter (se pkt. 4.4). Undgå at knækkede eller knuste tabletter kommer i direkte kontakt med hud eller slimhinder. Hvis det sker sørg for omhyggelig afvaskning med sæbe og vand. Øjnene skylles grundigt med sterilt vand eller, hvis det ikke forefindes, med almindeligt vand.</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4.3</w:t>
      </w:r>
      <w:r w:rsidRPr="00C84483">
        <w:rPr>
          <w:b/>
          <w:sz w:val="24"/>
          <w:szCs w:val="24"/>
        </w:rPr>
        <w:tab/>
        <w:t>Kontraindikationer</w:t>
      </w:r>
    </w:p>
    <w:p w:rsidR="00E24BC3" w:rsidRPr="004F678B" w:rsidRDefault="00E24BC3" w:rsidP="00E24BC3">
      <w:pPr>
        <w:shd w:val="clear" w:color="auto" w:fill="FFFFFF"/>
        <w:ind w:left="851"/>
        <w:rPr>
          <w:rFonts w:eastAsiaTheme="minorEastAsia"/>
          <w:bCs/>
          <w:sz w:val="24"/>
          <w:szCs w:val="24"/>
          <w:lang w:eastAsia="da-DK"/>
        </w:rPr>
      </w:pPr>
      <w:r w:rsidRPr="004F678B">
        <w:rPr>
          <w:rFonts w:eastAsiaTheme="minorEastAsia"/>
          <w:sz w:val="24"/>
          <w:szCs w:val="24"/>
          <w:lang w:eastAsia="da-DK"/>
        </w:rPr>
        <w:t>Valganciclovir "Accord" er kontraindiceret til patienter med overfølsomhed overfor valganciclovir, ganciclovir eller et eller flere af hjælpestofferne anført i pkt. 6.1.</w:t>
      </w:r>
    </w:p>
    <w:p w:rsidR="00E24BC3" w:rsidRPr="004F678B" w:rsidRDefault="00E24BC3" w:rsidP="00E24BC3">
      <w:pPr>
        <w:shd w:val="clear" w:color="auto" w:fill="FFFFFF"/>
        <w:ind w:left="851"/>
        <w:rPr>
          <w:rFonts w:eastAsiaTheme="minorEastAsia"/>
          <w:sz w:val="24"/>
          <w:szCs w:val="24"/>
          <w:lang w:eastAsia="da-DK"/>
        </w:rPr>
      </w:pPr>
    </w:p>
    <w:p w:rsidR="00E24BC3" w:rsidRPr="00D25065"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Valganciclovir "Accord" er kontraindiceret til ammende kvinder (se pkt. 4.6).</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På grund af ligheder i den kemiske struktur mellem ganciclovir og aciclovir og penciclovir er der mulighed for en kryds-hypersensitivitetsreaktion mellem disse stoffer. Der bør derfor anvendes forsigtighed ved udskrivning af Valganciclovir "Accord" til patienter med kendt overfølsomhed over for aciclovir eller penciclovir (eller til deres pro-drug valaciclovir eller famciclovir).</w:t>
      </w:r>
    </w:p>
    <w:p w:rsidR="00E24BC3" w:rsidRDefault="00E24BC3" w:rsidP="00E24BC3">
      <w:pPr>
        <w:shd w:val="clear" w:color="auto" w:fill="FFFFFF"/>
        <w:ind w:left="851"/>
        <w:rPr>
          <w:rFonts w:eastAsiaTheme="minorEastAsia"/>
          <w:sz w:val="24"/>
          <w:szCs w:val="24"/>
          <w:lang w:eastAsia="da-DK"/>
        </w:rPr>
      </w:pPr>
    </w:p>
    <w:p w:rsidR="00E24BC3" w:rsidRPr="00CD24D8" w:rsidRDefault="00E24BC3" w:rsidP="00E24BC3">
      <w:pPr>
        <w:shd w:val="clear" w:color="auto" w:fill="FFFFFF"/>
        <w:ind w:left="851"/>
        <w:rPr>
          <w:rFonts w:eastAsiaTheme="minorEastAsia"/>
          <w:sz w:val="24"/>
          <w:szCs w:val="24"/>
          <w:lang w:eastAsia="da-DK"/>
        </w:rPr>
      </w:pPr>
      <w:r w:rsidRPr="00CD24D8">
        <w:rPr>
          <w:rFonts w:eastAsiaTheme="minorEastAsia"/>
          <w:sz w:val="24"/>
          <w:szCs w:val="24"/>
          <w:lang w:eastAsia="da-DK"/>
        </w:rPr>
        <w:t>Mutagenicitet, teratogenicitet, carcinogenicitet, frugtbarhed og prævention</w:t>
      </w:r>
    </w:p>
    <w:p w:rsidR="00E24BC3" w:rsidRPr="00CD24D8" w:rsidRDefault="00E24BC3" w:rsidP="00E24BC3">
      <w:pPr>
        <w:shd w:val="clear" w:color="auto" w:fill="FFFFFF"/>
        <w:ind w:left="851"/>
        <w:rPr>
          <w:rFonts w:eastAsiaTheme="minorEastAsia"/>
          <w:sz w:val="24"/>
          <w:szCs w:val="24"/>
          <w:lang w:eastAsia="da-DK"/>
        </w:rPr>
      </w:pPr>
      <w:r w:rsidRPr="00CD24D8">
        <w:rPr>
          <w:rFonts w:eastAsiaTheme="minorEastAsia"/>
          <w:sz w:val="24"/>
          <w:szCs w:val="24"/>
          <w:lang w:eastAsia="da-DK"/>
        </w:rPr>
        <w:t>Før påbegyndelse af behandling med valganciclovir skal patienter informeres om de mulige risici for fostret. I dyreforsøg var ganciclovir mutagent, teratogent, carcinogent samt en suppressor af fertilitet. Valganciclovir skal derfor betragtes som potentielt teratogent og carcinogent hos mennesker med mulighed for at forårsage fødselsskader og cancer (se pkt. 5.3). Baseret på kliniske og non-kliniske studier anses det også for sandsynligt, at valganciclovir kan forårsage midlertidig eller permanent hæmning af spermatogenesen. Det skal tilrådes fertile kvinder at anvende sikker prævention under og i mindst 30 dage efter behandlingen. Mænd skal tilrådes at anvende kondom under behandlingen og i mindst 90 dage efter, medmindre det er sikkert, at der ikke er risiko for, at den kvindelige partner bliver gravid (se pkt. 4.6, 4.8 og 5.3).</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Der er risiko for, at langtidsbehandling med valganciclovir kan forårsage carcinogenicitet og reproduktionstoksicitet.</w:t>
      </w:r>
    </w:p>
    <w:p w:rsidR="00E24BC3" w:rsidRPr="004F678B"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pPr>
      <w:r>
        <w:t xml:space="preserve">Myelosuppression </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Der er observeret svær leukopeni, neutropeni, anæmi, trombocytopeni, pancytopeni, knoglemarvssvigt og aplastisk anæmi hos patienter, som er behandlet med valganciclovir (og ganciclovir). Behandling må ikke påbegyndes, hvis det absolutte neutrofiltal er mindre end 500 celler/ μl, hvis trombocyttallet er mindre end 25.000/ μl, eller hæmoglobin er under 8 g/dl (se pkt. 4.2 og 4.8).</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lastRenderedPageBreak/>
        <w:t>Hvis forebyggelsen forlænges ud over 100 dage, skal der tages højde for den potentielle risiko for at udvikle leukopeni og neutropeni (se pkt. 4.2, 4.8 og 5.1).</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Valganciclovir "Accord" skal anvendes med forsigtighed til patienter med tidligere hæmatologisk cytopeni eller lægemiddelrelateret hæmatologisk cytopeni i anamnesen og til patienter, som får strålebehandling.</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Det anbefales, at alle blodtal og trombocyttallet monitoreres regelmæssigt under behandlingen. Det kan være nødvendigt med øget hæmatologisk kontrol af patienter med nedsat nyrefunktion og pædiatriske patienter som minimum hver gang patienten kommer på transplantationsafsnittet. Hos patienter, som udvikler svær leukopeni, neutropeni, anæmi og/eller trombocytopeni, anbefales det at overveje behandling med hæmatopoietiske vækstfaktorer og/eller at afbryde behandlingen (se pkt. 4.2).</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Ændring i biotilgængelighed med oral ganciclovir</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Biotilgængeligheden af ganciclovir efter en enkeltdosis på 900 mg valganciclovir er ca. 60 %, sammenlignet med 6 % efter administration af 1.000 mg oral ganciclovir (som kapsler). Overdreven eksponering overfor ganciclovir kan ledsages af livstruende bivirkninger. Derfor tilrådes det at overholde dosisrekommendationerne nøje, især når behandlingen påbegyndes, når der skiftes fra induktionsbehandling til vedligeholdelsesbehandling, og når patienter skifter fra oral ganciclovir til valganciclovir, da Valganciclovir "Accord" ikke kan substitueres med ganciclovirkapsler på en en-til-en basis. Patienter, som skifter fra ganciclovirkapsler, skal oplyses om risikoen for overdosering, hvis de tager flere Valganciclovir "Accord" end foreskrevet (se pkt. 4.2 og 4.9).</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Nedsat nyrefunktion</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Hos patienter med nedsat nyrefunktion er dosisjusterering, baseret på kreatininclearance, påkrævet (se pkt. 4.2 og 5.2).</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Valganciclovir "Accord" bør derfor ikke anvendes til patienter i hæmodialyse (se pkt. 4.2 og 5.2).</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Brug sammen med andre lægemidler</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 xml:space="preserve">Der er beskrevet </w:t>
      </w:r>
      <w:r>
        <w:rPr>
          <w:rFonts w:eastAsiaTheme="minorEastAsia"/>
          <w:sz w:val="24"/>
          <w:szCs w:val="24"/>
          <w:lang w:eastAsia="da-DK"/>
        </w:rPr>
        <w:t>anfald</w:t>
      </w:r>
      <w:r w:rsidRPr="004F678B">
        <w:rPr>
          <w:rFonts w:eastAsiaTheme="minorEastAsia"/>
          <w:sz w:val="24"/>
          <w:szCs w:val="24"/>
          <w:lang w:eastAsia="da-DK"/>
        </w:rPr>
        <w:t xml:space="preserve"> hos patienter, som tog imipenem-cilastatin og ganciclovir. Valganciclovir må ikke gives samtidigt med imipenem-cilastatin, medmindre de potentielle fordele opvejer de potentielle risici (se pkt. 4.5).</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Patienter, som behandles med valganciclovir og a) didanosin b) andre lægemidler, som er kendt for at være myelosuppressive (fx zidovudin), eller c) stoffer, som påvirker nyrefunktionen, skal kontrolleres omhyggeligt for tegn på øget toksicitet (se pkt. 4.5).</w:t>
      </w:r>
    </w:p>
    <w:p w:rsidR="00E24BC3" w:rsidRPr="004F678B" w:rsidRDefault="00E24BC3" w:rsidP="00E24BC3">
      <w:pPr>
        <w:shd w:val="clear" w:color="auto" w:fill="FFFFFF"/>
        <w:ind w:left="851"/>
        <w:rPr>
          <w:rFonts w:eastAsiaTheme="minorEastAsia"/>
          <w:sz w:val="24"/>
          <w:szCs w:val="24"/>
          <w:lang w:eastAsia="da-DK"/>
        </w:rPr>
      </w:pPr>
    </w:p>
    <w:p w:rsidR="00E24BC3" w:rsidRPr="009C7BC7"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Det kontrollerede kliniske studie, der anvender valganciclovir til profylaktisk behandling af CMV-sygdom ved transplantationer, som beskrevet i pkt. 5.1 inkluderede ikke lunge- og intestinaltransplanterede patienter. Erfaringerne hos disse transplanterede patienter er derfor begrænsede.</w:t>
      </w:r>
    </w:p>
    <w:p w:rsidR="00E24BC3" w:rsidRDefault="00E24BC3" w:rsidP="00E24BC3">
      <w:pPr>
        <w:tabs>
          <w:tab w:val="left" w:pos="851"/>
        </w:tabs>
        <w:ind w:left="851"/>
        <w:rPr>
          <w:sz w:val="24"/>
          <w:szCs w:val="24"/>
        </w:rPr>
      </w:pPr>
    </w:p>
    <w:p w:rsidR="00E24BC3" w:rsidRDefault="00E24BC3" w:rsidP="00E24BC3">
      <w:pPr>
        <w:tabs>
          <w:tab w:val="left" w:pos="851"/>
        </w:tabs>
        <w:ind w:left="851"/>
        <w:rPr>
          <w:sz w:val="24"/>
          <w:szCs w:val="24"/>
        </w:rPr>
      </w:pPr>
    </w:p>
    <w:p w:rsidR="00E24BC3" w:rsidRDefault="00E24BC3" w:rsidP="00E24BC3">
      <w:pPr>
        <w:tabs>
          <w:tab w:val="left" w:pos="851"/>
        </w:tabs>
        <w:ind w:left="851"/>
        <w:rPr>
          <w:sz w:val="24"/>
          <w:szCs w:val="24"/>
        </w:rPr>
      </w:pPr>
    </w:p>
    <w:p w:rsidR="00E24BC3" w:rsidRDefault="00E24BC3" w:rsidP="00E24BC3">
      <w:pPr>
        <w:tabs>
          <w:tab w:val="left" w:pos="851"/>
        </w:tabs>
        <w:ind w:left="851"/>
        <w:rPr>
          <w:sz w:val="24"/>
          <w:szCs w:val="24"/>
        </w:rPr>
      </w:pPr>
    </w:p>
    <w:p w:rsidR="00E24BC3" w:rsidRDefault="00E24BC3" w:rsidP="00E24BC3">
      <w:pPr>
        <w:tabs>
          <w:tab w:val="left" w:pos="851"/>
        </w:tabs>
        <w:ind w:left="851"/>
        <w:rPr>
          <w:sz w:val="24"/>
          <w:szCs w:val="24"/>
        </w:rPr>
      </w:pP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E24BC3" w:rsidRDefault="00E24BC3" w:rsidP="00E24BC3">
      <w:pPr>
        <w:shd w:val="clear" w:color="auto" w:fill="FFFFFF"/>
        <w:ind w:left="851"/>
        <w:rPr>
          <w:rFonts w:eastAsiaTheme="minorEastAsia"/>
          <w:sz w:val="24"/>
          <w:szCs w:val="24"/>
          <w:u w:val="single"/>
          <w:lang w:eastAsia="da-DK"/>
        </w:rPr>
      </w:pPr>
    </w:p>
    <w:p w:rsidR="00E24BC3" w:rsidRDefault="00E24BC3" w:rsidP="00E24BC3">
      <w:pPr>
        <w:shd w:val="clear" w:color="auto" w:fill="FFFFFF"/>
        <w:ind w:left="851"/>
        <w:rPr>
          <w:rFonts w:eastAsiaTheme="minorEastAsia"/>
          <w:sz w:val="24"/>
          <w:szCs w:val="24"/>
          <w:u w:val="single"/>
          <w:lang w:eastAsia="da-DK"/>
        </w:rPr>
      </w:pPr>
      <w:r>
        <w:rPr>
          <w:rFonts w:eastAsiaTheme="minorEastAsia"/>
          <w:sz w:val="24"/>
          <w:szCs w:val="24"/>
          <w:u w:val="single"/>
          <w:lang w:eastAsia="da-DK"/>
        </w:rPr>
        <w:t>Lægemiddelinteraktioner med valganciclovir</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 xml:space="preserve">Der er ikke udført </w:t>
      </w:r>
      <w:r>
        <w:rPr>
          <w:rFonts w:eastAsiaTheme="minorEastAsia"/>
          <w:i/>
          <w:sz w:val="24"/>
          <w:szCs w:val="24"/>
          <w:lang w:eastAsia="da-DK"/>
        </w:rPr>
        <w:t>in-vivo</w:t>
      </w:r>
      <w:r>
        <w:rPr>
          <w:rFonts w:eastAsiaTheme="minorEastAsia"/>
          <w:sz w:val="24"/>
          <w:szCs w:val="24"/>
          <w:lang w:eastAsia="da-DK"/>
        </w:rPr>
        <w:t xml:space="preserve"> studier om lægemiddelinteraktioner med valganciclovir. Da valganciclovir metaboliseres ekstensivt og hurtigt til ganciclovir, kan man forvente de samme lægemiddelinteraktioner for valganciclovir som for ganciclovir.</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u w:val="single"/>
          <w:lang w:eastAsia="da-DK"/>
        </w:rPr>
      </w:pPr>
      <w:r>
        <w:rPr>
          <w:rFonts w:eastAsiaTheme="minorEastAsia"/>
          <w:sz w:val="24"/>
          <w:szCs w:val="24"/>
          <w:u w:val="single"/>
          <w:lang w:eastAsia="da-DK"/>
        </w:rPr>
        <w:t>Lægemiddelinteraktioner med ganciclovir</w:t>
      </w:r>
    </w:p>
    <w:p w:rsidR="00E24BC3" w:rsidRDefault="00E24BC3" w:rsidP="00E24BC3">
      <w:pPr>
        <w:shd w:val="clear" w:color="auto" w:fill="FFFFFF"/>
        <w:ind w:left="851"/>
        <w:rPr>
          <w:rFonts w:eastAsiaTheme="minorEastAsia"/>
          <w:sz w:val="24"/>
          <w:szCs w:val="24"/>
          <w:u w:val="single"/>
          <w:lang w:eastAsia="da-DK"/>
        </w:rPr>
      </w:pPr>
    </w:p>
    <w:p w:rsidR="00E24BC3" w:rsidRDefault="00E24BC3" w:rsidP="00E24BC3">
      <w:pPr>
        <w:shd w:val="clear" w:color="auto" w:fill="FFFFFF"/>
        <w:ind w:left="851"/>
        <w:rPr>
          <w:rFonts w:eastAsiaTheme="minorEastAsia"/>
          <w:i/>
          <w:sz w:val="24"/>
          <w:szCs w:val="24"/>
          <w:u w:val="single"/>
          <w:lang w:eastAsia="da-DK"/>
        </w:rPr>
      </w:pPr>
      <w:r>
        <w:rPr>
          <w:rFonts w:eastAsiaTheme="minorEastAsia"/>
          <w:i/>
          <w:sz w:val="24"/>
          <w:szCs w:val="24"/>
          <w:u w:val="single"/>
          <w:lang w:eastAsia="da-DK"/>
        </w:rPr>
        <w:t>Farmakokinetiske interaktioner</w:t>
      </w:r>
    </w:p>
    <w:p w:rsidR="00E24BC3" w:rsidRDefault="00E24BC3" w:rsidP="00E24BC3">
      <w:pPr>
        <w:pStyle w:val="Sidehoved"/>
        <w:tabs>
          <w:tab w:val="left" w:pos="-720"/>
          <w:tab w:val="left" w:pos="0"/>
          <w:tab w:val="left" w:pos="851"/>
        </w:tabs>
        <w:suppressAutoHyphens/>
        <w:ind w:left="851"/>
        <w:rPr>
          <w:i/>
          <w:szCs w:val="24"/>
        </w:rPr>
      </w:pPr>
      <w:r>
        <w:rPr>
          <w:i/>
          <w:szCs w:val="24"/>
        </w:rPr>
        <w:t>Probenecid</w:t>
      </w:r>
    </w:p>
    <w:p w:rsidR="00E24BC3" w:rsidRDefault="00E24BC3" w:rsidP="00E24BC3">
      <w:pPr>
        <w:shd w:val="clear" w:color="auto" w:fill="FFFFFF"/>
        <w:ind w:left="851"/>
        <w:rPr>
          <w:rFonts w:eastAsiaTheme="minorEastAsia"/>
          <w:sz w:val="24"/>
          <w:szCs w:val="24"/>
          <w:lang w:eastAsia="da-DK"/>
        </w:rPr>
      </w:pPr>
      <w:r>
        <w:rPr>
          <w:sz w:val="24"/>
          <w:szCs w:val="24"/>
        </w:rPr>
        <w:t xml:space="preserve">Probenecid administreret sammen med oral </w:t>
      </w:r>
      <w:r>
        <w:rPr>
          <w:noProof/>
          <w:sz w:val="24"/>
          <w:szCs w:val="24"/>
        </w:rPr>
        <w:t>ganciclovir medførte statistisk signifikant nedsat renal clearance af ganciclovir (20 %), som førte til statistisk signifikant forøget eksponering (40 %). Ændringerne var konsistente med en interaktionsmekanisme, som involverer konkurrence om den renale tubulære sekretion. Patienter, som tager probenecid og Valcyte, skal derfor kontrolleres omhyggeligt for ganciclovir toksicitet.</w:t>
      </w:r>
    </w:p>
    <w:p w:rsidR="00E24BC3" w:rsidRDefault="00E24BC3" w:rsidP="00E24BC3">
      <w:pPr>
        <w:shd w:val="clear" w:color="auto" w:fill="FFFFFF"/>
        <w:ind w:left="851"/>
        <w:rPr>
          <w:rFonts w:eastAsiaTheme="minorEastAsia"/>
          <w:sz w:val="24"/>
          <w:szCs w:val="24"/>
          <w:u w:val="single"/>
          <w:lang w:eastAsia="da-DK"/>
        </w:rPr>
      </w:pPr>
    </w:p>
    <w:p w:rsidR="00E24BC3" w:rsidRDefault="00E24BC3" w:rsidP="00E24BC3">
      <w:pPr>
        <w:pStyle w:val="Sidehoved"/>
        <w:tabs>
          <w:tab w:val="left" w:pos="-720"/>
          <w:tab w:val="left" w:pos="0"/>
          <w:tab w:val="left" w:pos="851"/>
        </w:tabs>
        <w:suppressAutoHyphens/>
        <w:ind w:left="851"/>
        <w:rPr>
          <w:i/>
          <w:szCs w:val="24"/>
        </w:rPr>
      </w:pPr>
      <w:r>
        <w:rPr>
          <w:i/>
          <w:szCs w:val="24"/>
        </w:rPr>
        <w:t>Didanosin</w:t>
      </w:r>
    </w:p>
    <w:p w:rsidR="00E24BC3" w:rsidRDefault="00E24BC3" w:rsidP="00E24BC3">
      <w:pPr>
        <w:shd w:val="clear" w:color="auto" w:fill="FFFFFF"/>
        <w:ind w:left="851"/>
        <w:rPr>
          <w:rFonts w:eastAsiaTheme="minorEastAsia"/>
          <w:sz w:val="24"/>
          <w:szCs w:val="24"/>
          <w:u w:val="single"/>
          <w:lang w:eastAsia="da-DK"/>
        </w:rPr>
      </w:pPr>
      <w:r>
        <w:rPr>
          <w:sz w:val="24"/>
          <w:szCs w:val="24"/>
        </w:rPr>
        <w:t xml:space="preserve">Når didanosin blev givet sammen med intravenøst </w:t>
      </w:r>
      <w:r>
        <w:rPr>
          <w:noProof/>
          <w:sz w:val="24"/>
          <w:szCs w:val="24"/>
        </w:rPr>
        <w:t xml:space="preserve">ganciclovir, var plasmakoncentrationerne af didanosin konstant forhøjede. Efter intravenøse doser på 5 og 10 mg/kg/dag sås en stigning i didanosin AUC fra 38 til 67 %, hvilket bekræfter en farmakokinetisk interaktion under samtidig brug af disse lægemidler. Der  var ingen klinisk signifikant effekt på ganciclovir koncentrationerne. </w:t>
      </w:r>
      <w:r>
        <w:rPr>
          <w:noProof/>
          <w:spacing w:val="-3"/>
          <w:sz w:val="24"/>
          <w:szCs w:val="24"/>
        </w:rPr>
        <w:t>Patienterne</w:t>
      </w:r>
      <w:r>
        <w:rPr>
          <w:noProof/>
          <w:sz w:val="24"/>
          <w:szCs w:val="24"/>
        </w:rPr>
        <w:t xml:space="preserve"> skal kontrolleres omhyggeligt for didanosin toksicitet fx pancreatitis (se pkt. 4.4</w:t>
      </w:r>
      <w:r>
        <w:rPr>
          <w:sz w:val="24"/>
          <w:szCs w:val="24"/>
        </w:rPr>
        <w:t>).</w:t>
      </w:r>
    </w:p>
    <w:p w:rsidR="00E24BC3" w:rsidRDefault="00E24BC3" w:rsidP="00E24BC3">
      <w:pPr>
        <w:shd w:val="clear" w:color="auto" w:fill="FFFFFF"/>
        <w:ind w:left="851"/>
        <w:rPr>
          <w:rFonts w:eastAsiaTheme="minorEastAsia"/>
          <w:sz w:val="24"/>
          <w:szCs w:val="24"/>
          <w:u w:val="single"/>
          <w:lang w:eastAsia="da-DK"/>
        </w:rPr>
      </w:pPr>
    </w:p>
    <w:p w:rsidR="00E24BC3" w:rsidRDefault="00E24BC3" w:rsidP="00E24BC3">
      <w:pPr>
        <w:shd w:val="clear" w:color="auto" w:fill="FFFFFF"/>
        <w:ind w:left="851"/>
        <w:rPr>
          <w:rFonts w:eastAsiaTheme="minorEastAsia"/>
          <w:sz w:val="24"/>
          <w:szCs w:val="24"/>
          <w:u w:val="single"/>
          <w:lang w:eastAsia="da-DK"/>
        </w:rPr>
      </w:pPr>
      <w:r>
        <w:rPr>
          <w:rFonts w:eastAsiaTheme="minorEastAsia"/>
          <w:sz w:val="24"/>
          <w:szCs w:val="24"/>
          <w:u w:val="single"/>
          <w:lang w:eastAsia="da-DK"/>
        </w:rPr>
        <w:t>Andre antiretrovirale midler</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Cytochrom P450-isoenzymer spiller ingen rolle i ganciclovirs farmakokinetik. Som følge heraf forventes der ikke farmakokinetiske interaktioner med proteasehæmmere og non-nukleosid-revers transkriptasehæmmere.</w:t>
      </w:r>
    </w:p>
    <w:p w:rsidR="00E24BC3" w:rsidRDefault="00E24BC3" w:rsidP="00E24BC3">
      <w:pPr>
        <w:shd w:val="clear" w:color="auto" w:fill="FFFFFF"/>
        <w:ind w:left="851"/>
        <w:rPr>
          <w:rFonts w:eastAsiaTheme="minorEastAsia"/>
          <w:sz w:val="24"/>
          <w:szCs w:val="24"/>
          <w:u w:val="single"/>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Farmakodynamiske interaktioner</w:t>
      </w:r>
    </w:p>
    <w:p w:rsidR="00E24BC3" w:rsidRDefault="00E24BC3" w:rsidP="00E24BC3">
      <w:pPr>
        <w:shd w:val="clear" w:color="auto" w:fill="FFFFFF"/>
        <w:ind w:left="851"/>
        <w:rPr>
          <w:rFonts w:eastAsiaTheme="minorEastAsia"/>
          <w:i/>
          <w:sz w:val="24"/>
          <w:szCs w:val="24"/>
          <w:lang w:eastAsia="da-DK"/>
        </w:rPr>
      </w:pPr>
      <w:r>
        <w:rPr>
          <w:rFonts w:eastAsiaTheme="minorEastAsia"/>
          <w:i/>
          <w:sz w:val="24"/>
          <w:szCs w:val="24"/>
          <w:lang w:eastAsia="da-DK"/>
        </w:rPr>
        <w:t>Imipenem-cilastatin</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Der er beskrevet anfald hos patienter, som tog imipenem-cilastatin og ganciclovir samtidig og der kan ikke udelukkes en farmakodynamisk interaktion mellem disse to lægemidler. Disse lægemidler må ikke gives samtidigt, medmindre den potentielle fordel opvejer de potentielle risici (se pkt. 4.4).</w:t>
      </w:r>
    </w:p>
    <w:p w:rsidR="00E24BC3" w:rsidRDefault="00E24BC3" w:rsidP="00E24BC3">
      <w:pPr>
        <w:shd w:val="clear" w:color="auto" w:fill="FFFFFF"/>
        <w:ind w:left="851"/>
        <w:rPr>
          <w:rFonts w:eastAsiaTheme="minorEastAsia"/>
          <w:sz w:val="24"/>
          <w:szCs w:val="24"/>
          <w:u w:val="single"/>
          <w:lang w:eastAsia="da-DK"/>
        </w:rPr>
      </w:pPr>
    </w:p>
    <w:p w:rsidR="00E24BC3" w:rsidRDefault="00E24BC3" w:rsidP="00E24BC3">
      <w:pPr>
        <w:shd w:val="clear" w:color="auto" w:fill="FFFFFF"/>
        <w:ind w:left="851"/>
        <w:rPr>
          <w:rFonts w:eastAsiaTheme="minorEastAsia"/>
          <w:i/>
          <w:sz w:val="24"/>
          <w:szCs w:val="24"/>
          <w:lang w:eastAsia="da-DK"/>
        </w:rPr>
      </w:pPr>
      <w:r>
        <w:rPr>
          <w:rFonts w:eastAsiaTheme="minorEastAsia"/>
          <w:i/>
          <w:sz w:val="24"/>
          <w:szCs w:val="24"/>
          <w:lang w:eastAsia="da-DK"/>
        </w:rPr>
        <w:t>Zidovudin</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Både zidovudin og ganciclovir har potentiale til at forårsage neutropeni og anæmi. En farmakodynamisk interaktion kan forekomme under samtidig administration af disse lægemidler. Nogle patienter tolererer muligvis ikke samtidig behandling ved fuld dosis (se pkt. 4.4).</w:t>
      </w:r>
    </w:p>
    <w:p w:rsidR="00E24BC3" w:rsidRDefault="00E24BC3" w:rsidP="00E24BC3">
      <w:pPr>
        <w:shd w:val="clear" w:color="auto" w:fill="FFFFFF"/>
        <w:ind w:left="851"/>
        <w:rPr>
          <w:rFonts w:eastAsiaTheme="minorEastAsia"/>
          <w:sz w:val="24"/>
          <w:szCs w:val="24"/>
          <w:u w:val="single"/>
          <w:lang w:eastAsia="da-DK"/>
        </w:rPr>
      </w:pPr>
    </w:p>
    <w:p w:rsidR="00E24BC3" w:rsidRDefault="00E24BC3" w:rsidP="00E24BC3">
      <w:pPr>
        <w:shd w:val="clear" w:color="auto" w:fill="FFFFFF"/>
        <w:ind w:left="851"/>
        <w:rPr>
          <w:rFonts w:eastAsiaTheme="minorEastAsia"/>
          <w:sz w:val="24"/>
          <w:szCs w:val="24"/>
          <w:u w:val="single"/>
          <w:lang w:eastAsia="da-DK"/>
        </w:rPr>
      </w:pPr>
      <w:r>
        <w:rPr>
          <w:rFonts w:eastAsiaTheme="minorEastAsia"/>
          <w:sz w:val="24"/>
          <w:szCs w:val="24"/>
          <w:u w:val="single"/>
          <w:lang w:eastAsia="da-DK"/>
        </w:rPr>
        <w:t>Potentielle lægemiddelinteraktioner</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 xml:space="preserve">Toksicitet kan øges, når ganciclovir/valganciclovir administreres samtidig med andre lægemidler, der vides at være myelosuppressive eller forbundet med nedsat nyrefunktion. Dette omfatter nukleosid (fx. zidovudin, didanosin, stavudin) og nukleotidanaloger (fx. tenofovir, adefovir), immunosuppressive midler (fx ciclosporin, takrolimus, mycophenolatmofetil), antineoplastiske midler (fx. doxorubicin, vinblastin, vincristin, hydroxyurea) og antiinfektive midler trimethoprim/sulfonamider, dapson, amfotericin B, flucytosin, pentamidin). Disse lægemidler bør derfor kun tages i betragtning ved samtidig </w:t>
      </w:r>
      <w:r>
        <w:rPr>
          <w:rFonts w:eastAsiaTheme="minorEastAsia"/>
          <w:sz w:val="24"/>
          <w:szCs w:val="24"/>
          <w:lang w:eastAsia="da-DK"/>
        </w:rPr>
        <w:lastRenderedPageBreak/>
        <w:t>brug med valganciclovir, hvis de potentielle fordele opvejer de potentielle risici (se pkt. 4.4).</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24BC3" w:rsidRDefault="00E24BC3" w:rsidP="00E24BC3">
      <w:pPr>
        <w:shd w:val="clear" w:color="auto" w:fill="FFFFFF"/>
        <w:ind w:left="851"/>
        <w:rPr>
          <w:rFonts w:eastAsiaTheme="minorEastAsia"/>
          <w:sz w:val="24"/>
          <w:szCs w:val="24"/>
          <w:lang w:eastAsia="da-DK"/>
        </w:rPr>
      </w:pPr>
    </w:p>
    <w:p w:rsidR="00E24BC3" w:rsidRPr="006C3C7E" w:rsidRDefault="00E24BC3" w:rsidP="00E24BC3">
      <w:pPr>
        <w:shd w:val="clear" w:color="auto" w:fill="FFFFFF"/>
        <w:ind w:left="851"/>
        <w:rPr>
          <w:rFonts w:eastAsiaTheme="minorEastAsia"/>
          <w:sz w:val="24"/>
          <w:szCs w:val="24"/>
          <w:u w:val="single"/>
          <w:lang w:eastAsia="da-DK"/>
        </w:rPr>
      </w:pPr>
      <w:r w:rsidRPr="006F3BA6">
        <w:rPr>
          <w:rFonts w:eastAsiaTheme="minorEastAsia"/>
          <w:sz w:val="24"/>
          <w:szCs w:val="24"/>
          <w:u w:val="single"/>
          <w:lang w:eastAsia="da-DK"/>
        </w:rPr>
        <w:t>Prævention til mænd og kvinder</w:t>
      </w:r>
    </w:p>
    <w:p w:rsidR="00E24BC3" w:rsidRDefault="00E24BC3" w:rsidP="00E24BC3">
      <w:pPr>
        <w:shd w:val="clear" w:color="auto" w:fill="FFFFFF"/>
        <w:ind w:left="851"/>
        <w:rPr>
          <w:rFonts w:eastAsiaTheme="minorEastAsia"/>
          <w:sz w:val="24"/>
          <w:szCs w:val="24"/>
          <w:lang w:eastAsia="da-DK"/>
        </w:rPr>
      </w:pPr>
      <w:r w:rsidRPr="00C15810">
        <w:rPr>
          <w:rFonts w:eastAsiaTheme="minorEastAsia"/>
          <w:sz w:val="24"/>
          <w:szCs w:val="24"/>
          <w:lang w:eastAsia="da-DK"/>
        </w:rPr>
        <w:t>Som følge af potentialet for reproduktionstoksicitet og teratogenicitet skal fertile kvinder anbefales at anvende effektiv prævention under og i mindst 30 dage efter behandling. Mandlige patienter skal rådes til at anvende barrieremetode (kondom) som prævention under og i mindst 90 dage efter behandling med valganciclovir, medmindre det er sikkert, at den kvindelige partner ikke kan blive gravid (se pkt. 4.4 og 5.3).</w:t>
      </w:r>
    </w:p>
    <w:p w:rsidR="00E24BC3" w:rsidRDefault="00E24BC3" w:rsidP="00E24BC3">
      <w:pPr>
        <w:shd w:val="clear" w:color="auto" w:fill="FFFFFF"/>
        <w:ind w:left="851"/>
        <w:rPr>
          <w:rFonts w:eastAsiaTheme="minorEastAsia"/>
          <w:sz w:val="24"/>
          <w:szCs w:val="24"/>
          <w:lang w:eastAsia="da-DK"/>
        </w:rPr>
      </w:pPr>
    </w:p>
    <w:p w:rsidR="00E24BC3" w:rsidRPr="006E356F" w:rsidRDefault="00E24BC3" w:rsidP="00E24BC3">
      <w:pPr>
        <w:shd w:val="clear" w:color="auto" w:fill="FFFFFF"/>
        <w:ind w:left="851"/>
        <w:rPr>
          <w:rFonts w:eastAsiaTheme="minorEastAsia"/>
          <w:sz w:val="24"/>
          <w:szCs w:val="24"/>
          <w:u w:val="single"/>
          <w:lang w:eastAsia="da-DK"/>
        </w:rPr>
      </w:pPr>
      <w:r w:rsidRPr="006E356F">
        <w:rPr>
          <w:rFonts w:eastAsiaTheme="minorEastAsia"/>
          <w:sz w:val="24"/>
          <w:szCs w:val="24"/>
          <w:u w:val="single"/>
          <w:lang w:eastAsia="da-DK"/>
        </w:rPr>
        <w:t>Graviditet</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Valganciclovirs sikkerhed ved anvendelsetil gravide kvinder er ikke fastlagt. Den aktive metabolit, ganciclovir, diffunderer let over den humane placenta. På grund af ganciclovirs farmakologiske virkningsmekanisme og reproduktionstoksicitet observeret i dyreforsøg (se pkt. 5.3) er der en teoretisk risiko for teratogenicitet hos mennesker.</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Valganciclovir "Accord” bør ikke anvendes under graviditet, medmindre den terapeutiske fordel for moderen opvejer den potentielle risiko for teratogen skade på fostret.</w:t>
      </w:r>
    </w:p>
    <w:p w:rsidR="00E24BC3" w:rsidRPr="004F678B" w:rsidRDefault="00E24BC3" w:rsidP="00E24BC3">
      <w:pPr>
        <w:shd w:val="clear" w:color="auto" w:fill="FFFFFF"/>
        <w:ind w:left="851"/>
        <w:rPr>
          <w:rFonts w:eastAsiaTheme="minorEastAsia"/>
          <w:sz w:val="24"/>
          <w:szCs w:val="24"/>
          <w:lang w:eastAsia="da-DK"/>
        </w:rPr>
      </w:pPr>
    </w:p>
    <w:p w:rsidR="00E24BC3" w:rsidRPr="004F678B" w:rsidRDefault="00E24BC3" w:rsidP="00E24BC3">
      <w:pPr>
        <w:shd w:val="clear" w:color="auto" w:fill="FFFFFF"/>
        <w:ind w:left="851"/>
        <w:rPr>
          <w:rFonts w:eastAsiaTheme="minorEastAsia"/>
          <w:sz w:val="24"/>
          <w:szCs w:val="24"/>
          <w:u w:val="single"/>
          <w:lang w:eastAsia="da-DK"/>
        </w:rPr>
      </w:pPr>
      <w:r w:rsidRPr="004F678B">
        <w:rPr>
          <w:rFonts w:eastAsiaTheme="minorEastAsia"/>
          <w:sz w:val="24"/>
          <w:szCs w:val="24"/>
          <w:u w:val="single"/>
          <w:lang w:eastAsia="da-DK"/>
        </w:rPr>
        <w:t>Amning</w:t>
      </w:r>
    </w:p>
    <w:p w:rsidR="00E24BC3" w:rsidRPr="00C15810"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Det vides ikke, om ganciclovir udskilles i human modermælk, men risikoen for, at ganciclovir udskilles i modermælk og forårsager alvorlige bivirkninger hos det ammede barn, kan ikke udelukkes. Dyreforsøg indikerer, at ganciclovir udskilles i mælken hos lakterende rotter. Amning skal derfor ophøre under behandling med valganciclovir (se pkt. 4.3).</w:t>
      </w:r>
    </w:p>
    <w:p w:rsidR="00E24BC3" w:rsidRDefault="00E24BC3" w:rsidP="00E24BC3">
      <w:pPr>
        <w:shd w:val="clear" w:color="auto" w:fill="FFFFFF"/>
        <w:rPr>
          <w:rFonts w:eastAsiaTheme="minorEastAsia"/>
          <w:sz w:val="24"/>
          <w:szCs w:val="24"/>
          <w:u w:val="single"/>
          <w:lang w:eastAsia="da-DK"/>
        </w:rPr>
      </w:pPr>
    </w:p>
    <w:p w:rsidR="00E24BC3" w:rsidRPr="004F678B" w:rsidRDefault="00E24BC3" w:rsidP="00E24BC3">
      <w:pPr>
        <w:shd w:val="clear" w:color="auto" w:fill="FFFFFF"/>
        <w:ind w:left="851"/>
        <w:rPr>
          <w:rFonts w:eastAsiaTheme="minorEastAsia"/>
          <w:sz w:val="24"/>
          <w:szCs w:val="24"/>
          <w:u w:val="single"/>
          <w:lang w:eastAsia="da-DK"/>
        </w:rPr>
      </w:pPr>
      <w:r w:rsidRPr="004F678B">
        <w:rPr>
          <w:rFonts w:eastAsiaTheme="minorEastAsia"/>
          <w:sz w:val="24"/>
          <w:szCs w:val="24"/>
          <w:u w:val="single"/>
          <w:lang w:eastAsia="da-DK"/>
        </w:rPr>
        <w:t>Fertilitet</w:t>
      </w:r>
    </w:p>
    <w:p w:rsidR="00E24BC3" w:rsidRPr="006F3BA6" w:rsidRDefault="00E24BC3" w:rsidP="00E24BC3">
      <w:pPr>
        <w:tabs>
          <w:tab w:val="left" w:pos="851"/>
        </w:tabs>
        <w:ind w:left="855"/>
        <w:rPr>
          <w:noProof/>
          <w:sz w:val="24"/>
          <w:szCs w:val="24"/>
        </w:rPr>
      </w:pPr>
      <w:r w:rsidRPr="006F3BA6">
        <w:rPr>
          <w:noProof/>
          <w:sz w:val="24"/>
          <w:szCs w:val="24"/>
        </w:rPr>
        <w:t xml:space="preserve">I et mindre klinisk forsøg med nyretransplantationspatienter, som fik </w:t>
      </w:r>
      <w:r w:rsidRPr="006F3BA6">
        <w:rPr>
          <w:rFonts w:eastAsiaTheme="minorEastAsia"/>
          <w:sz w:val="24"/>
          <w:szCs w:val="24"/>
          <w:lang w:eastAsia="da-DK"/>
        </w:rPr>
        <w:t xml:space="preserve">Valganciclovir ”Accord” </w:t>
      </w:r>
      <w:r w:rsidRPr="006F3BA6">
        <w:rPr>
          <w:noProof/>
          <w:sz w:val="24"/>
          <w:szCs w:val="24"/>
        </w:rPr>
        <w:t>for CMV-profylakse, i op til 200 dage viste valganciclovir en påvirkning på spermatogenese med nedsat sperm densitet og motilitet efter behandlingens ophør.</w:t>
      </w:r>
    </w:p>
    <w:p w:rsidR="00E24BC3" w:rsidRPr="006F3BA6" w:rsidRDefault="00E24BC3" w:rsidP="00E24BC3">
      <w:pPr>
        <w:tabs>
          <w:tab w:val="left" w:pos="851"/>
        </w:tabs>
        <w:ind w:left="855"/>
        <w:rPr>
          <w:noProof/>
          <w:sz w:val="24"/>
          <w:szCs w:val="24"/>
        </w:rPr>
      </w:pPr>
      <w:r w:rsidRPr="006F3BA6">
        <w:rPr>
          <w:noProof/>
          <w:sz w:val="24"/>
          <w:szCs w:val="24"/>
        </w:rPr>
        <w:t xml:space="preserve">Denne virkning synes at være reversibel og ca. seks måneder efter seponering af </w:t>
      </w:r>
      <w:r w:rsidRPr="006F3BA6">
        <w:rPr>
          <w:rFonts w:eastAsiaTheme="minorEastAsia"/>
          <w:sz w:val="24"/>
          <w:szCs w:val="24"/>
          <w:lang w:eastAsia="da-DK"/>
        </w:rPr>
        <w:t xml:space="preserve">Valganciclovir ”Accord” </w:t>
      </w:r>
      <w:r w:rsidRPr="006F3BA6">
        <w:rPr>
          <w:noProof/>
          <w:sz w:val="24"/>
          <w:szCs w:val="24"/>
        </w:rPr>
        <w:t>er den gennemsnitlige spermdensitet og motilitet genoprettet til niveauer, der er sammenlignelige med de observerede i de ubehandlede kontrolgrupper.</w:t>
      </w:r>
    </w:p>
    <w:p w:rsidR="00E24BC3" w:rsidRPr="006F3BA6" w:rsidRDefault="00E24BC3" w:rsidP="00E24BC3">
      <w:pPr>
        <w:tabs>
          <w:tab w:val="left" w:pos="851"/>
        </w:tabs>
        <w:ind w:left="855"/>
        <w:rPr>
          <w:noProof/>
          <w:sz w:val="24"/>
          <w:szCs w:val="24"/>
        </w:rPr>
      </w:pPr>
    </w:p>
    <w:p w:rsidR="00E24BC3" w:rsidRPr="006F3BA6" w:rsidRDefault="00E24BC3" w:rsidP="00E24BC3">
      <w:pPr>
        <w:tabs>
          <w:tab w:val="left" w:pos="851"/>
        </w:tabs>
        <w:ind w:left="855"/>
        <w:rPr>
          <w:noProof/>
          <w:sz w:val="24"/>
          <w:szCs w:val="24"/>
        </w:rPr>
      </w:pPr>
      <w:r w:rsidRPr="006F3BA6">
        <w:rPr>
          <w:noProof/>
          <w:sz w:val="24"/>
          <w:szCs w:val="24"/>
        </w:rPr>
        <w:t>I dyreforsøg nedsatte ganciclovir fertiliteten hos han- og hunmus og har vist sig at hæmme spermatogenese og fremkalde testikelatrofi hos mus, rotter og hunde ved doser, der anses for klinisk relevante.</w:t>
      </w:r>
    </w:p>
    <w:p w:rsidR="00E24BC3" w:rsidRPr="006F3BA6" w:rsidRDefault="00E24BC3" w:rsidP="00E24BC3">
      <w:pPr>
        <w:tabs>
          <w:tab w:val="left" w:pos="851"/>
        </w:tabs>
        <w:ind w:left="855"/>
        <w:rPr>
          <w:noProof/>
          <w:sz w:val="24"/>
          <w:szCs w:val="24"/>
        </w:rPr>
      </w:pPr>
    </w:p>
    <w:p w:rsidR="00E24BC3" w:rsidRPr="004F678B" w:rsidRDefault="00E24BC3" w:rsidP="00E24BC3">
      <w:pPr>
        <w:shd w:val="clear" w:color="auto" w:fill="FFFFFF"/>
        <w:ind w:left="851"/>
        <w:rPr>
          <w:rFonts w:eastAsiaTheme="minorEastAsia"/>
          <w:sz w:val="24"/>
          <w:szCs w:val="24"/>
          <w:lang w:eastAsia="da-DK"/>
        </w:rPr>
      </w:pPr>
      <w:r w:rsidRPr="006F3BA6">
        <w:rPr>
          <w:noProof/>
          <w:sz w:val="24"/>
          <w:szCs w:val="24"/>
        </w:rPr>
        <w:t>Baseret på kliniske og non-kliniske forsøg anses det for sandsynligt, at ganciclovir (og valganciclovir) kan forårsage midlertidig eller permanent hæmning af human spermatogenese (se pkt. 4.4 og pkt. 5.3).</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Ikke mærkning.</w:t>
      </w:r>
    </w:p>
    <w:p w:rsidR="00E24BC3" w:rsidRPr="004F678B" w:rsidRDefault="00E24BC3" w:rsidP="00E24BC3">
      <w:pPr>
        <w:shd w:val="clear" w:color="auto" w:fill="FFFFFF"/>
        <w:ind w:left="851"/>
        <w:rPr>
          <w:rFonts w:eastAsiaTheme="minorEastAsia"/>
          <w:sz w:val="24"/>
          <w:szCs w:val="24"/>
          <w:lang w:eastAsia="da-DK"/>
        </w:rPr>
      </w:pPr>
      <w:r w:rsidRPr="004F678B">
        <w:rPr>
          <w:rFonts w:eastAsiaTheme="minorEastAsia"/>
          <w:sz w:val="24"/>
          <w:szCs w:val="24"/>
          <w:lang w:eastAsia="da-DK"/>
        </w:rPr>
        <w:t>Der er ikke foretaget undersøgelser af virkningen på evnen til at føre motorkøretøj eller betjene maskiner.</w:t>
      </w:r>
    </w:p>
    <w:p w:rsidR="00E24BC3" w:rsidRPr="004F678B" w:rsidRDefault="00E24BC3" w:rsidP="00E24BC3">
      <w:pPr>
        <w:shd w:val="clear" w:color="auto" w:fill="FFFFFF"/>
        <w:ind w:left="851"/>
        <w:rPr>
          <w:rFonts w:eastAsiaTheme="minorEastAsia"/>
          <w:sz w:val="24"/>
          <w:szCs w:val="24"/>
          <w:lang w:eastAsia="da-DK"/>
        </w:rPr>
      </w:pP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 xml:space="preserve">Bivirkninger som anfald, svimmelhed, og konfusion i forbindelse med anvendelse af valganciclovir og/eller ganciclovir. Hvis de forekommer, kan disse symptomer måske </w:t>
      </w:r>
      <w:r>
        <w:rPr>
          <w:rFonts w:eastAsiaTheme="minorEastAsia"/>
          <w:sz w:val="24"/>
          <w:szCs w:val="24"/>
          <w:lang w:eastAsia="da-DK"/>
        </w:rPr>
        <w:lastRenderedPageBreak/>
        <w:t>påvirke de opgaver, som kræver årvågenhed, inklusive patienternes evne til at føre motorkøretøj og betjene maskiner.</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4.8</w:t>
      </w:r>
      <w:r w:rsidRPr="00C84483">
        <w:rPr>
          <w:b/>
          <w:sz w:val="24"/>
          <w:szCs w:val="24"/>
        </w:rPr>
        <w:tab/>
        <w:t>Bivirkninger</w:t>
      </w:r>
    </w:p>
    <w:p w:rsidR="00E24BC3" w:rsidRPr="00DE79CB" w:rsidRDefault="00E24BC3" w:rsidP="00E24BC3">
      <w:pPr>
        <w:shd w:val="clear" w:color="auto" w:fill="FFFFFF"/>
        <w:ind w:left="851"/>
        <w:contextualSpacing/>
        <w:rPr>
          <w:rFonts w:eastAsiaTheme="minorEastAsia"/>
          <w:bCs/>
          <w:sz w:val="24"/>
          <w:szCs w:val="24"/>
          <w:u w:val="single"/>
          <w:lang w:eastAsia="da-DK"/>
        </w:rPr>
      </w:pPr>
      <w:r w:rsidRPr="00DE79CB">
        <w:rPr>
          <w:rFonts w:eastAsiaTheme="minorEastAsia"/>
          <w:sz w:val="24"/>
          <w:szCs w:val="24"/>
          <w:u w:val="single"/>
          <w:lang w:eastAsia="da-DK"/>
        </w:rPr>
        <w:t>a) Oversigt over sikkerhedsprofilen</w:t>
      </w:r>
    </w:p>
    <w:p w:rsidR="00E24BC3" w:rsidRDefault="00E24BC3" w:rsidP="00E24BC3">
      <w:pPr>
        <w:shd w:val="clear" w:color="auto" w:fill="FFFFFF"/>
        <w:ind w:left="851"/>
        <w:rPr>
          <w:rFonts w:eastAsiaTheme="minorEastAsia"/>
          <w:sz w:val="24"/>
          <w:szCs w:val="24"/>
          <w:lang w:eastAsia="da-DK"/>
        </w:rPr>
      </w:pPr>
      <w:r>
        <w:rPr>
          <w:rFonts w:eastAsiaTheme="minorEastAsia"/>
          <w:sz w:val="24"/>
          <w:szCs w:val="24"/>
          <w:lang w:eastAsia="da-DK"/>
        </w:rPr>
        <w:t xml:space="preserve">Valganciclovir er et prodrug til ganciclovir og metaboliseres hurtigt og ekstensivt til ganciclovir efter oral administration. De bivirkninger, som vides at være relateret til anvendelsen af ganciclovir, kan også forventes at indtræffe med valganciclovir. Alle bivirkninger, som er observeret i kliniske studier med valganciclovir, er tidligere set efter administration af ganciclovir. </w:t>
      </w:r>
    </w:p>
    <w:p w:rsidR="00E24BC3" w:rsidRDefault="00E24BC3" w:rsidP="00E24BC3">
      <w:pPr>
        <w:ind w:left="851"/>
        <w:rPr>
          <w:rFonts w:eastAsia="Arial Unicode MS"/>
          <w:iCs/>
          <w:sz w:val="24"/>
          <w:szCs w:val="24"/>
          <w:u w:val="single"/>
          <w:lang w:eastAsia="da-DK"/>
        </w:rPr>
      </w:pPr>
      <w:r>
        <w:rPr>
          <w:szCs w:val="24"/>
        </w:rPr>
        <w:t>Derfor er alle de bivirkninger, der er rapporteret med intravenøs og oral ganciclovir (formulering ikke længere tilgængelig) eller med valganciclovir, inkluderet i bivirkningstabellen.</w:t>
      </w:r>
    </w:p>
    <w:p w:rsidR="00E24BC3" w:rsidRDefault="00E24BC3" w:rsidP="00E24BC3">
      <w:pPr>
        <w:spacing w:line="260" w:lineRule="exact"/>
        <w:ind w:left="851"/>
        <w:rPr>
          <w:rFonts w:eastAsia="Arial Unicode MS"/>
          <w:iCs/>
          <w:snapToGrid w:val="0"/>
          <w:szCs w:val="24"/>
          <w:u w:val="single"/>
          <w:lang w:eastAsia="en-GB"/>
        </w:rPr>
      </w:pPr>
    </w:p>
    <w:p w:rsidR="00E24BC3" w:rsidRDefault="00E24BC3" w:rsidP="00E24BC3">
      <w:pPr>
        <w:spacing w:line="260" w:lineRule="exact"/>
        <w:ind w:left="851"/>
        <w:rPr>
          <w:rFonts w:eastAsia="Arial Unicode MS"/>
          <w:iCs/>
          <w:snapToGrid w:val="0"/>
          <w:szCs w:val="24"/>
          <w:lang w:eastAsia="en-GB"/>
        </w:rPr>
      </w:pPr>
      <w:r>
        <w:rPr>
          <w:rFonts w:eastAsia="Arial Unicode MS"/>
          <w:iCs/>
          <w:snapToGrid w:val="0"/>
          <w:szCs w:val="24"/>
          <w:lang w:eastAsia="en-GB"/>
        </w:rPr>
        <w:t xml:space="preserve">De alvorligste og hyppigst forekommende bivirkninger hos patienter behandlet med </w:t>
      </w:r>
    </w:p>
    <w:p w:rsidR="00E24BC3" w:rsidRDefault="00E24BC3" w:rsidP="00E24BC3">
      <w:pPr>
        <w:shd w:val="clear" w:color="auto" w:fill="FFFFFF"/>
        <w:ind w:left="851"/>
        <w:rPr>
          <w:rFonts w:eastAsiaTheme="minorEastAsia"/>
          <w:sz w:val="24"/>
          <w:szCs w:val="24"/>
          <w:lang w:eastAsia="da-DK"/>
        </w:rPr>
      </w:pPr>
      <w:r>
        <w:rPr>
          <w:rFonts w:eastAsia="Arial Unicode MS"/>
          <w:iCs/>
          <w:szCs w:val="24"/>
        </w:rPr>
        <w:t>Valganciclovir</w:t>
      </w:r>
      <w:r>
        <w:rPr>
          <w:rFonts w:eastAsia="Arial Unicode MS"/>
          <w:iCs/>
          <w:snapToGrid w:val="0"/>
          <w:szCs w:val="24"/>
          <w:lang w:eastAsia="en-GB"/>
        </w:rPr>
        <w:t>/ganciclovir er hæmatologiske bivirkninger og omfatter neutropeni, anæmi og trombocytopeni (se pkt. 4.4).</w:t>
      </w:r>
    </w:p>
    <w:p w:rsidR="00E24BC3" w:rsidRDefault="00E24BC3" w:rsidP="00E24BC3">
      <w:pPr>
        <w:shd w:val="clear" w:color="auto" w:fill="FFFFFF"/>
        <w:ind w:left="851"/>
        <w:rPr>
          <w:rFonts w:eastAsiaTheme="minorEastAsia"/>
          <w:sz w:val="24"/>
          <w:szCs w:val="24"/>
          <w:lang w:eastAsia="da-DK"/>
        </w:rPr>
      </w:pPr>
    </w:p>
    <w:p w:rsidR="00E24BC3" w:rsidRDefault="00E24BC3" w:rsidP="00E24BC3">
      <w:pPr>
        <w:ind w:left="851"/>
        <w:rPr>
          <w:rFonts w:eastAsia="Arial Unicode MS"/>
          <w:iCs/>
          <w:sz w:val="24"/>
          <w:szCs w:val="24"/>
          <w:lang w:eastAsia="da-DK"/>
        </w:rPr>
      </w:pPr>
      <w:r>
        <w:rPr>
          <w:rFonts w:eastAsia="Arial Unicode MS"/>
          <w:iCs/>
          <w:sz w:val="24"/>
          <w:szCs w:val="24"/>
        </w:rPr>
        <w:t xml:space="preserve">Bivirkningshyppigheden i skemaet over bivirkninger er baseret på en puljet population af patienter (n=1704) i vedligeholdelsesbehandling med ganciclovir eller valganciclovir. For anafylaktisk reaktion, agranulocytose og granulocytopeni er hyppigheden til gengæld baseret på erfaringer efter markedsføring. Bivirkningerne er angivet ifølge MedDRA systemorganklasser. Hyppighedskategorierne er defineret på følgende måde: meget almindelig </w:t>
      </w:r>
      <w:r>
        <w:rPr>
          <w:sz w:val="24"/>
          <w:szCs w:val="24"/>
        </w:rPr>
        <w:t>(</w:t>
      </w:r>
      <w:r>
        <w:rPr>
          <w:sz w:val="24"/>
          <w:szCs w:val="24"/>
        </w:rPr>
        <w:sym w:font="Symbol" w:char="F0B3"/>
      </w:r>
      <w:r>
        <w:rPr>
          <w:sz w:val="24"/>
          <w:szCs w:val="24"/>
        </w:rPr>
        <w:t> 1/10</w:t>
      </w:r>
      <w:r>
        <w:rPr>
          <w:rFonts w:eastAsia="Arial Unicode MS"/>
          <w:iCs/>
          <w:sz w:val="24"/>
          <w:szCs w:val="24"/>
        </w:rPr>
        <w:t xml:space="preserve">), almindelig </w:t>
      </w:r>
      <w:r>
        <w:rPr>
          <w:sz w:val="24"/>
          <w:szCs w:val="24"/>
        </w:rPr>
        <w:t>(</w:t>
      </w:r>
      <w:r>
        <w:rPr>
          <w:sz w:val="24"/>
          <w:szCs w:val="24"/>
        </w:rPr>
        <w:sym w:font="Symbol" w:char="F0B3"/>
      </w:r>
      <w:r>
        <w:rPr>
          <w:sz w:val="24"/>
          <w:szCs w:val="24"/>
        </w:rPr>
        <w:t> 1/100 til &lt;1/10), ikke almindelig (</w:t>
      </w:r>
      <w:r>
        <w:rPr>
          <w:sz w:val="24"/>
          <w:szCs w:val="24"/>
        </w:rPr>
        <w:sym w:font="Symbol" w:char="F0B3"/>
      </w:r>
      <w:r>
        <w:rPr>
          <w:sz w:val="24"/>
          <w:szCs w:val="24"/>
        </w:rPr>
        <w:t xml:space="preserve"> 1/1.000 til &lt; 1/100), sjælden (</w:t>
      </w:r>
      <w:r>
        <w:rPr>
          <w:sz w:val="24"/>
          <w:szCs w:val="24"/>
        </w:rPr>
        <w:sym w:font="Symbol" w:char="F0B3"/>
      </w:r>
      <w:r>
        <w:rPr>
          <w:sz w:val="24"/>
          <w:szCs w:val="24"/>
        </w:rPr>
        <w:t xml:space="preserve"> 1/10.000 til </w:t>
      </w:r>
      <w:r>
        <w:rPr>
          <w:sz w:val="24"/>
          <w:szCs w:val="24"/>
        </w:rPr>
        <w:sym w:font="Symbol" w:char="F03C"/>
      </w:r>
      <w:r>
        <w:rPr>
          <w:sz w:val="24"/>
          <w:szCs w:val="24"/>
        </w:rPr>
        <w:t xml:space="preserve"> 1/1.000) og meget sjælden </w:t>
      </w:r>
      <w:r>
        <w:rPr>
          <w:rFonts w:eastAsia="Arial Unicode MS"/>
          <w:iCs/>
          <w:sz w:val="24"/>
          <w:szCs w:val="24"/>
        </w:rPr>
        <w:t>(&lt; 1/10,000).</w:t>
      </w:r>
    </w:p>
    <w:p w:rsidR="00E24BC3" w:rsidRDefault="00E24BC3" w:rsidP="00E24BC3">
      <w:pPr>
        <w:rPr>
          <w:rFonts w:eastAsia="Arial Unicode MS"/>
          <w:iCs/>
          <w:sz w:val="24"/>
          <w:szCs w:val="24"/>
        </w:rPr>
      </w:pPr>
    </w:p>
    <w:p w:rsidR="00E24BC3" w:rsidRDefault="00E24BC3" w:rsidP="00E24BC3">
      <w:pPr>
        <w:shd w:val="clear" w:color="auto" w:fill="FFFFFF"/>
        <w:ind w:left="851"/>
        <w:rPr>
          <w:rFonts w:eastAsia="Arial Unicode MS"/>
          <w:iCs/>
          <w:sz w:val="24"/>
          <w:szCs w:val="24"/>
        </w:rPr>
      </w:pPr>
      <w:r>
        <w:rPr>
          <w:rFonts w:eastAsia="Arial Unicode MS"/>
          <w:iCs/>
          <w:sz w:val="24"/>
          <w:szCs w:val="24"/>
        </w:rPr>
        <w:t xml:space="preserve">Den samlede sikkerhedsprofil for ganciclovir/valganciclovir stemmer overens for HIV og transplantation populationer, dog ses nethindeløsning kun hos HIV patienter med CMV-retinitis. Desuden er der forskelle i hyppigheden af visse bivirkninger. </w:t>
      </w:r>
      <w:r>
        <w:rPr>
          <w:bCs/>
          <w:sz w:val="24"/>
          <w:szCs w:val="24"/>
        </w:rPr>
        <w:t xml:space="preserve">Valganciclovir </w:t>
      </w:r>
      <w:r>
        <w:rPr>
          <w:rFonts w:eastAsia="Arial Unicode MS"/>
          <w:iCs/>
          <w:sz w:val="24"/>
          <w:szCs w:val="24"/>
        </w:rPr>
        <w:t xml:space="preserve">er forbundet med en højere risko for diarré sammenlignet med </w:t>
      </w:r>
      <w:r>
        <w:rPr>
          <w:rFonts w:eastAsiaTheme="minorEastAsia"/>
          <w:sz w:val="24"/>
          <w:szCs w:val="24"/>
          <w:lang w:eastAsia="da-DK"/>
        </w:rPr>
        <w:t>intravenøs ganciclovir</w:t>
      </w:r>
      <w:r>
        <w:rPr>
          <w:rFonts w:eastAsia="Arial Unicode MS"/>
          <w:iCs/>
          <w:sz w:val="24"/>
          <w:szCs w:val="24"/>
        </w:rPr>
        <w:t xml:space="preserve">. Pyreksi, </w:t>
      </w:r>
      <w:r>
        <w:rPr>
          <w:rFonts w:eastAsia="Arial Unicode MS"/>
          <w:i/>
          <w:iCs/>
          <w:sz w:val="24"/>
          <w:szCs w:val="24"/>
        </w:rPr>
        <w:t>Candida-</w:t>
      </w:r>
      <w:r>
        <w:rPr>
          <w:rFonts w:eastAsia="Arial Unicode MS"/>
          <w:iCs/>
          <w:sz w:val="24"/>
          <w:szCs w:val="24"/>
        </w:rPr>
        <w:t>infektioner, depression, svær neutropeni (ANC&lt;500/µL) og hudreaktioner er hyppigere rapporteret hos patienter med HIV. Blandt patienter der havde fået organtransplatation er der hyppigere blevet rapporteret nyre- og leverdysfunktion.</w:t>
      </w:r>
    </w:p>
    <w:p w:rsidR="00E24BC3" w:rsidRDefault="00E24BC3" w:rsidP="00E24BC3">
      <w:pPr>
        <w:shd w:val="clear" w:color="auto" w:fill="FFFFFF"/>
        <w:ind w:left="851"/>
        <w:rPr>
          <w:rFonts w:eastAsiaTheme="minorEastAsia"/>
          <w:bCs/>
          <w:sz w:val="24"/>
          <w:szCs w:val="24"/>
          <w:lang w:eastAsia="da-DK"/>
        </w:rPr>
      </w:pPr>
    </w:p>
    <w:p w:rsidR="00E24BC3" w:rsidRDefault="00E24BC3" w:rsidP="00E24BC3">
      <w:pPr>
        <w:shd w:val="clear" w:color="auto" w:fill="FFFFFF"/>
        <w:ind w:left="851"/>
        <w:rPr>
          <w:rFonts w:eastAsiaTheme="minorEastAsia"/>
          <w:bCs/>
          <w:sz w:val="24"/>
          <w:szCs w:val="24"/>
          <w:lang w:eastAsia="da-DK"/>
        </w:rPr>
      </w:pPr>
    </w:p>
    <w:p w:rsidR="00E24BC3" w:rsidRDefault="00E24BC3" w:rsidP="00E24BC3">
      <w:pPr>
        <w:shd w:val="clear" w:color="auto" w:fill="FFFFFF"/>
        <w:ind w:left="851"/>
        <w:contextualSpacing/>
        <w:rPr>
          <w:rFonts w:eastAsiaTheme="minorEastAsia"/>
          <w:bCs/>
          <w:sz w:val="24"/>
          <w:szCs w:val="24"/>
          <w:u w:val="single"/>
          <w:lang w:eastAsia="da-DK"/>
        </w:rPr>
      </w:pPr>
      <w:r>
        <w:rPr>
          <w:rFonts w:eastAsiaTheme="minorEastAsia"/>
          <w:sz w:val="24"/>
          <w:szCs w:val="24"/>
          <w:u w:val="single"/>
          <w:lang w:eastAsia="da-DK"/>
        </w:rPr>
        <w:t>b) Liste over bivirkninger i tabelform</w:t>
      </w:r>
    </w:p>
    <w:p w:rsidR="00E24BC3" w:rsidRDefault="00E24BC3" w:rsidP="00E24BC3">
      <w:pPr>
        <w:shd w:val="clear" w:color="auto" w:fill="FFFFFF"/>
        <w:ind w:left="851"/>
        <w:rPr>
          <w:rFonts w:eastAsiaTheme="minorEastAsia"/>
          <w:bCs/>
          <w:sz w:val="24"/>
          <w:szCs w:val="24"/>
          <w:lang w:eastAsia="da-DK"/>
        </w:rPr>
      </w:pPr>
    </w:p>
    <w:p w:rsidR="00E24BC3" w:rsidRDefault="00E24BC3" w:rsidP="00E24BC3">
      <w:pPr>
        <w:autoSpaceDE w:val="0"/>
        <w:autoSpaceDN w:val="0"/>
        <w:adjustRightInd w:val="0"/>
        <w:ind w:left="851"/>
        <w:rPr>
          <w:rFonts w:eastAsiaTheme="minorEastAsia"/>
          <w:sz w:val="24"/>
          <w:szCs w:val="24"/>
          <w:lang w:val="nb-NO" w:eastAsia="da-DK"/>
        </w:rPr>
      </w:pPr>
    </w:p>
    <w:tbl>
      <w:tblPr>
        <w:tblW w:w="9287"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b/>
                <w:noProof/>
                <w:sz w:val="24"/>
                <w:lang w:eastAsia="ja-JP"/>
              </w:rPr>
            </w:pPr>
            <w:r>
              <w:rPr>
                <w:b/>
                <w:noProof/>
                <w:lang w:eastAsia="ja-JP"/>
              </w:rPr>
              <w:t>Systemorganklasser</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b/>
                <w:noProof/>
                <w:lang w:eastAsia="ja-JP"/>
              </w:rPr>
            </w:pPr>
            <w:r>
              <w:rPr>
                <w:b/>
                <w:noProof/>
                <w:lang w:eastAsia="ja-JP"/>
              </w:rPr>
              <w:t>Hyppighed</w:t>
            </w: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i/>
                <w:noProof/>
                <w:lang w:eastAsia="ja-JP"/>
              </w:rPr>
            </w:pPr>
            <w:r>
              <w:rPr>
                <w:i/>
                <w:noProof/>
                <w:lang w:eastAsia="ja-JP"/>
              </w:rPr>
              <w:t>Infektioner og parasitære sygdomme:</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u w:val="single"/>
                <w:lang w:eastAsia="ja-JP"/>
              </w:rPr>
            </w:pPr>
            <w:r>
              <w:rPr>
                <w:i/>
                <w:lang w:eastAsia="ja-JP"/>
              </w:rPr>
              <w:t>Candida</w:t>
            </w:r>
            <w:r>
              <w:rPr>
                <w:lang w:eastAsia="ja-JP"/>
              </w:rPr>
              <w:t>-infektioner, inklusive oral candidiasis</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Meget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Infektion i de øvre luftveje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Sepsis</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Influenza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ja-JP"/>
              </w:rPr>
            </w:pPr>
            <w:r>
              <w:rPr>
                <w:lang w:eastAsia="ja-JP"/>
              </w:rPr>
              <w:t>Urinvejsinfektion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ja-JP"/>
              </w:rPr>
            </w:pPr>
            <w:r>
              <w:rPr>
                <w:lang w:eastAsia="ja-JP"/>
              </w:rPr>
              <w:t>Cellulitis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Blod og lymfesystem:</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da-DK"/>
              </w:rPr>
            </w:pPr>
            <w:r>
              <w:rPr>
                <w:lang w:val="en-US"/>
              </w:rPr>
              <w:t>Neutropeni</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Meget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ja-JP"/>
              </w:rPr>
            </w:pPr>
            <w:r>
              <w:rPr>
                <w:lang w:val="en-US"/>
              </w:rPr>
              <w:t>Anæmi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da-DK"/>
              </w:rPr>
            </w:pPr>
            <w:r>
              <w:rPr>
                <w:lang w:val="en-US"/>
              </w:rPr>
              <w:t>Trombocytopeni</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da-DK"/>
              </w:rPr>
            </w:pPr>
            <w:r>
              <w:rPr>
                <w:lang w:val="en-US"/>
              </w:rPr>
              <w:t>Leukopeni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ja-JP"/>
              </w:rPr>
            </w:pPr>
            <w:r>
              <w:rPr>
                <w:lang w:val="en-US"/>
              </w:rPr>
              <w:lastRenderedPageBreak/>
              <w:t>Pancytopeni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ja-JP"/>
              </w:rPr>
            </w:pPr>
            <w:r>
              <w:rPr>
                <w:lang w:val="en-US"/>
              </w:rPr>
              <w:t>Knoglemarvssvigt</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da-DK"/>
              </w:rPr>
            </w:pPr>
            <w:r>
              <w:t>Aplastisk anæmi</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Sjælden</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pStyle w:val="TableCell10Left"/>
              <w:rPr>
                <w:rFonts w:ascii="Times New Roman" w:eastAsia="Times New Roman" w:hAnsi="Times New Roman"/>
                <w:sz w:val="22"/>
                <w:szCs w:val="22"/>
                <w:lang w:val="da-DK" w:eastAsia="en-US"/>
              </w:rPr>
            </w:pPr>
            <w:r>
              <w:rPr>
                <w:rFonts w:ascii="Times New Roman" w:eastAsia="Times New Roman" w:hAnsi="Times New Roman"/>
                <w:sz w:val="22"/>
                <w:szCs w:val="22"/>
                <w:lang w:val="da-DK" w:eastAsia="en-US"/>
              </w:rPr>
              <w:t>Agranulocytose*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sz w:val="24"/>
                <w:lang w:val="en-US" w:eastAsia="da-DK"/>
              </w:rPr>
            </w:pPr>
            <w:r>
              <w:t>Granulocytopeni*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u w:val="single"/>
                <w:lang w:eastAsia="ja-JP"/>
              </w:rPr>
            </w:pPr>
            <w:r>
              <w:rPr>
                <w:i/>
              </w:rPr>
              <w:t>Immunsystemet:</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da-DK"/>
              </w:rPr>
            </w:pPr>
            <w:r>
              <w:rPr>
                <w:lang w:val="en-US"/>
              </w:rPr>
              <w:t>Hypersensitivitet</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rPr>
                <w:lang w:eastAsia="da-DK"/>
              </w:rPr>
            </w:pPr>
            <w:r>
              <w:t>Anafylaktisk reaction*</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Sjælden</w:t>
            </w: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Metabolisme og ernæring: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 xml:space="preserve">Appetitløshed </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Meget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da-DK"/>
              </w:rPr>
            </w:pPr>
            <w:r>
              <w:rPr>
                <w:lang w:val="en-US"/>
              </w:rPr>
              <w:t>Vægttab</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Psykiske forstyrrelser:</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Depression</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Konfusion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Angst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Agitation</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ja-JP"/>
              </w:rPr>
            </w:pPr>
            <w:r>
              <w:t>Psykotiske forstyrrelser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ja-JP"/>
              </w:rPr>
            </w:pPr>
            <w:r>
              <w:t>Abnorme tanker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val="en-US" w:eastAsia="da-DK"/>
              </w:rPr>
            </w:pPr>
            <w:r>
              <w:t>Hallucinationer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keepNext/>
              <w:rPr>
                <w:lang w:eastAsia="ja-JP"/>
              </w:rPr>
            </w:pPr>
            <w:r>
              <w:rPr>
                <w:i/>
              </w:rPr>
              <w:t>Nervesystemet:</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keepNext/>
              <w:rPr>
                <w:lang w:eastAsia="da-DK"/>
              </w:rPr>
            </w:pPr>
            <w:r>
              <w:t>Hovedpine</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keepNext/>
            </w:pPr>
            <w:r>
              <w:t>Meget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Søvnløshed</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Perifer neuropati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Svimmelhed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Paræstesier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Hypæstesi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Anfald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Dysgeusi (smagsforstyrrelser)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Tremor</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i/>
                <w:noProof/>
                <w:lang w:eastAsia="ja-JP"/>
              </w:rPr>
            </w:pPr>
            <w:r>
              <w:rPr>
                <w:i/>
                <w:noProof/>
                <w:lang w:eastAsia="ja-JP"/>
              </w:rPr>
              <w:t>Øjne:</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Nedsat syn</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Nethindeløsning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i/>
              </w:rPr>
            </w:pPr>
            <w:r>
              <w:rPr>
                <w:i/>
              </w:rPr>
              <w:t>Mouches volantes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Øjensmerter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Konjunktivitis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Makulaødem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Øre og labyrint:</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Øresmerter</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Døvhed</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Hjerte:</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Arytmier</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rPr>
                <w:i/>
              </w:rPr>
              <w:t>Vaskulære sygdomme:</w:t>
            </w:r>
            <w:r>
              <w:t xml:space="preserve"> </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Hypotension</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noProof/>
              </w:rPr>
              <w:t>Luftveje, thorax og mediastinum</w:t>
            </w:r>
            <w:r>
              <w:rPr>
                <w:noProof/>
              </w:rPr>
              <w:t>:</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Hoste</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Meget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Dyspnø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Mave-tarmkanalen:</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Diarré</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Meget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Kvamle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Opkastning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Abdominalsmerter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lastRenderedPageBreak/>
              <w:t>Dyspepsi</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Flatulens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Smerter i øvre abdomen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Obstipation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Sår i munden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Dysfagi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Abdominal udspiling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Pankreatitis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i/>
              </w:rPr>
            </w:pPr>
            <w:r>
              <w:rPr>
                <w:i/>
              </w:rPr>
              <w:t>Lever og galdeveje:</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ind w:left="-108"/>
            </w:pPr>
            <w:r>
              <w:t xml:space="preserve">  Forhøjet alkalisk fosfatase i blodet</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ind w:left="-108"/>
              <w:rPr>
                <w:lang w:eastAsia="da-DK"/>
              </w:rPr>
            </w:pPr>
            <w:r>
              <w:t xml:space="preserve">  Unormal leverfunktion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ind w:left="-108"/>
            </w:pPr>
            <w:r>
              <w:t xml:space="preserve">  Forhøjet aspartat-aminotransferase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Forhøjet alanin-aminotransferase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Hud og subkutane væv:</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rPr>
                <w:lang w:eastAsia="da-DK"/>
              </w:rPr>
            </w:pPr>
            <w:r>
              <w:t>Dermatitis</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Meget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rPr>
                <w:lang w:eastAsia="da-DK"/>
              </w:rPr>
            </w:pPr>
            <w:r>
              <w:t>Nattesved</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lang w:eastAsia="da-DK"/>
              </w:rPr>
            </w:pPr>
            <w:r>
              <w:t>Pruritus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Udslæt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pPr>
            <w:r>
              <w:t>Alopeci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r>
              <w:t>Tør hud</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rPr>
                <w:lang w:eastAsia="da-DK"/>
              </w:rPr>
            </w:pPr>
            <w:r>
              <w:t>Urticaria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Knogler, led, muskler og bindevæv:</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2"/>
              </w:tabs>
              <w:rPr>
                <w:lang w:eastAsia="da-DK"/>
              </w:rPr>
            </w:pPr>
            <w:r>
              <w:t>Rygsmerter</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2"/>
              </w:tabs>
              <w:rPr>
                <w:lang w:eastAsia="da-DK"/>
              </w:rPr>
            </w:pPr>
            <w:r>
              <w:t>Myalgi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2"/>
              </w:tabs>
            </w:pPr>
            <w:r>
              <w:t>Artralgi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pPr>
            <w:r>
              <w:t>Muskelspasmer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i/>
              </w:rPr>
              <w:t>Nyrer og urinveje:</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2"/>
              </w:tabs>
              <w:rPr>
                <w:lang w:eastAsia="da-DK"/>
              </w:rPr>
            </w:pPr>
            <w:r>
              <w:t>Nedsat nyrefunktion</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2"/>
              </w:tabs>
              <w:rPr>
                <w:lang w:eastAsia="da-DK"/>
              </w:rPr>
            </w:pPr>
            <w:r>
              <w:t>Nedsat renal creatininclearance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pPr>
            <w:r>
              <w:t>Forhøjet blod-creatinin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pPr>
            <w:r>
              <w:t>Nyresvigt</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rPr>
                <w:lang w:eastAsia="da-DK"/>
              </w:rPr>
            </w:pPr>
            <w:r>
              <w:t>Hæmaturi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2"/>
              </w:tabs>
              <w:ind w:right="459"/>
              <w:rPr>
                <w:i/>
              </w:rPr>
            </w:pPr>
            <w:r>
              <w:rPr>
                <w:i/>
              </w:rPr>
              <w:t>Det reproduktive system og mammae:</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4"/>
              </w:tabs>
            </w:pPr>
            <w:r>
              <w:t>Mandlig infertilitet</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r w:rsidR="00E24BC3" w:rsidTr="003B4BCE">
        <w:tc>
          <w:tcPr>
            <w:tcW w:w="9287" w:type="dxa"/>
            <w:gridSpan w:val="2"/>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ind w:right="459"/>
              <w:rPr>
                <w:noProof/>
                <w:lang w:eastAsia="ja-JP"/>
              </w:rPr>
            </w:pPr>
            <w:r>
              <w:rPr>
                <w:i/>
              </w:rPr>
              <w:t>Almene symptomer og reaktioner fra administrationsstedet:</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rPr>
                <w:lang w:eastAsia="da-DK"/>
              </w:rPr>
            </w:pPr>
            <w:r>
              <w:t>Pyreksi</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Meget 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rPr>
                <w:lang w:eastAsia="da-DK"/>
              </w:rPr>
            </w:pPr>
            <w:r>
              <w:t>Træthed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3597"/>
              </w:tabs>
            </w:pPr>
            <w:r>
              <w:t>Reaktion ved injektionsstedet</w:t>
            </w:r>
          </w:p>
        </w:tc>
        <w:tc>
          <w:tcPr>
            <w:tcW w:w="4644" w:type="dxa"/>
            <w:vMerge w:val="restart"/>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Almindelig</w:t>
            </w: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rPr>
                <w:lang w:eastAsia="da-DK"/>
              </w:rPr>
            </w:pPr>
            <w:r>
              <w:t>Smerter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Kulderystelser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Almen utilpashed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Asteni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BC3" w:rsidRDefault="00E24BC3" w:rsidP="003B4BCE">
            <w:pPr>
              <w:rPr>
                <w:noProof/>
                <w:lang w:eastAsia="ja-JP"/>
              </w:rPr>
            </w:pPr>
          </w:p>
        </w:tc>
      </w:tr>
      <w:tr w:rsidR="00E24BC3" w:rsidTr="003B4BCE">
        <w:tc>
          <w:tcPr>
            <w:tcW w:w="4643" w:type="dxa"/>
            <w:tcBorders>
              <w:top w:val="single" w:sz="4" w:space="0" w:color="auto"/>
              <w:left w:val="single" w:sz="4" w:space="0" w:color="auto"/>
              <w:bottom w:val="single" w:sz="4" w:space="0" w:color="auto"/>
              <w:right w:val="single" w:sz="4" w:space="0" w:color="auto"/>
            </w:tcBorders>
            <w:hideMark/>
          </w:tcPr>
          <w:p w:rsidR="00E24BC3" w:rsidRDefault="00E24BC3" w:rsidP="003B4BCE">
            <w:pPr>
              <w:tabs>
                <w:tab w:val="left" w:pos="-1440"/>
                <w:tab w:val="left" w:pos="0"/>
                <w:tab w:val="left" w:pos="2016"/>
                <w:tab w:val="left" w:pos="3744"/>
                <w:tab w:val="left" w:pos="5472"/>
                <w:tab w:val="left" w:pos="7488"/>
              </w:tabs>
            </w:pPr>
            <w:r>
              <w:t>Brystsmerter</w:t>
            </w:r>
          </w:p>
        </w:tc>
        <w:tc>
          <w:tcPr>
            <w:tcW w:w="4644" w:type="dxa"/>
            <w:tcBorders>
              <w:top w:val="single" w:sz="4" w:space="0" w:color="auto"/>
              <w:left w:val="single" w:sz="4" w:space="0" w:color="auto"/>
              <w:bottom w:val="single" w:sz="4" w:space="0" w:color="auto"/>
              <w:right w:val="single" w:sz="4" w:space="0" w:color="auto"/>
            </w:tcBorders>
            <w:hideMark/>
          </w:tcPr>
          <w:p w:rsidR="00E24BC3" w:rsidRDefault="00E24BC3" w:rsidP="003B4BCE">
            <w:pPr>
              <w:rPr>
                <w:noProof/>
                <w:lang w:eastAsia="ja-JP"/>
              </w:rPr>
            </w:pPr>
            <w:r>
              <w:rPr>
                <w:noProof/>
                <w:lang w:eastAsia="ja-JP"/>
              </w:rPr>
              <w:t>Ikke almindelig</w:t>
            </w:r>
          </w:p>
        </w:tc>
      </w:tr>
    </w:tbl>
    <w:p w:rsidR="00E24BC3" w:rsidRDefault="00E24BC3" w:rsidP="00E24BC3">
      <w:pPr>
        <w:autoSpaceDE w:val="0"/>
        <w:autoSpaceDN w:val="0"/>
        <w:adjustRightInd w:val="0"/>
        <w:ind w:left="851"/>
        <w:rPr>
          <w:i/>
          <w:snapToGrid w:val="0"/>
          <w:sz w:val="22"/>
          <w:szCs w:val="22"/>
          <w:lang w:eastAsia="en-GB"/>
        </w:rPr>
      </w:pPr>
      <w:r>
        <w:rPr>
          <w:i/>
          <w:snapToGrid w:val="0"/>
          <w:sz w:val="22"/>
          <w:szCs w:val="22"/>
          <w:lang w:eastAsia="en-GB"/>
        </w:rPr>
        <w:t>*Hyppigheden for disse bivirkninger stammer fra erfaringer efter markedsføring</w:t>
      </w:r>
    </w:p>
    <w:p w:rsidR="00E24BC3" w:rsidRDefault="00E24BC3" w:rsidP="00E24BC3">
      <w:pPr>
        <w:autoSpaceDE w:val="0"/>
        <w:autoSpaceDN w:val="0"/>
        <w:adjustRightInd w:val="0"/>
        <w:ind w:left="851"/>
        <w:rPr>
          <w:rFonts w:eastAsiaTheme="minorEastAsia"/>
          <w:i/>
          <w:sz w:val="22"/>
          <w:szCs w:val="22"/>
          <w:lang w:val="nb-NO" w:eastAsia="da-DK"/>
        </w:rPr>
      </w:pPr>
      <w:r>
        <w:rPr>
          <w:rFonts w:eastAsiaTheme="minorEastAsia"/>
          <w:i/>
          <w:sz w:val="22"/>
          <w:szCs w:val="22"/>
          <w:lang w:val="nb-NO" w:eastAsia="da-DK"/>
        </w:rPr>
        <w:t>**Nethindeløsning er kun blevet rapporteret hos HIV-patienter, som var behandlet med valganciclovir til CMV-renitis.</w:t>
      </w:r>
    </w:p>
    <w:p w:rsidR="00E24BC3" w:rsidRDefault="00E24BC3" w:rsidP="00E24BC3">
      <w:pPr>
        <w:spacing w:line="260" w:lineRule="exact"/>
        <w:ind w:left="851"/>
        <w:rPr>
          <w:rFonts w:eastAsia="Arial Unicode MS"/>
          <w:iCs/>
          <w:snapToGrid w:val="0"/>
          <w:sz w:val="24"/>
          <w:szCs w:val="24"/>
          <w:u w:val="single"/>
          <w:lang w:eastAsia="en-GB"/>
        </w:rPr>
      </w:pPr>
      <w:r>
        <w:rPr>
          <w:rFonts w:eastAsia="Arial Unicode MS"/>
          <w:iCs/>
          <w:snapToGrid w:val="0"/>
          <w:szCs w:val="24"/>
          <w:u w:val="single"/>
          <w:lang w:eastAsia="en-GB"/>
        </w:rPr>
        <w:t>Beskrivelse af udvalgte bivirkninger</w:t>
      </w:r>
    </w:p>
    <w:p w:rsidR="00E24BC3" w:rsidRDefault="00E24BC3" w:rsidP="00E24BC3">
      <w:pPr>
        <w:spacing w:line="260" w:lineRule="exact"/>
        <w:ind w:left="851"/>
        <w:rPr>
          <w:i/>
          <w:snapToGrid w:val="0"/>
          <w:szCs w:val="24"/>
          <w:lang w:eastAsia="en-GB"/>
        </w:rPr>
      </w:pPr>
    </w:p>
    <w:p w:rsidR="00E24BC3" w:rsidRDefault="00E24BC3" w:rsidP="00E24BC3">
      <w:pPr>
        <w:spacing w:line="260" w:lineRule="exact"/>
        <w:ind w:left="851"/>
        <w:rPr>
          <w:rFonts w:eastAsia="Arial Unicode MS"/>
          <w:i/>
          <w:iCs/>
          <w:snapToGrid w:val="0"/>
          <w:szCs w:val="24"/>
          <w:lang w:eastAsia="en-GB"/>
        </w:rPr>
      </w:pPr>
      <w:r>
        <w:rPr>
          <w:rFonts w:eastAsia="Arial Unicode MS"/>
          <w:i/>
          <w:iCs/>
          <w:snapToGrid w:val="0"/>
          <w:szCs w:val="24"/>
          <w:lang w:eastAsia="en-GB"/>
        </w:rPr>
        <w:t>Neutropeni</w:t>
      </w:r>
    </w:p>
    <w:p w:rsidR="00E24BC3" w:rsidRDefault="00E24BC3" w:rsidP="00E24BC3">
      <w:pPr>
        <w:spacing w:line="260" w:lineRule="exact"/>
        <w:ind w:left="851"/>
        <w:rPr>
          <w:rFonts w:eastAsia="Arial Unicode MS"/>
          <w:iCs/>
          <w:snapToGrid w:val="0"/>
          <w:szCs w:val="24"/>
          <w:lang w:eastAsia="en-GB"/>
        </w:rPr>
      </w:pPr>
      <w:r>
        <w:rPr>
          <w:rFonts w:eastAsia="Arial Unicode MS"/>
          <w:iCs/>
          <w:snapToGrid w:val="0"/>
          <w:szCs w:val="24"/>
          <w:lang w:eastAsia="en-GB"/>
        </w:rPr>
        <w:t xml:space="preserve">Risko for neutropeni kan ikke forudsiges ud fra neutrofilocyttallet inden behandling. Neutropeni opstår sædvanligvis inden for den første eller anden uge efter, behandlingen er </w:t>
      </w:r>
      <w:r>
        <w:rPr>
          <w:rFonts w:eastAsia="Arial Unicode MS"/>
          <w:iCs/>
          <w:snapToGrid w:val="0"/>
          <w:szCs w:val="24"/>
          <w:lang w:eastAsia="en-GB"/>
        </w:rPr>
        <w:lastRenderedPageBreak/>
        <w:t>påbegyndt. Celletallet normaliseres sædvanligvis inden for 2-5 dage efter seponering af lægemidlet eller dosisreduktion (se pkt. 4.4).</w:t>
      </w:r>
    </w:p>
    <w:p w:rsidR="00E24BC3" w:rsidRDefault="00E24BC3" w:rsidP="00E24BC3">
      <w:pPr>
        <w:spacing w:line="260" w:lineRule="exact"/>
        <w:ind w:left="851"/>
        <w:rPr>
          <w:rFonts w:eastAsia="Arial Unicode MS"/>
          <w:i/>
          <w:iCs/>
          <w:snapToGrid w:val="0"/>
          <w:szCs w:val="24"/>
          <w:lang w:eastAsia="en-GB"/>
        </w:rPr>
      </w:pPr>
    </w:p>
    <w:p w:rsidR="00E24BC3" w:rsidRDefault="00E24BC3" w:rsidP="00E24BC3">
      <w:pPr>
        <w:keepNext/>
        <w:keepLines/>
        <w:spacing w:line="260" w:lineRule="exact"/>
        <w:ind w:left="851"/>
        <w:rPr>
          <w:rFonts w:eastAsia="Arial Unicode MS"/>
          <w:i/>
          <w:iCs/>
          <w:snapToGrid w:val="0"/>
          <w:sz w:val="24"/>
          <w:szCs w:val="24"/>
          <w:lang w:eastAsia="en-GB"/>
        </w:rPr>
      </w:pPr>
      <w:r>
        <w:rPr>
          <w:rFonts w:eastAsia="Arial Unicode MS"/>
          <w:i/>
          <w:iCs/>
          <w:snapToGrid w:val="0"/>
          <w:szCs w:val="24"/>
          <w:lang w:eastAsia="en-GB"/>
        </w:rPr>
        <w:t>Trombocytopeni</w:t>
      </w:r>
    </w:p>
    <w:p w:rsidR="00E24BC3" w:rsidRDefault="00E24BC3" w:rsidP="00E24BC3">
      <w:pPr>
        <w:keepNext/>
        <w:keepLines/>
        <w:spacing w:line="260" w:lineRule="exact"/>
        <w:ind w:left="851"/>
        <w:rPr>
          <w:rFonts w:eastAsia="Arial Unicode MS"/>
          <w:iCs/>
          <w:snapToGrid w:val="0"/>
          <w:szCs w:val="24"/>
          <w:lang w:eastAsia="en-GB"/>
        </w:rPr>
      </w:pPr>
      <w:r>
        <w:rPr>
          <w:rFonts w:eastAsia="Arial Unicode MS"/>
          <w:iCs/>
          <w:snapToGrid w:val="0"/>
          <w:szCs w:val="24"/>
          <w:lang w:eastAsia="en-GB"/>
        </w:rPr>
        <w:t>Patienter med lavt trombocyttal ved baseline (&lt;100.000/</w:t>
      </w:r>
      <w:r>
        <w:rPr>
          <w:rFonts w:eastAsia="Arial Unicode MS"/>
          <w:iCs/>
          <w:snapToGrid w:val="0"/>
          <w:szCs w:val="24"/>
          <w:u w:val="single"/>
          <w:lang w:eastAsia="en-GB"/>
        </w:rPr>
        <w:t>µ</w:t>
      </w:r>
      <w:r>
        <w:rPr>
          <w:rFonts w:eastAsia="Arial Unicode MS"/>
          <w:iCs/>
          <w:snapToGrid w:val="0"/>
          <w:szCs w:val="24"/>
          <w:lang w:eastAsia="en-GB"/>
        </w:rPr>
        <w:t>l) har øget risiko for at udvikle trombocytopeni. Patienter med iatrogen immunsuppression på grund af behandling med immunsuppressive midler har større risiko for trombocytopeni end patienter med AIDS (se pkt. 4.4). Alvorlig trombocytopeni kan være forbundet med livstruende blødninger.</w:t>
      </w:r>
    </w:p>
    <w:p w:rsidR="00E24BC3" w:rsidRDefault="00E24BC3" w:rsidP="00E24BC3">
      <w:pPr>
        <w:spacing w:line="260" w:lineRule="exact"/>
        <w:ind w:left="851"/>
        <w:rPr>
          <w:rFonts w:eastAsia="Arial Unicode MS"/>
          <w:i/>
          <w:iCs/>
          <w:snapToGrid w:val="0"/>
          <w:szCs w:val="24"/>
          <w:lang w:eastAsia="en-GB"/>
        </w:rPr>
      </w:pPr>
    </w:p>
    <w:p w:rsidR="00E24BC3" w:rsidRDefault="00E24BC3" w:rsidP="00E24BC3">
      <w:pPr>
        <w:autoSpaceDE w:val="0"/>
        <w:autoSpaceDN w:val="0"/>
        <w:adjustRightInd w:val="0"/>
        <w:ind w:left="851"/>
        <w:rPr>
          <w:rFonts w:eastAsiaTheme="minorEastAsia"/>
          <w:i/>
          <w:sz w:val="24"/>
          <w:szCs w:val="24"/>
          <w:lang w:eastAsia="da-DK"/>
        </w:rPr>
      </w:pPr>
      <w:r>
        <w:rPr>
          <w:rFonts w:eastAsiaTheme="minorEastAsia"/>
          <w:i/>
          <w:sz w:val="24"/>
          <w:szCs w:val="24"/>
          <w:lang w:eastAsia="da-DK"/>
        </w:rPr>
        <w:t>Påvirkning af behandlingsvarighed eller indikation på bivirkninger</w:t>
      </w:r>
    </w:p>
    <w:p w:rsidR="00E24BC3" w:rsidRDefault="00E24BC3" w:rsidP="00E24BC3">
      <w:pPr>
        <w:autoSpaceDE w:val="0"/>
        <w:autoSpaceDN w:val="0"/>
        <w:adjustRightInd w:val="0"/>
        <w:ind w:left="851"/>
        <w:rPr>
          <w:rFonts w:eastAsiaTheme="minorEastAsia"/>
          <w:sz w:val="24"/>
          <w:szCs w:val="24"/>
          <w:lang w:eastAsia="da-DK"/>
        </w:rPr>
      </w:pPr>
      <w:r>
        <w:rPr>
          <w:rFonts w:eastAsia="Arial Unicode MS"/>
          <w:iCs/>
          <w:snapToGrid w:val="0"/>
          <w:szCs w:val="24"/>
          <w:lang w:eastAsia="en-GB"/>
        </w:rPr>
        <w:t xml:space="preserve">Svær </w:t>
      </w:r>
      <w:r w:rsidRPr="00106A2C">
        <w:rPr>
          <w:rFonts w:eastAsia="Arial Unicode MS"/>
          <w:iCs/>
          <w:snapToGrid w:val="0"/>
          <w:szCs w:val="24"/>
          <w:lang w:eastAsia="en-GB"/>
        </w:rPr>
        <w:t xml:space="preserve">neutropeni </w:t>
      </w:r>
      <w:r w:rsidRPr="00106A2C">
        <w:rPr>
          <w:sz w:val="24"/>
          <w:szCs w:val="24"/>
        </w:rPr>
        <w:t xml:space="preserve">(ANC &lt;500/μl) </w:t>
      </w:r>
      <w:r w:rsidRPr="00106A2C">
        <w:rPr>
          <w:rFonts w:eastAsia="Arial Unicode MS"/>
          <w:iCs/>
          <w:snapToGrid w:val="0"/>
          <w:szCs w:val="24"/>
          <w:lang w:eastAsia="en-GB"/>
        </w:rPr>
        <w:t xml:space="preserve">ses hyppigere </w:t>
      </w:r>
      <w:r>
        <w:rPr>
          <w:rFonts w:eastAsia="Arial Unicode MS"/>
          <w:iCs/>
          <w:snapToGrid w:val="0"/>
          <w:szCs w:val="24"/>
          <w:lang w:eastAsia="en-GB"/>
        </w:rPr>
        <w:t>hos patienter med CMV-retinitis (14 %), der behandles med valganciclovir, intravenøs eller oral ganciclovir sammenlignet med organtransplanterede patienter, som fik valganciclovir eller oral ganciclovir. Hos patienter, som fik valganciclovir eller oral ganciclovir op til dag 100 efter transplantation, var forekomsten af svær neutropeni på henholdsvis 5 % og 3 %, mens patienter, som fik valganciclovir op til dag 200 efter transplantation, havde en forekomst af svær neutropeni på 10 %.</w:t>
      </w:r>
    </w:p>
    <w:p w:rsidR="00E24BC3" w:rsidRDefault="00E24BC3" w:rsidP="00E24BC3">
      <w:pPr>
        <w:shd w:val="clear" w:color="auto" w:fill="FFFFFF"/>
        <w:ind w:left="851"/>
        <w:contextualSpacing/>
        <w:rPr>
          <w:rFonts w:eastAsiaTheme="minorEastAsia"/>
          <w:sz w:val="24"/>
          <w:szCs w:val="24"/>
          <w:lang w:eastAsia="da-DK"/>
        </w:rPr>
      </w:pPr>
      <w:r>
        <w:rPr>
          <w:rFonts w:eastAsiaTheme="minorEastAsia"/>
          <w:sz w:val="24"/>
          <w:szCs w:val="24"/>
          <w:lang w:eastAsia="da-DK"/>
        </w:rPr>
        <w:t>Der blev set en større stigning i serumkreatinin hos organtransplanterede patienter, der blev behandlet med både valganciclovir og oral ganciclovir til dag 100 eller dag 200 efter transplantation sammenlignet med patienter med CMV retinitis. Nedsat nyrefunktion er dog en fællesnævner hos organtransplanterede patienter.</w:t>
      </w:r>
    </w:p>
    <w:p w:rsidR="00E24BC3" w:rsidRDefault="00E24BC3" w:rsidP="00E24BC3">
      <w:pPr>
        <w:shd w:val="clear" w:color="auto" w:fill="FFFFFF"/>
        <w:ind w:left="851"/>
        <w:contextualSpacing/>
        <w:rPr>
          <w:rFonts w:eastAsiaTheme="minorEastAsia"/>
          <w:sz w:val="24"/>
          <w:szCs w:val="24"/>
          <w:lang w:eastAsia="da-DK"/>
        </w:rPr>
      </w:pPr>
      <w:r>
        <w:rPr>
          <w:rFonts w:eastAsiaTheme="minorEastAsia"/>
          <w:sz w:val="24"/>
          <w:szCs w:val="24"/>
          <w:lang w:eastAsia="da-DK"/>
        </w:rPr>
        <w:t> </w:t>
      </w:r>
    </w:p>
    <w:p w:rsidR="00E24BC3" w:rsidRDefault="00E24BC3" w:rsidP="00E24BC3">
      <w:pPr>
        <w:shd w:val="clear" w:color="auto" w:fill="FFFFFF"/>
        <w:ind w:left="851"/>
        <w:contextualSpacing/>
        <w:rPr>
          <w:rFonts w:eastAsiaTheme="minorEastAsia"/>
          <w:sz w:val="24"/>
          <w:szCs w:val="24"/>
          <w:lang w:eastAsia="da-DK"/>
        </w:rPr>
      </w:pPr>
      <w:r>
        <w:rPr>
          <w:rFonts w:eastAsiaTheme="minorEastAsia"/>
          <w:sz w:val="24"/>
          <w:szCs w:val="24"/>
          <w:lang w:eastAsia="da-DK"/>
        </w:rPr>
        <w:t>Den overordnede sikkerhedsprofil for Valganciclovir "Accord ændrede sig ikke med forlængelse af profylakse op til 200 dage hos patienter med høj risiko for nyretransplantation. Der blev rapporteret om leukopeni med en lidt højere forekomst i 200-dages-armen, mens forekomsten af neutropeni, anæmi og trombocytopeni var ens i begge arme.</w:t>
      </w:r>
    </w:p>
    <w:p w:rsidR="00E24BC3" w:rsidRDefault="00E24BC3" w:rsidP="00E24BC3">
      <w:pPr>
        <w:shd w:val="clear" w:color="auto" w:fill="FFFFFF"/>
        <w:ind w:left="851"/>
        <w:contextualSpacing/>
        <w:rPr>
          <w:rFonts w:eastAsiaTheme="minorEastAsia"/>
          <w:sz w:val="24"/>
          <w:szCs w:val="24"/>
          <w:lang w:val="nb-NO" w:eastAsia="da-DK"/>
        </w:rPr>
      </w:pPr>
    </w:p>
    <w:p w:rsidR="00E24BC3" w:rsidRDefault="00E24BC3" w:rsidP="00E24BC3">
      <w:pPr>
        <w:shd w:val="clear" w:color="auto" w:fill="FFFFFF"/>
        <w:ind w:left="851"/>
        <w:contextualSpacing/>
        <w:rPr>
          <w:rFonts w:eastAsiaTheme="minorEastAsia"/>
          <w:bCs/>
          <w:sz w:val="24"/>
          <w:szCs w:val="24"/>
          <w:u w:val="single"/>
          <w:lang w:val="nb-NO" w:eastAsia="da-DK"/>
        </w:rPr>
      </w:pPr>
      <w:r>
        <w:rPr>
          <w:rFonts w:eastAsiaTheme="minorEastAsia"/>
          <w:sz w:val="24"/>
          <w:szCs w:val="24"/>
          <w:u w:val="single"/>
          <w:lang w:val="nb-NO" w:eastAsia="da-DK"/>
        </w:rPr>
        <w:t>c) Pædiatrisk population</w:t>
      </w:r>
    </w:p>
    <w:p w:rsidR="00E24BC3" w:rsidRDefault="00E24BC3" w:rsidP="00E24BC3">
      <w:pPr>
        <w:autoSpaceDE w:val="0"/>
        <w:autoSpaceDN w:val="0"/>
        <w:adjustRightInd w:val="0"/>
        <w:ind w:left="851"/>
        <w:rPr>
          <w:rFonts w:eastAsiaTheme="minorEastAsia"/>
          <w:sz w:val="24"/>
          <w:szCs w:val="24"/>
          <w:lang w:val="nb-NO" w:eastAsia="da-DK"/>
        </w:rPr>
      </w:pPr>
      <w:r>
        <w:rPr>
          <w:rFonts w:eastAsiaTheme="minorEastAsia"/>
          <w:sz w:val="24"/>
          <w:szCs w:val="24"/>
          <w:lang w:val="nb-NO" w:eastAsia="da-DK"/>
        </w:rPr>
        <w:t xml:space="preserve">Valganciclovir er undersøgt hos 179 pædiatriske organtransplanterede patienter (i alderen 3 uger til 16 år), som var i risiko for at udvikle CMV-sygdom og hos 133 patienter (i alderen 2 til 31 dage) med symptomatisk medfødt CMV-sygdom. Varigheden af ganciclovir-eksponeringen varierede mellem 2 til 200 dage. </w:t>
      </w:r>
    </w:p>
    <w:p w:rsidR="00E24BC3" w:rsidRDefault="00E24BC3" w:rsidP="00E24BC3">
      <w:pPr>
        <w:autoSpaceDE w:val="0"/>
        <w:autoSpaceDN w:val="0"/>
        <w:adjustRightInd w:val="0"/>
        <w:ind w:left="851"/>
        <w:rPr>
          <w:rFonts w:eastAsiaTheme="minorEastAsia"/>
          <w:sz w:val="24"/>
          <w:szCs w:val="24"/>
          <w:lang w:val="nb-NO" w:eastAsia="da-DK"/>
        </w:rPr>
      </w:pPr>
    </w:p>
    <w:p w:rsidR="00E24BC3" w:rsidRDefault="00E24BC3" w:rsidP="00E24BC3">
      <w:pPr>
        <w:autoSpaceDE w:val="0"/>
        <w:autoSpaceDN w:val="0"/>
        <w:adjustRightInd w:val="0"/>
        <w:ind w:left="851"/>
        <w:rPr>
          <w:rFonts w:eastAsiaTheme="minorEastAsia"/>
          <w:sz w:val="24"/>
          <w:szCs w:val="24"/>
          <w:lang w:val="nb-NO" w:eastAsia="da-DK"/>
        </w:rPr>
      </w:pPr>
      <w:r>
        <w:rPr>
          <w:rFonts w:eastAsiaTheme="minorEastAsia"/>
          <w:sz w:val="24"/>
          <w:szCs w:val="24"/>
          <w:lang w:val="nb-NO" w:eastAsia="da-DK"/>
        </w:rPr>
        <w:t xml:space="preserve">Diarré, kvalme, neutropeni, leukopeni og anæmi var de hyppigst rapporterede bivirkninger i de pædiatriske kliniske studier. </w:t>
      </w:r>
    </w:p>
    <w:p w:rsidR="00E24BC3" w:rsidRDefault="00E24BC3" w:rsidP="00E24BC3">
      <w:pPr>
        <w:autoSpaceDE w:val="0"/>
        <w:autoSpaceDN w:val="0"/>
        <w:adjustRightInd w:val="0"/>
        <w:ind w:left="851"/>
        <w:rPr>
          <w:rFonts w:eastAsiaTheme="minorEastAsia"/>
          <w:sz w:val="24"/>
          <w:szCs w:val="24"/>
          <w:lang w:val="nb-NO" w:eastAsia="da-DK"/>
        </w:rPr>
      </w:pPr>
    </w:p>
    <w:p w:rsidR="00E24BC3" w:rsidRDefault="00E24BC3" w:rsidP="00E24BC3">
      <w:pPr>
        <w:autoSpaceDE w:val="0"/>
        <w:autoSpaceDN w:val="0"/>
        <w:adjustRightInd w:val="0"/>
        <w:ind w:left="851"/>
        <w:rPr>
          <w:rFonts w:eastAsiaTheme="minorEastAsia"/>
          <w:sz w:val="24"/>
          <w:szCs w:val="24"/>
          <w:lang w:eastAsia="da-DK"/>
        </w:rPr>
      </w:pPr>
      <w:r>
        <w:rPr>
          <w:rFonts w:eastAsiaTheme="minorEastAsia"/>
          <w:sz w:val="24"/>
          <w:szCs w:val="24"/>
          <w:lang w:val="nb-NO" w:eastAsia="da-DK"/>
        </w:rPr>
        <w:t xml:space="preserve">I de organtransplanterede patienter var den overordnede sikkerhedsprofil tilsvarende hos de pædiatriske patienter og voksne. Neutropeni var rapporteret med lidt højere frekvens i de to studier, som var udført hos pædiatriske organtransplanterede patienter, sammenlignet med voksne. </w:t>
      </w:r>
      <w:r>
        <w:rPr>
          <w:rFonts w:eastAsiaTheme="minorEastAsia"/>
          <w:sz w:val="24"/>
          <w:szCs w:val="24"/>
          <w:lang w:eastAsia="da-DK"/>
        </w:rPr>
        <w:t xml:space="preserve">Der var dog ingen korrelation mellem neutropeni og infektiøse bivirkninger hos den pædiatriske population. </w:t>
      </w:r>
      <w:r w:rsidRPr="006F3BA6">
        <w:rPr>
          <w:sz w:val="24"/>
          <w:szCs w:val="24"/>
        </w:rPr>
        <w:t>En højere risiko for cytopeni hos nyfødte og spædbørn berettiger nøje overvågning af blodtal i disse aldersgrupper (se pkt. 4.4).</w:t>
      </w:r>
    </w:p>
    <w:p w:rsidR="00E24BC3" w:rsidRDefault="00E24BC3" w:rsidP="00E24BC3">
      <w:pPr>
        <w:autoSpaceDE w:val="0"/>
        <w:autoSpaceDN w:val="0"/>
        <w:adjustRightInd w:val="0"/>
        <w:ind w:left="851"/>
        <w:rPr>
          <w:rFonts w:eastAsiaTheme="minorEastAsia"/>
          <w:sz w:val="24"/>
          <w:szCs w:val="24"/>
          <w:lang w:eastAsia="da-DK"/>
        </w:rPr>
      </w:pPr>
    </w:p>
    <w:p w:rsidR="00E24BC3" w:rsidRDefault="00E24BC3" w:rsidP="00E24BC3">
      <w:pPr>
        <w:autoSpaceDE w:val="0"/>
        <w:autoSpaceDN w:val="0"/>
        <w:adjustRightInd w:val="0"/>
        <w:ind w:left="851"/>
        <w:rPr>
          <w:rFonts w:eastAsiaTheme="minorEastAsia"/>
          <w:sz w:val="24"/>
          <w:szCs w:val="24"/>
          <w:lang w:eastAsia="da-DK"/>
        </w:rPr>
      </w:pPr>
      <w:r>
        <w:rPr>
          <w:rFonts w:eastAsiaTheme="minorEastAsia"/>
          <w:sz w:val="24"/>
          <w:szCs w:val="24"/>
          <w:lang w:eastAsia="da-DK"/>
        </w:rPr>
        <w:t>I nyretransplanterede pædiatriske patienter blev forlængelse af valganciclovir-eksponering op til 200 dage ikke forbundet med en generel stigning i forekomsten af ​​bivirkninger. Forekomsten af ​​alvorlig neutropeni (ANC &lt; 500/µl) var højere hos  pædiatriske nyrebehandlede patienter indtil dag 200 i forhold til pædiatriske patienter behandlet indtil dag 100 og i forhold til voksne nyretransplanterede patienter behandlet indtil dag 100 eller dag 200 (se pkt. 4.4).</w:t>
      </w:r>
    </w:p>
    <w:p w:rsidR="00E24BC3" w:rsidRDefault="00E24BC3" w:rsidP="00E24BC3">
      <w:pPr>
        <w:autoSpaceDE w:val="0"/>
        <w:autoSpaceDN w:val="0"/>
        <w:adjustRightInd w:val="0"/>
        <w:ind w:left="851"/>
        <w:rPr>
          <w:rFonts w:eastAsiaTheme="minorEastAsia"/>
          <w:sz w:val="24"/>
          <w:szCs w:val="24"/>
          <w:lang w:eastAsia="da-DK"/>
        </w:rPr>
      </w:pPr>
    </w:p>
    <w:p w:rsidR="00E24BC3" w:rsidRDefault="00E24BC3" w:rsidP="00E24BC3">
      <w:pPr>
        <w:autoSpaceDE w:val="0"/>
        <w:autoSpaceDN w:val="0"/>
        <w:adjustRightInd w:val="0"/>
        <w:ind w:left="851"/>
        <w:rPr>
          <w:rFonts w:eastAsiaTheme="minorEastAsia"/>
          <w:sz w:val="24"/>
          <w:szCs w:val="24"/>
          <w:lang w:eastAsia="da-DK"/>
        </w:rPr>
      </w:pPr>
      <w:r>
        <w:rPr>
          <w:rFonts w:eastAsiaTheme="minorEastAsia"/>
          <w:sz w:val="24"/>
          <w:szCs w:val="24"/>
          <w:lang w:eastAsia="da-DK"/>
        </w:rPr>
        <w:lastRenderedPageBreak/>
        <w:t>Der er kun begrænsede data tilgængeligt hos nyfødte eller spædbørn med symptomatisk medfødt CMV-infektion behandlet med valganciclovir, men sikkerheden ser ud til at være i overensstemmelse med den kendte sikkerhedsprofil for valganciclovir/ganciclovir.</w:t>
      </w:r>
    </w:p>
    <w:p w:rsidR="00E24BC3" w:rsidRDefault="00E24BC3" w:rsidP="00E24BC3">
      <w:pPr>
        <w:autoSpaceDE w:val="0"/>
        <w:autoSpaceDN w:val="0"/>
        <w:adjustRightInd w:val="0"/>
        <w:ind w:left="851"/>
        <w:rPr>
          <w:rFonts w:eastAsiaTheme="minorEastAsia"/>
          <w:sz w:val="24"/>
          <w:szCs w:val="24"/>
          <w:lang w:eastAsia="da-DK"/>
        </w:rPr>
      </w:pPr>
    </w:p>
    <w:p w:rsidR="00E24BC3" w:rsidRDefault="00E24BC3" w:rsidP="00E24BC3">
      <w:pPr>
        <w:autoSpaceDE w:val="0"/>
        <w:autoSpaceDN w:val="0"/>
        <w:ind w:left="851"/>
        <w:rPr>
          <w:sz w:val="24"/>
          <w:szCs w:val="24"/>
          <w:u w:val="single"/>
          <w:lang w:eastAsia="da-DK"/>
        </w:rPr>
      </w:pPr>
      <w:r>
        <w:rPr>
          <w:sz w:val="24"/>
          <w:szCs w:val="24"/>
          <w:u w:val="single"/>
          <w:lang w:eastAsia="da-DK"/>
        </w:rPr>
        <w:t>Indberetning af formodede bivirkninger</w:t>
      </w:r>
    </w:p>
    <w:p w:rsidR="00E24BC3" w:rsidRDefault="00E24BC3" w:rsidP="00E24BC3">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E24BC3" w:rsidRDefault="00E24BC3" w:rsidP="00E24BC3">
      <w:pPr>
        <w:ind w:left="851"/>
        <w:rPr>
          <w:sz w:val="24"/>
          <w:szCs w:val="24"/>
          <w:lang w:eastAsia="da-DK"/>
        </w:rPr>
      </w:pPr>
    </w:p>
    <w:p w:rsidR="00E24BC3" w:rsidRDefault="00E24BC3" w:rsidP="00E24BC3">
      <w:pPr>
        <w:ind w:left="851"/>
        <w:rPr>
          <w:sz w:val="24"/>
          <w:szCs w:val="24"/>
          <w:lang w:eastAsia="da-DK"/>
        </w:rPr>
      </w:pPr>
      <w:r>
        <w:rPr>
          <w:sz w:val="24"/>
          <w:szCs w:val="24"/>
          <w:lang w:eastAsia="da-DK"/>
        </w:rPr>
        <w:t>Lægemiddelstyrelsen</w:t>
      </w:r>
    </w:p>
    <w:p w:rsidR="00E24BC3" w:rsidRDefault="00E24BC3" w:rsidP="00E24BC3">
      <w:pPr>
        <w:ind w:left="851"/>
        <w:rPr>
          <w:sz w:val="24"/>
          <w:szCs w:val="24"/>
          <w:lang w:eastAsia="da-DK"/>
        </w:rPr>
      </w:pPr>
      <w:r>
        <w:rPr>
          <w:sz w:val="24"/>
          <w:szCs w:val="24"/>
          <w:lang w:eastAsia="da-DK"/>
        </w:rPr>
        <w:t>Axel Heides Gade 1</w:t>
      </w:r>
    </w:p>
    <w:p w:rsidR="00E24BC3" w:rsidRDefault="00E24BC3" w:rsidP="00E24BC3">
      <w:pPr>
        <w:ind w:left="851"/>
        <w:rPr>
          <w:sz w:val="24"/>
          <w:szCs w:val="24"/>
          <w:lang w:eastAsia="da-DK"/>
        </w:rPr>
      </w:pPr>
      <w:r>
        <w:rPr>
          <w:sz w:val="24"/>
          <w:szCs w:val="24"/>
          <w:lang w:eastAsia="da-DK"/>
        </w:rPr>
        <w:t>DK-2300 København S</w:t>
      </w:r>
    </w:p>
    <w:p w:rsidR="00E24BC3" w:rsidRDefault="00E24BC3" w:rsidP="002A487F">
      <w:pPr>
        <w:ind w:left="851"/>
        <w:rPr>
          <w:sz w:val="24"/>
          <w:szCs w:val="24"/>
          <w:lang w:val="en-US" w:eastAsia="da-DK"/>
        </w:rPr>
      </w:pPr>
      <w:r>
        <w:rPr>
          <w:sz w:val="24"/>
          <w:szCs w:val="24"/>
          <w:lang w:val="en-US" w:eastAsia="da-DK"/>
        </w:rPr>
        <w:t xml:space="preserve">Websted: </w:t>
      </w:r>
      <w:hyperlink r:id="rId10" w:history="1">
        <w:r>
          <w:rPr>
            <w:rStyle w:val="Hyperlink"/>
            <w:sz w:val="24"/>
            <w:lang w:val="en-US" w:eastAsia="da-DK"/>
          </w:rPr>
          <w:t>www.meldenbivirkning.dk</w:t>
        </w:r>
      </w:hyperlink>
    </w:p>
    <w:p w:rsidR="00E24BC3" w:rsidRPr="00A751C1" w:rsidRDefault="00E24BC3" w:rsidP="00E24BC3">
      <w:pPr>
        <w:pStyle w:val="Sidehoved"/>
        <w:tabs>
          <w:tab w:val="left" w:pos="851"/>
        </w:tabs>
        <w:ind w:left="851"/>
        <w:rPr>
          <w:szCs w:val="24"/>
          <w:lang w:val="en-US"/>
        </w:rPr>
      </w:pPr>
    </w:p>
    <w:p w:rsidR="00E24BC3" w:rsidRPr="00C84483" w:rsidRDefault="00E24BC3" w:rsidP="00E24BC3">
      <w:pPr>
        <w:tabs>
          <w:tab w:val="left" w:pos="851"/>
        </w:tabs>
        <w:ind w:left="851" w:hanging="851"/>
        <w:rPr>
          <w:b/>
          <w:sz w:val="24"/>
          <w:szCs w:val="24"/>
        </w:rPr>
      </w:pPr>
      <w:r w:rsidRPr="00C84483">
        <w:rPr>
          <w:b/>
          <w:sz w:val="24"/>
          <w:szCs w:val="24"/>
        </w:rPr>
        <w:t>4.9</w:t>
      </w:r>
      <w:r w:rsidRPr="00C84483">
        <w:rPr>
          <w:b/>
          <w:sz w:val="24"/>
          <w:szCs w:val="24"/>
        </w:rPr>
        <w:tab/>
        <w:t>Overdosering</w:t>
      </w:r>
    </w:p>
    <w:p w:rsidR="00E24BC3" w:rsidRDefault="00E24BC3" w:rsidP="00E24BC3">
      <w:pPr>
        <w:autoSpaceDE w:val="0"/>
        <w:autoSpaceDN w:val="0"/>
        <w:adjustRightInd w:val="0"/>
        <w:ind w:left="851"/>
        <w:rPr>
          <w:rFonts w:eastAsiaTheme="minorEastAsia"/>
          <w:sz w:val="24"/>
          <w:szCs w:val="24"/>
          <w:u w:val="single"/>
          <w:lang w:eastAsia="da-DK"/>
        </w:rPr>
      </w:pPr>
      <w:r>
        <w:rPr>
          <w:rFonts w:eastAsiaTheme="minorEastAsia"/>
          <w:sz w:val="24"/>
          <w:szCs w:val="24"/>
          <w:u w:val="single"/>
          <w:lang w:eastAsia="da-DK"/>
        </w:rPr>
        <w:t xml:space="preserve">Erfaringer med overdosering af valganciclovir og </w:t>
      </w:r>
      <w:r>
        <w:rPr>
          <w:rFonts w:eastAsia="Arial Unicode MS"/>
          <w:iCs/>
          <w:snapToGrid w:val="0"/>
          <w:szCs w:val="24"/>
          <w:lang w:eastAsia="en-GB"/>
        </w:rPr>
        <w:t>intravenøs ganciclovir</w:t>
      </w:r>
    </w:p>
    <w:p w:rsidR="00E24BC3" w:rsidRDefault="00E24BC3" w:rsidP="00E24BC3">
      <w:pPr>
        <w:autoSpaceDE w:val="0"/>
        <w:autoSpaceDN w:val="0"/>
        <w:adjustRightInd w:val="0"/>
        <w:ind w:left="851"/>
        <w:rPr>
          <w:rFonts w:eastAsiaTheme="minorEastAsia"/>
          <w:sz w:val="24"/>
          <w:szCs w:val="24"/>
          <w:lang w:eastAsia="da-DK"/>
        </w:rPr>
      </w:pPr>
      <w:r>
        <w:rPr>
          <w:rFonts w:eastAsiaTheme="minorEastAsia"/>
          <w:sz w:val="24"/>
          <w:szCs w:val="24"/>
          <w:lang w:eastAsia="da-DK"/>
        </w:rPr>
        <w:t>Det forventes, at en overdosis af valganciclovir muligvis kan medføre øget nyretoksicitet (se pkt. 4.2 og 4.4).</w:t>
      </w:r>
    </w:p>
    <w:p w:rsidR="00E24BC3" w:rsidRDefault="00E24BC3" w:rsidP="00E24BC3">
      <w:pPr>
        <w:autoSpaceDE w:val="0"/>
        <w:autoSpaceDN w:val="0"/>
        <w:adjustRightInd w:val="0"/>
        <w:ind w:left="851"/>
        <w:rPr>
          <w:rFonts w:eastAsiaTheme="minorEastAsia"/>
          <w:sz w:val="24"/>
          <w:szCs w:val="24"/>
          <w:lang w:eastAsia="da-DK"/>
        </w:rPr>
      </w:pPr>
    </w:p>
    <w:p w:rsidR="00E24BC3" w:rsidRDefault="00E24BC3" w:rsidP="00E24BC3">
      <w:pPr>
        <w:autoSpaceDE w:val="0"/>
        <w:autoSpaceDN w:val="0"/>
        <w:adjustRightInd w:val="0"/>
        <w:ind w:left="851"/>
        <w:rPr>
          <w:rFonts w:eastAsiaTheme="minorEastAsia"/>
          <w:sz w:val="24"/>
          <w:szCs w:val="24"/>
          <w:lang w:eastAsia="da-DK"/>
        </w:rPr>
      </w:pPr>
      <w:r>
        <w:rPr>
          <w:rFonts w:eastAsiaTheme="minorEastAsia"/>
          <w:sz w:val="24"/>
          <w:szCs w:val="24"/>
          <w:lang w:eastAsia="da-DK"/>
        </w:rPr>
        <w:t>Indberetninger om overdoser af intravenøs ganciclovir, nogle med dødeligt udfald, stammer fra kliniske studier og fra post-marketing erfaringer. I nogle af tilfældene rapporteredes ikke om uønskede hændelser. De fleste patienter fik en eller flere af følgende uønskede hændelser:</w:t>
      </w:r>
    </w:p>
    <w:p w:rsidR="00E24BC3" w:rsidRDefault="00E24BC3" w:rsidP="00E24BC3">
      <w:pPr>
        <w:numPr>
          <w:ilvl w:val="0"/>
          <w:numId w:val="11"/>
        </w:numPr>
        <w:autoSpaceDE w:val="0"/>
        <w:autoSpaceDN w:val="0"/>
        <w:adjustRightInd w:val="0"/>
        <w:ind w:left="1134" w:hanging="283"/>
        <w:contextualSpacing/>
        <w:rPr>
          <w:rFonts w:eastAsiaTheme="minorEastAsia"/>
          <w:sz w:val="24"/>
          <w:szCs w:val="24"/>
          <w:lang w:eastAsia="da-DK"/>
        </w:rPr>
      </w:pPr>
      <w:r>
        <w:rPr>
          <w:rFonts w:eastAsiaTheme="minorEastAsia"/>
          <w:i/>
          <w:sz w:val="24"/>
          <w:szCs w:val="24"/>
          <w:lang w:eastAsia="da-DK"/>
        </w:rPr>
        <w:t xml:space="preserve">Hæmatologisk </w:t>
      </w:r>
      <w:r>
        <w:rPr>
          <w:rFonts w:eastAsiaTheme="minorEastAsia"/>
          <w:sz w:val="24"/>
          <w:szCs w:val="24"/>
          <w:lang w:eastAsia="da-DK"/>
        </w:rPr>
        <w:t xml:space="preserve">toksicitet: </w:t>
      </w:r>
      <w:r>
        <w:t xml:space="preserve">myelosuppression herunder </w:t>
      </w:r>
      <w:r>
        <w:rPr>
          <w:rFonts w:eastAsiaTheme="minorEastAsia"/>
          <w:sz w:val="24"/>
          <w:szCs w:val="24"/>
          <w:lang w:eastAsia="da-DK"/>
        </w:rPr>
        <w:t>pancytopeni, knoglemarvsdepression, leukopeni, neutropeni, granulocytopeni.</w:t>
      </w:r>
    </w:p>
    <w:p w:rsidR="00E24BC3" w:rsidRDefault="00E24BC3" w:rsidP="00E24BC3">
      <w:pPr>
        <w:numPr>
          <w:ilvl w:val="0"/>
          <w:numId w:val="11"/>
        </w:numPr>
        <w:autoSpaceDE w:val="0"/>
        <w:autoSpaceDN w:val="0"/>
        <w:adjustRightInd w:val="0"/>
        <w:ind w:left="1134" w:hanging="283"/>
        <w:contextualSpacing/>
        <w:rPr>
          <w:rFonts w:eastAsiaTheme="minorEastAsia"/>
          <w:sz w:val="24"/>
          <w:szCs w:val="24"/>
          <w:lang w:eastAsia="da-DK"/>
        </w:rPr>
      </w:pPr>
      <w:r>
        <w:rPr>
          <w:rFonts w:eastAsiaTheme="minorEastAsia"/>
          <w:i/>
          <w:sz w:val="24"/>
          <w:szCs w:val="24"/>
          <w:lang w:eastAsia="da-DK"/>
        </w:rPr>
        <w:t>Hepatotoksicitet:</w:t>
      </w:r>
      <w:r>
        <w:rPr>
          <w:rFonts w:eastAsiaTheme="minorEastAsia"/>
          <w:sz w:val="24"/>
          <w:szCs w:val="24"/>
          <w:lang w:eastAsia="da-DK"/>
        </w:rPr>
        <w:t xml:space="preserve"> Hepatitis, nedsat leverfunktion.</w:t>
      </w:r>
    </w:p>
    <w:p w:rsidR="00E24BC3" w:rsidRDefault="00E24BC3" w:rsidP="00E24BC3">
      <w:pPr>
        <w:numPr>
          <w:ilvl w:val="0"/>
          <w:numId w:val="11"/>
        </w:numPr>
        <w:autoSpaceDE w:val="0"/>
        <w:autoSpaceDN w:val="0"/>
        <w:adjustRightInd w:val="0"/>
        <w:ind w:left="1134" w:hanging="283"/>
        <w:contextualSpacing/>
        <w:rPr>
          <w:rFonts w:eastAsiaTheme="minorEastAsia"/>
          <w:sz w:val="24"/>
          <w:szCs w:val="24"/>
          <w:lang w:eastAsia="da-DK"/>
        </w:rPr>
      </w:pPr>
      <w:r>
        <w:rPr>
          <w:rFonts w:eastAsiaTheme="minorEastAsia"/>
          <w:i/>
          <w:sz w:val="24"/>
          <w:szCs w:val="24"/>
          <w:lang w:eastAsia="da-DK"/>
        </w:rPr>
        <w:t xml:space="preserve">Renal </w:t>
      </w:r>
      <w:r>
        <w:rPr>
          <w:rFonts w:eastAsiaTheme="minorEastAsia"/>
          <w:sz w:val="24"/>
          <w:szCs w:val="24"/>
          <w:lang w:eastAsia="da-DK"/>
        </w:rPr>
        <w:t>toksicitet: Forværring af hæmaturi hos en patient med præ-eksisterende nedsat nyreskade, akut nyresvigt, forhøjet kreatinin.</w:t>
      </w:r>
    </w:p>
    <w:p w:rsidR="00E24BC3" w:rsidRDefault="00E24BC3" w:rsidP="00E24BC3">
      <w:pPr>
        <w:numPr>
          <w:ilvl w:val="0"/>
          <w:numId w:val="11"/>
        </w:numPr>
        <w:autoSpaceDE w:val="0"/>
        <w:autoSpaceDN w:val="0"/>
        <w:adjustRightInd w:val="0"/>
        <w:ind w:left="1134" w:hanging="283"/>
        <w:contextualSpacing/>
        <w:rPr>
          <w:rFonts w:eastAsiaTheme="minorEastAsia"/>
          <w:sz w:val="24"/>
          <w:szCs w:val="24"/>
          <w:lang w:eastAsia="da-DK"/>
        </w:rPr>
      </w:pPr>
      <w:r>
        <w:rPr>
          <w:rFonts w:eastAsiaTheme="minorEastAsia"/>
          <w:i/>
          <w:sz w:val="24"/>
          <w:szCs w:val="24"/>
          <w:lang w:eastAsia="da-DK"/>
        </w:rPr>
        <w:t xml:space="preserve">Gastrointestinal </w:t>
      </w:r>
      <w:r>
        <w:rPr>
          <w:rFonts w:eastAsiaTheme="minorEastAsia"/>
          <w:sz w:val="24"/>
          <w:szCs w:val="24"/>
          <w:lang w:eastAsia="da-DK"/>
        </w:rPr>
        <w:t>toksicitet: Abdominale smerter, diarré, opkastning.</w:t>
      </w:r>
    </w:p>
    <w:p w:rsidR="00E24BC3" w:rsidRDefault="00E24BC3" w:rsidP="00E24BC3">
      <w:pPr>
        <w:numPr>
          <w:ilvl w:val="0"/>
          <w:numId w:val="11"/>
        </w:numPr>
        <w:autoSpaceDE w:val="0"/>
        <w:autoSpaceDN w:val="0"/>
        <w:adjustRightInd w:val="0"/>
        <w:ind w:left="1134" w:hanging="283"/>
        <w:contextualSpacing/>
        <w:rPr>
          <w:rFonts w:eastAsiaTheme="minorEastAsia"/>
          <w:sz w:val="24"/>
          <w:szCs w:val="24"/>
          <w:lang w:eastAsia="da-DK"/>
        </w:rPr>
      </w:pPr>
      <w:r>
        <w:rPr>
          <w:rFonts w:eastAsiaTheme="minorEastAsia"/>
          <w:i/>
          <w:sz w:val="24"/>
          <w:szCs w:val="24"/>
          <w:lang w:eastAsia="da-DK"/>
        </w:rPr>
        <w:t>Neurotoksicitet:</w:t>
      </w:r>
      <w:r>
        <w:rPr>
          <w:rFonts w:eastAsiaTheme="minorEastAsia"/>
          <w:sz w:val="24"/>
          <w:szCs w:val="24"/>
          <w:lang w:eastAsia="da-DK"/>
        </w:rPr>
        <w:t xml:space="preserve"> Generaliseret tremor, anfald.</w:t>
      </w:r>
    </w:p>
    <w:p w:rsidR="00E24BC3" w:rsidRDefault="00E24BC3" w:rsidP="00E24BC3">
      <w:pPr>
        <w:tabs>
          <w:tab w:val="left" w:pos="851"/>
        </w:tabs>
        <w:ind w:left="851"/>
        <w:rPr>
          <w:sz w:val="24"/>
          <w:szCs w:val="24"/>
        </w:rPr>
      </w:pPr>
    </w:p>
    <w:p w:rsidR="00E24BC3" w:rsidRDefault="00E24BC3" w:rsidP="00E24BC3">
      <w:pPr>
        <w:tabs>
          <w:tab w:val="left" w:pos="851"/>
        </w:tabs>
        <w:ind w:left="851"/>
        <w:rPr>
          <w:sz w:val="24"/>
          <w:szCs w:val="24"/>
        </w:rPr>
      </w:pPr>
      <w:r>
        <w:rPr>
          <w:sz w:val="24"/>
          <w:szCs w:val="24"/>
        </w:rPr>
        <w:t>Hæmodialyse og hydrering kan være gavnligt til at sænke blodplasmaniveauer hos patienter, der får en overdosis valganciclovir (se pkt. 5.2).</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4.10</w:t>
      </w:r>
      <w:r w:rsidRPr="00C84483">
        <w:rPr>
          <w:b/>
          <w:sz w:val="24"/>
          <w:szCs w:val="24"/>
        </w:rPr>
        <w:tab/>
        <w:t>Udlevering</w:t>
      </w:r>
    </w:p>
    <w:p w:rsidR="00E24BC3" w:rsidRPr="00C84483" w:rsidRDefault="00E24BC3" w:rsidP="00E24BC3">
      <w:pPr>
        <w:tabs>
          <w:tab w:val="left" w:pos="851"/>
        </w:tabs>
        <w:ind w:left="851"/>
        <w:rPr>
          <w:sz w:val="24"/>
          <w:szCs w:val="24"/>
        </w:rPr>
      </w:pPr>
      <w:r>
        <w:rPr>
          <w:sz w:val="24"/>
          <w:szCs w:val="24"/>
        </w:rPr>
        <w:t>BEGR (kun til sygehuse)</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E24BC3" w:rsidRPr="006D0ED0"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ATC-kode: J</w:t>
      </w:r>
      <w:r>
        <w:rPr>
          <w:rFonts w:eastAsiaTheme="minorEastAsia"/>
          <w:spacing w:val="-3"/>
          <w:sz w:val="24"/>
          <w:szCs w:val="24"/>
          <w:lang w:eastAsia="da-DK"/>
        </w:rPr>
        <w:t xml:space="preserve"> </w:t>
      </w:r>
      <w:r w:rsidRPr="00C20294">
        <w:rPr>
          <w:rFonts w:eastAsiaTheme="minorEastAsia"/>
          <w:spacing w:val="-3"/>
          <w:sz w:val="24"/>
          <w:szCs w:val="24"/>
          <w:lang w:eastAsia="da-DK"/>
        </w:rPr>
        <w:t>05</w:t>
      </w:r>
      <w:r>
        <w:rPr>
          <w:rFonts w:eastAsiaTheme="minorEastAsia"/>
          <w:spacing w:val="-3"/>
          <w:sz w:val="24"/>
          <w:szCs w:val="24"/>
          <w:lang w:eastAsia="da-DK"/>
        </w:rPr>
        <w:t xml:space="preserve"> A</w:t>
      </w:r>
      <w:r w:rsidRPr="00C20294">
        <w:rPr>
          <w:rFonts w:eastAsiaTheme="minorEastAsia"/>
          <w:spacing w:val="-3"/>
          <w:sz w:val="24"/>
          <w:szCs w:val="24"/>
          <w:lang w:eastAsia="da-DK"/>
        </w:rPr>
        <w:t>B</w:t>
      </w:r>
      <w:r>
        <w:rPr>
          <w:rFonts w:eastAsiaTheme="minorEastAsia"/>
          <w:spacing w:val="-3"/>
          <w:sz w:val="24"/>
          <w:szCs w:val="24"/>
          <w:lang w:eastAsia="da-DK"/>
        </w:rPr>
        <w:t xml:space="preserve"> </w:t>
      </w:r>
      <w:r w:rsidRPr="00C20294">
        <w:rPr>
          <w:rFonts w:eastAsiaTheme="minorEastAsia"/>
          <w:spacing w:val="-3"/>
          <w:sz w:val="24"/>
          <w:szCs w:val="24"/>
          <w:lang w:eastAsia="da-DK"/>
        </w:rPr>
        <w:t>14.</w:t>
      </w:r>
      <w:r>
        <w:rPr>
          <w:rFonts w:eastAsiaTheme="minorEastAsia"/>
          <w:spacing w:val="-3"/>
          <w:sz w:val="24"/>
          <w:szCs w:val="24"/>
          <w:lang w:eastAsia="da-DK"/>
        </w:rPr>
        <w:t xml:space="preserve"> </w:t>
      </w:r>
      <w:r w:rsidRPr="00C20294">
        <w:rPr>
          <w:rFonts w:eastAsiaTheme="minorEastAsia"/>
          <w:spacing w:val="-3"/>
          <w:sz w:val="24"/>
          <w:szCs w:val="24"/>
          <w:lang w:eastAsia="da-DK"/>
        </w:rPr>
        <w:t>Antivirale midler, nukleosider og nukleotider ekskl. reverse transcriptase-hæmmere</w:t>
      </w:r>
      <w:r>
        <w:rPr>
          <w:rFonts w:eastAsiaTheme="minorEastAsia"/>
          <w:spacing w:val="-3"/>
          <w:sz w:val="24"/>
          <w:szCs w:val="24"/>
          <w:lang w:eastAsia="da-DK"/>
        </w:rPr>
        <w:t>.</w:t>
      </w:r>
    </w:p>
    <w:p w:rsidR="00E24BC3" w:rsidRPr="00C84483" w:rsidRDefault="00E24BC3" w:rsidP="00E24BC3">
      <w:pPr>
        <w:tabs>
          <w:tab w:val="left" w:pos="851"/>
        </w:tabs>
        <w:ind w:left="851"/>
        <w:rPr>
          <w:sz w:val="24"/>
          <w:szCs w:val="24"/>
        </w:rPr>
      </w:pPr>
    </w:p>
    <w:p w:rsidR="00E24BC3" w:rsidRPr="00C84483" w:rsidRDefault="00E24BC3" w:rsidP="00E24BC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24BC3" w:rsidRPr="00C20294" w:rsidRDefault="00E24BC3" w:rsidP="00E24BC3">
      <w:pPr>
        <w:ind w:left="851"/>
        <w:rPr>
          <w:rFonts w:eastAsiaTheme="minorEastAsia"/>
          <w:sz w:val="24"/>
          <w:szCs w:val="24"/>
          <w:lang w:eastAsia="da-DK"/>
        </w:rPr>
      </w:pPr>
    </w:p>
    <w:p w:rsidR="00E24BC3" w:rsidRPr="00C431B7" w:rsidRDefault="00E24BC3" w:rsidP="00E24BC3">
      <w:pPr>
        <w:ind w:left="851"/>
        <w:rPr>
          <w:rFonts w:eastAsiaTheme="minorEastAsia"/>
          <w:b/>
          <w:iCs/>
          <w:spacing w:val="-3"/>
          <w:sz w:val="24"/>
          <w:szCs w:val="24"/>
          <w:lang w:eastAsia="da-DK"/>
        </w:rPr>
      </w:pPr>
      <w:r w:rsidRPr="00C431B7">
        <w:rPr>
          <w:rFonts w:eastAsiaTheme="minorEastAsia"/>
          <w:b/>
          <w:spacing w:val="-3"/>
          <w:sz w:val="24"/>
          <w:szCs w:val="24"/>
          <w:lang w:eastAsia="da-DK"/>
        </w:rPr>
        <w:t>Virkningsmekanisme</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Valganciclovir er en L-valylester (prodrug) af ganciclovir. Efter oral administration metaboliseres valganciclovir hurtigt og ekstensivt til ganciclovir af intestinale og hepatiske esteraser. Ganciclovir er en syntetisk analog til 2’-deoxiguanosin og hæmmer replikation af herpes vira</w:t>
      </w:r>
      <w:r w:rsidRPr="00C20294">
        <w:rPr>
          <w:rFonts w:eastAsiaTheme="minorEastAsia"/>
          <w:i/>
          <w:spacing w:val="-3"/>
          <w:sz w:val="24"/>
          <w:szCs w:val="24"/>
          <w:lang w:eastAsia="da-DK"/>
        </w:rPr>
        <w:t xml:space="preserve"> in vitro</w:t>
      </w:r>
      <w:r w:rsidRPr="00C20294">
        <w:rPr>
          <w:rFonts w:eastAsiaTheme="minorEastAsia"/>
          <w:spacing w:val="-3"/>
          <w:sz w:val="24"/>
          <w:szCs w:val="24"/>
          <w:lang w:eastAsia="da-DK"/>
        </w:rPr>
        <w:t xml:space="preserve"> og </w:t>
      </w:r>
      <w:r w:rsidRPr="00C20294">
        <w:rPr>
          <w:rFonts w:eastAsiaTheme="minorEastAsia"/>
          <w:i/>
          <w:spacing w:val="-3"/>
          <w:sz w:val="24"/>
          <w:szCs w:val="24"/>
          <w:lang w:eastAsia="da-DK"/>
        </w:rPr>
        <w:t>in vivo</w:t>
      </w:r>
      <w:r w:rsidRPr="00C20294">
        <w:rPr>
          <w:rFonts w:eastAsiaTheme="minorEastAsia"/>
          <w:spacing w:val="-3"/>
          <w:sz w:val="24"/>
          <w:szCs w:val="24"/>
          <w:lang w:eastAsia="da-DK"/>
        </w:rPr>
        <w:t xml:space="preserve">. Følsomme humane vira inkluderer human cytomegalovirus </w:t>
      </w:r>
      <w:r w:rsidRPr="00C20294">
        <w:rPr>
          <w:rFonts w:eastAsiaTheme="minorEastAsia"/>
          <w:spacing w:val="-3"/>
          <w:sz w:val="24"/>
          <w:szCs w:val="24"/>
          <w:lang w:eastAsia="da-DK"/>
        </w:rPr>
        <w:lastRenderedPageBreak/>
        <w:t>(HCMV), herpes simplex virus-1 og -2 (HSV-1 og HSV-2), human herpes virus-6, -7 og -8 (HHV-6, HHV-7, HHV-8), Epstein-Barr virus (EBV), varicella-zoster virus (VZV) og hepatitis B virus (HBV).</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I CMV-inficerede celler phosphoryleres ganciclovir først til ganciclovirmonophosphat af viral proteinkinase, pUL97. Yderligere phosphorylering sker ved hjælp af cellulære kinaser til ganciclovirtri-phosphat, som derefter langsomt metaboliseres intracellulært. Det er vist, at triphosphat metabolismen finder sted i HSV- og HCMV- inficerede celler med halveringstider på hhv. 18 timer og mellem 6 og 24 timer, efter fjernelsen af ekstracellulært ganciclovir. Da phosphoryleringen overvejende afhænger af viral kinase, sker phosphoryleringen af ganciclovir fortrinsvis i virusinficerede celler.</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Ganciclovirs virustatiske aktivitet skyldes hæmning af den virale DNA-syntese gennem: (a) kompetitiv hæmning af inkorporering af deoxyguanosin-triphosphat i DNA af viral DNA polymerase, og (b) inkorporering af ganciclovirtriphosphat i viral DNA, som fører til stop af eller meget begrænset yderligere DNA-forlængelse.</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u w:val="single"/>
          <w:lang w:eastAsia="da-DK"/>
        </w:rPr>
      </w:pPr>
      <w:r w:rsidRPr="00C20294">
        <w:rPr>
          <w:rFonts w:eastAsiaTheme="minorEastAsia"/>
          <w:spacing w:val="-3"/>
          <w:sz w:val="24"/>
          <w:szCs w:val="24"/>
          <w:u w:val="single"/>
          <w:lang w:eastAsia="da-DK"/>
        </w:rPr>
        <w:t>Antiviral aktivitet</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 xml:space="preserve">Den anti-virale aktivitet </w:t>
      </w:r>
      <w:r w:rsidRPr="00C20294">
        <w:rPr>
          <w:rFonts w:eastAsiaTheme="minorEastAsia"/>
          <w:i/>
          <w:spacing w:val="-3"/>
          <w:sz w:val="24"/>
          <w:szCs w:val="24"/>
          <w:lang w:eastAsia="da-DK"/>
        </w:rPr>
        <w:t>in-vitro</w:t>
      </w:r>
      <w:r w:rsidRPr="00C20294">
        <w:rPr>
          <w:rFonts w:eastAsiaTheme="minorEastAsia"/>
          <w:spacing w:val="-3"/>
          <w:sz w:val="24"/>
          <w:szCs w:val="24"/>
          <w:lang w:eastAsia="da-DK"/>
        </w:rPr>
        <w:t>, bestemt som IC50 for ganciclovir, overfor CMV er mellem 0,08 µM (0,02 µg/ml) og 14 µM (3,5 µg/ml).</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 xml:space="preserve">Den kliniske antivirale effekt af valganciclovir er blevet påvist i behandlingen af AIDS-patienter med nylig diagnosticeret CMV-retinitis. Hos patienterne var CMV-spredningen faldet i urin fra 46 % (32/69) ved studiets begyndelse til 7 % (4/55) efter 4 ugers behandling med valganciclovir. </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431B7" w:rsidRDefault="00E24BC3" w:rsidP="00E24BC3">
      <w:pPr>
        <w:ind w:left="851"/>
        <w:rPr>
          <w:rFonts w:eastAsiaTheme="minorEastAsia"/>
          <w:b/>
          <w:iCs/>
          <w:spacing w:val="-3"/>
          <w:sz w:val="24"/>
          <w:szCs w:val="24"/>
          <w:lang w:eastAsia="da-DK"/>
        </w:rPr>
      </w:pPr>
      <w:r w:rsidRPr="00C431B7">
        <w:rPr>
          <w:rFonts w:eastAsiaTheme="minorEastAsia"/>
          <w:b/>
          <w:spacing w:val="-3"/>
          <w:sz w:val="24"/>
          <w:szCs w:val="24"/>
          <w:lang w:eastAsia="da-DK"/>
        </w:rPr>
        <w:t>Klinisk virkning og sikkerhed</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u w:val="single"/>
          <w:lang w:eastAsia="da-DK"/>
        </w:rPr>
      </w:pPr>
      <w:r w:rsidRPr="00C20294">
        <w:rPr>
          <w:rFonts w:eastAsiaTheme="minorEastAsia"/>
          <w:spacing w:val="-3"/>
          <w:sz w:val="24"/>
          <w:szCs w:val="24"/>
          <w:u w:val="single"/>
          <w:lang w:eastAsia="da-DK"/>
        </w:rPr>
        <w:t>Voksne patienter</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Pr>
          <w:rFonts w:eastAsiaTheme="minorEastAsia"/>
          <w:i/>
          <w:spacing w:val="-3"/>
          <w:sz w:val="24"/>
          <w:szCs w:val="24"/>
          <w:lang w:eastAsia="da-DK"/>
        </w:rPr>
        <w:t>Behandling af CMV- retinitis</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I et studie randomiseredes patienter med nydiagnosticeret CMV-retinitis til induktionsbehandling med enten valganciclovir 900 mg to gange daglig eller intravenøs ganciclovir 5 mg/kg to gange daglig. Antallet af patienter med fotografisk progression af CMV-retinitis efter 4 uger var sammenlignelig i begge grupper, 7/70 og 7/71 patienter progredierede i hhv. den intravenøse ganciclovirgruppe og i valganciclovirgruppen.</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Efter induktionsbehandling fik alle patienter i dette studie vedligeholdelsesbehandling med valganciclovir 900 mg en gang daglig. Den gennemsnitlige (mediane) tid fra randomisering til progression af CMV-retinitis i gruppen, som fik induktions- og vedligeholdelsesbehandling med valganciclovir var 226 (160) dage og i gruppen, der fik induktionsbehandling med intravenøs ganciclovir og vedligeholdelsesbehandling med valganciclovir var den 219 (125) dage.</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i/>
          <w:spacing w:val="-3"/>
          <w:sz w:val="24"/>
          <w:szCs w:val="24"/>
          <w:lang w:eastAsia="da-DK"/>
        </w:rPr>
        <w:t>Forebyggelse af</w:t>
      </w:r>
      <w:r>
        <w:rPr>
          <w:rFonts w:eastAsiaTheme="minorEastAsia"/>
          <w:i/>
          <w:spacing w:val="-3"/>
          <w:sz w:val="24"/>
          <w:szCs w:val="24"/>
          <w:lang w:eastAsia="da-DK"/>
        </w:rPr>
        <w:t xml:space="preserve"> CMV-sygdom ved transplantation</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 xml:space="preserve">Et dobbelt-blindet, dobbelt-placebo klinisk aktiv komparatorstudie er blevet udført på hjerte-, lever- og nyretransplanterede patienter (lunge- og gastro-intestinaltransplanterede patienter var ikke inkluderet i dette studie) med høj risiko for CMV-sygdom (D+/R-), som fik enten valganciclovir (900 mg en gang daglig) eller oral ganciclovir (1.000 mg tre gange daglig) med start af behandling indenfor 10 dage efter transplantationen og behandlingen varer indtil 100 dage efter transplantationen. Hyppigheden af CMV-sygdom (CMV-syndrom + vævsinvasiv </w:t>
      </w:r>
      <w:r w:rsidRPr="00C20294">
        <w:rPr>
          <w:rFonts w:eastAsiaTheme="minorEastAsia"/>
          <w:spacing w:val="-3"/>
          <w:sz w:val="24"/>
          <w:szCs w:val="24"/>
          <w:lang w:eastAsia="da-DK"/>
        </w:rPr>
        <w:lastRenderedPageBreak/>
        <w:t>sygdom) i løbet af de første 6 måneder efter transplantationen var 12,1 % i valganciclovir-armen (n= 239) sammenlignet med 15,2 % i armen med oral ganciclovir (n= 125). Størstedelen af tilfældene forekom efter ophør med forebyggelsen (efter dag 100 efter transplantationen). Tilfælde i valganciclovir-armen forekom i gennemsnit senere end i armen med oral ganciclovir. Hyppigheden af akut afstødning i løbet af de første 6 måneder var 29,7 % hos patienter randomiseret til valganciclovir sammenlignet med 36,0 % i armen med oral ganciclovir. Hyppigheden for tab af transplantatet er ækvivalente og forekommer med 0,8 % i hver arm.</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Et dobbeltblindet, placebokontrolleret studie blev udført hos 326 nyretransplanterede patienter med høj risiko for CMV-sygdom (D+/R-) for at vurdere virkning og sikkerhed ved forlængelse af CMV-profylakse med valganciclovir fra 100 til 200 dage efter transplantationen. Patienterne blev randomiseret (1:1) til at få valganciclovir-tabletter (900 mg en gang daglig) inden for 10 dage efter transplantationen indtil enten dag 200 efter transplantationen eller dag 100 efter transplantationen efterfulgt af placebo i 100 dage.</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Andelen af patienter, som udviklede CMV-sygdom i løbet af de første 12 måneder efter transplantationen, er vist i nedenstående tabel.</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431B7" w:rsidRDefault="00E24BC3" w:rsidP="00E24BC3">
      <w:pPr>
        <w:autoSpaceDE w:val="0"/>
        <w:autoSpaceDN w:val="0"/>
        <w:adjustRightInd w:val="0"/>
        <w:ind w:left="851"/>
        <w:rPr>
          <w:rFonts w:eastAsiaTheme="minorEastAsia"/>
          <w:iCs/>
          <w:spacing w:val="-3"/>
          <w:sz w:val="24"/>
          <w:szCs w:val="24"/>
          <w:u w:val="single"/>
          <w:lang w:eastAsia="da-DK"/>
        </w:rPr>
      </w:pPr>
      <w:r w:rsidRPr="00C431B7">
        <w:rPr>
          <w:rFonts w:eastAsiaTheme="minorEastAsia"/>
          <w:spacing w:val="-3"/>
          <w:sz w:val="24"/>
          <w:szCs w:val="24"/>
          <w:u w:val="single"/>
          <w:lang w:eastAsia="da-DK"/>
        </w:rPr>
        <w:t>Procentdel af nyretransplanterede patienter med CMV-sygdom</w:t>
      </w:r>
      <w:r w:rsidRPr="00C431B7">
        <w:rPr>
          <w:rFonts w:eastAsiaTheme="minorEastAsia"/>
          <w:spacing w:val="-3"/>
          <w:sz w:val="24"/>
          <w:szCs w:val="24"/>
          <w:u w:val="single"/>
          <w:vertAlign w:val="superscript"/>
          <w:lang w:eastAsia="da-DK"/>
        </w:rPr>
        <w:t>1</w:t>
      </w:r>
      <w:r w:rsidRPr="00C431B7">
        <w:rPr>
          <w:rFonts w:eastAsiaTheme="minorEastAsia"/>
          <w:spacing w:val="-3"/>
          <w:sz w:val="24"/>
          <w:szCs w:val="24"/>
          <w:u w:val="single"/>
          <w:lang w:eastAsia="da-DK"/>
        </w:rPr>
        <w:t>, 12 måneder ITT population</w:t>
      </w:r>
      <w:r w:rsidRPr="00C431B7">
        <w:rPr>
          <w:rFonts w:eastAsiaTheme="minorEastAsia"/>
          <w:spacing w:val="-3"/>
          <w:sz w:val="24"/>
          <w:szCs w:val="24"/>
          <w:u w:val="single"/>
          <w:vertAlign w:val="superscript"/>
          <w:lang w:eastAsia="da-DK"/>
        </w:rPr>
        <w:t>A</w:t>
      </w:r>
    </w:p>
    <w:p w:rsidR="00E24BC3" w:rsidRPr="00C20294" w:rsidRDefault="00E24BC3" w:rsidP="00E24BC3">
      <w:pPr>
        <w:autoSpaceDE w:val="0"/>
        <w:autoSpaceDN w:val="0"/>
        <w:adjustRightInd w:val="0"/>
        <w:ind w:left="851"/>
        <w:rPr>
          <w:rFonts w:eastAsiaTheme="minorEastAsia"/>
          <w:iCs/>
          <w:spacing w:val="-3"/>
          <w:sz w:val="24"/>
          <w:szCs w:val="24"/>
          <w:lang w:eastAsia="da-DK"/>
        </w:rPr>
      </w:pPr>
    </w:p>
    <w:tbl>
      <w:tblPr>
        <w:tblStyle w:val="Tabel-Gitter"/>
        <w:tblW w:w="9865" w:type="dxa"/>
        <w:tblLook w:val="04A0" w:firstRow="1" w:lastRow="0" w:firstColumn="1" w:lastColumn="0" w:noHBand="0" w:noVBand="1"/>
      </w:tblPr>
      <w:tblGrid>
        <w:gridCol w:w="2830"/>
        <w:gridCol w:w="2345"/>
        <w:gridCol w:w="2345"/>
        <w:gridCol w:w="2345"/>
      </w:tblGrid>
      <w:tr w:rsidR="00E24BC3" w:rsidRPr="00C431B7" w:rsidTr="003B4BCE">
        <w:trPr>
          <w:trHeight w:val="605"/>
        </w:trPr>
        <w:tc>
          <w:tcPr>
            <w:tcW w:w="2830" w:type="dxa"/>
          </w:tcPr>
          <w:p w:rsidR="00E24BC3" w:rsidRPr="00C431B7" w:rsidRDefault="00E24BC3" w:rsidP="003B4BCE">
            <w:pPr>
              <w:autoSpaceDE w:val="0"/>
              <w:autoSpaceDN w:val="0"/>
              <w:adjustRightInd w:val="0"/>
              <w:spacing w:line="276" w:lineRule="auto"/>
              <w:ind w:left="29"/>
              <w:rPr>
                <w:rFonts w:ascii="Times New Roman" w:hAnsi="Times New Roman"/>
                <w:iCs/>
                <w:spacing w:val="-3"/>
                <w:sz w:val="22"/>
                <w:lang w:eastAsia="da-DK"/>
              </w:rPr>
            </w:pP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Valganciclovir 900 mg en gang daglig 100 dage (N=163)</w:t>
            </w: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Valganciclovir 900 mg en gang daglig 200 dage (N=155)</w:t>
            </w: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Forskel mellem behandlingsgrupper</w:t>
            </w:r>
          </w:p>
        </w:tc>
      </w:tr>
      <w:tr w:rsidR="00E24BC3" w:rsidRPr="00C431B7" w:rsidTr="003B4BCE">
        <w:tc>
          <w:tcPr>
            <w:tcW w:w="2830" w:type="dxa"/>
          </w:tcPr>
          <w:p w:rsidR="00E24BC3" w:rsidRPr="00C431B7" w:rsidRDefault="00E24BC3" w:rsidP="003B4BCE">
            <w:pPr>
              <w:autoSpaceDE w:val="0"/>
              <w:autoSpaceDN w:val="0"/>
              <w:adjustRightInd w:val="0"/>
              <w:spacing w:line="276" w:lineRule="auto"/>
              <w:ind w:left="29"/>
              <w:rPr>
                <w:rFonts w:ascii="Times New Roman" w:hAnsi="Times New Roman"/>
                <w:iCs/>
                <w:spacing w:val="-3"/>
                <w:sz w:val="22"/>
                <w:lang w:eastAsia="da-DK"/>
              </w:rPr>
            </w:pPr>
            <w:r w:rsidRPr="00C431B7">
              <w:rPr>
                <w:rFonts w:ascii="Times New Roman" w:hAnsi="Times New Roman"/>
                <w:spacing w:val="-3"/>
                <w:sz w:val="22"/>
                <w:lang w:eastAsia="da-DK"/>
              </w:rPr>
              <w:t>Patienter med bekræftet eller formodet CMV-sygdom</w:t>
            </w:r>
            <w:r w:rsidRPr="00C431B7">
              <w:rPr>
                <w:rFonts w:ascii="Times New Roman" w:hAnsi="Times New Roman"/>
                <w:spacing w:val="-3"/>
                <w:sz w:val="22"/>
                <w:vertAlign w:val="superscript"/>
                <w:lang w:eastAsia="da-DK"/>
              </w:rPr>
              <w:t>2</w:t>
            </w: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71 (43,6 %)</w:t>
            </w:r>
          </w:p>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[35,8 %; 51,5 %]</w:t>
            </w: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36 (23,2 %)</w:t>
            </w:r>
          </w:p>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[16,8 %; 30,7 %]</w:t>
            </w: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20,3 %</w:t>
            </w:r>
          </w:p>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[9,9 %; 30,8 %]</w:t>
            </w:r>
          </w:p>
        </w:tc>
      </w:tr>
      <w:tr w:rsidR="00E24BC3" w:rsidRPr="00C431B7" w:rsidTr="003B4BCE">
        <w:tc>
          <w:tcPr>
            <w:tcW w:w="2830" w:type="dxa"/>
          </w:tcPr>
          <w:p w:rsidR="00E24BC3" w:rsidRPr="00C431B7" w:rsidRDefault="00E24BC3" w:rsidP="003B4BCE">
            <w:pPr>
              <w:autoSpaceDE w:val="0"/>
              <w:autoSpaceDN w:val="0"/>
              <w:adjustRightInd w:val="0"/>
              <w:spacing w:line="276" w:lineRule="auto"/>
              <w:ind w:left="29"/>
              <w:rPr>
                <w:rFonts w:ascii="Times New Roman" w:hAnsi="Times New Roman"/>
                <w:iCs/>
                <w:spacing w:val="-3"/>
                <w:sz w:val="22"/>
                <w:lang w:eastAsia="da-DK"/>
              </w:rPr>
            </w:pPr>
            <w:r w:rsidRPr="00C431B7">
              <w:rPr>
                <w:rFonts w:ascii="Times New Roman" w:hAnsi="Times New Roman"/>
                <w:spacing w:val="-3"/>
                <w:sz w:val="22"/>
                <w:lang w:eastAsia="da-DK"/>
              </w:rPr>
              <w:t>Patienter med bekræftet CMV-sygdom</w:t>
            </w: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60 (36,8 %)</w:t>
            </w:r>
          </w:p>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[29,4 %; 44,7 %]</w:t>
            </w: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25 (16,1 %)</w:t>
            </w:r>
          </w:p>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[10,7 %; 22,9 %]</w:t>
            </w:r>
          </w:p>
        </w:tc>
        <w:tc>
          <w:tcPr>
            <w:tcW w:w="2345" w:type="dxa"/>
          </w:tcPr>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20,7 %</w:t>
            </w:r>
          </w:p>
          <w:p w:rsidR="00E24BC3" w:rsidRPr="00C431B7" w:rsidRDefault="00E24BC3" w:rsidP="003B4BCE">
            <w:pPr>
              <w:autoSpaceDE w:val="0"/>
              <w:autoSpaceDN w:val="0"/>
              <w:adjustRightInd w:val="0"/>
              <w:spacing w:line="276" w:lineRule="auto"/>
              <w:rPr>
                <w:rFonts w:ascii="Times New Roman" w:hAnsi="Times New Roman"/>
                <w:iCs/>
                <w:spacing w:val="-3"/>
                <w:sz w:val="22"/>
                <w:lang w:eastAsia="da-DK"/>
              </w:rPr>
            </w:pPr>
            <w:r w:rsidRPr="00C431B7">
              <w:rPr>
                <w:rFonts w:ascii="Times New Roman" w:hAnsi="Times New Roman"/>
                <w:spacing w:val="-3"/>
                <w:sz w:val="22"/>
                <w:lang w:eastAsia="da-DK"/>
              </w:rPr>
              <w:t>[10,9 %; 30,4 %]</w:t>
            </w:r>
          </w:p>
        </w:tc>
      </w:tr>
    </w:tbl>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vertAlign w:val="superscript"/>
          <w:lang w:eastAsia="da-DK"/>
        </w:rPr>
        <w:t>1</w:t>
      </w:r>
      <w:r w:rsidRPr="00C20294">
        <w:rPr>
          <w:rFonts w:eastAsiaTheme="minorEastAsia"/>
          <w:spacing w:val="-3"/>
          <w:sz w:val="24"/>
          <w:szCs w:val="24"/>
          <w:lang w:eastAsia="da-DK"/>
        </w:rPr>
        <w:t xml:space="preserve"> CMV-sygdom er defineret som enten CMV-syndrom eller vævsinvasiv CMV.</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vertAlign w:val="superscript"/>
          <w:lang w:eastAsia="da-DK"/>
        </w:rPr>
        <w:t>2</w:t>
      </w:r>
      <w:r w:rsidRPr="00C20294">
        <w:rPr>
          <w:rFonts w:eastAsiaTheme="minorEastAsia"/>
          <w:spacing w:val="-3"/>
          <w:sz w:val="24"/>
          <w:szCs w:val="24"/>
          <w:lang w:eastAsia="da-DK"/>
        </w:rPr>
        <w:t xml:space="preserve"> Bekræftet CMV er et klinisk bekræftet tilfælde af CMV-sygdom. Patienterne blev formodet at have CMV-sygdom, hvis der ingen uge 52-vurdering og ingen bekræftelse af CMV-sygdom var før dette tidspunkt.</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vertAlign w:val="superscript"/>
          <w:lang w:eastAsia="da-DK"/>
        </w:rPr>
        <w:t>A</w:t>
      </w:r>
      <w:r w:rsidRPr="00C20294">
        <w:rPr>
          <w:rFonts w:eastAsiaTheme="minorEastAsia"/>
          <w:spacing w:val="-3"/>
          <w:sz w:val="24"/>
          <w:szCs w:val="24"/>
          <w:lang w:eastAsia="da-DK"/>
        </w:rPr>
        <w:t xml:space="preserve"> Resultaterne fundet indtil 24 måneder var på linje med resultaterne indtil 12 måneder: Bekræftet eller formodet CMV-sygdom var 48,5 % i 100 dages behandlingsarmen kontra 34,2 % i 200 dages behandlingsarmen. Forskellen mellem behandlingsgrupperne var 14,3 % [3,2 %; 25,3 %].</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Signifikant færre højrisiko nyretransplanterede patienter udviklede CMV-sygdom efter CMV-forebyggelse med valganciclovir indtil dag 200 efter transplantationen sammenlignet med patienter, som fik CMV-forebyggelse med valganciclovir indtil dag 100 efter transplantationen.</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 xml:space="preserve">Transplantatets overlevelsesrate samt forekomsten af akut afstødning bevist ved biopsi var tilsvarende i begge behandlingsgrupper. Transplantatets overlevelsesrate 12 måneder efter transplantationen var 98,2 % (160/163) for 100 dages doseringsregimet og 98,1 % (152/155) for 200 dages doseringsregimet. Indtil 24 måneder efter transplantationen blev der rapporteret om yderligere fire tilfælde af tab af transplantat. Alle tilfælde var i 100 dages doseringsgruppen Forekomsten af akut afstødning 12 måneder efter transplantationen bevist ved biopsi var 17,2 % (28/163) for 100 dages doseringsregimet og 11,0 % (17/155) for 200 </w:t>
      </w:r>
      <w:r w:rsidRPr="00C20294">
        <w:rPr>
          <w:rFonts w:eastAsiaTheme="minorEastAsia"/>
          <w:spacing w:val="-3"/>
          <w:sz w:val="24"/>
          <w:szCs w:val="24"/>
          <w:lang w:eastAsia="da-DK"/>
        </w:rPr>
        <w:lastRenderedPageBreak/>
        <w:t>dages doseringsregimet. Indtil 24 måneder efter transplantationen blev der rapporteret om yderligere et tilfælde i 200 dages doseringsgruppen.</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b/>
          <w:iCs/>
          <w:spacing w:val="-3"/>
          <w:sz w:val="24"/>
          <w:szCs w:val="24"/>
          <w:lang w:eastAsia="da-DK"/>
        </w:rPr>
      </w:pPr>
      <w:r w:rsidRPr="00C74A9D">
        <w:rPr>
          <w:rFonts w:eastAsiaTheme="minorEastAsia"/>
          <w:b/>
          <w:spacing w:val="-3"/>
          <w:sz w:val="24"/>
          <w:szCs w:val="24"/>
          <w:lang w:eastAsia="da-DK"/>
        </w:rPr>
        <w:t>Viral resistens</w:t>
      </w:r>
    </w:p>
    <w:p w:rsidR="00E24BC3"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Der kan opstå virusresistens over for ganciclovir efter kronisk behandling med valganciclovir ved udvælgelse af mutationer i det virale kinasegen (UL97), som er ansvarlig for monophosphoryleringen af ganciclovir, og/eller det virale polymerasegen (UL54). I kliniske isolater er de hyppigst rapporterede ganciclovir-resistens-associerede substitutioner syv kanoniske UL97-udskiftninger, M460V/I, H520Q, C592G, A594V, L595S, C603W. Vira som indeholder mutationer i UL97-genet er kun resistent over for ganciclovir, mens vira med mutationer i UL54-genet er resistent over for ganciclovir, men kan vise krydsresistens over for andre antivirale stoffer, der også virker på den virale polymerase.</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iCs/>
          <w:spacing w:val="-3"/>
          <w:sz w:val="24"/>
          <w:szCs w:val="24"/>
          <w:u w:val="single"/>
          <w:lang w:eastAsia="da-DK"/>
        </w:rPr>
      </w:pPr>
      <w:r>
        <w:rPr>
          <w:rFonts w:eastAsiaTheme="minorEastAsia"/>
          <w:spacing w:val="-3"/>
          <w:sz w:val="24"/>
          <w:szCs w:val="24"/>
          <w:u w:val="single"/>
          <w:lang w:eastAsia="da-DK"/>
        </w:rPr>
        <w:t>Behandling af CMV- retinitis</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I et klinisk studie viste genotypeanalyse for CMV i polymorfnukleære leukocyt-isolater (PMNL) fra 148 patients med CMV-retinitis, at 2,2 %, 6,5 %, 12,8 %, og 15,3 % indeholder UL97-mutationer efter hhv. 3, 6, 12 og 18 måneders behandling med valganciclovir.</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iCs/>
          <w:spacing w:val="-3"/>
          <w:sz w:val="24"/>
          <w:szCs w:val="24"/>
          <w:u w:val="single"/>
          <w:lang w:eastAsia="da-DK"/>
        </w:rPr>
      </w:pPr>
      <w:r w:rsidRPr="00C74A9D">
        <w:rPr>
          <w:rFonts w:eastAsiaTheme="minorEastAsia"/>
          <w:spacing w:val="-3"/>
          <w:sz w:val="24"/>
          <w:szCs w:val="24"/>
          <w:u w:val="single"/>
          <w:lang w:eastAsia="da-DK"/>
        </w:rPr>
        <w:t>Forebyggelse af</w:t>
      </w:r>
      <w:r>
        <w:rPr>
          <w:rFonts w:eastAsiaTheme="minorEastAsia"/>
          <w:spacing w:val="-3"/>
          <w:sz w:val="24"/>
          <w:szCs w:val="24"/>
          <w:u w:val="single"/>
          <w:lang w:eastAsia="da-DK"/>
        </w:rPr>
        <w:t xml:space="preserve"> CMV-sygdom ved transplantation</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i/>
          <w:iCs/>
          <w:spacing w:val="-3"/>
          <w:sz w:val="24"/>
          <w:szCs w:val="24"/>
          <w:lang w:eastAsia="da-DK"/>
        </w:rPr>
      </w:pPr>
      <w:r w:rsidRPr="00C74A9D">
        <w:rPr>
          <w:rFonts w:eastAsiaTheme="minorEastAsia"/>
          <w:i/>
          <w:spacing w:val="-3"/>
          <w:sz w:val="24"/>
          <w:szCs w:val="24"/>
          <w:lang w:eastAsia="da-DK"/>
        </w:rPr>
        <w:t>Aktivt komparatorstudie</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Resistens blev undersøgt ved genotypeanalyse af CMV i PMNL-prøver indsamlet i) på dag 100 (slutningen af den forebyggende behandling) og ii) i tilfælde af mistænkt CMV-sygdom op til 6 måneder efter transplantationen. Fra de 245 patienter, der var randomiseret til at få valganciclovir, var der 198 prøver tilgængelige på dag 100 til analyse, og der blev ikke fundet nogen ganciclovir-resistente mutationer. Dette er sammenligneligt med 2 ganciclovir-resistente mutationer, der blev fundet i 103 prøver (1,9 %), fra patienter i komparator-armen med oral ganciclovir.</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Fra de 245 patienter, der var randomiseret til at få valganciclovir, blev prøver fra 50 patienter med mistænkt CMV-sygdom testet, og der blev ikke fundet nogen resistente mutationer. Fra de 127 patienter, der var randomiseret til ganciclovir-komparator-armen, blev prøver fra 29 patienter med mistænkt CMV-sygdom testet, og af disse blev der fundet 2 resistente mutationer, hvilket giver en resistenshyppighed på 6,9 %.</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i/>
          <w:iCs/>
          <w:spacing w:val="-3"/>
          <w:sz w:val="24"/>
          <w:szCs w:val="24"/>
          <w:lang w:eastAsia="da-DK"/>
        </w:rPr>
      </w:pPr>
      <w:r w:rsidRPr="00C74A9D">
        <w:rPr>
          <w:rFonts w:eastAsiaTheme="minorEastAsia"/>
          <w:i/>
          <w:spacing w:val="-3"/>
          <w:sz w:val="24"/>
          <w:szCs w:val="24"/>
          <w:lang w:eastAsia="da-DK"/>
        </w:rPr>
        <w:t>Studie om forlængelse af forebyggelse fra 100 dage til 200 dage efter transplantationen</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Der blev udført genotypeanalyse på UL54- og UL97-generne stammende fra virus udtaget fra 72 patienter, som opfyldte kriterierne for resistensanalyse: Patienter, som oplevede en positiv virusmængde (&gt;600 kopier/ml) ved slutningen af forebyggelsen og/eller patienter, som havde bekræftet CMV-sygdom indtil 12 måneder (52 uger) efter transplantationen. Tre patienter i hver behandlingsgruppe havde en kendt ganciclovir-resistens-mutation.</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b/>
          <w:iCs/>
          <w:spacing w:val="-3"/>
          <w:sz w:val="24"/>
          <w:szCs w:val="24"/>
          <w:lang w:eastAsia="da-DK"/>
        </w:rPr>
      </w:pPr>
      <w:r w:rsidRPr="00C74A9D">
        <w:rPr>
          <w:rFonts w:eastAsiaTheme="minorEastAsia"/>
          <w:b/>
          <w:spacing w:val="-3"/>
          <w:sz w:val="24"/>
          <w:szCs w:val="24"/>
          <w:lang w:eastAsia="da-DK"/>
        </w:rPr>
        <w:t>Pædiatrisk population</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iCs/>
          <w:spacing w:val="-3"/>
          <w:sz w:val="24"/>
          <w:szCs w:val="24"/>
          <w:u w:val="single"/>
          <w:lang w:eastAsia="da-DK"/>
        </w:rPr>
      </w:pPr>
      <w:r>
        <w:rPr>
          <w:rFonts w:eastAsiaTheme="minorEastAsia"/>
          <w:spacing w:val="-3"/>
          <w:sz w:val="24"/>
          <w:szCs w:val="24"/>
          <w:u w:val="single"/>
          <w:lang w:eastAsia="da-DK"/>
        </w:rPr>
        <w:t>Behandling af CMV- retinitis</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Det Europæiske Lægemiddelagentur har dispenseret fra kravet om at udføre undersøgelser med valganciclovir hos alle undergrupper af den pædiatriske population ved behandling af infektion som følge af CMV hos immunsvækkede patienter (se pkt. 4.2 vedr. oplysninger om pædiatrisk anvendelse).</w:t>
      </w:r>
    </w:p>
    <w:p w:rsidR="00E24BC3" w:rsidRDefault="00E24BC3" w:rsidP="00E24BC3">
      <w:pPr>
        <w:autoSpaceDE w:val="0"/>
        <w:autoSpaceDN w:val="0"/>
        <w:adjustRightInd w:val="0"/>
        <w:ind w:left="851"/>
        <w:rPr>
          <w:rFonts w:eastAsiaTheme="minorEastAsia"/>
          <w:iCs/>
          <w:spacing w:val="-3"/>
          <w:sz w:val="24"/>
          <w:szCs w:val="24"/>
          <w:lang w:eastAsia="da-DK"/>
        </w:rPr>
      </w:pPr>
    </w:p>
    <w:p w:rsidR="002A487F" w:rsidRPr="00C20294" w:rsidRDefault="002A487F"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iCs/>
          <w:spacing w:val="-3"/>
          <w:sz w:val="24"/>
          <w:szCs w:val="24"/>
          <w:u w:val="single"/>
          <w:lang w:eastAsia="da-DK"/>
        </w:rPr>
      </w:pPr>
      <w:r w:rsidRPr="00C74A9D">
        <w:rPr>
          <w:rFonts w:eastAsiaTheme="minorEastAsia"/>
          <w:spacing w:val="-3"/>
          <w:sz w:val="24"/>
          <w:szCs w:val="24"/>
          <w:u w:val="single"/>
          <w:lang w:eastAsia="da-DK"/>
        </w:rPr>
        <w:t>Forebyggelse af CMV-sygdom ved transplantation</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 xml:space="preserve">Et fase II-studie af farmakokinetik og sikkerhed hos pædiatriske organtransplantat-modtagere (i alderen 4 måneder til 16 år, n=63), som fik valganciclovir en gang daglig i op til 100 dage i henhold til en doseringsberegning, gav eksponeringer svarende til den hos voksne (se pkt. 5.2). Opfølgning efter behandling var 12 uger. CMV D/R serologi-tatus ved baseline var D+/R- i 40 %, D+/R+ i 38 %, D-/R+ i 19 % og D-/R- i 3 % af tilfældene. Tilstedeværelse af CMV-virus blev rapporteret hos 7 patienter. De observerede bivirkninger var af samme karakter som dem hos voksne (se pkt. 4.8). </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Et fase IV-studie af tolerabilitet hos pædiatriske nyretransplantat-modtagere (i alderen 1 til 16 år, n=57), som fik valganciclovir en gang daglig i op til 200 dage i henhold til doseringsberegningen (se pkt. 4.2), resulterede i en lav forekomst af CMV. Opfølgning efter behandling var 24 uger. CMV D/R serologi-tatus ved baseline var D+/R- i 45 %, D+/R+ i 39 %, D-/R+ i 7 % og ND-/R- i 2 % af tilfældene. CMV-viræmi blev rapporteret hos 3 patienter og et tilfælde af CMV-syndrom var mistænkt i en patient, men ikke bekræftet af CMV-PCR ved det centrale laboratorium. De observerede bivirkninger var af samme karakter som dem hos voksne (se pkt. 4.8).</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 xml:space="preserve">Disse data understøtter ekstrapolation af effektdata fra voksne til børn og giver doseringsanbefalinger til pædiatriske patienter. </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Et fase I-studie af farmakokinetik og sikkerhed hos hjertetransplantat-modtagere (i alderen 3 uger til 125 dage, n=14), som fik en enkeltdosis valganciclovir i henhold til den pædiatriske doseringsberegning (se pkt. 2) i to på hinanden følgende dage, gav eksponeringer svarende til dem hos voksne (se pkt. 5.2). Opfølgning efter behandling var 7 dage. Sikkerhedsprofilen var i overensstemmelse med andre pædiatriske og voksne studier, selv om patientnumre og valganciclovir-eksponering var begrænset i dette studie.</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iCs/>
          <w:spacing w:val="-3"/>
          <w:sz w:val="24"/>
          <w:szCs w:val="24"/>
          <w:u w:val="single"/>
          <w:lang w:eastAsia="da-DK"/>
        </w:rPr>
      </w:pPr>
      <w:r w:rsidRPr="00C74A9D">
        <w:rPr>
          <w:rFonts w:eastAsiaTheme="minorEastAsia"/>
          <w:spacing w:val="-3"/>
          <w:sz w:val="24"/>
          <w:szCs w:val="24"/>
          <w:u w:val="single"/>
          <w:lang w:eastAsia="da-DK"/>
        </w:rPr>
        <w:t>Medfødt CMV</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Effekten og sikkerheden af ​​ganciclovir og/eller valganciclovir blev undersøgt hos nyfødte og spædbørn med symptomatisk medfødt CMV-sygdom i to studier.</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I det første studie blev farmakokinetikken og sikkerheden af ​​en enkelt dosis af valganciclovir (dosisinterval 14-16-20 mg/kg/dosis) undersøgt hos 24 nyfødte (i alderen 8 til 34 dage) med symptomatisk medfødt CMV-sygdom (se pkt.  5.2). De nyfødte fik 6 ugers antiviral behandling, hvoraf 19 af de 24 patienter fik op til 4 ugers behandling med oral valganciclovir og i.v. ganciclovir i de resterende 2 uger. De 5 resterende patienter fik i.v. ganciclovir i det meste af studieperioden. I det andet studie blev effekten og sikkerheden af ​​seks ugers kontra seks måneders valganciclovirbehandling undersøgt hos 109 spædbørn i alderen 2 til 30 dage med symptomatisk medfødt CMV-sygdom. Alle spædbørn fik oral valganciclovir i en dosis på 16 mg/kg to gange daglig i 6 uger. Efter 6 ugers behandling blev spædbørnene randomiseret 1:1 til at fortsætte behandling med valganciclovir i den samme dosis eller modtage en tilsvarende placebo for at fuldføre 6 måneders behandling.</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74A9D"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Denne indikation anbefales i øjeblikket ikke for valganciclovir. Designet af studiet og de opnåede resultater er for begrænsede til at gøre det muligt at drage hensigtsmæssige konklusioner om effektivitet og sikkerhed for valganciclovir.</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E24BC3" w:rsidRDefault="00E24BC3" w:rsidP="00E24BC3">
      <w:pPr>
        <w:autoSpaceDE w:val="0"/>
        <w:autoSpaceDN w:val="0"/>
        <w:adjustRightInd w:val="0"/>
        <w:ind w:left="851"/>
        <w:rPr>
          <w:rFonts w:eastAsiaTheme="minorEastAsia"/>
          <w:spacing w:val="-3"/>
          <w:sz w:val="24"/>
          <w:szCs w:val="24"/>
          <w:lang w:eastAsia="da-DK"/>
        </w:rPr>
      </w:pPr>
      <w:r w:rsidRPr="00C20294">
        <w:rPr>
          <w:rFonts w:eastAsiaTheme="minorEastAsia"/>
          <w:spacing w:val="-3"/>
          <w:sz w:val="24"/>
          <w:szCs w:val="24"/>
          <w:lang w:eastAsia="da-DK"/>
        </w:rPr>
        <w:t>Valganciclovirs farmakokinetik er undersøgt hos HIV- og CMV-seropositive patienter, patienter med AIDS og CMV-retinitis og hos organtransplanterede patienter.</w:t>
      </w:r>
    </w:p>
    <w:p w:rsidR="00E24BC3" w:rsidRDefault="00E24BC3" w:rsidP="00E24BC3">
      <w:pPr>
        <w:autoSpaceDE w:val="0"/>
        <w:autoSpaceDN w:val="0"/>
        <w:adjustRightInd w:val="0"/>
        <w:ind w:left="851"/>
        <w:rPr>
          <w:rFonts w:eastAsiaTheme="minorEastAsia"/>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Efter administration af valganciclovir i doser fra 450 til 2.625 mg er der kun påvist dosisproportionalitet, med hensyn til ganciclovir AUC, efter indtagelse af føde.</w:t>
      </w:r>
    </w:p>
    <w:p w:rsidR="00E24BC3" w:rsidRPr="00C20294" w:rsidRDefault="00E24BC3" w:rsidP="00E24BC3">
      <w:pPr>
        <w:autoSpaceDE w:val="0"/>
        <w:autoSpaceDN w:val="0"/>
        <w:adjustRightInd w:val="0"/>
        <w:ind w:left="851"/>
        <w:rPr>
          <w:rFonts w:eastAsiaTheme="minorEastAsia"/>
          <w:sz w:val="24"/>
          <w:szCs w:val="24"/>
          <w:lang w:eastAsia="da-DK"/>
        </w:rPr>
      </w:pPr>
    </w:p>
    <w:p w:rsidR="00E24BC3" w:rsidRPr="00C20294" w:rsidRDefault="00E24BC3" w:rsidP="00E24BC3">
      <w:pPr>
        <w:ind w:left="851"/>
        <w:rPr>
          <w:rFonts w:eastAsiaTheme="minorEastAsia"/>
          <w:b/>
          <w:iCs/>
          <w:spacing w:val="-3"/>
          <w:sz w:val="24"/>
          <w:szCs w:val="24"/>
          <w:u w:val="single"/>
          <w:lang w:eastAsia="da-DK"/>
        </w:rPr>
      </w:pPr>
      <w:r w:rsidRPr="00C20294">
        <w:rPr>
          <w:rFonts w:eastAsiaTheme="minorEastAsia"/>
          <w:spacing w:val="-3"/>
          <w:sz w:val="24"/>
          <w:szCs w:val="24"/>
          <w:u w:val="single"/>
          <w:lang w:eastAsia="da-DK"/>
        </w:rPr>
        <w:t>Absorption</w:t>
      </w:r>
      <w:r w:rsidRPr="00C20294">
        <w:rPr>
          <w:rFonts w:eastAsiaTheme="minorEastAsia"/>
          <w:b/>
          <w:spacing w:val="-3"/>
          <w:sz w:val="24"/>
          <w:szCs w:val="24"/>
          <w:u w:val="single"/>
          <w:lang w:eastAsia="da-DK"/>
        </w:rPr>
        <w:t xml:space="preserve"> </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Valganciclovir er en prodrug til ganciclovir. Det absorberes godt fra mave-tarm-kanalen og metaboliseres hurtigt og ekstensivt i intestinalvæggen og leveren til ganciclovir. Den systemiske eksponering af valganciclovir er forbigående og ringe. Den absolutte biotilgængelighed af ganciclovir fra valganciclovir er ca. 60 % for alle de undersøgte patientpopulationer, og den resulterende eksponering overfor ganciclovir er den samme som efter intravenøs administration (se nedenfor). Til sammenligning er biotilgængeligheden af ganciclovir efter administration af 1000 mg oral ganciclovir (som kapsler) 6-8 %.</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i/>
          <w:spacing w:val="-3"/>
          <w:sz w:val="24"/>
          <w:szCs w:val="24"/>
          <w:lang w:eastAsia="da-DK"/>
        </w:rPr>
        <w:t>Valganciclovir hos HIV-p</w:t>
      </w:r>
      <w:r>
        <w:rPr>
          <w:rFonts w:eastAsiaTheme="minorEastAsia"/>
          <w:i/>
          <w:spacing w:val="-3"/>
          <w:sz w:val="24"/>
          <w:szCs w:val="24"/>
          <w:lang w:eastAsia="da-DK"/>
        </w:rPr>
        <w:t>ositive, CMV-positive patienter</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Systemisk eksponering af HIV-positive, CMV-positive patienter efter to daglige administrationer af ganciclovir og valganciclovir i en uge er:</w:t>
      </w:r>
    </w:p>
    <w:p w:rsidR="00E24BC3" w:rsidRPr="00C20294" w:rsidRDefault="00E24BC3" w:rsidP="00E24BC3">
      <w:pPr>
        <w:autoSpaceDE w:val="0"/>
        <w:autoSpaceDN w:val="0"/>
        <w:adjustRightInd w:val="0"/>
        <w:ind w:left="851"/>
        <w:rPr>
          <w:rFonts w:eastAsiaTheme="minorEastAsia"/>
          <w:iCs/>
          <w:spacing w:val="-3"/>
          <w:sz w:val="24"/>
          <w:szCs w:val="24"/>
          <w:lang w:eastAsia="da-DK"/>
        </w:rPr>
      </w:pPr>
    </w:p>
    <w:tbl>
      <w:tblPr>
        <w:tblStyle w:val="Tabel-Gitter"/>
        <w:tblW w:w="8363" w:type="dxa"/>
        <w:tblInd w:w="846" w:type="dxa"/>
        <w:tblLook w:val="04A0" w:firstRow="1" w:lastRow="0" w:firstColumn="1" w:lastColumn="0" w:noHBand="0" w:noVBand="1"/>
      </w:tblPr>
      <w:tblGrid>
        <w:gridCol w:w="1984"/>
        <w:gridCol w:w="2693"/>
        <w:gridCol w:w="2084"/>
        <w:gridCol w:w="1602"/>
      </w:tblGrid>
      <w:tr w:rsidR="00E24BC3" w:rsidRPr="00506D12" w:rsidTr="003B4BCE">
        <w:trPr>
          <w:trHeight w:val="577"/>
        </w:trPr>
        <w:tc>
          <w:tcPr>
            <w:tcW w:w="1984" w:type="dxa"/>
            <w:vMerge w:val="restart"/>
            <w:vAlign w:val="center"/>
          </w:tcPr>
          <w:p w:rsidR="00E24BC3" w:rsidRPr="00801E3D" w:rsidRDefault="00E24BC3" w:rsidP="003B4BCE">
            <w:pPr>
              <w:autoSpaceDE w:val="0"/>
              <w:autoSpaceDN w:val="0"/>
              <w:adjustRightInd w:val="0"/>
              <w:spacing w:line="276" w:lineRule="auto"/>
              <w:ind w:left="29"/>
              <w:rPr>
                <w:rFonts w:ascii="Times New Roman" w:hAnsi="Times New Roman"/>
                <w:iCs/>
                <w:spacing w:val="-3"/>
                <w:sz w:val="22"/>
                <w:lang w:eastAsia="da-DK"/>
              </w:rPr>
            </w:pPr>
            <w:r w:rsidRPr="00801E3D">
              <w:rPr>
                <w:rFonts w:ascii="Times New Roman" w:hAnsi="Times New Roman"/>
                <w:spacing w:val="-3"/>
                <w:sz w:val="22"/>
                <w:lang w:eastAsia="da-DK"/>
              </w:rPr>
              <w:t>Parameter</w:t>
            </w:r>
          </w:p>
        </w:tc>
        <w:tc>
          <w:tcPr>
            <w:tcW w:w="2693" w:type="dxa"/>
            <w:vMerge w:val="restart"/>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val="en-US" w:eastAsia="da-DK"/>
              </w:rPr>
            </w:pPr>
            <w:r w:rsidRPr="00801E3D">
              <w:rPr>
                <w:rFonts w:ascii="Times New Roman" w:hAnsi="Times New Roman"/>
                <w:spacing w:val="-3"/>
                <w:sz w:val="22"/>
                <w:lang w:val="en-US" w:eastAsia="da-DK"/>
              </w:rPr>
              <w:t>Ganciclovir (5 mg/kg, i.v.)</w:t>
            </w:r>
          </w:p>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n = 18</w:t>
            </w:r>
          </w:p>
        </w:tc>
        <w:tc>
          <w:tcPr>
            <w:tcW w:w="3686" w:type="dxa"/>
            <w:gridSpan w:val="2"/>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val="en-US" w:eastAsia="da-DK"/>
              </w:rPr>
            </w:pPr>
            <w:r w:rsidRPr="00801E3D">
              <w:rPr>
                <w:rFonts w:ascii="Times New Roman" w:hAnsi="Times New Roman"/>
                <w:spacing w:val="-3"/>
                <w:sz w:val="22"/>
                <w:lang w:val="en-US" w:eastAsia="da-DK"/>
              </w:rPr>
              <w:t>Valganciclovir (900 mg, p.o.)</w:t>
            </w:r>
          </w:p>
          <w:p w:rsidR="00E24BC3" w:rsidRPr="00801E3D" w:rsidRDefault="00E24BC3" w:rsidP="003B4BCE">
            <w:pPr>
              <w:autoSpaceDE w:val="0"/>
              <w:autoSpaceDN w:val="0"/>
              <w:adjustRightInd w:val="0"/>
              <w:spacing w:line="276" w:lineRule="auto"/>
              <w:ind w:left="63"/>
              <w:rPr>
                <w:rFonts w:ascii="Times New Roman" w:hAnsi="Times New Roman"/>
                <w:iCs/>
                <w:spacing w:val="-3"/>
                <w:sz w:val="22"/>
                <w:lang w:val="en-US" w:eastAsia="da-DK"/>
              </w:rPr>
            </w:pPr>
            <w:r w:rsidRPr="00801E3D">
              <w:rPr>
                <w:rFonts w:ascii="Times New Roman" w:hAnsi="Times New Roman"/>
                <w:spacing w:val="-3"/>
                <w:sz w:val="22"/>
                <w:lang w:val="en-US" w:eastAsia="da-DK"/>
              </w:rPr>
              <w:t>n = 25</w:t>
            </w:r>
          </w:p>
        </w:tc>
      </w:tr>
      <w:tr w:rsidR="00E24BC3" w:rsidRPr="00801E3D" w:rsidTr="003B4BCE">
        <w:trPr>
          <w:trHeight w:val="359"/>
        </w:trPr>
        <w:tc>
          <w:tcPr>
            <w:tcW w:w="1984" w:type="dxa"/>
            <w:vMerge/>
            <w:vAlign w:val="center"/>
          </w:tcPr>
          <w:p w:rsidR="00E24BC3" w:rsidRPr="00801E3D" w:rsidRDefault="00E24BC3" w:rsidP="003B4BCE">
            <w:pPr>
              <w:autoSpaceDE w:val="0"/>
              <w:autoSpaceDN w:val="0"/>
              <w:adjustRightInd w:val="0"/>
              <w:spacing w:line="276" w:lineRule="auto"/>
              <w:ind w:left="29"/>
              <w:rPr>
                <w:rFonts w:ascii="Times New Roman" w:hAnsi="Times New Roman"/>
                <w:iCs/>
                <w:spacing w:val="-3"/>
                <w:sz w:val="22"/>
                <w:lang w:val="en-US" w:eastAsia="da-DK"/>
              </w:rPr>
            </w:pPr>
          </w:p>
        </w:tc>
        <w:tc>
          <w:tcPr>
            <w:tcW w:w="2693" w:type="dxa"/>
            <w:vMerge/>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val="en-US" w:eastAsia="da-DK"/>
              </w:rPr>
            </w:pPr>
          </w:p>
        </w:tc>
        <w:tc>
          <w:tcPr>
            <w:tcW w:w="2084" w:type="dxa"/>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Ganciclovir</w:t>
            </w:r>
          </w:p>
        </w:tc>
        <w:tc>
          <w:tcPr>
            <w:tcW w:w="1602" w:type="dxa"/>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Valganciclovir</w:t>
            </w:r>
          </w:p>
        </w:tc>
      </w:tr>
      <w:tr w:rsidR="00E24BC3" w:rsidRPr="00801E3D" w:rsidTr="003B4BCE">
        <w:trPr>
          <w:trHeight w:val="330"/>
        </w:trPr>
        <w:tc>
          <w:tcPr>
            <w:tcW w:w="1984" w:type="dxa"/>
            <w:vAlign w:val="center"/>
          </w:tcPr>
          <w:p w:rsidR="00E24BC3" w:rsidRPr="00801E3D" w:rsidRDefault="00E24BC3" w:rsidP="003B4BCE">
            <w:pPr>
              <w:autoSpaceDE w:val="0"/>
              <w:autoSpaceDN w:val="0"/>
              <w:adjustRightInd w:val="0"/>
              <w:spacing w:line="276" w:lineRule="auto"/>
              <w:ind w:left="29"/>
              <w:rPr>
                <w:rFonts w:ascii="Times New Roman" w:hAnsi="Times New Roman"/>
                <w:iCs/>
                <w:spacing w:val="-3"/>
                <w:sz w:val="22"/>
                <w:lang w:eastAsia="da-DK"/>
              </w:rPr>
            </w:pPr>
            <w:r w:rsidRPr="00801E3D">
              <w:rPr>
                <w:rFonts w:ascii="Times New Roman" w:hAnsi="Times New Roman"/>
                <w:spacing w:val="-3"/>
                <w:sz w:val="22"/>
                <w:lang w:eastAsia="da-DK"/>
              </w:rPr>
              <w:t>AUC (0 - 12 timer) (μg.time/ml)</w:t>
            </w:r>
          </w:p>
        </w:tc>
        <w:tc>
          <w:tcPr>
            <w:tcW w:w="2693" w:type="dxa"/>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28,6 ± 9,0</w:t>
            </w:r>
          </w:p>
        </w:tc>
        <w:tc>
          <w:tcPr>
            <w:tcW w:w="2084" w:type="dxa"/>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32,8 ± 10,1</w:t>
            </w:r>
          </w:p>
        </w:tc>
        <w:tc>
          <w:tcPr>
            <w:tcW w:w="1602" w:type="dxa"/>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0,37 ± 0,22</w:t>
            </w:r>
          </w:p>
        </w:tc>
      </w:tr>
      <w:tr w:rsidR="00E24BC3" w:rsidRPr="00801E3D" w:rsidTr="003B4BCE">
        <w:trPr>
          <w:trHeight w:val="330"/>
        </w:trPr>
        <w:tc>
          <w:tcPr>
            <w:tcW w:w="1984" w:type="dxa"/>
            <w:vAlign w:val="center"/>
          </w:tcPr>
          <w:p w:rsidR="00E24BC3" w:rsidRPr="00801E3D" w:rsidRDefault="00E24BC3" w:rsidP="003B4BCE">
            <w:pPr>
              <w:autoSpaceDE w:val="0"/>
              <w:autoSpaceDN w:val="0"/>
              <w:adjustRightInd w:val="0"/>
              <w:spacing w:line="276" w:lineRule="auto"/>
              <w:ind w:left="29"/>
              <w:rPr>
                <w:rFonts w:ascii="Times New Roman" w:hAnsi="Times New Roman"/>
                <w:iCs/>
                <w:spacing w:val="-3"/>
                <w:sz w:val="22"/>
                <w:lang w:eastAsia="da-DK"/>
              </w:rPr>
            </w:pPr>
            <w:r w:rsidRPr="00801E3D">
              <w:rPr>
                <w:rFonts w:ascii="Times New Roman" w:hAnsi="Times New Roman"/>
                <w:spacing w:val="-3"/>
                <w:sz w:val="22"/>
                <w:lang w:eastAsia="da-DK"/>
              </w:rPr>
              <w:t>C</w:t>
            </w:r>
            <w:r w:rsidRPr="00801E3D">
              <w:rPr>
                <w:rFonts w:ascii="Times New Roman" w:hAnsi="Times New Roman"/>
                <w:spacing w:val="-3"/>
                <w:sz w:val="22"/>
                <w:vertAlign w:val="subscript"/>
                <w:lang w:eastAsia="da-DK"/>
              </w:rPr>
              <w:t>max</w:t>
            </w:r>
            <w:r w:rsidRPr="00801E3D">
              <w:rPr>
                <w:rFonts w:ascii="Times New Roman" w:hAnsi="Times New Roman"/>
                <w:spacing w:val="-3"/>
                <w:sz w:val="22"/>
                <w:lang w:eastAsia="da-DK"/>
              </w:rPr>
              <w:t xml:space="preserve"> (μg/ml)</w:t>
            </w:r>
          </w:p>
        </w:tc>
        <w:tc>
          <w:tcPr>
            <w:tcW w:w="2693" w:type="dxa"/>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10,4 ± 4,9</w:t>
            </w:r>
          </w:p>
        </w:tc>
        <w:tc>
          <w:tcPr>
            <w:tcW w:w="2084" w:type="dxa"/>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6,7 ± 2,1</w:t>
            </w:r>
          </w:p>
        </w:tc>
        <w:tc>
          <w:tcPr>
            <w:tcW w:w="1602" w:type="dxa"/>
            <w:vAlign w:val="center"/>
          </w:tcPr>
          <w:p w:rsidR="00E24BC3" w:rsidRPr="00801E3D" w:rsidRDefault="00E24BC3" w:rsidP="003B4BCE">
            <w:pPr>
              <w:autoSpaceDE w:val="0"/>
              <w:autoSpaceDN w:val="0"/>
              <w:adjustRightInd w:val="0"/>
              <w:spacing w:line="276" w:lineRule="auto"/>
              <w:ind w:left="63"/>
              <w:rPr>
                <w:rFonts w:ascii="Times New Roman" w:hAnsi="Times New Roman"/>
                <w:iCs/>
                <w:spacing w:val="-3"/>
                <w:sz w:val="22"/>
                <w:lang w:eastAsia="da-DK"/>
              </w:rPr>
            </w:pPr>
            <w:r w:rsidRPr="00801E3D">
              <w:rPr>
                <w:rFonts w:ascii="Times New Roman" w:hAnsi="Times New Roman"/>
                <w:spacing w:val="-3"/>
                <w:sz w:val="22"/>
                <w:lang w:eastAsia="da-DK"/>
              </w:rPr>
              <w:t>0,18 ± 0,06</w:t>
            </w:r>
          </w:p>
        </w:tc>
      </w:tr>
    </w:tbl>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Ganciclovirs effekt med hensyn til at øge tiden indtil progression af CMV-retinitis har vist sig at korrelere med den systemiske eksponering (AUC).</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i/>
          <w:spacing w:val="-3"/>
          <w:sz w:val="24"/>
          <w:szCs w:val="24"/>
          <w:lang w:eastAsia="da-DK"/>
        </w:rPr>
        <w:t>Valganciclovir hos</w:t>
      </w:r>
      <w:r>
        <w:rPr>
          <w:rFonts w:eastAsiaTheme="minorEastAsia"/>
          <w:i/>
          <w:spacing w:val="-3"/>
          <w:sz w:val="24"/>
          <w:szCs w:val="24"/>
          <w:lang w:eastAsia="da-DK"/>
        </w:rPr>
        <w:t xml:space="preserve"> organtransplanterede patienter</w:t>
      </w: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Den systemiske steady-state-eksponering af ganciclovir hos organtransplanterede patienter efter daglig oral administration af ganciclovir og valganciclovir er:</w:t>
      </w:r>
    </w:p>
    <w:p w:rsidR="00E24BC3" w:rsidRPr="00C20294" w:rsidRDefault="00E24BC3" w:rsidP="00E24BC3">
      <w:pPr>
        <w:autoSpaceDE w:val="0"/>
        <w:autoSpaceDN w:val="0"/>
        <w:adjustRightInd w:val="0"/>
        <w:ind w:left="851"/>
        <w:rPr>
          <w:rFonts w:eastAsiaTheme="minorEastAsia"/>
          <w:iCs/>
          <w:spacing w:val="-3"/>
          <w:sz w:val="24"/>
          <w:szCs w:val="24"/>
          <w:lang w:eastAsia="da-DK"/>
        </w:rPr>
      </w:pPr>
    </w:p>
    <w:tbl>
      <w:tblPr>
        <w:tblStyle w:val="Tabel-Gitter"/>
        <w:tblW w:w="8363" w:type="dxa"/>
        <w:tblInd w:w="846" w:type="dxa"/>
        <w:tblLook w:val="04A0" w:firstRow="1" w:lastRow="0" w:firstColumn="1" w:lastColumn="0" w:noHBand="0" w:noVBand="1"/>
      </w:tblPr>
      <w:tblGrid>
        <w:gridCol w:w="2518"/>
        <w:gridCol w:w="2693"/>
        <w:gridCol w:w="3152"/>
      </w:tblGrid>
      <w:tr w:rsidR="00E24BC3" w:rsidRPr="00460550" w:rsidTr="003B4BCE">
        <w:trPr>
          <w:trHeight w:val="576"/>
        </w:trPr>
        <w:tc>
          <w:tcPr>
            <w:tcW w:w="2518" w:type="dxa"/>
            <w:vMerge w:val="restart"/>
            <w:vAlign w:val="center"/>
          </w:tcPr>
          <w:p w:rsidR="00E24BC3" w:rsidRPr="00460550" w:rsidRDefault="00E24BC3" w:rsidP="003B4BCE">
            <w:pPr>
              <w:autoSpaceDE w:val="0"/>
              <w:autoSpaceDN w:val="0"/>
              <w:adjustRightInd w:val="0"/>
              <w:spacing w:line="276" w:lineRule="auto"/>
              <w:ind w:left="34"/>
              <w:rPr>
                <w:rFonts w:ascii="Times New Roman" w:hAnsi="Times New Roman"/>
                <w:iCs/>
                <w:spacing w:val="-3"/>
                <w:sz w:val="22"/>
                <w:lang w:eastAsia="da-DK"/>
              </w:rPr>
            </w:pPr>
            <w:r w:rsidRPr="00460550">
              <w:rPr>
                <w:rFonts w:ascii="Times New Roman" w:hAnsi="Times New Roman"/>
                <w:spacing w:val="-3"/>
                <w:sz w:val="22"/>
                <w:lang w:eastAsia="da-DK"/>
              </w:rPr>
              <w:t>Parameter</w:t>
            </w:r>
          </w:p>
        </w:tc>
        <w:tc>
          <w:tcPr>
            <w:tcW w:w="2693" w:type="dxa"/>
            <w:vMerge w:val="restart"/>
            <w:vAlign w:val="center"/>
          </w:tcPr>
          <w:p w:rsidR="00E24BC3" w:rsidRPr="00460550" w:rsidRDefault="00E24BC3" w:rsidP="003B4BCE">
            <w:pPr>
              <w:autoSpaceDE w:val="0"/>
              <w:autoSpaceDN w:val="0"/>
              <w:adjustRightInd w:val="0"/>
              <w:spacing w:line="276" w:lineRule="auto"/>
              <w:ind w:left="67"/>
              <w:rPr>
                <w:rFonts w:ascii="Times New Roman" w:hAnsi="Times New Roman"/>
                <w:iCs/>
                <w:spacing w:val="-3"/>
                <w:sz w:val="22"/>
                <w:lang w:eastAsia="da-DK"/>
              </w:rPr>
            </w:pPr>
            <w:r w:rsidRPr="00460550">
              <w:rPr>
                <w:rFonts w:ascii="Times New Roman" w:hAnsi="Times New Roman"/>
                <w:spacing w:val="-3"/>
                <w:sz w:val="22"/>
                <w:lang w:eastAsia="da-DK"/>
              </w:rPr>
              <w:t>Ganciclovir (1000 mg tre gange daglig)</w:t>
            </w:r>
          </w:p>
          <w:p w:rsidR="00E24BC3" w:rsidRPr="00460550" w:rsidRDefault="00E24BC3" w:rsidP="003B4BCE">
            <w:pPr>
              <w:autoSpaceDE w:val="0"/>
              <w:autoSpaceDN w:val="0"/>
              <w:adjustRightInd w:val="0"/>
              <w:spacing w:line="276" w:lineRule="auto"/>
              <w:ind w:left="67"/>
              <w:rPr>
                <w:rFonts w:ascii="Times New Roman" w:hAnsi="Times New Roman"/>
                <w:iCs/>
                <w:spacing w:val="-3"/>
                <w:sz w:val="22"/>
                <w:lang w:eastAsia="da-DK"/>
              </w:rPr>
            </w:pPr>
            <w:r w:rsidRPr="00460550">
              <w:rPr>
                <w:rFonts w:ascii="Times New Roman" w:hAnsi="Times New Roman"/>
                <w:spacing w:val="-3"/>
                <w:sz w:val="22"/>
                <w:lang w:eastAsia="da-DK"/>
              </w:rPr>
              <w:t>n = 82</w:t>
            </w:r>
          </w:p>
        </w:tc>
        <w:tc>
          <w:tcPr>
            <w:tcW w:w="3152" w:type="dxa"/>
            <w:vAlign w:val="center"/>
          </w:tcPr>
          <w:p w:rsidR="00E24BC3" w:rsidRPr="00460550" w:rsidRDefault="00E24BC3" w:rsidP="003B4BCE">
            <w:pPr>
              <w:autoSpaceDE w:val="0"/>
              <w:autoSpaceDN w:val="0"/>
              <w:adjustRightInd w:val="0"/>
              <w:spacing w:line="276" w:lineRule="auto"/>
              <w:rPr>
                <w:rFonts w:ascii="Times New Roman" w:hAnsi="Times New Roman"/>
                <w:iCs/>
                <w:spacing w:val="-3"/>
                <w:sz w:val="22"/>
                <w:lang w:eastAsia="da-DK"/>
              </w:rPr>
            </w:pPr>
            <w:r w:rsidRPr="00460550">
              <w:rPr>
                <w:rFonts w:ascii="Times New Roman" w:hAnsi="Times New Roman"/>
                <w:spacing w:val="-3"/>
                <w:sz w:val="22"/>
                <w:lang w:eastAsia="da-DK"/>
              </w:rPr>
              <w:t>Valganciclovir (900 mg, en gang daglig)</w:t>
            </w:r>
          </w:p>
          <w:p w:rsidR="00E24BC3" w:rsidRPr="00460550" w:rsidRDefault="00E24BC3" w:rsidP="003B4BCE">
            <w:pPr>
              <w:autoSpaceDE w:val="0"/>
              <w:autoSpaceDN w:val="0"/>
              <w:adjustRightInd w:val="0"/>
              <w:spacing w:line="276" w:lineRule="auto"/>
              <w:rPr>
                <w:rFonts w:ascii="Times New Roman" w:hAnsi="Times New Roman"/>
                <w:iCs/>
                <w:spacing w:val="-3"/>
                <w:sz w:val="22"/>
                <w:lang w:eastAsia="da-DK"/>
              </w:rPr>
            </w:pPr>
            <w:r w:rsidRPr="00460550">
              <w:rPr>
                <w:rFonts w:ascii="Times New Roman" w:hAnsi="Times New Roman"/>
                <w:spacing w:val="-3"/>
                <w:sz w:val="22"/>
                <w:lang w:eastAsia="da-DK"/>
              </w:rPr>
              <w:t>n = 161</w:t>
            </w:r>
          </w:p>
        </w:tc>
      </w:tr>
      <w:tr w:rsidR="00E24BC3" w:rsidRPr="00460550" w:rsidTr="003B4BCE">
        <w:trPr>
          <w:trHeight w:val="342"/>
        </w:trPr>
        <w:tc>
          <w:tcPr>
            <w:tcW w:w="2518" w:type="dxa"/>
            <w:vMerge/>
            <w:vAlign w:val="center"/>
          </w:tcPr>
          <w:p w:rsidR="00E24BC3" w:rsidRPr="00460550" w:rsidRDefault="00E24BC3" w:rsidP="003B4BCE">
            <w:pPr>
              <w:autoSpaceDE w:val="0"/>
              <w:autoSpaceDN w:val="0"/>
              <w:adjustRightInd w:val="0"/>
              <w:spacing w:line="276" w:lineRule="auto"/>
              <w:ind w:left="34"/>
              <w:rPr>
                <w:rFonts w:ascii="Times New Roman" w:hAnsi="Times New Roman"/>
                <w:iCs/>
                <w:spacing w:val="-3"/>
                <w:sz w:val="22"/>
                <w:lang w:eastAsia="da-DK"/>
              </w:rPr>
            </w:pPr>
          </w:p>
        </w:tc>
        <w:tc>
          <w:tcPr>
            <w:tcW w:w="2693" w:type="dxa"/>
            <w:vMerge/>
            <w:vAlign w:val="center"/>
          </w:tcPr>
          <w:p w:rsidR="00E24BC3" w:rsidRPr="00460550" w:rsidRDefault="00E24BC3" w:rsidP="003B4BCE">
            <w:pPr>
              <w:autoSpaceDE w:val="0"/>
              <w:autoSpaceDN w:val="0"/>
              <w:adjustRightInd w:val="0"/>
              <w:spacing w:line="276" w:lineRule="auto"/>
              <w:ind w:left="67"/>
              <w:rPr>
                <w:rFonts w:ascii="Times New Roman" w:hAnsi="Times New Roman"/>
                <w:iCs/>
                <w:spacing w:val="-3"/>
                <w:sz w:val="22"/>
                <w:lang w:eastAsia="da-DK"/>
              </w:rPr>
            </w:pPr>
          </w:p>
        </w:tc>
        <w:tc>
          <w:tcPr>
            <w:tcW w:w="3152" w:type="dxa"/>
            <w:vAlign w:val="center"/>
          </w:tcPr>
          <w:p w:rsidR="00E24BC3" w:rsidRPr="00460550" w:rsidRDefault="00E24BC3" w:rsidP="003B4BCE">
            <w:pPr>
              <w:autoSpaceDE w:val="0"/>
              <w:autoSpaceDN w:val="0"/>
              <w:adjustRightInd w:val="0"/>
              <w:spacing w:line="276" w:lineRule="auto"/>
              <w:rPr>
                <w:rFonts w:ascii="Times New Roman" w:hAnsi="Times New Roman"/>
                <w:iCs/>
                <w:spacing w:val="-3"/>
                <w:sz w:val="22"/>
                <w:lang w:eastAsia="da-DK"/>
              </w:rPr>
            </w:pPr>
            <w:r w:rsidRPr="00460550">
              <w:rPr>
                <w:rFonts w:ascii="Times New Roman" w:hAnsi="Times New Roman"/>
                <w:spacing w:val="-3"/>
                <w:sz w:val="22"/>
                <w:lang w:eastAsia="da-DK"/>
              </w:rPr>
              <w:t>Ganciclovir</w:t>
            </w:r>
          </w:p>
        </w:tc>
      </w:tr>
      <w:tr w:rsidR="00E24BC3" w:rsidRPr="00460550" w:rsidTr="003B4BCE">
        <w:trPr>
          <w:trHeight w:val="344"/>
        </w:trPr>
        <w:tc>
          <w:tcPr>
            <w:tcW w:w="2518" w:type="dxa"/>
            <w:vAlign w:val="center"/>
          </w:tcPr>
          <w:p w:rsidR="00E24BC3" w:rsidRPr="00460550" w:rsidRDefault="00E24BC3" w:rsidP="003B4BCE">
            <w:pPr>
              <w:autoSpaceDE w:val="0"/>
              <w:autoSpaceDN w:val="0"/>
              <w:adjustRightInd w:val="0"/>
              <w:spacing w:line="276" w:lineRule="auto"/>
              <w:ind w:left="34"/>
              <w:rPr>
                <w:rFonts w:ascii="Times New Roman" w:hAnsi="Times New Roman"/>
                <w:iCs/>
                <w:spacing w:val="-3"/>
                <w:sz w:val="22"/>
                <w:lang w:eastAsia="da-DK"/>
              </w:rPr>
            </w:pPr>
            <w:r w:rsidRPr="00460550">
              <w:rPr>
                <w:rFonts w:ascii="Times New Roman" w:hAnsi="Times New Roman"/>
                <w:spacing w:val="-3"/>
                <w:sz w:val="22"/>
                <w:lang w:eastAsia="da-DK"/>
              </w:rPr>
              <w:t>AUC (0 - 24 timer) (μg.time/ml)</w:t>
            </w:r>
          </w:p>
        </w:tc>
        <w:tc>
          <w:tcPr>
            <w:tcW w:w="2693" w:type="dxa"/>
            <w:vAlign w:val="center"/>
          </w:tcPr>
          <w:p w:rsidR="00E24BC3" w:rsidRPr="00460550" w:rsidRDefault="00E24BC3" w:rsidP="003B4BCE">
            <w:pPr>
              <w:autoSpaceDE w:val="0"/>
              <w:autoSpaceDN w:val="0"/>
              <w:adjustRightInd w:val="0"/>
              <w:spacing w:line="276" w:lineRule="auto"/>
              <w:ind w:left="67"/>
              <w:rPr>
                <w:rFonts w:ascii="Times New Roman" w:hAnsi="Times New Roman"/>
                <w:iCs/>
                <w:spacing w:val="-3"/>
                <w:sz w:val="22"/>
                <w:lang w:eastAsia="da-DK"/>
              </w:rPr>
            </w:pPr>
            <w:r w:rsidRPr="00460550">
              <w:rPr>
                <w:rFonts w:ascii="Times New Roman" w:hAnsi="Times New Roman"/>
                <w:spacing w:val="-3"/>
                <w:sz w:val="22"/>
                <w:lang w:eastAsia="da-DK"/>
              </w:rPr>
              <w:t>28,0 ± 10,9</w:t>
            </w:r>
          </w:p>
        </w:tc>
        <w:tc>
          <w:tcPr>
            <w:tcW w:w="3152" w:type="dxa"/>
            <w:vAlign w:val="center"/>
          </w:tcPr>
          <w:p w:rsidR="00E24BC3" w:rsidRPr="00460550" w:rsidRDefault="00E24BC3" w:rsidP="003B4BCE">
            <w:pPr>
              <w:autoSpaceDE w:val="0"/>
              <w:autoSpaceDN w:val="0"/>
              <w:adjustRightInd w:val="0"/>
              <w:spacing w:line="276" w:lineRule="auto"/>
              <w:rPr>
                <w:rFonts w:ascii="Times New Roman" w:hAnsi="Times New Roman"/>
                <w:iCs/>
                <w:spacing w:val="-3"/>
                <w:sz w:val="22"/>
                <w:lang w:eastAsia="da-DK"/>
              </w:rPr>
            </w:pPr>
            <w:r w:rsidRPr="00460550">
              <w:rPr>
                <w:rFonts w:ascii="Times New Roman" w:hAnsi="Times New Roman"/>
                <w:spacing w:val="-3"/>
                <w:sz w:val="22"/>
                <w:lang w:eastAsia="da-DK"/>
              </w:rPr>
              <w:t>46,3 ± 15,2</w:t>
            </w:r>
          </w:p>
        </w:tc>
      </w:tr>
      <w:tr w:rsidR="00E24BC3" w:rsidRPr="00460550" w:rsidTr="003B4BCE">
        <w:trPr>
          <w:trHeight w:val="344"/>
        </w:trPr>
        <w:tc>
          <w:tcPr>
            <w:tcW w:w="2518" w:type="dxa"/>
            <w:vAlign w:val="center"/>
          </w:tcPr>
          <w:p w:rsidR="00E24BC3" w:rsidRPr="00460550" w:rsidRDefault="00E24BC3" w:rsidP="003B4BCE">
            <w:pPr>
              <w:autoSpaceDE w:val="0"/>
              <w:autoSpaceDN w:val="0"/>
              <w:adjustRightInd w:val="0"/>
              <w:spacing w:line="276" w:lineRule="auto"/>
              <w:ind w:left="34"/>
              <w:rPr>
                <w:rFonts w:ascii="Times New Roman" w:hAnsi="Times New Roman"/>
                <w:iCs/>
                <w:spacing w:val="-3"/>
                <w:sz w:val="22"/>
                <w:lang w:eastAsia="da-DK"/>
              </w:rPr>
            </w:pPr>
            <w:r w:rsidRPr="00460550">
              <w:rPr>
                <w:rFonts w:ascii="Times New Roman" w:hAnsi="Times New Roman"/>
                <w:spacing w:val="-3"/>
                <w:sz w:val="22"/>
                <w:lang w:eastAsia="da-DK"/>
              </w:rPr>
              <w:t>C</w:t>
            </w:r>
            <w:r w:rsidRPr="00460550">
              <w:rPr>
                <w:rFonts w:ascii="Times New Roman" w:hAnsi="Times New Roman"/>
                <w:spacing w:val="-3"/>
                <w:sz w:val="22"/>
                <w:vertAlign w:val="subscript"/>
                <w:lang w:eastAsia="da-DK"/>
              </w:rPr>
              <w:t>max</w:t>
            </w:r>
            <w:r w:rsidRPr="00460550">
              <w:rPr>
                <w:rFonts w:ascii="Times New Roman" w:hAnsi="Times New Roman"/>
                <w:spacing w:val="-3"/>
                <w:sz w:val="22"/>
                <w:lang w:eastAsia="da-DK"/>
              </w:rPr>
              <w:t xml:space="preserve"> (μg/ml)</w:t>
            </w:r>
          </w:p>
        </w:tc>
        <w:tc>
          <w:tcPr>
            <w:tcW w:w="2693" w:type="dxa"/>
            <w:vAlign w:val="center"/>
          </w:tcPr>
          <w:p w:rsidR="00E24BC3" w:rsidRPr="00460550" w:rsidRDefault="00E24BC3" w:rsidP="003B4BCE">
            <w:pPr>
              <w:autoSpaceDE w:val="0"/>
              <w:autoSpaceDN w:val="0"/>
              <w:adjustRightInd w:val="0"/>
              <w:spacing w:line="276" w:lineRule="auto"/>
              <w:ind w:left="67"/>
              <w:rPr>
                <w:rFonts w:ascii="Times New Roman" w:hAnsi="Times New Roman"/>
                <w:iCs/>
                <w:spacing w:val="-3"/>
                <w:sz w:val="22"/>
                <w:lang w:eastAsia="da-DK"/>
              </w:rPr>
            </w:pPr>
            <w:r w:rsidRPr="00460550">
              <w:rPr>
                <w:rFonts w:ascii="Times New Roman" w:hAnsi="Times New Roman"/>
                <w:spacing w:val="-3"/>
                <w:sz w:val="22"/>
                <w:lang w:eastAsia="da-DK"/>
              </w:rPr>
              <w:t>1,4 ± 0,5</w:t>
            </w:r>
          </w:p>
        </w:tc>
        <w:tc>
          <w:tcPr>
            <w:tcW w:w="3152" w:type="dxa"/>
            <w:vAlign w:val="center"/>
          </w:tcPr>
          <w:p w:rsidR="00E24BC3" w:rsidRPr="00460550" w:rsidRDefault="00E24BC3" w:rsidP="003B4BCE">
            <w:pPr>
              <w:autoSpaceDE w:val="0"/>
              <w:autoSpaceDN w:val="0"/>
              <w:adjustRightInd w:val="0"/>
              <w:spacing w:line="276" w:lineRule="auto"/>
              <w:rPr>
                <w:rFonts w:ascii="Times New Roman" w:hAnsi="Times New Roman"/>
                <w:iCs/>
                <w:spacing w:val="-3"/>
                <w:sz w:val="22"/>
                <w:lang w:eastAsia="da-DK"/>
              </w:rPr>
            </w:pPr>
            <w:r w:rsidRPr="00460550">
              <w:rPr>
                <w:rFonts w:ascii="Times New Roman" w:hAnsi="Times New Roman"/>
                <w:spacing w:val="-3"/>
                <w:sz w:val="22"/>
                <w:lang w:eastAsia="da-DK"/>
              </w:rPr>
              <w:t>5,3 ± 1,5</w:t>
            </w:r>
          </w:p>
        </w:tc>
      </w:tr>
    </w:tbl>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sidRPr="00C20294">
        <w:rPr>
          <w:rFonts w:eastAsiaTheme="minorEastAsia"/>
          <w:spacing w:val="-3"/>
          <w:sz w:val="24"/>
          <w:szCs w:val="24"/>
          <w:lang w:eastAsia="da-DK"/>
        </w:rPr>
        <w:t>Ifølge nyrefunktionens dosis-algoritme var den systemiske eksponering af ganciclovir hos hjerte-, nyre- og levertransplanterede sammenlignelig med den efter oral administration af valganciclovir.</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C20294" w:rsidRDefault="00E24BC3" w:rsidP="00E24BC3">
      <w:pPr>
        <w:autoSpaceDE w:val="0"/>
        <w:autoSpaceDN w:val="0"/>
        <w:adjustRightInd w:val="0"/>
        <w:ind w:left="851"/>
        <w:rPr>
          <w:rFonts w:eastAsiaTheme="minorEastAsia"/>
          <w:iCs/>
          <w:spacing w:val="-3"/>
          <w:sz w:val="24"/>
          <w:szCs w:val="24"/>
          <w:lang w:eastAsia="da-DK"/>
        </w:rPr>
      </w:pPr>
      <w:r>
        <w:rPr>
          <w:rFonts w:eastAsiaTheme="minorEastAsia"/>
          <w:i/>
          <w:spacing w:val="-3"/>
          <w:sz w:val="24"/>
          <w:szCs w:val="24"/>
          <w:lang w:eastAsia="da-DK"/>
        </w:rPr>
        <w:t>Virkning med føde</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Når valganciclovir blev givet med føde i den anbefalede dosis på 900 mg, blev der observeret højere værdier i både middel-ganciclovir AUC (ca. 30 %) og middel-ganciclovir C</w:t>
      </w:r>
      <w:r>
        <w:rPr>
          <w:rFonts w:eastAsiaTheme="minorEastAsia"/>
          <w:spacing w:val="-3"/>
          <w:sz w:val="24"/>
          <w:szCs w:val="24"/>
          <w:vertAlign w:val="subscript"/>
          <w:lang w:eastAsia="da-DK"/>
        </w:rPr>
        <w:t>max</w:t>
      </w:r>
      <w:r>
        <w:rPr>
          <w:rFonts w:eastAsiaTheme="minorEastAsia"/>
          <w:spacing w:val="-3"/>
          <w:sz w:val="24"/>
          <w:szCs w:val="24"/>
          <w:lang w:eastAsia="da-DK"/>
        </w:rPr>
        <w:t xml:space="preserve"> (ca. 14 %) end i fastende tilstand. Den inter-individuelle variation i eksponeringen af ganciclovir falder også, når valganciclovir indtages med føde. I de kliniske studier er valganciclovir kun blevet administreret med føde. Det anbefales derfor, at Valganciclovir "Accord” administreres sammen med føde (se pkt. 4.2).</w:t>
      </w:r>
    </w:p>
    <w:p w:rsidR="00E24BC3" w:rsidRPr="00C20294" w:rsidRDefault="00E24BC3" w:rsidP="00E24BC3">
      <w:pPr>
        <w:autoSpaceDE w:val="0"/>
        <w:autoSpaceDN w:val="0"/>
        <w:adjustRightInd w:val="0"/>
        <w:ind w:left="851"/>
        <w:rPr>
          <w:rFonts w:eastAsiaTheme="minorEastAsia"/>
          <w:iCs/>
          <w:spacing w:val="-3"/>
          <w:sz w:val="24"/>
          <w:szCs w:val="24"/>
          <w:lang w:eastAsia="da-DK"/>
        </w:rPr>
      </w:pPr>
    </w:p>
    <w:p w:rsidR="00E24BC3" w:rsidRPr="00861BA4" w:rsidRDefault="00E24BC3" w:rsidP="00E24BC3">
      <w:pPr>
        <w:ind w:left="851"/>
        <w:rPr>
          <w:rFonts w:eastAsiaTheme="minorEastAsia"/>
          <w:b/>
          <w:iCs/>
          <w:spacing w:val="-3"/>
          <w:sz w:val="24"/>
          <w:szCs w:val="24"/>
          <w:u w:val="single"/>
          <w:lang w:eastAsia="da-DK"/>
        </w:rPr>
      </w:pPr>
      <w:r w:rsidRPr="00C20294">
        <w:rPr>
          <w:rFonts w:eastAsiaTheme="minorEastAsia"/>
          <w:spacing w:val="-3"/>
          <w:sz w:val="24"/>
          <w:szCs w:val="24"/>
          <w:u w:val="single"/>
          <w:lang w:eastAsia="da-DK"/>
        </w:rPr>
        <w:t>Fordeling</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På grund af valganciclovirs hurtige omdannelse til ganciclovir blev valganciclovirs proteinbinding ikke bestemt. Ganciclovirs distributionsvolumen V</w:t>
      </w:r>
      <w:r>
        <w:rPr>
          <w:rFonts w:eastAsiaTheme="minorEastAsia"/>
          <w:spacing w:val="-3"/>
          <w:sz w:val="24"/>
          <w:szCs w:val="24"/>
          <w:vertAlign w:val="subscript"/>
          <w:lang w:eastAsia="da-DK"/>
        </w:rPr>
        <w:t>d</w:t>
      </w:r>
      <w:r>
        <w:rPr>
          <w:rFonts w:eastAsiaTheme="minorEastAsia"/>
          <w:spacing w:val="-3"/>
          <w:sz w:val="24"/>
          <w:szCs w:val="24"/>
          <w:lang w:eastAsia="da-DK"/>
        </w:rPr>
        <w:t>) i steady state efter intravenøs administration var 0,680 ± 0,161 l/kg (n=114). For intravenøs ganciclovir er distributionsvolumen korreleret med kropsvægt med værdier for f</w:t>
      </w:r>
      <w:r>
        <w:rPr>
          <w:rFonts w:eastAsia="Arial Unicode MS"/>
          <w:iCs/>
          <w:snapToGrid w:val="0"/>
          <w:szCs w:val="24"/>
          <w:lang w:eastAsia="en-GB"/>
        </w:rPr>
        <w:t xml:space="preserve">ordelingsvolumen ved </w:t>
      </w:r>
      <w:r>
        <w:rPr>
          <w:rFonts w:eastAsia="Arial Unicode MS"/>
          <w:i/>
          <w:iCs/>
          <w:snapToGrid w:val="0"/>
          <w:szCs w:val="24"/>
          <w:lang w:eastAsia="en-GB"/>
        </w:rPr>
        <w:t>steady state</w:t>
      </w:r>
      <w:r>
        <w:rPr>
          <w:rFonts w:eastAsia="Arial Unicode MS"/>
          <w:iCs/>
          <w:snapToGrid w:val="0"/>
          <w:szCs w:val="24"/>
          <w:lang w:eastAsia="en-GB"/>
        </w:rPr>
        <w:t xml:space="preserve"> på 0,54-0,87 l/kg. Plasmaproteinbindingen er 1%-2% ved ganciclovirkoncentrationer på 0,5-51 </w:t>
      </w:r>
      <w:r>
        <w:rPr>
          <w:rFonts w:eastAsia="Arial Unicode MS"/>
          <w:iCs/>
          <w:snapToGrid w:val="0"/>
          <w:szCs w:val="24"/>
          <w:lang w:val="en-GB" w:eastAsia="en-GB"/>
        </w:rPr>
        <w:sym w:font="Symbol" w:char="F06D"/>
      </w:r>
      <w:r>
        <w:rPr>
          <w:rFonts w:eastAsia="Arial Unicode MS"/>
          <w:iCs/>
          <w:snapToGrid w:val="0"/>
          <w:szCs w:val="24"/>
          <w:lang w:eastAsia="en-GB"/>
        </w:rPr>
        <w:t>g/ml. Ganciclovir passerer over i cerebrospinalvæsken. Plasmaproteinbindingen er 1 %-2 % ved ganciclovirkoncentrationer på 0,5-51 </w:t>
      </w:r>
      <w:r>
        <w:rPr>
          <w:rFonts w:eastAsia="Arial Unicode MS"/>
          <w:iCs/>
          <w:snapToGrid w:val="0"/>
          <w:szCs w:val="24"/>
          <w:lang w:val="en-GB" w:eastAsia="en-GB"/>
        </w:rPr>
        <w:sym w:font="Symbol" w:char="F06D"/>
      </w:r>
      <w:r>
        <w:rPr>
          <w:rFonts w:eastAsia="Arial Unicode MS"/>
          <w:iCs/>
          <w:snapToGrid w:val="0"/>
          <w:szCs w:val="24"/>
          <w:lang w:eastAsia="en-GB"/>
        </w:rPr>
        <w:t>g/ml.</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Arial Unicode MS"/>
          <w:iCs/>
          <w:snapToGrid w:val="0"/>
          <w:szCs w:val="24"/>
          <w:lang w:eastAsia="en-GB"/>
        </w:rPr>
      </w:pPr>
      <w:r>
        <w:rPr>
          <w:rFonts w:eastAsiaTheme="minorEastAsia"/>
          <w:spacing w:val="-3"/>
          <w:sz w:val="24"/>
          <w:szCs w:val="24"/>
          <w:u w:val="single"/>
          <w:lang w:eastAsia="da-DK"/>
        </w:rPr>
        <w:t>Biotransformation</w:t>
      </w:r>
      <w:r>
        <w:rPr>
          <w:rFonts w:eastAsiaTheme="minorEastAsia"/>
          <w:spacing w:val="-3"/>
          <w:sz w:val="24"/>
          <w:szCs w:val="24"/>
          <w:u w:val="single"/>
          <w:lang w:eastAsia="da-DK"/>
        </w:rPr>
        <w:br/>
      </w:r>
      <w:r>
        <w:rPr>
          <w:rFonts w:eastAsiaTheme="minorEastAsia"/>
          <w:spacing w:val="-3"/>
          <w:sz w:val="24"/>
          <w:szCs w:val="24"/>
          <w:lang w:eastAsia="da-DK"/>
        </w:rPr>
        <w:t xml:space="preserve">Valganciclovir metaboliseres hurtigt og ekstensivt til ganciclovir; der er ikke fundet andre metabolitter. </w:t>
      </w:r>
      <w:r>
        <w:rPr>
          <w:rFonts w:eastAsia="Arial Unicode MS"/>
          <w:iCs/>
          <w:snapToGrid w:val="0"/>
          <w:szCs w:val="24"/>
          <w:lang w:eastAsia="en-GB"/>
        </w:rPr>
        <w:t xml:space="preserve"> Ganciclovir metaboliseres ikke i betydelig grad.</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ind w:left="851"/>
        <w:rPr>
          <w:rFonts w:eastAsiaTheme="minorEastAsia"/>
          <w:b/>
          <w:iCs/>
          <w:spacing w:val="-3"/>
          <w:sz w:val="24"/>
          <w:szCs w:val="24"/>
          <w:u w:val="single"/>
          <w:lang w:eastAsia="da-DK"/>
        </w:rPr>
      </w:pPr>
      <w:r>
        <w:rPr>
          <w:rFonts w:eastAsiaTheme="minorEastAsia"/>
          <w:spacing w:val="-3"/>
          <w:sz w:val="24"/>
          <w:szCs w:val="24"/>
          <w:u w:val="single"/>
          <w:lang w:eastAsia="da-DK"/>
        </w:rPr>
        <w:t>Elimination</w:t>
      </w:r>
    </w:p>
    <w:p w:rsidR="00E24BC3" w:rsidRDefault="00E24BC3" w:rsidP="00E24BC3">
      <w:pPr>
        <w:autoSpaceDE w:val="0"/>
        <w:autoSpaceDN w:val="0"/>
        <w:adjustRightInd w:val="0"/>
        <w:ind w:left="851"/>
        <w:rPr>
          <w:rFonts w:eastAsiaTheme="minorEastAsia"/>
          <w:spacing w:val="-3"/>
          <w:sz w:val="24"/>
          <w:szCs w:val="24"/>
          <w:lang w:eastAsia="da-DK"/>
        </w:rPr>
      </w:pPr>
      <w:r>
        <w:t xml:space="preserve"> </w:t>
      </w:r>
      <w:r>
        <w:rPr>
          <w:rFonts w:eastAsiaTheme="minorEastAsia"/>
          <w:spacing w:val="-3"/>
          <w:sz w:val="24"/>
          <w:szCs w:val="24"/>
          <w:lang w:eastAsia="da-DK"/>
        </w:rPr>
        <w:t>Efter dosering med oral valganciclovir hydrolyseres stoffet hurtigt til ganciclovir. Ganciclovir elimineres fra den systemiske cirkulation ved glomerulær filtrering og aktiv tubulær sekretion. Hos patienter med normal nyrefunktion blev mere end 90 % af intravenøst administreret ganciclovir fundet uomdannet i urinen inden for 24 timer. Hos patienter med normal nyrefunktion falder plasmakoncentrationerne af ganciclovir efter administration af valganciclovir med en halveringstid på mellem 0,4 og 2,0 timer.</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u w:val="single"/>
          <w:lang w:eastAsia="da-DK"/>
        </w:rPr>
      </w:pPr>
      <w:r>
        <w:rPr>
          <w:rFonts w:eastAsiaTheme="minorEastAsia"/>
          <w:spacing w:val="-3"/>
          <w:sz w:val="24"/>
          <w:szCs w:val="24"/>
          <w:u w:val="single"/>
          <w:lang w:eastAsia="da-DK"/>
        </w:rPr>
        <w:t>Farmakokinetik i særlige kliniske situationer</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
          <w:iCs/>
          <w:spacing w:val="-3"/>
          <w:sz w:val="24"/>
          <w:szCs w:val="24"/>
          <w:lang w:eastAsia="da-DK"/>
        </w:rPr>
      </w:pPr>
      <w:r>
        <w:rPr>
          <w:rFonts w:eastAsiaTheme="minorEastAsia"/>
          <w:i/>
          <w:spacing w:val="-3"/>
          <w:sz w:val="24"/>
          <w:szCs w:val="24"/>
          <w:lang w:eastAsia="da-DK"/>
        </w:rPr>
        <w:t>Pædiatrisk population</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Et fase II-studie af farmakokinetik og sikkerhed hos pædiatriske organtransplantat-modtagere (i alderen 4 måneder til 16 år, n = 63), blev valganciclovir givet en gang daglig i op til 100 dage. Farmakokinetiske parametre var tilsvarende på tværs af organtype og aldersgruppe og sammenlignelige med voksne. Populationsfarmakokinetisk modellering indikerede, at biotilgængeligheden var cirka 60 %. Clearance var positivt påvirket af både legemsoverflade og nyrefunktion.</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 xml:space="preserve">Et fase I-studie af farmakokinetik og sikkerhed hos pædiatriske hjertetransplantat-modtagere (i alderen 3 uger til 125 dage, n = 14), blev valganciclovir givet en gang daglig i to studiedage. Populationsfarmakokinetik estimerede, at middel biotilgængelighed var 64 %. </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 xml:space="preserve">En sammenligning af resultaterne fra disse to studier og de ​​farmakokinetiske resultater fra den voksne befolkning viser, at områder af AUC </w:t>
      </w:r>
      <w:r>
        <w:rPr>
          <w:rFonts w:eastAsiaTheme="minorEastAsia"/>
          <w:spacing w:val="-3"/>
          <w:sz w:val="24"/>
          <w:szCs w:val="24"/>
          <w:vertAlign w:val="subscript"/>
          <w:lang w:eastAsia="da-DK"/>
        </w:rPr>
        <w:t>0-24t</w:t>
      </w:r>
      <w:r>
        <w:rPr>
          <w:rFonts w:eastAsiaTheme="minorEastAsia"/>
          <w:spacing w:val="-3"/>
          <w:sz w:val="24"/>
          <w:szCs w:val="24"/>
          <w:lang w:eastAsia="da-DK"/>
        </w:rPr>
        <w:t xml:space="preserve"> var meget ens på tværs af alle aldersgrupper, herunder voksne. Middelværdier for AUC</w:t>
      </w:r>
      <w:r>
        <w:rPr>
          <w:rFonts w:eastAsiaTheme="minorEastAsia"/>
          <w:spacing w:val="-3"/>
          <w:sz w:val="24"/>
          <w:szCs w:val="24"/>
          <w:vertAlign w:val="subscript"/>
          <w:lang w:eastAsia="da-DK"/>
        </w:rPr>
        <w:t>0-24t</w:t>
      </w:r>
      <w:r>
        <w:rPr>
          <w:rFonts w:eastAsiaTheme="minorEastAsia"/>
          <w:spacing w:val="-3"/>
          <w:sz w:val="24"/>
          <w:szCs w:val="24"/>
          <w:lang w:eastAsia="da-DK"/>
        </w:rPr>
        <w:t xml:space="preserve"> og C</w:t>
      </w:r>
      <w:r>
        <w:rPr>
          <w:rFonts w:eastAsiaTheme="minorEastAsia"/>
          <w:spacing w:val="-3"/>
          <w:sz w:val="24"/>
          <w:szCs w:val="24"/>
          <w:vertAlign w:val="subscript"/>
          <w:lang w:eastAsia="da-DK"/>
        </w:rPr>
        <w:t>max</w:t>
      </w:r>
      <w:r>
        <w:rPr>
          <w:rFonts w:eastAsiaTheme="minorEastAsia"/>
          <w:spacing w:val="-3"/>
          <w:sz w:val="24"/>
          <w:szCs w:val="24"/>
          <w:lang w:eastAsia="da-DK"/>
        </w:rPr>
        <w:t xml:space="preserve"> var også ens på tværs af de pædiatriske aldersgrupper &lt; 12 år, selv om der var en tendens til faldende middelværdier for AUC</w:t>
      </w:r>
      <w:r>
        <w:rPr>
          <w:rFonts w:eastAsiaTheme="minorEastAsia"/>
          <w:spacing w:val="-3"/>
          <w:sz w:val="24"/>
          <w:szCs w:val="24"/>
          <w:vertAlign w:val="subscript"/>
          <w:lang w:eastAsia="da-DK"/>
        </w:rPr>
        <w:t>0-24t</w:t>
      </w:r>
      <w:r>
        <w:rPr>
          <w:rFonts w:eastAsiaTheme="minorEastAsia"/>
          <w:spacing w:val="-3"/>
          <w:sz w:val="24"/>
          <w:szCs w:val="24"/>
          <w:lang w:eastAsia="da-DK"/>
        </w:rPr>
        <w:t xml:space="preserve"> og C</w:t>
      </w:r>
      <w:r>
        <w:rPr>
          <w:rFonts w:eastAsiaTheme="minorEastAsia"/>
          <w:spacing w:val="-3"/>
          <w:sz w:val="24"/>
          <w:szCs w:val="24"/>
          <w:vertAlign w:val="subscript"/>
          <w:lang w:eastAsia="da-DK"/>
        </w:rPr>
        <w:t>max</w:t>
      </w:r>
      <w:r>
        <w:rPr>
          <w:rFonts w:eastAsiaTheme="minorEastAsia"/>
          <w:spacing w:val="-3"/>
          <w:sz w:val="24"/>
          <w:szCs w:val="24"/>
          <w:lang w:eastAsia="da-DK"/>
        </w:rPr>
        <w:t xml:space="preserve"> på tværs af hele pædiatriske aldersgruppe, som syntes at korrelere med stigende alder. Denne tendens var tydeligere for middelværdier for clearance og halveringstid (t</w:t>
      </w:r>
      <w:r>
        <w:rPr>
          <w:rFonts w:eastAsiaTheme="minorEastAsia"/>
          <w:spacing w:val="-3"/>
          <w:sz w:val="24"/>
          <w:szCs w:val="24"/>
          <w:vertAlign w:val="subscript"/>
          <w:lang w:eastAsia="da-DK"/>
        </w:rPr>
        <w:t>1/2</w:t>
      </w:r>
      <w:r>
        <w:rPr>
          <w:rFonts w:eastAsiaTheme="minorEastAsia"/>
          <w:spacing w:val="-3"/>
          <w:sz w:val="24"/>
          <w:szCs w:val="24"/>
          <w:lang w:eastAsia="da-DK"/>
        </w:rPr>
        <w:t xml:space="preserve">). Dette er imidlertid at forvente, da clearance påvirkes af ændringer i vægt, højde og nyrefunktion forbundet med patientens vækst, som angivet af populationsfarmakokinetisk modellering. </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Følgende tabel viser de modelestimerede AUC</w:t>
      </w:r>
      <w:r>
        <w:rPr>
          <w:rFonts w:eastAsiaTheme="minorEastAsia"/>
          <w:spacing w:val="-3"/>
          <w:sz w:val="24"/>
          <w:szCs w:val="24"/>
          <w:vertAlign w:val="subscript"/>
          <w:lang w:eastAsia="da-DK"/>
        </w:rPr>
        <w:t xml:space="preserve">0-24t </w:t>
      </w:r>
      <w:r>
        <w:rPr>
          <w:rFonts w:eastAsiaTheme="minorEastAsia"/>
          <w:spacing w:val="-3"/>
          <w:sz w:val="24"/>
          <w:szCs w:val="24"/>
          <w:lang w:eastAsia="da-DK"/>
        </w:rPr>
        <w:t>områder for ganciclovir fra disse to studier, såvel som gennemsnits- og standardafvigelser for AUC</w:t>
      </w:r>
      <w:r>
        <w:rPr>
          <w:rFonts w:eastAsiaTheme="minorEastAsia"/>
          <w:spacing w:val="-3"/>
          <w:sz w:val="24"/>
          <w:szCs w:val="24"/>
          <w:vertAlign w:val="subscript"/>
          <w:lang w:eastAsia="da-DK"/>
        </w:rPr>
        <w:t>0-24t</w:t>
      </w:r>
      <w:r>
        <w:rPr>
          <w:rFonts w:eastAsiaTheme="minorEastAsia"/>
          <w:spacing w:val="-3"/>
          <w:sz w:val="24"/>
          <w:szCs w:val="24"/>
          <w:lang w:eastAsia="da-DK"/>
        </w:rPr>
        <w:t>, C</w:t>
      </w:r>
      <w:r>
        <w:rPr>
          <w:rFonts w:eastAsiaTheme="minorEastAsia"/>
          <w:spacing w:val="-3"/>
          <w:sz w:val="24"/>
          <w:szCs w:val="24"/>
          <w:vertAlign w:val="subscript"/>
          <w:lang w:eastAsia="da-DK"/>
        </w:rPr>
        <w:t>max</w:t>
      </w:r>
      <w:r>
        <w:rPr>
          <w:rFonts w:eastAsiaTheme="minorEastAsia"/>
          <w:spacing w:val="-3"/>
          <w:sz w:val="24"/>
          <w:szCs w:val="24"/>
          <w:lang w:eastAsia="da-DK"/>
        </w:rPr>
        <w:t>, CL og t</w:t>
      </w:r>
      <w:r>
        <w:rPr>
          <w:rFonts w:eastAsiaTheme="minorEastAsia"/>
          <w:spacing w:val="-3"/>
          <w:sz w:val="24"/>
          <w:szCs w:val="24"/>
          <w:vertAlign w:val="subscript"/>
          <w:lang w:eastAsia="da-DK"/>
        </w:rPr>
        <w:t>1/2</w:t>
      </w:r>
      <w:r>
        <w:rPr>
          <w:rFonts w:eastAsiaTheme="minorEastAsia"/>
          <w:spacing w:val="-3"/>
          <w:sz w:val="24"/>
          <w:szCs w:val="24"/>
          <w:lang w:eastAsia="da-DK"/>
        </w:rPr>
        <w:t xml:space="preserve"> for de relevante pædiatriske aldersgrupper sammenlignet med data fra voksne:</w:t>
      </w:r>
    </w:p>
    <w:p w:rsidR="00E24BC3" w:rsidRDefault="00E24BC3" w:rsidP="00E24BC3">
      <w:pPr>
        <w:autoSpaceDE w:val="0"/>
        <w:autoSpaceDN w:val="0"/>
        <w:adjustRightInd w:val="0"/>
        <w:ind w:left="851"/>
        <w:rPr>
          <w:rFonts w:eastAsiaTheme="minorEastAsia"/>
          <w:iCs/>
          <w:spacing w:val="-3"/>
          <w:sz w:val="24"/>
          <w:szCs w:val="24"/>
          <w:lang w:eastAsia="da-DK"/>
        </w:rPr>
      </w:pPr>
    </w:p>
    <w:tbl>
      <w:tblPr>
        <w:tblStyle w:val="Tabel-Gitter"/>
        <w:tblW w:w="9008" w:type="dxa"/>
        <w:tblInd w:w="846" w:type="dxa"/>
        <w:tblLook w:val="04A0" w:firstRow="1" w:lastRow="0" w:firstColumn="1" w:lastColumn="0" w:noHBand="0" w:noVBand="1"/>
      </w:tblPr>
      <w:tblGrid>
        <w:gridCol w:w="1826"/>
        <w:gridCol w:w="1405"/>
        <w:gridCol w:w="1418"/>
        <w:gridCol w:w="1642"/>
        <w:gridCol w:w="1425"/>
        <w:gridCol w:w="1292"/>
      </w:tblGrid>
      <w:tr w:rsidR="00E24BC3" w:rsidTr="003B4BCE">
        <w:trPr>
          <w:trHeight w:val="353"/>
        </w:trPr>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34"/>
              <w:rPr>
                <w:rFonts w:ascii="Times New Roman" w:hAnsi="Times New Roman"/>
                <w:b/>
                <w:iCs/>
                <w:spacing w:val="-3"/>
                <w:sz w:val="22"/>
                <w:lang w:eastAsia="da-DK"/>
              </w:rPr>
            </w:pPr>
            <w:r>
              <w:rPr>
                <w:rFonts w:ascii="Times New Roman" w:hAnsi="Times New Roman"/>
                <w:b/>
                <w:spacing w:val="-3"/>
                <w:sz w:val="22"/>
                <w:lang w:eastAsia="da-DK"/>
              </w:rPr>
              <w:t>Farmakokinetisk parameter</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7"/>
              <w:rPr>
                <w:rFonts w:ascii="Times New Roman" w:hAnsi="Times New Roman"/>
                <w:b/>
                <w:iCs/>
                <w:spacing w:val="-3"/>
                <w:sz w:val="22"/>
                <w:lang w:eastAsia="da-DK"/>
              </w:rPr>
            </w:pPr>
            <w:r>
              <w:rPr>
                <w:rFonts w:ascii="Times New Roman" w:hAnsi="Times New Roman"/>
                <w:b/>
                <w:spacing w:val="-3"/>
                <w:sz w:val="22"/>
                <w:lang w:eastAsia="da-DK"/>
              </w:rPr>
              <w:t>Voksne *</w:t>
            </w:r>
          </w:p>
        </w:tc>
        <w:tc>
          <w:tcPr>
            <w:tcW w:w="57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jc w:val="center"/>
              <w:rPr>
                <w:rFonts w:ascii="Times New Roman" w:hAnsi="Times New Roman"/>
                <w:b/>
                <w:iCs/>
                <w:spacing w:val="-3"/>
                <w:sz w:val="22"/>
                <w:lang w:eastAsia="da-DK"/>
              </w:rPr>
            </w:pPr>
            <w:r>
              <w:rPr>
                <w:rFonts w:ascii="Times New Roman" w:hAnsi="Times New Roman"/>
                <w:b/>
                <w:spacing w:val="-3"/>
                <w:sz w:val="22"/>
                <w:lang w:eastAsia="da-DK"/>
              </w:rPr>
              <w:t>Pædiatriske patienter</w:t>
            </w:r>
          </w:p>
        </w:tc>
      </w:tr>
      <w:tr w:rsidR="00E24BC3" w:rsidTr="003B4BCE">
        <w:trPr>
          <w:trHeight w:val="614"/>
        </w:trPr>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4BC3" w:rsidRDefault="00E24BC3" w:rsidP="003B4BCE">
            <w:pPr>
              <w:autoSpaceDE w:val="0"/>
              <w:autoSpaceDN w:val="0"/>
              <w:adjustRightInd w:val="0"/>
              <w:spacing w:line="276" w:lineRule="auto"/>
              <w:ind w:left="34"/>
              <w:rPr>
                <w:rFonts w:ascii="Times New Roman" w:hAnsi="Times New Roman"/>
                <w:b/>
                <w:iCs/>
                <w:spacing w:val="-3"/>
                <w:sz w:val="22"/>
                <w:lang w:eastAsia="da-DK"/>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7"/>
              <w:rPr>
                <w:rFonts w:ascii="Times New Roman" w:hAnsi="Times New Roman"/>
                <w:b/>
                <w:iCs/>
                <w:spacing w:val="-3"/>
                <w:sz w:val="22"/>
                <w:lang w:eastAsia="da-DK"/>
              </w:rPr>
            </w:pPr>
            <w:r>
              <w:rPr>
                <w:rFonts w:ascii="Times New Roman" w:hAnsi="Times New Roman"/>
                <w:b/>
                <w:spacing w:val="-3"/>
                <w:sz w:val="22"/>
                <w:lang w:eastAsia="da-DK"/>
              </w:rPr>
              <w:t>≥ 18 år</w:t>
            </w:r>
          </w:p>
          <w:p w:rsidR="00E24BC3" w:rsidRDefault="00E24BC3" w:rsidP="003B4BCE">
            <w:pPr>
              <w:autoSpaceDE w:val="0"/>
              <w:autoSpaceDN w:val="0"/>
              <w:adjustRightInd w:val="0"/>
              <w:spacing w:line="276" w:lineRule="auto"/>
              <w:ind w:left="57"/>
              <w:rPr>
                <w:rFonts w:ascii="Times New Roman" w:hAnsi="Times New Roman"/>
                <w:b/>
                <w:iCs/>
                <w:spacing w:val="-3"/>
                <w:sz w:val="22"/>
                <w:lang w:eastAsia="da-DK"/>
              </w:rPr>
            </w:pPr>
            <w:r>
              <w:rPr>
                <w:rFonts w:ascii="Times New Roman" w:hAnsi="Times New Roman"/>
                <w:b/>
                <w:spacing w:val="-3"/>
                <w:sz w:val="22"/>
                <w:lang w:eastAsia="da-DK"/>
              </w:rPr>
              <w:t>(n = 160)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rPr>
                <w:rFonts w:ascii="Times New Roman" w:hAnsi="Times New Roman"/>
                <w:b/>
                <w:spacing w:val="-3"/>
                <w:sz w:val="22"/>
                <w:lang w:eastAsia="da-DK"/>
              </w:rPr>
            </w:pPr>
            <w:r>
              <w:rPr>
                <w:rFonts w:ascii="Times New Roman" w:hAnsi="Times New Roman"/>
                <w:b/>
                <w:spacing w:val="-3"/>
                <w:sz w:val="22"/>
                <w:lang w:eastAsia="da-DK"/>
              </w:rPr>
              <w:t>&lt; 4 måneder (n = 14)</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b/>
                <w:iCs/>
                <w:spacing w:val="-3"/>
                <w:sz w:val="22"/>
                <w:lang w:eastAsia="da-DK"/>
              </w:rPr>
            </w:pPr>
            <w:r>
              <w:rPr>
                <w:rFonts w:ascii="Times New Roman" w:hAnsi="Times New Roman"/>
                <w:b/>
                <w:spacing w:val="-3"/>
                <w:sz w:val="22"/>
                <w:lang w:eastAsia="da-DK"/>
              </w:rPr>
              <w:t xml:space="preserve">&lt; 4 måneder -  </w:t>
            </w:r>
            <w:r>
              <w:rPr>
                <w:rFonts w:ascii="Times New Roman" w:hAnsi="Times New Roman"/>
                <w:b/>
                <w:bCs/>
              </w:rPr>
              <w:t>≤</w:t>
            </w:r>
            <w:r>
              <w:rPr>
                <w:rFonts w:ascii="Times New Roman" w:hAnsi="Times New Roman"/>
                <w:b/>
                <w:spacing w:val="-3"/>
                <w:sz w:val="22"/>
                <w:lang w:eastAsia="da-DK"/>
              </w:rPr>
              <w:t> 2 år</w:t>
            </w:r>
          </w:p>
          <w:p w:rsidR="00E24BC3" w:rsidRDefault="00E24BC3" w:rsidP="003B4BCE">
            <w:pPr>
              <w:autoSpaceDE w:val="0"/>
              <w:autoSpaceDN w:val="0"/>
              <w:adjustRightInd w:val="0"/>
              <w:spacing w:line="276" w:lineRule="auto"/>
              <w:ind w:left="54"/>
              <w:rPr>
                <w:rFonts w:ascii="Times New Roman" w:hAnsi="Times New Roman"/>
                <w:b/>
                <w:iCs/>
                <w:spacing w:val="-3"/>
                <w:sz w:val="22"/>
                <w:lang w:eastAsia="da-DK"/>
              </w:rPr>
            </w:pPr>
            <w:r>
              <w:rPr>
                <w:rFonts w:ascii="Times New Roman" w:hAnsi="Times New Roman"/>
                <w:b/>
                <w:spacing w:val="-3"/>
                <w:sz w:val="22"/>
                <w:lang w:eastAsia="da-DK"/>
              </w:rPr>
              <w:t>(n = 17)</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b/>
                <w:iCs/>
                <w:spacing w:val="-3"/>
                <w:sz w:val="22"/>
                <w:lang w:eastAsia="da-DK"/>
              </w:rPr>
            </w:pPr>
            <w:r>
              <w:rPr>
                <w:rFonts w:ascii="Times New Roman" w:hAnsi="Times New Roman"/>
                <w:b/>
                <w:spacing w:val="-3"/>
                <w:sz w:val="22"/>
                <w:lang w:eastAsia="da-DK"/>
              </w:rPr>
              <w:t>&gt; 2 - &lt; 12 år</w:t>
            </w:r>
          </w:p>
          <w:p w:rsidR="00E24BC3" w:rsidRDefault="00E24BC3" w:rsidP="003B4BCE">
            <w:pPr>
              <w:autoSpaceDE w:val="0"/>
              <w:autoSpaceDN w:val="0"/>
              <w:adjustRightInd w:val="0"/>
              <w:spacing w:line="276" w:lineRule="auto"/>
              <w:ind w:left="54"/>
              <w:rPr>
                <w:rFonts w:ascii="Times New Roman" w:hAnsi="Times New Roman"/>
                <w:b/>
                <w:iCs/>
                <w:spacing w:val="-3"/>
                <w:sz w:val="22"/>
                <w:lang w:eastAsia="da-DK"/>
              </w:rPr>
            </w:pPr>
            <w:r>
              <w:rPr>
                <w:rFonts w:ascii="Times New Roman" w:hAnsi="Times New Roman"/>
                <w:b/>
                <w:spacing w:val="-3"/>
                <w:sz w:val="22"/>
                <w:lang w:eastAsia="da-DK"/>
              </w:rPr>
              <w:t>(n = 21)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b/>
                <w:iCs/>
                <w:spacing w:val="-3"/>
                <w:sz w:val="22"/>
                <w:lang w:eastAsia="da-DK"/>
              </w:rPr>
            </w:pPr>
            <w:r>
              <w:rPr>
                <w:rFonts w:ascii="Times New Roman" w:hAnsi="Times New Roman"/>
                <w:b/>
                <w:spacing w:val="-3"/>
                <w:sz w:val="22"/>
                <w:lang w:eastAsia="da-DK"/>
              </w:rPr>
              <w:t>≥ 12 år – 16 år</w:t>
            </w:r>
          </w:p>
          <w:p w:rsidR="00E24BC3" w:rsidRDefault="00E24BC3" w:rsidP="003B4BCE">
            <w:pPr>
              <w:autoSpaceDE w:val="0"/>
              <w:autoSpaceDN w:val="0"/>
              <w:adjustRightInd w:val="0"/>
              <w:spacing w:line="276" w:lineRule="auto"/>
              <w:ind w:left="54"/>
              <w:rPr>
                <w:rFonts w:ascii="Times New Roman" w:hAnsi="Times New Roman"/>
                <w:b/>
                <w:iCs/>
                <w:spacing w:val="-3"/>
                <w:sz w:val="22"/>
                <w:lang w:eastAsia="da-DK"/>
              </w:rPr>
            </w:pPr>
            <w:r>
              <w:rPr>
                <w:rFonts w:ascii="Times New Roman" w:hAnsi="Times New Roman"/>
                <w:b/>
                <w:spacing w:val="-3"/>
                <w:sz w:val="22"/>
                <w:lang w:eastAsia="da-DK"/>
              </w:rPr>
              <w:t>(n = 25)</w:t>
            </w:r>
          </w:p>
        </w:tc>
      </w:tr>
      <w:tr w:rsidR="00E24BC3" w:rsidTr="003B4BCE">
        <w:trPr>
          <w:trHeight w:val="328"/>
        </w:trPr>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34"/>
              <w:rPr>
                <w:rFonts w:ascii="Times New Roman" w:hAnsi="Times New Roman"/>
                <w:iCs/>
                <w:spacing w:val="-3"/>
                <w:sz w:val="22"/>
                <w:lang w:val="en-US" w:eastAsia="da-DK"/>
              </w:rPr>
            </w:pPr>
            <w:r>
              <w:rPr>
                <w:rFonts w:ascii="Times New Roman" w:hAnsi="Times New Roman"/>
                <w:spacing w:val="-3"/>
                <w:sz w:val="22"/>
                <w:lang w:val="en-US" w:eastAsia="da-DK"/>
              </w:rPr>
              <w:t>AUC</w:t>
            </w:r>
            <w:r>
              <w:rPr>
                <w:rFonts w:ascii="Times New Roman" w:hAnsi="Times New Roman"/>
                <w:spacing w:val="-3"/>
                <w:sz w:val="22"/>
                <w:vertAlign w:val="subscript"/>
                <w:lang w:val="en-US" w:eastAsia="da-DK"/>
              </w:rPr>
              <w:t xml:space="preserve">0-24t </w:t>
            </w:r>
            <w:r>
              <w:rPr>
                <w:rFonts w:ascii="Times New Roman" w:hAnsi="Times New Roman"/>
                <w:spacing w:val="-3"/>
                <w:sz w:val="22"/>
                <w:lang w:val="en-US" w:eastAsia="da-DK"/>
              </w:rPr>
              <w:t>(</w:t>
            </w:r>
            <w:r>
              <w:rPr>
                <w:rFonts w:ascii="Times New Roman" w:hAnsi="Times New Roman"/>
                <w:spacing w:val="-3"/>
                <w:sz w:val="22"/>
                <w:lang w:eastAsia="da-DK"/>
              </w:rPr>
              <w:t>μ</w:t>
            </w:r>
            <w:r>
              <w:rPr>
                <w:rFonts w:ascii="Times New Roman" w:hAnsi="Times New Roman"/>
                <w:spacing w:val="-3"/>
                <w:sz w:val="22"/>
                <w:lang w:val="en-US" w:eastAsia="da-DK"/>
              </w:rPr>
              <w:t>g·time/ml)</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7"/>
              <w:rPr>
                <w:rFonts w:ascii="Times New Roman" w:hAnsi="Times New Roman"/>
                <w:iCs/>
                <w:spacing w:val="-3"/>
                <w:sz w:val="22"/>
                <w:lang w:eastAsia="da-DK"/>
              </w:rPr>
            </w:pPr>
            <w:r>
              <w:rPr>
                <w:rFonts w:ascii="Times New Roman" w:hAnsi="Times New Roman"/>
                <w:spacing w:val="-3"/>
                <w:sz w:val="22"/>
                <w:lang w:eastAsia="da-DK"/>
              </w:rPr>
              <w:t>46,3 ± 15,2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rPr>
                <w:spacing w:val="-3"/>
                <w:sz w:val="22"/>
                <w:lang w:eastAsia="da-DK"/>
              </w:rPr>
            </w:pPr>
            <w:r>
              <w:rPr>
                <w:rFonts w:ascii="Times New Roman" w:hAnsi="Times New Roman"/>
                <w:iCs/>
                <w:spacing w:val="-3"/>
              </w:rPr>
              <w:t xml:space="preserve">68,1 ± 19,8 </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64,3 ± 29,2</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59,2 ± 15,1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50,3 ± 15,0</w:t>
            </w:r>
          </w:p>
        </w:tc>
      </w:tr>
      <w:tr w:rsidR="00E24BC3" w:rsidTr="003B4BCE">
        <w:trPr>
          <w:trHeight w:val="328"/>
        </w:trPr>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34"/>
              <w:rPr>
                <w:rFonts w:ascii="Times New Roman" w:hAnsi="Times New Roman"/>
                <w:spacing w:val="-3"/>
                <w:sz w:val="22"/>
                <w:lang w:val="en-US" w:eastAsia="da-DK"/>
              </w:rPr>
            </w:pPr>
            <w:r>
              <w:rPr>
                <w:rStyle w:val="TextTi10Char"/>
                <w:rFonts w:ascii="Times New Roman" w:eastAsia="SimSun" w:hAnsi="Times New Roman"/>
                <w:sz w:val="22"/>
              </w:rPr>
              <w:t xml:space="preserve">AUC </w:t>
            </w:r>
            <w:r>
              <w:rPr>
                <w:rStyle w:val="TextTi10Char"/>
                <w:rFonts w:ascii="Times New Roman" w:eastAsia="SimSun" w:hAnsi="Times New Roman"/>
                <w:sz w:val="22"/>
                <w:vertAlign w:val="subscript"/>
              </w:rPr>
              <w:t xml:space="preserve">(0-24timer) </w:t>
            </w:r>
            <w:r>
              <w:rPr>
                <w:rStyle w:val="TextTi10Char"/>
                <w:rFonts w:ascii="Times New Roman" w:eastAsia="SimSun" w:hAnsi="Times New Roman"/>
                <w:sz w:val="22"/>
              </w:rPr>
              <w:t xml:space="preserve">interval </w:t>
            </w:r>
            <w:r>
              <w:rPr>
                <w:rFonts w:ascii="Times New Roman" w:hAnsi="Times New Roman"/>
                <w:spacing w:val="-3"/>
                <w:sz w:val="22"/>
                <w:lang w:val="en-US" w:eastAsia="da-DK"/>
              </w:rPr>
              <w:t>(</w:t>
            </w:r>
            <w:r>
              <w:rPr>
                <w:rFonts w:ascii="Times New Roman" w:hAnsi="Times New Roman"/>
                <w:spacing w:val="-3"/>
                <w:sz w:val="22"/>
                <w:lang w:eastAsia="da-DK"/>
              </w:rPr>
              <w:t>μ</w:t>
            </w:r>
            <w:r>
              <w:rPr>
                <w:rFonts w:ascii="Times New Roman" w:hAnsi="Times New Roman"/>
                <w:spacing w:val="-3"/>
                <w:sz w:val="22"/>
                <w:lang w:val="en-US" w:eastAsia="da-DK"/>
              </w:rPr>
              <w:t>g·time/ml)</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7"/>
              <w:rPr>
                <w:spacing w:val="-3"/>
                <w:sz w:val="22"/>
                <w:lang w:val="en-US" w:eastAsia="da-DK"/>
              </w:rPr>
            </w:pPr>
            <w:r>
              <w:rPr>
                <w:rFonts w:ascii="Times New Roman" w:hAnsi="Times New Roman"/>
                <w:iCs/>
                <w:spacing w:val="-3"/>
              </w:rPr>
              <w:t>15,4 – 116,1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rPr>
                <w:spacing w:val="-3"/>
                <w:sz w:val="22"/>
                <w:lang w:val="en-US" w:eastAsia="da-DK"/>
              </w:rPr>
            </w:pPr>
            <w:r>
              <w:rPr>
                <w:rFonts w:ascii="Times New Roman" w:hAnsi="Times New Roman"/>
                <w:iCs/>
                <w:spacing w:val="-3"/>
              </w:rPr>
              <w:t xml:space="preserve">34 – 124 </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rPr>
                <w:spacing w:val="-3"/>
                <w:sz w:val="22"/>
                <w:lang w:val="en-US" w:eastAsia="da-DK"/>
              </w:rPr>
            </w:pPr>
            <w:r>
              <w:rPr>
                <w:rFonts w:ascii="Times New Roman" w:hAnsi="Times New Roman"/>
                <w:iCs/>
                <w:spacing w:val="-3"/>
              </w:rPr>
              <w:t>34 - 152</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rPr>
                <w:spacing w:val="-3"/>
                <w:sz w:val="22"/>
                <w:lang w:val="en-US" w:eastAsia="da-DK"/>
              </w:rPr>
            </w:pPr>
            <w:r>
              <w:rPr>
                <w:rFonts w:ascii="Times New Roman" w:hAnsi="Times New Roman"/>
                <w:iCs/>
                <w:spacing w:val="-3"/>
              </w:rPr>
              <w:t>36 - 108</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rPr>
                <w:spacing w:val="-3"/>
                <w:sz w:val="22"/>
                <w:lang w:val="en-US" w:eastAsia="da-DK"/>
              </w:rPr>
            </w:pPr>
            <w:r>
              <w:rPr>
                <w:rFonts w:ascii="Times New Roman" w:hAnsi="Times New Roman"/>
                <w:iCs/>
                <w:spacing w:val="-3"/>
              </w:rPr>
              <w:t>22 - 93</w:t>
            </w:r>
          </w:p>
        </w:tc>
      </w:tr>
      <w:tr w:rsidR="00E24BC3" w:rsidTr="003B4BCE">
        <w:trPr>
          <w:trHeight w:val="328"/>
        </w:trPr>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34"/>
              <w:rPr>
                <w:rFonts w:ascii="Times New Roman" w:hAnsi="Times New Roman"/>
                <w:iCs/>
                <w:spacing w:val="-3"/>
                <w:sz w:val="22"/>
                <w:lang w:eastAsia="da-DK"/>
              </w:rPr>
            </w:pPr>
            <w:r>
              <w:rPr>
                <w:rFonts w:ascii="Times New Roman" w:hAnsi="Times New Roman"/>
                <w:spacing w:val="-3"/>
                <w:sz w:val="22"/>
                <w:lang w:eastAsia="da-DK"/>
              </w:rPr>
              <w:t>C</w:t>
            </w:r>
            <w:r>
              <w:rPr>
                <w:rFonts w:ascii="Times New Roman" w:hAnsi="Times New Roman"/>
                <w:spacing w:val="-3"/>
                <w:sz w:val="22"/>
                <w:vertAlign w:val="subscript"/>
                <w:lang w:eastAsia="da-DK"/>
              </w:rPr>
              <w:t>max</w:t>
            </w:r>
            <w:r>
              <w:rPr>
                <w:rFonts w:ascii="Times New Roman" w:hAnsi="Times New Roman"/>
                <w:spacing w:val="-3"/>
                <w:sz w:val="22"/>
                <w:lang w:eastAsia="da-DK"/>
              </w:rPr>
              <w:t xml:space="preserve"> (μg/ml)</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7"/>
              <w:rPr>
                <w:rFonts w:ascii="Times New Roman" w:hAnsi="Times New Roman"/>
                <w:iCs/>
                <w:spacing w:val="-3"/>
                <w:sz w:val="22"/>
                <w:lang w:eastAsia="da-DK"/>
              </w:rPr>
            </w:pPr>
            <w:r>
              <w:rPr>
                <w:rFonts w:ascii="Times New Roman" w:hAnsi="Times New Roman"/>
                <w:spacing w:val="-3"/>
                <w:sz w:val="22"/>
                <w:lang w:eastAsia="da-DK"/>
              </w:rPr>
              <w:t>5,3 ±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rPr>
                <w:spacing w:val="-3"/>
                <w:sz w:val="22"/>
                <w:lang w:eastAsia="da-DK"/>
              </w:rPr>
            </w:pPr>
            <w:r>
              <w:rPr>
                <w:rFonts w:ascii="Times New Roman" w:hAnsi="Times New Roman"/>
                <w:iCs/>
                <w:spacing w:val="-3"/>
              </w:rPr>
              <w:t>10,5 ± 3,36</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10,3 ± 3,3</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9,4 ± 2,7</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8,0 ± 2,4</w:t>
            </w:r>
          </w:p>
        </w:tc>
      </w:tr>
      <w:tr w:rsidR="00E24BC3" w:rsidTr="003B4BCE">
        <w:trPr>
          <w:trHeight w:val="328"/>
        </w:trPr>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34"/>
              <w:rPr>
                <w:rFonts w:ascii="Times New Roman" w:hAnsi="Times New Roman"/>
                <w:iCs/>
                <w:spacing w:val="-3"/>
                <w:sz w:val="22"/>
                <w:lang w:eastAsia="da-DK"/>
              </w:rPr>
            </w:pPr>
            <w:r>
              <w:rPr>
                <w:rFonts w:ascii="Times New Roman" w:hAnsi="Times New Roman"/>
                <w:spacing w:val="-3"/>
                <w:sz w:val="22"/>
                <w:lang w:eastAsia="da-DK"/>
              </w:rPr>
              <w:t>Clearance (l/time)</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7"/>
              <w:rPr>
                <w:rFonts w:ascii="Times New Roman" w:hAnsi="Times New Roman"/>
                <w:iCs/>
                <w:spacing w:val="-3"/>
                <w:sz w:val="22"/>
                <w:lang w:eastAsia="da-DK"/>
              </w:rPr>
            </w:pPr>
            <w:r>
              <w:rPr>
                <w:rFonts w:ascii="Times New Roman" w:hAnsi="Times New Roman"/>
                <w:spacing w:val="-3"/>
                <w:sz w:val="22"/>
                <w:lang w:eastAsia="da-DK"/>
              </w:rPr>
              <w:t>12,7 ± 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ind w:left="54"/>
              <w:rPr>
                <w:spacing w:val="-3"/>
                <w:sz w:val="22"/>
                <w:lang w:eastAsia="da-DK"/>
              </w:rPr>
            </w:pPr>
            <w:r>
              <w:rPr>
                <w:rFonts w:ascii="Times New Roman" w:hAnsi="Times New Roman"/>
                <w:iCs/>
                <w:spacing w:val="-3"/>
              </w:rPr>
              <w:t xml:space="preserve">1,25 ± 0,473 </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2,5 ± 2,4</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4,5 ± 2,9</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6,4 ± 2,9</w:t>
            </w:r>
          </w:p>
        </w:tc>
      </w:tr>
      <w:tr w:rsidR="00E24BC3" w:rsidTr="003B4BCE">
        <w:trPr>
          <w:trHeight w:val="328"/>
        </w:trPr>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34"/>
              <w:rPr>
                <w:rFonts w:ascii="Times New Roman" w:hAnsi="Times New Roman"/>
                <w:iCs/>
                <w:spacing w:val="-3"/>
                <w:sz w:val="22"/>
                <w:lang w:eastAsia="da-DK"/>
              </w:rPr>
            </w:pPr>
            <w:r>
              <w:rPr>
                <w:rFonts w:ascii="Times New Roman" w:hAnsi="Times New Roman"/>
                <w:spacing w:val="-3"/>
                <w:sz w:val="22"/>
                <w:lang w:eastAsia="da-DK"/>
              </w:rPr>
              <w:t>t½ (timer)</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7"/>
              <w:rPr>
                <w:rFonts w:ascii="Times New Roman" w:hAnsi="Times New Roman"/>
                <w:iCs/>
                <w:spacing w:val="-3"/>
                <w:sz w:val="22"/>
                <w:lang w:eastAsia="da-DK"/>
              </w:rPr>
            </w:pPr>
            <w:r>
              <w:rPr>
                <w:rFonts w:ascii="Times New Roman" w:hAnsi="Times New Roman"/>
                <w:spacing w:val="-3"/>
                <w:sz w:val="22"/>
                <w:lang w:eastAsia="da-DK"/>
              </w:rPr>
              <w:t>6,5 ± 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BC3" w:rsidRDefault="00E24BC3" w:rsidP="003B4BCE">
            <w:pPr>
              <w:autoSpaceDE w:val="0"/>
              <w:autoSpaceDN w:val="0"/>
              <w:adjustRightInd w:val="0"/>
              <w:rPr>
                <w:iCs/>
                <w:spacing w:val="-3"/>
                <w:sz w:val="22"/>
              </w:rPr>
            </w:pPr>
            <w:r>
              <w:rPr>
                <w:rFonts w:ascii="Times New Roman" w:hAnsi="Times New Roman"/>
                <w:iCs/>
                <w:spacing w:val="-3"/>
              </w:rPr>
              <w:t xml:space="preserve">1,97 ± 0,185 </w:t>
            </w:r>
          </w:p>
          <w:p w:rsidR="00E24BC3" w:rsidRDefault="00E24BC3" w:rsidP="003B4BCE">
            <w:pPr>
              <w:autoSpaceDE w:val="0"/>
              <w:autoSpaceDN w:val="0"/>
              <w:adjustRightInd w:val="0"/>
              <w:spacing w:line="276" w:lineRule="auto"/>
              <w:ind w:left="54"/>
              <w:rPr>
                <w:spacing w:val="-3"/>
                <w:sz w:val="22"/>
                <w:lang w:eastAsia="da-DK"/>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3,1 ± 1,4</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4,1 ± 1,3</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ind w:left="54"/>
              <w:rPr>
                <w:rFonts w:ascii="Times New Roman" w:hAnsi="Times New Roman"/>
                <w:iCs/>
                <w:spacing w:val="-3"/>
                <w:sz w:val="22"/>
                <w:lang w:eastAsia="da-DK"/>
              </w:rPr>
            </w:pPr>
            <w:r>
              <w:rPr>
                <w:rFonts w:ascii="Times New Roman" w:hAnsi="Times New Roman"/>
                <w:spacing w:val="-3"/>
                <w:sz w:val="22"/>
                <w:lang w:eastAsia="da-DK"/>
              </w:rPr>
              <w:t>5,5 ± 1,1</w:t>
            </w:r>
          </w:p>
        </w:tc>
      </w:tr>
    </w:tbl>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 Uddrag fra studierapport PV 16000</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Valganciclovir-doseringen en gang daglig var baseret på legemsoverflade (BSA) og kreatininclearance (Clcr) udledt fra en modificeret Schwartz-formel og blev beregnet ved brug af doseringsalgoritmen, der blev præsenteret i pkt. 4.2.</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 xml:space="preserve">Ganciclovirs farmakokinetik efterfulgt af valganciclovir administration blev også undersøgt i to studier hos nyfødte og spædbørn med symptomatisk medfødt CMV-sygdom. I det første studie fik 24 nyfødte i alderen 8 til 34 dage 6 mg/kg intravenøs ganciclovir to gange daglig. Patienter blev derefter behandlet med oral valganciclovir, hvor dosen af valganciclovir-pulver til oral suspension varierede fra 14 mg/kg til 20 mg/kg to gange daglig. Samlet behandlingstid var 6 uger. En dosis på 16 mg/kg to gange daglig af valganciclovir-pulver til oral suspension gav hos nyfødte sammenlignelig ganciclovir-eksponering som med en dosis på 6 mg/kg intravenøs ganciclovir to gange daglig og opnåede ganciclovir-eksponering svarende til den effektive 5 mg/kg intravenøse dosis til voksne. </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I det anden studie fik 109 nyfødte i alderen 2 til 30 dage 16 mg/kg valganciclovir-pulver til oral suspension to gange daglig i 6 uger og efterfølgende blev 96 ud af 109 tilmeldte patienter randomiseret til at fortsætte med at modtage valganciclovir eller placebo i 6 måneder. Den gennemsnitlige AUC</w:t>
      </w:r>
      <w:r>
        <w:rPr>
          <w:rFonts w:eastAsiaTheme="minorEastAsia"/>
          <w:spacing w:val="-3"/>
          <w:sz w:val="24"/>
          <w:szCs w:val="24"/>
          <w:vertAlign w:val="subscript"/>
          <w:lang w:eastAsia="da-DK"/>
        </w:rPr>
        <w:t>0-12 timer</w:t>
      </w:r>
      <w:r>
        <w:rPr>
          <w:rFonts w:eastAsiaTheme="minorEastAsia"/>
          <w:spacing w:val="-3"/>
          <w:sz w:val="24"/>
          <w:szCs w:val="24"/>
          <w:lang w:eastAsia="da-DK"/>
        </w:rPr>
        <w:t xml:space="preserve"> var dog lavere i forhold til de gennemsnitlige AUC</w:t>
      </w:r>
      <w:r>
        <w:rPr>
          <w:rFonts w:eastAsiaTheme="minorEastAsia"/>
          <w:spacing w:val="-3"/>
          <w:sz w:val="24"/>
          <w:szCs w:val="24"/>
          <w:vertAlign w:val="subscript"/>
          <w:lang w:eastAsia="da-DK"/>
        </w:rPr>
        <w:t>0-12 timer</w:t>
      </w:r>
      <w:r>
        <w:rPr>
          <w:rFonts w:eastAsiaTheme="minorEastAsia"/>
          <w:spacing w:val="-3"/>
          <w:sz w:val="24"/>
          <w:szCs w:val="24"/>
          <w:lang w:eastAsia="da-DK"/>
        </w:rPr>
        <w:t xml:space="preserve"> værdier fra det første studie. Nedenstående tabel viser middelværdierne af AUC, C</w:t>
      </w:r>
      <w:r>
        <w:rPr>
          <w:rFonts w:eastAsiaTheme="minorEastAsia"/>
          <w:spacing w:val="-3"/>
          <w:sz w:val="24"/>
          <w:szCs w:val="24"/>
          <w:vertAlign w:val="subscript"/>
          <w:lang w:eastAsia="da-DK"/>
        </w:rPr>
        <w:t>max</w:t>
      </w:r>
      <w:r>
        <w:rPr>
          <w:rFonts w:eastAsiaTheme="minorEastAsia"/>
          <w:spacing w:val="-3"/>
          <w:sz w:val="24"/>
          <w:szCs w:val="24"/>
          <w:lang w:eastAsia="da-DK"/>
        </w:rPr>
        <w:t xml:space="preserve"> og t</w:t>
      </w:r>
      <w:r>
        <w:rPr>
          <w:rFonts w:eastAsiaTheme="minorEastAsia"/>
          <w:spacing w:val="-3"/>
          <w:sz w:val="24"/>
          <w:szCs w:val="24"/>
          <w:vertAlign w:val="subscript"/>
          <w:lang w:eastAsia="da-DK"/>
        </w:rPr>
        <w:t>1/2</w:t>
      </w:r>
      <w:r>
        <w:rPr>
          <w:rFonts w:eastAsiaTheme="minorEastAsia"/>
          <w:spacing w:val="-3"/>
          <w:sz w:val="24"/>
          <w:szCs w:val="24"/>
          <w:lang w:eastAsia="da-DK"/>
        </w:rPr>
        <w:t xml:space="preserve"> herunder standardafvigelser sammenlignet med voksne data:</w:t>
      </w:r>
    </w:p>
    <w:p w:rsidR="00E24BC3" w:rsidRDefault="00E24BC3" w:rsidP="00E24BC3">
      <w:pPr>
        <w:autoSpaceDE w:val="0"/>
        <w:autoSpaceDN w:val="0"/>
        <w:adjustRightInd w:val="0"/>
        <w:ind w:left="851"/>
        <w:rPr>
          <w:rFonts w:eastAsiaTheme="minorEastAsia"/>
          <w:iCs/>
          <w:spacing w:val="-3"/>
          <w:sz w:val="24"/>
          <w:szCs w:val="24"/>
          <w:lang w:eastAsia="da-DK"/>
        </w:rPr>
      </w:pPr>
    </w:p>
    <w:tbl>
      <w:tblPr>
        <w:tblStyle w:val="Tabel-Gitter"/>
        <w:tblW w:w="9185" w:type="dxa"/>
        <w:tblInd w:w="846" w:type="dxa"/>
        <w:tblLook w:val="04A0" w:firstRow="1" w:lastRow="0" w:firstColumn="1" w:lastColumn="0" w:noHBand="0" w:noVBand="1"/>
      </w:tblPr>
      <w:tblGrid>
        <w:gridCol w:w="1956"/>
        <w:gridCol w:w="1984"/>
        <w:gridCol w:w="1701"/>
        <w:gridCol w:w="1701"/>
        <w:gridCol w:w="1843"/>
      </w:tblGrid>
      <w:tr w:rsidR="00E24BC3" w:rsidTr="003B4BCE">
        <w:trPr>
          <w:trHeight w:val="367"/>
        </w:trPr>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b/>
                <w:iCs/>
                <w:spacing w:val="-3"/>
                <w:sz w:val="22"/>
                <w:lang w:eastAsia="da-DK"/>
              </w:rPr>
            </w:pPr>
            <w:r>
              <w:rPr>
                <w:rFonts w:ascii="Times New Roman" w:hAnsi="Times New Roman"/>
                <w:b/>
                <w:spacing w:val="-3"/>
                <w:sz w:val="22"/>
                <w:lang w:eastAsia="da-DK"/>
              </w:rPr>
              <w:t>Farmakokinetisk 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b/>
                <w:iCs/>
                <w:spacing w:val="-3"/>
                <w:sz w:val="22"/>
                <w:lang w:eastAsia="da-DK"/>
              </w:rPr>
            </w:pPr>
            <w:r>
              <w:rPr>
                <w:rFonts w:ascii="Times New Roman" w:hAnsi="Times New Roman"/>
                <w:b/>
                <w:spacing w:val="-3"/>
                <w:sz w:val="22"/>
                <w:lang w:eastAsia="da-DK"/>
              </w:rPr>
              <w:t>Voksne</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b/>
                <w:spacing w:val="-3"/>
                <w:sz w:val="22"/>
                <w:lang w:eastAsia="da-DK"/>
              </w:rPr>
            </w:pPr>
            <w:r>
              <w:rPr>
                <w:rFonts w:ascii="Times New Roman" w:hAnsi="Times New Roman"/>
                <w:b/>
                <w:sz w:val="22"/>
                <w:lang w:eastAsia="ja-JP"/>
              </w:rPr>
              <w:t>Pædiatriske patienter (nyfødte og spædbørn)</w:t>
            </w:r>
          </w:p>
        </w:tc>
      </w:tr>
      <w:tr w:rsidR="00E24BC3" w:rsidTr="003B4BCE">
        <w:trPr>
          <w:trHeight w:val="549"/>
        </w:trPr>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4BC3" w:rsidRDefault="00E24BC3" w:rsidP="003B4BCE">
            <w:pPr>
              <w:autoSpaceDE w:val="0"/>
              <w:autoSpaceDN w:val="0"/>
              <w:adjustRightInd w:val="0"/>
              <w:spacing w:line="276" w:lineRule="auto"/>
              <w:rPr>
                <w:rFonts w:ascii="Times New Roman" w:hAnsi="Times New Roman"/>
                <w:b/>
                <w:iCs/>
                <w:spacing w:val="-3"/>
                <w:sz w:val="22"/>
                <w:lang w:eastAsia="da-DK"/>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b/>
                <w:iCs/>
                <w:spacing w:val="-3"/>
                <w:sz w:val="22"/>
                <w:lang w:eastAsia="da-DK"/>
              </w:rPr>
            </w:pPr>
            <w:r>
              <w:rPr>
                <w:rFonts w:ascii="Times New Roman" w:hAnsi="Times New Roman"/>
                <w:b/>
                <w:spacing w:val="-3"/>
                <w:sz w:val="22"/>
                <w:lang w:eastAsia="da-DK"/>
              </w:rPr>
              <w:t>5 mg/kg GAN Enkelt dosis (n=8)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b/>
                <w:iCs/>
                <w:spacing w:val="-3"/>
                <w:sz w:val="22"/>
                <w:lang w:eastAsia="da-DK"/>
              </w:rPr>
            </w:pPr>
            <w:r>
              <w:rPr>
                <w:rFonts w:ascii="Times New Roman" w:hAnsi="Times New Roman"/>
                <w:b/>
                <w:spacing w:val="-3"/>
                <w:sz w:val="22"/>
                <w:lang w:eastAsia="da-DK"/>
              </w:rPr>
              <w:t>6 mg/kg GAN To gange daglig (n=19)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b/>
                <w:iCs/>
                <w:spacing w:val="-3"/>
                <w:sz w:val="22"/>
                <w:lang w:eastAsia="da-DK"/>
              </w:rPr>
            </w:pPr>
            <w:r>
              <w:rPr>
                <w:rFonts w:ascii="Times New Roman" w:hAnsi="Times New Roman"/>
                <w:b/>
                <w:spacing w:val="-3"/>
                <w:sz w:val="22"/>
                <w:lang w:eastAsia="da-DK"/>
              </w:rPr>
              <w:t>16 mg/kg VAL To gange daglig (n=19)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spacing w:line="360" w:lineRule="auto"/>
              <w:jc w:val="center"/>
              <w:rPr>
                <w:rFonts w:ascii="Times New Roman" w:hAnsi="Times New Roman"/>
                <w:b/>
                <w:sz w:val="22"/>
                <w:lang w:eastAsia="ja-JP"/>
              </w:rPr>
            </w:pPr>
            <w:r>
              <w:rPr>
                <w:rFonts w:ascii="Times New Roman" w:hAnsi="Times New Roman"/>
                <w:b/>
                <w:sz w:val="22"/>
                <w:lang w:eastAsia="ja-JP"/>
              </w:rPr>
              <w:t>16 mg/kg VAL To gange dagligt</w:t>
            </w:r>
          </w:p>
          <w:p w:rsidR="00E24BC3" w:rsidRDefault="00E24BC3" w:rsidP="003B4BCE">
            <w:pPr>
              <w:autoSpaceDE w:val="0"/>
              <w:autoSpaceDN w:val="0"/>
              <w:adjustRightInd w:val="0"/>
              <w:spacing w:line="276" w:lineRule="auto"/>
              <w:rPr>
                <w:rFonts w:ascii="Times New Roman" w:hAnsi="Times New Roman"/>
                <w:b/>
                <w:spacing w:val="-3"/>
                <w:sz w:val="22"/>
                <w:lang w:eastAsia="da-DK"/>
              </w:rPr>
            </w:pPr>
            <w:r>
              <w:rPr>
                <w:rFonts w:ascii="Times New Roman" w:hAnsi="Times New Roman"/>
                <w:b/>
                <w:sz w:val="22"/>
                <w:lang w:val="en-US" w:eastAsia="ja-JP"/>
              </w:rPr>
              <w:t>(n = 100)</w:t>
            </w:r>
          </w:p>
        </w:tc>
      </w:tr>
      <w:tr w:rsidR="00E24BC3" w:rsidTr="003B4BCE">
        <w:trPr>
          <w:trHeight w:val="315"/>
        </w:trPr>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AUC</w:t>
            </w:r>
            <w:r>
              <w:rPr>
                <w:rFonts w:ascii="Times New Roman" w:hAnsi="Times New Roman"/>
                <w:spacing w:val="-3"/>
                <w:sz w:val="22"/>
                <w:vertAlign w:val="subscript"/>
                <w:lang w:eastAsia="da-DK"/>
              </w:rPr>
              <w:t>0-∞</w:t>
            </w:r>
            <w:r>
              <w:rPr>
                <w:rFonts w:ascii="Times New Roman" w:hAnsi="Times New Roman"/>
                <w:spacing w:val="-3"/>
                <w:sz w:val="22"/>
                <w:lang w:eastAsia="da-DK"/>
              </w:rPr>
              <w:t xml:space="preserve"> (mg.time/l)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25,4 ± 4,32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rPr>
                <w:rFonts w:ascii="Times New Roman" w:hAnsi="Times New Roman"/>
                <w:spacing w:val="-3"/>
                <w:sz w:val="22"/>
                <w:lang w:eastAsia="da-DK"/>
              </w:rPr>
            </w:pPr>
            <w:r>
              <w:rPr>
                <w:rFonts w:ascii="Times New Roman" w:hAnsi="Times New Roman"/>
                <w:sz w:val="22"/>
                <w:lang w:val="en-US" w:eastAsia="ja-JP"/>
              </w:rPr>
              <w:t>-</w:t>
            </w:r>
          </w:p>
        </w:tc>
      </w:tr>
      <w:tr w:rsidR="00E24BC3" w:rsidTr="003B4BCE">
        <w:trPr>
          <w:trHeight w:val="315"/>
        </w:trPr>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AUC</w:t>
            </w:r>
            <w:r>
              <w:rPr>
                <w:rFonts w:ascii="Times New Roman" w:hAnsi="Times New Roman"/>
                <w:spacing w:val="-3"/>
                <w:sz w:val="22"/>
                <w:vertAlign w:val="subscript"/>
                <w:lang w:eastAsia="da-DK"/>
              </w:rPr>
              <w:t>12h</w:t>
            </w:r>
            <w:r>
              <w:rPr>
                <w:rFonts w:ascii="Times New Roman" w:hAnsi="Times New Roman"/>
                <w:spacing w:val="-3"/>
                <w:sz w:val="22"/>
                <w:lang w:eastAsia="da-DK"/>
              </w:rPr>
              <w:t xml:space="preserve"> (mg.time/l)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38,25 ± 42,7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30,1 ± 15,1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rPr>
                <w:rFonts w:ascii="Times New Roman" w:hAnsi="Times New Roman"/>
                <w:spacing w:val="-3"/>
                <w:sz w:val="22"/>
                <w:lang w:eastAsia="da-DK"/>
              </w:rPr>
            </w:pPr>
            <w:r>
              <w:rPr>
                <w:rFonts w:ascii="Times New Roman" w:hAnsi="Times New Roman"/>
                <w:sz w:val="22"/>
                <w:lang w:val="en-US" w:eastAsia="ja-JP"/>
              </w:rPr>
              <w:t xml:space="preserve">20,85 </w:t>
            </w:r>
            <w:r>
              <w:rPr>
                <w:rFonts w:ascii="Times New Roman" w:hAnsi="Times New Roman"/>
                <w:sz w:val="22"/>
                <w:lang w:val="de-CH" w:eastAsia="ja-JP"/>
              </w:rPr>
              <w:t>±</w:t>
            </w:r>
            <w:r>
              <w:rPr>
                <w:rFonts w:ascii="Times New Roman" w:hAnsi="Times New Roman"/>
                <w:sz w:val="22"/>
                <w:lang w:val="en-US" w:eastAsia="ja-JP"/>
              </w:rPr>
              <w:t xml:space="preserve"> 5,40</w:t>
            </w:r>
          </w:p>
        </w:tc>
      </w:tr>
      <w:tr w:rsidR="00E24BC3" w:rsidTr="003B4BCE">
        <w:trPr>
          <w:trHeight w:val="315"/>
        </w:trPr>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C</w:t>
            </w:r>
            <w:r>
              <w:rPr>
                <w:rFonts w:ascii="Times New Roman" w:hAnsi="Times New Roman"/>
                <w:spacing w:val="-3"/>
                <w:sz w:val="22"/>
                <w:vertAlign w:val="subscript"/>
                <w:lang w:eastAsia="da-DK"/>
              </w:rPr>
              <w:t>max</w:t>
            </w:r>
            <w:r>
              <w:rPr>
                <w:rFonts w:ascii="Times New Roman" w:hAnsi="Times New Roman"/>
                <w:spacing w:val="-3"/>
                <w:sz w:val="22"/>
                <w:lang w:eastAsia="da-DK"/>
              </w:rPr>
              <w:t xml:space="preserve"> (μg/ml)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9,03 ±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12,9 ± 21,5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5,44 ± 4,04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rPr>
                <w:rFonts w:ascii="Times New Roman" w:hAnsi="Times New Roman"/>
                <w:spacing w:val="-3"/>
                <w:sz w:val="22"/>
                <w:lang w:eastAsia="da-DK"/>
              </w:rPr>
            </w:pPr>
            <w:r>
              <w:rPr>
                <w:rFonts w:ascii="Times New Roman" w:hAnsi="Times New Roman"/>
                <w:sz w:val="22"/>
                <w:lang w:val="en-US" w:eastAsia="ja-JP"/>
              </w:rPr>
              <w:t>-</w:t>
            </w:r>
          </w:p>
        </w:tc>
      </w:tr>
      <w:tr w:rsidR="00E24BC3" w:rsidTr="003B4BCE">
        <w:trPr>
          <w:trHeight w:val="315"/>
        </w:trPr>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t½ (timer)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3,32 ± 0,47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2,52 ± 0,55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4BC3" w:rsidRDefault="00E24BC3" w:rsidP="003B4BCE">
            <w:pPr>
              <w:autoSpaceDE w:val="0"/>
              <w:autoSpaceDN w:val="0"/>
              <w:adjustRightInd w:val="0"/>
              <w:spacing w:line="276" w:lineRule="auto"/>
              <w:rPr>
                <w:rFonts w:ascii="Times New Roman" w:hAnsi="Times New Roman"/>
                <w:iCs/>
                <w:spacing w:val="-3"/>
                <w:sz w:val="22"/>
                <w:lang w:eastAsia="da-DK"/>
              </w:rPr>
            </w:pPr>
            <w:r>
              <w:rPr>
                <w:rFonts w:ascii="Times New Roman" w:hAnsi="Times New Roman"/>
                <w:spacing w:val="-3"/>
                <w:sz w:val="22"/>
                <w:lang w:eastAsia="da-DK"/>
              </w:rPr>
              <w:t>2,98 ± 1,26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4BC3" w:rsidRDefault="00E24BC3" w:rsidP="003B4BCE">
            <w:pPr>
              <w:autoSpaceDE w:val="0"/>
              <w:autoSpaceDN w:val="0"/>
              <w:adjustRightInd w:val="0"/>
              <w:spacing w:line="276" w:lineRule="auto"/>
              <w:rPr>
                <w:rFonts w:ascii="Times New Roman" w:hAnsi="Times New Roman"/>
                <w:spacing w:val="-3"/>
                <w:sz w:val="22"/>
                <w:lang w:eastAsia="da-DK"/>
              </w:rPr>
            </w:pPr>
            <w:r>
              <w:rPr>
                <w:rFonts w:ascii="Times New Roman" w:hAnsi="Times New Roman"/>
                <w:sz w:val="22"/>
                <w:lang w:val="en-US" w:eastAsia="ja-JP"/>
              </w:rPr>
              <w:t>2,98 ± 1,12</w:t>
            </w:r>
          </w:p>
        </w:tc>
      </w:tr>
    </w:tbl>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GAN = Ganciclovir, i.v.</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spacing w:val="-3"/>
          <w:sz w:val="24"/>
          <w:szCs w:val="24"/>
          <w:lang w:eastAsia="da-DK"/>
        </w:rPr>
        <w:t>VAL = Valganciclovir, oral</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spacing w:val="-3"/>
          <w:sz w:val="24"/>
          <w:szCs w:val="24"/>
          <w:lang w:eastAsia="da-DK"/>
        </w:rPr>
      </w:pPr>
      <w:r>
        <w:rPr>
          <w:rFonts w:eastAsiaTheme="minorEastAsia"/>
          <w:spacing w:val="-3"/>
          <w:sz w:val="24"/>
          <w:szCs w:val="24"/>
          <w:lang w:eastAsia="da-DK"/>
        </w:rPr>
        <w:t>Disse data er for begrænsede til at gøre det muligt at drage konklusioner om effektivitet eller doseringsanbefalinger for pædiatriske patienter med medfødt CMV-sygdom.</w:t>
      </w:r>
    </w:p>
    <w:p w:rsidR="00E24BC3" w:rsidRDefault="00E24BC3" w:rsidP="00E24BC3">
      <w:pPr>
        <w:autoSpaceDE w:val="0"/>
        <w:autoSpaceDN w:val="0"/>
        <w:adjustRightInd w:val="0"/>
        <w:ind w:left="851"/>
        <w:rPr>
          <w:rFonts w:eastAsiaTheme="minorEastAsia"/>
          <w:spacing w:val="-3"/>
          <w:sz w:val="24"/>
          <w:szCs w:val="24"/>
          <w:lang w:eastAsia="da-DK"/>
        </w:rPr>
      </w:pPr>
    </w:p>
    <w:p w:rsidR="00E24BC3" w:rsidRDefault="00E24BC3" w:rsidP="00E24BC3">
      <w:pPr>
        <w:autoSpaceDE w:val="0"/>
        <w:autoSpaceDN w:val="0"/>
        <w:adjustRightInd w:val="0"/>
        <w:ind w:left="851"/>
        <w:rPr>
          <w:rFonts w:eastAsiaTheme="minorEastAsia"/>
          <w:i/>
          <w:spacing w:val="-3"/>
          <w:sz w:val="24"/>
          <w:szCs w:val="24"/>
          <w:lang w:eastAsia="da-DK"/>
        </w:rPr>
      </w:pPr>
      <w:r>
        <w:rPr>
          <w:rFonts w:eastAsiaTheme="minorEastAsia"/>
          <w:i/>
          <w:spacing w:val="-3"/>
          <w:sz w:val="24"/>
          <w:szCs w:val="24"/>
          <w:lang w:eastAsia="da-DK"/>
        </w:rPr>
        <w:t>Ældre</w:t>
      </w:r>
    </w:p>
    <w:p w:rsidR="00E24BC3" w:rsidRDefault="00E24BC3" w:rsidP="00E24BC3">
      <w:pPr>
        <w:autoSpaceDE w:val="0"/>
        <w:autoSpaceDN w:val="0"/>
        <w:adjustRightInd w:val="0"/>
        <w:ind w:left="851"/>
        <w:rPr>
          <w:rFonts w:eastAsiaTheme="minorEastAsia"/>
          <w:spacing w:val="-3"/>
          <w:sz w:val="24"/>
          <w:szCs w:val="24"/>
          <w:lang w:eastAsia="da-DK"/>
        </w:rPr>
      </w:pPr>
      <w:r>
        <w:rPr>
          <w:rFonts w:eastAsiaTheme="minorEastAsia"/>
          <w:spacing w:val="-3"/>
          <w:sz w:val="24"/>
          <w:szCs w:val="24"/>
          <w:lang w:eastAsia="da-DK"/>
        </w:rPr>
        <w:t>Der er ikke foretaget undersøgelser af farmakokinetikken for valganciclovir eller ganciclovir hos voksne over 65 år (se pkt. 4.2).</w:t>
      </w:r>
    </w:p>
    <w:p w:rsidR="00E24BC3" w:rsidRDefault="00E24BC3" w:rsidP="00E24BC3">
      <w:pPr>
        <w:autoSpaceDE w:val="0"/>
        <w:autoSpaceDN w:val="0"/>
        <w:adjustRightInd w:val="0"/>
        <w:ind w:left="851"/>
        <w:rPr>
          <w:rFonts w:eastAsiaTheme="minorEastAsia"/>
          <w:spacing w:val="-3"/>
          <w:sz w:val="24"/>
          <w:szCs w:val="24"/>
          <w:lang w:eastAsia="da-DK"/>
        </w:rPr>
      </w:pPr>
    </w:p>
    <w:p w:rsidR="00E24BC3" w:rsidRDefault="00E24BC3" w:rsidP="00E24BC3">
      <w:pPr>
        <w:autoSpaceDE w:val="0"/>
        <w:autoSpaceDN w:val="0"/>
        <w:adjustRightInd w:val="0"/>
        <w:ind w:left="851"/>
        <w:rPr>
          <w:rFonts w:eastAsiaTheme="minorEastAsia"/>
          <w:i/>
          <w:spacing w:val="-3"/>
          <w:sz w:val="24"/>
          <w:szCs w:val="24"/>
          <w:lang w:eastAsia="da-DK"/>
        </w:rPr>
      </w:pPr>
      <w:r>
        <w:rPr>
          <w:rFonts w:eastAsiaTheme="minorEastAsia"/>
          <w:i/>
          <w:spacing w:val="-3"/>
          <w:sz w:val="24"/>
          <w:szCs w:val="24"/>
          <w:lang w:eastAsia="da-DK"/>
        </w:rPr>
        <w:t>Patienter med nedsat nyrefunktion</w:t>
      </w:r>
    </w:p>
    <w:p w:rsidR="00E24BC3" w:rsidRDefault="00E24BC3" w:rsidP="00E24BC3">
      <w:pPr>
        <w:autoSpaceDE w:val="0"/>
        <w:autoSpaceDN w:val="0"/>
        <w:adjustRightInd w:val="0"/>
        <w:ind w:left="851"/>
        <w:rPr>
          <w:rFonts w:eastAsiaTheme="minorEastAsia"/>
          <w:spacing w:val="-3"/>
          <w:sz w:val="24"/>
          <w:szCs w:val="24"/>
          <w:lang w:eastAsia="da-DK"/>
        </w:rPr>
      </w:pPr>
      <w:r>
        <w:rPr>
          <w:rFonts w:eastAsiaTheme="minorEastAsia"/>
          <w:spacing w:val="-3"/>
          <w:sz w:val="24"/>
          <w:szCs w:val="24"/>
          <w:lang w:eastAsia="da-DK"/>
        </w:rPr>
        <w:t>Farmakokinetikken af ganciclovir fra en enkelt oral dosis på 900 mg valganciclovir blev vurderet hos 24 ellers sunde individer med nedsat nyrefunktion.</w:t>
      </w:r>
    </w:p>
    <w:p w:rsidR="00E24BC3" w:rsidRDefault="00E24BC3" w:rsidP="00E24BC3">
      <w:pPr>
        <w:autoSpaceDE w:val="0"/>
        <w:autoSpaceDN w:val="0"/>
        <w:adjustRightInd w:val="0"/>
        <w:ind w:left="851"/>
        <w:rPr>
          <w:rFonts w:eastAsiaTheme="minorEastAsia"/>
          <w:spacing w:val="-3"/>
          <w:sz w:val="24"/>
          <w:szCs w:val="24"/>
          <w:lang w:eastAsia="da-DK"/>
        </w:rPr>
      </w:pPr>
    </w:p>
    <w:p w:rsidR="00E24BC3" w:rsidRDefault="00E24BC3" w:rsidP="00E24BC3">
      <w:pPr>
        <w:autoSpaceDE w:val="0"/>
        <w:autoSpaceDN w:val="0"/>
        <w:adjustRightInd w:val="0"/>
        <w:ind w:left="851"/>
        <w:rPr>
          <w:rFonts w:eastAsiaTheme="minorEastAsia"/>
          <w:b/>
          <w:spacing w:val="-3"/>
          <w:sz w:val="24"/>
          <w:szCs w:val="24"/>
          <w:lang w:eastAsia="da-DK"/>
        </w:rPr>
      </w:pPr>
      <w:r>
        <w:rPr>
          <w:rFonts w:eastAsiaTheme="minorEastAsia"/>
          <w:b/>
          <w:spacing w:val="-3"/>
          <w:sz w:val="24"/>
          <w:szCs w:val="24"/>
          <w:lang w:eastAsia="da-DK"/>
        </w:rPr>
        <w:t xml:space="preserve">Farmakokinetiske parametre for ganciclovir fra en enkelt oral dosis på 900 mg </w:t>
      </w:r>
      <w:r>
        <w:rPr>
          <w:rFonts w:eastAsiaTheme="minorEastAsia"/>
          <w:b/>
          <w:sz w:val="24"/>
          <w:szCs w:val="24"/>
          <w:lang w:eastAsia="da-DK"/>
        </w:rPr>
        <w:t>Valganciclovir "Accord” tabletter</w:t>
      </w:r>
      <w:r>
        <w:rPr>
          <w:rFonts w:eastAsiaTheme="minorEastAsia"/>
          <w:b/>
          <w:spacing w:val="-3"/>
          <w:sz w:val="24"/>
          <w:szCs w:val="24"/>
          <w:lang w:eastAsia="da-DK"/>
        </w:rPr>
        <w:t xml:space="preserve"> hos patienter med forskellige grader af nedsat nyrefunktion:</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24"/>
        <w:gridCol w:w="708"/>
        <w:gridCol w:w="2265"/>
        <w:gridCol w:w="2124"/>
        <w:gridCol w:w="2478"/>
      </w:tblGrid>
      <w:tr w:rsidR="00E24BC3" w:rsidRPr="009315DE" w:rsidTr="003B4BCE">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lang w:val="en-US"/>
              </w:rPr>
            </w:pPr>
            <w:r w:rsidRPr="009315DE">
              <w:rPr>
                <w:b/>
                <w:bCs/>
                <w:sz w:val="20"/>
                <w:lang w:val="en-US"/>
              </w:rPr>
              <w:t>Estimeret creatinin-clearance (ml/min)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b/>
                <w:bCs/>
                <w:sz w:val="20"/>
              </w:rPr>
              <w:t>N</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b/>
                <w:bCs/>
                <w:sz w:val="20"/>
              </w:rPr>
              <w:t>Påviselig clearance (ml/min) Middeltal </w:t>
            </w:r>
            <w:r w:rsidRPr="009315DE">
              <w:rPr>
                <w:rFonts w:ascii="Symbol" w:hAnsi="Symbol" w:cs="Arial"/>
                <w:sz w:val="20"/>
              </w:rPr>
              <w:t></w:t>
            </w:r>
            <w:r w:rsidRPr="009315DE">
              <w:rPr>
                <w:b/>
                <w:bCs/>
                <w:sz w:val="20"/>
              </w:rPr>
              <w:t>SD</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b/>
                <w:bCs/>
                <w:sz w:val="20"/>
              </w:rPr>
              <w:t>Senest målte AUC (μg∙h/ml) Middeltal </w:t>
            </w:r>
            <w:r w:rsidRPr="009315DE">
              <w:rPr>
                <w:rFonts w:ascii="Symbol" w:hAnsi="Symbol" w:cs="Arial"/>
                <w:sz w:val="20"/>
              </w:rPr>
              <w:t></w:t>
            </w:r>
            <w:r w:rsidRPr="009315DE">
              <w:rPr>
                <w:b/>
                <w:bCs/>
                <w:sz w:val="20"/>
              </w:rPr>
              <w:t>SD</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lang w:val="en-US"/>
              </w:rPr>
            </w:pPr>
            <w:r w:rsidRPr="009315DE">
              <w:rPr>
                <w:b/>
                <w:bCs/>
                <w:sz w:val="20"/>
                <w:lang w:val="en-US"/>
              </w:rPr>
              <w:t>Halveringstid (timer) Middeltal </w:t>
            </w:r>
            <w:r w:rsidRPr="009315DE">
              <w:rPr>
                <w:rFonts w:ascii="Symbol" w:hAnsi="Symbol" w:cs="Arial"/>
                <w:sz w:val="20"/>
              </w:rPr>
              <w:t></w:t>
            </w:r>
            <w:r w:rsidRPr="009315DE">
              <w:rPr>
                <w:b/>
                <w:bCs/>
                <w:sz w:val="20"/>
                <w:lang w:val="en-US"/>
              </w:rPr>
              <w:t>SD</w:t>
            </w:r>
          </w:p>
        </w:tc>
      </w:tr>
      <w:tr w:rsidR="00E24BC3" w:rsidRPr="009315DE" w:rsidTr="003B4BCE">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51-70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249 </w:t>
            </w:r>
            <w:r w:rsidRPr="009315DE">
              <w:rPr>
                <w:rFonts w:ascii="Symbol" w:hAnsi="Symbol" w:cs="Arial"/>
                <w:sz w:val="20"/>
              </w:rPr>
              <w:t></w:t>
            </w:r>
            <w:r w:rsidRPr="009315DE">
              <w:rPr>
                <w:sz w:val="20"/>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 xml:space="preserve">49,5 ± 22,4 </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4,85 </w:t>
            </w:r>
            <w:r w:rsidRPr="009315DE">
              <w:rPr>
                <w:rFonts w:ascii="Symbol" w:hAnsi="Symbol" w:cs="Arial"/>
                <w:sz w:val="20"/>
              </w:rPr>
              <w:t></w:t>
            </w:r>
            <w:r w:rsidRPr="009315DE">
              <w:rPr>
                <w:sz w:val="20"/>
              </w:rPr>
              <w:t>1,4</w:t>
            </w:r>
          </w:p>
        </w:tc>
      </w:tr>
      <w:tr w:rsidR="00E24BC3" w:rsidRPr="009315DE" w:rsidTr="003B4BCE">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21-50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136 </w:t>
            </w:r>
            <w:r w:rsidRPr="009315DE">
              <w:rPr>
                <w:rFonts w:ascii="Symbol" w:hAnsi="Symbol" w:cs="Arial"/>
                <w:sz w:val="20"/>
              </w:rPr>
              <w:t></w:t>
            </w:r>
            <w:r w:rsidRPr="009315DE">
              <w:rPr>
                <w:sz w:val="20"/>
              </w:rPr>
              <w:t>64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91,9 </w:t>
            </w:r>
            <w:r w:rsidRPr="009315DE">
              <w:rPr>
                <w:rFonts w:ascii="Symbol" w:hAnsi="Symbol" w:cs="Arial"/>
                <w:sz w:val="20"/>
              </w:rPr>
              <w:t></w:t>
            </w:r>
            <w:r w:rsidRPr="009315DE">
              <w:rPr>
                <w:sz w:val="20"/>
              </w:rPr>
              <w:t>43,9</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10,2 </w:t>
            </w:r>
            <w:r w:rsidRPr="009315DE">
              <w:rPr>
                <w:rFonts w:ascii="Symbol" w:hAnsi="Symbol" w:cs="Arial"/>
                <w:sz w:val="20"/>
              </w:rPr>
              <w:t></w:t>
            </w:r>
            <w:r w:rsidRPr="009315DE">
              <w:rPr>
                <w:sz w:val="20"/>
              </w:rPr>
              <w:t>4,4</w:t>
            </w:r>
          </w:p>
        </w:tc>
      </w:tr>
      <w:tr w:rsidR="00E24BC3" w:rsidRPr="009315DE" w:rsidTr="003B4BCE">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11-20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45 </w:t>
            </w:r>
            <w:r w:rsidRPr="009315DE">
              <w:rPr>
                <w:rFonts w:ascii="Symbol" w:hAnsi="Symbol" w:cs="Arial"/>
                <w:sz w:val="20"/>
              </w:rPr>
              <w:t></w:t>
            </w:r>
            <w:r w:rsidRPr="009315DE">
              <w:rPr>
                <w:sz w:val="20"/>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223 </w:t>
            </w:r>
            <w:r w:rsidRPr="009315DE">
              <w:rPr>
                <w:rFonts w:ascii="Symbol" w:hAnsi="Symbol" w:cs="Arial"/>
                <w:sz w:val="20"/>
              </w:rPr>
              <w:t></w:t>
            </w:r>
            <w:r w:rsidRPr="009315DE">
              <w:rPr>
                <w:sz w:val="20"/>
              </w:rPr>
              <w:t>46</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21,8 </w:t>
            </w:r>
            <w:r w:rsidRPr="009315DE">
              <w:rPr>
                <w:rFonts w:ascii="Symbol" w:hAnsi="Symbol" w:cs="Arial"/>
                <w:sz w:val="20"/>
              </w:rPr>
              <w:t></w:t>
            </w:r>
            <w:r w:rsidRPr="009315DE">
              <w:rPr>
                <w:sz w:val="20"/>
              </w:rPr>
              <w:t>5,2</w:t>
            </w:r>
          </w:p>
        </w:tc>
      </w:tr>
      <w:tr w:rsidR="00E24BC3" w:rsidRPr="009315DE" w:rsidTr="003B4BCE">
        <w:tc>
          <w:tcPr>
            <w:tcW w:w="1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rFonts w:ascii="Symbol" w:hAnsi="Symbol" w:cs="Arial"/>
                <w:sz w:val="20"/>
              </w:rPr>
              <w:t></w:t>
            </w:r>
            <w:r w:rsidRPr="009315DE">
              <w:rPr>
                <w:sz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12,8 </w:t>
            </w:r>
            <w:r w:rsidRPr="009315DE">
              <w:rPr>
                <w:rFonts w:ascii="Symbol" w:hAnsi="Symbol" w:cs="Arial"/>
                <w:sz w:val="20"/>
              </w:rPr>
              <w:t></w:t>
            </w:r>
            <w:r w:rsidRPr="009315DE">
              <w:rPr>
                <w:sz w:val="20"/>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366 </w:t>
            </w:r>
            <w:r w:rsidRPr="009315DE">
              <w:rPr>
                <w:rFonts w:ascii="Symbol" w:hAnsi="Symbol" w:cs="Arial"/>
                <w:sz w:val="20"/>
              </w:rPr>
              <w:t></w:t>
            </w:r>
            <w:r w:rsidRPr="009315DE">
              <w:rPr>
                <w:sz w:val="20"/>
              </w:rPr>
              <w:t>66</w:t>
            </w:r>
          </w:p>
        </w:tc>
        <w:tc>
          <w:tcPr>
            <w:tcW w:w="2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4BC3" w:rsidRPr="009315DE" w:rsidRDefault="00E24BC3" w:rsidP="003B4BCE">
            <w:pPr>
              <w:spacing w:line="280" w:lineRule="atLeast"/>
              <w:rPr>
                <w:rFonts w:ascii="Arial" w:hAnsi="Arial" w:cs="Arial"/>
                <w:sz w:val="20"/>
              </w:rPr>
            </w:pPr>
            <w:r w:rsidRPr="009315DE">
              <w:rPr>
                <w:sz w:val="20"/>
              </w:rPr>
              <w:t>67,5 </w:t>
            </w:r>
            <w:r w:rsidRPr="009315DE">
              <w:rPr>
                <w:rFonts w:ascii="Symbol" w:hAnsi="Symbol" w:cs="Arial"/>
                <w:sz w:val="20"/>
              </w:rPr>
              <w:t></w:t>
            </w:r>
            <w:r w:rsidRPr="009315DE">
              <w:rPr>
                <w:sz w:val="20"/>
              </w:rPr>
              <w:t>34</w:t>
            </w:r>
          </w:p>
        </w:tc>
      </w:tr>
    </w:tbl>
    <w:p w:rsidR="00E24BC3" w:rsidRDefault="00E24BC3" w:rsidP="00E24BC3">
      <w:pPr>
        <w:autoSpaceDE w:val="0"/>
        <w:autoSpaceDN w:val="0"/>
        <w:adjustRightInd w:val="0"/>
        <w:ind w:left="851"/>
        <w:rPr>
          <w:rFonts w:eastAsiaTheme="minorEastAsia"/>
          <w:spacing w:val="-3"/>
          <w:sz w:val="24"/>
          <w:szCs w:val="24"/>
          <w:lang w:eastAsia="da-DK"/>
        </w:rPr>
      </w:pP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Aftagende nyrefunktion resulterede i nedsat clearance af ganciclovir fra valganciclovir med en tilsvarende stigning i terminal halveringstid. Derfor er dosisjustering påkrævet for patienter med nedsat nyrefunktion (se pkt. 4.2 og 4.4).</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w:t>
      </w:r>
    </w:p>
    <w:p w:rsidR="00E24BC3" w:rsidRDefault="00E24BC3" w:rsidP="00E24BC3">
      <w:pPr>
        <w:autoSpaceDE w:val="0"/>
        <w:autoSpaceDN w:val="0"/>
        <w:adjustRightInd w:val="0"/>
        <w:ind w:left="851"/>
        <w:rPr>
          <w:rFonts w:eastAsiaTheme="minorEastAsia"/>
          <w:i/>
          <w:iCs/>
          <w:spacing w:val="-3"/>
          <w:sz w:val="24"/>
          <w:szCs w:val="24"/>
          <w:lang w:eastAsia="da-DK"/>
        </w:rPr>
      </w:pPr>
      <w:r>
        <w:rPr>
          <w:rFonts w:eastAsiaTheme="minorEastAsia"/>
          <w:i/>
          <w:iCs/>
          <w:spacing w:val="-3"/>
          <w:sz w:val="24"/>
          <w:szCs w:val="24"/>
          <w:lang w:eastAsia="da-DK"/>
        </w:rPr>
        <w:t>Patienter, der gennemgår hæmodialyse</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Der kan ikke gives dosisanbefalinger for </w:t>
      </w:r>
      <w:r>
        <w:rPr>
          <w:rFonts w:eastAsiaTheme="minorEastAsia"/>
          <w:sz w:val="24"/>
          <w:szCs w:val="24"/>
          <w:lang w:eastAsia="da-DK"/>
        </w:rPr>
        <w:t>Valganciclovir "Accord”</w:t>
      </w:r>
      <w:r>
        <w:rPr>
          <w:rFonts w:eastAsiaTheme="minorEastAsia"/>
          <w:iCs/>
          <w:spacing w:val="-3"/>
          <w:sz w:val="24"/>
          <w:szCs w:val="24"/>
          <w:lang w:eastAsia="da-DK"/>
        </w:rPr>
        <w:t xml:space="preserve"> 450 mg filmovertrukne tabletter til patienter i hæmodialyse. Dette skyldes, at den påkrævede individuelle dosis af </w:t>
      </w:r>
      <w:r>
        <w:rPr>
          <w:rFonts w:eastAsiaTheme="minorEastAsia"/>
          <w:sz w:val="24"/>
          <w:szCs w:val="24"/>
          <w:lang w:eastAsia="da-DK"/>
        </w:rPr>
        <w:t>Valganciclovir "Accord”</w:t>
      </w:r>
      <w:r>
        <w:rPr>
          <w:rFonts w:eastAsiaTheme="minorEastAsia"/>
          <w:iCs/>
          <w:spacing w:val="-3"/>
          <w:sz w:val="24"/>
          <w:szCs w:val="24"/>
          <w:lang w:eastAsia="da-DK"/>
        </w:rPr>
        <w:t xml:space="preserve"> til disse patienter er mindre end tabletstyrken på 450 mg. </w:t>
      </w:r>
      <w:r>
        <w:rPr>
          <w:rFonts w:eastAsiaTheme="minorEastAsia"/>
          <w:sz w:val="24"/>
          <w:szCs w:val="24"/>
          <w:lang w:eastAsia="da-DK"/>
        </w:rPr>
        <w:t>Valganciclovir "Accord”</w:t>
      </w:r>
      <w:r>
        <w:rPr>
          <w:rFonts w:eastAsiaTheme="minorEastAsia"/>
          <w:iCs/>
          <w:spacing w:val="-3"/>
          <w:sz w:val="24"/>
          <w:szCs w:val="24"/>
          <w:lang w:eastAsia="da-DK"/>
        </w:rPr>
        <w:t xml:space="preserve"> filmovertrukne tabletter bør derfor ikke anvendes til disse patienter (se pkt. 4.2 og 4.4).</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w:t>
      </w:r>
    </w:p>
    <w:p w:rsidR="00E24BC3" w:rsidRDefault="00E24BC3" w:rsidP="00E24BC3">
      <w:pPr>
        <w:autoSpaceDE w:val="0"/>
        <w:autoSpaceDN w:val="0"/>
        <w:adjustRightInd w:val="0"/>
        <w:ind w:left="851"/>
        <w:rPr>
          <w:rFonts w:eastAsiaTheme="minorEastAsia"/>
          <w:i/>
          <w:iCs/>
          <w:spacing w:val="-3"/>
          <w:sz w:val="24"/>
          <w:szCs w:val="24"/>
          <w:lang w:eastAsia="da-DK"/>
        </w:rPr>
      </w:pPr>
      <w:r>
        <w:rPr>
          <w:rFonts w:eastAsiaTheme="minorEastAsia"/>
          <w:i/>
          <w:iCs/>
          <w:spacing w:val="-3"/>
          <w:sz w:val="24"/>
          <w:szCs w:val="24"/>
          <w:lang w:eastAsia="da-DK"/>
        </w:rPr>
        <w:t>Stabile levertransplantationspatienter</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Farmakokinetikken af ​​ganciclovir fra valganciclovir hos stabile levertransplantationspatienter blev undersøgt i et åbent 4-dels crossover-forsøg (N=28). Biotilgængeligheden af ​​ganciclovir fra valganciclovir efter en enkeltdosis på 900 mg valganciclovir efter indtagelse af føde var ca. 60 %. </w:t>
      </w:r>
      <w:r w:rsidRPr="009315DE">
        <w:rPr>
          <w:rFonts w:eastAsiaTheme="minorEastAsia"/>
          <w:iCs/>
          <w:spacing w:val="-3"/>
          <w:sz w:val="24"/>
          <w:szCs w:val="24"/>
          <w:lang w:eastAsia="da-DK"/>
        </w:rPr>
        <w:t xml:space="preserve">Ganciclovir </w:t>
      </w:r>
      <w:r w:rsidRPr="009315DE">
        <w:rPr>
          <w:sz w:val="24"/>
          <w:szCs w:val="24"/>
        </w:rPr>
        <w:t>AUC</w:t>
      </w:r>
      <w:r w:rsidRPr="009315DE">
        <w:rPr>
          <w:sz w:val="18"/>
          <w:szCs w:val="18"/>
          <w:vertAlign w:val="subscript"/>
        </w:rPr>
        <w:t>0-24timer </w:t>
      </w:r>
      <w:r w:rsidRPr="009315DE">
        <w:rPr>
          <w:rFonts w:eastAsiaTheme="minorEastAsia"/>
          <w:iCs/>
          <w:spacing w:val="-3"/>
          <w:sz w:val="24"/>
          <w:szCs w:val="24"/>
          <w:lang w:eastAsia="da-DK"/>
        </w:rPr>
        <w:t xml:space="preserve">var </w:t>
      </w:r>
      <w:r>
        <w:rPr>
          <w:rFonts w:eastAsiaTheme="minorEastAsia"/>
          <w:iCs/>
          <w:spacing w:val="-3"/>
          <w:sz w:val="24"/>
          <w:szCs w:val="24"/>
          <w:lang w:eastAsia="da-DK"/>
        </w:rPr>
        <w:t>sammenlignelig med det, der blev opnået med 5 mg/kg intravenøst ​​ganciclovir hos levertransplantationspatienter.</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w:t>
      </w:r>
    </w:p>
    <w:p w:rsidR="00E24BC3" w:rsidRDefault="00E24BC3" w:rsidP="00E24BC3">
      <w:pPr>
        <w:autoSpaceDE w:val="0"/>
        <w:autoSpaceDN w:val="0"/>
        <w:adjustRightInd w:val="0"/>
        <w:ind w:left="851"/>
        <w:rPr>
          <w:rFonts w:eastAsiaTheme="minorEastAsia"/>
          <w:i/>
          <w:iCs/>
          <w:spacing w:val="-3"/>
          <w:sz w:val="24"/>
          <w:szCs w:val="24"/>
          <w:lang w:eastAsia="da-DK"/>
        </w:rPr>
      </w:pPr>
      <w:r>
        <w:rPr>
          <w:rFonts w:eastAsiaTheme="minorEastAsia"/>
          <w:i/>
          <w:iCs/>
          <w:spacing w:val="-3"/>
          <w:sz w:val="24"/>
          <w:szCs w:val="24"/>
          <w:lang w:eastAsia="da-DK"/>
        </w:rPr>
        <w:t>Patienter med nedsat leverfunktion</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Sikkerheden og virkningen af </w:t>
      </w:r>
      <w:r>
        <w:rPr>
          <w:rFonts w:eastAsiaTheme="minorEastAsia"/>
          <w:sz w:val="24"/>
          <w:szCs w:val="24"/>
          <w:lang w:eastAsia="da-DK"/>
        </w:rPr>
        <w:t>Valganciclovir "Accord”</w:t>
      </w:r>
      <w:r>
        <w:rPr>
          <w:rFonts w:eastAsiaTheme="minorEastAsia"/>
          <w:iCs/>
          <w:spacing w:val="-3"/>
          <w:sz w:val="24"/>
          <w:szCs w:val="24"/>
          <w:lang w:eastAsia="da-DK"/>
        </w:rPr>
        <w:t xml:space="preserve"> filmovertrukne tabletter er ikke undersøgt hos patienter med nedsat leverfunktion. Nedsat leverfunktion bør ikke have indflydelse på ganciclovirs farmakokinetik, da det udskilles renalt, og der gives derfor ingen specifik dosisanbefaling.</w:t>
      </w:r>
    </w:p>
    <w:p w:rsidR="00E24BC3"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w:t>
      </w:r>
    </w:p>
    <w:p w:rsidR="00E24BC3" w:rsidRDefault="00E24BC3" w:rsidP="00E24BC3">
      <w:pPr>
        <w:autoSpaceDE w:val="0"/>
        <w:autoSpaceDN w:val="0"/>
        <w:adjustRightInd w:val="0"/>
        <w:ind w:left="851"/>
        <w:rPr>
          <w:rFonts w:eastAsiaTheme="minorEastAsia"/>
          <w:iCs/>
          <w:spacing w:val="-3"/>
          <w:sz w:val="24"/>
          <w:szCs w:val="24"/>
          <w:lang w:eastAsia="da-DK"/>
        </w:rPr>
      </w:pPr>
    </w:p>
    <w:p w:rsidR="00E24BC3" w:rsidRDefault="00E24BC3" w:rsidP="00E24BC3">
      <w:pPr>
        <w:autoSpaceDE w:val="0"/>
        <w:autoSpaceDN w:val="0"/>
        <w:adjustRightInd w:val="0"/>
        <w:ind w:left="851"/>
        <w:rPr>
          <w:rFonts w:eastAsiaTheme="minorEastAsia"/>
          <w:i/>
          <w:iCs/>
          <w:spacing w:val="-3"/>
          <w:sz w:val="24"/>
          <w:szCs w:val="24"/>
          <w:lang w:eastAsia="da-DK"/>
        </w:rPr>
      </w:pPr>
      <w:r>
        <w:rPr>
          <w:rFonts w:eastAsiaTheme="minorEastAsia"/>
          <w:i/>
          <w:iCs/>
          <w:spacing w:val="-3"/>
          <w:sz w:val="24"/>
          <w:szCs w:val="24"/>
          <w:lang w:eastAsia="da-DK"/>
        </w:rPr>
        <w:t>Patienter med cystisk fibrose</w:t>
      </w:r>
    </w:p>
    <w:p w:rsidR="00E24BC3" w:rsidRPr="000A5888" w:rsidRDefault="00E24BC3" w:rsidP="00E24BC3">
      <w:pPr>
        <w:autoSpaceDE w:val="0"/>
        <w:autoSpaceDN w:val="0"/>
        <w:adjustRightInd w:val="0"/>
        <w:ind w:left="851"/>
        <w:rPr>
          <w:rFonts w:eastAsiaTheme="minorEastAsia"/>
          <w:iCs/>
          <w:spacing w:val="-3"/>
          <w:sz w:val="24"/>
          <w:szCs w:val="24"/>
          <w:lang w:eastAsia="da-DK"/>
        </w:rPr>
      </w:pPr>
      <w:r>
        <w:rPr>
          <w:rFonts w:eastAsiaTheme="minorEastAsia"/>
          <w:iCs/>
          <w:spacing w:val="-3"/>
          <w:sz w:val="24"/>
          <w:szCs w:val="24"/>
          <w:lang w:eastAsia="da-DK"/>
        </w:rPr>
        <w:t xml:space="preserve">I et fase I farmakokinetisk forsøg hos lungetransplantationsmodtagere med eller uden cystisk fibrose (CF), fik 31 patienter (16 CF/15 non-CF) efter transplantationen profylakse med 900 mg/dag </w:t>
      </w:r>
      <w:r>
        <w:rPr>
          <w:rFonts w:eastAsiaTheme="minorEastAsia"/>
          <w:sz w:val="24"/>
          <w:szCs w:val="24"/>
          <w:lang w:eastAsia="da-DK"/>
        </w:rPr>
        <w:t>Valganciclovir "Accord”</w:t>
      </w:r>
      <w:r>
        <w:rPr>
          <w:rFonts w:eastAsiaTheme="minorEastAsia"/>
          <w:iCs/>
          <w:spacing w:val="-3"/>
          <w:sz w:val="24"/>
          <w:szCs w:val="24"/>
          <w:lang w:eastAsia="da-DK"/>
        </w:rPr>
        <w:t>. Undersøgelsen viste, at cystisk fibrose ikke havde nogen statistisk signifikant indflydelse på den samlede gennemsnitlige systemiske eksponering for ganciclovir hos lungetransplantationsmodtagere. Eksponering af ganciclovir hos lungetransplantationsmodtagere var sammenlignelig med den, der viste sig at være effektiv til forebyggelse af CMV-sygdom hos andre organtransplantationsmodtagere.</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E24BC3" w:rsidRPr="00600D68" w:rsidRDefault="00E24BC3" w:rsidP="00E24BC3">
      <w:pPr>
        <w:autoSpaceDE w:val="0"/>
        <w:autoSpaceDN w:val="0"/>
        <w:adjustRightInd w:val="0"/>
        <w:ind w:left="851"/>
        <w:rPr>
          <w:rFonts w:eastAsiaTheme="minorEastAsia"/>
          <w:spacing w:val="-3"/>
          <w:sz w:val="24"/>
          <w:szCs w:val="24"/>
          <w:lang w:eastAsia="da-DK"/>
        </w:rPr>
      </w:pPr>
      <w:r>
        <w:rPr>
          <w:rFonts w:eastAsiaTheme="minorEastAsia"/>
          <w:spacing w:val="-3"/>
          <w:sz w:val="24"/>
          <w:szCs w:val="24"/>
          <w:lang w:eastAsia="da-DK"/>
        </w:rPr>
        <w:t xml:space="preserve">Valganciclovir er en prodrug til ganciclovir, og derfor kan de effekter, som ses efter ganciclovir, også forventes efter valganciclovir. </w:t>
      </w:r>
      <w:r w:rsidRPr="00600D68">
        <w:rPr>
          <w:rFonts w:eastAsiaTheme="minorEastAsia"/>
          <w:spacing w:val="-3"/>
          <w:sz w:val="24"/>
          <w:szCs w:val="24"/>
          <w:lang w:eastAsia="da-DK"/>
        </w:rPr>
        <w:t>Valganciclovirs toksicitet i prækliniske sikkerhedsstudier var den samme, som observeredes med ganciclovir og efter et ganciclovir eksponeringsniveau, som var sammenlignelig med, eller mindre end, det observerede hos mennesker efter en induktionsdosis.</w:t>
      </w:r>
    </w:p>
    <w:p w:rsidR="00E24BC3" w:rsidRPr="00600D68" w:rsidRDefault="00E24BC3" w:rsidP="00E24BC3">
      <w:pPr>
        <w:autoSpaceDE w:val="0"/>
        <w:autoSpaceDN w:val="0"/>
        <w:adjustRightInd w:val="0"/>
        <w:ind w:left="851"/>
        <w:rPr>
          <w:rFonts w:eastAsiaTheme="minorEastAsia"/>
          <w:iCs/>
          <w:spacing w:val="-3"/>
          <w:sz w:val="24"/>
          <w:szCs w:val="24"/>
          <w:lang w:eastAsia="da-DK"/>
        </w:rPr>
      </w:pPr>
    </w:p>
    <w:p w:rsidR="00E24BC3" w:rsidRPr="00600D68" w:rsidRDefault="00E24BC3" w:rsidP="00E24BC3">
      <w:pPr>
        <w:autoSpaceDE w:val="0"/>
        <w:autoSpaceDN w:val="0"/>
        <w:adjustRightInd w:val="0"/>
        <w:ind w:left="851"/>
        <w:rPr>
          <w:sz w:val="24"/>
          <w:szCs w:val="24"/>
        </w:rPr>
      </w:pPr>
      <w:r w:rsidRPr="00600D68">
        <w:rPr>
          <w:sz w:val="24"/>
          <w:szCs w:val="24"/>
        </w:rPr>
        <w:t>Der blev fundet gonadetoksicitet (testikulært celletab) og nefrotoksicitet (uræmi, celledegeneration), som var irreversible samt myelotoksicitet (anæmi, neutropeni, lymfocytopeni) og gastrointestinal toksicitet (slimhindecellenekrose), som var reversible.</w:t>
      </w:r>
    </w:p>
    <w:p w:rsidR="00E24BC3" w:rsidRDefault="00E24BC3" w:rsidP="00E24BC3">
      <w:pPr>
        <w:autoSpaceDE w:val="0"/>
        <w:autoSpaceDN w:val="0"/>
        <w:adjustRightInd w:val="0"/>
        <w:rPr>
          <w:rFonts w:eastAsiaTheme="minorEastAsia"/>
          <w:iCs/>
          <w:spacing w:val="-3"/>
          <w:sz w:val="24"/>
          <w:szCs w:val="24"/>
          <w:lang w:eastAsia="da-DK"/>
        </w:rPr>
      </w:pPr>
    </w:p>
    <w:p w:rsidR="00E24BC3" w:rsidRDefault="00E24BC3" w:rsidP="00E24BC3">
      <w:pPr>
        <w:tabs>
          <w:tab w:val="left" w:pos="851"/>
        </w:tabs>
        <w:ind w:left="851"/>
        <w:rPr>
          <w:snapToGrid w:val="0"/>
          <w:spacing w:val="-3"/>
          <w:sz w:val="24"/>
          <w:szCs w:val="24"/>
          <w:lang w:eastAsia="en-GB"/>
        </w:rPr>
      </w:pPr>
      <w:r>
        <w:rPr>
          <w:snapToGrid w:val="0"/>
          <w:spacing w:val="-3"/>
          <w:sz w:val="24"/>
          <w:szCs w:val="24"/>
          <w:lang w:eastAsia="en-GB"/>
        </w:rPr>
        <w:t>Ganciclovir er mutagent i muselymfomceller og klastogent i pattedyreller. Dette er konsistent med de positive karcinogenicitetsstudier med ganciclovir hos mus. Ganciclovir er potentielt karcinogent.</w:t>
      </w:r>
    </w:p>
    <w:p w:rsidR="00E24BC3" w:rsidRPr="00600D68" w:rsidRDefault="00E24BC3" w:rsidP="00E24BC3">
      <w:pPr>
        <w:tabs>
          <w:tab w:val="left" w:pos="851"/>
        </w:tabs>
        <w:ind w:left="851"/>
        <w:rPr>
          <w:sz w:val="24"/>
          <w:szCs w:val="24"/>
        </w:rPr>
      </w:pPr>
    </w:p>
    <w:p w:rsidR="00E24BC3" w:rsidRDefault="00E24BC3" w:rsidP="00E24BC3">
      <w:pPr>
        <w:autoSpaceDE w:val="0"/>
        <w:autoSpaceDN w:val="0"/>
        <w:adjustRightInd w:val="0"/>
        <w:ind w:left="851"/>
        <w:rPr>
          <w:sz w:val="24"/>
          <w:szCs w:val="24"/>
        </w:rPr>
      </w:pPr>
      <w:r w:rsidRPr="00600D68">
        <w:rPr>
          <w:sz w:val="24"/>
          <w:szCs w:val="24"/>
        </w:rPr>
        <w:t xml:space="preserve">Yderligere studier har vist, at </w:t>
      </w:r>
      <w:r w:rsidRPr="00600D68">
        <w:rPr>
          <w:noProof/>
          <w:sz w:val="24"/>
          <w:szCs w:val="24"/>
        </w:rPr>
        <w:t>ganciclovir</w:t>
      </w:r>
      <w:r w:rsidRPr="00600D68">
        <w:rPr>
          <w:sz w:val="24"/>
          <w:szCs w:val="24"/>
        </w:rPr>
        <w:t xml:space="preserve"> er teratogent, embryotoksisk, hæmmer spermatogenesen (dvs. der påvirker mandlig fertilitet), og at det nedsætter kvindelig fertilitet.</w:t>
      </w:r>
    </w:p>
    <w:p w:rsidR="00E24BC3" w:rsidRDefault="00E24BC3" w:rsidP="00E24BC3">
      <w:pPr>
        <w:tabs>
          <w:tab w:val="left" w:pos="851"/>
        </w:tabs>
        <w:ind w:left="851"/>
        <w:rPr>
          <w:sz w:val="24"/>
          <w:szCs w:val="24"/>
        </w:rPr>
      </w:pPr>
      <w:r>
        <w:rPr>
          <w:sz w:val="24"/>
          <w:szCs w:val="24"/>
        </w:rPr>
        <w:t> </w:t>
      </w:r>
    </w:p>
    <w:p w:rsidR="00E24BC3" w:rsidRDefault="00E24BC3" w:rsidP="00E24BC3">
      <w:pPr>
        <w:tabs>
          <w:tab w:val="left" w:pos="851"/>
        </w:tabs>
        <w:ind w:left="851"/>
        <w:rPr>
          <w:sz w:val="24"/>
          <w:szCs w:val="24"/>
        </w:rPr>
      </w:pPr>
      <w:r>
        <w:rPr>
          <w:sz w:val="24"/>
          <w:szCs w:val="24"/>
        </w:rPr>
        <w:t>Dyreforsøg indikerer, at ganciclovir udskilles i mælken hos lakterende rotter.</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24BC3" w:rsidRPr="00BA09F1"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6.1</w:t>
      </w:r>
      <w:r w:rsidRPr="00C84483">
        <w:rPr>
          <w:b/>
          <w:sz w:val="24"/>
          <w:szCs w:val="24"/>
        </w:rPr>
        <w:tab/>
        <w:t>Hjælpestoffer</w:t>
      </w:r>
    </w:p>
    <w:p w:rsidR="00E24BC3" w:rsidRPr="00C20294" w:rsidRDefault="00E24BC3" w:rsidP="00E24BC3">
      <w:pPr>
        <w:autoSpaceDE w:val="0"/>
        <w:autoSpaceDN w:val="0"/>
        <w:adjustRightInd w:val="0"/>
        <w:ind w:left="851"/>
        <w:rPr>
          <w:rFonts w:eastAsiaTheme="minorEastAsia"/>
          <w:sz w:val="24"/>
          <w:szCs w:val="24"/>
          <w:lang w:eastAsia="da-DK"/>
        </w:rPr>
      </w:pPr>
    </w:p>
    <w:p w:rsidR="00E24BC3" w:rsidRPr="00A751C1" w:rsidRDefault="00E24BC3" w:rsidP="00E24BC3">
      <w:pPr>
        <w:autoSpaceDE w:val="0"/>
        <w:autoSpaceDN w:val="0"/>
        <w:adjustRightInd w:val="0"/>
        <w:ind w:left="851"/>
        <w:rPr>
          <w:rFonts w:eastAsiaTheme="minorEastAsia"/>
          <w:sz w:val="24"/>
          <w:szCs w:val="24"/>
          <w:u w:val="single"/>
          <w:lang w:eastAsia="da-DK"/>
        </w:rPr>
      </w:pPr>
      <w:r w:rsidRPr="00A751C1">
        <w:rPr>
          <w:rFonts w:eastAsiaTheme="minorEastAsia"/>
          <w:sz w:val="24"/>
          <w:szCs w:val="24"/>
          <w:u w:val="single"/>
          <w:lang w:eastAsia="da-DK"/>
        </w:rPr>
        <w:t>Tabletkerne</w:t>
      </w:r>
    </w:p>
    <w:p w:rsidR="00E24BC3" w:rsidRPr="00A751C1" w:rsidRDefault="00E24BC3" w:rsidP="00E24BC3">
      <w:pPr>
        <w:autoSpaceDE w:val="0"/>
        <w:autoSpaceDN w:val="0"/>
        <w:adjustRightInd w:val="0"/>
        <w:ind w:left="851"/>
        <w:rPr>
          <w:rFonts w:eastAsiaTheme="minorEastAsia"/>
          <w:sz w:val="24"/>
          <w:szCs w:val="24"/>
          <w:lang w:eastAsia="da-DK"/>
        </w:rPr>
      </w:pPr>
      <w:r w:rsidRPr="00A751C1">
        <w:rPr>
          <w:rFonts w:eastAsiaTheme="minorEastAsia"/>
          <w:sz w:val="24"/>
          <w:szCs w:val="24"/>
          <w:lang w:eastAsia="da-DK"/>
        </w:rPr>
        <w:t>Mikrokrystallinsk cellulose</w:t>
      </w:r>
    </w:p>
    <w:p w:rsidR="00E24BC3" w:rsidRPr="00C20294" w:rsidRDefault="00E24BC3" w:rsidP="00E24BC3">
      <w:pPr>
        <w:autoSpaceDE w:val="0"/>
        <w:autoSpaceDN w:val="0"/>
        <w:adjustRightInd w:val="0"/>
        <w:ind w:left="851"/>
        <w:rPr>
          <w:rFonts w:eastAsiaTheme="minorEastAsia"/>
          <w:sz w:val="24"/>
          <w:szCs w:val="24"/>
          <w:lang w:val="en-US" w:eastAsia="da-DK"/>
        </w:rPr>
      </w:pPr>
      <w:r w:rsidRPr="00C20294">
        <w:rPr>
          <w:rFonts w:eastAsiaTheme="minorEastAsia"/>
          <w:sz w:val="24"/>
          <w:szCs w:val="24"/>
          <w:lang w:val="en-US" w:eastAsia="da-DK"/>
        </w:rPr>
        <w:t>Crospovidon (type A)</w:t>
      </w:r>
    </w:p>
    <w:p w:rsidR="00E24BC3" w:rsidRPr="00C20294" w:rsidRDefault="00E24BC3" w:rsidP="00E24BC3">
      <w:pPr>
        <w:autoSpaceDE w:val="0"/>
        <w:autoSpaceDN w:val="0"/>
        <w:adjustRightInd w:val="0"/>
        <w:ind w:left="851"/>
        <w:rPr>
          <w:rFonts w:eastAsiaTheme="minorEastAsia"/>
          <w:sz w:val="24"/>
          <w:szCs w:val="24"/>
          <w:lang w:val="en-US" w:eastAsia="da-DK"/>
        </w:rPr>
      </w:pPr>
      <w:r w:rsidRPr="00C20294">
        <w:rPr>
          <w:rFonts w:eastAsiaTheme="minorEastAsia"/>
          <w:sz w:val="24"/>
          <w:szCs w:val="24"/>
          <w:lang w:val="en-US" w:eastAsia="da-DK"/>
        </w:rPr>
        <w:t>Povidon (K-30)</w:t>
      </w:r>
    </w:p>
    <w:p w:rsidR="00E24BC3" w:rsidRPr="00C20294" w:rsidRDefault="00E24BC3" w:rsidP="00E24BC3">
      <w:pPr>
        <w:autoSpaceDE w:val="0"/>
        <w:autoSpaceDN w:val="0"/>
        <w:adjustRightInd w:val="0"/>
        <w:ind w:left="851"/>
        <w:rPr>
          <w:rFonts w:eastAsiaTheme="minorEastAsia"/>
          <w:sz w:val="24"/>
          <w:szCs w:val="24"/>
          <w:lang w:val="en-US" w:eastAsia="da-DK"/>
        </w:rPr>
      </w:pPr>
      <w:r w:rsidRPr="00C20294">
        <w:rPr>
          <w:rFonts w:eastAsiaTheme="minorEastAsia"/>
          <w:sz w:val="24"/>
          <w:szCs w:val="24"/>
          <w:lang w:val="en-US" w:eastAsia="da-DK"/>
        </w:rPr>
        <w:t>Stearinsyre (50)</w:t>
      </w:r>
    </w:p>
    <w:p w:rsidR="00E24BC3" w:rsidRPr="00C20294" w:rsidRDefault="00E24BC3" w:rsidP="00E24BC3">
      <w:pPr>
        <w:autoSpaceDE w:val="0"/>
        <w:autoSpaceDN w:val="0"/>
        <w:adjustRightInd w:val="0"/>
        <w:ind w:left="851"/>
        <w:rPr>
          <w:rFonts w:eastAsiaTheme="minorEastAsia"/>
          <w:sz w:val="24"/>
          <w:szCs w:val="24"/>
          <w:lang w:val="en-US" w:eastAsia="da-DK"/>
        </w:rPr>
      </w:pPr>
    </w:p>
    <w:p w:rsidR="00E24BC3" w:rsidRPr="0049365E" w:rsidRDefault="00E24BC3" w:rsidP="00E24BC3">
      <w:pPr>
        <w:autoSpaceDE w:val="0"/>
        <w:autoSpaceDN w:val="0"/>
        <w:adjustRightInd w:val="0"/>
        <w:ind w:left="851"/>
        <w:rPr>
          <w:rFonts w:eastAsiaTheme="minorEastAsia"/>
          <w:sz w:val="24"/>
          <w:szCs w:val="24"/>
          <w:u w:val="single"/>
          <w:lang w:val="en-US" w:eastAsia="da-DK"/>
        </w:rPr>
      </w:pPr>
      <w:r>
        <w:rPr>
          <w:rFonts w:eastAsiaTheme="minorEastAsia"/>
          <w:sz w:val="24"/>
          <w:szCs w:val="24"/>
          <w:u w:val="single"/>
          <w:lang w:val="en-US" w:eastAsia="da-DK"/>
        </w:rPr>
        <w:t>Filmovertræk</w:t>
      </w:r>
    </w:p>
    <w:p w:rsidR="00E24BC3" w:rsidRPr="00C20294" w:rsidRDefault="00E24BC3" w:rsidP="00E24BC3">
      <w:pPr>
        <w:autoSpaceDE w:val="0"/>
        <w:autoSpaceDN w:val="0"/>
        <w:adjustRightInd w:val="0"/>
        <w:ind w:left="851"/>
        <w:rPr>
          <w:rFonts w:eastAsiaTheme="minorEastAsia"/>
          <w:sz w:val="24"/>
          <w:szCs w:val="24"/>
          <w:lang w:val="en-US" w:eastAsia="da-DK"/>
        </w:rPr>
      </w:pPr>
      <w:r w:rsidRPr="00C20294">
        <w:rPr>
          <w:rFonts w:eastAsiaTheme="minorEastAsia"/>
          <w:sz w:val="24"/>
          <w:szCs w:val="24"/>
          <w:lang w:val="en-US" w:eastAsia="da-DK"/>
        </w:rPr>
        <w:t>Hypromellose 3 cP</w:t>
      </w:r>
    </w:p>
    <w:p w:rsidR="00E24BC3" w:rsidRPr="00C20294" w:rsidRDefault="00E24BC3" w:rsidP="00E24BC3">
      <w:pPr>
        <w:autoSpaceDE w:val="0"/>
        <w:autoSpaceDN w:val="0"/>
        <w:adjustRightInd w:val="0"/>
        <w:ind w:left="851"/>
        <w:rPr>
          <w:rFonts w:eastAsiaTheme="minorEastAsia"/>
          <w:sz w:val="24"/>
          <w:szCs w:val="24"/>
          <w:lang w:val="en-US" w:eastAsia="da-DK"/>
        </w:rPr>
      </w:pPr>
      <w:r w:rsidRPr="00C20294">
        <w:rPr>
          <w:rFonts w:eastAsiaTheme="minorEastAsia"/>
          <w:sz w:val="24"/>
          <w:szCs w:val="24"/>
          <w:lang w:val="en-US" w:eastAsia="da-DK"/>
        </w:rPr>
        <w:t>Hypromellose 6 cP</w:t>
      </w:r>
    </w:p>
    <w:p w:rsidR="00E24BC3" w:rsidRPr="00A751C1" w:rsidRDefault="00E24BC3" w:rsidP="00E24BC3">
      <w:pPr>
        <w:autoSpaceDE w:val="0"/>
        <w:autoSpaceDN w:val="0"/>
        <w:adjustRightInd w:val="0"/>
        <w:ind w:left="851"/>
        <w:rPr>
          <w:rFonts w:eastAsiaTheme="minorEastAsia"/>
          <w:sz w:val="24"/>
          <w:szCs w:val="24"/>
          <w:lang w:val="en-US" w:eastAsia="da-DK"/>
        </w:rPr>
      </w:pPr>
      <w:r w:rsidRPr="00A751C1">
        <w:rPr>
          <w:rFonts w:eastAsiaTheme="minorEastAsia"/>
          <w:sz w:val="24"/>
          <w:szCs w:val="24"/>
          <w:lang w:val="en-US" w:eastAsia="da-DK"/>
        </w:rPr>
        <w:t>Titandioxid (E171)</w:t>
      </w:r>
    </w:p>
    <w:p w:rsidR="00E24BC3" w:rsidRPr="00A751C1" w:rsidRDefault="00E24BC3" w:rsidP="00E24BC3">
      <w:pPr>
        <w:autoSpaceDE w:val="0"/>
        <w:autoSpaceDN w:val="0"/>
        <w:adjustRightInd w:val="0"/>
        <w:ind w:left="851"/>
        <w:rPr>
          <w:rFonts w:eastAsiaTheme="minorEastAsia"/>
          <w:sz w:val="24"/>
          <w:szCs w:val="24"/>
          <w:lang w:val="en-US" w:eastAsia="da-DK"/>
        </w:rPr>
      </w:pPr>
      <w:r w:rsidRPr="00A751C1">
        <w:rPr>
          <w:rFonts w:eastAsiaTheme="minorEastAsia"/>
          <w:sz w:val="24"/>
          <w:szCs w:val="24"/>
          <w:lang w:val="en-US" w:eastAsia="da-DK"/>
        </w:rPr>
        <w:t>Macrogol 400</w:t>
      </w:r>
    </w:p>
    <w:p w:rsidR="00E24BC3" w:rsidRPr="00A751C1" w:rsidRDefault="00E24BC3" w:rsidP="00E24BC3">
      <w:pPr>
        <w:autoSpaceDE w:val="0"/>
        <w:autoSpaceDN w:val="0"/>
        <w:adjustRightInd w:val="0"/>
        <w:ind w:left="851"/>
        <w:rPr>
          <w:rFonts w:eastAsiaTheme="minorEastAsia"/>
          <w:sz w:val="24"/>
          <w:szCs w:val="24"/>
          <w:lang w:val="en-US" w:eastAsia="da-DK"/>
        </w:rPr>
      </w:pPr>
      <w:r w:rsidRPr="00A751C1">
        <w:rPr>
          <w:rFonts w:eastAsiaTheme="minorEastAsia"/>
          <w:sz w:val="24"/>
          <w:szCs w:val="24"/>
          <w:lang w:val="en-US" w:eastAsia="da-DK"/>
        </w:rPr>
        <w:t>Rød jernoxid (E172)</w:t>
      </w:r>
    </w:p>
    <w:p w:rsidR="00E24BC3" w:rsidRPr="0049365E" w:rsidRDefault="00E24BC3" w:rsidP="00E24BC3">
      <w:pPr>
        <w:autoSpaceDE w:val="0"/>
        <w:autoSpaceDN w:val="0"/>
        <w:adjustRightInd w:val="0"/>
        <w:ind w:left="851"/>
        <w:rPr>
          <w:rFonts w:eastAsiaTheme="minorEastAsia"/>
          <w:sz w:val="24"/>
          <w:szCs w:val="24"/>
          <w:lang w:eastAsia="da-DK"/>
        </w:rPr>
      </w:pPr>
      <w:r w:rsidRPr="00C20294">
        <w:rPr>
          <w:rFonts w:eastAsiaTheme="minorEastAsia"/>
          <w:sz w:val="24"/>
          <w:szCs w:val="24"/>
          <w:lang w:eastAsia="da-DK"/>
        </w:rPr>
        <w:t>Polysorbat 80</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6.2</w:t>
      </w:r>
      <w:r w:rsidRPr="00C84483">
        <w:rPr>
          <w:b/>
          <w:sz w:val="24"/>
          <w:szCs w:val="24"/>
        </w:rPr>
        <w:tab/>
        <w:t>Uforligeligheder</w:t>
      </w:r>
    </w:p>
    <w:p w:rsidR="00E24BC3" w:rsidRPr="0049365E" w:rsidRDefault="00E24BC3" w:rsidP="00E24BC3">
      <w:pPr>
        <w:ind w:left="851"/>
        <w:rPr>
          <w:rFonts w:eastAsiaTheme="minorEastAsia"/>
          <w:sz w:val="24"/>
          <w:szCs w:val="24"/>
          <w:lang w:eastAsia="da-DK"/>
        </w:rPr>
      </w:pPr>
      <w:r w:rsidRPr="00C20294">
        <w:rPr>
          <w:rFonts w:eastAsiaTheme="minorEastAsia"/>
          <w:sz w:val="24"/>
          <w:szCs w:val="24"/>
          <w:lang w:eastAsia="da-DK"/>
        </w:rPr>
        <w:t>Ikke relevant.</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6.3</w:t>
      </w:r>
      <w:r w:rsidRPr="00C84483">
        <w:rPr>
          <w:b/>
          <w:sz w:val="24"/>
          <w:szCs w:val="24"/>
        </w:rPr>
        <w:tab/>
        <w:t>Opbevaringstid</w:t>
      </w:r>
    </w:p>
    <w:p w:rsidR="00E24BC3" w:rsidRPr="0049365E" w:rsidRDefault="00E24BC3" w:rsidP="00E24BC3">
      <w:pPr>
        <w:autoSpaceDE w:val="0"/>
        <w:autoSpaceDN w:val="0"/>
        <w:adjustRightInd w:val="0"/>
        <w:ind w:left="851"/>
        <w:rPr>
          <w:rFonts w:eastAsiaTheme="minorEastAsia"/>
          <w:sz w:val="24"/>
          <w:szCs w:val="24"/>
          <w:lang w:eastAsia="da-DK"/>
        </w:rPr>
      </w:pPr>
      <w:r w:rsidRPr="00C20294">
        <w:rPr>
          <w:rFonts w:eastAsiaTheme="minorEastAsia"/>
          <w:sz w:val="24"/>
          <w:szCs w:val="24"/>
          <w:lang w:eastAsia="da-DK"/>
        </w:rPr>
        <w:t>3 år.</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24BC3" w:rsidRPr="0049365E" w:rsidRDefault="00E24BC3" w:rsidP="00E24BC3">
      <w:pPr>
        <w:autoSpaceDE w:val="0"/>
        <w:autoSpaceDN w:val="0"/>
        <w:adjustRightInd w:val="0"/>
        <w:ind w:left="851"/>
        <w:rPr>
          <w:rFonts w:eastAsiaTheme="minorEastAsia"/>
          <w:sz w:val="24"/>
          <w:szCs w:val="24"/>
          <w:lang w:eastAsia="da-DK"/>
        </w:rPr>
      </w:pPr>
      <w:r w:rsidRPr="00C20294">
        <w:rPr>
          <w:rFonts w:eastAsiaTheme="minorEastAsia"/>
          <w:sz w:val="24"/>
          <w:szCs w:val="24"/>
          <w:lang w:eastAsia="da-DK"/>
        </w:rPr>
        <w:t>Dette lægemiddel kræver ingen særlige forholdsregler vedrørende opbevaringen.</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E24BC3" w:rsidRDefault="00E24BC3" w:rsidP="00E24BC3">
      <w:pPr>
        <w:autoSpaceDE w:val="0"/>
        <w:autoSpaceDN w:val="0"/>
        <w:adjustRightInd w:val="0"/>
        <w:ind w:left="851"/>
        <w:rPr>
          <w:rFonts w:eastAsiaTheme="minorEastAsia"/>
          <w:sz w:val="24"/>
          <w:szCs w:val="24"/>
          <w:u w:val="single"/>
          <w:lang w:eastAsia="da-DK"/>
        </w:rPr>
      </w:pPr>
      <w:r>
        <w:rPr>
          <w:rFonts w:eastAsiaTheme="minorEastAsia"/>
          <w:sz w:val="24"/>
          <w:szCs w:val="24"/>
          <w:u w:val="single"/>
          <w:lang w:eastAsia="da-DK"/>
        </w:rPr>
        <w:t>OPA-Aluminium-PVC/aluminiumsblister, i æske</w:t>
      </w:r>
    </w:p>
    <w:p w:rsidR="00E24BC3" w:rsidRDefault="00E24BC3" w:rsidP="00E24BC3">
      <w:pPr>
        <w:autoSpaceDE w:val="0"/>
        <w:autoSpaceDN w:val="0"/>
        <w:adjustRightInd w:val="0"/>
        <w:ind w:left="851"/>
        <w:rPr>
          <w:rFonts w:eastAsiaTheme="minorEastAsia"/>
          <w:sz w:val="24"/>
          <w:szCs w:val="24"/>
          <w:lang w:eastAsia="da-DK"/>
        </w:rPr>
      </w:pPr>
      <w:r>
        <w:rPr>
          <w:rFonts w:eastAsiaTheme="minorEastAsia"/>
          <w:sz w:val="24"/>
          <w:szCs w:val="24"/>
          <w:lang w:eastAsia="da-DK"/>
        </w:rPr>
        <w:t xml:space="preserve">Pakningsstørrelser: 30, 60, 90 og 120 stk. </w:t>
      </w:r>
    </w:p>
    <w:p w:rsidR="00E24BC3" w:rsidRDefault="00E24BC3" w:rsidP="00E24BC3">
      <w:pPr>
        <w:autoSpaceDE w:val="0"/>
        <w:autoSpaceDN w:val="0"/>
        <w:adjustRightInd w:val="0"/>
        <w:ind w:left="851"/>
        <w:rPr>
          <w:rFonts w:eastAsiaTheme="minorEastAsia"/>
          <w:sz w:val="24"/>
          <w:szCs w:val="24"/>
          <w:lang w:eastAsia="da-DK"/>
        </w:rPr>
      </w:pPr>
    </w:p>
    <w:p w:rsidR="00E24BC3" w:rsidRDefault="00E24BC3" w:rsidP="00E24BC3">
      <w:pPr>
        <w:autoSpaceDE w:val="0"/>
        <w:autoSpaceDN w:val="0"/>
        <w:adjustRightInd w:val="0"/>
        <w:ind w:left="851"/>
        <w:rPr>
          <w:rFonts w:eastAsiaTheme="minorEastAsia"/>
          <w:sz w:val="24"/>
          <w:szCs w:val="24"/>
          <w:u w:val="single"/>
          <w:lang w:eastAsia="da-DK"/>
        </w:rPr>
      </w:pPr>
      <w:r>
        <w:rPr>
          <w:rStyle w:val="shorttext"/>
          <w:rFonts w:ascii="Arial" w:hAnsi="Arial" w:cs="Arial"/>
          <w:color w:val="222222"/>
        </w:rPr>
        <w:t>Højdensitetspolyethylen (</w:t>
      </w:r>
      <w:r>
        <w:rPr>
          <w:rFonts w:eastAsiaTheme="minorEastAsia"/>
          <w:sz w:val="24"/>
          <w:szCs w:val="24"/>
          <w:u w:val="single"/>
          <w:lang w:eastAsia="da-DK"/>
        </w:rPr>
        <w:t>HDPE)-beholder fyldt med renset bomuld med børnesikret polypropylen-skruelåg med pulp-liner (lavet af foring, voks, folie, PET og varmesegl)</w:t>
      </w:r>
    </w:p>
    <w:p w:rsidR="00E24BC3" w:rsidRDefault="00E24BC3" w:rsidP="00E24BC3">
      <w:pPr>
        <w:autoSpaceDE w:val="0"/>
        <w:autoSpaceDN w:val="0"/>
        <w:adjustRightInd w:val="0"/>
        <w:ind w:left="851"/>
        <w:rPr>
          <w:rFonts w:eastAsiaTheme="minorEastAsia"/>
          <w:sz w:val="24"/>
          <w:szCs w:val="24"/>
          <w:lang w:eastAsia="da-DK"/>
        </w:rPr>
      </w:pPr>
      <w:r>
        <w:rPr>
          <w:rFonts w:eastAsiaTheme="minorEastAsia"/>
          <w:sz w:val="24"/>
          <w:szCs w:val="24"/>
          <w:lang w:eastAsia="da-DK"/>
        </w:rPr>
        <w:t>Pakningsstørrelser: 60 stk.</w:t>
      </w:r>
    </w:p>
    <w:p w:rsidR="00E24BC3" w:rsidRPr="00C20294" w:rsidRDefault="00E24BC3" w:rsidP="00E24BC3">
      <w:pPr>
        <w:autoSpaceDE w:val="0"/>
        <w:autoSpaceDN w:val="0"/>
        <w:adjustRightInd w:val="0"/>
        <w:ind w:left="851"/>
        <w:rPr>
          <w:rFonts w:eastAsiaTheme="minorEastAsia"/>
          <w:sz w:val="24"/>
          <w:szCs w:val="24"/>
          <w:lang w:eastAsia="da-DK"/>
        </w:rPr>
      </w:pPr>
    </w:p>
    <w:p w:rsidR="00E24BC3" w:rsidRPr="00304969" w:rsidRDefault="00E24BC3" w:rsidP="00E24BC3">
      <w:pPr>
        <w:autoSpaceDE w:val="0"/>
        <w:autoSpaceDN w:val="0"/>
        <w:adjustRightInd w:val="0"/>
        <w:ind w:left="851"/>
        <w:rPr>
          <w:rFonts w:eastAsiaTheme="minorEastAsia"/>
          <w:sz w:val="24"/>
          <w:szCs w:val="24"/>
          <w:lang w:eastAsia="da-DK"/>
        </w:rPr>
      </w:pPr>
      <w:r w:rsidRPr="00C20294">
        <w:rPr>
          <w:rFonts w:eastAsiaTheme="minorEastAsia"/>
          <w:sz w:val="24"/>
          <w:szCs w:val="24"/>
          <w:lang w:eastAsia="da-DK"/>
        </w:rPr>
        <w:t>Ikke alle pakningsstørrelser er nødvendigvis markedsført.</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E24BC3" w:rsidRPr="00304969" w:rsidRDefault="00E24BC3" w:rsidP="00E24BC3">
      <w:pPr>
        <w:ind w:left="851"/>
        <w:rPr>
          <w:rFonts w:eastAsiaTheme="minorEastAsia"/>
          <w:sz w:val="24"/>
          <w:szCs w:val="24"/>
          <w:lang w:eastAsia="da-DK"/>
        </w:rPr>
      </w:pPr>
      <w:r w:rsidRPr="00C20294">
        <w:rPr>
          <w:rFonts w:eastAsiaTheme="minorEastAsia"/>
          <w:sz w:val="24"/>
          <w:szCs w:val="24"/>
          <w:lang w:eastAsia="da-DK"/>
        </w:rPr>
        <w:t>Ikke anvendt lægemiddel samt affald heraf skal bortskaffes i henhold til lokale retningslinier.</w:t>
      </w:r>
    </w:p>
    <w:p w:rsidR="00E24BC3" w:rsidRPr="00C84483" w:rsidRDefault="00E24BC3" w:rsidP="00E24BC3">
      <w:pPr>
        <w:tabs>
          <w:tab w:val="left" w:pos="851"/>
        </w:tabs>
        <w:ind w:left="851"/>
        <w:jc w:val="both"/>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A487F" w:rsidRPr="003305BE" w:rsidRDefault="002A487F" w:rsidP="002A487F">
      <w:pPr>
        <w:widowControl w:val="0"/>
        <w:autoSpaceDE w:val="0"/>
        <w:autoSpaceDN w:val="0"/>
        <w:adjustRightInd w:val="0"/>
        <w:ind w:left="851" w:right="-28"/>
        <w:rPr>
          <w:bCs/>
          <w:color w:val="231F20"/>
          <w:sz w:val="24"/>
          <w:szCs w:val="24"/>
          <w:lang w:val="en-US" w:eastAsia="da-DK"/>
        </w:rPr>
      </w:pPr>
      <w:r w:rsidRPr="003305BE">
        <w:rPr>
          <w:bCs/>
          <w:color w:val="231F20"/>
          <w:sz w:val="24"/>
          <w:szCs w:val="24"/>
          <w:lang w:val="en-US" w:eastAsia="da-DK"/>
        </w:rPr>
        <w:t>Accord Healthcare B.V.</w:t>
      </w:r>
    </w:p>
    <w:p w:rsidR="002A487F" w:rsidRPr="003305BE" w:rsidRDefault="002A487F" w:rsidP="002A487F">
      <w:pPr>
        <w:widowControl w:val="0"/>
        <w:autoSpaceDE w:val="0"/>
        <w:autoSpaceDN w:val="0"/>
        <w:adjustRightInd w:val="0"/>
        <w:ind w:left="851" w:right="-28"/>
        <w:rPr>
          <w:bCs/>
          <w:color w:val="231F20"/>
          <w:sz w:val="24"/>
          <w:szCs w:val="24"/>
          <w:lang w:val="en-US" w:eastAsia="da-DK"/>
        </w:rPr>
      </w:pPr>
      <w:r w:rsidRPr="003305BE">
        <w:rPr>
          <w:bCs/>
          <w:color w:val="231F20"/>
          <w:sz w:val="24"/>
          <w:szCs w:val="24"/>
          <w:lang w:val="en-US" w:eastAsia="da-DK"/>
        </w:rPr>
        <w:t>Winthontlaan 200</w:t>
      </w:r>
    </w:p>
    <w:p w:rsidR="002A487F" w:rsidRPr="003305BE" w:rsidRDefault="002A487F" w:rsidP="002A487F">
      <w:pPr>
        <w:widowControl w:val="0"/>
        <w:autoSpaceDE w:val="0"/>
        <w:autoSpaceDN w:val="0"/>
        <w:adjustRightInd w:val="0"/>
        <w:ind w:left="851" w:right="-28"/>
        <w:rPr>
          <w:bCs/>
          <w:color w:val="231F20"/>
          <w:sz w:val="24"/>
          <w:szCs w:val="24"/>
          <w:lang w:eastAsia="da-DK"/>
        </w:rPr>
      </w:pPr>
      <w:r w:rsidRPr="003305BE">
        <w:rPr>
          <w:bCs/>
          <w:color w:val="231F20"/>
          <w:sz w:val="24"/>
          <w:szCs w:val="24"/>
          <w:lang w:eastAsia="da-DK"/>
        </w:rPr>
        <w:t>3526KV Utrecht</w:t>
      </w:r>
    </w:p>
    <w:p w:rsidR="00E24BC3" w:rsidRPr="00C20294" w:rsidRDefault="002A487F" w:rsidP="002A487F">
      <w:pPr>
        <w:shd w:val="clear" w:color="auto" w:fill="FFFFFF"/>
        <w:ind w:left="851"/>
        <w:rPr>
          <w:rFonts w:eastAsiaTheme="minorEastAsia"/>
          <w:sz w:val="24"/>
          <w:szCs w:val="24"/>
          <w:lang w:eastAsia="da-DK"/>
        </w:rPr>
      </w:pPr>
      <w:r w:rsidRPr="003305BE">
        <w:rPr>
          <w:bCs/>
          <w:color w:val="231F20"/>
          <w:sz w:val="24"/>
          <w:szCs w:val="24"/>
          <w:lang w:eastAsia="da-DK"/>
        </w:rPr>
        <w:t>Holland</w:t>
      </w:r>
    </w:p>
    <w:p w:rsidR="00E24BC3" w:rsidRPr="00C84483" w:rsidRDefault="00E24BC3" w:rsidP="00E24BC3">
      <w:pPr>
        <w:tabs>
          <w:tab w:val="left" w:pos="851"/>
        </w:tabs>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E24BC3" w:rsidRPr="00C84483" w:rsidRDefault="00E24BC3" w:rsidP="00E24BC3">
      <w:pPr>
        <w:tabs>
          <w:tab w:val="left" w:pos="851"/>
        </w:tabs>
        <w:ind w:left="851"/>
        <w:rPr>
          <w:sz w:val="24"/>
          <w:szCs w:val="24"/>
        </w:rPr>
      </w:pPr>
      <w:r>
        <w:rPr>
          <w:sz w:val="24"/>
          <w:szCs w:val="24"/>
        </w:rPr>
        <w:t>54776</w:t>
      </w:r>
    </w:p>
    <w:p w:rsidR="00E24BC3" w:rsidRPr="00C84483" w:rsidRDefault="00E24BC3" w:rsidP="00E24BC3">
      <w:pPr>
        <w:tabs>
          <w:tab w:val="left" w:pos="851"/>
        </w:tabs>
        <w:ind w:left="851"/>
        <w:jc w:val="both"/>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24BC3" w:rsidRPr="00C84483" w:rsidRDefault="00E24BC3" w:rsidP="00E24BC3">
      <w:pPr>
        <w:tabs>
          <w:tab w:val="left" w:pos="851"/>
        </w:tabs>
        <w:ind w:left="851"/>
        <w:rPr>
          <w:sz w:val="24"/>
          <w:szCs w:val="24"/>
        </w:rPr>
      </w:pPr>
      <w:r>
        <w:rPr>
          <w:sz w:val="24"/>
          <w:szCs w:val="24"/>
        </w:rPr>
        <w:t>8. april 2016</w:t>
      </w:r>
    </w:p>
    <w:p w:rsidR="00E24BC3" w:rsidRPr="00C84483" w:rsidRDefault="00E24BC3" w:rsidP="00E24BC3">
      <w:pPr>
        <w:tabs>
          <w:tab w:val="left" w:pos="851"/>
        </w:tabs>
        <w:ind w:left="851"/>
        <w:rPr>
          <w:sz w:val="24"/>
          <w:szCs w:val="24"/>
        </w:rPr>
      </w:pPr>
    </w:p>
    <w:p w:rsidR="00E24BC3" w:rsidRPr="00C84483" w:rsidRDefault="00E24BC3" w:rsidP="00E24BC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E24BC3" w:rsidRPr="00C84483" w:rsidRDefault="002A487F" w:rsidP="00E24BC3">
      <w:pPr>
        <w:tabs>
          <w:tab w:val="left" w:pos="851"/>
        </w:tabs>
        <w:ind w:left="851"/>
        <w:rPr>
          <w:sz w:val="24"/>
          <w:szCs w:val="24"/>
        </w:rPr>
      </w:pPr>
      <w:r>
        <w:rPr>
          <w:sz w:val="24"/>
          <w:szCs w:val="24"/>
        </w:rPr>
        <w:t>26. februar 2020</w:t>
      </w:r>
    </w:p>
    <w:p w:rsidR="00E24BC3" w:rsidRPr="003C570D" w:rsidRDefault="00E24BC3" w:rsidP="00E24BC3"/>
    <w:p w:rsidR="00E24BC3" w:rsidRPr="002D7BE7" w:rsidRDefault="00E24BC3" w:rsidP="00E24BC3"/>
    <w:p w:rsidR="009260DE" w:rsidRPr="00E24BC3" w:rsidRDefault="009260DE" w:rsidP="00E24BC3"/>
    <w:sectPr w:rsidR="009260DE" w:rsidRPr="00E24BC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BC3" w:rsidRDefault="00E24BC3">
      <w:r>
        <w:separator/>
      </w:r>
    </w:p>
  </w:endnote>
  <w:endnote w:type="continuationSeparator" w:id="0">
    <w:p w:rsidR="00E24BC3" w:rsidRDefault="00E2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021B">
      <w:rPr>
        <w:i/>
        <w:noProof/>
        <w:sz w:val="18"/>
        <w:szCs w:val="18"/>
      </w:rPr>
      <w:t>Valganciclovir Accord, filmovertrukne tabletter 450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BC3" w:rsidRDefault="00E24BC3">
      <w:r>
        <w:separator/>
      </w:r>
    </w:p>
  </w:footnote>
  <w:footnote w:type="continuationSeparator" w:id="0">
    <w:p w:rsidR="00E24BC3" w:rsidRDefault="00E24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3675"/>
    <w:multiLevelType w:val="hybridMultilevel"/>
    <w:tmpl w:val="5E2E88BA"/>
    <w:lvl w:ilvl="0" w:tplc="0C0A0019">
      <w:start w:val="1"/>
      <w:numFmt w:val="lowerLetter"/>
      <w:lvlText w:val="%1."/>
      <w:lvlJc w:val="left"/>
      <w:pPr>
        <w:ind w:left="1353" w:hanging="360"/>
      </w:pPr>
      <w:rPr>
        <w:rFonts w:cs="Times New Roman" w:hint="default"/>
      </w:rPr>
    </w:lvl>
    <w:lvl w:ilvl="1" w:tplc="0C0A0019" w:tentative="1">
      <w:start w:val="1"/>
      <w:numFmt w:val="lowerLetter"/>
      <w:lvlText w:val="%2."/>
      <w:lvlJc w:val="left"/>
      <w:pPr>
        <w:ind w:left="2073" w:hanging="360"/>
      </w:pPr>
      <w:rPr>
        <w:rFonts w:cs="Times New Roman"/>
      </w:rPr>
    </w:lvl>
    <w:lvl w:ilvl="2" w:tplc="0C0A001B" w:tentative="1">
      <w:start w:val="1"/>
      <w:numFmt w:val="lowerRoman"/>
      <w:lvlText w:val="%3."/>
      <w:lvlJc w:val="right"/>
      <w:pPr>
        <w:ind w:left="2793" w:hanging="180"/>
      </w:pPr>
      <w:rPr>
        <w:rFonts w:cs="Times New Roman"/>
      </w:rPr>
    </w:lvl>
    <w:lvl w:ilvl="3" w:tplc="0C0A000F" w:tentative="1">
      <w:start w:val="1"/>
      <w:numFmt w:val="decimal"/>
      <w:lvlText w:val="%4."/>
      <w:lvlJc w:val="left"/>
      <w:pPr>
        <w:ind w:left="3513" w:hanging="360"/>
      </w:pPr>
      <w:rPr>
        <w:rFonts w:cs="Times New Roman"/>
      </w:rPr>
    </w:lvl>
    <w:lvl w:ilvl="4" w:tplc="0C0A0019" w:tentative="1">
      <w:start w:val="1"/>
      <w:numFmt w:val="lowerLetter"/>
      <w:lvlText w:val="%5."/>
      <w:lvlJc w:val="left"/>
      <w:pPr>
        <w:ind w:left="4233" w:hanging="360"/>
      </w:pPr>
      <w:rPr>
        <w:rFonts w:cs="Times New Roman"/>
      </w:rPr>
    </w:lvl>
    <w:lvl w:ilvl="5" w:tplc="0C0A001B" w:tentative="1">
      <w:start w:val="1"/>
      <w:numFmt w:val="lowerRoman"/>
      <w:lvlText w:val="%6."/>
      <w:lvlJc w:val="right"/>
      <w:pPr>
        <w:ind w:left="4953" w:hanging="180"/>
      </w:pPr>
      <w:rPr>
        <w:rFonts w:cs="Times New Roman"/>
      </w:rPr>
    </w:lvl>
    <w:lvl w:ilvl="6" w:tplc="0C0A000F" w:tentative="1">
      <w:start w:val="1"/>
      <w:numFmt w:val="decimal"/>
      <w:lvlText w:val="%7."/>
      <w:lvlJc w:val="left"/>
      <w:pPr>
        <w:ind w:left="5673" w:hanging="360"/>
      </w:pPr>
      <w:rPr>
        <w:rFonts w:cs="Times New Roman"/>
      </w:rPr>
    </w:lvl>
    <w:lvl w:ilvl="7" w:tplc="0C0A0019" w:tentative="1">
      <w:start w:val="1"/>
      <w:numFmt w:val="lowerLetter"/>
      <w:lvlText w:val="%8."/>
      <w:lvlJc w:val="left"/>
      <w:pPr>
        <w:ind w:left="6393" w:hanging="360"/>
      </w:pPr>
      <w:rPr>
        <w:rFonts w:cs="Times New Roman"/>
      </w:rPr>
    </w:lvl>
    <w:lvl w:ilvl="8" w:tplc="0C0A001B" w:tentative="1">
      <w:start w:val="1"/>
      <w:numFmt w:val="lowerRoman"/>
      <w:lvlText w:val="%9."/>
      <w:lvlJc w:val="right"/>
      <w:pPr>
        <w:ind w:left="7113"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4D52E69"/>
    <w:multiLevelType w:val="hybridMultilevel"/>
    <w:tmpl w:val="54C67F9C"/>
    <w:lvl w:ilvl="0" w:tplc="9EB647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4D3659"/>
    <w:multiLevelType w:val="hybridMultilevel"/>
    <w:tmpl w:val="C4D80F64"/>
    <w:lvl w:ilvl="0" w:tplc="3C54DC9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C3"/>
    <w:rsid w:val="000259B9"/>
    <w:rsid w:val="00041491"/>
    <w:rsid w:val="00050D16"/>
    <w:rsid w:val="00074F2A"/>
    <w:rsid w:val="000A1CA8"/>
    <w:rsid w:val="000A466B"/>
    <w:rsid w:val="000B058C"/>
    <w:rsid w:val="000E4EE6"/>
    <w:rsid w:val="001454E2"/>
    <w:rsid w:val="00206CE8"/>
    <w:rsid w:val="0021526C"/>
    <w:rsid w:val="00283A2B"/>
    <w:rsid w:val="002A487F"/>
    <w:rsid w:val="002B30AD"/>
    <w:rsid w:val="002C2C01"/>
    <w:rsid w:val="003A29AE"/>
    <w:rsid w:val="003A32D7"/>
    <w:rsid w:val="003B4074"/>
    <w:rsid w:val="003C769A"/>
    <w:rsid w:val="003F1838"/>
    <w:rsid w:val="0045746C"/>
    <w:rsid w:val="0049104B"/>
    <w:rsid w:val="004E3B12"/>
    <w:rsid w:val="00506D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21B"/>
    <w:rsid w:val="00E108AA"/>
    <w:rsid w:val="00E24BC3"/>
    <w:rsid w:val="00E31812"/>
    <w:rsid w:val="00E326B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084B0-8B2C-4F28-B1CA-F79EA542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24BC3"/>
    <w:rPr>
      <w:color w:val="808080"/>
    </w:rPr>
  </w:style>
  <w:style w:type="table" w:styleId="Tabel-Gitter">
    <w:name w:val="Table Grid"/>
    <w:basedOn w:val="Tabel-Normal"/>
    <w:uiPriority w:val="59"/>
    <w:rsid w:val="00E24BC3"/>
    <w:rPr>
      <w:rFonts w:asciiTheme="minorHAnsi" w:eastAsiaTheme="minorEastAsia"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E24BC3"/>
    <w:pPr>
      <w:spacing w:after="200" w:line="276" w:lineRule="auto"/>
      <w:ind w:left="720"/>
      <w:contextualSpacing/>
    </w:pPr>
    <w:rPr>
      <w:rFonts w:asciiTheme="minorHAnsi" w:eastAsiaTheme="minorEastAsia" w:hAnsiTheme="minorHAnsi"/>
      <w:sz w:val="22"/>
      <w:szCs w:val="22"/>
      <w:lang w:eastAsia="da-DK"/>
    </w:rPr>
  </w:style>
  <w:style w:type="character" w:styleId="Hyperlink">
    <w:name w:val="Hyperlink"/>
    <w:basedOn w:val="Standardskrifttypeiafsnit"/>
    <w:uiPriority w:val="99"/>
    <w:semiHidden/>
    <w:unhideWhenUsed/>
    <w:rsid w:val="00E24BC3"/>
    <w:rPr>
      <w:color w:val="0000FF"/>
      <w:u w:val="single"/>
    </w:rPr>
  </w:style>
  <w:style w:type="character" w:customStyle="1" w:styleId="shorttext">
    <w:name w:val="short_text"/>
    <w:basedOn w:val="Standardskrifttypeiafsnit"/>
    <w:rsid w:val="00E24BC3"/>
  </w:style>
  <w:style w:type="character" w:customStyle="1" w:styleId="TableCell10LeftChar">
    <w:name w:val="Table Cell 10 Left Char"/>
    <w:link w:val="TableCell10Left"/>
    <w:locked/>
    <w:rsid w:val="00E24BC3"/>
    <w:rPr>
      <w:rFonts w:ascii="Arial" w:eastAsia="SimSun" w:hAnsi="Arial" w:cs="Arial"/>
      <w:szCs w:val="24"/>
      <w:lang w:val="en-US" w:eastAsia="zh-CN"/>
    </w:rPr>
  </w:style>
  <w:style w:type="paragraph" w:customStyle="1" w:styleId="TableCell10Left">
    <w:name w:val="Table Cell 10 Left"/>
    <w:basedOn w:val="Normal"/>
    <w:link w:val="TableCell10LeftChar"/>
    <w:rsid w:val="00E24BC3"/>
    <w:pPr>
      <w:keepNext/>
      <w:keepLines/>
      <w:spacing w:before="50" w:after="50" w:line="240" w:lineRule="exact"/>
    </w:pPr>
    <w:rPr>
      <w:rFonts w:ascii="Arial" w:eastAsia="SimSun" w:hAnsi="Arial" w:cs="Arial"/>
      <w:sz w:val="20"/>
      <w:szCs w:val="24"/>
      <w:lang w:val="en-US" w:eastAsia="zh-CN"/>
    </w:rPr>
  </w:style>
  <w:style w:type="character" w:customStyle="1" w:styleId="TextTi10Char">
    <w:name w:val="Text:Ti10 Char"/>
    <w:link w:val="TextTi10"/>
    <w:locked/>
    <w:rsid w:val="00E24BC3"/>
    <w:rPr>
      <w:sz w:val="23"/>
      <w:lang w:val="en-US" w:eastAsia="ja-JP"/>
    </w:rPr>
  </w:style>
  <w:style w:type="paragraph" w:customStyle="1" w:styleId="TextTi10">
    <w:name w:val="Text:Ti10"/>
    <w:basedOn w:val="Normal"/>
    <w:link w:val="TextTi10Char"/>
    <w:rsid w:val="00E24BC3"/>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16</Pages>
  <Words>7920</Words>
  <Characters>48312</Characters>
  <Application>Microsoft Office Word</Application>
  <DocSecurity>0</DocSecurity>
  <Lines>402</Lines>
  <Paragraphs>112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2018121256_x000d_
Skift af MAH fra Accord Healthcare Limited</dc:description>
  <cp:lastModifiedBy>testkonto01</cp:lastModifiedBy>
  <cp:revision>2</cp:revision>
  <cp:lastPrinted>2012-08-22T08:53:00Z</cp:lastPrinted>
  <dcterms:created xsi:type="dcterms:W3CDTF">2020-03-02T10:55:00Z</dcterms:created>
  <dcterms:modified xsi:type="dcterms:W3CDTF">2020-03-02T10:55:00Z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