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D4E95">
        <w:rPr>
          <w:szCs w:val="24"/>
        </w:rPr>
        <w:t>5. november 2018</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CC2CA0" w:rsidP="009260DE">
      <w:pPr>
        <w:jc w:val="center"/>
        <w:rPr>
          <w:b/>
          <w:sz w:val="24"/>
          <w:szCs w:val="24"/>
        </w:rPr>
      </w:pPr>
      <w:r>
        <w:rPr>
          <w:b/>
          <w:sz w:val="24"/>
          <w:szCs w:val="24"/>
        </w:rPr>
        <w:t>Valganciclovir "Medical Valley",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8464FE" w:rsidP="009260DE">
      <w:pPr>
        <w:tabs>
          <w:tab w:val="left" w:pos="851"/>
        </w:tabs>
        <w:ind w:left="851"/>
        <w:rPr>
          <w:sz w:val="24"/>
          <w:szCs w:val="24"/>
        </w:rPr>
      </w:pPr>
      <w:r>
        <w:rPr>
          <w:sz w:val="24"/>
          <w:szCs w:val="24"/>
        </w:rPr>
        <w:t>30917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8464FE" w:rsidP="009260DE">
      <w:pPr>
        <w:tabs>
          <w:tab w:val="left" w:pos="851"/>
        </w:tabs>
        <w:ind w:left="851"/>
        <w:rPr>
          <w:sz w:val="24"/>
          <w:szCs w:val="24"/>
        </w:rPr>
      </w:pPr>
      <w:r>
        <w:rPr>
          <w:sz w:val="24"/>
          <w:szCs w:val="24"/>
        </w:rPr>
        <w:t>Valganciclovir "Medical Valley"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464FE" w:rsidRPr="008464FE" w:rsidRDefault="00E04CFF" w:rsidP="008464FE">
      <w:pPr>
        <w:tabs>
          <w:tab w:val="left" w:pos="851"/>
        </w:tabs>
        <w:ind w:left="851"/>
        <w:rPr>
          <w:sz w:val="24"/>
          <w:szCs w:val="24"/>
        </w:rPr>
      </w:pPr>
      <w:r>
        <w:rPr>
          <w:sz w:val="24"/>
          <w:szCs w:val="24"/>
        </w:rPr>
        <w:t>Hver filmovertrukket</w:t>
      </w:r>
      <w:r w:rsidR="008464FE" w:rsidRPr="008464FE">
        <w:rPr>
          <w:sz w:val="24"/>
          <w:szCs w:val="24"/>
        </w:rPr>
        <w:t xml:space="preserve"> tablet indeholder 496,3 mg valganciclovirhydrochlorid, svarende til 450 mg valganciclovir.</w:t>
      </w:r>
    </w:p>
    <w:p w:rsidR="008464FE" w:rsidRPr="008464FE" w:rsidRDefault="008464FE" w:rsidP="008464FE">
      <w:pPr>
        <w:tabs>
          <w:tab w:val="left" w:pos="851"/>
        </w:tabs>
        <w:ind w:left="851"/>
        <w:rPr>
          <w:sz w:val="24"/>
          <w:szCs w:val="24"/>
        </w:rPr>
      </w:pPr>
    </w:p>
    <w:p w:rsidR="009260DE" w:rsidRPr="00C84483" w:rsidRDefault="008464FE" w:rsidP="00F86CEE">
      <w:pPr>
        <w:tabs>
          <w:tab w:val="left" w:pos="851"/>
        </w:tabs>
        <w:ind w:left="851"/>
        <w:rPr>
          <w:sz w:val="24"/>
          <w:szCs w:val="24"/>
        </w:rPr>
      </w:pPr>
      <w:r w:rsidRPr="008464FE">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8464FE" w:rsidRPr="008464FE" w:rsidRDefault="00E04CFF" w:rsidP="008464FE">
      <w:pPr>
        <w:tabs>
          <w:tab w:val="left" w:pos="851"/>
        </w:tabs>
        <w:ind w:left="851"/>
        <w:rPr>
          <w:sz w:val="24"/>
          <w:szCs w:val="24"/>
        </w:rPr>
      </w:pPr>
      <w:r>
        <w:rPr>
          <w:sz w:val="24"/>
          <w:szCs w:val="24"/>
        </w:rPr>
        <w:t>Filmovertrukne tabletter</w:t>
      </w:r>
    </w:p>
    <w:p w:rsidR="008464FE" w:rsidRPr="008464FE" w:rsidRDefault="008464FE" w:rsidP="008464FE">
      <w:pPr>
        <w:tabs>
          <w:tab w:val="left" w:pos="851"/>
        </w:tabs>
        <w:ind w:left="851"/>
        <w:rPr>
          <w:sz w:val="24"/>
          <w:szCs w:val="24"/>
        </w:rPr>
      </w:pPr>
    </w:p>
    <w:p w:rsidR="009260DE" w:rsidRPr="00C84483" w:rsidRDefault="008464FE" w:rsidP="00E04CFF">
      <w:pPr>
        <w:tabs>
          <w:tab w:val="left" w:pos="851"/>
        </w:tabs>
        <w:ind w:left="851"/>
        <w:rPr>
          <w:sz w:val="24"/>
          <w:szCs w:val="24"/>
        </w:rPr>
      </w:pPr>
      <w:r w:rsidRPr="008464FE">
        <w:rPr>
          <w:sz w:val="24"/>
          <w:szCs w:val="24"/>
        </w:rPr>
        <w:t>Lyserøde, ovale, bikonvekse, filmovertrukne tabletter præget med “450” på den ene side. Tabletterne har en længde på 17,1 ± 0,3 mm, en bredde på 8,2 ± 0,3 mm og en tykkelse på 6,1 ± 0,3 mm.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464FE" w:rsidRPr="008464FE" w:rsidRDefault="008464FE" w:rsidP="008464FE">
      <w:pPr>
        <w:tabs>
          <w:tab w:val="left" w:pos="851"/>
        </w:tabs>
        <w:ind w:left="851"/>
        <w:rPr>
          <w:sz w:val="24"/>
          <w:szCs w:val="24"/>
        </w:rPr>
      </w:pPr>
      <w:r w:rsidRPr="008464FE">
        <w:rPr>
          <w:sz w:val="24"/>
          <w:szCs w:val="24"/>
        </w:rPr>
        <w:t xml:space="preserve">Valganciclovir "Medical Valley" er indiceret til induktions- og vedligeholdelsesbehandling af cytomegalovirus (CMV)-retinitis hos voksne patienter med erhvervet immundefektsyndrom (aids). </w:t>
      </w:r>
    </w:p>
    <w:p w:rsidR="008464FE" w:rsidRPr="008464FE" w:rsidRDefault="008464FE" w:rsidP="008464FE">
      <w:pPr>
        <w:tabs>
          <w:tab w:val="left" w:pos="851"/>
        </w:tabs>
        <w:ind w:left="851"/>
        <w:rPr>
          <w:bCs/>
          <w:noProof/>
          <w:sz w:val="24"/>
          <w:szCs w:val="24"/>
        </w:rPr>
      </w:pPr>
    </w:p>
    <w:p w:rsidR="009260DE" w:rsidRPr="00C84483" w:rsidRDefault="008464FE" w:rsidP="008C59BE">
      <w:pPr>
        <w:tabs>
          <w:tab w:val="left" w:pos="851"/>
        </w:tabs>
        <w:ind w:left="851"/>
        <w:rPr>
          <w:sz w:val="24"/>
          <w:szCs w:val="24"/>
        </w:rPr>
      </w:pPr>
      <w:r w:rsidRPr="008464FE">
        <w:rPr>
          <w:sz w:val="24"/>
          <w:szCs w:val="24"/>
        </w:rPr>
        <w:t>Valganciclovir "Medical Valley" er indiceret til forebyggelse af CMV-sygdom hos CMV-negative voksne og børn (fra fødsel til 18 år), der er transplanteret med et organ fra en CMV-positiv donor.</w:t>
      </w:r>
    </w:p>
    <w:p w:rsidR="008C59BE" w:rsidRDefault="008C59BE">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AC0D43" w:rsidRPr="00AC0D43" w:rsidRDefault="00AC0D43" w:rsidP="00AC0D43">
      <w:pPr>
        <w:tabs>
          <w:tab w:val="left" w:pos="851"/>
        </w:tabs>
        <w:ind w:left="851" w:hanging="567"/>
        <w:rPr>
          <w:sz w:val="24"/>
          <w:szCs w:val="24"/>
        </w:rPr>
      </w:pPr>
    </w:p>
    <w:p w:rsidR="00AC0D43" w:rsidRPr="00AC0D43" w:rsidRDefault="00AC0D43" w:rsidP="00AC0D43">
      <w:pPr>
        <w:tabs>
          <w:tab w:val="left" w:pos="851"/>
        </w:tabs>
        <w:ind w:left="851"/>
        <w:rPr>
          <w:sz w:val="24"/>
          <w:szCs w:val="24"/>
          <w:u w:val="single"/>
        </w:rPr>
      </w:pPr>
      <w:r w:rsidRPr="00AC0D43">
        <w:rPr>
          <w:sz w:val="24"/>
          <w:szCs w:val="24"/>
          <w:u w:val="single"/>
        </w:rPr>
        <w:t>Dosering</w:t>
      </w:r>
    </w:p>
    <w:p w:rsidR="00AC0D43" w:rsidRPr="00AC0D43" w:rsidRDefault="00AC0D43" w:rsidP="00AC0D43">
      <w:pPr>
        <w:shd w:val="clear" w:color="auto" w:fill="FFFFFF"/>
        <w:tabs>
          <w:tab w:val="left" w:pos="851"/>
        </w:tabs>
        <w:ind w:left="851"/>
        <w:rPr>
          <w:b/>
          <w:bCs/>
          <w:color w:val="000000"/>
          <w:sz w:val="24"/>
          <w:szCs w:val="24"/>
          <w:lang w:eastAsia="el-GR"/>
        </w:rPr>
      </w:pPr>
    </w:p>
    <w:p w:rsidR="00AC0D43" w:rsidRPr="00AC0D43" w:rsidRDefault="00AC0D43" w:rsidP="00AC0D43">
      <w:pPr>
        <w:shd w:val="clear" w:color="auto" w:fill="FFFFFF"/>
        <w:tabs>
          <w:tab w:val="left" w:pos="851"/>
        </w:tabs>
        <w:ind w:left="851"/>
        <w:rPr>
          <w:b/>
          <w:bCs/>
          <w:color w:val="000000"/>
          <w:sz w:val="24"/>
          <w:szCs w:val="24"/>
        </w:rPr>
      </w:pPr>
      <w:r w:rsidRPr="00AC0D43">
        <w:rPr>
          <w:b/>
          <w:bCs/>
          <w:color w:val="000000"/>
          <w:sz w:val="24"/>
          <w:szCs w:val="24"/>
        </w:rPr>
        <w:t>Advarsel</w:t>
      </w:r>
      <w:r w:rsidR="00986CD7">
        <w:rPr>
          <w:b/>
          <w:bCs/>
          <w:color w:val="000000"/>
          <w:sz w:val="24"/>
          <w:szCs w:val="24"/>
        </w:rPr>
        <w:t>-</w:t>
      </w:r>
      <w:r w:rsidRPr="00AC0D43">
        <w:rPr>
          <w:b/>
          <w:bCs/>
          <w:color w:val="000000"/>
          <w:sz w:val="24"/>
          <w:szCs w:val="24"/>
        </w:rPr>
        <w:t>For at undgå overdosering er det vigtigt nøje at overholde de anbefalede doser (se pkt. 4.4 og 4.9).</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color w:val="000000"/>
          <w:sz w:val="24"/>
          <w:szCs w:val="24"/>
        </w:rPr>
        <w:t xml:space="preserve">Valganciclovir metaboliseres hurtigt og ekstensivt til ganciclovir efter oral administration. Oral valganciclovir 900 mg to gange daglig er terapeutisk ækvivalent med i.v. ganciclovir 5 mg/kg to gange daglig. </w:t>
      </w:r>
    </w:p>
    <w:p w:rsidR="00AC0D43" w:rsidRPr="00AC0D43" w:rsidRDefault="00AC0D43" w:rsidP="00AC0D43">
      <w:pPr>
        <w:shd w:val="clear" w:color="auto" w:fill="FFFFFF"/>
        <w:tabs>
          <w:tab w:val="left" w:pos="851"/>
        </w:tabs>
        <w:ind w:left="851"/>
        <w:rPr>
          <w:b/>
          <w:bCs/>
          <w:color w:val="000000"/>
          <w:sz w:val="24"/>
          <w:szCs w:val="24"/>
          <w:lang w:eastAsia="el-GR"/>
        </w:rPr>
      </w:pPr>
    </w:p>
    <w:p w:rsidR="00AC0D43" w:rsidRPr="00AC0D43" w:rsidRDefault="00AC0D43" w:rsidP="00AC0D43">
      <w:pPr>
        <w:shd w:val="clear" w:color="auto" w:fill="FFFFFF"/>
        <w:tabs>
          <w:tab w:val="left" w:pos="851"/>
        </w:tabs>
        <w:ind w:left="851"/>
        <w:rPr>
          <w:b/>
          <w:bCs/>
          <w:color w:val="000000"/>
          <w:sz w:val="24"/>
          <w:szCs w:val="24"/>
        </w:rPr>
      </w:pPr>
      <w:r w:rsidRPr="00AC0D43">
        <w:rPr>
          <w:b/>
          <w:color w:val="000000"/>
          <w:sz w:val="24"/>
          <w:szCs w:val="24"/>
        </w:rPr>
        <w:t>Behandling af cytomegalovirus (CMV)-retinitis</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i/>
          <w:iCs/>
          <w:color w:val="000000"/>
          <w:sz w:val="24"/>
          <w:szCs w:val="24"/>
          <w:u w:val="single"/>
        </w:rPr>
      </w:pPr>
      <w:r w:rsidRPr="00AC0D43">
        <w:rPr>
          <w:i/>
          <w:iCs/>
          <w:color w:val="000000"/>
          <w:sz w:val="24"/>
          <w:szCs w:val="24"/>
          <w:u w:val="single"/>
        </w:rPr>
        <w:t>Voksne patienter</w:t>
      </w:r>
    </w:p>
    <w:p w:rsidR="00AC0D43" w:rsidRPr="00AC0D43" w:rsidRDefault="00AC0D43" w:rsidP="00AC0D43">
      <w:pPr>
        <w:shd w:val="clear" w:color="auto" w:fill="FFFFFF"/>
        <w:tabs>
          <w:tab w:val="left" w:pos="851"/>
        </w:tabs>
        <w:ind w:left="851"/>
        <w:rPr>
          <w:i/>
          <w:iCs/>
          <w:color w:val="000000"/>
          <w:sz w:val="24"/>
          <w:szCs w:val="24"/>
          <w:u w:val="single"/>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i/>
          <w:iCs/>
          <w:color w:val="000000"/>
          <w:sz w:val="24"/>
          <w:szCs w:val="24"/>
        </w:rPr>
        <w:t>Induktionsbehandling af CMV-retinitis</w:t>
      </w:r>
    </w:p>
    <w:p w:rsidR="00AC0D43" w:rsidRPr="00AC0D43" w:rsidRDefault="00AC0D43" w:rsidP="00AC0D43">
      <w:pPr>
        <w:shd w:val="clear" w:color="auto" w:fill="FFFFFF"/>
        <w:tabs>
          <w:tab w:val="left" w:pos="851"/>
        </w:tabs>
        <w:ind w:left="851"/>
        <w:rPr>
          <w:color w:val="000000"/>
          <w:sz w:val="24"/>
          <w:szCs w:val="24"/>
        </w:rPr>
      </w:pPr>
      <w:r w:rsidRPr="00AC0D43">
        <w:rPr>
          <w:sz w:val="24"/>
          <w:szCs w:val="24"/>
        </w:rPr>
        <w:t>Den anbefalede dosis til patienter med aktiv CMV-retinitis er 900 mg valganciclovir (to Valganciclovir "Medical Valley" 450 mg tabletter) to gange daglig i 21 dage, og de bør om muligt indtages sammen med føde.</w:t>
      </w:r>
      <w:r w:rsidRPr="00AC0D43">
        <w:rPr>
          <w:color w:val="000000"/>
          <w:sz w:val="24"/>
          <w:szCs w:val="24"/>
        </w:rPr>
        <w:t xml:space="preserve"> Længerevarende induktionsbehandling kan forøge risikoen for knoglemarvstoksicitet (se pkt. 4.4).</w:t>
      </w:r>
    </w:p>
    <w:p w:rsidR="00AC0D43" w:rsidRPr="00AC0D43" w:rsidRDefault="00AC0D43" w:rsidP="00AC0D43">
      <w:pPr>
        <w:shd w:val="clear" w:color="auto" w:fill="FFFFFF"/>
        <w:tabs>
          <w:tab w:val="left" w:pos="851"/>
        </w:tabs>
        <w:ind w:left="851"/>
        <w:rPr>
          <w:i/>
          <w:iCs/>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i/>
          <w:iCs/>
          <w:color w:val="000000"/>
          <w:sz w:val="24"/>
          <w:szCs w:val="24"/>
        </w:rPr>
        <w:t>Vedligeholdelsesbehandling af CMV-retinitis</w:t>
      </w:r>
    </w:p>
    <w:p w:rsidR="00AC0D43" w:rsidRPr="00AC0D43" w:rsidRDefault="00AC0D43" w:rsidP="00AC0D43">
      <w:pPr>
        <w:shd w:val="clear" w:color="auto" w:fill="FFFFFF"/>
        <w:tabs>
          <w:tab w:val="left" w:pos="851"/>
        </w:tabs>
        <w:ind w:left="851"/>
        <w:rPr>
          <w:color w:val="000000"/>
          <w:sz w:val="24"/>
          <w:szCs w:val="24"/>
        </w:rPr>
      </w:pPr>
      <w:r w:rsidRPr="00AC0D43">
        <w:rPr>
          <w:sz w:val="24"/>
          <w:szCs w:val="24"/>
        </w:rPr>
        <w:t xml:space="preserve">Efter induktionsbehandling eller hos patienter med inaktiv CMV-retinitis er den anbefalede dosis 900 mg valganciclovir (to Valganciclovir "Medical Valley" 450 mg tabletter) </w:t>
      </w:r>
      <w:r w:rsidR="00986CD7">
        <w:rPr>
          <w:sz w:val="24"/>
          <w:szCs w:val="24"/>
        </w:rPr>
        <w:t>en</w:t>
      </w:r>
      <w:r w:rsidRPr="00AC0D43">
        <w:rPr>
          <w:sz w:val="24"/>
          <w:szCs w:val="24"/>
        </w:rPr>
        <w:t xml:space="preserve"> gang daglig, og de bør om muligt indtages sammen med føde.</w:t>
      </w:r>
      <w:r w:rsidRPr="00AC0D43">
        <w:rPr>
          <w:color w:val="000000"/>
          <w:sz w:val="24"/>
          <w:szCs w:val="24"/>
        </w:rPr>
        <w:t xml:space="preserve"> Hos patienter med retinitis, som forværres, kan induktionsbehandlingen gentages; risikoen for viral lægemiddelresistens skal dog tages i betragtning.</w:t>
      </w:r>
    </w:p>
    <w:p w:rsidR="00AC0D43" w:rsidRPr="00AC0D43" w:rsidRDefault="00AC0D43" w:rsidP="00AC0D43">
      <w:pPr>
        <w:shd w:val="clear" w:color="auto" w:fill="FFFFFF"/>
        <w:tabs>
          <w:tab w:val="left" w:pos="851"/>
        </w:tabs>
        <w:ind w:left="851"/>
        <w:rPr>
          <w:iCs/>
          <w:color w:val="000000"/>
          <w:sz w:val="24"/>
          <w:szCs w:val="24"/>
          <w:lang w:eastAsia="el-GR"/>
        </w:rPr>
      </w:pPr>
    </w:p>
    <w:p w:rsidR="00AC0D43" w:rsidRPr="00AC0D43" w:rsidRDefault="00AC0D43" w:rsidP="00AC0D43">
      <w:pPr>
        <w:shd w:val="clear" w:color="auto" w:fill="FFFFFF"/>
        <w:tabs>
          <w:tab w:val="left" w:pos="851"/>
        </w:tabs>
        <w:ind w:left="851"/>
        <w:rPr>
          <w:iCs/>
          <w:color w:val="000000"/>
          <w:sz w:val="24"/>
          <w:szCs w:val="24"/>
        </w:rPr>
      </w:pPr>
      <w:r w:rsidRPr="00AC0D43">
        <w:rPr>
          <w:iCs/>
          <w:color w:val="000000"/>
          <w:sz w:val="24"/>
          <w:szCs w:val="24"/>
        </w:rPr>
        <w:t>Varigheden af vedligeholdelsesbehandling bør fastlægges på individuel basis.</w:t>
      </w:r>
    </w:p>
    <w:p w:rsidR="00AC0D43" w:rsidRPr="00AC0D43" w:rsidRDefault="00AC0D43" w:rsidP="00AC0D43">
      <w:pPr>
        <w:shd w:val="clear" w:color="auto" w:fill="FFFFFF"/>
        <w:tabs>
          <w:tab w:val="left" w:pos="851"/>
        </w:tabs>
        <w:ind w:left="851"/>
        <w:rPr>
          <w:i/>
          <w:iCs/>
          <w:color w:val="000000"/>
          <w:sz w:val="24"/>
          <w:szCs w:val="24"/>
          <w:u w:val="single"/>
          <w:lang w:eastAsia="el-GR"/>
        </w:rPr>
      </w:pPr>
    </w:p>
    <w:p w:rsidR="00AC0D43" w:rsidRPr="00AC0D43" w:rsidRDefault="00AC0D43" w:rsidP="00AC0D43">
      <w:pPr>
        <w:shd w:val="clear" w:color="auto" w:fill="FFFFFF"/>
        <w:tabs>
          <w:tab w:val="left" w:pos="851"/>
        </w:tabs>
        <w:ind w:left="851"/>
        <w:rPr>
          <w:color w:val="000000"/>
          <w:sz w:val="24"/>
          <w:szCs w:val="24"/>
          <w:u w:val="single"/>
        </w:rPr>
      </w:pPr>
      <w:r w:rsidRPr="00AC0D43">
        <w:rPr>
          <w:i/>
          <w:iCs/>
          <w:color w:val="000000"/>
          <w:sz w:val="24"/>
          <w:szCs w:val="24"/>
          <w:u w:val="single"/>
        </w:rPr>
        <w:t>Pædiatrisk population</w:t>
      </w:r>
    </w:p>
    <w:p w:rsidR="00AC0D43" w:rsidRPr="00AC0D43" w:rsidRDefault="00AC0D43" w:rsidP="00AC0D43">
      <w:pPr>
        <w:shd w:val="clear" w:color="auto" w:fill="FFFFFF"/>
        <w:tabs>
          <w:tab w:val="left" w:pos="851"/>
        </w:tabs>
        <w:ind w:left="851"/>
        <w:rPr>
          <w:color w:val="000000"/>
          <w:sz w:val="24"/>
          <w:szCs w:val="24"/>
        </w:rPr>
      </w:pPr>
      <w:r w:rsidRPr="00AC0D43">
        <w:rPr>
          <w:color w:val="000000"/>
          <w:sz w:val="24"/>
          <w:szCs w:val="24"/>
        </w:rPr>
        <w:t>Valganciclovirs sikkerhed og virkning i behandlingen af CMV-retinitis er ikke klarlagt i fyldestgørende og velkontrollerede kliniske studier hos pædiatriske patienter.</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b/>
          <w:bCs/>
          <w:color w:val="000000"/>
          <w:sz w:val="24"/>
          <w:szCs w:val="24"/>
        </w:rPr>
      </w:pPr>
      <w:r w:rsidRPr="00AC0D43">
        <w:rPr>
          <w:b/>
          <w:bCs/>
          <w:color w:val="000000"/>
          <w:sz w:val="24"/>
          <w:szCs w:val="24"/>
        </w:rPr>
        <w:t>Forebyggelse af CMV-sygdom ved organtransplantation</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u w:val="single"/>
        </w:rPr>
      </w:pPr>
      <w:r w:rsidRPr="00AC0D43">
        <w:rPr>
          <w:i/>
          <w:iCs/>
          <w:color w:val="000000"/>
          <w:sz w:val="24"/>
          <w:szCs w:val="24"/>
          <w:u w:val="single"/>
        </w:rPr>
        <w:t xml:space="preserve">Voksne patienter </w:t>
      </w:r>
    </w:p>
    <w:p w:rsidR="00AC0D43" w:rsidRPr="00AC0D43" w:rsidRDefault="00AC0D43" w:rsidP="00AC0D43">
      <w:pPr>
        <w:shd w:val="clear" w:color="auto" w:fill="FFFFFF"/>
        <w:tabs>
          <w:tab w:val="left" w:pos="851"/>
        </w:tabs>
        <w:ind w:left="851"/>
        <w:rPr>
          <w:color w:val="000000"/>
          <w:sz w:val="24"/>
          <w:szCs w:val="24"/>
        </w:rPr>
      </w:pPr>
      <w:r w:rsidRPr="00AC0D43">
        <w:rPr>
          <w:sz w:val="24"/>
          <w:szCs w:val="24"/>
        </w:rPr>
        <w:t xml:space="preserve">Den anbefalede dosis til patienter, der har gennemgået en nyretransplantation, er 900 mg (to Valganciclovir "Medical Valley" 450 mg tabletter) </w:t>
      </w:r>
      <w:r w:rsidR="00986CD7">
        <w:rPr>
          <w:sz w:val="24"/>
          <w:szCs w:val="24"/>
        </w:rPr>
        <w:t>en</w:t>
      </w:r>
      <w:r w:rsidRPr="00AC0D43">
        <w:rPr>
          <w:sz w:val="24"/>
          <w:szCs w:val="24"/>
        </w:rPr>
        <w:t xml:space="preserve"> gang daglig. Forebyggelsen skal påbegyndes inden for 10 dage efter transplantationen og fortsættes indtil 100 dage efter transplantationen.</w:t>
      </w:r>
      <w:r w:rsidRPr="00AC0D43">
        <w:rPr>
          <w:color w:val="000000"/>
          <w:sz w:val="24"/>
          <w:szCs w:val="24"/>
        </w:rPr>
        <w:t xml:space="preserve"> Forebyggelsen kan fortsættes til 200 dage efter transplantationen (se pkt. 4.4, 4.8 og 5.1).</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sz w:val="24"/>
          <w:szCs w:val="24"/>
        </w:rPr>
        <w:t xml:space="preserve">Den anbefalede dosis til patienter, der har gennemgået en organtransplantation af andet end nyre, er 900 mg (to Valganciclovir "Medical Valley" 450 mg tabletter) </w:t>
      </w:r>
      <w:r w:rsidR="00986CD7">
        <w:rPr>
          <w:sz w:val="24"/>
          <w:szCs w:val="24"/>
        </w:rPr>
        <w:t>en</w:t>
      </w:r>
      <w:r w:rsidRPr="00AC0D43">
        <w:rPr>
          <w:sz w:val="24"/>
          <w:szCs w:val="24"/>
        </w:rPr>
        <w:t xml:space="preserve"> gang daglig. Forebyggelsen skal påbegyndes inden for 10 dage efter transplantationen og fortsætte indtil 100 dage efter transplantationen.</w:t>
      </w:r>
      <w:r w:rsidRPr="00AC0D43">
        <w:rPr>
          <w:color w:val="000000"/>
          <w:sz w:val="24"/>
          <w:szCs w:val="24"/>
        </w:rPr>
        <w:t xml:space="preserve"> </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color w:val="000000"/>
          <w:sz w:val="24"/>
          <w:szCs w:val="24"/>
        </w:rPr>
        <w:t>Tabletterne skal, så vidt det er muligt, indtages sammen med føde.</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i/>
          <w:iCs/>
          <w:color w:val="000000"/>
          <w:sz w:val="24"/>
          <w:szCs w:val="24"/>
          <w:u w:val="single"/>
        </w:rPr>
      </w:pPr>
      <w:r w:rsidRPr="00AC0D43">
        <w:rPr>
          <w:i/>
          <w:iCs/>
          <w:color w:val="000000"/>
          <w:sz w:val="24"/>
          <w:szCs w:val="24"/>
          <w:u w:val="single"/>
        </w:rPr>
        <w:lastRenderedPageBreak/>
        <w:t>Pædiatrisk population</w:t>
      </w:r>
    </w:p>
    <w:p w:rsidR="00AC0D43" w:rsidRPr="00AC0D43" w:rsidRDefault="00AC0D43" w:rsidP="00AC0D43">
      <w:pPr>
        <w:shd w:val="clear" w:color="auto" w:fill="FFFFFF"/>
        <w:tabs>
          <w:tab w:val="left" w:pos="851"/>
        </w:tabs>
        <w:ind w:left="851"/>
        <w:rPr>
          <w:color w:val="000000"/>
          <w:sz w:val="24"/>
          <w:szCs w:val="24"/>
        </w:rPr>
      </w:pPr>
      <w:r w:rsidRPr="00AC0D43">
        <w:rPr>
          <w:sz w:val="24"/>
          <w:szCs w:val="24"/>
        </w:rPr>
        <w:t>Hos pædiatriske organtransplanterede patienter (fra fødsel), som er i risiko for at udvikle CMV-sygdom, er den anbefalede daglige enkeltdosis af valganciclovir baseret på legemsoverfladeareal (BSA) og kreatininclearance (CrCl) afledt af Schwartz’ formel (CrClS) og udregnes ved hjælp af formlen nedenfor:</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color w:val="000000"/>
          <w:sz w:val="24"/>
          <w:szCs w:val="24"/>
        </w:rPr>
        <w:t xml:space="preserve">Pædiatrisk dosis (mg) = 7 x BSA x CrClS (se Mostellers BSA-formel og Schwartz’ kreatininclearance-formel nedenfor). </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contextualSpacing/>
        <w:rPr>
          <w:color w:val="000000"/>
          <w:sz w:val="24"/>
          <w:szCs w:val="24"/>
        </w:rPr>
      </w:pPr>
      <w:r w:rsidRPr="00AC0D43">
        <w:rPr>
          <w:color w:val="000000"/>
          <w:sz w:val="24"/>
          <w:szCs w:val="24"/>
        </w:rPr>
        <w:t>Desuden skal der anvendes en maksimumværdi på 150 ml/min/1,73m</w:t>
      </w:r>
      <w:r w:rsidRPr="00AC0D43">
        <w:rPr>
          <w:color w:val="000000"/>
          <w:sz w:val="24"/>
          <w:szCs w:val="24"/>
          <w:vertAlign w:val="superscript"/>
        </w:rPr>
        <w:t>2</w:t>
      </w:r>
      <w:r w:rsidRPr="00AC0D43">
        <w:rPr>
          <w:color w:val="000000"/>
          <w:sz w:val="24"/>
          <w:szCs w:val="24"/>
        </w:rPr>
        <w:t xml:space="preserve"> i formlen, hvis den beregnede Schwartz’ kreatininclearance overstiger 150 ml/min/1,73 m</w:t>
      </w:r>
      <w:r w:rsidRPr="00AC0D43">
        <w:rPr>
          <w:color w:val="000000"/>
          <w:sz w:val="24"/>
          <w:szCs w:val="24"/>
          <w:vertAlign w:val="superscript"/>
        </w:rPr>
        <w:t>2</w:t>
      </w:r>
      <w:r w:rsidRPr="00AC0D43">
        <w:rPr>
          <w:color w:val="000000"/>
          <w:sz w:val="24"/>
          <w:szCs w:val="24"/>
        </w:rPr>
        <w:t>:</w:t>
      </w:r>
    </w:p>
    <w:p w:rsidR="00AC0D43" w:rsidRPr="00AC0D43" w:rsidRDefault="00AC0D43" w:rsidP="00AC0D43">
      <w:pPr>
        <w:shd w:val="clear" w:color="auto" w:fill="FFFFFF"/>
        <w:tabs>
          <w:tab w:val="left" w:pos="851"/>
        </w:tabs>
        <w:ind w:left="851"/>
        <w:contextualSpacing/>
        <w:rPr>
          <w:color w:val="000000"/>
          <w:sz w:val="24"/>
          <w:szCs w:val="24"/>
          <w:lang w:eastAsia="el-GR"/>
        </w:rPr>
      </w:pPr>
    </w:p>
    <w:p w:rsidR="00AC0D43" w:rsidRPr="00AC0D43" w:rsidRDefault="00AC0D43" w:rsidP="00AC0D43">
      <w:pPr>
        <w:tabs>
          <w:tab w:val="left" w:pos="851"/>
        </w:tabs>
        <w:ind w:left="851"/>
        <w:contextualSpacing/>
        <w:rPr>
          <w:i/>
          <w:sz w:val="24"/>
          <w:szCs w:val="24"/>
          <w:lang w:val="de-DE"/>
        </w:rPr>
      </w:pPr>
      <w:r w:rsidRPr="00AC0D43">
        <w:rPr>
          <w:i/>
          <w:sz w:val="24"/>
          <w:szCs w:val="24"/>
          <w:lang w:val="de-DE"/>
        </w:rPr>
        <w:t>Mostellers BSA (m</w:t>
      </w:r>
      <w:r w:rsidRPr="00AC0D43">
        <w:rPr>
          <w:i/>
          <w:sz w:val="24"/>
          <w:szCs w:val="24"/>
          <w:vertAlign w:val="superscript"/>
          <w:lang w:val="de-DE"/>
        </w:rPr>
        <w:t>2</w:t>
      </w:r>
      <w:r w:rsidRPr="00AC0D43">
        <w:rPr>
          <w:i/>
          <w:sz w:val="24"/>
          <w:szCs w:val="24"/>
          <w:lang w:val="de-DE"/>
        </w:rPr>
        <w:t>) =</w:t>
      </w:r>
      <w:r w:rsidRPr="00AC0D43">
        <w:rPr>
          <w:noProof/>
          <w:sz w:val="24"/>
          <w:szCs w:val="24"/>
          <w:lang w:eastAsia="da-DK"/>
        </w:rPr>
        <w:drawing>
          <wp:inline distT="0" distB="0" distL="0" distR="0">
            <wp:extent cx="1783080" cy="685800"/>
            <wp:effectExtent l="0" t="0" r="762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3080" cy="685800"/>
                    </a:xfrm>
                    <a:prstGeom prst="rect">
                      <a:avLst/>
                    </a:prstGeom>
                    <a:noFill/>
                    <a:ln>
                      <a:noFill/>
                    </a:ln>
                  </pic:spPr>
                </pic:pic>
              </a:graphicData>
            </a:graphic>
          </wp:inline>
        </w:drawing>
      </w:r>
    </w:p>
    <w:p w:rsidR="00AC0D43" w:rsidRPr="00AC0D43" w:rsidRDefault="00AC0D43" w:rsidP="00AC0D43">
      <w:pPr>
        <w:tabs>
          <w:tab w:val="left" w:pos="851"/>
        </w:tabs>
        <w:ind w:left="851"/>
        <w:contextualSpacing/>
        <w:rPr>
          <w:i/>
          <w:sz w:val="24"/>
          <w:szCs w:val="24"/>
          <w:lang w:val="de-DE"/>
        </w:rPr>
      </w:pPr>
      <w:r w:rsidRPr="00AC0D43">
        <w:rPr>
          <w:sz w:val="24"/>
          <w:szCs w:val="24"/>
          <w:lang w:val="de-DE"/>
        </w:rPr>
        <w:fldChar w:fldCharType="begin"/>
      </w:r>
      <w:r w:rsidRPr="00AC0D43">
        <w:rPr>
          <w:sz w:val="24"/>
          <w:szCs w:val="24"/>
          <w:lang w:val="de-DE"/>
        </w:rPr>
        <w:instrText xml:space="preserve"> QUOTE  </w:instrText>
      </w:r>
      <m:oMath>
        <m:rad>
          <m:radPr>
            <m:degHide m:val="1"/>
            <m:ctrlPr>
              <w:rPr>
                <w:rFonts w:ascii="Cambria Math" w:hAnsi="Cambria Math"/>
                <w:i/>
                <w:sz w:val="22"/>
                <w:lang w:val="en-US"/>
              </w:rPr>
            </m:ctrlPr>
          </m:radPr>
          <m:deg/>
          <m:e>
            <m:f>
              <m:fPr>
                <m:ctrlPr>
                  <w:rPr>
                    <w:rFonts w:ascii="Cambria Math" w:hAnsi="Cambria Math"/>
                    <w:i/>
                    <w:sz w:val="22"/>
                    <w:lang w:val="en-US"/>
                  </w:rPr>
                </m:ctrlPr>
              </m:fPr>
              <m:num>
                <m:r>
                  <m:rPr>
                    <m:sty m:val="p"/>
                  </m:rPr>
                  <w:rPr>
                    <w:rFonts w:ascii="Cambria Math" w:hAnsi="Cambria Math"/>
                    <w:sz w:val="24"/>
                    <w:szCs w:val="24"/>
                    <w:lang w:val="en-US"/>
                  </w:rPr>
                  <m:t xml:space="preserve">Height </m:t>
                </m:r>
                <m:d>
                  <m:dPr>
                    <m:ctrlPr>
                      <w:rPr>
                        <w:rFonts w:ascii="Cambria Math" w:hAnsi="Cambria Math"/>
                        <w:i/>
                        <w:sz w:val="22"/>
                      </w:rPr>
                    </m:ctrlPr>
                  </m:dPr>
                  <m:e>
                    <m:r>
                      <m:rPr>
                        <m:sty m:val="p"/>
                      </m:rPr>
                      <w:rPr>
                        <w:rFonts w:ascii="Cambria Math" w:hAnsi="Cambria Math"/>
                        <w:sz w:val="24"/>
                        <w:szCs w:val="24"/>
                        <w:lang w:val="en-US"/>
                      </w:rPr>
                      <m:t>cm</m:t>
                    </m:r>
                    <m:ctrlPr>
                      <w:rPr>
                        <w:rFonts w:ascii="Cambria Math" w:hAnsi="Cambria Math"/>
                        <w:i/>
                        <w:sz w:val="22"/>
                        <w:lang w:val="en-US"/>
                      </w:rPr>
                    </m:ctrlPr>
                  </m:e>
                </m:d>
                <m:r>
                  <m:rPr>
                    <m:sty m:val="p"/>
                  </m:rPr>
                  <w:rPr>
                    <w:rFonts w:ascii="Cambria Math" w:hAnsi="Cambria Math"/>
                    <w:sz w:val="24"/>
                    <w:szCs w:val="24"/>
                    <w:lang w:val="en-US"/>
                  </w:rPr>
                  <m:t xml:space="preserve"> X Weight (kg) </m:t>
                </m:r>
              </m:num>
              <m:den>
                <m:r>
                  <m:rPr>
                    <m:sty m:val="p"/>
                  </m:rPr>
                  <w:rPr>
                    <w:rFonts w:ascii="Cambria Math" w:hAnsi="Cambria Math"/>
                    <w:sz w:val="24"/>
                    <w:szCs w:val="24"/>
                    <w:lang w:val="en-US"/>
                  </w:rPr>
                  <m:t>3600</m:t>
                </m:r>
              </m:den>
            </m:f>
          </m:e>
        </m:rad>
      </m:oMath>
      <w:r w:rsidRPr="00AC0D43">
        <w:rPr>
          <w:sz w:val="24"/>
          <w:szCs w:val="24"/>
          <w:lang w:val="de-DE"/>
        </w:rPr>
        <w:fldChar w:fldCharType="separate"/>
      </w:r>
      <m:oMath>
        <m:rad>
          <m:radPr>
            <m:degHide m:val="1"/>
            <m:ctrlPr>
              <w:rPr>
                <w:rFonts w:ascii="Cambria Math" w:hAnsi="Cambria Math"/>
                <w:i/>
                <w:sz w:val="22"/>
                <w:lang w:val="en-US"/>
              </w:rPr>
            </m:ctrlPr>
          </m:radPr>
          <m:deg/>
          <m:e>
            <m:f>
              <m:fPr>
                <m:ctrlPr>
                  <w:rPr>
                    <w:rFonts w:ascii="Cambria Math" w:hAnsi="Cambria Math"/>
                    <w:i/>
                    <w:sz w:val="22"/>
                    <w:lang w:val="en-US"/>
                  </w:rPr>
                </m:ctrlPr>
              </m:fPr>
              <m:num>
                <m:r>
                  <m:rPr>
                    <m:sty m:val="p"/>
                  </m:rPr>
                  <w:rPr>
                    <w:rFonts w:ascii="Cambria Math" w:hAnsi="Cambria Math"/>
                    <w:sz w:val="24"/>
                    <w:szCs w:val="24"/>
                    <w:lang w:val="en-US"/>
                  </w:rPr>
                  <m:t>Height</m:t>
                </m:r>
                <m:d>
                  <m:dPr>
                    <m:ctrlPr>
                      <w:rPr>
                        <w:rFonts w:ascii="Cambria Math" w:hAnsi="Cambria Math"/>
                        <w:i/>
                        <w:sz w:val="22"/>
                      </w:rPr>
                    </m:ctrlPr>
                  </m:dPr>
                  <m:e>
                    <m:r>
                      <m:rPr>
                        <m:sty m:val="p"/>
                      </m:rPr>
                      <w:rPr>
                        <w:rFonts w:ascii="Cambria Math" w:hAnsi="Cambria Math"/>
                        <w:sz w:val="24"/>
                        <w:szCs w:val="24"/>
                        <w:lang w:val="en-US"/>
                      </w:rPr>
                      <m:t>cm</m:t>
                    </m:r>
                    <m:ctrlPr>
                      <w:rPr>
                        <w:rFonts w:ascii="Cambria Math" w:hAnsi="Cambria Math"/>
                        <w:i/>
                        <w:sz w:val="22"/>
                        <w:lang w:val="en-US"/>
                      </w:rPr>
                    </m:ctrlPr>
                  </m:e>
                </m:d>
                <m:r>
                  <m:rPr>
                    <m:sty m:val="p"/>
                  </m:rPr>
                  <w:rPr>
                    <w:rFonts w:ascii="Cambria Math" w:hAnsi="Cambria Math"/>
                    <w:sz w:val="24"/>
                    <w:szCs w:val="24"/>
                    <w:lang w:val="en-US"/>
                  </w:rPr>
                  <m:t>XWeight(kg)</m:t>
                </m:r>
              </m:num>
              <m:den>
                <m:r>
                  <m:rPr>
                    <m:sty m:val="p"/>
                  </m:rPr>
                  <w:rPr>
                    <w:rFonts w:ascii="Cambria Math" w:hAnsi="Cambria Math"/>
                    <w:sz w:val="24"/>
                    <w:szCs w:val="24"/>
                    <w:lang w:val="en-US"/>
                  </w:rPr>
                  <m:t>3600</m:t>
                </m:r>
              </m:den>
            </m:f>
          </m:e>
        </m:rad>
      </m:oMath>
      <w:r w:rsidRPr="00AC0D43">
        <w:rPr>
          <w:sz w:val="24"/>
          <w:szCs w:val="24"/>
          <w:lang w:val="de-DE"/>
        </w:rPr>
        <w:fldChar w:fldCharType="end"/>
      </w:r>
      <w:r w:rsidRPr="00AC0D43">
        <w:rPr>
          <w:sz w:val="24"/>
          <w:szCs w:val="24"/>
          <w:lang w:val="de-DE"/>
        </w:rPr>
        <w:fldChar w:fldCharType="begin"/>
      </w:r>
      <w:r w:rsidRPr="00AC0D43">
        <w:rPr>
          <w:sz w:val="24"/>
          <w:szCs w:val="24"/>
          <w:lang w:val="de-DE"/>
        </w:rPr>
        <w:instrText xml:space="preserve"> QUOTE  </w:instrText>
      </w:r>
      <m:oMath>
        <m:rad>
          <m:radPr>
            <m:degHide m:val="1"/>
            <m:ctrlPr>
              <w:rPr>
                <w:rFonts w:ascii="Cambria Math" w:hAnsi="Cambria Math"/>
                <w:i/>
                <w:sz w:val="22"/>
                <w:lang w:val="en-US"/>
              </w:rPr>
            </m:ctrlPr>
          </m:radPr>
          <m:deg/>
          <m:e>
            <m:f>
              <m:fPr>
                <m:ctrlPr>
                  <w:rPr>
                    <w:rFonts w:ascii="Cambria Math" w:hAnsi="Cambria Math"/>
                    <w:i/>
                    <w:sz w:val="22"/>
                    <w:lang w:val="en-US"/>
                  </w:rPr>
                </m:ctrlPr>
              </m:fPr>
              <m:num>
                <m:r>
                  <m:rPr>
                    <m:sty m:val="p"/>
                  </m:rPr>
                  <w:rPr>
                    <w:rFonts w:ascii="Cambria Math" w:hAnsi="Cambria Math"/>
                    <w:sz w:val="24"/>
                    <w:szCs w:val="24"/>
                    <w:lang w:val="en-US"/>
                  </w:rPr>
                  <m:t xml:space="preserve">Height </m:t>
                </m:r>
                <m:d>
                  <m:dPr>
                    <m:ctrlPr>
                      <w:rPr>
                        <w:rFonts w:ascii="Cambria Math" w:hAnsi="Cambria Math"/>
                        <w:i/>
                        <w:sz w:val="22"/>
                      </w:rPr>
                    </m:ctrlPr>
                  </m:dPr>
                  <m:e>
                    <m:r>
                      <m:rPr>
                        <m:sty m:val="p"/>
                      </m:rPr>
                      <w:rPr>
                        <w:rFonts w:ascii="Cambria Math" w:hAnsi="Cambria Math"/>
                        <w:sz w:val="24"/>
                        <w:szCs w:val="24"/>
                        <w:lang w:val="en-US"/>
                      </w:rPr>
                      <m:t>cm</m:t>
                    </m:r>
                    <m:ctrlPr>
                      <w:rPr>
                        <w:rFonts w:ascii="Cambria Math" w:hAnsi="Cambria Math"/>
                        <w:i/>
                        <w:sz w:val="22"/>
                        <w:lang w:val="en-US"/>
                      </w:rPr>
                    </m:ctrlPr>
                  </m:e>
                </m:d>
                <m:r>
                  <m:rPr>
                    <m:sty m:val="p"/>
                  </m:rPr>
                  <w:rPr>
                    <w:rFonts w:ascii="Cambria Math" w:hAnsi="Cambria Math"/>
                    <w:sz w:val="24"/>
                    <w:szCs w:val="24"/>
                    <w:lang w:val="en-US"/>
                  </w:rPr>
                  <m:t xml:space="preserve"> X Weight (kg) </m:t>
                </m:r>
              </m:num>
              <m:den>
                <m:r>
                  <m:rPr>
                    <m:sty m:val="p"/>
                  </m:rPr>
                  <w:rPr>
                    <w:rFonts w:ascii="Cambria Math" w:hAnsi="Cambria Math"/>
                    <w:sz w:val="24"/>
                    <w:szCs w:val="24"/>
                    <w:lang w:val="en-US"/>
                  </w:rPr>
                  <m:t>3600</m:t>
                </m:r>
              </m:den>
            </m:f>
          </m:e>
        </m:rad>
      </m:oMath>
      <w:r w:rsidRPr="00AC0D43">
        <w:rPr>
          <w:sz w:val="24"/>
          <w:szCs w:val="24"/>
          <w:lang w:val="de-DE"/>
        </w:rPr>
        <w:fldChar w:fldCharType="separate"/>
      </w:r>
      <m:oMath>
        <m:rad>
          <m:radPr>
            <m:degHide m:val="1"/>
            <m:ctrlPr>
              <w:rPr>
                <w:rFonts w:ascii="Cambria Math" w:hAnsi="Cambria Math"/>
                <w:i/>
                <w:sz w:val="22"/>
                <w:lang w:val="en-US"/>
              </w:rPr>
            </m:ctrlPr>
          </m:radPr>
          <m:deg/>
          <m:e>
            <m:f>
              <m:fPr>
                <m:ctrlPr>
                  <w:rPr>
                    <w:rFonts w:ascii="Cambria Math" w:hAnsi="Cambria Math"/>
                    <w:i/>
                    <w:sz w:val="22"/>
                    <w:lang w:val="en-US"/>
                  </w:rPr>
                </m:ctrlPr>
              </m:fPr>
              <m:num>
                <m:r>
                  <m:rPr>
                    <m:sty m:val="p"/>
                  </m:rPr>
                  <w:rPr>
                    <w:rFonts w:ascii="Cambria Math" w:hAnsi="Cambria Math"/>
                    <w:sz w:val="24"/>
                    <w:szCs w:val="24"/>
                    <w:lang w:val="en-US"/>
                  </w:rPr>
                  <m:t>Height</m:t>
                </m:r>
                <m:d>
                  <m:dPr>
                    <m:ctrlPr>
                      <w:rPr>
                        <w:rFonts w:ascii="Cambria Math" w:hAnsi="Cambria Math"/>
                        <w:i/>
                        <w:sz w:val="22"/>
                      </w:rPr>
                    </m:ctrlPr>
                  </m:dPr>
                  <m:e>
                    <m:r>
                      <m:rPr>
                        <m:sty m:val="p"/>
                      </m:rPr>
                      <w:rPr>
                        <w:rFonts w:ascii="Cambria Math" w:hAnsi="Cambria Math"/>
                        <w:sz w:val="24"/>
                        <w:szCs w:val="24"/>
                        <w:lang w:val="en-US"/>
                      </w:rPr>
                      <m:t>cm</m:t>
                    </m:r>
                    <m:ctrlPr>
                      <w:rPr>
                        <w:rFonts w:ascii="Cambria Math" w:hAnsi="Cambria Math"/>
                        <w:i/>
                        <w:sz w:val="22"/>
                        <w:lang w:val="en-US"/>
                      </w:rPr>
                    </m:ctrlPr>
                  </m:e>
                </m:d>
                <m:r>
                  <m:rPr>
                    <m:sty m:val="p"/>
                  </m:rPr>
                  <w:rPr>
                    <w:rFonts w:ascii="Cambria Math" w:hAnsi="Cambria Math"/>
                    <w:sz w:val="24"/>
                    <w:szCs w:val="24"/>
                    <w:lang w:val="en-US"/>
                  </w:rPr>
                  <m:t>XWeight(kg)</m:t>
                </m:r>
              </m:num>
              <m:den>
                <m:r>
                  <m:rPr>
                    <m:sty m:val="p"/>
                  </m:rPr>
                  <w:rPr>
                    <w:rFonts w:ascii="Cambria Math" w:hAnsi="Cambria Math"/>
                    <w:sz w:val="24"/>
                    <w:szCs w:val="24"/>
                    <w:lang w:val="en-US"/>
                  </w:rPr>
                  <m:t>3600</m:t>
                </m:r>
              </m:den>
            </m:f>
          </m:e>
        </m:rad>
      </m:oMath>
      <w:r w:rsidRPr="00AC0D43">
        <w:rPr>
          <w:sz w:val="24"/>
          <w:szCs w:val="24"/>
          <w:lang w:val="de-DE"/>
        </w:rPr>
        <w:fldChar w:fldCharType="end"/>
      </w:r>
    </w:p>
    <w:p w:rsidR="00AC0D43" w:rsidRPr="00AC0D43" w:rsidRDefault="00AC0D43" w:rsidP="00AC0D43">
      <w:pPr>
        <w:tabs>
          <w:tab w:val="left" w:pos="851"/>
        </w:tabs>
        <w:ind w:left="851"/>
        <w:contextualSpacing/>
        <w:rPr>
          <w:i/>
          <w:sz w:val="24"/>
          <w:szCs w:val="24"/>
          <w:lang w:val="de-DE"/>
        </w:rPr>
      </w:pPr>
      <w:r w:rsidRPr="00AC0D43">
        <w:rPr>
          <w:i/>
          <w:sz w:val="24"/>
          <w:szCs w:val="24"/>
          <w:lang w:val="de-DE"/>
        </w:rPr>
        <w:t>Schwartz’ kreatininclearance (ml/min/1,73 m</w:t>
      </w:r>
      <w:r w:rsidRPr="00AC0D43">
        <w:rPr>
          <w:i/>
          <w:sz w:val="24"/>
          <w:szCs w:val="24"/>
          <w:vertAlign w:val="superscript"/>
          <w:lang w:val="de-DE"/>
        </w:rPr>
        <w:t>2</w:t>
      </w:r>
      <w:r w:rsidRPr="00AC0D43">
        <w:rPr>
          <w:i/>
          <w:sz w:val="24"/>
          <w:szCs w:val="24"/>
          <w:lang w:val="de-DE"/>
        </w:rPr>
        <w:t xml:space="preserve">) = </w:t>
      </w:r>
      <w:r w:rsidRPr="00AC0D43">
        <w:rPr>
          <w:noProof/>
          <w:sz w:val="24"/>
          <w:szCs w:val="24"/>
          <w:lang w:eastAsia="da-DK"/>
        </w:rPr>
        <w:drawing>
          <wp:inline distT="0" distB="0" distL="0" distR="0">
            <wp:extent cx="1828800" cy="5791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579120"/>
                    </a:xfrm>
                    <a:prstGeom prst="rect">
                      <a:avLst/>
                    </a:prstGeom>
                    <a:noFill/>
                    <a:ln>
                      <a:noFill/>
                    </a:ln>
                  </pic:spPr>
                </pic:pic>
              </a:graphicData>
            </a:graphic>
          </wp:inline>
        </w:drawing>
      </w:r>
      <w:r w:rsidRPr="00AC0D43">
        <w:rPr>
          <w:i/>
          <w:sz w:val="24"/>
          <w:szCs w:val="24"/>
          <w:lang w:val="de-DE"/>
        </w:rPr>
        <w:t xml:space="preserve">  </w:t>
      </w:r>
      <w:r w:rsidRPr="00AC0D43">
        <w:rPr>
          <w:sz w:val="24"/>
          <w:szCs w:val="24"/>
          <w:lang w:val="de-DE"/>
        </w:rPr>
        <w:fldChar w:fldCharType="begin"/>
      </w:r>
      <w:r w:rsidRPr="00AC0D43">
        <w:rPr>
          <w:sz w:val="24"/>
          <w:szCs w:val="24"/>
          <w:lang w:val="de-DE"/>
        </w:rPr>
        <w:instrText xml:space="preserve"> QUOTE  </w:instrText>
      </w:r>
      <m:oMath>
        <m:f>
          <m:fPr>
            <m:ctrlPr>
              <w:rPr>
                <w:rFonts w:ascii="Cambria Math" w:hAnsi="Cambria Math"/>
                <w:i/>
                <w:sz w:val="22"/>
                <w:lang w:val="en-US"/>
              </w:rPr>
            </m:ctrlPr>
          </m:fPr>
          <m:num>
            <m:r>
              <m:rPr>
                <m:sty m:val="p"/>
              </m:rPr>
              <w:rPr>
                <w:rFonts w:ascii="Cambria Math" w:hAnsi="Cambria Math"/>
                <w:sz w:val="24"/>
                <w:szCs w:val="24"/>
                <w:lang w:val="en-US"/>
              </w:rPr>
              <m:t>k x Height (cm)</m:t>
            </m:r>
          </m:num>
          <m:den>
            <m:r>
              <m:rPr>
                <m:sty m:val="p"/>
              </m:rPr>
              <w:rPr>
                <w:rFonts w:ascii="Cambria Math" w:hAnsi="Cambria Math"/>
                <w:sz w:val="24"/>
                <w:szCs w:val="24"/>
                <w:lang w:val="en-US"/>
              </w:rPr>
              <m:t>Serum Creatinine (mg/dl )</m:t>
            </m:r>
          </m:den>
        </m:f>
      </m:oMath>
      <w:r w:rsidRPr="00AC0D43">
        <w:rPr>
          <w:sz w:val="24"/>
          <w:szCs w:val="24"/>
          <w:lang w:val="de-DE"/>
        </w:rPr>
        <w:fldChar w:fldCharType="separate"/>
      </w:r>
      <m:oMath>
        <m:f>
          <m:fPr>
            <m:ctrlPr>
              <w:rPr>
                <w:rFonts w:ascii="Cambria Math" w:hAnsi="Cambria Math"/>
                <w:i/>
                <w:sz w:val="22"/>
                <w:lang w:val="en-US"/>
              </w:rPr>
            </m:ctrlPr>
          </m:fPr>
          <m:num>
            <m:r>
              <m:rPr>
                <m:sty m:val="p"/>
              </m:rPr>
              <w:rPr>
                <w:rFonts w:ascii="Cambria Math" w:hAnsi="Cambria Math"/>
                <w:sz w:val="24"/>
                <w:szCs w:val="24"/>
                <w:lang w:val="en-US"/>
              </w:rPr>
              <m:t>kxHeight(cm)</m:t>
            </m:r>
          </m:num>
          <m:den>
            <m:r>
              <m:rPr>
                <m:sty m:val="p"/>
              </m:rPr>
              <w:rPr>
                <w:rFonts w:ascii="Cambria Math" w:hAnsi="Cambria Math"/>
                <w:sz w:val="24"/>
                <w:szCs w:val="24"/>
                <w:lang w:val="en-US"/>
              </w:rPr>
              <m:t>SerumCreatinine(mg/dl)</m:t>
            </m:r>
          </m:den>
        </m:f>
      </m:oMath>
      <w:r w:rsidRPr="00AC0D43">
        <w:rPr>
          <w:sz w:val="24"/>
          <w:szCs w:val="24"/>
          <w:lang w:val="de-DE"/>
        </w:rPr>
        <w:fldChar w:fldCharType="end"/>
      </w:r>
      <w:r w:rsidRPr="00AC0D43">
        <w:rPr>
          <w:sz w:val="24"/>
          <w:szCs w:val="24"/>
          <w:lang w:val="de-DE"/>
        </w:rPr>
        <w:fldChar w:fldCharType="begin"/>
      </w:r>
      <w:r w:rsidRPr="00AC0D43">
        <w:rPr>
          <w:sz w:val="24"/>
          <w:szCs w:val="24"/>
          <w:lang w:val="de-DE"/>
        </w:rPr>
        <w:instrText xml:space="preserve"> QUOTE  </w:instrText>
      </w:r>
      <m:oMath>
        <m:f>
          <m:fPr>
            <m:ctrlPr>
              <w:rPr>
                <w:rFonts w:ascii="Cambria Math" w:hAnsi="Cambria Math"/>
                <w:i/>
                <w:sz w:val="22"/>
                <w:lang w:val="en-US"/>
              </w:rPr>
            </m:ctrlPr>
          </m:fPr>
          <m:num>
            <m:r>
              <m:rPr>
                <m:sty m:val="p"/>
              </m:rPr>
              <w:rPr>
                <w:rFonts w:ascii="Cambria Math" w:hAnsi="Cambria Math"/>
                <w:sz w:val="24"/>
                <w:szCs w:val="24"/>
                <w:lang w:val="en-US"/>
              </w:rPr>
              <m:t>k x Height (cm)</m:t>
            </m:r>
          </m:num>
          <m:den>
            <m:r>
              <m:rPr>
                <m:sty m:val="p"/>
              </m:rPr>
              <w:rPr>
                <w:rFonts w:ascii="Cambria Math" w:hAnsi="Cambria Math"/>
                <w:sz w:val="24"/>
                <w:szCs w:val="24"/>
                <w:lang w:val="en-US"/>
              </w:rPr>
              <m:t>Serum Creatinine (mg/dl )</m:t>
            </m:r>
          </m:den>
        </m:f>
      </m:oMath>
      <w:r w:rsidRPr="00AC0D43">
        <w:rPr>
          <w:sz w:val="24"/>
          <w:szCs w:val="24"/>
          <w:lang w:val="de-DE"/>
        </w:rPr>
        <w:fldChar w:fldCharType="separate"/>
      </w:r>
      <m:oMath>
        <m:f>
          <m:fPr>
            <m:ctrlPr>
              <w:rPr>
                <w:rFonts w:ascii="Cambria Math" w:hAnsi="Cambria Math"/>
                <w:i/>
                <w:sz w:val="22"/>
                <w:lang w:val="en-US"/>
              </w:rPr>
            </m:ctrlPr>
          </m:fPr>
          <m:num>
            <m:r>
              <m:rPr>
                <m:sty m:val="p"/>
              </m:rPr>
              <w:rPr>
                <w:rFonts w:ascii="Cambria Math" w:hAnsi="Cambria Math"/>
                <w:sz w:val="24"/>
                <w:szCs w:val="24"/>
                <w:lang w:val="en-US"/>
              </w:rPr>
              <m:t>kxHeight(cm)</m:t>
            </m:r>
          </m:num>
          <m:den>
            <m:r>
              <m:rPr>
                <m:sty m:val="p"/>
              </m:rPr>
              <w:rPr>
                <w:rFonts w:ascii="Cambria Math" w:hAnsi="Cambria Math"/>
                <w:sz w:val="24"/>
                <w:szCs w:val="24"/>
                <w:lang w:val="en-US"/>
              </w:rPr>
              <m:t>SerumCreatinine(mg/dl)</m:t>
            </m:r>
          </m:den>
        </m:f>
      </m:oMath>
      <w:r w:rsidRPr="00AC0D43">
        <w:rPr>
          <w:sz w:val="24"/>
          <w:szCs w:val="24"/>
          <w:lang w:val="de-DE"/>
        </w:rPr>
        <w:fldChar w:fldCharType="end"/>
      </w:r>
      <w:r w:rsidRPr="00AC0D43">
        <w:rPr>
          <w:sz w:val="24"/>
          <w:szCs w:val="24"/>
          <w:lang w:val="de-DE"/>
        </w:rPr>
        <w:fldChar w:fldCharType="begin"/>
      </w:r>
      <w:r w:rsidRPr="00AC0D43">
        <w:rPr>
          <w:sz w:val="24"/>
          <w:szCs w:val="24"/>
          <w:lang w:val="de-DE"/>
        </w:rPr>
        <w:instrText xml:space="preserve"> QUOTE  </w:instrText>
      </w:r>
      <m:oMath>
        <m:f>
          <m:fPr>
            <m:ctrlPr>
              <w:rPr>
                <w:rFonts w:ascii="Cambria Math" w:hAnsi="Cambria Math"/>
                <w:i/>
                <w:sz w:val="22"/>
                <w:lang w:val="en-US"/>
              </w:rPr>
            </m:ctrlPr>
          </m:fPr>
          <m:num>
            <m:r>
              <m:rPr>
                <m:sty m:val="p"/>
              </m:rPr>
              <w:rPr>
                <w:rFonts w:ascii="Cambria Math" w:hAnsi="Cambria Math"/>
                <w:sz w:val="24"/>
                <w:szCs w:val="24"/>
                <w:lang w:val="en-US"/>
              </w:rPr>
              <m:t>k x Height (cm)</m:t>
            </m:r>
          </m:num>
          <m:den>
            <m:r>
              <m:rPr>
                <m:sty m:val="p"/>
              </m:rPr>
              <w:rPr>
                <w:rFonts w:ascii="Cambria Math" w:hAnsi="Cambria Math"/>
                <w:sz w:val="24"/>
                <w:szCs w:val="24"/>
                <w:lang w:val="en-US"/>
              </w:rPr>
              <m:t>Serum Creatinine (mg/dl )</m:t>
            </m:r>
          </m:den>
        </m:f>
      </m:oMath>
      <w:r w:rsidRPr="00AC0D43">
        <w:rPr>
          <w:sz w:val="24"/>
          <w:szCs w:val="24"/>
          <w:lang w:val="de-DE"/>
        </w:rPr>
        <w:fldChar w:fldCharType="separate"/>
      </w:r>
      <m:oMath>
        <m:f>
          <m:fPr>
            <m:ctrlPr>
              <w:rPr>
                <w:rFonts w:ascii="Cambria Math" w:hAnsi="Cambria Math"/>
                <w:i/>
                <w:sz w:val="22"/>
                <w:lang w:val="en-US"/>
              </w:rPr>
            </m:ctrlPr>
          </m:fPr>
          <m:num>
            <m:r>
              <m:rPr>
                <m:sty m:val="p"/>
              </m:rPr>
              <w:rPr>
                <w:rFonts w:ascii="Cambria Math" w:hAnsi="Cambria Math"/>
                <w:sz w:val="24"/>
                <w:szCs w:val="24"/>
                <w:lang w:val="en-US"/>
              </w:rPr>
              <m:t>kxHeight(cm)</m:t>
            </m:r>
          </m:num>
          <m:den>
            <m:r>
              <m:rPr>
                <m:sty m:val="p"/>
              </m:rPr>
              <w:rPr>
                <w:rFonts w:ascii="Cambria Math" w:hAnsi="Cambria Math"/>
                <w:sz w:val="24"/>
                <w:szCs w:val="24"/>
                <w:lang w:val="en-US"/>
              </w:rPr>
              <m:t>SerumCreatinine(mg/dl)</m:t>
            </m:r>
          </m:den>
        </m:f>
      </m:oMath>
      <w:r w:rsidRPr="00AC0D43">
        <w:rPr>
          <w:sz w:val="24"/>
          <w:szCs w:val="24"/>
          <w:lang w:val="de-DE"/>
        </w:rPr>
        <w:fldChar w:fldCharType="end"/>
      </w:r>
    </w:p>
    <w:p w:rsidR="00AC0D43" w:rsidRPr="00AC0D43" w:rsidRDefault="00AC0D43" w:rsidP="00AC0D43">
      <w:pPr>
        <w:shd w:val="clear" w:color="auto" w:fill="FFFFFF"/>
        <w:tabs>
          <w:tab w:val="left" w:pos="851"/>
        </w:tabs>
        <w:ind w:left="851"/>
        <w:contextualSpacing/>
        <w:rPr>
          <w:color w:val="000000"/>
          <w:sz w:val="24"/>
          <w:szCs w:val="24"/>
          <w:lang w:val="de-DE" w:eastAsia="el-GR"/>
        </w:rPr>
      </w:pPr>
    </w:p>
    <w:p w:rsidR="00AC0D43" w:rsidRPr="00AC0D43" w:rsidRDefault="00AC0D43" w:rsidP="00AC0D43">
      <w:pPr>
        <w:shd w:val="clear" w:color="auto" w:fill="FFFFFF"/>
        <w:tabs>
          <w:tab w:val="left" w:pos="851"/>
        </w:tabs>
        <w:ind w:left="851"/>
        <w:contextualSpacing/>
        <w:rPr>
          <w:color w:val="000000"/>
          <w:sz w:val="24"/>
          <w:szCs w:val="24"/>
        </w:rPr>
      </w:pPr>
      <w:r w:rsidRPr="00AC0D43">
        <w:rPr>
          <w:sz w:val="24"/>
          <w:szCs w:val="24"/>
        </w:rPr>
        <w:t>hvor</w:t>
      </w:r>
      <w:r w:rsidRPr="00AC0D43">
        <w:rPr>
          <w:color w:val="000000"/>
          <w:sz w:val="24"/>
          <w:szCs w:val="24"/>
        </w:rPr>
        <w:t xml:space="preserve"> k = 0,45* for patienter &lt; 2 år, 0,55 for drenge i alderen 2 til &lt; 13 år samt piger i alderen 2 til </w:t>
      </w:r>
      <w:r w:rsidRPr="00AC0D43">
        <w:rPr>
          <w:sz w:val="24"/>
          <w:szCs w:val="24"/>
        </w:rPr>
        <w:t>16 år og</w:t>
      </w:r>
      <w:r w:rsidRPr="00AC0D43">
        <w:rPr>
          <w:color w:val="000000"/>
          <w:sz w:val="24"/>
          <w:szCs w:val="24"/>
        </w:rPr>
        <w:t xml:space="preserve"> 0,7 for drenge i alderen 13 til 16 år. Hos patienter, der er ældre end 16 år, anvendes doseringen til voksne patienter.</w:t>
      </w:r>
    </w:p>
    <w:p w:rsidR="00AC0D43" w:rsidRPr="00AC0D43" w:rsidRDefault="00AC0D43" w:rsidP="00AC0D43">
      <w:pPr>
        <w:shd w:val="clear" w:color="auto" w:fill="FFFFFF"/>
        <w:tabs>
          <w:tab w:val="left" w:pos="851"/>
        </w:tabs>
        <w:ind w:left="851"/>
        <w:contextualSpacing/>
        <w:rPr>
          <w:color w:val="000000"/>
          <w:sz w:val="24"/>
          <w:szCs w:val="24"/>
          <w:lang w:eastAsia="el-GR"/>
        </w:rPr>
      </w:pPr>
    </w:p>
    <w:p w:rsidR="00AC0D43" w:rsidRPr="00AC0D43" w:rsidRDefault="00AC0D43" w:rsidP="00AC0D43">
      <w:pPr>
        <w:shd w:val="clear" w:color="auto" w:fill="FFFFFF"/>
        <w:tabs>
          <w:tab w:val="left" w:pos="851"/>
        </w:tabs>
        <w:ind w:left="851"/>
        <w:contextualSpacing/>
        <w:rPr>
          <w:color w:val="000000"/>
          <w:sz w:val="24"/>
          <w:szCs w:val="24"/>
        </w:rPr>
      </w:pPr>
      <w:r w:rsidRPr="00AC0D43">
        <w:rPr>
          <w:color w:val="000000"/>
          <w:sz w:val="24"/>
          <w:szCs w:val="24"/>
        </w:rPr>
        <w:t>De k-værdier, som er angivet, er baseret på Jaffe-metoden til måling af serumkreatinin, og det kan være nødvendigt at tilrette dem, hvis der anvendes enzymatiske metoder.</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color w:val="000000"/>
          <w:sz w:val="24"/>
          <w:szCs w:val="24"/>
        </w:rPr>
        <w:t xml:space="preserve">* Hos nogle subpopulationer kan det også være nødvendigt at nedsætte k-værdien (f.eks. hos pædiatriske patienter med lav fødselsvægt). </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color w:val="000000"/>
          <w:sz w:val="24"/>
          <w:szCs w:val="24"/>
        </w:rPr>
        <w:t>Hos nyretransplanterede pædiatriske patienter skal den anbefalede daglige enkeltdosis i mg (7 x BSA x CrClS) initieres inden for 10 dage efter transplantationen og fortsætte indtil 200 dage efter transplantationen.</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color w:val="000000"/>
          <w:sz w:val="24"/>
          <w:szCs w:val="24"/>
        </w:rPr>
        <w:t>Hos pædiatriske patienter, som har fået anden organtransplantation end nyretransplantation, skal den anbefalede daglige enkeltdosis i mg (7 x BSA x CrClS) initieres inden for 10 dage efter transplantationen og fortsætte indtil 100 dage efter transplantationen.</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contextualSpacing/>
        <w:rPr>
          <w:color w:val="000000"/>
          <w:sz w:val="24"/>
          <w:szCs w:val="24"/>
        </w:rPr>
      </w:pPr>
      <w:r w:rsidRPr="00AC0D43">
        <w:rPr>
          <w:color w:val="000000"/>
          <w:sz w:val="24"/>
          <w:szCs w:val="24"/>
        </w:rPr>
        <w:t xml:space="preserve">Alle udregnede doser skal rundes op til det nærmeste 25 mg-interval for at fastlægge en dosis, som reelt kan afmåles. Maksimumdosis på 900 mg skal gives, hvis den udregnede dosis overstiger 900 mg. </w:t>
      </w:r>
      <w:r w:rsidRPr="00AC0D43">
        <w:rPr>
          <w:sz w:val="24"/>
          <w:szCs w:val="24"/>
        </w:rPr>
        <w:t>Hvis lægemidlet findes som oral opløsning, er det den foretrukne formulering, eftersom den giver mulighed for at give en dosis, som er udregnet efter formlen overfor.</w:t>
      </w:r>
      <w:r w:rsidRPr="00AC0D43">
        <w:rPr>
          <w:color w:val="000000"/>
          <w:sz w:val="24"/>
          <w:szCs w:val="24"/>
        </w:rPr>
        <w:t xml:space="preserve"> Der kan imidlertid anvendes valganciclovir</w:t>
      </w:r>
      <w:r w:rsidR="00C56E8D">
        <w:rPr>
          <w:color w:val="000000"/>
          <w:sz w:val="24"/>
          <w:szCs w:val="24"/>
        </w:rPr>
        <w:t xml:space="preserve"> </w:t>
      </w:r>
      <w:r w:rsidR="005F7BDE" w:rsidRPr="00AC0D43">
        <w:rPr>
          <w:color w:val="000000"/>
          <w:sz w:val="24"/>
          <w:szCs w:val="24"/>
        </w:rPr>
        <w:t xml:space="preserve">filmovertrukne </w:t>
      </w:r>
      <w:r w:rsidRPr="00AC0D43">
        <w:rPr>
          <w:color w:val="000000"/>
          <w:sz w:val="24"/>
          <w:szCs w:val="24"/>
        </w:rPr>
        <w:t xml:space="preserve">tabletter, hvis den udregnede dosis er inden for 10 % af den tilgængelige tabletstyrke, og hvis patienten kan sluge tabletter. For eksempel kan der anvendes en 450 mg-tablet, hvis den beregnede dosis er mellem 405 og 495 mg. </w:t>
      </w:r>
    </w:p>
    <w:p w:rsidR="00AC0D43" w:rsidRPr="00AC0D43" w:rsidRDefault="00AC0D43" w:rsidP="00AC0D43">
      <w:pPr>
        <w:shd w:val="clear" w:color="auto" w:fill="FFFFFF"/>
        <w:tabs>
          <w:tab w:val="left" w:pos="851"/>
        </w:tabs>
        <w:ind w:left="851"/>
        <w:contextualSpacing/>
        <w:rPr>
          <w:color w:val="000000"/>
          <w:sz w:val="24"/>
          <w:szCs w:val="24"/>
          <w:lang w:eastAsia="el-GR"/>
        </w:rPr>
      </w:pPr>
    </w:p>
    <w:p w:rsidR="00AC0D43" w:rsidRPr="00AC0D43" w:rsidRDefault="00AC0D43" w:rsidP="00AC0D43">
      <w:pPr>
        <w:shd w:val="clear" w:color="auto" w:fill="FFFFFF"/>
        <w:tabs>
          <w:tab w:val="left" w:pos="851"/>
        </w:tabs>
        <w:ind w:left="851"/>
        <w:contextualSpacing/>
        <w:rPr>
          <w:color w:val="000000"/>
          <w:sz w:val="24"/>
          <w:szCs w:val="24"/>
        </w:rPr>
      </w:pPr>
      <w:r w:rsidRPr="00AC0D43">
        <w:rPr>
          <w:color w:val="000000"/>
          <w:sz w:val="24"/>
          <w:szCs w:val="24"/>
        </w:rPr>
        <w:t>Det anbefales, at serumkreatinin-værdierne monitoreres regelmæssigt, og at der tages hensyn til ændringer i højde og vægt, og at dosis justeres tilsvarende i den forebyggende behandlingsperiode.</w:t>
      </w:r>
    </w:p>
    <w:p w:rsidR="00AC0D43" w:rsidRPr="00AC0D43" w:rsidRDefault="00AC0D43" w:rsidP="00AC0D43">
      <w:pPr>
        <w:shd w:val="clear" w:color="auto" w:fill="FFFFFF"/>
        <w:tabs>
          <w:tab w:val="left" w:pos="851"/>
        </w:tabs>
        <w:ind w:left="851"/>
        <w:contextualSpacing/>
        <w:rPr>
          <w:color w:val="000000"/>
          <w:sz w:val="24"/>
          <w:szCs w:val="24"/>
          <w:u w:val="single"/>
          <w:lang w:eastAsia="el-GR"/>
        </w:rPr>
      </w:pPr>
    </w:p>
    <w:p w:rsidR="00AC0D43" w:rsidRPr="00AC0D43" w:rsidRDefault="00AC0D43" w:rsidP="00AC0D43">
      <w:pPr>
        <w:shd w:val="clear" w:color="auto" w:fill="FFFFFF"/>
        <w:tabs>
          <w:tab w:val="left" w:pos="851"/>
        </w:tabs>
        <w:ind w:left="851"/>
        <w:contextualSpacing/>
        <w:rPr>
          <w:color w:val="000000"/>
          <w:sz w:val="24"/>
          <w:szCs w:val="24"/>
          <w:u w:val="single"/>
        </w:rPr>
      </w:pPr>
      <w:r w:rsidRPr="00AC0D43">
        <w:rPr>
          <w:color w:val="000000"/>
          <w:sz w:val="24"/>
          <w:szCs w:val="24"/>
          <w:u w:val="single"/>
        </w:rPr>
        <w:t>Særlige dosisinstruktioner</w:t>
      </w:r>
    </w:p>
    <w:p w:rsidR="00AC0D43" w:rsidRPr="00AC0D43" w:rsidRDefault="00AC0D43" w:rsidP="00AC0D43">
      <w:pPr>
        <w:shd w:val="clear" w:color="auto" w:fill="FFFFFF"/>
        <w:tabs>
          <w:tab w:val="left" w:pos="851"/>
        </w:tabs>
        <w:ind w:left="851"/>
        <w:rPr>
          <w:i/>
          <w:iCs/>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i/>
          <w:iCs/>
          <w:color w:val="000000"/>
          <w:sz w:val="24"/>
          <w:szCs w:val="24"/>
        </w:rPr>
        <w:t>Pædiatrisk population</w:t>
      </w:r>
    </w:p>
    <w:p w:rsidR="00AC0D43" w:rsidRPr="00AC0D43" w:rsidRDefault="00AC0D43" w:rsidP="00AC0D43">
      <w:pPr>
        <w:shd w:val="clear" w:color="auto" w:fill="FFFFFF"/>
        <w:tabs>
          <w:tab w:val="left" w:pos="851"/>
        </w:tabs>
        <w:ind w:left="851"/>
        <w:rPr>
          <w:color w:val="000000"/>
          <w:sz w:val="24"/>
          <w:szCs w:val="24"/>
        </w:rPr>
      </w:pPr>
      <w:r w:rsidRPr="00AC0D43">
        <w:rPr>
          <w:color w:val="000000"/>
          <w:sz w:val="24"/>
          <w:szCs w:val="24"/>
        </w:rPr>
        <w:t xml:space="preserve">Dosis til pædiatriske organtransplanterede patienter er individuel og baseres på patientens nyrefunktion samt legemsoverfladearealet. </w:t>
      </w:r>
    </w:p>
    <w:p w:rsidR="00AC0D43" w:rsidRPr="00AC0D43" w:rsidRDefault="00AC0D43" w:rsidP="00AC0D43">
      <w:pPr>
        <w:shd w:val="clear" w:color="auto" w:fill="FFFFFF"/>
        <w:tabs>
          <w:tab w:val="left" w:pos="720"/>
          <w:tab w:val="left" w:pos="851"/>
        </w:tabs>
        <w:ind w:left="851"/>
        <w:rPr>
          <w:i/>
          <w:iCs/>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i/>
          <w:iCs/>
          <w:color w:val="000000"/>
          <w:sz w:val="24"/>
          <w:szCs w:val="24"/>
        </w:rPr>
        <w:t>Ældre patienter</w:t>
      </w:r>
    </w:p>
    <w:p w:rsidR="00AC0D43" w:rsidRPr="00AC0D43" w:rsidRDefault="00AC0D43" w:rsidP="00AC0D43">
      <w:pPr>
        <w:shd w:val="clear" w:color="auto" w:fill="FFFFFF"/>
        <w:tabs>
          <w:tab w:val="left" w:pos="851"/>
        </w:tabs>
        <w:ind w:left="851"/>
        <w:rPr>
          <w:color w:val="000000"/>
          <w:sz w:val="24"/>
          <w:szCs w:val="24"/>
        </w:rPr>
      </w:pPr>
      <w:r w:rsidRPr="00AC0D43">
        <w:rPr>
          <w:color w:val="000000"/>
          <w:sz w:val="24"/>
          <w:szCs w:val="24"/>
        </w:rPr>
        <w:t>Sikkerhed og virkning i denne patientpopulation er ikke klarlagt.</w:t>
      </w:r>
      <w:r w:rsidRPr="00AC0D43">
        <w:rPr>
          <w:sz w:val="24"/>
          <w:szCs w:val="24"/>
        </w:rPr>
        <w:t xml:space="preserve"> </w:t>
      </w:r>
      <w:r w:rsidRPr="00AC0D43">
        <w:rPr>
          <w:color w:val="000000"/>
          <w:sz w:val="24"/>
          <w:szCs w:val="24"/>
        </w:rPr>
        <w:t xml:space="preserve">Der er ikke udført studier hos voksne over 65 år. </w:t>
      </w:r>
      <w:r w:rsidRPr="00AC0D43">
        <w:rPr>
          <w:sz w:val="24"/>
          <w:szCs w:val="24"/>
        </w:rPr>
        <w:t>Eftersom nyrefunktionen falder med alderen, bør Valganciclovir "Medical Valley" administreres med forsigtighed og under nøje hensyntagen til patientens nyrefunktionsstatus hos ældre patienter (se tabellen nedenfor).</w:t>
      </w:r>
      <w:r w:rsidRPr="00AC0D43">
        <w:rPr>
          <w:color w:val="000000"/>
          <w:sz w:val="24"/>
          <w:szCs w:val="24"/>
        </w:rPr>
        <w:t xml:space="preserve"> (Se pkt. 5.2).</w:t>
      </w:r>
    </w:p>
    <w:p w:rsidR="00AC0D43" w:rsidRPr="00AC0D43" w:rsidRDefault="00AC0D43" w:rsidP="00AC0D43">
      <w:pPr>
        <w:shd w:val="clear" w:color="auto" w:fill="FFFFFF"/>
        <w:tabs>
          <w:tab w:val="left" w:pos="851"/>
        </w:tabs>
        <w:ind w:left="851"/>
        <w:contextualSpacing/>
        <w:rPr>
          <w:color w:val="000000"/>
          <w:sz w:val="24"/>
          <w:szCs w:val="24"/>
          <w:lang w:eastAsia="el-GR"/>
        </w:rPr>
      </w:pPr>
    </w:p>
    <w:p w:rsidR="00AC0D43" w:rsidRPr="00AC0D43" w:rsidRDefault="00AC0D43" w:rsidP="00AC0D43">
      <w:pPr>
        <w:shd w:val="clear" w:color="auto" w:fill="FFFFFF"/>
        <w:tabs>
          <w:tab w:val="left" w:pos="851"/>
        </w:tabs>
        <w:ind w:left="851"/>
        <w:contextualSpacing/>
        <w:rPr>
          <w:color w:val="000000"/>
          <w:sz w:val="24"/>
          <w:szCs w:val="24"/>
        </w:rPr>
      </w:pPr>
      <w:r w:rsidRPr="00AC0D43">
        <w:rPr>
          <w:i/>
          <w:iCs/>
          <w:color w:val="000000"/>
          <w:sz w:val="24"/>
          <w:szCs w:val="24"/>
        </w:rPr>
        <w:t>Patienter med nedsat nyrefunktion</w:t>
      </w:r>
    </w:p>
    <w:p w:rsidR="00AC0D43" w:rsidRPr="00AC0D43" w:rsidRDefault="00AC0D43" w:rsidP="00AC0D43">
      <w:pPr>
        <w:shd w:val="clear" w:color="auto" w:fill="FFFFFF"/>
        <w:tabs>
          <w:tab w:val="left" w:pos="851"/>
        </w:tabs>
        <w:ind w:left="851"/>
        <w:contextualSpacing/>
        <w:rPr>
          <w:color w:val="000000"/>
          <w:sz w:val="24"/>
          <w:szCs w:val="24"/>
        </w:rPr>
      </w:pPr>
      <w:r w:rsidRPr="00AC0D43">
        <w:rPr>
          <w:color w:val="000000"/>
          <w:sz w:val="24"/>
          <w:szCs w:val="24"/>
        </w:rPr>
        <w:t>Serumkreatinin eller estimeret kreatininclearance skal kontrolleres omhyggeligt. Dosis skal justeres iht. kreatininclearance, som vist i nedenstående tabel (se pkt. 4.4 og 5.2).</w:t>
      </w:r>
    </w:p>
    <w:p w:rsidR="00AC0D43" w:rsidRPr="00AC0D43" w:rsidRDefault="00AC0D43" w:rsidP="00AC0D43">
      <w:pPr>
        <w:shd w:val="clear" w:color="auto" w:fill="FFFFFF"/>
        <w:tabs>
          <w:tab w:val="left" w:pos="851"/>
        </w:tabs>
        <w:ind w:left="851"/>
        <w:contextualSpacing/>
        <w:rPr>
          <w:color w:val="000000"/>
          <w:sz w:val="24"/>
          <w:szCs w:val="24"/>
          <w:lang w:eastAsia="el-GR"/>
        </w:rPr>
      </w:pPr>
    </w:p>
    <w:p w:rsidR="00AC0D43" w:rsidRPr="00AC0D43" w:rsidRDefault="00AC0D43" w:rsidP="00AC0D43">
      <w:pPr>
        <w:shd w:val="clear" w:color="auto" w:fill="FFFFFF"/>
        <w:tabs>
          <w:tab w:val="left" w:pos="851"/>
        </w:tabs>
        <w:ind w:left="851"/>
        <w:contextualSpacing/>
        <w:rPr>
          <w:color w:val="000000"/>
          <w:sz w:val="24"/>
          <w:szCs w:val="24"/>
          <w:lang w:eastAsia="el-GR"/>
        </w:rPr>
      </w:pPr>
      <w:r w:rsidRPr="00AC0D43">
        <w:rPr>
          <w:color w:val="000000"/>
          <w:sz w:val="24"/>
          <w:szCs w:val="24"/>
        </w:rPr>
        <w:t xml:space="preserve">Kreatininclearance (ml/min) kan estimeres fra serumkreatinin ved hjælp af følgende formel: </w:t>
      </w:r>
    </w:p>
    <w:p w:rsidR="00AC0D43" w:rsidRPr="00AC0D43" w:rsidRDefault="00AC0D43" w:rsidP="00AC0D43">
      <w:pPr>
        <w:tabs>
          <w:tab w:val="left" w:pos="851"/>
        </w:tabs>
        <w:ind w:left="851"/>
        <w:contextualSpacing/>
        <w:rPr>
          <w:sz w:val="24"/>
          <w:szCs w:val="24"/>
        </w:rPr>
      </w:pPr>
      <w:r w:rsidRPr="00AC0D43">
        <w:rPr>
          <w:sz w:val="24"/>
          <w:szCs w:val="24"/>
        </w:rPr>
        <w:t xml:space="preserve">Hos mænd = </w:t>
      </w:r>
      <w:r w:rsidRPr="00AC0D43">
        <w:rPr>
          <w:noProof/>
          <w:sz w:val="24"/>
          <w:szCs w:val="24"/>
          <w:lang w:eastAsia="da-DK"/>
        </w:rPr>
        <w:drawing>
          <wp:inline distT="0" distB="0" distL="0" distR="0">
            <wp:extent cx="3154680" cy="601980"/>
            <wp:effectExtent l="0" t="0" r="762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4680" cy="601980"/>
                    </a:xfrm>
                    <a:prstGeom prst="rect">
                      <a:avLst/>
                    </a:prstGeom>
                    <a:noFill/>
                    <a:ln>
                      <a:noFill/>
                    </a:ln>
                  </pic:spPr>
                </pic:pic>
              </a:graphicData>
            </a:graphic>
          </wp:inline>
        </w:drawing>
      </w:r>
      <w:r w:rsidRPr="00AC0D43">
        <w:rPr>
          <w:sz w:val="24"/>
          <w:szCs w:val="24"/>
        </w:rPr>
        <w:fldChar w:fldCharType="begin"/>
      </w:r>
      <w:r w:rsidRPr="00AC0D43">
        <w:rPr>
          <w:sz w:val="24"/>
          <w:szCs w:val="24"/>
        </w:rPr>
        <w:instrText xml:space="preserve"> QUOTE  </w:instrText>
      </w:r>
      <m:oMath>
        <m:f>
          <m:fPr>
            <m:ctrlPr>
              <w:rPr>
                <w:rFonts w:ascii="Cambria Math" w:hAnsi="Cambria Math"/>
                <w:sz w:val="22"/>
                <w:lang w:val="en-US"/>
              </w:rPr>
            </m:ctrlPr>
          </m:fPr>
          <m:num>
            <m:r>
              <m:rPr>
                <m:sty m:val="p"/>
              </m:rPr>
              <w:rPr>
                <w:rFonts w:ascii="Cambria Math" w:hAnsi="Cambria Math"/>
                <w:sz w:val="24"/>
                <w:szCs w:val="24"/>
              </w:rPr>
              <m:t xml:space="preserve">(140-age </m:t>
            </m:r>
            <m:d>
              <m:dPr>
                <m:begChr m:val="["/>
                <m:endChr m:val="]"/>
                <m:ctrlPr>
                  <w:rPr>
                    <w:rFonts w:ascii="Cambria Math" w:hAnsi="Cambria Math"/>
                    <w:sz w:val="22"/>
                    <w:lang w:val="en-US"/>
                  </w:rPr>
                </m:ctrlPr>
              </m:dPr>
              <m:e>
                <m:r>
                  <m:rPr>
                    <m:sty m:val="p"/>
                  </m:rPr>
                  <w:rPr>
                    <w:rFonts w:ascii="Cambria Math" w:hAnsi="Cambria Math"/>
                    <w:sz w:val="24"/>
                    <w:szCs w:val="24"/>
                  </w:rPr>
                  <m:t>years</m:t>
                </m:r>
              </m:e>
            </m:d>
            <m:r>
              <m:rPr>
                <m:sty m:val="p"/>
              </m:rPr>
              <w:rPr>
                <w:rFonts w:ascii="Cambria Math" w:hAnsi="Cambria Math"/>
                <w:sz w:val="24"/>
                <w:szCs w:val="24"/>
              </w:rPr>
              <m:t>) x (body weight [kg])</m:t>
            </m:r>
          </m:num>
          <m:den>
            <m:d>
              <m:dPr>
                <m:ctrlPr>
                  <w:rPr>
                    <w:rFonts w:ascii="Cambria Math" w:hAnsi="Cambria Math"/>
                    <w:sz w:val="22"/>
                    <w:lang w:val="en-US"/>
                  </w:rPr>
                </m:ctrlPr>
              </m:dPr>
              <m:e>
                <m:r>
                  <m:rPr>
                    <m:sty m:val="p"/>
                  </m:rPr>
                  <w:rPr>
                    <w:rFonts w:ascii="Cambria Math" w:hAnsi="Cambria Math"/>
                    <w:sz w:val="24"/>
                    <w:szCs w:val="24"/>
                  </w:rPr>
                  <m:t>72</m:t>
                </m:r>
              </m:e>
            </m:d>
            <m:r>
              <m:rPr>
                <m:sty m:val="p"/>
              </m:rPr>
              <w:rPr>
                <w:rFonts w:ascii="Cambria Math" w:hAnsi="Cambria Math"/>
                <w:sz w:val="24"/>
                <w:szCs w:val="24"/>
              </w:rPr>
              <m:t>x (0.011 x serum creatinine [micromol/l])</m:t>
            </m:r>
          </m:den>
        </m:f>
      </m:oMath>
      <w:r w:rsidRPr="00AC0D43">
        <w:rPr>
          <w:sz w:val="24"/>
          <w:szCs w:val="24"/>
        </w:rPr>
        <w:fldChar w:fldCharType="separate"/>
      </w:r>
      <m:oMath>
        <m:f>
          <m:fPr>
            <m:ctrlPr>
              <w:rPr>
                <w:rFonts w:ascii="Cambria Math" w:hAnsi="Cambria Math"/>
                <w:sz w:val="22"/>
                <w:lang w:val="en-US"/>
              </w:rPr>
            </m:ctrlPr>
          </m:fPr>
          <m:num>
            <m:r>
              <m:rPr>
                <m:sty m:val="p"/>
              </m:rPr>
              <w:rPr>
                <w:rFonts w:ascii="Cambria Math" w:hAnsi="Cambria Math"/>
                <w:sz w:val="24"/>
                <w:szCs w:val="24"/>
              </w:rPr>
              <m:t>(140-age</m:t>
            </m:r>
            <m:d>
              <m:dPr>
                <m:begChr m:val="["/>
                <m:endChr m:val="]"/>
                <m:ctrlPr>
                  <w:rPr>
                    <w:rFonts w:ascii="Cambria Math" w:hAnsi="Cambria Math"/>
                    <w:sz w:val="22"/>
                    <w:lang w:val="en-US"/>
                  </w:rPr>
                </m:ctrlPr>
              </m:dPr>
              <m:e>
                <m:r>
                  <m:rPr>
                    <m:sty m:val="p"/>
                  </m:rPr>
                  <w:rPr>
                    <w:rFonts w:ascii="Cambria Math" w:hAnsi="Cambria Math"/>
                    <w:sz w:val="24"/>
                    <w:szCs w:val="24"/>
                  </w:rPr>
                  <m:t>years</m:t>
                </m:r>
              </m:e>
            </m:d>
            <m:r>
              <m:rPr>
                <m:sty m:val="p"/>
              </m:rPr>
              <w:rPr>
                <w:rFonts w:ascii="Cambria Math" w:hAnsi="Cambria Math"/>
                <w:sz w:val="24"/>
                <w:szCs w:val="24"/>
              </w:rPr>
              <m:t>)x(bodyweight[kg])</m:t>
            </m:r>
          </m:num>
          <m:den>
            <m:d>
              <m:dPr>
                <m:ctrlPr>
                  <w:rPr>
                    <w:rFonts w:ascii="Cambria Math" w:hAnsi="Cambria Math"/>
                    <w:sz w:val="22"/>
                    <w:lang w:val="en-US"/>
                  </w:rPr>
                </m:ctrlPr>
              </m:dPr>
              <m:e>
                <m:r>
                  <m:rPr>
                    <m:sty m:val="p"/>
                  </m:rPr>
                  <w:rPr>
                    <w:rFonts w:ascii="Cambria Math" w:hAnsi="Cambria Math"/>
                    <w:sz w:val="24"/>
                    <w:szCs w:val="24"/>
                  </w:rPr>
                  <m:t>72</m:t>
                </m:r>
              </m:e>
            </m:d>
            <m:r>
              <m:rPr>
                <m:sty m:val="p"/>
              </m:rPr>
              <w:rPr>
                <w:rFonts w:ascii="Cambria Math" w:hAnsi="Cambria Math"/>
                <w:sz w:val="24"/>
                <w:szCs w:val="24"/>
              </w:rPr>
              <m:t>x(0.011xserumcreatinine[micromol/l])</m:t>
            </m:r>
          </m:den>
        </m:f>
      </m:oMath>
      <w:r w:rsidRPr="00AC0D43">
        <w:rPr>
          <w:sz w:val="24"/>
          <w:szCs w:val="24"/>
        </w:rPr>
        <w:fldChar w:fldCharType="end"/>
      </w:r>
      <w:r w:rsidRPr="00AC0D43">
        <w:rPr>
          <w:sz w:val="24"/>
          <w:szCs w:val="24"/>
        </w:rPr>
        <w:fldChar w:fldCharType="begin"/>
      </w:r>
      <w:r w:rsidRPr="00AC0D43">
        <w:rPr>
          <w:sz w:val="24"/>
          <w:szCs w:val="24"/>
        </w:rPr>
        <w:instrText xml:space="preserve"> QUOTE  </w:instrText>
      </w:r>
      <m:oMath>
        <m:f>
          <m:fPr>
            <m:ctrlPr>
              <w:rPr>
                <w:rFonts w:ascii="Cambria Math" w:hAnsi="Cambria Math"/>
                <w:sz w:val="22"/>
                <w:lang w:val="en-US"/>
              </w:rPr>
            </m:ctrlPr>
          </m:fPr>
          <m:num>
            <m:r>
              <m:rPr>
                <m:sty m:val="p"/>
              </m:rPr>
              <w:rPr>
                <w:rFonts w:ascii="Cambria Math" w:hAnsi="Cambria Math"/>
                <w:sz w:val="24"/>
                <w:szCs w:val="24"/>
              </w:rPr>
              <m:t xml:space="preserve">(140-age </m:t>
            </m:r>
            <m:d>
              <m:dPr>
                <m:begChr m:val="["/>
                <m:endChr m:val="]"/>
                <m:ctrlPr>
                  <w:rPr>
                    <w:rFonts w:ascii="Cambria Math" w:hAnsi="Cambria Math"/>
                    <w:sz w:val="22"/>
                    <w:lang w:val="en-US"/>
                  </w:rPr>
                </m:ctrlPr>
              </m:dPr>
              <m:e>
                <m:r>
                  <m:rPr>
                    <m:sty m:val="p"/>
                  </m:rPr>
                  <w:rPr>
                    <w:rFonts w:ascii="Cambria Math" w:hAnsi="Cambria Math"/>
                    <w:sz w:val="24"/>
                    <w:szCs w:val="24"/>
                  </w:rPr>
                  <m:t>years</m:t>
                </m:r>
              </m:e>
            </m:d>
            <m:r>
              <m:rPr>
                <m:sty m:val="p"/>
              </m:rPr>
              <w:rPr>
                <w:rFonts w:ascii="Cambria Math" w:hAnsi="Cambria Math"/>
                <w:sz w:val="24"/>
                <w:szCs w:val="24"/>
              </w:rPr>
              <m:t>) x (body weight [kg])</m:t>
            </m:r>
          </m:num>
          <m:den>
            <m:r>
              <m:rPr>
                <m:sty m:val="p"/>
              </m:rPr>
              <w:rPr>
                <w:rFonts w:ascii="Cambria Math" w:hAnsi="Cambria Math"/>
                <w:sz w:val="24"/>
                <w:szCs w:val="24"/>
              </w:rPr>
              <m:t xml:space="preserve"> </m:t>
            </m:r>
            <m:d>
              <m:dPr>
                <m:ctrlPr>
                  <w:rPr>
                    <w:rFonts w:ascii="Cambria Math" w:hAnsi="Cambria Math"/>
                    <w:sz w:val="22"/>
                    <w:lang w:val="en-US"/>
                  </w:rPr>
                </m:ctrlPr>
              </m:dPr>
              <m:e>
                <m:r>
                  <m:rPr>
                    <m:sty m:val="p"/>
                  </m:rPr>
                  <w:rPr>
                    <w:rFonts w:ascii="Cambria Math" w:hAnsi="Cambria Math"/>
                    <w:sz w:val="24"/>
                    <w:szCs w:val="24"/>
                  </w:rPr>
                  <m:t>72</m:t>
                </m:r>
              </m:e>
            </m:d>
            <m:r>
              <m:rPr>
                <m:sty m:val="p"/>
              </m:rPr>
              <w:rPr>
                <w:rFonts w:ascii="Cambria Math" w:hAnsi="Cambria Math"/>
                <w:sz w:val="24"/>
                <w:szCs w:val="24"/>
              </w:rPr>
              <m:t>x (0.011 x serum creatinine [micromol/l])</m:t>
            </m:r>
          </m:den>
        </m:f>
      </m:oMath>
      <w:r w:rsidRPr="00AC0D43">
        <w:rPr>
          <w:sz w:val="24"/>
          <w:szCs w:val="24"/>
        </w:rPr>
        <w:fldChar w:fldCharType="separate"/>
      </w:r>
      <m:oMath>
        <m:f>
          <m:fPr>
            <m:ctrlPr>
              <w:rPr>
                <w:rFonts w:ascii="Cambria Math" w:hAnsi="Cambria Math"/>
                <w:sz w:val="22"/>
                <w:lang w:val="en-US"/>
              </w:rPr>
            </m:ctrlPr>
          </m:fPr>
          <m:num>
            <m:r>
              <m:rPr>
                <m:sty m:val="p"/>
              </m:rPr>
              <w:rPr>
                <w:rFonts w:ascii="Cambria Math" w:hAnsi="Cambria Math"/>
                <w:sz w:val="24"/>
                <w:szCs w:val="24"/>
              </w:rPr>
              <m:t>(140-age</m:t>
            </m:r>
            <m:d>
              <m:dPr>
                <m:begChr m:val="["/>
                <m:endChr m:val="]"/>
                <m:ctrlPr>
                  <w:rPr>
                    <w:rFonts w:ascii="Cambria Math" w:hAnsi="Cambria Math"/>
                    <w:sz w:val="22"/>
                    <w:lang w:val="en-US"/>
                  </w:rPr>
                </m:ctrlPr>
              </m:dPr>
              <m:e>
                <m:r>
                  <m:rPr>
                    <m:sty m:val="p"/>
                  </m:rPr>
                  <w:rPr>
                    <w:rFonts w:ascii="Cambria Math" w:hAnsi="Cambria Math"/>
                    <w:sz w:val="24"/>
                    <w:szCs w:val="24"/>
                  </w:rPr>
                  <m:t>years</m:t>
                </m:r>
              </m:e>
            </m:d>
            <m:r>
              <m:rPr>
                <m:sty m:val="p"/>
              </m:rPr>
              <w:rPr>
                <w:rFonts w:ascii="Cambria Math" w:hAnsi="Cambria Math"/>
                <w:sz w:val="24"/>
                <w:szCs w:val="24"/>
              </w:rPr>
              <m:t>)x(bodyweight[kg])</m:t>
            </m:r>
          </m:num>
          <m:den>
            <m:d>
              <m:dPr>
                <m:ctrlPr>
                  <w:rPr>
                    <w:rFonts w:ascii="Cambria Math" w:hAnsi="Cambria Math"/>
                    <w:sz w:val="22"/>
                    <w:lang w:val="en-US"/>
                  </w:rPr>
                </m:ctrlPr>
              </m:dPr>
              <m:e>
                <m:r>
                  <m:rPr>
                    <m:sty m:val="p"/>
                  </m:rPr>
                  <w:rPr>
                    <w:rFonts w:ascii="Cambria Math" w:hAnsi="Cambria Math"/>
                    <w:sz w:val="24"/>
                    <w:szCs w:val="24"/>
                  </w:rPr>
                  <m:t>72</m:t>
                </m:r>
              </m:e>
            </m:d>
            <m:r>
              <m:rPr>
                <m:sty m:val="p"/>
              </m:rPr>
              <w:rPr>
                <w:rFonts w:ascii="Cambria Math" w:hAnsi="Cambria Math"/>
                <w:sz w:val="24"/>
                <w:szCs w:val="24"/>
              </w:rPr>
              <m:t>x(0.011xserumcreatinine[micromol/l])</m:t>
            </m:r>
          </m:den>
        </m:f>
      </m:oMath>
      <w:r w:rsidRPr="00AC0D43">
        <w:rPr>
          <w:sz w:val="24"/>
          <w:szCs w:val="24"/>
        </w:rPr>
        <w:fldChar w:fldCharType="end"/>
      </w:r>
    </w:p>
    <w:p w:rsidR="00AC0D43" w:rsidRPr="00AC0D43" w:rsidRDefault="00AC0D43" w:rsidP="00AC0D43">
      <w:pPr>
        <w:shd w:val="clear" w:color="auto" w:fill="FFFFFF"/>
        <w:tabs>
          <w:tab w:val="left" w:pos="851"/>
        </w:tabs>
        <w:ind w:left="851"/>
        <w:contextualSpacing/>
        <w:rPr>
          <w:color w:val="000000"/>
          <w:sz w:val="24"/>
          <w:szCs w:val="24"/>
          <w:lang w:eastAsia="el-GR"/>
        </w:rPr>
      </w:pPr>
    </w:p>
    <w:p w:rsidR="00AC0D43" w:rsidRPr="00AC0D43" w:rsidRDefault="00AC0D43" w:rsidP="00AC0D43">
      <w:pPr>
        <w:shd w:val="clear" w:color="auto" w:fill="FFFFFF"/>
        <w:tabs>
          <w:tab w:val="left" w:pos="851"/>
        </w:tabs>
        <w:ind w:left="851"/>
        <w:contextualSpacing/>
        <w:rPr>
          <w:color w:val="000000"/>
          <w:sz w:val="24"/>
          <w:szCs w:val="24"/>
        </w:rPr>
      </w:pPr>
      <w:r w:rsidRPr="00AC0D43">
        <w:rPr>
          <w:color w:val="000000"/>
          <w:sz w:val="24"/>
          <w:szCs w:val="24"/>
        </w:rPr>
        <w:t>Hos kvinder = 0,85 × mandlig værdi</w:t>
      </w:r>
    </w:p>
    <w:p w:rsidR="00AC0D43" w:rsidRPr="00AC0D43" w:rsidRDefault="00AC0D43" w:rsidP="00AC0D43">
      <w:pPr>
        <w:shd w:val="clear" w:color="auto" w:fill="FFFFFF"/>
        <w:tabs>
          <w:tab w:val="left" w:pos="851"/>
        </w:tabs>
        <w:ind w:left="851"/>
        <w:rPr>
          <w:color w:val="000000"/>
          <w:sz w:val="24"/>
          <w:szCs w:val="24"/>
          <w:lang w:eastAsia="el-GR"/>
        </w:rPr>
      </w:pPr>
    </w:p>
    <w:tbl>
      <w:tblPr>
        <w:tblW w:w="8647"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16"/>
        <w:gridCol w:w="3630"/>
        <w:gridCol w:w="3601"/>
      </w:tblGrid>
      <w:tr w:rsidR="00AC0D43" w:rsidRPr="00986CD7" w:rsidTr="007B2A3C">
        <w:tc>
          <w:tcPr>
            <w:tcW w:w="819" w:type="pct"/>
            <w:tcBorders>
              <w:top w:val="outset" w:sz="6" w:space="0" w:color="auto"/>
              <w:bottom w:val="outset" w:sz="6" w:space="0" w:color="auto"/>
              <w:right w:val="outset" w:sz="6" w:space="0" w:color="auto"/>
            </w:tcBorders>
            <w:hideMark/>
          </w:tcPr>
          <w:p w:rsidR="00AC0D43" w:rsidRPr="00986CD7" w:rsidRDefault="00AC0D43" w:rsidP="0013069A">
            <w:pPr>
              <w:ind w:left="104"/>
              <w:rPr>
                <w:color w:val="000000"/>
                <w:sz w:val="22"/>
                <w:szCs w:val="22"/>
              </w:rPr>
            </w:pPr>
            <w:r w:rsidRPr="00986CD7">
              <w:rPr>
                <w:color w:val="000000"/>
                <w:sz w:val="22"/>
                <w:szCs w:val="22"/>
              </w:rPr>
              <w:t xml:space="preserve">CrCl (ml/min) </w:t>
            </w:r>
          </w:p>
        </w:tc>
        <w:tc>
          <w:tcPr>
            <w:tcW w:w="2099" w:type="pct"/>
            <w:tcBorders>
              <w:top w:val="outset" w:sz="6" w:space="0" w:color="auto"/>
              <w:left w:val="outset" w:sz="6" w:space="0" w:color="auto"/>
              <w:bottom w:val="outset" w:sz="6" w:space="0" w:color="auto"/>
              <w:right w:val="outset" w:sz="6" w:space="0" w:color="auto"/>
            </w:tcBorders>
            <w:hideMark/>
          </w:tcPr>
          <w:p w:rsidR="00AC0D43" w:rsidRPr="00986CD7" w:rsidRDefault="00AC0D43" w:rsidP="0013069A">
            <w:pPr>
              <w:ind w:left="66"/>
              <w:rPr>
                <w:color w:val="000000"/>
                <w:sz w:val="22"/>
                <w:szCs w:val="22"/>
              </w:rPr>
            </w:pPr>
            <w:r w:rsidRPr="00986CD7">
              <w:rPr>
                <w:color w:val="000000"/>
                <w:sz w:val="22"/>
                <w:szCs w:val="22"/>
              </w:rPr>
              <w:t xml:space="preserve">Induktionsdosis af valganciclovir </w:t>
            </w:r>
          </w:p>
        </w:tc>
        <w:tc>
          <w:tcPr>
            <w:tcW w:w="2082" w:type="pct"/>
            <w:tcBorders>
              <w:top w:val="outset" w:sz="6" w:space="0" w:color="auto"/>
              <w:left w:val="outset" w:sz="6" w:space="0" w:color="auto"/>
              <w:bottom w:val="outset" w:sz="6" w:space="0" w:color="auto"/>
            </w:tcBorders>
            <w:hideMark/>
          </w:tcPr>
          <w:p w:rsidR="00AC0D43" w:rsidRPr="00986CD7" w:rsidRDefault="00AC0D43" w:rsidP="0013069A">
            <w:pPr>
              <w:ind w:left="122"/>
              <w:rPr>
                <w:color w:val="000000"/>
                <w:sz w:val="22"/>
                <w:szCs w:val="22"/>
              </w:rPr>
            </w:pPr>
            <w:r w:rsidRPr="00986CD7">
              <w:rPr>
                <w:color w:val="000000"/>
                <w:sz w:val="22"/>
                <w:szCs w:val="22"/>
              </w:rPr>
              <w:t xml:space="preserve">Vedligeholdelses-/forebyggelsesdosis af valganciclovir </w:t>
            </w:r>
          </w:p>
        </w:tc>
      </w:tr>
      <w:tr w:rsidR="00AC0D43" w:rsidRPr="00986CD7" w:rsidTr="007B2A3C">
        <w:tc>
          <w:tcPr>
            <w:tcW w:w="819" w:type="pct"/>
            <w:tcBorders>
              <w:top w:val="outset" w:sz="6" w:space="0" w:color="auto"/>
              <w:bottom w:val="outset" w:sz="6" w:space="0" w:color="auto"/>
              <w:right w:val="outset" w:sz="6" w:space="0" w:color="auto"/>
            </w:tcBorders>
            <w:hideMark/>
          </w:tcPr>
          <w:p w:rsidR="00AC0D43" w:rsidRPr="00986CD7" w:rsidRDefault="00AC0D43" w:rsidP="0013069A">
            <w:pPr>
              <w:ind w:left="104"/>
              <w:rPr>
                <w:color w:val="000000"/>
                <w:sz w:val="22"/>
                <w:szCs w:val="22"/>
              </w:rPr>
            </w:pPr>
            <w:r w:rsidRPr="00986CD7">
              <w:rPr>
                <w:color w:val="000000"/>
                <w:sz w:val="22"/>
                <w:szCs w:val="22"/>
              </w:rPr>
              <w:t xml:space="preserve">≥ 60 </w:t>
            </w:r>
          </w:p>
        </w:tc>
        <w:tc>
          <w:tcPr>
            <w:tcW w:w="2099" w:type="pct"/>
            <w:tcBorders>
              <w:top w:val="outset" w:sz="6" w:space="0" w:color="auto"/>
              <w:left w:val="outset" w:sz="6" w:space="0" w:color="auto"/>
              <w:bottom w:val="outset" w:sz="6" w:space="0" w:color="auto"/>
              <w:right w:val="outset" w:sz="6" w:space="0" w:color="auto"/>
            </w:tcBorders>
            <w:hideMark/>
          </w:tcPr>
          <w:p w:rsidR="00AC0D43" w:rsidRPr="00986CD7" w:rsidRDefault="00AC0D43" w:rsidP="0013069A">
            <w:pPr>
              <w:ind w:left="66"/>
              <w:rPr>
                <w:color w:val="000000"/>
                <w:sz w:val="22"/>
                <w:szCs w:val="22"/>
              </w:rPr>
            </w:pPr>
            <w:r w:rsidRPr="00986CD7">
              <w:rPr>
                <w:color w:val="000000"/>
                <w:sz w:val="22"/>
                <w:szCs w:val="22"/>
              </w:rPr>
              <w:t xml:space="preserve">900 mg (2 tabletter) to gange daglig </w:t>
            </w:r>
          </w:p>
        </w:tc>
        <w:tc>
          <w:tcPr>
            <w:tcW w:w="2082" w:type="pct"/>
            <w:tcBorders>
              <w:top w:val="outset" w:sz="6" w:space="0" w:color="auto"/>
              <w:left w:val="outset" w:sz="6" w:space="0" w:color="auto"/>
              <w:bottom w:val="outset" w:sz="6" w:space="0" w:color="auto"/>
            </w:tcBorders>
            <w:hideMark/>
          </w:tcPr>
          <w:p w:rsidR="00AC0D43" w:rsidRPr="00986CD7" w:rsidRDefault="00AC0D43" w:rsidP="0013069A">
            <w:pPr>
              <w:ind w:left="122"/>
              <w:rPr>
                <w:color w:val="000000"/>
                <w:sz w:val="22"/>
                <w:szCs w:val="22"/>
              </w:rPr>
            </w:pPr>
            <w:r w:rsidRPr="00986CD7">
              <w:rPr>
                <w:color w:val="000000"/>
                <w:sz w:val="22"/>
                <w:szCs w:val="22"/>
              </w:rPr>
              <w:t xml:space="preserve">900 mg (2 tabletter) </w:t>
            </w:r>
            <w:r w:rsidR="00986CD7" w:rsidRPr="00986CD7">
              <w:rPr>
                <w:color w:val="000000"/>
                <w:sz w:val="22"/>
                <w:szCs w:val="22"/>
              </w:rPr>
              <w:t>en</w:t>
            </w:r>
            <w:r w:rsidRPr="00986CD7">
              <w:rPr>
                <w:color w:val="000000"/>
                <w:sz w:val="22"/>
                <w:szCs w:val="22"/>
              </w:rPr>
              <w:t xml:space="preserve"> gang daglig </w:t>
            </w:r>
          </w:p>
        </w:tc>
      </w:tr>
      <w:tr w:rsidR="00AC0D43" w:rsidRPr="00986CD7" w:rsidTr="007B2A3C">
        <w:tc>
          <w:tcPr>
            <w:tcW w:w="819" w:type="pct"/>
            <w:tcBorders>
              <w:top w:val="outset" w:sz="6" w:space="0" w:color="auto"/>
              <w:bottom w:val="outset" w:sz="6" w:space="0" w:color="auto"/>
              <w:right w:val="outset" w:sz="6" w:space="0" w:color="auto"/>
            </w:tcBorders>
            <w:hideMark/>
          </w:tcPr>
          <w:p w:rsidR="00AC0D43" w:rsidRPr="00986CD7" w:rsidRDefault="00AC0D43" w:rsidP="0013069A">
            <w:pPr>
              <w:ind w:left="104"/>
              <w:rPr>
                <w:color w:val="000000"/>
                <w:sz w:val="22"/>
                <w:szCs w:val="22"/>
              </w:rPr>
            </w:pPr>
            <w:r w:rsidRPr="00986CD7">
              <w:rPr>
                <w:color w:val="000000"/>
                <w:sz w:val="22"/>
                <w:szCs w:val="22"/>
              </w:rPr>
              <w:t>40</w:t>
            </w:r>
            <w:r w:rsidR="00986CD7" w:rsidRPr="00986CD7">
              <w:rPr>
                <w:color w:val="000000"/>
                <w:sz w:val="22"/>
                <w:szCs w:val="22"/>
              </w:rPr>
              <w:t>-</w:t>
            </w:r>
            <w:r w:rsidRPr="00986CD7">
              <w:rPr>
                <w:color w:val="000000"/>
                <w:sz w:val="22"/>
                <w:szCs w:val="22"/>
              </w:rPr>
              <w:t xml:space="preserve">59 </w:t>
            </w:r>
          </w:p>
        </w:tc>
        <w:tc>
          <w:tcPr>
            <w:tcW w:w="2099" w:type="pct"/>
            <w:tcBorders>
              <w:top w:val="outset" w:sz="6" w:space="0" w:color="auto"/>
              <w:left w:val="outset" w:sz="6" w:space="0" w:color="auto"/>
              <w:bottom w:val="outset" w:sz="6" w:space="0" w:color="auto"/>
              <w:right w:val="outset" w:sz="6" w:space="0" w:color="auto"/>
            </w:tcBorders>
            <w:hideMark/>
          </w:tcPr>
          <w:p w:rsidR="00AC0D43" w:rsidRPr="00986CD7" w:rsidRDefault="00AC0D43" w:rsidP="0013069A">
            <w:pPr>
              <w:ind w:left="66"/>
              <w:rPr>
                <w:color w:val="000000"/>
                <w:sz w:val="22"/>
                <w:szCs w:val="22"/>
              </w:rPr>
            </w:pPr>
            <w:r w:rsidRPr="00986CD7">
              <w:rPr>
                <w:color w:val="000000"/>
                <w:sz w:val="22"/>
                <w:szCs w:val="22"/>
              </w:rPr>
              <w:t xml:space="preserve">450 mg (1 tablet) to gange daglig </w:t>
            </w:r>
          </w:p>
        </w:tc>
        <w:tc>
          <w:tcPr>
            <w:tcW w:w="2082" w:type="pct"/>
            <w:tcBorders>
              <w:top w:val="outset" w:sz="6" w:space="0" w:color="auto"/>
              <w:left w:val="outset" w:sz="6" w:space="0" w:color="auto"/>
              <w:bottom w:val="outset" w:sz="6" w:space="0" w:color="auto"/>
            </w:tcBorders>
            <w:hideMark/>
          </w:tcPr>
          <w:p w:rsidR="00AC0D43" w:rsidRPr="00986CD7" w:rsidRDefault="00AC0D43" w:rsidP="0013069A">
            <w:pPr>
              <w:ind w:left="122"/>
              <w:rPr>
                <w:color w:val="000000"/>
                <w:sz w:val="22"/>
                <w:szCs w:val="22"/>
              </w:rPr>
            </w:pPr>
            <w:r w:rsidRPr="00986CD7">
              <w:rPr>
                <w:color w:val="000000"/>
                <w:sz w:val="22"/>
                <w:szCs w:val="22"/>
              </w:rPr>
              <w:t xml:space="preserve">450 mg (1 tablet) </w:t>
            </w:r>
            <w:r w:rsidR="00986CD7" w:rsidRPr="00986CD7">
              <w:rPr>
                <w:color w:val="000000"/>
                <w:sz w:val="22"/>
                <w:szCs w:val="22"/>
              </w:rPr>
              <w:t>en</w:t>
            </w:r>
            <w:r w:rsidRPr="00986CD7">
              <w:rPr>
                <w:color w:val="000000"/>
                <w:sz w:val="22"/>
                <w:szCs w:val="22"/>
              </w:rPr>
              <w:t xml:space="preserve"> gang daglig </w:t>
            </w:r>
          </w:p>
        </w:tc>
      </w:tr>
      <w:tr w:rsidR="00AC0D43" w:rsidRPr="00986CD7" w:rsidTr="007B2A3C">
        <w:tc>
          <w:tcPr>
            <w:tcW w:w="819" w:type="pct"/>
            <w:tcBorders>
              <w:top w:val="outset" w:sz="6" w:space="0" w:color="auto"/>
              <w:bottom w:val="outset" w:sz="6" w:space="0" w:color="auto"/>
              <w:right w:val="outset" w:sz="6" w:space="0" w:color="auto"/>
            </w:tcBorders>
            <w:hideMark/>
          </w:tcPr>
          <w:p w:rsidR="00AC0D43" w:rsidRPr="00986CD7" w:rsidRDefault="00AC0D43" w:rsidP="0013069A">
            <w:pPr>
              <w:ind w:left="104"/>
              <w:rPr>
                <w:color w:val="000000"/>
                <w:sz w:val="22"/>
                <w:szCs w:val="22"/>
              </w:rPr>
            </w:pPr>
            <w:r w:rsidRPr="00986CD7">
              <w:rPr>
                <w:color w:val="000000"/>
                <w:sz w:val="22"/>
                <w:szCs w:val="22"/>
              </w:rPr>
              <w:t>25</w:t>
            </w:r>
            <w:r w:rsidR="00986CD7" w:rsidRPr="00986CD7">
              <w:rPr>
                <w:color w:val="000000"/>
                <w:sz w:val="22"/>
                <w:szCs w:val="22"/>
              </w:rPr>
              <w:t>-</w:t>
            </w:r>
            <w:r w:rsidRPr="00986CD7">
              <w:rPr>
                <w:color w:val="000000"/>
                <w:sz w:val="22"/>
                <w:szCs w:val="22"/>
              </w:rPr>
              <w:t xml:space="preserve">39 </w:t>
            </w:r>
          </w:p>
        </w:tc>
        <w:tc>
          <w:tcPr>
            <w:tcW w:w="2099" w:type="pct"/>
            <w:tcBorders>
              <w:top w:val="outset" w:sz="6" w:space="0" w:color="auto"/>
              <w:left w:val="outset" w:sz="6" w:space="0" w:color="auto"/>
              <w:bottom w:val="outset" w:sz="6" w:space="0" w:color="auto"/>
              <w:right w:val="outset" w:sz="6" w:space="0" w:color="auto"/>
            </w:tcBorders>
            <w:hideMark/>
          </w:tcPr>
          <w:p w:rsidR="00AC0D43" w:rsidRPr="00986CD7" w:rsidRDefault="00AC0D43" w:rsidP="0013069A">
            <w:pPr>
              <w:ind w:left="66"/>
              <w:rPr>
                <w:color w:val="000000"/>
                <w:sz w:val="22"/>
                <w:szCs w:val="22"/>
              </w:rPr>
            </w:pPr>
            <w:r w:rsidRPr="00986CD7">
              <w:rPr>
                <w:color w:val="000000"/>
                <w:sz w:val="22"/>
                <w:szCs w:val="22"/>
              </w:rPr>
              <w:t xml:space="preserve">450 mg (1 tablet) </w:t>
            </w:r>
            <w:r w:rsidR="00986CD7" w:rsidRPr="00986CD7">
              <w:rPr>
                <w:color w:val="000000"/>
                <w:sz w:val="22"/>
                <w:szCs w:val="22"/>
              </w:rPr>
              <w:t>en</w:t>
            </w:r>
            <w:r w:rsidRPr="00986CD7">
              <w:rPr>
                <w:color w:val="000000"/>
                <w:sz w:val="22"/>
                <w:szCs w:val="22"/>
              </w:rPr>
              <w:t xml:space="preserve"> gang daglig </w:t>
            </w:r>
          </w:p>
        </w:tc>
        <w:tc>
          <w:tcPr>
            <w:tcW w:w="2082" w:type="pct"/>
            <w:tcBorders>
              <w:top w:val="outset" w:sz="6" w:space="0" w:color="auto"/>
              <w:left w:val="outset" w:sz="6" w:space="0" w:color="auto"/>
              <w:bottom w:val="outset" w:sz="6" w:space="0" w:color="auto"/>
            </w:tcBorders>
            <w:hideMark/>
          </w:tcPr>
          <w:p w:rsidR="00AC0D43" w:rsidRPr="00986CD7" w:rsidRDefault="00AC0D43" w:rsidP="0013069A">
            <w:pPr>
              <w:ind w:left="122"/>
              <w:rPr>
                <w:color w:val="000000"/>
                <w:sz w:val="22"/>
                <w:szCs w:val="22"/>
              </w:rPr>
            </w:pPr>
            <w:r w:rsidRPr="00986CD7">
              <w:rPr>
                <w:color w:val="000000"/>
                <w:sz w:val="22"/>
                <w:szCs w:val="22"/>
              </w:rPr>
              <w:t xml:space="preserve">450 mg (1 tablet) hver 2. dag </w:t>
            </w:r>
          </w:p>
        </w:tc>
      </w:tr>
      <w:tr w:rsidR="00AC0D43" w:rsidRPr="00986CD7" w:rsidTr="007B2A3C">
        <w:tc>
          <w:tcPr>
            <w:tcW w:w="819" w:type="pct"/>
            <w:tcBorders>
              <w:top w:val="outset" w:sz="6" w:space="0" w:color="auto"/>
              <w:bottom w:val="outset" w:sz="6" w:space="0" w:color="auto"/>
              <w:right w:val="outset" w:sz="6" w:space="0" w:color="auto"/>
            </w:tcBorders>
            <w:hideMark/>
          </w:tcPr>
          <w:p w:rsidR="00AC0D43" w:rsidRPr="00986CD7" w:rsidRDefault="00AC0D43" w:rsidP="0013069A">
            <w:pPr>
              <w:ind w:left="104"/>
              <w:rPr>
                <w:color w:val="000000"/>
                <w:sz w:val="22"/>
                <w:szCs w:val="22"/>
              </w:rPr>
            </w:pPr>
            <w:r w:rsidRPr="00986CD7">
              <w:rPr>
                <w:color w:val="000000"/>
                <w:sz w:val="22"/>
                <w:szCs w:val="22"/>
              </w:rPr>
              <w:t>10</w:t>
            </w:r>
            <w:r w:rsidR="00986CD7" w:rsidRPr="00986CD7">
              <w:rPr>
                <w:color w:val="000000"/>
                <w:sz w:val="22"/>
                <w:szCs w:val="22"/>
              </w:rPr>
              <w:t>-</w:t>
            </w:r>
            <w:r w:rsidRPr="00986CD7">
              <w:rPr>
                <w:color w:val="000000"/>
                <w:sz w:val="22"/>
                <w:szCs w:val="22"/>
              </w:rPr>
              <w:t xml:space="preserve">24 </w:t>
            </w:r>
          </w:p>
        </w:tc>
        <w:tc>
          <w:tcPr>
            <w:tcW w:w="2099" w:type="pct"/>
            <w:tcBorders>
              <w:top w:val="outset" w:sz="6" w:space="0" w:color="auto"/>
              <w:left w:val="outset" w:sz="6" w:space="0" w:color="auto"/>
              <w:bottom w:val="outset" w:sz="6" w:space="0" w:color="auto"/>
              <w:right w:val="outset" w:sz="6" w:space="0" w:color="auto"/>
            </w:tcBorders>
            <w:hideMark/>
          </w:tcPr>
          <w:p w:rsidR="00AC0D43" w:rsidRPr="00986CD7" w:rsidRDefault="00AC0D43" w:rsidP="0013069A">
            <w:pPr>
              <w:ind w:left="66"/>
              <w:rPr>
                <w:color w:val="000000"/>
                <w:sz w:val="22"/>
                <w:szCs w:val="22"/>
              </w:rPr>
            </w:pPr>
            <w:r w:rsidRPr="00986CD7">
              <w:rPr>
                <w:color w:val="000000"/>
                <w:sz w:val="22"/>
                <w:szCs w:val="22"/>
              </w:rPr>
              <w:t xml:space="preserve">450 mg (1 tablet) hver 2. dag </w:t>
            </w:r>
          </w:p>
        </w:tc>
        <w:tc>
          <w:tcPr>
            <w:tcW w:w="2082" w:type="pct"/>
            <w:tcBorders>
              <w:top w:val="outset" w:sz="6" w:space="0" w:color="auto"/>
              <w:left w:val="outset" w:sz="6" w:space="0" w:color="auto"/>
              <w:bottom w:val="outset" w:sz="6" w:space="0" w:color="auto"/>
            </w:tcBorders>
            <w:hideMark/>
          </w:tcPr>
          <w:p w:rsidR="00AC0D43" w:rsidRPr="00986CD7" w:rsidRDefault="00AC0D43" w:rsidP="0013069A">
            <w:pPr>
              <w:ind w:left="122"/>
              <w:rPr>
                <w:color w:val="000000"/>
                <w:sz w:val="22"/>
                <w:szCs w:val="22"/>
              </w:rPr>
            </w:pPr>
            <w:r w:rsidRPr="00986CD7">
              <w:rPr>
                <w:color w:val="000000"/>
                <w:sz w:val="22"/>
                <w:szCs w:val="22"/>
              </w:rPr>
              <w:t xml:space="preserve">450 mg (1 tablet) to gange om ugen </w:t>
            </w:r>
          </w:p>
        </w:tc>
      </w:tr>
      <w:tr w:rsidR="00AC0D43" w:rsidRPr="00986CD7" w:rsidTr="007B2A3C">
        <w:tc>
          <w:tcPr>
            <w:tcW w:w="819" w:type="pct"/>
            <w:tcBorders>
              <w:top w:val="outset" w:sz="6" w:space="0" w:color="auto"/>
              <w:bottom w:val="outset" w:sz="6" w:space="0" w:color="auto"/>
              <w:right w:val="outset" w:sz="6" w:space="0" w:color="auto"/>
            </w:tcBorders>
            <w:hideMark/>
          </w:tcPr>
          <w:p w:rsidR="00AC0D43" w:rsidRPr="00986CD7" w:rsidRDefault="00AC0D43" w:rsidP="0013069A">
            <w:pPr>
              <w:ind w:left="104"/>
              <w:rPr>
                <w:color w:val="000000"/>
                <w:sz w:val="22"/>
                <w:szCs w:val="22"/>
              </w:rPr>
            </w:pPr>
            <w:r w:rsidRPr="00986CD7">
              <w:rPr>
                <w:color w:val="000000"/>
                <w:sz w:val="22"/>
                <w:szCs w:val="22"/>
              </w:rPr>
              <w:t xml:space="preserve">&lt; 10 </w:t>
            </w:r>
          </w:p>
        </w:tc>
        <w:tc>
          <w:tcPr>
            <w:tcW w:w="2099" w:type="pct"/>
            <w:tcBorders>
              <w:top w:val="outset" w:sz="6" w:space="0" w:color="auto"/>
              <w:left w:val="outset" w:sz="6" w:space="0" w:color="auto"/>
              <w:bottom w:val="outset" w:sz="6" w:space="0" w:color="auto"/>
              <w:right w:val="outset" w:sz="6" w:space="0" w:color="auto"/>
            </w:tcBorders>
            <w:hideMark/>
          </w:tcPr>
          <w:p w:rsidR="00AC0D43" w:rsidRPr="00986CD7" w:rsidRDefault="00AC0D43" w:rsidP="0013069A">
            <w:pPr>
              <w:ind w:left="66"/>
              <w:rPr>
                <w:color w:val="000000"/>
                <w:sz w:val="22"/>
                <w:szCs w:val="22"/>
              </w:rPr>
            </w:pPr>
            <w:r w:rsidRPr="00986CD7">
              <w:rPr>
                <w:color w:val="000000"/>
                <w:sz w:val="22"/>
                <w:szCs w:val="22"/>
              </w:rPr>
              <w:t xml:space="preserve">Anbefales ikke </w:t>
            </w:r>
          </w:p>
        </w:tc>
        <w:tc>
          <w:tcPr>
            <w:tcW w:w="2082" w:type="pct"/>
            <w:tcBorders>
              <w:top w:val="outset" w:sz="6" w:space="0" w:color="auto"/>
              <w:left w:val="outset" w:sz="6" w:space="0" w:color="auto"/>
              <w:bottom w:val="outset" w:sz="6" w:space="0" w:color="auto"/>
            </w:tcBorders>
            <w:hideMark/>
          </w:tcPr>
          <w:p w:rsidR="00AC0D43" w:rsidRPr="00986CD7" w:rsidRDefault="00AC0D43" w:rsidP="0013069A">
            <w:pPr>
              <w:ind w:left="122"/>
              <w:rPr>
                <w:color w:val="000000"/>
                <w:sz w:val="22"/>
                <w:szCs w:val="22"/>
              </w:rPr>
            </w:pPr>
            <w:r w:rsidRPr="00986CD7">
              <w:rPr>
                <w:color w:val="000000"/>
                <w:sz w:val="22"/>
                <w:szCs w:val="22"/>
              </w:rPr>
              <w:t xml:space="preserve">Anbefales ikke </w:t>
            </w:r>
          </w:p>
        </w:tc>
      </w:tr>
    </w:tbl>
    <w:p w:rsidR="00AC0D43" w:rsidRPr="00AC0D43" w:rsidRDefault="00AC0D43" w:rsidP="00AC0D43">
      <w:pPr>
        <w:shd w:val="clear" w:color="auto" w:fill="FFFFFF"/>
        <w:tabs>
          <w:tab w:val="left" w:pos="851"/>
        </w:tabs>
        <w:ind w:left="851"/>
        <w:rPr>
          <w:i/>
          <w:iCs/>
          <w:color w:val="000000"/>
          <w:sz w:val="24"/>
          <w:szCs w:val="24"/>
          <w:lang w:val="en" w:eastAsia="el-GR"/>
        </w:rPr>
      </w:pPr>
    </w:p>
    <w:p w:rsidR="00AC0D43" w:rsidRPr="00AC0D43" w:rsidRDefault="00AC0D43" w:rsidP="00AC0D43">
      <w:pPr>
        <w:shd w:val="clear" w:color="auto" w:fill="FFFFFF"/>
        <w:tabs>
          <w:tab w:val="left" w:pos="851"/>
        </w:tabs>
        <w:ind w:left="851"/>
        <w:rPr>
          <w:color w:val="000000"/>
          <w:sz w:val="24"/>
          <w:szCs w:val="24"/>
        </w:rPr>
      </w:pPr>
      <w:r w:rsidRPr="00AC0D43">
        <w:rPr>
          <w:i/>
          <w:iCs/>
          <w:color w:val="000000"/>
          <w:sz w:val="24"/>
          <w:szCs w:val="24"/>
        </w:rPr>
        <w:t>Patienter i hæmodialyse</w:t>
      </w:r>
    </w:p>
    <w:p w:rsidR="00AC0D43" w:rsidRPr="00AC0D43" w:rsidRDefault="00AC0D43" w:rsidP="00AC0D43">
      <w:pPr>
        <w:shd w:val="clear" w:color="auto" w:fill="FFFFFF"/>
        <w:tabs>
          <w:tab w:val="left" w:pos="851"/>
        </w:tabs>
        <w:ind w:left="851"/>
        <w:rPr>
          <w:color w:val="000000"/>
          <w:sz w:val="24"/>
          <w:szCs w:val="24"/>
        </w:rPr>
      </w:pPr>
      <w:r w:rsidRPr="00AC0D43">
        <w:rPr>
          <w:color w:val="000000"/>
          <w:sz w:val="24"/>
          <w:szCs w:val="24"/>
        </w:rPr>
        <w:t xml:space="preserve">Der kan ikke gives dosisrekommendationer for patienter i hæmodialyse (kreatininclearance &lt; 10 ml/min). </w:t>
      </w:r>
      <w:r w:rsidRPr="00AC0D43">
        <w:rPr>
          <w:sz w:val="24"/>
          <w:szCs w:val="24"/>
        </w:rPr>
        <w:t>Valganciclovir "Medical Valley" filmovertrukne tabletter bør derfor ikke anvendes til disse patienter (se pkt. 4.4 og 5.2).</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i/>
          <w:iCs/>
          <w:color w:val="000000"/>
          <w:sz w:val="24"/>
          <w:szCs w:val="24"/>
        </w:rPr>
        <w:t>Patienter med nedsat leverfunktion</w:t>
      </w:r>
    </w:p>
    <w:p w:rsidR="00AC0D43" w:rsidRPr="00AC0D43" w:rsidRDefault="00AC0D43" w:rsidP="00AC0D43">
      <w:pPr>
        <w:shd w:val="clear" w:color="auto" w:fill="FFFFFF"/>
        <w:tabs>
          <w:tab w:val="left" w:pos="851"/>
        </w:tabs>
        <w:ind w:left="851"/>
        <w:rPr>
          <w:color w:val="000000"/>
          <w:sz w:val="24"/>
          <w:szCs w:val="24"/>
        </w:rPr>
      </w:pPr>
      <w:r w:rsidRPr="00AC0D43">
        <w:rPr>
          <w:sz w:val="24"/>
          <w:szCs w:val="24"/>
        </w:rPr>
        <w:t>Sikkerheden og virkningen af valganciclovir</w:t>
      </w:r>
      <w:r w:rsidR="005F7BDE">
        <w:rPr>
          <w:sz w:val="24"/>
          <w:szCs w:val="24"/>
        </w:rPr>
        <w:t xml:space="preserve"> </w:t>
      </w:r>
      <w:r w:rsidR="005F7BDE" w:rsidRPr="00AC0D43">
        <w:rPr>
          <w:sz w:val="24"/>
          <w:szCs w:val="24"/>
        </w:rPr>
        <w:t xml:space="preserve">filmovertrukne </w:t>
      </w:r>
      <w:r w:rsidRPr="00AC0D43">
        <w:rPr>
          <w:sz w:val="24"/>
          <w:szCs w:val="24"/>
        </w:rPr>
        <w:t>tabletter er ikke klarlagt hos patienter med nedsat leverfunktion (se pkt. 5.2).</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i/>
          <w:iCs/>
          <w:color w:val="000000"/>
          <w:sz w:val="24"/>
          <w:szCs w:val="24"/>
        </w:rPr>
        <w:t>Patienter med svær leukopeni, neutropeni, anæmi, trombocytopeni og pancytopeni</w:t>
      </w:r>
    </w:p>
    <w:p w:rsidR="00AC0D43" w:rsidRPr="00AC0D43" w:rsidRDefault="00AC0D43" w:rsidP="00AC0D43">
      <w:pPr>
        <w:shd w:val="clear" w:color="auto" w:fill="FFFFFF"/>
        <w:tabs>
          <w:tab w:val="left" w:pos="851"/>
        </w:tabs>
        <w:ind w:left="851"/>
        <w:rPr>
          <w:color w:val="000000"/>
          <w:sz w:val="24"/>
          <w:szCs w:val="24"/>
        </w:rPr>
      </w:pPr>
      <w:r w:rsidRPr="00AC0D43">
        <w:rPr>
          <w:color w:val="000000"/>
          <w:sz w:val="24"/>
          <w:szCs w:val="24"/>
        </w:rPr>
        <w:t xml:space="preserve">Se pkt. 4.4 før påbegyndelse af behandlingen. </w:t>
      </w:r>
    </w:p>
    <w:p w:rsidR="00AC0D43" w:rsidRPr="00AC0D43" w:rsidRDefault="00AC0D43" w:rsidP="00AC0D43">
      <w:pPr>
        <w:shd w:val="clear" w:color="auto" w:fill="FFFFFF"/>
        <w:tabs>
          <w:tab w:val="left" w:pos="851"/>
        </w:tabs>
        <w:ind w:left="851"/>
        <w:rPr>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sz w:val="24"/>
          <w:szCs w:val="24"/>
        </w:rPr>
        <w:t>Hvis blodcelletallene forværres signifikant under behandlingen med Valganciclovir "Medical Valley", skal det overvejes at behandle med hæmatopoietiske vækstfaktorer og/eller afbryde behandlingen (se pkt. 4.4).</w:t>
      </w:r>
    </w:p>
    <w:p w:rsidR="00AC0D43" w:rsidRPr="00AC0D43" w:rsidRDefault="00AC0D43" w:rsidP="00AC0D43">
      <w:pPr>
        <w:shd w:val="clear" w:color="auto" w:fill="FFFFFF"/>
        <w:tabs>
          <w:tab w:val="left" w:pos="851"/>
        </w:tabs>
        <w:ind w:left="851"/>
        <w:rPr>
          <w:color w:val="000000"/>
          <w:sz w:val="24"/>
          <w:szCs w:val="24"/>
          <w:u w:val="single"/>
          <w:lang w:eastAsia="el-GR"/>
        </w:rPr>
      </w:pPr>
    </w:p>
    <w:p w:rsidR="00AC0D43" w:rsidRPr="00AC0D43" w:rsidRDefault="00AC0D43" w:rsidP="00AC0D43">
      <w:pPr>
        <w:shd w:val="clear" w:color="auto" w:fill="FFFFFF"/>
        <w:tabs>
          <w:tab w:val="left" w:pos="851"/>
        </w:tabs>
        <w:ind w:left="851"/>
        <w:rPr>
          <w:color w:val="000000"/>
          <w:sz w:val="24"/>
          <w:szCs w:val="24"/>
          <w:u w:val="single"/>
        </w:rPr>
      </w:pPr>
      <w:r w:rsidRPr="00AC0D43">
        <w:rPr>
          <w:color w:val="000000"/>
          <w:sz w:val="24"/>
          <w:szCs w:val="24"/>
          <w:u w:val="single"/>
        </w:rPr>
        <w:t>Administration</w:t>
      </w:r>
    </w:p>
    <w:p w:rsidR="00AC0D43" w:rsidRPr="00AC0D43" w:rsidRDefault="00AC0D43" w:rsidP="00AC0D43">
      <w:pPr>
        <w:shd w:val="clear" w:color="auto" w:fill="FFFFFF"/>
        <w:tabs>
          <w:tab w:val="left" w:pos="851"/>
        </w:tabs>
        <w:ind w:left="851"/>
        <w:rPr>
          <w:color w:val="000000"/>
          <w:sz w:val="24"/>
          <w:szCs w:val="24"/>
        </w:rPr>
      </w:pPr>
      <w:r w:rsidRPr="00AC0D43">
        <w:rPr>
          <w:color w:val="000000"/>
          <w:sz w:val="24"/>
          <w:szCs w:val="24"/>
        </w:rPr>
        <w:t xml:space="preserve">Oral anvendelse. </w:t>
      </w:r>
    </w:p>
    <w:p w:rsidR="00AC0D43" w:rsidRPr="00AC0D43" w:rsidRDefault="00AC0D43" w:rsidP="00AC0D43">
      <w:pPr>
        <w:shd w:val="clear" w:color="auto" w:fill="FFFFFF"/>
        <w:tabs>
          <w:tab w:val="left" w:pos="851"/>
        </w:tabs>
        <w:ind w:left="851"/>
        <w:rPr>
          <w:color w:val="000000"/>
          <w:sz w:val="24"/>
          <w:szCs w:val="24"/>
        </w:rPr>
      </w:pPr>
      <w:r w:rsidRPr="00AC0D43">
        <w:rPr>
          <w:sz w:val="24"/>
          <w:szCs w:val="24"/>
        </w:rPr>
        <w:t>Valganciclovir "Medical Valley" skal om muligt tages sammen med føde (se pkt. 5.2).</w:t>
      </w:r>
    </w:p>
    <w:p w:rsidR="00AC0D43" w:rsidRPr="00AC0D43" w:rsidRDefault="00AC0D43" w:rsidP="00AC0D43">
      <w:pPr>
        <w:shd w:val="clear" w:color="auto" w:fill="FFFFFF"/>
        <w:tabs>
          <w:tab w:val="left" w:pos="851"/>
        </w:tabs>
        <w:ind w:left="851"/>
        <w:rPr>
          <w:iCs/>
          <w:color w:val="000000"/>
          <w:sz w:val="24"/>
          <w:szCs w:val="24"/>
          <w:lang w:eastAsia="el-GR"/>
        </w:rPr>
      </w:pPr>
    </w:p>
    <w:p w:rsidR="00AC0D43" w:rsidRPr="00AC0D43" w:rsidRDefault="00AC0D43" w:rsidP="00AC0D43">
      <w:pPr>
        <w:shd w:val="clear" w:color="auto" w:fill="FFFFFF"/>
        <w:tabs>
          <w:tab w:val="left" w:pos="851"/>
        </w:tabs>
        <w:ind w:left="851"/>
        <w:rPr>
          <w:iCs/>
          <w:color w:val="000000"/>
          <w:sz w:val="24"/>
          <w:szCs w:val="24"/>
        </w:rPr>
      </w:pPr>
      <w:r w:rsidRPr="00AC0D43">
        <w:rPr>
          <w:iCs/>
          <w:color w:val="000000"/>
          <w:sz w:val="24"/>
          <w:szCs w:val="24"/>
        </w:rPr>
        <w:t xml:space="preserve">Hos pædiatriske patienter, som ikke kan synke Valganciclovir "Medical Valley" filmovertrukne tabletter, </w:t>
      </w:r>
      <w:r w:rsidR="00510975">
        <w:rPr>
          <w:iCs/>
          <w:color w:val="000000"/>
          <w:sz w:val="24"/>
          <w:szCs w:val="24"/>
        </w:rPr>
        <w:t xml:space="preserve">kan der anvendes valganciclovir </w:t>
      </w:r>
      <w:r w:rsidRPr="00AC0D43">
        <w:rPr>
          <w:iCs/>
          <w:color w:val="000000"/>
          <w:sz w:val="24"/>
          <w:szCs w:val="24"/>
        </w:rPr>
        <w:t>pulver til oral opløsning, hvis det er tilgængeligt.</w:t>
      </w:r>
    </w:p>
    <w:p w:rsidR="00AC0D43" w:rsidRPr="00AC0D43" w:rsidRDefault="00AC0D43" w:rsidP="00AC0D43">
      <w:pPr>
        <w:shd w:val="clear" w:color="auto" w:fill="FFFFFF"/>
        <w:tabs>
          <w:tab w:val="left" w:pos="851"/>
        </w:tabs>
        <w:ind w:left="851"/>
        <w:rPr>
          <w:iCs/>
          <w:color w:val="000000"/>
          <w:sz w:val="24"/>
          <w:szCs w:val="24"/>
          <w:lang w:eastAsia="el-GR"/>
        </w:rPr>
      </w:pPr>
    </w:p>
    <w:p w:rsidR="00AC0D43" w:rsidRPr="00AC0D43" w:rsidRDefault="00AC0D43" w:rsidP="00AC0D43">
      <w:pPr>
        <w:shd w:val="clear" w:color="auto" w:fill="FFFFFF"/>
        <w:tabs>
          <w:tab w:val="left" w:pos="851"/>
        </w:tabs>
        <w:ind w:left="851"/>
        <w:rPr>
          <w:color w:val="000000"/>
          <w:sz w:val="24"/>
          <w:szCs w:val="24"/>
        </w:rPr>
      </w:pPr>
      <w:r w:rsidRPr="00AC0D43">
        <w:rPr>
          <w:i/>
          <w:iCs/>
          <w:color w:val="000000"/>
          <w:sz w:val="24"/>
          <w:szCs w:val="24"/>
        </w:rPr>
        <w:t xml:space="preserve">Sikkerhedsforanstaltninger, der skal tages før håndtering og administration af lægemidlet </w:t>
      </w:r>
    </w:p>
    <w:p w:rsidR="009260DE" w:rsidRPr="00B42034" w:rsidRDefault="00AC0D43" w:rsidP="00B42034">
      <w:pPr>
        <w:shd w:val="clear" w:color="auto" w:fill="FFFFFF"/>
        <w:tabs>
          <w:tab w:val="left" w:pos="851"/>
        </w:tabs>
        <w:ind w:left="851"/>
        <w:rPr>
          <w:color w:val="000000"/>
          <w:sz w:val="24"/>
          <w:szCs w:val="24"/>
        </w:rPr>
      </w:pPr>
      <w:r w:rsidRPr="00AC0D43">
        <w:rPr>
          <w:color w:val="000000"/>
          <w:sz w:val="24"/>
          <w:szCs w:val="24"/>
        </w:rPr>
        <w:t xml:space="preserve">Tabletterne bør ikke knækkes eller knuses. </w:t>
      </w:r>
      <w:r w:rsidRPr="00AC0D43">
        <w:rPr>
          <w:sz w:val="24"/>
          <w:szCs w:val="24"/>
        </w:rPr>
        <w:t>Da valganciclovir anses for at være potentielt teratogent og karcinogent hos mennesker, skal der iagttages forsigtighed ved håndtering af knækkede tabletter (se pkt. 4.4).</w:t>
      </w:r>
      <w:r w:rsidRPr="00AC0D43">
        <w:rPr>
          <w:color w:val="000000"/>
          <w:sz w:val="24"/>
          <w:szCs w:val="24"/>
        </w:rPr>
        <w:t xml:space="preserve"> Undgå, at knækkede eller knuste tabletter kommer i direkte kontakt med hud eller slimhinder. Hvis det sker, skal huden vaskes grundigt med sæbe og vand. Øjnene skylles grundigt med sterilt vand eller, hvis det ikke forefindes, med almindeligt 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847A1" w:rsidRPr="001847A1" w:rsidRDefault="001847A1" w:rsidP="001847A1">
      <w:pPr>
        <w:tabs>
          <w:tab w:val="left" w:pos="851"/>
        </w:tabs>
        <w:ind w:left="851"/>
        <w:rPr>
          <w:sz w:val="24"/>
          <w:szCs w:val="24"/>
        </w:rPr>
      </w:pPr>
      <w:r w:rsidRPr="001847A1">
        <w:rPr>
          <w:sz w:val="24"/>
          <w:szCs w:val="24"/>
        </w:rPr>
        <w:t>Valganciclovir "Medical Valley" er kontraindiceret til patienter med overfølsomhed over for valganciclovir, ganciclovir eller et eller flere af hjælpestofferne anført i pkt. 6.1.</w:t>
      </w:r>
    </w:p>
    <w:p w:rsidR="001847A1" w:rsidRPr="001847A1" w:rsidRDefault="001847A1" w:rsidP="001847A1">
      <w:pPr>
        <w:tabs>
          <w:tab w:val="left" w:pos="851"/>
        </w:tabs>
        <w:ind w:left="851"/>
        <w:rPr>
          <w:sz w:val="24"/>
          <w:szCs w:val="24"/>
        </w:rPr>
      </w:pPr>
    </w:p>
    <w:p w:rsidR="009260DE" w:rsidRPr="00C84483" w:rsidRDefault="001847A1" w:rsidP="00510975">
      <w:pPr>
        <w:tabs>
          <w:tab w:val="left" w:pos="851"/>
        </w:tabs>
        <w:ind w:left="851"/>
        <w:rPr>
          <w:sz w:val="24"/>
          <w:szCs w:val="24"/>
        </w:rPr>
      </w:pPr>
      <w:r w:rsidRPr="001847A1">
        <w:rPr>
          <w:sz w:val="24"/>
          <w:szCs w:val="24"/>
        </w:rPr>
        <w:t>Valganciclovir "Medical Valley" er kontraindiceret til ammende kvinder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10975" w:rsidRDefault="00510975" w:rsidP="001847A1">
      <w:pPr>
        <w:tabs>
          <w:tab w:val="left" w:pos="851"/>
        </w:tabs>
        <w:ind w:left="851"/>
        <w:rPr>
          <w:sz w:val="24"/>
          <w:szCs w:val="24"/>
          <w:u w:val="single"/>
        </w:rPr>
      </w:pPr>
    </w:p>
    <w:p w:rsidR="001847A1" w:rsidRPr="001847A1" w:rsidRDefault="001847A1" w:rsidP="001847A1">
      <w:pPr>
        <w:tabs>
          <w:tab w:val="left" w:pos="851"/>
        </w:tabs>
        <w:ind w:left="851"/>
        <w:rPr>
          <w:sz w:val="24"/>
          <w:szCs w:val="24"/>
          <w:u w:val="single"/>
        </w:rPr>
      </w:pPr>
      <w:r w:rsidRPr="001847A1">
        <w:rPr>
          <w:sz w:val="24"/>
          <w:szCs w:val="24"/>
          <w:u w:val="single"/>
        </w:rPr>
        <w:t>Kryds-hypersensitivitet</w:t>
      </w:r>
    </w:p>
    <w:p w:rsidR="001847A1" w:rsidRPr="001847A1" w:rsidRDefault="001847A1" w:rsidP="001847A1">
      <w:pPr>
        <w:tabs>
          <w:tab w:val="left" w:pos="851"/>
        </w:tabs>
        <w:ind w:left="851"/>
        <w:rPr>
          <w:sz w:val="24"/>
          <w:szCs w:val="24"/>
        </w:rPr>
      </w:pPr>
      <w:r w:rsidRPr="001847A1">
        <w:rPr>
          <w:sz w:val="24"/>
          <w:szCs w:val="24"/>
        </w:rPr>
        <w:t>På grund af ligheder i den kemiske struktur mellem ganciclovir og aciclovir og penciclovir er der mulighed for en kryds-hypersensitivitetsreaktion mellem disse stoffer. Der skal derfor udvises forsigtighed ved ordination af Valganciclovir "Medical Valley" hos patienter med kendt overfølsomhed over for aciclovir eller penciclovir (eller over for disses prodrugs, hhv. valaciclovir og famciclovir).</w:t>
      </w:r>
    </w:p>
    <w:p w:rsidR="001847A1" w:rsidRPr="001847A1" w:rsidRDefault="001847A1" w:rsidP="001847A1">
      <w:pPr>
        <w:shd w:val="clear" w:color="auto" w:fill="FFFFFF"/>
        <w:tabs>
          <w:tab w:val="left" w:pos="851"/>
        </w:tabs>
        <w:ind w:left="851"/>
        <w:rPr>
          <w:color w:val="000000"/>
          <w:sz w:val="24"/>
          <w:szCs w:val="24"/>
          <w:lang w:eastAsia="el-GR"/>
        </w:rPr>
      </w:pPr>
    </w:p>
    <w:p w:rsidR="001847A1" w:rsidRPr="001847A1" w:rsidRDefault="001847A1" w:rsidP="001847A1">
      <w:pPr>
        <w:shd w:val="clear" w:color="auto" w:fill="FFFFFF"/>
        <w:tabs>
          <w:tab w:val="left" w:pos="851"/>
        </w:tabs>
        <w:ind w:left="851"/>
        <w:rPr>
          <w:color w:val="000000"/>
          <w:sz w:val="24"/>
          <w:szCs w:val="24"/>
          <w:u w:val="single"/>
        </w:rPr>
      </w:pPr>
      <w:r w:rsidRPr="001847A1">
        <w:rPr>
          <w:color w:val="000000"/>
          <w:sz w:val="24"/>
          <w:szCs w:val="24"/>
          <w:u w:val="single"/>
        </w:rPr>
        <w:t>Mutagenicitet, teratogenicitet, karcinogenicitet, fertilitet og prævention</w:t>
      </w:r>
    </w:p>
    <w:p w:rsidR="001847A1" w:rsidRPr="001847A1" w:rsidRDefault="001847A1" w:rsidP="001847A1">
      <w:pPr>
        <w:shd w:val="clear" w:color="auto" w:fill="FFFFFF"/>
        <w:tabs>
          <w:tab w:val="left" w:pos="851"/>
        </w:tabs>
        <w:ind w:left="851"/>
        <w:rPr>
          <w:color w:val="000000"/>
          <w:sz w:val="24"/>
          <w:szCs w:val="24"/>
        </w:rPr>
      </w:pPr>
      <w:r w:rsidRPr="001847A1">
        <w:rPr>
          <w:color w:val="000000"/>
          <w:sz w:val="24"/>
          <w:szCs w:val="24"/>
        </w:rPr>
        <w:t xml:space="preserve">Før påbegyndelse af behandling med valganciclovir skal patienter informeres om de mulige risici for fostret. I dyreforsøg var ganciclovir mutagent, teratogent, karcinogent og fertilitetshæmmende. </w:t>
      </w:r>
      <w:r w:rsidRPr="001847A1">
        <w:rPr>
          <w:sz w:val="24"/>
          <w:szCs w:val="24"/>
        </w:rPr>
        <w:t>Valganciclovir skal derfor betragtes som potentielt teratogent og karcinogent hos mennesker med mulighed for at forårsage fødselsskader og cancer (se pkt. 5.3).</w:t>
      </w:r>
      <w:r w:rsidRPr="001847A1">
        <w:rPr>
          <w:color w:val="000000"/>
          <w:sz w:val="24"/>
          <w:szCs w:val="24"/>
        </w:rPr>
        <w:t xml:space="preserve"> </w:t>
      </w:r>
      <w:r w:rsidRPr="001847A1">
        <w:rPr>
          <w:sz w:val="24"/>
          <w:szCs w:val="24"/>
        </w:rPr>
        <w:t>Baseret på kliniske og prækliniske studier anses det også for sandsynligt, at valganciclovir kan forårsage midlertidig eller permanent hæmning af spermatogenesen.</w:t>
      </w:r>
      <w:r w:rsidRPr="001847A1">
        <w:rPr>
          <w:color w:val="000000"/>
          <w:sz w:val="24"/>
          <w:szCs w:val="24"/>
        </w:rPr>
        <w:t xml:space="preserve"> Fertile kvinder skal rådes til at anvende sikker prævention under behandlingen og i mindst 30 dage efter behandlingen. Mænd skal tilrådes at anvende kondom under behandlingen og i mindst 90 dage efter behandlingen, medmindre det er sikkert, at der ikke er risiko for, at den kvindelige partner bliver gravid (se pkt. 4.6, 4.8 og 5.3).</w:t>
      </w:r>
    </w:p>
    <w:p w:rsidR="001847A1" w:rsidRPr="001847A1" w:rsidRDefault="001847A1" w:rsidP="001847A1">
      <w:pPr>
        <w:shd w:val="clear" w:color="auto" w:fill="FFFFFF"/>
        <w:tabs>
          <w:tab w:val="left" w:pos="851"/>
        </w:tabs>
        <w:ind w:left="851"/>
        <w:rPr>
          <w:color w:val="000000"/>
          <w:sz w:val="24"/>
          <w:szCs w:val="24"/>
          <w:lang w:eastAsia="el-GR"/>
        </w:rPr>
      </w:pPr>
    </w:p>
    <w:p w:rsidR="001847A1" w:rsidRPr="001847A1" w:rsidRDefault="001847A1" w:rsidP="001847A1">
      <w:pPr>
        <w:shd w:val="clear" w:color="auto" w:fill="FFFFFF"/>
        <w:tabs>
          <w:tab w:val="left" w:pos="851"/>
        </w:tabs>
        <w:ind w:left="851"/>
        <w:rPr>
          <w:color w:val="000000"/>
          <w:sz w:val="24"/>
          <w:szCs w:val="24"/>
        </w:rPr>
      </w:pPr>
      <w:r w:rsidRPr="001847A1">
        <w:rPr>
          <w:color w:val="000000"/>
          <w:sz w:val="24"/>
          <w:szCs w:val="24"/>
        </w:rPr>
        <w:t>Valganciclovir kan potentielt forårsage karcinogenicitet og reproduktionstoksicitet på lang sigt.</w:t>
      </w:r>
    </w:p>
    <w:p w:rsidR="00510975" w:rsidRDefault="00510975">
      <w:pPr>
        <w:rPr>
          <w:color w:val="000000"/>
          <w:sz w:val="24"/>
          <w:szCs w:val="24"/>
          <w:lang w:eastAsia="el-GR"/>
        </w:rPr>
      </w:pPr>
      <w:r>
        <w:rPr>
          <w:color w:val="000000"/>
          <w:sz w:val="24"/>
          <w:szCs w:val="24"/>
          <w:lang w:eastAsia="el-GR"/>
        </w:rPr>
        <w:br w:type="page"/>
      </w:r>
    </w:p>
    <w:p w:rsidR="001847A1" w:rsidRPr="001847A1" w:rsidRDefault="001847A1" w:rsidP="001847A1">
      <w:pPr>
        <w:shd w:val="clear" w:color="auto" w:fill="FFFFFF"/>
        <w:tabs>
          <w:tab w:val="left" w:pos="851"/>
        </w:tabs>
        <w:ind w:left="851"/>
        <w:rPr>
          <w:color w:val="000000"/>
          <w:sz w:val="24"/>
          <w:szCs w:val="24"/>
          <w:lang w:eastAsia="el-GR"/>
        </w:rPr>
      </w:pPr>
    </w:p>
    <w:p w:rsidR="001847A1" w:rsidRPr="001847A1" w:rsidRDefault="001847A1" w:rsidP="001847A1">
      <w:pPr>
        <w:shd w:val="clear" w:color="auto" w:fill="FFFFFF"/>
        <w:tabs>
          <w:tab w:val="left" w:pos="851"/>
        </w:tabs>
        <w:ind w:left="851"/>
        <w:rPr>
          <w:color w:val="000000"/>
          <w:sz w:val="24"/>
          <w:szCs w:val="24"/>
          <w:u w:val="single"/>
        </w:rPr>
      </w:pPr>
      <w:r w:rsidRPr="001847A1">
        <w:rPr>
          <w:color w:val="000000"/>
          <w:sz w:val="24"/>
          <w:szCs w:val="24"/>
          <w:u w:val="single"/>
        </w:rPr>
        <w:t>Myelosuppression</w:t>
      </w:r>
    </w:p>
    <w:p w:rsidR="001847A1" w:rsidRPr="001847A1" w:rsidRDefault="001847A1" w:rsidP="001847A1">
      <w:pPr>
        <w:shd w:val="clear" w:color="auto" w:fill="FFFFFF"/>
        <w:tabs>
          <w:tab w:val="left" w:pos="851"/>
        </w:tabs>
        <w:ind w:left="851"/>
        <w:rPr>
          <w:color w:val="000000"/>
          <w:sz w:val="24"/>
          <w:szCs w:val="24"/>
        </w:rPr>
      </w:pPr>
      <w:r w:rsidRPr="001847A1">
        <w:rPr>
          <w:sz w:val="24"/>
          <w:szCs w:val="24"/>
        </w:rPr>
        <w:t>Der er observeret svær leukopeni, neutropeni, anæmi, trombocytopeni, pancytopeni, knoglemarvssuppression og aplastisk anæmi hos patienter, som er blevet behandlet med valganciclovir (og ganciclovir).</w:t>
      </w:r>
      <w:r w:rsidRPr="001847A1">
        <w:rPr>
          <w:color w:val="000000"/>
          <w:sz w:val="24"/>
          <w:szCs w:val="24"/>
        </w:rPr>
        <w:t xml:space="preserve"> Behandling bør ikke påbegyndes, hvis det absolutte neutrofiltal er mindre end 500 celler/μl, hvis trombocyttallet er mindre end 25.000/μl, eller hæmoglobin er under 8 g/dl (se pkt. 4.2 og 4.8).</w:t>
      </w:r>
    </w:p>
    <w:p w:rsidR="001847A1" w:rsidRPr="001847A1" w:rsidRDefault="001847A1" w:rsidP="001847A1">
      <w:pPr>
        <w:shd w:val="clear" w:color="auto" w:fill="FFFFFF"/>
        <w:tabs>
          <w:tab w:val="left" w:pos="851"/>
        </w:tabs>
        <w:ind w:left="851"/>
        <w:rPr>
          <w:color w:val="000000"/>
          <w:sz w:val="24"/>
          <w:szCs w:val="24"/>
          <w:lang w:eastAsia="el-GR"/>
        </w:rPr>
      </w:pPr>
    </w:p>
    <w:p w:rsidR="001847A1" w:rsidRPr="001847A1" w:rsidRDefault="001847A1" w:rsidP="001847A1">
      <w:pPr>
        <w:shd w:val="clear" w:color="auto" w:fill="FFFFFF"/>
        <w:tabs>
          <w:tab w:val="left" w:pos="851"/>
        </w:tabs>
        <w:ind w:left="851"/>
        <w:rPr>
          <w:color w:val="000000"/>
          <w:sz w:val="24"/>
          <w:szCs w:val="24"/>
        </w:rPr>
      </w:pPr>
      <w:r w:rsidRPr="001847A1">
        <w:rPr>
          <w:color w:val="000000"/>
          <w:sz w:val="24"/>
          <w:szCs w:val="24"/>
        </w:rPr>
        <w:t>Hvis forebyggelsen forlænges ud over 100 dage, skal der tages højde for den potentielle risiko for at udvikle leukopeni og neutropeni (se pkt. 4.2, 4.8 og 5.1).</w:t>
      </w:r>
    </w:p>
    <w:p w:rsidR="001847A1" w:rsidRPr="001847A1" w:rsidRDefault="001847A1" w:rsidP="001847A1">
      <w:pPr>
        <w:shd w:val="clear" w:color="auto" w:fill="FFFFFF"/>
        <w:tabs>
          <w:tab w:val="left" w:pos="851"/>
        </w:tabs>
        <w:ind w:left="851"/>
        <w:rPr>
          <w:color w:val="000000"/>
          <w:sz w:val="24"/>
          <w:szCs w:val="24"/>
          <w:lang w:eastAsia="el-GR"/>
        </w:rPr>
      </w:pPr>
    </w:p>
    <w:p w:rsidR="001847A1" w:rsidRPr="001847A1" w:rsidRDefault="001847A1" w:rsidP="001847A1">
      <w:pPr>
        <w:shd w:val="clear" w:color="auto" w:fill="FFFFFF"/>
        <w:tabs>
          <w:tab w:val="left" w:pos="851"/>
        </w:tabs>
        <w:ind w:left="851"/>
        <w:rPr>
          <w:color w:val="000000"/>
          <w:sz w:val="24"/>
          <w:szCs w:val="24"/>
        </w:rPr>
      </w:pPr>
      <w:r w:rsidRPr="001847A1">
        <w:rPr>
          <w:sz w:val="24"/>
          <w:szCs w:val="24"/>
        </w:rPr>
        <w:t>Valganciclovir bør anvendes med forsigtighed til patienter med tidligere hæmatologisk cytopeni eller lægemiddelrelateret hæmatologisk cytopeni i anamnesen og til patienter, som får strålebehandling.</w:t>
      </w:r>
      <w:r w:rsidRPr="001847A1">
        <w:rPr>
          <w:color w:val="000000"/>
          <w:sz w:val="24"/>
          <w:szCs w:val="24"/>
        </w:rPr>
        <w:t xml:space="preserve"> </w:t>
      </w:r>
    </w:p>
    <w:p w:rsidR="001847A1" w:rsidRPr="001847A1" w:rsidRDefault="001847A1" w:rsidP="001847A1">
      <w:pPr>
        <w:shd w:val="clear" w:color="auto" w:fill="FFFFFF"/>
        <w:tabs>
          <w:tab w:val="left" w:pos="851"/>
        </w:tabs>
        <w:ind w:left="851"/>
        <w:rPr>
          <w:color w:val="000000"/>
          <w:sz w:val="24"/>
          <w:szCs w:val="24"/>
          <w:lang w:eastAsia="el-GR"/>
        </w:rPr>
      </w:pPr>
    </w:p>
    <w:p w:rsidR="001847A1" w:rsidRPr="001847A1" w:rsidRDefault="001847A1" w:rsidP="001847A1">
      <w:pPr>
        <w:shd w:val="clear" w:color="auto" w:fill="FFFFFF"/>
        <w:tabs>
          <w:tab w:val="left" w:pos="851"/>
        </w:tabs>
        <w:ind w:left="851"/>
        <w:rPr>
          <w:color w:val="000000"/>
          <w:sz w:val="24"/>
          <w:szCs w:val="24"/>
        </w:rPr>
      </w:pPr>
      <w:r w:rsidRPr="001847A1">
        <w:rPr>
          <w:color w:val="000000"/>
          <w:sz w:val="24"/>
          <w:szCs w:val="24"/>
        </w:rPr>
        <w:t>Det anbefales, at alle blodtal og trombocyttallet monitoreres regelmæssigt under behandlingen. Det kan være nødvendigt med øget hæmatologisk kontrol hos patienter med nedsat nyrefunktion og pædiatriske patienter, som minimum hver gang patienten kommer på transplantationsafsnittet. Hos patienter, som udvikler svær leukopeni, neutropeni, anæmi og/eller trombocytopeni, anbefales det at overveje behandling med hæmatopoietiske vækstfaktorer og/eller at afbryde behandlingen (se pkt. 4.2).</w:t>
      </w:r>
    </w:p>
    <w:p w:rsidR="001847A1" w:rsidRPr="001847A1" w:rsidRDefault="001847A1" w:rsidP="001847A1">
      <w:pPr>
        <w:shd w:val="clear" w:color="auto" w:fill="FFFFFF"/>
        <w:tabs>
          <w:tab w:val="left" w:pos="851"/>
        </w:tabs>
        <w:ind w:left="851"/>
        <w:rPr>
          <w:color w:val="000000"/>
          <w:sz w:val="24"/>
          <w:szCs w:val="24"/>
          <w:lang w:eastAsia="el-GR"/>
        </w:rPr>
      </w:pPr>
    </w:p>
    <w:p w:rsidR="001847A1" w:rsidRPr="001847A1" w:rsidRDefault="001847A1" w:rsidP="001847A1">
      <w:pPr>
        <w:shd w:val="clear" w:color="auto" w:fill="FFFFFF"/>
        <w:tabs>
          <w:tab w:val="left" w:pos="851"/>
        </w:tabs>
        <w:ind w:left="851"/>
        <w:rPr>
          <w:color w:val="000000"/>
          <w:sz w:val="24"/>
          <w:szCs w:val="24"/>
          <w:u w:val="single"/>
        </w:rPr>
      </w:pPr>
      <w:r w:rsidRPr="001847A1">
        <w:rPr>
          <w:color w:val="000000"/>
          <w:sz w:val="24"/>
          <w:szCs w:val="24"/>
          <w:u w:val="single"/>
        </w:rPr>
        <w:t>Forskel i biotilgængeligheden af oral ganciclovir</w:t>
      </w:r>
    </w:p>
    <w:p w:rsidR="001847A1" w:rsidRPr="001847A1" w:rsidRDefault="001847A1" w:rsidP="001847A1">
      <w:pPr>
        <w:shd w:val="clear" w:color="auto" w:fill="FFFFFF"/>
        <w:tabs>
          <w:tab w:val="left" w:pos="851"/>
        </w:tabs>
        <w:ind w:left="851"/>
        <w:rPr>
          <w:color w:val="000000"/>
          <w:sz w:val="24"/>
          <w:szCs w:val="24"/>
        </w:rPr>
      </w:pPr>
      <w:r w:rsidRPr="001847A1">
        <w:rPr>
          <w:color w:val="000000"/>
          <w:sz w:val="24"/>
          <w:szCs w:val="24"/>
        </w:rPr>
        <w:t xml:space="preserve">Biotilgængeligheden af ganciclovir efter en enkeltdosis på 900 mg valganciclovir er ca. 60 %, sammenlignet med ca. 6 % efter administration af 1.000 mg oral ganciclovir (som kapsler). Overdreven eksponering for ganciclovir kan være forbundet med livstruende bivirkninger. </w:t>
      </w:r>
      <w:r w:rsidRPr="001847A1">
        <w:rPr>
          <w:sz w:val="24"/>
          <w:szCs w:val="24"/>
        </w:rPr>
        <w:t>Derfor tilrådes det at overholde dosisrekommendationerne nøje, især når behandlingen påbegyndes, når der skiftes fra induktionsbehandling til vedligeholdelsesbehandling, og når patienter skifter fra oral ganciclovir til valganciclovir, da valganciclovir ikke kan substituere ganciclovirkapsler på en en-til-en basis.</w:t>
      </w:r>
      <w:r w:rsidRPr="001847A1">
        <w:rPr>
          <w:color w:val="000000"/>
          <w:sz w:val="24"/>
          <w:szCs w:val="24"/>
        </w:rPr>
        <w:t xml:space="preserve"> </w:t>
      </w:r>
      <w:r w:rsidRPr="001847A1">
        <w:rPr>
          <w:sz w:val="24"/>
          <w:szCs w:val="24"/>
        </w:rPr>
        <w:t>Patienter, som skifter fra ganciclovirkapsler, skal oplyses om risikoen for overdosering, hvis de tager flere Valganciclovir "Medical Valley"</w:t>
      </w:r>
      <w:r w:rsidR="00510975">
        <w:rPr>
          <w:sz w:val="24"/>
          <w:szCs w:val="24"/>
        </w:rPr>
        <w:t xml:space="preserve"> </w:t>
      </w:r>
      <w:r w:rsidRPr="001847A1">
        <w:rPr>
          <w:sz w:val="24"/>
          <w:szCs w:val="24"/>
        </w:rPr>
        <w:t>tabletter end foreskrevet (se pkt. 4.2 og 4.9).</w:t>
      </w:r>
      <w:r w:rsidRPr="001847A1">
        <w:rPr>
          <w:color w:val="000000"/>
          <w:sz w:val="24"/>
          <w:szCs w:val="24"/>
        </w:rPr>
        <w:t xml:space="preserve"> </w:t>
      </w:r>
    </w:p>
    <w:p w:rsidR="001847A1" w:rsidRPr="001847A1" w:rsidRDefault="001847A1" w:rsidP="001847A1">
      <w:pPr>
        <w:shd w:val="clear" w:color="auto" w:fill="FFFFFF"/>
        <w:tabs>
          <w:tab w:val="left" w:pos="851"/>
        </w:tabs>
        <w:ind w:left="851"/>
        <w:rPr>
          <w:color w:val="000000"/>
          <w:sz w:val="24"/>
          <w:szCs w:val="24"/>
          <w:lang w:eastAsia="el-GR"/>
        </w:rPr>
      </w:pPr>
    </w:p>
    <w:p w:rsidR="001847A1" w:rsidRPr="001847A1" w:rsidRDefault="001847A1" w:rsidP="001847A1">
      <w:pPr>
        <w:shd w:val="clear" w:color="auto" w:fill="FFFFFF"/>
        <w:tabs>
          <w:tab w:val="left" w:pos="851"/>
        </w:tabs>
        <w:ind w:left="851"/>
        <w:rPr>
          <w:color w:val="000000"/>
          <w:sz w:val="24"/>
          <w:szCs w:val="24"/>
          <w:u w:val="single"/>
        </w:rPr>
      </w:pPr>
      <w:r w:rsidRPr="001847A1">
        <w:rPr>
          <w:color w:val="000000"/>
          <w:sz w:val="24"/>
          <w:szCs w:val="24"/>
          <w:u w:val="single"/>
        </w:rPr>
        <w:t>Nedsat nyrefunktion</w:t>
      </w:r>
    </w:p>
    <w:p w:rsidR="001847A1" w:rsidRPr="001847A1" w:rsidRDefault="001847A1" w:rsidP="001847A1">
      <w:pPr>
        <w:shd w:val="clear" w:color="auto" w:fill="FFFFFF"/>
        <w:tabs>
          <w:tab w:val="left" w:pos="851"/>
        </w:tabs>
        <w:ind w:left="851"/>
        <w:rPr>
          <w:color w:val="000000"/>
          <w:sz w:val="24"/>
          <w:szCs w:val="24"/>
        </w:rPr>
      </w:pPr>
      <w:r w:rsidRPr="001847A1">
        <w:rPr>
          <w:color w:val="000000"/>
          <w:sz w:val="24"/>
          <w:szCs w:val="24"/>
        </w:rPr>
        <w:t>Hos patienter med nedsat nyrefunktion er dosisjustering baseret på kreatininclearance påkrævet (se pkt. 4.2 og 5.2).</w:t>
      </w:r>
    </w:p>
    <w:p w:rsidR="001847A1" w:rsidRPr="001847A1" w:rsidRDefault="001847A1" w:rsidP="001847A1">
      <w:pPr>
        <w:shd w:val="clear" w:color="auto" w:fill="FFFFFF"/>
        <w:tabs>
          <w:tab w:val="left" w:pos="851"/>
        </w:tabs>
        <w:ind w:left="851"/>
        <w:rPr>
          <w:color w:val="000000"/>
          <w:sz w:val="24"/>
          <w:szCs w:val="24"/>
          <w:lang w:eastAsia="el-GR"/>
        </w:rPr>
      </w:pPr>
    </w:p>
    <w:p w:rsidR="001847A1" w:rsidRPr="001847A1" w:rsidRDefault="001847A1" w:rsidP="001847A1">
      <w:pPr>
        <w:shd w:val="clear" w:color="auto" w:fill="FFFFFF"/>
        <w:tabs>
          <w:tab w:val="left" w:pos="851"/>
        </w:tabs>
        <w:ind w:left="851"/>
        <w:rPr>
          <w:color w:val="000000"/>
          <w:sz w:val="24"/>
          <w:szCs w:val="24"/>
        </w:rPr>
      </w:pPr>
      <w:r w:rsidRPr="001847A1">
        <w:rPr>
          <w:sz w:val="24"/>
          <w:szCs w:val="24"/>
        </w:rPr>
        <w:t>Valganciclovir "Medical Valley" filmovertrukne tabletter bør ikke anvendes til patienter i hæmodialyse (se pkt. 4.2 og 5.2).</w:t>
      </w:r>
    </w:p>
    <w:p w:rsidR="001847A1" w:rsidRPr="001847A1" w:rsidRDefault="001847A1" w:rsidP="001847A1">
      <w:pPr>
        <w:shd w:val="clear" w:color="auto" w:fill="FFFFFF"/>
        <w:tabs>
          <w:tab w:val="left" w:pos="851"/>
        </w:tabs>
        <w:ind w:left="851"/>
        <w:rPr>
          <w:color w:val="000000"/>
          <w:sz w:val="24"/>
          <w:szCs w:val="24"/>
          <w:lang w:eastAsia="el-GR"/>
        </w:rPr>
      </w:pPr>
    </w:p>
    <w:p w:rsidR="001847A1" w:rsidRPr="001847A1" w:rsidRDefault="001847A1" w:rsidP="001847A1">
      <w:pPr>
        <w:shd w:val="clear" w:color="auto" w:fill="FFFFFF"/>
        <w:tabs>
          <w:tab w:val="left" w:pos="851"/>
        </w:tabs>
        <w:ind w:left="851"/>
        <w:rPr>
          <w:color w:val="000000"/>
          <w:sz w:val="24"/>
          <w:szCs w:val="24"/>
          <w:u w:val="single"/>
        </w:rPr>
      </w:pPr>
      <w:r w:rsidRPr="001847A1">
        <w:rPr>
          <w:color w:val="000000"/>
          <w:sz w:val="24"/>
          <w:szCs w:val="24"/>
          <w:u w:val="single"/>
        </w:rPr>
        <w:t>Samtidig brug af andre lægemidler</w:t>
      </w:r>
    </w:p>
    <w:p w:rsidR="001847A1" w:rsidRPr="001847A1" w:rsidRDefault="001847A1" w:rsidP="001847A1">
      <w:pPr>
        <w:shd w:val="clear" w:color="auto" w:fill="FFFFFF"/>
        <w:tabs>
          <w:tab w:val="left" w:pos="851"/>
        </w:tabs>
        <w:ind w:left="851"/>
        <w:rPr>
          <w:color w:val="000000"/>
          <w:sz w:val="24"/>
          <w:szCs w:val="24"/>
        </w:rPr>
      </w:pPr>
      <w:r w:rsidRPr="001847A1">
        <w:rPr>
          <w:color w:val="000000"/>
          <w:sz w:val="24"/>
          <w:szCs w:val="24"/>
        </w:rPr>
        <w:t>Der er beskrevet kramper hos patienter, som tog imipenem-cilastatin og ganciclovir. Valganciclovir "Medical Valley" bør ikke gives samtidigt med imipenem-cilastatin, medmindre de potentielle fordele opvejer de potentielle risici (se pkt. 4.5).</w:t>
      </w:r>
    </w:p>
    <w:p w:rsidR="001847A1" w:rsidRPr="001847A1" w:rsidRDefault="001847A1" w:rsidP="001847A1">
      <w:pPr>
        <w:shd w:val="clear" w:color="auto" w:fill="FFFFFF"/>
        <w:tabs>
          <w:tab w:val="left" w:pos="851"/>
        </w:tabs>
        <w:ind w:left="851"/>
        <w:rPr>
          <w:color w:val="000000"/>
          <w:sz w:val="24"/>
          <w:szCs w:val="24"/>
          <w:lang w:eastAsia="el-GR"/>
        </w:rPr>
      </w:pPr>
    </w:p>
    <w:p w:rsidR="001847A1" w:rsidRPr="001847A1" w:rsidRDefault="001847A1" w:rsidP="001847A1">
      <w:pPr>
        <w:shd w:val="clear" w:color="auto" w:fill="FFFFFF"/>
        <w:tabs>
          <w:tab w:val="left" w:pos="851"/>
        </w:tabs>
        <w:ind w:left="851"/>
        <w:rPr>
          <w:color w:val="000000"/>
          <w:sz w:val="24"/>
          <w:szCs w:val="24"/>
        </w:rPr>
      </w:pPr>
      <w:r w:rsidRPr="001847A1">
        <w:rPr>
          <w:sz w:val="24"/>
          <w:szCs w:val="24"/>
        </w:rPr>
        <w:t>Patienter, som behandles med valganciclovir og a) didanosin, b) andre lægemidler, som er kendt for at være myelosuppressive (f.eks. zidovudin), eller c) stoffer, som påvirker nyrefunktionen, skal kontrolleres omhyggeligt for tegn på øget toksicitet (se pkt. 4.5).</w:t>
      </w:r>
    </w:p>
    <w:p w:rsidR="001847A1" w:rsidRPr="001847A1" w:rsidRDefault="001847A1" w:rsidP="001847A1">
      <w:pPr>
        <w:shd w:val="clear" w:color="auto" w:fill="FFFFFF"/>
        <w:tabs>
          <w:tab w:val="left" w:pos="851"/>
        </w:tabs>
        <w:ind w:left="851"/>
        <w:rPr>
          <w:color w:val="000000"/>
          <w:sz w:val="24"/>
          <w:szCs w:val="24"/>
          <w:lang w:eastAsia="el-GR"/>
        </w:rPr>
      </w:pPr>
    </w:p>
    <w:p w:rsidR="009260DE" w:rsidRPr="00510975" w:rsidRDefault="001847A1" w:rsidP="00510975">
      <w:pPr>
        <w:shd w:val="clear" w:color="auto" w:fill="FFFFFF"/>
        <w:tabs>
          <w:tab w:val="left" w:pos="851"/>
        </w:tabs>
        <w:ind w:left="851"/>
        <w:rPr>
          <w:color w:val="000000"/>
          <w:sz w:val="24"/>
          <w:szCs w:val="24"/>
        </w:rPr>
      </w:pPr>
      <w:r w:rsidRPr="001847A1">
        <w:rPr>
          <w:color w:val="000000"/>
          <w:sz w:val="24"/>
          <w:szCs w:val="24"/>
        </w:rPr>
        <w:t xml:space="preserve">Det kontrollerede kliniske studie med anvendelse af valganciclovir til profylaktisk behandling af CMV-sygdom ved transplantationer, som beskrevet i pkt. 5.1, inkluderede </w:t>
      </w:r>
      <w:r w:rsidRPr="001847A1">
        <w:rPr>
          <w:color w:val="000000"/>
          <w:sz w:val="24"/>
          <w:szCs w:val="24"/>
        </w:rPr>
        <w:lastRenderedPageBreak/>
        <w:t>ikke lunge- og intestinaltransplanterede patienter. Erfaringerne hos disse transplanterede patienter er derfor begrænsede.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706C3" w:rsidRDefault="00F706C3" w:rsidP="001847A1">
      <w:pPr>
        <w:tabs>
          <w:tab w:val="left" w:pos="851"/>
        </w:tabs>
        <w:ind w:left="851"/>
        <w:rPr>
          <w:sz w:val="24"/>
          <w:szCs w:val="24"/>
          <w:u w:val="single"/>
        </w:rPr>
      </w:pPr>
    </w:p>
    <w:p w:rsidR="001847A1" w:rsidRPr="00BC4701" w:rsidRDefault="001847A1" w:rsidP="001847A1">
      <w:pPr>
        <w:tabs>
          <w:tab w:val="left" w:pos="851"/>
        </w:tabs>
        <w:ind w:left="851"/>
        <w:rPr>
          <w:b/>
          <w:sz w:val="24"/>
          <w:szCs w:val="24"/>
        </w:rPr>
      </w:pPr>
      <w:r w:rsidRPr="00BC4701">
        <w:rPr>
          <w:b/>
          <w:sz w:val="24"/>
          <w:szCs w:val="24"/>
        </w:rPr>
        <w:t>Lægemiddelinteraktioner med valganciclovir</w:t>
      </w:r>
    </w:p>
    <w:p w:rsidR="001847A1" w:rsidRPr="001847A1" w:rsidRDefault="001847A1" w:rsidP="001847A1">
      <w:pPr>
        <w:tabs>
          <w:tab w:val="left" w:pos="851"/>
        </w:tabs>
        <w:ind w:left="851"/>
        <w:rPr>
          <w:sz w:val="24"/>
          <w:szCs w:val="24"/>
        </w:rPr>
      </w:pPr>
      <w:r w:rsidRPr="001847A1">
        <w:rPr>
          <w:sz w:val="24"/>
          <w:szCs w:val="24"/>
        </w:rPr>
        <w:t xml:space="preserve">Der er ikke udført </w:t>
      </w:r>
      <w:r w:rsidRPr="001847A1">
        <w:rPr>
          <w:i/>
          <w:sz w:val="24"/>
          <w:szCs w:val="24"/>
        </w:rPr>
        <w:t>in vivo-</w:t>
      </w:r>
      <w:r w:rsidRPr="001847A1">
        <w:rPr>
          <w:sz w:val="24"/>
          <w:szCs w:val="24"/>
        </w:rPr>
        <w:t>studier af lægemiddelinteraktioner med valganciclovir. Da valganciclovir metaboliseres ekstensivt og hurtigt til ganciclovir, kan der forventes de samme lægemiddelinteraktioner med valganciclovir som med ganciclovir.</w:t>
      </w:r>
    </w:p>
    <w:p w:rsidR="001847A1" w:rsidRPr="001847A1" w:rsidRDefault="001847A1" w:rsidP="001847A1">
      <w:pPr>
        <w:tabs>
          <w:tab w:val="left" w:pos="851"/>
        </w:tabs>
        <w:ind w:left="851"/>
        <w:rPr>
          <w:sz w:val="24"/>
          <w:szCs w:val="24"/>
        </w:rPr>
      </w:pPr>
    </w:p>
    <w:p w:rsidR="001847A1" w:rsidRPr="00BC4701" w:rsidRDefault="001847A1" w:rsidP="001847A1">
      <w:pPr>
        <w:tabs>
          <w:tab w:val="left" w:pos="851"/>
        </w:tabs>
        <w:ind w:left="851"/>
        <w:rPr>
          <w:b/>
          <w:sz w:val="24"/>
          <w:szCs w:val="24"/>
        </w:rPr>
      </w:pPr>
      <w:r w:rsidRPr="00BC4701">
        <w:rPr>
          <w:b/>
          <w:sz w:val="24"/>
          <w:szCs w:val="24"/>
        </w:rPr>
        <w:t>Lægemiddelinteraktioner med ganciclovir</w:t>
      </w:r>
    </w:p>
    <w:p w:rsidR="001847A1" w:rsidRPr="001847A1" w:rsidRDefault="001847A1" w:rsidP="001847A1">
      <w:pPr>
        <w:tabs>
          <w:tab w:val="left" w:pos="851"/>
        </w:tabs>
        <w:ind w:left="851"/>
        <w:rPr>
          <w:sz w:val="24"/>
          <w:szCs w:val="24"/>
          <w:u w:val="single"/>
        </w:rPr>
      </w:pPr>
    </w:p>
    <w:p w:rsidR="001847A1" w:rsidRPr="00BC4701" w:rsidRDefault="001847A1" w:rsidP="001847A1">
      <w:pPr>
        <w:tabs>
          <w:tab w:val="left" w:pos="851"/>
        </w:tabs>
        <w:ind w:left="851"/>
        <w:rPr>
          <w:sz w:val="24"/>
          <w:szCs w:val="24"/>
          <w:u w:val="single"/>
        </w:rPr>
      </w:pPr>
      <w:r w:rsidRPr="00BC4701">
        <w:rPr>
          <w:sz w:val="24"/>
          <w:szCs w:val="24"/>
          <w:u w:val="single"/>
        </w:rPr>
        <w:t>Farmakokinetiske interaktioner</w:t>
      </w:r>
    </w:p>
    <w:p w:rsidR="001847A1" w:rsidRPr="001847A1" w:rsidRDefault="001847A1" w:rsidP="001847A1">
      <w:pPr>
        <w:tabs>
          <w:tab w:val="left" w:pos="851"/>
        </w:tabs>
        <w:ind w:left="851"/>
        <w:rPr>
          <w:sz w:val="24"/>
          <w:szCs w:val="24"/>
        </w:rPr>
      </w:pPr>
    </w:p>
    <w:p w:rsidR="001847A1" w:rsidRPr="001847A1" w:rsidRDefault="001847A1" w:rsidP="001847A1">
      <w:pPr>
        <w:tabs>
          <w:tab w:val="left" w:pos="851"/>
        </w:tabs>
        <w:ind w:left="851"/>
        <w:rPr>
          <w:sz w:val="24"/>
          <w:szCs w:val="24"/>
        </w:rPr>
      </w:pPr>
      <w:r w:rsidRPr="001847A1">
        <w:rPr>
          <w:i/>
          <w:iCs/>
          <w:sz w:val="24"/>
          <w:szCs w:val="24"/>
        </w:rPr>
        <w:t>Probenecid</w:t>
      </w:r>
    </w:p>
    <w:p w:rsidR="001847A1" w:rsidRPr="001847A1" w:rsidRDefault="001847A1" w:rsidP="001847A1">
      <w:pPr>
        <w:tabs>
          <w:tab w:val="left" w:pos="851"/>
        </w:tabs>
        <w:ind w:left="851"/>
        <w:rPr>
          <w:sz w:val="24"/>
          <w:szCs w:val="24"/>
        </w:rPr>
      </w:pPr>
      <w:r w:rsidRPr="001847A1">
        <w:rPr>
          <w:sz w:val="24"/>
          <w:szCs w:val="24"/>
        </w:rPr>
        <w:t>Probenecid administreret sammen med oral ganciclovir medførte statistisk signifikant nedsat renal clearance af ganciclovir (20 %), som førte til statistisk signifikant forøget eksponering (40 %). Ændringerne var konsistente med en interaktionsmekanisme, som involverer konkurrence om den renale tubulære sekretion. Patienter, som tager probenecid og valganciclovir, skal derfor kontrolleres omhyggeligt for ganciclovir-toksicitet.</w:t>
      </w:r>
    </w:p>
    <w:p w:rsidR="001847A1" w:rsidRPr="001847A1" w:rsidRDefault="001847A1" w:rsidP="001847A1">
      <w:pPr>
        <w:tabs>
          <w:tab w:val="left" w:pos="851"/>
        </w:tabs>
        <w:ind w:left="851"/>
        <w:rPr>
          <w:i/>
          <w:iCs/>
          <w:sz w:val="24"/>
          <w:szCs w:val="24"/>
        </w:rPr>
      </w:pPr>
    </w:p>
    <w:p w:rsidR="001847A1" w:rsidRPr="001847A1" w:rsidRDefault="001847A1" w:rsidP="001847A1">
      <w:pPr>
        <w:tabs>
          <w:tab w:val="left" w:pos="851"/>
        </w:tabs>
        <w:ind w:left="851"/>
        <w:rPr>
          <w:sz w:val="24"/>
          <w:szCs w:val="24"/>
        </w:rPr>
      </w:pPr>
      <w:r w:rsidRPr="001847A1">
        <w:rPr>
          <w:i/>
          <w:iCs/>
          <w:sz w:val="24"/>
          <w:szCs w:val="24"/>
        </w:rPr>
        <w:t>Didanosin</w:t>
      </w:r>
    </w:p>
    <w:p w:rsidR="001847A1" w:rsidRPr="001847A1" w:rsidRDefault="001847A1" w:rsidP="001847A1">
      <w:pPr>
        <w:tabs>
          <w:tab w:val="left" w:pos="851"/>
        </w:tabs>
        <w:ind w:left="851"/>
        <w:rPr>
          <w:sz w:val="24"/>
          <w:szCs w:val="24"/>
        </w:rPr>
      </w:pPr>
      <w:r w:rsidRPr="001847A1">
        <w:rPr>
          <w:sz w:val="24"/>
          <w:szCs w:val="24"/>
        </w:rPr>
        <w:t>Når didanosin blev givet sammen med i.v. ganciclovir, var plasmakoncentrationerne af didanosin konstant forhøjede. Efter intravenøse doser på 5 og 10 mg/kg/dag sås der en stigning i didanosins AUC fra 38 til 67 %, hvilket bekræfter en farmakokinetisk interaktion ved samtidig administration af disse lægemidler. Der var ingen signifikant indvirkning på ganciclovir-koncentrationerne. Patienterne bør kontrolleres omhyggeligt for didanosin-toksicitet, f.eks. pancreatitis (se pkt. 4.4).</w:t>
      </w:r>
    </w:p>
    <w:p w:rsidR="001847A1" w:rsidRPr="001847A1" w:rsidRDefault="001847A1" w:rsidP="001847A1">
      <w:pPr>
        <w:tabs>
          <w:tab w:val="left" w:pos="851"/>
        </w:tabs>
        <w:ind w:left="851"/>
        <w:rPr>
          <w:sz w:val="24"/>
          <w:szCs w:val="24"/>
        </w:rPr>
      </w:pPr>
    </w:p>
    <w:p w:rsidR="001847A1" w:rsidRPr="001847A1" w:rsidRDefault="001847A1" w:rsidP="001847A1">
      <w:pPr>
        <w:tabs>
          <w:tab w:val="left" w:pos="851"/>
        </w:tabs>
        <w:ind w:left="851"/>
        <w:rPr>
          <w:i/>
          <w:sz w:val="24"/>
          <w:szCs w:val="24"/>
        </w:rPr>
      </w:pPr>
      <w:r w:rsidRPr="001847A1">
        <w:rPr>
          <w:i/>
          <w:sz w:val="24"/>
          <w:szCs w:val="24"/>
        </w:rPr>
        <w:t>Andre antiretrovirale lægemidler</w:t>
      </w:r>
    </w:p>
    <w:p w:rsidR="001847A1" w:rsidRPr="001847A1" w:rsidRDefault="001847A1" w:rsidP="001847A1">
      <w:pPr>
        <w:tabs>
          <w:tab w:val="left" w:pos="851"/>
        </w:tabs>
        <w:ind w:left="851"/>
        <w:rPr>
          <w:sz w:val="24"/>
          <w:szCs w:val="24"/>
        </w:rPr>
      </w:pPr>
      <w:r w:rsidRPr="001847A1">
        <w:rPr>
          <w:sz w:val="24"/>
          <w:szCs w:val="24"/>
        </w:rPr>
        <w:t>Cytochrom P450-isoenzymerne er ikke involveret i ganciclovirs farmakokinetik. Der forventes derfor ingen farmakokinetiske interaktioner med proteasehæmmere og non-nukleosid revers transkriptasehæmmere.</w:t>
      </w:r>
    </w:p>
    <w:p w:rsidR="001847A1" w:rsidRPr="001847A1" w:rsidRDefault="001847A1" w:rsidP="001847A1">
      <w:pPr>
        <w:tabs>
          <w:tab w:val="left" w:pos="851"/>
        </w:tabs>
        <w:ind w:left="851"/>
        <w:rPr>
          <w:sz w:val="24"/>
          <w:szCs w:val="24"/>
        </w:rPr>
      </w:pPr>
    </w:p>
    <w:p w:rsidR="001847A1" w:rsidRPr="00BC4701" w:rsidRDefault="001847A1" w:rsidP="001847A1">
      <w:pPr>
        <w:tabs>
          <w:tab w:val="left" w:pos="851"/>
        </w:tabs>
        <w:ind w:left="851"/>
        <w:rPr>
          <w:sz w:val="24"/>
          <w:szCs w:val="24"/>
          <w:u w:val="single"/>
        </w:rPr>
      </w:pPr>
      <w:r w:rsidRPr="00BC4701">
        <w:rPr>
          <w:sz w:val="24"/>
          <w:szCs w:val="24"/>
          <w:u w:val="single"/>
        </w:rPr>
        <w:t>Farmakodynamiske interaktioner</w:t>
      </w:r>
    </w:p>
    <w:p w:rsidR="001847A1" w:rsidRPr="001847A1" w:rsidRDefault="001847A1" w:rsidP="001847A1">
      <w:pPr>
        <w:tabs>
          <w:tab w:val="left" w:pos="851"/>
        </w:tabs>
        <w:ind w:left="851"/>
        <w:rPr>
          <w:sz w:val="24"/>
          <w:szCs w:val="24"/>
        </w:rPr>
      </w:pPr>
    </w:p>
    <w:p w:rsidR="001847A1" w:rsidRPr="001847A1" w:rsidRDefault="001847A1" w:rsidP="001847A1">
      <w:pPr>
        <w:tabs>
          <w:tab w:val="left" w:pos="851"/>
        </w:tabs>
        <w:ind w:left="851"/>
        <w:rPr>
          <w:sz w:val="24"/>
          <w:szCs w:val="24"/>
        </w:rPr>
      </w:pPr>
      <w:r w:rsidRPr="001847A1">
        <w:rPr>
          <w:i/>
          <w:iCs/>
          <w:sz w:val="24"/>
          <w:szCs w:val="24"/>
        </w:rPr>
        <w:t>Imipenem-cilastatin</w:t>
      </w:r>
    </w:p>
    <w:p w:rsidR="001847A1" w:rsidRPr="001847A1" w:rsidRDefault="001847A1" w:rsidP="001847A1">
      <w:pPr>
        <w:tabs>
          <w:tab w:val="left" w:pos="851"/>
        </w:tabs>
        <w:ind w:left="851"/>
        <w:rPr>
          <w:sz w:val="24"/>
          <w:szCs w:val="24"/>
        </w:rPr>
      </w:pPr>
      <w:r w:rsidRPr="001847A1">
        <w:rPr>
          <w:sz w:val="24"/>
          <w:szCs w:val="24"/>
        </w:rPr>
        <w:t>Der er rapporteret om kramper hos patienter, der tog ganciclovir og imipenem-cilastatin samtidig, og det kan ikke udelukkes, at der er en farmakodynamisk interaktion mellem disse to lægemidler. Disse lægemidler må ikke gives samtidigt, medmindre den potentielle fordel opvejer de potentielle risici (se pkt. 4.4).</w:t>
      </w:r>
    </w:p>
    <w:p w:rsidR="001847A1" w:rsidRPr="001847A1" w:rsidRDefault="001847A1" w:rsidP="001847A1">
      <w:pPr>
        <w:tabs>
          <w:tab w:val="left" w:pos="851"/>
        </w:tabs>
        <w:ind w:left="851"/>
        <w:rPr>
          <w:sz w:val="24"/>
          <w:szCs w:val="24"/>
        </w:rPr>
      </w:pPr>
    </w:p>
    <w:p w:rsidR="001847A1" w:rsidRPr="001847A1" w:rsidRDefault="001847A1" w:rsidP="001847A1">
      <w:pPr>
        <w:tabs>
          <w:tab w:val="left" w:pos="851"/>
        </w:tabs>
        <w:ind w:left="851"/>
        <w:rPr>
          <w:i/>
          <w:sz w:val="24"/>
          <w:szCs w:val="24"/>
        </w:rPr>
      </w:pPr>
      <w:r w:rsidRPr="001847A1">
        <w:rPr>
          <w:i/>
          <w:sz w:val="24"/>
          <w:szCs w:val="24"/>
        </w:rPr>
        <w:t>Zidovudin</w:t>
      </w:r>
    </w:p>
    <w:p w:rsidR="001847A1" w:rsidRPr="001847A1" w:rsidRDefault="001847A1" w:rsidP="001847A1">
      <w:pPr>
        <w:tabs>
          <w:tab w:val="left" w:pos="851"/>
        </w:tabs>
        <w:ind w:left="851"/>
        <w:rPr>
          <w:sz w:val="24"/>
          <w:szCs w:val="24"/>
        </w:rPr>
      </w:pPr>
      <w:r w:rsidRPr="001847A1">
        <w:rPr>
          <w:sz w:val="24"/>
          <w:szCs w:val="24"/>
        </w:rPr>
        <w:t>Både zidovudin og ganciclovir kan potentielt forårsage neutropeni og anæmi. Der kan opstå en farmakodynamisk interaktion ved samtidig administration af disse lægemidler. Der kan være patienter, som ikke kan tolerere samtidig behandling med fuld dosis (se pkt. 4.4).</w:t>
      </w:r>
    </w:p>
    <w:p w:rsidR="001847A1" w:rsidRPr="001847A1" w:rsidRDefault="001847A1" w:rsidP="001847A1">
      <w:pPr>
        <w:tabs>
          <w:tab w:val="left" w:pos="851"/>
        </w:tabs>
        <w:ind w:left="851"/>
        <w:rPr>
          <w:sz w:val="24"/>
          <w:szCs w:val="24"/>
        </w:rPr>
      </w:pPr>
    </w:p>
    <w:p w:rsidR="001847A1" w:rsidRPr="001847A1" w:rsidRDefault="001847A1" w:rsidP="001847A1">
      <w:pPr>
        <w:tabs>
          <w:tab w:val="left" w:pos="851"/>
        </w:tabs>
        <w:ind w:left="851"/>
        <w:rPr>
          <w:i/>
          <w:sz w:val="24"/>
          <w:szCs w:val="24"/>
        </w:rPr>
      </w:pPr>
      <w:r w:rsidRPr="001847A1">
        <w:rPr>
          <w:i/>
          <w:sz w:val="24"/>
          <w:szCs w:val="24"/>
        </w:rPr>
        <w:t>Potentielle lægemiddelinteraktioner</w:t>
      </w:r>
    </w:p>
    <w:p w:rsidR="009260DE" w:rsidRPr="00C84483" w:rsidRDefault="001847A1" w:rsidP="00BC4701">
      <w:pPr>
        <w:tabs>
          <w:tab w:val="left" w:pos="851"/>
        </w:tabs>
        <w:ind w:left="851"/>
        <w:rPr>
          <w:sz w:val="24"/>
          <w:szCs w:val="24"/>
        </w:rPr>
      </w:pPr>
      <w:r w:rsidRPr="001847A1">
        <w:rPr>
          <w:sz w:val="24"/>
          <w:szCs w:val="24"/>
        </w:rPr>
        <w:t xml:space="preserve">Toksiciteten kan øges, hvis ganciclovir/valganciclovir administreres sammen med andre lægemidler, der er myelosuppressive eller forbundet med nedsat nyrefunktion. Det </w:t>
      </w:r>
      <w:r w:rsidRPr="001847A1">
        <w:rPr>
          <w:sz w:val="24"/>
          <w:szCs w:val="24"/>
        </w:rPr>
        <w:lastRenderedPageBreak/>
        <w:t>omfatter nukleosidanaloger (f.eks. zidovudin, didanosin, stavudin) og nukleotidanaloger (f.eks. tenofovir, adefovir), immunsuppressiva (f.eks. ciclosporin, tacrolimus, mycophenolatmofetil), antineoplastiske midler (f.eks. doxorubicin, vinblastin, vincristin, hydroxycarbamid) og antiinfektiva (trimethoprim/sulfonamider, dapson, amphotericin B, flucytosin, pentamidin). Derfor bør det kun overvejes at anvende disse lægemidler samtidig med valganciclovir, hvis de potentielle fordele opvejer de potentielle risici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F46E86" w:rsidRPr="00F46E86" w:rsidRDefault="00F46E86" w:rsidP="00F46E86">
      <w:pPr>
        <w:tabs>
          <w:tab w:val="left" w:pos="851"/>
        </w:tabs>
        <w:ind w:left="851"/>
        <w:rPr>
          <w:i/>
          <w:sz w:val="24"/>
          <w:szCs w:val="24"/>
        </w:rPr>
      </w:pP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u w:val="single"/>
        </w:rPr>
        <w:t>Prævention til mænd og kvinder</w:t>
      </w: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rPr>
        <w:t xml:space="preserve">Som følge af muligheden for reproduktionstoksicitet og teratogenicitet skal fertile kvinder rådes til at anvende sikker kontraception under behandlingen og i mindst 30 dage efter behandlingen. </w:t>
      </w:r>
      <w:r w:rsidRPr="00F46E86">
        <w:rPr>
          <w:sz w:val="24"/>
          <w:szCs w:val="24"/>
        </w:rPr>
        <w:t>Mandlige patienter skal rådes til at anvende kondom under behandlingen og i mindst 90 dage efter behandlingen med valganciclovir, medmindre det er sikkert, at den kvindelige partner ikke kan blive gravid (se pkt. 4.4 og 5.3).</w:t>
      </w:r>
      <w:r w:rsidRPr="00F46E86">
        <w:rPr>
          <w:color w:val="000000"/>
          <w:sz w:val="24"/>
          <w:szCs w:val="24"/>
        </w:rPr>
        <w:t xml:space="preserve"> </w:t>
      </w:r>
    </w:p>
    <w:p w:rsidR="00F46E86" w:rsidRPr="00F46E86" w:rsidRDefault="00F46E86" w:rsidP="00F46E86">
      <w:pPr>
        <w:shd w:val="clear" w:color="auto" w:fill="FFFFFF"/>
        <w:tabs>
          <w:tab w:val="left" w:pos="851"/>
        </w:tabs>
        <w:ind w:left="851"/>
        <w:rPr>
          <w:color w:val="000000"/>
          <w:sz w:val="24"/>
          <w:szCs w:val="24"/>
          <w:lang w:eastAsia="el-GR"/>
        </w:rPr>
      </w:pP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u w:val="single"/>
        </w:rPr>
        <w:t>Graviditet</w:t>
      </w: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rPr>
        <w:t>Sikkerheden af brug af valganciclovir hos gravide kvinder er ikke fastlagt. Den aktive metabolit, ganciclovir, diffunderer let over den humane placenta. På grund af ganciclovirs farmakologiske virkningsmekanisme og den observerede reproduktionstoksicitet i dyreforsøg (se pkt. 5.3) er der en teoretisk risiko for teratogenicitet hos mennesker.</w:t>
      </w:r>
    </w:p>
    <w:p w:rsidR="00F46E86" w:rsidRPr="00F46E86" w:rsidRDefault="00F46E86" w:rsidP="00F46E86">
      <w:pPr>
        <w:shd w:val="clear" w:color="auto" w:fill="FFFFFF"/>
        <w:tabs>
          <w:tab w:val="left" w:pos="851"/>
        </w:tabs>
        <w:ind w:left="851"/>
        <w:rPr>
          <w:color w:val="000000"/>
          <w:sz w:val="24"/>
          <w:szCs w:val="24"/>
          <w:lang w:eastAsia="el-GR"/>
        </w:rPr>
      </w:pP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rPr>
        <w:t>V</w:t>
      </w:r>
      <w:r w:rsidRPr="00F46E86">
        <w:rPr>
          <w:sz w:val="24"/>
          <w:szCs w:val="24"/>
        </w:rPr>
        <w:t xml:space="preserve">alganciclovir </w:t>
      </w:r>
      <w:r w:rsidRPr="00F46E86">
        <w:rPr>
          <w:color w:val="000000"/>
          <w:sz w:val="24"/>
          <w:szCs w:val="24"/>
        </w:rPr>
        <w:t>bør ikke anvendes under graviditet, medmindre den terapeutiske fordel for moderen opvejer den potentielle risiko for teratogen skade på barnet.</w:t>
      </w:r>
    </w:p>
    <w:p w:rsidR="00F46E86" w:rsidRPr="00F46E86" w:rsidRDefault="00F46E86" w:rsidP="00F46E86">
      <w:pPr>
        <w:shd w:val="clear" w:color="auto" w:fill="FFFFFF"/>
        <w:tabs>
          <w:tab w:val="left" w:pos="851"/>
        </w:tabs>
        <w:ind w:left="851"/>
        <w:rPr>
          <w:color w:val="000000"/>
          <w:sz w:val="24"/>
          <w:szCs w:val="24"/>
          <w:lang w:eastAsia="el-GR"/>
        </w:rPr>
      </w:pP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u w:val="single"/>
        </w:rPr>
        <w:t>Amning</w:t>
      </w: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rPr>
        <w:t>Det er ukendt, om ganciclovir udskilles i human mælk, men risikoen for, at ganciclovir udskilles i modermælk og forårsager alvorlige bivirkninger hos det ammede barn, kan ikke udelukkes. Data fra dyr viser, at ganciclovir udskilles i mælken hos diegivende rotter. Amning skal derfor ophøre under behandling med valganciclovir (se pkt. 4.3 og 5.3).</w:t>
      </w:r>
    </w:p>
    <w:p w:rsidR="00F46E86" w:rsidRPr="00F46E86" w:rsidRDefault="00F46E86" w:rsidP="00F46E86">
      <w:pPr>
        <w:shd w:val="clear" w:color="auto" w:fill="FFFFFF"/>
        <w:tabs>
          <w:tab w:val="left" w:pos="851"/>
        </w:tabs>
        <w:ind w:left="851"/>
        <w:rPr>
          <w:color w:val="000000"/>
          <w:sz w:val="24"/>
          <w:szCs w:val="24"/>
          <w:lang w:eastAsia="el-GR"/>
        </w:rPr>
      </w:pP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u w:val="single"/>
        </w:rPr>
        <w:t>Fertilitet</w:t>
      </w: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rPr>
        <w:t>I et lille klinisk studie med nyretransplanterede patienter, der fik valganciclovir til CMV-profylakse i op til 200 dage, blev det påvist, at valganciclovir havde en indvirkning på spermatogenesen i form af nedsat spermiekoncentration og -motilitet efter behandlingen. Denne virkning er tilsyneladende reversibel. Cirka seks måneder efter seponering af valganciclovir var den gennemsnitlige spermiekoncentration og -motilitet vendt tilbage til niveauer, der var sammenlignelige med dem, der blev set hos ubehandlede kontrolpersoner.</w:t>
      </w:r>
    </w:p>
    <w:p w:rsidR="00F46E86" w:rsidRPr="00F46E86" w:rsidRDefault="00F46E86" w:rsidP="00F46E86">
      <w:pPr>
        <w:shd w:val="clear" w:color="auto" w:fill="FFFFFF"/>
        <w:tabs>
          <w:tab w:val="left" w:pos="851"/>
        </w:tabs>
        <w:ind w:left="851"/>
        <w:rPr>
          <w:color w:val="000000"/>
          <w:sz w:val="24"/>
          <w:szCs w:val="24"/>
          <w:lang w:eastAsia="el-GR"/>
        </w:rPr>
      </w:pP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rPr>
        <w:t>I dyreforsøg reducerede ganciclovir fertiliteten hos han- og hunmus, og det har også vist sig at hæmme spermatogenesen og forårsage testikelatrofi hos mus, rotter og hunde i klinisk relevante doser.</w:t>
      </w:r>
    </w:p>
    <w:p w:rsidR="00F46E86" w:rsidRPr="00F46E86" w:rsidRDefault="00F46E86" w:rsidP="00F46E86">
      <w:pPr>
        <w:shd w:val="clear" w:color="auto" w:fill="FFFFFF"/>
        <w:tabs>
          <w:tab w:val="left" w:pos="851"/>
        </w:tabs>
        <w:ind w:left="851"/>
        <w:rPr>
          <w:color w:val="000000"/>
          <w:sz w:val="24"/>
          <w:szCs w:val="24"/>
          <w:lang w:eastAsia="el-GR"/>
        </w:rPr>
      </w:pPr>
    </w:p>
    <w:p w:rsidR="009260DE" w:rsidRPr="00E1546F" w:rsidRDefault="00F46E86" w:rsidP="00E1546F">
      <w:pPr>
        <w:shd w:val="clear" w:color="auto" w:fill="FFFFFF"/>
        <w:tabs>
          <w:tab w:val="left" w:pos="851"/>
        </w:tabs>
        <w:ind w:left="851"/>
        <w:rPr>
          <w:color w:val="000000"/>
          <w:sz w:val="24"/>
          <w:szCs w:val="24"/>
        </w:rPr>
      </w:pPr>
      <w:r w:rsidRPr="00F46E86">
        <w:rPr>
          <w:color w:val="000000"/>
          <w:sz w:val="24"/>
          <w:szCs w:val="24"/>
        </w:rPr>
        <w:t>Baseret på kliniske og prækliniske studier anses det for sandsynligt, at ganciclovir (og valganciclovir) kan forårsage midlertidig eller permanent hæmning af spermatogenesen hos mennesker (se pkt. 4.4 og 5.3).</w:t>
      </w:r>
    </w:p>
    <w:p w:rsidR="00E1546F" w:rsidRDefault="00E1546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E1546F" w:rsidRDefault="00E1546F" w:rsidP="00F46E86">
      <w:pPr>
        <w:tabs>
          <w:tab w:val="left" w:pos="851"/>
        </w:tabs>
        <w:ind w:left="851"/>
        <w:rPr>
          <w:sz w:val="24"/>
          <w:szCs w:val="24"/>
        </w:rPr>
      </w:pPr>
      <w:r>
        <w:rPr>
          <w:sz w:val="24"/>
          <w:szCs w:val="24"/>
        </w:rPr>
        <w:t>Ikke mærkning.</w:t>
      </w:r>
    </w:p>
    <w:p w:rsidR="00F46E86" w:rsidRPr="00F46E86" w:rsidRDefault="00F46E86" w:rsidP="00F46E86">
      <w:pPr>
        <w:tabs>
          <w:tab w:val="left" w:pos="851"/>
        </w:tabs>
        <w:ind w:left="851"/>
        <w:rPr>
          <w:sz w:val="24"/>
          <w:szCs w:val="24"/>
        </w:rPr>
      </w:pPr>
      <w:r w:rsidRPr="00F46E86">
        <w:rPr>
          <w:sz w:val="24"/>
          <w:szCs w:val="24"/>
        </w:rPr>
        <w:t>Der er ikke foretaget undersøgelser af virkningen på evnen til at føre motorkøretøj og betjene maskiner.</w:t>
      </w:r>
    </w:p>
    <w:p w:rsidR="00F46E86" w:rsidRPr="00F46E86" w:rsidRDefault="00F46E86" w:rsidP="00F46E86">
      <w:pPr>
        <w:tabs>
          <w:tab w:val="left" w:pos="851"/>
        </w:tabs>
        <w:ind w:left="851"/>
        <w:rPr>
          <w:sz w:val="24"/>
          <w:szCs w:val="24"/>
        </w:rPr>
      </w:pPr>
    </w:p>
    <w:p w:rsidR="009260DE" w:rsidRPr="00C84483" w:rsidRDefault="00F46E86" w:rsidP="00E1546F">
      <w:pPr>
        <w:tabs>
          <w:tab w:val="left" w:pos="851"/>
        </w:tabs>
        <w:ind w:left="851"/>
        <w:rPr>
          <w:sz w:val="24"/>
          <w:szCs w:val="24"/>
        </w:rPr>
      </w:pPr>
      <w:r w:rsidRPr="00F46E86">
        <w:rPr>
          <w:sz w:val="24"/>
          <w:szCs w:val="24"/>
        </w:rPr>
        <w:t>Der er rapporteret om bivirkninger såsom kramper, svimmelhed og konfusion i forbindelse med anvendelse af valganciclovir og/eller ganciclovir. Hvis disse symptomer forekommer, kan de måske påvirke patientens evne til at udføre opgaver, som kræver årvågenhed, herunder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F46E86" w:rsidRPr="00F46E86" w:rsidRDefault="00F46E86" w:rsidP="00F46E86">
      <w:pPr>
        <w:tabs>
          <w:tab w:val="left" w:pos="851"/>
        </w:tabs>
        <w:ind w:left="851"/>
        <w:rPr>
          <w:sz w:val="24"/>
          <w:szCs w:val="24"/>
        </w:rPr>
      </w:pPr>
    </w:p>
    <w:p w:rsidR="00F46E86" w:rsidRPr="00F46E86" w:rsidRDefault="00F46E86" w:rsidP="00F46E86">
      <w:pPr>
        <w:tabs>
          <w:tab w:val="left" w:pos="851"/>
        </w:tabs>
        <w:ind w:left="851"/>
        <w:rPr>
          <w:sz w:val="24"/>
          <w:szCs w:val="24"/>
          <w:u w:val="single"/>
        </w:rPr>
      </w:pPr>
      <w:r w:rsidRPr="00F46E86">
        <w:rPr>
          <w:bCs/>
          <w:iCs/>
          <w:sz w:val="24"/>
          <w:szCs w:val="24"/>
          <w:u w:val="single"/>
        </w:rPr>
        <w:t>Oversigt over sikkerhedsprofilen</w:t>
      </w: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rPr>
        <w:t>Valganciclovir er en prodrug til ganciclovir og metaboliseres hurtigt og ekstensivt til ganciclovir efter oral administration. De bivirkninger, som vides at være relateret til anvendelsen af ganciclovir, kan også forventes at indtræffe med valganciclovir. Alle de bivirkninger, som er observeret i kliniske studier med valganciclovir, er tidligere set efter administration af ganciclovir. Derfor er de bivirkninger, der er blevet indberettet med i.v. eller oral ganciclovir (formulering ikke længere tilgængelig) eller med valganciclovir, inkluderet i bivirkningstabellen nedenfor.</w:t>
      </w:r>
    </w:p>
    <w:p w:rsidR="00F46E86" w:rsidRPr="00F46E86" w:rsidRDefault="00F46E86" w:rsidP="00F46E86">
      <w:pPr>
        <w:shd w:val="clear" w:color="auto" w:fill="FFFFFF"/>
        <w:tabs>
          <w:tab w:val="left" w:pos="851"/>
        </w:tabs>
        <w:ind w:left="851"/>
        <w:rPr>
          <w:color w:val="000000"/>
          <w:sz w:val="24"/>
          <w:szCs w:val="24"/>
          <w:lang w:eastAsia="el-GR"/>
        </w:rPr>
      </w:pP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rPr>
        <w:t xml:space="preserve">Hos patienter i behandling med valganciclovir/ganciclovir er de mest alvorlige og hyppige bivirkninger hæmatologiske bivirkninger, herunder neutropeni, anæmi og trombocytopeni - se pkt. 4.4. </w:t>
      </w:r>
    </w:p>
    <w:p w:rsidR="00F46E86" w:rsidRPr="00F46E86" w:rsidRDefault="00F46E86" w:rsidP="00F46E86">
      <w:pPr>
        <w:shd w:val="clear" w:color="auto" w:fill="FFFFFF"/>
        <w:tabs>
          <w:tab w:val="left" w:pos="851"/>
        </w:tabs>
        <w:ind w:left="851"/>
        <w:rPr>
          <w:color w:val="000000"/>
          <w:sz w:val="24"/>
          <w:szCs w:val="24"/>
          <w:lang w:eastAsia="el-GR"/>
        </w:rPr>
      </w:pPr>
    </w:p>
    <w:p w:rsidR="006E1D53" w:rsidRDefault="00F46E86" w:rsidP="00F46E86">
      <w:pPr>
        <w:shd w:val="clear" w:color="auto" w:fill="FFFFFF"/>
        <w:tabs>
          <w:tab w:val="left" w:pos="851"/>
        </w:tabs>
        <w:ind w:left="851"/>
        <w:rPr>
          <w:color w:val="000000"/>
          <w:sz w:val="24"/>
          <w:szCs w:val="24"/>
        </w:rPr>
      </w:pPr>
      <w:r w:rsidRPr="00F46E86">
        <w:rPr>
          <w:color w:val="000000"/>
          <w:sz w:val="24"/>
          <w:szCs w:val="24"/>
        </w:rPr>
        <w:t>Hyppighederne i bivirkningstabellen er udledt fra en samlet patientpopulation (n = 1.704), der fik vedligeholdelsesbehandling med ganciclovir eller valganciclovir, med undtagelse af hyppigheden af anafylaktiske reaktioner, agranulocytose og granulocytopeni, som er udledt fra erfaringerne efter markedsføring. Bivirkningerne er angivet i henhold til s</w:t>
      </w:r>
      <w:r w:rsidR="006E1D53">
        <w:rPr>
          <w:color w:val="000000"/>
          <w:sz w:val="24"/>
          <w:szCs w:val="24"/>
        </w:rPr>
        <w:t>ystemorganklasserne fra MedDRA.</w:t>
      </w: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rPr>
        <w:t xml:space="preserve">Hyppighederne er defineret som følger: </w:t>
      </w:r>
      <w:r w:rsidR="0016238F">
        <w:rPr>
          <w:color w:val="000000"/>
          <w:sz w:val="24"/>
          <w:szCs w:val="24"/>
        </w:rPr>
        <w:t>M</w:t>
      </w:r>
      <w:r w:rsidRPr="00F46E86">
        <w:rPr>
          <w:color w:val="000000"/>
          <w:sz w:val="24"/>
          <w:szCs w:val="24"/>
        </w:rPr>
        <w:t>eget almindelig (≥ 1/10), almindelig (≥ 1/100 til &lt; 1/10), ikke almindelig (≥ 1/1.000 til &lt; 1/100), sjælden (≥ 1/10.000 til &lt; 1/1.000) og meget sjælden (&lt; 1/10.000).</w:t>
      </w:r>
    </w:p>
    <w:p w:rsidR="00F46E86" w:rsidRPr="00F46E86" w:rsidRDefault="00F46E86" w:rsidP="00F46E86">
      <w:pPr>
        <w:shd w:val="clear" w:color="auto" w:fill="FFFFFF"/>
        <w:tabs>
          <w:tab w:val="left" w:pos="851"/>
        </w:tabs>
        <w:ind w:left="851"/>
        <w:rPr>
          <w:color w:val="000000"/>
          <w:sz w:val="24"/>
          <w:szCs w:val="24"/>
          <w:lang w:eastAsia="el-GR"/>
        </w:rPr>
      </w:pP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rPr>
        <w:t>Den overordnede sikkerhedsprofil af ganciclovir/valganciclovir er ensartet hos hiv- og transplantationspatienter, med undtagelse af nethindeløsning, som kun er indberettet hos patienter med CMV-retinitis. Der er dog forskelle i hyppigheden af visse bivirkninger. Valganciclovir er forbundet med en højere risiko for diarré end intravenøs ganciclovir. Pyreksi, candida-infektioner, depression, svær neutropeni (ANC &lt; 500/μl) og hudreaktioner er indberettet hyppigere hos patienter med hiv. Nedsat nyre- og leverfunktion er indberettet hyppigere hos transplanterede patienter.</w:t>
      </w:r>
    </w:p>
    <w:p w:rsidR="002D08D4" w:rsidRDefault="002D08D4">
      <w:pPr>
        <w:rPr>
          <w:sz w:val="24"/>
          <w:szCs w:val="24"/>
          <w:u w:val="single"/>
        </w:rPr>
      </w:pPr>
      <w:r>
        <w:rPr>
          <w:sz w:val="24"/>
          <w:szCs w:val="24"/>
          <w:u w:val="single"/>
        </w:rPr>
        <w:br w:type="page"/>
      </w:r>
    </w:p>
    <w:p w:rsidR="00F46E86" w:rsidRPr="00F46E86" w:rsidRDefault="00F46E86" w:rsidP="00F46E86">
      <w:pPr>
        <w:tabs>
          <w:tab w:val="left" w:pos="851"/>
        </w:tabs>
        <w:ind w:left="851"/>
        <w:rPr>
          <w:sz w:val="24"/>
          <w:szCs w:val="24"/>
          <w:u w:val="single"/>
        </w:rPr>
      </w:pPr>
    </w:p>
    <w:p w:rsidR="00F46E86" w:rsidRPr="00F46E86" w:rsidRDefault="00F46E86" w:rsidP="00F46E86">
      <w:pPr>
        <w:tabs>
          <w:tab w:val="left" w:pos="851"/>
        </w:tabs>
        <w:ind w:left="851"/>
        <w:rPr>
          <w:bCs/>
          <w:iCs/>
          <w:sz w:val="24"/>
          <w:szCs w:val="24"/>
          <w:u w:val="single"/>
        </w:rPr>
      </w:pPr>
      <w:r w:rsidRPr="00F46E86">
        <w:rPr>
          <w:bCs/>
          <w:iCs/>
          <w:sz w:val="24"/>
          <w:szCs w:val="24"/>
          <w:u w:val="single"/>
        </w:rPr>
        <w:t>Liste over bivirkninger i tabelform</w:t>
      </w:r>
    </w:p>
    <w:p w:rsidR="00F46E86" w:rsidRPr="00F46E86" w:rsidRDefault="00F46E86" w:rsidP="00F46E86">
      <w:pPr>
        <w:shd w:val="clear" w:color="auto" w:fill="FFFFFF"/>
        <w:tabs>
          <w:tab w:val="left" w:pos="851"/>
        </w:tabs>
        <w:ind w:left="851"/>
        <w:rPr>
          <w:color w:val="000000"/>
          <w:sz w:val="24"/>
          <w:szCs w:val="24"/>
          <w:lang w:val="en" w:eastAsia="el-GR"/>
        </w:rPr>
      </w:pPr>
    </w:p>
    <w:tbl>
      <w:tblPr>
        <w:tblW w:w="8505" w:type="dxa"/>
        <w:tblInd w:w="843" w:type="dxa"/>
        <w:tblBorders>
          <w:top w:val="outset" w:sz="6" w:space="0" w:color="7B7B7B"/>
          <w:left w:val="outset" w:sz="6" w:space="0" w:color="7B7B7B"/>
          <w:bottom w:val="outset" w:sz="6" w:space="0" w:color="7B7B7B"/>
          <w:right w:val="outset" w:sz="6" w:space="0" w:color="7B7B7B"/>
        </w:tblBorders>
        <w:tblCellMar>
          <w:top w:w="24" w:type="dxa"/>
          <w:left w:w="24" w:type="dxa"/>
          <w:bottom w:w="24" w:type="dxa"/>
          <w:right w:w="24" w:type="dxa"/>
        </w:tblCellMar>
        <w:tblLook w:val="04A0" w:firstRow="1" w:lastRow="0" w:firstColumn="1" w:lastColumn="0" w:noHBand="0" w:noVBand="1"/>
      </w:tblPr>
      <w:tblGrid>
        <w:gridCol w:w="5960"/>
        <w:gridCol w:w="2545"/>
      </w:tblGrid>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Default="0016238F" w:rsidP="006E1D53">
            <w:pPr>
              <w:ind w:left="104"/>
              <w:rPr>
                <w:b/>
                <w:bCs/>
                <w:color w:val="000000"/>
                <w:sz w:val="24"/>
                <w:szCs w:val="24"/>
              </w:rPr>
            </w:pPr>
            <w:r>
              <w:rPr>
                <w:b/>
                <w:bCs/>
                <w:color w:val="000000"/>
                <w:sz w:val="24"/>
                <w:szCs w:val="24"/>
              </w:rPr>
              <w:t>Bivirkning</w:t>
            </w:r>
          </w:p>
          <w:p w:rsidR="0016238F" w:rsidRPr="00F46E86" w:rsidRDefault="0016238F" w:rsidP="006E1D53">
            <w:pPr>
              <w:ind w:left="104"/>
              <w:rPr>
                <w:b/>
                <w:bCs/>
                <w:color w:val="000000"/>
                <w:sz w:val="24"/>
                <w:szCs w:val="24"/>
              </w:rPr>
            </w:pPr>
          </w:p>
          <w:p w:rsidR="0016238F" w:rsidRDefault="0016238F" w:rsidP="0016238F">
            <w:pPr>
              <w:ind w:left="104"/>
              <w:rPr>
                <w:b/>
                <w:bCs/>
                <w:color w:val="000000"/>
                <w:sz w:val="24"/>
                <w:szCs w:val="24"/>
              </w:rPr>
            </w:pPr>
            <w:r>
              <w:rPr>
                <w:b/>
                <w:bCs/>
                <w:color w:val="000000"/>
                <w:sz w:val="24"/>
                <w:szCs w:val="24"/>
              </w:rPr>
              <w:t>(MedDRA)</w:t>
            </w:r>
          </w:p>
          <w:p w:rsidR="00F46E86" w:rsidRPr="00F46E86" w:rsidRDefault="00F46E86" w:rsidP="0016238F">
            <w:pPr>
              <w:ind w:left="104"/>
              <w:rPr>
                <w:b/>
                <w:bCs/>
                <w:color w:val="000000"/>
                <w:sz w:val="24"/>
                <w:szCs w:val="24"/>
              </w:rPr>
            </w:pPr>
            <w:r w:rsidRPr="00F46E86">
              <w:rPr>
                <w:b/>
                <w:bCs/>
                <w:color w:val="000000"/>
                <w:sz w:val="24"/>
                <w:szCs w:val="24"/>
              </w:rPr>
              <w:t xml:space="preserve">Systemorganklasse </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6E1D53" w:rsidP="006E1D53">
            <w:pPr>
              <w:ind w:left="104"/>
              <w:rPr>
                <w:b/>
                <w:bCs/>
                <w:color w:val="000000"/>
                <w:sz w:val="24"/>
                <w:szCs w:val="24"/>
              </w:rPr>
            </w:pPr>
            <w:r>
              <w:rPr>
                <w:b/>
                <w:bCs/>
                <w:color w:val="000000"/>
                <w:sz w:val="24"/>
                <w:szCs w:val="24"/>
              </w:rPr>
              <w:t>Hyppighed</w:t>
            </w: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b/>
                <w:bCs/>
                <w:i/>
                <w:iCs/>
                <w:color w:val="000000"/>
                <w:sz w:val="24"/>
                <w:szCs w:val="24"/>
              </w:rPr>
            </w:pPr>
            <w:r w:rsidRPr="00F46E86">
              <w:rPr>
                <w:b/>
                <w:bCs/>
                <w:i/>
                <w:iCs/>
                <w:color w:val="000000"/>
                <w:sz w:val="24"/>
                <w:szCs w:val="24"/>
              </w:rPr>
              <w:t>Infektioner og parasitære sy</w:t>
            </w:r>
            <w:r w:rsidR="0016238F">
              <w:rPr>
                <w:b/>
                <w:bCs/>
                <w:i/>
                <w:iCs/>
                <w:color w:val="000000"/>
                <w:sz w:val="24"/>
                <w:szCs w:val="24"/>
              </w:rPr>
              <w:t>gdomme</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Candida-infektioner, herunder oral candidiasis</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Meget 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Øvre luftvejsinfektion</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 xml:space="preserve">Sepsis </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Influenza</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Urinvejsinfektion</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Cellulitis</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16238F" w:rsidP="006E1D53">
            <w:pPr>
              <w:ind w:left="104"/>
              <w:rPr>
                <w:b/>
                <w:bCs/>
                <w:i/>
                <w:iCs/>
                <w:color w:val="000000"/>
                <w:sz w:val="24"/>
                <w:szCs w:val="24"/>
              </w:rPr>
            </w:pPr>
            <w:r>
              <w:rPr>
                <w:b/>
                <w:bCs/>
                <w:i/>
                <w:iCs/>
                <w:color w:val="000000"/>
                <w:sz w:val="24"/>
                <w:szCs w:val="24"/>
              </w:rPr>
              <w:t>Blod og lymfesystem</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Neutropeni</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Meget 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Anæmi</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Trombocytopeni</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Leukopeni</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Pancytopeni</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Knoglemarvsdepression</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Ikke 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Aplastisk anæmi</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Sjælden</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Agranulocytose*</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Granulocytopeni*</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16238F" w:rsidP="006E1D53">
            <w:pPr>
              <w:ind w:left="104"/>
              <w:rPr>
                <w:b/>
                <w:bCs/>
                <w:i/>
                <w:iCs/>
                <w:color w:val="000000"/>
                <w:sz w:val="24"/>
                <w:szCs w:val="24"/>
              </w:rPr>
            </w:pPr>
            <w:r>
              <w:rPr>
                <w:b/>
                <w:bCs/>
                <w:i/>
                <w:iCs/>
                <w:color w:val="000000"/>
                <w:sz w:val="24"/>
                <w:szCs w:val="24"/>
              </w:rPr>
              <w:t>Immunsystemet</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Overfølsomhed</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Anafylaktisk reaktion*</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Sjælden</w:t>
            </w: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16238F" w:rsidP="006E1D53">
            <w:pPr>
              <w:ind w:left="104"/>
              <w:rPr>
                <w:b/>
                <w:bCs/>
                <w:i/>
                <w:iCs/>
                <w:color w:val="000000"/>
                <w:sz w:val="24"/>
                <w:szCs w:val="24"/>
              </w:rPr>
            </w:pPr>
            <w:r>
              <w:rPr>
                <w:b/>
                <w:bCs/>
                <w:i/>
                <w:iCs/>
                <w:color w:val="000000"/>
                <w:sz w:val="24"/>
                <w:szCs w:val="24"/>
              </w:rPr>
              <w:t>Metabolisme og ernæring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 xml:space="preserve">Nedsat appetit </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Meget 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Vægttab</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16238F" w:rsidP="006E1D53">
            <w:pPr>
              <w:ind w:left="104"/>
              <w:rPr>
                <w:b/>
                <w:bCs/>
                <w:i/>
                <w:iCs/>
                <w:color w:val="000000"/>
                <w:sz w:val="24"/>
                <w:szCs w:val="24"/>
              </w:rPr>
            </w:pPr>
            <w:r>
              <w:rPr>
                <w:b/>
                <w:bCs/>
                <w:i/>
                <w:iCs/>
                <w:color w:val="000000"/>
                <w:sz w:val="24"/>
                <w:szCs w:val="24"/>
              </w:rPr>
              <w:t>Psykiske forstyrrelser</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Depression</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Konfusion</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Angst</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Agitation</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Ikke 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Psykose</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Abnorme tanker</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Hallucinationer</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b/>
                <w:bCs/>
                <w:i/>
                <w:iCs/>
                <w:color w:val="000000"/>
                <w:sz w:val="24"/>
                <w:szCs w:val="24"/>
              </w:rPr>
            </w:pPr>
            <w:r w:rsidRPr="00F46E86">
              <w:rPr>
                <w:b/>
                <w:bCs/>
                <w:i/>
                <w:iCs/>
                <w:color w:val="000000"/>
                <w:sz w:val="24"/>
                <w:szCs w:val="24"/>
              </w:rPr>
              <w:t>Nervesystemet</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Hovedpine</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Meget 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Søvnløshed</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lastRenderedPageBreak/>
              <w:t>Perifer neuropati</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Svimmelhed</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Paræstesi</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Hypoæstesi</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Kramper</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Dysgeusi (smagsforstyrrelser)</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Tremor</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Ikke almindelig</w:t>
            </w: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16238F" w:rsidP="006E1D53">
            <w:pPr>
              <w:ind w:left="104"/>
              <w:rPr>
                <w:b/>
                <w:bCs/>
                <w:i/>
                <w:iCs/>
                <w:color w:val="000000"/>
                <w:sz w:val="24"/>
                <w:szCs w:val="24"/>
              </w:rPr>
            </w:pPr>
            <w:r>
              <w:rPr>
                <w:b/>
                <w:bCs/>
                <w:i/>
                <w:iCs/>
                <w:color w:val="000000"/>
                <w:sz w:val="24"/>
                <w:szCs w:val="24"/>
              </w:rPr>
              <w:t>Øjne</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Nedsat syn</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Nethindeløsning**</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6D7378" w:rsidP="006E1D53">
            <w:pPr>
              <w:ind w:left="104"/>
              <w:rPr>
                <w:color w:val="000000"/>
                <w:sz w:val="24"/>
                <w:szCs w:val="24"/>
              </w:rPr>
            </w:pPr>
            <w:r>
              <w:rPr>
                <w:color w:val="000000"/>
                <w:sz w:val="24"/>
                <w:szCs w:val="24"/>
              </w:rPr>
              <w:t>Glaslegemesygdom</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Smerter i øjet</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Konjunktivitis</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Makulært ødem</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16238F" w:rsidP="006E1D53">
            <w:pPr>
              <w:ind w:left="104"/>
              <w:rPr>
                <w:b/>
                <w:bCs/>
                <w:i/>
                <w:iCs/>
                <w:color w:val="000000"/>
                <w:sz w:val="24"/>
                <w:szCs w:val="24"/>
              </w:rPr>
            </w:pPr>
            <w:r>
              <w:rPr>
                <w:b/>
                <w:bCs/>
                <w:i/>
                <w:iCs/>
                <w:color w:val="000000"/>
                <w:sz w:val="24"/>
                <w:szCs w:val="24"/>
              </w:rPr>
              <w:t>Øre og labyrint</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Ørepine</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Døvhed</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Ikke almindelig</w:t>
            </w: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16238F" w:rsidP="006E1D53">
            <w:pPr>
              <w:ind w:left="104"/>
              <w:rPr>
                <w:b/>
                <w:bCs/>
                <w:i/>
                <w:iCs/>
                <w:color w:val="000000"/>
                <w:sz w:val="24"/>
                <w:szCs w:val="24"/>
              </w:rPr>
            </w:pPr>
            <w:r>
              <w:rPr>
                <w:b/>
                <w:bCs/>
                <w:i/>
                <w:iCs/>
                <w:color w:val="000000"/>
                <w:sz w:val="24"/>
                <w:szCs w:val="24"/>
              </w:rPr>
              <w:t>Hjerte</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Arytmi</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Ikke 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16238F" w:rsidP="006E1D53">
            <w:pPr>
              <w:ind w:left="104"/>
              <w:rPr>
                <w:b/>
                <w:bCs/>
                <w:i/>
                <w:iCs/>
                <w:color w:val="000000"/>
                <w:sz w:val="24"/>
                <w:szCs w:val="24"/>
              </w:rPr>
            </w:pPr>
            <w:r>
              <w:rPr>
                <w:b/>
                <w:bCs/>
                <w:i/>
                <w:iCs/>
                <w:color w:val="000000"/>
                <w:sz w:val="24"/>
                <w:szCs w:val="24"/>
              </w:rPr>
              <w:t>Vaskulære sygdomme</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b/>
                <w:bCs/>
                <w:i/>
                <w:iCs/>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Hypotension</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b/>
                <w:bCs/>
                <w:i/>
                <w:iCs/>
                <w:color w:val="000000"/>
                <w:sz w:val="24"/>
                <w:szCs w:val="24"/>
              </w:rPr>
            </w:pPr>
            <w:r w:rsidRPr="00F46E86">
              <w:rPr>
                <w:b/>
                <w:bCs/>
                <w:i/>
                <w:iCs/>
                <w:color w:val="000000"/>
                <w:sz w:val="24"/>
                <w:szCs w:val="24"/>
              </w:rPr>
              <w:t>Luftveje, thorax og mediastinum</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Hoste</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Meget 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Dyspnø</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16238F" w:rsidP="006E1D53">
            <w:pPr>
              <w:ind w:left="104"/>
              <w:rPr>
                <w:b/>
                <w:bCs/>
                <w:i/>
                <w:iCs/>
                <w:color w:val="000000"/>
                <w:sz w:val="24"/>
                <w:szCs w:val="24"/>
              </w:rPr>
            </w:pPr>
            <w:r>
              <w:rPr>
                <w:b/>
                <w:bCs/>
                <w:i/>
                <w:iCs/>
                <w:color w:val="000000"/>
                <w:sz w:val="24"/>
                <w:szCs w:val="24"/>
              </w:rPr>
              <w:t>Mave-tarm-kanalen</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Diarré</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Meget 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Kvalme</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Opkastning</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Abdominalsmerter</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Dyspepsi</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Flatulens</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Øvre abdominalsmerter</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Obstipation</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Sår i munden</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Dysfagi</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Abdominal udspiling</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Pancreatitis</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16238F" w:rsidP="006E1D53">
            <w:pPr>
              <w:ind w:left="104"/>
              <w:rPr>
                <w:b/>
                <w:bCs/>
                <w:i/>
                <w:iCs/>
                <w:color w:val="000000"/>
                <w:sz w:val="24"/>
                <w:szCs w:val="24"/>
              </w:rPr>
            </w:pPr>
            <w:r>
              <w:rPr>
                <w:b/>
                <w:bCs/>
                <w:i/>
                <w:iCs/>
                <w:color w:val="000000"/>
                <w:sz w:val="24"/>
                <w:szCs w:val="24"/>
              </w:rPr>
              <w:t>Lever og galdeveje</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Forhøjet basisk fosfatase i blodet.</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Abnorm leverfunktion</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lastRenderedPageBreak/>
              <w:t>Forhøjet aspartataminotransferase</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Forhøjet alaninaminotransferase</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16238F" w:rsidP="006E1D53">
            <w:pPr>
              <w:ind w:left="104"/>
              <w:rPr>
                <w:b/>
                <w:bCs/>
                <w:i/>
                <w:iCs/>
                <w:color w:val="000000"/>
                <w:sz w:val="24"/>
                <w:szCs w:val="24"/>
              </w:rPr>
            </w:pPr>
            <w:r>
              <w:rPr>
                <w:b/>
                <w:bCs/>
                <w:i/>
                <w:iCs/>
                <w:color w:val="000000"/>
                <w:sz w:val="24"/>
                <w:szCs w:val="24"/>
              </w:rPr>
              <w:t>Hud og subkutane væv</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Dermatitis</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Meget 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Nattesved</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Pruritus</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Udslæt</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Alopeci</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Tør hud</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Ikke 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Urticaria</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b/>
                <w:bCs/>
                <w:i/>
                <w:iCs/>
                <w:color w:val="000000"/>
                <w:sz w:val="24"/>
                <w:szCs w:val="24"/>
              </w:rPr>
            </w:pPr>
            <w:r w:rsidRPr="00F46E86">
              <w:rPr>
                <w:b/>
                <w:bCs/>
                <w:i/>
                <w:iCs/>
                <w:color w:val="000000"/>
                <w:sz w:val="24"/>
                <w:szCs w:val="24"/>
              </w:rPr>
              <w:t>Kn</w:t>
            </w:r>
            <w:r w:rsidR="0016238F">
              <w:rPr>
                <w:b/>
                <w:bCs/>
                <w:i/>
                <w:iCs/>
                <w:color w:val="000000"/>
                <w:sz w:val="24"/>
                <w:szCs w:val="24"/>
              </w:rPr>
              <w:t>ogler, led, muskler og bindevæv</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Rygsmerter</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Myalgi</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Artralgi</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Muskelkramper</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b/>
                <w:bCs/>
                <w:i/>
                <w:iCs/>
                <w:color w:val="000000"/>
                <w:sz w:val="24"/>
                <w:szCs w:val="24"/>
              </w:rPr>
            </w:pPr>
            <w:r w:rsidRPr="00F46E86">
              <w:rPr>
                <w:b/>
                <w:bCs/>
                <w:i/>
                <w:iCs/>
                <w:color w:val="000000"/>
                <w:sz w:val="24"/>
                <w:szCs w:val="24"/>
              </w:rPr>
              <w:t xml:space="preserve">Nyrer og urinveje: </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Nedsat nyrefunktion</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 xml:space="preserve">Nedsat renal kreatininclearance </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 xml:space="preserve">Forhøjet kreatinin i blodet </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Nyresvigt</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Ikke 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Hæmaturi</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b/>
                <w:bCs/>
                <w:i/>
                <w:iCs/>
                <w:color w:val="000000"/>
                <w:sz w:val="24"/>
                <w:szCs w:val="24"/>
              </w:rPr>
            </w:pPr>
            <w:r w:rsidRPr="00F46E86">
              <w:rPr>
                <w:b/>
                <w:bCs/>
                <w:i/>
                <w:iCs/>
                <w:color w:val="000000"/>
                <w:sz w:val="24"/>
                <w:szCs w:val="24"/>
              </w:rPr>
              <w:t>De</w:t>
            </w:r>
            <w:r w:rsidR="0016238F">
              <w:rPr>
                <w:b/>
                <w:bCs/>
                <w:i/>
                <w:iCs/>
                <w:color w:val="000000"/>
                <w:sz w:val="24"/>
                <w:szCs w:val="24"/>
              </w:rPr>
              <w:t>t reproduktive system og mammae</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Mandlig infertilitet</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Ikke almindelig</w:t>
            </w:r>
          </w:p>
        </w:tc>
      </w:tr>
      <w:tr w:rsidR="00F46E86" w:rsidRPr="00F46E86" w:rsidTr="006E1D53">
        <w:tc>
          <w:tcPr>
            <w:tcW w:w="5000" w:type="pct"/>
            <w:gridSpan w:val="2"/>
            <w:tcBorders>
              <w:top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b/>
                <w:bCs/>
                <w:i/>
                <w:iCs/>
                <w:color w:val="000000"/>
                <w:sz w:val="24"/>
                <w:szCs w:val="24"/>
              </w:rPr>
            </w:pPr>
            <w:r w:rsidRPr="00F46E86">
              <w:rPr>
                <w:b/>
                <w:bCs/>
                <w:i/>
                <w:iCs/>
                <w:color w:val="000000"/>
                <w:sz w:val="24"/>
                <w:szCs w:val="24"/>
              </w:rPr>
              <w:t>Almene symptomer og reak</w:t>
            </w:r>
            <w:r w:rsidR="0016238F">
              <w:rPr>
                <w:b/>
                <w:bCs/>
                <w:i/>
                <w:iCs/>
                <w:color w:val="000000"/>
                <w:sz w:val="24"/>
                <w:szCs w:val="24"/>
              </w:rPr>
              <w:t>tioner på administrationsstedet</w:t>
            </w:r>
            <w:r w:rsidRPr="00F46E86">
              <w:rPr>
                <w:b/>
                <w:bCs/>
                <w:i/>
                <w:iCs/>
                <w:color w:val="000000"/>
                <w:sz w:val="24"/>
                <w:szCs w:val="24"/>
              </w:rPr>
              <w:t xml:space="preserve"> </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Pyreksi</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Meget 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Træthed</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Smerter</w:t>
            </w:r>
          </w:p>
        </w:tc>
        <w:tc>
          <w:tcPr>
            <w:tcW w:w="1496" w:type="pct"/>
            <w:vMerge w:val="restar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Almindelig</w:t>
            </w: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Kuldegysninger</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Utilpashed</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Asteni</w:t>
            </w:r>
          </w:p>
        </w:tc>
        <w:tc>
          <w:tcPr>
            <w:tcW w:w="1496" w:type="pct"/>
            <w:vMerge/>
            <w:tcBorders>
              <w:top w:val="outset" w:sz="6" w:space="0" w:color="7B7B7B"/>
              <w:left w:val="outset" w:sz="6" w:space="0" w:color="7B7B7B"/>
              <w:bottom w:val="outset" w:sz="6" w:space="0" w:color="7B7B7B"/>
            </w:tcBorders>
            <w:hideMark/>
          </w:tcPr>
          <w:p w:rsidR="00F46E86" w:rsidRPr="00F46E86" w:rsidRDefault="00F46E86" w:rsidP="006E1D53">
            <w:pPr>
              <w:ind w:left="104"/>
              <w:rPr>
                <w:color w:val="000000"/>
                <w:sz w:val="24"/>
                <w:szCs w:val="24"/>
                <w:lang w:val="el-GR" w:eastAsia="el-GR"/>
              </w:rPr>
            </w:pPr>
          </w:p>
        </w:tc>
      </w:tr>
      <w:tr w:rsidR="00F46E86" w:rsidRPr="00F46E86" w:rsidTr="006E1D53">
        <w:tc>
          <w:tcPr>
            <w:tcW w:w="3504"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Smerter i brystet</w:t>
            </w:r>
          </w:p>
        </w:tc>
        <w:tc>
          <w:tcPr>
            <w:tcW w:w="1496"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F46E86" w:rsidRPr="00F46E86" w:rsidRDefault="00F46E86" w:rsidP="006E1D53">
            <w:pPr>
              <w:ind w:left="104"/>
              <w:rPr>
                <w:color w:val="000000"/>
                <w:sz w:val="24"/>
                <w:szCs w:val="24"/>
              </w:rPr>
            </w:pPr>
            <w:r w:rsidRPr="00F46E86">
              <w:rPr>
                <w:color w:val="000000"/>
                <w:sz w:val="24"/>
                <w:szCs w:val="24"/>
              </w:rPr>
              <w:t>Ikke almindelig</w:t>
            </w:r>
          </w:p>
        </w:tc>
      </w:tr>
    </w:tbl>
    <w:p w:rsidR="00F46E86" w:rsidRPr="00F46E86" w:rsidRDefault="00F46E86" w:rsidP="00F46E86">
      <w:pPr>
        <w:shd w:val="clear" w:color="auto" w:fill="FFFFFF"/>
        <w:tabs>
          <w:tab w:val="left" w:pos="851"/>
        </w:tabs>
        <w:ind w:left="851"/>
        <w:rPr>
          <w:bCs/>
          <w:i/>
          <w:iCs/>
          <w:color w:val="000000"/>
          <w:sz w:val="24"/>
          <w:szCs w:val="24"/>
        </w:rPr>
      </w:pPr>
      <w:r w:rsidRPr="00F46E86">
        <w:rPr>
          <w:bCs/>
          <w:i/>
          <w:iCs/>
          <w:color w:val="000000"/>
          <w:sz w:val="24"/>
          <w:szCs w:val="24"/>
        </w:rPr>
        <w:t>*</w:t>
      </w:r>
      <w:r w:rsidR="002D08D4">
        <w:rPr>
          <w:bCs/>
          <w:i/>
          <w:iCs/>
          <w:color w:val="000000"/>
          <w:sz w:val="24"/>
          <w:szCs w:val="24"/>
        </w:rPr>
        <w:t xml:space="preserve"> </w:t>
      </w:r>
      <w:r w:rsidRPr="00F46E86">
        <w:rPr>
          <w:bCs/>
          <w:i/>
          <w:iCs/>
          <w:color w:val="000000"/>
          <w:sz w:val="24"/>
          <w:szCs w:val="24"/>
        </w:rPr>
        <w:t>Hyppigheden af disse bivirkninger er udledt fra erfaringerne efter markedsføring.</w:t>
      </w:r>
    </w:p>
    <w:p w:rsidR="00F46E86" w:rsidRPr="00F46E86" w:rsidRDefault="00F46E86" w:rsidP="00F46E86">
      <w:pPr>
        <w:shd w:val="clear" w:color="auto" w:fill="FFFFFF"/>
        <w:tabs>
          <w:tab w:val="left" w:pos="851"/>
        </w:tabs>
        <w:ind w:left="851"/>
        <w:rPr>
          <w:bCs/>
          <w:i/>
          <w:iCs/>
          <w:color w:val="000000"/>
          <w:sz w:val="24"/>
          <w:szCs w:val="24"/>
        </w:rPr>
      </w:pPr>
      <w:r w:rsidRPr="00F46E86">
        <w:rPr>
          <w:bCs/>
          <w:i/>
          <w:iCs/>
          <w:color w:val="000000"/>
          <w:sz w:val="24"/>
          <w:szCs w:val="24"/>
        </w:rPr>
        <w:t>**</w:t>
      </w:r>
      <w:r w:rsidR="002D08D4">
        <w:rPr>
          <w:bCs/>
          <w:i/>
          <w:iCs/>
          <w:color w:val="000000"/>
          <w:sz w:val="24"/>
          <w:szCs w:val="24"/>
        </w:rPr>
        <w:t xml:space="preserve"> </w:t>
      </w:r>
      <w:r w:rsidRPr="00F46E86">
        <w:rPr>
          <w:bCs/>
          <w:i/>
          <w:iCs/>
          <w:color w:val="000000"/>
          <w:sz w:val="24"/>
          <w:szCs w:val="24"/>
        </w:rPr>
        <w:t>Nethindeløsning er kun indberettet hos hiv-patienter i behandling for CMV-retinitis.</w:t>
      </w:r>
    </w:p>
    <w:p w:rsidR="00F46E86" w:rsidRPr="00F46E86" w:rsidRDefault="00F46E86" w:rsidP="00F46E86">
      <w:pPr>
        <w:shd w:val="clear" w:color="auto" w:fill="FFFFFF"/>
        <w:tabs>
          <w:tab w:val="left" w:pos="851"/>
        </w:tabs>
        <w:ind w:left="851"/>
        <w:rPr>
          <w:bCs/>
          <w:iCs/>
          <w:color w:val="000000"/>
          <w:sz w:val="24"/>
          <w:szCs w:val="24"/>
          <w:lang w:eastAsia="el-GR"/>
        </w:rPr>
      </w:pPr>
    </w:p>
    <w:p w:rsidR="00F46E86" w:rsidRPr="00F46E86" w:rsidRDefault="00F46E86" w:rsidP="00F46E86">
      <w:pPr>
        <w:shd w:val="clear" w:color="auto" w:fill="FFFFFF"/>
        <w:tabs>
          <w:tab w:val="left" w:pos="851"/>
        </w:tabs>
        <w:ind w:left="851"/>
        <w:rPr>
          <w:bCs/>
          <w:iCs/>
          <w:color w:val="000000"/>
          <w:sz w:val="24"/>
          <w:szCs w:val="24"/>
          <w:u w:val="single"/>
        </w:rPr>
      </w:pPr>
      <w:r w:rsidRPr="00F46E86">
        <w:rPr>
          <w:bCs/>
          <w:iCs/>
          <w:color w:val="000000"/>
          <w:sz w:val="24"/>
          <w:szCs w:val="24"/>
          <w:u w:val="single"/>
        </w:rPr>
        <w:t>Beskrivelse af udvalgte bivirkninger</w:t>
      </w:r>
    </w:p>
    <w:p w:rsidR="00F46E86" w:rsidRPr="00F46E86" w:rsidRDefault="00F46E86" w:rsidP="00F46E86">
      <w:pPr>
        <w:shd w:val="clear" w:color="auto" w:fill="FFFFFF"/>
        <w:tabs>
          <w:tab w:val="left" w:pos="851"/>
        </w:tabs>
        <w:ind w:left="851"/>
        <w:rPr>
          <w:bCs/>
          <w:i/>
          <w:iCs/>
          <w:color w:val="000000"/>
          <w:sz w:val="24"/>
          <w:szCs w:val="24"/>
          <w:lang w:eastAsia="el-GR"/>
        </w:rPr>
      </w:pPr>
    </w:p>
    <w:p w:rsidR="00F46E86" w:rsidRPr="00F46E86" w:rsidRDefault="00F46E86" w:rsidP="00F46E86">
      <w:pPr>
        <w:shd w:val="clear" w:color="auto" w:fill="FFFFFF"/>
        <w:tabs>
          <w:tab w:val="left" w:pos="851"/>
        </w:tabs>
        <w:ind w:left="851"/>
        <w:rPr>
          <w:bCs/>
          <w:i/>
          <w:iCs/>
          <w:color w:val="000000"/>
          <w:sz w:val="24"/>
          <w:szCs w:val="24"/>
        </w:rPr>
      </w:pPr>
      <w:r w:rsidRPr="00F46E86">
        <w:rPr>
          <w:bCs/>
          <w:i/>
          <w:iCs/>
          <w:color w:val="000000"/>
          <w:sz w:val="24"/>
          <w:szCs w:val="24"/>
        </w:rPr>
        <w:t>Neutropeni</w:t>
      </w:r>
    </w:p>
    <w:p w:rsidR="00F46E86" w:rsidRPr="00F46E86" w:rsidRDefault="00F46E86" w:rsidP="00F46E86">
      <w:pPr>
        <w:shd w:val="clear" w:color="auto" w:fill="FFFFFF"/>
        <w:tabs>
          <w:tab w:val="left" w:pos="851"/>
        </w:tabs>
        <w:ind w:left="851"/>
        <w:rPr>
          <w:bCs/>
          <w:iCs/>
          <w:color w:val="000000"/>
          <w:sz w:val="24"/>
          <w:szCs w:val="24"/>
        </w:rPr>
      </w:pPr>
      <w:r w:rsidRPr="00F46E86">
        <w:rPr>
          <w:bCs/>
          <w:iCs/>
          <w:color w:val="000000"/>
          <w:sz w:val="24"/>
          <w:szCs w:val="24"/>
        </w:rPr>
        <w:t>Det er ikke muligt at forudsige risikoen for neutropeni på baggrund af antallet af neutrofiler inden behandlingen. Neutropeni indtræder som regel i den første eller anden uge af induktionsbehandling. Celletallet normaliseres som regel i løbet af 2 til 5 dage efter seponering eller dosisreduktion (se pkt. 4.4).</w:t>
      </w:r>
    </w:p>
    <w:p w:rsidR="002D08D4" w:rsidRDefault="002D08D4">
      <w:pPr>
        <w:rPr>
          <w:bCs/>
          <w:iCs/>
          <w:color w:val="000000"/>
          <w:sz w:val="24"/>
          <w:szCs w:val="24"/>
          <w:lang w:eastAsia="el-GR"/>
        </w:rPr>
      </w:pPr>
      <w:r>
        <w:rPr>
          <w:bCs/>
          <w:iCs/>
          <w:color w:val="000000"/>
          <w:sz w:val="24"/>
          <w:szCs w:val="24"/>
          <w:lang w:eastAsia="el-GR"/>
        </w:rPr>
        <w:br w:type="page"/>
      </w:r>
    </w:p>
    <w:p w:rsidR="00F46E86" w:rsidRPr="00F46E86" w:rsidRDefault="00F46E86" w:rsidP="00F46E86">
      <w:pPr>
        <w:shd w:val="clear" w:color="auto" w:fill="FFFFFF"/>
        <w:tabs>
          <w:tab w:val="left" w:pos="851"/>
        </w:tabs>
        <w:ind w:left="851"/>
        <w:rPr>
          <w:bCs/>
          <w:iCs/>
          <w:color w:val="000000"/>
          <w:sz w:val="24"/>
          <w:szCs w:val="24"/>
          <w:lang w:eastAsia="el-GR"/>
        </w:rPr>
      </w:pPr>
    </w:p>
    <w:p w:rsidR="00F46E86" w:rsidRPr="00F46E86" w:rsidRDefault="00F46E86" w:rsidP="00F46E86">
      <w:pPr>
        <w:shd w:val="clear" w:color="auto" w:fill="FFFFFF"/>
        <w:tabs>
          <w:tab w:val="left" w:pos="851"/>
        </w:tabs>
        <w:ind w:left="851"/>
        <w:rPr>
          <w:bCs/>
          <w:i/>
          <w:iCs/>
          <w:color w:val="000000"/>
          <w:sz w:val="24"/>
          <w:szCs w:val="24"/>
        </w:rPr>
      </w:pPr>
      <w:r w:rsidRPr="00F46E86">
        <w:rPr>
          <w:bCs/>
          <w:i/>
          <w:iCs/>
          <w:color w:val="000000"/>
          <w:sz w:val="24"/>
          <w:szCs w:val="24"/>
        </w:rPr>
        <w:t>Trombocytopeni</w:t>
      </w:r>
    </w:p>
    <w:p w:rsidR="00F46E86" w:rsidRPr="00F46E86" w:rsidRDefault="00F46E86" w:rsidP="00F46E86">
      <w:pPr>
        <w:shd w:val="clear" w:color="auto" w:fill="FFFFFF"/>
        <w:tabs>
          <w:tab w:val="left" w:pos="851"/>
        </w:tabs>
        <w:ind w:left="851"/>
        <w:rPr>
          <w:bCs/>
          <w:iCs/>
          <w:color w:val="000000"/>
          <w:sz w:val="24"/>
          <w:szCs w:val="24"/>
        </w:rPr>
      </w:pPr>
      <w:r w:rsidRPr="00F46E86">
        <w:rPr>
          <w:bCs/>
          <w:iCs/>
          <w:color w:val="000000"/>
          <w:sz w:val="24"/>
          <w:szCs w:val="24"/>
        </w:rPr>
        <w:t>Patienter med et lavt trombocyttal (&lt; 100.000/μl) ved baseline har en øget risiko for at udvikle trombocytopeni. Patienter med iatrogen immunsuppression som følge af behandling med immunsuppressiva har en højere risiko for trombocytopeni end patienter med aids (se pkt. 4.4). Svær trombocytopeni kan være forbundet med potentielt livstruende blødning.</w:t>
      </w:r>
    </w:p>
    <w:p w:rsidR="00F46E86" w:rsidRPr="00F46E86" w:rsidRDefault="00F46E86" w:rsidP="00F46E86">
      <w:pPr>
        <w:shd w:val="clear" w:color="auto" w:fill="FFFFFF"/>
        <w:tabs>
          <w:tab w:val="left" w:pos="851"/>
        </w:tabs>
        <w:ind w:left="851"/>
        <w:rPr>
          <w:bCs/>
          <w:iCs/>
          <w:color w:val="000000"/>
          <w:sz w:val="24"/>
          <w:szCs w:val="24"/>
          <w:lang w:eastAsia="el-GR"/>
        </w:rPr>
      </w:pPr>
    </w:p>
    <w:p w:rsidR="00F46E86" w:rsidRPr="00F46E86" w:rsidRDefault="00F46E86" w:rsidP="00F46E86">
      <w:pPr>
        <w:shd w:val="clear" w:color="auto" w:fill="FFFFFF"/>
        <w:tabs>
          <w:tab w:val="left" w:pos="851"/>
        </w:tabs>
        <w:ind w:left="851"/>
        <w:rPr>
          <w:bCs/>
          <w:i/>
          <w:iCs/>
          <w:color w:val="000000"/>
          <w:sz w:val="24"/>
          <w:szCs w:val="24"/>
        </w:rPr>
      </w:pPr>
      <w:r w:rsidRPr="00F46E86">
        <w:rPr>
          <w:bCs/>
          <w:i/>
          <w:iCs/>
          <w:color w:val="000000"/>
          <w:sz w:val="24"/>
          <w:szCs w:val="24"/>
        </w:rPr>
        <w:t>Indvirkning af behandlingsvarighed eller indikation på bivirkninger</w:t>
      </w:r>
    </w:p>
    <w:p w:rsidR="00F46E86" w:rsidRPr="00F46E86" w:rsidRDefault="00F46E86" w:rsidP="00F46E86">
      <w:pPr>
        <w:shd w:val="clear" w:color="auto" w:fill="FFFFFF"/>
        <w:tabs>
          <w:tab w:val="left" w:pos="851"/>
        </w:tabs>
        <w:ind w:left="851"/>
        <w:rPr>
          <w:bCs/>
          <w:iCs/>
          <w:color w:val="000000"/>
          <w:sz w:val="24"/>
          <w:szCs w:val="24"/>
        </w:rPr>
      </w:pPr>
      <w:r w:rsidRPr="00F46E86">
        <w:rPr>
          <w:bCs/>
          <w:iCs/>
          <w:color w:val="000000"/>
          <w:sz w:val="24"/>
          <w:szCs w:val="24"/>
        </w:rPr>
        <w:t>Svær neutropeni (ANC &lt; 500/μl) ses hyppigere hos patienter med CMV-retinitis (14 %), der er i behandling med valganciclovir, intravenøs eller oral ganciclovir, end hos transplanterede patienter, der får valganciclovir eller oral ganciclovir. Hos patienter, der fik valganciclovir eller oral ganciclovir indtil dag 100 efter transplantationen, var forekomsten af svær neutropeni henholdsvis 5 % og 3 %, mens forekomsten af svær neutropeni var 10 % hos patienter, der fik valganciclovir indtil dag 200 efter transplantationen.</w:t>
      </w:r>
    </w:p>
    <w:p w:rsidR="00F46E86" w:rsidRPr="00F46E86" w:rsidRDefault="00F46E86" w:rsidP="00F46E86">
      <w:pPr>
        <w:shd w:val="clear" w:color="auto" w:fill="FFFFFF"/>
        <w:tabs>
          <w:tab w:val="left" w:pos="851"/>
        </w:tabs>
        <w:ind w:left="851"/>
        <w:rPr>
          <w:bCs/>
          <w:iCs/>
          <w:color w:val="000000"/>
          <w:sz w:val="24"/>
          <w:szCs w:val="24"/>
          <w:lang w:eastAsia="el-GR"/>
        </w:rPr>
      </w:pPr>
    </w:p>
    <w:p w:rsidR="00F46E86" w:rsidRPr="00F46E86" w:rsidRDefault="00F46E86" w:rsidP="00F46E86">
      <w:pPr>
        <w:shd w:val="clear" w:color="auto" w:fill="FFFFFF"/>
        <w:tabs>
          <w:tab w:val="left" w:pos="851"/>
        </w:tabs>
        <w:ind w:left="851"/>
        <w:rPr>
          <w:bCs/>
          <w:iCs/>
          <w:color w:val="000000"/>
          <w:sz w:val="24"/>
          <w:szCs w:val="24"/>
        </w:rPr>
      </w:pPr>
      <w:r w:rsidRPr="00F46E86">
        <w:rPr>
          <w:bCs/>
          <w:iCs/>
          <w:color w:val="000000"/>
          <w:sz w:val="24"/>
          <w:szCs w:val="24"/>
        </w:rPr>
        <w:t>Forekomsten af øget serumkreatinin var højere hos transplanterede patienter, der fik behandling indtil dag 100 eller dag 200 efter transplantationen med både valganciclovir og oral ganciclovir, end hos patienter med CMV-retinitis. Nedsat nyrefunktion er imidlertid et almindeligt karakteristikum hos organtransplanterede patienter.</w:t>
      </w:r>
    </w:p>
    <w:p w:rsidR="00F46E86" w:rsidRPr="00F46E86" w:rsidRDefault="00F46E86" w:rsidP="00F46E86">
      <w:pPr>
        <w:shd w:val="clear" w:color="auto" w:fill="FFFFFF"/>
        <w:tabs>
          <w:tab w:val="left" w:pos="851"/>
        </w:tabs>
        <w:ind w:left="851"/>
        <w:rPr>
          <w:bCs/>
          <w:iCs/>
          <w:color w:val="000000"/>
          <w:sz w:val="24"/>
          <w:szCs w:val="24"/>
          <w:lang w:eastAsia="el-GR"/>
        </w:rPr>
      </w:pPr>
    </w:p>
    <w:p w:rsidR="00F46E86" w:rsidRPr="00F46E86" w:rsidRDefault="00F46E86" w:rsidP="00F46E86">
      <w:pPr>
        <w:shd w:val="clear" w:color="auto" w:fill="FFFFFF"/>
        <w:tabs>
          <w:tab w:val="left" w:pos="851"/>
        </w:tabs>
        <w:ind w:left="851"/>
        <w:rPr>
          <w:bCs/>
          <w:iCs/>
          <w:color w:val="000000"/>
          <w:sz w:val="24"/>
          <w:szCs w:val="24"/>
        </w:rPr>
      </w:pPr>
      <w:r w:rsidRPr="00F46E86">
        <w:rPr>
          <w:bCs/>
          <w:iCs/>
          <w:color w:val="000000"/>
          <w:sz w:val="24"/>
          <w:szCs w:val="24"/>
        </w:rPr>
        <w:t>Valganciclovirs overordnede sikkerhedsprofil var uforandret ved forlængelse af profylaktisk behandling op til 200 dage hos nyretransplanterede højrisikopatienter. Leukopeni blev indberettet med en let forøget forekomst i 200-dages-armen, mens forekomsten af neutropeni, anæmi og trombocytopeni var ensartet i begge arme.</w:t>
      </w:r>
    </w:p>
    <w:p w:rsidR="00F46E86" w:rsidRPr="00F46E86" w:rsidRDefault="00F46E86" w:rsidP="00F46E86">
      <w:pPr>
        <w:shd w:val="clear" w:color="auto" w:fill="FFFFFF"/>
        <w:tabs>
          <w:tab w:val="left" w:pos="851"/>
        </w:tabs>
        <w:ind w:left="851"/>
        <w:rPr>
          <w:bCs/>
          <w:iCs/>
          <w:color w:val="000000"/>
          <w:sz w:val="24"/>
          <w:szCs w:val="24"/>
          <w:u w:val="single"/>
          <w:lang w:eastAsia="el-GR"/>
        </w:rPr>
      </w:pPr>
    </w:p>
    <w:p w:rsidR="00F46E86" w:rsidRPr="00F46E86" w:rsidRDefault="00F46E86" w:rsidP="00F46E86">
      <w:pPr>
        <w:shd w:val="clear" w:color="auto" w:fill="FFFFFF"/>
        <w:tabs>
          <w:tab w:val="left" w:pos="851"/>
        </w:tabs>
        <w:ind w:left="851"/>
        <w:rPr>
          <w:color w:val="000000"/>
          <w:sz w:val="24"/>
          <w:szCs w:val="24"/>
          <w:u w:val="single"/>
        </w:rPr>
      </w:pPr>
      <w:r w:rsidRPr="00F46E86">
        <w:rPr>
          <w:bCs/>
          <w:iCs/>
          <w:color w:val="000000"/>
          <w:sz w:val="24"/>
          <w:szCs w:val="24"/>
          <w:u w:val="single"/>
        </w:rPr>
        <w:t>Pædiatrisk population</w:t>
      </w:r>
    </w:p>
    <w:p w:rsidR="00F46E86" w:rsidRPr="00F46E86" w:rsidRDefault="00F46E86" w:rsidP="00F46E86">
      <w:pPr>
        <w:shd w:val="clear" w:color="auto" w:fill="FFFFFF"/>
        <w:tabs>
          <w:tab w:val="left" w:pos="851"/>
        </w:tabs>
        <w:ind w:left="851"/>
        <w:rPr>
          <w:color w:val="000000"/>
          <w:sz w:val="24"/>
          <w:szCs w:val="24"/>
        </w:rPr>
      </w:pPr>
      <w:r w:rsidRPr="00F46E86">
        <w:rPr>
          <w:sz w:val="24"/>
          <w:szCs w:val="24"/>
        </w:rPr>
        <w:t>Valganciclovir er blevet undersøgt hos 179 pædiatriske organtransplanterede patienter (i alderen 3 uger til 16 år) med risiko for at udvikle CMV-sygdom og hos 133 nyfødte (i alderen 2 til 31 dage) med symptomatisk medfødt CMV-sygdom. Varigheden af ganciclovir-eksponeringen varierede fra 2 til 200 dage.</w:t>
      </w:r>
      <w:r w:rsidRPr="00F46E86">
        <w:rPr>
          <w:color w:val="000000"/>
          <w:sz w:val="24"/>
          <w:szCs w:val="24"/>
        </w:rPr>
        <w:t xml:space="preserve"> </w:t>
      </w:r>
    </w:p>
    <w:p w:rsidR="00F46E86" w:rsidRPr="00F46E86" w:rsidRDefault="00F46E86" w:rsidP="00F46E86">
      <w:pPr>
        <w:shd w:val="clear" w:color="auto" w:fill="FFFFFF"/>
        <w:tabs>
          <w:tab w:val="left" w:pos="851"/>
        </w:tabs>
        <w:ind w:left="851"/>
        <w:rPr>
          <w:color w:val="000000"/>
          <w:sz w:val="24"/>
          <w:szCs w:val="24"/>
          <w:lang w:eastAsia="el-GR"/>
        </w:rPr>
      </w:pP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rPr>
        <w:t xml:space="preserve">Diarré, kvalme, neutropeni, leukopeni og anæmi var de hyppigst rapporterede bivirkninger i de pædiatriske kliniske studier. </w:t>
      </w:r>
    </w:p>
    <w:p w:rsidR="00F46E86" w:rsidRPr="00F46E86" w:rsidRDefault="00F46E86" w:rsidP="00F46E86">
      <w:pPr>
        <w:shd w:val="clear" w:color="auto" w:fill="FFFFFF"/>
        <w:tabs>
          <w:tab w:val="left" w:pos="851"/>
        </w:tabs>
        <w:ind w:left="851"/>
        <w:rPr>
          <w:color w:val="000000"/>
          <w:sz w:val="24"/>
          <w:szCs w:val="24"/>
          <w:lang w:eastAsia="el-GR"/>
        </w:rPr>
      </w:pP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rPr>
        <w:t>Hos de organtransplanterede patienter var den overordnede sikkerhedsprofil ensartet hos de pædiatriske og voksne patienter. Neutropeni blev rapporteret med lidt højere frekvens end hos voksne i de to studier, som blev udført hos pædiatriske organtransplanterede patienter. Der var dog ingen korrelation mellem neutropeni og infektiøse bivirkninger hos den pædiatriske population. Blodtallene skal monitoreres nøje hos nyfødte og spædbørn som følge af en højere risiko for cytopeni (se pkt. 4.4).</w:t>
      </w:r>
    </w:p>
    <w:p w:rsidR="00F46E86" w:rsidRPr="00F46E86" w:rsidRDefault="00F46E86" w:rsidP="00F46E86">
      <w:pPr>
        <w:shd w:val="clear" w:color="auto" w:fill="FFFFFF"/>
        <w:tabs>
          <w:tab w:val="left" w:pos="851"/>
        </w:tabs>
        <w:ind w:left="851"/>
        <w:rPr>
          <w:color w:val="000000"/>
          <w:sz w:val="24"/>
          <w:szCs w:val="24"/>
          <w:lang w:eastAsia="el-GR"/>
        </w:rPr>
      </w:pPr>
    </w:p>
    <w:p w:rsidR="00F46E86" w:rsidRPr="00F46E86" w:rsidRDefault="00F46E86" w:rsidP="00F46E86">
      <w:pPr>
        <w:shd w:val="clear" w:color="auto" w:fill="FFFFFF"/>
        <w:tabs>
          <w:tab w:val="left" w:pos="851"/>
        </w:tabs>
        <w:ind w:left="851"/>
        <w:rPr>
          <w:color w:val="000000"/>
          <w:sz w:val="24"/>
          <w:szCs w:val="24"/>
        </w:rPr>
      </w:pPr>
      <w:r w:rsidRPr="00F46E86">
        <w:rPr>
          <w:color w:val="000000"/>
          <w:sz w:val="24"/>
          <w:szCs w:val="24"/>
        </w:rPr>
        <w:t>Hos nyretransplanterede pædiatriske patienter var forlængelse af valganciclovir-eksponering op til 200 dage ikke forbundet med en generel stigning i forekomsten af bivirkninger. Forekomsten af alvorlig neutropeni (ANC &lt; 500/µl) var højere hos pædiatriske nyrepatienter, der fik behandling indtil dag 200, i forhold til pædiatriske patienter behandlet indtil dag 100 og i forhold til voksne nyretransplanterede patienter behandlet indtil dag 100 eller dag 200 (se pkt. 4.4).</w:t>
      </w:r>
    </w:p>
    <w:p w:rsidR="00F46E86" w:rsidRPr="00F46E86" w:rsidRDefault="00F46E86" w:rsidP="00F46E86">
      <w:pPr>
        <w:shd w:val="clear" w:color="auto" w:fill="FFFFFF"/>
        <w:tabs>
          <w:tab w:val="left" w:pos="851"/>
        </w:tabs>
        <w:ind w:left="851"/>
        <w:rPr>
          <w:color w:val="000000"/>
          <w:sz w:val="24"/>
          <w:szCs w:val="24"/>
          <w:lang w:eastAsia="el-GR"/>
        </w:rPr>
      </w:pPr>
    </w:p>
    <w:p w:rsidR="00F46E86" w:rsidRPr="00F46E86" w:rsidRDefault="00F46E86" w:rsidP="00F46E86">
      <w:pPr>
        <w:shd w:val="clear" w:color="auto" w:fill="FFFFFF"/>
        <w:tabs>
          <w:tab w:val="left" w:pos="851"/>
        </w:tabs>
        <w:ind w:left="851"/>
        <w:rPr>
          <w:color w:val="000000"/>
          <w:sz w:val="24"/>
          <w:szCs w:val="24"/>
        </w:rPr>
      </w:pPr>
      <w:r w:rsidRPr="00F46E86">
        <w:rPr>
          <w:sz w:val="24"/>
          <w:szCs w:val="24"/>
        </w:rPr>
        <w:lastRenderedPageBreak/>
        <w:t>Der er kun begrænsede tilgængelige data fra nyfødte eller spædbørn med symptomatisk medfødt CMV-infektion behandlet med valganciclovir, men sikkerheden ser ud til at være i overensstemmelse med den kendte sikkerhedsprofil for valganciclovir/ganciclovir.</w:t>
      </w:r>
    </w:p>
    <w:p w:rsidR="00F46E86" w:rsidRPr="00F46E86" w:rsidRDefault="00F46E86" w:rsidP="00F46E86">
      <w:pPr>
        <w:tabs>
          <w:tab w:val="left" w:pos="851"/>
        </w:tabs>
        <w:ind w:left="851"/>
        <w:rPr>
          <w:sz w:val="24"/>
          <w:szCs w:val="24"/>
          <w:u w:val="single"/>
        </w:rPr>
      </w:pPr>
    </w:p>
    <w:p w:rsidR="002D08D4" w:rsidRPr="008F49E1" w:rsidRDefault="002D08D4" w:rsidP="004D4E95">
      <w:pPr>
        <w:autoSpaceDE w:val="0"/>
        <w:autoSpaceDN w:val="0"/>
        <w:ind w:left="851"/>
        <w:rPr>
          <w:sz w:val="24"/>
          <w:szCs w:val="24"/>
          <w:u w:val="single"/>
          <w:lang w:eastAsia="da-DK"/>
        </w:rPr>
      </w:pPr>
      <w:r w:rsidRPr="008F49E1">
        <w:rPr>
          <w:sz w:val="24"/>
          <w:szCs w:val="24"/>
          <w:u w:val="single"/>
          <w:lang w:eastAsia="da-DK"/>
        </w:rPr>
        <w:t>Indberetning af formodede bivirkninger</w:t>
      </w:r>
    </w:p>
    <w:p w:rsidR="002D08D4" w:rsidRPr="008F49E1" w:rsidRDefault="002D08D4" w:rsidP="004D4E95">
      <w:pPr>
        <w:ind w:left="851"/>
        <w:rPr>
          <w:sz w:val="24"/>
          <w:szCs w:val="24"/>
          <w:lang w:eastAsia="da-DK"/>
        </w:rPr>
      </w:pPr>
      <w:r w:rsidRPr="008F49E1">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rsidR="002D08D4" w:rsidRPr="008F49E1" w:rsidRDefault="002D08D4" w:rsidP="004D4E95">
      <w:pPr>
        <w:ind w:left="851"/>
        <w:rPr>
          <w:sz w:val="24"/>
          <w:szCs w:val="24"/>
          <w:lang w:eastAsia="da-DK"/>
        </w:rPr>
      </w:pPr>
    </w:p>
    <w:p w:rsidR="002D08D4" w:rsidRPr="007A276A" w:rsidRDefault="002D08D4" w:rsidP="004D4E95">
      <w:pPr>
        <w:ind w:left="851"/>
        <w:rPr>
          <w:sz w:val="24"/>
          <w:szCs w:val="24"/>
          <w:lang w:eastAsia="da-DK"/>
        </w:rPr>
      </w:pPr>
      <w:r w:rsidRPr="007A276A">
        <w:rPr>
          <w:sz w:val="24"/>
          <w:szCs w:val="24"/>
          <w:lang w:eastAsia="da-DK"/>
        </w:rPr>
        <w:t>Lægemiddelstyrelsen</w:t>
      </w:r>
    </w:p>
    <w:p w:rsidR="002D08D4" w:rsidRPr="007A276A" w:rsidRDefault="002D08D4" w:rsidP="004D4E95">
      <w:pPr>
        <w:ind w:left="851"/>
        <w:rPr>
          <w:sz w:val="24"/>
          <w:szCs w:val="24"/>
          <w:lang w:eastAsia="da-DK"/>
        </w:rPr>
      </w:pPr>
      <w:r w:rsidRPr="007A276A">
        <w:rPr>
          <w:sz w:val="24"/>
          <w:szCs w:val="24"/>
          <w:lang w:eastAsia="da-DK"/>
        </w:rPr>
        <w:t>Axel Heides Gade 1</w:t>
      </w:r>
    </w:p>
    <w:p w:rsidR="002D08D4" w:rsidRPr="007A276A" w:rsidRDefault="002D08D4" w:rsidP="004D4E95">
      <w:pPr>
        <w:ind w:left="851"/>
        <w:rPr>
          <w:sz w:val="24"/>
          <w:szCs w:val="24"/>
          <w:lang w:eastAsia="da-DK"/>
        </w:rPr>
      </w:pPr>
      <w:r w:rsidRPr="007A276A">
        <w:rPr>
          <w:sz w:val="24"/>
          <w:szCs w:val="24"/>
          <w:lang w:eastAsia="da-DK"/>
        </w:rPr>
        <w:t>DK-2300 København S</w:t>
      </w:r>
    </w:p>
    <w:p w:rsidR="002D08D4" w:rsidRPr="007A276A" w:rsidRDefault="002D08D4" w:rsidP="004D4E95">
      <w:pPr>
        <w:ind w:left="851"/>
        <w:rPr>
          <w:sz w:val="24"/>
          <w:szCs w:val="24"/>
          <w:lang w:val="en-US" w:eastAsia="da-DK"/>
        </w:rPr>
      </w:pPr>
      <w:r w:rsidRPr="007A276A">
        <w:rPr>
          <w:sz w:val="24"/>
          <w:szCs w:val="24"/>
          <w:lang w:val="en-US" w:eastAsia="da-DK"/>
        </w:rPr>
        <w:t xml:space="preserve">Websted: </w:t>
      </w:r>
      <w:r w:rsidRPr="00F42FEA">
        <w:rPr>
          <w:sz w:val="24"/>
          <w:lang w:val="en-US" w:eastAsia="da-DK"/>
        </w:rPr>
        <w:t>www.meldenbivirkning.dk</w:t>
      </w:r>
    </w:p>
    <w:p w:rsidR="002D08D4" w:rsidRPr="002A1420" w:rsidRDefault="002D08D4" w:rsidP="004D4E95">
      <w:pPr>
        <w:ind w:left="851"/>
        <w:rPr>
          <w:color w:val="0000FF"/>
          <w:sz w:val="24"/>
          <w:u w:val="single"/>
          <w:lang w:val="en-US" w:eastAsia="da-DK"/>
        </w:rPr>
      </w:pPr>
      <w:r w:rsidRPr="00995012">
        <w:rPr>
          <w:sz w:val="24"/>
          <w:szCs w:val="24"/>
          <w:lang w:val="en-US" w:eastAsia="da-DK"/>
        </w:rPr>
        <w:t xml:space="preserve">E-mail: </w:t>
      </w:r>
      <w:r w:rsidRPr="00F57E9D">
        <w:rPr>
          <w:sz w:val="24"/>
          <w:lang w:val="en-US" w:eastAsia="da-DK"/>
        </w:rPr>
        <w:t>dkma@dkma.dk</w:t>
      </w:r>
    </w:p>
    <w:p w:rsidR="009260DE" w:rsidRPr="004D4E95" w:rsidRDefault="009260DE" w:rsidP="009260DE">
      <w:pPr>
        <w:pStyle w:val="Sidehoved"/>
        <w:tabs>
          <w:tab w:val="left" w:pos="851"/>
        </w:tabs>
        <w:ind w:left="851"/>
        <w:rPr>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5A714F" w:rsidRPr="005A714F" w:rsidRDefault="005A714F" w:rsidP="005A714F">
      <w:pPr>
        <w:tabs>
          <w:tab w:val="left" w:pos="851"/>
        </w:tabs>
        <w:ind w:left="851"/>
        <w:rPr>
          <w:sz w:val="24"/>
          <w:szCs w:val="24"/>
        </w:rPr>
      </w:pPr>
    </w:p>
    <w:p w:rsidR="005A714F" w:rsidRPr="005A714F" w:rsidRDefault="005A714F" w:rsidP="005A714F">
      <w:pPr>
        <w:shd w:val="clear" w:color="auto" w:fill="FFFFFF"/>
        <w:tabs>
          <w:tab w:val="left" w:pos="851"/>
        </w:tabs>
        <w:ind w:left="851"/>
        <w:rPr>
          <w:color w:val="000000"/>
          <w:sz w:val="24"/>
          <w:szCs w:val="24"/>
        </w:rPr>
      </w:pPr>
      <w:r w:rsidRPr="005A714F">
        <w:rPr>
          <w:color w:val="000000"/>
          <w:sz w:val="24"/>
          <w:szCs w:val="24"/>
          <w:u w:val="single"/>
        </w:rPr>
        <w:t>Erfaringer med overdosering af valganciclovir og intravenøs ganciclovir</w:t>
      </w:r>
    </w:p>
    <w:p w:rsidR="005A714F" w:rsidRPr="005A714F" w:rsidRDefault="005A714F" w:rsidP="005A714F">
      <w:pPr>
        <w:shd w:val="clear" w:color="auto" w:fill="FFFFFF"/>
        <w:tabs>
          <w:tab w:val="left" w:pos="851"/>
        </w:tabs>
        <w:ind w:left="851"/>
        <w:rPr>
          <w:color w:val="000000"/>
          <w:sz w:val="24"/>
          <w:szCs w:val="24"/>
        </w:rPr>
      </w:pPr>
      <w:r w:rsidRPr="005A714F">
        <w:rPr>
          <w:color w:val="000000"/>
          <w:sz w:val="24"/>
          <w:szCs w:val="24"/>
        </w:rPr>
        <w:t>Det forventes, at en overdosis af valganciclovir muligvis kan medføre øget nyretoksicitet (se pkt. 4.2 og 4.4).</w:t>
      </w:r>
    </w:p>
    <w:p w:rsidR="005A714F" w:rsidRPr="005A714F" w:rsidRDefault="005A714F" w:rsidP="005A714F">
      <w:pPr>
        <w:shd w:val="clear" w:color="auto" w:fill="FFFFFF"/>
        <w:tabs>
          <w:tab w:val="left" w:pos="851"/>
        </w:tabs>
        <w:ind w:left="851"/>
        <w:rPr>
          <w:color w:val="000000"/>
          <w:sz w:val="24"/>
          <w:szCs w:val="24"/>
          <w:lang w:eastAsia="el-GR"/>
        </w:rPr>
      </w:pPr>
    </w:p>
    <w:p w:rsidR="005A714F" w:rsidRPr="005A714F" w:rsidRDefault="005A714F" w:rsidP="005A714F">
      <w:pPr>
        <w:shd w:val="clear" w:color="auto" w:fill="FFFFFF"/>
        <w:tabs>
          <w:tab w:val="left" w:pos="851"/>
        </w:tabs>
        <w:ind w:left="851"/>
        <w:rPr>
          <w:color w:val="000000"/>
          <w:sz w:val="24"/>
          <w:szCs w:val="24"/>
        </w:rPr>
      </w:pPr>
      <w:r w:rsidRPr="005A714F">
        <w:rPr>
          <w:color w:val="000000"/>
          <w:sz w:val="24"/>
          <w:szCs w:val="24"/>
        </w:rPr>
        <w:t>Der er rapporteret om overdosering af intravenøs ganciclovir, herunder dødelige tilfælde, i kliniske studier og efter markedsføringen. I nogle af tilfældene blev der ikke rapporteret om uønskede hændelser. De fleste patienter fik en eller flere af følgende uønskede hændelser:</w:t>
      </w:r>
    </w:p>
    <w:p w:rsidR="005A714F" w:rsidRPr="005A714F" w:rsidRDefault="005A714F" w:rsidP="000023FF">
      <w:pPr>
        <w:numPr>
          <w:ilvl w:val="0"/>
          <w:numId w:val="6"/>
        </w:numPr>
        <w:shd w:val="clear" w:color="auto" w:fill="FFFFFF"/>
        <w:tabs>
          <w:tab w:val="left" w:pos="1134"/>
        </w:tabs>
        <w:ind w:left="1134" w:hanging="283"/>
        <w:rPr>
          <w:color w:val="000000"/>
          <w:sz w:val="24"/>
          <w:szCs w:val="24"/>
          <w:lang w:val="en-US"/>
        </w:rPr>
      </w:pPr>
      <w:r w:rsidRPr="005A714F">
        <w:rPr>
          <w:i/>
          <w:color w:val="000000"/>
          <w:sz w:val="24"/>
          <w:szCs w:val="24"/>
          <w:lang w:val="en-US"/>
        </w:rPr>
        <w:t>Hæmatologisk toksicitet:</w:t>
      </w:r>
      <w:r w:rsidRPr="005A714F">
        <w:rPr>
          <w:color w:val="000000"/>
          <w:sz w:val="24"/>
          <w:szCs w:val="24"/>
          <w:lang w:val="en-US"/>
        </w:rPr>
        <w:t xml:space="preserve"> myelosuppression inklusive pancytopeni, knoglemarvsdepression, leukopeni, neutropeni, granulocytopeni.</w:t>
      </w:r>
    </w:p>
    <w:p w:rsidR="005A714F" w:rsidRPr="005A714F" w:rsidRDefault="005A714F" w:rsidP="000023FF">
      <w:pPr>
        <w:numPr>
          <w:ilvl w:val="0"/>
          <w:numId w:val="6"/>
        </w:numPr>
        <w:shd w:val="clear" w:color="auto" w:fill="FFFFFF"/>
        <w:tabs>
          <w:tab w:val="left" w:pos="1134"/>
        </w:tabs>
        <w:ind w:left="1134" w:hanging="283"/>
        <w:rPr>
          <w:color w:val="000000"/>
          <w:sz w:val="24"/>
          <w:szCs w:val="24"/>
        </w:rPr>
      </w:pPr>
      <w:r w:rsidRPr="005A714F">
        <w:rPr>
          <w:i/>
          <w:color w:val="000000"/>
          <w:sz w:val="24"/>
          <w:szCs w:val="24"/>
        </w:rPr>
        <w:t xml:space="preserve">Hepatotoksicitet: </w:t>
      </w:r>
      <w:r w:rsidRPr="005A714F">
        <w:rPr>
          <w:color w:val="000000"/>
          <w:sz w:val="24"/>
          <w:szCs w:val="24"/>
        </w:rPr>
        <w:t>hepatitis, nedsat leverfunktion.</w:t>
      </w:r>
    </w:p>
    <w:p w:rsidR="005A714F" w:rsidRPr="005A714F" w:rsidRDefault="005A714F" w:rsidP="000023FF">
      <w:pPr>
        <w:numPr>
          <w:ilvl w:val="0"/>
          <w:numId w:val="6"/>
        </w:numPr>
        <w:shd w:val="clear" w:color="auto" w:fill="FFFFFF"/>
        <w:tabs>
          <w:tab w:val="left" w:pos="1134"/>
        </w:tabs>
        <w:ind w:left="1134" w:hanging="283"/>
        <w:rPr>
          <w:color w:val="000000"/>
          <w:sz w:val="24"/>
          <w:szCs w:val="24"/>
        </w:rPr>
      </w:pPr>
      <w:r w:rsidRPr="005A714F">
        <w:rPr>
          <w:i/>
          <w:color w:val="000000"/>
          <w:sz w:val="24"/>
          <w:szCs w:val="24"/>
        </w:rPr>
        <w:t>Renal toksicitet:</w:t>
      </w:r>
      <w:r w:rsidRPr="005A714F">
        <w:rPr>
          <w:color w:val="000000"/>
          <w:sz w:val="24"/>
          <w:szCs w:val="24"/>
        </w:rPr>
        <w:t xml:space="preserve"> forværring af hæmaturi hos en patient med præ-eksisterende nedsat nyrefunktion, akut nyresvigt, forhøjet kreatinin.</w:t>
      </w:r>
    </w:p>
    <w:p w:rsidR="005A714F" w:rsidRPr="005A714F" w:rsidRDefault="005A714F" w:rsidP="000023FF">
      <w:pPr>
        <w:numPr>
          <w:ilvl w:val="0"/>
          <w:numId w:val="6"/>
        </w:numPr>
        <w:shd w:val="clear" w:color="auto" w:fill="FFFFFF"/>
        <w:tabs>
          <w:tab w:val="left" w:pos="1134"/>
        </w:tabs>
        <w:ind w:left="1134" w:hanging="283"/>
        <w:rPr>
          <w:color w:val="000000"/>
          <w:sz w:val="24"/>
          <w:szCs w:val="24"/>
        </w:rPr>
      </w:pPr>
      <w:r w:rsidRPr="005A714F">
        <w:rPr>
          <w:i/>
          <w:color w:val="000000"/>
          <w:sz w:val="24"/>
          <w:szCs w:val="24"/>
        </w:rPr>
        <w:t>Gastrointestinal toksicitet:</w:t>
      </w:r>
      <w:r w:rsidRPr="005A714F">
        <w:rPr>
          <w:color w:val="000000"/>
          <w:sz w:val="24"/>
          <w:szCs w:val="24"/>
        </w:rPr>
        <w:t xml:space="preserve"> abdominale smerter, diarré, opkastning.</w:t>
      </w:r>
    </w:p>
    <w:p w:rsidR="005A714F" w:rsidRPr="005A714F" w:rsidRDefault="005A714F" w:rsidP="000023FF">
      <w:pPr>
        <w:numPr>
          <w:ilvl w:val="0"/>
          <w:numId w:val="6"/>
        </w:numPr>
        <w:shd w:val="clear" w:color="auto" w:fill="FFFFFF"/>
        <w:tabs>
          <w:tab w:val="left" w:pos="1134"/>
        </w:tabs>
        <w:ind w:left="1134" w:hanging="283"/>
        <w:rPr>
          <w:color w:val="000000"/>
          <w:sz w:val="24"/>
          <w:szCs w:val="24"/>
        </w:rPr>
      </w:pPr>
      <w:r w:rsidRPr="005A714F">
        <w:rPr>
          <w:i/>
          <w:color w:val="000000"/>
          <w:sz w:val="24"/>
          <w:szCs w:val="24"/>
        </w:rPr>
        <w:t>Neurotoksicitet:</w:t>
      </w:r>
      <w:r w:rsidRPr="005A714F">
        <w:rPr>
          <w:color w:val="000000"/>
          <w:sz w:val="24"/>
          <w:szCs w:val="24"/>
        </w:rPr>
        <w:t xml:space="preserve"> generaliseret tremor, kramper.</w:t>
      </w:r>
    </w:p>
    <w:p w:rsidR="005A714F" w:rsidRPr="005A714F" w:rsidRDefault="005A714F" w:rsidP="005A714F">
      <w:pPr>
        <w:shd w:val="clear" w:color="auto" w:fill="FFFFFF"/>
        <w:tabs>
          <w:tab w:val="left" w:pos="851"/>
        </w:tabs>
        <w:ind w:left="851"/>
        <w:rPr>
          <w:color w:val="000000"/>
          <w:sz w:val="24"/>
          <w:szCs w:val="24"/>
          <w:lang w:val="en" w:eastAsia="el-GR"/>
        </w:rPr>
      </w:pPr>
    </w:p>
    <w:p w:rsidR="009260DE" w:rsidRPr="000023FF" w:rsidRDefault="005A714F" w:rsidP="000023FF">
      <w:pPr>
        <w:shd w:val="clear" w:color="auto" w:fill="FFFFFF"/>
        <w:tabs>
          <w:tab w:val="left" w:pos="851"/>
        </w:tabs>
        <w:ind w:left="851"/>
        <w:rPr>
          <w:color w:val="000000"/>
          <w:sz w:val="24"/>
          <w:szCs w:val="24"/>
        </w:rPr>
      </w:pPr>
      <w:r w:rsidRPr="005A714F">
        <w:rPr>
          <w:sz w:val="24"/>
          <w:szCs w:val="24"/>
        </w:rPr>
        <w:t>Det kan være nyttigt at give hæmodialyse og hydrering for at reducere plasmaniveauet hos patienter, der får en overdosis af valganciclovir (se pkt. 5.2).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5A714F"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C84483" w:rsidRDefault="00AE1F65" w:rsidP="00CF13B0">
      <w:pPr>
        <w:tabs>
          <w:tab w:val="left" w:pos="851"/>
        </w:tabs>
        <w:ind w:left="851"/>
        <w:rPr>
          <w:sz w:val="24"/>
          <w:szCs w:val="24"/>
        </w:rPr>
      </w:pPr>
      <w:r w:rsidRPr="000E295E">
        <w:rPr>
          <w:sz w:val="24"/>
          <w:szCs w:val="24"/>
        </w:rPr>
        <w:t>ATC-kode: J</w:t>
      </w:r>
      <w:r w:rsidR="00CF13B0">
        <w:rPr>
          <w:sz w:val="24"/>
          <w:szCs w:val="24"/>
        </w:rPr>
        <w:t xml:space="preserve"> </w:t>
      </w:r>
      <w:r w:rsidRPr="000E295E">
        <w:rPr>
          <w:sz w:val="24"/>
          <w:szCs w:val="24"/>
        </w:rPr>
        <w:t>05</w:t>
      </w:r>
      <w:r w:rsidR="00CF13B0">
        <w:rPr>
          <w:sz w:val="24"/>
          <w:szCs w:val="24"/>
        </w:rPr>
        <w:t xml:space="preserve"> </w:t>
      </w:r>
      <w:r w:rsidRPr="000E295E">
        <w:rPr>
          <w:sz w:val="24"/>
          <w:szCs w:val="24"/>
        </w:rPr>
        <w:t>AB</w:t>
      </w:r>
      <w:r w:rsidR="00CF13B0">
        <w:rPr>
          <w:sz w:val="24"/>
          <w:szCs w:val="24"/>
        </w:rPr>
        <w:t xml:space="preserve"> </w:t>
      </w:r>
      <w:r w:rsidRPr="000E295E">
        <w:rPr>
          <w:sz w:val="24"/>
          <w:szCs w:val="24"/>
        </w:rPr>
        <w:t>14.</w:t>
      </w:r>
      <w:r>
        <w:rPr>
          <w:sz w:val="24"/>
          <w:szCs w:val="24"/>
        </w:rPr>
        <w:t xml:space="preserve"> A</w:t>
      </w:r>
      <w:r w:rsidR="000E295E" w:rsidRPr="000E295E">
        <w:rPr>
          <w:sz w:val="24"/>
          <w:szCs w:val="24"/>
        </w:rPr>
        <w:t>ntivirale midler til systemisk brug</w:t>
      </w:r>
      <w:r>
        <w:rPr>
          <w:sz w:val="24"/>
          <w:szCs w:val="24"/>
        </w:rPr>
        <w:t>;</w:t>
      </w:r>
      <w:r w:rsidR="000E295E" w:rsidRPr="000E295E">
        <w:rPr>
          <w:sz w:val="24"/>
          <w:szCs w:val="24"/>
        </w:rPr>
        <w:t xml:space="preserve"> nu</w:t>
      </w:r>
      <w:r>
        <w:rPr>
          <w:sz w:val="24"/>
          <w:szCs w:val="24"/>
        </w:rPr>
        <w:t>c</w:t>
      </w:r>
      <w:r w:rsidR="000E295E" w:rsidRPr="000E295E">
        <w:rPr>
          <w:sz w:val="24"/>
          <w:szCs w:val="24"/>
        </w:rPr>
        <w:t>leosider og nu</w:t>
      </w:r>
      <w:r>
        <w:rPr>
          <w:sz w:val="24"/>
          <w:szCs w:val="24"/>
        </w:rPr>
        <w:t>c</w:t>
      </w:r>
      <w:r w:rsidR="000E295E" w:rsidRPr="000E295E">
        <w:rPr>
          <w:sz w:val="24"/>
          <w:szCs w:val="24"/>
        </w:rPr>
        <w:t>leotider, ekskl</w:t>
      </w:r>
      <w:r>
        <w:rPr>
          <w:sz w:val="24"/>
          <w:szCs w:val="24"/>
        </w:rPr>
        <w:t>usive</w:t>
      </w:r>
      <w:r w:rsidR="000E295E" w:rsidRPr="000E295E">
        <w:rPr>
          <w:sz w:val="24"/>
          <w:szCs w:val="24"/>
        </w:rPr>
        <w:t xml:space="preserve"> revers transkriptase</w:t>
      </w:r>
      <w:r>
        <w:rPr>
          <w:sz w:val="24"/>
          <w:szCs w:val="24"/>
        </w:rPr>
        <w:t>-</w:t>
      </w:r>
      <w:r w:rsidR="000E295E" w:rsidRPr="000E295E">
        <w:rPr>
          <w:sz w:val="24"/>
          <w:szCs w:val="24"/>
        </w:rPr>
        <w:t>hæmmere</w:t>
      </w:r>
      <w:r w:rsidR="00CF13B0">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0E295E" w:rsidRPr="000E295E" w:rsidRDefault="000E295E" w:rsidP="000E295E">
      <w:pPr>
        <w:tabs>
          <w:tab w:val="left" w:pos="851"/>
        </w:tabs>
        <w:ind w:left="851"/>
        <w:rPr>
          <w:sz w:val="24"/>
          <w:szCs w:val="24"/>
        </w:rPr>
      </w:pPr>
    </w:p>
    <w:p w:rsidR="000E295E" w:rsidRPr="00EA40E6" w:rsidRDefault="000E295E" w:rsidP="000E295E">
      <w:pPr>
        <w:tabs>
          <w:tab w:val="left" w:pos="851"/>
        </w:tabs>
        <w:autoSpaceDE w:val="0"/>
        <w:autoSpaceDN w:val="0"/>
        <w:adjustRightInd w:val="0"/>
        <w:ind w:left="851"/>
        <w:jc w:val="both"/>
        <w:rPr>
          <w:b/>
          <w:sz w:val="24"/>
          <w:szCs w:val="24"/>
        </w:rPr>
      </w:pPr>
      <w:r w:rsidRPr="00EA40E6">
        <w:rPr>
          <w:b/>
          <w:sz w:val="24"/>
          <w:szCs w:val="24"/>
        </w:rPr>
        <w:t>Virkningsmekanisme</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 xml:space="preserve">Valganciclovir er en L-valylester (prodrug) af ganciclovir. Efter oral administration metaboliseres valganciclovir hurtigt og ekstensivt til ganciclovir af intestinale og hepatiske </w:t>
      </w:r>
      <w:r w:rsidRPr="000E295E">
        <w:rPr>
          <w:color w:val="000000"/>
          <w:sz w:val="24"/>
          <w:szCs w:val="24"/>
        </w:rPr>
        <w:lastRenderedPageBreak/>
        <w:t xml:space="preserve">esteraser. Ganciclovir er en syntetisk analog til 2’-deoxyguanosin og hæmmer replikation af herpes-vira </w:t>
      </w:r>
      <w:r w:rsidRPr="000E295E">
        <w:rPr>
          <w:i/>
          <w:color w:val="000000"/>
          <w:sz w:val="24"/>
          <w:szCs w:val="24"/>
        </w:rPr>
        <w:t>in vitro</w:t>
      </w:r>
      <w:r w:rsidRPr="000E295E">
        <w:rPr>
          <w:color w:val="000000"/>
          <w:sz w:val="24"/>
          <w:szCs w:val="24"/>
        </w:rPr>
        <w:t xml:space="preserve"> og </w:t>
      </w:r>
      <w:r w:rsidRPr="000E295E">
        <w:rPr>
          <w:i/>
          <w:color w:val="000000"/>
          <w:sz w:val="24"/>
          <w:szCs w:val="24"/>
        </w:rPr>
        <w:t>in vivo</w:t>
      </w:r>
      <w:r w:rsidRPr="000E295E">
        <w:rPr>
          <w:color w:val="000000"/>
          <w:sz w:val="24"/>
          <w:szCs w:val="24"/>
        </w:rPr>
        <w:t xml:space="preserve">. Følsomme humane vira inkluderer human cytomegalovirus (HCMV), herpes simplex-virus 1 og 2 (HSV-1 og HSV-2), human herpesvirus 6, 7 og 8 (HHV-6, HHV-7, HHV-8), Epstein-Barr-virus (EBV), varicella-zoster-virus (VZV) og hepatitis B-virus (HBV). </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I CMV-inficerede celler phosphoryleres ganciclovir først til ganciclovirmonophosphat af viral proteinkinase, pUL97. Yderligere phosphorylering sker ved hjælp af cellulære kinaser til ganciclovirtriphosphat, som derefter langsomt metaboliseres intracellulært. Det er påvist, at triphosphatmetabolismen finder sted i HSV- og HCMV-inficerede celler med halveringstider på hhv. 18 timer og mellem 6 og 24 timer efter fjernelsen af ekstracellulært ganciclovir. Da phosphoryleringen overvejende afhænger af viral kinase, sker phosphoryleringen af ganciclovir fortrinsvis i virusinficerede celler.</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Ganciclovirs virustatiske aktivitet skyldes hæmning af den virale DNA-syntese gennem: (a) kompetitiv hæmning af inkorporering af deoxyguanosin-triphosphat i DNA via viral DNA-polymerase, og (b) inkorporering af ganciclovirtriphosphat i viral DNA, som fører til stop af eller meget begrænset yderligere viral DNA-forlængelse.</w:t>
      </w:r>
    </w:p>
    <w:p w:rsidR="000E295E" w:rsidRPr="000E295E" w:rsidRDefault="000E295E" w:rsidP="000E295E">
      <w:pPr>
        <w:tabs>
          <w:tab w:val="left" w:pos="851"/>
        </w:tabs>
        <w:autoSpaceDE w:val="0"/>
        <w:autoSpaceDN w:val="0"/>
        <w:adjustRightInd w:val="0"/>
        <w:ind w:left="851"/>
        <w:jc w:val="both"/>
        <w:rPr>
          <w:sz w:val="24"/>
          <w:szCs w:val="24"/>
          <w:u w:val="single"/>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u w:val="single"/>
        </w:rPr>
        <w:t>Antiviral aktivitet</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 xml:space="preserve">Den anti-virale aktivitet </w:t>
      </w:r>
      <w:r w:rsidRPr="000E295E">
        <w:rPr>
          <w:i/>
          <w:color w:val="000000"/>
          <w:sz w:val="24"/>
          <w:szCs w:val="24"/>
        </w:rPr>
        <w:t>in vitro</w:t>
      </w:r>
      <w:r w:rsidRPr="000E295E">
        <w:rPr>
          <w:color w:val="000000"/>
          <w:sz w:val="24"/>
          <w:szCs w:val="24"/>
        </w:rPr>
        <w:t>, bestemt som IC</w:t>
      </w:r>
      <w:r w:rsidRPr="000E295E">
        <w:rPr>
          <w:color w:val="000000"/>
          <w:sz w:val="24"/>
          <w:szCs w:val="24"/>
          <w:vertAlign w:val="subscript"/>
        </w:rPr>
        <w:t>50</w:t>
      </w:r>
      <w:r w:rsidRPr="000E295E">
        <w:rPr>
          <w:color w:val="000000"/>
          <w:sz w:val="24"/>
          <w:szCs w:val="24"/>
        </w:rPr>
        <w:t xml:space="preserve"> for ganciclovir over for CMV, er mellem 0,08 µM (0,02 µg/ml) og 14 µM (3,5 µg/ml).</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sz w:val="24"/>
          <w:szCs w:val="24"/>
        </w:rPr>
        <w:t>Der er påvist klinisk antiviral virkning af valganciclovir i behandlingen af aids-patienter med nyligt diagnosticeret CMV-retinitis.</w:t>
      </w:r>
      <w:r w:rsidRPr="000E295E">
        <w:rPr>
          <w:color w:val="000000"/>
          <w:sz w:val="24"/>
          <w:szCs w:val="24"/>
        </w:rPr>
        <w:t xml:space="preserve"> </w:t>
      </w:r>
      <w:r w:rsidRPr="000E295E">
        <w:rPr>
          <w:sz w:val="24"/>
          <w:szCs w:val="24"/>
        </w:rPr>
        <w:t>CMV-udskillelse i urin var faldet fra 46 % (32/69 patienter) ved studiets begyndelse til 7 % (4/55 patienter) efter 4 ugers behandling med valganciclovir.</w:t>
      </w:r>
    </w:p>
    <w:p w:rsidR="000E295E" w:rsidRPr="000E295E" w:rsidRDefault="000E295E" w:rsidP="000E295E">
      <w:pPr>
        <w:tabs>
          <w:tab w:val="left" w:pos="851"/>
        </w:tabs>
        <w:autoSpaceDE w:val="0"/>
        <w:autoSpaceDN w:val="0"/>
        <w:adjustRightInd w:val="0"/>
        <w:ind w:left="851"/>
        <w:jc w:val="both"/>
        <w:rPr>
          <w:sz w:val="24"/>
          <w:szCs w:val="24"/>
          <w:u w:val="single"/>
        </w:rPr>
      </w:pPr>
    </w:p>
    <w:p w:rsidR="000E295E" w:rsidRPr="00EA40E6" w:rsidRDefault="000E295E" w:rsidP="000E295E">
      <w:pPr>
        <w:shd w:val="clear" w:color="auto" w:fill="FFFFFF"/>
        <w:tabs>
          <w:tab w:val="left" w:pos="851"/>
        </w:tabs>
        <w:ind w:left="851"/>
        <w:rPr>
          <w:b/>
          <w:color w:val="000000"/>
          <w:sz w:val="24"/>
          <w:szCs w:val="24"/>
        </w:rPr>
      </w:pPr>
      <w:r w:rsidRPr="00EA40E6">
        <w:rPr>
          <w:b/>
          <w:color w:val="000000"/>
          <w:sz w:val="24"/>
          <w:szCs w:val="24"/>
        </w:rPr>
        <w:t>Klinisk virkning og sikkerhed</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u w:val="single"/>
        </w:rPr>
      </w:pPr>
      <w:r w:rsidRPr="000E295E">
        <w:rPr>
          <w:color w:val="000000"/>
          <w:sz w:val="24"/>
          <w:szCs w:val="24"/>
          <w:u w:val="single"/>
        </w:rPr>
        <w:t>Voksne patienter</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i/>
          <w:iCs/>
          <w:color w:val="000000"/>
          <w:sz w:val="24"/>
          <w:szCs w:val="24"/>
        </w:rPr>
      </w:pPr>
      <w:r w:rsidRPr="000E295E">
        <w:rPr>
          <w:i/>
          <w:iCs/>
          <w:color w:val="000000"/>
          <w:sz w:val="24"/>
          <w:szCs w:val="24"/>
        </w:rPr>
        <w:t>Behandling af CMV-retinitis</w:t>
      </w:r>
    </w:p>
    <w:p w:rsidR="000E295E" w:rsidRPr="000E295E" w:rsidRDefault="000E295E" w:rsidP="000E295E">
      <w:pPr>
        <w:shd w:val="clear" w:color="auto" w:fill="FFFFFF"/>
        <w:tabs>
          <w:tab w:val="left" w:pos="851"/>
        </w:tabs>
        <w:ind w:left="851"/>
        <w:rPr>
          <w:color w:val="000000"/>
          <w:sz w:val="24"/>
          <w:szCs w:val="24"/>
        </w:rPr>
      </w:pPr>
      <w:r w:rsidRPr="000E295E">
        <w:rPr>
          <w:sz w:val="24"/>
          <w:szCs w:val="24"/>
        </w:rPr>
        <w:t>I et studie blev patienter med nydiagnosticeret CMV-retinitis randomiseret til induktionsbehandling med enten valganciclovir 900 mg to gange daglig eller intravenøs ganciclovir 5 mg/kg to gange daglig.</w:t>
      </w:r>
      <w:r w:rsidRPr="000E295E">
        <w:rPr>
          <w:color w:val="000000"/>
          <w:sz w:val="24"/>
          <w:szCs w:val="24"/>
        </w:rPr>
        <w:t xml:space="preserve"> Andelen af patienter med fotografisk progression af CMV-retinitis efter 4 uger var sammenlignelig i begge grupper; 7/70 og 7/71 patienter progredierede i hhv. den intravenøse ganciclovirgruppe og i valganciclovirgruppen.</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sz w:val="24"/>
          <w:szCs w:val="24"/>
        </w:rPr>
        <w:t xml:space="preserve">Efter induktionsbehandlingen fik alle patienter i dette studie vedligeholdelsesbehandling med valganciclovir 900 mg </w:t>
      </w:r>
      <w:r w:rsidR="00986CD7">
        <w:rPr>
          <w:sz w:val="24"/>
          <w:szCs w:val="24"/>
        </w:rPr>
        <w:t>en</w:t>
      </w:r>
      <w:r w:rsidRPr="000E295E">
        <w:rPr>
          <w:sz w:val="24"/>
          <w:szCs w:val="24"/>
        </w:rPr>
        <w:t xml:space="preserve"> gang daglig.</w:t>
      </w:r>
      <w:r w:rsidRPr="000E295E">
        <w:rPr>
          <w:color w:val="000000"/>
          <w:sz w:val="24"/>
          <w:szCs w:val="24"/>
        </w:rPr>
        <w:t xml:space="preserve"> </w:t>
      </w:r>
      <w:r w:rsidRPr="000E295E">
        <w:rPr>
          <w:sz w:val="24"/>
          <w:szCs w:val="24"/>
        </w:rPr>
        <w:t>Den gennemsnitlige (mediane) tid fra randomisering til progression af CMV-retinitis i gruppen, som fik induktions- og vedligeholdelsesbehandling med valganciclovir, var 226 (160) dage, og i gruppen, der fik induktionsbehandling med intravenøs ganciclovir og vedligeholdelsesbehandling med valganciclovir, var den 219 (125) dage.</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i/>
          <w:iCs/>
          <w:color w:val="000000"/>
          <w:sz w:val="24"/>
          <w:szCs w:val="24"/>
        </w:rPr>
        <w:t>Forebyggelse af CMV-sygdom ved transplantation</w:t>
      </w:r>
    </w:p>
    <w:p w:rsidR="000E295E" w:rsidRPr="000E295E" w:rsidRDefault="000E295E" w:rsidP="000E295E">
      <w:pPr>
        <w:shd w:val="clear" w:color="auto" w:fill="FFFFFF"/>
        <w:tabs>
          <w:tab w:val="left" w:pos="851"/>
        </w:tabs>
        <w:ind w:left="851"/>
        <w:rPr>
          <w:color w:val="000000"/>
          <w:sz w:val="24"/>
          <w:szCs w:val="24"/>
        </w:rPr>
      </w:pPr>
      <w:r w:rsidRPr="000E295E">
        <w:rPr>
          <w:sz w:val="24"/>
          <w:szCs w:val="24"/>
        </w:rPr>
        <w:t xml:space="preserve">Et dobbeltblindet klinisk studie med dobbelt placebo og aktiv komparator er blevet udført på hjerte-, lever- og nyretransplanterede patienter (lunge- og gastro-intestinaltransplanterede patienter var ikke inkluderet i dette studie) med høj risiko for CMV-sygdom (D+/R-), som fik enten valganciclovir (900 mg </w:t>
      </w:r>
      <w:r w:rsidR="00986CD7">
        <w:rPr>
          <w:sz w:val="24"/>
          <w:szCs w:val="24"/>
        </w:rPr>
        <w:t>en</w:t>
      </w:r>
      <w:r w:rsidRPr="000E295E">
        <w:rPr>
          <w:sz w:val="24"/>
          <w:szCs w:val="24"/>
        </w:rPr>
        <w:t xml:space="preserve"> gang daglig) eller oral </w:t>
      </w:r>
      <w:r w:rsidRPr="000E295E">
        <w:rPr>
          <w:sz w:val="24"/>
          <w:szCs w:val="24"/>
        </w:rPr>
        <w:lastRenderedPageBreak/>
        <w:t>ganciclovir (1.000 mg tre gange daglig) med start af behandling inden for 10 dage efter transplantationen og indtil 100 dage efter transplantationen.</w:t>
      </w:r>
      <w:r w:rsidRPr="000E295E">
        <w:rPr>
          <w:color w:val="000000"/>
          <w:sz w:val="24"/>
          <w:szCs w:val="24"/>
        </w:rPr>
        <w:t xml:space="preserve"> </w:t>
      </w:r>
      <w:r w:rsidRPr="000E295E">
        <w:rPr>
          <w:sz w:val="24"/>
          <w:szCs w:val="24"/>
        </w:rPr>
        <w:t>Hyppigheden af CMV-sygdom (CMV-syndrom + vævsinvasiv sygdom) i løbet af de første 6 måneder efter transplantationen var 12,1 % i valganciclovir-armen (n = 239) sammenlignet med 15,2 % i armen med oral ganciclovir (n = 125).</w:t>
      </w:r>
      <w:r w:rsidRPr="000E295E">
        <w:rPr>
          <w:color w:val="000000"/>
          <w:sz w:val="24"/>
          <w:szCs w:val="24"/>
        </w:rPr>
        <w:t xml:space="preserve"> Størstedelen af tilfældene forekom efter ophør af forebyggelsen (efter dag 100 efter transplantationen). Tilfældene i valganciclovir-armen forekom i gennemsnit senere end i armen med oral ganciclovir. Hyppigheden af akut afstødning i løbet af de første 6 måneder var 29,7 % hos patienter randomiseret til valganciclovir sammenlignet med 36,0 % i armen med oral ganciclovir. Hyppigheden af tab af transplantatet er ækvivalent og forekom hos 0,8 % af patienterne i hver arm. </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sz w:val="24"/>
          <w:szCs w:val="24"/>
        </w:rPr>
        <w:t>Et dobbeltblindet, placebokontrolleret studie blev udført hos 326 nyretransplanterede patienter med høj risiko for CMV-sygdom (D+/R-) for at vurdere virkningen og sikkerheden ved forlængelse af CMV-profylakse med valganciclovir fra 100 til 200 dage efter transplantationen.</w:t>
      </w:r>
      <w:r w:rsidRPr="000E295E">
        <w:rPr>
          <w:color w:val="000000"/>
          <w:sz w:val="24"/>
          <w:szCs w:val="24"/>
        </w:rPr>
        <w:t xml:space="preserve"> </w:t>
      </w:r>
      <w:r w:rsidRPr="000E295E">
        <w:rPr>
          <w:sz w:val="24"/>
          <w:szCs w:val="24"/>
        </w:rPr>
        <w:t xml:space="preserve">Patienterne blev randomiseret (1:1) til at få valganciclovir-tabletter (900 mg </w:t>
      </w:r>
      <w:r w:rsidR="00986CD7">
        <w:rPr>
          <w:sz w:val="24"/>
          <w:szCs w:val="24"/>
        </w:rPr>
        <w:t>en</w:t>
      </w:r>
      <w:r w:rsidRPr="000E295E">
        <w:rPr>
          <w:sz w:val="24"/>
          <w:szCs w:val="24"/>
        </w:rPr>
        <w:t xml:space="preserve"> gang daglig) inden for 10 dage efter transplantationen og indtil enten dag 200 efter transplantationen eller dag 100 efter transplantationen efterfulgt af placebo i 100 dage.</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F2021B">
      <w:pPr>
        <w:shd w:val="clear" w:color="auto" w:fill="FFFFFF"/>
        <w:tabs>
          <w:tab w:val="left" w:pos="851"/>
        </w:tabs>
        <w:ind w:left="851"/>
        <w:rPr>
          <w:color w:val="000000"/>
          <w:sz w:val="24"/>
          <w:szCs w:val="24"/>
        </w:rPr>
      </w:pPr>
      <w:r w:rsidRPr="000E295E">
        <w:rPr>
          <w:color w:val="000000"/>
          <w:sz w:val="24"/>
          <w:szCs w:val="24"/>
        </w:rPr>
        <w:t>Andelen af patienter, som udviklede CMV-sygdom i løbet af de første 12 måneder efter transplantationen, er vist i nedenstående tabel.</w:t>
      </w:r>
    </w:p>
    <w:p w:rsidR="000E295E" w:rsidRPr="000E295E" w:rsidRDefault="000E295E" w:rsidP="00F2021B">
      <w:pPr>
        <w:shd w:val="clear" w:color="auto" w:fill="FFFFFF"/>
        <w:tabs>
          <w:tab w:val="left" w:pos="851"/>
        </w:tabs>
        <w:ind w:left="851"/>
        <w:rPr>
          <w:color w:val="000000"/>
          <w:sz w:val="24"/>
          <w:szCs w:val="24"/>
          <w:lang w:eastAsia="el-GR"/>
        </w:rPr>
      </w:pPr>
    </w:p>
    <w:p w:rsidR="000E295E" w:rsidRPr="000E295E" w:rsidRDefault="000E295E" w:rsidP="00F2021B">
      <w:pPr>
        <w:shd w:val="clear" w:color="auto" w:fill="FFFFFF"/>
        <w:tabs>
          <w:tab w:val="left" w:pos="851"/>
        </w:tabs>
        <w:ind w:left="851"/>
        <w:rPr>
          <w:color w:val="000000"/>
          <w:sz w:val="24"/>
          <w:szCs w:val="24"/>
        </w:rPr>
      </w:pPr>
      <w:r w:rsidRPr="000E295E">
        <w:rPr>
          <w:b/>
          <w:bCs/>
          <w:color w:val="000000"/>
          <w:sz w:val="24"/>
          <w:szCs w:val="24"/>
        </w:rPr>
        <w:t>Procentdel af nyretransplanterede patienter med CMV-sygdom</w:t>
      </w:r>
      <w:r w:rsidRPr="000E295E">
        <w:rPr>
          <w:b/>
          <w:bCs/>
          <w:color w:val="000000"/>
          <w:sz w:val="24"/>
          <w:szCs w:val="24"/>
          <w:vertAlign w:val="superscript"/>
        </w:rPr>
        <w:t>1</w:t>
      </w:r>
      <w:r w:rsidRPr="000E295E">
        <w:rPr>
          <w:b/>
          <w:bCs/>
          <w:color w:val="000000"/>
          <w:sz w:val="24"/>
          <w:szCs w:val="24"/>
        </w:rPr>
        <w:t>, 12 måneder, ITT population</w:t>
      </w:r>
      <w:r w:rsidRPr="000E295E">
        <w:rPr>
          <w:b/>
          <w:bCs/>
          <w:color w:val="000000"/>
          <w:sz w:val="24"/>
          <w:szCs w:val="24"/>
          <w:vertAlign w:val="superscript"/>
        </w:rPr>
        <w:t>A</w:t>
      </w:r>
    </w:p>
    <w:p w:rsidR="000E295E" w:rsidRPr="000E295E" w:rsidRDefault="000E295E" w:rsidP="00F2021B">
      <w:pPr>
        <w:tabs>
          <w:tab w:val="left" w:pos="851"/>
        </w:tabs>
        <w:autoSpaceDE w:val="0"/>
        <w:autoSpaceDN w:val="0"/>
        <w:adjustRightInd w:val="0"/>
        <w:ind w:left="851"/>
        <w:rPr>
          <w:sz w:val="24"/>
          <w:szCs w:val="24"/>
          <w:u w:val="single"/>
        </w:rPr>
      </w:pPr>
    </w:p>
    <w:tbl>
      <w:tblPr>
        <w:tblW w:w="9254"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44"/>
        <w:gridCol w:w="1777"/>
        <w:gridCol w:w="1778"/>
        <w:gridCol w:w="2155"/>
      </w:tblGrid>
      <w:tr w:rsidR="000E295E" w:rsidRPr="00EA40E6" w:rsidTr="002C33E5">
        <w:tc>
          <w:tcPr>
            <w:tcW w:w="3544" w:type="dxa"/>
            <w:tcBorders>
              <w:top w:val="outset" w:sz="6" w:space="0" w:color="auto"/>
              <w:bottom w:val="outset" w:sz="6" w:space="0" w:color="auto"/>
              <w:right w:val="outset" w:sz="6" w:space="0" w:color="auto"/>
            </w:tcBorders>
            <w:hideMark/>
          </w:tcPr>
          <w:p w:rsidR="000E295E" w:rsidRPr="00EA40E6" w:rsidRDefault="000E295E" w:rsidP="00F2021B">
            <w:pPr>
              <w:ind w:left="104"/>
              <w:rPr>
                <w:color w:val="000000"/>
                <w:sz w:val="22"/>
                <w:szCs w:val="22"/>
              </w:rPr>
            </w:pPr>
            <w:r w:rsidRPr="00EA40E6">
              <w:rPr>
                <w:color w:val="000000"/>
                <w:sz w:val="22"/>
                <w:szCs w:val="22"/>
              </w:rPr>
              <w:t> </w:t>
            </w:r>
          </w:p>
        </w:tc>
        <w:tc>
          <w:tcPr>
            <w:tcW w:w="1777" w:type="dxa"/>
            <w:tcBorders>
              <w:top w:val="outset" w:sz="6" w:space="0" w:color="auto"/>
              <w:left w:val="outset" w:sz="6" w:space="0" w:color="auto"/>
              <w:bottom w:val="outset" w:sz="6" w:space="0" w:color="auto"/>
              <w:right w:val="outset" w:sz="6" w:space="0" w:color="auto"/>
            </w:tcBorders>
            <w:hideMark/>
          </w:tcPr>
          <w:p w:rsidR="000E295E" w:rsidRPr="00EA40E6" w:rsidRDefault="000E295E" w:rsidP="00F2021B">
            <w:pPr>
              <w:ind w:left="127"/>
              <w:rPr>
                <w:color w:val="000000"/>
                <w:sz w:val="22"/>
                <w:szCs w:val="22"/>
              </w:rPr>
            </w:pPr>
            <w:r w:rsidRPr="00EA40E6">
              <w:rPr>
                <w:b/>
                <w:bCs/>
                <w:color w:val="000000"/>
                <w:sz w:val="22"/>
                <w:szCs w:val="22"/>
              </w:rPr>
              <w:t xml:space="preserve">Valganciclovir </w:t>
            </w:r>
          </w:p>
          <w:p w:rsidR="000E295E" w:rsidRPr="00EA40E6" w:rsidRDefault="000E295E" w:rsidP="00F2021B">
            <w:pPr>
              <w:ind w:left="127"/>
              <w:rPr>
                <w:color w:val="000000"/>
                <w:sz w:val="22"/>
                <w:szCs w:val="22"/>
              </w:rPr>
            </w:pPr>
            <w:r w:rsidRPr="00EA40E6">
              <w:rPr>
                <w:b/>
                <w:bCs/>
                <w:color w:val="000000"/>
                <w:sz w:val="22"/>
                <w:szCs w:val="22"/>
              </w:rPr>
              <w:t xml:space="preserve">900 mg </w:t>
            </w:r>
            <w:r w:rsidR="00986CD7" w:rsidRPr="00EA40E6">
              <w:rPr>
                <w:b/>
                <w:bCs/>
                <w:color w:val="000000"/>
                <w:sz w:val="22"/>
                <w:szCs w:val="22"/>
              </w:rPr>
              <w:t>en</w:t>
            </w:r>
            <w:r w:rsidRPr="00EA40E6">
              <w:rPr>
                <w:b/>
                <w:bCs/>
                <w:color w:val="000000"/>
                <w:sz w:val="22"/>
                <w:szCs w:val="22"/>
              </w:rPr>
              <w:t xml:space="preserve"> gang daglig</w:t>
            </w:r>
          </w:p>
          <w:p w:rsidR="000E295E" w:rsidRPr="00EA40E6" w:rsidRDefault="000E295E" w:rsidP="00F2021B">
            <w:pPr>
              <w:ind w:left="127"/>
              <w:rPr>
                <w:color w:val="000000"/>
                <w:sz w:val="22"/>
                <w:szCs w:val="22"/>
              </w:rPr>
            </w:pPr>
            <w:r w:rsidRPr="00EA40E6">
              <w:rPr>
                <w:b/>
                <w:bCs/>
                <w:color w:val="000000"/>
                <w:sz w:val="22"/>
                <w:szCs w:val="22"/>
              </w:rPr>
              <w:t xml:space="preserve">100 dage </w:t>
            </w:r>
          </w:p>
          <w:p w:rsidR="000E295E" w:rsidRPr="00EA40E6" w:rsidRDefault="000E295E" w:rsidP="00F2021B">
            <w:pPr>
              <w:ind w:left="127"/>
              <w:rPr>
                <w:color w:val="000000"/>
                <w:sz w:val="22"/>
                <w:szCs w:val="22"/>
              </w:rPr>
            </w:pPr>
            <w:r w:rsidRPr="00EA40E6">
              <w:rPr>
                <w:b/>
                <w:bCs/>
                <w:color w:val="000000"/>
                <w:sz w:val="22"/>
                <w:szCs w:val="22"/>
              </w:rPr>
              <w:t>(N = 163)</w:t>
            </w:r>
          </w:p>
        </w:tc>
        <w:tc>
          <w:tcPr>
            <w:tcW w:w="1778" w:type="dxa"/>
            <w:tcBorders>
              <w:top w:val="outset" w:sz="6" w:space="0" w:color="auto"/>
              <w:left w:val="outset" w:sz="6" w:space="0" w:color="auto"/>
              <w:bottom w:val="outset" w:sz="6" w:space="0" w:color="auto"/>
              <w:right w:val="outset" w:sz="6" w:space="0" w:color="auto"/>
            </w:tcBorders>
            <w:hideMark/>
          </w:tcPr>
          <w:p w:rsidR="000E295E" w:rsidRPr="00EA40E6" w:rsidRDefault="000E295E" w:rsidP="00F2021B">
            <w:pPr>
              <w:ind w:left="132"/>
              <w:rPr>
                <w:color w:val="000000"/>
                <w:sz w:val="22"/>
                <w:szCs w:val="22"/>
              </w:rPr>
            </w:pPr>
            <w:r w:rsidRPr="00EA40E6">
              <w:rPr>
                <w:b/>
                <w:bCs/>
                <w:color w:val="000000"/>
                <w:sz w:val="22"/>
                <w:szCs w:val="22"/>
              </w:rPr>
              <w:t xml:space="preserve">Valganciclovir </w:t>
            </w:r>
          </w:p>
          <w:p w:rsidR="000E295E" w:rsidRPr="00EA40E6" w:rsidRDefault="000E295E" w:rsidP="00F2021B">
            <w:pPr>
              <w:ind w:left="132"/>
              <w:rPr>
                <w:color w:val="000000"/>
                <w:sz w:val="22"/>
                <w:szCs w:val="22"/>
              </w:rPr>
            </w:pPr>
            <w:r w:rsidRPr="00EA40E6">
              <w:rPr>
                <w:b/>
                <w:bCs/>
                <w:color w:val="000000"/>
                <w:sz w:val="22"/>
                <w:szCs w:val="22"/>
              </w:rPr>
              <w:t xml:space="preserve">900 mg </w:t>
            </w:r>
            <w:r w:rsidR="00986CD7" w:rsidRPr="00EA40E6">
              <w:rPr>
                <w:b/>
                <w:bCs/>
                <w:color w:val="000000"/>
                <w:sz w:val="22"/>
                <w:szCs w:val="22"/>
              </w:rPr>
              <w:t>en</w:t>
            </w:r>
            <w:r w:rsidRPr="00EA40E6">
              <w:rPr>
                <w:b/>
                <w:bCs/>
                <w:color w:val="000000"/>
                <w:sz w:val="22"/>
                <w:szCs w:val="22"/>
              </w:rPr>
              <w:t xml:space="preserve"> gang daglig</w:t>
            </w:r>
          </w:p>
          <w:p w:rsidR="000E295E" w:rsidRPr="00EA40E6" w:rsidRDefault="000E295E" w:rsidP="00F2021B">
            <w:pPr>
              <w:ind w:left="132"/>
              <w:rPr>
                <w:color w:val="000000"/>
                <w:sz w:val="22"/>
                <w:szCs w:val="22"/>
              </w:rPr>
            </w:pPr>
            <w:r w:rsidRPr="00EA40E6">
              <w:rPr>
                <w:b/>
                <w:bCs/>
                <w:color w:val="000000"/>
                <w:sz w:val="22"/>
                <w:szCs w:val="22"/>
              </w:rPr>
              <w:t>200 dage</w:t>
            </w:r>
          </w:p>
          <w:p w:rsidR="000E295E" w:rsidRPr="00EA40E6" w:rsidRDefault="000E295E" w:rsidP="00F2021B">
            <w:pPr>
              <w:ind w:left="132"/>
              <w:rPr>
                <w:color w:val="000000"/>
                <w:sz w:val="22"/>
                <w:szCs w:val="22"/>
              </w:rPr>
            </w:pPr>
            <w:r w:rsidRPr="00EA40E6">
              <w:rPr>
                <w:b/>
                <w:bCs/>
                <w:color w:val="000000"/>
                <w:sz w:val="22"/>
                <w:szCs w:val="22"/>
              </w:rPr>
              <w:t>(N = 155)</w:t>
            </w:r>
          </w:p>
        </w:tc>
        <w:tc>
          <w:tcPr>
            <w:tcW w:w="2155" w:type="dxa"/>
            <w:tcBorders>
              <w:top w:val="outset" w:sz="6" w:space="0" w:color="auto"/>
              <w:left w:val="outset" w:sz="6" w:space="0" w:color="auto"/>
              <w:bottom w:val="outset" w:sz="6" w:space="0" w:color="auto"/>
            </w:tcBorders>
            <w:hideMark/>
          </w:tcPr>
          <w:p w:rsidR="000E295E" w:rsidRPr="00EA40E6" w:rsidRDefault="000E295E" w:rsidP="00F2021B">
            <w:pPr>
              <w:ind w:left="136"/>
              <w:rPr>
                <w:color w:val="000000"/>
                <w:sz w:val="22"/>
                <w:szCs w:val="22"/>
              </w:rPr>
            </w:pPr>
            <w:r w:rsidRPr="00EA40E6">
              <w:rPr>
                <w:b/>
                <w:bCs/>
                <w:color w:val="000000"/>
                <w:sz w:val="22"/>
                <w:szCs w:val="22"/>
              </w:rPr>
              <w:t>Forskel mellem behandlingsgrupper</w:t>
            </w:r>
          </w:p>
        </w:tc>
      </w:tr>
      <w:tr w:rsidR="000E295E" w:rsidRPr="00EA40E6" w:rsidTr="002C33E5">
        <w:tc>
          <w:tcPr>
            <w:tcW w:w="3544" w:type="dxa"/>
            <w:tcBorders>
              <w:top w:val="outset" w:sz="6" w:space="0" w:color="auto"/>
              <w:bottom w:val="outset" w:sz="6" w:space="0" w:color="auto"/>
              <w:right w:val="outset" w:sz="6" w:space="0" w:color="auto"/>
            </w:tcBorders>
            <w:hideMark/>
          </w:tcPr>
          <w:p w:rsidR="000E295E" w:rsidRPr="00EA40E6" w:rsidRDefault="000E295E" w:rsidP="00F2021B">
            <w:pPr>
              <w:ind w:left="104"/>
              <w:rPr>
                <w:color w:val="000000"/>
                <w:sz w:val="22"/>
                <w:szCs w:val="22"/>
              </w:rPr>
            </w:pPr>
            <w:r w:rsidRPr="00EA40E6">
              <w:rPr>
                <w:color w:val="000000"/>
                <w:sz w:val="22"/>
                <w:szCs w:val="22"/>
              </w:rPr>
              <w:t>Patienter med bekræftet eller formodet CMV-sygdom</w:t>
            </w:r>
            <w:r w:rsidRPr="00EA40E6">
              <w:rPr>
                <w:color w:val="000000"/>
                <w:sz w:val="22"/>
                <w:szCs w:val="22"/>
                <w:vertAlign w:val="superscript"/>
              </w:rPr>
              <w:t>2</w:t>
            </w:r>
          </w:p>
        </w:tc>
        <w:tc>
          <w:tcPr>
            <w:tcW w:w="1777" w:type="dxa"/>
            <w:tcBorders>
              <w:top w:val="outset" w:sz="6" w:space="0" w:color="auto"/>
              <w:left w:val="outset" w:sz="6" w:space="0" w:color="auto"/>
              <w:bottom w:val="outset" w:sz="6" w:space="0" w:color="auto"/>
              <w:right w:val="outset" w:sz="6" w:space="0" w:color="auto"/>
            </w:tcBorders>
            <w:hideMark/>
          </w:tcPr>
          <w:p w:rsidR="000E295E" w:rsidRPr="00EA40E6" w:rsidRDefault="000E295E" w:rsidP="00F2021B">
            <w:pPr>
              <w:ind w:left="127"/>
              <w:rPr>
                <w:color w:val="000000"/>
                <w:sz w:val="22"/>
                <w:szCs w:val="22"/>
              </w:rPr>
            </w:pPr>
            <w:r w:rsidRPr="00EA40E6">
              <w:rPr>
                <w:color w:val="000000"/>
                <w:sz w:val="22"/>
                <w:szCs w:val="22"/>
              </w:rPr>
              <w:t xml:space="preserve">71 (43,6 %) </w:t>
            </w:r>
          </w:p>
          <w:p w:rsidR="000E295E" w:rsidRPr="00EA40E6" w:rsidRDefault="000E295E" w:rsidP="00F2021B">
            <w:pPr>
              <w:ind w:left="127"/>
              <w:rPr>
                <w:color w:val="000000"/>
                <w:sz w:val="22"/>
                <w:szCs w:val="22"/>
              </w:rPr>
            </w:pPr>
            <w:r w:rsidRPr="00EA40E6">
              <w:rPr>
                <w:color w:val="000000"/>
                <w:sz w:val="22"/>
                <w:szCs w:val="22"/>
              </w:rPr>
              <w:t xml:space="preserve">[35,8 %; 51,5 %] </w:t>
            </w:r>
          </w:p>
        </w:tc>
        <w:tc>
          <w:tcPr>
            <w:tcW w:w="1778" w:type="dxa"/>
            <w:tcBorders>
              <w:top w:val="outset" w:sz="6" w:space="0" w:color="auto"/>
              <w:left w:val="outset" w:sz="6" w:space="0" w:color="auto"/>
              <w:bottom w:val="outset" w:sz="6" w:space="0" w:color="auto"/>
              <w:right w:val="outset" w:sz="6" w:space="0" w:color="auto"/>
            </w:tcBorders>
            <w:hideMark/>
          </w:tcPr>
          <w:p w:rsidR="000E295E" w:rsidRPr="00EA40E6" w:rsidRDefault="000E295E" w:rsidP="00F2021B">
            <w:pPr>
              <w:ind w:left="132"/>
              <w:rPr>
                <w:color w:val="000000"/>
                <w:sz w:val="22"/>
                <w:szCs w:val="22"/>
              </w:rPr>
            </w:pPr>
            <w:r w:rsidRPr="00EA40E6">
              <w:rPr>
                <w:color w:val="000000"/>
                <w:sz w:val="22"/>
                <w:szCs w:val="22"/>
              </w:rPr>
              <w:t xml:space="preserve">36 (23,2 %) </w:t>
            </w:r>
          </w:p>
          <w:p w:rsidR="000E295E" w:rsidRPr="00EA40E6" w:rsidRDefault="000E295E" w:rsidP="00F2021B">
            <w:pPr>
              <w:ind w:left="132"/>
              <w:rPr>
                <w:color w:val="000000"/>
                <w:sz w:val="22"/>
                <w:szCs w:val="22"/>
              </w:rPr>
            </w:pPr>
            <w:r w:rsidRPr="00EA40E6">
              <w:rPr>
                <w:color w:val="000000"/>
                <w:sz w:val="22"/>
                <w:szCs w:val="22"/>
              </w:rPr>
              <w:t xml:space="preserve">[16,8 %; 30,7 %] </w:t>
            </w:r>
          </w:p>
        </w:tc>
        <w:tc>
          <w:tcPr>
            <w:tcW w:w="2155" w:type="dxa"/>
            <w:tcBorders>
              <w:top w:val="outset" w:sz="6" w:space="0" w:color="auto"/>
              <w:left w:val="outset" w:sz="6" w:space="0" w:color="auto"/>
              <w:bottom w:val="outset" w:sz="6" w:space="0" w:color="auto"/>
            </w:tcBorders>
            <w:hideMark/>
          </w:tcPr>
          <w:p w:rsidR="000E295E" w:rsidRPr="00EA40E6" w:rsidRDefault="000E295E" w:rsidP="00F2021B">
            <w:pPr>
              <w:ind w:left="136"/>
              <w:rPr>
                <w:color w:val="000000"/>
                <w:sz w:val="22"/>
                <w:szCs w:val="22"/>
              </w:rPr>
            </w:pPr>
            <w:r w:rsidRPr="00EA40E6">
              <w:rPr>
                <w:color w:val="000000"/>
                <w:sz w:val="22"/>
                <w:szCs w:val="22"/>
              </w:rPr>
              <w:t xml:space="preserve">20,3 % </w:t>
            </w:r>
          </w:p>
          <w:p w:rsidR="000E295E" w:rsidRPr="00EA40E6" w:rsidRDefault="000E295E" w:rsidP="00F2021B">
            <w:pPr>
              <w:ind w:left="136"/>
              <w:rPr>
                <w:color w:val="000000"/>
                <w:sz w:val="22"/>
                <w:szCs w:val="22"/>
              </w:rPr>
            </w:pPr>
            <w:r w:rsidRPr="00EA40E6">
              <w:rPr>
                <w:color w:val="000000"/>
                <w:sz w:val="22"/>
                <w:szCs w:val="22"/>
              </w:rPr>
              <w:t xml:space="preserve">[9,9 %; 30,8 %] </w:t>
            </w:r>
          </w:p>
        </w:tc>
      </w:tr>
      <w:tr w:rsidR="000E295E" w:rsidRPr="00EA40E6" w:rsidTr="002C33E5">
        <w:tc>
          <w:tcPr>
            <w:tcW w:w="3544" w:type="dxa"/>
            <w:tcBorders>
              <w:top w:val="outset" w:sz="6" w:space="0" w:color="auto"/>
              <w:bottom w:val="outset" w:sz="6" w:space="0" w:color="auto"/>
              <w:right w:val="outset" w:sz="6" w:space="0" w:color="auto"/>
            </w:tcBorders>
            <w:hideMark/>
          </w:tcPr>
          <w:p w:rsidR="000E295E" w:rsidRPr="00EA40E6" w:rsidRDefault="000E295E" w:rsidP="00F2021B">
            <w:pPr>
              <w:ind w:left="104"/>
              <w:rPr>
                <w:color w:val="000000"/>
                <w:sz w:val="22"/>
                <w:szCs w:val="22"/>
              </w:rPr>
            </w:pPr>
            <w:r w:rsidRPr="00EA40E6">
              <w:rPr>
                <w:color w:val="000000"/>
                <w:sz w:val="22"/>
                <w:szCs w:val="22"/>
              </w:rPr>
              <w:t xml:space="preserve">Patienter med bekræftet CMV-sygdom </w:t>
            </w:r>
          </w:p>
        </w:tc>
        <w:tc>
          <w:tcPr>
            <w:tcW w:w="1777" w:type="dxa"/>
            <w:tcBorders>
              <w:top w:val="outset" w:sz="6" w:space="0" w:color="auto"/>
              <w:left w:val="outset" w:sz="6" w:space="0" w:color="auto"/>
              <w:bottom w:val="outset" w:sz="6" w:space="0" w:color="auto"/>
              <w:right w:val="outset" w:sz="6" w:space="0" w:color="auto"/>
            </w:tcBorders>
            <w:hideMark/>
          </w:tcPr>
          <w:p w:rsidR="000E295E" w:rsidRPr="00EA40E6" w:rsidRDefault="000E295E" w:rsidP="00F2021B">
            <w:pPr>
              <w:ind w:left="127"/>
              <w:rPr>
                <w:color w:val="000000"/>
                <w:sz w:val="22"/>
                <w:szCs w:val="22"/>
              </w:rPr>
            </w:pPr>
            <w:r w:rsidRPr="00EA40E6">
              <w:rPr>
                <w:color w:val="000000"/>
                <w:sz w:val="22"/>
                <w:szCs w:val="22"/>
              </w:rPr>
              <w:t xml:space="preserve">60 (36,8 %) </w:t>
            </w:r>
          </w:p>
          <w:p w:rsidR="000E295E" w:rsidRPr="00EA40E6" w:rsidRDefault="000E295E" w:rsidP="00F2021B">
            <w:pPr>
              <w:ind w:left="127"/>
              <w:rPr>
                <w:color w:val="000000"/>
                <w:sz w:val="22"/>
                <w:szCs w:val="22"/>
              </w:rPr>
            </w:pPr>
            <w:r w:rsidRPr="00EA40E6">
              <w:rPr>
                <w:color w:val="000000"/>
                <w:sz w:val="22"/>
                <w:szCs w:val="22"/>
              </w:rPr>
              <w:t xml:space="preserve">[29,4 %; 44,7 %] </w:t>
            </w:r>
          </w:p>
        </w:tc>
        <w:tc>
          <w:tcPr>
            <w:tcW w:w="1778" w:type="dxa"/>
            <w:tcBorders>
              <w:top w:val="outset" w:sz="6" w:space="0" w:color="auto"/>
              <w:left w:val="outset" w:sz="6" w:space="0" w:color="auto"/>
              <w:bottom w:val="outset" w:sz="6" w:space="0" w:color="auto"/>
              <w:right w:val="outset" w:sz="6" w:space="0" w:color="auto"/>
            </w:tcBorders>
            <w:hideMark/>
          </w:tcPr>
          <w:p w:rsidR="000E295E" w:rsidRPr="00EA40E6" w:rsidRDefault="000E295E" w:rsidP="00F2021B">
            <w:pPr>
              <w:ind w:left="132"/>
              <w:rPr>
                <w:color w:val="000000"/>
                <w:sz w:val="22"/>
                <w:szCs w:val="22"/>
              </w:rPr>
            </w:pPr>
            <w:r w:rsidRPr="00EA40E6">
              <w:rPr>
                <w:color w:val="000000"/>
                <w:sz w:val="22"/>
                <w:szCs w:val="22"/>
              </w:rPr>
              <w:t xml:space="preserve">25 (16,1 %) </w:t>
            </w:r>
          </w:p>
          <w:p w:rsidR="000E295E" w:rsidRPr="00EA40E6" w:rsidRDefault="000E295E" w:rsidP="00F2021B">
            <w:pPr>
              <w:ind w:left="132"/>
              <w:rPr>
                <w:color w:val="000000"/>
                <w:sz w:val="22"/>
                <w:szCs w:val="22"/>
              </w:rPr>
            </w:pPr>
            <w:r w:rsidRPr="00EA40E6">
              <w:rPr>
                <w:color w:val="000000"/>
                <w:sz w:val="22"/>
                <w:szCs w:val="22"/>
              </w:rPr>
              <w:t xml:space="preserve">[10,7 %; 22,9 %] </w:t>
            </w:r>
          </w:p>
        </w:tc>
        <w:tc>
          <w:tcPr>
            <w:tcW w:w="2155" w:type="dxa"/>
            <w:tcBorders>
              <w:top w:val="outset" w:sz="6" w:space="0" w:color="auto"/>
              <w:left w:val="outset" w:sz="6" w:space="0" w:color="auto"/>
              <w:bottom w:val="outset" w:sz="6" w:space="0" w:color="auto"/>
            </w:tcBorders>
            <w:hideMark/>
          </w:tcPr>
          <w:p w:rsidR="000E295E" w:rsidRPr="00EA40E6" w:rsidRDefault="000E295E" w:rsidP="00F2021B">
            <w:pPr>
              <w:ind w:left="136"/>
              <w:rPr>
                <w:color w:val="000000"/>
                <w:sz w:val="22"/>
                <w:szCs w:val="22"/>
              </w:rPr>
            </w:pPr>
            <w:r w:rsidRPr="00EA40E6">
              <w:rPr>
                <w:color w:val="000000"/>
                <w:sz w:val="22"/>
                <w:szCs w:val="22"/>
              </w:rPr>
              <w:t xml:space="preserve">20,7 % </w:t>
            </w:r>
          </w:p>
          <w:p w:rsidR="000E295E" w:rsidRPr="00EA40E6" w:rsidRDefault="000E295E" w:rsidP="00F2021B">
            <w:pPr>
              <w:ind w:left="136"/>
              <w:rPr>
                <w:color w:val="000000"/>
                <w:sz w:val="22"/>
                <w:szCs w:val="22"/>
              </w:rPr>
            </w:pPr>
            <w:r w:rsidRPr="00EA40E6">
              <w:rPr>
                <w:color w:val="000000"/>
                <w:sz w:val="22"/>
                <w:szCs w:val="22"/>
              </w:rPr>
              <w:t xml:space="preserve">[10,9 %; 30,4 %] </w:t>
            </w:r>
          </w:p>
        </w:tc>
      </w:tr>
    </w:tbl>
    <w:p w:rsidR="000E295E" w:rsidRPr="002C33E5" w:rsidRDefault="000E295E" w:rsidP="00F2021B">
      <w:pPr>
        <w:shd w:val="clear" w:color="auto" w:fill="FFFFFF"/>
        <w:tabs>
          <w:tab w:val="left" w:pos="993"/>
        </w:tabs>
        <w:ind w:left="993" w:hanging="142"/>
        <w:rPr>
          <w:color w:val="000000"/>
          <w:sz w:val="22"/>
          <w:szCs w:val="22"/>
        </w:rPr>
      </w:pPr>
      <w:r w:rsidRPr="002C33E5">
        <w:rPr>
          <w:color w:val="000000"/>
          <w:sz w:val="22"/>
          <w:szCs w:val="22"/>
          <w:vertAlign w:val="superscript"/>
        </w:rPr>
        <w:t>1</w:t>
      </w:r>
      <w:r w:rsidR="002C33E5">
        <w:rPr>
          <w:color w:val="000000"/>
          <w:sz w:val="22"/>
          <w:szCs w:val="22"/>
          <w:vertAlign w:val="superscript"/>
        </w:rPr>
        <w:tab/>
      </w:r>
      <w:r w:rsidRPr="002C33E5">
        <w:rPr>
          <w:color w:val="000000"/>
          <w:sz w:val="22"/>
          <w:szCs w:val="22"/>
        </w:rPr>
        <w:t xml:space="preserve">CMV-sygdom er defineret som enten CMV-syndrom eller vævsinvasiv CMV. </w:t>
      </w:r>
    </w:p>
    <w:p w:rsidR="000E295E" w:rsidRPr="002C33E5" w:rsidRDefault="000E295E" w:rsidP="00F2021B">
      <w:pPr>
        <w:shd w:val="clear" w:color="auto" w:fill="FFFFFF"/>
        <w:tabs>
          <w:tab w:val="left" w:pos="993"/>
        </w:tabs>
        <w:ind w:left="993" w:hanging="142"/>
        <w:rPr>
          <w:color w:val="000000"/>
          <w:sz w:val="22"/>
          <w:szCs w:val="22"/>
        </w:rPr>
      </w:pPr>
      <w:r w:rsidRPr="002C33E5">
        <w:rPr>
          <w:color w:val="000000"/>
          <w:sz w:val="22"/>
          <w:szCs w:val="22"/>
          <w:vertAlign w:val="superscript"/>
        </w:rPr>
        <w:t>2</w:t>
      </w:r>
      <w:r w:rsidR="002C33E5">
        <w:rPr>
          <w:color w:val="000000"/>
          <w:sz w:val="22"/>
          <w:szCs w:val="22"/>
        </w:rPr>
        <w:tab/>
      </w:r>
      <w:r w:rsidRPr="002C33E5">
        <w:rPr>
          <w:color w:val="000000"/>
          <w:sz w:val="22"/>
          <w:szCs w:val="22"/>
        </w:rPr>
        <w:t>Bekræftet CMV er et klinisk bekræftet tilfælde af CMV-sygdom. Patienterne blev formodet at have CMV-sygdom, hvis der ingen uge 52-vurdering og ingen bekræftelse af CMV-sygdom var før dette tidspunkt.</w:t>
      </w:r>
    </w:p>
    <w:p w:rsidR="000E295E" w:rsidRPr="002C33E5" w:rsidRDefault="000E295E" w:rsidP="00F2021B">
      <w:pPr>
        <w:shd w:val="clear" w:color="auto" w:fill="FFFFFF"/>
        <w:tabs>
          <w:tab w:val="left" w:pos="993"/>
        </w:tabs>
        <w:ind w:left="993" w:hanging="142"/>
        <w:rPr>
          <w:color w:val="000000"/>
          <w:sz w:val="22"/>
          <w:szCs w:val="22"/>
        </w:rPr>
      </w:pPr>
      <w:r w:rsidRPr="002C33E5">
        <w:rPr>
          <w:color w:val="000000"/>
          <w:sz w:val="22"/>
          <w:szCs w:val="22"/>
          <w:vertAlign w:val="superscript"/>
        </w:rPr>
        <w:t>A</w:t>
      </w:r>
      <w:r w:rsidR="002C33E5">
        <w:rPr>
          <w:color w:val="000000"/>
          <w:sz w:val="22"/>
          <w:szCs w:val="22"/>
        </w:rPr>
        <w:tab/>
      </w:r>
      <w:r w:rsidRPr="002C33E5">
        <w:rPr>
          <w:color w:val="000000"/>
          <w:sz w:val="22"/>
          <w:szCs w:val="22"/>
        </w:rPr>
        <w:t>Resultaterne fundet indtil 24 måneder var på linje med resultaterne indtil 12 måneder: Bekræftet eller formodet CMV-sygdom var 48,5 % i armen med 100 dages behandling kontra 34,2 % i armen med 200 dages behandling. Forskellen mellem behandlingsgrupperne var 14,3 % [3,2 %; 25,3 %].</w:t>
      </w:r>
    </w:p>
    <w:p w:rsidR="000E295E" w:rsidRPr="000E295E" w:rsidRDefault="000E295E" w:rsidP="00F2021B">
      <w:pPr>
        <w:shd w:val="clear" w:color="auto" w:fill="FFFFFF"/>
        <w:tabs>
          <w:tab w:val="left" w:pos="851"/>
        </w:tabs>
        <w:ind w:left="851"/>
        <w:rPr>
          <w:color w:val="000000"/>
          <w:sz w:val="24"/>
          <w:szCs w:val="24"/>
          <w:lang w:eastAsia="el-GR"/>
        </w:rPr>
      </w:pPr>
    </w:p>
    <w:p w:rsidR="000E295E" w:rsidRPr="000E295E" w:rsidRDefault="000E295E" w:rsidP="00F2021B">
      <w:pPr>
        <w:shd w:val="clear" w:color="auto" w:fill="FFFFFF"/>
        <w:tabs>
          <w:tab w:val="left" w:pos="851"/>
        </w:tabs>
        <w:ind w:left="851"/>
        <w:rPr>
          <w:color w:val="000000"/>
          <w:sz w:val="24"/>
          <w:szCs w:val="24"/>
        </w:rPr>
      </w:pPr>
      <w:r w:rsidRPr="000E295E">
        <w:rPr>
          <w:sz w:val="24"/>
          <w:szCs w:val="24"/>
        </w:rPr>
        <w:t>Signifikant færre nyretransplanterede højrisikopatienter udviklede CMV-sygdom efter CMV-forebyggelse med valganciclovir indtil dag 200 efter transplantationen sammenlignet med patienter, som fik CMV-forebyggelse med valganciclovir indtil dag 100 efter transplantationen.</w:t>
      </w:r>
    </w:p>
    <w:p w:rsidR="000E295E" w:rsidRPr="000E295E" w:rsidRDefault="000E295E" w:rsidP="00F2021B">
      <w:pPr>
        <w:tabs>
          <w:tab w:val="left" w:pos="851"/>
        </w:tabs>
        <w:autoSpaceDE w:val="0"/>
        <w:autoSpaceDN w:val="0"/>
        <w:adjustRightInd w:val="0"/>
        <w:ind w:left="851"/>
        <w:rPr>
          <w:color w:val="000000"/>
          <w:sz w:val="24"/>
          <w:szCs w:val="24"/>
          <w:lang w:eastAsia="el-GR"/>
        </w:rPr>
      </w:pPr>
    </w:p>
    <w:p w:rsidR="000E295E" w:rsidRPr="000E295E" w:rsidRDefault="000E295E" w:rsidP="00F2021B">
      <w:pPr>
        <w:tabs>
          <w:tab w:val="left" w:pos="851"/>
        </w:tabs>
        <w:autoSpaceDE w:val="0"/>
        <w:autoSpaceDN w:val="0"/>
        <w:adjustRightInd w:val="0"/>
        <w:ind w:left="851"/>
        <w:rPr>
          <w:color w:val="000000"/>
          <w:sz w:val="24"/>
          <w:szCs w:val="24"/>
        </w:rPr>
      </w:pPr>
      <w:r w:rsidRPr="000E295E">
        <w:rPr>
          <w:color w:val="000000"/>
          <w:sz w:val="24"/>
          <w:szCs w:val="24"/>
        </w:rPr>
        <w:t xml:space="preserve">Transplantatets overlevelsesrate samt forekomsten af akut afstødning påvist ved biopsi var ensartet i begge behandlingsgrupper. Transplantatets overlevelsesrate 12 måneder efter transplantationen var 98,2 % (160/163) for regimet med 100 dages behandling og 98,1 % (152/155) for regimet med 200 dages behandling. Indtil 24 måneder efter transplantationen </w:t>
      </w:r>
      <w:r w:rsidRPr="000E295E">
        <w:rPr>
          <w:color w:val="000000"/>
          <w:sz w:val="24"/>
          <w:szCs w:val="24"/>
        </w:rPr>
        <w:lastRenderedPageBreak/>
        <w:t>blev der rapporteret om yderligere fire tilfælde af tab af transplantat</w:t>
      </w:r>
      <w:r w:rsidR="00655699">
        <w:rPr>
          <w:color w:val="000000"/>
          <w:sz w:val="24"/>
          <w:szCs w:val="24"/>
        </w:rPr>
        <w:t>. Alle tilfælde var i 100 dages doseringsgruppen</w:t>
      </w:r>
      <w:r w:rsidRPr="000E295E">
        <w:rPr>
          <w:color w:val="000000"/>
          <w:sz w:val="24"/>
          <w:szCs w:val="24"/>
        </w:rPr>
        <w:t>. Forekomsten af akut afstødning 12 måneder efter transplantationen påvist ved biopsi var 17,2 % (28/163) for regimet med 100 dages behandling og 11,0 % (17/155) for regimet med 200 dages behandling. Indtil 24 måneder efter transplantationen blev der rapporteret om yderligere ét tilfælde i gruppen med 200 dages behandling.</w:t>
      </w:r>
    </w:p>
    <w:p w:rsidR="000E295E" w:rsidRPr="000E295E" w:rsidRDefault="000E295E" w:rsidP="00F2021B">
      <w:pPr>
        <w:tabs>
          <w:tab w:val="left" w:pos="851"/>
        </w:tabs>
        <w:autoSpaceDE w:val="0"/>
        <w:autoSpaceDN w:val="0"/>
        <w:adjustRightInd w:val="0"/>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u w:val="single"/>
        </w:rPr>
        <w:t>Viral resistens</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Der kan opstå virusresistens over for ganciclovir efter kronisk behandling med valganciclovir ved udvælgelse af mutationer i det virale kinasegen (UL97), som er ansvarligt for monophosphoryleringen af ganciclovir, og/eller det virale polymerasegen (UL54). I kliniske isolater er de hyppigst rapporterede ganciclovir-resistens-associerede substitutioner syv kanoniske UL97-substitutioner: M460V/I, H520Q, C592G, A594V, L595S, C603W. Vira, som indeholder mutationer i UL97-genet, er kun resistente over for ganciclovir, mens vira med mutationer i UL54-genet er resistente over for ganciclovir, men kan vise krydsresistens over for andre antivirale stoffer, der også virker på den virale polymerase.</w:t>
      </w:r>
    </w:p>
    <w:p w:rsidR="000E295E" w:rsidRPr="000E295E" w:rsidRDefault="000E295E" w:rsidP="000E295E">
      <w:pPr>
        <w:shd w:val="clear" w:color="auto" w:fill="FFFFFF"/>
        <w:tabs>
          <w:tab w:val="left" w:pos="851"/>
        </w:tabs>
        <w:ind w:left="851"/>
        <w:rPr>
          <w:i/>
          <w:iCs/>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i/>
          <w:iCs/>
          <w:color w:val="000000"/>
          <w:sz w:val="24"/>
          <w:szCs w:val="24"/>
        </w:rPr>
        <w:t>Behandling af CMV-retinitis</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 xml:space="preserve">I et klinisk studie viste genotypeanalyser for CMV i polymorfnukleære leukocyt-isolater (PMNL) fra 148 patienter med CMV-retinitis, at 2,2 %, 6,5 %, 12,8 %, og 15,3 % indeholder UL97-mutationer efter hhv. 3, 6, 12 og 18 måneders behandling med valganciclovir. </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i/>
          <w:iCs/>
          <w:color w:val="000000"/>
          <w:sz w:val="24"/>
          <w:szCs w:val="24"/>
        </w:rPr>
      </w:pPr>
      <w:r w:rsidRPr="000E295E">
        <w:rPr>
          <w:i/>
          <w:iCs/>
          <w:color w:val="000000"/>
          <w:sz w:val="24"/>
          <w:szCs w:val="24"/>
        </w:rPr>
        <w:t>Forebyggelse af CMV-sygdom ved transplantation</w:t>
      </w:r>
    </w:p>
    <w:p w:rsidR="000E295E" w:rsidRPr="000E295E" w:rsidRDefault="000E295E" w:rsidP="000E295E">
      <w:pPr>
        <w:shd w:val="clear" w:color="auto" w:fill="FFFFFF"/>
        <w:tabs>
          <w:tab w:val="left" w:pos="851"/>
        </w:tabs>
        <w:ind w:left="851"/>
        <w:rPr>
          <w:i/>
          <w:iCs/>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u w:val="single"/>
        </w:rPr>
        <w:t>Studie med aktiv komparator</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Resistens blev undersøgt ved genotypeanalyser for CMV i PMNL-prøver indsamlet i) på dag 100 (slutningen af den forebyggende behandling) og ii) i tilfælde af mistænkt CMV-sygdom op til 6 måneder efter transplantationen. Fra de 245 patienter, der var randomiseret til at få valganciclovir, var der 198 tilgængelige prøver til analyse på dag 100, og der blev ikke fundet nogen ganciclovir-resistente mutationer. Til sammenligning blev der fundet 2 ganciclovir-resistente mutationer i 103 prøver (1,9 %) fra patienter i komparator-armen med oral ganciclovir.</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Fra de 245 patienter, der var randomiseret til at få valganciclovir, blev prøver fra 50 patienter med mistænkt CMV-sygdom testet, og der blev ikke fundet nogen resistente mutationer. Fra de 127 patienter, der var randomiseret til ganciclovir-komparator-armen, blev prøver fra 29 patienter med mistænkt CMV-sygdom testet, og i disse blev der fundet 2 resistente mutationer, hvilket giver en resistenshyppighed på 6,9 %.</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u w:val="single"/>
        </w:rPr>
        <w:t>Studie vedrørende forlængelse af forebyggelse fra 100 dage til 200 dage efter transplantationen</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Der blev udført genotypeanalyser på UL54- og UL97-generne stammende fra virus udtaget fra 72 patienter, som opfyldte kriterierne for resistensanalyse: Patienter, som oplevede en positiv virusmængde (&gt; 600 kopier/ml) ved slutningen af forebyggelsen og/eller patienter, som havde bekræftet CMV-sygdom op til 12 måneder (52 uger) efter transplantationen. Tre patienter i hver behandlingsgruppe havde en kendt ganciclovir-resistens-mutation.</w:t>
      </w:r>
    </w:p>
    <w:p w:rsidR="00F2021B" w:rsidRDefault="00F2021B">
      <w:pPr>
        <w:rPr>
          <w:color w:val="000000"/>
          <w:sz w:val="24"/>
          <w:szCs w:val="24"/>
          <w:lang w:eastAsia="el-GR"/>
        </w:rPr>
      </w:pPr>
      <w:r>
        <w:rPr>
          <w:color w:val="000000"/>
          <w:sz w:val="24"/>
          <w:szCs w:val="24"/>
          <w:lang w:eastAsia="el-GR"/>
        </w:rPr>
        <w:br w:type="page"/>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u w:val="single"/>
        </w:rPr>
      </w:pPr>
      <w:r w:rsidRPr="000E295E">
        <w:rPr>
          <w:color w:val="000000"/>
          <w:sz w:val="24"/>
          <w:szCs w:val="24"/>
          <w:u w:val="single"/>
        </w:rPr>
        <w:t>Pædiatrisk population</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i/>
          <w:iCs/>
          <w:color w:val="000000"/>
          <w:sz w:val="24"/>
          <w:szCs w:val="24"/>
        </w:rPr>
        <w:t>Behandling af CMV-retinitis</w:t>
      </w:r>
    </w:p>
    <w:p w:rsidR="000E295E" w:rsidRPr="000E295E" w:rsidRDefault="000E295E" w:rsidP="000E295E">
      <w:pPr>
        <w:shd w:val="clear" w:color="auto" w:fill="FFFFFF"/>
        <w:tabs>
          <w:tab w:val="left" w:pos="851"/>
        </w:tabs>
        <w:ind w:left="851"/>
        <w:rPr>
          <w:color w:val="000000"/>
          <w:sz w:val="24"/>
          <w:szCs w:val="24"/>
        </w:rPr>
      </w:pPr>
      <w:r w:rsidRPr="000E295E">
        <w:rPr>
          <w:sz w:val="24"/>
          <w:szCs w:val="24"/>
        </w:rPr>
        <w:t>Det Europæiske Lægemiddelagentur har</w:t>
      </w:r>
      <w:r w:rsidR="00655699">
        <w:rPr>
          <w:sz w:val="24"/>
          <w:szCs w:val="24"/>
        </w:rPr>
        <w:t xml:space="preserve"> dispenseret fra kravet om at fremlægge resultaterne af studier</w:t>
      </w:r>
      <w:r w:rsidRPr="000E295E">
        <w:rPr>
          <w:sz w:val="24"/>
          <w:szCs w:val="24"/>
        </w:rPr>
        <w:t xml:space="preserve"> med </w:t>
      </w:r>
      <w:r w:rsidR="007017D6">
        <w:rPr>
          <w:sz w:val="24"/>
          <w:szCs w:val="24"/>
        </w:rPr>
        <w:t xml:space="preserve">Valcyte, som indeholder </w:t>
      </w:r>
      <w:r w:rsidRPr="000E295E">
        <w:rPr>
          <w:sz w:val="24"/>
          <w:szCs w:val="24"/>
        </w:rPr>
        <w:t>valganciclovir</w:t>
      </w:r>
      <w:r w:rsidR="007017D6">
        <w:rPr>
          <w:sz w:val="24"/>
          <w:szCs w:val="24"/>
        </w:rPr>
        <w:t>,</w:t>
      </w:r>
      <w:r w:rsidRPr="000E295E">
        <w:rPr>
          <w:sz w:val="24"/>
          <w:szCs w:val="24"/>
        </w:rPr>
        <w:t xml:space="preserve"> hos alle undergrupper af den pædiatriske population ved behandling af infektion som følge af CMV hos immunsvækkede patienter (se pkt. 4.2 for oplysninger om pædiatrisk anvendelse).</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i/>
          <w:color w:val="000000"/>
          <w:sz w:val="24"/>
          <w:szCs w:val="24"/>
        </w:rPr>
      </w:pPr>
      <w:r w:rsidRPr="000E295E">
        <w:rPr>
          <w:i/>
          <w:color w:val="000000"/>
          <w:sz w:val="24"/>
          <w:szCs w:val="24"/>
        </w:rPr>
        <w:t>Forebyggelse af CMV-sygdom ved transplantation</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 xml:space="preserve">Et fase II-studie af farmakokinetik og sikkerhed hos pædiatriske organtransplantat-modtagere (i alderen 4 måneder til 16 år, n = 63), som fik valganciclovir </w:t>
      </w:r>
      <w:r w:rsidR="00986CD7">
        <w:rPr>
          <w:color w:val="000000"/>
          <w:sz w:val="24"/>
          <w:szCs w:val="24"/>
        </w:rPr>
        <w:t>en</w:t>
      </w:r>
      <w:r w:rsidRPr="000E295E">
        <w:rPr>
          <w:color w:val="000000"/>
          <w:sz w:val="24"/>
          <w:szCs w:val="24"/>
        </w:rPr>
        <w:t xml:space="preserve"> gang daglig i op til 100 dage i henhold til doseringsberegningen (se pkt. 4.2), gav eksponeringer svarende til eksponeringen hos voksne (se pkt. 5.2). Opfølgning efter behandling var 12 uger. CMV D/R-serologi-status ved baseline var D+/R- i 40 %, D+/R+ i 38 %, D-/R+ i 19 % og D-/R- i 3 % af tilfældene. Tilstedeværelse af CMV-virus blev rapporteret hos 7 patienter. De observerede bivirkninger var af samme karakter som dem hos voksne (se pkt. 4.8). </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 xml:space="preserve">Et fase IV-studie af tolerabilitet hos pædiatriske nyretransplantat-modtagere (i alderen 1 til 16 år, n = 57), som fik valganciclovir </w:t>
      </w:r>
      <w:r w:rsidR="00986CD7">
        <w:rPr>
          <w:color w:val="000000"/>
          <w:sz w:val="24"/>
          <w:szCs w:val="24"/>
        </w:rPr>
        <w:t>en</w:t>
      </w:r>
      <w:r w:rsidRPr="000E295E">
        <w:rPr>
          <w:color w:val="000000"/>
          <w:sz w:val="24"/>
          <w:szCs w:val="24"/>
        </w:rPr>
        <w:t xml:space="preserve"> gang daglig i op til 200 dage i henhold til doseringsberegningen (se pkt. 4.2), resulterede i en lav forekomst af CMV. Opfølgning efter behandling var 24 uger. CMV D/R-serologi-status ved baseline var D+/R+ i 45 %, D+/R- i 39 %, D-/R+ i 7 %</w:t>
      </w:r>
      <w:r w:rsidR="003C2261">
        <w:rPr>
          <w:color w:val="000000"/>
          <w:sz w:val="24"/>
          <w:szCs w:val="24"/>
        </w:rPr>
        <w:t>, D-/R- i 7 %</w:t>
      </w:r>
      <w:r w:rsidRPr="000E295E">
        <w:rPr>
          <w:color w:val="000000"/>
          <w:sz w:val="24"/>
          <w:szCs w:val="24"/>
        </w:rPr>
        <w:t xml:space="preserve"> og ND-/R+ i 2 % af tilfældene. CMV-viræmi blev rapporteret hos 3 patienter, og der var mistanke om CMV-syndrom hos </w:t>
      </w:r>
      <w:r w:rsidR="00986CD7">
        <w:rPr>
          <w:color w:val="000000"/>
          <w:sz w:val="24"/>
          <w:szCs w:val="24"/>
        </w:rPr>
        <w:t>en</w:t>
      </w:r>
      <w:r w:rsidRPr="000E295E">
        <w:rPr>
          <w:color w:val="000000"/>
          <w:sz w:val="24"/>
          <w:szCs w:val="24"/>
        </w:rPr>
        <w:t xml:space="preserve"> patient, men det blev ikke bekræftet ved CMV-PCR af det centrale laboratorium. De observerede bivirkninger var af samme karakter som hos voksne (se pkt. 4.8).</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 xml:space="preserve">Disse data understøtter ekstrapolation af effektdata fra voksne til børn og giver doseringsanbefalinger til pædiatriske patienter. </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Et fase I-studie af farmakokinetik og sikkerhed hos hjertetransplantat-modtagere (i alderen 3 uger til 125 dage, n = 14), som fik en enkelt daglig dosis valganciclovir i henhold til den pædiatriske doseringsberegning (se pkt. 4.2) i to på hinanden følgende dage, gav eksponeringer svarende til eksponeringen hos voksne (se pkt. 5.2). Opfølgning efter behandling var 7 dage. Sikkerhedsprofilen var i overensstemmelse med andre studier med pædiatriske og voksne patienter, selv om patientantallet og valganciclovir-eksponeringen var begrænset i dette studie.</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i/>
          <w:iCs/>
          <w:color w:val="000000"/>
          <w:sz w:val="24"/>
          <w:szCs w:val="24"/>
        </w:rPr>
        <w:t>Medfødt CMV</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Virkningen og sikkerheden af ganciclovir og/eller valganciclovir er blevet undersøgt hos nyfødte og spædbørn med symptomatisk medfødt CMV-infektion i to studier.</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 xml:space="preserve">I det første studie blev farmakokinetikken og sikkerheden af en enkelt dosis valganciclovir (dosisområde 14-16-20 mg/kg/dosis) undersøgt hos 24 nyfødte (i alderen 8 til 34 dage) med symptomatisk medfødt CMV-sygdom (se pkt. 5.2). De nyfødte fik 6 ugers antiviral behandling. 19 af de 24 patienter fik op til 4 ugers behandling med oral valganciclovir og i.v. ganciclovir i de resterende 2 uger. De 5 resterende patienter fik i.v. ganciclovir i det meste af studieperioden. I det andet studie blev virkningen og sikkerheden af seks ugers kontra seks måneders valganciclovirbehandling undersøgt hos 109 spædbørn i alderen 2 til 30 dage med symptomatisk medfødt CMV-sygdom. Alle spædbørn fik oral valganciclovir i </w:t>
      </w:r>
      <w:r w:rsidRPr="000E295E">
        <w:rPr>
          <w:color w:val="000000"/>
          <w:sz w:val="24"/>
          <w:szCs w:val="24"/>
        </w:rPr>
        <w:lastRenderedPageBreak/>
        <w:t>en dosis på 16 mg/kg to gange daglig i 6 uger. Efter 6 ugers behandling blev spædbørnene randomiseret 1:1 til at fortsætte behandling med valganciclovir i den samme dosis eller modtage en tilsvarende placebo for at fuldføre 6 måneders behandling.</w:t>
      </w:r>
    </w:p>
    <w:p w:rsidR="000E295E" w:rsidRPr="000E295E" w:rsidRDefault="000E295E" w:rsidP="000E295E">
      <w:pPr>
        <w:shd w:val="clear" w:color="auto" w:fill="FFFFFF"/>
        <w:tabs>
          <w:tab w:val="left" w:pos="851"/>
        </w:tabs>
        <w:ind w:left="851"/>
        <w:rPr>
          <w:color w:val="000000"/>
          <w:sz w:val="24"/>
          <w:szCs w:val="24"/>
          <w:lang w:eastAsia="el-GR"/>
        </w:rPr>
      </w:pPr>
    </w:p>
    <w:p w:rsidR="009260DE" w:rsidRPr="003C2261" w:rsidRDefault="000E295E" w:rsidP="003C2261">
      <w:pPr>
        <w:shd w:val="clear" w:color="auto" w:fill="FFFFFF"/>
        <w:tabs>
          <w:tab w:val="left" w:pos="851"/>
        </w:tabs>
        <w:ind w:left="851"/>
        <w:rPr>
          <w:color w:val="000000"/>
          <w:sz w:val="24"/>
          <w:szCs w:val="24"/>
        </w:rPr>
      </w:pPr>
      <w:r w:rsidRPr="000E295E">
        <w:rPr>
          <w:color w:val="000000"/>
          <w:sz w:val="24"/>
          <w:szCs w:val="24"/>
        </w:rPr>
        <w:t>Denne indikation anbefales i øjeblikket ikke for valganciclovir. Designet af studierne og de opnåede resultater er for begrænsede til, at der kan drages hensigtsmæssige konklusioner om valganciclovirs virkning og sikkerhed.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Valganciclovirs farmakokinetik er blevet undersøgt hos hiv- og CMV-seropositive patienter, patienter med aids og CMV-retinitis og hos organtransplanterede patienter.</w:t>
      </w:r>
    </w:p>
    <w:p w:rsidR="000E295E" w:rsidRPr="000E295E" w:rsidRDefault="000E295E" w:rsidP="000E295E">
      <w:pPr>
        <w:tabs>
          <w:tab w:val="left" w:pos="0"/>
          <w:tab w:val="left" w:pos="851"/>
        </w:tabs>
        <w:ind w:left="851"/>
        <w:rPr>
          <w:sz w:val="24"/>
          <w:szCs w:val="24"/>
        </w:rPr>
      </w:pPr>
    </w:p>
    <w:p w:rsidR="000E295E" w:rsidRPr="000E295E" w:rsidRDefault="000E295E" w:rsidP="000E295E">
      <w:pPr>
        <w:tabs>
          <w:tab w:val="left" w:pos="0"/>
          <w:tab w:val="left" w:pos="851"/>
        </w:tabs>
        <w:ind w:left="851"/>
        <w:rPr>
          <w:sz w:val="24"/>
          <w:szCs w:val="24"/>
        </w:rPr>
      </w:pPr>
      <w:r w:rsidRPr="000E295E">
        <w:rPr>
          <w:sz w:val="24"/>
          <w:szCs w:val="24"/>
        </w:rPr>
        <w:t>Efter administration af valganciclovir i doser fra 450 til 2.625 mg er der kun påvist dosisproportionalitet med hensyn til ganciclovirs AUC efter indtagelse af føde.</w:t>
      </w:r>
    </w:p>
    <w:p w:rsidR="000E295E" w:rsidRPr="000E295E" w:rsidRDefault="000E295E" w:rsidP="000E295E">
      <w:pPr>
        <w:numPr>
          <w:ilvl w:val="12"/>
          <w:numId w:val="0"/>
        </w:numPr>
        <w:tabs>
          <w:tab w:val="left" w:pos="851"/>
        </w:tabs>
        <w:ind w:left="851" w:right="-2"/>
        <w:rPr>
          <w:iCs/>
          <w:noProof/>
          <w:sz w:val="24"/>
          <w:szCs w:val="24"/>
          <w:u w:val="single"/>
        </w:rPr>
      </w:pPr>
    </w:p>
    <w:p w:rsidR="000E295E" w:rsidRPr="000E295E" w:rsidRDefault="000E295E" w:rsidP="000E295E">
      <w:pPr>
        <w:numPr>
          <w:ilvl w:val="12"/>
          <w:numId w:val="0"/>
        </w:numPr>
        <w:tabs>
          <w:tab w:val="left" w:pos="851"/>
        </w:tabs>
        <w:ind w:left="851" w:right="-2"/>
        <w:rPr>
          <w:iCs/>
          <w:noProof/>
          <w:sz w:val="24"/>
          <w:szCs w:val="24"/>
          <w:u w:val="single"/>
        </w:rPr>
      </w:pPr>
      <w:r w:rsidRPr="000E295E">
        <w:rPr>
          <w:iCs/>
          <w:sz w:val="24"/>
          <w:szCs w:val="24"/>
          <w:u w:val="single"/>
        </w:rPr>
        <w:t>Absorption</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Valganciclovir er en prodrug til ganciclovir. Det absorberes godt fra mave-tarm-kanalen og metaboliseres hurtigt og ekstensivt i intestinalvæggen og leveren til ganciclovir. Den systemiske eksponering for valganciclovir er forbigående og ringe. Biotilgængeligheden af ganciclovir fra oralt administreret valganciclovir er ca. 60 % i alle de undersøgte patientpopulationer, og den resulterende eksponering for ganciclovir er den samme som efter intravenøs administration (se nedenfor). Til sammenligning er biotilgængeligheden af ganciclovir efter administration af 1.000 mg oral ganciclovir (som kapsler) 6-8 %.</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i/>
          <w:iCs/>
          <w:color w:val="000000"/>
          <w:sz w:val="24"/>
          <w:szCs w:val="24"/>
        </w:rPr>
        <w:t>Valganciclovir hos hiv-positive, CMV-positive patienter</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Systemisk eksponering hos hiv-positive, CMV-positive patienter efter to daglige administrationer af ganciclovir og valganciclovir i en uge er:</w:t>
      </w:r>
    </w:p>
    <w:p w:rsidR="000E295E" w:rsidRPr="000E295E" w:rsidRDefault="000E295E" w:rsidP="000E295E">
      <w:pPr>
        <w:numPr>
          <w:ilvl w:val="12"/>
          <w:numId w:val="0"/>
        </w:numPr>
        <w:tabs>
          <w:tab w:val="left" w:pos="851"/>
        </w:tabs>
        <w:ind w:left="851" w:right="-2"/>
        <w:rPr>
          <w:iCs/>
          <w:noProof/>
          <w:sz w:val="24"/>
          <w:szCs w:val="24"/>
          <w:u w:val="single"/>
        </w:rPr>
      </w:pPr>
    </w:p>
    <w:tbl>
      <w:tblPr>
        <w:tblW w:w="8386"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68"/>
        <w:gridCol w:w="2591"/>
        <w:gridCol w:w="1660"/>
        <w:gridCol w:w="1867"/>
      </w:tblGrid>
      <w:tr w:rsidR="000E295E" w:rsidRPr="004D4E95" w:rsidTr="006D2FAF">
        <w:tc>
          <w:tcPr>
            <w:tcW w:w="1352" w:type="pct"/>
            <w:vMerge w:val="restart"/>
            <w:tcBorders>
              <w:top w:val="outset" w:sz="6" w:space="0" w:color="auto"/>
              <w:bottom w:val="outset" w:sz="6" w:space="0" w:color="auto"/>
              <w:right w:val="outset" w:sz="6" w:space="0" w:color="auto"/>
            </w:tcBorders>
            <w:hideMark/>
          </w:tcPr>
          <w:p w:rsidR="000E295E" w:rsidRPr="000E295E" w:rsidRDefault="000E295E" w:rsidP="006D2FAF">
            <w:pPr>
              <w:ind w:left="104"/>
              <w:rPr>
                <w:color w:val="000000"/>
                <w:sz w:val="24"/>
                <w:szCs w:val="24"/>
              </w:rPr>
            </w:pPr>
            <w:r w:rsidRPr="000E295E">
              <w:rPr>
                <w:color w:val="000000"/>
                <w:sz w:val="24"/>
                <w:szCs w:val="24"/>
              </w:rPr>
              <w:t>Parameter</w:t>
            </w:r>
          </w:p>
        </w:tc>
        <w:tc>
          <w:tcPr>
            <w:tcW w:w="1545" w:type="pct"/>
            <w:vMerge w:val="restart"/>
            <w:tcBorders>
              <w:top w:val="outset" w:sz="6" w:space="0" w:color="auto"/>
              <w:left w:val="outset" w:sz="6" w:space="0" w:color="auto"/>
              <w:bottom w:val="outset" w:sz="6" w:space="0" w:color="auto"/>
              <w:right w:val="outset" w:sz="6" w:space="0" w:color="auto"/>
            </w:tcBorders>
            <w:hideMark/>
          </w:tcPr>
          <w:p w:rsidR="000E295E" w:rsidRPr="000E295E" w:rsidRDefault="000E295E" w:rsidP="006D2FAF">
            <w:pPr>
              <w:ind w:left="36"/>
              <w:rPr>
                <w:color w:val="000000"/>
                <w:sz w:val="24"/>
                <w:szCs w:val="24"/>
                <w:lang w:val="pt-PT"/>
              </w:rPr>
            </w:pPr>
            <w:r w:rsidRPr="000E295E">
              <w:rPr>
                <w:color w:val="000000"/>
                <w:sz w:val="24"/>
                <w:szCs w:val="24"/>
                <w:lang w:val="pt-PT"/>
              </w:rPr>
              <w:t>Ganciclovir</w:t>
            </w:r>
          </w:p>
          <w:p w:rsidR="000E295E" w:rsidRPr="000E295E" w:rsidRDefault="000E295E" w:rsidP="006D2FAF">
            <w:pPr>
              <w:ind w:left="36"/>
              <w:rPr>
                <w:color w:val="000000"/>
                <w:sz w:val="24"/>
                <w:szCs w:val="24"/>
                <w:lang w:val="pt-PT"/>
              </w:rPr>
            </w:pPr>
            <w:r w:rsidRPr="000E295E">
              <w:rPr>
                <w:color w:val="000000"/>
                <w:sz w:val="24"/>
                <w:szCs w:val="24"/>
                <w:lang w:val="pt-PT"/>
              </w:rPr>
              <w:t>(5 mg/kg, i.v.)</w:t>
            </w:r>
          </w:p>
          <w:p w:rsidR="000E295E" w:rsidRPr="000E295E" w:rsidRDefault="000E295E" w:rsidP="006D2FAF">
            <w:pPr>
              <w:ind w:left="36"/>
              <w:rPr>
                <w:color w:val="000000"/>
                <w:sz w:val="24"/>
                <w:szCs w:val="24"/>
                <w:lang w:val="pt-PT"/>
              </w:rPr>
            </w:pPr>
            <w:r w:rsidRPr="000E295E">
              <w:rPr>
                <w:color w:val="000000"/>
                <w:sz w:val="24"/>
                <w:szCs w:val="24"/>
                <w:lang w:val="pt-PT"/>
              </w:rPr>
              <w:t>n = 18</w:t>
            </w:r>
          </w:p>
        </w:tc>
        <w:tc>
          <w:tcPr>
            <w:tcW w:w="2103" w:type="pct"/>
            <w:gridSpan w:val="2"/>
            <w:tcBorders>
              <w:top w:val="outset" w:sz="6" w:space="0" w:color="auto"/>
              <w:left w:val="outset" w:sz="6" w:space="0" w:color="auto"/>
              <w:bottom w:val="outset" w:sz="6" w:space="0" w:color="auto"/>
            </w:tcBorders>
            <w:hideMark/>
          </w:tcPr>
          <w:p w:rsidR="000E295E" w:rsidRPr="000E295E" w:rsidRDefault="000E295E" w:rsidP="006D2FAF">
            <w:pPr>
              <w:ind w:left="72"/>
              <w:rPr>
                <w:color w:val="000000"/>
                <w:sz w:val="24"/>
                <w:szCs w:val="24"/>
                <w:lang w:val="pt-PT"/>
              </w:rPr>
            </w:pPr>
            <w:r w:rsidRPr="000E295E">
              <w:rPr>
                <w:color w:val="000000"/>
                <w:sz w:val="24"/>
                <w:szCs w:val="24"/>
                <w:lang w:val="pt-PT"/>
              </w:rPr>
              <w:t>Valganciclovir (900 mg, p.o.)</w:t>
            </w:r>
          </w:p>
          <w:p w:rsidR="000E295E" w:rsidRPr="000E295E" w:rsidRDefault="000E295E" w:rsidP="006D2FAF">
            <w:pPr>
              <w:ind w:left="72"/>
              <w:rPr>
                <w:color w:val="000000"/>
                <w:sz w:val="24"/>
                <w:szCs w:val="24"/>
                <w:lang w:val="pt-PT"/>
              </w:rPr>
            </w:pPr>
            <w:r w:rsidRPr="000E295E">
              <w:rPr>
                <w:color w:val="000000"/>
                <w:sz w:val="24"/>
                <w:szCs w:val="24"/>
                <w:lang w:val="pt-PT"/>
              </w:rPr>
              <w:t>n = 25</w:t>
            </w:r>
          </w:p>
        </w:tc>
      </w:tr>
      <w:tr w:rsidR="000E295E" w:rsidRPr="000E295E" w:rsidTr="006D2FAF">
        <w:tc>
          <w:tcPr>
            <w:tcW w:w="1352" w:type="pct"/>
            <w:vMerge/>
            <w:tcBorders>
              <w:top w:val="outset" w:sz="6" w:space="0" w:color="auto"/>
              <w:bottom w:val="outset" w:sz="6" w:space="0" w:color="auto"/>
              <w:right w:val="outset" w:sz="6" w:space="0" w:color="auto"/>
            </w:tcBorders>
            <w:vAlign w:val="center"/>
            <w:hideMark/>
          </w:tcPr>
          <w:p w:rsidR="000E295E" w:rsidRPr="000E295E" w:rsidRDefault="000E295E" w:rsidP="001D0785">
            <w:pPr>
              <w:ind w:left="104"/>
              <w:rPr>
                <w:color w:val="000000"/>
                <w:sz w:val="24"/>
                <w:szCs w:val="24"/>
                <w:lang w:val="pt-PT" w:eastAsia="el-GR"/>
              </w:rPr>
            </w:pPr>
          </w:p>
        </w:tc>
        <w:tc>
          <w:tcPr>
            <w:tcW w:w="1545" w:type="pct"/>
            <w:vMerge/>
            <w:tcBorders>
              <w:top w:val="outset" w:sz="6" w:space="0" w:color="auto"/>
              <w:left w:val="outset" w:sz="6" w:space="0" w:color="auto"/>
              <w:bottom w:val="outset" w:sz="6" w:space="0" w:color="auto"/>
              <w:right w:val="outset" w:sz="6" w:space="0" w:color="auto"/>
            </w:tcBorders>
            <w:vAlign w:val="center"/>
            <w:hideMark/>
          </w:tcPr>
          <w:p w:rsidR="000E295E" w:rsidRPr="000E295E" w:rsidRDefault="000E295E" w:rsidP="006D2FAF">
            <w:pPr>
              <w:ind w:left="36"/>
              <w:rPr>
                <w:color w:val="000000"/>
                <w:sz w:val="24"/>
                <w:szCs w:val="24"/>
                <w:lang w:val="pt-PT" w:eastAsia="el-GR"/>
              </w:rPr>
            </w:pPr>
          </w:p>
        </w:tc>
        <w:tc>
          <w:tcPr>
            <w:tcW w:w="990" w:type="pct"/>
            <w:tcBorders>
              <w:top w:val="outset" w:sz="6" w:space="0" w:color="auto"/>
              <w:left w:val="outset" w:sz="6" w:space="0" w:color="auto"/>
              <w:bottom w:val="outset" w:sz="6" w:space="0" w:color="auto"/>
              <w:right w:val="outset" w:sz="6" w:space="0" w:color="auto"/>
            </w:tcBorders>
            <w:hideMark/>
          </w:tcPr>
          <w:p w:rsidR="000E295E" w:rsidRPr="000E295E" w:rsidRDefault="000E295E" w:rsidP="006D2FAF">
            <w:pPr>
              <w:ind w:left="72"/>
              <w:rPr>
                <w:color w:val="000000"/>
                <w:sz w:val="24"/>
                <w:szCs w:val="24"/>
              </w:rPr>
            </w:pPr>
            <w:r w:rsidRPr="000E295E">
              <w:rPr>
                <w:color w:val="000000"/>
                <w:sz w:val="24"/>
                <w:szCs w:val="24"/>
              </w:rPr>
              <w:t>Ganciclovir</w:t>
            </w:r>
          </w:p>
        </w:tc>
        <w:tc>
          <w:tcPr>
            <w:tcW w:w="1113" w:type="pct"/>
            <w:tcBorders>
              <w:top w:val="outset" w:sz="6" w:space="0" w:color="auto"/>
              <w:left w:val="outset" w:sz="6" w:space="0" w:color="auto"/>
              <w:bottom w:val="outset" w:sz="6" w:space="0" w:color="auto"/>
            </w:tcBorders>
            <w:hideMark/>
          </w:tcPr>
          <w:p w:rsidR="000E295E" w:rsidRPr="000E295E" w:rsidRDefault="000E295E" w:rsidP="006D2FAF">
            <w:pPr>
              <w:ind w:left="72"/>
              <w:rPr>
                <w:color w:val="000000"/>
                <w:sz w:val="24"/>
                <w:szCs w:val="24"/>
              </w:rPr>
            </w:pPr>
            <w:r w:rsidRPr="000E295E">
              <w:rPr>
                <w:color w:val="000000"/>
                <w:sz w:val="24"/>
                <w:szCs w:val="24"/>
              </w:rPr>
              <w:t>Valganciclovir</w:t>
            </w:r>
          </w:p>
        </w:tc>
      </w:tr>
      <w:tr w:rsidR="000E295E" w:rsidRPr="000E295E" w:rsidTr="006D2FAF">
        <w:tc>
          <w:tcPr>
            <w:tcW w:w="1352" w:type="pct"/>
            <w:tcBorders>
              <w:top w:val="outset" w:sz="6" w:space="0" w:color="auto"/>
              <w:bottom w:val="outset" w:sz="6" w:space="0" w:color="auto"/>
              <w:right w:val="outset" w:sz="6" w:space="0" w:color="auto"/>
            </w:tcBorders>
            <w:hideMark/>
          </w:tcPr>
          <w:p w:rsidR="000E295E" w:rsidRPr="000E295E" w:rsidRDefault="000E295E" w:rsidP="001D0785">
            <w:pPr>
              <w:ind w:left="104"/>
              <w:rPr>
                <w:color w:val="000000"/>
                <w:sz w:val="24"/>
                <w:szCs w:val="24"/>
              </w:rPr>
            </w:pPr>
            <w:r w:rsidRPr="000E295E">
              <w:rPr>
                <w:color w:val="000000"/>
                <w:sz w:val="24"/>
                <w:szCs w:val="24"/>
              </w:rPr>
              <w:t xml:space="preserve">AUC (0 - 12 timer) (μg.time/ml) </w:t>
            </w:r>
          </w:p>
        </w:tc>
        <w:tc>
          <w:tcPr>
            <w:tcW w:w="1545" w:type="pct"/>
            <w:tcBorders>
              <w:top w:val="outset" w:sz="6" w:space="0" w:color="auto"/>
              <w:left w:val="outset" w:sz="6" w:space="0" w:color="auto"/>
              <w:bottom w:val="outset" w:sz="6" w:space="0" w:color="auto"/>
              <w:right w:val="outset" w:sz="6" w:space="0" w:color="auto"/>
            </w:tcBorders>
            <w:hideMark/>
          </w:tcPr>
          <w:p w:rsidR="000E295E" w:rsidRPr="000E295E" w:rsidRDefault="000E295E" w:rsidP="006D2FAF">
            <w:pPr>
              <w:ind w:left="36"/>
              <w:rPr>
                <w:color w:val="000000"/>
                <w:sz w:val="24"/>
                <w:szCs w:val="24"/>
              </w:rPr>
            </w:pPr>
            <w:r w:rsidRPr="000E295E">
              <w:rPr>
                <w:color w:val="000000"/>
                <w:sz w:val="24"/>
                <w:szCs w:val="24"/>
              </w:rPr>
              <w:t>28,6 ± 9,0</w:t>
            </w:r>
          </w:p>
        </w:tc>
        <w:tc>
          <w:tcPr>
            <w:tcW w:w="990" w:type="pct"/>
            <w:tcBorders>
              <w:top w:val="outset" w:sz="6" w:space="0" w:color="auto"/>
              <w:left w:val="outset" w:sz="6" w:space="0" w:color="auto"/>
              <w:bottom w:val="outset" w:sz="6" w:space="0" w:color="auto"/>
              <w:right w:val="outset" w:sz="6" w:space="0" w:color="auto"/>
            </w:tcBorders>
            <w:hideMark/>
          </w:tcPr>
          <w:p w:rsidR="000E295E" w:rsidRPr="000E295E" w:rsidRDefault="000E295E" w:rsidP="006D2FAF">
            <w:pPr>
              <w:ind w:left="72"/>
              <w:rPr>
                <w:color w:val="000000"/>
                <w:sz w:val="24"/>
                <w:szCs w:val="24"/>
              </w:rPr>
            </w:pPr>
            <w:r w:rsidRPr="000E295E">
              <w:rPr>
                <w:color w:val="000000"/>
                <w:sz w:val="24"/>
                <w:szCs w:val="24"/>
              </w:rPr>
              <w:t>32,8  ± 10,1</w:t>
            </w:r>
          </w:p>
        </w:tc>
        <w:tc>
          <w:tcPr>
            <w:tcW w:w="1113" w:type="pct"/>
            <w:tcBorders>
              <w:top w:val="outset" w:sz="6" w:space="0" w:color="auto"/>
              <w:left w:val="outset" w:sz="6" w:space="0" w:color="auto"/>
              <w:bottom w:val="outset" w:sz="6" w:space="0" w:color="auto"/>
            </w:tcBorders>
            <w:hideMark/>
          </w:tcPr>
          <w:p w:rsidR="000E295E" w:rsidRPr="000E295E" w:rsidRDefault="000E295E" w:rsidP="006D2FAF">
            <w:pPr>
              <w:ind w:left="72"/>
              <w:rPr>
                <w:color w:val="000000"/>
                <w:sz w:val="24"/>
                <w:szCs w:val="24"/>
              </w:rPr>
            </w:pPr>
            <w:r w:rsidRPr="000E295E">
              <w:rPr>
                <w:color w:val="000000"/>
                <w:sz w:val="24"/>
                <w:szCs w:val="24"/>
              </w:rPr>
              <w:t>0,37  ± 0,22</w:t>
            </w:r>
          </w:p>
        </w:tc>
      </w:tr>
      <w:tr w:rsidR="000E295E" w:rsidRPr="000E295E" w:rsidTr="006D2FAF">
        <w:tc>
          <w:tcPr>
            <w:tcW w:w="1352" w:type="pct"/>
            <w:tcBorders>
              <w:top w:val="outset" w:sz="6" w:space="0" w:color="auto"/>
              <w:bottom w:val="outset" w:sz="6" w:space="0" w:color="auto"/>
              <w:right w:val="outset" w:sz="6" w:space="0" w:color="auto"/>
            </w:tcBorders>
            <w:hideMark/>
          </w:tcPr>
          <w:p w:rsidR="000E295E" w:rsidRPr="000E295E" w:rsidRDefault="000E295E" w:rsidP="001D0785">
            <w:pPr>
              <w:ind w:left="104"/>
              <w:rPr>
                <w:color w:val="000000"/>
                <w:sz w:val="24"/>
                <w:szCs w:val="24"/>
              </w:rPr>
            </w:pPr>
            <w:r w:rsidRPr="000E295E">
              <w:rPr>
                <w:color w:val="000000"/>
                <w:sz w:val="24"/>
                <w:szCs w:val="24"/>
              </w:rPr>
              <w:t>C</w:t>
            </w:r>
            <w:r w:rsidRPr="000E295E">
              <w:rPr>
                <w:color w:val="000000"/>
                <w:sz w:val="24"/>
                <w:szCs w:val="24"/>
                <w:vertAlign w:val="subscript"/>
              </w:rPr>
              <w:t>max</w:t>
            </w:r>
            <w:r w:rsidRPr="000E295E">
              <w:rPr>
                <w:color w:val="000000"/>
                <w:sz w:val="24"/>
                <w:szCs w:val="24"/>
              </w:rPr>
              <w:t xml:space="preserve"> (μg/ml) </w:t>
            </w:r>
          </w:p>
        </w:tc>
        <w:tc>
          <w:tcPr>
            <w:tcW w:w="1545" w:type="pct"/>
            <w:tcBorders>
              <w:top w:val="outset" w:sz="6" w:space="0" w:color="auto"/>
              <w:left w:val="outset" w:sz="6" w:space="0" w:color="auto"/>
              <w:bottom w:val="outset" w:sz="6" w:space="0" w:color="auto"/>
              <w:right w:val="outset" w:sz="6" w:space="0" w:color="auto"/>
            </w:tcBorders>
            <w:hideMark/>
          </w:tcPr>
          <w:p w:rsidR="000E295E" w:rsidRPr="000E295E" w:rsidRDefault="000E295E" w:rsidP="006D2FAF">
            <w:pPr>
              <w:ind w:left="36"/>
              <w:rPr>
                <w:color w:val="000000"/>
                <w:sz w:val="24"/>
                <w:szCs w:val="24"/>
              </w:rPr>
            </w:pPr>
            <w:r w:rsidRPr="000E295E">
              <w:rPr>
                <w:color w:val="000000"/>
                <w:sz w:val="24"/>
                <w:szCs w:val="24"/>
              </w:rPr>
              <w:t>10,4  ± 4,9</w:t>
            </w:r>
          </w:p>
        </w:tc>
        <w:tc>
          <w:tcPr>
            <w:tcW w:w="990" w:type="pct"/>
            <w:tcBorders>
              <w:top w:val="outset" w:sz="6" w:space="0" w:color="auto"/>
              <w:left w:val="outset" w:sz="6" w:space="0" w:color="auto"/>
              <w:bottom w:val="outset" w:sz="6" w:space="0" w:color="auto"/>
              <w:right w:val="outset" w:sz="6" w:space="0" w:color="auto"/>
            </w:tcBorders>
            <w:hideMark/>
          </w:tcPr>
          <w:p w:rsidR="000E295E" w:rsidRPr="000E295E" w:rsidRDefault="000E295E" w:rsidP="006D2FAF">
            <w:pPr>
              <w:ind w:left="72"/>
              <w:rPr>
                <w:color w:val="000000"/>
                <w:sz w:val="24"/>
                <w:szCs w:val="24"/>
              </w:rPr>
            </w:pPr>
            <w:r w:rsidRPr="000E295E">
              <w:rPr>
                <w:color w:val="000000"/>
                <w:sz w:val="24"/>
                <w:szCs w:val="24"/>
              </w:rPr>
              <w:t>6,7  ± 2,1</w:t>
            </w:r>
          </w:p>
        </w:tc>
        <w:tc>
          <w:tcPr>
            <w:tcW w:w="1113" w:type="pct"/>
            <w:tcBorders>
              <w:top w:val="outset" w:sz="6" w:space="0" w:color="auto"/>
              <w:left w:val="outset" w:sz="6" w:space="0" w:color="auto"/>
              <w:bottom w:val="outset" w:sz="6" w:space="0" w:color="auto"/>
            </w:tcBorders>
            <w:hideMark/>
          </w:tcPr>
          <w:p w:rsidR="000E295E" w:rsidRPr="000E295E" w:rsidRDefault="000E295E" w:rsidP="006D2FAF">
            <w:pPr>
              <w:ind w:left="72"/>
              <w:rPr>
                <w:color w:val="000000"/>
                <w:sz w:val="24"/>
                <w:szCs w:val="24"/>
              </w:rPr>
            </w:pPr>
            <w:r w:rsidRPr="000E295E">
              <w:rPr>
                <w:color w:val="000000"/>
                <w:sz w:val="24"/>
                <w:szCs w:val="24"/>
              </w:rPr>
              <w:t>0,18  ± 0,06</w:t>
            </w:r>
          </w:p>
        </w:tc>
      </w:tr>
    </w:tbl>
    <w:p w:rsidR="000E295E" w:rsidRPr="000E295E" w:rsidRDefault="000E295E" w:rsidP="000E295E">
      <w:pPr>
        <w:shd w:val="clear" w:color="auto" w:fill="FFFFFF"/>
        <w:tabs>
          <w:tab w:val="left" w:pos="851"/>
        </w:tabs>
        <w:ind w:left="851"/>
        <w:rPr>
          <w:color w:val="000000"/>
          <w:sz w:val="24"/>
          <w:szCs w:val="24"/>
          <w:lang w:val="en"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Ganciclovirs virkning med hensyn til at øge tiden indtil progression af CMV-retinitis har vist sig at korrelere med den systemiske eksponering (AUC).</w:t>
      </w:r>
    </w:p>
    <w:p w:rsidR="000E295E" w:rsidRPr="000E295E" w:rsidRDefault="000E295E" w:rsidP="000E295E">
      <w:pPr>
        <w:shd w:val="clear" w:color="auto" w:fill="FFFFFF"/>
        <w:tabs>
          <w:tab w:val="left" w:pos="851"/>
        </w:tabs>
        <w:ind w:left="851"/>
        <w:rPr>
          <w:i/>
          <w:iCs/>
          <w:color w:val="000000"/>
          <w:sz w:val="24"/>
          <w:szCs w:val="24"/>
          <w:lang w:eastAsia="el-GR"/>
        </w:rPr>
      </w:pPr>
    </w:p>
    <w:p w:rsidR="000E295E" w:rsidRPr="000E295E" w:rsidRDefault="000E295E" w:rsidP="000E295E">
      <w:pPr>
        <w:shd w:val="clear" w:color="auto" w:fill="FFFFFF"/>
        <w:tabs>
          <w:tab w:val="left" w:pos="851"/>
        </w:tabs>
        <w:ind w:left="851"/>
        <w:rPr>
          <w:i/>
          <w:iCs/>
          <w:color w:val="000000"/>
          <w:sz w:val="24"/>
          <w:szCs w:val="24"/>
        </w:rPr>
      </w:pPr>
      <w:r w:rsidRPr="000E295E">
        <w:rPr>
          <w:i/>
          <w:iCs/>
          <w:color w:val="000000"/>
          <w:sz w:val="24"/>
          <w:szCs w:val="24"/>
        </w:rPr>
        <w:t>Valganciclovir hos organtransplanterede patienter</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Den systemiske steady state-eksponering for ganciclovir hos organtransplanterede patienter efter daglig oral administration af ganciclovir og valganciclovir er:</w:t>
      </w:r>
    </w:p>
    <w:p w:rsidR="000E295E" w:rsidRPr="000E295E" w:rsidRDefault="000E295E" w:rsidP="000E295E">
      <w:pPr>
        <w:shd w:val="clear" w:color="auto" w:fill="FFFFFF"/>
        <w:tabs>
          <w:tab w:val="left" w:pos="851"/>
        </w:tabs>
        <w:ind w:left="851"/>
        <w:rPr>
          <w:color w:val="000000"/>
          <w:sz w:val="24"/>
          <w:szCs w:val="24"/>
          <w:lang w:eastAsia="el-GR"/>
        </w:rPr>
      </w:pPr>
    </w:p>
    <w:tbl>
      <w:tblPr>
        <w:tblW w:w="8647"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02"/>
        <w:gridCol w:w="2976"/>
        <w:gridCol w:w="2269"/>
      </w:tblGrid>
      <w:tr w:rsidR="000E295E" w:rsidRPr="000E295E" w:rsidTr="002217A1">
        <w:tc>
          <w:tcPr>
            <w:tcW w:w="1967" w:type="pct"/>
            <w:vMerge w:val="restart"/>
            <w:tcBorders>
              <w:top w:val="outset" w:sz="6" w:space="0" w:color="auto"/>
              <w:bottom w:val="outset" w:sz="6" w:space="0" w:color="auto"/>
              <w:right w:val="outset" w:sz="6" w:space="0" w:color="auto"/>
            </w:tcBorders>
            <w:hideMark/>
          </w:tcPr>
          <w:p w:rsidR="000E295E" w:rsidRPr="000E295E" w:rsidRDefault="000E295E" w:rsidP="009A5E53">
            <w:pPr>
              <w:ind w:left="104"/>
              <w:rPr>
                <w:color w:val="000000"/>
                <w:sz w:val="24"/>
                <w:szCs w:val="24"/>
              </w:rPr>
            </w:pPr>
            <w:r w:rsidRPr="000E295E">
              <w:rPr>
                <w:color w:val="000000"/>
                <w:sz w:val="24"/>
                <w:szCs w:val="24"/>
              </w:rPr>
              <w:t>Parameter</w:t>
            </w:r>
          </w:p>
        </w:tc>
        <w:tc>
          <w:tcPr>
            <w:tcW w:w="1721" w:type="pct"/>
            <w:vMerge w:val="restart"/>
            <w:tcBorders>
              <w:top w:val="outset" w:sz="6" w:space="0" w:color="auto"/>
              <w:left w:val="outset" w:sz="6" w:space="0" w:color="auto"/>
              <w:bottom w:val="outset" w:sz="6" w:space="0" w:color="auto"/>
              <w:right w:val="outset" w:sz="6" w:space="0" w:color="auto"/>
            </w:tcBorders>
            <w:hideMark/>
          </w:tcPr>
          <w:p w:rsidR="000E295E" w:rsidRPr="000E295E" w:rsidRDefault="000E295E" w:rsidP="009A5E53">
            <w:pPr>
              <w:ind w:left="104"/>
              <w:rPr>
                <w:color w:val="000000"/>
                <w:sz w:val="24"/>
                <w:szCs w:val="24"/>
              </w:rPr>
            </w:pPr>
            <w:r w:rsidRPr="000E295E">
              <w:rPr>
                <w:color w:val="000000"/>
                <w:sz w:val="24"/>
                <w:szCs w:val="24"/>
              </w:rPr>
              <w:t>Ganciclovir</w:t>
            </w:r>
          </w:p>
          <w:p w:rsidR="000E295E" w:rsidRPr="000E295E" w:rsidRDefault="000E295E" w:rsidP="009A5E53">
            <w:pPr>
              <w:ind w:left="104"/>
              <w:rPr>
                <w:color w:val="000000"/>
                <w:sz w:val="24"/>
                <w:szCs w:val="24"/>
              </w:rPr>
            </w:pPr>
            <w:r w:rsidRPr="000E295E">
              <w:rPr>
                <w:color w:val="000000"/>
                <w:sz w:val="24"/>
                <w:szCs w:val="24"/>
              </w:rPr>
              <w:t>(1.000 mg tre gange daglig)</w:t>
            </w:r>
          </w:p>
          <w:p w:rsidR="000E295E" w:rsidRPr="000E295E" w:rsidRDefault="000E295E" w:rsidP="009A5E53">
            <w:pPr>
              <w:ind w:left="104"/>
              <w:rPr>
                <w:color w:val="000000"/>
                <w:sz w:val="24"/>
                <w:szCs w:val="24"/>
              </w:rPr>
            </w:pPr>
            <w:r w:rsidRPr="000E295E">
              <w:rPr>
                <w:color w:val="000000"/>
                <w:sz w:val="24"/>
                <w:szCs w:val="24"/>
              </w:rPr>
              <w:t>n = 82</w:t>
            </w:r>
          </w:p>
        </w:tc>
        <w:tc>
          <w:tcPr>
            <w:tcW w:w="1312" w:type="pct"/>
            <w:tcBorders>
              <w:top w:val="outset" w:sz="6" w:space="0" w:color="auto"/>
              <w:left w:val="outset" w:sz="6" w:space="0" w:color="auto"/>
              <w:bottom w:val="outset" w:sz="6" w:space="0" w:color="auto"/>
            </w:tcBorders>
            <w:hideMark/>
          </w:tcPr>
          <w:p w:rsidR="000E295E" w:rsidRPr="000E295E" w:rsidRDefault="000E295E" w:rsidP="009A5E53">
            <w:pPr>
              <w:ind w:left="104"/>
              <w:rPr>
                <w:color w:val="000000"/>
                <w:sz w:val="24"/>
                <w:szCs w:val="24"/>
                <w:lang w:val="nb-NO"/>
              </w:rPr>
            </w:pPr>
            <w:r w:rsidRPr="000E295E">
              <w:rPr>
                <w:color w:val="000000"/>
                <w:sz w:val="24"/>
                <w:szCs w:val="24"/>
                <w:lang w:val="nb-NO"/>
              </w:rPr>
              <w:t xml:space="preserve">Valganciclovir (900 mg, </w:t>
            </w:r>
            <w:r w:rsidR="00986CD7">
              <w:rPr>
                <w:color w:val="000000"/>
                <w:sz w:val="24"/>
                <w:szCs w:val="24"/>
                <w:lang w:val="nb-NO"/>
              </w:rPr>
              <w:t>en</w:t>
            </w:r>
            <w:r w:rsidRPr="000E295E">
              <w:rPr>
                <w:color w:val="000000"/>
                <w:sz w:val="24"/>
                <w:szCs w:val="24"/>
                <w:lang w:val="nb-NO"/>
              </w:rPr>
              <w:t xml:space="preserve"> gang daglig)</w:t>
            </w:r>
          </w:p>
          <w:p w:rsidR="000E295E" w:rsidRPr="000E295E" w:rsidRDefault="000E295E" w:rsidP="009A5E53">
            <w:pPr>
              <w:ind w:left="104"/>
              <w:rPr>
                <w:color w:val="000000"/>
                <w:sz w:val="24"/>
                <w:szCs w:val="24"/>
              </w:rPr>
            </w:pPr>
            <w:r w:rsidRPr="000E295E">
              <w:rPr>
                <w:color w:val="000000"/>
                <w:sz w:val="24"/>
                <w:szCs w:val="24"/>
              </w:rPr>
              <w:t>n = 161</w:t>
            </w:r>
          </w:p>
        </w:tc>
      </w:tr>
      <w:tr w:rsidR="000E295E" w:rsidRPr="000E295E" w:rsidTr="002217A1">
        <w:tc>
          <w:tcPr>
            <w:tcW w:w="1967" w:type="pct"/>
            <w:vMerge/>
            <w:tcBorders>
              <w:top w:val="outset" w:sz="6" w:space="0" w:color="auto"/>
              <w:bottom w:val="outset" w:sz="6" w:space="0" w:color="auto"/>
              <w:right w:val="outset" w:sz="6" w:space="0" w:color="auto"/>
            </w:tcBorders>
            <w:vAlign w:val="center"/>
            <w:hideMark/>
          </w:tcPr>
          <w:p w:rsidR="000E295E" w:rsidRPr="000E295E" w:rsidRDefault="000E295E" w:rsidP="009A5E53">
            <w:pPr>
              <w:ind w:left="104"/>
              <w:rPr>
                <w:color w:val="000000"/>
                <w:sz w:val="24"/>
                <w:szCs w:val="24"/>
                <w:lang w:eastAsia="el-GR"/>
              </w:rPr>
            </w:pPr>
          </w:p>
        </w:tc>
        <w:tc>
          <w:tcPr>
            <w:tcW w:w="1721" w:type="pct"/>
            <w:vMerge/>
            <w:tcBorders>
              <w:top w:val="outset" w:sz="6" w:space="0" w:color="auto"/>
              <w:left w:val="outset" w:sz="6" w:space="0" w:color="auto"/>
              <w:bottom w:val="outset" w:sz="6" w:space="0" w:color="auto"/>
              <w:right w:val="outset" w:sz="6" w:space="0" w:color="auto"/>
            </w:tcBorders>
            <w:vAlign w:val="center"/>
            <w:hideMark/>
          </w:tcPr>
          <w:p w:rsidR="000E295E" w:rsidRPr="000E295E" w:rsidRDefault="000E295E" w:rsidP="009A5E53">
            <w:pPr>
              <w:ind w:left="104"/>
              <w:rPr>
                <w:color w:val="000000"/>
                <w:sz w:val="24"/>
                <w:szCs w:val="24"/>
                <w:lang w:eastAsia="el-GR"/>
              </w:rPr>
            </w:pPr>
          </w:p>
        </w:tc>
        <w:tc>
          <w:tcPr>
            <w:tcW w:w="1312" w:type="pct"/>
            <w:tcBorders>
              <w:top w:val="outset" w:sz="6" w:space="0" w:color="auto"/>
              <w:left w:val="outset" w:sz="6" w:space="0" w:color="auto"/>
              <w:bottom w:val="outset" w:sz="6" w:space="0" w:color="auto"/>
            </w:tcBorders>
            <w:hideMark/>
          </w:tcPr>
          <w:p w:rsidR="000E295E" w:rsidRPr="000E295E" w:rsidRDefault="000E295E" w:rsidP="00803B09">
            <w:pPr>
              <w:ind w:left="104"/>
              <w:rPr>
                <w:color w:val="000000"/>
                <w:sz w:val="24"/>
                <w:szCs w:val="24"/>
              </w:rPr>
            </w:pPr>
            <w:r w:rsidRPr="000E295E">
              <w:rPr>
                <w:color w:val="000000"/>
                <w:sz w:val="24"/>
                <w:szCs w:val="24"/>
              </w:rPr>
              <w:t>Ganciclovir</w:t>
            </w:r>
          </w:p>
        </w:tc>
      </w:tr>
      <w:tr w:rsidR="000E295E" w:rsidRPr="000E295E" w:rsidTr="002217A1">
        <w:tc>
          <w:tcPr>
            <w:tcW w:w="1967" w:type="pct"/>
            <w:tcBorders>
              <w:top w:val="outset" w:sz="6" w:space="0" w:color="auto"/>
              <w:bottom w:val="outset" w:sz="6" w:space="0" w:color="auto"/>
              <w:right w:val="outset" w:sz="6" w:space="0" w:color="auto"/>
            </w:tcBorders>
            <w:hideMark/>
          </w:tcPr>
          <w:p w:rsidR="000E295E" w:rsidRPr="000E295E" w:rsidRDefault="000E295E" w:rsidP="009A5E53">
            <w:pPr>
              <w:ind w:left="104"/>
              <w:rPr>
                <w:color w:val="000000"/>
                <w:sz w:val="24"/>
                <w:szCs w:val="24"/>
              </w:rPr>
            </w:pPr>
            <w:r w:rsidRPr="000E295E">
              <w:rPr>
                <w:color w:val="000000"/>
                <w:sz w:val="24"/>
                <w:szCs w:val="24"/>
              </w:rPr>
              <w:t xml:space="preserve">AUC (0 - 24 timer) (μg.time/ml) </w:t>
            </w:r>
          </w:p>
        </w:tc>
        <w:tc>
          <w:tcPr>
            <w:tcW w:w="1721" w:type="pct"/>
            <w:tcBorders>
              <w:top w:val="outset" w:sz="6" w:space="0" w:color="auto"/>
              <w:left w:val="outset" w:sz="6" w:space="0" w:color="auto"/>
              <w:bottom w:val="outset" w:sz="6" w:space="0" w:color="auto"/>
              <w:right w:val="outset" w:sz="6" w:space="0" w:color="auto"/>
            </w:tcBorders>
            <w:hideMark/>
          </w:tcPr>
          <w:p w:rsidR="000E295E" w:rsidRPr="000E295E" w:rsidRDefault="000E295E" w:rsidP="009A5E53">
            <w:pPr>
              <w:ind w:left="104"/>
              <w:rPr>
                <w:color w:val="000000"/>
                <w:sz w:val="24"/>
                <w:szCs w:val="24"/>
              </w:rPr>
            </w:pPr>
            <w:r w:rsidRPr="000E295E">
              <w:rPr>
                <w:color w:val="000000"/>
                <w:sz w:val="24"/>
                <w:szCs w:val="24"/>
              </w:rPr>
              <w:t>28,0  ± 10,9</w:t>
            </w:r>
          </w:p>
        </w:tc>
        <w:tc>
          <w:tcPr>
            <w:tcW w:w="1312" w:type="pct"/>
            <w:tcBorders>
              <w:top w:val="outset" w:sz="6" w:space="0" w:color="auto"/>
              <w:left w:val="outset" w:sz="6" w:space="0" w:color="auto"/>
              <w:bottom w:val="outset" w:sz="6" w:space="0" w:color="auto"/>
            </w:tcBorders>
            <w:hideMark/>
          </w:tcPr>
          <w:p w:rsidR="000E295E" w:rsidRPr="000E295E" w:rsidRDefault="000E295E" w:rsidP="009A5E53">
            <w:pPr>
              <w:ind w:left="104"/>
              <w:rPr>
                <w:color w:val="000000"/>
                <w:sz w:val="24"/>
                <w:szCs w:val="24"/>
              </w:rPr>
            </w:pPr>
            <w:r w:rsidRPr="000E295E">
              <w:rPr>
                <w:color w:val="000000"/>
                <w:sz w:val="24"/>
                <w:szCs w:val="24"/>
              </w:rPr>
              <w:t>46,3  ± 15,2</w:t>
            </w:r>
          </w:p>
        </w:tc>
      </w:tr>
      <w:tr w:rsidR="000E295E" w:rsidRPr="000E295E" w:rsidTr="002217A1">
        <w:tc>
          <w:tcPr>
            <w:tcW w:w="1967" w:type="pct"/>
            <w:tcBorders>
              <w:top w:val="outset" w:sz="6" w:space="0" w:color="auto"/>
              <w:bottom w:val="outset" w:sz="6" w:space="0" w:color="auto"/>
              <w:right w:val="outset" w:sz="6" w:space="0" w:color="auto"/>
            </w:tcBorders>
            <w:hideMark/>
          </w:tcPr>
          <w:p w:rsidR="000E295E" w:rsidRPr="000E295E" w:rsidRDefault="000E295E" w:rsidP="009A5E53">
            <w:pPr>
              <w:ind w:left="104"/>
              <w:rPr>
                <w:color w:val="000000"/>
                <w:sz w:val="24"/>
                <w:szCs w:val="24"/>
              </w:rPr>
            </w:pPr>
            <w:r w:rsidRPr="000E295E">
              <w:rPr>
                <w:color w:val="000000"/>
                <w:sz w:val="24"/>
                <w:szCs w:val="24"/>
              </w:rPr>
              <w:t>C</w:t>
            </w:r>
            <w:r w:rsidRPr="000E295E">
              <w:rPr>
                <w:color w:val="000000"/>
                <w:sz w:val="24"/>
                <w:szCs w:val="24"/>
                <w:vertAlign w:val="subscript"/>
              </w:rPr>
              <w:t>max</w:t>
            </w:r>
            <w:r w:rsidRPr="000E295E">
              <w:rPr>
                <w:color w:val="000000"/>
                <w:sz w:val="24"/>
                <w:szCs w:val="24"/>
              </w:rPr>
              <w:t xml:space="preserve"> (μg/ml) </w:t>
            </w:r>
          </w:p>
        </w:tc>
        <w:tc>
          <w:tcPr>
            <w:tcW w:w="1721" w:type="pct"/>
            <w:tcBorders>
              <w:top w:val="outset" w:sz="6" w:space="0" w:color="auto"/>
              <w:left w:val="outset" w:sz="6" w:space="0" w:color="auto"/>
              <w:bottom w:val="outset" w:sz="6" w:space="0" w:color="auto"/>
              <w:right w:val="outset" w:sz="6" w:space="0" w:color="auto"/>
            </w:tcBorders>
            <w:hideMark/>
          </w:tcPr>
          <w:p w:rsidR="000E295E" w:rsidRPr="000E295E" w:rsidRDefault="000E295E" w:rsidP="009A5E53">
            <w:pPr>
              <w:ind w:left="104"/>
              <w:rPr>
                <w:color w:val="000000"/>
                <w:sz w:val="24"/>
                <w:szCs w:val="24"/>
              </w:rPr>
            </w:pPr>
            <w:r w:rsidRPr="000E295E">
              <w:rPr>
                <w:color w:val="000000"/>
                <w:sz w:val="24"/>
                <w:szCs w:val="24"/>
              </w:rPr>
              <w:t>1,4  ± 0,5</w:t>
            </w:r>
          </w:p>
        </w:tc>
        <w:tc>
          <w:tcPr>
            <w:tcW w:w="1312" w:type="pct"/>
            <w:tcBorders>
              <w:top w:val="outset" w:sz="6" w:space="0" w:color="auto"/>
              <w:left w:val="outset" w:sz="6" w:space="0" w:color="auto"/>
              <w:bottom w:val="outset" w:sz="6" w:space="0" w:color="auto"/>
            </w:tcBorders>
            <w:hideMark/>
          </w:tcPr>
          <w:p w:rsidR="000E295E" w:rsidRPr="000E295E" w:rsidRDefault="000E295E" w:rsidP="009A5E53">
            <w:pPr>
              <w:ind w:left="104"/>
              <w:rPr>
                <w:color w:val="000000"/>
                <w:sz w:val="24"/>
                <w:szCs w:val="24"/>
              </w:rPr>
            </w:pPr>
            <w:r w:rsidRPr="000E295E">
              <w:rPr>
                <w:color w:val="000000"/>
                <w:sz w:val="24"/>
                <w:szCs w:val="24"/>
              </w:rPr>
              <w:t>5,3  ± 1,5</w:t>
            </w:r>
          </w:p>
        </w:tc>
      </w:tr>
    </w:tbl>
    <w:p w:rsidR="000E295E" w:rsidRPr="000E295E" w:rsidRDefault="000E295E" w:rsidP="000E295E">
      <w:pPr>
        <w:shd w:val="clear" w:color="auto" w:fill="FFFFFF"/>
        <w:tabs>
          <w:tab w:val="left" w:pos="851"/>
        </w:tabs>
        <w:ind w:left="851"/>
        <w:rPr>
          <w:color w:val="000000"/>
          <w:sz w:val="24"/>
          <w:szCs w:val="24"/>
          <w:lang w:val="en"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lastRenderedPageBreak/>
        <w:t>Den systemiske eksponering for ganciclovir hos hjerte-, nyre- og levertransplanterede patienter var ensartet efter oral administration af valganciclovir i henhold til den nyrefunktionsrelaterede doseringsberegning.</w:t>
      </w:r>
    </w:p>
    <w:p w:rsidR="000E295E" w:rsidRPr="000E295E" w:rsidRDefault="000E295E" w:rsidP="000E295E">
      <w:pPr>
        <w:shd w:val="clear" w:color="auto" w:fill="FFFFFF"/>
        <w:tabs>
          <w:tab w:val="left" w:pos="851"/>
        </w:tabs>
        <w:ind w:left="851"/>
        <w:rPr>
          <w:i/>
          <w:iCs/>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i/>
          <w:iCs/>
          <w:color w:val="000000"/>
          <w:sz w:val="24"/>
          <w:szCs w:val="24"/>
        </w:rPr>
        <w:t>Indvirkning af mad</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Når valganciclovir blev givet med føde i den anbefalede dosis på 900 mg, blev der observeret højere værdier i både ganciclovirs middel-AUC (ca. 30 %) og ganciclovirs middel-C</w:t>
      </w:r>
      <w:r w:rsidRPr="000E295E">
        <w:rPr>
          <w:color w:val="000000"/>
          <w:sz w:val="24"/>
          <w:szCs w:val="24"/>
          <w:vertAlign w:val="subscript"/>
        </w:rPr>
        <w:t>max</w:t>
      </w:r>
      <w:r w:rsidRPr="000E295E">
        <w:rPr>
          <w:color w:val="000000"/>
          <w:sz w:val="24"/>
          <w:szCs w:val="24"/>
        </w:rPr>
        <w:t xml:space="preserve"> (ca. 14 %) end i fastende tilstand. </w:t>
      </w:r>
      <w:r w:rsidRPr="000E295E">
        <w:rPr>
          <w:sz w:val="24"/>
          <w:szCs w:val="24"/>
        </w:rPr>
        <w:t>Den interindividuelle variation i eksponeringen for ganciclovir falder også, når valganciclovir indtages med føde.</w:t>
      </w:r>
      <w:r w:rsidRPr="000E295E">
        <w:rPr>
          <w:color w:val="000000"/>
          <w:sz w:val="24"/>
          <w:szCs w:val="24"/>
        </w:rPr>
        <w:t xml:space="preserve"> </w:t>
      </w:r>
      <w:r w:rsidRPr="000E295E">
        <w:rPr>
          <w:sz w:val="24"/>
          <w:szCs w:val="24"/>
        </w:rPr>
        <w:t>I de kliniske studier er valganciclovir kun blevet administreret med føde.</w:t>
      </w:r>
      <w:r w:rsidRPr="000E295E">
        <w:rPr>
          <w:color w:val="000000"/>
          <w:sz w:val="24"/>
          <w:szCs w:val="24"/>
        </w:rPr>
        <w:t xml:space="preserve"> </w:t>
      </w:r>
      <w:r w:rsidRPr="000E295E">
        <w:rPr>
          <w:sz w:val="24"/>
          <w:szCs w:val="24"/>
        </w:rPr>
        <w:t>Det anbefales derfor, at Valganciclovir "Medical Valley" administreres sammen med føde (se pkt. 4.2).</w:t>
      </w:r>
    </w:p>
    <w:p w:rsidR="000E295E" w:rsidRPr="000E295E" w:rsidRDefault="000E295E" w:rsidP="000E295E">
      <w:pPr>
        <w:numPr>
          <w:ilvl w:val="12"/>
          <w:numId w:val="0"/>
        </w:numPr>
        <w:tabs>
          <w:tab w:val="left" w:pos="851"/>
        </w:tabs>
        <w:ind w:left="851" w:right="-2"/>
        <w:rPr>
          <w:iCs/>
          <w:noProof/>
          <w:sz w:val="24"/>
          <w:szCs w:val="24"/>
          <w:u w:val="single"/>
        </w:rPr>
      </w:pPr>
    </w:p>
    <w:p w:rsidR="000E295E" w:rsidRPr="000E295E" w:rsidRDefault="000E295E" w:rsidP="000E295E">
      <w:pPr>
        <w:numPr>
          <w:ilvl w:val="12"/>
          <w:numId w:val="0"/>
        </w:numPr>
        <w:tabs>
          <w:tab w:val="left" w:pos="851"/>
        </w:tabs>
        <w:ind w:left="851" w:right="-2"/>
        <w:rPr>
          <w:iCs/>
          <w:noProof/>
          <w:sz w:val="24"/>
          <w:szCs w:val="24"/>
          <w:u w:val="single"/>
        </w:rPr>
      </w:pPr>
      <w:r w:rsidRPr="000E295E">
        <w:rPr>
          <w:iCs/>
          <w:sz w:val="24"/>
          <w:szCs w:val="24"/>
          <w:u w:val="single"/>
        </w:rPr>
        <w:t>Fordeling</w:t>
      </w:r>
    </w:p>
    <w:p w:rsidR="000E295E" w:rsidRPr="000E295E" w:rsidRDefault="000E295E" w:rsidP="000E295E">
      <w:pPr>
        <w:shd w:val="clear" w:color="auto" w:fill="FFFFFF"/>
        <w:tabs>
          <w:tab w:val="left" w:pos="851"/>
        </w:tabs>
        <w:ind w:left="851"/>
        <w:rPr>
          <w:iCs/>
          <w:noProof/>
          <w:sz w:val="24"/>
          <w:szCs w:val="24"/>
        </w:rPr>
      </w:pPr>
      <w:r w:rsidRPr="000E295E">
        <w:rPr>
          <w:color w:val="000000"/>
          <w:sz w:val="24"/>
          <w:szCs w:val="24"/>
        </w:rPr>
        <w:t>På grund af valganciclovirs hurtige omdannelse til ganciclovir blev valganciclovirs proteinbinding ikke bestemt. Ganciclovirs distributionsvolumen (V</w:t>
      </w:r>
      <w:r w:rsidRPr="000E295E">
        <w:rPr>
          <w:color w:val="000000"/>
          <w:sz w:val="24"/>
          <w:szCs w:val="24"/>
          <w:vertAlign w:val="subscript"/>
        </w:rPr>
        <w:t>d</w:t>
      </w:r>
      <w:r w:rsidRPr="000E295E">
        <w:rPr>
          <w:color w:val="000000"/>
          <w:sz w:val="24"/>
          <w:szCs w:val="24"/>
        </w:rPr>
        <w:t xml:space="preserve">) ved steady state efter intravenøs administration var 0,680 ± 0,161 l/kg (n = 114). </w:t>
      </w:r>
      <w:r w:rsidRPr="000E295E">
        <w:rPr>
          <w:sz w:val="24"/>
          <w:szCs w:val="24"/>
        </w:rPr>
        <w:t>Ved intravenøs administration af ganciclovir korrelerer fordelingsvoluminet med legemsvægten og ligger i området 0,54-0,87 l/kg ved steady state. Ganciclovir penetrerer cerebrospinalvæsken. I koncentrationsområdet 0,5 til 51 μg/ml var ganciclovirs proteinbinding 1-2 %.</w:t>
      </w:r>
    </w:p>
    <w:p w:rsidR="000E295E" w:rsidRPr="000E295E" w:rsidRDefault="000E295E" w:rsidP="000E295E">
      <w:pPr>
        <w:numPr>
          <w:ilvl w:val="12"/>
          <w:numId w:val="0"/>
        </w:numPr>
        <w:tabs>
          <w:tab w:val="left" w:pos="851"/>
        </w:tabs>
        <w:ind w:left="851" w:right="-2"/>
        <w:rPr>
          <w:iCs/>
          <w:noProof/>
          <w:sz w:val="24"/>
          <w:szCs w:val="24"/>
          <w:u w:val="single"/>
        </w:rPr>
      </w:pPr>
    </w:p>
    <w:p w:rsidR="000E295E" w:rsidRPr="000E295E" w:rsidRDefault="000E295E" w:rsidP="000E295E">
      <w:pPr>
        <w:numPr>
          <w:ilvl w:val="12"/>
          <w:numId w:val="0"/>
        </w:numPr>
        <w:tabs>
          <w:tab w:val="left" w:pos="851"/>
        </w:tabs>
        <w:ind w:left="851" w:right="-2"/>
        <w:rPr>
          <w:iCs/>
          <w:noProof/>
          <w:sz w:val="24"/>
          <w:szCs w:val="24"/>
          <w:u w:val="single"/>
        </w:rPr>
      </w:pPr>
      <w:r w:rsidRPr="000E295E">
        <w:rPr>
          <w:iCs/>
          <w:sz w:val="24"/>
          <w:szCs w:val="24"/>
          <w:u w:val="single"/>
        </w:rPr>
        <w:t>Biotransformation</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Valganciclovir metaboliseres hurtigt og ekstensivt til ganciclovir; der er ikke fundet andre metabolitter.</w:t>
      </w:r>
      <w:r w:rsidRPr="000E295E">
        <w:rPr>
          <w:sz w:val="24"/>
          <w:szCs w:val="24"/>
        </w:rPr>
        <w:t xml:space="preserve"> </w:t>
      </w:r>
      <w:r w:rsidRPr="000E295E">
        <w:rPr>
          <w:color w:val="000000"/>
          <w:sz w:val="24"/>
          <w:szCs w:val="24"/>
        </w:rPr>
        <w:t>Ganciclovir metaboliseres ikke i betydeligt omfang.</w:t>
      </w:r>
    </w:p>
    <w:p w:rsidR="000E295E" w:rsidRPr="000E295E" w:rsidRDefault="000E295E" w:rsidP="000E295E">
      <w:pPr>
        <w:numPr>
          <w:ilvl w:val="12"/>
          <w:numId w:val="0"/>
        </w:numPr>
        <w:tabs>
          <w:tab w:val="left" w:pos="851"/>
        </w:tabs>
        <w:ind w:left="851" w:right="-2"/>
        <w:rPr>
          <w:iCs/>
          <w:noProof/>
          <w:sz w:val="24"/>
          <w:szCs w:val="24"/>
          <w:u w:val="single"/>
        </w:rPr>
      </w:pPr>
    </w:p>
    <w:p w:rsidR="000E295E" w:rsidRPr="000E295E" w:rsidRDefault="000E295E" w:rsidP="000E295E">
      <w:pPr>
        <w:numPr>
          <w:ilvl w:val="12"/>
          <w:numId w:val="0"/>
        </w:numPr>
        <w:tabs>
          <w:tab w:val="left" w:pos="851"/>
        </w:tabs>
        <w:ind w:left="851" w:right="-2"/>
        <w:rPr>
          <w:iCs/>
          <w:noProof/>
          <w:sz w:val="24"/>
          <w:szCs w:val="24"/>
          <w:u w:val="single"/>
        </w:rPr>
      </w:pPr>
      <w:r w:rsidRPr="000E295E">
        <w:rPr>
          <w:iCs/>
          <w:sz w:val="24"/>
          <w:szCs w:val="24"/>
          <w:u w:val="single"/>
        </w:rPr>
        <w:t>Elimination</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 xml:space="preserve">Efter oral administration af valganciclovir hydrolyseres det aktive stof hurtigt til ganciclovir. Ganciclovir elimineres fra det systemiske kredsløb via glomerulær filtration og aktiv tubulær sekretion. Hos patienter med normal nyrefunktion blev mere end 90 % af intravenøst administreret ganciclovir genfundet uomdannet i urinen i løbet af 24 timer. Efter opnåelse af den maksimale plasmakoncentration falder koncentrationen af ganciclovir efter administration af valganciclovir med en halveringstid på 0,4 timer til 2,0 timer hos patienter med normal nyrefunktion. </w:t>
      </w:r>
    </w:p>
    <w:p w:rsidR="000E295E" w:rsidRPr="000E295E" w:rsidRDefault="000E295E" w:rsidP="000E295E">
      <w:pPr>
        <w:numPr>
          <w:ilvl w:val="12"/>
          <w:numId w:val="0"/>
        </w:numPr>
        <w:tabs>
          <w:tab w:val="left" w:pos="851"/>
        </w:tabs>
        <w:ind w:left="851" w:right="-2"/>
        <w:rPr>
          <w:iCs/>
          <w:noProof/>
          <w:sz w:val="24"/>
          <w:szCs w:val="24"/>
          <w:u w:val="single"/>
        </w:rPr>
      </w:pPr>
    </w:p>
    <w:p w:rsidR="000E295E" w:rsidRPr="000E295E" w:rsidRDefault="000E295E" w:rsidP="000E295E">
      <w:pPr>
        <w:shd w:val="clear" w:color="auto" w:fill="FFFFFF"/>
        <w:tabs>
          <w:tab w:val="left" w:pos="851"/>
        </w:tabs>
        <w:ind w:left="851"/>
        <w:rPr>
          <w:color w:val="000000"/>
          <w:sz w:val="24"/>
          <w:szCs w:val="24"/>
          <w:u w:val="single"/>
        </w:rPr>
      </w:pPr>
      <w:r w:rsidRPr="000E295E">
        <w:rPr>
          <w:color w:val="000000"/>
          <w:sz w:val="24"/>
          <w:szCs w:val="24"/>
          <w:u w:val="single"/>
        </w:rPr>
        <w:t>Farmakokinetik i særlige kliniske situationer</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i/>
          <w:iCs/>
          <w:color w:val="000000"/>
          <w:sz w:val="24"/>
          <w:szCs w:val="24"/>
        </w:rPr>
        <w:t>Pædiatrisk population</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 xml:space="preserve">I et fase II-studie af farmakokinetikken og sikkerheden hos pædiatriske organtransplantat-modtagere (i alderen 4 måneder til 16 år, n = 63) blev valganciclovir givet </w:t>
      </w:r>
      <w:r w:rsidR="00986CD7">
        <w:rPr>
          <w:color w:val="000000"/>
          <w:sz w:val="24"/>
          <w:szCs w:val="24"/>
        </w:rPr>
        <w:t>en</w:t>
      </w:r>
      <w:r w:rsidRPr="000E295E">
        <w:rPr>
          <w:color w:val="000000"/>
          <w:sz w:val="24"/>
          <w:szCs w:val="24"/>
        </w:rPr>
        <w:t xml:space="preserve"> gang daglig i op til 100 dage. De farmakokinetiske parametre var ensartede på tværs af organtyper og aldersgrupper og sammenlignelige med parametrene hos voksne. Populationsfarmakokinetisk modellering viste, at biotilgængeligheden var cirka 60 %. Clearance var positivt påvirket af både legemsoverfladeareal og nyrefunktion. </w:t>
      </w:r>
    </w:p>
    <w:p w:rsidR="000E295E" w:rsidRPr="000E295E" w:rsidRDefault="000E295E" w:rsidP="000E295E">
      <w:pPr>
        <w:numPr>
          <w:ilvl w:val="12"/>
          <w:numId w:val="0"/>
        </w:numPr>
        <w:tabs>
          <w:tab w:val="left" w:pos="851"/>
        </w:tabs>
        <w:ind w:left="851" w:right="-2"/>
        <w:rPr>
          <w:iCs/>
          <w:noProof/>
          <w:sz w:val="24"/>
          <w:szCs w:val="24"/>
          <w:u w:val="single"/>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 xml:space="preserve">I et fase I-studie af farmakokinetikken og sikkerheden hos pædiatriske hjertetransplantat-modtagere (i alderen 3 uger til 125 dage, n = 14) blev valganciclovir givet </w:t>
      </w:r>
      <w:r w:rsidR="00986CD7">
        <w:rPr>
          <w:color w:val="000000"/>
          <w:sz w:val="24"/>
          <w:szCs w:val="24"/>
        </w:rPr>
        <w:t>en</w:t>
      </w:r>
      <w:r w:rsidRPr="000E295E">
        <w:rPr>
          <w:color w:val="000000"/>
          <w:sz w:val="24"/>
          <w:szCs w:val="24"/>
        </w:rPr>
        <w:t xml:space="preserve"> gang daglig i to studiedage. Ved populationsfarmakokinetiske analyser blev den gennemsnitlige biotilgængelighed estimeret til 64 %. </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En sammenligning af resultaterne fra disse to studier og de farmakokinetiske resultater fra den voksne population viser, at intervallet for AUC</w:t>
      </w:r>
      <w:r w:rsidRPr="000E295E">
        <w:rPr>
          <w:color w:val="000000"/>
          <w:sz w:val="24"/>
          <w:szCs w:val="24"/>
          <w:vertAlign w:val="subscript"/>
        </w:rPr>
        <w:t xml:space="preserve">0-24t </w:t>
      </w:r>
      <w:r w:rsidRPr="000E295E">
        <w:rPr>
          <w:color w:val="000000"/>
          <w:sz w:val="24"/>
          <w:szCs w:val="24"/>
        </w:rPr>
        <w:t>var meget ens på tværs af alle aldersgrupper, herunder voksne. Middelværdierne for AUC</w:t>
      </w:r>
      <w:r w:rsidRPr="000E295E">
        <w:rPr>
          <w:color w:val="000000"/>
          <w:sz w:val="24"/>
          <w:szCs w:val="24"/>
          <w:vertAlign w:val="subscript"/>
        </w:rPr>
        <w:t>0-24t</w:t>
      </w:r>
      <w:r w:rsidRPr="000E295E">
        <w:rPr>
          <w:color w:val="000000"/>
          <w:sz w:val="24"/>
          <w:szCs w:val="24"/>
        </w:rPr>
        <w:t xml:space="preserve"> og C</w:t>
      </w:r>
      <w:r w:rsidRPr="000E295E">
        <w:rPr>
          <w:color w:val="000000"/>
          <w:sz w:val="24"/>
          <w:szCs w:val="24"/>
          <w:vertAlign w:val="subscript"/>
        </w:rPr>
        <w:t>max</w:t>
      </w:r>
      <w:r w:rsidRPr="000E295E">
        <w:rPr>
          <w:color w:val="000000"/>
          <w:sz w:val="24"/>
          <w:szCs w:val="24"/>
        </w:rPr>
        <w:t xml:space="preserve"> var også ens på </w:t>
      </w:r>
      <w:r w:rsidRPr="000E295E">
        <w:rPr>
          <w:color w:val="000000"/>
          <w:sz w:val="24"/>
          <w:szCs w:val="24"/>
        </w:rPr>
        <w:lastRenderedPageBreak/>
        <w:t>tværs af de pædiatriske aldersgrupper &lt; 12 år, selv om der var en tendens til faldende middelværdier for AUC</w:t>
      </w:r>
      <w:r w:rsidRPr="000E295E">
        <w:rPr>
          <w:color w:val="000000"/>
          <w:sz w:val="24"/>
          <w:szCs w:val="24"/>
          <w:vertAlign w:val="subscript"/>
        </w:rPr>
        <w:t>0-24t</w:t>
      </w:r>
      <w:r w:rsidRPr="000E295E">
        <w:rPr>
          <w:color w:val="000000"/>
          <w:sz w:val="24"/>
          <w:szCs w:val="24"/>
        </w:rPr>
        <w:t xml:space="preserve"> og C</w:t>
      </w:r>
      <w:r w:rsidRPr="000E295E">
        <w:rPr>
          <w:color w:val="000000"/>
          <w:sz w:val="24"/>
          <w:szCs w:val="24"/>
          <w:vertAlign w:val="subscript"/>
        </w:rPr>
        <w:t>max</w:t>
      </w:r>
      <w:r w:rsidRPr="000E295E">
        <w:rPr>
          <w:color w:val="000000"/>
          <w:sz w:val="24"/>
          <w:szCs w:val="24"/>
        </w:rPr>
        <w:t xml:space="preserve"> på tværs af hele det pædiatriske aldersinterval, som syntes at korrelere med stigende alder. Denne tendens var tydeligere for middelværdier for clearance og halveringstid (t</w:t>
      </w:r>
      <w:r w:rsidRPr="000E295E">
        <w:rPr>
          <w:color w:val="000000"/>
          <w:sz w:val="24"/>
          <w:szCs w:val="24"/>
          <w:vertAlign w:val="subscript"/>
        </w:rPr>
        <w:t>1/2</w:t>
      </w:r>
      <w:r w:rsidRPr="000E295E">
        <w:rPr>
          <w:color w:val="000000"/>
          <w:sz w:val="24"/>
          <w:szCs w:val="24"/>
        </w:rPr>
        <w:t xml:space="preserve">). Dette er imidlertid at forvente, da clearance påvirkes af ændringer i vægt, højde og nyrefunktion i forbindelse med patientens vækst, som angivet af populationsfarmakokinetisk modellering. </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Følgende tabel viser de modelestimerede intervaller for AUC</w:t>
      </w:r>
      <w:r w:rsidRPr="000E295E">
        <w:rPr>
          <w:color w:val="000000"/>
          <w:sz w:val="24"/>
          <w:szCs w:val="24"/>
          <w:vertAlign w:val="subscript"/>
        </w:rPr>
        <w:t>0-24t</w:t>
      </w:r>
      <w:r w:rsidRPr="000E295E">
        <w:rPr>
          <w:color w:val="000000"/>
          <w:sz w:val="24"/>
          <w:szCs w:val="24"/>
        </w:rPr>
        <w:t xml:space="preserve"> for ganciclovir fra disse to studier, såvel som gennemsnits- og standardafvigelser for AUC</w:t>
      </w:r>
      <w:r w:rsidRPr="000E295E">
        <w:rPr>
          <w:color w:val="000000"/>
          <w:sz w:val="24"/>
          <w:szCs w:val="24"/>
          <w:vertAlign w:val="subscript"/>
        </w:rPr>
        <w:t>0-24t</w:t>
      </w:r>
      <w:r w:rsidRPr="000E295E">
        <w:rPr>
          <w:color w:val="000000"/>
          <w:sz w:val="24"/>
          <w:szCs w:val="24"/>
        </w:rPr>
        <w:t>, C</w:t>
      </w:r>
      <w:r w:rsidRPr="000E295E">
        <w:rPr>
          <w:color w:val="000000"/>
          <w:sz w:val="24"/>
          <w:szCs w:val="24"/>
          <w:vertAlign w:val="subscript"/>
        </w:rPr>
        <w:t>max</w:t>
      </w:r>
      <w:r w:rsidRPr="000E295E">
        <w:rPr>
          <w:color w:val="000000"/>
          <w:sz w:val="24"/>
          <w:szCs w:val="24"/>
        </w:rPr>
        <w:t>, CL og t</w:t>
      </w:r>
      <w:r w:rsidRPr="000E295E">
        <w:rPr>
          <w:color w:val="000000"/>
          <w:sz w:val="24"/>
          <w:szCs w:val="24"/>
          <w:vertAlign w:val="subscript"/>
        </w:rPr>
        <w:t>1/2</w:t>
      </w:r>
      <w:r w:rsidRPr="000E295E">
        <w:rPr>
          <w:color w:val="000000"/>
          <w:sz w:val="24"/>
          <w:szCs w:val="24"/>
        </w:rPr>
        <w:t xml:space="preserve"> for de relevante pædiatriske aldersgrupper sammenlignet med data fra voksne:</w:t>
      </w:r>
    </w:p>
    <w:p w:rsidR="000E295E" w:rsidRPr="000E295E" w:rsidRDefault="000E295E" w:rsidP="000E295E">
      <w:pPr>
        <w:numPr>
          <w:ilvl w:val="12"/>
          <w:numId w:val="0"/>
        </w:numPr>
        <w:tabs>
          <w:tab w:val="left" w:pos="851"/>
        </w:tabs>
        <w:ind w:left="851" w:right="-2"/>
        <w:rPr>
          <w:iCs/>
          <w:noProof/>
          <w:sz w:val="24"/>
          <w:szCs w:val="24"/>
          <w:u w:val="single"/>
        </w:rPr>
      </w:pPr>
    </w:p>
    <w:tbl>
      <w:tblPr>
        <w:tblW w:w="9406" w:type="dxa"/>
        <w:tblInd w:w="843"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845"/>
        <w:gridCol w:w="1418"/>
        <w:gridCol w:w="1418"/>
        <w:gridCol w:w="1983"/>
        <w:gridCol w:w="1275"/>
        <w:gridCol w:w="1467"/>
      </w:tblGrid>
      <w:tr w:rsidR="003D22CD" w:rsidRPr="00D6790E" w:rsidTr="003D22CD">
        <w:tc>
          <w:tcPr>
            <w:tcW w:w="980" w:type="pct"/>
            <w:tcBorders>
              <w:top w:val="outset" w:sz="6" w:space="0" w:color="auto"/>
              <w:bottom w:val="outset" w:sz="6" w:space="0" w:color="auto"/>
              <w:right w:val="outset" w:sz="6" w:space="0" w:color="auto"/>
            </w:tcBorders>
            <w:hideMark/>
          </w:tcPr>
          <w:p w:rsidR="000E295E" w:rsidRPr="00D6790E" w:rsidRDefault="000E295E" w:rsidP="005302CB">
            <w:pPr>
              <w:ind w:left="112"/>
              <w:rPr>
                <w:color w:val="000000"/>
                <w:sz w:val="22"/>
                <w:szCs w:val="22"/>
              </w:rPr>
            </w:pPr>
            <w:r w:rsidRPr="00D6790E">
              <w:rPr>
                <w:b/>
                <w:bCs/>
                <w:color w:val="000000"/>
                <w:sz w:val="22"/>
                <w:szCs w:val="22"/>
              </w:rPr>
              <w:t>Farmakokinetisk parameter</w:t>
            </w:r>
          </w:p>
        </w:tc>
        <w:tc>
          <w:tcPr>
            <w:tcW w:w="7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133"/>
              <w:rPr>
                <w:color w:val="000000"/>
                <w:sz w:val="22"/>
                <w:szCs w:val="22"/>
              </w:rPr>
            </w:pPr>
            <w:r w:rsidRPr="00D6790E">
              <w:rPr>
                <w:b/>
                <w:bCs/>
                <w:color w:val="000000"/>
                <w:sz w:val="22"/>
                <w:szCs w:val="22"/>
              </w:rPr>
              <w:t>Voksne*</w:t>
            </w:r>
          </w:p>
        </w:tc>
        <w:tc>
          <w:tcPr>
            <w:tcW w:w="3267" w:type="pct"/>
            <w:gridSpan w:val="4"/>
            <w:tcBorders>
              <w:top w:val="outset" w:sz="6" w:space="0" w:color="auto"/>
              <w:left w:val="outset" w:sz="6" w:space="0" w:color="auto"/>
              <w:bottom w:val="outset" w:sz="6" w:space="0" w:color="auto"/>
            </w:tcBorders>
            <w:hideMark/>
          </w:tcPr>
          <w:p w:rsidR="000E295E" w:rsidRPr="00D6790E" w:rsidRDefault="000E295E" w:rsidP="00D6790E">
            <w:pPr>
              <w:ind w:left="55"/>
              <w:rPr>
                <w:color w:val="000000"/>
                <w:sz w:val="22"/>
                <w:szCs w:val="22"/>
              </w:rPr>
            </w:pPr>
            <w:r w:rsidRPr="00D6790E">
              <w:rPr>
                <w:b/>
                <w:bCs/>
                <w:color w:val="000000"/>
                <w:sz w:val="22"/>
                <w:szCs w:val="22"/>
              </w:rPr>
              <w:t>Pædiatriske patienter</w:t>
            </w:r>
          </w:p>
        </w:tc>
      </w:tr>
      <w:tr w:rsidR="00D6790E" w:rsidRPr="00D6790E" w:rsidTr="003D22CD">
        <w:tc>
          <w:tcPr>
            <w:tcW w:w="980" w:type="pct"/>
            <w:tcBorders>
              <w:top w:val="outset" w:sz="6" w:space="0" w:color="auto"/>
              <w:bottom w:val="outset" w:sz="6" w:space="0" w:color="auto"/>
              <w:right w:val="outset" w:sz="6" w:space="0" w:color="auto"/>
            </w:tcBorders>
            <w:hideMark/>
          </w:tcPr>
          <w:p w:rsidR="000E295E" w:rsidRPr="00D6790E" w:rsidRDefault="000E295E" w:rsidP="005302CB">
            <w:pPr>
              <w:ind w:left="112"/>
              <w:rPr>
                <w:color w:val="000000"/>
                <w:sz w:val="22"/>
                <w:szCs w:val="22"/>
              </w:rPr>
            </w:pPr>
            <w:r w:rsidRPr="00D6790E">
              <w:rPr>
                <w:color w:val="000000"/>
                <w:sz w:val="22"/>
                <w:szCs w:val="22"/>
              </w:rPr>
              <w:t> </w:t>
            </w:r>
          </w:p>
        </w:tc>
        <w:tc>
          <w:tcPr>
            <w:tcW w:w="7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133"/>
              <w:rPr>
                <w:color w:val="000000"/>
                <w:sz w:val="22"/>
                <w:szCs w:val="22"/>
              </w:rPr>
            </w:pPr>
            <w:r w:rsidRPr="00D6790E">
              <w:rPr>
                <w:b/>
                <w:bCs/>
                <w:color w:val="000000"/>
                <w:sz w:val="22"/>
                <w:szCs w:val="22"/>
              </w:rPr>
              <w:t>≥ 18 år</w:t>
            </w:r>
          </w:p>
          <w:p w:rsidR="000E295E" w:rsidRPr="00D6790E" w:rsidRDefault="000E295E" w:rsidP="00D6790E">
            <w:pPr>
              <w:ind w:left="133"/>
              <w:rPr>
                <w:color w:val="000000"/>
                <w:sz w:val="22"/>
                <w:szCs w:val="22"/>
              </w:rPr>
            </w:pPr>
            <w:r w:rsidRPr="00D6790E">
              <w:rPr>
                <w:b/>
                <w:bCs/>
                <w:color w:val="000000"/>
                <w:sz w:val="22"/>
                <w:szCs w:val="22"/>
              </w:rPr>
              <w:t>(n = 160)</w:t>
            </w:r>
          </w:p>
        </w:tc>
        <w:tc>
          <w:tcPr>
            <w:tcW w:w="7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b/>
                <w:bCs/>
                <w:color w:val="000000"/>
                <w:sz w:val="22"/>
                <w:szCs w:val="22"/>
              </w:rPr>
              <w:t>&lt; 4 måneder</w:t>
            </w:r>
          </w:p>
          <w:p w:rsidR="000E295E" w:rsidRPr="00D6790E" w:rsidRDefault="000E295E" w:rsidP="00D6790E">
            <w:pPr>
              <w:ind w:left="55"/>
              <w:rPr>
                <w:color w:val="000000"/>
                <w:sz w:val="22"/>
                <w:szCs w:val="22"/>
              </w:rPr>
            </w:pPr>
            <w:r w:rsidRPr="00D6790E">
              <w:rPr>
                <w:b/>
                <w:bCs/>
                <w:color w:val="000000"/>
                <w:sz w:val="22"/>
                <w:szCs w:val="22"/>
              </w:rPr>
              <w:t>(n = 14)</w:t>
            </w:r>
          </w:p>
        </w:tc>
        <w:tc>
          <w:tcPr>
            <w:tcW w:w="10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b/>
                <w:bCs/>
                <w:color w:val="000000"/>
                <w:sz w:val="22"/>
                <w:szCs w:val="22"/>
              </w:rPr>
              <w:t>4 måneder - ≤ 2 år</w:t>
            </w:r>
          </w:p>
          <w:p w:rsidR="000E295E" w:rsidRPr="00D6790E" w:rsidRDefault="000E295E" w:rsidP="00D6790E">
            <w:pPr>
              <w:ind w:left="55"/>
              <w:rPr>
                <w:color w:val="000000"/>
                <w:sz w:val="22"/>
                <w:szCs w:val="22"/>
              </w:rPr>
            </w:pPr>
            <w:r w:rsidRPr="00D6790E">
              <w:rPr>
                <w:b/>
                <w:bCs/>
                <w:color w:val="000000"/>
                <w:sz w:val="22"/>
                <w:szCs w:val="22"/>
              </w:rPr>
              <w:t>(n = 17)</w:t>
            </w:r>
          </w:p>
        </w:tc>
        <w:tc>
          <w:tcPr>
            <w:tcW w:w="678"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b/>
                <w:bCs/>
                <w:color w:val="000000"/>
                <w:sz w:val="22"/>
                <w:szCs w:val="22"/>
              </w:rPr>
              <w:t>&gt; 2 - &lt; 12 år</w:t>
            </w:r>
          </w:p>
          <w:p w:rsidR="000E295E" w:rsidRPr="00D6790E" w:rsidRDefault="000E295E" w:rsidP="00D6790E">
            <w:pPr>
              <w:ind w:left="55"/>
              <w:rPr>
                <w:color w:val="000000"/>
                <w:sz w:val="22"/>
                <w:szCs w:val="22"/>
              </w:rPr>
            </w:pPr>
            <w:r w:rsidRPr="00D6790E">
              <w:rPr>
                <w:b/>
                <w:bCs/>
                <w:color w:val="000000"/>
                <w:sz w:val="22"/>
                <w:szCs w:val="22"/>
              </w:rPr>
              <w:t>(n = 21)</w:t>
            </w:r>
          </w:p>
        </w:tc>
        <w:tc>
          <w:tcPr>
            <w:tcW w:w="780" w:type="pct"/>
            <w:tcBorders>
              <w:top w:val="outset" w:sz="6" w:space="0" w:color="auto"/>
              <w:left w:val="outset" w:sz="6" w:space="0" w:color="auto"/>
              <w:bottom w:val="outset" w:sz="6" w:space="0" w:color="auto"/>
            </w:tcBorders>
            <w:hideMark/>
          </w:tcPr>
          <w:p w:rsidR="000E295E" w:rsidRPr="00D6790E" w:rsidRDefault="000E295E" w:rsidP="00D6790E">
            <w:pPr>
              <w:ind w:left="55"/>
              <w:rPr>
                <w:color w:val="000000"/>
                <w:sz w:val="22"/>
                <w:szCs w:val="22"/>
              </w:rPr>
            </w:pPr>
            <w:r w:rsidRPr="00D6790E">
              <w:rPr>
                <w:b/>
                <w:bCs/>
                <w:color w:val="000000"/>
                <w:sz w:val="22"/>
                <w:szCs w:val="22"/>
              </w:rPr>
              <w:t>≥ 12 år</w:t>
            </w:r>
            <w:r w:rsidR="00986CD7" w:rsidRPr="00D6790E">
              <w:rPr>
                <w:b/>
                <w:bCs/>
                <w:color w:val="000000"/>
                <w:sz w:val="22"/>
                <w:szCs w:val="22"/>
              </w:rPr>
              <w:t>-</w:t>
            </w:r>
            <w:r w:rsidRPr="00D6790E">
              <w:rPr>
                <w:b/>
                <w:bCs/>
                <w:color w:val="000000"/>
                <w:sz w:val="22"/>
                <w:szCs w:val="22"/>
              </w:rPr>
              <w:t>16 år</w:t>
            </w:r>
          </w:p>
          <w:p w:rsidR="000E295E" w:rsidRPr="00D6790E" w:rsidRDefault="000E295E" w:rsidP="00D6790E">
            <w:pPr>
              <w:ind w:left="55"/>
              <w:rPr>
                <w:color w:val="000000"/>
                <w:sz w:val="22"/>
                <w:szCs w:val="22"/>
              </w:rPr>
            </w:pPr>
            <w:r w:rsidRPr="00D6790E">
              <w:rPr>
                <w:b/>
                <w:bCs/>
                <w:color w:val="000000"/>
                <w:sz w:val="22"/>
                <w:szCs w:val="22"/>
              </w:rPr>
              <w:t>(n = 25)</w:t>
            </w:r>
          </w:p>
        </w:tc>
      </w:tr>
      <w:tr w:rsidR="00D6790E" w:rsidRPr="00D6790E" w:rsidTr="003D22CD">
        <w:tc>
          <w:tcPr>
            <w:tcW w:w="980" w:type="pct"/>
            <w:tcBorders>
              <w:top w:val="outset" w:sz="6" w:space="0" w:color="auto"/>
              <w:bottom w:val="outset" w:sz="6" w:space="0" w:color="auto"/>
              <w:right w:val="outset" w:sz="6" w:space="0" w:color="auto"/>
            </w:tcBorders>
            <w:hideMark/>
          </w:tcPr>
          <w:p w:rsidR="000E295E" w:rsidRPr="00D6790E" w:rsidRDefault="000E295E" w:rsidP="005302CB">
            <w:pPr>
              <w:ind w:left="112"/>
              <w:rPr>
                <w:color w:val="000000"/>
                <w:sz w:val="22"/>
                <w:szCs w:val="22"/>
              </w:rPr>
            </w:pPr>
            <w:r w:rsidRPr="00D6790E">
              <w:rPr>
                <w:b/>
                <w:bCs/>
                <w:color w:val="000000"/>
                <w:sz w:val="22"/>
                <w:szCs w:val="22"/>
              </w:rPr>
              <w:t>AUC</w:t>
            </w:r>
            <w:r w:rsidRPr="00D6790E">
              <w:rPr>
                <w:b/>
                <w:bCs/>
                <w:color w:val="000000"/>
                <w:sz w:val="22"/>
                <w:szCs w:val="22"/>
                <w:vertAlign w:val="subscript"/>
              </w:rPr>
              <w:t xml:space="preserve">0-24h </w:t>
            </w:r>
            <w:r w:rsidRPr="00D6790E">
              <w:rPr>
                <w:b/>
                <w:bCs/>
                <w:color w:val="000000"/>
                <w:sz w:val="22"/>
                <w:szCs w:val="22"/>
              </w:rPr>
              <w:t>(μg</w:t>
            </w:r>
            <w:r w:rsidRPr="00D6790E">
              <w:rPr>
                <w:b/>
                <w:bCs/>
                <w:color w:val="000000"/>
                <w:sz w:val="22"/>
                <w:szCs w:val="22"/>
                <w:vertAlign w:val="superscript"/>
              </w:rPr>
              <w:t>.</w:t>
            </w:r>
            <w:r w:rsidRPr="00D6790E">
              <w:rPr>
                <w:b/>
                <w:bCs/>
                <w:color w:val="000000"/>
                <w:sz w:val="22"/>
                <w:szCs w:val="22"/>
              </w:rPr>
              <w:t>t/ml)</w:t>
            </w:r>
          </w:p>
        </w:tc>
        <w:tc>
          <w:tcPr>
            <w:tcW w:w="7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133"/>
              <w:rPr>
                <w:color w:val="000000"/>
                <w:sz w:val="22"/>
                <w:szCs w:val="22"/>
              </w:rPr>
            </w:pPr>
            <w:r w:rsidRPr="00D6790E">
              <w:rPr>
                <w:color w:val="000000"/>
                <w:sz w:val="22"/>
                <w:szCs w:val="22"/>
              </w:rPr>
              <w:t>46,3  ± 15,2</w:t>
            </w:r>
          </w:p>
        </w:tc>
        <w:tc>
          <w:tcPr>
            <w:tcW w:w="7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68,1  ± 19,8</w:t>
            </w:r>
          </w:p>
        </w:tc>
        <w:tc>
          <w:tcPr>
            <w:tcW w:w="10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64,3  ± 29,2</w:t>
            </w:r>
          </w:p>
        </w:tc>
        <w:tc>
          <w:tcPr>
            <w:tcW w:w="678"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59,2  ± 15,1</w:t>
            </w:r>
          </w:p>
        </w:tc>
        <w:tc>
          <w:tcPr>
            <w:tcW w:w="780" w:type="pct"/>
            <w:tcBorders>
              <w:top w:val="outset" w:sz="6" w:space="0" w:color="auto"/>
              <w:left w:val="outset" w:sz="6" w:space="0" w:color="auto"/>
              <w:bottom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50,3  ± 15,0</w:t>
            </w:r>
          </w:p>
        </w:tc>
      </w:tr>
      <w:tr w:rsidR="00D6790E" w:rsidRPr="00D6790E" w:rsidTr="003D22CD">
        <w:tc>
          <w:tcPr>
            <w:tcW w:w="980" w:type="pct"/>
            <w:tcBorders>
              <w:top w:val="outset" w:sz="6" w:space="0" w:color="auto"/>
              <w:bottom w:val="outset" w:sz="6" w:space="0" w:color="auto"/>
              <w:right w:val="outset" w:sz="6" w:space="0" w:color="auto"/>
            </w:tcBorders>
            <w:hideMark/>
          </w:tcPr>
          <w:p w:rsidR="000E295E" w:rsidRPr="00D6790E" w:rsidRDefault="000E295E" w:rsidP="005302CB">
            <w:pPr>
              <w:ind w:left="112"/>
              <w:rPr>
                <w:color w:val="000000"/>
                <w:sz w:val="22"/>
                <w:szCs w:val="22"/>
              </w:rPr>
            </w:pPr>
            <w:r w:rsidRPr="00D6790E">
              <w:rPr>
                <w:b/>
                <w:bCs/>
                <w:color w:val="000000"/>
                <w:sz w:val="22"/>
                <w:szCs w:val="22"/>
              </w:rPr>
              <w:t>Interval for AUC</w:t>
            </w:r>
            <w:r w:rsidRPr="00D6790E">
              <w:rPr>
                <w:b/>
                <w:bCs/>
                <w:color w:val="000000"/>
                <w:sz w:val="22"/>
                <w:szCs w:val="22"/>
                <w:vertAlign w:val="subscript"/>
              </w:rPr>
              <w:t>0-24t</w:t>
            </w:r>
          </w:p>
        </w:tc>
        <w:tc>
          <w:tcPr>
            <w:tcW w:w="7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133"/>
              <w:rPr>
                <w:color w:val="000000"/>
                <w:sz w:val="22"/>
                <w:szCs w:val="22"/>
              </w:rPr>
            </w:pPr>
            <w:r w:rsidRPr="00D6790E">
              <w:rPr>
                <w:color w:val="000000"/>
                <w:sz w:val="22"/>
                <w:szCs w:val="22"/>
              </w:rPr>
              <w:t>15,4</w:t>
            </w:r>
            <w:r w:rsidR="00986CD7" w:rsidRPr="00D6790E">
              <w:rPr>
                <w:color w:val="000000"/>
                <w:sz w:val="22"/>
                <w:szCs w:val="22"/>
              </w:rPr>
              <w:t>-</w:t>
            </w:r>
            <w:r w:rsidRPr="00D6790E">
              <w:rPr>
                <w:color w:val="000000"/>
                <w:sz w:val="22"/>
                <w:szCs w:val="22"/>
              </w:rPr>
              <w:t>116,1</w:t>
            </w:r>
          </w:p>
        </w:tc>
        <w:tc>
          <w:tcPr>
            <w:tcW w:w="7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34 - 124</w:t>
            </w:r>
          </w:p>
        </w:tc>
        <w:tc>
          <w:tcPr>
            <w:tcW w:w="10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34 - 152</w:t>
            </w:r>
          </w:p>
        </w:tc>
        <w:tc>
          <w:tcPr>
            <w:tcW w:w="678"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36 - 108</w:t>
            </w:r>
          </w:p>
        </w:tc>
        <w:tc>
          <w:tcPr>
            <w:tcW w:w="780" w:type="pct"/>
            <w:tcBorders>
              <w:top w:val="outset" w:sz="6" w:space="0" w:color="auto"/>
              <w:left w:val="outset" w:sz="6" w:space="0" w:color="auto"/>
              <w:bottom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22 - 93</w:t>
            </w:r>
          </w:p>
        </w:tc>
      </w:tr>
      <w:tr w:rsidR="00D6790E" w:rsidRPr="00D6790E" w:rsidTr="003D22CD">
        <w:tc>
          <w:tcPr>
            <w:tcW w:w="980" w:type="pct"/>
            <w:tcBorders>
              <w:top w:val="outset" w:sz="6" w:space="0" w:color="auto"/>
              <w:bottom w:val="outset" w:sz="6" w:space="0" w:color="auto"/>
              <w:right w:val="outset" w:sz="6" w:space="0" w:color="auto"/>
            </w:tcBorders>
            <w:hideMark/>
          </w:tcPr>
          <w:p w:rsidR="000E295E" w:rsidRPr="00D6790E" w:rsidRDefault="000E295E" w:rsidP="005302CB">
            <w:pPr>
              <w:ind w:left="112"/>
              <w:rPr>
                <w:color w:val="000000"/>
                <w:sz w:val="22"/>
                <w:szCs w:val="22"/>
              </w:rPr>
            </w:pPr>
            <w:r w:rsidRPr="00D6790E">
              <w:rPr>
                <w:b/>
                <w:bCs/>
                <w:color w:val="000000"/>
                <w:sz w:val="22"/>
                <w:szCs w:val="22"/>
              </w:rPr>
              <w:t>C</w:t>
            </w:r>
            <w:r w:rsidRPr="00D6790E">
              <w:rPr>
                <w:b/>
                <w:bCs/>
                <w:color w:val="000000"/>
                <w:sz w:val="22"/>
                <w:szCs w:val="22"/>
                <w:vertAlign w:val="subscript"/>
              </w:rPr>
              <w:t>max</w:t>
            </w:r>
            <w:r w:rsidRPr="00D6790E">
              <w:rPr>
                <w:b/>
                <w:bCs/>
                <w:color w:val="000000"/>
                <w:sz w:val="22"/>
                <w:szCs w:val="22"/>
              </w:rPr>
              <w:t xml:space="preserve"> (μg/ml)</w:t>
            </w:r>
          </w:p>
        </w:tc>
        <w:tc>
          <w:tcPr>
            <w:tcW w:w="7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133"/>
              <w:rPr>
                <w:color w:val="000000"/>
                <w:sz w:val="22"/>
                <w:szCs w:val="22"/>
              </w:rPr>
            </w:pPr>
            <w:r w:rsidRPr="00D6790E">
              <w:rPr>
                <w:color w:val="000000"/>
                <w:sz w:val="22"/>
                <w:szCs w:val="22"/>
              </w:rPr>
              <w:t>5,3  ± 1,5</w:t>
            </w:r>
          </w:p>
        </w:tc>
        <w:tc>
          <w:tcPr>
            <w:tcW w:w="7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10,5  ± 3,36</w:t>
            </w:r>
          </w:p>
        </w:tc>
        <w:tc>
          <w:tcPr>
            <w:tcW w:w="10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10,3  ± 3,3</w:t>
            </w:r>
          </w:p>
        </w:tc>
        <w:tc>
          <w:tcPr>
            <w:tcW w:w="678"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9,4  ± 2,7</w:t>
            </w:r>
          </w:p>
        </w:tc>
        <w:tc>
          <w:tcPr>
            <w:tcW w:w="780" w:type="pct"/>
            <w:tcBorders>
              <w:top w:val="outset" w:sz="6" w:space="0" w:color="auto"/>
              <w:left w:val="outset" w:sz="6" w:space="0" w:color="auto"/>
              <w:bottom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8,0  ± 2,4</w:t>
            </w:r>
          </w:p>
        </w:tc>
      </w:tr>
      <w:tr w:rsidR="00D6790E" w:rsidRPr="00D6790E" w:rsidTr="003D22CD">
        <w:tc>
          <w:tcPr>
            <w:tcW w:w="980" w:type="pct"/>
            <w:tcBorders>
              <w:top w:val="outset" w:sz="6" w:space="0" w:color="auto"/>
              <w:bottom w:val="outset" w:sz="6" w:space="0" w:color="auto"/>
              <w:right w:val="outset" w:sz="6" w:space="0" w:color="auto"/>
            </w:tcBorders>
            <w:hideMark/>
          </w:tcPr>
          <w:p w:rsidR="000E295E" w:rsidRPr="00D6790E" w:rsidRDefault="000E295E" w:rsidP="005302CB">
            <w:pPr>
              <w:ind w:left="112"/>
              <w:rPr>
                <w:color w:val="000000"/>
                <w:sz w:val="22"/>
                <w:szCs w:val="22"/>
              </w:rPr>
            </w:pPr>
            <w:r w:rsidRPr="00D6790E">
              <w:rPr>
                <w:b/>
                <w:bCs/>
                <w:color w:val="000000"/>
                <w:sz w:val="22"/>
                <w:szCs w:val="22"/>
              </w:rPr>
              <w:t>Clearance (l/t)</w:t>
            </w:r>
          </w:p>
        </w:tc>
        <w:tc>
          <w:tcPr>
            <w:tcW w:w="7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133"/>
              <w:rPr>
                <w:color w:val="000000"/>
                <w:sz w:val="22"/>
                <w:szCs w:val="22"/>
              </w:rPr>
            </w:pPr>
            <w:r w:rsidRPr="00D6790E">
              <w:rPr>
                <w:color w:val="000000"/>
                <w:sz w:val="22"/>
                <w:szCs w:val="22"/>
              </w:rPr>
              <w:t>12,7  ± 4,5</w:t>
            </w:r>
          </w:p>
        </w:tc>
        <w:tc>
          <w:tcPr>
            <w:tcW w:w="7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1,25  ± 0,473</w:t>
            </w:r>
          </w:p>
        </w:tc>
        <w:tc>
          <w:tcPr>
            <w:tcW w:w="10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2,5  ± 2,4</w:t>
            </w:r>
          </w:p>
        </w:tc>
        <w:tc>
          <w:tcPr>
            <w:tcW w:w="678"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4,5  ± 2,9</w:t>
            </w:r>
          </w:p>
        </w:tc>
        <w:tc>
          <w:tcPr>
            <w:tcW w:w="780" w:type="pct"/>
            <w:tcBorders>
              <w:top w:val="outset" w:sz="6" w:space="0" w:color="auto"/>
              <w:left w:val="outset" w:sz="6" w:space="0" w:color="auto"/>
              <w:bottom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6,4  ± 2,9</w:t>
            </w:r>
          </w:p>
        </w:tc>
      </w:tr>
      <w:tr w:rsidR="00D6790E" w:rsidRPr="00D6790E" w:rsidTr="003D22CD">
        <w:tc>
          <w:tcPr>
            <w:tcW w:w="980" w:type="pct"/>
            <w:tcBorders>
              <w:top w:val="outset" w:sz="6" w:space="0" w:color="auto"/>
              <w:bottom w:val="outset" w:sz="6" w:space="0" w:color="auto"/>
              <w:right w:val="outset" w:sz="6" w:space="0" w:color="auto"/>
            </w:tcBorders>
            <w:hideMark/>
          </w:tcPr>
          <w:p w:rsidR="000E295E" w:rsidRPr="00D6790E" w:rsidRDefault="000E295E" w:rsidP="005302CB">
            <w:pPr>
              <w:ind w:left="112"/>
              <w:rPr>
                <w:color w:val="000000"/>
                <w:sz w:val="22"/>
                <w:szCs w:val="22"/>
              </w:rPr>
            </w:pPr>
            <w:r w:rsidRPr="00D6790E">
              <w:rPr>
                <w:b/>
                <w:bCs/>
                <w:color w:val="000000"/>
                <w:sz w:val="22"/>
                <w:szCs w:val="22"/>
              </w:rPr>
              <w:t>t</w:t>
            </w:r>
            <w:r w:rsidRPr="00D6790E">
              <w:rPr>
                <w:b/>
                <w:bCs/>
                <w:color w:val="000000"/>
                <w:sz w:val="22"/>
                <w:szCs w:val="22"/>
                <w:vertAlign w:val="subscript"/>
              </w:rPr>
              <w:t>1/2</w:t>
            </w:r>
            <w:r w:rsidRPr="00D6790E">
              <w:rPr>
                <w:b/>
                <w:bCs/>
                <w:color w:val="000000"/>
                <w:sz w:val="22"/>
                <w:szCs w:val="22"/>
              </w:rPr>
              <w:t xml:space="preserve"> (timer)</w:t>
            </w:r>
          </w:p>
        </w:tc>
        <w:tc>
          <w:tcPr>
            <w:tcW w:w="7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133"/>
              <w:rPr>
                <w:color w:val="000000"/>
                <w:sz w:val="22"/>
                <w:szCs w:val="22"/>
              </w:rPr>
            </w:pPr>
            <w:r w:rsidRPr="00D6790E">
              <w:rPr>
                <w:color w:val="000000"/>
                <w:sz w:val="22"/>
                <w:szCs w:val="22"/>
              </w:rPr>
              <w:t>6,5  ± 1,4</w:t>
            </w:r>
          </w:p>
        </w:tc>
        <w:tc>
          <w:tcPr>
            <w:tcW w:w="7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1,97  ± 0,185</w:t>
            </w:r>
          </w:p>
        </w:tc>
        <w:tc>
          <w:tcPr>
            <w:tcW w:w="1054"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3,1  ± 1,4</w:t>
            </w:r>
          </w:p>
        </w:tc>
        <w:tc>
          <w:tcPr>
            <w:tcW w:w="678" w:type="pct"/>
            <w:tcBorders>
              <w:top w:val="outset" w:sz="6" w:space="0" w:color="auto"/>
              <w:left w:val="outset" w:sz="6" w:space="0" w:color="auto"/>
              <w:bottom w:val="outset" w:sz="6" w:space="0" w:color="auto"/>
              <w:right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4,1  ± 1,3</w:t>
            </w:r>
          </w:p>
        </w:tc>
        <w:tc>
          <w:tcPr>
            <w:tcW w:w="780" w:type="pct"/>
            <w:tcBorders>
              <w:top w:val="outset" w:sz="6" w:space="0" w:color="auto"/>
              <w:left w:val="outset" w:sz="6" w:space="0" w:color="auto"/>
              <w:bottom w:val="outset" w:sz="6" w:space="0" w:color="auto"/>
            </w:tcBorders>
            <w:hideMark/>
          </w:tcPr>
          <w:p w:rsidR="000E295E" w:rsidRPr="00D6790E" w:rsidRDefault="000E295E" w:rsidP="00D6790E">
            <w:pPr>
              <w:ind w:left="55"/>
              <w:rPr>
                <w:color w:val="000000"/>
                <w:sz w:val="22"/>
                <w:szCs w:val="22"/>
              </w:rPr>
            </w:pPr>
            <w:r w:rsidRPr="00D6790E">
              <w:rPr>
                <w:color w:val="000000"/>
                <w:sz w:val="22"/>
                <w:szCs w:val="22"/>
              </w:rPr>
              <w:t>5,5  ± 1,1</w:t>
            </w:r>
          </w:p>
        </w:tc>
      </w:tr>
    </w:tbl>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 Uddrag fra studierapport PV 16000</w:t>
      </w:r>
    </w:p>
    <w:p w:rsidR="000E295E" w:rsidRPr="000E295E" w:rsidRDefault="000E295E" w:rsidP="000E295E">
      <w:pPr>
        <w:shd w:val="clear" w:color="auto" w:fill="FFFFFF"/>
        <w:tabs>
          <w:tab w:val="left" w:pos="851"/>
        </w:tabs>
        <w:ind w:left="851"/>
        <w:rPr>
          <w:color w:val="000000"/>
          <w:sz w:val="24"/>
          <w:szCs w:val="24"/>
          <w:lang w:val="en" w:eastAsia="el-GR"/>
        </w:rPr>
      </w:pPr>
    </w:p>
    <w:p w:rsidR="000E295E" w:rsidRPr="000E295E" w:rsidRDefault="000E295E" w:rsidP="000E295E">
      <w:pPr>
        <w:shd w:val="clear" w:color="auto" w:fill="FFFFFF"/>
        <w:tabs>
          <w:tab w:val="left" w:pos="851"/>
        </w:tabs>
        <w:ind w:left="851"/>
        <w:rPr>
          <w:color w:val="000000"/>
          <w:sz w:val="24"/>
          <w:szCs w:val="24"/>
        </w:rPr>
      </w:pPr>
      <w:r w:rsidRPr="000E295E">
        <w:rPr>
          <w:sz w:val="24"/>
          <w:szCs w:val="24"/>
        </w:rPr>
        <w:t xml:space="preserve">Valganciclovir-doseringen </w:t>
      </w:r>
      <w:r w:rsidR="00986CD7">
        <w:rPr>
          <w:sz w:val="24"/>
          <w:szCs w:val="24"/>
        </w:rPr>
        <w:t>en</w:t>
      </w:r>
      <w:r w:rsidRPr="000E295E">
        <w:rPr>
          <w:sz w:val="24"/>
          <w:szCs w:val="24"/>
        </w:rPr>
        <w:t xml:space="preserve"> gang daglig var i begge studier baseret på legemsoverfladeareal (BSA) og kreatininclearance (CrCl) udledt fra en modificeret Schwartz-formel og blev beregnet ved brug af doseringsalgoritmen, der blev præsenteret i pkt. 4.2.</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Ganciclovirs farmakokinetik efter administration af valganciclovir blev også undersøgt i to studier hos nyfødte og spædbørn med symptomatisk medfødt CMV-sygdom. I det første studie fik 24 nyfødte i alderen 8 til 34 dage 6 mg/kg intravenøs ganciclovir to gange daglig. Patienterne blev derefter behandlet med oral valganciclovir, hvor dosen af valganciclovir-pulver til oral opløsning varierede fra 14 mg/kg til 20 mg/kg to gange daglig. Samlet behandling</w:t>
      </w:r>
      <w:r w:rsidR="003D22CD">
        <w:rPr>
          <w:color w:val="000000"/>
          <w:sz w:val="24"/>
          <w:szCs w:val="24"/>
        </w:rPr>
        <w:t xml:space="preserve">stid var 6 uger. Valganciclovir </w:t>
      </w:r>
      <w:r w:rsidRPr="000E295E">
        <w:rPr>
          <w:color w:val="000000"/>
          <w:sz w:val="24"/>
          <w:szCs w:val="24"/>
        </w:rPr>
        <w:t xml:space="preserve">pulver til oral opløsning i en dosis på 16 mg/kg to gange daglig gav en ganciclovir-eksponering, der var sammenlignelig med eksponeringen ved intravenøs ganciclovir i en dosis på 6 mg/kg to gange daglig hos nyfødte og medførte også en ganciclovir-eksponering svarende til den effektive intravenøse dosis til voksne på 5 mg/kg. </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I det andet studie fik 109 nyfødte i alderen 2 til 30 dage 16 mg/kg valganciclovir</w:t>
      </w:r>
      <w:r w:rsidR="003D22CD">
        <w:rPr>
          <w:color w:val="000000"/>
          <w:sz w:val="24"/>
          <w:szCs w:val="24"/>
        </w:rPr>
        <w:t xml:space="preserve"> </w:t>
      </w:r>
      <w:r w:rsidRPr="000E295E">
        <w:rPr>
          <w:color w:val="000000"/>
          <w:sz w:val="24"/>
          <w:szCs w:val="24"/>
        </w:rPr>
        <w:t>pulver til oral opløsning to gange daglig i 6 uger, og efterfølgende blev 96 ud af 109 tilmeldte patienter randomiseret til at fortsætte med at modtage valganciclovir eller placebo i 6 måneder. Det gennemsnitlige AUC</w:t>
      </w:r>
      <w:r w:rsidRPr="000E295E">
        <w:rPr>
          <w:color w:val="000000"/>
          <w:sz w:val="24"/>
          <w:szCs w:val="24"/>
          <w:vertAlign w:val="subscript"/>
        </w:rPr>
        <w:t>0-12t</w:t>
      </w:r>
      <w:r w:rsidRPr="000E295E">
        <w:rPr>
          <w:color w:val="000000"/>
          <w:sz w:val="24"/>
          <w:szCs w:val="24"/>
        </w:rPr>
        <w:t xml:space="preserve"> var dog lavere i forhold til de gennemsnitlige AUC</w:t>
      </w:r>
      <w:r w:rsidRPr="000E295E">
        <w:rPr>
          <w:color w:val="000000"/>
          <w:sz w:val="24"/>
          <w:szCs w:val="24"/>
          <w:vertAlign w:val="subscript"/>
        </w:rPr>
        <w:t>0-12t</w:t>
      </w:r>
      <w:r w:rsidRPr="000E295E">
        <w:rPr>
          <w:color w:val="000000"/>
          <w:sz w:val="24"/>
          <w:szCs w:val="24"/>
        </w:rPr>
        <w:t>-værdier fra det første studie. Nedenstående tabel viser middelværdierne af AUC, C</w:t>
      </w:r>
      <w:r w:rsidRPr="000E295E">
        <w:rPr>
          <w:color w:val="000000"/>
          <w:sz w:val="24"/>
          <w:szCs w:val="24"/>
          <w:vertAlign w:val="subscript"/>
        </w:rPr>
        <w:t>max</w:t>
      </w:r>
      <w:r w:rsidRPr="000E295E">
        <w:rPr>
          <w:color w:val="000000"/>
          <w:sz w:val="24"/>
          <w:szCs w:val="24"/>
        </w:rPr>
        <w:t xml:space="preserve"> og t</w:t>
      </w:r>
      <w:r w:rsidRPr="000E295E">
        <w:rPr>
          <w:color w:val="000000"/>
          <w:sz w:val="24"/>
          <w:szCs w:val="24"/>
          <w:vertAlign w:val="subscript"/>
        </w:rPr>
        <w:t>1/2</w:t>
      </w:r>
      <w:r w:rsidRPr="000E295E">
        <w:rPr>
          <w:color w:val="000000"/>
          <w:sz w:val="24"/>
          <w:szCs w:val="24"/>
        </w:rPr>
        <w:t>, herunder standardafvigelser sammenlignet med data fra voksne:</w:t>
      </w:r>
    </w:p>
    <w:p w:rsidR="00326C9B" w:rsidRDefault="00326C9B">
      <w:pPr>
        <w:rPr>
          <w:b/>
          <w:iCs/>
          <w:noProof/>
          <w:sz w:val="24"/>
          <w:szCs w:val="24"/>
          <w:u w:val="single"/>
        </w:rPr>
      </w:pPr>
      <w:r>
        <w:rPr>
          <w:b/>
          <w:iCs/>
          <w:noProof/>
          <w:sz w:val="24"/>
          <w:szCs w:val="24"/>
          <w:u w:val="single"/>
        </w:rPr>
        <w:br w:type="page"/>
      </w:r>
    </w:p>
    <w:p w:rsidR="000E295E" w:rsidRPr="000E295E" w:rsidRDefault="000E295E" w:rsidP="000E295E">
      <w:pPr>
        <w:numPr>
          <w:ilvl w:val="12"/>
          <w:numId w:val="0"/>
        </w:numPr>
        <w:tabs>
          <w:tab w:val="left" w:pos="851"/>
        </w:tabs>
        <w:ind w:left="851" w:right="-2"/>
        <w:rPr>
          <w:b/>
          <w:iCs/>
          <w:noProof/>
          <w:sz w:val="24"/>
          <w:szCs w:val="24"/>
          <w:u w:val="single"/>
        </w:rPr>
      </w:pPr>
    </w:p>
    <w:tbl>
      <w:tblPr>
        <w:tblW w:w="8977"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42"/>
        <w:gridCol w:w="1704"/>
        <w:gridCol w:w="1840"/>
        <w:gridCol w:w="1765"/>
        <w:gridCol w:w="1826"/>
      </w:tblGrid>
      <w:tr w:rsidR="000E295E" w:rsidRPr="003C6C2E" w:rsidTr="003C6C2E">
        <w:tc>
          <w:tcPr>
            <w:tcW w:w="1026" w:type="pct"/>
            <w:tcBorders>
              <w:top w:val="outset" w:sz="6" w:space="0" w:color="auto"/>
              <w:bottom w:val="outset" w:sz="6" w:space="0" w:color="auto"/>
              <w:right w:val="outset" w:sz="6" w:space="0" w:color="auto"/>
            </w:tcBorders>
            <w:hideMark/>
          </w:tcPr>
          <w:p w:rsidR="000E295E" w:rsidRPr="003C6C2E" w:rsidRDefault="000E295E" w:rsidP="003C6C2E">
            <w:pPr>
              <w:ind w:left="112"/>
              <w:rPr>
                <w:color w:val="000000"/>
                <w:sz w:val="22"/>
                <w:szCs w:val="22"/>
              </w:rPr>
            </w:pPr>
            <w:r w:rsidRPr="003C6C2E">
              <w:rPr>
                <w:b/>
                <w:bCs/>
                <w:color w:val="000000"/>
                <w:sz w:val="22"/>
                <w:szCs w:val="22"/>
              </w:rPr>
              <w:t>Farmakokinetisk parameter</w:t>
            </w:r>
          </w:p>
        </w:tc>
        <w:tc>
          <w:tcPr>
            <w:tcW w:w="949"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33"/>
              <w:rPr>
                <w:color w:val="000000"/>
                <w:sz w:val="22"/>
                <w:szCs w:val="22"/>
              </w:rPr>
            </w:pPr>
            <w:r w:rsidRPr="003C6C2E">
              <w:rPr>
                <w:color w:val="000000"/>
                <w:sz w:val="22"/>
                <w:szCs w:val="22"/>
              </w:rPr>
              <w:t xml:space="preserve">Voksne </w:t>
            </w:r>
          </w:p>
        </w:tc>
        <w:tc>
          <w:tcPr>
            <w:tcW w:w="3026" w:type="pct"/>
            <w:gridSpan w:val="3"/>
            <w:tcBorders>
              <w:top w:val="outset" w:sz="6" w:space="0" w:color="auto"/>
              <w:left w:val="outset" w:sz="6" w:space="0" w:color="auto"/>
              <w:bottom w:val="outset" w:sz="6" w:space="0" w:color="auto"/>
            </w:tcBorders>
            <w:hideMark/>
          </w:tcPr>
          <w:p w:rsidR="000E295E" w:rsidRPr="003C6C2E" w:rsidRDefault="000E295E" w:rsidP="003C6C2E">
            <w:pPr>
              <w:ind w:left="160"/>
              <w:rPr>
                <w:color w:val="000000"/>
                <w:sz w:val="22"/>
                <w:szCs w:val="22"/>
              </w:rPr>
            </w:pPr>
            <w:r w:rsidRPr="003C6C2E">
              <w:rPr>
                <w:color w:val="000000"/>
                <w:sz w:val="22"/>
                <w:szCs w:val="22"/>
              </w:rPr>
              <w:t xml:space="preserve">Pædiatriske patienter (nyfødte og spædbørn) </w:t>
            </w:r>
          </w:p>
        </w:tc>
      </w:tr>
      <w:tr w:rsidR="000E295E" w:rsidRPr="003C6C2E" w:rsidTr="003C6C2E">
        <w:tc>
          <w:tcPr>
            <w:tcW w:w="1026" w:type="pct"/>
            <w:tcBorders>
              <w:top w:val="outset" w:sz="6" w:space="0" w:color="auto"/>
              <w:bottom w:val="outset" w:sz="6" w:space="0" w:color="auto"/>
              <w:right w:val="outset" w:sz="6" w:space="0" w:color="auto"/>
            </w:tcBorders>
            <w:hideMark/>
          </w:tcPr>
          <w:p w:rsidR="000E295E" w:rsidRPr="003C6C2E" w:rsidRDefault="000E295E" w:rsidP="003C6C2E">
            <w:pPr>
              <w:ind w:left="112"/>
              <w:rPr>
                <w:color w:val="000000"/>
                <w:sz w:val="22"/>
                <w:szCs w:val="22"/>
              </w:rPr>
            </w:pPr>
            <w:r w:rsidRPr="003C6C2E">
              <w:rPr>
                <w:color w:val="000000"/>
                <w:sz w:val="22"/>
                <w:szCs w:val="22"/>
              </w:rPr>
              <w:t> </w:t>
            </w:r>
          </w:p>
        </w:tc>
        <w:tc>
          <w:tcPr>
            <w:tcW w:w="949"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33"/>
              <w:rPr>
                <w:color w:val="000000"/>
                <w:sz w:val="22"/>
                <w:szCs w:val="22"/>
              </w:rPr>
            </w:pPr>
            <w:r w:rsidRPr="003C6C2E">
              <w:rPr>
                <w:b/>
                <w:bCs/>
                <w:color w:val="000000"/>
                <w:sz w:val="22"/>
                <w:szCs w:val="22"/>
              </w:rPr>
              <w:t>5 mg/kg GAN</w:t>
            </w:r>
          </w:p>
          <w:p w:rsidR="000E295E" w:rsidRPr="003C6C2E" w:rsidRDefault="000E295E" w:rsidP="003C6C2E">
            <w:pPr>
              <w:ind w:left="133"/>
              <w:rPr>
                <w:color w:val="000000"/>
                <w:sz w:val="22"/>
                <w:szCs w:val="22"/>
              </w:rPr>
            </w:pPr>
            <w:r w:rsidRPr="003C6C2E">
              <w:rPr>
                <w:b/>
                <w:bCs/>
                <w:color w:val="000000"/>
                <w:sz w:val="22"/>
                <w:szCs w:val="22"/>
              </w:rPr>
              <w:t>Enkeltdosis</w:t>
            </w:r>
          </w:p>
          <w:p w:rsidR="000E295E" w:rsidRPr="003C6C2E" w:rsidRDefault="000E295E" w:rsidP="003C6C2E">
            <w:pPr>
              <w:ind w:left="133"/>
              <w:rPr>
                <w:color w:val="000000"/>
                <w:sz w:val="22"/>
                <w:szCs w:val="22"/>
              </w:rPr>
            </w:pPr>
            <w:r w:rsidRPr="003C6C2E">
              <w:rPr>
                <w:b/>
                <w:bCs/>
                <w:color w:val="000000"/>
                <w:sz w:val="22"/>
                <w:szCs w:val="22"/>
              </w:rPr>
              <w:t>(n = 8)</w:t>
            </w:r>
          </w:p>
        </w:tc>
        <w:tc>
          <w:tcPr>
            <w:tcW w:w="1025"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60"/>
              <w:rPr>
                <w:color w:val="000000"/>
                <w:sz w:val="22"/>
                <w:szCs w:val="22"/>
              </w:rPr>
            </w:pPr>
            <w:r w:rsidRPr="003C6C2E">
              <w:rPr>
                <w:b/>
                <w:bCs/>
                <w:color w:val="000000"/>
                <w:sz w:val="22"/>
                <w:szCs w:val="22"/>
              </w:rPr>
              <w:t>6 mg/kg GAN</w:t>
            </w:r>
          </w:p>
          <w:p w:rsidR="000E295E" w:rsidRPr="003C6C2E" w:rsidRDefault="000E295E" w:rsidP="003C6C2E">
            <w:pPr>
              <w:ind w:left="160"/>
              <w:rPr>
                <w:color w:val="000000"/>
                <w:sz w:val="22"/>
                <w:szCs w:val="22"/>
              </w:rPr>
            </w:pPr>
            <w:r w:rsidRPr="003C6C2E">
              <w:rPr>
                <w:b/>
                <w:bCs/>
                <w:color w:val="000000"/>
                <w:sz w:val="22"/>
                <w:szCs w:val="22"/>
              </w:rPr>
              <w:t>To gange daglig</w:t>
            </w:r>
          </w:p>
          <w:p w:rsidR="000E295E" w:rsidRPr="003C6C2E" w:rsidRDefault="000E295E" w:rsidP="003C6C2E">
            <w:pPr>
              <w:ind w:left="160"/>
              <w:rPr>
                <w:color w:val="000000"/>
                <w:sz w:val="22"/>
                <w:szCs w:val="22"/>
              </w:rPr>
            </w:pPr>
            <w:r w:rsidRPr="003C6C2E">
              <w:rPr>
                <w:b/>
                <w:bCs/>
                <w:color w:val="000000"/>
                <w:sz w:val="22"/>
                <w:szCs w:val="22"/>
              </w:rPr>
              <w:t xml:space="preserve">(n = 19) </w:t>
            </w:r>
          </w:p>
        </w:tc>
        <w:tc>
          <w:tcPr>
            <w:tcW w:w="983"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60"/>
              <w:rPr>
                <w:color w:val="000000"/>
                <w:sz w:val="22"/>
                <w:szCs w:val="22"/>
              </w:rPr>
            </w:pPr>
            <w:r w:rsidRPr="003C6C2E">
              <w:rPr>
                <w:b/>
                <w:bCs/>
                <w:color w:val="000000"/>
                <w:sz w:val="22"/>
                <w:szCs w:val="22"/>
              </w:rPr>
              <w:t>16 mg/kg VAL</w:t>
            </w:r>
          </w:p>
          <w:p w:rsidR="000E295E" w:rsidRPr="003C6C2E" w:rsidRDefault="000E295E" w:rsidP="003C6C2E">
            <w:pPr>
              <w:ind w:left="160"/>
              <w:rPr>
                <w:color w:val="000000"/>
                <w:sz w:val="22"/>
                <w:szCs w:val="22"/>
              </w:rPr>
            </w:pPr>
            <w:r w:rsidRPr="003C6C2E">
              <w:rPr>
                <w:b/>
                <w:bCs/>
                <w:color w:val="000000"/>
                <w:sz w:val="22"/>
                <w:szCs w:val="22"/>
              </w:rPr>
              <w:t>To gange daglig</w:t>
            </w:r>
          </w:p>
          <w:p w:rsidR="000E295E" w:rsidRPr="003C6C2E" w:rsidRDefault="000E295E" w:rsidP="003C6C2E">
            <w:pPr>
              <w:ind w:left="160"/>
              <w:rPr>
                <w:color w:val="000000"/>
                <w:sz w:val="22"/>
                <w:szCs w:val="22"/>
              </w:rPr>
            </w:pPr>
            <w:r w:rsidRPr="003C6C2E">
              <w:rPr>
                <w:b/>
                <w:bCs/>
                <w:color w:val="000000"/>
                <w:sz w:val="22"/>
                <w:szCs w:val="22"/>
              </w:rPr>
              <w:t>(n = 19)</w:t>
            </w:r>
          </w:p>
        </w:tc>
        <w:tc>
          <w:tcPr>
            <w:tcW w:w="1018" w:type="pct"/>
            <w:tcBorders>
              <w:top w:val="outset" w:sz="6" w:space="0" w:color="auto"/>
              <w:left w:val="outset" w:sz="6" w:space="0" w:color="auto"/>
              <w:bottom w:val="outset" w:sz="6" w:space="0" w:color="auto"/>
            </w:tcBorders>
            <w:hideMark/>
          </w:tcPr>
          <w:p w:rsidR="000E295E" w:rsidRPr="003C6C2E" w:rsidRDefault="000E295E" w:rsidP="003C6C2E">
            <w:pPr>
              <w:ind w:left="160"/>
              <w:rPr>
                <w:color w:val="000000"/>
                <w:sz w:val="22"/>
                <w:szCs w:val="22"/>
              </w:rPr>
            </w:pPr>
            <w:r w:rsidRPr="003C6C2E">
              <w:rPr>
                <w:b/>
                <w:bCs/>
                <w:color w:val="000000"/>
                <w:sz w:val="22"/>
                <w:szCs w:val="22"/>
              </w:rPr>
              <w:t>16 mg/kg VAL</w:t>
            </w:r>
          </w:p>
          <w:p w:rsidR="000E295E" w:rsidRPr="003C6C2E" w:rsidRDefault="000E295E" w:rsidP="003C6C2E">
            <w:pPr>
              <w:ind w:left="160"/>
              <w:rPr>
                <w:color w:val="000000"/>
                <w:sz w:val="22"/>
                <w:szCs w:val="22"/>
              </w:rPr>
            </w:pPr>
            <w:r w:rsidRPr="003C6C2E">
              <w:rPr>
                <w:b/>
                <w:bCs/>
                <w:color w:val="000000"/>
                <w:sz w:val="22"/>
                <w:szCs w:val="22"/>
              </w:rPr>
              <w:t>To gange daglig</w:t>
            </w:r>
          </w:p>
          <w:p w:rsidR="000E295E" w:rsidRPr="003C6C2E" w:rsidRDefault="000E295E" w:rsidP="003C6C2E">
            <w:pPr>
              <w:ind w:left="160"/>
              <w:rPr>
                <w:color w:val="000000"/>
                <w:sz w:val="22"/>
                <w:szCs w:val="22"/>
              </w:rPr>
            </w:pPr>
            <w:r w:rsidRPr="003C6C2E">
              <w:rPr>
                <w:b/>
                <w:bCs/>
                <w:color w:val="000000"/>
                <w:sz w:val="22"/>
                <w:szCs w:val="22"/>
              </w:rPr>
              <w:t>(n = 100)</w:t>
            </w:r>
          </w:p>
        </w:tc>
      </w:tr>
      <w:tr w:rsidR="000E295E" w:rsidRPr="003C6C2E" w:rsidTr="003C6C2E">
        <w:tc>
          <w:tcPr>
            <w:tcW w:w="1026" w:type="pct"/>
            <w:tcBorders>
              <w:top w:val="outset" w:sz="6" w:space="0" w:color="auto"/>
              <w:bottom w:val="outset" w:sz="6" w:space="0" w:color="auto"/>
              <w:right w:val="outset" w:sz="6" w:space="0" w:color="auto"/>
            </w:tcBorders>
            <w:hideMark/>
          </w:tcPr>
          <w:p w:rsidR="000E295E" w:rsidRPr="003C6C2E" w:rsidRDefault="000E295E" w:rsidP="003C6C2E">
            <w:pPr>
              <w:ind w:left="112"/>
              <w:rPr>
                <w:color w:val="000000"/>
                <w:sz w:val="22"/>
                <w:szCs w:val="22"/>
              </w:rPr>
            </w:pPr>
            <w:r w:rsidRPr="003C6C2E">
              <w:rPr>
                <w:b/>
                <w:bCs/>
                <w:color w:val="000000"/>
                <w:sz w:val="22"/>
                <w:szCs w:val="22"/>
              </w:rPr>
              <w:t>AUC</w:t>
            </w:r>
            <w:r w:rsidRPr="003C6C2E">
              <w:rPr>
                <w:b/>
                <w:bCs/>
                <w:color w:val="000000"/>
                <w:sz w:val="22"/>
                <w:szCs w:val="22"/>
                <w:vertAlign w:val="subscript"/>
              </w:rPr>
              <w:t>0-∞</w:t>
            </w:r>
            <w:r w:rsidRPr="003C6C2E">
              <w:rPr>
                <w:b/>
                <w:bCs/>
                <w:color w:val="000000"/>
                <w:sz w:val="22"/>
                <w:szCs w:val="22"/>
              </w:rPr>
              <w:t xml:space="preserve"> (μg</w:t>
            </w:r>
            <w:r w:rsidRPr="003C6C2E">
              <w:rPr>
                <w:b/>
                <w:bCs/>
                <w:color w:val="000000"/>
                <w:sz w:val="22"/>
                <w:szCs w:val="22"/>
                <w:vertAlign w:val="superscript"/>
              </w:rPr>
              <w:t>.</w:t>
            </w:r>
            <w:r w:rsidRPr="003C6C2E">
              <w:rPr>
                <w:b/>
                <w:bCs/>
                <w:color w:val="000000"/>
                <w:sz w:val="22"/>
                <w:szCs w:val="22"/>
              </w:rPr>
              <w:t>t/ml)</w:t>
            </w:r>
          </w:p>
        </w:tc>
        <w:tc>
          <w:tcPr>
            <w:tcW w:w="949"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33"/>
              <w:rPr>
                <w:color w:val="000000"/>
                <w:sz w:val="22"/>
                <w:szCs w:val="22"/>
              </w:rPr>
            </w:pPr>
            <w:r w:rsidRPr="003C6C2E">
              <w:rPr>
                <w:color w:val="000000"/>
                <w:sz w:val="22"/>
                <w:szCs w:val="22"/>
              </w:rPr>
              <w:t xml:space="preserve">25,4  ± 4,32 </w:t>
            </w:r>
          </w:p>
        </w:tc>
        <w:tc>
          <w:tcPr>
            <w:tcW w:w="1025"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60"/>
              <w:rPr>
                <w:color w:val="000000"/>
                <w:sz w:val="22"/>
                <w:szCs w:val="22"/>
              </w:rPr>
            </w:pPr>
            <w:r w:rsidRPr="003C6C2E">
              <w:rPr>
                <w:b/>
                <w:bCs/>
                <w:color w:val="000000"/>
                <w:sz w:val="22"/>
                <w:szCs w:val="22"/>
              </w:rPr>
              <w:t>-</w:t>
            </w:r>
          </w:p>
        </w:tc>
        <w:tc>
          <w:tcPr>
            <w:tcW w:w="983"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60"/>
              <w:rPr>
                <w:color w:val="000000"/>
                <w:sz w:val="22"/>
                <w:szCs w:val="22"/>
              </w:rPr>
            </w:pPr>
            <w:r w:rsidRPr="003C6C2E">
              <w:rPr>
                <w:color w:val="000000"/>
                <w:sz w:val="22"/>
                <w:szCs w:val="22"/>
              </w:rPr>
              <w:t xml:space="preserve">- </w:t>
            </w:r>
          </w:p>
        </w:tc>
        <w:tc>
          <w:tcPr>
            <w:tcW w:w="1018" w:type="pct"/>
            <w:tcBorders>
              <w:top w:val="outset" w:sz="6" w:space="0" w:color="auto"/>
              <w:left w:val="outset" w:sz="6" w:space="0" w:color="auto"/>
              <w:bottom w:val="outset" w:sz="6" w:space="0" w:color="auto"/>
            </w:tcBorders>
            <w:hideMark/>
          </w:tcPr>
          <w:p w:rsidR="000E295E" w:rsidRPr="003C6C2E" w:rsidRDefault="000E295E" w:rsidP="003C6C2E">
            <w:pPr>
              <w:ind w:left="160"/>
              <w:rPr>
                <w:color w:val="000000"/>
                <w:sz w:val="22"/>
                <w:szCs w:val="22"/>
              </w:rPr>
            </w:pPr>
            <w:r w:rsidRPr="003C6C2E">
              <w:rPr>
                <w:color w:val="000000"/>
                <w:sz w:val="22"/>
                <w:szCs w:val="22"/>
              </w:rPr>
              <w:t xml:space="preserve">- </w:t>
            </w:r>
          </w:p>
        </w:tc>
      </w:tr>
      <w:tr w:rsidR="000E295E" w:rsidRPr="003C6C2E" w:rsidTr="003C6C2E">
        <w:tc>
          <w:tcPr>
            <w:tcW w:w="1026" w:type="pct"/>
            <w:tcBorders>
              <w:top w:val="outset" w:sz="6" w:space="0" w:color="auto"/>
              <w:bottom w:val="outset" w:sz="6" w:space="0" w:color="auto"/>
              <w:right w:val="outset" w:sz="6" w:space="0" w:color="auto"/>
            </w:tcBorders>
            <w:hideMark/>
          </w:tcPr>
          <w:p w:rsidR="000E295E" w:rsidRPr="003C6C2E" w:rsidRDefault="000E295E" w:rsidP="003C6C2E">
            <w:pPr>
              <w:ind w:left="112"/>
              <w:rPr>
                <w:color w:val="000000"/>
                <w:sz w:val="22"/>
                <w:szCs w:val="22"/>
              </w:rPr>
            </w:pPr>
            <w:r w:rsidRPr="003C6C2E">
              <w:rPr>
                <w:b/>
                <w:bCs/>
                <w:color w:val="000000"/>
                <w:sz w:val="22"/>
                <w:szCs w:val="22"/>
              </w:rPr>
              <w:t>AUC</w:t>
            </w:r>
            <w:r w:rsidRPr="003C6C2E">
              <w:rPr>
                <w:b/>
                <w:bCs/>
                <w:color w:val="000000"/>
                <w:sz w:val="22"/>
                <w:szCs w:val="22"/>
                <w:vertAlign w:val="subscript"/>
              </w:rPr>
              <w:t xml:space="preserve">0-12t </w:t>
            </w:r>
            <w:r w:rsidRPr="003C6C2E">
              <w:rPr>
                <w:b/>
                <w:bCs/>
                <w:color w:val="000000"/>
                <w:sz w:val="22"/>
                <w:szCs w:val="22"/>
              </w:rPr>
              <w:t>(μg</w:t>
            </w:r>
            <w:r w:rsidRPr="003C6C2E">
              <w:rPr>
                <w:b/>
                <w:bCs/>
                <w:color w:val="000000"/>
                <w:sz w:val="22"/>
                <w:szCs w:val="22"/>
                <w:vertAlign w:val="superscript"/>
              </w:rPr>
              <w:t>.</w:t>
            </w:r>
            <w:r w:rsidRPr="003C6C2E">
              <w:rPr>
                <w:b/>
                <w:bCs/>
                <w:color w:val="000000"/>
                <w:sz w:val="22"/>
                <w:szCs w:val="22"/>
              </w:rPr>
              <w:t>t/ml)</w:t>
            </w:r>
          </w:p>
        </w:tc>
        <w:tc>
          <w:tcPr>
            <w:tcW w:w="949"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33"/>
              <w:rPr>
                <w:color w:val="000000"/>
                <w:sz w:val="22"/>
                <w:szCs w:val="22"/>
              </w:rPr>
            </w:pPr>
            <w:r w:rsidRPr="003C6C2E">
              <w:rPr>
                <w:color w:val="000000"/>
                <w:sz w:val="22"/>
                <w:szCs w:val="22"/>
              </w:rPr>
              <w:t xml:space="preserve">- </w:t>
            </w:r>
          </w:p>
        </w:tc>
        <w:tc>
          <w:tcPr>
            <w:tcW w:w="1025"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60"/>
              <w:rPr>
                <w:color w:val="000000"/>
                <w:sz w:val="22"/>
                <w:szCs w:val="22"/>
              </w:rPr>
            </w:pPr>
            <w:r w:rsidRPr="003C6C2E">
              <w:rPr>
                <w:color w:val="000000"/>
                <w:sz w:val="22"/>
                <w:szCs w:val="22"/>
              </w:rPr>
              <w:t xml:space="preserve">38,2  ± 42,7 </w:t>
            </w:r>
          </w:p>
        </w:tc>
        <w:tc>
          <w:tcPr>
            <w:tcW w:w="983"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60"/>
              <w:rPr>
                <w:color w:val="000000"/>
                <w:sz w:val="22"/>
                <w:szCs w:val="22"/>
              </w:rPr>
            </w:pPr>
            <w:r w:rsidRPr="003C6C2E">
              <w:rPr>
                <w:color w:val="000000"/>
                <w:sz w:val="22"/>
                <w:szCs w:val="22"/>
              </w:rPr>
              <w:t xml:space="preserve">30,1  ± 15,1 </w:t>
            </w:r>
          </w:p>
        </w:tc>
        <w:tc>
          <w:tcPr>
            <w:tcW w:w="1018" w:type="pct"/>
            <w:tcBorders>
              <w:top w:val="outset" w:sz="6" w:space="0" w:color="auto"/>
              <w:left w:val="outset" w:sz="6" w:space="0" w:color="auto"/>
              <w:bottom w:val="outset" w:sz="6" w:space="0" w:color="auto"/>
            </w:tcBorders>
            <w:hideMark/>
          </w:tcPr>
          <w:p w:rsidR="000E295E" w:rsidRPr="003C6C2E" w:rsidRDefault="000E295E" w:rsidP="003C6C2E">
            <w:pPr>
              <w:ind w:left="160"/>
              <w:rPr>
                <w:color w:val="000000"/>
                <w:sz w:val="22"/>
                <w:szCs w:val="22"/>
              </w:rPr>
            </w:pPr>
            <w:r w:rsidRPr="003C6C2E">
              <w:rPr>
                <w:color w:val="000000"/>
                <w:sz w:val="22"/>
                <w:szCs w:val="22"/>
              </w:rPr>
              <w:t xml:space="preserve">20,85  ± 5,40 </w:t>
            </w:r>
          </w:p>
        </w:tc>
      </w:tr>
      <w:tr w:rsidR="000E295E" w:rsidRPr="003C6C2E" w:rsidTr="003C6C2E">
        <w:tc>
          <w:tcPr>
            <w:tcW w:w="1026" w:type="pct"/>
            <w:tcBorders>
              <w:top w:val="outset" w:sz="6" w:space="0" w:color="auto"/>
              <w:bottom w:val="outset" w:sz="6" w:space="0" w:color="auto"/>
              <w:right w:val="outset" w:sz="6" w:space="0" w:color="auto"/>
            </w:tcBorders>
            <w:hideMark/>
          </w:tcPr>
          <w:p w:rsidR="000E295E" w:rsidRPr="003C6C2E" w:rsidRDefault="000E295E" w:rsidP="003C6C2E">
            <w:pPr>
              <w:ind w:left="112"/>
              <w:rPr>
                <w:color w:val="000000"/>
                <w:sz w:val="22"/>
                <w:szCs w:val="22"/>
              </w:rPr>
            </w:pPr>
            <w:r w:rsidRPr="003C6C2E">
              <w:rPr>
                <w:b/>
                <w:bCs/>
                <w:color w:val="000000"/>
                <w:sz w:val="22"/>
                <w:szCs w:val="22"/>
              </w:rPr>
              <w:t>C</w:t>
            </w:r>
            <w:r w:rsidRPr="003C6C2E">
              <w:rPr>
                <w:b/>
                <w:bCs/>
                <w:color w:val="000000"/>
                <w:sz w:val="22"/>
                <w:szCs w:val="22"/>
                <w:vertAlign w:val="subscript"/>
              </w:rPr>
              <w:t>max</w:t>
            </w:r>
            <w:r w:rsidRPr="003C6C2E">
              <w:rPr>
                <w:b/>
                <w:bCs/>
                <w:color w:val="000000"/>
                <w:sz w:val="22"/>
                <w:szCs w:val="22"/>
              </w:rPr>
              <w:t xml:space="preserve"> (μg/ml)</w:t>
            </w:r>
          </w:p>
        </w:tc>
        <w:tc>
          <w:tcPr>
            <w:tcW w:w="949"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33"/>
              <w:rPr>
                <w:color w:val="000000"/>
                <w:sz w:val="22"/>
                <w:szCs w:val="22"/>
              </w:rPr>
            </w:pPr>
            <w:r w:rsidRPr="003C6C2E">
              <w:rPr>
                <w:color w:val="000000"/>
                <w:sz w:val="22"/>
                <w:szCs w:val="22"/>
              </w:rPr>
              <w:t xml:space="preserve">9,03  ± 1,26 </w:t>
            </w:r>
          </w:p>
        </w:tc>
        <w:tc>
          <w:tcPr>
            <w:tcW w:w="1025"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60"/>
              <w:rPr>
                <w:color w:val="000000"/>
                <w:sz w:val="22"/>
                <w:szCs w:val="22"/>
              </w:rPr>
            </w:pPr>
            <w:r w:rsidRPr="003C6C2E">
              <w:rPr>
                <w:color w:val="000000"/>
                <w:sz w:val="22"/>
                <w:szCs w:val="22"/>
              </w:rPr>
              <w:t xml:space="preserve">12,9  ± 21,5 </w:t>
            </w:r>
          </w:p>
        </w:tc>
        <w:tc>
          <w:tcPr>
            <w:tcW w:w="983"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60"/>
              <w:rPr>
                <w:color w:val="000000"/>
                <w:sz w:val="22"/>
                <w:szCs w:val="22"/>
              </w:rPr>
            </w:pPr>
            <w:r w:rsidRPr="003C6C2E">
              <w:rPr>
                <w:color w:val="000000"/>
                <w:sz w:val="22"/>
                <w:szCs w:val="22"/>
              </w:rPr>
              <w:t xml:space="preserve">5,44 ± 4,04 </w:t>
            </w:r>
          </w:p>
        </w:tc>
        <w:tc>
          <w:tcPr>
            <w:tcW w:w="1018" w:type="pct"/>
            <w:tcBorders>
              <w:top w:val="outset" w:sz="6" w:space="0" w:color="auto"/>
              <w:left w:val="outset" w:sz="6" w:space="0" w:color="auto"/>
              <w:bottom w:val="outset" w:sz="6" w:space="0" w:color="auto"/>
            </w:tcBorders>
            <w:hideMark/>
          </w:tcPr>
          <w:p w:rsidR="000E295E" w:rsidRPr="003C6C2E" w:rsidRDefault="000E295E" w:rsidP="003C6C2E">
            <w:pPr>
              <w:ind w:left="160"/>
              <w:rPr>
                <w:color w:val="000000"/>
                <w:sz w:val="22"/>
                <w:szCs w:val="22"/>
              </w:rPr>
            </w:pPr>
            <w:r w:rsidRPr="003C6C2E">
              <w:rPr>
                <w:color w:val="000000"/>
                <w:sz w:val="22"/>
                <w:szCs w:val="22"/>
              </w:rPr>
              <w:t xml:space="preserve">- </w:t>
            </w:r>
          </w:p>
        </w:tc>
      </w:tr>
      <w:tr w:rsidR="000E295E" w:rsidRPr="003C6C2E" w:rsidTr="003C6C2E">
        <w:tc>
          <w:tcPr>
            <w:tcW w:w="1026" w:type="pct"/>
            <w:tcBorders>
              <w:top w:val="outset" w:sz="6" w:space="0" w:color="auto"/>
              <w:bottom w:val="outset" w:sz="6" w:space="0" w:color="auto"/>
              <w:right w:val="outset" w:sz="6" w:space="0" w:color="auto"/>
            </w:tcBorders>
            <w:hideMark/>
          </w:tcPr>
          <w:p w:rsidR="000E295E" w:rsidRPr="003C6C2E" w:rsidRDefault="000E295E" w:rsidP="003C6C2E">
            <w:pPr>
              <w:ind w:left="112"/>
              <w:rPr>
                <w:color w:val="000000"/>
                <w:sz w:val="22"/>
                <w:szCs w:val="22"/>
              </w:rPr>
            </w:pPr>
            <w:r w:rsidRPr="003C6C2E">
              <w:rPr>
                <w:b/>
                <w:bCs/>
                <w:color w:val="000000"/>
                <w:sz w:val="22"/>
                <w:szCs w:val="22"/>
              </w:rPr>
              <w:t>t</w:t>
            </w:r>
            <w:r w:rsidRPr="003C6C2E">
              <w:rPr>
                <w:b/>
                <w:bCs/>
                <w:color w:val="000000"/>
                <w:sz w:val="22"/>
                <w:szCs w:val="22"/>
                <w:vertAlign w:val="subscript"/>
              </w:rPr>
              <w:t>1/2</w:t>
            </w:r>
            <w:r w:rsidRPr="003C6C2E">
              <w:rPr>
                <w:b/>
                <w:bCs/>
                <w:color w:val="000000"/>
                <w:sz w:val="22"/>
                <w:szCs w:val="22"/>
              </w:rPr>
              <w:t xml:space="preserve"> (timer)</w:t>
            </w:r>
          </w:p>
        </w:tc>
        <w:tc>
          <w:tcPr>
            <w:tcW w:w="949"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33"/>
              <w:rPr>
                <w:color w:val="000000"/>
                <w:sz w:val="22"/>
                <w:szCs w:val="22"/>
              </w:rPr>
            </w:pPr>
            <w:r w:rsidRPr="003C6C2E">
              <w:rPr>
                <w:color w:val="000000"/>
                <w:sz w:val="22"/>
                <w:szCs w:val="22"/>
              </w:rPr>
              <w:t xml:space="preserve">3,32  ± 0,47 </w:t>
            </w:r>
          </w:p>
        </w:tc>
        <w:tc>
          <w:tcPr>
            <w:tcW w:w="1025"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60"/>
              <w:rPr>
                <w:color w:val="000000"/>
                <w:sz w:val="22"/>
                <w:szCs w:val="22"/>
              </w:rPr>
            </w:pPr>
            <w:r w:rsidRPr="003C6C2E">
              <w:rPr>
                <w:color w:val="000000"/>
                <w:sz w:val="22"/>
                <w:szCs w:val="22"/>
              </w:rPr>
              <w:t xml:space="preserve">2,52 ± 0,55 </w:t>
            </w:r>
          </w:p>
        </w:tc>
        <w:tc>
          <w:tcPr>
            <w:tcW w:w="983" w:type="pct"/>
            <w:tcBorders>
              <w:top w:val="outset" w:sz="6" w:space="0" w:color="auto"/>
              <w:left w:val="outset" w:sz="6" w:space="0" w:color="auto"/>
              <w:bottom w:val="outset" w:sz="6" w:space="0" w:color="auto"/>
              <w:right w:val="outset" w:sz="6" w:space="0" w:color="auto"/>
            </w:tcBorders>
            <w:hideMark/>
          </w:tcPr>
          <w:p w:rsidR="000E295E" w:rsidRPr="003C6C2E" w:rsidRDefault="000E295E" w:rsidP="003C6C2E">
            <w:pPr>
              <w:ind w:left="160"/>
              <w:rPr>
                <w:color w:val="000000"/>
                <w:sz w:val="22"/>
                <w:szCs w:val="22"/>
              </w:rPr>
            </w:pPr>
            <w:r w:rsidRPr="003C6C2E">
              <w:rPr>
                <w:color w:val="000000"/>
                <w:sz w:val="22"/>
                <w:szCs w:val="22"/>
              </w:rPr>
              <w:t xml:space="preserve">2,98 ± 1,26 </w:t>
            </w:r>
          </w:p>
        </w:tc>
        <w:tc>
          <w:tcPr>
            <w:tcW w:w="1018" w:type="pct"/>
            <w:tcBorders>
              <w:top w:val="outset" w:sz="6" w:space="0" w:color="auto"/>
              <w:left w:val="outset" w:sz="6" w:space="0" w:color="auto"/>
              <w:bottom w:val="outset" w:sz="6" w:space="0" w:color="auto"/>
            </w:tcBorders>
            <w:hideMark/>
          </w:tcPr>
          <w:p w:rsidR="000E295E" w:rsidRPr="003C6C2E" w:rsidRDefault="000E295E" w:rsidP="003C6C2E">
            <w:pPr>
              <w:ind w:left="160"/>
              <w:rPr>
                <w:color w:val="000000"/>
                <w:sz w:val="22"/>
                <w:szCs w:val="22"/>
              </w:rPr>
            </w:pPr>
            <w:r w:rsidRPr="003C6C2E">
              <w:rPr>
                <w:color w:val="000000"/>
                <w:sz w:val="22"/>
                <w:szCs w:val="22"/>
              </w:rPr>
              <w:t xml:space="preserve">2,98  ± 1,12 </w:t>
            </w:r>
          </w:p>
        </w:tc>
      </w:tr>
    </w:tbl>
    <w:p w:rsidR="000E295E" w:rsidRPr="003C6C2E" w:rsidRDefault="000E295E" w:rsidP="000E295E">
      <w:pPr>
        <w:shd w:val="clear" w:color="auto" w:fill="FFFFFF"/>
        <w:tabs>
          <w:tab w:val="left" w:pos="851"/>
        </w:tabs>
        <w:ind w:left="851"/>
        <w:rPr>
          <w:color w:val="000000"/>
          <w:sz w:val="24"/>
          <w:szCs w:val="24"/>
          <w:lang w:val="en-US"/>
        </w:rPr>
      </w:pPr>
      <w:r w:rsidRPr="003C6C2E">
        <w:rPr>
          <w:color w:val="000000"/>
          <w:sz w:val="24"/>
          <w:szCs w:val="24"/>
          <w:lang w:val="en-US"/>
        </w:rPr>
        <w:t xml:space="preserve">GAN = Ganciclovir, i.v. </w:t>
      </w:r>
    </w:p>
    <w:p w:rsidR="000E295E" w:rsidRPr="003C6C2E" w:rsidRDefault="000E295E" w:rsidP="000E295E">
      <w:pPr>
        <w:shd w:val="clear" w:color="auto" w:fill="FFFFFF"/>
        <w:tabs>
          <w:tab w:val="left" w:pos="851"/>
        </w:tabs>
        <w:ind w:left="851"/>
        <w:rPr>
          <w:color w:val="000000"/>
          <w:sz w:val="24"/>
          <w:szCs w:val="24"/>
          <w:lang w:val="en-US"/>
        </w:rPr>
      </w:pPr>
      <w:r w:rsidRPr="003C6C2E">
        <w:rPr>
          <w:color w:val="000000"/>
          <w:sz w:val="24"/>
          <w:szCs w:val="24"/>
          <w:lang w:val="en-US"/>
        </w:rPr>
        <w:t xml:space="preserve">VAL = Valganciclovir, oral </w:t>
      </w:r>
    </w:p>
    <w:p w:rsidR="000E295E" w:rsidRPr="003C6C2E" w:rsidRDefault="000E295E" w:rsidP="000E295E">
      <w:pPr>
        <w:shd w:val="clear" w:color="auto" w:fill="FFFFFF"/>
        <w:tabs>
          <w:tab w:val="left" w:pos="851"/>
        </w:tabs>
        <w:ind w:left="851"/>
        <w:rPr>
          <w:color w:val="000000"/>
          <w:sz w:val="24"/>
          <w:szCs w:val="24"/>
          <w:lang w:val="en-US" w:eastAsia="el-GR"/>
        </w:rPr>
      </w:pP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 xml:space="preserve">Disse data er for begrænsede til, at der kan drages konklusioner om virkning eller doseringsanbefalinger hos pædiatriske patienter med medfødt CMV-sygdom. </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i/>
          <w:color w:val="000000"/>
          <w:sz w:val="24"/>
          <w:szCs w:val="24"/>
        </w:rPr>
      </w:pPr>
      <w:r w:rsidRPr="000E295E">
        <w:rPr>
          <w:i/>
          <w:color w:val="000000"/>
          <w:sz w:val="24"/>
          <w:szCs w:val="24"/>
        </w:rPr>
        <w:t>Ældre</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Der er ikke udført undersøgelser af valganciclovirs eller ganciclovirs farmakokinetik hos personer over 65 år (se pkt. 4.2).</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i/>
          <w:iCs/>
          <w:color w:val="000000"/>
          <w:sz w:val="24"/>
          <w:szCs w:val="24"/>
        </w:rPr>
      </w:pPr>
      <w:r w:rsidRPr="000E295E">
        <w:rPr>
          <w:i/>
          <w:iCs/>
          <w:color w:val="000000"/>
          <w:sz w:val="24"/>
          <w:szCs w:val="24"/>
        </w:rPr>
        <w:t>Patienter med nedsat nyrefunktion</w:t>
      </w:r>
    </w:p>
    <w:p w:rsidR="000E295E" w:rsidRPr="000E295E" w:rsidRDefault="000E295E" w:rsidP="000E295E">
      <w:pPr>
        <w:shd w:val="clear" w:color="auto" w:fill="FFFFFF"/>
        <w:tabs>
          <w:tab w:val="left" w:pos="851"/>
        </w:tabs>
        <w:ind w:left="851"/>
        <w:rPr>
          <w:iCs/>
          <w:color w:val="000000"/>
          <w:sz w:val="24"/>
          <w:szCs w:val="24"/>
        </w:rPr>
      </w:pPr>
      <w:r w:rsidRPr="000E295E">
        <w:rPr>
          <w:iCs/>
          <w:color w:val="000000"/>
          <w:sz w:val="24"/>
          <w:szCs w:val="24"/>
        </w:rPr>
        <w:t>Ganciclovirs farmakokinetik efter en enkelt oral dosis valganciclovir på 900 mg er blevet undersøgt hos 24 ellers raske forsøgspersoner med nedsat nyrefunktion.</w:t>
      </w:r>
    </w:p>
    <w:p w:rsidR="000E295E" w:rsidRPr="000E295E" w:rsidRDefault="000E295E" w:rsidP="000E295E">
      <w:pPr>
        <w:shd w:val="clear" w:color="auto" w:fill="FFFFFF"/>
        <w:tabs>
          <w:tab w:val="left" w:pos="851"/>
        </w:tabs>
        <w:ind w:left="851"/>
        <w:rPr>
          <w:iCs/>
          <w:color w:val="000000"/>
          <w:sz w:val="24"/>
          <w:szCs w:val="24"/>
          <w:lang w:eastAsia="el-GR"/>
        </w:rPr>
      </w:pPr>
    </w:p>
    <w:p w:rsidR="000E295E" w:rsidRPr="000E295E" w:rsidRDefault="000E295E" w:rsidP="000E295E">
      <w:pPr>
        <w:shd w:val="clear" w:color="auto" w:fill="FFFFFF"/>
        <w:tabs>
          <w:tab w:val="left" w:pos="851"/>
        </w:tabs>
        <w:ind w:left="851"/>
        <w:rPr>
          <w:iCs/>
          <w:color w:val="000000"/>
          <w:sz w:val="24"/>
          <w:szCs w:val="24"/>
        </w:rPr>
      </w:pPr>
      <w:r w:rsidRPr="000E295E">
        <w:rPr>
          <w:iCs/>
          <w:color w:val="000000"/>
          <w:sz w:val="24"/>
          <w:szCs w:val="24"/>
        </w:rPr>
        <w:t>Ganciclovirs farmakokinetiske parametre efter en enkelt oral dosis valganciclovir på 900 mg i tabletform hos patienter med forskellige grader af nedsat nyrefunktion:</w:t>
      </w:r>
    </w:p>
    <w:p w:rsidR="000E295E" w:rsidRPr="000E295E" w:rsidRDefault="000E295E" w:rsidP="000E295E">
      <w:pPr>
        <w:shd w:val="clear" w:color="auto" w:fill="FFFFFF"/>
        <w:tabs>
          <w:tab w:val="left" w:pos="851"/>
        </w:tabs>
        <w:ind w:left="851"/>
        <w:rPr>
          <w:iCs/>
          <w:color w:val="000000"/>
          <w:sz w:val="24"/>
          <w:szCs w:val="24"/>
          <w:lang w:eastAsia="el-GR"/>
        </w:rPr>
      </w:pPr>
    </w:p>
    <w:tbl>
      <w:tblPr>
        <w:tblW w:w="8854" w:type="dxa"/>
        <w:tblInd w:w="843" w:type="dxa"/>
        <w:tblBorders>
          <w:top w:val="outset" w:sz="6" w:space="0" w:color="7B7B7B"/>
          <w:left w:val="outset" w:sz="6" w:space="0" w:color="7B7B7B"/>
          <w:bottom w:val="outset" w:sz="6" w:space="0" w:color="7B7B7B"/>
          <w:right w:val="outset" w:sz="6" w:space="0" w:color="7B7B7B"/>
        </w:tblBorders>
        <w:tblLayout w:type="fixed"/>
        <w:tblCellMar>
          <w:top w:w="24" w:type="dxa"/>
          <w:left w:w="24" w:type="dxa"/>
          <w:bottom w:w="24" w:type="dxa"/>
          <w:right w:w="24" w:type="dxa"/>
        </w:tblCellMar>
        <w:tblLook w:val="04A0" w:firstRow="1" w:lastRow="0" w:firstColumn="1" w:lastColumn="0" w:noHBand="0" w:noVBand="1"/>
      </w:tblPr>
      <w:tblGrid>
        <w:gridCol w:w="1988"/>
        <w:gridCol w:w="710"/>
        <w:gridCol w:w="1983"/>
        <w:gridCol w:w="1983"/>
        <w:gridCol w:w="2190"/>
      </w:tblGrid>
      <w:tr w:rsidR="00B82879" w:rsidRPr="00326C9B" w:rsidTr="00B82879">
        <w:tc>
          <w:tcPr>
            <w:tcW w:w="1122"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2"/>
              <w:rPr>
                <w:color w:val="000000"/>
                <w:sz w:val="22"/>
                <w:szCs w:val="22"/>
              </w:rPr>
            </w:pPr>
            <w:r w:rsidRPr="00326C9B">
              <w:rPr>
                <w:b/>
                <w:bCs/>
                <w:color w:val="000000"/>
                <w:sz w:val="22"/>
                <w:szCs w:val="22"/>
              </w:rPr>
              <w:t>Estimeret kreatininclearance (ml/min)</w:t>
            </w:r>
            <w:r w:rsidRPr="00326C9B">
              <w:rPr>
                <w:color w:val="000000"/>
                <w:sz w:val="22"/>
                <w:szCs w:val="22"/>
              </w:rPr>
              <w:t xml:space="preserve"> </w:t>
            </w:r>
          </w:p>
        </w:tc>
        <w:tc>
          <w:tcPr>
            <w:tcW w:w="40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1"/>
              <w:rPr>
                <w:color w:val="000000"/>
                <w:sz w:val="22"/>
                <w:szCs w:val="22"/>
              </w:rPr>
            </w:pPr>
            <w:r w:rsidRPr="00326C9B">
              <w:rPr>
                <w:b/>
                <w:bCs/>
                <w:color w:val="000000"/>
                <w:sz w:val="22"/>
                <w:szCs w:val="22"/>
              </w:rPr>
              <w:t>N</w:t>
            </w:r>
            <w:r w:rsidRPr="00326C9B">
              <w:rPr>
                <w:color w:val="000000"/>
                <w:sz w:val="22"/>
                <w:szCs w:val="22"/>
              </w:rPr>
              <w:t xml:space="preserve"> </w:t>
            </w:r>
          </w:p>
        </w:tc>
        <w:tc>
          <w:tcPr>
            <w:tcW w:w="1120"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1"/>
              <w:rPr>
                <w:b/>
                <w:bCs/>
                <w:color w:val="000000"/>
                <w:sz w:val="22"/>
                <w:szCs w:val="22"/>
              </w:rPr>
            </w:pPr>
            <w:r w:rsidRPr="00326C9B">
              <w:rPr>
                <w:b/>
                <w:bCs/>
                <w:color w:val="000000"/>
                <w:sz w:val="22"/>
                <w:szCs w:val="22"/>
              </w:rPr>
              <w:t xml:space="preserve">Tilsyneladende clearance (ml/min) </w:t>
            </w:r>
          </w:p>
          <w:p w:rsidR="000E295E" w:rsidRPr="00326C9B" w:rsidRDefault="000E295E" w:rsidP="00326C9B">
            <w:pPr>
              <w:ind w:left="111"/>
              <w:rPr>
                <w:color w:val="000000"/>
                <w:sz w:val="22"/>
                <w:szCs w:val="22"/>
              </w:rPr>
            </w:pPr>
            <w:r w:rsidRPr="00326C9B">
              <w:rPr>
                <w:b/>
                <w:bCs/>
                <w:color w:val="000000"/>
                <w:sz w:val="22"/>
                <w:szCs w:val="22"/>
              </w:rPr>
              <w:t xml:space="preserve">Gennemsnit </w:t>
            </w:r>
            <w:r w:rsidRPr="00326C9B">
              <w:rPr>
                <w:color w:val="000000"/>
                <w:sz w:val="22"/>
                <w:szCs w:val="22"/>
              </w:rPr>
              <w:t xml:space="preserve">± </w:t>
            </w:r>
            <w:r w:rsidRPr="00326C9B">
              <w:rPr>
                <w:b/>
                <w:bCs/>
                <w:color w:val="000000"/>
                <w:sz w:val="22"/>
                <w:szCs w:val="22"/>
              </w:rPr>
              <w:t xml:space="preserve">SD </w:t>
            </w:r>
          </w:p>
        </w:tc>
        <w:tc>
          <w:tcPr>
            <w:tcW w:w="1120"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B82879">
            <w:pPr>
              <w:ind w:left="110"/>
              <w:rPr>
                <w:color w:val="000000"/>
                <w:sz w:val="22"/>
                <w:szCs w:val="22"/>
              </w:rPr>
            </w:pPr>
            <w:r w:rsidRPr="00326C9B">
              <w:rPr>
                <w:b/>
                <w:bCs/>
                <w:color w:val="000000"/>
                <w:sz w:val="22"/>
                <w:szCs w:val="22"/>
              </w:rPr>
              <w:t xml:space="preserve">AUClast (μg∙t/ml) Middel ± </w:t>
            </w:r>
            <w:r w:rsidRPr="00326C9B">
              <w:rPr>
                <w:b/>
                <w:color w:val="000000"/>
                <w:sz w:val="22"/>
                <w:szCs w:val="22"/>
              </w:rPr>
              <w:t>SD</w:t>
            </w:r>
          </w:p>
        </w:tc>
        <w:tc>
          <w:tcPr>
            <w:tcW w:w="1238"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0E295E" w:rsidRPr="00326C9B" w:rsidRDefault="000E295E" w:rsidP="00B82879">
            <w:pPr>
              <w:ind w:left="110"/>
              <w:rPr>
                <w:b/>
                <w:bCs/>
                <w:color w:val="000000"/>
                <w:sz w:val="22"/>
                <w:szCs w:val="22"/>
              </w:rPr>
            </w:pPr>
            <w:r w:rsidRPr="00326C9B">
              <w:rPr>
                <w:b/>
                <w:bCs/>
                <w:color w:val="000000"/>
                <w:sz w:val="22"/>
                <w:szCs w:val="22"/>
              </w:rPr>
              <w:t xml:space="preserve">Halveringstid (timer) </w:t>
            </w:r>
          </w:p>
          <w:p w:rsidR="000E295E" w:rsidRPr="00326C9B" w:rsidRDefault="000E295E" w:rsidP="00B82879">
            <w:pPr>
              <w:ind w:left="110"/>
              <w:rPr>
                <w:color w:val="000000"/>
                <w:sz w:val="22"/>
                <w:szCs w:val="22"/>
              </w:rPr>
            </w:pPr>
            <w:r w:rsidRPr="00326C9B">
              <w:rPr>
                <w:b/>
                <w:bCs/>
                <w:color w:val="000000"/>
                <w:sz w:val="22"/>
                <w:szCs w:val="22"/>
              </w:rPr>
              <w:t xml:space="preserve">Gennemsnit </w:t>
            </w:r>
            <w:r w:rsidRPr="00326C9B">
              <w:rPr>
                <w:color w:val="000000"/>
                <w:sz w:val="22"/>
                <w:szCs w:val="22"/>
              </w:rPr>
              <w:t xml:space="preserve">± </w:t>
            </w:r>
            <w:r w:rsidRPr="00326C9B">
              <w:rPr>
                <w:b/>
                <w:bCs/>
                <w:color w:val="000000"/>
                <w:sz w:val="22"/>
                <w:szCs w:val="22"/>
              </w:rPr>
              <w:t>SD</w:t>
            </w:r>
          </w:p>
        </w:tc>
      </w:tr>
      <w:tr w:rsidR="00B82879" w:rsidRPr="00326C9B" w:rsidTr="00B82879">
        <w:tc>
          <w:tcPr>
            <w:tcW w:w="1122"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2"/>
              <w:rPr>
                <w:color w:val="000000"/>
                <w:sz w:val="22"/>
                <w:szCs w:val="22"/>
              </w:rPr>
            </w:pPr>
            <w:r w:rsidRPr="00326C9B">
              <w:rPr>
                <w:color w:val="000000"/>
                <w:sz w:val="22"/>
                <w:szCs w:val="22"/>
              </w:rPr>
              <w:t xml:space="preserve">51-70 </w:t>
            </w:r>
          </w:p>
        </w:tc>
        <w:tc>
          <w:tcPr>
            <w:tcW w:w="40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1"/>
              <w:rPr>
                <w:color w:val="000000"/>
                <w:sz w:val="22"/>
                <w:szCs w:val="22"/>
              </w:rPr>
            </w:pPr>
            <w:r w:rsidRPr="00326C9B">
              <w:rPr>
                <w:color w:val="000000"/>
                <w:sz w:val="22"/>
                <w:szCs w:val="22"/>
              </w:rPr>
              <w:t xml:space="preserve">6 </w:t>
            </w:r>
          </w:p>
        </w:tc>
        <w:tc>
          <w:tcPr>
            <w:tcW w:w="1120"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1"/>
              <w:rPr>
                <w:color w:val="000000"/>
                <w:sz w:val="22"/>
                <w:szCs w:val="22"/>
              </w:rPr>
            </w:pPr>
            <w:r w:rsidRPr="00326C9B">
              <w:rPr>
                <w:color w:val="000000"/>
                <w:sz w:val="22"/>
                <w:szCs w:val="22"/>
              </w:rPr>
              <w:t xml:space="preserve">249  ± 99 </w:t>
            </w:r>
          </w:p>
        </w:tc>
        <w:tc>
          <w:tcPr>
            <w:tcW w:w="1120"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B82879">
            <w:pPr>
              <w:ind w:left="110"/>
              <w:rPr>
                <w:color w:val="000000"/>
                <w:sz w:val="22"/>
                <w:szCs w:val="22"/>
              </w:rPr>
            </w:pPr>
            <w:r w:rsidRPr="00326C9B">
              <w:rPr>
                <w:color w:val="000000"/>
                <w:sz w:val="22"/>
                <w:szCs w:val="22"/>
              </w:rPr>
              <w:t xml:space="preserve">49,5  ± 22,4 </w:t>
            </w:r>
          </w:p>
        </w:tc>
        <w:tc>
          <w:tcPr>
            <w:tcW w:w="1238"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0E295E" w:rsidRPr="00326C9B" w:rsidRDefault="000E295E" w:rsidP="00B82879">
            <w:pPr>
              <w:ind w:left="110"/>
              <w:rPr>
                <w:color w:val="000000"/>
                <w:sz w:val="22"/>
                <w:szCs w:val="22"/>
              </w:rPr>
            </w:pPr>
            <w:r w:rsidRPr="00326C9B">
              <w:rPr>
                <w:color w:val="000000"/>
                <w:sz w:val="22"/>
                <w:szCs w:val="22"/>
              </w:rPr>
              <w:t xml:space="preserve">4,85  ± 1,4 </w:t>
            </w:r>
          </w:p>
        </w:tc>
      </w:tr>
      <w:tr w:rsidR="00B82879" w:rsidRPr="00326C9B" w:rsidTr="00B82879">
        <w:tc>
          <w:tcPr>
            <w:tcW w:w="1122"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2"/>
              <w:rPr>
                <w:color w:val="000000"/>
                <w:sz w:val="22"/>
                <w:szCs w:val="22"/>
              </w:rPr>
            </w:pPr>
            <w:r w:rsidRPr="00326C9B">
              <w:rPr>
                <w:color w:val="000000"/>
                <w:sz w:val="22"/>
                <w:szCs w:val="22"/>
              </w:rPr>
              <w:t xml:space="preserve">21-50 </w:t>
            </w:r>
          </w:p>
        </w:tc>
        <w:tc>
          <w:tcPr>
            <w:tcW w:w="40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1"/>
              <w:rPr>
                <w:color w:val="000000"/>
                <w:sz w:val="22"/>
                <w:szCs w:val="22"/>
              </w:rPr>
            </w:pPr>
            <w:r w:rsidRPr="00326C9B">
              <w:rPr>
                <w:color w:val="000000"/>
                <w:sz w:val="22"/>
                <w:szCs w:val="22"/>
              </w:rPr>
              <w:t xml:space="preserve">6 </w:t>
            </w:r>
          </w:p>
        </w:tc>
        <w:tc>
          <w:tcPr>
            <w:tcW w:w="1120"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1"/>
              <w:rPr>
                <w:color w:val="000000"/>
                <w:sz w:val="22"/>
                <w:szCs w:val="22"/>
              </w:rPr>
            </w:pPr>
            <w:r w:rsidRPr="00326C9B">
              <w:rPr>
                <w:color w:val="000000"/>
                <w:sz w:val="22"/>
                <w:szCs w:val="22"/>
              </w:rPr>
              <w:t xml:space="preserve">136  ± 64 </w:t>
            </w:r>
          </w:p>
        </w:tc>
        <w:tc>
          <w:tcPr>
            <w:tcW w:w="1120"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B82879">
            <w:pPr>
              <w:ind w:left="110"/>
              <w:rPr>
                <w:color w:val="000000"/>
                <w:sz w:val="22"/>
                <w:szCs w:val="22"/>
              </w:rPr>
            </w:pPr>
            <w:r w:rsidRPr="00326C9B">
              <w:rPr>
                <w:color w:val="000000"/>
                <w:sz w:val="22"/>
                <w:szCs w:val="22"/>
              </w:rPr>
              <w:t xml:space="preserve">91,9  ± 43,9 </w:t>
            </w:r>
          </w:p>
        </w:tc>
        <w:tc>
          <w:tcPr>
            <w:tcW w:w="1238"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0E295E" w:rsidRPr="00326C9B" w:rsidRDefault="000E295E" w:rsidP="00B82879">
            <w:pPr>
              <w:ind w:left="110"/>
              <w:rPr>
                <w:color w:val="000000"/>
                <w:sz w:val="22"/>
                <w:szCs w:val="22"/>
              </w:rPr>
            </w:pPr>
            <w:r w:rsidRPr="00326C9B">
              <w:rPr>
                <w:color w:val="000000"/>
                <w:sz w:val="22"/>
                <w:szCs w:val="22"/>
              </w:rPr>
              <w:t xml:space="preserve">10,2  ± 4,4 </w:t>
            </w:r>
          </w:p>
        </w:tc>
      </w:tr>
      <w:tr w:rsidR="00B82879" w:rsidRPr="00326C9B" w:rsidTr="00B82879">
        <w:tc>
          <w:tcPr>
            <w:tcW w:w="1122"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2"/>
              <w:rPr>
                <w:color w:val="000000"/>
                <w:sz w:val="22"/>
                <w:szCs w:val="22"/>
              </w:rPr>
            </w:pPr>
            <w:r w:rsidRPr="00326C9B">
              <w:rPr>
                <w:color w:val="000000"/>
                <w:sz w:val="22"/>
                <w:szCs w:val="22"/>
              </w:rPr>
              <w:t xml:space="preserve">11-20 </w:t>
            </w:r>
          </w:p>
        </w:tc>
        <w:tc>
          <w:tcPr>
            <w:tcW w:w="40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1"/>
              <w:rPr>
                <w:color w:val="000000"/>
                <w:sz w:val="22"/>
                <w:szCs w:val="22"/>
              </w:rPr>
            </w:pPr>
            <w:r w:rsidRPr="00326C9B">
              <w:rPr>
                <w:color w:val="000000"/>
                <w:sz w:val="22"/>
                <w:szCs w:val="22"/>
              </w:rPr>
              <w:t xml:space="preserve">6 </w:t>
            </w:r>
          </w:p>
        </w:tc>
        <w:tc>
          <w:tcPr>
            <w:tcW w:w="1120"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1"/>
              <w:rPr>
                <w:color w:val="000000"/>
                <w:sz w:val="22"/>
                <w:szCs w:val="22"/>
              </w:rPr>
            </w:pPr>
            <w:r w:rsidRPr="00326C9B">
              <w:rPr>
                <w:color w:val="000000"/>
                <w:sz w:val="22"/>
                <w:szCs w:val="22"/>
              </w:rPr>
              <w:t xml:space="preserve">45  ± 11 </w:t>
            </w:r>
          </w:p>
        </w:tc>
        <w:tc>
          <w:tcPr>
            <w:tcW w:w="1120"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B82879">
            <w:pPr>
              <w:ind w:left="110"/>
              <w:rPr>
                <w:color w:val="000000"/>
                <w:sz w:val="22"/>
                <w:szCs w:val="22"/>
              </w:rPr>
            </w:pPr>
            <w:r w:rsidRPr="00326C9B">
              <w:rPr>
                <w:color w:val="000000"/>
                <w:sz w:val="22"/>
                <w:szCs w:val="22"/>
              </w:rPr>
              <w:t xml:space="preserve">223  ± 46 </w:t>
            </w:r>
          </w:p>
        </w:tc>
        <w:tc>
          <w:tcPr>
            <w:tcW w:w="1238"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0E295E" w:rsidRPr="00326C9B" w:rsidRDefault="000E295E" w:rsidP="00B82879">
            <w:pPr>
              <w:ind w:left="110"/>
              <w:rPr>
                <w:color w:val="000000"/>
                <w:sz w:val="22"/>
                <w:szCs w:val="22"/>
              </w:rPr>
            </w:pPr>
            <w:r w:rsidRPr="00326C9B">
              <w:rPr>
                <w:color w:val="000000"/>
                <w:sz w:val="22"/>
                <w:szCs w:val="22"/>
              </w:rPr>
              <w:t xml:space="preserve">21,8  ± 5,2 </w:t>
            </w:r>
          </w:p>
        </w:tc>
      </w:tr>
      <w:tr w:rsidR="00B82879" w:rsidRPr="00326C9B" w:rsidTr="00B82879">
        <w:tc>
          <w:tcPr>
            <w:tcW w:w="1122" w:type="pct"/>
            <w:tcBorders>
              <w:top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2"/>
              <w:rPr>
                <w:color w:val="000000"/>
                <w:sz w:val="22"/>
                <w:szCs w:val="22"/>
              </w:rPr>
            </w:pPr>
            <w:r w:rsidRPr="00326C9B">
              <w:rPr>
                <w:color w:val="000000"/>
                <w:sz w:val="22"/>
                <w:szCs w:val="22"/>
              </w:rPr>
              <w:t xml:space="preserve">≤ 10 </w:t>
            </w:r>
          </w:p>
        </w:tc>
        <w:tc>
          <w:tcPr>
            <w:tcW w:w="401"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1"/>
              <w:rPr>
                <w:color w:val="000000"/>
                <w:sz w:val="22"/>
                <w:szCs w:val="22"/>
              </w:rPr>
            </w:pPr>
            <w:r w:rsidRPr="00326C9B">
              <w:rPr>
                <w:color w:val="000000"/>
                <w:sz w:val="22"/>
                <w:szCs w:val="22"/>
              </w:rPr>
              <w:t xml:space="preserve">6 </w:t>
            </w:r>
          </w:p>
        </w:tc>
        <w:tc>
          <w:tcPr>
            <w:tcW w:w="1120"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326C9B">
            <w:pPr>
              <w:ind w:left="111"/>
              <w:rPr>
                <w:color w:val="000000"/>
                <w:sz w:val="22"/>
                <w:szCs w:val="22"/>
              </w:rPr>
            </w:pPr>
            <w:r w:rsidRPr="00326C9B">
              <w:rPr>
                <w:color w:val="000000"/>
                <w:sz w:val="22"/>
                <w:szCs w:val="22"/>
              </w:rPr>
              <w:t xml:space="preserve">12,8  ± 8 </w:t>
            </w:r>
          </w:p>
        </w:tc>
        <w:tc>
          <w:tcPr>
            <w:tcW w:w="1120" w:type="pct"/>
            <w:tcBorders>
              <w:top w:val="outset" w:sz="6" w:space="0" w:color="7B7B7B"/>
              <w:left w:val="outset" w:sz="6" w:space="0" w:color="7B7B7B"/>
              <w:bottom w:val="outset" w:sz="6" w:space="0" w:color="7B7B7B"/>
              <w:right w:val="outset" w:sz="6" w:space="0" w:color="7B7B7B"/>
            </w:tcBorders>
            <w:tcMar>
              <w:top w:w="30" w:type="dxa"/>
              <w:left w:w="30" w:type="dxa"/>
              <w:bottom w:w="30" w:type="dxa"/>
              <w:right w:w="30" w:type="dxa"/>
            </w:tcMar>
            <w:hideMark/>
          </w:tcPr>
          <w:p w:rsidR="000E295E" w:rsidRPr="00326C9B" w:rsidRDefault="000E295E" w:rsidP="00B82879">
            <w:pPr>
              <w:ind w:left="110"/>
              <w:rPr>
                <w:color w:val="000000"/>
                <w:sz w:val="22"/>
                <w:szCs w:val="22"/>
              </w:rPr>
            </w:pPr>
            <w:r w:rsidRPr="00326C9B">
              <w:rPr>
                <w:color w:val="000000"/>
                <w:sz w:val="22"/>
                <w:szCs w:val="22"/>
              </w:rPr>
              <w:t xml:space="preserve">366  ± 66 </w:t>
            </w:r>
          </w:p>
        </w:tc>
        <w:tc>
          <w:tcPr>
            <w:tcW w:w="1238" w:type="pct"/>
            <w:tcBorders>
              <w:top w:val="outset" w:sz="6" w:space="0" w:color="7B7B7B"/>
              <w:left w:val="outset" w:sz="6" w:space="0" w:color="7B7B7B"/>
              <w:bottom w:val="outset" w:sz="6" w:space="0" w:color="7B7B7B"/>
            </w:tcBorders>
            <w:tcMar>
              <w:top w:w="30" w:type="dxa"/>
              <w:left w:w="30" w:type="dxa"/>
              <w:bottom w:w="30" w:type="dxa"/>
              <w:right w:w="30" w:type="dxa"/>
            </w:tcMar>
            <w:hideMark/>
          </w:tcPr>
          <w:p w:rsidR="000E295E" w:rsidRPr="00326C9B" w:rsidRDefault="000E295E" w:rsidP="00B82879">
            <w:pPr>
              <w:ind w:left="110"/>
              <w:rPr>
                <w:color w:val="000000"/>
                <w:sz w:val="22"/>
                <w:szCs w:val="22"/>
              </w:rPr>
            </w:pPr>
            <w:r w:rsidRPr="00326C9B">
              <w:rPr>
                <w:color w:val="000000"/>
                <w:sz w:val="22"/>
                <w:szCs w:val="22"/>
              </w:rPr>
              <w:t xml:space="preserve">67,5  ± 34 </w:t>
            </w:r>
          </w:p>
        </w:tc>
      </w:tr>
    </w:tbl>
    <w:p w:rsidR="000E295E" w:rsidRPr="000E295E" w:rsidRDefault="000E295E" w:rsidP="000E295E">
      <w:pPr>
        <w:shd w:val="clear" w:color="auto" w:fill="FFFFFF"/>
        <w:tabs>
          <w:tab w:val="left" w:pos="851"/>
        </w:tabs>
        <w:ind w:left="851"/>
        <w:rPr>
          <w:iCs/>
          <w:color w:val="000000"/>
          <w:sz w:val="24"/>
          <w:szCs w:val="24"/>
          <w:lang w:val="en" w:eastAsia="el-GR"/>
        </w:rPr>
      </w:pPr>
    </w:p>
    <w:p w:rsidR="000E295E" w:rsidRPr="000E295E" w:rsidRDefault="000E295E" w:rsidP="000E295E">
      <w:pPr>
        <w:shd w:val="clear" w:color="auto" w:fill="FFFFFF"/>
        <w:tabs>
          <w:tab w:val="left" w:pos="851"/>
        </w:tabs>
        <w:ind w:left="851"/>
        <w:rPr>
          <w:iCs/>
          <w:color w:val="000000"/>
          <w:sz w:val="24"/>
          <w:szCs w:val="24"/>
        </w:rPr>
      </w:pPr>
      <w:r w:rsidRPr="000E295E">
        <w:rPr>
          <w:iCs/>
          <w:color w:val="000000"/>
          <w:sz w:val="24"/>
          <w:szCs w:val="24"/>
        </w:rPr>
        <w:t>Aftagende nyrefunktion resulterede i nedsat clearance af ganciclovir efter administration af valganciclovir med en tilsvarende øgning af den terminale halveringstid. Det er derfor nødvendigt at justere dosis hos patienter med nedsat nyrefunktion (se pkt. 4.2 og 4.4).</w:t>
      </w:r>
    </w:p>
    <w:p w:rsidR="000E295E" w:rsidRPr="000E295E" w:rsidRDefault="000E295E" w:rsidP="000E295E">
      <w:pPr>
        <w:shd w:val="clear" w:color="auto" w:fill="FFFFFF"/>
        <w:tabs>
          <w:tab w:val="left" w:pos="851"/>
        </w:tabs>
        <w:ind w:left="851"/>
        <w:rPr>
          <w:i/>
          <w:iCs/>
          <w:color w:val="000000"/>
          <w:sz w:val="24"/>
          <w:szCs w:val="24"/>
          <w:lang w:eastAsia="el-GR"/>
        </w:rPr>
      </w:pPr>
    </w:p>
    <w:p w:rsidR="000E295E" w:rsidRPr="000E295E" w:rsidRDefault="000E295E" w:rsidP="000E295E">
      <w:pPr>
        <w:shd w:val="clear" w:color="auto" w:fill="FFFFFF"/>
        <w:tabs>
          <w:tab w:val="left" w:pos="851"/>
        </w:tabs>
        <w:ind w:left="851"/>
        <w:rPr>
          <w:color w:val="000000"/>
          <w:sz w:val="24"/>
          <w:szCs w:val="24"/>
        </w:rPr>
      </w:pPr>
      <w:r w:rsidRPr="000E295E">
        <w:rPr>
          <w:i/>
          <w:iCs/>
          <w:color w:val="000000"/>
          <w:sz w:val="24"/>
          <w:szCs w:val="24"/>
        </w:rPr>
        <w:t>Patienter i hæmodialyse</w:t>
      </w:r>
    </w:p>
    <w:p w:rsidR="000E295E" w:rsidRPr="000E295E" w:rsidRDefault="000E295E" w:rsidP="000E295E">
      <w:pPr>
        <w:shd w:val="clear" w:color="auto" w:fill="FFFFFF"/>
        <w:tabs>
          <w:tab w:val="left" w:pos="851"/>
        </w:tabs>
        <w:ind w:left="851"/>
        <w:rPr>
          <w:color w:val="000000"/>
          <w:sz w:val="24"/>
          <w:szCs w:val="24"/>
        </w:rPr>
      </w:pPr>
      <w:r w:rsidRPr="000E295E">
        <w:rPr>
          <w:sz w:val="24"/>
          <w:szCs w:val="24"/>
        </w:rPr>
        <w:t>Der kan ikke gives dosisrekommendationer for valganciclovir 450 mg filmovertrukne tabletter til patienter, som får hæmodialyse.</w:t>
      </w:r>
      <w:r w:rsidRPr="000E295E">
        <w:rPr>
          <w:color w:val="000000"/>
          <w:sz w:val="24"/>
          <w:szCs w:val="24"/>
        </w:rPr>
        <w:t xml:space="preserve"> </w:t>
      </w:r>
      <w:r w:rsidRPr="000E295E">
        <w:rPr>
          <w:sz w:val="24"/>
          <w:szCs w:val="24"/>
        </w:rPr>
        <w:t>Det skyldes, at den individuelle valganciclovir-dosis, som kræves til disse patienter, er mindre, end hvad der indeholdes i en 450 mg tablet.</w:t>
      </w:r>
      <w:r w:rsidRPr="000E295E">
        <w:rPr>
          <w:color w:val="000000"/>
          <w:sz w:val="24"/>
          <w:szCs w:val="24"/>
        </w:rPr>
        <w:t xml:space="preserve"> </w:t>
      </w:r>
      <w:r w:rsidRPr="000E295E">
        <w:rPr>
          <w:sz w:val="24"/>
          <w:szCs w:val="24"/>
        </w:rPr>
        <w:t>Valganciclovir "Medical Valley" filmovertrukne tabletter bør derfor ikke anvendes til disse patienter (se pkt. 4.2 og 4.4).</w:t>
      </w:r>
      <w:r w:rsidRPr="000E295E">
        <w:rPr>
          <w:color w:val="000000"/>
          <w:sz w:val="24"/>
          <w:szCs w:val="24"/>
        </w:rPr>
        <w:t xml:space="preserve"> </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i/>
          <w:color w:val="000000"/>
          <w:sz w:val="24"/>
          <w:szCs w:val="24"/>
        </w:rPr>
      </w:pPr>
      <w:r w:rsidRPr="000E295E">
        <w:rPr>
          <w:i/>
          <w:color w:val="000000"/>
          <w:sz w:val="24"/>
          <w:szCs w:val="24"/>
        </w:rPr>
        <w:t>Stabile levertransplanterede patienter</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 xml:space="preserve">Ganciclovirs farmakokinetik efter administration af valganciclovir hos stabile levertransplanterede patienter er blevet undersøgt i et firedelt overkrydsningsstudie med åben behandling (N = 28). Biotilgængeligheden af ganciclovir efter administration af en </w:t>
      </w:r>
      <w:r w:rsidRPr="000E295E">
        <w:rPr>
          <w:color w:val="000000"/>
          <w:sz w:val="24"/>
          <w:szCs w:val="24"/>
        </w:rPr>
        <w:lastRenderedPageBreak/>
        <w:t>enkeltdosis valganciclovir på 900 mg efter fødeindtagelse var cirka 60 %. Ganciclovirs AUC</w:t>
      </w:r>
      <w:r w:rsidRPr="000E295E">
        <w:rPr>
          <w:color w:val="000000"/>
          <w:sz w:val="24"/>
          <w:szCs w:val="24"/>
          <w:vertAlign w:val="subscript"/>
        </w:rPr>
        <w:t xml:space="preserve">0-24t </w:t>
      </w:r>
      <w:r w:rsidRPr="000E295E">
        <w:rPr>
          <w:color w:val="000000"/>
          <w:sz w:val="24"/>
          <w:szCs w:val="24"/>
        </w:rPr>
        <w:t>var sammenligneligt med det, der blev opnået med 5 mg/kg intravenøs ganciclovir hos levertransplanterede patienter.</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i/>
          <w:color w:val="000000"/>
          <w:sz w:val="24"/>
          <w:szCs w:val="24"/>
        </w:rPr>
      </w:pPr>
      <w:r w:rsidRPr="000E295E">
        <w:rPr>
          <w:i/>
          <w:color w:val="000000"/>
          <w:sz w:val="24"/>
          <w:szCs w:val="24"/>
        </w:rPr>
        <w:t>Patienter med nedsat leverfunktion</w:t>
      </w:r>
    </w:p>
    <w:p w:rsidR="000E295E" w:rsidRPr="000E295E" w:rsidRDefault="000E295E" w:rsidP="000E295E">
      <w:pPr>
        <w:shd w:val="clear" w:color="auto" w:fill="FFFFFF"/>
        <w:tabs>
          <w:tab w:val="left" w:pos="851"/>
        </w:tabs>
        <w:ind w:left="851"/>
        <w:rPr>
          <w:color w:val="000000"/>
          <w:sz w:val="24"/>
          <w:szCs w:val="24"/>
        </w:rPr>
      </w:pPr>
      <w:r w:rsidRPr="000E295E">
        <w:rPr>
          <w:color w:val="000000"/>
          <w:sz w:val="24"/>
          <w:szCs w:val="24"/>
        </w:rPr>
        <w:t>Sikkerheden og virkningen af valganciclovir filmovertrukne tabletter er ikke blevet undersøgt hos patienter med leverinsufficiens. Leverinsufficiens burde ikke påvirke ganciclovirs farmakokinetik, da det udskilles gennem nyrerne, og der foreligger derfor ikke specielle dosisrekommendationer.</w:t>
      </w:r>
    </w:p>
    <w:p w:rsidR="000E295E" w:rsidRPr="000E295E" w:rsidRDefault="000E295E" w:rsidP="000E295E">
      <w:pPr>
        <w:shd w:val="clear" w:color="auto" w:fill="FFFFFF"/>
        <w:tabs>
          <w:tab w:val="left" w:pos="851"/>
        </w:tabs>
        <w:ind w:left="851"/>
        <w:rPr>
          <w:color w:val="000000"/>
          <w:sz w:val="24"/>
          <w:szCs w:val="24"/>
          <w:lang w:eastAsia="el-GR"/>
        </w:rPr>
      </w:pPr>
    </w:p>
    <w:p w:rsidR="000E295E" w:rsidRPr="000E295E" w:rsidRDefault="000E295E" w:rsidP="000E295E">
      <w:pPr>
        <w:shd w:val="clear" w:color="auto" w:fill="FFFFFF"/>
        <w:tabs>
          <w:tab w:val="left" w:pos="851"/>
        </w:tabs>
        <w:ind w:left="851"/>
        <w:rPr>
          <w:i/>
          <w:color w:val="000000"/>
          <w:sz w:val="24"/>
          <w:szCs w:val="24"/>
        </w:rPr>
      </w:pPr>
      <w:r w:rsidRPr="000E295E">
        <w:rPr>
          <w:i/>
          <w:color w:val="000000"/>
          <w:sz w:val="24"/>
          <w:szCs w:val="24"/>
        </w:rPr>
        <w:t>Patienter med cystisk fibrose</w:t>
      </w:r>
    </w:p>
    <w:p w:rsidR="009260DE" w:rsidRPr="00B82879" w:rsidRDefault="000E295E" w:rsidP="00B82879">
      <w:pPr>
        <w:shd w:val="clear" w:color="auto" w:fill="FFFFFF"/>
        <w:tabs>
          <w:tab w:val="left" w:pos="851"/>
        </w:tabs>
        <w:ind w:left="851"/>
        <w:rPr>
          <w:color w:val="000000"/>
          <w:sz w:val="24"/>
          <w:szCs w:val="24"/>
        </w:rPr>
      </w:pPr>
      <w:r w:rsidRPr="000E295E">
        <w:rPr>
          <w:color w:val="000000"/>
          <w:sz w:val="24"/>
          <w:szCs w:val="24"/>
        </w:rPr>
        <w:t>I et farmakokinetisk fase I-studie hos lungetransplanterede patienter med eller uden cystisk fibrose (CF) modtog 31 patienter (16 CF/15 non-CF) post-transplantationsprofylakse med 900 mg/dag valganciclovir. Studiet viste, at cystisk fibrose ikke havde statistisk signifikant indflydelse på den samlede gennemsnitlige systemiske eksponering for ganciclovir hos lungetransplanterede patienter. Ganciclovir-eksponeringen hos lungetransplanterede patienter var sammenlignelig med den eksponering, der er påvist at være effektiv til forebyggelse af CMV-sygdom hos modtagere af andre organtransplantater.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0E295E" w:rsidRPr="000E295E" w:rsidRDefault="000E295E" w:rsidP="000E295E">
      <w:pPr>
        <w:tabs>
          <w:tab w:val="left" w:pos="851"/>
        </w:tabs>
        <w:ind w:left="851"/>
        <w:rPr>
          <w:sz w:val="24"/>
          <w:szCs w:val="24"/>
        </w:rPr>
      </w:pPr>
      <w:r w:rsidRPr="000E295E">
        <w:rPr>
          <w:sz w:val="24"/>
          <w:szCs w:val="24"/>
        </w:rPr>
        <w:t>Valganciclovir er en prodrug til ganciclovir, og derfor kan de virkninger, der ses med ganciclovir, også forventes med valganciclovir. I prækliniske studier havde valganciclovir den samme toksicitet som den, der er set med ganciclovir, og den opstod ved eksponeringsniveauer for ganciclovir, der var sammenlignelige med eller lavere end niveauerne hos mennesker, der får induktionsdosen.</w:t>
      </w:r>
    </w:p>
    <w:p w:rsidR="000E295E" w:rsidRPr="000E295E" w:rsidRDefault="000E295E" w:rsidP="000E295E">
      <w:pPr>
        <w:tabs>
          <w:tab w:val="left" w:pos="851"/>
        </w:tabs>
        <w:ind w:left="851"/>
        <w:rPr>
          <w:sz w:val="24"/>
          <w:szCs w:val="24"/>
        </w:rPr>
      </w:pPr>
    </w:p>
    <w:p w:rsidR="000E295E" w:rsidRPr="000E295E" w:rsidRDefault="000E295E" w:rsidP="000E295E">
      <w:pPr>
        <w:tabs>
          <w:tab w:val="left" w:pos="851"/>
        </w:tabs>
        <w:ind w:left="851"/>
        <w:rPr>
          <w:sz w:val="24"/>
          <w:szCs w:val="24"/>
        </w:rPr>
      </w:pPr>
      <w:r w:rsidRPr="000E295E">
        <w:rPr>
          <w:sz w:val="24"/>
          <w:szCs w:val="24"/>
        </w:rPr>
        <w:t>Disse fund omfattede gonadetoksicitet (testikulært celletab) og nefrotoksicitet (uræmi, celledegeneration), som var irreversible, og myelotoksicitet (anæmi, neutropeni, lymfocytopeni) og gastrointestinal toksicitet (slimhindecellenekrose), som var reversible.</w:t>
      </w:r>
    </w:p>
    <w:p w:rsidR="000E295E" w:rsidRPr="000E295E" w:rsidRDefault="000E295E" w:rsidP="000E295E">
      <w:pPr>
        <w:tabs>
          <w:tab w:val="left" w:pos="851"/>
        </w:tabs>
        <w:ind w:left="851"/>
        <w:rPr>
          <w:sz w:val="24"/>
          <w:szCs w:val="24"/>
        </w:rPr>
      </w:pPr>
    </w:p>
    <w:p w:rsidR="000E295E" w:rsidRPr="000E295E" w:rsidRDefault="000E295E" w:rsidP="000E295E">
      <w:pPr>
        <w:tabs>
          <w:tab w:val="left" w:pos="851"/>
        </w:tabs>
        <w:ind w:left="851"/>
        <w:rPr>
          <w:sz w:val="24"/>
          <w:szCs w:val="24"/>
        </w:rPr>
      </w:pPr>
      <w:r w:rsidRPr="000E295E">
        <w:rPr>
          <w:sz w:val="24"/>
          <w:szCs w:val="24"/>
        </w:rPr>
        <w:t>Ganciclovir var mutagent i muselymfomceller og klastogent i pattedyrceller. Disse resultater er overensstemmende med det positive musekarcinogenicitetsstudie med ganciclovir. Ganciclovir er potentielt karcinogent.</w:t>
      </w:r>
    </w:p>
    <w:p w:rsidR="000E295E" w:rsidRPr="000E295E" w:rsidRDefault="000E295E" w:rsidP="000E295E">
      <w:pPr>
        <w:tabs>
          <w:tab w:val="left" w:pos="851"/>
        </w:tabs>
        <w:ind w:left="851"/>
        <w:rPr>
          <w:sz w:val="24"/>
          <w:szCs w:val="24"/>
        </w:rPr>
      </w:pPr>
    </w:p>
    <w:p w:rsidR="000E295E" w:rsidRPr="000E295E" w:rsidRDefault="000E295E" w:rsidP="000E295E">
      <w:pPr>
        <w:tabs>
          <w:tab w:val="left" w:pos="851"/>
        </w:tabs>
        <w:ind w:left="851"/>
        <w:rPr>
          <w:sz w:val="24"/>
          <w:szCs w:val="24"/>
        </w:rPr>
      </w:pPr>
      <w:r w:rsidRPr="000E295E">
        <w:rPr>
          <w:sz w:val="24"/>
          <w:szCs w:val="24"/>
        </w:rPr>
        <w:t>Yderligere studier har vist, at ganciclovir er teratogent, embryotoksisk, aspermatogent (dvs. svækker mandlig fertilitet), og at det undertrykker kvindelig fertilitet.</w:t>
      </w:r>
    </w:p>
    <w:p w:rsidR="000E295E" w:rsidRPr="000E295E" w:rsidRDefault="000E295E" w:rsidP="000E295E">
      <w:pPr>
        <w:tabs>
          <w:tab w:val="left" w:pos="851"/>
        </w:tabs>
        <w:ind w:left="851"/>
        <w:rPr>
          <w:sz w:val="24"/>
          <w:szCs w:val="24"/>
        </w:rPr>
      </w:pPr>
    </w:p>
    <w:p w:rsidR="009260DE" w:rsidRPr="00C84483" w:rsidRDefault="000E295E" w:rsidP="003623A6">
      <w:pPr>
        <w:tabs>
          <w:tab w:val="left" w:pos="851"/>
        </w:tabs>
        <w:ind w:left="851"/>
        <w:rPr>
          <w:sz w:val="24"/>
          <w:szCs w:val="24"/>
        </w:rPr>
      </w:pPr>
      <w:r w:rsidRPr="000E295E">
        <w:rPr>
          <w:sz w:val="24"/>
          <w:szCs w:val="24"/>
        </w:rPr>
        <w:t>Data fra dyr viser, at ganciclovir udskilles i mælken hos diegivende rotter.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61F68" w:rsidRDefault="00F61F68" w:rsidP="00D77C5E">
      <w:pPr>
        <w:tabs>
          <w:tab w:val="left" w:pos="851"/>
        </w:tabs>
        <w:ind w:left="851"/>
        <w:rPr>
          <w:sz w:val="24"/>
          <w:szCs w:val="24"/>
          <w:u w:val="single"/>
        </w:rPr>
      </w:pPr>
    </w:p>
    <w:p w:rsidR="00D77C5E" w:rsidRPr="00D77C5E" w:rsidRDefault="00D77C5E" w:rsidP="00D77C5E">
      <w:pPr>
        <w:tabs>
          <w:tab w:val="left" w:pos="851"/>
        </w:tabs>
        <w:ind w:left="851"/>
        <w:rPr>
          <w:sz w:val="24"/>
          <w:szCs w:val="24"/>
          <w:u w:val="single"/>
        </w:rPr>
      </w:pPr>
      <w:r w:rsidRPr="00D77C5E">
        <w:rPr>
          <w:sz w:val="24"/>
          <w:szCs w:val="24"/>
          <w:u w:val="single"/>
        </w:rPr>
        <w:t>Tabletkerne</w:t>
      </w:r>
    </w:p>
    <w:p w:rsidR="00D77C5E" w:rsidRPr="00D77C5E" w:rsidRDefault="00D77C5E" w:rsidP="00D77C5E">
      <w:pPr>
        <w:tabs>
          <w:tab w:val="left" w:pos="851"/>
        </w:tabs>
        <w:ind w:left="851"/>
        <w:rPr>
          <w:sz w:val="24"/>
          <w:szCs w:val="24"/>
        </w:rPr>
      </w:pPr>
      <w:r w:rsidRPr="00D77C5E">
        <w:rPr>
          <w:sz w:val="24"/>
          <w:szCs w:val="24"/>
        </w:rPr>
        <w:t xml:space="preserve">Mikrokrystallinsk cellulose </w:t>
      </w:r>
    </w:p>
    <w:p w:rsidR="00D77C5E" w:rsidRPr="00D77C5E" w:rsidRDefault="00D77C5E" w:rsidP="00D77C5E">
      <w:pPr>
        <w:tabs>
          <w:tab w:val="left" w:pos="851"/>
        </w:tabs>
        <w:ind w:left="851"/>
        <w:rPr>
          <w:sz w:val="24"/>
          <w:szCs w:val="24"/>
        </w:rPr>
      </w:pPr>
      <w:r w:rsidRPr="00D77C5E">
        <w:rPr>
          <w:sz w:val="24"/>
          <w:szCs w:val="24"/>
        </w:rPr>
        <w:t>Povidon (K 30)</w:t>
      </w:r>
    </w:p>
    <w:p w:rsidR="00D77C5E" w:rsidRPr="00D77C5E" w:rsidRDefault="00D77C5E" w:rsidP="00D77C5E">
      <w:pPr>
        <w:tabs>
          <w:tab w:val="left" w:pos="851"/>
        </w:tabs>
        <w:ind w:left="851"/>
        <w:rPr>
          <w:sz w:val="24"/>
          <w:szCs w:val="24"/>
        </w:rPr>
      </w:pPr>
      <w:r w:rsidRPr="00D77C5E">
        <w:rPr>
          <w:sz w:val="24"/>
          <w:szCs w:val="24"/>
        </w:rPr>
        <w:t xml:space="preserve">Crospovidon </w:t>
      </w:r>
    </w:p>
    <w:p w:rsidR="00D77C5E" w:rsidRPr="00D77C5E" w:rsidRDefault="00D77C5E" w:rsidP="00D77C5E">
      <w:pPr>
        <w:tabs>
          <w:tab w:val="left" w:pos="851"/>
        </w:tabs>
        <w:ind w:left="851"/>
        <w:rPr>
          <w:sz w:val="24"/>
          <w:szCs w:val="24"/>
        </w:rPr>
      </w:pPr>
      <w:r w:rsidRPr="00D77C5E">
        <w:rPr>
          <w:sz w:val="24"/>
          <w:szCs w:val="24"/>
        </w:rPr>
        <w:t xml:space="preserve">Stearinsyre </w:t>
      </w:r>
    </w:p>
    <w:p w:rsidR="00F61F68" w:rsidRDefault="00F61F68">
      <w:pPr>
        <w:rPr>
          <w:sz w:val="24"/>
          <w:szCs w:val="24"/>
        </w:rPr>
      </w:pPr>
      <w:r>
        <w:rPr>
          <w:sz w:val="24"/>
          <w:szCs w:val="24"/>
        </w:rPr>
        <w:br w:type="page"/>
      </w:r>
    </w:p>
    <w:p w:rsidR="00D77C5E" w:rsidRPr="00D77C5E" w:rsidRDefault="00D77C5E" w:rsidP="00D77C5E">
      <w:pPr>
        <w:tabs>
          <w:tab w:val="left" w:pos="851"/>
        </w:tabs>
        <w:ind w:left="851"/>
        <w:rPr>
          <w:sz w:val="24"/>
          <w:szCs w:val="24"/>
        </w:rPr>
      </w:pPr>
    </w:p>
    <w:p w:rsidR="00D77C5E" w:rsidRPr="00D77C5E" w:rsidRDefault="00D77C5E" w:rsidP="00D77C5E">
      <w:pPr>
        <w:tabs>
          <w:tab w:val="left" w:pos="851"/>
        </w:tabs>
        <w:ind w:left="851"/>
        <w:rPr>
          <w:sz w:val="24"/>
          <w:szCs w:val="24"/>
          <w:u w:val="single"/>
        </w:rPr>
      </w:pPr>
      <w:r w:rsidRPr="00D77C5E">
        <w:rPr>
          <w:sz w:val="24"/>
          <w:szCs w:val="24"/>
          <w:u w:val="single"/>
        </w:rPr>
        <w:t>Filmovertræk (lyserødt)</w:t>
      </w:r>
    </w:p>
    <w:p w:rsidR="00D77C5E" w:rsidRPr="00D77C5E" w:rsidRDefault="00D77C5E" w:rsidP="00D77C5E">
      <w:pPr>
        <w:tabs>
          <w:tab w:val="left" w:pos="851"/>
        </w:tabs>
        <w:ind w:left="851"/>
        <w:rPr>
          <w:sz w:val="24"/>
          <w:szCs w:val="24"/>
        </w:rPr>
      </w:pPr>
      <w:r w:rsidRPr="00D77C5E">
        <w:rPr>
          <w:sz w:val="24"/>
          <w:szCs w:val="24"/>
        </w:rPr>
        <w:t xml:space="preserve">Hypromellose </w:t>
      </w:r>
    </w:p>
    <w:p w:rsidR="00D77C5E" w:rsidRPr="00D77C5E" w:rsidRDefault="00D77C5E" w:rsidP="00D77C5E">
      <w:pPr>
        <w:tabs>
          <w:tab w:val="left" w:pos="851"/>
        </w:tabs>
        <w:ind w:left="851"/>
        <w:rPr>
          <w:sz w:val="24"/>
          <w:szCs w:val="24"/>
        </w:rPr>
      </w:pPr>
      <w:r w:rsidRPr="00D77C5E">
        <w:rPr>
          <w:sz w:val="24"/>
          <w:szCs w:val="24"/>
        </w:rPr>
        <w:t>Titandioxid (E171)</w:t>
      </w:r>
    </w:p>
    <w:p w:rsidR="00D77C5E" w:rsidRPr="00D77C5E" w:rsidRDefault="00D77C5E" w:rsidP="00D77C5E">
      <w:pPr>
        <w:tabs>
          <w:tab w:val="left" w:pos="851"/>
        </w:tabs>
        <w:ind w:left="851"/>
        <w:rPr>
          <w:sz w:val="24"/>
          <w:szCs w:val="24"/>
        </w:rPr>
      </w:pPr>
      <w:r w:rsidRPr="00D77C5E">
        <w:rPr>
          <w:sz w:val="24"/>
          <w:szCs w:val="24"/>
        </w:rPr>
        <w:t xml:space="preserve">Macrogol 400 </w:t>
      </w:r>
    </w:p>
    <w:p w:rsidR="00D77C5E" w:rsidRPr="00D77C5E" w:rsidRDefault="00D77C5E" w:rsidP="00D77C5E">
      <w:pPr>
        <w:tabs>
          <w:tab w:val="left" w:pos="851"/>
        </w:tabs>
        <w:ind w:left="851"/>
        <w:rPr>
          <w:sz w:val="24"/>
          <w:szCs w:val="24"/>
        </w:rPr>
      </w:pPr>
      <w:r w:rsidRPr="00D77C5E">
        <w:rPr>
          <w:sz w:val="24"/>
          <w:szCs w:val="24"/>
        </w:rPr>
        <w:t>Rød jernoxid (E172)</w:t>
      </w:r>
    </w:p>
    <w:p w:rsidR="009260DE" w:rsidRPr="00C84483" w:rsidRDefault="00D77C5E" w:rsidP="009542C6">
      <w:pPr>
        <w:tabs>
          <w:tab w:val="left" w:pos="851"/>
        </w:tabs>
        <w:ind w:left="851"/>
        <w:rPr>
          <w:sz w:val="24"/>
          <w:szCs w:val="24"/>
        </w:rPr>
      </w:pPr>
      <w:r w:rsidRPr="00D77C5E">
        <w:rPr>
          <w:sz w:val="24"/>
          <w:szCs w:val="24"/>
        </w:rPr>
        <w:t>Polysorbat 80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D77C5E" w:rsidP="009542C6">
      <w:pPr>
        <w:tabs>
          <w:tab w:val="left" w:pos="851"/>
        </w:tabs>
        <w:ind w:left="851"/>
        <w:rPr>
          <w:sz w:val="24"/>
          <w:szCs w:val="24"/>
        </w:rPr>
      </w:pPr>
      <w:r w:rsidRPr="00D77C5E">
        <w:rPr>
          <w:sz w:val="24"/>
          <w:szCs w:val="24"/>
        </w:rPr>
        <w:t>Ikke relevant</w:t>
      </w:r>
      <w:r w:rsidR="009542C6">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D77C5E" w:rsidP="009542C6">
      <w:pPr>
        <w:tabs>
          <w:tab w:val="left" w:pos="851"/>
        </w:tabs>
        <w:ind w:left="851"/>
        <w:rPr>
          <w:sz w:val="24"/>
          <w:szCs w:val="24"/>
        </w:rPr>
      </w:pPr>
      <w:r w:rsidRPr="00D77C5E">
        <w:rPr>
          <w:sz w:val="24"/>
          <w:szCs w:val="24"/>
        </w:rPr>
        <w:t>3 år</w:t>
      </w:r>
      <w:r w:rsidR="009542C6">
        <w:rPr>
          <w:sz w:val="24"/>
          <w:szCs w:val="24"/>
        </w:rPr>
        <w:t>.</w:t>
      </w:r>
      <w:r w:rsidR="009542C6" w:rsidRPr="00C84483">
        <w:rPr>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260DE" w:rsidRPr="00C84483" w:rsidRDefault="00D77C5E" w:rsidP="00A83242">
      <w:pPr>
        <w:tabs>
          <w:tab w:val="left" w:pos="851"/>
        </w:tabs>
        <w:ind w:left="851"/>
        <w:rPr>
          <w:sz w:val="24"/>
          <w:szCs w:val="24"/>
        </w:rPr>
      </w:pPr>
      <w:r w:rsidRPr="00D77C5E">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D77C5E" w:rsidRPr="00D77C5E" w:rsidRDefault="000010FB" w:rsidP="00D77C5E">
      <w:pPr>
        <w:tabs>
          <w:tab w:val="left" w:pos="851"/>
        </w:tabs>
        <w:ind w:left="851"/>
        <w:rPr>
          <w:sz w:val="24"/>
          <w:szCs w:val="24"/>
        </w:rPr>
      </w:pPr>
      <w:r>
        <w:rPr>
          <w:sz w:val="24"/>
          <w:szCs w:val="24"/>
        </w:rPr>
        <w:t>K</w:t>
      </w:r>
      <w:r w:rsidR="00D77C5E" w:rsidRPr="00D77C5E">
        <w:rPr>
          <w:sz w:val="24"/>
          <w:szCs w:val="24"/>
        </w:rPr>
        <w:t>artonæske</w:t>
      </w:r>
      <w:r>
        <w:rPr>
          <w:sz w:val="24"/>
          <w:szCs w:val="24"/>
        </w:rPr>
        <w:t xml:space="preserve"> med</w:t>
      </w:r>
      <w:r w:rsidR="00D77C5E" w:rsidRPr="00D77C5E">
        <w:rPr>
          <w:sz w:val="24"/>
          <w:szCs w:val="24"/>
        </w:rPr>
        <w:t xml:space="preserve"> en hvid, uigennemsigtig HDPE-beholder med børnesikret skruelåg af polypropylen (PP) og forseglingsindsats.</w:t>
      </w:r>
    </w:p>
    <w:p w:rsidR="000010FB" w:rsidRDefault="000010FB" w:rsidP="00D77C5E">
      <w:pPr>
        <w:tabs>
          <w:tab w:val="left" w:pos="851"/>
        </w:tabs>
        <w:ind w:left="851"/>
        <w:rPr>
          <w:sz w:val="24"/>
          <w:szCs w:val="24"/>
        </w:rPr>
      </w:pPr>
    </w:p>
    <w:p w:rsidR="000010FB" w:rsidRDefault="00D77C5E" w:rsidP="000010FB">
      <w:pPr>
        <w:tabs>
          <w:tab w:val="left" w:pos="851"/>
        </w:tabs>
        <w:ind w:left="851"/>
        <w:rPr>
          <w:sz w:val="24"/>
          <w:szCs w:val="24"/>
        </w:rPr>
      </w:pPr>
      <w:r w:rsidRPr="00D77C5E">
        <w:rPr>
          <w:sz w:val="24"/>
          <w:szCs w:val="24"/>
        </w:rPr>
        <w:t>Pakningsstørrelse</w:t>
      </w:r>
      <w:r w:rsidR="000010FB">
        <w:rPr>
          <w:sz w:val="24"/>
          <w:szCs w:val="24"/>
        </w:rPr>
        <w:t>r</w:t>
      </w:r>
      <w:r w:rsidRPr="00D77C5E">
        <w:rPr>
          <w:sz w:val="24"/>
          <w:szCs w:val="24"/>
        </w:rPr>
        <w:t>: 60 tabletter.</w:t>
      </w:r>
    </w:p>
    <w:p w:rsidR="000010FB" w:rsidRDefault="000010FB" w:rsidP="000010FB">
      <w:pPr>
        <w:tabs>
          <w:tab w:val="left" w:pos="851"/>
        </w:tabs>
        <w:ind w:left="851"/>
        <w:rPr>
          <w:sz w:val="24"/>
          <w:szCs w:val="24"/>
        </w:rPr>
      </w:pPr>
    </w:p>
    <w:p w:rsidR="000010FB" w:rsidRPr="00C84483" w:rsidRDefault="000010FB" w:rsidP="000010FB">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260DE" w:rsidRPr="00C84483" w:rsidRDefault="00D77C5E" w:rsidP="000010FB">
      <w:pPr>
        <w:tabs>
          <w:tab w:val="left" w:pos="851"/>
        </w:tabs>
        <w:ind w:left="851"/>
        <w:rPr>
          <w:sz w:val="24"/>
          <w:szCs w:val="24"/>
        </w:rPr>
      </w:pPr>
      <w:r w:rsidRPr="00D77C5E">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010FB" w:rsidRDefault="000010FB" w:rsidP="00D77C5E">
      <w:pPr>
        <w:tabs>
          <w:tab w:val="left" w:pos="851"/>
        </w:tabs>
        <w:ind w:left="851"/>
        <w:rPr>
          <w:sz w:val="24"/>
          <w:szCs w:val="24"/>
          <w:lang w:val="sv-SE"/>
        </w:rPr>
      </w:pPr>
      <w:r>
        <w:rPr>
          <w:sz w:val="24"/>
          <w:szCs w:val="24"/>
          <w:lang w:val="sv-SE"/>
        </w:rPr>
        <w:t>Medical Valley Invest AB</w:t>
      </w:r>
    </w:p>
    <w:p w:rsidR="000010FB" w:rsidRDefault="00D77C5E" w:rsidP="00D77C5E">
      <w:pPr>
        <w:tabs>
          <w:tab w:val="left" w:pos="851"/>
        </w:tabs>
        <w:ind w:left="851"/>
        <w:rPr>
          <w:sz w:val="24"/>
          <w:szCs w:val="24"/>
          <w:lang w:val="sv-SE"/>
        </w:rPr>
      </w:pPr>
      <w:r w:rsidRPr="00D77C5E">
        <w:rPr>
          <w:sz w:val="24"/>
          <w:szCs w:val="24"/>
          <w:lang w:val="sv-SE"/>
        </w:rPr>
        <w:t>Brädgårdsvägen 28</w:t>
      </w:r>
    </w:p>
    <w:p w:rsidR="000010FB" w:rsidRDefault="00D77C5E" w:rsidP="00D77C5E">
      <w:pPr>
        <w:tabs>
          <w:tab w:val="left" w:pos="851"/>
        </w:tabs>
        <w:ind w:left="851"/>
        <w:rPr>
          <w:sz w:val="24"/>
          <w:szCs w:val="24"/>
          <w:lang w:val="sv-SE"/>
        </w:rPr>
      </w:pPr>
      <w:r w:rsidRPr="00D77C5E">
        <w:rPr>
          <w:sz w:val="24"/>
          <w:szCs w:val="24"/>
          <w:lang w:val="sv-SE"/>
        </w:rPr>
        <w:t>236</w:t>
      </w:r>
      <w:r w:rsidR="000010FB">
        <w:rPr>
          <w:sz w:val="24"/>
          <w:szCs w:val="24"/>
          <w:lang w:val="sv-SE"/>
        </w:rPr>
        <w:t xml:space="preserve"> </w:t>
      </w:r>
      <w:r w:rsidRPr="00D77C5E">
        <w:rPr>
          <w:sz w:val="24"/>
          <w:szCs w:val="24"/>
          <w:lang w:val="sv-SE"/>
        </w:rPr>
        <w:t>32 Höllviken</w:t>
      </w:r>
    </w:p>
    <w:p w:rsidR="009260DE" w:rsidRPr="000010FB" w:rsidRDefault="00D77C5E" w:rsidP="000010FB">
      <w:pPr>
        <w:tabs>
          <w:tab w:val="left" w:pos="851"/>
        </w:tabs>
        <w:ind w:left="851"/>
        <w:rPr>
          <w:noProof/>
          <w:sz w:val="24"/>
          <w:szCs w:val="24"/>
          <w:lang w:val="sv-SE"/>
        </w:rPr>
      </w:pPr>
      <w:r w:rsidRPr="00D77C5E">
        <w:rPr>
          <w:sz w:val="24"/>
          <w:szCs w:val="24"/>
          <w:lang w:val="sv-SE"/>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D77C5E" w:rsidP="009260DE">
      <w:pPr>
        <w:tabs>
          <w:tab w:val="left" w:pos="851"/>
        </w:tabs>
        <w:ind w:left="851"/>
        <w:rPr>
          <w:sz w:val="24"/>
          <w:szCs w:val="24"/>
        </w:rPr>
      </w:pPr>
      <w:r>
        <w:rPr>
          <w:sz w:val="24"/>
          <w:szCs w:val="24"/>
        </w:rPr>
        <w:t>60177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4D4E95" w:rsidP="009260DE">
      <w:pPr>
        <w:tabs>
          <w:tab w:val="left" w:pos="851"/>
        </w:tabs>
        <w:ind w:left="851"/>
        <w:rPr>
          <w:sz w:val="24"/>
          <w:szCs w:val="24"/>
        </w:rPr>
      </w:pPr>
      <w:r>
        <w:rPr>
          <w:sz w:val="24"/>
          <w:szCs w:val="24"/>
        </w:rPr>
        <w:t>5. november 2018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D77C5E" w:rsidP="009260DE">
      <w:pPr>
        <w:tabs>
          <w:tab w:val="left" w:pos="851"/>
        </w:tabs>
        <w:ind w:left="851"/>
        <w:rPr>
          <w:sz w:val="24"/>
          <w:szCs w:val="24"/>
        </w:rPr>
      </w:pPr>
      <w:r>
        <w:rPr>
          <w:sz w:val="24"/>
          <w:szCs w:val="24"/>
        </w:rPr>
        <w:t>-</w:t>
      </w:r>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E95" w:rsidRDefault="004D4E95">
      <w:r>
        <w:separator/>
      </w:r>
    </w:p>
  </w:endnote>
  <w:endnote w:type="continuationSeparator" w:id="0">
    <w:p w:rsidR="004D4E95" w:rsidRDefault="004D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95" w:rsidRDefault="004D4E95">
    <w:pPr>
      <w:pStyle w:val="Sidefod"/>
      <w:pBdr>
        <w:bottom w:val="single" w:sz="6" w:space="1" w:color="auto"/>
      </w:pBdr>
    </w:pPr>
  </w:p>
  <w:p w:rsidR="004D4E95" w:rsidRDefault="004D4E95" w:rsidP="00C42586">
    <w:pPr>
      <w:pStyle w:val="Sidefod"/>
      <w:tabs>
        <w:tab w:val="clear" w:pos="4819"/>
        <w:tab w:val="left" w:pos="8505"/>
      </w:tabs>
      <w:rPr>
        <w:i/>
        <w:sz w:val="18"/>
        <w:szCs w:val="18"/>
      </w:rPr>
    </w:pPr>
  </w:p>
  <w:p w:rsidR="004D4E95" w:rsidRPr="00B373D7" w:rsidRDefault="004D4E9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Valganciclovir Medical Valley, filmovertrukne tabletter 450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C80BED">
      <w:rPr>
        <w:rStyle w:val="Sidetal"/>
        <w:i/>
        <w:noProof/>
        <w:sz w:val="18"/>
        <w:szCs w:val="18"/>
      </w:rPr>
      <w:t>21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C80BED">
      <w:rPr>
        <w:rStyle w:val="Sidetal"/>
        <w:i/>
        <w:noProof/>
        <w:sz w:val="18"/>
        <w:szCs w:val="18"/>
      </w:rPr>
      <w:t>24</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E95" w:rsidRDefault="004D4E95">
      <w:r>
        <w:separator/>
      </w:r>
    </w:p>
  </w:footnote>
  <w:footnote w:type="continuationSeparator" w:id="0">
    <w:p w:rsidR="004D4E95" w:rsidRDefault="004D4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383394"/>
    <w:multiLevelType w:val="hybridMultilevel"/>
    <w:tmpl w:val="0F127DAE"/>
    <w:lvl w:ilvl="0" w:tplc="FFFFFFFF">
      <w:start w:val="1"/>
      <w:numFmt w:val="bullet"/>
      <w:lvlText w:val="-"/>
      <w:lvlJc w:val="left"/>
      <w:pPr>
        <w:ind w:left="927" w:hanging="360"/>
      </w:pPr>
    </w:lvl>
    <w:lvl w:ilvl="1" w:tplc="04070003">
      <w:start w:val="1"/>
      <w:numFmt w:val="bullet"/>
      <w:lvlText w:val="o"/>
      <w:lvlJc w:val="left"/>
      <w:pPr>
        <w:ind w:left="1647" w:hanging="360"/>
      </w:pPr>
      <w:rPr>
        <w:rFonts w:ascii="Courier New" w:hAnsi="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hint="default"/>
      </w:rPr>
    </w:lvl>
    <w:lvl w:ilvl="8" w:tplc="04070005">
      <w:start w:val="1"/>
      <w:numFmt w:val="bullet"/>
      <w:lvlText w:val=""/>
      <w:lvlJc w:val="left"/>
      <w:pPr>
        <w:ind w:left="6687"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A0"/>
    <w:rsid w:val="000010FB"/>
    <w:rsid w:val="000023FF"/>
    <w:rsid w:val="000259B9"/>
    <w:rsid w:val="00041491"/>
    <w:rsid w:val="00050D16"/>
    <w:rsid w:val="00074F2A"/>
    <w:rsid w:val="000A1CA8"/>
    <w:rsid w:val="000A466B"/>
    <w:rsid w:val="000B058C"/>
    <w:rsid w:val="000D3859"/>
    <w:rsid w:val="000E295E"/>
    <w:rsid w:val="000E4EE6"/>
    <w:rsid w:val="0013069A"/>
    <w:rsid w:val="001454E2"/>
    <w:rsid w:val="0016238F"/>
    <w:rsid w:val="001847A1"/>
    <w:rsid w:val="001D0785"/>
    <w:rsid w:val="00206CE8"/>
    <w:rsid w:val="0021526C"/>
    <w:rsid w:val="002217A1"/>
    <w:rsid w:val="002425E0"/>
    <w:rsid w:val="00283A2B"/>
    <w:rsid w:val="002B30AD"/>
    <w:rsid w:val="002C2C01"/>
    <w:rsid w:val="002C33E5"/>
    <w:rsid w:val="002D08D4"/>
    <w:rsid w:val="00326C9B"/>
    <w:rsid w:val="003623A6"/>
    <w:rsid w:val="003A29AE"/>
    <w:rsid w:val="003A32D7"/>
    <w:rsid w:val="003B4074"/>
    <w:rsid w:val="003C2261"/>
    <w:rsid w:val="003C6C2E"/>
    <w:rsid w:val="003C769A"/>
    <w:rsid w:val="003D22CD"/>
    <w:rsid w:val="003F1838"/>
    <w:rsid w:val="0043161A"/>
    <w:rsid w:val="0045746C"/>
    <w:rsid w:val="0049104B"/>
    <w:rsid w:val="004D4E95"/>
    <w:rsid w:val="004E3B12"/>
    <w:rsid w:val="00510975"/>
    <w:rsid w:val="005302CB"/>
    <w:rsid w:val="00532310"/>
    <w:rsid w:val="00565F0F"/>
    <w:rsid w:val="00594A86"/>
    <w:rsid w:val="00596D86"/>
    <w:rsid w:val="005A714F"/>
    <w:rsid w:val="005F7BDE"/>
    <w:rsid w:val="00637F5A"/>
    <w:rsid w:val="00655699"/>
    <w:rsid w:val="006560B1"/>
    <w:rsid w:val="006756DD"/>
    <w:rsid w:val="006D2FAF"/>
    <w:rsid w:val="006D7378"/>
    <w:rsid w:val="006E1D53"/>
    <w:rsid w:val="007017D6"/>
    <w:rsid w:val="00737275"/>
    <w:rsid w:val="00740EEC"/>
    <w:rsid w:val="0078011A"/>
    <w:rsid w:val="00782AF4"/>
    <w:rsid w:val="00790EE7"/>
    <w:rsid w:val="007B2A3C"/>
    <w:rsid w:val="007B6649"/>
    <w:rsid w:val="00803B09"/>
    <w:rsid w:val="0082576E"/>
    <w:rsid w:val="008464FE"/>
    <w:rsid w:val="008C59BE"/>
    <w:rsid w:val="00907F75"/>
    <w:rsid w:val="009260DE"/>
    <w:rsid w:val="0093258A"/>
    <w:rsid w:val="009542C6"/>
    <w:rsid w:val="00986CD7"/>
    <w:rsid w:val="009A5E53"/>
    <w:rsid w:val="009C7BA3"/>
    <w:rsid w:val="009D1F5A"/>
    <w:rsid w:val="00A30647"/>
    <w:rsid w:val="00A83242"/>
    <w:rsid w:val="00AC0D43"/>
    <w:rsid w:val="00AE1F65"/>
    <w:rsid w:val="00B003BF"/>
    <w:rsid w:val="00B373D7"/>
    <w:rsid w:val="00B42034"/>
    <w:rsid w:val="00B82879"/>
    <w:rsid w:val="00BC4701"/>
    <w:rsid w:val="00C36276"/>
    <w:rsid w:val="00C42586"/>
    <w:rsid w:val="00C56E8D"/>
    <w:rsid w:val="00C60CCD"/>
    <w:rsid w:val="00C80BED"/>
    <w:rsid w:val="00C84483"/>
    <w:rsid w:val="00C95551"/>
    <w:rsid w:val="00CB20D7"/>
    <w:rsid w:val="00CC2CA0"/>
    <w:rsid w:val="00CF13B0"/>
    <w:rsid w:val="00D020B0"/>
    <w:rsid w:val="00D11748"/>
    <w:rsid w:val="00D366CF"/>
    <w:rsid w:val="00D6790E"/>
    <w:rsid w:val="00D77C5E"/>
    <w:rsid w:val="00E04CFF"/>
    <w:rsid w:val="00E108AA"/>
    <w:rsid w:val="00E1546F"/>
    <w:rsid w:val="00E3749A"/>
    <w:rsid w:val="00E7437F"/>
    <w:rsid w:val="00E865B8"/>
    <w:rsid w:val="00EA40E6"/>
    <w:rsid w:val="00EC0B9B"/>
    <w:rsid w:val="00ED5E9F"/>
    <w:rsid w:val="00F2021B"/>
    <w:rsid w:val="00F46E86"/>
    <w:rsid w:val="00F61F68"/>
    <w:rsid w:val="00F66D4F"/>
    <w:rsid w:val="00F706C3"/>
    <w:rsid w:val="00F86CE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5303ED-8BDE-42BC-B3FD-EA7F8306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81</TotalTime>
  <Pages>24</Pages>
  <Words>7649</Words>
  <Characters>49962</Characters>
  <Application>Microsoft Office Word</Application>
  <DocSecurity>0</DocSecurity>
  <Lines>416</Lines>
  <Paragraphs>114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2017100138 mt</dc:description>
  <cp:lastModifiedBy>Hanne Thy Iversen</cp:lastModifiedBy>
  <cp:revision>30</cp:revision>
  <cp:lastPrinted>2018-11-05T12:09:00Z</cp:lastPrinted>
  <dcterms:created xsi:type="dcterms:W3CDTF">2018-11-01T14:40:00Z</dcterms:created>
  <dcterms:modified xsi:type="dcterms:W3CDTF">2018-11-05T12:18:00Z</dcterms:modified>
</cp:coreProperties>
</file>