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45D" w:rsidRPr="00955972" w:rsidRDefault="00E4145D" w:rsidP="00E4145D">
      <w:r w:rsidRPr="0061377D">
        <w:rPr>
          <w:noProof/>
          <w:lang w:eastAsia="da-DK"/>
        </w:rPr>
        <w:drawing>
          <wp:inline distT="0" distB="0" distL="0" distR="0" wp14:anchorId="640E1831" wp14:editId="0BC30E49">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E4145D" w:rsidRPr="004C69FA" w:rsidRDefault="00465754" w:rsidP="00E4145D">
      <w:pPr>
        <w:pStyle w:val="Titel"/>
        <w:jc w:val="right"/>
      </w:pPr>
      <w:r>
        <w:t>30. juli 20241</w:t>
      </w:r>
    </w:p>
    <w:p w:rsidR="00E4145D" w:rsidRDefault="00E4145D" w:rsidP="00E4145D">
      <w:pPr>
        <w:pStyle w:val="Titel"/>
        <w:jc w:val="left"/>
        <w:rPr>
          <w:b w:val="0"/>
        </w:rPr>
      </w:pPr>
    </w:p>
    <w:p w:rsidR="00E4145D" w:rsidRDefault="00E4145D" w:rsidP="00E4145D">
      <w:pPr>
        <w:pStyle w:val="Titel"/>
        <w:jc w:val="left"/>
        <w:rPr>
          <w:b w:val="0"/>
        </w:rPr>
      </w:pPr>
    </w:p>
    <w:p w:rsidR="00E4145D" w:rsidRPr="00EC0B9B" w:rsidRDefault="00E4145D" w:rsidP="00E4145D">
      <w:pPr>
        <w:jc w:val="center"/>
        <w:rPr>
          <w:b/>
          <w:sz w:val="24"/>
          <w:szCs w:val="24"/>
        </w:rPr>
      </w:pPr>
      <w:r w:rsidRPr="00EC0B9B">
        <w:rPr>
          <w:b/>
          <w:sz w:val="24"/>
          <w:szCs w:val="24"/>
        </w:rPr>
        <w:t>PRODUKTRESUMÉ</w:t>
      </w:r>
    </w:p>
    <w:p w:rsidR="00E4145D" w:rsidRPr="00EC0B9B" w:rsidRDefault="00E4145D" w:rsidP="00E4145D">
      <w:pPr>
        <w:jc w:val="center"/>
        <w:rPr>
          <w:b/>
          <w:sz w:val="24"/>
          <w:szCs w:val="24"/>
        </w:rPr>
      </w:pPr>
    </w:p>
    <w:p w:rsidR="00E4145D" w:rsidRPr="00EC0B9B" w:rsidRDefault="00E4145D" w:rsidP="00E4145D">
      <w:pPr>
        <w:jc w:val="center"/>
        <w:rPr>
          <w:b/>
          <w:sz w:val="24"/>
          <w:szCs w:val="24"/>
        </w:rPr>
      </w:pPr>
      <w:r w:rsidRPr="00EC0B9B">
        <w:rPr>
          <w:b/>
          <w:sz w:val="24"/>
          <w:szCs w:val="24"/>
        </w:rPr>
        <w:t>for</w:t>
      </w:r>
    </w:p>
    <w:p w:rsidR="00E4145D" w:rsidRPr="00EC0B9B" w:rsidRDefault="00E4145D" w:rsidP="00E4145D">
      <w:pPr>
        <w:jc w:val="center"/>
        <w:rPr>
          <w:b/>
          <w:sz w:val="24"/>
          <w:szCs w:val="24"/>
        </w:rPr>
      </w:pPr>
    </w:p>
    <w:p w:rsidR="00E4145D" w:rsidRPr="0049104B" w:rsidRDefault="006E535F" w:rsidP="00E4145D">
      <w:pPr>
        <w:jc w:val="center"/>
        <w:rPr>
          <w:b/>
          <w:sz w:val="24"/>
          <w:szCs w:val="24"/>
        </w:rPr>
      </w:pPr>
      <w:proofErr w:type="spellStart"/>
      <w:r>
        <w:rPr>
          <w:b/>
          <w:sz w:val="24"/>
          <w:szCs w:val="24"/>
        </w:rPr>
        <w:t>Valsartan</w:t>
      </w:r>
      <w:proofErr w:type="spellEnd"/>
      <w:r>
        <w:rPr>
          <w:b/>
          <w:sz w:val="24"/>
          <w:szCs w:val="24"/>
        </w:rPr>
        <w:t xml:space="preserve"> ”Nordic Prime”</w:t>
      </w:r>
      <w:r w:rsidR="00E4145D">
        <w:rPr>
          <w:b/>
          <w:sz w:val="24"/>
          <w:szCs w:val="24"/>
        </w:rPr>
        <w:t>, filmovertrukne tabletter 80 mg og 160 mg</w:t>
      </w:r>
      <w:r w:rsidR="004F3DAB">
        <w:rPr>
          <w:b/>
          <w:sz w:val="24"/>
          <w:szCs w:val="24"/>
        </w:rPr>
        <w:t xml:space="preserve"> (</w:t>
      </w:r>
      <w:r>
        <w:rPr>
          <w:b/>
          <w:sz w:val="24"/>
          <w:szCs w:val="24"/>
        </w:rPr>
        <w:t>Nordic Prime</w:t>
      </w:r>
      <w:r w:rsidR="004F3DAB">
        <w:rPr>
          <w:b/>
          <w:sz w:val="24"/>
          <w:szCs w:val="24"/>
        </w:rPr>
        <w:t>)</w:t>
      </w:r>
    </w:p>
    <w:p w:rsidR="00E4145D" w:rsidRPr="00EC0B9B" w:rsidRDefault="00E4145D" w:rsidP="00E4145D">
      <w:pPr>
        <w:jc w:val="both"/>
        <w:rPr>
          <w:sz w:val="24"/>
          <w:szCs w:val="24"/>
        </w:rPr>
      </w:pPr>
    </w:p>
    <w:p w:rsidR="00E4145D" w:rsidRPr="00A3700E" w:rsidRDefault="00E4145D" w:rsidP="00E4145D">
      <w:pPr>
        <w:ind w:left="851" w:hanging="851"/>
        <w:jc w:val="both"/>
        <w:rPr>
          <w:sz w:val="24"/>
          <w:szCs w:val="24"/>
        </w:rPr>
      </w:pPr>
    </w:p>
    <w:p w:rsidR="00E4145D" w:rsidRPr="00A3700E" w:rsidRDefault="00E4145D" w:rsidP="00E4145D">
      <w:pPr>
        <w:numPr>
          <w:ilvl w:val="0"/>
          <w:numId w:val="1"/>
        </w:numPr>
        <w:tabs>
          <w:tab w:val="clear" w:pos="855"/>
          <w:tab w:val="left" w:pos="851"/>
        </w:tabs>
        <w:ind w:left="851" w:hanging="851"/>
        <w:rPr>
          <w:b/>
          <w:sz w:val="24"/>
          <w:szCs w:val="24"/>
        </w:rPr>
      </w:pPr>
      <w:r w:rsidRPr="00A3700E">
        <w:rPr>
          <w:b/>
          <w:sz w:val="24"/>
          <w:szCs w:val="24"/>
        </w:rPr>
        <w:t>D.SP.NR.</w:t>
      </w:r>
    </w:p>
    <w:p w:rsidR="00E4145D" w:rsidRPr="00A3700E" w:rsidRDefault="00E4145D" w:rsidP="00E4145D">
      <w:pPr>
        <w:tabs>
          <w:tab w:val="left" w:pos="851"/>
        </w:tabs>
        <w:ind w:left="851" w:hanging="851"/>
        <w:rPr>
          <w:sz w:val="24"/>
          <w:szCs w:val="24"/>
        </w:rPr>
      </w:pPr>
      <w:r w:rsidRPr="00A3700E">
        <w:rPr>
          <w:sz w:val="24"/>
          <w:szCs w:val="24"/>
        </w:rPr>
        <w:tab/>
        <w:t>26730</w:t>
      </w:r>
    </w:p>
    <w:p w:rsidR="00E4145D" w:rsidRPr="00A3700E" w:rsidRDefault="00E4145D" w:rsidP="00E4145D">
      <w:pPr>
        <w:tabs>
          <w:tab w:val="left" w:pos="851"/>
        </w:tabs>
        <w:ind w:left="851" w:hanging="851"/>
        <w:rPr>
          <w:sz w:val="24"/>
          <w:szCs w:val="24"/>
        </w:rPr>
      </w:pPr>
    </w:p>
    <w:p w:rsidR="00E4145D" w:rsidRPr="00A3700E" w:rsidRDefault="00E4145D" w:rsidP="00E4145D">
      <w:pPr>
        <w:numPr>
          <w:ilvl w:val="0"/>
          <w:numId w:val="1"/>
        </w:numPr>
        <w:ind w:left="851" w:hanging="851"/>
        <w:rPr>
          <w:b/>
          <w:sz w:val="24"/>
          <w:szCs w:val="24"/>
        </w:rPr>
      </w:pPr>
      <w:r w:rsidRPr="00A3700E">
        <w:rPr>
          <w:b/>
          <w:sz w:val="24"/>
          <w:szCs w:val="24"/>
        </w:rPr>
        <w:t>LÆGEMIDLETS NAVN</w:t>
      </w:r>
    </w:p>
    <w:p w:rsidR="00E4145D" w:rsidRPr="00A3700E" w:rsidRDefault="00E4145D" w:rsidP="00E4145D">
      <w:pPr>
        <w:tabs>
          <w:tab w:val="left" w:pos="851"/>
        </w:tabs>
        <w:ind w:left="851" w:hanging="851"/>
        <w:rPr>
          <w:sz w:val="24"/>
          <w:szCs w:val="24"/>
        </w:rPr>
      </w:pPr>
      <w:r>
        <w:rPr>
          <w:sz w:val="24"/>
          <w:szCs w:val="24"/>
        </w:rPr>
        <w:tab/>
      </w:r>
      <w:proofErr w:type="spellStart"/>
      <w:r w:rsidR="006E535F">
        <w:rPr>
          <w:sz w:val="24"/>
          <w:szCs w:val="24"/>
        </w:rPr>
        <w:t>Valsartan</w:t>
      </w:r>
      <w:proofErr w:type="spellEnd"/>
      <w:r w:rsidR="006E535F">
        <w:rPr>
          <w:sz w:val="24"/>
          <w:szCs w:val="24"/>
        </w:rPr>
        <w:t xml:space="preserve"> ”Nordic Prime”</w:t>
      </w:r>
    </w:p>
    <w:p w:rsidR="00E4145D" w:rsidRPr="00A3700E" w:rsidRDefault="00E4145D" w:rsidP="00E4145D">
      <w:pPr>
        <w:tabs>
          <w:tab w:val="left" w:pos="851"/>
        </w:tabs>
        <w:ind w:left="851" w:hanging="851"/>
        <w:rPr>
          <w:sz w:val="24"/>
          <w:szCs w:val="24"/>
        </w:rPr>
      </w:pPr>
      <w:r w:rsidRPr="00A3700E">
        <w:rPr>
          <w:sz w:val="24"/>
          <w:szCs w:val="24"/>
        </w:rPr>
        <w:tab/>
      </w:r>
    </w:p>
    <w:p w:rsidR="00E4145D" w:rsidRPr="00A3700E" w:rsidRDefault="00E4145D" w:rsidP="00E4145D">
      <w:pPr>
        <w:numPr>
          <w:ilvl w:val="0"/>
          <w:numId w:val="1"/>
        </w:numPr>
        <w:ind w:left="851" w:hanging="851"/>
        <w:rPr>
          <w:b/>
          <w:sz w:val="24"/>
          <w:szCs w:val="24"/>
        </w:rPr>
      </w:pPr>
      <w:r w:rsidRPr="00A3700E">
        <w:rPr>
          <w:b/>
          <w:sz w:val="24"/>
          <w:szCs w:val="24"/>
        </w:rPr>
        <w:t>KVALITATIV OG KVANTITATIV SAMMENSÆTNING</w:t>
      </w:r>
    </w:p>
    <w:p w:rsidR="00E4145D" w:rsidRPr="00A3700E" w:rsidRDefault="00E4145D" w:rsidP="00E4145D">
      <w:pPr>
        <w:tabs>
          <w:tab w:val="left" w:pos="0"/>
          <w:tab w:val="left" w:pos="851"/>
        </w:tabs>
        <w:ind w:left="851" w:hanging="851"/>
        <w:jc w:val="both"/>
        <w:rPr>
          <w:spacing w:val="-3"/>
          <w:sz w:val="24"/>
          <w:szCs w:val="24"/>
        </w:rPr>
      </w:pPr>
      <w:r w:rsidRPr="00A3700E">
        <w:rPr>
          <w:sz w:val="24"/>
          <w:szCs w:val="24"/>
        </w:rPr>
        <w:tab/>
      </w:r>
      <w:r w:rsidRPr="00A3700E">
        <w:rPr>
          <w:spacing w:val="-3"/>
          <w:sz w:val="24"/>
          <w:szCs w:val="24"/>
        </w:rPr>
        <w:t xml:space="preserve">Hver filmovertrukket tablet indeholder 80 mg </w:t>
      </w:r>
      <w:proofErr w:type="spellStart"/>
      <w:r w:rsidRPr="00A3700E">
        <w:rPr>
          <w:spacing w:val="-3"/>
          <w:sz w:val="24"/>
          <w:szCs w:val="24"/>
        </w:rPr>
        <w:t>valsartan</w:t>
      </w:r>
      <w:proofErr w:type="spellEnd"/>
    </w:p>
    <w:p w:rsidR="00E4145D" w:rsidRPr="00A3700E" w:rsidRDefault="00E4145D" w:rsidP="00E4145D">
      <w:pPr>
        <w:tabs>
          <w:tab w:val="left" w:pos="0"/>
          <w:tab w:val="left" w:pos="851"/>
        </w:tabs>
        <w:ind w:left="851" w:hanging="851"/>
        <w:jc w:val="both"/>
        <w:rPr>
          <w:spacing w:val="-3"/>
          <w:sz w:val="24"/>
          <w:szCs w:val="24"/>
        </w:rPr>
      </w:pPr>
      <w:r w:rsidRPr="00A3700E">
        <w:rPr>
          <w:spacing w:val="-3"/>
          <w:sz w:val="24"/>
          <w:szCs w:val="24"/>
        </w:rPr>
        <w:tab/>
        <w:t xml:space="preserve">Hver filmovertrukket tablet indeholder 160 mg </w:t>
      </w:r>
      <w:proofErr w:type="spellStart"/>
      <w:r w:rsidRPr="00A3700E">
        <w:rPr>
          <w:spacing w:val="-3"/>
          <w:sz w:val="24"/>
          <w:szCs w:val="24"/>
        </w:rPr>
        <w:t>valsartan</w:t>
      </w:r>
      <w:proofErr w:type="spellEnd"/>
      <w:r w:rsidRPr="00A3700E">
        <w:rPr>
          <w:spacing w:val="-3"/>
          <w:sz w:val="24"/>
          <w:szCs w:val="24"/>
        </w:rPr>
        <w:t>.</w:t>
      </w:r>
    </w:p>
    <w:p w:rsidR="00E4145D" w:rsidRPr="00A3700E" w:rsidRDefault="00E4145D" w:rsidP="00E4145D">
      <w:pPr>
        <w:tabs>
          <w:tab w:val="left" w:pos="0"/>
          <w:tab w:val="left" w:pos="851"/>
        </w:tabs>
        <w:ind w:left="851" w:hanging="851"/>
        <w:jc w:val="both"/>
        <w:rPr>
          <w:spacing w:val="-3"/>
          <w:sz w:val="24"/>
          <w:szCs w:val="24"/>
        </w:rPr>
      </w:pPr>
    </w:p>
    <w:p w:rsidR="00E4145D" w:rsidRPr="008F4A07" w:rsidRDefault="00E4145D" w:rsidP="00E4145D">
      <w:pPr>
        <w:tabs>
          <w:tab w:val="left" w:pos="0"/>
          <w:tab w:val="left" w:pos="851"/>
        </w:tabs>
        <w:ind w:left="851" w:hanging="851"/>
        <w:jc w:val="both"/>
        <w:rPr>
          <w:spacing w:val="-3"/>
          <w:sz w:val="24"/>
          <w:szCs w:val="24"/>
        </w:rPr>
      </w:pPr>
      <w:r w:rsidRPr="00A3700E">
        <w:rPr>
          <w:spacing w:val="-3"/>
          <w:sz w:val="24"/>
          <w:szCs w:val="24"/>
        </w:rPr>
        <w:tab/>
      </w:r>
      <w:r w:rsidRPr="008F4A07">
        <w:rPr>
          <w:spacing w:val="-3"/>
          <w:sz w:val="24"/>
          <w:szCs w:val="24"/>
        </w:rPr>
        <w:t xml:space="preserve">Hjælpestof, som behandleren skal være opmærksom på: </w:t>
      </w:r>
    </w:p>
    <w:p w:rsidR="00E4145D" w:rsidRPr="00A3700E" w:rsidRDefault="00E4145D" w:rsidP="00E4145D">
      <w:pPr>
        <w:tabs>
          <w:tab w:val="left" w:pos="0"/>
          <w:tab w:val="left" w:pos="851"/>
        </w:tabs>
        <w:ind w:left="851" w:hanging="851"/>
        <w:jc w:val="both"/>
        <w:rPr>
          <w:spacing w:val="-3"/>
          <w:sz w:val="24"/>
          <w:szCs w:val="24"/>
        </w:rPr>
      </w:pPr>
      <w:r w:rsidRPr="00A3700E">
        <w:rPr>
          <w:spacing w:val="-3"/>
          <w:sz w:val="24"/>
          <w:szCs w:val="24"/>
        </w:rPr>
        <w:tab/>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2393"/>
        <w:gridCol w:w="2393"/>
      </w:tblGrid>
      <w:tr w:rsidR="004F3DAB" w:rsidRPr="00A3700E" w:rsidTr="004F3DAB">
        <w:tc>
          <w:tcPr>
            <w:tcW w:w="1442" w:type="dxa"/>
          </w:tcPr>
          <w:p w:rsidR="004F3DAB" w:rsidRPr="00A3700E" w:rsidRDefault="004F3DAB" w:rsidP="00ED5BAC">
            <w:pPr>
              <w:tabs>
                <w:tab w:val="left" w:pos="0"/>
              </w:tabs>
              <w:jc w:val="both"/>
              <w:rPr>
                <w:spacing w:val="-3"/>
                <w:sz w:val="24"/>
                <w:szCs w:val="24"/>
              </w:rPr>
            </w:pP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80 mg filmovertrukne tabletter</w:t>
            </w: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160 mg filmovertrukne tabletter</w:t>
            </w:r>
          </w:p>
        </w:tc>
      </w:tr>
      <w:tr w:rsidR="004F3DAB" w:rsidRPr="00A3700E" w:rsidTr="004F3DAB">
        <w:tc>
          <w:tcPr>
            <w:tcW w:w="1442" w:type="dxa"/>
          </w:tcPr>
          <w:p w:rsidR="004F3DAB" w:rsidRPr="00A3700E" w:rsidRDefault="004F3DAB" w:rsidP="00ED5BAC">
            <w:pPr>
              <w:tabs>
                <w:tab w:val="left" w:pos="0"/>
              </w:tabs>
              <w:jc w:val="both"/>
              <w:rPr>
                <w:spacing w:val="-3"/>
                <w:sz w:val="24"/>
                <w:szCs w:val="24"/>
              </w:rPr>
            </w:pPr>
            <w:proofErr w:type="spellStart"/>
            <w:r w:rsidRPr="00A3700E">
              <w:rPr>
                <w:spacing w:val="-3"/>
                <w:sz w:val="24"/>
                <w:szCs w:val="24"/>
              </w:rPr>
              <w:t>Lactose</w:t>
            </w:r>
            <w:proofErr w:type="spellEnd"/>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28,5 mg/tablet</w:t>
            </w:r>
          </w:p>
        </w:tc>
        <w:tc>
          <w:tcPr>
            <w:tcW w:w="2393" w:type="dxa"/>
          </w:tcPr>
          <w:p w:rsidR="004F3DAB" w:rsidRPr="00A3700E" w:rsidRDefault="004F3DAB" w:rsidP="00ED5BAC">
            <w:pPr>
              <w:tabs>
                <w:tab w:val="left" w:pos="0"/>
              </w:tabs>
              <w:jc w:val="center"/>
              <w:rPr>
                <w:spacing w:val="-3"/>
                <w:sz w:val="24"/>
                <w:szCs w:val="24"/>
              </w:rPr>
            </w:pPr>
            <w:r w:rsidRPr="00A3700E">
              <w:rPr>
                <w:spacing w:val="-3"/>
                <w:sz w:val="24"/>
                <w:szCs w:val="24"/>
              </w:rPr>
              <w:t>57 mg/tablet</w:t>
            </w:r>
          </w:p>
        </w:tc>
      </w:tr>
    </w:tbl>
    <w:p w:rsidR="00E4145D" w:rsidRPr="00A3700E" w:rsidRDefault="00E4145D" w:rsidP="00E4145D">
      <w:pPr>
        <w:tabs>
          <w:tab w:val="left" w:pos="0"/>
          <w:tab w:val="left" w:pos="851"/>
        </w:tabs>
        <w:ind w:left="851" w:hanging="851"/>
        <w:jc w:val="both"/>
        <w:rPr>
          <w:spacing w:val="-3"/>
          <w:sz w:val="24"/>
          <w:szCs w:val="24"/>
        </w:rPr>
      </w:pPr>
    </w:p>
    <w:p w:rsidR="00E4145D" w:rsidRPr="00A3700E" w:rsidRDefault="00E4145D" w:rsidP="00E4145D">
      <w:pPr>
        <w:tabs>
          <w:tab w:val="left" w:pos="0"/>
          <w:tab w:val="left" w:pos="851"/>
        </w:tabs>
        <w:ind w:left="851" w:hanging="851"/>
        <w:jc w:val="both"/>
        <w:rPr>
          <w:sz w:val="24"/>
          <w:szCs w:val="24"/>
        </w:rPr>
      </w:pPr>
      <w:r w:rsidRPr="00A3700E">
        <w:rPr>
          <w:spacing w:val="-3"/>
          <w:sz w:val="24"/>
          <w:szCs w:val="24"/>
        </w:rPr>
        <w:tab/>
        <w:t>Alle hjælpestoffer er anført under pkt. 6.1.</w:t>
      </w:r>
    </w:p>
    <w:p w:rsidR="00E4145D" w:rsidRPr="00A3700E" w:rsidRDefault="00E4145D" w:rsidP="00E4145D">
      <w:pPr>
        <w:tabs>
          <w:tab w:val="left" w:pos="851"/>
        </w:tabs>
        <w:ind w:left="851" w:hanging="851"/>
        <w:rPr>
          <w:sz w:val="24"/>
          <w:szCs w:val="24"/>
        </w:rPr>
      </w:pPr>
    </w:p>
    <w:p w:rsidR="00E4145D" w:rsidRPr="00A3700E" w:rsidRDefault="00E4145D" w:rsidP="00E4145D">
      <w:pPr>
        <w:numPr>
          <w:ilvl w:val="0"/>
          <w:numId w:val="1"/>
        </w:numPr>
        <w:ind w:left="851" w:hanging="851"/>
        <w:rPr>
          <w:b/>
          <w:sz w:val="24"/>
          <w:szCs w:val="24"/>
        </w:rPr>
      </w:pPr>
      <w:r w:rsidRPr="00A3700E">
        <w:rPr>
          <w:b/>
          <w:sz w:val="24"/>
          <w:szCs w:val="24"/>
        </w:rPr>
        <w:t>LÆGEMIDDELFORM</w:t>
      </w:r>
    </w:p>
    <w:p w:rsidR="00E4145D" w:rsidRPr="008F4A07" w:rsidRDefault="00E4145D" w:rsidP="00E4145D">
      <w:pPr>
        <w:tabs>
          <w:tab w:val="left" w:pos="0"/>
          <w:tab w:val="left" w:pos="851"/>
        </w:tabs>
        <w:ind w:left="851"/>
        <w:jc w:val="both"/>
        <w:rPr>
          <w:spacing w:val="-3"/>
          <w:sz w:val="24"/>
          <w:szCs w:val="24"/>
        </w:rPr>
      </w:pPr>
      <w:r w:rsidRPr="008F4A07">
        <w:rPr>
          <w:spacing w:val="-3"/>
          <w:sz w:val="24"/>
          <w:szCs w:val="24"/>
        </w:rPr>
        <w:t>Filmovertruk</w:t>
      </w:r>
      <w:r>
        <w:rPr>
          <w:spacing w:val="-3"/>
          <w:sz w:val="24"/>
          <w:szCs w:val="24"/>
        </w:rPr>
        <w:t>ne</w:t>
      </w:r>
      <w:r w:rsidRPr="008F4A07">
        <w:rPr>
          <w:spacing w:val="-3"/>
          <w:sz w:val="24"/>
          <w:szCs w:val="24"/>
        </w:rPr>
        <w:t xml:space="preserve"> tablet</w:t>
      </w:r>
      <w:r>
        <w:rPr>
          <w:spacing w:val="-3"/>
          <w:sz w:val="24"/>
          <w:szCs w:val="24"/>
        </w:rPr>
        <w:t>ter</w:t>
      </w:r>
      <w:r w:rsidR="004F3DAB">
        <w:rPr>
          <w:spacing w:val="-3"/>
          <w:sz w:val="24"/>
          <w:szCs w:val="24"/>
        </w:rPr>
        <w:t xml:space="preserve"> (</w:t>
      </w:r>
      <w:r w:rsidR="006E535F">
        <w:rPr>
          <w:spacing w:val="-3"/>
          <w:sz w:val="24"/>
          <w:szCs w:val="24"/>
        </w:rPr>
        <w:t>Nordic Prime</w:t>
      </w:r>
      <w:r w:rsidR="004F3DAB">
        <w:rPr>
          <w:spacing w:val="-3"/>
          <w:sz w:val="24"/>
          <w:szCs w:val="24"/>
        </w:rPr>
        <w:t>)</w:t>
      </w:r>
    </w:p>
    <w:p w:rsidR="00E4145D" w:rsidRDefault="00E4145D" w:rsidP="00E4145D">
      <w:pPr>
        <w:tabs>
          <w:tab w:val="left" w:pos="851"/>
        </w:tabs>
        <w:ind w:left="851" w:hanging="851"/>
        <w:rPr>
          <w:sz w:val="24"/>
          <w:szCs w:val="24"/>
        </w:rPr>
      </w:pPr>
    </w:p>
    <w:p w:rsidR="004F3DAB" w:rsidRPr="004C69FA" w:rsidRDefault="004F3DAB" w:rsidP="00E4145D">
      <w:pPr>
        <w:tabs>
          <w:tab w:val="left" w:pos="851"/>
        </w:tabs>
        <w:ind w:left="851" w:hanging="851"/>
        <w:rPr>
          <w:sz w:val="24"/>
          <w:szCs w:val="24"/>
        </w:rPr>
      </w:pPr>
    </w:p>
    <w:p w:rsidR="00E4145D" w:rsidRPr="004C69FA" w:rsidRDefault="00E4145D" w:rsidP="00E4145D">
      <w:pPr>
        <w:numPr>
          <w:ilvl w:val="0"/>
          <w:numId w:val="1"/>
        </w:numPr>
        <w:ind w:left="851" w:hanging="851"/>
        <w:rPr>
          <w:b/>
          <w:sz w:val="24"/>
          <w:szCs w:val="24"/>
        </w:rPr>
      </w:pPr>
      <w:r w:rsidRPr="004C69FA">
        <w:rPr>
          <w:b/>
          <w:sz w:val="24"/>
          <w:szCs w:val="24"/>
        </w:rPr>
        <w:t>KLINISKE OPLYSNINGER</w:t>
      </w:r>
    </w:p>
    <w:p w:rsidR="00E4145D" w:rsidRPr="004C69FA" w:rsidRDefault="00E4145D" w:rsidP="00E4145D">
      <w:pPr>
        <w:tabs>
          <w:tab w:val="left" w:pos="851"/>
        </w:tabs>
        <w:ind w:left="851" w:hanging="851"/>
        <w:rPr>
          <w:b/>
          <w:sz w:val="24"/>
          <w:szCs w:val="24"/>
        </w:rPr>
      </w:pPr>
    </w:p>
    <w:p w:rsidR="00E4145D" w:rsidRPr="004C69FA" w:rsidRDefault="00E4145D" w:rsidP="00E4145D">
      <w:pPr>
        <w:numPr>
          <w:ilvl w:val="1"/>
          <w:numId w:val="1"/>
        </w:numPr>
        <w:ind w:left="851" w:hanging="851"/>
        <w:rPr>
          <w:b/>
          <w:sz w:val="24"/>
          <w:szCs w:val="24"/>
          <w:u w:val="single"/>
        </w:rPr>
      </w:pPr>
      <w:r w:rsidRPr="004C69FA">
        <w:rPr>
          <w:b/>
          <w:sz w:val="24"/>
          <w:szCs w:val="24"/>
        </w:rPr>
        <w:t>Terapeutiske indikationer</w:t>
      </w:r>
    </w:p>
    <w:p w:rsidR="00E4145D" w:rsidRPr="004C69FA" w:rsidRDefault="00E4145D" w:rsidP="00E4145D">
      <w:pPr>
        <w:tabs>
          <w:tab w:val="left" w:pos="851"/>
        </w:tabs>
        <w:ind w:left="851" w:hanging="851"/>
        <w:rPr>
          <w:i/>
          <w:sz w:val="24"/>
          <w:szCs w:val="24"/>
        </w:rPr>
      </w:pPr>
      <w:r>
        <w:rPr>
          <w:sz w:val="24"/>
          <w:szCs w:val="24"/>
        </w:rPr>
        <w:tab/>
      </w:r>
      <w:r w:rsidRPr="004C69FA">
        <w:rPr>
          <w:i/>
          <w:sz w:val="24"/>
          <w:szCs w:val="24"/>
        </w:rPr>
        <w:t>80 mg og 160 mg</w:t>
      </w:r>
    </w:p>
    <w:p w:rsidR="003E5ED1" w:rsidRDefault="00E4145D" w:rsidP="003E5ED1">
      <w:pPr>
        <w:tabs>
          <w:tab w:val="left" w:pos="851"/>
        </w:tabs>
        <w:ind w:left="851" w:hanging="851"/>
        <w:rPr>
          <w:sz w:val="24"/>
          <w:szCs w:val="24"/>
          <w:u w:val="single"/>
        </w:rPr>
      </w:pPr>
      <w:r w:rsidRPr="004C69FA">
        <w:rPr>
          <w:sz w:val="24"/>
          <w:szCs w:val="24"/>
        </w:rPr>
        <w:tab/>
      </w:r>
      <w:r w:rsidR="003E5ED1">
        <w:rPr>
          <w:sz w:val="24"/>
          <w:szCs w:val="24"/>
          <w:u w:val="single"/>
        </w:rPr>
        <w:t>Hypertension</w:t>
      </w:r>
    </w:p>
    <w:p w:rsidR="00E4145D" w:rsidRPr="004C69FA" w:rsidRDefault="003E5ED1" w:rsidP="003E5ED1">
      <w:pPr>
        <w:tabs>
          <w:tab w:val="left" w:pos="851"/>
        </w:tabs>
        <w:ind w:left="851" w:hanging="851"/>
        <w:rPr>
          <w:sz w:val="24"/>
          <w:szCs w:val="24"/>
        </w:rPr>
      </w:pPr>
      <w:r>
        <w:rPr>
          <w:sz w:val="24"/>
          <w:szCs w:val="24"/>
        </w:rPr>
        <w:tab/>
        <w:t>Behandling af essentiel hypertension hos voksne, og hypertension hos børn og unge i aldersgruppen 6 til under 18 år.</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i/>
          <w:sz w:val="24"/>
          <w:szCs w:val="24"/>
        </w:rPr>
      </w:pPr>
      <w:r w:rsidRPr="004C69FA">
        <w:rPr>
          <w:i/>
          <w:sz w:val="24"/>
          <w:szCs w:val="24"/>
        </w:rPr>
        <w:tab/>
        <w:t>80 mg og 160 mg</w:t>
      </w:r>
    </w:p>
    <w:p w:rsidR="003E5ED1" w:rsidRDefault="003E5ED1" w:rsidP="003E5ED1">
      <w:pPr>
        <w:pStyle w:val="Default"/>
        <w:ind w:left="851"/>
      </w:pPr>
      <w:r>
        <w:rPr>
          <w:u w:val="single"/>
        </w:rPr>
        <w:t xml:space="preserve">Nyligt myokardieinfarkt </w:t>
      </w:r>
    </w:p>
    <w:p w:rsidR="003E5ED1" w:rsidRDefault="003E5ED1" w:rsidP="003E5ED1">
      <w:pPr>
        <w:pStyle w:val="Default"/>
        <w:ind w:left="851"/>
      </w:pPr>
      <w:r>
        <w:t xml:space="preserve">Behandling af klinisk stabile voksne patienter med symptomatisk hjertesvigt eller asymptomatisk venstre </w:t>
      </w:r>
      <w:proofErr w:type="spellStart"/>
      <w:r>
        <w:t>ventrikulær</w:t>
      </w:r>
      <w:proofErr w:type="spellEnd"/>
      <w:r>
        <w:t xml:space="preserve"> systolisk dysfunktion efter nyligt (12 timer – 10 dage) myokardieinfarkt (se pkt. 4.4 og pkt. 5.1). </w:t>
      </w:r>
    </w:p>
    <w:p w:rsidR="00E4145D" w:rsidRPr="004C69FA" w:rsidRDefault="00E4145D" w:rsidP="00E4145D">
      <w:pPr>
        <w:pStyle w:val="Default"/>
        <w:ind w:left="851" w:hanging="851"/>
        <w:rPr>
          <w:u w:val="single"/>
        </w:rPr>
      </w:pPr>
    </w:p>
    <w:p w:rsidR="00E4145D" w:rsidRPr="004C69FA" w:rsidRDefault="00E4145D" w:rsidP="00E4145D">
      <w:pPr>
        <w:tabs>
          <w:tab w:val="left" w:pos="851"/>
        </w:tabs>
        <w:ind w:left="851" w:hanging="851"/>
        <w:rPr>
          <w:i/>
          <w:sz w:val="24"/>
          <w:szCs w:val="24"/>
        </w:rPr>
      </w:pPr>
      <w:r w:rsidRPr="004C69FA">
        <w:rPr>
          <w:i/>
          <w:sz w:val="24"/>
          <w:szCs w:val="24"/>
        </w:rPr>
        <w:tab/>
        <w:t>80 mg og 160 mg</w:t>
      </w:r>
    </w:p>
    <w:p w:rsidR="003E5ED1" w:rsidRPr="004C69FA" w:rsidRDefault="00E4145D" w:rsidP="003E5ED1">
      <w:pPr>
        <w:tabs>
          <w:tab w:val="left" w:pos="851"/>
        </w:tabs>
        <w:ind w:left="851" w:hanging="851"/>
        <w:rPr>
          <w:color w:val="000000"/>
          <w:sz w:val="24"/>
          <w:szCs w:val="24"/>
          <w:u w:val="single"/>
          <w:lang w:eastAsia="da-DK"/>
        </w:rPr>
      </w:pPr>
      <w:r w:rsidRPr="004C69FA">
        <w:rPr>
          <w:color w:val="000000"/>
          <w:sz w:val="24"/>
          <w:szCs w:val="24"/>
          <w:lang w:eastAsia="da-DK"/>
        </w:rPr>
        <w:lastRenderedPageBreak/>
        <w:tab/>
      </w:r>
      <w:r w:rsidR="003E5ED1" w:rsidRPr="004C69FA">
        <w:rPr>
          <w:color w:val="000000"/>
          <w:sz w:val="24"/>
          <w:szCs w:val="24"/>
          <w:u w:val="single"/>
          <w:lang w:eastAsia="da-DK"/>
        </w:rPr>
        <w:t xml:space="preserve">Hjertesvigt </w:t>
      </w:r>
    </w:p>
    <w:p w:rsidR="003E5ED1" w:rsidRPr="004C69FA" w:rsidRDefault="003E5ED1" w:rsidP="003E5ED1">
      <w:pPr>
        <w:tabs>
          <w:tab w:val="left" w:pos="851"/>
        </w:tabs>
        <w:ind w:left="851" w:hanging="851"/>
        <w:rPr>
          <w:color w:val="000000"/>
          <w:sz w:val="24"/>
          <w:szCs w:val="24"/>
          <w:lang w:eastAsia="da-DK"/>
        </w:rPr>
      </w:pPr>
      <w:r w:rsidRPr="004C69FA">
        <w:rPr>
          <w:color w:val="000000"/>
          <w:sz w:val="24"/>
          <w:szCs w:val="24"/>
          <w:lang w:eastAsia="da-DK"/>
        </w:rPr>
        <w:tab/>
        <w:t>Behandling af voksne patienter med symptomatisk hjertesvigt når ACE-</w:t>
      </w:r>
      <w:proofErr w:type="spellStart"/>
      <w:r w:rsidRPr="004C69FA">
        <w:rPr>
          <w:color w:val="000000"/>
          <w:sz w:val="24"/>
          <w:szCs w:val="24"/>
          <w:lang w:eastAsia="da-DK"/>
        </w:rPr>
        <w:t>hæmmere</w:t>
      </w:r>
      <w:proofErr w:type="spellEnd"/>
      <w:r w:rsidRPr="004C69FA">
        <w:rPr>
          <w:color w:val="000000"/>
          <w:sz w:val="24"/>
          <w:szCs w:val="24"/>
          <w:lang w:eastAsia="da-DK"/>
        </w:rPr>
        <w:t xml:space="preserve"> ikke tåles, eller som tillægsbehandling til ACE-</w:t>
      </w:r>
      <w:proofErr w:type="spellStart"/>
      <w:r w:rsidRPr="004C69FA">
        <w:rPr>
          <w:color w:val="000000"/>
          <w:sz w:val="24"/>
          <w:szCs w:val="24"/>
          <w:lang w:eastAsia="da-DK"/>
        </w:rPr>
        <w:t>hæmmere</w:t>
      </w:r>
      <w:proofErr w:type="spellEnd"/>
      <w:r w:rsidRPr="004C69FA">
        <w:rPr>
          <w:color w:val="000000"/>
          <w:sz w:val="24"/>
          <w:szCs w:val="24"/>
          <w:lang w:eastAsia="da-DK"/>
        </w:rPr>
        <w:t xml:space="preserve"> hos patienter, der ikke tåler betablokkere, når </w:t>
      </w:r>
      <w:proofErr w:type="spellStart"/>
      <w:r w:rsidRPr="004C69FA">
        <w:rPr>
          <w:color w:val="000000"/>
          <w:sz w:val="24"/>
          <w:szCs w:val="24"/>
          <w:lang w:eastAsia="da-DK"/>
        </w:rPr>
        <w:t>mineralokortikoid</w:t>
      </w:r>
      <w:proofErr w:type="spellEnd"/>
      <w:r w:rsidRPr="004C69FA">
        <w:rPr>
          <w:color w:val="000000"/>
          <w:sz w:val="24"/>
          <w:szCs w:val="24"/>
          <w:lang w:eastAsia="da-DK"/>
        </w:rPr>
        <w:t>-receptorantagonister ikke kan anvendes (se pkt. 4.2, 4.4, 4.5 og 5.1).</w:t>
      </w:r>
    </w:p>
    <w:p w:rsidR="00E4145D" w:rsidRPr="004C69FA" w:rsidRDefault="00E4145D" w:rsidP="003E5ED1">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Dosering og indgivelsesmåde</w:t>
      </w:r>
    </w:p>
    <w:p w:rsidR="004F3DAB" w:rsidRPr="00927033" w:rsidRDefault="004F3DAB" w:rsidP="00ED5BAC">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E4145D" w:rsidRDefault="00E4145D" w:rsidP="00E4145D">
      <w:pPr>
        <w:tabs>
          <w:tab w:val="left" w:pos="0"/>
          <w:tab w:val="left" w:pos="851"/>
        </w:tabs>
        <w:ind w:left="851"/>
        <w:rPr>
          <w:sz w:val="24"/>
          <w:szCs w:val="24"/>
        </w:rPr>
      </w:pPr>
    </w:p>
    <w:p w:rsidR="00E4145D" w:rsidRPr="004C69FA" w:rsidRDefault="00E4145D" w:rsidP="00E4145D">
      <w:pPr>
        <w:tabs>
          <w:tab w:val="left" w:pos="0"/>
          <w:tab w:val="left" w:pos="851"/>
        </w:tabs>
        <w:ind w:left="851" w:hanging="851"/>
        <w:rPr>
          <w:b/>
          <w:noProof/>
          <w:sz w:val="24"/>
          <w:szCs w:val="24"/>
        </w:rPr>
      </w:pPr>
      <w:r>
        <w:rPr>
          <w:sz w:val="24"/>
          <w:szCs w:val="24"/>
        </w:rPr>
        <w:tab/>
      </w:r>
      <w:r w:rsidRPr="004C69FA">
        <w:rPr>
          <w:b/>
          <w:noProof/>
          <w:sz w:val="24"/>
          <w:szCs w:val="24"/>
        </w:rPr>
        <w:t>Dosering</w:t>
      </w:r>
    </w:p>
    <w:p w:rsidR="00E4145D" w:rsidRPr="004C69FA" w:rsidRDefault="00E4145D" w:rsidP="00E4145D">
      <w:pPr>
        <w:autoSpaceDE w:val="0"/>
        <w:autoSpaceDN w:val="0"/>
        <w:adjustRightInd w:val="0"/>
        <w:ind w:left="851"/>
        <w:rPr>
          <w:i/>
          <w:sz w:val="24"/>
          <w:szCs w:val="24"/>
        </w:rPr>
      </w:pPr>
      <w:r w:rsidRPr="004C69FA">
        <w:rPr>
          <w:i/>
          <w:sz w:val="24"/>
          <w:szCs w:val="24"/>
        </w:rPr>
        <w:t>80 mg og 160 mg</w:t>
      </w:r>
    </w:p>
    <w:p w:rsidR="003E5ED1" w:rsidRPr="004C69FA" w:rsidRDefault="003E5ED1" w:rsidP="003E5ED1">
      <w:pPr>
        <w:autoSpaceDE w:val="0"/>
        <w:autoSpaceDN w:val="0"/>
        <w:adjustRightInd w:val="0"/>
        <w:ind w:left="851"/>
        <w:rPr>
          <w:sz w:val="24"/>
          <w:szCs w:val="24"/>
        </w:rPr>
      </w:pPr>
      <w:bookmarkStart w:id="0" w:name="_Hlk105592579"/>
      <w:r w:rsidRPr="004C69FA">
        <w:rPr>
          <w:sz w:val="24"/>
          <w:szCs w:val="24"/>
          <w:u w:val="single"/>
        </w:rPr>
        <w:t>Hypertension</w:t>
      </w:r>
    </w:p>
    <w:p w:rsidR="003E5ED1" w:rsidRPr="004C69FA" w:rsidRDefault="003E5ED1" w:rsidP="003E5ED1">
      <w:pPr>
        <w:autoSpaceDE w:val="0"/>
        <w:autoSpaceDN w:val="0"/>
        <w:adjustRightInd w:val="0"/>
        <w:ind w:left="851"/>
        <w:rPr>
          <w:sz w:val="24"/>
          <w:szCs w:val="24"/>
        </w:rPr>
      </w:pPr>
      <w:r w:rsidRPr="004C69FA">
        <w:rPr>
          <w:sz w:val="24"/>
          <w:szCs w:val="24"/>
        </w:rPr>
        <w:t xml:space="preserve">Den anbefalede startdosis af </w:t>
      </w:r>
      <w:proofErr w:type="spellStart"/>
      <w:r w:rsidRPr="004C69FA">
        <w:rPr>
          <w:sz w:val="24"/>
          <w:szCs w:val="24"/>
        </w:rPr>
        <w:t>valsartan</w:t>
      </w:r>
      <w:proofErr w:type="spellEnd"/>
      <w:r w:rsidRPr="004C69FA">
        <w:rPr>
          <w:sz w:val="24"/>
          <w:szCs w:val="24"/>
        </w:rPr>
        <w:t xml:space="preserve"> er 80 mg én gang daglig. Den </w:t>
      </w:r>
      <w:proofErr w:type="spellStart"/>
      <w:r w:rsidRPr="004C69FA">
        <w:rPr>
          <w:sz w:val="24"/>
          <w:szCs w:val="24"/>
        </w:rPr>
        <w:t>antihypertensive</w:t>
      </w:r>
      <w:proofErr w:type="spellEnd"/>
      <w:r w:rsidRPr="004C69FA">
        <w:rPr>
          <w:sz w:val="24"/>
          <w:szCs w:val="24"/>
        </w:rPr>
        <w:t xml:space="preserve"> virkning ses i betydelig grad inden for 2 uger, og maksimal virkning opnås inden for 4 uger. Hos nogle patienter, hvis blodtryk ikke er tilstrækkeligt kontrolleret, kan dosis øges til 160 mg og til maksimalt 320 mg. </w:t>
      </w:r>
    </w:p>
    <w:p w:rsidR="003E5ED1" w:rsidRPr="004C69FA" w:rsidRDefault="003E5ED1" w:rsidP="003E5ED1">
      <w:pPr>
        <w:autoSpaceDE w:val="0"/>
        <w:autoSpaceDN w:val="0"/>
        <w:adjustRightInd w:val="0"/>
        <w:ind w:left="851"/>
        <w:rPr>
          <w:iCs/>
          <w:sz w:val="24"/>
          <w:szCs w:val="24"/>
        </w:rPr>
      </w:pPr>
      <w:proofErr w:type="spellStart"/>
      <w:r w:rsidRPr="004C69FA">
        <w:rPr>
          <w:sz w:val="24"/>
          <w:szCs w:val="24"/>
        </w:rPr>
        <w:t>Valsartan</w:t>
      </w:r>
      <w:proofErr w:type="spellEnd"/>
      <w:r w:rsidRPr="004C69FA">
        <w:rPr>
          <w:sz w:val="24"/>
          <w:szCs w:val="24"/>
        </w:rPr>
        <w:t xml:space="preserve"> kan også administreres sammen med andre </w:t>
      </w:r>
      <w:proofErr w:type="spellStart"/>
      <w:r w:rsidRPr="004C69FA">
        <w:rPr>
          <w:sz w:val="24"/>
          <w:szCs w:val="24"/>
        </w:rPr>
        <w:t>antihypertensive</w:t>
      </w:r>
      <w:proofErr w:type="spellEnd"/>
      <w:r w:rsidRPr="004C69FA">
        <w:rPr>
          <w:sz w:val="24"/>
          <w:szCs w:val="24"/>
        </w:rPr>
        <w:t xml:space="preserve"> lægemidler </w:t>
      </w:r>
      <w:r w:rsidRPr="004C69FA">
        <w:rPr>
          <w:bCs/>
          <w:sz w:val="24"/>
          <w:szCs w:val="24"/>
        </w:rPr>
        <w:t>(se pkt. 4.3, 4.4, 4.5 og 5.1)</w:t>
      </w:r>
      <w:r w:rsidRPr="004C69FA">
        <w:rPr>
          <w:sz w:val="24"/>
          <w:szCs w:val="24"/>
        </w:rPr>
        <w:t xml:space="preserve">. Ved tilføjelse af et </w:t>
      </w:r>
      <w:proofErr w:type="spellStart"/>
      <w:r w:rsidRPr="004C69FA">
        <w:rPr>
          <w:sz w:val="24"/>
          <w:szCs w:val="24"/>
        </w:rPr>
        <w:t>diuretikum</w:t>
      </w:r>
      <w:proofErr w:type="spellEnd"/>
      <w:r w:rsidRPr="004C69FA">
        <w:rPr>
          <w:sz w:val="24"/>
          <w:szCs w:val="24"/>
        </w:rPr>
        <w:t xml:space="preserve"> som f.eks. </w:t>
      </w:r>
      <w:proofErr w:type="spellStart"/>
      <w:r w:rsidRPr="004C69FA">
        <w:rPr>
          <w:sz w:val="24"/>
          <w:szCs w:val="24"/>
        </w:rPr>
        <w:t>hydrochlorthiazid</w:t>
      </w:r>
      <w:proofErr w:type="spellEnd"/>
      <w:r w:rsidRPr="004C69FA">
        <w:rPr>
          <w:sz w:val="24"/>
          <w:szCs w:val="24"/>
        </w:rPr>
        <w:t xml:space="preserve"> vil blodtrykket falde yderligere hos disse patienter. </w:t>
      </w:r>
    </w:p>
    <w:bookmarkEnd w:id="0"/>
    <w:p w:rsidR="003E5ED1" w:rsidRPr="004C69FA" w:rsidRDefault="003E5ED1" w:rsidP="003E5ED1">
      <w:pPr>
        <w:autoSpaceDE w:val="0"/>
        <w:autoSpaceDN w:val="0"/>
        <w:adjustRightInd w:val="0"/>
        <w:ind w:left="851"/>
        <w:rPr>
          <w:sz w:val="24"/>
          <w:szCs w:val="24"/>
          <w:u w:val="single"/>
        </w:rPr>
      </w:pPr>
    </w:p>
    <w:p w:rsidR="003E5ED1" w:rsidRPr="004C69FA" w:rsidRDefault="003E5ED1" w:rsidP="003E5ED1">
      <w:pPr>
        <w:autoSpaceDE w:val="0"/>
        <w:autoSpaceDN w:val="0"/>
        <w:adjustRightInd w:val="0"/>
        <w:ind w:left="851"/>
        <w:rPr>
          <w:i/>
          <w:sz w:val="24"/>
          <w:szCs w:val="24"/>
        </w:rPr>
      </w:pPr>
      <w:r w:rsidRPr="004C69FA">
        <w:rPr>
          <w:i/>
          <w:sz w:val="24"/>
          <w:szCs w:val="24"/>
        </w:rPr>
        <w:t>40 mg, 80 mg og 160 mg</w:t>
      </w:r>
    </w:p>
    <w:p w:rsidR="003E5ED1" w:rsidRPr="004C69FA" w:rsidRDefault="003E5ED1" w:rsidP="003E5ED1">
      <w:pPr>
        <w:autoSpaceDE w:val="0"/>
        <w:autoSpaceDN w:val="0"/>
        <w:adjustRightInd w:val="0"/>
        <w:ind w:left="851"/>
        <w:rPr>
          <w:sz w:val="24"/>
          <w:szCs w:val="24"/>
          <w:u w:val="single"/>
        </w:rPr>
      </w:pPr>
      <w:r w:rsidRPr="004C69FA">
        <w:rPr>
          <w:sz w:val="24"/>
          <w:szCs w:val="24"/>
          <w:u w:val="single"/>
        </w:rPr>
        <w:t>Nyligt myokardieinfarkt</w:t>
      </w:r>
    </w:p>
    <w:p w:rsidR="003E5ED1" w:rsidRPr="004C69FA" w:rsidRDefault="003E5ED1" w:rsidP="003E5ED1">
      <w:pPr>
        <w:autoSpaceDE w:val="0"/>
        <w:autoSpaceDN w:val="0"/>
        <w:adjustRightInd w:val="0"/>
        <w:ind w:left="851"/>
        <w:rPr>
          <w:sz w:val="24"/>
          <w:szCs w:val="24"/>
        </w:rPr>
      </w:pPr>
      <w:r w:rsidRPr="004C69FA">
        <w:rPr>
          <w:sz w:val="24"/>
          <w:szCs w:val="24"/>
        </w:rPr>
        <w:t xml:space="preserve">Til klinisk stabile patienter kan behandling initieres helt ned til 12 timer efter et myokardieinfarkt. Efter en initial dosis på 20 mg 2 gange dagligt, skal </w:t>
      </w:r>
      <w:proofErr w:type="spellStart"/>
      <w:r w:rsidRPr="004C69FA">
        <w:rPr>
          <w:sz w:val="24"/>
          <w:szCs w:val="24"/>
        </w:rPr>
        <w:t>valsartan</w:t>
      </w:r>
      <w:proofErr w:type="spellEnd"/>
      <w:r w:rsidRPr="004C69FA">
        <w:rPr>
          <w:sz w:val="24"/>
          <w:szCs w:val="24"/>
        </w:rPr>
        <w:t xml:space="preserve"> titreres til 40 mg, 80 mg og 160 mg 2 gange dagligt over de næste få uger. Startdosis opnås ved at dele 40 mg tabletten. </w:t>
      </w:r>
    </w:p>
    <w:p w:rsidR="003E5ED1" w:rsidRPr="004C69FA" w:rsidRDefault="003E5ED1" w:rsidP="003E5ED1">
      <w:pPr>
        <w:autoSpaceDE w:val="0"/>
        <w:autoSpaceDN w:val="0"/>
        <w:adjustRightInd w:val="0"/>
        <w:ind w:left="851"/>
        <w:rPr>
          <w:sz w:val="24"/>
          <w:szCs w:val="24"/>
        </w:rPr>
      </w:pPr>
      <w:r w:rsidRPr="004C69FA">
        <w:rPr>
          <w:sz w:val="24"/>
          <w:szCs w:val="24"/>
        </w:rPr>
        <w:t>Den maksimale måldosis er 160 mg 2 gange dagligt</w:t>
      </w:r>
      <w:r w:rsidRPr="004C69FA">
        <w:rPr>
          <w:i/>
          <w:iCs/>
          <w:sz w:val="24"/>
          <w:szCs w:val="24"/>
        </w:rPr>
        <w:t xml:space="preserve">. </w:t>
      </w:r>
      <w:r w:rsidRPr="004C69FA">
        <w:rPr>
          <w:sz w:val="24"/>
          <w:szCs w:val="24"/>
        </w:rPr>
        <w:t xml:space="preserve">Generelt anbefales det, at patienterne når et dosisniveau på 80 mg 2 gange dagligt i løbet af 2 uger efter påbegyndt behandling og, at den maksimale måldosis på 160 mg 2 gange dagligt nås i løbet af 3 måneder, afhængig af patientens </w:t>
      </w:r>
      <w:proofErr w:type="spellStart"/>
      <w:r w:rsidRPr="004C69FA">
        <w:rPr>
          <w:sz w:val="24"/>
          <w:szCs w:val="24"/>
        </w:rPr>
        <w:t>tolerabilitet</w:t>
      </w:r>
      <w:proofErr w:type="spellEnd"/>
      <w:r w:rsidRPr="004C69FA">
        <w:rPr>
          <w:i/>
          <w:iCs/>
          <w:sz w:val="24"/>
          <w:szCs w:val="24"/>
        </w:rPr>
        <w:t xml:space="preserve">. </w:t>
      </w:r>
      <w:r w:rsidRPr="004C69FA">
        <w:rPr>
          <w:sz w:val="24"/>
          <w:szCs w:val="24"/>
        </w:rPr>
        <w:t xml:space="preserve">Hvis der opstår symptomatisk hypotension eller nyreinsufficiens, skal dosisreduktion overvejes. </w:t>
      </w:r>
    </w:p>
    <w:p w:rsidR="003E5ED1" w:rsidRPr="004C69FA" w:rsidRDefault="003E5ED1" w:rsidP="003E5ED1">
      <w:pPr>
        <w:autoSpaceDE w:val="0"/>
        <w:autoSpaceDN w:val="0"/>
        <w:adjustRightInd w:val="0"/>
        <w:ind w:left="851"/>
        <w:rPr>
          <w:i/>
          <w:iCs/>
          <w:sz w:val="24"/>
          <w:szCs w:val="24"/>
        </w:rPr>
      </w:pPr>
      <w:proofErr w:type="spellStart"/>
      <w:r w:rsidRPr="004C69FA">
        <w:rPr>
          <w:sz w:val="24"/>
          <w:szCs w:val="24"/>
        </w:rPr>
        <w:t>Valsartan</w:t>
      </w:r>
      <w:proofErr w:type="spellEnd"/>
      <w:r w:rsidRPr="004C69FA">
        <w:rPr>
          <w:sz w:val="24"/>
          <w:szCs w:val="24"/>
        </w:rPr>
        <w:t xml:space="preserve"> kan anvendes af patienter, som er i anden behandling for post-myokardieinfarkt, f.eks. </w:t>
      </w:r>
      <w:proofErr w:type="spellStart"/>
      <w:r w:rsidRPr="004C69FA">
        <w:rPr>
          <w:sz w:val="24"/>
          <w:szCs w:val="24"/>
        </w:rPr>
        <w:t>trombolytika</w:t>
      </w:r>
      <w:proofErr w:type="spellEnd"/>
      <w:r w:rsidRPr="004C69FA">
        <w:rPr>
          <w:sz w:val="24"/>
          <w:szCs w:val="24"/>
        </w:rPr>
        <w:t xml:space="preserve">, acetylsalicylsyre, betablokkere, </w:t>
      </w:r>
      <w:proofErr w:type="spellStart"/>
      <w:r w:rsidRPr="004C69FA">
        <w:rPr>
          <w:sz w:val="24"/>
          <w:szCs w:val="24"/>
        </w:rPr>
        <w:t>statiner</w:t>
      </w:r>
      <w:proofErr w:type="spellEnd"/>
      <w:r w:rsidRPr="004C69FA">
        <w:rPr>
          <w:sz w:val="24"/>
          <w:szCs w:val="24"/>
        </w:rPr>
        <w:t xml:space="preserve"> og </w:t>
      </w:r>
      <w:proofErr w:type="spellStart"/>
      <w:r w:rsidRPr="004C69FA">
        <w:rPr>
          <w:sz w:val="24"/>
          <w:szCs w:val="24"/>
        </w:rPr>
        <w:t>diuretika</w:t>
      </w:r>
      <w:proofErr w:type="spellEnd"/>
      <w:r w:rsidRPr="004C69FA">
        <w:rPr>
          <w:i/>
          <w:iCs/>
          <w:sz w:val="24"/>
          <w:szCs w:val="24"/>
        </w:rPr>
        <w:t xml:space="preserve">. </w:t>
      </w:r>
      <w:r w:rsidRPr="004C69FA">
        <w:rPr>
          <w:sz w:val="24"/>
          <w:szCs w:val="24"/>
        </w:rPr>
        <w:t>Kombination med ACE-</w:t>
      </w:r>
      <w:proofErr w:type="spellStart"/>
      <w:r w:rsidRPr="004C69FA">
        <w:rPr>
          <w:sz w:val="24"/>
          <w:szCs w:val="24"/>
        </w:rPr>
        <w:t>hæmmere</w:t>
      </w:r>
      <w:proofErr w:type="spellEnd"/>
      <w:r w:rsidRPr="004C69FA">
        <w:rPr>
          <w:sz w:val="24"/>
          <w:szCs w:val="24"/>
        </w:rPr>
        <w:t xml:space="preserve"> anbefales ikke (se pkt. 4.4 og 5.1)</w:t>
      </w:r>
      <w:r w:rsidRPr="004C69FA">
        <w:rPr>
          <w:i/>
          <w:iCs/>
          <w:sz w:val="24"/>
          <w:szCs w:val="24"/>
        </w:rPr>
        <w:t xml:space="preserve">. </w:t>
      </w:r>
    </w:p>
    <w:p w:rsidR="003E5ED1" w:rsidRPr="004C69FA" w:rsidRDefault="003E5ED1" w:rsidP="003E5ED1">
      <w:pPr>
        <w:autoSpaceDE w:val="0"/>
        <w:autoSpaceDN w:val="0"/>
        <w:adjustRightInd w:val="0"/>
        <w:ind w:left="851"/>
        <w:rPr>
          <w:sz w:val="24"/>
          <w:szCs w:val="24"/>
        </w:rPr>
      </w:pPr>
      <w:r w:rsidRPr="004C69FA">
        <w:rPr>
          <w:sz w:val="24"/>
          <w:szCs w:val="24"/>
        </w:rPr>
        <w:t xml:space="preserve">Evaluering af patienter med post-myokardieinfarkt bør altid inkludere vurdering af nyrefunktionen. </w:t>
      </w:r>
    </w:p>
    <w:p w:rsidR="003E5ED1" w:rsidRPr="004C69FA"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i/>
          <w:sz w:val="24"/>
          <w:szCs w:val="24"/>
        </w:rPr>
      </w:pPr>
      <w:r>
        <w:rPr>
          <w:i/>
          <w:sz w:val="24"/>
          <w:szCs w:val="24"/>
        </w:rPr>
        <w:t>40 mg, 80 mg og 160 mg</w:t>
      </w:r>
    </w:p>
    <w:p w:rsidR="003E5ED1" w:rsidRDefault="003E5ED1" w:rsidP="003E5ED1">
      <w:pPr>
        <w:autoSpaceDE w:val="0"/>
        <w:autoSpaceDN w:val="0"/>
        <w:adjustRightInd w:val="0"/>
        <w:ind w:left="851"/>
        <w:rPr>
          <w:sz w:val="24"/>
          <w:szCs w:val="24"/>
          <w:u w:val="single"/>
        </w:rPr>
      </w:pPr>
      <w:r>
        <w:rPr>
          <w:sz w:val="24"/>
          <w:szCs w:val="24"/>
          <w:u w:val="single"/>
        </w:rPr>
        <w:t xml:space="preserve">Hjertesvigt </w:t>
      </w:r>
    </w:p>
    <w:p w:rsidR="003E5ED1" w:rsidRDefault="003E5ED1" w:rsidP="003E5ED1">
      <w:pPr>
        <w:autoSpaceDE w:val="0"/>
        <w:autoSpaceDN w:val="0"/>
        <w:adjustRightInd w:val="0"/>
        <w:ind w:left="851"/>
        <w:rPr>
          <w:sz w:val="24"/>
          <w:szCs w:val="24"/>
        </w:rPr>
      </w:pPr>
      <w:r>
        <w:rPr>
          <w:sz w:val="24"/>
          <w:szCs w:val="24"/>
        </w:rPr>
        <w:t xml:space="preserve">Den anbefalede startdosis af </w:t>
      </w:r>
      <w:proofErr w:type="spellStart"/>
      <w:r>
        <w:rPr>
          <w:sz w:val="24"/>
          <w:szCs w:val="24"/>
        </w:rPr>
        <w:t>valsartan</w:t>
      </w:r>
      <w:proofErr w:type="spellEnd"/>
      <w:r>
        <w:rPr>
          <w:sz w:val="24"/>
          <w:szCs w:val="24"/>
        </w:rPr>
        <w:t xml:space="preserve"> er 40 mg 2 gange dagligt. </w:t>
      </w:r>
      <w:proofErr w:type="spellStart"/>
      <w:r>
        <w:rPr>
          <w:sz w:val="24"/>
          <w:szCs w:val="24"/>
        </w:rPr>
        <w:t>Optitrering</w:t>
      </w:r>
      <w:proofErr w:type="spellEnd"/>
      <w:r>
        <w:rPr>
          <w:sz w:val="24"/>
          <w:szCs w:val="24"/>
        </w:rPr>
        <w:t xml:space="preserve"> til 80 mg og 160 mg 2 gange dagligt skal foretages med intervaller på mindst to uger til højeste dosis, som tolereres af patienten. Det bør overvejes at reducere dosis af samtidigt administreret </w:t>
      </w:r>
      <w:proofErr w:type="spellStart"/>
      <w:r>
        <w:rPr>
          <w:sz w:val="24"/>
          <w:szCs w:val="24"/>
        </w:rPr>
        <w:t>diuretika</w:t>
      </w:r>
      <w:proofErr w:type="spellEnd"/>
      <w:r>
        <w:rPr>
          <w:sz w:val="24"/>
          <w:szCs w:val="24"/>
        </w:rPr>
        <w:t xml:space="preserve">. Højeste daglige dosis administreret i kliniske studier er 320 mg i delte doser. </w:t>
      </w:r>
      <w:proofErr w:type="spellStart"/>
      <w:r>
        <w:rPr>
          <w:sz w:val="24"/>
          <w:szCs w:val="24"/>
        </w:rPr>
        <w:t>Valsartan</w:t>
      </w:r>
      <w:proofErr w:type="spellEnd"/>
      <w:r>
        <w:rPr>
          <w:sz w:val="24"/>
          <w:szCs w:val="24"/>
        </w:rPr>
        <w:t xml:space="preserve"> kan administreres med andre hjertesvigtsbehandlinger. </w:t>
      </w:r>
      <w:proofErr w:type="spellStart"/>
      <w:r>
        <w:rPr>
          <w:sz w:val="24"/>
          <w:szCs w:val="24"/>
        </w:rPr>
        <w:t>Tripple</w:t>
      </w:r>
      <w:proofErr w:type="spellEnd"/>
      <w:r>
        <w:rPr>
          <w:sz w:val="24"/>
          <w:szCs w:val="24"/>
        </w:rPr>
        <w:t xml:space="preserve">-kombinationen af en ACE-hæmmer, </w:t>
      </w:r>
      <w:proofErr w:type="spellStart"/>
      <w:r>
        <w:rPr>
          <w:sz w:val="24"/>
          <w:szCs w:val="24"/>
        </w:rPr>
        <w:t>valsartan</w:t>
      </w:r>
      <w:proofErr w:type="spellEnd"/>
      <w:r>
        <w:rPr>
          <w:sz w:val="24"/>
          <w:szCs w:val="24"/>
        </w:rPr>
        <w:t xml:space="preserve"> og en beta-blokker eller et kaliumbesparende </w:t>
      </w:r>
      <w:proofErr w:type="spellStart"/>
      <w:r>
        <w:rPr>
          <w:sz w:val="24"/>
          <w:szCs w:val="24"/>
        </w:rPr>
        <w:t>diuretikum</w:t>
      </w:r>
      <w:proofErr w:type="spellEnd"/>
      <w:r>
        <w:rPr>
          <w:sz w:val="24"/>
          <w:szCs w:val="24"/>
        </w:rPr>
        <w:t xml:space="preserve"> kan dog ikke anbefales (se pkt. 4.4 og. 5.1). </w:t>
      </w:r>
    </w:p>
    <w:p w:rsidR="003E5ED1" w:rsidRDefault="003E5ED1" w:rsidP="003E5ED1">
      <w:pPr>
        <w:autoSpaceDE w:val="0"/>
        <w:autoSpaceDN w:val="0"/>
        <w:adjustRightInd w:val="0"/>
        <w:ind w:left="851"/>
        <w:rPr>
          <w:sz w:val="24"/>
          <w:szCs w:val="24"/>
        </w:rPr>
      </w:pPr>
      <w:r>
        <w:rPr>
          <w:sz w:val="24"/>
          <w:szCs w:val="24"/>
        </w:rPr>
        <w:t xml:space="preserve">Evaluering af patienter med hjertesvigt bør altid inkludere vurdering af nyrefunktionen. </w:t>
      </w:r>
    </w:p>
    <w:p w:rsidR="003E5ED1" w:rsidRDefault="003E5ED1" w:rsidP="003E5ED1">
      <w:pPr>
        <w:autoSpaceDE w:val="0"/>
        <w:autoSpaceDN w:val="0"/>
        <w:adjustRightInd w:val="0"/>
        <w:ind w:left="851" w:hanging="851"/>
        <w:rPr>
          <w:i/>
          <w:iCs/>
          <w:sz w:val="24"/>
          <w:szCs w:val="24"/>
          <w:u w:val="single"/>
        </w:rPr>
      </w:pPr>
    </w:p>
    <w:p w:rsidR="003E5ED1" w:rsidRDefault="003E5ED1" w:rsidP="003E5ED1">
      <w:pPr>
        <w:autoSpaceDE w:val="0"/>
        <w:autoSpaceDN w:val="0"/>
        <w:adjustRightInd w:val="0"/>
        <w:ind w:left="851"/>
        <w:rPr>
          <w:i/>
          <w:iCs/>
          <w:sz w:val="24"/>
          <w:szCs w:val="24"/>
          <w:u w:val="single"/>
        </w:rPr>
      </w:pPr>
      <w:r>
        <w:rPr>
          <w:i/>
          <w:iCs/>
          <w:sz w:val="24"/>
          <w:szCs w:val="24"/>
          <w:u w:val="single"/>
        </w:rPr>
        <w:t>Yderligere informationer vedrørende særlige populationer</w:t>
      </w:r>
    </w:p>
    <w:p w:rsidR="003E5ED1" w:rsidRDefault="003E5ED1" w:rsidP="003E5ED1">
      <w:pPr>
        <w:autoSpaceDE w:val="0"/>
        <w:autoSpaceDN w:val="0"/>
        <w:adjustRightInd w:val="0"/>
        <w:ind w:left="851"/>
        <w:rPr>
          <w:i/>
          <w:sz w:val="24"/>
          <w:szCs w:val="24"/>
        </w:rPr>
      </w:pPr>
    </w:p>
    <w:p w:rsidR="003E5ED1" w:rsidRDefault="003E5ED1" w:rsidP="003E5ED1">
      <w:pPr>
        <w:autoSpaceDE w:val="0"/>
        <w:autoSpaceDN w:val="0"/>
        <w:adjustRightInd w:val="0"/>
        <w:ind w:left="851"/>
        <w:rPr>
          <w:i/>
          <w:sz w:val="24"/>
          <w:szCs w:val="24"/>
        </w:rPr>
      </w:pPr>
      <w:r>
        <w:rPr>
          <w:sz w:val="24"/>
          <w:szCs w:val="24"/>
          <w:u w:val="single"/>
        </w:rPr>
        <w:t>Ældre</w:t>
      </w:r>
    </w:p>
    <w:p w:rsidR="003E5ED1" w:rsidRDefault="003E5ED1" w:rsidP="003E5ED1">
      <w:pPr>
        <w:autoSpaceDE w:val="0"/>
        <w:autoSpaceDN w:val="0"/>
        <w:adjustRightInd w:val="0"/>
        <w:ind w:left="851"/>
        <w:rPr>
          <w:sz w:val="24"/>
          <w:szCs w:val="24"/>
        </w:rPr>
      </w:pPr>
      <w:r>
        <w:rPr>
          <w:sz w:val="24"/>
          <w:szCs w:val="24"/>
        </w:rPr>
        <w:t>Der kræves ingen dosisjustering hos ældre patienter.</w:t>
      </w:r>
    </w:p>
    <w:p w:rsidR="003E5ED1" w:rsidRDefault="003E5ED1" w:rsidP="003E5ED1">
      <w:pPr>
        <w:autoSpaceDE w:val="0"/>
        <w:autoSpaceDN w:val="0"/>
        <w:adjustRightInd w:val="0"/>
        <w:ind w:left="851" w:hanging="851"/>
        <w:rPr>
          <w:iCs/>
          <w:sz w:val="24"/>
          <w:szCs w:val="24"/>
        </w:rPr>
      </w:pPr>
    </w:p>
    <w:p w:rsidR="003E5ED1" w:rsidRDefault="003E5ED1" w:rsidP="003E5ED1">
      <w:pPr>
        <w:autoSpaceDE w:val="0"/>
        <w:autoSpaceDN w:val="0"/>
        <w:adjustRightInd w:val="0"/>
        <w:ind w:left="851"/>
        <w:rPr>
          <w:sz w:val="24"/>
          <w:szCs w:val="24"/>
          <w:u w:val="single"/>
        </w:rPr>
      </w:pPr>
      <w:r>
        <w:rPr>
          <w:sz w:val="24"/>
          <w:szCs w:val="24"/>
          <w:u w:val="single"/>
        </w:rPr>
        <w:t>Nedsat nyrefunktion</w:t>
      </w:r>
    </w:p>
    <w:p w:rsidR="003E5ED1" w:rsidRDefault="003E5ED1" w:rsidP="003E5ED1">
      <w:pPr>
        <w:autoSpaceDE w:val="0"/>
        <w:autoSpaceDN w:val="0"/>
        <w:adjustRightInd w:val="0"/>
        <w:ind w:left="851"/>
        <w:rPr>
          <w:sz w:val="24"/>
          <w:szCs w:val="24"/>
        </w:rPr>
      </w:pPr>
      <w:r>
        <w:rPr>
          <w:sz w:val="24"/>
          <w:szCs w:val="24"/>
        </w:rPr>
        <w:t xml:space="preserve">Der kræves ingen dosisjustering for voksne patienter med en </w:t>
      </w:r>
      <w:proofErr w:type="spellStart"/>
      <w:r>
        <w:rPr>
          <w:sz w:val="24"/>
          <w:szCs w:val="24"/>
        </w:rPr>
        <w:t>kreatinin-clearance</w:t>
      </w:r>
      <w:proofErr w:type="spellEnd"/>
      <w:r>
        <w:rPr>
          <w:sz w:val="24"/>
          <w:szCs w:val="24"/>
        </w:rPr>
        <w:t xml:space="preserve"> &gt;10 ml/min (se pkt. 4.4 og 5.2).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rPr>
      </w:pPr>
      <w:r>
        <w:rPr>
          <w:sz w:val="24"/>
          <w:szCs w:val="24"/>
          <w:u w:val="single"/>
        </w:rPr>
        <w:t>Nedsat leverfunktion</w:t>
      </w:r>
    </w:p>
    <w:p w:rsidR="003E5ED1" w:rsidRDefault="003E5ED1" w:rsidP="003E5ED1">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er kontraindiceret hos patienter med alvorlig leverinsufficiens, biliær cirrose og hos patienter med </w:t>
      </w:r>
      <w:proofErr w:type="spellStart"/>
      <w:r>
        <w:rPr>
          <w:sz w:val="24"/>
          <w:szCs w:val="24"/>
        </w:rPr>
        <w:t>cholestase</w:t>
      </w:r>
      <w:proofErr w:type="spellEnd"/>
      <w:r>
        <w:rPr>
          <w:sz w:val="24"/>
          <w:szCs w:val="24"/>
        </w:rPr>
        <w:t xml:space="preserve"> (se pkt. 4.3, 4.4 og 5.2). Hos patienter med let til moderat leverinsufficiens uden </w:t>
      </w:r>
      <w:proofErr w:type="spellStart"/>
      <w:r>
        <w:rPr>
          <w:sz w:val="24"/>
          <w:szCs w:val="24"/>
        </w:rPr>
        <w:t>cholestase</w:t>
      </w:r>
      <w:proofErr w:type="spellEnd"/>
      <w:r>
        <w:rPr>
          <w:sz w:val="24"/>
          <w:szCs w:val="24"/>
        </w:rPr>
        <w:t xml:space="preserve"> bør dosis af </w:t>
      </w:r>
      <w:proofErr w:type="spellStart"/>
      <w:r>
        <w:rPr>
          <w:sz w:val="24"/>
          <w:szCs w:val="24"/>
        </w:rPr>
        <w:t>valsartan</w:t>
      </w:r>
      <w:proofErr w:type="spellEnd"/>
      <w:r>
        <w:rPr>
          <w:sz w:val="24"/>
          <w:szCs w:val="24"/>
        </w:rPr>
        <w:t xml:space="preserve"> ikke overskride 80 mg.</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i/>
          <w:sz w:val="24"/>
          <w:szCs w:val="24"/>
          <w:u w:val="single"/>
        </w:rPr>
        <w:t>Pædiatrisk population</w:t>
      </w:r>
    </w:p>
    <w:p w:rsidR="003E5ED1" w:rsidRDefault="003E5ED1" w:rsidP="003E5ED1">
      <w:pPr>
        <w:tabs>
          <w:tab w:val="left" w:pos="851"/>
        </w:tabs>
        <w:ind w:left="851" w:hanging="851"/>
        <w:rPr>
          <w:i/>
          <w:sz w:val="24"/>
          <w:szCs w:val="24"/>
          <w:u w:val="single"/>
        </w:rPr>
      </w:pPr>
      <w:r>
        <w:rPr>
          <w:sz w:val="24"/>
          <w:szCs w:val="24"/>
        </w:rPr>
        <w:tab/>
      </w:r>
      <w:r>
        <w:rPr>
          <w:i/>
          <w:sz w:val="24"/>
          <w:szCs w:val="24"/>
          <w:u w:val="single"/>
        </w:rPr>
        <w:t xml:space="preserve">Børn og unge i aldersgruppen 6 til under 18 år </w:t>
      </w:r>
    </w:p>
    <w:p w:rsidR="003E5ED1" w:rsidRDefault="003E5ED1" w:rsidP="003E5ED1">
      <w:pPr>
        <w:tabs>
          <w:tab w:val="left" w:pos="851"/>
        </w:tabs>
        <w:ind w:left="851" w:hanging="851"/>
        <w:rPr>
          <w:sz w:val="24"/>
          <w:szCs w:val="24"/>
        </w:rPr>
      </w:pPr>
      <w:r>
        <w:rPr>
          <w:sz w:val="24"/>
          <w:szCs w:val="24"/>
        </w:rPr>
        <w:tab/>
        <w:t xml:space="preserve">Initialdosis til børn, der vejer under 35 kg, er 40 mg én gang dagligt og til børn, der vejer over 35 kg, 80 mg én gang dagligt. Dosis bør justeres i henhold til virkningen på blodtrykket og </w:t>
      </w:r>
      <w:proofErr w:type="spellStart"/>
      <w:r>
        <w:rPr>
          <w:sz w:val="24"/>
          <w:szCs w:val="24"/>
        </w:rPr>
        <w:t>tolerabilitet</w:t>
      </w:r>
      <w:proofErr w:type="spellEnd"/>
      <w:r>
        <w:rPr>
          <w:sz w:val="24"/>
          <w:szCs w:val="24"/>
        </w:rPr>
        <w:t xml:space="preserve">. Se tabellen nedenfor for maksimaldoser, der er undersøgt i kliniske studier. </w:t>
      </w:r>
    </w:p>
    <w:p w:rsidR="003E5ED1" w:rsidRDefault="003E5ED1" w:rsidP="003E5ED1">
      <w:pPr>
        <w:tabs>
          <w:tab w:val="left" w:pos="851"/>
        </w:tabs>
        <w:ind w:left="851" w:hanging="851"/>
        <w:rPr>
          <w:sz w:val="24"/>
          <w:szCs w:val="24"/>
        </w:rPr>
      </w:pPr>
    </w:p>
    <w:p w:rsidR="003E5ED1" w:rsidRDefault="003E5ED1" w:rsidP="003E5ED1">
      <w:pPr>
        <w:tabs>
          <w:tab w:val="left" w:pos="851"/>
        </w:tabs>
        <w:ind w:left="851" w:hanging="851"/>
        <w:rPr>
          <w:sz w:val="24"/>
          <w:szCs w:val="24"/>
        </w:rPr>
      </w:pPr>
      <w:r>
        <w:rPr>
          <w:sz w:val="24"/>
          <w:szCs w:val="24"/>
        </w:rPr>
        <w:tab/>
        <w:t>Doser, der er større end de anførte, er ikke undersøgt og frarådes derfor.</w:t>
      </w:r>
    </w:p>
    <w:p w:rsidR="003E5ED1" w:rsidRDefault="003E5ED1" w:rsidP="003E5ED1">
      <w:pPr>
        <w:tabs>
          <w:tab w:val="left" w:pos="567"/>
        </w:tabs>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536"/>
      </w:tblGrid>
      <w:tr w:rsidR="003E5ED1" w:rsidTr="00462611">
        <w:tc>
          <w:tcPr>
            <w:tcW w:w="2693"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proofErr w:type="spellStart"/>
            <w:r>
              <w:rPr>
                <w:sz w:val="24"/>
                <w:szCs w:val="24"/>
                <w:lang w:val="en-US"/>
              </w:rPr>
              <w:t>Vægt</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rPr>
            </w:pPr>
            <w:r>
              <w:rPr>
                <w:sz w:val="24"/>
                <w:szCs w:val="24"/>
              </w:rPr>
              <w:t>Maksimaldosis undersøgt i kliniske studier</w:t>
            </w:r>
          </w:p>
        </w:tc>
      </w:tr>
      <w:tr w:rsidR="003E5ED1" w:rsidTr="00462611">
        <w:tc>
          <w:tcPr>
            <w:tcW w:w="2693"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 xml:space="preserve">≥18 kg </w:t>
            </w:r>
            <w:proofErr w:type="spellStart"/>
            <w:r>
              <w:rPr>
                <w:sz w:val="24"/>
                <w:szCs w:val="24"/>
                <w:lang w:val="en-US"/>
              </w:rPr>
              <w:t>til</w:t>
            </w:r>
            <w:proofErr w:type="spellEnd"/>
            <w:r>
              <w:rPr>
                <w:sz w:val="24"/>
                <w:szCs w:val="24"/>
                <w:lang w:val="en-US"/>
              </w:rPr>
              <w:t xml:space="preserve"> &lt;35 kg</w:t>
            </w:r>
          </w:p>
        </w:tc>
        <w:tc>
          <w:tcPr>
            <w:tcW w:w="4536"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80 mg</w:t>
            </w:r>
          </w:p>
        </w:tc>
      </w:tr>
      <w:tr w:rsidR="003E5ED1" w:rsidTr="00462611">
        <w:tc>
          <w:tcPr>
            <w:tcW w:w="2693"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 xml:space="preserve">≥35 kg </w:t>
            </w:r>
            <w:proofErr w:type="spellStart"/>
            <w:r>
              <w:rPr>
                <w:sz w:val="24"/>
                <w:szCs w:val="24"/>
                <w:lang w:val="en-US"/>
              </w:rPr>
              <w:t>til</w:t>
            </w:r>
            <w:proofErr w:type="spellEnd"/>
            <w:r>
              <w:rPr>
                <w:sz w:val="24"/>
                <w:szCs w:val="24"/>
                <w:lang w:val="en-US"/>
              </w:rPr>
              <w:t xml:space="preserve"> &lt;80 kg</w:t>
            </w:r>
          </w:p>
        </w:tc>
        <w:tc>
          <w:tcPr>
            <w:tcW w:w="4536"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160 mg</w:t>
            </w:r>
          </w:p>
        </w:tc>
      </w:tr>
      <w:tr w:rsidR="003E5ED1" w:rsidTr="00462611">
        <w:tc>
          <w:tcPr>
            <w:tcW w:w="2693"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 xml:space="preserve">≥80 kg </w:t>
            </w:r>
            <w:proofErr w:type="spellStart"/>
            <w:r>
              <w:rPr>
                <w:sz w:val="24"/>
                <w:szCs w:val="24"/>
                <w:lang w:val="en-US"/>
              </w:rPr>
              <w:t>til</w:t>
            </w:r>
            <w:proofErr w:type="spellEnd"/>
            <w:r>
              <w:rPr>
                <w:sz w:val="24"/>
                <w:szCs w:val="24"/>
                <w:lang w:val="en-US"/>
              </w:rPr>
              <w:t xml:space="preserve"> ≤160 kg</w:t>
            </w:r>
          </w:p>
        </w:tc>
        <w:tc>
          <w:tcPr>
            <w:tcW w:w="4536" w:type="dxa"/>
            <w:tcBorders>
              <w:top w:val="single" w:sz="4" w:space="0" w:color="auto"/>
              <w:left w:val="single" w:sz="4" w:space="0" w:color="auto"/>
              <w:bottom w:val="single" w:sz="4" w:space="0" w:color="auto"/>
              <w:right w:val="single" w:sz="4" w:space="0" w:color="auto"/>
            </w:tcBorders>
            <w:hideMark/>
          </w:tcPr>
          <w:p w:rsidR="003E5ED1" w:rsidRDefault="003E5ED1" w:rsidP="00462611">
            <w:pPr>
              <w:tabs>
                <w:tab w:val="left" w:pos="567"/>
              </w:tabs>
              <w:jc w:val="center"/>
              <w:rPr>
                <w:sz w:val="24"/>
                <w:szCs w:val="24"/>
                <w:lang w:val="en-US"/>
              </w:rPr>
            </w:pPr>
            <w:r>
              <w:rPr>
                <w:sz w:val="24"/>
                <w:szCs w:val="24"/>
                <w:lang w:val="en-US"/>
              </w:rPr>
              <w:t>320 mg</w:t>
            </w:r>
          </w:p>
        </w:tc>
      </w:tr>
    </w:tbl>
    <w:p w:rsidR="003E5ED1" w:rsidRDefault="003E5ED1" w:rsidP="003E5ED1">
      <w:pPr>
        <w:tabs>
          <w:tab w:val="left" w:pos="851"/>
        </w:tabs>
        <w:ind w:left="851" w:hanging="851"/>
        <w:rPr>
          <w:sz w:val="24"/>
          <w:szCs w:val="24"/>
        </w:rPr>
      </w:pPr>
    </w:p>
    <w:p w:rsidR="003E5ED1" w:rsidRDefault="003E5ED1" w:rsidP="003E5ED1">
      <w:pPr>
        <w:tabs>
          <w:tab w:val="left" w:pos="851"/>
        </w:tabs>
        <w:ind w:left="851" w:hanging="851"/>
        <w:rPr>
          <w:i/>
          <w:sz w:val="24"/>
          <w:szCs w:val="24"/>
          <w:u w:val="single"/>
        </w:rPr>
      </w:pPr>
      <w:r>
        <w:rPr>
          <w:sz w:val="24"/>
          <w:szCs w:val="24"/>
        </w:rPr>
        <w:tab/>
      </w:r>
      <w:r>
        <w:rPr>
          <w:i/>
          <w:sz w:val="24"/>
          <w:szCs w:val="24"/>
          <w:u w:val="single"/>
        </w:rPr>
        <w:t>Børn under 6 år</w:t>
      </w:r>
    </w:p>
    <w:p w:rsidR="003E5ED1" w:rsidRDefault="003E5ED1" w:rsidP="003E5ED1">
      <w:pPr>
        <w:tabs>
          <w:tab w:val="left" w:pos="851"/>
        </w:tabs>
        <w:ind w:left="851" w:hanging="851"/>
        <w:rPr>
          <w:sz w:val="24"/>
          <w:szCs w:val="24"/>
        </w:rPr>
      </w:pPr>
      <w:r>
        <w:rPr>
          <w:sz w:val="24"/>
          <w:szCs w:val="24"/>
        </w:rPr>
        <w:tab/>
        <w:t xml:space="preserve">Tilgængelige data er beskrevet i pkt. 4.8, 5.1 og 5.2. Sikkerhed og virkning af </w:t>
      </w:r>
      <w:proofErr w:type="spellStart"/>
      <w:r w:rsidR="004E080E">
        <w:rPr>
          <w:sz w:val="24"/>
          <w:szCs w:val="24"/>
        </w:rPr>
        <w:t>Valsartan</w:t>
      </w:r>
      <w:proofErr w:type="spellEnd"/>
      <w:r w:rsidR="004E080E">
        <w:rPr>
          <w:sz w:val="24"/>
          <w:szCs w:val="24"/>
        </w:rPr>
        <w:t xml:space="preserve"> ”Nordic Prime”</w:t>
      </w:r>
      <w:r>
        <w:rPr>
          <w:sz w:val="24"/>
          <w:szCs w:val="24"/>
        </w:rPr>
        <w:t xml:space="preserve"> er imidlertid ikke fastsat for børn i aldersgruppen under 1.</w:t>
      </w:r>
    </w:p>
    <w:p w:rsidR="003E5ED1" w:rsidRDefault="003E5ED1" w:rsidP="003E5ED1">
      <w:pPr>
        <w:tabs>
          <w:tab w:val="left" w:pos="851"/>
        </w:tabs>
        <w:ind w:left="851" w:hanging="851"/>
        <w:rPr>
          <w:sz w:val="24"/>
          <w:szCs w:val="24"/>
        </w:rPr>
      </w:pPr>
    </w:p>
    <w:p w:rsidR="003E5ED1" w:rsidRDefault="003E5ED1" w:rsidP="003E5ED1">
      <w:pPr>
        <w:autoSpaceDE w:val="0"/>
        <w:autoSpaceDN w:val="0"/>
        <w:adjustRightInd w:val="0"/>
        <w:ind w:firstLine="851"/>
        <w:rPr>
          <w:i/>
          <w:iCs/>
          <w:sz w:val="24"/>
          <w:szCs w:val="24"/>
          <w:u w:val="single"/>
        </w:rPr>
      </w:pPr>
    </w:p>
    <w:p w:rsidR="003E5ED1" w:rsidRDefault="003E5ED1" w:rsidP="003E5ED1">
      <w:pPr>
        <w:autoSpaceDE w:val="0"/>
        <w:autoSpaceDN w:val="0"/>
        <w:adjustRightInd w:val="0"/>
        <w:ind w:firstLine="851"/>
        <w:rPr>
          <w:i/>
          <w:iCs/>
          <w:sz w:val="24"/>
          <w:szCs w:val="24"/>
          <w:u w:val="single"/>
        </w:rPr>
      </w:pPr>
    </w:p>
    <w:p w:rsidR="003E5ED1" w:rsidRDefault="003E5ED1" w:rsidP="003E5ED1">
      <w:pPr>
        <w:autoSpaceDE w:val="0"/>
        <w:autoSpaceDN w:val="0"/>
        <w:adjustRightInd w:val="0"/>
        <w:ind w:firstLine="851"/>
        <w:rPr>
          <w:i/>
          <w:iCs/>
          <w:sz w:val="24"/>
          <w:szCs w:val="24"/>
          <w:u w:val="single"/>
        </w:rPr>
      </w:pPr>
      <w:r>
        <w:rPr>
          <w:i/>
          <w:iCs/>
          <w:sz w:val="24"/>
          <w:szCs w:val="24"/>
          <w:u w:val="single"/>
        </w:rPr>
        <w:t>Brug til pædiatriske patienter i alderen 6 til under 18 år med nedsat nyrefunktion</w:t>
      </w:r>
    </w:p>
    <w:p w:rsidR="003E5ED1" w:rsidRDefault="003E5ED1" w:rsidP="003E5ED1">
      <w:pPr>
        <w:autoSpaceDE w:val="0"/>
        <w:autoSpaceDN w:val="0"/>
        <w:adjustRightInd w:val="0"/>
        <w:ind w:left="851"/>
        <w:rPr>
          <w:sz w:val="24"/>
          <w:szCs w:val="24"/>
        </w:rPr>
      </w:pPr>
      <w:r>
        <w:rPr>
          <w:sz w:val="24"/>
          <w:szCs w:val="24"/>
        </w:rPr>
        <w:t xml:space="preserve">Anvendelse til pædiatriske patienter med en </w:t>
      </w:r>
      <w:proofErr w:type="spellStart"/>
      <w:r>
        <w:rPr>
          <w:sz w:val="24"/>
          <w:szCs w:val="24"/>
        </w:rPr>
        <w:t>kreatininclearence</w:t>
      </w:r>
      <w:proofErr w:type="spellEnd"/>
      <w:r>
        <w:rPr>
          <w:sz w:val="24"/>
          <w:szCs w:val="24"/>
        </w:rPr>
        <w:t xml:space="preserve"> &lt;30 ml/min og til pædiatriske patienter i dialyse er ikke undersøgt. </w:t>
      </w:r>
      <w:proofErr w:type="spellStart"/>
      <w:r>
        <w:rPr>
          <w:sz w:val="24"/>
          <w:szCs w:val="24"/>
        </w:rPr>
        <w:t>Valsartan</w:t>
      </w:r>
      <w:proofErr w:type="spellEnd"/>
      <w:r>
        <w:rPr>
          <w:sz w:val="24"/>
          <w:szCs w:val="24"/>
        </w:rPr>
        <w:t xml:space="preserve"> frarådes derfor til disse patienter. Dosisjustering til pædiatriske patienter med en </w:t>
      </w:r>
      <w:proofErr w:type="spellStart"/>
      <w:r>
        <w:rPr>
          <w:sz w:val="24"/>
          <w:szCs w:val="24"/>
        </w:rPr>
        <w:t>kreatininclearance</w:t>
      </w:r>
      <w:proofErr w:type="spellEnd"/>
      <w:r>
        <w:rPr>
          <w:sz w:val="24"/>
          <w:szCs w:val="24"/>
        </w:rPr>
        <w:t xml:space="preserve"> &gt;30 ml/min er ikke nødvendig. Nyrefunktion og serumkalium skal monitoreres tæt (se pkt. 4.4 og 5.2).</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i/>
          <w:iCs/>
          <w:sz w:val="24"/>
          <w:szCs w:val="24"/>
          <w:u w:val="single"/>
        </w:rPr>
      </w:pPr>
      <w:r>
        <w:rPr>
          <w:i/>
          <w:iCs/>
          <w:sz w:val="24"/>
          <w:szCs w:val="24"/>
          <w:u w:val="single"/>
        </w:rPr>
        <w:t>Brug til pædiatriske patienter i alderen 6 til under18 år med nedsat leverfunktion</w:t>
      </w:r>
    </w:p>
    <w:p w:rsidR="003E5ED1" w:rsidRDefault="003E5ED1" w:rsidP="003E5ED1">
      <w:pPr>
        <w:autoSpaceDE w:val="0"/>
        <w:autoSpaceDN w:val="0"/>
        <w:adjustRightInd w:val="0"/>
        <w:ind w:left="851"/>
        <w:rPr>
          <w:sz w:val="24"/>
          <w:szCs w:val="24"/>
        </w:rPr>
      </w:pPr>
      <w:r>
        <w:rPr>
          <w:sz w:val="24"/>
          <w:szCs w:val="24"/>
        </w:rPr>
        <w:t xml:space="preserve">Som hos voksne er </w:t>
      </w:r>
      <w:proofErr w:type="spellStart"/>
      <w:r>
        <w:rPr>
          <w:sz w:val="24"/>
          <w:szCs w:val="24"/>
        </w:rPr>
        <w:t>valsartan</w:t>
      </w:r>
      <w:proofErr w:type="spellEnd"/>
      <w:r>
        <w:rPr>
          <w:sz w:val="24"/>
          <w:szCs w:val="24"/>
        </w:rPr>
        <w:t xml:space="preserve"> kontraindiceret hos pædiatriske patienter med alvorligt nedsat leverfunktion, biliær cirrose og hos patienter med </w:t>
      </w:r>
      <w:proofErr w:type="spellStart"/>
      <w:r>
        <w:rPr>
          <w:sz w:val="24"/>
          <w:szCs w:val="24"/>
        </w:rPr>
        <w:t>cholestase</w:t>
      </w:r>
      <w:proofErr w:type="spellEnd"/>
      <w:r>
        <w:rPr>
          <w:sz w:val="24"/>
          <w:szCs w:val="24"/>
        </w:rPr>
        <w:t xml:space="preserve"> (se pkt. 4.3, 4.4 og 5.2). Der er begrænset klinisk erfaring med </w:t>
      </w:r>
      <w:proofErr w:type="spellStart"/>
      <w:r>
        <w:rPr>
          <w:sz w:val="24"/>
          <w:szCs w:val="24"/>
        </w:rPr>
        <w:t>valsartan</w:t>
      </w:r>
      <w:proofErr w:type="spellEnd"/>
      <w:r>
        <w:rPr>
          <w:sz w:val="24"/>
          <w:szCs w:val="24"/>
        </w:rPr>
        <w:t xml:space="preserve"> hos pædiatriske patienter med let til moderat nedsat leverfunktion. </w:t>
      </w:r>
      <w:proofErr w:type="spellStart"/>
      <w:r>
        <w:rPr>
          <w:sz w:val="24"/>
          <w:szCs w:val="24"/>
        </w:rPr>
        <w:t>Valsartandosis</w:t>
      </w:r>
      <w:proofErr w:type="spellEnd"/>
      <w:r>
        <w:rPr>
          <w:sz w:val="24"/>
          <w:szCs w:val="24"/>
        </w:rPr>
        <w:t xml:space="preserve"> bør ikke overskride 80 mg hos disse patienter.</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i/>
          <w:iCs/>
          <w:sz w:val="24"/>
          <w:szCs w:val="24"/>
          <w:u w:val="single"/>
        </w:rPr>
      </w:pPr>
      <w:r>
        <w:rPr>
          <w:i/>
          <w:iCs/>
          <w:sz w:val="24"/>
          <w:szCs w:val="24"/>
          <w:u w:val="single"/>
        </w:rPr>
        <w:t>Pædiatrisk hjertesvigt og nyligt myokardieinfarkt</w:t>
      </w:r>
    </w:p>
    <w:p w:rsidR="003E5ED1" w:rsidRDefault="003E5ED1" w:rsidP="003E5ED1">
      <w:pPr>
        <w:autoSpaceDE w:val="0"/>
        <w:autoSpaceDN w:val="0"/>
        <w:adjustRightInd w:val="0"/>
        <w:ind w:left="851"/>
        <w:rPr>
          <w:sz w:val="24"/>
          <w:szCs w:val="24"/>
        </w:rPr>
      </w:pPr>
      <w:r>
        <w:rPr>
          <w:sz w:val="24"/>
          <w:szCs w:val="24"/>
        </w:rPr>
        <w:t xml:space="preserve">På grund af manglende dokumentation for sikkerhed og virkning frarådes </w:t>
      </w:r>
      <w:proofErr w:type="spellStart"/>
      <w:r>
        <w:rPr>
          <w:sz w:val="24"/>
          <w:szCs w:val="24"/>
        </w:rPr>
        <w:t>valsartan</w:t>
      </w:r>
      <w:proofErr w:type="spellEnd"/>
      <w:r>
        <w:rPr>
          <w:sz w:val="24"/>
          <w:szCs w:val="24"/>
        </w:rPr>
        <w:t xml:space="preserve"> til behandling af hjertesvigt eller nyligt myokardieinfarkt hos børn og unge under 18 år.</w:t>
      </w:r>
    </w:p>
    <w:p w:rsidR="003E5ED1" w:rsidRDefault="003E5ED1" w:rsidP="003E5ED1">
      <w:pPr>
        <w:autoSpaceDE w:val="0"/>
        <w:autoSpaceDN w:val="0"/>
        <w:adjustRightInd w:val="0"/>
        <w:rPr>
          <w:i/>
          <w:iCs/>
          <w:sz w:val="24"/>
          <w:szCs w:val="24"/>
        </w:rPr>
      </w:pPr>
    </w:p>
    <w:p w:rsidR="003E5ED1" w:rsidRDefault="003E5ED1" w:rsidP="003E5ED1">
      <w:pPr>
        <w:autoSpaceDE w:val="0"/>
        <w:autoSpaceDN w:val="0"/>
        <w:adjustRightInd w:val="0"/>
        <w:ind w:firstLine="851"/>
        <w:rPr>
          <w:i/>
          <w:iCs/>
          <w:sz w:val="24"/>
          <w:szCs w:val="24"/>
          <w:u w:val="single"/>
        </w:rPr>
      </w:pPr>
    </w:p>
    <w:p w:rsidR="003E5ED1" w:rsidRDefault="003E5ED1" w:rsidP="003E5ED1">
      <w:pPr>
        <w:autoSpaceDE w:val="0"/>
        <w:autoSpaceDN w:val="0"/>
        <w:adjustRightInd w:val="0"/>
        <w:ind w:firstLine="851"/>
        <w:rPr>
          <w:i/>
          <w:iCs/>
          <w:sz w:val="24"/>
          <w:szCs w:val="24"/>
          <w:u w:val="single"/>
        </w:rPr>
      </w:pPr>
      <w:r>
        <w:rPr>
          <w:i/>
          <w:iCs/>
          <w:sz w:val="24"/>
          <w:szCs w:val="24"/>
          <w:u w:val="single"/>
        </w:rPr>
        <w:t>Administrationsmetode</w:t>
      </w:r>
    </w:p>
    <w:p w:rsidR="003E5ED1" w:rsidRDefault="003E5ED1" w:rsidP="003E5ED1">
      <w:pPr>
        <w:autoSpaceDE w:val="0"/>
        <w:autoSpaceDN w:val="0"/>
        <w:adjustRightInd w:val="0"/>
        <w:ind w:firstLine="851"/>
        <w:rPr>
          <w:sz w:val="24"/>
          <w:szCs w:val="24"/>
        </w:rPr>
      </w:pPr>
      <w:proofErr w:type="spellStart"/>
      <w:r>
        <w:rPr>
          <w:sz w:val="24"/>
          <w:szCs w:val="24"/>
        </w:rPr>
        <w:lastRenderedPageBreak/>
        <w:t>Valsartan</w:t>
      </w:r>
      <w:proofErr w:type="spellEnd"/>
      <w:r>
        <w:rPr>
          <w:sz w:val="24"/>
          <w:szCs w:val="24"/>
        </w:rPr>
        <w:t xml:space="preserve"> kan tages uafhængigt af måltider og bør administreres med vand.</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Kontraindikationer</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Overfølsomhed over for </w:t>
      </w:r>
      <w:proofErr w:type="spellStart"/>
      <w:r w:rsidRPr="004C69FA">
        <w:rPr>
          <w:sz w:val="24"/>
          <w:szCs w:val="24"/>
        </w:rPr>
        <w:t>valsartan</w:t>
      </w:r>
      <w:proofErr w:type="spellEnd"/>
      <w:r w:rsidRPr="004C69FA">
        <w:rPr>
          <w:sz w:val="24"/>
          <w:szCs w:val="24"/>
        </w:rPr>
        <w:t xml:space="preserve"> eller over for et eller flere af hjælpestofferne, anført i pkt. 6.1.</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Alvorlig leverinsufficiens, biliær cirrose og </w:t>
      </w:r>
      <w:proofErr w:type="spellStart"/>
      <w:r w:rsidRPr="004C69FA">
        <w:rPr>
          <w:sz w:val="24"/>
          <w:szCs w:val="24"/>
        </w:rPr>
        <w:t>cholestase</w:t>
      </w:r>
      <w:proofErr w:type="spellEnd"/>
      <w:r w:rsidRPr="004C69FA">
        <w:rPr>
          <w:sz w:val="24"/>
          <w:szCs w:val="24"/>
        </w:rPr>
        <w:t xml:space="preserve">. </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Andet og tredje trimester af graviditet (se pkt. 4.4 og 4.6).</w:t>
      </w:r>
    </w:p>
    <w:p w:rsidR="00E4145D" w:rsidRPr="004C69FA" w:rsidRDefault="00E4145D" w:rsidP="00E4145D">
      <w:pPr>
        <w:numPr>
          <w:ilvl w:val="0"/>
          <w:numId w:val="6"/>
        </w:numPr>
        <w:tabs>
          <w:tab w:val="clear" w:pos="1215"/>
        </w:tabs>
        <w:autoSpaceDE w:val="0"/>
        <w:autoSpaceDN w:val="0"/>
        <w:adjustRightInd w:val="0"/>
        <w:rPr>
          <w:sz w:val="24"/>
          <w:szCs w:val="24"/>
        </w:rPr>
      </w:pPr>
      <w:r w:rsidRPr="004C69FA">
        <w:rPr>
          <w:sz w:val="24"/>
          <w:szCs w:val="24"/>
        </w:rPr>
        <w:t xml:space="preserve">Samtidig brug af </w:t>
      </w:r>
      <w:proofErr w:type="spellStart"/>
      <w:r w:rsidR="006E535F">
        <w:rPr>
          <w:sz w:val="24"/>
          <w:szCs w:val="24"/>
        </w:rPr>
        <w:t>Valsartan</w:t>
      </w:r>
      <w:proofErr w:type="spellEnd"/>
      <w:r w:rsidR="006E535F">
        <w:rPr>
          <w:sz w:val="24"/>
          <w:szCs w:val="24"/>
        </w:rPr>
        <w:t xml:space="preserve"> ”Nordic Prime”</w:t>
      </w:r>
      <w:r w:rsidRPr="004C69FA">
        <w:rPr>
          <w:sz w:val="24"/>
          <w:szCs w:val="24"/>
        </w:rPr>
        <w:t xml:space="preserve"> og lægemidler indeholdende </w:t>
      </w:r>
      <w:proofErr w:type="spellStart"/>
      <w:r w:rsidRPr="004C69FA">
        <w:rPr>
          <w:sz w:val="24"/>
          <w:szCs w:val="24"/>
        </w:rPr>
        <w:t>aliskiren</w:t>
      </w:r>
      <w:proofErr w:type="spellEnd"/>
      <w:r w:rsidRPr="004C69FA">
        <w:rPr>
          <w:sz w:val="24"/>
          <w:szCs w:val="24"/>
        </w:rPr>
        <w:t xml:space="preserve"> er kontraindiceret hos patienter med diabetes mellitus eller nedsat nyrefunktion (GFR &lt; 60 ml/min/1,73 m</w:t>
      </w:r>
      <w:r w:rsidRPr="004C69FA">
        <w:rPr>
          <w:sz w:val="24"/>
          <w:szCs w:val="24"/>
          <w:vertAlign w:val="superscript"/>
        </w:rPr>
        <w:t>2</w:t>
      </w:r>
      <w:r w:rsidRPr="004C69FA">
        <w:rPr>
          <w:sz w:val="24"/>
          <w:szCs w:val="24"/>
        </w:rPr>
        <w:t>)</w:t>
      </w:r>
      <w:r w:rsidRPr="004C69FA">
        <w:rPr>
          <w:b/>
          <w:sz w:val="24"/>
          <w:szCs w:val="24"/>
        </w:rPr>
        <w:t xml:space="preserve"> </w:t>
      </w:r>
      <w:r w:rsidRPr="004C69FA">
        <w:rPr>
          <w:sz w:val="24"/>
          <w:szCs w:val="24"/>
        </w:rPr>
        <w:t>(se pkt. 4.5 og 5.1).</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Særlige advarsler og forsigtighedsregler vedrørende brugen</w:t>
      </w:r>
    </w:p>
    <w:p w:rsidR="00E4145D" w:rsidRDefault="00E4145D" w:rsidP="00E4145D">
      <w:pPr>
        <w:tabs>
          <w:tab w:val="left" w:pos="0"/>
          <w:tab w:val="left" w:pos="851"/>
        </w:tabs>
        <w:ind w:left="851"/>
        <w:rPr>
          <w:sz w:val="24"/>
          <w:szCs w:val="24"/>
        </w:rPr>
      </w:pPr>
    </w:p>
    <w:p w:rsidR="003E5ED1" w:rsidRPr="004C69FA" w:rsidRDefault="00E4145D" w:rsidP="003E5ED1">
      <w:pPr>
        <w:tabs>
          <w:tab w:val="left" w:pos="0"/>
          <w:tab w:val="left" w:pos="851"/>
        </w:tabs>
        <w:ind w:left="851" w:hanging="851"/>
        <w:rPr>
          <w:sz w:val="24"/>
          <w:szCs w:val="24"/>
          <w:u w:val="single"/>
        </w:rPr>
      </w:pPr>
      <w:r>
        <w:rPr>
          <w:sz w:val="24"/>
          <w:szCs w:val="24"/>
        </w:rPr>
        <w:tab/>
      </w:r>
      <w:proofErr w:type="spellStart"/>
      <w:r w:rsidR="003E5ED1" w:rsidRPr="004C69FA">
        <w:rPr>
          <w:sz w:val="24"/>
          <w:szCs w:val="24"/>
          <w:u w:val="single"/>
        </w:rPr>
        <w:t>Hyperkaliæmi</w:t>
      </w:r>
      <w:proofErr w:type="spellEnd"/>
    </w:p>
    <w:p w:rsidR="003E5ED1" w:rsidRPr="004C69FA" w:rsidRDefault="003E5ED1" w:rsidP="003E5ED1">
      <w:pPr>
        <w:ind w:left="851"/>
        <w:rPr>
          <w:sz w:val="24"/>
          <w:szCs w:val="24"/>
        </w:rPr>
      </w:pPr>
      <w:r w:rsidRPr="004C69FA">
        <w:rPr>
          <w:sz w:val="24"/>
          <w:szCs w:val="24"/>
        </w:rPr>
        <w:t xml:space="preserve">Samtidig brug af kaliumtilskud, kaliumbesparende </w:t>
      </w:r>
      <w:proofErr w:type="spellStart"/>
      <w:r w:rsidRPr="004C69FA">
        <w:rPr>
          <w:sz w:val="24"/>
          <w:szCs w:val="24"/>
        </w:rPr>
        <w:t>diuretika</w:t>
      </w:r>
      <w:proofErr w:type="spellEnd"/>
      <w:r w:rsidRPr="004C69FA">
        <w:rPr>
          <w:sz w:val="24"/>
          <w:szCs w:val="24"/>
        </w:rPr>
        <w:t>, salterstatninger indeholdende kalium eller andre produkter, som kan øge kaliumniveauet (</w:t>
      </w:r>
      <w:proofErr w:type="spellStart"/>
      <w:r w:rsidRPr="004C69FA">
        <w:rPr>
          <w:sz w:val="24"/>
          <w:szCs w:val="24"/>
        </w:rPr>
        <w:t>heparin</w:t>
      </w:r>
      <w:proofErr w:type="spellEnd"/>
      <w:r w:rsidRPr="004C69FA">
        <w:rPr>
          <w:sz w:val="24"/>
          <w:szCs w:val="24"/>
        </w:rPr>
        <w:t xml:space="preserve"> o.l.) kan ikke anbefales. Monitorering af kalium bør ske efter behov. </w:t>
      </w:r>
    </w:p>
    <w:p w:rsidR="003E5ED1" w:rsidRPr="004C69FA"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Nedsat nyrefunktion</w:t>
      </w:r>
    </w:p>
    <w:p w:rsidR="003E5ED1" w:rsidRDefault="003E5ED1" w:rsidP="003E5ED1">
      <w:pPr>
        <w:autoSpaceDE w:val="0"/>
        <w:autoSpaceDN w:val="0"/>
        <w:adjustRightInd w:val="0"/>
        <w:ind w:left="851"/>
        <w:rPr>
          <w:sz w:val="24"/>
          <w:szCs w:val="24"/>
        </w:rPr>
      </w:pPr>
      <w:r>
        <w:rPr>
          <w:sz w:val="24"/>
          <w:szCs w:val="24"/>
        </w:rPr>
        <w:t xml:space="preserve">Der er på nuværende tidspunkt ingen erfaring vedrørende sikker brug hos patienter med en </w:t>
      </w:r>
      <w:proofErr w:type="spellStart"/>
      <w:r>
        <w:rPr>
          <w:sz w:val="24"/>
          <w:szCs w:val="24"/>
        </w:rPr>
        <w:t>kreatininclearance</w:t>
      </w:r>
      <w:proofErr w:type="spellEnd"/>
      <w:r>
        <w:rPr>
          <w:sz w:val="24"/>
          <w:szCs w:val="24"/>
        </w:rPr>
        <w:t xml:space="preserve"> &lt;10 ml/min og hos patienter i dialyse. </w:t>
      </w:r>
      <w:proofErr w:type="spellStart"/>
      <w:r>
        <w:rPr>
          <w:sz w:val="24"/>
          <w:szCs w:val="24"/>
        </w:rPr>
        <w:t>Valsartan</w:t>
      </w:r>
      <w:proofErr w:type="spellEnd"/>
      <w:r>
        <w:rPr>
          <w:sz w:val="24"/>
          <w:szCs w:val="24"/>
        </w:rPr>
        <w:t xml:space="preserve"> skal derfor bruges med forsigtighed hos disse patienter. Dosisjustering er ikke nødvendig hos voksne patienter med </w:t>
      </w:r>
      <w:proofErr w:type="spellStart"/>
      <w:r>
        <w:rPr>
          <w:sz w:val="24"/>
          <w:szCs w:val="24"/>
        </w:rPr>
        <w:t>kreatininclearance</w:t>
      </w:r>
      <w:proofErr w:type="spellEnd"/>
      <w:r>
        <w:rPr>
          <w:sz w:val="24"/>
          <w:szCs w:val="24"/>
        </w:rPr>
        <w:t xml:space="preserve"> &gt;10 ml/min (se pkt. 4.2 og 5.2).</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Nedsat leverfunktion</w:t>
      </w:r>
    </w:p>
    <w:p w:rsidR="003E5ED1" w:rsidRDefault="003E5ED1" w:rsidP="003E5ED1">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bør anvendes med forsigtighed til patienter med let til moderat nedsat leverfunktion uden </w:t>
      </w:r>
      <w:proofErr w:type="spellStart"/>
      <w:r>
        <w:rPr>
          <w:sz w:val="24"/>
          <w:szCs w:val="24"/>
        </w:rPr>
        <w:t>cholestase</w:t>
      </w:r>
      <w:proofErr w:type="spellEnd"/>
      <w:r>
        <w:rPr>
          <w:sz w:val="24"/>
          <w:szCs w:val="24"/>
        </w:rPr>
        <w:t xml:space="preserve"> (se pkt. 4.2 og 5.2).</w:t>
      </w:r>
    </w:p>
    <w:p w:rsidR="003E5ED1" w:rsidRDefault="003E5ED1" w:rsidP="003E5ED1">
      <w:pPr>
        <w:autoSpaceDE w:val="0"/>
        <w:autoSpaceDN w:val="0"/>
        <w:adjustRightInd w:val="0"/>
        <w:ind w:left="851"/>
        <w:rPr>
          <w:sz w:val="24"/>
          <w:szCs w:val="24"/>
          <w:u w:val="single"/>
        </w:rPr>
      </w:pPr>
    </w:p>
    <w:p w:rsidR="003E5ED1" w:rsidRDefault="003E5ED1" w:rsidP="003E5ED1">
      <w:pPr>
        <w:autoSpaceDE w:val="0"/>
        <w:autoSpaceDN w:val="0"/>
        <w:adjustRightInd w:val="0"/>
        <w:ind w:left="851"/>
        <w:rPr>
          <w:sz w:val="24"/>
          <w:szCs w:val="24"/>
          <w:u w:val="single"/>
        </w:rPr>
      </w:pPr>
      <w:r>
        <w:rPr>
          <w:sz w:val="24"/>
          <w:szCs w:val="24"/>
          <w:u w:val="single"/>
        </w:rPr>
        <w:t>Patienter med natrium- og/eller væskemangel</w:t>
      </w:r>
    </w:p>
    <w:p w:rsidR="003E5ED1" w:rsidRDefault="003E5ED1" w:rsidP="003E5ED1">
      <w:pPr>
        <w:autoSpaceDE w:val="0"/>
        <w:autoSpaceDN w:val="0"/>
        <w:adjustRightInd w:val="0"/>
        <w:ind w:left="851"/>
        <w:rPr>
          <w:sz w:val="24"/>
          <w:szCs w:val="24"/>
        </w:rPr>
      </w:pPr>
      <w:r>
        <w:rPr>
          <w:sz w:val="24"/>
          <w:szCs w:val="24"/>
        </w:rPr>
        <w:t xml:space="preserve">Symptomatisk hypotension kan i sjældne tilfælde opstå efter påbegyndt behandling med </w:t>
      </w:r>
      <w:proofErr w:type="spellStart"/>
      <w:r>
        <w:rPr>
          <w:sz w:val="24"/>
          <w:szCs w:val="24"/>
        </w:rPr>
        <w:t>valsartan</w:t>
      </w:r>
      <w:proofErr w:type="spellEnd"/>
      <w:r>
        <w:rPr>
          <w:sz w:val="24"/>
          <w:szCs w:val="24"/>
        </w:rPr>
        <w:t xml:space="preserve"> hos patienter med alvorlig natrium- og/eller væskemangel, såsom de, der får høje doser af </w:t>
      </w:r>
      <w:proofErr w:type="spellStart"/>
      <w:r>
        <w:rPr>
          <w:sz w:val="24"/>
          <w:szCs w:val="24"/>
        </w:rPr>
        <w:t>diuretika</w:t>
      </w:r>
      <w:proofErr w:type="spellEnd"/>
      <w:r>
        <w:rPr>
          <w:sz w:val="24"/>
          <w:szCs w:val="24"/>
        </w:rPr>
        <w:t xml:space="preserve">. Natrium- og/eller væskemangel bør derfor korrigeres før behandlingsstart med </w:t>
      </w:r>
      <w:proofErr w:type="spellStart"/>
      <w:r>
        <w:rPr>
          <w:sz w:val="24"/>
          <w:szCs w:val="24"/>
        </w:rPr>
        <w:t>valsartan</w:t>
      </w:r>
      <w:proofErr w:type="spellEnd"/>
      <w:r>
        <w:rPr>
          <w:sz w:val="24"/>
          <w:szCs w:val="24"/>
        </w:rPr>
        <w:t xml:space="preserve"> som for eksempel ved reduktion af </w:t>
      </w:r>
      <w:proofErr w:type="spellStart"/>
      <w:r>
        <w:rPr>
          <w:sz w:val="24"/>
          <w:szCs w:val="24"/>
        </w:rPr>
        <w:t>diuretikadosis</w:t>
      </w:r>
      <w:proofErr w:type="spellEnd"/>
      <w:r>
        <w:rPr>
          <w:sz w:val="24"/>
          <w:szCs w:val="24"/>
        </w:rPr>
        <w:t xml:space="preserve">.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Nyrearteriestenose</w:t>
      </w:r>
    </w:p>
    <w:p w:rsidR="003E5ED1" w:rsidRDefault="003E5ED1" w:rsidP="003E5ED1">
      <w:pPr>
        <w:autoSpaceDE w:val="0"/>
        <w:autoSpaceDN w:val="0"/>
        <w:adjustRightInd w:val="0"/>
        <w:ind w:left="851"/>
        <w:rPr>
          <w:sz w:val="24"/>
          <w:szCs w:val="24"/>
        </w:rPr>
      </w:pPr>
      <w:r>
        <w:rPr>
          <w:sz w:val="24"/>
          <w:szCs w:val="24"/>
        </w:rPr>
        <w:t xml:space="preserve">Hos patienter med bilateral nyrearteriestenose eller stenose i en enkelt nyre er sikkerheden ved brug af </w:t>
      </w:r>
      <w:proofErr w:type="spellStart"/>
      <w:r>
        <w:rPr>
          <w:sz w:val="24"/>
          <w:szCs w:val="24"/>
        </w:rPr>
        <w:t>valsartan</w:t>
      </w:r>
      <w:proofErr w:type="spellEnd"/>
      <w:r>
        <w:rPr>
          <w:sz w:val="24"/>
          <w:szCs w:val="24"/>
        </w:rPr>
        <w:t xml:space="preserve"> ikke klarlagt. </w:t>
      </w:r>
    </w:p>
    <w:p w:rsidR="003E5ED1" w:rsidRDefault="003E5ED1" w:rsidP="003E5ED1">
      <w:pPr>
        <w:autoSpaceDE w:val="0"/>
        <w:autoSpaceDN w:val="0"/>
        <w:adjustRightInd w:val="0"/>
        <w:ind w:left="851"/>
        <w:rPr>
          <w:sz w:val="24"/>
          <w:szCs w:val="24"/>
        </w:rPr>
      </w:pPr>
      <w:r>
        <w:rPr>
          <w:sz w:val="24"/>
          <w:szCs w:val="24"/>
        </w:rPr>
        <w:t xml:space="preserve">Korttidsbehandling med </w:t>
      </w:r>
      <w:proofErr w:type="spellStart"/>
      <w:r>
        <w:rPr>
          <w:sz w:val="24"/>
          <w:szCs w:val="24"/>
        </w:rPr>
        <w:t>valsartan</w:t>
      </w:r>
      <w:proofErr w:type="spellEnd"/>
      <w:r>
        <w:rPr>
          <w:sz w:val="24"/>
          <w:szCs w:val="24"/>
        </w:rPr>
        <w:t xml:space="preserve"> af 12 patienter med </w:t>
      </w:r>
      <w:proofErr w:type="spellStart"/>
      <w:r>
        <w:rPr>
          <w:sz w:val="24"/>
          <w:szCs w:val="24"/>
        </w:rPr>
        <w:t>renovaskulær</w:t>
      </w:r>
      <w:proofErr w:type="spellEnd"/>
      <w:r>
        <w:rPr>
          <w:sz w:val="24"/>
          <w:szCs w:val="24"/>
        </w:rPr>
        <w:t xml:space="preserve"> hypertension sekundært til unilateral nyrearteriestenose bevirkede ingen signifikant ændring af den </w:t>
      </w:r>
      <w:proofErr w:type="spellStart"/>
      <w:r>
        <w:rPr>
          <w:sz w:val="24"/>
          <w:szCs w:val="24"/>
        </w:rPr>
        <w:t>renale</w:t>
      </w:r>
      <w:proofErr w:type="spellEnd"/>
      <w:r>
        <w:rPr>
          <w:sz w:val="24"/>
          <w:szCs w:val="24"/>
        </w:rPr>
        <w:t xml:space="preserve"> </w:t>
      </w:r>
      <w:proofErr w:type="spellStart"/>
      <w:r>
        <w:rPr>
          <w:sz w:val="24"/>
          <w:szCs w:val="24"/>
        </w:rPr>
        <w:t>hæmodynamik</w:t>
      </w:r>
      <w:proofErr w:type="spellEnd"/>
      <w:r>
        <w:rPr>
          <w:sz w:val="24"/>
          <w:szCs w:val="24"/>
        </w:rPr>
        <w:t>, serum-</w:t>
      </w:r>
      <w:proofErr w:type="spellStart"/>
      <w:r>
        <w:rPr>
          <w:sz w:val="24"/>
          <w:szCs w:val="24"/>
        </w:rPr>
        <w:t>kreatinin</w:t>
      </w:r>
      <w:proofErr w:type="spellEnd"/>
      <w:r>
        <w:rPr>
          <w:sz w:val="24"/>
          <w:szCs w:val="24"/>
        </w:rPr>
        <w:t xml:space="preserve"> eller blodurinstof (BUN). Imidlertid anbefales monitorering af nyrefunktionen, når patienter behandles med </w:t>
      </w:r>
      <w:proofErr w:type="spellStart"/>
      <w:r>
        <w:rPr>
          <w:sz w:val="24"/>
          <w:szCs w:val="24"/>
        </w:rPr>
        <w:t>valsartan</w:t>
      </w:r>
      <w:proofErr w:type="spellEnd"/>
      <w:r>
        <w:rPr>
          <w:sz w:val="24"/>
          <w:szCs w:val="24"/>
        </w:rPr>
        <w:t xml:space="preserve">, fordi andre stoffer, som påvirker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-systemet, kan øge blodurinstof og serum-</w:t>
      </w:r>
      <w:proofErr w:type="spellStart"/>
      <w:r>
        <w:rPr>
          <w:sz w:val="24"/>
          <w:szCs w:val="24"/>
        </w:rPr>
        <w:t>kreatinin</w:t>
      </w:r>
      <w:proofErr w:type="spellEnd"/>
      <w:r>
        <w:rPr>
          <w:sz w:val="24"/>
          <w:szCs w:val="24"/>
        </w:rPr>
        <w:t xml:space="preserve"> hos patienter med unilateral </w:t>
      </w:r>
      <w:proofErr w:type="spellStart"/>
      <w:r>
        <w:rPr>
          <w:sz w:val="24"/>
          <w:szCs w:val="24"/>
        </w:rPr>
        <w:t>nyrearteristenose</w:t>
      </w:r>
      <w:proofErr w:type="spellEnd"/>
      <w:r>
        <w:rPr>
          <w:sz w:val="24"/>
          <w:szCs w:val="24"/>
        </w:rPr>
        <w:t xml:space="preserve">.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Nyretransplantation</w:t>
      </w:r>
    </w:p>
    <w:p w:rsidR="003E5ED1" w:rsidRDefault="003E5ED1" w:rsidP="003E5ED1">
      <w:pPr>
        <w:autoSpaceDE w:val="0"/>
        <w:autoSpaceDN w:val="0"/>
        <w:adjustRightInd w:val="0"/>
        <w:ind w:left="851"/>
        <w:rPr>
          <w:sz w:val="24"/>
          <w:szCs w:val="24"/>
        </w:rPr>
      </w:pPr>
      <w:r>
        <w:rPr>
          <w:sz w:val="24"/>
          <w:szCs w:val="24"/>
        </w:rPr>
        <w:t xml:space="preserve">Der er på nuværende tidspunkt ingen erfaring med sikkerheden ved brug af </w:t>
      </w:r>
      <w:proofErr w:type="spellStart"/>
      <w:r>
        <w:rPr>
          <w:sz w:val="24"/>
          <w:szCs w:val="24"/>
        </w:rPr>
        <w:t>valsartan</w:t>
      </w:r>
      <w:proofErr w:type="spellEnd"/>
      <w:r>
        <w:rPr>
          <w:sz w:val="24"/>
          <w:szCs w:val="24"/>
        </w:rPr>
        <w:t xml:space="preserve"> til patienter, som for nyligt er blevet nyretransplanteret.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p>
    <w:p w:rsidR="003E5ED1" w:rsidRDefault="003E5ED1" w:rsidP="003E5ED1">
      <w:pPr>
        <w:autoSpaceDE w:val="0"/>
        <w:autoSpaceDN w:val="0"/>
        <w:adjustRightInd w:val="0"/>
        <w:ind w:left="851"/>
        <w:rPr>
          <w:sz w:val="24"/>
          <w:szCs w:val="24"/>
          <w:u w:val="single"/>
        </w:rPr>
      </w:pPr>
    </w:p>
    <w:p w:rsidR="003E5ED1" w:rsidRDefault="003E5ED1" w:rsidP="003E5ED1">
      <w:pPr>
        <w:autoSpaceDE w:val="0"/>
        <w:autoSpaceDN w:val="0"/>
        <w:adjustRightInd w:val="0"/>
        <w:ind w:left="851"/>
        <w:rPr>
          <w:sz w:val="24"/>
          <w:szCs w:val="24"/>
          <w:u w:val="single"/>
        </w:rPr>
      </w:pPr>
      <w:r>
        <w:rPr>
          <w:sz w:val="24"/>
          <w:szCs w:val="24"/>
          <w:u w:val="single"/>
        </w:rPr>
        <w:t xml:space="preserve">Primær </w:t>
      </w:r>
      <w:proofErr w:type="spellStart"/>
      <w:r>
        <w:rPr>
          <w:sz w:val="24"/>
          <w:szCs w:val="24"/>
          <w:u w:val="single"/>
        </w:rPr>
        <w:t>hyperaldosteronisme</w:t>
      </w:r>
      <w:proofErr w:type="spellEnd"/>
    </w:p>
    <w:p w:rsidR="003E5ED1" w:rsidRDefault="003E5ED1" w:rsidP="003E5ED1">
      <w:pPr>
        <w:autoSpaceDE w:val="0"/>
        <w:autoSpaceDN w:val="0"/>
        <w:adjustRightInd w:val="0"/>
        <w:ind w:left="851"/>
        <w:rPr>
          <w:sz w:val="24"/>
          <w:szCs w:val="24"/>
        </w:rPr>
      </w:pPr>
      <w:r>
        <w:rPr>
          <w:sz w:val="24"/>
          <w:szCs w:val="24"/>
        </w:rPr>
        <w:lastRenderedPageBreak/>
        <w:t xml:space="preserve">Patienter med primær </w:t>
      </w:r>
      <w:proofErr w:type="spellStart"/>
      <w:r>
        <w:rPr>
          <w:sz w:val="24"/>
          <w:szCs w:val="24"/>
        </w:rPr>
        <w:t>hyperaldosteronisme</w:t>
      </w:r>
      <w:proofErr w:type="spellEnd"/>
      <w:r>
        <w:rPr>
          <w:sz w:val="24"/>
          <w:szCs w:val="24"/>
        </w:rPr>
        <w:t xml:space="preserve"> bør ikke behandles med </w:t>
      </w:r>
      <w:proofErr w:type="spellStart"/>
      <w:r>
        <w:rPr>
          <w:sz w:val="24"/>
          <w:szCs w:val="24"/>
        </w:rPr>
        <w:t>valsartan</w:t>
      </w:r>
      <w:proofErr w:type="spellEnd"/>
      <w:r>
        <w:rPr>
          <w:sz w:val="24"/>
          <w:szCs w:val="24"/>
        </w:rPr>
        <w:t xml:space="preserve">, da deres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 xml:space="preserve">-system ikke er aktiveret.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 xml:space="preserve">Aorta- og </w:t>
      </w:r>
      <w:proofErr w:type="spellStart"/>
      <w:r>
        <w:rPr>
          <w:sz w:val="24"/>
          <w:szCs w:val="24"/>
          <w:u w:val="single"/>
        </w:rPr>
        <w:t>mitralklapstenose</w:t>
      </w:r>
      <w:proofErr w:type="spellEnd"/>
      <w:r>
        <w:rPr>
          <w:sz w:val="24"/>
          <w:szCs w:val="24"/>
          <w:u w:val="single"/>
        </w:rPr>
        <w:t xml:space="preserve">; obstruktiv </w:t>
      </w:r>
      <w:proofErr w:type="spellStart"/>
      <w:r>
        <w:rPr>
          <w:sz w:val="24"/>
          <w:szCs w:val="24"/>
          <w:u w:val="single"/>
        </w:rPr>
        <w:t>hypertrofisk</w:t>
      </w:r>
      <w:proofErr w:type="spellEnd"/>
      <w:r>
        <w:rPr>
          <w:sz w:val="24"/>
          <w:szCs w:val="24"/>
          <w:u w:val="single"/>
        </w:rPr>
        <w:t xml:space="preserve"> </w:t>
      </w:r>
      <w:proofErr w:type="spellStart"/>
      <w:r>
        <w:rPr>
          <w:sz w:val="24"/>
          <w:szCs w:val="24"/>
          <w:u w:val="single"/>
        </w:rPr>
        <w:t>kardiomyopati</w:t>
      </w:r>
      <w:proofErr w:type="spellEnd"/>
    </w:p>
    <w:p w:rsidR="003E5ED1" w:rsidRDefault="003E5ED1" w:rsidP="003E5ED1">
      <w:pPr>
        <w:autoSpaceDE w:val="0"/>
        <w:autoSpaceDN w:val="0"/>
        <w:adjustRightInd w:val="0"/>
        <w:ind w:left="851"/>
        <w:rPr>
          <w:sz w:val="24"/>
          <w:szCs w:val="24"/>
        </w:rPr>
      </w:pPr>
      <w:r>
        <w:rPr>
          <w:sz w:val="24"/>
          <w:szCs w:val="24"/>
        </w:rPr>
        <w:t xml:space="preserve">Som ved andre </w:t>
      </w:r>
      <w:proofErr w:type="spellStart"/>
      <w:r>
        <w:rPr>
          <w:sz w:val="24"/>
          <w:szCs w:val="24"/>
        </w:rPr>
        <w:t>vasodilatorer</w:t>
      </w:r>
      <w:proofErr w:type="spellEnd"/>
      <w:r>
        <w:rPr>
          <w:sz w:val="24"/>
          <w:szCs w:val="24"/>
        </w:rPr>
        <w:t xml:space="preserve"> bør der udvises særlig forsigtighed over for patienter, med aorta- eller </w:t>
      </w:r>
      <w:proofErr w:type="spellStart"/>
      <w:r>
        <w:rPr>
          <w:sz w:val="24"/>
          <w:szCs w:val="24"/>
        </w:rPr>
        <w:t>mitralklapstenose</w:t>
      </w:r>
      <w:proofErr w:type="spellEnd"/>
      <w:r>
        <w:rPr>
          <w:sz w:val="24"/>
          <w:szCs w:val="24"/>
        </w:rPr>
        <w:t xml:space="preserve"> eller obstruktiv </w:t>
      </w:r>
      <w:proofErr w:type="spellStart"/>
      <w:r>
        <w:rPr>
          <w:sz w:val="24"/>
          <w:szCs w:val="24"/>
        </w:rPr>
        <w:t>hypertrofisk</w:t>
      </w:r>
      <w:proofErr w:type="spellEnd"/>
      <w:r>
        <w:rPr>
          <w:sz w:val="24"/>
          <w:szCs w:val="24"/>
        </w:rPr>
        <w:t xml:space="preserve"> </w:t>
      </w:r>
      <w:proofErr w:type="spellStart"/>
      <w:r>
        <w:rPr>
          <w:sz w:val="24"/>
          <w:szCs w:val="24"/>
        </w:rPr>
        <w:t>kardiomyopati</w:t>
      </w:r>
      <w:proofErr w:type="spellEnd"/>
      <w:r>
        <w:rPr>
          <w:sz w:val="24"/>
          <w:szCs w:val="24"/>
        </w:rPr>
        <w:t xml:space="preserve"> (HOCM).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Graviditet</w:t>
      </w:r>
    </w:p>
    <w:p w:rsidR="003E5ED1" w:rsidRDefault="003E5ED1" w:rsidP="003E5ED1">
      <w:pPr>
        <w:autoSpaceDE w:val="0"/>
        <w:autoSpaceDN w:val="0"/>
        <w:adjustRightInd w:val="0"/>
        <w:ind w:left="851"/>
        <w:rPr>
          <w:sz w:val="24"/>
          <w:szCs w:val="24"/>
        </w:rPr>
      </w:pPr>
      <w:r>
        <w:rPr>
          <w:sz w:val="24"/>
          <w:szCs w:val="24"/>
        </w:rPr>
        <w:t xml:space="preserve">Behandling med </w:t>
      </w:r>
      <w:proofErr w:type="spellStart"/>
      <w:r>
        <w:rPr>
          <w:sz w:val="24"/>
          <w:szCs w:val="24"/>
        </w:rPr>
        <w:t>angiotensin</w:t>
      </w:r>
      <w:proofErr w:type="spellEnd"/>
      <w:r>
        <w:rPr>
          <w:sz w:val="24"/>
          <w:szCs w:val="24"/>
        </w:rPr>
        <w:t xml:space="preserve"> II-antagonister (</w:t>
      </w:r>
      <w:proofErr w:type="spellStart"/>
      <w:r>
        <w:rPr>
          <w:sz w:val="24"/>
          <w:szCs w:val="24"/>
        </w:rPr>
        <w:t>AIIA’ere</w:t>
      </w:r>
      <w:proofErr w:type="spellEnd"/>
      <w:r>
        <w:rPr>
          <w:sz w:val="24"/>
          <w:szCs w:val="24"/>
        </w:rPr>
        <w:t xml:space="preserve">) bør ikke påbegyndes under graviditet. Med mindre fortsat behandling med </w:t>
      </w:r>
      <w:proofErr w:type="spellStart"/>
      <w:r>
        <w:rPr>
          <w:sz w:val="24"/>
          <w:szCs w:val="24"/>
        </w:rPr>
        <w:t>AIIA’ere</w:t>
      </w:r>
      <w:proofErr w:type="spellEnd"/>
      <w:r>
        <w:rPr>
          <w:sz w:val="24"/>
          <w:szCs w:val="24"/>
        </w:rPr>
        <w:t xml:space="preserve"> vurderes at være nødvendig, bør patienter, som planlægger at blive gravide, skiftes til en alternativ </w:t>
      </w:r>
      <w:proofErr w:type="spellStart"/>
      <w:r>
        <w:rPr>
          <w:sz w:val="24"/>
          <w:szCs w:val="24"/>
        </w:rPr>
        <w:t>hypertensionsehandling</w:t>
      </w:r>
      <w:proofErr w:type="spellEnd"/>
      <w:r>
        <w:rPr>
          <w:sz w:val="24"/>
          <w:szCs w:val="24"/>
        </w:rPr>
        <w:t xml:space="preserve"> med en dokumenteret sikkerhedsprofil til brug ved graviditet. Ved konstateret graviditet skal behandlingen med </w:t>
      </w:r>
      <w:proofErr w:type="spellStart"/>
      <w:r>
        <w:rPr>
          <w:sz w:val="24"/>
          <w:szCs w:val="24"/>
        </w:rPr>
        <w:t>AIIA’ere</w:t>
      </w:r>
      <w:proofErr w:type="spellEnd"/>
      <w:r>
        <w:rPr>
          <w:sz w:val="24"/>
          <w:szCs w:val="24"/>
        </w:rPr>
        <w:t xml:space="preserve"> afbrydes med det samme, og om nødvendigt skal en anden behandling påbegyndes (se pkt. 4.3 og 4.6).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u w:val="single"/>
        </w:rPr>
      </w:pPr>
      <w:r>
        <w:rPr>
          <w:sz w:val="24"/>
          <w:szCs w:val="24"/>
          <w:u w:val="single"/>
        </w:rPr>
        <w:t>Nyligt myokardieinfarkt</w:t>
      </w:r>
    </w:p>
    <w:p w:rsidR="003E5ED1" w:rsidRDefault="003E5ED1" w:rsidP="003E5ED1">
      <w:pPr>
        <w:autoSpaceDE w:val="0"/>
        <w:autoSpaceDN w:val="0"/>
        <w:adjustRightInd w:val="0"/>
        <w:ind w:left="851"/>
        <w:rPr>
          <w:sz w:val="24"/>
          <w:szCs w:val="24"/>
        </w:rPr>
      </w:pPr>
      <w:r>
        <w:rPr>
          <w:sz w:val="24"/>
          <w:szCs w:val="24"/>
        </w:rPr>
        <w:t xml:space="preserve">Kombinationsbehandling med </w:t>
      </w:r>
      <w:proofErr w:type="spellStart"/>
      <w:r>
        <w:rPr>
          <w:sz w:val="24"/>
          <w:szCs w:val="24"/>
        </w:rPr>
        <w:t>captopril</w:t>
      </w:r>
      <w:proofErr w:type="spellEnd"/>
      <w:r>
        <w:rPr>
          <w:sz w:val="24"/>
          <w:szCs w:val="24"/>
        </w:rPr>
        <w:t xml:space="preserve"> og </w:t>
      </w:r>
      <w:proofErr w:type="spellStart"/>
      <w:r>
        <w:rPr>
          <w:sz w:val="24"/>
          <w:szCs w:val="24"/>
        </w:rPr>
        <w:t>valsartan</w:t>
      </w:r>
      <w:proofErr w:type="spellEnd"/>
      <w:r>
        <w:rPr>
          <w:sz w:val="24"/>
          <w:szCs w:val="24"/>
        </w:rPr>
        <w:t xml:space="preserve"> har ikke vist yderligere klinisk virkning, tværtimod øges risikoen for bivirkninger sammenlignet med behandling med de respektive lægemidler alene (se pkt. 4.2 og 5.1). Derfor kan kombinationen af </w:t>
      </w:r>
      <w:proofErr w:type="spellStart"/>
      <w:r>
        <w:rPr>
          <w:sz w:val="24"/>
          <w:szCs w:val="24"/>
        </w:rPr>
        <w:t>valsartan</w:t>
      </w:r>
      <w:proofErr w:type="spellEnd"/>
      <w:r>
        <w:rPr>
          <w:sz w:val="24"/>
          <w:szCs w:val="24"/>
        </w:rPr>
        <w:t xml:space="preserve"> og en ACE-hæmmer ikke anbefales. </w:t>
      </w:r>
    </w:p>
    <w:p w:rsidR="003E5ED1" w:rsidRDefault="003E5ED1" w:rsidP="003E5ED1">
      <w:pPr>
        <w:autoSpaceDE w:val="0"/>
        <w:autoSpaceDN w:val="0"/>
        <w:adjustRightInd w:val="0"/>
        <w:ind w:left="851"/>
        <w:rPr>
          <w:sz w:val="24"/>
          <w:szCs w:val="24"/>
        </w:rPr>
      </w:pPr>
      <w:r>
        <w:rPr>
          <w:sz w:val="24"/>
          <w:szCs w:val="24"/>
        </w:rPr>
        <w:t xml:space="preserve">Der skal udvises forsigtighed når behandling af post-myokardieinfarktpatienter indledes. Evaluering af post-myokardieinfarktpatienter bør altid inkludere vurdering af nyrefunktionen (se pkt. 4.2). </w:t>
      </w:r>
    </w:p>
    <w:p w:rsidR="003E5ED1" w:rsidRDefault="003E5ED1" w:rsidP="003E5ED1">
      <w:pPr>
        <w:autoSpaceDE w:val="0"/>
        <w:autoSpaceDN w:val="0"/>
        <w:adjustRightInd w:val="0"/>
        <w:ind w:left="851"/>
        <w:rPr>
          <w:sz w:val="24"/>
          <w:szCs w:val="24"/>
        </w:rPr>
      </w:pPr>
      <w:r>
        <w:rPr>
          <w:sz w:val="24"/>
          <w:szCs w:val="24"/>
        </w:rPr>
        <w:t xml:space="preserve">Brug af </w:t>
      </w:r>
      <w:proofErr w:type="spellStart"/>
      <w:r>
        <w:rPr>
          <w:sz w:val="24"/>
          <w:szCs w:val="24"/>
        </w:rPr>
        <w:t>valsartan</w:t>
      </w:r>
      <w:proofErr w:type="spellEnd"/>
      <w:r>
        <w:rPr>
          <w:sz w:val="24"/>
          <w:szCs w:val="24"/>
        </w:rPr>
        <w:t xml:space="preserve"> til post-myokardieinfarktpatienter medfører ofte en vis reduktion af blodtrykket, men </w:t>
      </w:r>
      <w:proofErr w:type="spellStart"/>
      <w:r>
        <w:rPr>
          <w:sz w:val="24"/>
          <w:szCs w:val="24"/>
        </w:rPr>
        <w:t>seponering</w:t>
      </w:r>
      <w:proofErr w:type="spellEnd"/>
      <w:r>
        <w:rPr>
          <w:sz w:val="24"/>
          <w:szCs w:val="24"/>
        </w:rPr>
        <w:t xml:space="preserve"> af behandlingen på grund af vedvarende symptomatisk hypotension er normalt ikke nødvendigt forudsat, at doseringsvejledningen følges (se pkt. 4.2). </w:t>
      </w:r>
    </w:p>
    <w:p w:rsidR="003E5ED1" w:rsidRDefault="003E5ED1" w:rsidP="003E5ED1">
      <w:pPr>
        <w:autoSpaceDE w:val="0"/>
        <w:autoSpaceDN w:val="0"/>
        <w:adjustRightInd w:val="0"/>
        <w:ind w:left="851"/>
        <w:rPr>
          <w:sz w:val="24"/>
          <w:szCs w:val="24"/>
          <w:u w:val="single"/>
        </w:rPr>
      </w:pPr>
    </w:p>
    <w:p w:rsidR="003E5ED1" w:rsidRDefault="003E5ED1" w:rsidP="003E5ED1">
      <w:pPr>
        <w:autoSpaceDE w:val="0"/>
        <w:autoSpaceDN w:val="0"/>
        <w:adjustRightInd w:val="0"/>
        <w:ind w:left="851"/>
        <w:rPr>
          <w:sz w:val="24"/>
          <w:szCs w:val="24"/>
          <w:u w:val="single"/>
        </w:rPr>
      </w:pPr>
      <w:r>
        <w:rPr>
          <w:sz w:val="24"/>
          <w:szCs w:val="24"/>
          <w:u w:val="single"/>
        </w:rPr>
        <w:t xml:space="preserve">Hjertesvigt </w:t>
      </w:r>
    </w:p>
    <w:p w:rsidR="003E5ED1" w:rsidRDefault="003E5ED1" w:rsidP="003E5ED1">
      <w:pPr>
        <w:autoSpaceDE w:val="0"/>
        <w:autoSpaceDN w:val="0"/>
        <w:adjustRightInd w:val="0"/>
        <w:ind w:left="851"/>
        <w:rPr>
          <w:sz w:val="24"/>
          <w:szCs w:val="24"/>
        </w:rPr>
      </w:pPr>
      <w:r>
        <w:rPr>
          <w:sz w:val="24"/>
          <w:szCs w:val="24"/>
        </w:rPr>
        <w:t xml:space="preserve">Risikoen for bivirkninger, specielt hypotension, </w:t>
      </w:r>
      <w:proofErr w:type="spellStart"/>
      <w:r>
        <w:rPr>
          <w:sz w:val="24"/>
          <w:szCs w:val="24"/>
        </w:rPr>
        <w:t>hyperkaliæmi</w:t>
      </w:r>
      <w:proofErr w:type="spellEnd"/>
      <w:r>
        <w:rPr>
          <w:sz w:val="24"/>
          <w:szCs w:val="24"/>
        </w:rPr>
        <w:t xml:space="preserve"> og nedsat nyrefunktion (inklusive akut nyresvigt) kan være øget, når </w:t>
      </w:r>
      <w:proofErr w:type="spellStart"/>
      <w:r w:rsidR="004E080E">
        <w:rPr>
          <w:sz w:val="24"/>
          <w:szCs w:val="24"/>
        </w:rPr>
        <w:t>Valsartan</w:t>
      </w:r>
      <w:proofErr w:type="spellEnd"/>
      <w:r w:rsidR="004E080E">
        <w:rPr>
          <w:sz w:val="24"/>
          <w:szCs w:val="24"/>
        </w:rPr>
        <w:t xml:space="preserve"> ”Nordic Prime”</w:t>
      </w:r>
      <w:r>
        <w:rPr>
          <w:sz w:val="24"/>
          <w:szCs w:val="24"/>
        </w:rPr>
        <w:t xml:space="preserve"> anvendes i kombination med en ACE-hæmmer. Hos patienter med hjertesvigt har den tredobbelte kombination af en ACE-hæmmer, en beta-blokker og </w:t>
      </w:r>
      <w:proofErr w:type="spellStart"/>
      <w:r w:rsidR="004E080E">
        <w:rPr>
          <w:sz w:val="24"/>
          <w:szCs w:val="24"/>
        </w:rPr>
        <w:t>Valsartan</w:t>
      </w:r>
      <w:proofErr w:type="spellEnd"/>
      <w:r w:rsidR="004E080E">
        <w:rPr>
          <w:sz w:val="24"/>
          <w:szCs w:val="24"/>
        </w:rPr>
        <w:t xml:space="preserve"> ”Nordic Prime”</w:t>
      </w:r>
      <w:r>
        <w:rPr>
          <w:sz w:val="24"/>
          <w:szCs w:val="24"/>
        </w:rPr>
        <w:t xml:space="preserve"> ikke vist nogen klinisk fordel (se pkt. 5.1). Denne kombination øger tilsyneladende risikoen for bivirkninger, og anbefales derfor ikke. </w:t>
      </w:r>
      <w:proofErr w:type="spellStart"/>
      <w:r>
        <w:rPr>
          <w:sz w:val="24"/>
          <w:szCs w:val="24"/>
        </w:rPr>
        <w:t>Trippel</w:t>
      </w:r>
      <w:proofErr w:type="spellEnd"/>
      <w:r>
        <w:rPr>
          <w:sz w:val="24"/>
          <w:szCs w:val="24"/>
        </w:rPr>
        <w:t xml:space="preserve">-kombination med en ACE-hæmmer, en </w:t>
      </w:r>
      <w:proofErr w:type="spellStart"/>
      <w:r>
        <w:rPr>
          <w:sz w:val="24"/>
          <w:szCs w:val="24"/>
        </w:rPr>
        <w:t>mineralokortikoid</w:t>
      </w:r>
      <w:proofErr w:type="spellEnd"/>
      <w:r>
        <w:rPr>
          <w:sz w:val="24"/>
          <w:szCs w:val="24"/>
        </w:rPr>
        <w:t xml:space="preserve">-receptorantagonist og </w:t>
      </w:r>
      <w:proofErr w:type="spellStart"/>
      <w:r>
        <w:rPr>
          <w:sz w:val="24"/>
          <w:szCs w:val="24"/>
        </w:rPr>
        <w:t>valsartan</w:t>
      </w:r>
      <w:proofErr w:type="spellEnd"/>
      <w:r>
        <w:rPr>
          <w:sz w:val="24"/>
          <w:szCs w:val="24"/>
        </w:rPr>
        <w:t xml:space="preserve"> kan heller ikke anbefales. Sådanne kombinationer bør kun anvendes under supervision af en speciallæge og under tæt monitorering af patientens nyrefunktion, elektrolytter og blodtryk.</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rPr>
      </w:pPr>
      <w:r>
        <w:rPr>
          <w:sz w:val="24"/>
          <w:szCs w:val="24"/>
        </w:rPr>
        <w:t xml:space="preserve">Der skal udvises forsigtighed når behandling af patienter med hjertesvigt indledes. Evaluering af patienter med hjertesvigt bør altid inkludere vurdering af nyrefunktionen (se pkt. 4.2). </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rPr>
      </w:pPr>
      <w:r>
        <w:rPr>
          <w:sz w:val="24"/>
          <w:szCs w:val="24"/>
        </w:rPr>
        <w:t xml:space="preserve">Brug af </w:t>
      </w:r>
      <w:proofErr w:type="spellStart"/>
      <w:r w:rsidR="004E080E">
        <w:rPr>
          <w:sz w:val="24"/>
          <w:szCs w:val="24"/>
        </w:rPr>
        <w:t>Valsartan</w:t>
      </w:r>
      <w:proofErr w:type="spellEnd"/>
      <w:r w:rsidR="004E080E">
        <w:rPr>
          <w:sz w:val="24"/>
          <w:szCs w:val="24"/>
        </w:rPr>
        <w:t xml:space="preserve"> ”Nordic Prime”</w:t>
      </w:r>
      <w:r>
        <w:rPr>
          <w:sz w:val="24"/>
          <w:szCs w:val="24"/>
        </w:rPr>
        <w:t xml:space="preserve"> til patienter med hjertesvigt medfører ofte en vis reduktion af blodtrykket, men afbrydelse af behandlingen på grund af vedvarende symptomatisk hypotension er normalt ikke nødvendigt forudsat, at doseringsvejledningen følges (se pkt. 4.2). </w:t>
      </w:r>
    </w:p>
    <w:p w:rsidR="003E5ED1" w:rsidRDefault="003E5ED1" w:rsidP="003E5ED1">
      <w:pPr>
        <w:autoSpaceDE w:val="0"/>
        <w:autoSpaceDN w:val="0"/>
        <w:adjustRightInd w:val="0"/>
        <w:ind w:left="851"/>
        <w:rPr>
          <w:sz w:val="24"/>
          <w:szCs w:val="24"/>
        </w:rPr>
      </w:pPr>
      <w:r>
        <w:rPr>
          <w:sz w:val="24"/>
          <w:szCs w:val="24"/>
        </w:rPr>
        <w:t xml:space="preserve">Hos patienter, hvis nyrefunktion kan afhænge af aktiviteten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sz w:val="24"/>
          <w:szCs w:val="24"/>
        </w:rPr>
        <w:t xml:space="preserve">-systemet (f.eks. patienter med alvorlig </w:t>
      </w:r>
      <w:proofErr w:type="spellStart"/>
      <w:r>
        <w:rPr>
          <w:sz w:val="24"/>
          <w:szCs w:val="24"/>
        </w:rPr>
        <w:t>kongestivt</w:t>
      </w:r>
      <w:proofErr w:type="spellEnd"/>
      <w:r>
        <w:rPr>
          <w:sz w:val="24"/>
          <w:szCs w:val="24"/>
        </w:rPr>
        <w:t xml:space="preserve"> hjertesvigt), er behandling med ACE-</w:t>
      </w:r>
      <w:proofErr w:type="spellStart"/>
      <w:r>
        <w:rPr>
          <w:sz w:val="24"/>
          <w:szCs w:val="24"/>
        </w:rPr>
        <w:t>hæmmere</w:t>
      </w:r>
      <w:proofErr w:type="spellEnd"/>
      <w:r>
        <w:rPr>
          <w:sz w:val="24"/>
          <w:szCs w:val="24"/>
        </w:rPr>
        <w:t xml:space="preserve"> blevet relateret til </w:t>
      </w:r>
      <w:proofErr w:type="spellStart"/>
      <w:r>
        <w:rPr>
          <w:sz w:val="24"/>
          <w:szCs w:val="24"/>
        </w:rPr>
        <w:t>oliguri</w:t>
      </w:r>
      <w:proofErr w:type="spellEnd"/>
      <w:r>
        <w:rPr>
          <w:sz w:val="24"/>
          <w:szCs w:val="24"/>
        </w:rPr>
        <w:t xml:space="preserve"> og/eller progressiv </w:t>
      </w:r>
      <w:proofErr w:type="spellStart"/>
      <w:r>
        <w:rPr>
          <w:sz w:val="24"/>
          <w:szCs w:val="24"/>
        </w:rPr>
        <w:t>azotæmi</w:t>
      </w:r>
      <w:proofErr w:type="spellEnd"/>
      <w:r>
        <w:rPr>
          <w:sz w:val="24"/>
          <w:szCs w:val="24"/>
        </w:rPr>
        <w:t xml:space="preserve"> og i sjældne tilfælde til akut nyresvigt og/eller død. Da </w:t>
      </w:r>
      <w:proofErr w:type="spellStart"/>
      <w:r>
        <w:rPr>
          <w:sz w:val="24"/>
          <w:szCs w:val="24"/>
        </w:rPr>
        <w:t>valsartan</w:t>
      </w:r>
      <w:proofErr w:type="spellEnd"/>
      <w:r>
        <w:rPr>
          <w:sz w:val="24"/>
          <w:szCs w:val="24"/>
        </w:rPr>
        <w:t xml:space="preserve"> er en </w:t>
      </w:r>
      <w:proofErr w:type="spellStart"/>
      <w:r>
        <w:rPr>
          <w:sz w:val="24"/>
          <w:szCs w:val="24"/>
        </w:rPr>
        <w:t>angiotensin</w:t>
      </w:r>
      <w:proofErr w:type="spellEnd"/>
      <w:r>
        <w:rPr>
          <w:sz w:val="24"/>
          <w:szCs w:val="24"/>
        </w:rPr>
        <w:t xml:space="preserve"> II-receptor</w:t>
      </w:r>
      <w:r>
        <w:rPr>
          <w:sz w:val="24"/>
          <w:szCs w:val="24"/>
        </w:rPr>
        <w:softHyphen/>
      </w:r>
      <w:r>
        <w:rPr>
          <w:sz w:val="24"/>
          <w:szCs w:val="24"/>
        </w:rPr>
        <w:lastRenderedPageBreak/>
        <w:t xml:space="preserve">antagonist, kan det ikke udelukkes, at anvendelse af </w:t>
      </w:r>
      <w:proofErr w:type="spellStart"/>
      <w:r w:rsidR="004E080E">
        <w:rPr>
          <w:sz w:val="24"/>
          <w:szCs w:val="24"/>
        </w:rPr>
        <w:t>Valsartan</w:t>
      </w:r>
      <w:proofErr w:type="spellEnd"/>
      <w:r w:rsidR="004E080E">
        <w:rPr>
          <w:sz w:val="24"/>
          <w:szCs w:val="24"/>
        </w:rPr>
        <w:t xml:space="preserve"> ”Nordic Prime”</w:t>
      </w:r>
      <w:r>
        <w:rPr>
          <w:sz w:val="24"/>
          <w:szCs w:val="24"/>
        </w:rPr>
        <w:t xml:space="preserve"> kan associeres med nedsættelse af nyrefunktionen.</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angiotension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3E5ED1"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i/>
          <w:iCs/>
          <w:sz w:val="24"/>
          <w:szCs w:val="24"/>
          <w:u w:val="single"/>
        </w:rPr>
      </w:pPr>
      <w:r>
        <w:rPr>
          <w:i/>
          <w:iCs/>
          <w:sz w:val="24"/>
          <w:szCs w:val="24"/>
          <w:u w:val="single"/>
        </w:rPr>
        <w:t xml:space="preserve">Andre tilstande med stimulation af </w:t>
      </w:r>
      <w:proofErr w:type="spellStart"/>
      <w:r>
        <w:rPr>
          <w:i/>
          <w:iCs/>
          <w:sz w:val="24"/>
          <w:szCs w:val="24"/>
          <w:u w:val="single"/>
        </w:rPr>
        <w:t>renin</w:t>
      </w:r>
      <w:proofErr w:type="spellEnd"/>
      <w:r>
        <w:rPr>
          <w:i/>
          <w:iCs/>
          <w:sz w:val="24"/>
          <w:szCs w:val="24"/>
          <w:u w:val="single"/>
        </w:rPr>
        <w:t>-</w:t>
      </w:r>
      <w:proofErr w:type="spellStart"/>
      <w:r>
        <w:rPr>
          <w:i/>
          <w:iCs/>
          <w:sz w:val="24"/>
          <w:szCs w:val="24"/>
          <w:u w:val="single"/>
        </w:rPr>
        <w:t>angiotensin</w:t>
      </w:r>
      <w:proofErr w:type="spellEnd"/>
      <w:r>
        <w:rPr>
          <w:i/>
          <w:iCs/>
          <w:sz w:val="24"/>
          <w:szCs w:val="24"/>
          <w:u w:val="single"/>
        </w:rPr>
        <w:t>-systemet</w:t>
      </w:r>
    </w:p>
    <w:p w:rsidR="003E5ED1" w:rsidRDefault="003E5ED1" w:rsidP="003E5ED1">
      <w:pPr>
        <w:autoSpaceDE w:val="0"/>
        <w:autoSpaceDN w:val="0"/>
        <w:adjustRightInd w:val="0"/>
        <w:ind w:left="851"/>
        <w:rPr>
          <w:sz w:val="24"/>
          <w:szCs w:val="24"/>
        </w:rPr>
      </w:pPr>
      <w:r>
        <w:rPr>
          <w:sz w:val="24"/>
          <w:szCs w:val="24"/>
        </w:rPr>
        <w:t xml:space="preserve">Hos patienter, hvis nyrefunktion kan afhænge af aktiviteten af </w:t>
      </w:r>
      <w:proofErr w:type="spellStart"/>
      <w:r>
        <w:rPr>
          <w:sz w:val="24"/>
          <w:szCs w:val="24"/>
        </w:rPr>
        <w:t>renin</w:t>
      </w:r>
      <w:proofErr w:type="spellEnd"/>
      <w:r>
        <w:rPr>
          <w:sz w:val="24"/>
          <w:szCs w:val="24"/>
        </w:rPr>
        <w:t>-</w:t>
      </w:r>
      <w:proofErr w:type="spellStart"/>
      <w:r>
        <w:rPr>
          <w:sz w:val="24"/>
          <w:szCs w:val="24"/>
        </w:rPr>
        <w:t>angiotensin</w:t>
      </w:r>
      <w:proofErr w:type="spellEnd"/>
      <w:r>
        <w:rPr>
          <w:sz w:val="24"/>
          <w:szCs w:val="24"/>
        </w:rPr>
        <w:t>-systemet (f.eks. patienter med alvorlig kongestiv hjerteinsufficiens), er behandling med ACE-</w:t>
      </w:r>
      <w:proofErr w:type="spellStart"/>
      <w:r>
        <w:rPr>
          <w:sz w:val="24"/>
          <w:szCs w:val="24"/>
        </w:rPr>
        <w:t>hæmmere</w:t>
      </w:r>
      <w:proofErr w:type="spellEnd"/>
      <w:r>
        <w:rPr>
          <w:sz w:val="24"/>
          <w:szCs w:val="24"/>
        </w:rPr>
        <w:t xml:space="preserve"> blevet relateret til </w:t>
      </w:r>
      <w:proofErr w:type="spellStart"/>
      <w:r>
        <w:rPr>
          <w:sz w:val="24"/>
          <w:szCs w:val="24"/>
        </w:rPr>
        <w:t>oliguri</w:t>
      </w:r>
      <w:proofErr w:type="spellEnd"/>
      <w:r>
        <w:rPr>
          <w:sz w:val="24"/>
          <w:szCs w:val="24"/>
        </w:rPr>
        <w:t xml:space="preserve"> og/eller progressiv </w:t>
      </w:r>
      <w:proofErr w:type="spellStart"/>
      <w:r>
        <w:rPr>
          <w:sz w:val="24"/>
          <w:szCs w:val="24"/>
        </w:rPr>
        <w:t>azotæmi</w:t>
      </w:r>
      <w:proofErr w:type="spellEnd"/>
      <w:r>
        <w:rPr>
          <w:sz w:val="24"/>
          <w:szCs w:val="24"/>
        </w:rPr>
        <w:t xml:space="preserve"> og i sjældne tilfælde til akut nyresvigt og/eller død. </w:t>
      </w:r>
    </w:p>
    <w:p w:rsidR="003E5ED1" w:rsidRDefault="003E5ED1" w:rsidP="003E5ED1">
      <w:pPr>
        <w:autoSpaceDE w:val="0"/>
        <w:autoSpaceDN w:val="0"/>
        <w:adjustRightInd w:val="0"/>
        <w:ind w:left="851"/>
        <w:rPr>
          <w:sz w:val="24"/>
          <w:szCs w:val="24"/>
        </w:rPr>
      </w:pPr>
      <w:r>
        <w:rPr>
          <w:sz w:val="24"/>
          <w:szCs w:val="24"/>
        </w:rPr>
        <w:t xml:space="preserve">Da </w:t>
      </w:r>
      <w:proofErr w:type="spellStart"/>
      <w:r>
        <w:rPr>
          <w:sz w:val="24"/>
          <w:szCs w:val="24"/>
        </w:rPr>
        <w:t>valsartan</w:t>
      </w:r>
      <w:proofErr w:type="spellEnd"/>
      <w:r>
        <w:rPr>
          <w:sz w:val="24"/>
          <w:szCs w:val="24"/>
        </w:rPr>
        <w:t xml:space="preserve"> er en </w:t>
      </w:r>
      <w:proofErr w:type="spellStart"/>
      <w:r>
        <w:rPr>
          <w:sz w:val="24"/>
          <w:szCs w:val="24"/>
        </w:rPr>
        <w:t>angiotensin</w:t>
      </w:r>
      <w:proofErr w:type="spellEnd"/>
      <w:r>
        <w:rPr>
          <w:sz w:val="24"/>
          <w:szCs w:val="24"/>
        </w:rPr>
        <w:t xml:space="preserve"> II-antagonist, kan det ikke udelukkes, at anvendelse af </w:t>
      </w:r>
      <w:proofErr w:type="spellStart"/>
      <w:r w:rsidR="004E080E">
        <w:rPr>
          <w:sz w:val="24"/>
          <w:szCs w:val="24"/>
        </w:rPr>
        <w:t>Valsartan</w:t>
      </w:r>
      <w:proofErr w:type="spellEnd"/>
      <w:r w:rsidR="004E080E">
        <w:rPr>
          <w:sz w:val="24"/>
          <w:szCs w:val="24"/>
        </w:rPr>
        <w:t xml:space="preserve"> ”Nordic Prime”</w:t>
      </w:r>
      <w:r>
        <w:rPr>
          <w:sz w:val="24"/>
          <w:szCs w:val="24"/>
        </w:rPr>
        <w:t xml:space="preserve"> kan associeres med forringelse af nyrefunktionen.</w:t>
      </w:r>
    </w:p>
    <w:p w:rsidR="003E5ED1" w:rsidRDefault="003E5ED1" w:rsidP="003E5ED1">
      <w:pPr>
        <w:autoSpaceDE w:val="0"/>
        <w:autoSpaceDN w:val="0"/>
        <w:adjustRightInd w:val="0"/>
        <w:ind w:left="851"/>
        <w:rPr>
          <w:sz w:val="24"/>
          <w:szCs w:val="24"/>
        </w:rPr>
      </w:pPr>
    </w:p>
    <w:p w:rsidR="003E5ED1" w:rsidRDefault="003E5ED1" w:rsidP="003E5ED1">
      <w:pPr>
        <w:pStyle w:val="NormalWeb"/>
        <w:spacing w:before="0" w:beforeAutospacing="0" w:after="0" w:afterAutospacing="0"/>
        <w:ind w:left="850"/>
        <w:rPr>
          <w:bCs/>
        </w:rPr>
      </w:pPr>
      <w:proofErr w:type="spellStart"/>
      <w:r>
        <w:rPr>
          <w:bCs/>
        </w:rPr>
        <w:t>Angioødem</w:t>
      </w:r>
      <w:proofErr w:type="spellEnd"/>
      <w:r>
        <w:rPr>
          <w:bCs/>
        </w:rPr>
        <w:t xml:space="preserve"> i anamnesen</w:t>
      </w:r>
    </w:p>
    <w:p w:rsidR="003E5ED1" w:rsidRDefault="003E5ED1" w:rsidP="003E5ED1">
      <w:pPr>
        <w:pStyle w:val="NormalWeb"/>
        <w:spacing w:before="0" w:beforeAutospacing="0" w:after="0" w:afterAutospacing="0"/>
        <w:ind w:left="850"/>
        <w:rPr>
          <w:bCs/>
        </w:rPr>
      </w:pPr>
      <w:r>
        <w:rPr>
          <w:bCs/>
        </w:rPr>
        <w:t xml:space="preserve">Der er indberettet </w:t>
      </w:r>
      <w:proofErr w:type="spellStart"/>
      <w:r>
        <w:rPr>
          <w:bCs/>
        </w:rPr>
        <w:t>angioødem</w:t>
      </w:r>
      <w:proofErr w:type="spellEnd"/>
      <w:r>
        <w:rPr>
          <w:bCs/>
        </w:rPr>
        <w:t xml:space="preserve">, herunder hævet strubehoved og </w:t>
      </w:r>
      <w:proofErr w:type="spellStart"/>
      <w:r>
        <w:rPr>
          <w:bCs/>
        </w:rPr>
        <w:t>glottis</w:t>
      </w:r>
      <w:proofErr w:type="spellEnd"/>
      <w:r>
        <w:rPr>
          <w:bCs/>
        </w:rPr>
        <w:t xml:space="preserve">, som forårsagede luftvejsobstruktion og/eller hævelse af ansigt, læber, svælg og/eller tunge hos patienter behandlet med </w:t>
      </w:r>
      <w:proofErr w:type="spellStart"/>
      <w:r>
        <w:rPr>
          <w:bCs/>
        </w:rPr>
        <w:t>valsartan</w:t>
      </w:r>
      <w:proofErr w:type="spellEnd"/>
      <w:r>
        <w:rPr>
          <w:bCs/>
        </w:rPr>
        <w:t xml:space="preserve">. Nogle af disse patienter havde tidligere haft </w:t>
      </w:r>
      <w:proofErr w:type="spellStart"/>
      <w:r>
        <w:rPr>
          <w:bCs/>
        </w:rPr>
        <w:t>angioødem</w:t>
      </w:r>
      <w:proofErr w:type="spellEnd"/>
      <w:r>
        <w:rPr>
          <w:bCs/>
        </w:rPr>
        <w:t xml:space="preserve"> forbundet med andre lægemidler heriblandt ACE-</w:t>
      </w:r>
      <w:proofErr w:type="spellStart"/>
      <w:r>
        <w:rPr>
          <w:bCs/>
        </w:rPr>
        <w:t>hæmmere</w:t>
      </w:r>
      <w:proofErr w:type="spellEnd"/>
      <w:r>
        <w:rPr>
          <w:bCs/>
        </w:rPr>
        <w:t xml:space="preserve">. </w:t>
      </w:r>
    </w:p>
    <w:p w:rsidR="003E5ED1" w:rsidRDefault="004E080E" w:rsidP="003E5ED1">
      <w:pPr>
        <w:pStyle w:val="NormalWeb"/>
        <w:spacing w:before="0" w:beforeAutospacing="0" w:after="0" w:afterAutospacing="0"/>
        <w:ind w:left="850"/>
        <w:rPr>
          <w:bCs/>
        </w:rPr>
      </w:pPr>
      <w:proofErr w:type="spellStart"/>
      <w:r>
        <w:rPr>
          <w:bCs/>
        </w:rPr>
        <w:t>Valsartan</w:t>
      </w:r>
      <w:proofErr w:type="spellEnd"/>
      <w:r>
        <w:rPr>
          <w:bCs/>
        </w:rPr>
        <w:t xml:space="preserve"> ”Nordic Prime”</w:t>
      </w:r>
      <w:r w:rsidR="003E5ED1">
        <w:rPr>
          <w:bCs/>
        </w:rPr>
        <w:t xml:space="preserve"> skal seponeres med det samme hos patienter, som får </w:t>
      </w:r>
      <w:proofErr w:type="spellStart"/>
      <w:r w:rsidR="003E5ED1">
        <w:rPr>
          <w:bCs/>
        </w:rPr>
        <w:t>angioødem</w:t>
      </w:r>
      <w:proofErr w:type="spellEnd"/>
      <w:r w:rsidR="003E5ED1">
        <w:rPr>
          <w:bCs/>
        </w:rPr>
        <w:t xml:space="preserve">, og </w:t>
      </w:r>
      <w:proofErr w:type="spellStart"/>
      <w:r>
        <w:rPr>
          <w:bCs/>
        </w:rPr>
        <w:t>Valsartan</w:t>
      </w:r>
      <w:proofErr w:type="spellEnd"/>
      <w:r>
        <w:rPr>
          <w:bCs/>
        </w:rPr>
        <w:t xml:space="preserve"> ”Nordic Prime”</w:t>
      </w:r>
      <w:r w:rsidR="003E5ED1">
        <w:rPr>
          <w:bCs/>
        </w:rPr>
        <w:t xml:space="preserve"> må ikke gives igen (se pkt. 4.8).</w:t>
      </w:r>
    </w:p>
    <w:p w:rsidR="003E5ED1" w:rsidRDefault="003E5ED1" w:rsidP="003E5ED1">
      <w:pPr>
        <w:autoSpaceDE w:val="0"/>
        <w:autoSpaceDN w:val="0"/>
        <w:adjustRightInd w:val="0"/>
        <w:ind w:firstLine="851"/>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 xml:space="preserve">Dobbelt blokade af </w:t>
      </w:r>
      <w:proofErr w:type="spellStart"/>
      <w:r>
        <w:rPr>
          <w:sz w:val="24"/>
          <w:szCs w:val="24"/>
          <w:u w:val="single"/>
        </w:rPr>
        <w:t>renin-angiotensin-aldosteronsystemet</w:t>
      </w:r>
      <w:proofErr w:type="spellEnd"/>
      <w:r>
        <w:rPr>
          <w:sz w:val="24"/>
          <w:szCs w:val="24"/>
          <w:u w:val="single"/>
        </w:rPr>
        <w:t xml:space="preserve"> (RAAS) </w:t>
      </w:r>
    </w:p>
    <w:p w:rsidR="003E5ED1" w:rsidRDefault="003E5ED1" w:rsidP="003E5ED1">
      <w:pPr>
        <w:autoSpaceDE w:val="0"/>
        <w:autoSpaceDN w:val="0"/>
        <w:adjustRightInd w:val="0"/>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 Hvis dobbelthæmmende behandling anses for absolut nødvendig, bør dette kun ske under supervision af en speciallæge og under tæt monitorering af patientens nyrefunktion, elektrolytter og blodtryk. </w:t>
      </w:r>
    </w:p>
    <w:p w:rsidR="003E5ED1" w:rsidRDefault="003E5ED1" w:rsidP="003E5ED1">
      <w:pPr>
        <w:autoSpaceDE w:val="0"/>
        <w:autoSpaceDN w:val="0"/>
        <w:adjustRightInd w:val="0"/>
        <w:ind w:left="851"/>
        <w:rPr>
          <w:sz w:val="24"/>
          <w:szCs w:val="24"/>
        </w:rPr>
      </w:pPr>
      <w:r>
        <w:rPr>
          <w:sz w:val="24"/>
          <w:szCs w:val="24"/>
        </w:rPr>
        <w:t>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bør ikke anvendes samtidigt hos patienter med diabetisk </w:t>
      </w:r>
      <w:proofErr w:type="spellStart"/>
      <w:r>
        <w:rPr>
          <w:sz w:val="24"/>
          <w:szCs w:val="24"/>
        </w:rPr>
        <w:t>nefropati</w:t>
      </w:r>
      <w:proofErr w:type="spellEnd"/>
      <w:r>
        <w:rPr>
          <w:sz w:val="24"/>
          <w:szCs w:val="24"/>
        </w:rPr>
        <w:t>.</w:t>
      </w:r>
    </w:p>
    <w:p w:rsidR="003E5ED1" w:rsidRDefault="003E5ED1" w:rsidP="003E5ED1">
      <w:pPr>
        <w:autoSpaceDE w:val="0"/>
        <w:autoSpaceDN w:val="0"/>
        <w:adjustRightInd w:val="0"/>
        <w:ind w:left="851"/>
        <w:rPr>
          <w:sz w:val="24"/>
          <w:szCs w:val="24"/>
        </w:rPr>
      </w:pPr>
    </w:p>
    <w:p w:rsidR="003E5ED1" w:rsidRDefault="003E5ED1" w:rsidP="003E5ED1">
      <w:pPr>
        <w:tabs>
          <w:tab w:val="left" w:pos="851"/>
        </w:tabs>
        <w:autoSpaceDE w:val="0"/>
        <w:autoSpaceDN w:val="0"/>
        <w:adjustRightInd w:val="0"/>
        <w:rPr>
          <w:i/>
          <w:iCs/>
          <w:sz w:val="24"/>
          <w:szCs w:val="24"/>
          <w:u w:val="single"/>
        </w:rPr>
      </w:pPr>
      <w:r>
        <w:rPr>
          <w:i/>
          <w:iCs/>
          <w:sz w:val="24"/>
          <w:szCs w:val="24"/>
        </w:rPr>
        <w:tab/>
      </w:r>
      <w:r>
        <w:rPr>
          <w:i/>
          <w:iCs/>
          <w:sz w:val="24"/>
          <w:szCs w:val="24"/>
          <w:u w:val="single"/>
        </w:rPr>
        <w:t>Pædiatrisk population</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Nedsat nyrefunktion</w:t>
      </w:r>
    </w:p>
    <w:p w:rsidR="003E5ED1" w:rsidRDefault="003E5ED1" w:rsidP="003E5ED1">
      <w:pPr>
        <w:autoSpaceDE w:val="0"/>
        <w:autoSpaceDN w:val="0"/>
        <w:adjustRightInd w:val="0"/>
        <w:ind w:left="851"/>
        <w:rPr>
          <w:sz w:val="24"/>
          <w:szCs w:val="24"/>
        </w:rPr>
      </w:pPr>
      <w:r>
        <w:rPr>
          <w:sz w:val="24"/>
          <w:szCs w:val="24"/>
        </w:rPr>
        <w:t xml:space="preserve">Anvendelse til pædiatriske patienter med en </w:t>
      </w:r>
      <w:proofErr w:type="spellStart"/>
      <w:r>
        <w:rPr>
          <w:sz w:val="24"/>
          <w:szCs w:val="24"/>
        </w:rPr>
        <w:t>kreatininclearance</w:t>
      </w:r>
      <w:proofErr w:type="spellEnd"/>
      <w:r>
        <w:rPr>
          <w:sz w:val="24"/>
          <w:szCs w:val="24"/>
        </w:rPr>
        <w:t xml:space="preserve"> &lt;30 ml/min og til pædiatriske patienter i dialyse er ikke undersøgt. </w:t>
      </w:r>
      <w:proofErr w:type="spellStart"/>
      <w:r>
        <w:rPr>
          <w:sz w:val="24"/>
          <w:szCs w:val="24"/>
        </w:rPr>
        <w:t>Valsartan</w:t>
      </w:r>
      <w:proofErr w:type="spellEnd"/>
      <w:r>
        <w:rPr>
          <w:sz w:val="24"/>
          <w:szCs w:val="24"/>
        </w:rPr>
        <w:t xml:space="preserve"> frarådes derfor til disse patienter. Dosisjustering til pædiatriske patienter med en </w:t>
      </w:r>
      <w:proofErr w:type="spellStart"/>
      <w:r>
        <w:rPr>
          <w:sz w:val="24"/>
          <w:szCs w:val="24"/>
        </w:rPr>
        <w:t>kreatininclearance</w:t>
      </w:r>
      <w:proofErr w:type="spellEnd"/>
      <w:r>
        <w:rPr>
          <w:sz w:val="24"/>
          <w:szCs w:val="24"/>
        </w:rPr>
        <w:t xml:space="preserve"> &gt;30 ml/min er ikke nødvendig (se pkt. 4.2 og 5.2).</w:t>
      </w:r>
    </w:p>
    <w:p w:rsidR="003E5ED1" w:rsidRDefault="003E5ED1" w:rsidP="003E5ED1">
      <w:pPr>
        <w:autoSpaceDE w:val="0"/>
        <w:autoSpaceDN w:val="0"/>
        <w:adjustRightInd w:val="0"/>
        <w:ind w:left="851"/>
        <w:rPr>
          <w:b/>
          <w:sz w:val="24"/>
          <w:szCs w:val="24"/>
        </w:rPr>
      </w:pPr>
      <w:r>
        <w:rPr>
          <w:sz w:val="24"/>
          <w:szCs w:val="24"/>
        </w:rPr>
        <w:t xml:space="preserve">Nyrefunktion og serumkalium skal monitoreres tæt under behandling med </w:t>
      </w:r>
      <w:proofErr w:type="spellStart"/>
      <w:r>
        <w:rPr>
          <w:sz w:val="24"/>
          <w:szCs w:val="24"/>
        </w:rPr>
        <w:t>valsartan</w:t>
      </w:r>
      <w:proofErr w:type="spellEnd"/>
      <w:r>
        <w:rPr>
          <w:sz w:val="24"/>
          <w:szCs w:val="24"/>
        </w:rPr>
        <w:t xml:space="preserve">. Dette gælder særligt, når </w:t>
      </w:r>
      <w:proofErr w:type="spellStart"/>
      <w:r>
        <w:rPr>
          <w:sz w:val="24"/>
          <w:szCs w:val="24"/>
        </w:rPr>
        <w:t>valsartan</w:t>
      </w:r>
      <w:proofErr w:type="spellEnd"/>
      <w:r>
        <w:rPr>
          <w:sz w:val="24"/>
          <w:szCs w:val="24"/>
        </w:rPr>
        <w:t xml:space="preserve"> gives ved tilstedeværelsen af andre tilstande (feber, dehydrering), som kan forringe nyrefunktionen. </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Nedsat leverfunktion</w:t>
      </w:r>
    </w:p>
    <w:p w:rsidR="003E5ED1" w:rsidRDefault="003E5ED1" w:rsidP="003E5ED1">
      <w:pPr>
        <w:autoSpaceDE w:val="0"/>
        <w:autoSpaceDN w:val="0"/>
        <w:adjustRightInd w:val="0"/>
        <w:ind w:left="851"/>
        <w:rPr>
          <w:sz w:val="24"/>
          <w:szCs w:val="24"/>
        </w:rPr>
      </w:pPr>
      <w:r>
        <w:rPr>
          <w:sz w:val="24"/>
          <w:szCs w:val="24"/>
        </w:rPr>
        <w:t xml:space="preserve">Som hos voksne er </w:t>
      </w:r>
      <w:proofErr w:type="spellStart"/>
      <w:r>
        <w:rPr>
          <w:sz w:val="24"/>
          <w:szCs w:val="24"/>
        </w:rPr>
        <w:t>valsartan</w:t>
      </w:r>
      <w:proofErr w:type="spellEnd"/>
      <w:r>
        <w:rPr>
          <w:sz w:val="24"/>
          <w:szCs w:val="24"/>
        </w:rPr>
        <w:t xml:space="preserve"> kontraindiceret hos pædiatriske patienter med alvorligt nedsat leverfunktion, biliær cirrose og hos patienter med </w:t>
      </w:r>
      <w:proofErr w:type="spellStart"/>
      <w:r>
        <w:rPr>
          <w:sz w:val="24"/>
          <w:szCs w:val="24"/>
        </w:rPr>
        <w:t>cholestase</w:t>
      </w:r>
      <w:proofErr w:type="spellEnd"/>
      <w:r>
        <w:rPr>
          <w:sz w:val="24"/>
          <w:szCs w:val="24"/>
        </w:rPr>
        <w:t xml:space="preserve"> (se pkt. 4.3 og 5.2). Der er begrænset klinisk erfaring med </w:t>
      </w:r>
      <w:proofErr w:type="spellStart"/>
      <w:r>
        <w:rPr>
          <w:sz w:val="24"/>
          <w:szCs w:val="24"/>
        </w:rPr>
        <w:t>valsartan</w:t>
      </w:r>
      <w:proofErr w:type="spellEnd"/>
      <w:r>
        <w:rPr>
          <w:sz w:val="24"/>
          <w:szCs w:val="24"/>
        </w:rPr>
        <w:t xml:space="preserve"> hos pædiatriske patienter med let til moderat nedsat leverfunktion. </w:t>
      </w:r>
      <w:proofErr w:type="spellStart"/>
      <w:r>
        <w:rPr>
          <w:sz w:val="24"/>
          <w:szCs w:val="24"/>
        </w:rPr>
        <w:t>Valsartandosis</w:t>
      </w:r>
      <w:proofErr w:type="spellEnd"/>
      <w:r>
        <w:rPr>
          <w:sz w:val="24"/>
          <w:szCs w:val="24"/>
        </w:rPr>
        <w:t xml:space="preserve"> bør ikke overskride 80 mg hos disse patienter.</w:t>
      </w:r>
    </w:p>
    <w:p w:rsidR="003E5ED1" w:rsidRDefault="003E5ED1" w:rsidP="003E5ED1">
      <w:pPr>
        <w:autoSpaceDE w:val="0"/>
        <w:autoSpaceDN w:val="0"/>
        <w:adjustRightInd w:val="0"/>
        <w:ind w:left="851" w:hanging="851"/>
        <w:rPr>
          <w:sz w:val="24"/>
          <w:szCs w:val="24"/>
        </w:rPr>
      </w:pPr>
    </w:p>
    <w:p w:rsidR="003E5ED1" w:rsidRPr="004B7A1F" w:rsidRDefault="004E080E" w:rsidP="003E5ED1">
      <w:pPr>
        <w:ind w:left="851"/>
        <w:rPr>
          <w:color w:val="000000"/>
          <w:sz w:val="24"/>
          <w:szCs w:val="24"/>
        </w:rPr>
      </w:pPr>
      <w:proofErr w:type="spellStart"/>
      <w:r>
        <w:rPr>
          <w:spacing w:val="-3"/>
          <w:sz w:val="24"/>
          <w:szCs w:val="24"/>
        </w:rPr>
        <w:lastRenderedPageBreak/>
        <w:t>Valsartan</w:t>
      </w:r>
      <w:proofErr w:type="spellEnd"/>
      <w:r>
        <w:rPr>
          <w:spacing w:val="-3"/>
          <w:sz w:val="24"/>
          <w:szCs w:val="24"/>
        </w:rPr>
        <w:t xml:space="preserve"> ”Nordic Prime”</w:t>
      </w:r>
      <w:r w:rsidR="003E5ED1" w:rsidRPr="004B7A1F">
        <w:rPr>
          <w:spacing w:val="-3"/>
          <w:sz w:val="24"/>
          <w:szCs w:val="24"/>
        </w:rPr>
        <w:t xml:space="preserve"> indeholder </w:t>
      </w:r>
      <w:proofErr w:type="spellStart"/>
      <w:r w:rsidR="003E5ED1" w:rsidRPr="004B7A1F">
        <w:rPr>
          <w:spacing w:val="-3"/>
          <w:sz w:val="24"/>
          <w:szCs w:val="24"/>
        </w:rPr>
        <w:t>lactose</w:t>
      </w:r>
      <w:proofErr w:type="spellEnd"/>
      <w:r w:rsidR="003E5ED1" w:rsidRPr="004B7A1F">
        <w:rPr>
          <w:spacing w:val="-3"/>
          <w:sz w:val="24"/>
          <w:szCs w:val="24"/>
        </w:rPr>
        <w:t xml:space="preserve">. </w:t>
      </w:r>
      <w:r w:rsidR="003E5ED1" w:rsidRPr="004B7A1F">
        <w:rPr>
          <w:color w:val="000000"/>
          <w:sz w:val="24"/>
          <w:szCs w:val="24"/>
        </w:rPr>
        <w:t xml:space="preserve">Bør ikke anvendes til patienter med hereditær </w:t>
      </w:r>
      <w:proofErr w:type="spellStart"/>
      <w:r w:rsidR="003E5ED1" w:rsidRPr="004B7A1F">
        <w:rPr>
          <w:color w:val="000000"/>
          <w:sz w:val="24"/>
          <w:szCs w:val="24"/>
        </w:rPr>
        <w:t>galactoseintolerans</w:t>
      </w:r>
      <w:proofErr w:type="spellEnd"/>
      <w:r w:rsidR="003E5ED1" w:rsidRPr="004B7A1F">
        <w:rPr>
          <w:color w:val="000000"/>
          <w:sz w:val="24"/>
          <w:szCs w:val="24"/>
        </w:rPr>
        <w:t xml:space="preserve">, total </w:t>
      </w:r>
      <w:proofErr w:type="spellStart"/>
      <w:r w:rsidR="003E5ED1" w:rsidRPr="004B7A1F">
        <w:rPr>
          <w:color w:val="000000"/>
          <w:sz w:val="24"/>
          <w:szCs w:val="24"/>
        </w:rPr>
        <w:t>lactasemangel</w:t>
      </w:r>
      <w:proofErr w:type="spellEnd"/>
      <w:r w:rsidR="003E5ED1" w:rsidRPr="004B7A1F">
        <w:rPr>
          <w:color w:val="000000"/>
          <w:sz w:val="24"/>
          <w:szCs w:val="24"/>
        </w:rPr>
        <w:t xml:space="preserve"> eller </w:t>
      </w:r>
      <w:proofErr w:type="spellStart"/>
      <w:r w:rsidR="003E5ED1" w:rsidRPr="004B7A1F">
        <w:rPr>
          <w:color w:val="000000"/>
          <w:sz w:val="24"/>
          <w:szCs w:val="24"/>
        </w:rPr>
        <w:t>glucose</w:t>
      </w:r>
      <w:proofErr w:type="spellEnd"/>
      <w:r w:rsidR="003E5ED1" w:rsidRPr="004B7A1F">
        <w:rPr>
          <w:color w:val="000000"/>
          <w:sz w:val="24"/>
          <w:szCs w:val="24"/>
        </w:rPr>
        <w:t>/</w:t>
      </w:r>
      <w:proofErr w:type="spellStart"/>
      <w:r w:rsidR="003E5ED1" w:rsidRPr="004B7A1F">
        <w:rPr>
          <w:color w:val="000000"/>
          <w:sz w:val="24"/>
          <w:szCs w:val="24"/>
        </w:rPr>
        <w:t>galactosemalabsorption</w:t>
      </w:r>
      <w:proofErr w:type="spellEnd"/>
      <w:r w:rsidR="003E5ED1" w:rsidRPr="004B7A1F">
        <w:rPr>
          <w:color w:val="000000"/>
          <w:sz w:val="24"/>
          <w:szCs w:val="24"/>
        </w:rPr>
        <w:t xml:space="preserve">. </w:t>
      </w:r>
    </w:p>
    <w:p w:rsidR="003E5ED1" w:rsidRDefault="004E080E" w:rsidP="003E5ED1">
      <w:pPr>
        <w:ind w:left="851"/>
        <w:rPr>
          <w:sz w:val="24"/>
          <w:szCs w:val="24"/>
        </w:rPr>
      </w:pPr>
      <w:proofErr w:type="spellStart"/>
      <w:r>
        <w:rPr>
          <w:color w:val="000000"/>
          <w:sz w:val="24"/>
          <w:szCs w:val="24"/>
        </w:rPr>
        <w:t>Valsartan</w:t>
      </w:r>
      <w:proofErr w:type="spellEnd"/>
      <w:r>
        <w:rPr>
          <w:color w:val="000000"/>
          <w:sz w:val="24"/>
          <w:szCs w:val="24"/>
        </w:rPr>
        <w:t xml:space="preserve"> ”Nordic Prime”</w:t>
      </w:r>
      <w:r w:rsidR="003E5ED1" w:rsidRPr="004B7A1F">
        <w:rPr>
          <w:color w:val="000000"/>
          <w:sz w:val="24"/>
          <w:szCs w:val="24"/>
        </w:rPr>
        <w:t xml:space="preserve"> indeholder natrium. Dette lægemiddel indeholder mindre end 1 mmol (23 mg) natrium pr. tablet, dvs. det er i det væsentlige natriumfrit.</w:t>
      </w:r>
    </w:p>
    <w:p w:rsidR="00E4145D" w:rsidRPr="004C69FA" w:rsidRDefault="00E4145D" w:rsidP="003E5ED1">
      <w:pPr>
        <w:tabs>
          <w:tab w:val="left" w:pos="0"/>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Interaktion med andre lægemidler og andre former for interaktion</w:t>
      </w:r>
    </w:p>
    <w:p w:rsidR="00E4145D" w:rsidRDefault="00E4145D" w:rsidP="00E4145D">
      <w:pPr>
        <w:autoSpaceDE w:val="0"/>
        <w:autoSpaceDN w:val="0"/>
        <w:adjustRightInd w:val="0"/>
        <w:ind w:left="851"/>
        <w:rPr>
          <w:i/>
          <w:iCs/>
          <w:sz w:val="24"/>
          <w:szCs w:val="24"/>
          <w:u w:val="single"/>
        </w:rPr>
      </w:pPr>
    </w:p>
    <w:p w:rsidR="003E5ED1" w:rsidRPr="004C69FA" w:rsidRDefault="003E5ED1" w:rsidP="003E5ED1">
      <w:pPr>
        <w:autoSpaceDE w:val="0"/>
        <w:autoSpaceDN w:val="0"/>
        <w:adjustRightInd w:val="0"/>
        <w:ind w:left="851"/>
        <w:rPr>
          <w:i/>
          <w:iCs/>
          <w:sz w:val="24"/>
          <w:szCs w:val="24"/>
          <w:u w:val="single"/>
        </w:rPr>
      </w:pPr>
      <w:r w:rsidRPr="004C69FA">
        <w:rPr>
          <w:i/>
          <w:iCs/>
          <w:sz w:val="24"/>
          <w:szCs w:val="24"/>
          <w:u w:val="single"/>
        </w:rPr>
        <w:t xml:space="preserve">Dobbelt blokade af </w:t>
      </w:r>
      <w:proofErr w:type="spellStart"/>
      <w:r w:rsidRPr="004C69FA">
        <w:rPr>
          <w:i/>
          <w:iCs/>
          <w:sz w:val="24"/>
          <w:szCs w:val="24"/>
          <w:u w:val="single"/>
        </w:rPr>
        <w:t>renin</w:t>
      </w:r>
      <w:proofErr w:type="spellEnd"/>
      <w:r w:rsidRPr="004C69FA">
        <w:rPr>
          <w:i/>
          <w:iCs/>
          <w:sz w:val="24"/>
          <w:szCs w:val="24"/>
          <w:u w:val="single"/>
        </w:rPr>
        <w:t>-</w:t>
      </w:r>
      <w:proofErr w:type="spellStart"/>
      <w:r w:rsidRPr="004C69FA">
        <w:rPr>
          <w:i/>
          <w:iCs/>
          <w:sz w:val="24"/>
          <w:szCs w:val="24"/>
          <w:u w:val="single"/>
        </w:rPr>
        <w:t>angiotensin</w:t>
      </w:r>
      <w:proofErr w:type="spellEnd"/>
      <w:r w:rsidRPr="004C69FA">
        <w:rPr>
          <w:i/>
          <w:iCs/>
          <w:sz w:val="24"/>
          <w:szCs w:val="24"/>
          <w:u w:val="single"/>
        </w:rPr>
        <w:t xml:space="preserve">-systemet (RAS) med </w:t>
      </w:r>
      <w:proofErr w:type="spellStart"/>
      <w:r w:rsidRPr="004C69FA">
        <w:rPr>
          <w:i/>
          <w:iCs/>
          <w:sz w:val="24"/>
          <w:szCs w:val="24"/>
          <w:u w:val="single"/>
        </w:rPr>
        <w:t>ARB’ere</w:t>
      </w:r>
      <w:proofErr w:type="spellEnd"/>
      <w:r w:rsidRPr="004C69FA">
        <w:rPr>
          <w:i/>
          <w:iCs/>
          <w:sz w:val="24"/>
          <w:szCs w:val="24"/>
          <w:u w:val="single"/>
        </w:rPr>
        <w:t>, ACE-</w:t>
      </w:r>
      <w:proofErr w:type="spellStart"/>
      <w:r w:rsidRPr="004C69FA">
        <w:rPr>
          <w:i/>
          <w:iCs/>
          <w:sz w:val="24"/>
          <w:szCs w:val="24"/>
          <w:u w:val="single"/>
        </w:rPr>
        <w:t>hæmmere</w:t>
      </w:r>
      <w:proofErr w:type="spellEnd"/>
      <w:r w:rsidRPr="004C69FA">
        <w:rPr>
          <w:i/>
          <w:iCs/>
          <w:sz w:val="24"/>
          <w:szCs w:val="24"/>
          <w:u w:val="single"/>
        </w:rPr>
        <w:t xml:space="preserve"> eller </w:t>
      </w:r>
      <w:proofErr w:type="spellStart"/>
      <w:r w:rsidRPr="004C69FA">
        <w:rPr>
          <w:i/>
          <w:iCs/>
          <w:sz w:val="24"/>
          <w:szCs w:val="24"/>
          <w:u w:val="single"/>
        </w:rPr>
        <w:t>aliskiren</w:t>
      </w:r>
      <w:proofErr w:type="spellEnd"/>
    </w:p>
    <w:p w:rsidR="003E5ED1" w:rsidRPr="004C69FA" w:rsidRDefault="003E5ED1" w:rsidP="003E5ED1">
      <w:pPr>
        <w:autoSpaceDE w:val="0"/>
        <w:autoSpaceDN w:val="0"/>
        <w:adjustRightInd w:val="0"/>
        <w:ind w:left="851"/>
        <w:rPr>
          <w:iCs/>
          <w:sz w:val="24"/>
          <w:szCs w:val="24"/>
        </w:rPr>
      </w:pPr>
      <w:r w:rsidRPr="004C69FA">
        <w:rPr>
          <w:iCs/>
          <w:sz w:val="24"/>
          <w:szCs w:val="24"/>
        </w:rPr>
        <w:t xml:space="preserve">Data fra kliniske studier har vist, at dobbelthæmning af </w:t>
      </w:r>
      <w:proofErr w:type="spellStart"/>
      <w:r w:rsidRPr="004C69FA">
        <w:rPr>
          <w:iCs/>
          <w:sz w:val="24"/>
          <w:szCs w:val="24"/>
        </w:rPr>
        <w:t>renin-angiotensin-aldosteronsystemet</w:t>
      </w:r>
      <w:proofErr w:type="spellEnd"/>
      <w:r w:rsidRPr="004C69FA">
        <w:rPr>
          <w:iCs/>
          <w:sz w:val="24"/>
          <w:szCs w:val="24"/>
        </w:rPr>
        <w:t xml:space="preserve"> (RAAS) ved kombinationsbehandling med ACE-</w:t>
      </w:r>
      <w:proofErr w:type="spellStart"/>
      <w:r w:rsidRPr="004C69FA">
        <w:rPr>
          <w:iCs/>
          <w:sz w:val="24"/>
          <w:szCs w:val="24"/>
        </w:rPr>
        <w:t>hæmmere</w:t>
      </w:r>
      <w:proofErr w:type="spellEnd"/>
      <w:r w:rsidRPr="004C69FA">
        <w:rPr>
          <w:iCs/>
          <w:sz w:val="24"/>
          <w:szCs w:val="24"/>
        </w:rPr>
        <w:t xml:space="preserve">, </w:t>
      </w:r>
      <w:proofErr w:type="spellStart"/>
      <w:r w:rsidRPr="004C69FA">
        <w:rPr>
          <w:iCs/>
          <w:sz w:val="24"/>
          <w:szCs w:val="24"/>
        </w:rPr>
        <w:t>angiotensin</w:t>
      </w:r>
      <w:proofErr w:type="spellEnd"/>
      <w:r w:rsidRPr="004C69FA">
        <w:rPr>
          <w:iCs/>
          <w:sz w:val="24"/>
          <w:szCs w:val="24"/>
        </w:rPr>
        <w:t xml:space="preserve"> II-receptorantagonister eller </w:t>
      </w:r>
      <w:proofErr w:type="spellStart"/>
      <w:r w:rsidRPr="004C69FA">
        <w:rPr>
          <w:iCs/>
          <w:sz w:val="24"/>
          <w:szCs w:val="24"/>
        </w:rPr>
        <w:t>aliskiren</w:t>
      </w:r>
      <w:proofErr w:type="spellEnd"/>
      <w:r w:rsidRPr="004C69FA">
        <w:rPr>
          <w:iCs/>
          <w:sz w:val="24"/>
          <w:szCs w:val="24"/>
        </w:rPr>
        <w:t xml:space="preserve"> er forbundet med en højere hyppighed af bivirkninger som hypotension, </w:t>
      </w:r>
      <w:proofErr w:type="spellStart"/>
      <w:r w:rsidRPr="004C69FA">
        <w:rPr>
          <w:iCs/>
          <w:sz w:val="24"/>
          <w:szCs w:val="24"/>
        </w:rPr>
        <w:t>hyperkaliæmi</w:t>
      </w:r>
      <w:proofErr w:type="spellEnd"/>
      <w:r w:rsidRPr="004C69FA">
        <w:rPr>
          <w:iCs/>
          <w:sz w:val="24"/>
          <w:szCs w:val="24"/>
        </w:rPr>
        <w:t xml:space="preserve"> og nedsat nyrefunktion (inklusive akut nyresvigt) sammenlignet med brug af et enkelt RAAS-virkende lægemiddel (se pkt. 4.3, 4.4 og 5.1). </w:t>
      </w:r>
    </w:p>
    <w:p w:rsidR="003E5ED1" w:rsidRPr="004C69FA" w:rsidRDefault="003E5ED1" w:rsidP="003E5ED1">
      <w:pPr>
        <w:autoSpaceDE w:val="0"/>
        <w:autoSpaceDN w:val="0"/>
        <w:adjustRightInd w:val="0"/>
        <w:ind w:left="851" w:hanging="851"/>
        <w:rPr>
          <w:iCs/>
          <w:sz w:val="24"/>
          <w:szCs w:val="24"/>
          <w:u w:val="single"/>
        </w:rPr>
      </w:pPr>
    </w:p>
    <w:p w:rsidR="003E5ED1" w:rsidRDefault="003E5ED1" w:rsidP="003E5ED1">
      <w:pPr>
        <w:autoSpaceDE w:val="0"/>
        <w:autoSpaceDN w:val="0"/>
        <w:adjustRightInd w:val="0"/>
        <w:ind w:left="851"/>
        <w:rPr>
          <w:i/>
          <w:iCs/>
          <w:sz w:val="24"/>
          <w:szCs w:val="24"/>
          <w:u w:val="single"/>
        </w:rPr>
      </w:pPr>
      <w:r>
        <w:rPr>
          <w:i/>
          <w:iCs/>
          <w:sz w:val="24"/>
          <w:szCs w:val="24"/>
          <w:u w:val="single"/>
        </w:rPr>
        <w:t xml:space="preserve">Samtidig anvendelse anbefales ikke </w:t>
      </w:r>
    </w:p>
    <w:p w:rsidR="003E5ED1" w:rsidRDefault="003E5ED1" w:rsidP="003E5ED1">
      <w:pPr>
        <w:autoSpaceDE w:val="0"/>
        <w:autoSpaceDN w:val="0"/>
        <w:adjustRightInd w:val="0"/>
        <w:ind w:left="851"/>
        <w:rPr>
          <w:i/>
          <w:iCs/>
          <w:sz w:val="24"/>
          <w:szCs w:val="24"/>
          <w:u w:val="single"/>
        </w:rPr>
      </w:pPr>
    </w:p>
    <w:p w:rsidR="003E5ED1" w:rsidRDefault="003E5ED1" w:rsidP="003E5ED1">
      <w:pPr>
        <w:autoSpaceDE w:val="0"/>
        <w:autoSpaceDN w:val="0"/>
        <w:adjustRightInd w:val="0"/>
        <w:ind w:left="851"/>
        <w:rPr>
          <w:i/>
          <w:iCs/>
          <w:sz w:val="24"/>
          <w:szCs w:val="24"/>
        </w:rPr>
      </w:pPr>
      <w:proofErr w:type="spellStart"/>
      <w:r>
        <w:rPr>
          <w:i/>
          <w:iCs/>
          <w:sz w:val="24"/>
          <w:szCs w:val="24"/>
        </w:rPr>
        <w:t>Lithium</w:t>
      </w:r>
      <w:proofErr w:type="spellEnd"/>
      <w:r>
        <w:rPr>
          <w:i/>
          <w:iCs/>
          <w:sz w:val="24"/>
          <w:szCs w:val="24"/>
        </w:rPr>
        <w:t xml:space="preserve"> </w:t>
      </w:r>
    </w:p>
    <w:p w:rsidR="003E5ED1" w:rsidRDefault="003E5ED1" w:rsidP="003E5ED1">
      <w:pPr>
        <w:autoSpaceDE w:val="0"/>
        <w:autoSpaceDN w:val="0"/>
        <w:adjustRightInd w:val="0"/>
        <w:ind w:left="851"/>
        <w:rPr>
          <w:sz w:val="24"/>
          <w:szCs w:val="24"/>
        </w:rPr>
      </w:pPr>
      <w:r>
        <w:rPr>
          <w:sz w:val="24"/>
          <w:szCs w:val="24"/>
        </w:rPr>
        <w:t>Reversible forhøjelser af serum-</w:t>
      </w:r>
      <w:proofErr w:type="spellStart"/>
      <w:r>
        <w:rPr>
          <w:sz w:val="24"/>
          <w:szCs w:val="24"/>
        </w:rPr>
        <w:t>lithium</w:t>
      </w:r>
      <w:proofErr w:type="spellEnd"/>
      <w:r>
        <w:rPr>
          <w:sz w:val="24"/>
          <w:szCs w:val="24"/>
        </w:rPr>
        <w:t xml:space="preserve">-koncentrationer og toksicitet er blevet rapporteret ved samtidig administration af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eller </w:t>
      </w:r>
      <w:proofErr w:type="spellStart"/>
      <w:r>
        <w:rPr>
          <w:sz w:val="24"/>
          <w:szCs w:val="24"/>
        </w:rPr>
        <w:t>angiotensin</w:t>
      </w:r>
      <w:proofErr w:type="spellEnd"/>
      <w:r>
        <w:rPr>
          <w:sz w:val="24"/>
          <w:szCs w:val="24"/>
        </w:rPr>
        <w:t xml:space="preserve"> II-receptor-antagonister inklusive </w:t>
      </w:r>
      <w:proofErr w:type="spellStart"/>
      <w:r>
        <w:rPr>
          <w:sz w:val="24"/>
          <w:szCs w:val="24"/>
        </w:rPr>
        <w:t>Valsartan</w:t>
      </w:r>
      <w:proofErr w:type="spellEnd"/>
      <w:r>
        <w:rPr>
          <w:sz w:val="24"/>
          <w:szCs w:val="24"/>
        </w:rPr>
        <w:t xml:space="preserve"> </w:t>
      </w:r>
      <w:proofErr w:type="spellStart"/>
      <w:r>
        <w:rPr>
          <w:sz w:val="24"/>
          <w:szCs w:val="24"/>
        </w:rPr>
        <w:t>Krka</w:t>
      </w:r>
      <w:proofErr w:type="spellEnd"/>
      <w:r>
        <w:rPr>
          <w:sz w:val="24"/>
          <w:szCs w:val="24"/>
        </w:rPr>
        <w:t>. Hvis kombinationen viser sig nødvendig, anbefales en omhyggelig monitorering af serum-</w:t>
      </w:r>
      <w:proofErr w:type="spellStart"/>
      <w:r>
        <w:rPr>
          <w:sz w:val="24"/>
          <w:szCs w:val="24"/>
        </w:rPr>
        <w:t>lithium</w:t>
      </w:r>
      <w:proofErr w:type="spellEnd"/>
      <w:r>
        <w:rPr>
          <w:sz w:val="24"/>
          <w:szCs w:val="24"/>
        </w:rPr>
        <w:t xml:space="preserve">-niveauerne. Hvis der samtidig også anvendes et </w:t>
      </w:r>
      <w:proofErr w:type="spellStart"/>
      <w:r>
        <w:rPr>
          <w:sz w:val="24"/>
          <w:szCs w:val="24"/>
        </w:rPr>
        <w:t>diuretikum</w:t>
      </w:r>
      <w:proofErr w:type="spellEnd"/>
      <w:r>
        <w:rPr>
          <w:sz w:val="24"/>
          <w:szCs w:val="24"/>
        </w:rPr>
        <w:t xml:space="preserve">, er risikoen for </w:t>
      </w:r>
      <w:proofErr w:type="spellStart"/>
      <w:r>
        <w:rPr>
          <w:sz w:val="24"/>
          <w:szCs w:val="24"/>
        </w:rPr>
        <w:t>lithium</w:t>
      </w:r>
      <w:proofErr w:type="spellEnd"/>
      <w:r>
        <w:rPr>
          <w:sz w:val="24"/>
          <w:szCs w:val="24"/>
        </w:rPr>
        <w:t xml:space="preserve">-toksicitet formodentlig forøget yderligere. </w:t>
      </w:r>
    </w:p>
    <w:p w:rsidR="003E5ED1" w:rsidRPr="004C69FA" w:rsidRDefault="003E5ED1" w:rsidP="003E5ED1">
      <w:pPr>
        <w:autoSpaceDE w:val="0"/>
        <w:autoSpaceDN w:val="0"/>
        <w:adjustRightInd w:val="0"/>
        <w:ind w:left="851"/>
        <w:rPr>
          <w:sz w:val="24"/>
          <w:szCs w:val="24"/>
        </w:rPr>
      </w:pPr>
    </w:p>
    <w:p w:rsidR="003E5ED1" w:rsidRPr="004C69FA" w:rsidRDefault="003E5ED1" w:rsidP="003E5ED1">
      <w:pPr>
        <w:autoSpaceDE w:val="0"/>
        <w:autoSpaceDN w:val="0"/>
        <w:adjustRightInd w:val="0"/>
        <w:ind w:left="851"/>
        <w:rPr>
          <w:i/>
          <w:iCs/>
          <w:sz w:val="24"/>
          <w:szCs w:val="24"/>
        </w:rPr>
      </w:pPr>
      <w:r w:rsidRPr="004C69FA">
        <w:rPr>
          <w:i/>
          <w:iCs/>
          <w:sz w:val="24"/>
          <w:szCs w:val="24"/>
        </w:rPr>
        <w:t xml:space="preserve">Kaliumbesparende </w:t>
      </w:r>
      <w:proofErr w:type="spellStart"/>
      <w:r w:rsidRPr="004C69FA">
        <w:rPr>
          <w:i/>
          <w:iCs/>
          <w:sz w:val="24"/>
          <w:szCs w:val="24"/>
        </w:rPr>
        <w:t>diuretika</w:t>
      </w:r>
      <w:proofErr w:type="spellEnd"/>
      <w:r w:rsidRPr="004C69FA">
        <w:rPr>
          <w:i/>
          <w:iCs/>
          <w:sz w:val="24"/>
          <w:szCs w:val="24"/>
        </w:rPr>
        <w:t xml:space="preserve">, kaliumtilskud, salterstatninger indeholdende kalium og andre stoffer, der kan forhøje kalium-niveauerne </w:t>
      </w:r>
    </w:p>
    <w:p w:rsidR="003E5ED1" w:rsidRPr="004C69FA" w:rsidRDefault="003E5ED1" w:rsidP="003E5ED1">
      <w:pPr>
        <w:autoSpaceDE w:val="0"/>
        <w:autoSpaceDN w:val="0"/>
        <w:adjustRightInd w:val="0"/>
        <w:ind w:left="851"/>
        <w:rPr>
          <w:sz w:val="24"/>
          <w:szCs w:val="24"/>
        </w:rPr>
      </w:pPr>
      <w:r w:rsidRPr="004C69FA">
        <w:rPr>
          <w:sz w:val="24"/>
          <w:szCs w:val="24"/>
        </w:rPr>
        <w:t xml:space="preserve">Hvis et lægemiddel, som påvirker kaliumniveauerne, vurderes nødvendigt i kombination med </w:t>
      </w:r>
      <w:proofErr w:type="spellStart"/>
      <w:r w:rsidRPr="004C69FA">
        <w:rPr>
          <w:sz w:val="24"/>
          <w:szCs w:val="24"/>
        </w:rPr>
        <w:t>valsartan</w:t>
      </w:r>
      <w:proofErr w:type="spellEnd"/>
      <w:r w:rsidRPr="004C69FA">
        <w:rPr>
          <w:sz w:val="24"/>
          <w:szCs w:val="24"/>
        </w:rPr>
        <w:t xml:space="preserve">, tilrådes monitorering af kalium-plasma-niveauerne. </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autoSpaceDE w:val="0"/>
        <w:autoSpaceDN w:val="0"/>
        <w:adjustRightInd w:val="0"/>
        <w:ind w:left="851"/>
        <w:rPr>
          <w:i/>
          <w:iCs/>
          <w:sz w:val="24"/>
          <w:szCs w:val="24"/>
          <w:u w:val="single"/>
        </w:rPr>
      </w:pPr>
      <w:r w:rsidRPr="004C69FA">
        <w:rPr>
          <w:i/>
          <w:iCs/>
          <w:sz w:val="24"/>
          <w:szCs w:val="24"/>
          <w:u w:val="single"/>
        </w:rPr>
        <w:t xml:space="preserve">Forsigtighed er påkrævet ved samtidig brug </w:t>
      </w:r>
    </w:p>
    <w:p w:rsidR="003E5ED1" w:rsidRPr="004C69FA" w:rsidRDefault="003E5ED1" w:rsidP="003E5ED1">
      <w:pPr>
        <w:autoSpaceDE w:val="0"/>
        <w:autoSpaceDN w:val="0"/>
        <w:adjustRightInd w:val="0"/>
        <w:ind w:left="851"/>
        <w:rPr>
          <w:i/>
          <w:iCs/>
          <w:sz w:val="24"/>
          <w:szCs w:val="24"/>
        </w:rPr>
      </w:pPr>
      <w:r w:rsidRPr="004C69FA">
        <w:rPr>
          <w:i/>
          <w:iCs/>
          <w:sz w:val="24"/>
          <w:szCs w:val="24"/>
        </w:rPr>
        <w:t>Non-</w:t>
      </w:r>
      <w:proofErr w:type="spellStart"/>
      <w:r w:rsidRPr="004C69FA">
        <w:rPr>
          <w:i/>
          <w:iCs/>
          <w:sz w:val="24"/>
          <w:szCs w:val="24"/>
        </w:rPr>
        <w:t>steroide</w:t>
      </w:r>
      <w:proofErr w:type="spellEnd"/>
      <w:r w:rsidRPr="004C69FA">
        <w:rPr>
          <w:i/>
          <w:iCs/>
          <w:sz w:val="24"/>
          <w:szCs w:val="24"/>
        </w:rPr>
        <w:t xml:space="preserve"> anti-inflammatoriske lægemidler (</w:t>
      </w:r>
      <w:proofErr w:type="spellStart"/>
      <w:r w:rsidRPr="004C69FA">
        <w:rPr>
          <w:i/>
          <w:iCs/>
          <w:sz w:val="24"/>
          <w:szCs w:val="24"/>
        </w:rPr>
        <w:t>NSAID‘ere</w:t>
      </w:r>
      <w:proofErr w:type="spellEnd"/>
      <w:r w:rsidRPr="004C69FA">
        <w:rPr>
          <w:i/>
          <w:iCs/>
          <w:sz w:val="24"/>
          <w:szCs w:val="24"/>
        </w:rPr>
        <w:t xml:space="preserve">), herunder selektive COX-2-hæmmere, acetylsalicylsyre &gt;3 g/dag og ikke-selektive </w:t>
      </w:r>
      <w:proofErr w:type="spellStart"/>
      <w:r w:rsidRPr="004C69FA">
        <w:rPr>
          <w:i/>
          <w:iCs/>
          <w:sz w:val="24"/>
          <w:szCs w:val="24"/>
        </w:rPr>
        <w:t>NSAID’ere</w:t>
      </w:r>
      <w:proofErr w:type="spellEnd"/>
    </w:p>
    <w:p w:rsidR="003E5ED1" w:rsidRPr="004C69FA" w:rsidRDefault="003E5ED1" w:rsidP="003E5ED1">
      <w:pPr>
        <w:autoSpaceDE w:val="0"/>
        <w:autoSpaceDN w:val="0"/>
        <w:adjustRightInd w:val="0"/>
        <w:ind w:left="851"/>
        <w:rPr>
          <w:sz w:val="24"/>
          <w:szCs w:val="24"/>
        </w:rPr>
      </w:pPr>
      <w:r w:rsidRPr="004C69FA">
        <w:rPr>
          <w:sz w:val="24"/>
          <w:szCs w:val="24"/>
        </w:rPr>
        <w:t xml:space="preserve">Når </w:t>
      </w:r>
      <w:proofErr w:type="spellStart"/>
      <w:r w:rsidRPr="004C69FA">
        <w:rPr>
          <w:sz w:val="24"/>
          <w:szCs w:val="24"/>
        </w:rPr>
        <w:t>angiotensin</w:t>
      </w:r>
      <w:proofErr w:type="spellEnd"/>
      <w:r w:rsidRPr="004C69FA">
        <w:rPr>
          <w:sz w:val="24"/>
          <w:szCs w:val="24"/>
        </w:rPr>
        <w:t xml:space="preserve"> II-antagonister administreres samtidigt med </w:t>
      </w:r>
      <w:proofErr w:type="spellStart"/>
      <w:r w:rsidRPr="004C69FA">
        <w:rPr>
          <w:sz w:val="24"/>
          <w:szCs w:val="24"/>
        </w:rPr>
        <w:t>NSAID’ere</w:t>
      </w:r>
      <w:proofErr w:type="spellEnd"/>
      <w:r w:rsidRPr="004C69FA">
        <w:rPr>
          <w:sz w:val="24"/>
          <w:szCs w:val="24"/>
        </w:rPr>
        <w:t xml:space="preserve">, kan der forekomme en svækkelse af den </w:t>
      </w:r>
      <w:proofErr w:type="spellStart"/>
      <w:r w:rsidRPr="004C69FA">
        <w:rPr>
          <w:sz w:val="24"/>
          <w:szCs w:val="24"/>
        </w:rPr>
        <w:t>antihypertensive</w:t>
      </w:r>
      <w:proofErr w:type="spellEnd"/>
      <w:r w:rsidRPr="004C69FA">
        <w:rPr>
          <w:sz w:val="24"/>
          <w:szCs w:val="24"/>
        </w:rPr>
        <w:t xml:space="preserve"> virkning. Yderligere kan samtidig brug af </w:t>
      </w:r>
      <w:proofErr w:type="spellStart"/>
      <w:r w:rsidRPr="004C69FA">
        <w:rPr>
          <w:sz w:val="24"/>
          <w:szCs w:val="24"/>
        </w:rPr>
        <w:t>angiotensin</w:t>
      </w:r>
      <w:proofErr w:type="spellEnd"/>
      <w:r w:rsidRPr="004C69FA">
        <w:rPr>
          <w:sz w:val="24"/>
          <w:szCs w:val="24"/>
        </w:rPr>
        <w:t xml:space="preserve"> II-antagonister og </w:t>
      </w:r>
      <w:proofErr w:type="spellStart"/>
      <w:r w:rsidRPr="004C69FA">
        <w:rPr>
          <w:sz w:val="24"/>
          <w:szCs w:val="24"/>
        </w:rPr>
        <w:t>NSAID’ere</w:t>
      </w:r>
      <w:proofErr w:type="spellEnd"/>
      <w:r w:rsidRPr="004C69FA">
        <w:rPr>
          <w:sz w:val="24"/>
          <w:szCs w:val="24"/>
        </w:rPr>
        <w:t xml:space="preserve"> medføre en øget risiko for forværring af nyrefunktionen og forhøjet kaliumindhold i serum. Det anbefales derfor at monitorere nyrefunktionen i begyndelsen af behandlingen, lige som tilstrækkelig hydrering af patienten anbefales. </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tabs>
          <w:tab w:val="left" w:pos="1102"/>
        </w:tabs>
        <w:autoSpaceDE w:val="0"/>
        <w:autoSpaceDN w:val="0"/>
        <w:adjustRightInd w:val="0"/>
        <w:ind w:left="851" w:hanging="851"/>
        <w:rPr>
          <w:sz w:val="24"/>
          <w:szCs w:val="24"/>
        </w:rPr>
      </w:pPr>
      <w:r w:rsidRPr="004C69FA">
        <w:rPr>
          <w:sz w:val="24"/>
          <w:szCs w:val="24"/>
        </w:rPr>
        <w:tab/>
        <w:t>Transportører</w:t>
      </w:r>
    </w:p>
    <w:p w:rsidR="003E5ED1" w:rsidRPr="004C69FA" w:rsidRDefault="003E5ED1" w:rsidP="003E5ED1">
      <w:pPr>
        <w:tabs>
          <w:tab w:val="left" w:pos="1102"/>
        </w:tabs>
        <w:autoSpaceDE w:val="0"/>
        <w:autoSpaceDN w:val="0"/>
        <w:adjustRightInd w:val="0"/>
        <w:ind w:left="851" w:hanging="851"/>
        <w:rPr>
          <w:sz w:val="24"/>
          <w:szCs w:val="24"/>
        </w:rPr>
      </w:pPr>
      <w:r w:rsidRPr="004C69FA">
        <w:rPr>
          <w:i/>
          <w:iCs/>
          <w:sz w:val="24"/>
          <w:szCs w:val="24"/>
        </w:rPr>
        <w:tab/>
        <w:t>In-</w:t>
      </w:r>
      <w:proofErr w:type="spellStart"/>
      <w:r w:rsidRPr="004C69FA">
        <w:rPr>
          <w:i/>
          <w:iCs/>
          <w:sz w:val="24"/>
          <w:szCs w:val="24"/>
        </w:rPr>
        <w:t>vitro</w:t>
      </w:r>
      <w:proofErr w:type="spellEnd"/>
      <w:r w:rsidRPr="004C69FA">
        <w:rPr>
          <w:i/>
          <w:iCs/>
          <w:sz w:val="24"/>
          <w:szCs w:val="24"/>
        </w:rPr>
        <w:t xml:space="preserve"> </w:t>
      </w:r>
      <w:r w:rsidRPr="004C69FA">
        <w:rPr>
          <w:sz w:val="24"/>
          <w:szCs w:val="24"/>
        </w:rPr>
        <w:t xml:space="preserve">data indikerer, at </w:t>
      </w:r>
      <w:proofErr w:type="spellStart"/>
      <w:r w:rsidRPr="004C69FA">
        <w:rPr>
          <w:sz w:val="24"/>
          <w:szCs w:val="24"/>
        </w:rPr>
        <w:t>valsartan</w:t>
      </w:r>
      <w:proofErr w:type="spellEnd"/>
      <w:r w:rsidRPr="004C69FA">
        <w:rPr>
          <w:sz w:val="24"/>
          <w:szCs w:val="24"/>
        </w:rPr>
        <w:t xml:space="preserve"> er et substrat af den </w:t>
      </w:r>
      <w:proofErr w:type="spellStart"/>
      <w:r w:rsidRPr="004C69FA">
        <w:rPr>
          <w:sz w:val="24"/>
          <w:szCs w:val="24"/>
        </w:rPr>
        <w:t>hepatiske</w:t>
      </w:r>
      <w:proofErr w:type="spellEnd"/>
      <w:r w:rsidRPr="004C69FA">
        <w:rPr>
          <w:sz w:val="24"/>
          <w:szCs w:val="24"/>
        </w:rPr>
        <w:t xml:space="preserve"> optagelsestransportør OATP1B1/OATP1B3 og den </w:t>
      </w:r>
      <w:proofErr w:type="spellStart"/>
      <w:r w:rsidRPr="004C69FA">
        <w:rPr>
          <w:sz w:val="24"/>
          <w:szCs w:val="24"/>
        </w:rPr>
        <w:t>heptatiske</w:t>
      </w:r>
      <w:proofErr w:type="spellEnd"/>
      <w:r w:rsidRPr="004C69FA">
        <w:rPr>
          <w:sz w:val="24"/>
          <w:szCs w:val="24"/>
        </w:rPr>
        <w:t xml:space="preserve"> </w:t>
      </w:r>
      <w:proofErr w:type="spellStart"/>
      <w:r w:rsidRPr="004C69FA">
        <w:rPr>
          <w:sz w:val="24"/>
          <w:szCs w:val="24"/>
        </w:rPr>
        <w:t>effluxtransportør</w:t>
      </w:r>
      <w:proofErr w:type="spellEnd"/>
      <w:r w:rsidRPr="004C69FA">
        <w:rPr>
          <w:sz w:val="24"/>
          <w:szCs w:val="24"/>
        </w:rPr>
        <w:t xml:space="preserve"> MRP2. Den kliniske relevans af disse resultater er ikke kendt. Samtidig administration af lægemidler, som hæmmer optagelsestransportøren (f.eks</w:t>
      </w:r>
      <w:r>
        <w:rPr>
          <w:sz w:val="24"/>
          <w:szCs w:val="24"/>
        </w:rPr>
        <w:t>.</w:t>
      </w:r>
      <w:r w:rsidRPr="004C69FA">
        <w:rPr>
          <w:sz w:val="24"/>
          <w:szCs w:val="24"/>
        </w:rPr>
        <w:t xml:space="preserve"> </w:t>
      </w:r>
      <w:proofErr w:type="spellStart"/>
      <w:r w:rsidRPr="004C69FA">
        <w:rPr>
          <w:sz w:val="24"/>
          <w:szCs w:val="24"/>
        </w:rPr>
        <w:t>rifampicin</w:t>
      </w:r>
      <w:proofErr w:type="spellEnd"/>
      <w:r w:rsidRPr="004C69FA">
        <w:rPr>
          <w:sz w:val="24"/>
          <w:szCs w:val="24"/>
        </w:rPr>
        <w:t xml:space="preserve">, </w:t>
      </w:r>
      <w:proofErr w:type="spellStart"/>
      <w:r w:rsidRPr="004C69FA">
        <w:rPr>
          <w:sz w:val="24"/>
          <w:szCs w:val="24"/>
        </w:rPr>
        <w:t>ciclosporin</w:t>
      </w:r>
      <w:proofErr w:type="spellEnd"/>
      <w:r w:rsidRPr="004C69FA">
        <w:rPr>
          <w:sz w:val="24"/>
          <w:szCs w:val="24"/>
        </w:rPr>
        <w:t xml:space="preserve">) eller </w:t>
      </w:r>
      <w:proofErr w:type="spellStart"/>
      <w:r w:rsidRPr="004C69FA">
        <w:rPr>
          <w:sz w:val="24"/>
          <w:szCs w:val="24"/>
        </w:rPr>
        <w:t>effluxtransportøren</w:t>
      </w:r>
      <w:proofErr w:type="spellEnd"/>
      <w:r w:rsidRPr="004C69FA">
        <w:rPr>
          <w:sz w:val="24"/>
          <w:szCs w:val="24"/>
        </w:rPr>
        <w:t xml:space="preserve"> (f.eks. </w:t>
      </w:r>
      <w:proofErr w:type="spellStart"/>
      <w:r w:rsidRPr="004C69FA">
        <w:rPr>
          <w:sz w:val="24"/>
          <w:szCs w:val="24"/>
        </w:rPr>
        <w:t>ritonavir</w:t>
      </w:r>
      <w:proofErr w:type="spellEnd"/>
      <w:r w:rsidRPr="004C69FA">
        <w:rPr>
          <w:sz w:val="24"/>
          <w:szCs w:val="24"/>
        </w:rPr>
        <w:t xml:space="preserve">) kan øge den systemiske eksponering for </w:t>
      </w:r>
      <w:proofErr w:type="spellStart"/>
      <w:r w:rsidRPr="004C69FA">
        <w:rPr>
          <w:sz w:val="24"/>
          <w:szCs w:val="24"/>
        </w:rPr>
        <w:t>valsartan</w:t>
      </w:r>
      <w:proofErr w:type="spellEnd"/>
      <w:r w:rsidRPr="004C69FA">
        <w:rPr>
          <w:sz w:val="24"/>
          <w:szCs w:val="24"/>
        </w:rPr>
        <w:t xml:space="preserve">. Der skal udvises passende omsorg ved initiering eller </w:t>
      </w:r>
      <w:proofErr w:type="spellStart"/>
      <w:r w:rsidRPr="004C69FA">
        <w:rPr>
          <w:sz w:val="24"/>
          <w:szCs w:val="24"/>
        </w:rPr>
        <w:t>seponering</w:t>
      </w:r>
      <w:proofErr w:type="spellEnd"/>
      <w:r w:rsidRPr="004C69FA">
        <w:rPr>
          <w:sz w:val="24"/>
          <w:szCs w:val="24"/>
        </w:rPr>
        <w:t xml:space="preserve"> af samtidig behandling med sådanne lægemidler.</w:t>
      </w:r>
    </w:p>
    <w:p w:rsidR="003E5ED1" w:rsidRPr="004C69FA" w:rsidRDefault="003E5ED1" w:rsidP="003E5ED1">
      <w:pPr>
        <w:autoSpaceDE w:val="0"/>
        <w:autoSpaceDN w:val="0"/>
        <w:adjustRightInd w:val="0"/>
        <w:ind w:left="851" w:hanging="851"/>
        <w:rPr>
          <w:sz w:val="24"/>
          <w:szCs w:val="24"/>
        </w:rPr>
      </w:pPr>
    </w:p>
    <w:p w:rsidR="003E5ED1" w:rsidRDefault="003E5ED1" w:rsidP="003E5ED1">
      <w:pPr>
        <w:autoSpaceDE w:val="0"/>
        <w:autoSpaceDN w:val="0"/>
        <w:adjustRightInd w:val="0"/>
        <w:ind w:left="851"/>
        <w:rPr>
          <w:i/>
          <w:iCs/>
          <w:sz w:val="24"/>
          <w:szCs w:val="24"/>
        </w:rPr>
      </w:pPr>
    </w:p>
    <w:p w:rsidR="003E5ED1" w:rsidRDefault="003E5ED1" w:rsidP="003E5ED1">
      <w:pPr>
        <w:autoSpaceDE w:val="0"/>
        <w:autoSpaceDN w:val="0"/>
        <w:adjustRightInd w:val="0"/>
        <w:ind w:left="851"/>
        <w:rPr>
          <w:i/>
          <w:iCs/>
          <w:sz w:val="24"/>
          <w:szCs w:val="24"/>
        </w:rPr>
      </w:pPr>
    </w:p>
    <w:p w:rsidR="003E5ED1" w:rsidRDefault="003E5ED1" w:rsidP="003E5ED1">
      <w:pPr>
        <w:autoSpaceDE w:val="0"/>
        <w:autoSpaceDN w:val="0"/>
        <w:adjustRightInd w:val="0"/>
        <w:ind w:left="851"/>
        <w:rPr>
          <w:i/>
          <w:iCs/>
          <w:sz w:val="24"/>
          <w:szCs w:val="24"/>
        </w:rPr>
      </w:pPr>
    </w:p>
    <w:p w:rsidR="003E5ED1" w:rsidRPr="004C69FA" w:rsidRDefault="003E5ED1" w:rsidP="003E5ED1">
      <w:pPr>
        <w:autoSpaceDE w:val="0"/>
        <w:autoSpaceDN w:val="0"/>
        <w:adjustRightInd w:val="0"/>
        <w:ind w:left="851"/>
        <w:rPr>
          <w:i/>
          <w:iCs/>
          <w:sz w:val="24"/>
          <w:szCs w:val="24"/>
        </w:rPr>
      </w:pPr>
      <w:r w:rsidRPr="004C69FA">
        <w:rPr>
          <w:i/>
          <w:iCs/>
          <w:sz w:val="24"/>
          <w:szCs w:val="24"/>
        </w:rPr>
        <w:lastRenderedPageBreak/>
        <w:t xml:space="preserve">Andet </w:t>
      </w:r>
    </w:p>
    <w:p w:rsidR="003E5ED1" w:rsidRPr="004C69FA" w:rsidRDefault="003E5ED1" w:rsidP="003E5ED1">
      <w:pPr>
        <w:autoSpaceDE w:val="0"/>
        <w:autoSpaceDN w:val="0"/>
        <w:adjustRightInd w:val="0"/>
        <w:ind w:left="851"/>
        <w:rPr>
          <w:sz w:val="24"/>
          <w:szCs w:val="24"/>
        </w:rPr>
      </w:pPr>
      <w:r w:rsidRPr="004C69FA">
        <w:rPr>
          <w:sz w:val="24"/>
          <w:szCs w:val="24"/>
        </w:rPr>
        <w:t xml:space="preserve">I lægemiddelinteraktionsstudier med </w:t>
      </w:r>
      <w:proofErr w:type="spellStart"/>
      <w:r w:rsidRPr="004C69FA">
        <w:rPr>
          <w:sz w:val="24"/>
          <w:szCs w:val="24"/>
        </w:rPr>
        <w:t>valsartan</w:t>
      </w:r>
      <w:proofErr w:type="spellEnd"/>
      <w:r w:rsidRPr="004C69FA">
        <w:rPr>
          <w:sz w:val="24"/>
          <w:szCs w:val="24"/>
        </w:rPr>
        <w:t xml:space="preserve"> er der ikke fundet klinisk signifikante interaktioner med </w:t>
      </w:r>
      <w:proofErr w:type="spellStart"/>
      <w:r w:rsidRPr="004C69FA">
        <w:rPr>
          <w:sz w:val="24"/>
          <w:szCs w:val="24"/>
        </w:rPr>
        <w:t>valsartan</w:t>
      </w:r>
      <w:proofErr w:type="spellEnd"/>
      <w:r w:rsidRPr="004C69FA">
        <w:rPr>
          <w:sz w:val="24"/>
          <w:szCs w:val="24"/>
        </w:rPr>
        <w:t xml:space="preserve"> eller med nogen af de følgende stoffer: </w:t>
      </w:r>
      <w:proofErr w:type="spellStart"/>
      <w:r w:rsidRPr="004C69FA">
        <w:rPr>
          <w:sz w:val="24"/>
          <w:szCs w:val="24"/>
        </w:rPr>
        <w:t>cimetidin</w:t>
      </w:r>
      <w:proofErr w:type="spellEnd"/>
      <w:r w:rsidRPr="004C69FA">
        <w:rPr>
          <w:sz w:val="24"/>
          <w:szCs w:val="24"/>
        </w:rPr>
        <w:t xml:space="preserve">, </w:t>
      </w:r>
      <w:proofErr w:type="spellStart"/>
      <w:r w:rsidRPr="004C69FA">
        <w:rPr>
          <w:sz w:val="24"/>
          <w:szCs w:val="24"/>
        </w:rPr>
        <w:t>warfarin</w:t>
      </w:r>
      <w:proofErr w:type="spellEnd"/>
      <w:r w:rsidRPr="004C69FA">
        <w:rPr>
          <w:sz w:val="24"/>
          <w:szCs w:val="24"/>
        </w:rPr>
        <w:t xml:space="preserve">, </w:t>
      </w:r>
      <w:proofErr w:type="spellStart"/>
      <w:r w:rsidRPr="004C69FA">
        <w:rPr>
          <w:sz w:val="24"/>
          <w:szCs w:val="24"/>
        </w:rPr>
        <w:t>furosemid</w:t>
      </w:r>
      <w:proofErr w:type="spellEnd"/>
      <w:r w:rsidRPr="004C69FA">
        <w:rPr>
          <w:sz w:val="24"/>
          <w:szCs w:val="24"/>
        </w:rPr>
        <w:t xml:space="preserve">, </w:t>
      </w:r>
      <w:proofErr w:type="spellStart"/>
      <w:r w:rsidRPr="004C69FA">
        <w:rPr>
          <w:sz w:val="24"/>
          <w:szCs w:val="24"/>
        </w:rPr>
        <w:t>digoxin</w:t>
      </w:r>
      <w:proofErr w:type="spellEnd"/>
      <w:r w:rsidRPr="004C69FA">
        <w:rPr>
          <w:sz w:val="24"/>
          <w:szCs w:val="24"/>
        </w:rPr>
        <w:t xml:space="preserve">, </w:t>
      </w:r>
      <w:proofErr w:type="spellStart"/>
      <w:r w:rsidRPr="004C69FA">
        <w:rPr>
          <w:sz w:val="24"/>
          <w:szCs w:val="24"/>
        </w:rPr>
        <w:t>atenolol</w:t>
      </w:r>
      <w:proofErr w:type="spellEnd"/>
      <w:r w:rsidRPr="004C69FA">
        <w:rPr>
          <w:sz w:val="24"/>
          <w:szCs w:val="24"/>
        </w:rPr>
        <w:t xml:space="preserve">, </w:t>
      </w:r>
      <w:proofErr w:type="spellStart"/>
      <w:r w:rsidRPr="004C69FA">
        <w:rPr>
          <w:sz w:val="24"/>
          <w:szCs w:val="24"/>
        </w:rPr>
        <w:t>indometacin</w:t>
      </w:r>
      <w:proofErr w:type="spellEnd"/>
      <w:r w:rsidRPr="004C69FA">
        <w:rPr>
          <w:sz w:val="24"/>
          <w:szCs w:val="24"/>
        </w:rPr>
        <w:t xml:space="preserve">, </w:t>
      </w:r>
      <w:proofErr w:type="spellStart"/>
      <w:r w:rsidRPr="004C69FA">
        <w:rPr>
          <w:sz w:val="24"/>
          <w:szCs w:val="24"/>
        </w:rPr>
        <w:t>hydrochlorthiazid</w:t>
      </w:r>
      <w:proofErr w:type="spellEnd"/>
      <w:r w:rsidRPr="004C69FA">
        <w:rPr>
          <w:sz w:val="24"/>
          <w:szCs w:val="24"/>
        </w:rPr>
        <w:t xml:space="preserve">, </w:t>
      </w:r>
      <w:proofErr w:type="spellStart"/>
      <w:r w:rsidRPr="004C69FA">
        <w:rPr>
          <w:sz w:val="24"/>
          <w:szCs w:val="24"/>
        </w:rPr>
        <w:t>amlodipin</w:t>
      </w:r>
      <w:proofErr w:type="spellEnd"/>
      <w:r w:rsidRPr="004C69FA">
        <w:rPr>
          <w:sz w:val="24"/>
          <w:szCs w:val="24"/>
        </w:rPr>
        <w:t xml:space="preserve">, </w:t>
      </w:r>
      <w:proofErr w:type="spellStart"/>
      <w:r w:rsidRPr="004C69FA">
        <w:rPr>
          <w:sz w:val="24"/>
          <w:szCs w:val="24"/>
        </w:rPr>
        <w:t>glibenclamid</w:t>
      </w:r>
      <w:proofErr w:type="spellEnd"/>
      <w:r w:rsidRPr="004C69FA">
        <w:rPr>
          <w:sz w:val="24"/>
          <w:szCs w:val="24"/>
        </w:rPr>
        <w:t>.</w:t>
      </w:r>
    </w:p>
    <w:p w:rsidR="003E5ED1" w:rsidRPr="004C69FA" w:rsidRDefault="003E5ED1" w:rsidP="003E5ED1">
      <w:pPr>
        <w:tabs>
          <w:tab w:val="left" w:pos="851"/>
        </w:tabs>
        <w:ind w:left="851" w:hanging="851"/>
        <w:rPr>
          <w:sz w:val="24"/>
          <w:szCs w:val="24"/>
        </w:rPr>
      </w:pPr>
    </w:p>
    <w:p w:rsidR="003E5ED1" w:rsidRPr="004C69FA" w:rsidRDefault="003E5ED1" w:rsidP="003E5ED1">
      <w:pPr>
        <w:autoSpaceDE w:val="0"/>
        <w:autoSpaceDN w:val="0"/>
        <w:adjustRightInd w:val="0"/>
        <w:ind w:left="851"/>
        <w:rPr>
          <w:i/>
          <w:iCs/>
          <w:sz w:val="24"/>
          <w:szCs w:val="24"/>
          <w:u w:val="single"/>
        </w:rPr>
      </w:pPr>
      <w:r w:rsidRPr="004C69FA">
        <w:rPr>
          <w:i/>
          <w:iCs/>
          <w:sz w:val="24"/>
          <w:szCs w:val="24"/>
          <w:u w:val="single"/>
        </w:rPr>
        <w:t>Pædiatriske patienter</w:t>
      </w:r>
    </w:p>
    <w:p w:rsidR="003E5ED1" w:rsidRPr="004C69FA" w:rsidRDefault="003E5ED1" w:rsidP="003E5ED1">
      <w:pPr>
        <w:autoSpaceDE w:val="0"/>
        <w:autoSpaceDN w:val="0"/>
        <w:adjustRightInd w:val="0"/>
        <w:ind w:left="851"/>
        <w:rPr>
          <w:sz w:val="24"/>
          <w:szCs w:val="24"/>
        </w:rPr>
      </w:pPr>
      <w:r w:rsidRPr="004C69FA">
        <w:rPr>
          <w:sz w:val="24"/>
          <w:szCs w:val="24"/>
        </w:rPr>
        <w:t xml:space="preserve">Det anbefales at være forsigtig ved samtidig anvendelse af </w:t>
      </w:r>
      <w:proofErr w:type="spellStart"/>
      <w:r w:rsidRPr="004C69FA">
        <w:rPr>
          <w:sz w:val="24"/>
          <w:szCs w:val="24"/>
        </w:rPr>
        <w:t>valsartan</w:t>
      </w:r>
      <w:proofErr w:type="spellEnd"/>
      <w:r w:rsidRPr="004C69FA">
        <w:rPr>
          <w:sz w:val="24"/>
          <w:szCs w:val="24"/>
        </w:rPr>
        <w:t xml:space="preserve"> og andre stoffer, der hæmmer </w:t>
      </w:r>
      <w:proofErr w:type="spellStart"/>
      <w:r w:rsidRPr="004C69FA">
        <w:rPr>
          <w:sz w:val="24"/>
          <w:szCs w:val="24"/>
        </w:rPr>
        <w:t>reninangiotensin</w:t>
      </w:r>
      <w:proofErr w:type="spellEnd"/>
      <w:r w:rsidRPr="004C69FA">
        <w:rPr>
          <w:sz w:val="24"/>
          <w:szCs w:val="24"/>
        </w:rPr>
        <w:t>-</w:t>
      </w:r>
      <w:proofErr w:type="spellStart"/>
      <w:r w:rsidRPr="004C69FA">
        <w:rPr>
          <w:sz w:val="24"/>
          <w:szCs w:val="24"/>
        </w:rPr>
        <w:t>aldosteron</w:t>
      </w:r>
      <w:proofErr w:type="spellEnd"/>
      <w:r w:rsidRPr="004C69FA">
        <w:rPr>
          <w:sz w:val="24"/>
          <w:szCs w:val="24"/>
        </w:rPr>
        <w:t>-systemet, som kan øge serumkalium hos børn og unge med hypertension, hvor en underliggende uregelmæssig nyrefunktion er almindelig. Nyrefunktion og serumkalium skal monitoreres tæt.</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Graviditet og amning</w:t>
      </w:r>
    </w:p>
    <w:p w:rsidR="00E4145D" w:rsidRDefault="00E4145D" w:rsidP="00E4145D">
      <w:pPr>
        <w:autoSpaceDE w:val="0"/>
        <w:autoSpaceDN w:val="0"/>
        <w:adjustRightInd w:val="0"/>
        <w:ind w:left="851"/>
        <w:rPr>
          <w:sz w:val="24"/>
          <w:szCs w:val="24"/>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Graviditet</w:t>
      </w:r>
    </w:p>
    <w:p w:rsidR="00E4145D" w:rsidRPr="004C69FA" w:rsidRDefault="00E4145D" w:rsidP="00E4145D">
      <w:pPr>
        <w:autoSpaceDE w:val="0"/>
        <w:autoSpaceDN w:val="0"/>
        <w:adjustRightInd w:val="0"/>
        <w:ind w:left="851" w:hanging="851"/>
        <w:rPr>
          <w:i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E4145D" w:rsidRPr="004C69FA" w:rsidTr="00ED5BAC">
        <w:tc>
          <w:tcPr>
            <w:tcW w:w="8788" w:type="dxa"/>
          </w:tcPr>
          <w:p w:rsidR="00E4145D" w:rsidRPr="004C69FA" w:rsidRDefault="00E4145D" w:rsidP="00ED5BAC">
            <w:pPr>
              <w:autoSpaceDE w:val="0"/>
              <w:autoSpaceDN w:val="0"/>
              <w:adjustRightInd w:val="0"/>
              <w:rPr>
                <w:sz w:val="24"/>
                <w:szCs w:val="24"/>
              </w:rPr>
            </w:pPr>
            <w:r w:rsidRPr="004C69FA">
              <w:rPr>
                <w:sz w:val="24"/>
                <w:szCs w:val="24"/>
              </w:rPr>
              <w:t xml:space="preserve">Det frarådes at bruge </w:t>
            </w:r>
            <w:proofErr w:type="spellStart"/>
            <w:r w:rsidRPr="004C69FA">
              <w:rPr>
                <w:sz w:val="24"/>
                <w:szCs w:val="24"/>
              </w:rPr>
              <w:t>angiotensin</w:t>
            </w:r>
            <w:proofErr w:type="spellEnd"/>
            <w:r w:rsidRPr="004C69FA">
              <w:rPr>
                <w:sz w:val="24"/>
                <w:szCs w:val="24"/>
              </w:rPr>
              <w:t xml:space="preserve"> II-antagonister (</w:t>
            </w:r>
            <w:proofErr w:type="spellStart"/>
            <w:r w:rsidRPr="004C69FA">
              <w:rPr>
                <w:sz w:val="24"/>
                <w:szCs w:val="24"/>
              </w:rPr>
              <w:t>AIIA’ere</w:t>
            </w:r>
            <w:proofErr w:type="spellEnd"/>
            <w:r w:rsidRPr="004C69FA">
              <w:rPr>
                <w:sz w:val="24"/>
                <w:szCs w:val="24"/>
              </w:rPr>
              <w:t xml:space="preserve">) under første trimester af graviditeten (se pkt. 4.4). Brug af </w:t>
            </w:r>
            <w:proofErr w:type="spellStart"/>
            <w:r w:rsidRPr="004C69FA">
              <w:rPr>
                <w:sz w:val="24"/>
                <w:szCs w:val="24"/>
              </w:rPr>
              <w:t>AIIA’ere</w:t>
            </w:r>
            <w:proofErr w:type="spellEnd"/>
            <w:r w:rsidRPr="004C69FA">
              <w:rPr>
                <w:sz w:val="24"/>
                <w:szCs w:val="24"/>
              </w:rPr>
              <w:t xml:space="preserve"> er kontraindiceret under andet og tredje trimester af graviditeten (se pkt. 4.3 og 4.4).</w:t>
            </w:r>
          </w:p>
        </w:tc>
      </w:tr>
    </w:tbl>
    <w:p w:rsidR="00E4145D" w:rsidRPr="004C69FA" w:rsidRDefault="00E4145D" w:rsidP="00E4145D">
      <w:pPr>
        <w:autoSpaceDE w:val="0"/>
        <w:autoSpaceDN w:val="0"/>
        <w:adjustRightInd w:val="0"/>
        <w:ind w:left="851" w:hanging="851"/>
        <w:rPr>
          <w:sz w:val="24"/>
          <w:szCs w:val="24"/>
        </w:rPr>
      </w:pPr>
    </w:p>
    <w:p w:rsidR="00E4145D" w:rsidRPr="004C69FA" w:rsidRDefault="00E4145D" w:rsidP="00E4145D">
      <w:pPr>
        <w:autoSpaceDE w:val="0"/>
        <w:autoSpaceDN w:val="0"/>
        <w:adjustRightInd w:val="0"/>
        <w:ind w:left="851"/>
        <w:rPr>
          <w:sz w:val="24"/>
          <w:szCs w:val="24"/>
        </w:rPr>
      </w:pPr>
      <w:r w:rsidRPr="004C69FA">
        <w:rPr>
          <w:sz w:val="24"/>
          <w:szCs w:val="24"/>
        </w:rPr>
        <w:t xml:space="preserve">Epidemiologiske data vedrørende risikoen for </w:t>
      </w:r>
      <w:proofErr w:type="spellStart"/>
      <w:r w:rsidRPr="004C69FA">
        <w:rPr>
          <w:sz w:val="24"/>
          <w:szCs w:val="24"/>
        </w:rPr>
        <w:t>teratogenicitet</w:t>
      </w:r>
      <w:proofErr w:type="spellEnd"/>
      <w:r w:rsidRPr="004C69FA">
        <w:rPr>
          <w:sz w:val="24"/>
          <w:szCs w:val="24"/>
        </w:rPr>
        <w:t xml:space="preserve"> efter eksponering for ACE-</w:t>
      </w:r>
      <w:proofErr w:type="spellStart"/>
      <w:r w:rsidRPr="004C69FA">
        <w:rPr>
          <w:sz w:val="24"/>
          <w:szCs w:val="24"/>
        </w:rPr>
        <w:t>hæmmere</w:t>
      </w:r>
      <w:proofErr w:type="spellEnd"/>
      <w:r w:rsidRPr="004C69FA">
        <w:rPr>
          <w:sz w:val="24"/>
          <w:szCs w:val="24"/>
        </w:rPr>
        <w:t xml:space="preserve"> under graviditetens første trimester er ikke entydige. En let forhøjet risiko kan dog ikke udelukkes. Der er ingen kontrollerede epidemiologiske data angående risikoen ved brug af </w:t>
      </w:r>
      <w:proofErr w:type="spellStart"/>
      <w:r w:rsidRPr="004C69FA">
        <w:rPr>
          <w:sz w:val="24"/>
          <w:szCs w:val="24"/>
        </w:rPr>
        <w:t>AIIA’ere</w:t>
      </w:r>
      <w:proofErr w:type="spellEnd"/>
      <w:r w:rsidRPr="004C69FA">
        <w:rPr>
          <w:sz w:val="24"/>
          <w:szCs w:val="24"/>
        </w:rPr>
        <w:t xml:space="preserve">, men lignende risici kan eksistere for denne gruppe af lægemidler. Med mindre fortsat behandling med </w:t>
      </w:r>
      <w:proofErr w:type="spellStart"/>
      <w:r w:rsidRPr="004C69FA">
        <w:rPr>
          <w:sz w:val="24"/>
          <w:szCs w:val="24"/>
        </w:rPr>
        <w:t>AIIA’ere</w:t>
      </w:r>
      <w:proofErr w:type="spellEnd"/>
      <w:r w:rsidRPr="004C69FA">
        <w:rPr>
          <w:sz w:val="24"/>
          <w:szCs w:val="24"/>
        </w:rPr>
        <w:t xml:space="preserve"> vurderes at være nødvendig, bør patienter, som planlægger at blive gravide, skiftes til en alternativ hypertensionsbehandling med en dokumenteret sikkerhedsprofil til brug ved graviditet. Ved konstateret graviditet skal behandlingen med </w:t>
      </w:r>
      <w:proofErr w:type="spellStart"/>
      <w:r w:rsidRPr="004C69FA">
        <w:rPr>
          <w:sz w:val="24"/>
          <w:szCs w:val="24"/>
        </w:rPr>
        <w:t>AIIA’ere</w:t>
      </w:r>
      <w:proofErr w:type="spellEnd"/>
      <w:r w:rsidRPr="004C69FA">
        <w:rPr>
          <w:sz w:val="24"/>
          <w:szCs w:val="24"/>
        </w:rPr>
        <w:t xml:space="preserve"> afbrydes med det samme, og om nødvendigt skal en anden behandling påbegyndes. Eksponering for behandling med </w:t>
      </w:r>
      <w:proofErr w:type="spellStart"/>
      <w:r w:rsidRPr="004C69FA">
        <w:rPr>
          <w:sz w:val="24"/>
          <w:szCs w:val="24"/>
        </w:rPr>
        <w:t>AIIA’ere</w:t>
      </w:r>
      <w:proofErr w:type="spellEnd"/>
      <w:r w:rsidRPr="004C69FA">
        <w:rPr>
          <w:sz w:val="24"/>
          <w:szCs w:val="24"/>
        </w:rPr>
        <w:t xml:space="preserve"> under andet og tredje trimester er kendt for at medføre human </w:t>
      </w:r>
      <w:proofErr w:type="spellStart"/>
      <w:r w:rsidRPr="004C69FA">
        <w:rPr>
          <w:sz w:val="24"/>
          <w:szCs w:val="24"/>
        </w:rPr>
        <w:t>føtotoksicitet</w:t>
      </w:r>
      <w:proofErr w:type="spellEnd"/>
      <w:r w:rsidRPr="004C69FA">
        <w:rPr>
          <w:sz w:val="24"/>
          <w:szCs w:val="24"/>
        </w:rPr>
        <w:t xml:space="preserve"> (nedsat nyrefunktion, </w:t>
      </w:r>
      <w:proofErr w:type="spellStart"/>
      <w:r w:rsidRPr="004C69FA">
        <w:rPr>
          <w:sz w:val="24"/>
          <w:szCs w:val="24"/>
        </w:rPr>
        <w:t>oligohydramnion</w:t>
      </w:r>
      <w:proofErr w:type="spellEnd"/>
      <w:r w:rsidRPr="004C69FA">
        <w:rPr>
          <w:sz w:val="24"/>
          <w:szCs w:val="24"/>
        </w:rPr>
        <w:t xml:space="preserve">, forsinket </w:t>
      </w:r>
      <w:proofErr w:type="spellStart"/>
      <w:r w:rsidRPr="004C69FA">
        <w:rPr>
          <w:sz w:val="24"/>
          <w:szCs w:val="24"/>
        </w:rPr>
        <w:t>kranieossifikation</w:t>
      </w:r>
      <w:proofErr w:type="spellEnd"/>
      <w:r w:rsidRPr="004C69FA">
        <w:rPr>
          <w:sz w:val="24"/>
          <w:szCs w:val="24"/>
        </w:rPr>
        <w:t xml:space="preserve">) og neonatal toksicitet (nyresvigt, hypotension, </w:t>
      </w:r>
      <w:proofErr w:type="spellStart"/>
      <w:r w:rsidRPr="004C69FA">
        <w:rPr>
          <w:sz w:val="24"/>
          <w:szCs w:val="24"/>
        </w:rPr>
        <w:t>hyperkalæmi</w:t>
      </w:r>
      <w:proofErr w:type="spellEnd"/>
      <w:r w:rsidRPr="004C69FA">
        <w:rPr>
          <w:sz w:val="24"/>
          <w:szCs w:val="24"/>
        </w:rPr>
        <w:t xml:space="preserve">), se også pkt. 5.3. Det anbefales at udføre ultralydsscanning for at undersøge nyrefunktionen og kraniet, hvis fosteret har været udsat for </w:t>
      </w:r>
      <w:proofErr w:type="spellStart"/>
      <w:r w:rsidRPr="004C69FA">
        <w:rPr>
          <w:sz w:val="24"/>
          <w:szCs w:val="24"/>
        </w:rPr>
        <w:t>AIIA’ere</w:t>
      </w:r>
      <w:proofErr w:type="spellEnd"/>
      <w:r w:rsidRPr="004C69FA">
        <w:rPr>
          <w:sz w:val="24"/>
          <w:szCs w:val="24"/>
        </w:rPr>
        <w:t xml:space="preserve"> fra andet trimester. </w:t>
      </w:r>
    </w:p>
    <w:p w:rsidR="00E4145D" w:rsidRDefault="00E4145D" w:rsidP="003E5ED1">
      <w:pPr>
        <w:autoSpaceDE w:val="0"/>
        <w:autoSpaceDN w:val="0"/>
        <w:adjustRightInd w:val="0"/>
        <w:ind w:left="851"/>
        <w:rPr>
          <w:sz w:val="24"/>
          <w:szCs w:val="24"/>
        </w:rPr>
      </w:pPr>
      <w:r w:rsidRPr="004C69FA">
        <w:rPr>
          <w:sz w:val="24"/>
          <w:szCs w:val="24"/>
        </w:rPr>
        <w:t xml:space="preserve">Spædbørn, hvis mødre har taget </w:t>
      </w:r>
      <w:proofErr w:type="spellStart"/>
      <w:r w:rsidRPr="004C69FA">
        <w:rPr>
          <w:sz w:val="24"/>
          <w:szCs w:val="24"/>
        </w:rPr>
        <w:t>AIIA’ere</w:t>
      </w:r>
      <w:proofErr w:type="spellEnd"/>
      <w:r w:rsidRPr="004C69FA">
        <w:rPr>
          <w:sz w:val="24"/>
          <w:szCs w:val="24"/>
        </w:rPr>
        <w:t xml:space="preserve"> skal observeres tæt for hypotension (se også pkt. 4.3 og 4.4). </w:t>
      </w:r>
    </w:p>
    <w:p w:rsidR="00E4145D" w:rsidRPr="004C69FA" w:rsidRDefault="00E4145D" w:rsidP="00E4145D">
      <w:pPr>
        <w:autoSpaceDE w:val="0"/>
        <w:autoSpaceDN w:val="0"/>
        <w:adjustRightInd w:val="0"/>
        <w:ind w:left="851" w:hanging="851"/>
        <w:rPr>
          <w:sz w:val="24"/>
          <w:szCs w:val="24"/>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Amning</w:t>
      </w:r>
    </w:p>
    <w:p w:rsidR="00E4145D" w:rsidRPr="004C69FA" w:rsidRDefault="00E4145D" w:rsidP="00E4145D">
      <w:pPr>
        <w:autoSpaceDE w:val="0"/>
        <w:autoSpaceDN w:val="0"/>
        <w:adjustRightInd w:val="0"/>
        <w:ind w:left="851"/>
        <w:rPr>
          <w:sz w:val="24"/>
          <w:szCs w:val="24"/>
        </w:rPr>
      </w:pPr>
      <w:r w:rsidRPr="004C69FA">
        <w:rPr>
          <w:sz w:val="24"/>
          <w:szCs w:val="24"/>
        </w:rPr>
        <w:t xml:space="preserve">Da der ikke foreligger tilgængelig dokumentation vedrørende brug af </w:t>
      </w:r>
      <w:proofErr w:type="spellStart"/>
      <w:r w:rsidRPr="004C69FA">
        <w:rPr>
          <w:sz w:val="24"/>
          <w:szCs w:val="24"/>
        </w:rPr>
        <w:t>valsartan</w:t>
      </w:r>
      <w:proofErr w:type="spellEnd"/>
      <w:r w:rsidRPr="004C69FA">
        <w:rPr>
          <w:sz w:val="24"/>
          <w:szCs w:val="24"/>
        </w:rPr>
        <w:t xml:space="preserve"> under amning, kan det ikke anbefales at bruge </w:t>
      </w:r>
      <w:proofErr w:type="spellStart"/>
      <w:r w:rsidRPr="004C69FA">
        <w:rPr>
          <w:sz w:val="24"/>
          <w:szCs w:val="24"/>
        </w:rPr>
        <w:t>valsartan</w:t>
      </w:r>
      <w:proofErr w:type="spellEnd"/>
      <w:r w:rsidRPr="004C69FA">
        <w:rPr>
          <w:sz w:val="24"/>
          <w:szCs w:val="24"/>
        </w:rPr>
        <w:t xml:space="preserve">, og alternative behandlinger med bedre etableret sikkerhedsprofil bør foretrækkes i </w:t>
      </w:r>
      <w:proofErr w:type="spellStart"/>
      <w:r w:rsidRPr="004C69FA">
        <w:rPr>
          <w:sz w:val="24"/>
          <w:szCs w:val="24"/>
        </w:rPr>
        <w:t>ammeperioden</w:t>
      </w:r>
      <w:proofErr w:type="spellEnd"/>
      <w:r w:rsidRPr="004C69FA">
        <w:rPr>
          <w:sz w:val="24"/>
          <w:szCs w:val="24"/>
        </w:rPr>
        <w:t>, især ved amning af neonatale eller spædbørn født før termin.</w:t>
      </w:r>
    </w:p>
    <w:p w:rsidR="00E4145D" w:rsidRPr="004C69FA" w:rsidRDefault="00E4145D" w:rsidP="00E4145D">
      <w:pPr>
        <w:autoSpaceDE w:val="0"/>
        <w:autoSpaceDN w:val="0"/>
        <w:adjustRightInd w:val="0"/>
        <w:ind w:left="851"/>
        <w:rPr>
          <w:i/>
          <w:iCs/>
          <w:sz w:val="24"/>
          <w:szCs w:val="24"/>
          <w:u w:val="single"/>
        </w:rPr>
      </w:pPr>
    </w:p>
    <w:p w:rsidR="00E4145D" w:rsidRPr="004C69FA" w:rsidRDefault="00E4145D" w:rsidP="00E4145D">
      <w:pPr>
        <w:autoSpaceDE w:val="0"/>
        <w:autoSpaceDN w:val="0"/>
        <w:adjustRightInd w:val="0"/>
        <w:ind w:left="851"/>
        <w:rPr>
          <w:i/>
          <w:iCs/>
          <w:sz w:val="24"/>
          <w:szCs w:val="24"/>
          <w:u w:val="single"/>
        </w:rPr>
      </w:pPr>
      <w:r w:rsidRPr="004C69FA">
        <w:rPr>
          <w:i/>
          <w:iCs/>
          <w:sz w:val="24"/>
          <w:szCs w:val="24"/>
          <w:u w:val="single"/>
        </w:rPr>
        <w:t>Fertilitet</w:t>
      </w:r>
    </w:p>
    <w:p w:rsidR="00E4145D" w:rsidRDefault="00E4145D" w:rsidP="00E4145D">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havde ingen bivirkninger på reproduktionspræstationen hos han- og hunrotter ved orale doser på op til 200 mg/kg/dag. Denne dosis er 6 gange den anbefalede humane maksimaldosis baseret på mg/m</w:t>
      </w:r>
      <w:r w:rsidRPr="004C69FA">
        <w:rPr>
          <w:sz w:val="24"/>
          <w:szCs w:val="24"/>
          <w:vertAlign w:val="subscript"/>
        </w:rPr>
        <w:t>2</w:t>
      </w:r>
      <w:r w:rsidRPr="004C69FA">
        <w:rPr>
          <w:sz w:val="24"/>
          <w:szCs w:val="24"/>
        </w:rPr>
        <w:t xml:space="preserve"> (beregninger antager en oral dosis på 320 mg/dag og en patient på </w:t>
      </w:r>
      <w:smartTag w:uri="urn:schemas-microsoft-com:office:smarttags" w:element="metricconverter">
        <w:smartTagPr>
          <w:attr w:name="ProductID" w:val="60 kg"/>
        </w:smartTagPr>
        <w:r w:rsidRPr="004C69FA">
          <w:rPr>
            <w:sz w:val="24"/>
            <w:szCs w:val="24"/>
          </w:rPr>
          <w:t>60 kg</w:t>
        </w:r>
      </w:smartTag>
      <w:r w:rsidRPr="004C69FA">
        <w:rPr>
          <w:sz w:val="24"/>
          <w:szCs w:val="24"/>
        </w:rPr>
        <w:t>).</w:t>
      </w:r>
    </w:p>
    <w:p w:rsidR="003E5ED1" w:rsidRDefault="003E5ED1" w:rsidP="00E4145D">
      <w:pPr>
        <w:autoSpaceDE w:val="0"/>
        <w:autoSpaceDN w:val="0"/>
        <w:adjustRightInd w:val="0"/>
        <w:ind w:left="851"/>
        <w:rPr>
          <w:sz w:val="24"/>
          <w:szCs w:val="24"/>
        </w:rPr>
      </w:pPr>
    </w:p>
    <w:p w:rsidR="003E5ED1" w:rsidRDefault="003E5ED1" w:rsidP="00E4145D">
      <w:pPr>
        <w:autoSpaceDE w:val="0"/>
        <w:autoSpaceDN w:val="0"/>
        <w:adjustRightInd w:val="0"/>
        <w:ind w:left="851"/>
        <w:rPr>
          <w:sz w:val="24"/>
          <w:szCs w:val="24"/>
        </w:rPr>
      </w:pPr>
    </w:p>
    <w:p w:rsidR="003E5ED1" w:rsidRPr="004C69FA" w:rsidRDefault="003E5ED1" w:rsidP="00E4145D">
      <w:pPr>
        <w:autoSpaceDE w:val="0"/>
        <w:autoSpaceDN w:val="0"/>
        <w:adjustRightInd w:val="0"/>
        <w:ind w:left="851"/>
        <w:rPr>
          <w:sz w:val="24"/>
          <w:szCs w:val="24"/>
        </w:rPr>
      </w:pP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lastRenderedPageBreak/>
        <w:t>Virkninger på evnen til at føre motorkøretøj eller betjene maskiner</w:t>
      </w:r>
    </w:p>
    <w:p w:rsidR="003E5ED1" w:rsidRPr="004C69FA" w:rsidRDefault="00E4145D" w:rsidP="003E5ED1">
      <w:pPr>
        <w:tabs>
          <w:tab w:val="left" w:pos="851"/>
        </w:tabs>
        <w:ind w:left="851" w:hanging="851"/>
        <w:rPr>
          <w:sz w:val="24"/>
          <w:szCs w:val="24"/>
        </w:rPr>
      </w:pPr>
      <w:r w:rsidRPr="004C69FA">
        <w:rPr>
          <w:sz w:val="24"/>
          <w:szCs w:val="24"/>
        </w:rPr>
        <w:tab/>
      </w:r>
      <w:r w:rsidR="003E5ED1" w:rsidRPr="004C69FA">
        <w:rPr>
          <w:sz w:val="24"/>
          <w:szCs w:val="24"/>
        </w:rPr>
        <w:t>Ikke mærkning.</w:t>
      </w:r>
    </w:p>
    <w:p w:rsidR="003E5ED1" w:rsidRPr="004C69FA" w:rsidRDefault="003E5ED1" w:rsidP="003E5ED1">
      <w:pPr>
        <w:tabs>
          <w:tab w:val="left" w:pos="851"/>
        </w:tabs>
        <w:ind w:left="851" w:hanging="851"/>
        <w:rPr>
          <w:sz w:val="24"/>
          <w:szCs w:val="24"/>
        </w:rPr>
      </w:pPr>
      <w:r w:rsidRPr="004C69FA">
        <w:rPr>
          <w:sz w:val="24"/>
          <w:szCs w:val="24"/>
        </w:rPr>
        <w:tab/>
      </w:r>
      <w:r>
        <w:rPr>
          <w:sz w:val="24"/>
          <w:szCs w:val="24"/>
        </w:rPr>
        <w:t>Der er ikke foretaget studier af virkningen på evnen til at føre motorkøretøj. Når man fører motorkøretøj og betjener maskiner, bør der tages hensyn til, at svimmelhed og træthed kan forekomme.</w:t>
      </w:r>
    </w:p>
    <w:p w:rsidR="00E4145D" w:rsidRPr="004C69FA" w:rsidRDefault="00E4145D" w:rsidP="003E5ED1">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Bivirkninger</w:t>
      </w:r>
    </w:p>
    <w:p w:rsidR="003E5ED1" w:rsidRPr="004C69FA" w:rsidRDefault="00E4145D" w:rsidP="003E5ED1">
      <w:pPr>
        <w:pStyle w:val="Default"/>
        <w:ind w:left="851" w:hanging="851"/>
      </w:pPr>
      <w:r w:rsidRPr="004C69FA">
        <w:tab/>
      </w:r>
      <w:r w:rsidR="003E5ED1" w:rsidRPr="004C69FA">
        <w:t xml:space="preserve">I kontrollerede, kliniske studier af voksne patienter med hypertension var den samlede forekomst af bivirkninger sammenlignelig med placebos og overensstemmende med </w:t>
      </w:r>
      <w:proofErr w:type="spellStart"/>
      <w:r w:rsidR="003E5ED1" w:rsidRPr="004C69FA">
        <w:t>valsartans</w:t>
      </w:r>
      <w:proofErr w:type="spellEnd"/>
      <w:r w:rsidR="003E5ED1" w:rsidRPr="004C69FA">
        <w:t xml:space="preserve"> farmakologi. Forekomsten af bivirkninger syntes ikke at være relateret til dosis eller behandlingsvarighed og viste heller ingen forbindelse med køn, alder eller race. </w:t>
      </w:r>
    </w:p>
    <w:p w:rsidR="003E5ED1" w:rsidRPr="004C69FA" w:rsidRDefault="003E5ED1" w:rsidP="003E5ED1">
      <w:pPr>
        <w:pStyle w:val="Default"/>
        <w:ind w:left="851" w:hanging="851"/>
      </w:pPr>
    </w:p>
    <w:p w:rsidR="003E5ED1" w:rsidRPr="004C69FA" w:rsidRDefault="003E5ED1" w:rsidP="003E5ED1">
      <w:pPr>
        <w:pStyle w:val="Default"/>
        <w:ind w:left="851"/>
      </w:pPr>
      <w:r w:rsidRPr="004C69FA">
        <w:t>Bivirkninger rapporteret i kliniske studier, erfaring efter markedsføring og laboratoriefund er angivet i nedenstående tabel ordnet efter organklassesystem.</w:t>
      </w:r>
    </w:p>
    <w:p w:rsidR="003E5ED1" w:rsidRPr="004C69FA" w:rsidRDefault="003E5ED1" w:rsidP="003E5ED1">
      <w:pPr>
        <w:pStyle w:val="Default"/>
        <w:ind w:left="851" w:hanging="851"/>
        <w:rPr>
          <w:color w:val="auto"/>
        </w:rPr>
      </w:pPr>
    </w:p>
    <w:p w:rsidR="003E5ED1" w:rsidRDefault="003E5ED1" w:rsidP="003E5ED1">
      <w:pPr>
        <w:pStyle w:val="Default"/>
        <w:ind w:left="851"/>
      </w:pPr>
      <w:r>
        <w:rPr>
          <w:color w:val="auto"/>
        </w:rPr>
        <w:t xml:space="preserve">Bivirkninger er angivet efter hyppighed med de hyppigste først efter følgende konvention: Meget almindelig (≥ 1/10), almindelig (≥ 1/100 til &lt;1/10), ikke almindelig (≥ 1/1.000 til &lt; 1/100), sjælden (≥ 1/10.000 til &lt; 1/1.000), meget sjælden (&lt; 1/10.000), </w:t>
      </w:r>
      <w:r>
        <w:t xml:space="preserve">ikke kendt (kan ikke estimeres ud fra forhåndenværende data). </w:t>
      </w:r>
    </w:p>
    <w:p w:rsidR="003E5ED1" w:rsidRDefault="003E5ED1" w:rsidP="003E5ED1">
      <w:pPr>
        <w:pStyle w:val="Default"/>
        <w:ind w:left="851"/>
        <w:rPr>
          <w:color w:val="auto"/>
        </w:rPr>
      </w:pPr>
    </w:p>
    <w:p w:rsidR="003E5ED1" w:rsidRDefault="003E5ED1" w:rsidP="003E5ED1">
      <w:pPr>
        <w:pStyle w:val="Default"/>
        <w:ind w:left="851"/>
        <w:rPr>
          <w:color w:val="auto"/>
        </w:rPr>
      </w:pPr>
      <w:r>
        <w:rPr>
          <w:color w:val="auto"/>
        </w:rPr>
        <w:t xml:space="preserve">Inden for hver hyppighedsgruppering er bivirkningerne ordnet i faldende sværhedsgrad. </w:t>
      </w:r>
    </w:p>
    <w:p w:rsidR="003E5ED1" w:rsidRDefault="003E5ED1" w:rsidP="003E5ED1">
      <w:pPr>
        <w:pStyle w:val="Default"/>
        <w:ind w:left="851"/>
        <w:rPr>
          <w:color w:val="auto"/>
        </w:rPr>
      </w:pPr>
    </w:p>
    <w:p w:rsidR="003E5ED1" w:rsidRDefault="003E5ED1" w:rsidP="003E5ED1">
      <w:pPr>
        <w:pStyle w:val="Default"/>
        <w:ind w:left="851"/>
        <w:rPr>
          <w:color w:val="auto"/>
        </w:rPr>
      </w:pPr>
      <w:r>
        <w:rPr>
          <w:color w:val="auto"/>
        </w:rPr>
        <w:t xml:space="preserve">For alle bivirkninger rapporteret fra erfaring efter markedsføring og laboratoriefund er det ikke muligt at anføre bivirkningsfrekvens, de er derfor nævnt med hyppighed angivet som "ikke kendt". </w:t>
      </w:r>
    </w:p>
    <w:p w:rsidR="003E5ED1" w:rsidRPr="004C69FA" w:rsidRDefault="003E5ED1" w:rsidP="003E5ED1">
      <w:pPr>
        <w:pStyle w:val="Default"/>
        <w:ind w:left="851"/>
        <w:rPr>
          <w:color w:val="auto"/>
        </w:rPr>
      </w:pPr>
    </w:p>
    <w:p w:rsidR="003E5ED1" w:rsidRPr="004C69FA" w:rsidRDefault="003E5ED1" w:rsidP="003E5ED1">
      <w:pPr>
        <w:pStyle w:val="Default"/>
        <w:ind w:left="851"/>
        <w:rPr>
          <w:b/>
          <w:color w:val="auto"/>
        </w:rPr>
      </w:pPr>
      <w:r w:rsidRPr="004C69FA">
        <w:rPr>
          <w:b/>
          <w:color w:val="auto"/>
        </w:rPr>
        <w:t>Hypertension</w:t>
      </w:r>
    </w:p>
    <w:p w:rsidR="003E5ED1" w:rsidRPr="004C69FA" w:rsidRDefault="003E5ED1" w:rsidP="003E5ED1">
      <w:pPr>
        <w:pStyle w:val="Default"/>
        <w:ind w:left="851" w:hanging="851"/>
        <w:rPr>
          <w:color w:val="auto"/>
        </w:rPr>
      </w:pPr>
    </w:p>
    <w:tbl>
      <w:tblPr>
        <w:tblW w:w="8930" w:type="dxa"/>
        <w:tblInd w:w="959"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3118"/>
        <w:gridCol w:w="5812"/>
      </w:tblGrid>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Blod og lymfesystem</w:t>
            </w:r>
          </w:p>
        </w:tc>
      </w:tr>
      <w:tr w:rsidR="003E5ED1" w:rsidRPr="004C69FA" w:rsidTr="00462611">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Fald i hæmoglobin, fald i hæmatokrit, </w:t>
            </w:r>
            <w:proofErr w:type="spellStart"/>
            <w:r w:rsidRPr="004C69FA">
              <w:rPr>
                <w:color w:val="auto"/>
              </w:rPr>
              <w:t>neutropeni</w:t>
            </w:r>
            <w:proofErr w:type="spellEnd"/>
            <w:r w:rsidRPr="004C69FA">
              <w:rPr>
                <w:color w:val="auto"/>
              </w:rPr>
              <w:t xml:space="preserve">, </w:t>
            </w:r>
            <w:proofErr w:type="spellStart"/>
            <w:r w:rsidRPr="004C69FA">
              <w:rPr>
                <w:color w:val="auto"/>
              </w:rPr>
              <w:t>trombocytopeni</w:t>
            </w:r>
            <w:proofErr w:type="spellEnd"/>
            <w:r w:rsidRPr="004C69FA">
              <w:rPr>
                <w:color w:val="auto"/>
              </w:rP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Immunsystemet</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Hypersensitivitetsreaktioner inklusive serumsyge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Metabolisme og ernæring</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Øget serum-kalium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Øre og labyrint</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proofErr w:type="spellStart"/>
            <w:r w:rsidRPr="004C69FA">
              <w:rPr>
                <w:color w:val="auto"/>
              </w:rPr>
              <w:t>Vertigo</w:t>
            </w:r>
            <w:proofErr w:type="spellEnd"/>
            <w:r w:rsidRPr="004C69FA">
              <w:rPr>
                <w:color w:val="auto"/>
              </w:rP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proofErr w:type="spellStart"/>
            <w:r w:rsidRPr="004C69FA">
              <w:rPr>
                <w:b/>
              </w:rPr>
              <w:t>Vaskulære</w:t>
            </w:r>
            <w:proofErr w:type="spellEnd"/>
            <w:r w:rsidRPr="004C69FA">
              <w:rPr>
                <w:b/>
              </w:rPr>
              <w:t xml:space="preserve"> sygdomme</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proofErr w:type="spellStart"/>
            <w:r w:rsidRPr="004C69FA">
              <w:rPr>
                <w:color w:val="auto"/>
              </w:rPr>
              <w:t>Vaskulitis</w:t>
            </w:r>
            <w:proofErr w:type="spellEnd"/>
            <w:r w:rsidRPr="004C69FA">
              <w:rPr>
                <w:color w:val="auto"/>
              </w:rP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rPr>
            </w:pPr>
            <w:r w:rsidRPr="004C69FA">
              <w:rPr>
                <w:b/>
              </w:rPr>
              <w:t>Luftveje, thorax og</w:t>
            </w:r>
          </w:p>
          <w:p w:rsidR="003E5ED1" w:rsidRPr="004C69FA" w:rsidRDefault="003E5ED1" w:rsidP="00462611">
            <w:pPr>
              <w:pStyle w:val="Default"/>
              <w:ind w:left="34" w:right="135"/>
              <w:rPr>
                <w:b/>
                <w:color w:val="auto"/>
              </w:rPr>
            </w:pPr>
            <w:proofErr w:type="spellStart"/>
            <w:r w:rsidRPr="004C69FA">
              <w:rPr>
                <w:b/>
              </w:rPr>
              <w:t>mediastinum</w:t>
            </w:r>
            <w:proofErr w:type="spellEnd"/>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Hoste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Mave-tarm-kanalen</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proofErr w:type="spellStart"/>
            <w:r w:rsidRPr="004C69FA">
              <w:rPr>
                <w:color w:val="auto"/>
              </w:rPr>
              <w:t>Abdominalsmerter</w:t>
            </w:r>
            <w:proofErr w:type="spellEnd"/>
            <w:r w:rsidRPr="004C69FA">
              <w:rPr>
                <w:color w:val="auto"/>
              </w:rP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Lever og galdeveje</w:t>
            </w:r>
          </w:p>
        </w:tc>
      </w:tr>
      <w:tr w:rsidR="003E5ED1" w:rsidRPr="004C69FA" w:rsidTr="00462611">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lastRenderedPageBreak/>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Forhøjede leverfunktionstal herunder forhøjet serum-bilirubin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Hud og subkutane væv</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30705D" w:rsidRDefault="003E5ED1" w:rsidP="00462611">
            <w:pPr>
              <w:rPr>
                <w:sz w:val="24"/>
                <w:szCs w:val="24"/>
                <w:lang w:eastAsia="da-DK"/>
              </w:rPr>
            </w:pPr>
            <w:proofErr w:type="spellStart"/>
            <w:r>
              <w:t>Angioødem</w:t>
            </w:r>
            <w:proofErr w:type="spellEnd"/>
            <w:r>
              <w:t>,</w:t>
            </w:r>
            <w:r>
              <w:rPr>
                <w:sz w:val="22"/>
                <w:szCs w:val="22"/>
              </w:rPr>
              <w:t xml:space="preserve"> </w:t>
            </w:r>
            <w:proofErr w:type="spellStart"/>
            <w:r>
              <w:t>bulløs</w:t>
            </w:r>
            <w:proofErr w:type="spellEnd"/>
            <w:r>
              <w:t xml:space="preserve"> </w:t>
            </w:r>
            <w:proofErr w:type="spellStart"/>
            <w:r>
              <w:t>dermatit</w:t>
            </w:r>
            <w:proofErr w:type="spellEnd"/>
            <w:r>
              <w:t xml:space="preserve">, udslæt, </w:t>
            </w:r>
            <w:proofErr w:type="spellStart"/>
            <w:r>
              <w:t>pruritus</w:t>
            </w:r>
            <w:proofErr w:type="spellEnd"/>
            <w: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Knogler, led, muskler og</w:t>
            </w:r>
            <w:r>
              <w:rPr>
                <w:b/>
              </w:rPr>
              <w:t xml:space="preserve"> </w:t>
            </w:r>
            <w:r w:rsidRPr="004C69FA">
              <w:rPr>
                <w:b/>
              </w:rPr>
              <w:t>bindevæv</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Myalgi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Nyrer og urinveje</w:t>
            </w:r>
          </w:p>
        </w:tc>
      </w:tr>
      <w:tr w:rsidR="003E5ED1" w:rsidRPr="004C69FA" w:rsidTr="00462611">
        <w:trPr>
          <w:trHeight w:val="54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kendt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Nyresvigt og nedsat nyrefunktion, forhøjet serum-</w:t>
            </w:r>
            <w:proofErr w:type="spellStart"/>
            <w:r w:rsidRPr="004C69FA">
              <w:rPr>
                <w:color w:val="auto"/>
              </w:rPr>
              <w:t>kreatinin</w:t>
            </w:r>
            <w:proofErr w:type="spellEnd"/>
            <w:r w:rsidRPr="004C69FA">
              <w:rPr>
                <w:color w:val="auto"/>
              </w:rPr>
              <w:t xml:space="preserve"> </w:t>
            </w:r>
          </w:p>
        </w:tc>
      </w:tr>
      <w:tr w:rsidR="003E5ED1" w:rsidRPr="004C69FA" w:rsidTr="00462611">
        <w:trPr>
          <w:trHeight w:val="293"/>
        </w:trPr>
        <w:tc>
          <w:tcPr>
            <w:tcW w:w="8930" w:type="dxa"/>
            <w:gridSpan w:val="2"/>
            <w:tcBorders>
              <w:top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b/>
                <w:color w:val="auto"/>
              </w:rPr>
            </w:pPr>
            <w:r w:rsidRPr="004C69FA">
              <w:rPr>
                <w:b/>
              </w:rPr>
              <w:t>Almene symptomer og</w:t>
            </w:r>
            <w:r>
              <w:rPr>
                <w:b/>
              </w:rPr>
              <w:t xml:space="preserve"> </w:t>
            </w:r>
            <w:r w:rsidRPr="004C69FA">
              <w:rPr>
                <w:b/>
              </w:rPr>
              <w:t>reaktioner på administrationsstedet</w:t>
            </w:r>
          </w:p>
        </w:tc>
      </w:tr>
      <w:tr w:rsidR="003E5ED1" w:rsidRPr="004C69FA" w:rsidTr="00462611">
        <w:trPr>
          <w:trHeight w:val="289"/>
        </w:trPr>
        <w:tc>
          <w:tcPr>
            <w:tcW w:w="3118" w:type="dxa"/>
            <w:tcBorders>
              <w:top w:val="single" w:sz="8" w:space="0" w:color="000000"/>
              <w:bottom w:val="single" w:sz="8" w:space="0" w:color="000000"/>
              <w:right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Ikke almindelig </w:t>
            </w:r>
          </w:p>
        </w:tc>
        <w:tc>
          <w:tcPr>
            <w:tcW w:w="5812" w:type="dxa"/>
            <w:tcBorders>
              <w:top w:val="single" w:sz="8" w:space="0" w:color="000000"/>
              <w:left w:val="single" w:sz="8" w:space="0" w:color="000000"/>
              <w:bottom w:val="single" w:sz="8" w:space="0" w:color="000000"/>
            </w:tcBorders>
            <w:tcMar>
              <w:top w:w="28" w:type="dxa"/>
              <w:left w:w="57" w:type="dxa"/>
              <w:bottom w:w="28" w:type="dxa"/>
              <w:right w:w="57" w:type="dxa"/>
            </w:tcMar>
          </w:tcPr>
          <w:p w:rsidR="003E5ED1" w:rsidRPr="004C69FA" w:rsidRDefault="003E5ED1" w:rsidP="00462611">
            <w:pPr>
              <w:pStyle w:val="Default"/>
              <w:ind w:left="34" w:right="135"/>
              <w:rPr>
                <w:color w:val="auto"/>
              </w:rPr>
            </w:pPr>
            <w:r w:rsidRPr="004C69FA">
              <w:rPr>
                <w:color w:val="auto"/>
              </w:rPr>
              <w:t xml:space="preserve">Træthed </w:t>
            </w:r>
          </w:p>
        </w:tc>
      </w:tr>
    </w:tbl>
    <w:p w:rsidR="003E5ED1" w:rsidRPr="004C69FA" w:rsidRDefault="003E5ED1" w:rsidP="003E5ED1">
      <w:pPr>
        <w:tabs>
          <w:tab w:val="left" w:pos="851"/>
        </w:tabs>
        <w:autoSpaceDE w:val="0"/>
        <w:autoSpaceDN w:val="0"/>
        <w:adjustRightInd w:val="0"/>
        <w:rPr>
          <w:sz w:val="24"/>
          <w:szCs w:val="24"/>
        </w:rPr>
      </w:pPr>
    </w:p>
    <w:p w:rsidR="003E5ED1" w:rsidRPr="004C69FA" w:rsidRDefault="003E5ED1" w:rsidP="003E5ED1">
      <w:pPr>
        <w:tabs>
          <w:tab w:val="left" w:pos="7665"/>
        </w:tabs>
        <w:autoSpaceDE w:val="0"/>
        <w:autoSpaceDN w:val="0"/>
        <w:adjustRightInd w:val="0"/>
        <w:ind w:left="851"/>
        <w:rPr>
          <w:i/>
          <w:iCs/>
          <w:sz w:val="24"/>
          <w:szCs w:val="24"/>
          <w:u w:val="single"/>
        </w:rPr>
      </w:pPr>
      <w:r w:rsidRPr="004C69FA">
        <w:rPr>
          <w:i/>
          <w:iCs/>
          <w:sz w:val="24"/>
          <w:szCs w:val="24"/>
          <w:u w:val="single"/>
        </w:rPr>
        <w:t>Pædiatrisk population</w:t>
      </w:r>
    </w:p>
    <w:p w:rsidR="003E5ED1" w:rsidRPr="004C69FA"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Hypertension</w:t>
      </w:r>
    </w:p>
    <w:p w:rsidR="003E5ED1" w:rsidRDefault="003E5ED1" w:rsidP="003E5ED1">
      <w:pPr>
        <w:autoSpaceDE w:val="0"/>
        <w:autoSpaceDN w:val="0"/>
        <w:adjustRightInd w:val="0"/>
        <w:ind w:left="851"/>
        <w:rPr>
          <w:sz w:val="24"/>
          <w:szCs w:val="24"/>
        </w:rPr>
      </w:pPr>
    </w:p>
    <w:p w:rsidR="003E5ED1" w:rsidRDefault="003E5ED1" w:rsidP="003E5ED1">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blevet evalueret i to randomiserede, dobbeltblindede kliniske studier (hver efterfulgt af en forlængelsesperiode eller et studie) og et åbent studie. Disse studier inkluderede 711 pædiatriske patienter fra 6 år op til 18 år med og uden kronisk nyresygdom (CKD), hvoraf 560 patienter fik </w:t>
      </w:r>
      <w:proofErr w:type="spellStart"/>
      <w:r>
        <w:rPr>
          <w:sz w:val="24"/>
          <w:szCs w:val="24"/>
        </w:rPr>
        <w:t>valsartan</w:t>
      </w:r>
      <w:proofErr w:type="spellEnd"/>
      <w:r>
        <w:rPr>
          <w:sz w:val="24"/>
          <w:szCs w:val="24"/>
        </w:rPr>
        <w:t xml:space="preserve">. Med undtagelse af enkeltstående </w:t>
      </w:r>
      <w:proofErr w:type="spellStart"/>
      <w:r>
        <w:rPr>
          <w:sz w:val="24"/>
          <w:szCs w:val="24"/>
        </w:rPr>
        <w:t>gastrointestinale</w:t>
      </w:r>
      <w:proofErr w:type="spellEnd"/>
      <w:r>
        <w:rPr>
          <w:sz w:val="24"/>
          <w:szCs w:val="24"/>
        </w:rPr>
        <w:t xml:space="preserve"> bivirkninger (såsom mavesmerter, kvalme, opkastning) og svimmelhed, er der ikke set relevante forskelle i form af bivirkningernes type, frekvens eller alvorlighed mellem sikkerhedsprofilerne for pædiatriske patienter i aldersgruppen fra 6 år op til 18 år og det, der tidligere er rapporteret for voksne patienter.</w:t>
      </w:r>
    </w:p>
    <w:p w:rsidR="003E5ED1" w:rsidRDefault="003E5ED1" w:rsidP="003E5ED1">
      <w:pPr>
        <w:autoSpaceDE w:val="0"/>
        <w:autoSpaceDN w:val="0"/>
        <w:adjustRightInd w:val="0"/>
        <w:rPr>
          <w:sz w:val="24"/>
          <w:szCs w:val="24"/>
        </w:rPr>
      </w:pPr>
    </w:p>
    <w:p w:rsidR="003E5ED1" w:rsidRDefault="003E5ED1" w:rsidP="003E5ED1">
      <w:pPr>
        <w:autoSpaceDE w:val="0"/>
        <w:autoSpaceDN w:val="0"/>
        <w:adjustRightInd w:val="0"/>
        <w:ind w:left="851"/>
        <w:rPr>
          <w:sz w:val="24"/>
          <w:szCs w:val="24"/>
        </w:rPr>
      </w:pPr>
      <w:proofErr w:type="spellStart"/>
      <w:r>
        <w:rPr>
          <w:sz w:val="24"/>
          <w:szCs w:val="24"/>
        </w:rPr>
        <w:t>Neurokognitive</w:t>
      </w:r>
      <w:proofErr w:type="spellEnd"/>
      <w:r>
        <w:rPr>
          <w:sz w:val="24"/>
          <w:szCs w:val="24"/>
        </w:rPr>
        <w:t xml:space="preserve"> og udviklingsmæssige vurderinger af pædiatriske patienter i alderen 6 til 16 år viste ingen overordnet klinisk relevant uønsket virkning efter behandling med </w:t>
      </w:r>
      <w:proofErr w:type="spellStart"/>
      <w:r>
        <w:rPr>
          <w:sz w:val="24"/>
          <w:szCs w:val="24"/>
        </w:rPr>
        <w:t>valsartan</w:t>
      </w:r>
      <w:proofErr w:type="spellEnd"/>
      <w:r>
        <w:rPr>
          <w:sz w:val="24"/>
          <w:szCs w:val="24"/>
        </w:rPr>
        <w:t xml:space="preserve"> i op til et år.</w:t>
      </w:r>
    </w:p>
    <w:p w:rsidR="003E5ED1" w:rsidRDefault="003E5ED1" w:rsidP="003E5ED1">
      <w:pPr>
        <w:autoSpaceDE w:val="0"/>
        <w:autoSpaceDN w:val="0"/>
        <w:adjustRightInd w:val="0"/>
        <w:ind w:left="851"/>
        <w:rPr>
          <w:sz w:val="24"/>
          <w:szCs w:val="24"/>
        </w:rPr>
      </w:pPr>
    </w:p>
    <w:p w:rsidR="003E5ED1" w:rsidRDefault="003E5ED1" w:rsidP="003E5ED1">
      <w:pPr>
        <w:autoSpaceDE w:val="0"/>
        <w:autoSpaceDN w:val="0"/>
        <w:adjustRightInd w:val="0"/>
        <w:ind w:left="851"/>
        <w:rPr>
          <w:sz w:val="24"/>
          <w:szCs w:val="24"/>
        </w:rPr>
      </w:pPr>
      <w:bookmarkStart w:id="1" w:name="_Hlk503530574"/>
      <w:r>
        <w:rPr>
          <w:sz w:val="24"/>
          <w:szCs w:val="24"/>
        </w:rPr>
        <w:t xml:space="preserve">Der blev udført en samlet analyse af 560 pædiatriske, </w:t>
      </w:r>
      <w:proofErr w:type="spellStart"/>
      <w:r>
        <w:rPr>
          <w:sz w:val="24"/>
          <w:szCs w:val="24"/>
        </w:rPr>
        <w:t>hypertensive</w:t>
      </w:r>
      <w:proofErr w:type="spellEnd"/>
      <w:r>
        <w:rPr>
          <w:sz w:val="24"/>
          <w:szCs w:val="24"/>
        </w:rPr>
        <w:t xml:space="preserve"> patienter (i alderen 6-17 år), som enten fik </w:t>
      </w:r>
      <w:proofErr w:type="spellStart"/>
      <w:r>
        <w:rPr>
          <w:sz w:val="24"/>
          <w:szCs w:val="24"/>
        </w:rPr>
        <w:t>valsartan</w:t>
      </w:r>
      <w:proofErr w:type="spellEnd"/>
      <w:r>
        <w:rPr>
          <w:sz w:val="24"/>
          <w:szCs w:val="24"/>
        </w:rPr>
        <w:t xml:space="preserve"> alene [n=483] eller </w:t>
      </w:r>
      <w:proofErr w:type="spellStart"/>
      <w:r>
        <w:rPr>
          <w:sz w:val="24"/>
          <w:szCs w:val="24"/>
        </w:rPr>
        <w:t>antihypertensiv</w:t>
      </w:r>
      <w:proofErr w:type="spellEnd"/>
      <w:r>
        <w:rPr>
          <w:sz w:val="24"/>
          <w:szCs w:val="24"/>
        </w:rPr>
        <w:t xml:space="preserve"> kombinationsbehandling inklusive </w:t>
      </w:r>
      <w:proofErr w:type="spellStart"/>
      <w:r>
        <w:rPr>
          <w:sz w:val="24"/>
          <w:szCs w:val="24"/>
        </w:rPr>
        <w:t>valsartan</w:t>
      </w:r>
      <w:proofErr w:type="spellEnd"/>
      <w:r>
        <w:rPr>
          <w:sz w:val="24"/>
          <w:szCs w:val="24"/>
        </w:rPr>
        <w:t xml:space="preserve"> [n=77]. Ud af de 560 patienter havde 85 (15,2 %) patienter CKD (baseline-GFR &lt; 90 ml/min/1,73 m</w:t>
      </w:r>
      <w:r>
        <w:rPr>
          <w:sz w:val="24"/>
          <w:szCs w:val="24"/>
          <w:vertAlign w:val="superscript"/>
        </w:rPr>
        <w:t>2</w:t>
      </w:r>
      <w:r>
        <w:rPr>
          <w:sz w:val="24"/>
          <w:szCs w:val="24"/>
        </w:rPr>
        <w:t xml:space="preserve">). I alt 45 (8,0 %) patienter udgik fra et studie på grund af bivirkninger. I alt 111 (19,8 %) patienter fik en bivirkning, hvoraf hovedpine (5,4 %), svimmelhed (2,3 %) og </w:t>
      </w:r>
      <w:proofErr w:type="spellStart"/>
      <w:r>
        <w:rPr>
          <w:sz w:val="24"/>
          <w:szCs w:val="24"/>
        </w:rPr>
        <w:t>hyperkaliæmi</w:t>
      </w:r>
      <w:proofErr w:type="spellEnd"/>
      <w:r>
        <w:rPr>
          <w:sz w:val="24"/>
          <w:szCs w:val="24"/>
        </w:rPr>
        <w:t xml:space="preserve"> (2,3 %) var de hyppigst forekommende bivirkninger. Hos patienter med CKD var de hyppigst forekommende bivirkninger </w:t>
      </w:r>
      <w:proofErr w:type="spellStart"/>
      <w:r>
        <w:rPr>
          <w:sz w:val="24"/>
          <w:szCs w:val="24"/>
        </w:rPr>
        <w:t>hyperkaliæmi</w:t>
      </w:r>
      <w:proofErr w:type="spellEnd"/>
      <w:r>
        <w:rPr>
          <w:sz w:val="24"/>
          <w:szCs w:val="24"/>
        </w:rPr>
        <w:t xml:space="preserve"> (12,9 %), hovedpine (7,1 %), forhøjet serum-</w:t>
      </w:r>
      <w:proofErr w:type="spellStart"/>
      <w:r>
        <w:rPr>
          <w:sz w:val="24"/>
          <w:szCs w:val="24"/>
        </w:rPr>
        <w:t>kreatinin</w:t>
      </w:r>
      <w:proofErr w:type="spellEnd"/>
      <w:r>
        <w:rPr>
          <w:sz w:val="24"/>
          <w:szCs w:val="24"/>
        </w:rPr>
        <w:t xml:space="preserve"> (5,9 %) og </w:t>
      </w:r>
      <w:proofErr w:type="spellStart"/>
      <w:r>
        <w:rPr>
          <w:sz w:val="24"/>
          <w:szCs w:val="24"/>
        </w:rPr>
        <w:t>hypotention</w:t>
      </w:r>
      <w:proofErr w:type="spellEnd"/>
      <w:r>
        <w:rPr>
          <w:sz w:val="24"/>
          <w:szCs w:val="24"/>
        </w:rPr>
        <w:t xml:space="preserve"> (4,7 %). Hos patienter uden CDK var de hyppigst forekommende bivirkninger hovedpine (5,1 %) og svimmelhed (2,7 %). Der blev hyppigere observeret bivirkninger hos patienter, som fik </w:t>
      </w:r>
      <w:proofErr w:type="spellStart"/>
      <w:r>
        <w:rPr>
          <w:sz w:val="24"/>
          <w:szCs w:val="24"/>
        </w:rPr>
        <w:t>valsartan</w:t>
      </w:r>
      <w:proofErr w:type="spellEnd"/>
      <w:r>
        <w:rPr>
          <w:sz w:val="24"/>
          <w:szCs w:val="24"/>
        </w:rPr>
        <w:t xml:space="preserve"> i kombination med andre </w:t>
      </w:r>
      <w:proofErr w:type="spellStart"/>
      <w:r>
        <w:rPr>
          <w:sz w:val="24"/>
          <w:szCs w:val="24"/>
        </w:rPr>
        <w:t>antihypertensive</w:t>
      </w:r>
      <w:proofErr w:type="spellEnd"/>
      <w:r>
        <w:rPr>
          <w:sz w:val="24"/>
          <w:szCs w:val="24"/>
        </w:rPr>
        <w:t xml:space="preserve"> lægemidler, end hos patienter, som fik </w:t>
      </w:r>
      <w:proofErr w:type="spellStart"/>
      <w:r>
        <w:rPr>
          <w:sz w:val="24"/>
          <w:szCs w:val="24"/>
        </w:rPr>
        <w:t>valsartan</w:t>
      </w:r>
      <w:proofErr w:type="spellEnd"/>
      <w:r>
        <w:rPr>
          <w:sz w:val="24"/>
          <w:szCs w:val="24"/>
        </w:rPr>
        <w:t xml:space="preserve"> alene.</w:t>
      </w:r>
    </w:p>
    <w:p w:rsidR="003E5ED1" w:rsidRDefault="003E5ED1" w:rsidP="003E5ED1">
      <w:pPr>
        <w:autoSpaceDE w:val="0"/>
        <w:autoSpaceDN w:val="0"/>
        <w:adjustRightInd w:val="0"/>
        <w:ind w:left="851"/>
        <w:rPr>
          <w:sz w:val="24"/>
          <w:szCs w:val="24"/>
        </w:rPr>
      </w:pPr>
    </w:p>
    <w:p w:rsidR="003E5ED1" w:rsidRDefault="003E5ED1" w:rsidP="003E5ED1">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blodtryksreducerende virkning hos børn fra 1 til under 6 år er blevet evalueret i tre randomiserede, dobbeltblindet kliniske forsøg (hvert forsøg efterfulgt af en forlængelsesperiode). I det første studie, med 90 børn i alderen 1 til under 6 år, blev der observeret to dødsfald og isolerede tilfælde af markant forhøjede </w:t>
      </w:r>
      <w:proofErr w:type="spellStart"/>
      <w:r>
        <w:rPr>
          <w:sz w:val="24"/>
          <w:szCs w:val="24"/>
        </w:rPr>
        <w:t>levertransaminaser</w:t>
      </w:r>
      <w:proofErr w:type="spellEnd"/>
      <w:r>
        <w:rPr>
          <w:sz w:val="24"/>
          <w:szCs w:val="24"/>
        </w:rPr>
        <w:t xml:space="preserve">. Disse tilfælde forekom i en population, som havde betydelig </w:t>
      </w:r>
      <w:proofErr w:type="spellStart"/>
      <w:r>
        <w:rPr>
          <w:sz w:val="24"/>
          <w:szCs w:val="24"/>
        </w:rPr>
        <w:t>co</w:t>
      </w:r>
      <w:proofErr w:type="spellEnd"/>
      <w:r>
        <w:rPr>
          <w:sz w:val="24"/>
          <w:szCs w:val="24"/>
        </w:rPr>
        <w:t xml:space="preserve">-morbiditet. En årsagssammenhæng med </w:t>
      </w:r>
      <w:proofErr w:type="spellStart"/>
      <w:r>
        <w:rPr>
          <w:sz w:val="24"/>
          <w:szCs w:val="24"/>
        </w:rPr>
        <w:t>valsartan</w:t>
      </w:r>
      <w:proofErr w:type="spellEnd"/>
      <w:r>
        <w:rPr>
          <w:sz w:val="24"/>
          <w:szCs w:val="24"/>
        </w:rPr>
        <w:t xml:space="preserve"> er ikke fastslået. I de andre to studier, hvor 202 børn i </w:t>
      </w:r>
      <w:r>
        <w:rPr>
          <w:sz w:val="24"/>
          <w:szCs w:val="24"/>
        </w:rPr>
        <w:lastRenderedPageBreak/>
        <w:t xml:space="preserve">alderen 1 år til under 6 år blev randomiseret, forekom ingen betydelige forhøjede </w:t>
      </w:r>
      <w:proofErr w:type="spellStart"/>
      <w:r>
        <w:rPr>
          <w:sz w:val="24"/>
          <w:szCs w:val="24"/>
        </w:rPr>
        <w:t>levertransaminaser</w:t>
      </w:r>
      <w:proofErr w:type="spellEnd"/>
      <w:r>
        <w:rPr>
          <w:sz w:val="24"/>
          <w:szCs w:val="24"/>
        </w:rPr>
        <w:t xml:space="preserve"> eller død med </w:t>
      </w:r>
      <w:proofErr w:type="spellStart"/>
      <w:r>
        <w:rPr>
          <w:sz w:val="24"/>
          <w:szCs w:val="24"/>
        </w:rPr>
        <w:t>valsartan</w:t>
      </w:r>
      <w:proofErr w:type="spellEnd"/>
      <w:r>
        <w:rPr>
          <w:sz w:val="24"/>
          <w:szCs w:val="24"/>
        </w:rPr>
        <w:t xml:space="preserve"> behandling.</w:t>
      </w:r>
    </w:p>
    <w:p w:rsidR="003E5ED1" w:rsidRDefault="003E5ED1" w:rsidP="003E5ED1">
      <w:pPr>
        <w:autoSpaceDE w:val="0"/>
        <w:autoSpaceDN w:val="0"/>
        <w:adjustRightInd w:val="0"/>
        <w:ind w:left="851"/>
        <w:rPr>
          <w:sz w:val="24"/>
          <w:szCs w:val="24"/>
        </w:rPr>
      </w:pPr>
    </w:p>
    <w:p w:rsidR="003E5ED1" w:rsidRDefault="003E5ED1" w:rsidP="003E5ED1">
      <w:pPr>
        <w:autoSpaceDE w:val="0"/>
        <w:autoSpaceDN w:val="0"/>
        <w:adjustRightInd w:val="0"/>
        <w:ind w:left="851"/>
        <w:rPr>
          <w:sz w:val="24"/>
          <w:szCs w:val="24"/>
        </w:rPr>
      </w:pPr>
      <w:r>
        <w:rPr>
          <w:sz w:val="24"/>
          <w:szCs w:val="24"/>
        </w:rPr>
        <w:t xml:space="preserve">I en samlet analyse af de to efterfølgende studier med 202 </w:t>
      </w:r>
      <w:proofErr w:type="spellStart"/>
      <w:r>
        <w:rPr>
          <w:sz w:val="24"/>
          <w:szCs w:val="24"/>
        </w:rPr>
        <w:t>hypertensive</w:t>
      </w:r>
      <w:proofErr w:type="spellEnd"/>
      <w:r>
        <w:rPr>
          <w:sz w:val="24"/>
          <w:szCs w:val="24"/>
        </w:rPr>
        <w:t xml:space="preserve"> børn (i alderen 1 år til under 6 år), modtog alle patienter </w:t>
      </w:r>
      <w:proofErr w:type="spellStart"/>
      <w:r>
        <w:rPr>
          <w:sz w:val="24"/>
          <w:szCs w:val="24"/>
        </w:rPr>
        <w:t>valsartan</w:t>
      </w:r>
      <w:proofErr w:type="spellEnd"/>
      <w:r>
        <w:rPr>
          <w:sz w:val="24"/>
          <w:szCs w:val="24"/>
        </w:rPr>
        <w:t xml:space="preserve"> monoterapi i de dobbeltblindede perioder (undtagen placebo </w:t>
      </w:r>
      <w:proofErr w:type="spellStart"/>
      <w:r>
        <w:rPr>
          <w:sz w:val="24"/>
          <w:szCs w:val="24"/>
        </w:rPr>
        <w:t>seponeringsperioden</w:t>
      </w:r>
      <w:proofErr w:type="spellEnd"/>
      <w:r>
        <w:rPr>
          <w:sz w:val="24"/>
          <w:szCs w:val="24"/>
        </w:rPr>
        <w:t xml:space="preserve">). Deraf fortsatte 186 patienter enten i forlænget udgave af studiet eller i et open label studie. Af de 202 patienter havde 33 (16,3 %) underliggende kronisk nyresygdom (base-line </w:t>
      </w:r>
      <w:proofErr w:type="spellStart"/>
      <w:r>
        <w:rPr>
          <w:sz w:val="24"/>
          <w:szCs w:val="24"/>
        </w:rPr>
        <w:t>eGFR</w:t>
      </w:r>
      <w:proofErr w:type="spellEnd"/>
      <w:r>
        <w:rPr>
          <w:sz w:val="24"/>
          <w:szCs w:val="24"/>
        </w:rPr>
        <w:t xml:space="preserve"> &lt;90 ml/min). I den dobbeltblinde periode, stoppede to patienter (1 %) på grund af en bivirkning. I den åbne del eller den forlængede del af studiet stoppede der fire patienter (2,1 %) på grund af en bivirkning. Under den dobbeltblinde periode oplevede 13 (7,0 %) mindst én bivirkning. De mest hyppige bivirkninger var opkastninger n = 3 (1,6 %) og diarré n = 2 (1,1 %). Der var én bivirkning (diarré) i gruppen med underliggende kronisk nyresygdom. I den åbne periode fik 5,4 % af patienterne (10/186) mindst én bivirkning. Den hyppigste bivirkning var nedsat appetit, der blev rapporteret hos to patienter (1,1 %). I både den dobbeltblindede periode og den åbne periode, blev </w:t>
      </w:r>
      <w:proofErr w:type="spellStart"/>
      <w:r>
        <w:rPr>
          <w:sz w:val="24"/>
          <w:szCs w:val="24"/>
        </w:rPr>
        <w:t>hyperkaliæmi</w:t>
      </w:r>
      <w:proofErr w:type="spellEnd"/>
      <w:r>
        <w:rPr>
          <w:sz w:val="24"/>
          <w:szCs w:val="24"/>
        </w:rPr>
        <w:t xml:space="preserve"> registreret hos én patient i hver periode. Der var ikke nogen tilfælde af hypotension eller svimmelhed i hverken den dobbeltblinde eller den åbne periode.</w:t>
      </w:r>
    </w:p>
    <w:p w:rsidR="003E5ED1" w:rsidRDefault="003E5ED1" w:rsidP="003E5ED1">
      <w:pPr>
        <w:autoSpaceDE w:val="0"/>
        <w:autoSpaceDN w:val="0"/>
        <w:adjustRightInd w:val="0"/>
        <w:ind w:left="851"/>
        <w:rPr>
          <w:sz w:val="24"/>
          <w:szCs w:val="24"/>
        </w:rPr>
      </w:pPr>
    </w:p>
    <w:p w:rsidR="003E5ED1" w:rsidRDefault="003E5ED1" w:rsidP="003E5ED1">
      <w:pPr>
        <w:autoSpaceDE w:val="0"/>
        <w:autoSpaceDN w:val="0"/>
        <w:adjustRightInd w:val="0"/>
        <w:ind w:left="851"/>
        <w:rPr>
          <w:sz w:val="24"/>
          <w:szCs w:val="24"/>
        </w:rPr>
      </w:pPr>
      <w:proofErr w:type="spellStart"/>
      <w:r>
        <w:rPr>
          <w:sz w:val="24"/>
          <w:szCs w:val="24"/>
        </w:rPr>
        <w:t>Hyperkaliæmi</w:t>
      </w:r>
      <w:proofErr w:type="spellEnd"/>
      <w:r>
        <w:rPr>
          <w:sz w:val="24"/>
          <w:szCs w:val="24"/>
        </w:rPr>
        <w:t xml:space="preserve"> blev observeret oftere hos børn og unge i aldersgruppen 1 til under 18 år med en underliggende kronisk nyresygdom. Risikoen for </w:t>
      </w:r>
      <w:proofErr w:type="spellStart"/>
      <w:r>
        <w:rPr>
          <w:sz w:val="24"/>
          <w:szCs w:val="24"/>
        </w:rPr>
        <w:t>hyperkaliæmi</w:t>
      </w:r>
      <w:proofErr w:type="spellEnd"/>
      <w:r>
        <w:rPr>
          <w:sz w:val="24"/>
          <w:szCs w:val="24"/>
        </w:rPr>
        <w:t xml:space="preserve"> kan være større hos børn i alderen 1 til 5 år, sammenlignet med børn i alderen 6 til under 18 år.</w:t>
      </w:r>
    </w:p>
    <w:bookmarkEnd w:id="1"/>
    <w:p w:rsidR="003E5ED1" w:rsidRDefault="003E5ED1" w:rsidP="003E5ED1">
      <w:pPr>
        <w:pStyle w:val="Default"/>
        <w:ind w:left="851" w:hanging="851"/>
        <w:rPr>
          <w:color w:val="auto"/>
        </w:rPr>
      </w:pPr>
    </w:p>
    <w:p w:rsidR="003E5ED1" w:rsidRDefault="003E5ED1" w:rsidP="003E5ED1">
      <w:pPr>
        <w:pStyle w:val="Default"/>
        <w:ind w:left="851"/>
        <w:rPr>
          <w:color w:val="auto"/>
        </w:rPr>
      </w:pPr>
      <w:r>
        <w:rPr>
          <w:color w:val="auto"/>
        </w:rPr>
        <w:t xml:space="preserve">Den sikkerhedsprofil, der er set i kontrollerede, kliniske studier hos patienter med post-myokardieinfarkt og/eller hjertesvigt, er anderledes end den overordnede sikkerhedsprofil, der er set hos </w:t>
      </w:r>
      <w:proofErr w:type="spellStart"/>
      <w:r>
        <w:rPr>
          <w:color w:val="auto"/>
        </w:rPr>
        <w:t>hypertensive</w:t>
      </w:r>
      <w:proofErr w:type="spellEnd"/>
      <w:r>
        <w:rPr>
          <w:color w:val="auto"/>
        </w:rPr>
        <w:t xml:space="preserve"> patienter. Dette kan skyldes patienternes underliggende sygdom. Bivirkninger, der forekom hos patienter med post-myokardieinfarkt og/eller hjertesvigt, er angivet i nedenstående tabel: </w:t>
      </w:r>
    </w:p>
    <w:p w:rsidR="003E5ED1" w:rsidRPr="004C69FA" w:rsidRDefault="003E5ED1" w:rsidP="003E5ED1">
      <w:pPr>
        <w:pStyle w:val="Default"/>
        <w:ind w:left="851" w:hanging="851"/>
        <w:rPr>
          <w:color w:val="auto"/>
        </w:rPr>
      </w:pPr>
    </w:p>
    <w:p w:rsidR="003E5ED1" w:rsidRPr="004C69FA" w:rsidRDefault="003E5ED1" w:rsidP="003E5ED1">
      <w:pPr>
        <w:autoSpaceDE w:val="0"/>
        <w:autoSpaceDN w:val="0"/>
        <w:adjustRightInd w:val="0"/>
        <w:ind w:left="851"/>
        <w:rPr>
          <w:b/>
          <w:sz w:val="24"/>
          <w:szCs w:val="24"/>
          <w:lang w:eastAsia="da-DK"/>
        </w:rPr>
      </w:pPr>
      <w:r w:rsidRPr="004C69FA">
        <w:rPr>
          <w:b/>
          <w:sz w:val="24"/>
          <w:szCs w:val="24"/>
          <w:lang w:eastAsia="da-DK"/>
        </w:rPr>
        <w:t>Post-myokardieinfarkt og/eller hjertesvigt (kun undersøgt hos voksne patienter)</w:t>
      </w:r>
    </w:p>
    <w:p w:rsidR="003E5ED1" w:rsidRPr="004C69FA" w:rsidRDefault="003E5ED1" w:rsidP="003E5ED1">
      <w:pPr>
        <w:autoSpaceDE w:val="0"/>
        <w:autoSpaceDN w:val="0"/>
        <w:adjustRightInd w:val="0"/>
        <w:ind w:left="851"/>
        <w:rPr>
          <w:b/>
          <w:sz w:val="24"/>
          <w:szCs w:val="24"/>
          <w:lang w:eastAsia="da-DK"/>
        </w:rPr>
      </w:pPr>
    </w:p>
    <w:tbl>
      <w:tblPr>
        <w:tblW w:w="8930" w:type="dxa"/>
        <w:tblInd w:w="959"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8"/>
        <w:gridCol w:w="5812"/>
      </w:tblGrid>
      <w:tr w:rsidR="003E5ED1" w:rsidRPr="004C69FA" w:rsidTr="00462611">
        <w:trPr>
          <w:trHeight w:val="288"/>
        </w:trPr>
        <w:tc>
          <w:tcPr>
            <w:tcW w:w="8930" w:type="dxa"/>
            <w:gridSpan w:val="2"/>
            <w:tcBorders>
              <w:top w:val="single" w:sz="8" w:space="0" w:color="000000"/>
              <w:bottom w:val="single" w:sz="8" w:space="0" w:color="000000"/>
              <w:right w:val="single" w:sz="4" w:space="0" w:color="auto"/>
            </w:tcBorders>
            <w:vAlign w:val="center"/>
          </w:tcPr>
          <w:p w:rsidR="003E5ED1" w:rsidRPr="004C69FA" w:rsidRDefault="003E5ED1" w:rsidP="00462611">
            <w:pPr>
              <w:ind w:left="34" w:right="175"/>
              <w:rPr>
                <w:b/>
                <w:sz w:val="24"/>
                <w:szCs w:val="24"/>
                <w:lang w:val="en-GB" w:eastAsia="da-DK"/>
              </w:rPr>
            </w:pPr>
            <w:r w:rsidRPr="004C69FA">
              <w:rPr>
                <w:b/>
                <w:sz w:val="24"/>
                <w:szCs w:val="24"/>
                <w:lang w:eastAsia="da-DK"/>
              </w:rPr>
              <w:t>Blod og lymfesystem</w:t>
            </w:r>
          </w:p>
        </w:tc>
      </w:tr>
      <w:tr w:rsidR="003E5ED1" w:rsidRPr="004C69FA" w:rsidTr="00462611">
        <w:trPr>
          <w:trHeight w:val="292"/>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proofErr w:type="spellStart"/>
            <w:r w:rsidRPr="004C69FA">
              <w:rPr>
                <w:sz w:val="24"/>
                <w:szCs w:val="24"/>
                <w:lang w:eastAsia="da-DK"/>
              </w:rPr>
              <w:t>Trombocytopeni</w:t>
            </w:r>
            <w:proofErr w:type="spellEnd"/>
          </w:p>
        </w:tc>
      </w:tr>
      <w:tr w:rsidR="003E5ED1" w:rsidRPr="004C69FA" w:rsidTr="00462611">
        <w:trPr>
          <w:trHeight w:val="288"/>
        </w:trPr>
        <w:tc>
          <w:tcPr>
            <w:tcW w:w="8930" w:type="dxa"/>
            <w:gridSpan w:val="2"/>
            <w:tcBorders>
              <w:top w:val="single" w:sz="8" w:space="0" w:color="000000"/>
              <w:bottom w:val="single" w:sz="8" w:space="0" w:color="000000"/>
            </w:tcBorders>
            <w:vAlign w:val="center"/>
          </w:tcPr>
          <w:p w:rsidR="003E5ED1" w:rsidRPr="004C69FA" w:rsidRDefault="003E5ED1" w:rsidP="00462611">
            <w:pPr>
              <w:ind w:left="34" w:right="175"/>
              <w:rPr>
                <w:b/>
                <w:sz w:val="24"/>
                <w:szCs w:val="24"/>
                <w:lang w:eastAsia="da-DK"/>
              </w:rPr>
            </w:pPr>
            <w:r w:rsidRPr="004C69FA">
              <w:rPr>
                <w:b/>
                <w:sz w:val="24"/>
                <w:szCs w:val="24"/>
                <w:lang w:eastAsia="da-DK"/>
              </w:rPr>
              <w:t>Immunsystemet</w:t>
            </w:r>
          </w:p>
        </w:tc>
      </w:tr>
      <w:tr w:rsidR="003E5ED1" w:rsidRPr="004C69FA" w:rsidTr="00462611">
        <w:trPr>
          <w:trHeight w:val="292"/>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Hypersensitivitetsreaktioner inklusive serumsyge</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b/>
                <w:sz w:val="24"/>
                <w:szCs w:val="24"/>
                <w:lang w:eastAsia="da-DK"/>
              </w:rPr>
            </w:pPr>
            <w:r w:rsidRPr="004C69FA">
              <w:rPr>
                <w:b/>
                <w:sz w:val="24"/>
                <w:szCs w:val="24"/>
                <w:lang w:eastAsia="da-DK"/>
              </w:rPr>
              <w:t>Metabolisme og ernæring</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proofErr w:type="spellStart"/>
            <w:r w:rsidRPr="004C69FA">
              <w:rPr>
                <w:sz w:val="24"/>
                <w:szCs w:val="24"/>
                <w:lang w:eastAsia="da-DK"/>
              </w:rPr>
              <w:t>Hyperkaliæmi</w:t>
            </w:r>
            <w:proofErr w:type="spellEnd"/>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 xml:space="preserve">Øget serum-kalium, </w:t>
            </w:r>
            <w:proofErr w:type="spellStart"/>
            <w:r w:rsidRPr="004C69FA">
              <w:rPr>
                <w:sz w:val="24"/>
                <w:szCs w:val="24"/>
                <w:lang w:eastAsia="da-DK"/>
              </w:rPr>
              <w:t>hyponatriæmi</w:t>
            </w:r>
            <w:proofErr w:type="spellEnd"/>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b/>
                <w:sz w:val="24"/>
                <w:szCs w:val="24"/>
                <w:lang w:eastAsia="da-DK"/>
              </w:rPr>
            </w:pPr>
            <w:r w:rsidRPr="004C69FA">
              <w:rPr>
                <w:b/>
                <w:sz w:val="24"/>
                <w:szCs w:val="24"/>
                <w:lang w:eastAsia="da-DK"/>
              </w:rPr>
              <w:t>Nervesystemet</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Svimmelhed, stillingsbetinget svimmelhed</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Synkope, hovedpine</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val="en-GB" w:eastAsia="da-DK"/>
              </w:rPr>
            </w:pPr>
            <w:r w:rsidRPr="004C69FA">
              <w:rPr>
                <w:b/>
                <w:sz w:val="24"/>
                <w:szCs w:val="24"/>
                <w:lang w:eastAsia="da-DK"/>
              </w:rPr>
              <w:t>Øre og labyrint</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 xml:space="preserve">Ikke almindelig </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proofErr w:type="spellStart"/>
            <w:r w:rsidRPr="004C69FA">
              <w:rPr>
                <w:sz w:val="24"/>
                <w:szCs w:val="24"/>
                <w:lang w:eastAsia="da-DK"/>
              </w:rPr>
              <w:t>Vertigo</w:t>
            </w:r>
            <w:proofErr w:type="spellEnd"/>
            <w:r w:rsidRPr="004C69FA">
              <w:rPr>
                <w:sz w:val="24"/>
                <w:szCs w:val="24"/>
                <w:lang w:eastAsia="da-DK"/>
              </w:rPr>
              <w:t xml:space="preserve"> </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eastAsia="da-DK"/>
              </w:rPr>
            </w:pPr>
            <w:r w:rsidRPr="004C69FA">
              <w:rPr>
                <w:b/>
                <w:sz w:val="24"/>
                <w:szCs w:val="24"/>
                <w:lang w:eastAsia="da-DK"/>
              </w:rPr>
              <w:t>Hjerte</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Hjertesvigt</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eastAsia="da-DK"/>
              </w:rPr>
            </w:pPr>
            <w:proofErr w:type="spellStart"/>
            <w:r w:rsidRPr="004C69FA">
              <w:rPr>
                <w:b/>
                <w:sz w:val="24"/>
                <w:szCs w:val="24"/>
                <w:lang w:eastAsia="da-DK"/>
              </w:rPr>
              <w:t>Vaskulære</w:t>
            </w:r>
            <w:proofErr w:type="spellEnd"/>
            <w:r w:rsidRPr="004C69FA">
              <w:rPr>
                <w:b/>
                <w:sz w:val="24"/>
                <w:szCs w:val="24"/>
                <w:lang w:eastAsia="da-DK"/>
              </w:rPr>
              <w:t xml:space="preserve"> sygdomme</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 xml:space="preserve">Hypotension, </w:t>
            </w:r>
            <w:proofErr w:type="spellStart"/>
            <w:r w:rsidRPr="004C69FA">
              <w:rPr>
                <w:sz w:val="24"/>
                <w:szCs w:val="24"/>
                <w:lang w:eastAsia="da-DK"/>
              </w:rPr>
              <w:t>ortostatisk</w:t>
            </w:r>
            <w:proofErr w:type="spellEnd"/>
            <w:r w:rsidRPr="004C69FA">
              <w:rPr>
                <w:sz w:val="24"/>
                <w:szCs w:val="24"/>
                <w:lang w:eastAsia="da-DK"/>
              </w:rPr>
              <w:t xml:space="preserve"> hypotension</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 xml:space="preserve">Ikke kendt </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proofErr w:type="spellStart"/>
            <w:r w:rsidRPr="004C69FA">
              <w:rPr>
                <w:sz w:val="24"/>
                <w:szCs w:val="24"/>
                <w:lang w:eastAsia="da-DK"/>
              </w:rPr>
              <w:t>Vaskulitis</w:t>
            </w:r>
            <w:proofErr w:type="spellEnd"/>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val="en-GB" w:eastAsia="da-DK"/>
              </w:rPr>
            </w:pPr>
            <w:r w:rsidRPr="004C69FA">
              <w:rPr>
                <w:b/>
                <w:sz w:val="24"/>
                <w:szCs w:val="24"/>
                <w:lang w:eastAsia="da-DK"/>
              </w:rPr>
              <w:t>Luftveje, thorax og</w:t>
            </w:r>
            <w:r>
              <w:rPr>
                <w:b/>
                <w:sz w:val="24"/>
                <w:szCs w:val="24"/>
                <w:lang w:eastAsia="da-DK"/>
              </w:rPr>
              <w:t xml:space="preserve"> </w:t>
            </w:r>
            <w:proofErr w:type="spellStart"/>
            <w:r w:rsidRPr="004C69FA">
              <w:rPr>
                <w:b/>
                <w:sz w:val="24"/>
                <w:szCs w:val="24"/>
                <w:lang w:eastAsia="da-DK"/>
              </w:rPr>
              <w:t>mediastinum</w:t>
            </w:r>
            <w:proofErr w:type="spellEnd"/>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lastRenderedPageBreak/>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Hoste</w:t>
            </w:r>
          </w:p>
        </w:tc>
      </w:tr>
      <w:tr w:rsidR="003E5ED1" w:rsidRPr="00BB6CCD" w:rsidTr="00462611">
        <w:trPr>
          <w:trHeight w:val="292"/>
        </w:trPr>
        <w:tc>
          <w:tcPr>
            <w:tcW w:w="8930" w:type="dxa"/>
            <w:gridSpan w:val="2"/>
            <w:tcBorders>
              <w:top w:val="single" w:sz="8" w:space="0" w:color="000000"/>
              <w:bottom w:val="single" w:sz="8" w:space="0" w:color="000000"/>
            </w:tcBorders>
          </w:tcPr>
          <w:p w:rsidR="003E5ED1" w:rsidRPr="00BB6CCD" w:rsidRDefault="003E5ED1" w:rsidP="00462611">
            <w:pPr>
              <w:ind w:left="34" w:right="175"/>
              <w:rPr>
                <w:b/>
                <w:sz w:val="24"/>
                <w:szCs w:val="24"/>
                <w:lang w:eastAsia="da-DK"/>
              </w:rPr>
            </w:pPr>
            <w:r w:rsidRPr="00BB6CCD">
              <w:rPr>
                <w:b/>
                <w:sz w:val="24"/>
                <w:szCs w:val="24"/>
                <w:lang w:eastAsia="da-DK"/>
              </w:rPr>
              <w:t>Mave-tarm-kanalen</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Kvalme, diarré</w:t>
            </w:r>
          </w:p>
        </w:tc>
      </w:tr>
      <w:tr w:rsidR="003E5ED1" w:rsidRPr="00BB6CCD" w:rsidTr="00462611">
        <w:trPr>
          <w:trHeight w:val="292"/>
        </w:trPr>
        <w:tc>
          <w:tcPr>
            <w:tcW w:w="8930" w:type="dxa"/>
            <w:gridSpan w:val="2"/>
            <w:tcBorders>
              <w:top w:val="single" w:sz="8" w:space="0" w:color="000000"/>
              <w:bottom w:val="single" w:sz="8" w:space="0" w:color="000000"/>
            </w:tcBorders>
          </w:tcPr>
          <w:p w:rsidR="003E5ED1" w:rsidRPr="00BB6CCD" w:rsidRDefault="003E5ED1" w:rsidP="00462611">
            <w:pPr>
              <w:ind w:left="34" w:right="175"/>
              <w:rPr>
                <w:b/>
                <w:sz w:val="24"/>
                <w:szCs w:val="24"/>
                <w:lang w:eastAsia="da-DK"/>
              </w:rPr>
            </w:pPr>
            <w:r w:rsidRPr="00BB6CCD">
              <w:rPr>
                <w:b/>
                <w:sz w:val="24"/>
                <w:szCs w:val="24"/>
                <w:lang w:eastAsia="da-DK"/>
              </w:rPr>
              <w:t>Lever og galdeveje</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val="en-GB" w:eastAsia="da-DK"/>
              </w:rPr>
            </w:pPr>
            <w:r w:rsidRPr="004C69FA">
              <w:rPr>
                <w:sz w:val="24"/>
                <w:szCs w:val="24"/>
                <w:lang w:eastAsia="da-DK"/>
              </w:rPr>
              <w:t>Forhøjede leverfunktionstal</w:t>
            </w:r>
          </w:p>
        </w:tc>
      </w:tr>
      <w:tr w:rsidR="003E5ED1" w:rsidRPr="00BB6CCD" w:rsidTr="00462611">
        <w:trPr>
          <w:trHeight w:val="292"/>
        </w:trPr>
        <w:tc>
          <w:tcPr>
            <w:tcW w:w="8930" w:type="dxa"/>
            <w:gridSpan w:val="2"/>
            <w:tcBorders>
              <w:top w:val="single" w:sz="8" w:space="0" w:color="000000"/>
              <w:bottom w:val="single" w:sz="8" w:space="0" w:color="000000"/>
            </w:tcBorders>
          </w:tcPr>
          <w:p w:rsidR="003E5ED1" w:rsidRPr="00BB6CCD" w:rsidRDefault="003E5ED1" w:rsidP="00462611">
            <w:pPr>
              <w:ind w:left="34" w:right="175"/>
              <w:rPr>
                <w:b/>
                <w:sz w:val="24"/>
                <w:szCs w:val="24"/>
                <w:lang w:val="en-GB" w:eastAsia="da-DK"/>
              </w:rPr>
            </w:pPr>
            <w:r w:rsidRPr="00BB6CCD">
              <w:rPr>
                <w:b/>
                <w:sz w:val="24"/>
                <w:szCs w:val="24"/>
                <w:lang w:eastAsia="da-DK"/>
              </w:rPr>
              <w:t>Hud og subkutane væv</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proofErr w:type="spellStart"/>
            <w:r w:rsidRPr="004C69FA">
              <w:rPr>
                <w:sz w:val="24"/>
                <w:szCs w:val="24"/>
                <w:lang w:eastAsia="da-DK"/>
              </w:rPr>
              <w:t>Angioødem</w:t>
            </w:r>
            <w:proofErr w:type="spellEnd"/>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rPr>
                <w:sz w:val="24"/>
                <w:szCs w:val="24"/>
                <w:lang w:eastAsia="da-DK"/>
              </w:rPr>
            </w:pPr>
            <w:proofErr w:type="spellStart"/>
            <w:r>
              <w:rPr>
                <w:szCs w:val="24"/>
                <w:lang w:eastAsia="da-DK"/>
              </w:rPr>
              <w:t>Bulløs</w:t>
            </w:r>
            <w:proofErr w:type="spellEnd"/>
            <w:r>
              <w:rPr>
                <w:szCs w:val="24"/>
                <w:lang w:eastAsia="da-DK"/>
              </w:rPr>
              <w:t xml:space="preserve"> </w:t>
            </w:r>
            <w:proofErr w:type="spellStart"/>
            <w:r>
              <w:rPr>
                <w:szCs w:val="24"/>
                <w:lang w:eastAsia="da-DK"/>
              </w:rPr>
              <w:t>dermatit</w:t>
            </w:r>
            <w:proofErr w:type="spellEnd"/>
            <w:r>
              <w:rPr>
                <w:szCs w:val="24"/>
                <w:lang w:eastAsia="da-DK"/>
              </w:rPr>
              <w:t xml:space="preserve">, udslæt, </w:t>
            </w:r>
            <w:proofErr w:type="spellStart"/>
            <w:r>
              <w:rPr>
                <w:szCs w:val="24"/>
                <w:lang w:eastAsia="da-DK"/>
              </w:rPr>
              <w:t>pruritus</w:t>
            </w:r>
            <w:proofErr w:type="spellEnd"/>
            <w:r>
              <w:rPr>
                <w:sz w:val="24"/>
                <w:szCs w:val="24"/>
                <w:lang w:eastAsia="da-DK"/>
              </w:rPr>
              <w:t xml:space="preserve"> </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eastAsia="da-DK"/>
              </w:rPr>
            </w:pPr>
            <w:r w:rsidRPr="004C69FA">
              <w:rPr>
                <w:b/>
                <w:sz w:val="24"/>
                <w:szCs w:val="24"/>
                <w:lang w:eastAsia="da-DK"/>
              </w:rPr>
              <w:t>Knogler, led, muskler og</w:t>
            </w:r>
            <w:r>
              <w:rPr>
                <w:b/>
                <w:sz w:val="24"/>
                <w:szCs w:val="24"/>
                <w:lang w:eastAsia="da-DK"/>
              </w:rPr>
              <w:t xml:space="preserve"> </w:t>
            </w:r>
            <w:r w:rsidRPr="004C69FA">
              <w:rPr>
                <w:b/>
                <w:sz w:val="24"/>
                <w:szCs w:val="24"/>
                <w:lang w:eastAsia="da-DK"/>
              </w:rPr>
              <w:t>bindevæv</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Myalgi</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eastAsia="da-DK"/>
              </w:rPr>
            </w:pPr>
            <w:r w:rsidRPr="004C69FA">
              <w:rPr>
                <w:b/>
                <w:sz w:val="24"/>
                <w:szCs w:val="24"/>
                <w:lang w:eastAsia="da-DK"/>
              </w:rPr>
              <w:t>Nyrer og urinveje</w:t>
            </w:r>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Nyresvigt og nedsat nyrefunktion</w:t>
            </w:r>
          </w:p>
        </w:tc>
      </w:tr>
      <w:tr w:rsidR="003E5ED1" w:rsidRPr="004C69FA" w:rsidTr="00462611">
        <w:trPr>
          <w:trHeight w:val="30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Akut nyresvigt, forhøjet serum-</w:t>
            </w:r>
            <w:proofErr w:type="spellStart"/>
            <w:r w:rsidRPr="004C69FA">
              <w:rPr>
                <w:sz w:val="24"/>
                <w:szCs w:val="24"/>
                <w:lang w:eastAsia="da-DK"/>
              </w:rPr>
              <w:t>kreatinin</w:t>
            </w:r>
            <w:proofErr w:type="spellEnd"/>
          </w:p>
        </w:tc>
      </w:tr>
      <w:tr w:rsidR="003E5ED1" w:rsidRPr="004C69FA" w:rsidTr="00462611">
        <w:trPr>
          <w:trHeight w:val="288"/>
        </w:trPr>
        <w:tc>
          <w:tcPr>
            <w:tcW w:w="3118" w:type="dxa"/>
            <w:tcBorders>
              <w:top w:val="single" w:sz="8" w:space="0" w:color="000000"/>
              <w:bottom w:val="single" w:sz="8" w:space="0" w:color="000000"/>
              <w:right w:val="single" w:sz="4" w:space="0" w:color="auto"/>
            </w:tcBorders>
          </w:tcPr>
          <w:p w:rsidR="003E5ED1" w:rsidRPr="004C69FA" w:rsidRDefault="003E5ED1" w:rsidP="00462611">
            <w:pPr>
              <w:ind w:left="34" w:right="175"/>
              <w:rPr>
                <w:sz w:val="24"/>
                <w:szCs w:val="24"/>
                <w:lang w:eastAsia="da-DK"/>
              </w:rPr>
            </w:pPr>
            <w:r w:rsidRPr="004C69FA">
              <w:rPr>
                <w:sz w:val="24"/>
                <w:szCs w:val="24"/>
                <w:lang w:eastAsia="da-DK"/>
              </w:rPr>
              <w:t>Ikke kendt</w:t>
            </w:r>
          </w:p>
        </w:tc>
        <w:tc>
          <w:tcPr>
            <w:tcW w:w="5812" w:type="dxa"/>
            <w:tcBorders>
              <w:top w:val="single" w:sz="8" w:space="0" w:color="000000"/>
              <w:left w:val="single" w:sz="4" w:space="0" w:color="auto"/>
              <w:bottom w:val="single" w:sz="8" w:space="0" w:color="000000"/>
            </w:tcBorders>
          </w:tcPr>
          <w:p w:rsidR="003E5ED1" w:rsidRPr="004C69FA" w:rsidRDefault="003E5ED1" w:rsidP="00462611">
            <w:pPr>
              <w:ind w:left="34" w:right="175"/>
              <w:rPr>
                <w:sz w:val="24"/>
                <w:szCs w:val="24"/>
                <w:lang w:val="en-GB" w:eastAsia="da-DK"/>
              </w:rPr>
            </w:pPr>
            <w:r w:rsidRPr="004C69FA">
              <w:rPr>
                <w:sz w:val="24"/>
                <w:szCs w:val="24"/>
                <w:lang w:eastAsia="da-DK"/>
              </w:rPr>
              <w:t>Forhøjet blodurinstof</w:t>
            </w:r>
          </w:p>
        </w:tc>
      </w:tr>
      <w:tr w:rsidR="003E5ED1" w:rsidRPr="004C69FA" w:rsidTr="00462611">
        <w:trPr>
          <w:trHeight w:val="292"/>
        </w:trPr>
        <w:tc>
          <w:tcPr>
            <w:tcW w:w="8930" w:type="dxa"/>
            <w:gridSpan w:val="2"/>
            <w:tcBorders>
              <w:top w:val="single" w:sz="8" w:space="0" w:color="000000"/>
              <w:bottom w:val="single" w:sz="8" w:space="0" w:color="000000"/>
            </w:tcBorders>
          </w:tcPr>
          <w:p w:rsidR="003E5ED1" w:rsidRPr="004C69FA" w:rsidRDefault="003E5ED1" w:rsidP="00462611">
            <w:pPr>
              <w:ind w:left="34" w:right="175"/>
              <w:rPr>
                <w:sz w:val="24"/>
                <w:szCs w:val="24"/>
                <w:lang w:eastAsia="da-DK"/>
              </w:rPr>
            </w:pPr>
            <w:r w:rsidRPr="004C69FA">
              <w:rPr>
                <w:b/>
                <w:sz w:val="24"/>
                <w:szCs w:val="24"/>
                <w:lang w:eastAsia="da-DK"/>
              </w:rPr>
              <w:t>Almene symptomer og</w:t>
            </w:r>
            <w:r>
              <w:rPr>
                <w:b/>
                <w:sz w:val="24"/>
                <w:szCs w:val="24"/>
                <w:lang w:eastAsia="da-DK"/>
              </w:rPr>
              <w:t xml:space="preserve"> </w:t>
            </w:r>
            <w:r w:rsidRPr="004C69FA">
              <w:rPr>
                <w:b/>
                <w:sz w:val="24"/>
                <w:szCs w:val="24"/>
                <w:lang w:eastAsia="da-DK"/>
              </w:rPr>
              <w:t>reaktioner på administrationsstedet</w:t>
            </w:r>
          </w:p>
        </w:tc>
      </w:tr>
      <w:tr w:rsidR="003E5ED1" w:rsidRPr="004C69FA" w:rsidTr="00462611">
        <w:trPr>
          <w:trHeight w:val="288"/>
        </w:trPr>
        <w:tc>
          <w:tcPr>
            <w:tcW w:w="3118" w:type="dxa"/>
            <w:tcBorders>
              <w:top w:val="single" w:sz="8" w:space="0" w:color="000000"/>
              <w:bottom w:val="single" w:sz="8" w:space="0" w:color="000000"/>
              <w:right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Ikke almindelig</w:t>
            </w:r>
          </w:p>
        </w:tc>
        <w:tc>
          <w:tcPr>
            <w:tcW w:w="5812" w:type="dxa"/>
            <w:tcBorders>
              <w:top w:val="single" w:sz="8" w:space="0" w:color="000000"/>
              <w:left w:val="single" w:sz="8" w:space="0" w:color="000000"/>
              <w:bottom w:val="single" w:sz="8" w:space="0" w:color="000000"/>
            </w:tcBorders>
          </w:tcPr>
          <w:p w:rsidR="003E5ED1" w:rsidRPr="004C69FA" w:rsidRDefault="003E5ED1" w:rsidP="00462611">
            <w:pPr>
              <w:ind w:left="34" w:right="175"/>
              <w:rPr>
                <w:sz w:val="24"/>
                <w:szCs w:val="24"/>
                <w:lang w:eastAsia="da-DK"/>
              </w:rPr>
            </w:pPr>
            <w:r w:rsidRPr="004C69FA">
              <w:rPr>
                <w:sz w:val="24"/>
                <w:szCs w:val="24"/>
                <w:lang w:eastAsia="da-DK"/>
              </w:rPr>
              <w:t>Asteni, træthed</w:t>
            </w:r>
          </w:p>
        </w:tc>
      </w:tr>
    </w:tbl>
    <w:p w:rsidR="003E5ED1" w:rsidRPr="004C69FA" w:rsidRDefault="003E5ED1" w:rsidP="003E5ED1">
      <w:pPr>
        <w:pStyle w:val="Sidehoved"/>
        <w:tabs>
          <w:tab w:val="left" w:pos="851"/>
        </w:tabs>
        <w:ind w:left="851" w:hanging="851"/>
        <w:rPr>
          <w:szCs w:val="24"/>
        </w:rPr>
      </w:pPr>
    </w:p>
    <w:p w:rsidR="003E5ED1" w:rsidRPr="003952CE" w:rsidRDefault="003E5ED1" w:rsidP="003E5ED1">
      <w:pPr>
        <w:autoSpaceDE w:val="0"/>
        <w:autoSpaceDN w:val="0"/>
        <w:ind w:left="851"/>
        <w:rPr>
          <w:sz w:val="24"/>
          <w:szCs w:val="24"/>
          <w:u w:val="single"/>
        </w:rPr>
      </w:pPr>
      <w:r w:rsidRPr="003952CE">
        <w:rPr>
          <w:sz w:val="24"/>
          <w:szCs w:val="24"/>
          <w:u w:val="single"/>
        </w:rPr>
        <w:t>Indberetning af formodede bivirkninger</w:t>
      </w:r>
    </w:p>
    <w:p w:rsidR="003E5ED1" w:rsidRPr="003952CE" w:rsidRDefault="003E5ED1" w:rsidP="003E5ED1">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 xml:space="preserve">Sundhedspersoner </w:t>
      </w:r>
      <w:r w:rsidRPr="003952CE">
        <w:rPr>
          <w:sz w:val="24"/>
          <w:szCs w:val="24"/>
        </w:rPr>
        <w:t>anmodes om at indberette alle formodede bivirkninger via:</w:t>
      </w:r>
    </w:p>
    <w:p w:rsidR="003E5ED1" w:rsidRPr="003952CE" w:rsidRDefault="003E5ED1" w:rsidP="003E5ED1">
      <w:pPr>
        <w:tabs>
          <w:tab w:val="left" w:pos="2440"/>
        </w:tabs>
        <w:ind w:left="851"/>
        <w:rPr>
          <w:sz w:val="24"/>
          <w:szCs w:val="24"/>
        </w:rPr>
      </w:pPr>
    </w:p>
    <w:p w:rsidR="003E5ED1" w:rsidRPr="003952CE" w:rsidRDefault="003E5ED1" w:rsidP="003E5ED1">
      <w:pPr>
        <w:ind w:left="851"/>
        <w:rPr>
          <w:sz w:val="24"/>
          <w:szCs w:val="24"/>
        </w:rPr>
      </w:pPr>
      <w:r w:rsidRPr="003952CE">
        <w:rPr>
          <w:sz w:val="24"/>
          <w:szCs w:val="24"/>
        </w:rPr>
        <w:t>Lægemiddelstyrelsen</w:t>
      </w:r>
    </w:p>
    <w:p w:rsidR="003E5ED1" w:rsidRPr="003952CE" w:rsidRDefault="003E5ED1" w:rsidP="003E5ED1">
      <w:pPr>
        <w:ind w:left="851"/>
        <w:rPr>
          <w:sz w:val="24"/>
          <w:szCs w:val="24"/>
        </w:rPr>
      </w:pPr>
      <w:r w:rsidRPr="003952CE">
        <w:rPr>
          <w:sz w:val="24"/>
          <w:szCs w:val="24"/>
        </w:rPr>
        <w:t>Axel Heides Gade 1</w:t>
      </w:r>
    </w:p>
    <w:p w:rsidR="003E5ED1" w:rsidRPr="003952CE" w:rsidRDefault="003E5ED1" w:rsidP="003E5ED1">
      <w:pPr>
        <w:ind w:left="851"/>
        <w:rPr>
          <w:sz w:val="24"/>
          <w:szCs w:val="24"/>
        </w:rPr>
      </w:pPr>
      <w:r w:rsidRPr="003952CE">
        <w:rPr>
          <w:sz w:val="24"/>
          <w:szCs w:val="24"/>
        </w:rPr>
        <w:t>DK-2300 København S</w:t>
      </w:r>
    </w:p>
    <w:p w:rsidR="003E5ED1" w:rsidRPr="003E5ED1" w:rsidRDefault="003E5ED1" w:rsidP="003E5ED1">
      <w:pPr>
        <w:ind w:left="851"/>
        <w:rPr>
          <w:sz w:val="24"/>
          <w:szCs w:val="24"/>
        </w:rPr>
      </w:pPr>
      <w:r w:rsidRPr="003E5ED1">
        <w:rPr>
          <w:sz w:val="24"/>
          <w:szCs w:val="24"/>
        </w:rPr>
        <w:t xml:space="preserve">Websted: </w:t>
      </w:r>
      <w:hyperlink r:id="rId8" w:history="1">
        <w:r w:rsidRPr="003E5ED1">
          <w:rPr>
            <w:rStyle w:val="Hyperlink"/>
            <w:szCs w:val="24"/>
          </w:rPr>
          <w:t>www.meldenbivirkning.dk</w:t>
        </w:r>
      </w:hyperlink>
    </w:p>
    <w:p w:rsidR="00E4145D" w:rsidRPr="003E5ED1" w:rsidRDefault="00E4145D" w:rsidP="003E5ED1">
      <w:pPr>
        <w:pStyle w:val="Default"/>
        <w:ind w:left="851" w:hanging="851"/>
      </w:pPr>
    </w:p>
    <w:p w:rsidR="00E4145D" w:rsidRPr="004C69FA" w:rsidRDefault="00E4145D" w:rsidP="00E4145D">
      <w:pPr>
        <w:numPr>
          <w:ilvl w:val="1"/>
          <w:numId w:val="1"/>
        </w:numPr>
        <w:ind w:left="851" w:hanging="851"/>
        <w:rPr>
          <w:b/>
          <w:sz w:val="24"/>
          <w:szCs w:val="24"/>
        </w:rPr>
      </w:pPr>
      <w:r w:rsidRPr="004C69FA">
        <w:rPr>
          <w:b/>
          <w:sz w:val="24"/>
          <w:szCs w:val="24"/>
        </w:rPr>
        <w:t>Overdosering</w:t>
      </w:r>
    </w:p>
    <w:p w:rsidR="00E4145D" w:rsidRDefault="00E4145D" w:rsidP="00E4145D">
      <w:pPr>
        <w:tabs>
          <w:tab w:val="left" w:pos="0"/>
          <w:tab w:val="left" w:pos="851"/>
          <w:tab w:val="left" w:pos="4712"/>
          <w:tab w:val="left" w:pos="7574"/>
        </w:tabs>
        <w:ind w:left="851"/>
        <w:rPr>
          <w:sz w:val="24"/>
          <w:szCs w:val="24"/>
        </w:rPr>
      </w:pPr>
    </w:p>
    <w:p w:rsidR="00E4145D" w:rsidRPr="004C69FA" w:rsidRDefault="00E4145D" w:rsidP="00E4145D">
      <w:pPr>
        <w:tabs>
          <w:tab w:val="left" w:pos="0"/>
          <w:tab w:val="left" w:pos="851"/>
          <w:tab w:val="left" w:pos="4712"/>
          <w:tab w:val="left" w:pos="7574"/>
        </w:tabs>
        <w:ind w:left="851" w:hanging="851"/>
        <w:rPr>
          <w:sz w:val="24"/>
          <w:szCs w:val="24"/>
          <w:u w:val="single"/>
        </w:rPr>
      </w:pPr>
      <w:r>
        <w:rPr>
          <w:sz w:val="24"/>
          <w:szCs w:val="24"/>
        </w:rPr>
        <w:tab/>
      </w:r>
      <w:r w:rsidRPr="004C69FA">
        <w:rPr>
          <w:sz w:val="24"/>
          <w:szCs w:val="24"/>
          <w:u w:val="single"/>
        </w:rPr>
        <w:t xml:space="preserve">Symptomer </w:t>
      </w:r>
    </w:p>
    <w:p w:rsidR="00E4145D" w:rsidRPr="004C69FA" w:rsidRDefault="00E4145D" w:rsidP="00E4145D">
      <w:pPr>
        <w:autoSpaceDE w:val="0"/>
        <w:autoSpaceDN w:val="0"/>
        <w:adjustRightInd w:val="0"/>
        <w:ind w:left="851"/>
        <w:rPr>
          <w:sz w:val="24"/>
          <w:szCs w:val="24"/>
        </w:rPr>
      </w:pPr>
      <w:r w:rsidRPr="004C69FA">
        <w:rPr>
          <w:sz w:val="24"/>
          <w:szCs w:val="24"/>
        </w:rPr>
        <w:t xml:space="preserve">Overdosering med </w:t>
      </w:r>
      <w:proofErr w:type="spellStart"/>
      <w:r w:rsidRPr="004C69FA">
        <w:rPr>
          <w:sz w:val="24"/>
          <w:szCs w:val="24"/>
        </w:rPr>
        <w:t>valsartan</w:t>
      </w:r>
      <w:proofErr w:type="spellEnd"/>
      <w:r w:rsidRPr="004C69FA">
        <w:rPr>
          <w:sz w:val="24"/>
          <w:szCs w:val="24"/>
        </w:rPr>
        <w:t xml:space="preserve"> kan resultere i udtalt hypotension, som kan føre til nedsat bevidsthedsniveau, kredsløbskollaps og/eller </w:t>
      </w:r>
      <w:proofErr w:type="spellStart"/>
      <w:r w:rsidRPr="004C69FA">
        <w:rPr>
          <w:sz w:val="24"/>
          <w:szCs w:val="24"/>
        </w:rPr>
        <w:t>shock</w:t>
      </w:r>
      <w:proofErr w:type="spellEnd"/>
      <w:r w:rsidRPr="004C69FA">
        <w:rPr>
          <w:sz w:val="24"/>
          <w:szCs w:val="24"/>
        </w:rPr>
        <w:t>.</w:t>
      </w:r>
    </w:p>
    <w:p w:rsidR="00E4145D" w:rsidRPr="004C69FA" w:rsidRDefault="00E4145D" w:rsidP="00E4145D">
      <w:pPr>
        <w:autoSpaceDE w:val="0"/>
        <w:autoSpaceDN w:val="0"/>
        <w:adjustRightInd w:val="0"/>
        <w:ind w:left="851" w:hanging="851"/>
        <w:rPr>
          <w:sz w:val="24"/>
          <w:szCs w:val="24"/>
          <w:u w:val="single"/>
        </w:rPr>
      </w:pPr>
    </w:p>
    <w:p w:rsidR="00E4145D" w:rsidRPr="004C69FA" w:rsidRDefault="00E4145D" w:rsidP="00E4145D">
      <w:pPr>
        <w:autoSpaceDE w:val="0"/>
        <w:autoSpaceDN w:val="0"/>
        <w:adjustRightInd w:val="0"/>
        <w:ind w:left="851"/>
        <w:rPr>
          <w:sz w:val="24"/>
          <w:szCs w:val="24"/>
          <w:u w:val="single"/>
        </w:rPr>
      </w:pPr>
      <w:r w:rsidRPr="004C69FA">
        <w:rPr>
          <w:sz w:val="24"/>
          <w:szCs w:val="24"/>
          <w:u w:val="single"/>
        </w:rPr>
        <w:t xml:space="preserve">Behandling </w:t>
      </w:r>
    </w:p>
    <w:p w:rsidR="00E4145D" w:rsidRPr="004C69FA" w:rsidRDefault="00E4145D" w:rsidP="00E4145D">
      <w:pPr>
        <w:autoSpaceDE w:val="0"/>
        <w:autoSpaceDN w:val="0"/>
        <w:adjustRightInd w:val="0"/>
        <w:ind w:left="851"/>
        <w:rPr>
          <w:sz w:val="24"/>
          <w:szCs w:val="24"/>
        </w:rPr>
      </w:pPr>
      <w:r w:rsidRPr="004C69FA">
        <w:rPr>
          <w:sz w:val="24"/>
          <w:szCs w:val="24"/>
        </w:rPr>
        <w:t xml:space="preserve">Den terapeutiske vurdering afhænger af tidspunktet for indtagelse og af symptomernes art og alvor. I behandlingen er stabilisering af kredsløbet det vigtigste. </w:t>
      </w:r>
    </w:p>
    <w:p w:rsidR="00E4145D" w:rsidRPr="004C69FA" w:rsidRDefault="00E4145D" w:rsidP="00E4145D">
      <w:pPr>
        <w:autoSpaceDE w:val="0"/>
        <w:autoSpaceDN w:val="0"/>
        <w:adjustRightInd w:val="0"/>
        <w:ind w:left="851"/>
        <w:rPr>
          <w:sz w:val="24"/>
          <w:szCs w:val="24"/>
        </w:rPr>
      </w:pPr>
      <w:r w:rsidRPr="004C69FA">
        <w:rPr>
          <w:sz w:val="24"/>
          <w:szCs w:val="24"/>
        </w:rPr>
        <w:t>Såfremt der opstår hypotension, skal patienten placeres i rygliggende stilling, og blodvolumen skal korrigeres.</w:t>
      </w:r>
    </w:p>
    <w:p w:rsidR="00E4145D" w:rsidRPr="004C69FA" w:rsidRDefault="00E4145D" w:rsidP="00E4145D">
      <w:pPr>
        <w:autoSpaceDE w:val="0"/>
        <w:autoSpaceDN w:val="0"/>
        <w:adjustRightInd w:val="0"/>
        <w:ind w:left="851"/>
        <w:rPr>
          <w:sz w:val="24"/>
          <w:szCs w:val="24"/>
        </w:rPr>
      </w:pPr>
      <w:r w:rsidRPr="004C69FA">
        <w:rPr>
          <w:sz w:val="24"/>
          <w:szCs w:val="24"/>
        </w:rPr>
        <w:t xml:space="preserve">Det er usandsynligt, at </w:t>
      </w:r>
      <w:proofErr w:type="spellStart"/>
      <w:r w:rsidRPr="004C69FA">
        <w:rPr>
          <w:sz w:val="24"/>
          <w:szCs w:val="24"/>
        </w:rPr>
        <w:t>valsartan</w:t>
      </w:r>
      <w:proofErr w:type="spellEnd"/>
      <w:r w:rsidRPr="004C69FA">
        <w:rPr>
          <w:sz w:val="24"/>
          <w:szCs w:val="24"/>
        </w:rPr>
        <w:t xml:space="preserve"> fjernes ved hæmodialyse.</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1"/>
        </w:numPr>
        <w:ind w:left="851" w:hanging="851"/>
        <w:rPr>
          <w:b/>
          <w:sz w:val="24"/>
          <w:szCs w:val="24"/>
        </w:rPr>
      </w:pPr>
      <w:r w:rsidRPr="004C69FA">
        <w:rPr>
          <w:b/>
          <w:sz w:val="24"/>
          <w:szCs w:val="24"/>
        </w:rPr>
        <w:t>Udlevering</w:t>
      </w:r>
    </w:p>
    <w:p w:rsidR="00E4145D" w:rsidRPr="004C69FA" w:rsidRDefault="00E4145D" w:rsidP="00E4145D">
      <w:pPr>
        <w:tabs>
          <w:tab w:val="left" w:pos="851"/>
        </w:tabs>
        <w:ind w:left="851" w:hanging="851"/>
        <w:rPr>
          <w:sz w:val="24"/>
          <w:szCs w:val="24"/>
        </w:rPr>
      </w:pPr>
      <w:r w:rsidRPr="004C69FA">
        <w:rPr>
          <w:sz w:val="24"/>
          <w:szCs w:val="24"/>
        </w:rPr>
        <w:tab/>
        <w:t>B</w:t>
      </w:r>
    </w:p>
    <w:p w:rsidR="00E4145D"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sz w:val="24"/>
          <w:szCs w:val="24"/>
        </w:rPr>
      </w:pPr>
    </w:p>
    <w:p w:rsidR="00E4145D" w:rsidRPr="004C69FA" w:rsidRDefault="00E4145D" w:rsidP="00E4145D">
      <w:pPr>
        <w:numPr>
          <w:ilvl w:val="0"/>
          <w:numId w:val="1"/>
        </w:numPr>
        <w:ind w:left="851" w:hanging="851"/>
        <w:rPr>
          <w:b/>
          <w:sz w:val="24"/>
          <w:szCs w:val="24"/>
        </w:rPr>
      </w:pPr>
      <w:r w:rsidRPr="004C69FA">
        <w:rPr>
          <w:b/>
          <w:sz w:val="24"/>
          <w:szCs w:val="24"/>
        </w:rPr>
        <w:t>FARMAKOLOGISKE EGENSKABER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0"/>
          <w:numId w:val="2"/>
        </w:numPr>
        <w:ind w:left="851" w:hanging="851"/>
        <w:rPr>
          <w:b/>
          <w:sz w:val="24"/>
          <w:szCs w:val="24"/>
        </w:rPr>
      </w:pPr>
      <w:r w:rsidRPr="004C69FA">
        <w:rPr>
          <w:b/>
          <w:sz w:val="24"/>
          <w:szCs w:val="24"/>
        </w:rPr>
        <w:t>Terapeutisk klassifikation</w:t>
      </w:r>
    </w:p>
    <w:p w:rsidR="00E4145D" w:rsidRPr="004C69FA" w:rsidRDefault="00E4145D" w:rsidP="00E4145D">
      <w:pPr>
        <w:autoSpaceDE w:val="0"/>
        <w:autoSpaceDN w:val="0"/>
        <w:adjustRightInd w:val="0"/>
        <w:ind w:left="855"/>
        <w:rPr>
          <w:sz w:val="24"/>
          <w:szCs w:val="24"/>
        </w:rPr>
      </w:pPr>
      <w:r w:rsidRPr="004C69FA">
        <w:rPr>
          <w:sz w:val="24"/>
          <w:szCs w:val="24"/>
        </w:rPr>
        <w:t>ATC-kode: C 09 CA 03.</w:t>
      </w:r>
      <w:r>
        <w:rPr>
          <w:sz w:val="24"/>
          <w:szCs w:val="24"/>
        </w:rPr>
        <w:t xml:space="preserve"> </w:t>
      </w:r>
      <w:proofErr w:type="spellStart"/>
      <w:r w:rsidRPr="004C69FA">
        <w:rPr>
          <w:sz w:val="24"/>
          <w:szCs w:val="24"/>
        </w:rPr>
        <w:t>Angiotensin</w:t>
      </w:r>
      <w:proofErr w:type="spellEnd"/>
      <w:r w:rsidRPr="004C69FA">
        <w:rPr>
          <w:sz w:val="24"/>
          <w:szCs w:val="24"/>
        </w:rPr>
        <w:t xml:space="preserve"> II-antagonister, almindelig. </w:t>
      </w:r>
    </w:p>
    <w:p w:rsidR="00E4145D" w:rsidRPr="004C69FA" w:rsidRDefault="00E4145D" w:rsidP="00E4145D">
      <w:pPr>
        <w:autoSpaceDE w:val="0"/>
        <w:autoSpaceDN w:val="0"/>
        <w:adjustRightInd w:val="0"/>
        <w:ind w:left="851"/>
        <w:rPr>
          <w:sz w:val="24"/>
          <w:szCs w:val="24"/>
        </w:rPr>
      </w:pPr>
    </w:p>
    <w:p w:rsidR="00E4145D" w:rsidRPr="004C69FA" w:rsidRDefault="00E4145D" w:rsidP="00E4145D">
      <w:pPr>
        <w:numPr>
          <w:ilvl w:val="1"/>
          <w:numId w:val="2"/>
        </w:numPr>
        <w:tabs>
          <w:tab w:val="num" w:pos="851"/>
        </w:tabs>
        <w:ind w:left="851" w:hanging="851"/>
        <w:rPr>
          <w:b/>
          <w:sz w:val="24"/>
          <w:szCs w:val="24"/>
        </w:rPr>
      </w:pPr>
      <w:proofErr w:type="spellStart"/>
      <w:r w:rsidRPr="004C69FA">
        <w:rPr>
          <w:b/>
          <w:sz w:val="24"/>
          <w:szCs w:val="24"/>
        </w:rPr>
        <w:lastRenderedPageBreak/>
        <w:t>Farmakodynamiske</w:t>
      </w:r>
      <w:proofErr w:type="spellEnd"/>
      <w:r w:rsidRPr="004C69FA">
        <w:rPr>
          <w:b/>
          <w:sz w:val="24"/>
          <w:szCs w:val="24"/>
        </w:rPr>
        <w:t xml:space="preserve"> egenskaber</w:t>
      </w:r>
    </w:p>
    <w:p w:rsidR="003E5ED1" w:rsidRPr="004C69FA" w:rsidRDefault="00E4145D" w:rsidP="003E5ED1">
      <w:pPr>
        <w:autoSpaceDE w:val="0"/>
        <w:autoSpaceDN w:val="0"/>
        <w:adjustRightInd w:val="0"/>
        <w:ind w:left="851" w:hanging="851"/>
        <w:rPr>
          <w:sz w:val="24"/>
          <w:szCs w:val="24"/>
        </w:rPr>
      </w:pPr>
      <w:r w:rsidRPr="004C69FA">
        <w:rPr>
          <w:sz w:val="24"/>
          <w:szCs w:val="24"/>
        </w:rPr>
        <w:tab/>
      </w:r>
      <w:proofErr w:type="spellStart"/>
      <w:r w:rsidR="003E5ED1" w:rsidRPr="004C69FA">
        <w:rPr>
          <w:sz w:val="24"/>
          <w:szCs w:val="24"/>
        </w:rPr>
        <w:t>Valsartan</w:t>
      </w:r>
      <w:proofErr w:type="spellEnd"/>
      <w:r w:rsidR="003E5ED1" w:rsidRPr="004C69FA">
        <w:rPr>
          <w:sz w:val="24"/>
          <w:szCs w:val="24"/>
        </w:rPr>
        <w:t xml:space="preserve"> er en oral, aktiv, potent og specifik </w:t>
      </w:r>
      <w:proofErr w:type="spellStart"/>
      <w:r w:rsidR="003E5ED1" w:rsidRPr="004C69FA">
        <w:rPr>
          <w:sz w:val="24"/>
          <w:szCs w:val="24"/>
        </w:rPr>
        <w:t>angiotensin</w:t>
      </w:r>
      <w:proofErr w:type="spellEnd"/>
      <w:r w:rsidR="003E5ED1" w:rsidRPr="004C69FA">
        <w:rPr>
          <w:sz w:val="24"/>
          <w:szCs w:val="24"/>
        </w:rPr>
        <w:t xml:space="preserve"> II-receptorantagonist. Det virker selektivt på AT</w:t>
      </w:r>
      <w:r w:rsidR="003E5ED1" w:rsidRPr="004C69FA">
        <w:rPr>
          <w:sz w:val="24"/>
          <w:szCs w:val="24"/>
          <w:vertAlign w:val="subscript"/>
        </w:rPr>
        <w:t>1</w:t>
      </w:r>
      <w:r w:rsidR="003E5ED1" w:rsidRPr="004C69FA">
        <w:rPr>
          <w:sz w:val="24"/>
          <w:szCs w:val="24"/>
        </w:rPr>
        <w:t xml:space="preserve">-receptor subtypen, som er ansvarlig for </w:t>
      </w:r>
      <w:proofErr w:type="spellStart"/>
      <w:r w:rsidR="003E5ED1" w:rsidRPr="004C69FA">
        <w:rPr>
          <w:sz w:val="24"/>
          <w:szCs w:val="24"/>
        </w:rPr>
        <w:t>angiotensin</w:t>
      </w:r>
      <w:proofErr w:type="spellEnd"/>
      <w:r w:rsidR="003E5ED1" w:rsidRPr="004C69FA">
        <w:rPr>
          <w:sz w:val="24"/>
          <w:szCs w:val="24"/>
        </w:rPr>
        <w:t xml:space="preserve"> </w:t>
      </w:r>
      <w:proofErr w:type="spellStart"/>
      <w:r w:rsidR="003E5ED1" w:rsidRPr="004C69FA">
        <w:rPr>
          <w:sz w:val="24"/>
          <w:szCs w:val="24"/>
        </w:rPr>
        <w:t>IIs</w:t>
      </w:r>
      <w:proofErr w:type="spellEnd"/>
      <w:r w:rsidR="003E5ED1" w:rsidRPr="004C69FA">
        <w:rPr>
          <w:sz w:val="24"/>
          <w:szCs w:val="24"/>
        </w:rPr>
        <w:t xml:space="preserve"> kendte virkninger. Efter hæmning af AT</w:t>
      </w:r>
      <w:r w:rsidR="003E5ED1" w:rsidRPr="004C69FA">
        <w:rPr>
          <w:sz w:val="24"/>
          <w:szCs w:val="24"/>
          <w:vertAlign w:val="subscript"/>
        </w:rPr>
        <w:t>1</w:t>
      </w:r>
      <w:r w:rsidR="003E5ED1" w:rsidRPr="004C69FA">
        <w:rPr>
          <w:sz w:val="24"/>
          <w:szCs w:val="24"/>
        </w:rPr>
        <w:t xml:space="preserve">-receptoren med </w:t>
      </w:r>
      <w:proofErr w:type="spellStart"/>
      <w:r w:rsidR="003E5ED1" w:rsidRPr="004C69FA">
        <w:rPr>
          <w:sz w:val="24"/>
          <w:szCs w:val="24"/>
        </w:rPr>
        <w:t>valsartan</w:t>
      </w:r>
      <w:proofErr w:type="spellEnd"/>
      <w:r w:rsidR="003E5ED1" w:rsidRPr="004C69FA">
        <w:rPr>
          <w:sz w:val="24"/>
          <w:szCs w:val="24"/>
        </w:rPr>
        <w:t xml:space="preserve"> forhøjes </w:t>
      </w:r>
      <w:proofErr w:type="spellStart"/>
      <w:r w:rsidR="003E5ED1" w:rsidRPr="004C69FA">
        <w:rPr>
          <w:sz w:val="24"/>
          <w:szCs w:val="24"/>
        </w:rPr>
        <w:t>angiotensin</w:t>
      </w:r>
      <w:proofErr w:type="spellEnd"/>
      <w:r w:rsidR="003E5ED1" w:rsidRPr="004C69FA">
        <w:rPr>
          <w:sz w:val="24"/>
          <w:szCs w:val="24"/>
        </w:rPr>
        <w:t xml:space="preserve"> </w:t>
      </w:r>
      <w:proofErr w:type="spellStart"/>
      <w:r w:rsidR="003E5ED1" w:rsidRPr="004C69FA">
        <w:rPr>
          <w:sz w:val="24"/>
          <w:szCs w:val="24"/>
        </w:rPr>
        <w:t>IIs</w:t>
      </w:r>
      <w:proofErr w:type="spellEnd"/>
      <w:r w:rsidR="003E5ED1" w:rsidRPr="004C69FA">
        <w:rPr>
          <w:sz w:val="24"/>
          <w:szCs w:val="24"/>
        </w:rPr>
        <w:t xml:space="preserve"> plasmaniveau. Dette kan stimulere den </w:t>
      </w:r>
      <w:proofErr w:type="spellStart"/>
      <w:r w:rsidR="003E5ED1" w:rsidRPr="004C69FA">
        <w:rPr>
          <w:sz w:val="24"/>
          <w:szCs w:val="24"/>
        </w:rPr>
        <w:t>ublokerede</w:t>
      </w:r>
      <w:proofErr w:type="spellEnd"/>
      <w:r w:rsidR="003E5ED1" w:rsidRPr="004C69FA">
        <w:rPr>
          <w:sz w:val="24"/>
          <w:szCs w:val="24"/>
        </w:rPr>
        <w:t xml:space="preserve"> AT</w:t>
      </w:r>
      <w:r w:rsidR="003E5ED1" w:rsidRPr="004C69FA">
        <w:rPr>
          <w:sz w:val="24"/>
          <w:szCs w:val="24"/>
          <w:vertAlign w:val="subscript"/>
        </w:rPr>
        <w:t>2</w:t>
      </w:r>
      <w:r w:rsidR="003E5ED1" w:rsidRPr="004C69FA">
        <w:rPr>
          <w:sz w:val="24"/>
          <w:szCs w:val="24"/>
        </w:rPr>
        <w:t>-receptor subtype, som tilsyneladende modvirker virkningen af AT</w:t>
      </w:r>
      <w:r w:rsidR="003E5ED1" w:rsidRPr="004C69FA">
        <w:rPr>
          <w:sz w:val="24"/>
          <w:szCs w:val="24"/>
          <w:vertAlign w:val="subscript"/>
        </w:rPr>
        <w:t>1</w:t>
      </w:r>
      <w:r w:rsidR="003E5ED1" w:rsidRPr="004C69FA">
        <w:rPr>
          <w:sz w:val="24"/>
          <w:szCs w:val="24"/>
        </w:rPr>
        <w:t xml:space="preserve">-receptoren. </w:t>
      </w:r>
      <w:proofErr w:type="spellStart"/>
      <w:r w:rsidR="003E5ED1" w:rsidRPr="004C69FA">
        <w:rPr>
          <w:sz w:val="24"/>
          <w:szCs w:val="24"/>
        </w:rPr>
        <w:t>Valsartan</w:t>
      </w:r>
      <w:proofErr w:type="spellEnd"/>
      <w:r w:rsidR="003E5ED1" w:rsidRPr="004C69FA">
        <w:rPr>
          <w:sz w:val="24"/>
          <w:szCs w:val="24"/>
        </w:rPr>
        <w:t xml:space="preserve"> udviser ikke partiel agonistaktivitet på AT</w:t>
      </w:r>
      <w:r w:rsidR="003E5ED1" w:rsidRPr="004C69FA">
        <w:rPr>
          <w:sz w:val="24"/>
          <w:szCs w:val="24"/>
          <w:vertAlign w:val="subscript"/>
        </w:rPr>
        <w:t>1</w:t>
      </w:r>
      <w:r w:rsidR="003E5ED1" w:rsidRPr="004C69FA">
        <w:rPr>
          <w:sz w:val="24"/>
          <w:szCs w:val="24"/>
        </w:rPr>
        <w:t>-receptoren og har en meget højere (ca. 20.000 gange) affinitet for AT</w:t>
      </w:r>
      <w:r w:rsidR="003E5ED1" w:rsidRPr="004C69FA">
        <w:rPr>
          <w:sz w:val="24"/>
          <w:szCs w:val="24"/>
          <w:vertAlign w:val="subscript"/>
        </w:rPr>
        <w:t>1</w:t>
      </w:r>
      <w:r w:rsidR="003E5ED1" w:rsidRPr="004C69FA">
        <w:rPr>
          <w:sz w:val="24"/>
          <w:szCs w:val="24"/>
        </w:rPr>
        <w:t>-receptoren end for AT</w:t>
      </w:r>
      <w:r w:rsidR="003E5ED1" w:rsidRPr="004C69FA">
        <w:rPr>
          <w:sz w:val="24"/>
          <w:szCs w:val="24"/>
          <w:vertAlign w:val="subscript"/>
        </w:rPr>
        <w:t>2</w:t>
      </w:r>
      <w:r w:rsidR="003E5ED1" w:rsidRPr="004C69FA">
        <w:rPr>
          <w:sz w:val="24"/>
          <w:szCs w:val="24"/>
        </w:rPr>
        <w:t xml:space="preserve">-receptoren. </w:t>
      </w:r>
      <w:proofErr w:type="spellStart"/>
      <w:r w:rsidR="003E5ED1" w:rsidRPr="004C69FA">
        <w:rPr>
          <w:sz w:val="24"/>
          <w:szCs w:val="24"/>
        </w:rPr>
        <w:t>Valsartan</w:t>
      </w:r>
      <w:proofErr w:type="spellEnd"/>
      <w:r w:rsidR="003E5ED1" w:rsidRPr="004C69FA">
        <w:rPr>
          <w:sz w:val="24"/>
          <w:szCs w:val="24"/>
        </w:rPr>
        <w:t xml:space="preserve"> er ikke kendt for at binde sig til eller blokere andre hormonreceptorer eller ion-kanaler, der vides at være vigtige for den </w:t>
      </w:r>
      <w:proofErr w:type="spellStart"/>
      <w:r w:rsidR="003E5ED1" w:rsidRPr="004C69FA">
        <w:rPr>
          <w:sz w:val="24"/>
          <w:szCs w:val="24"/>
        </w:rPr>
        <w:t>kardiovaskulære</w:t>
      </w:r>
      <w:proofErr w:type="spellEnd"/>
      <w:r w:rsidR="003E5ED1" w:rsidRPr="004C69FA">
        <w:rPr>
          <w:sz w:val="24"/>
          <w:szCs w:val="24"/>
        </w:rPr>
        <w:t xml:space="preserve"> regulering.</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hæmmer ikke ACE (også kendt som kininase II), som omdanner </w:t>
      </w:r>
      <w:proofErr w:type="spellStart"/>
      <w:r w:rsidRPr="004C69FA">
        <w:rPr>
          <w:sz w:val="24"/>
          <w:szCs w:val="24"/>
        </w:rPr>
        <w:t>angiotensin</w:t>
      </w:r>
      <w:proofErr w:type="spellEnd"/>
      <w:r w:rsidRPr="004C69FA">
        <w:rPr>
          <w:sz w:val="24"/>
          <w:szCs w:val="24"/>
        </w:rPr>
        <w:t xml:space="preserve"> I til </w:t>
      </w:r>
      <w:proofErr w:type="spellStart"/>
      <w:r w:rsidRPr="004C69FA">
        <w:rPr>
          <w:sz w:val="24"/>
          <w:szCs w:val="24"/>
        </w:rPr>
        <w:t>angiotensin</w:t>
      </w:r>
      <w:proofErr w:type="spellEnd"/>
      <w:r w:rsidRPr="004C69FA">
        <w:rPr>
          <w:sz w:val="24"/>
          <w:szCs w:val="24"/>
        </w:rPr>
        <w:t xml:space="preserve"> II og nedbryder bradykinin. Da der ikke er nogen virkning på ACE og ingen potensering af bradykinin eller substans P, er det usandsynligt, at </w:t>
      </w:r>
      <w:proofErr w:type="spellStart"/>
      <w:r w:rsidRPr="004C69FA">
        <w:rPr>
          <w:sz w:val="24"/>
          <w:szCs w:val="24"/>
        </w:rPr>
        <w:t>angiotensin</w:t>
      </w:r>
      <w:proofErr w:type="spellEnd"/>
      <w:r w:rsidRPr="004C69FA">
        <w:rPr>
          <w:sz w:val="24"/>
          <w:szCs w:val="24"/>
        </w:rPr>
        <w:t xml:space="preserve"> II-antagonister vil være forbundet med hoste. I kliniske studier, hvor </w:t>
      </w:r>
      <w:proofErr w:type="spellStart"/>
      <w:r w:rsidRPr="004C69FA">
        <w:rPr>
          <w:sz w:val="24"/>
          <w:szCs w:val="24"/>
        </w:rPr>
        <w:t>valsartan</w:t>
      </w:r>
      <w:proofErr w:type="spellEnd"/>
      <w:r w:rsidRPr="004C69FA">
        <w:rPr>
          <w:sz w:val="24"/>
          <w:szCs w:val="24"/>
        </w:rPr>
        <w:t xml:space="preserve"> blev sammenlignet med en ACE-hæmmer, var </w:t>
      </w:r>
      <w:proofErr w:type="spellStart"/>
      <w:r w:rsidRPr="004C69FA">
        <w:rPr>
          <w:sz w:val="24"/>
          <w:szCs w:val="24"/>
        </w:rPr>
        <w:t>incidensen</w:t>
      </w:r>
      <w:proofErr w:type="spellEnd"/>
      <w:r w:rsidRPr="004C69FA">
        <w:rPr>
          <w:sz w:val="24"/>
          <w:szCs w:val="24"/>
        </w:rPr>
        <w:t xml:space="preserve"> af tør hoste signifikant (P &lt; 0,05) mindre hos patienter i </w:t>
      </w:r>
      <w:proofErr w:type="spellStart"/>
      <w:r w:rsidRPr="004C69FA">
        <w:rPr>
          <w:sz w:val="24"/>
          <w:szCs w:val="24"/>
        </w:rPr>
        <w:t>valsartanbehandling</w:t>
      </w:r>
      <w:proofErr w:type="spellEnd"/>
      <w:r w:rsidRPr="004C69FA">
        <w:rPr>
          <w:sz w:val="24"/>
          <w:szCs w:val="24"/>
        </w:rPr>
        <w:t xml:space="preserve"> end hos patienter i behandling med en ACE-hæmmer (henholdsvis 2,6 % versus 7,9 %). I et klinisk studie med patienter, som tidligere havde haft tør hoste under behandling med en ACE-hæmmer, konstateredes tør hoste hos 19,5 % af patienterne i </w:t>
      </w:r>
      <w:proofErr w:type="spellStart"/>
      <w:r w:rsidRPr="004C69FA">
        <w:rPr>
          <w:sz w:val="24"/>
          <w:szCs w:val="24"/>
        </w:rPr>
        <w:t>valsartanbehandling</w:t>
      </w:r>
      <w:proofErr w:type="spellEnd"/>
      <w:r w:rsidRPr="004C69FA">
        <w:rPr>
          <w:sz w:val="24"/>
          <w:szCs w:val="24"/>
        </w:rPr>
        <w:t xml:space="preserve">, 19,0 % i </w:t>
      </w:r>
      <w:proofErr w:type="spellStart"/>
      <w:r w:rsidRPr="004C69FA">
        <w:rPr>
          <w:sz w:val="24"/>
          <w:szCs w:val="24"/>
        </w:rPr>
        <w:t>thiazidbehandling</w:t>
      </w:r>
      <w:proofErr w:type="spellEnd"/>
      <w:r w:rsidRPr="004C69FA">
        <w:rPr>
          <w:sz w:val="24"/>
          <w:szCs w:val="24"/>
        </w:rPr>
        <w:t>, sammenholdt med 68,5 % i behandling med en ACE-hæmmer (P &lt; 0,05).</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ind w:left="851"/>
        <w:rPr>
          <w:i/>
          <w:sz w:val="24"/>
          <w:szCs w:val="24"/>
        </w:rPr>
      </w:pPr>
      <w:r w:rsidRPr="004C69FA">
        <w:rPr>
          <w:i/>
          <w:sz w:val="24"/>
          <w:szCs w:val="24"/>
        </w:rPr>
        <w:t>80 mg og 160 mg</w:t>
      </w:r>
    </w:p>
    <w:p w:rsidR="003E5ED1" w:rsidRPr="004C69FA" w:rsidRDefault="003E5ED1" w:rsidP="003E5ED1">
      <w:pPr>
        <w:autoSpaceDE w:val="0"/>
        <w:autoSpaceDN w:val="0"/>
        <w:adjustRightInd w:val="0"/>
        <w:ind w:left="851"/>
        <w:rPr>
          <w:sz w:val="24"/>
          <w:szCs w:val="24"/>
          <w:u w:val="single"/>
        </w:rPr>
      </w:pPr>
      <w:r w:rsidRPr="004C69FA">
        <w:rPr>
          <w:sz w:val="24"/>
          <w:szCs w:val="24"/>
          <w:u w:val="single"/>
        </w:rPr>
        <w:t>Hypertension</w:t>
      </w:r>
    </w:p>
    <w:p w:rsidR="003E5ED1" w:rsidRPr="004C69FA" w:rsidRDefault="003E5ED1" w:rsidP="003E5ED1">
      <w:pPr>
        <w:autoSpaceDE w:val="0"/>
        <w:autoSpaceDN w:val="0"/>
        <w:adjustRightInd w:val="0"/>
        <w:ind w:left="851"/>
        <w:rPr>
          <w:sz w:val="24"/>
          <w:szCs w:val="24"/>
        </w:rPr>
      </w:pPr>
      <w:r w:rsidRPr="004C69FA">
        <w:rPr>
          <w:sz w:val="24"/>
          <w:szCs w:val="24"/>
        </w:rPr>
        <w:t xml:space="preserve">Når </w:t>
      </w:r>
      <w:proofErr w:type="spellStart"/>
      <w:r w:rsidRPr="004C69FA">
        <w:rPr>
          <w:sz w:val="24"/>
          <w:szCs w:val="24"/>
        </w:rPr>
        <w:t>valsartan</w:t>
      </w:r>
      <w:proofErr w:type="spellEnd"/>
      <w:r w:rsidRPr="004C69FA">
        <w:rPr>
          <w:sz w:val="24"/>
          <w:szCs w:val="24"/>
        </w:rPr>
        <w:t xml:space="preserve"> administreres til </w:t>
      </w:r>
      <w:proofErr w:type="spellStart"/>
      <w:r w:rsidRPr="004C69FA">
        <w:rPr>
          <w:sz w:val="24"/>
          <w:szCs w:val="24"/>
        </w:rPr>
        <w:t>hypertensive</w:t>
      </w:r>
      <w:proofErr w:type="spellEnd"/>
      <w:r w:rsidRPr="004C69FA">
        <w:rPr>
          <w:sz w:val="24"/>
          <w:szCs w:val="24"/>
        </w:rPr>
        <w:t xml:space="preserve"> patienter, sker der en reduktion af blodtrykket uden påvirkning af pulsen.</w:t>
      </w:r>
    </w:p>
    <w:p w:rsidR="003E5ED1" w:rsidRPr="004C69FA" w:rsidRDefault="003E5ED1" w:rsidP="003E5ED1">
      <w:pPr>
        <w:autoSpaceDE w:val="0"/>
        <w:autoSpaceDN w:val="0"/>
        <w:adjustRightInd w:val="0"/>
        <w:ind w:left="851"/>
        <w:rPr>
          <w:sz w:val="24"/>
          <w:szCs w:val="24"/>
        </w:rPr>
      </w:pPr>
      <w:r w:rsidRPr="004C69FA">
        <w:rPr>
          <w:sz w:val="24"/>
          <w:szCs w:val="24"/>
        </w:rPr>
        <w:t xml:space="preserve">Efter oral indtagelse af en enkelt dosis sætter den </w:t>
      </w:r>
      <w:proofErr w:type="spellStart"/>
      <w:r w:rsidRPr="004C69FA">
        <w:rPr>
          <w:sz w:val="24"/>
          <w:szCs w:val="24"/>
        </w:rPr>
        <w:t>antihypertensive</w:t>
      </w:r>
      <w:proofErr w:type="spellEnd"/>
      <w:r w:rsidRPr="004C69FA">
        <w:rPr>
          <w:sz w:val="24"/>
          <w:szCs w:val="24"/>
        </w:rPr>
        <w:t xml:space="preserve"> virkning ind hos de fleste patienter i løbet af 2 timer, og den maksimale reduktion af blodtrykket opnås i løbet af 4-6 timer. Den </w:t>
      </w:r>
      <w:proofErr w:type="spellStart"/>
      <w:r w:rsidRPr="004C69FA">
        <w:rPr>
          <w:sz w:val="24"/>
          <w:szCs w:val="24"/>
        </w:rPr>
        <w:t>antihypertensive</w:t>
      </w:r>
      <w:proofErr w:type="spellEnd"/>
      <w:r w:rsidRPr="004C69FA">
        <w:rPr>
          <w:sz w:val="24"/>
          <w:szCs w:val="24"/>
        </w:rPr>
        <w:t xml:space="preserve"> virkning varer i 24 timer efter dosis. Ved gentagen dosering opnås den </w:t>
      </w:r>
      <w:proofErr w:type="spellStart"/>
      <w:r w:rsidRPr="004C69FA">
        <w:rPr>
          <w:sz w:val="24"/>
          <w:szCs w:val="24"/>
        </w:rPr>
        <w:t>antihypertensive</w:t>
      </w:r>
      <w:proofErr w:type="spellEnd"/>
      <w:r w:rsidRPr="004C69FA">
        <w:rPr>
          <w:sz w:val="24"/>
          <w:szCs w:val="24"/>
        </w:rPr>
        <w:t xml:space="preserve"> virkning i væsentlig grad inden for 2 uger, og maksimale virkninger opnås inden for 4 uger og opretholdes under vedvarende behandling. Ved kombination med </w:t>
      </w:r>
      <w:proofErr w:type="spellStart"/>
      <w:r w:rsidRPr="004C69FA">
        <w:rPr>
          <w:sz w:val="24"/>
          <w:szCs w:val="24"/>
        </w:rPr>
        <w:t>hydrochlorthiazid</w:t>
      </w:r>
      <w:proofErr w:type="spellEnd"/>
      <w:r w:rsidRPr="004C69FA">
        <w:rPr>
          <w:sz w:val="24"/>
          <w:szCs w:val="24"/>
        </w:rPr>
        <w:t xml:space="preserve"> opnås yderligere signifikant additiv blodtrykssænkning. Pludselig </w:t>
      </w:r>
      <w:proofErr w:type="spellStart"/>
      <w:r w:rsidRPr="004C69FA">
        <w:rPr>
          <w:sz w:val="24"/>
          <w:szCs w:val="24"/>
        </w:rPr>
        <w:t>seponering</w:t>
      </w:r>
      <w:proofErr w:type="spellEnd"/>
      <w:r w:rsidRPr="004C69FA">
        <w:rPr>
          <w:sz w:val="24"/>
          <w:szCs w:val="24"/>
        </w:rPr>
        <w:t xml:space="preserve"> af </w:t>
      </w:r>
      <w:proofErr w:type="spellStart"/>
      <w:r w:rsidRPr="004C69FA">
        <w:rPr>
          <w:sz w:val="24"/>
          <w:szCs w:val="24"/>
        </w:rPr>
        <w:t>valsartan</w:t>
      </w:r>
      <w:proofErr w:type="spellEnd"/>
      <w:r w:rsidRPr="004C69FA">
        <w:rPr>
          <w:sz w:val="24"/>
          <w:szCs w:val="24"/>
        </w:rPr>
        <w:t xml:space="preserve"> har ikke resulteret i </w:t>
      </w:r>
      <w:proofErr w:type="spellStart"/>
      <w:r w:rsidRPr="004C69FA">
        <w:rPr>
          <w:sz w:val="24"/>
          <w:szCs w:val="24"/>
        </w:rPr>
        <w:t>rebound</w:t>
      </w:r>
      <w:proofErr w:type="spellEnd"/>
      <w:r w:rsidRPr="004C69FA">
        <w:rPr>
          <w:sz w:val="24"/>
          <w:szCs w:val="24"/>
        </w:rPr>
        <w:t>-hypertension eller andre kliniske uønskede hændelser.</w:t>
      </w:r>
    </w:p>
    <w:p w:rsidR="003E5ED1" w:rsidRPr="004C69FA" w:rsidRDefault="003E5ED1" w:rsidP="003E5ED1">
      <w:pPr>
        <w:autoSpaceDE w:val="0"/>
        <w:autoSpaceDN w:val="0"/>
        <w:adjustRightInd w:val="0"/>
        <w:ind w:left="851"/>
        <w:rPr>
          <w:sz w:val="24"/>
          <w:szCs w:val="24"/>
        </w:rPr>
      </w:pPr>
    </w:p>
    <w:p w:rsidR="003E5ED1" w:rsidRPr="004C69FA" w:rsidRDefault="003E5ED1" w:rsidP="003E5ED1">
      <w:pPr>
        <w:tabs>
          <w:tab w:val="left" w:pos="8190"/>
        </w:tabs>
        <w:autoSpaceDE w:val="0"/>
        <w:autoSpaceDN w:val="0"/>
        <w:adjustRightInd w:val="0"/>
        <w:ind w:left="851"/>
        <w:rPr>
          <w:sz w:val="24"/>
          <w:szCs w:val="24"/>
        </w:rPr>
      </w:pPr>
      <w:r w:rsidRPr="004C69FA">
        <w:rPr>
          <w:sz w:val="24"/>
          <w:szCs w:val="24"/>
        </w:rPr>
        <w:t xml:space="preserve">Hos </w:t>
      </w:r>
      <w:proofErr w:type="spellStart"/>
      <w:r w:rsidRPr="004C69FA">
        <w:rPr>
          <w:sz w:val="24"/>
          <w:szCs w:val="24"/>
        </w:rPr>
        <w:t>hypertensive</w:t>
      </w:r>
      <w:proofErr w:type="spellEnd"/>
      <w:r w:rsidRPr="004C69FA">
        <w:rPr>
          <w:sz w:val="24"/>
          <w:szCs w:val="24"/>
        </w:rPr>
        <w:t xml:space="preserve"> patienter med type 2 diabetes og </w:t>
      </w:r>
      <w:proofErr w:type="spellStart"/>
      <w:r w:rsidRPr="004C69FA">
        <w:rPr>
          <w:sz w:val="24"/>
          <w:szCs w:val="24"/>
        </w:rPr>
        <w:t>mikroalbuminuri</w:t>
      </w:r>
      <w:proofErr w:type="spellEnd"/>
      <w:r w:rsidRPr="004C69FA">
        <w:rPr>
          <w:sz w:val="24"/>
          <w:szCs w:val="24"/>
        </w:rPr>
        <w:t xml:space="preserve"> har </w:t>
      </w:r>
      <w:proofErr w:type="spellStart"/>
      <w:r w:rsidRPr="004C69FA">
        <w:rPr>
          <w:sz w:val="24"/>
          <w:szCs w:val="24"/>
        </w:rPr>
        <w:t>valsartan</w:t>
      </w:r>
      <w:proofErr w:type="spellEnd"/>
      <w:r w:rsidRPr="004C69FA">
        <w:rPr>
          <w:sz w:val="24"/>
          <w:szCs w:val="24"/>
        </w:rPr>
        <w:t xml:space="preserve"> vist sig at reducere udskillelse af albumin via urinen. MARVAL (Micro </w:t>
      </w:r>
      <w:proofErr w:type="spellStart"/>
      <w:r w:rsidRPr="004C69FA">
        <w:rPr>
          <w:sz w:val="24"/>
          <w:szCs w:val="24"/>
        </w:rPr>
        <w:t>Albuminuria</w:t>
      </w:r>
      <w:proofErr w:type="spellEnd"/>
      <w:r w:rsidRPr="004C69FA">
        <w:rPr>
          <w:sz w:val="24"/>
          <w:szCs w:val="24"/>
        </w:rPr>
        <w:t xml:space="preserve"> </w:t>
      </w:r>
      <w:proofErr w:type="spellStart"/>
      <w:r w:rsidRPr="004C69FA">
        <w:rPr>
          <w:sz w:val="24"/>
          <w:szCs w:val="24"/>
        </w:rPr>
        <w:t>Reduction</w:t>
      </w:r>
      <w:proofErr w:type="spellEnd"/>
      <w:r w:rsidRPr="004C69FA">
        <w:rPr>
          <w:sz w:val="24"/>
          <w:szCs w:val="24"/>
        </w:rPr>
        <w:t xml:space="preserve"> with </w:t>
      </w:r>
      <w:proofErr w:type="spellStart"/>
      <w:proofErr w:type="gramStart"/>
      <w:r w:rsidRPr="004C69FA">
        <w:rPr>
          <w:sz w:val="24"/>
          <w:szCs w:val="24"/>
        </w:rPr>
        <w:t>Valsartan</w:t>
      </w:r>
      <w:proofErr w:type="spellEnd"/>
      <w:r w:rsidRPr="004C69FA">
        <w:rPr>
          <w:sz w:val="24"/>
          <w:szCs w:val="24"/>
        </w:rPr>
        <w:t>)-</w:t>
      </w:r>
      <w:proofErr w:type="gramEnd"/>
      <w:r w:rsidRPr="004C69FA">
        <w:rPr>
          <w:sz w:val="24"/>
          <w:szCs w:val="24"/>
        </w:rPr>
        <w:t xml:space="preserve">studiet vurderede reduktionen i udskillelse af albumin via urinen (UAE) med </w:t>
      </w:r>
      <w:proofErr w:type="spellStart"/>
      <w:r w:rsidRPr="004C69FA">
        <w:rPr>
          <w:sz w:val="24"/>
          <w:szCs w:val="24"/>
        </w:rPr>
        <w:t>valsartan</w:t>
      </w:r>
      <w:proofErr w:type="spellEnd"/>
      <w:r w:rsidRPr="004C69FA">
        <w:rPr>
          <w:sz w:val="24"/>
          <w:szCs w:val="24"/>
        </w:rPr>
        <w:t xml:space="preserve"> (80-160 mg/od) versus </w:t>
      </w:r>
      <w:proofErr w:type="spellStart"/>
      <w:r w:rsidRPr="004C69FA">
        <w:rPr>
          <w:sz w:val="24"/>
          <w:szCs w:val="24"/>
        </w:rPr>
        <w:t>amlodipin</w:t>
      </w:r>
      <w:proofErr w:type="spellEnd"/>
      <w:r w:rsidRPr="004C69FA">
        <w:rPr>
          <w:sz w:val="24"/>
          <w:szCs w:val="24"/>
        </w:rPr>
        <w:t xml:space="preserve"> (5-10 mg/od), hos 332 type 2 diabetespatienter (gennemsnitsalder: 58 år; 265 mænd) med </w:t>
      </w:r>
      <w:proofErr w:type="spellStart"/>
      <w:r w:rsidRPr="004C69FA">
        <w:rPr>
          <w:sz w:val="24"/>
          <w:szCs w:val="24"/>
        </w:rPr>
        <w:t>mikroalbuminuri</w:t>
      </w:r>
      <w:proofErr w:type="spellEnd"/>
      <w:r w:rsidRPr="004C69FA">
        <w:rPr>
          <w:sz w:val="24"/>
          <w:szCs w:val="24"/>
        </w:rPr>
        <w:t xml:space="preserve"> (</w:t>
      </w:r>
      <w:proofErr w:type="spellStart"/>
      <w:r w:rsidRPr="004C69FA">
        <w:rPr>
          <w:sz w:val="24"/>
          <w:szCs w:val="24"/>
        </w:rPr>
        <w:t>valsartan</w:t>
      </w:r>
      <w:proofErr w:type="spellEnd"/>
      <w:r w:rsidRPr="004C69FA">
        <w:rPr>
          <w:sz w:val="24"/>
          <w:szCs w:val="24"/>
        </w:rPr>
        <w:t xml:space="preserve">: 58 µg/min; </w:t>
      </w:r>
      <w:proofErr w:type="spellStart"/>
      <w:r w:rsidRPr="004C69FA">
        <w:rPr>
          <w:sz w:val="24"/>
          <w:szCs w:val="24"/>
        </w:rPr>
        <w:t>amlodipin</w:t>
      </w:r>
      <w:proofErr w:type="spellEnd"/>
      <w:r w:rsidRPr="004C69FA">
        <w:rPr>
          <w:sz w:val="24"/>
          <w:szCs w:val="24"/>
        </w:rPr>
        <w:t>: 55,4 µg/min) og normalt eller højt blodtryk og med bevaret nyrefunktion (</w:t>
      </w:r>
      <w:proofErr w:type="spellStart"/>
      <w:r w:rsidRPr="004C69FA">
        <w:rPr>
          <w:sz w:val="24"/>
          <w:szCs w:val="24"/>
        </w:rPr>
        <w:t>blodkreatinin</w:t>
      </w:r>
      <w:proofErr w:type="spellEnd"/>
      <w:r w:rsidRPr="004C69FA">
        <w:rPr>
          <w:sz w:val="24"/>
          <w:szCs w:val="24"/>
        </w:rPr>
        <w:t xml:space="preserve"> &lt;120 µmol/l). Efter 24 uger var UAE reduceret (p&lt;0,001) med 42 % (–24,2 µg/min; 95 % konfidensinterval: –40,4 til –19,1) med </w:t>
      </w:r>
      <w:proofErr w:type="spellStart"/>
      <w:r w:rsidRPr="004C69FA">
        <w:rPr>
          <w:sz w:val="24"/>
          <w:szCs w:val="24"/>
        </w:rPr>
        <w:t>valsartan</w:t>
      </w:r>
      <w:proofErr w:type="spellEnd"/>
      <w:r w:rsidRPr="004C69FA">
        <w:rPr>
          <w:sz w:val="24"/>
          <w:szCs w:val="24"/>
        </w:rPr>
        <w:t xml:space="preserve"> og cirka 3 % (–1,7 µg/min; 95 % konfidensinterval: –5,6 til 14,9) med </w:t>
      </w:r>
      <w:proofErr w:type="spellStart"/>
      <w:r w:rsidRPr="004C69FA">
        <w:rPr>
          <w:sz w:val="24"/>
          <w:szCs w:val="24"/>
        </w:rPr>
        <w:t>amlodipin</w:t>
      </w:r>
      <w:proofErr w:type="spellEnd"/>
      <w:r w:rsidRPr="004C69FA">
        <w:rPr>
          <w:sz w:val="24"/>
          <w:szCs w:val="24"/>
        </w:rPr>
        <w:t xml:space="preserve"> trods ensartet reduktion af blodtryksværdierne i begge grupper.</w:t>
      </w:r>
    </w:p>
    <w:p w:rsidR="003E5ED1" w:rsidRPr="004C69FA" w:rsidRDefault="003E5ED1" w:rsidP="003E5ED1">
      <w:pPr>
        <w:tabs>
          <w:tab w:val="left" w:pos="8190"/>
        </w:tabs>
        <w:autoSpaceDE w:val="0"/>
        <w:autoSpaceDN w:val="0"/>
        <w:adjustRightInd w:val="0"/>
        <w:ind w:left="851"/>
        <w:rPr>
          <w:sz w:val="24"/>
          <w:szCs w:val="24"/>
        </w:rPr>
      </w:pPr>
      <w:r w:rsidRPr="004C69FA">
        <w:rPr>
          <w:sz w:val="24"/>
          <w:szCs w:val="24"/>
        </w:rPr>
        <w:tab/>
      </w:r>
    </w:p>
    <w:p w:rsidR="003E5ED1" w:rsidRDefault="003E5ED1" w:rsidP="003E5ED1">
      <w:pPr>
        <w:autoSpaceDE w:val="0"/>
        <w:autoSpaceDN w:val="0"/>
        <w:adjustRightInd w:val="0"/>
        <w:ind w:left="851"/>
        <w:rPr>
          <w:i/>
          <w:sz w:val="24"/>
          <w:szCs w:val="24"/>
        </w:rPr>
      </w:pPr>
      <w:r w:rsidRPr="004C69FA">
        <w:rPr>
          <w:sz w:val="24"/>
          <w:szCs w:val="24"/>
        </w:rPr>
        <w:t xml:space="preserve">DROP (The </w:t>
      </w:r>
      <w:proofErr w:type="spellStart"/>
      <w:r w:rsidRPr="004C69FA">
        <w:rPr>
          <w:sz w:val="24"/>
          <w:szCs w:val="24"/>
        </w:rPr>
        <w:t>Diovan</w:t>
      </w:r>
      <w:proofErr w:type="spellEnd"/>
      <w:r w:rsidRPr="004C69FA">
        <w:rPr>
          <w:sz w:val="24"/>
          <w:szCs w:val="24"/>
        </w:rPr>
        <w:t xml:space="preserve"> </w:t>
      </w:r>
      <w:proofErr w:type="spellStart"/>
      <w:r w:rsidRPr="004C69FA">
        <w:rPr>
          <w:sz w:val="24"/>
          <w:szCs w:val="24"/>
        </w:rPr>
        <w:t>Reduction</w:t>
      </w:r>
      <w:proofErr w:type="spellEnd"/>
      <w:r w:rsidRPr="004C69FA">
        <w:rPr>
          <w:sz w:val="24"/>
          <w:szCs w:val="24"/>
        </w:rPr>
        <w:t xml:space="preserve"> of </w:t>
      </w:r>
      <w:proofErr w:type="spellStart"/>
      <w:proofErr w:type="gramStart"/>
      <w:r w:rsidRPr="004C69FA">
        <w:rPr>
          <w:sz w:val="24"/>
          <w:szCs w:val="24"/>
        </w:rPr>
        <w:t>Proteinuria</w:t>
      </w:r>
      <w:proofErr w:type="spellEnd"/>
      <w:r w:rsidRPr="004C69FA">
        <w:rPr>
          <w:sz w:val="24"/>
          <w:szCs w:val="24"/>
        </w:rPr>
        <w:t>)-</w:t>
      </w:r>
      <w:proofErr w:type="gramEnd"/>
      <w:r w:rsidRPr="004C69FA">
        <w:rPr>
          <w:sz w:val="24"/>
          <w:szCs w:val="24"/>
        </w:rPr>
        <w:t xml:space="preserve">studiet undersøgte yderligere virkningen af </w:t>
      </w:r>
      <w:proofErr w:type="spellStart"/>
      <w:r w:rsidRPr="004C69FA">
        <w:rPr>
          <w:sz w:val="24"/>
          <w:szCs w:val="24"/>
        </w:rPr>
        <w:t>valsartan</w:t>
      </w:r>
      <w:proofErr w:type="spellEnd"/>
      <w:r w:rsidRPr="004C69FA">
        <w:rPr>
          <w:sz w:val="24"/>
          <w:szCs w:val="24"/>
        </w:rPr>
        <w:t xml:space="preserve"> mht. reduktion af UAE hos 391 </w:t>
      </w:r>
      <w:proofErr w:type="spellStart"/>
      <w:r w:rsidRPr="004C69FA">
        <w:rPr>
          <w:sz w:val="24"/>
          <w:szCs w:val="24"/>
        </w:rPr>
        <w:t>hypertensive</w:t>
      </w:r>
      <w:proofErr w:type="spellEnd"/>
      <w:r w:rsidRPr="004C69FA">
        <w:rPr>
          <w:sz w:val="24"/>
          <w:szCs w:val="24"/>
        </w:rPr>
        <w:t xml:space="preserve"> patienter (BT=150/88 </w:t>
      </w:r>
      <w:proofErr w:type="spellStart"/>
      <w:r w:rsidRPr="004C69FA">
        <w:rPr>
          <w:sz w:val="24"/>
          <w:szCs w:val="24"/>
        </w:rPr>
        <w:t>mmHg</w:t>
      </w:r>
      <w:proofErr w:type="spellEnd"/>
      <w:r w:rsidRPr="004C69FA">
        <w:rPr>
          <w:sz w:val="24"/>
          <w:szCs w:val="24"/>
        </w:rPr>
        <w:t xml:space="preserve">) med type2 diabetes, </w:t>
      </w:r>
      <w:proofErr w:type="spellStart"/>
      <w:r w:rsidRPr="004C69FA">
        <w:rPr>
          <w:sz w:val="24"/>
          <w:szCs w:val="24"/>
        </w:rPr>
        <w:t>albuminuri</w:t>
      </w:r>
      <w:proofErr w:type="spellEnd"/>
      <w:r w:rsidRPr="004C69FA">
        <w:rPr>
          <w:sz w:val="24"/>
          <w:szCs w:val="24"/>
        </w:rPr>
        <w:t xml:space="preserve"> (gennemsnit=102 µg/min; 20-700 µg/min) og bevaret nyrefunktion (gennemsnitlig </w:t>
      </w:r>
      <w:proofErr w:type="spellStart"/>
      <w:r w:rsidRPr="004C69FA">
        <w:rPr>
          <w:sz w:val="24"/>
          <w:szCs w:val="24"/>
        </w:rPr>
        <w:t>serumkreatinin</w:t>
      </w:r>
      <w:proofErr w:type="spellEnd"/>
      <w:r w:rsidRPr="004C69FA">
        <w:rPr>
          <w:sz w:val="24"/>
          <w:szCs w:val="24"/>
        </w:rPr>
        <w:t xml:space="preserve"> = 80 µmol/l). Patienterne blev randomiseret til en af 3 </w:t>
      </w:r>
      <w:proofErr w:type="spellStart"/>
      <w:r w:rsidRPr="004C69FA">
        <w:rPr>
          <w:sz w:val="24"/>
          <w:szCs w:val="24"/>
        </w:rPr>
        <w:t>valsartandoser</w:t>
      </w:r>
      <w:proofErr w:type="spellEnd"/>
      <w:r w:rsidRPr="004C69FA">
        <w:rPr>
          <w:sz w:val="24"/>
          <w:szCs w:val="24"/>
        </w:rPr>
        <w:t xml:space="preserve"> (160, 320 og 640 mg/od) og behandledes i 30 uger. Formålet med </w:t>
      </w:r>
      <w:r w:rsidRPr="004C69FA">
        <w:rPr>
          <w:sz w:val="24"/>
          <w:szCs w:val="24"/>
        </w:rPr>
        <w:lastRenderedPageBreak/>
        <w:t xml:space="preserve">undersøgelsen var at bestemme den optimale </w:t>
      </w:r>
      <w:proofErr w:type="spellStart"/>
      <w:r w:rsidRPr="004C69FA">
        <w:rPr>
          <w:sz w:val="24"/>
          <w:szCs w:val="24"/>
        </w:rPr>
        <w:t>valsartandosis</w:t>
      </w:r>
      <w:proofErr w:type="spellEnd"/>
      <w:r w:rsidRPr="004C69FA">
        <w:rPr>
          <w:sz w:val="24"/>
          <w:szCs w:val="24"/>
        </w:rPr>
        <w:t xml:space="preserve"> til reduktion af UAE hos </w:t>
      </w:r>
      <w:proofErr w:type="spellStart"/>
      <w:r w:rsidRPr="004C69FA">
        <w:rPr>
          <w:sz w:val="24"/>
          <w:szCs w:val="24"/>
        </w:rPr>
        <w:t>hypertensive</w:t>
      </w:r>
      <w:proofErr w:type="spellEnd"/>
      <w:r w:rsidRPr="004C69FA">
        <w:rPr>
          <w:sz w:val="24"/>
          <w:szCs w:val="24"/>
        </w:rPr>
        <w:t xml:space="preserve"> patienter med type 2 diabetes. Efter 30 uger var den procentmæssige ændring af UAE signifikant reduceret med 36 % i forhold til baseline med </w:t>
      </w:r>
      <w:proofErr w:type="spellStart"/>
      <w:r w:rsidRPr="004C69FA">
        <w:rPr>
          <w:sz w:val="24"/>
          <w:szCs w:val="24"/>
        </w:rPr>
        <w:t>valsartan</w:t>
      </w:r>
      <w:proofErr w:type="spellEnd"/>
      <w:r w:rsidRPr="004C69FA">
        <w:rPr>
          <w:sz w:val="24"/>
          <w:szCs w:val="24"/>
        </w:rPr>
        <w:t xml:space="preserve"> 160 mg (95 % konfidensinterval: 22 til 47 %) og med 44 % med </w:t>
      </w:r>
      <w:proofErr w:type="spellStart"/>
      <w:r w:rsidRPr="004C69FA">
        <w:rPr>
          <w:sz w:val="24"/>
          <w:szCs w:val="24"/>
        </w:rPr>
        <w:t>valsartan</w:t>
      </w:r>
      <w:proofErr w:type="spellEnd"/>
      <w:r w:rsidRPr="004C69FA">
        <w:rPr>
          <w:sz w:val="24"/>
          <w:szCs w:val="24"/>
        </w:rPr>
        <w:t xml:space="preserve"> 320 mg (95 % konfidensinterval: 31 til 54 %). Heraf udledtes, at 160-320 mg </w:t>
      </w:r>
      <w:proofErr w:type="spellStart"/>
      <w:r w:rsidRPr="004C69FA">
        <w:rPr>
          <w:sz w:val="24"/>
          <w:szCs w:val="24"/>
        </w:rPr>
        <w:t>valsartan</w:t>
      </w:r>
      <w:proofErr w:type="spellEnd"/>
      <w:r w:rsidRPr="004C69FA">
        <w:rPr>
          <w:sz w:val="24"/>
          <w:szCs w:val="24"/>
        </w:rPr>
        <w:t xml:space="preserve"> gav klinisk relevante reduktioner af UAE hos </w:t>
      </w:r>
      <w:proofErr w:type="spellStart"/>
      <w:r w:rsidRPr="004C69FA">
        <w:rPr>
          <w:sz w:val="24"/>
          <w:szCs w:val="24"/>
        </w:rPr>
        <w:t>hypertensive</w:t>
      </w:r>
      <w:proofErr w:type="spellEnd"/>
      <w:r w:rsidRPr="004C69FA">
        <w:rPr>
          <w:sz w:val="24"/>
          <w:szCs w:val="24"/>
        </w:rPr>
        <w:t xml:space="preserve"> patienter med type 2 diabetes</w:t>
      </w:r>
      <w:r>
        <w:rPr>
          <w:sz w:val="24"/>
          <w:szCs w:val="24"/>
        </w:rPr>
        <w:t>.</w:t>
      </w:r>
      <w:r w:rsidRPr="004C69FA">
        <w:rPr>
          <w:i/>
          <w:sz w:val="24"/>
          <w:szCs w:val="24"/>
        </w:rPr>
        <w:tab/>
      </w:r>
    </w:p>
    <w:p w:rsidR="003E5ED1" w:rsidRDefault="003E5ED1" w:rsidP="003E5ED1">
      <w:pPr>
        <w:autoSpaceDE w:val="0"/>
        <w:autoSpaceDN w:val="0"/>
        <w:adjustRightInd w:val="0"/>
        <w:ind w:left="851"/>
        <w:rPr>
          <w:i/>
          <w:sz w:val="24"/>
          <w:szCs w:val="24"/>
        </w:rPr>
      </w:pPr>
    </w:p>
    <w:p w:rsidR="003E5ED1" w:rsidRPr="0001331C" w:rsidRDefault="003E5ED1" w:rsidP="003E5ED1">
      <w:pPr>
        <w:autoSpaceDE w:val="0"/>
        <w:autoSpaceDN w:val="0"/>
        <w:adjustRightInd w:val="0"/>
        <w:ind w:left="851"/>
        <w:rPr>
          <w:sz w:val="24"/>
          <w:szCs w:val="24"/>
        </w:rPr>
      </w:pPr>
      <w:r>
        <w:rPr>
          <w:i/>
          <w:sz w:val="24"/>
          <w:szCs w:val="24"/>
        </w:rPr>
        <w:t xml:space="preserve">                                                                                                                        </w:t>
      </w:r>
      <w:r w:rsidRPr="004C69FA">
        <w:rPr>
          <w:i/>
          <w:sz w:val="24"/>
          <w:szCs w:val="24"/>
        </w:rPr>
        <w:t>40 mg, 80 mg og 160 mg</w:t>
      </w:r>
    </w:p>
    <w:p w:rsidR="003E5ED1" w:rsidRPr="004C69FA" w:rsidRDefault="003E5ED1" w:rsidP="003E5ED1">
      <w:pPr>
        <w:autoSpaceDE w:val="0"/>
        <w:autoSpaceDN w:val="0"/>
        <w:adjustRightInd w:val="0"/>
        <w:ind w:left="851"/>
        <w:rPr>
          <w:sz w:val="24"/>
          <w:szCs w:val="24"/>
          <w:u w:val="single"/>
        </w:rPr>
      </w:pPr>
      <w:r w:rsidRPr="004C69FA">
        <w:rPr>
          <w:sz w:val="24"/>
          <w:szCs w:val="24"/>
          <w:u w:val="single"/>
        </w:rPr>
        <w:t>Nyligt myokardieinfarkt</w:t>
      </w:r>
    </w:p>
    <w:p w:rsidR="003E5ED1" w:rsidRPr="004C69FA" w:rsidRDefault="003E5ED1" w:rsidP="003E5ED1">
      <w:pPr>
        <w:autoSpaceDE w:val="0"/>
        <w:autoSpaceDN w:val="0"/>
        <w:adjustRightInd w:val="0"/>
        <w:ind w:left="851"/>
        <w:rPr>
          <w:sz w:val="24"/>
          <w:szCs w:val="24"/>
        </w:rPr>
      </w:pPr>
      <w:r w:rsidRPr="004C69FA">
        <w:rPr>
          <w:sz w:val="24"/>
          <w:szCs w:val="24"/>
        </w:rPr>
        <w:t xml:space="preserve">VALIANT-studiet (The </w:t>
      </w:r>
      <w:proofErr w:type="spellStart"/>
      <w:r w:rsidRPr="004C69FA">
        <w:rPr>
          <w:sz w:val="24"/>
          <w:szCs w:val="24"/>
        </w:rPr>
        <w:t>VALsartan</w:t>
      </w:r>
      <w:proofErr w:type="spellEnd"/>
      <w:r w:rsidRPr="004C69FA">
        <w:rPr>
          <w:sz w:val="24"/>
          <w:szCs w:val="24"/>
        </w:rPr>
        <w:t xml:space="preserve"> In </w:t>
      </w:r>
      <w:proofErr w:type="spellStart"/>
      <w:r w:rsidRPr="004C69FA">
        <w:rPr>
          <w:sz w:val="24"/>
          <w:szCs w:val="24"/>
        </w:rPr>
        <w:t>Acute</w:t>
      </w:r>
      <w:proofErr w:type="spellEnd"/>
      <w:r w:rsidRPr="004C69FA">
        <w:rPr>
          <w:sz w:val="24"/>
          <w:szCs w:val="24"/>
        </w:rPr>
        <w:t xml:space="preserve"> </w:t>
      </w:r>
      <w:proofErr w:type="spellStart"/>
      <w:r w:rsidRPr="004C69FA">
        <w:rPr>
          <w:sz w:val="24"/>
          <w:szCs w:val="24"/>
        </w:rPr>
        <w:t>myocardial</w:t>
      </w:r>
      <w:proofErr w:type="spellEnd"/>
      <w:r w:rsidRPr="004C69FA">
        <w:rPr>
          <w:sz w:val="24"/>
          <w:szCs w:val="24"/>
        </w:rPr>
        <w:t xml:space="preserve"> </w:t>
      </w:r>
      <w:proofErr w:type="spellStart"/>
      <w:r w:rsidRPr="004C69FA">
        <w:rPr>
          <w:sz w:val="24"/>
          <w:szCs w:val="24"/>
        </w:rPr>
        <w:t>iNfarcTion</w:t>
      </w:r>
      <w:proofErr w:type="spellEnd"/>
      <w:r w:rsidRPr="004C69FA">
        <w:rPr>
          <w:sz w:val="24"/>
          <w:szCs w:val="24"/>
        </w:rPr>
        <w:t xml:space="preserve"> </w:t>
      </w:r>
      <w:proofErr w:type="spellStart"/>
      <w:r w:rsidRPr="004C69FA">
        <w:rPr>
          <w:sz w:val="24"/>
          <w:szCs w:val="24"/>
        </w:rPr>
        <w:t>trial</w:t>
      </w:r>
      <w:proofErr w:type="spellEnd"/>
      <w:r w:rsidRPr="004C69FA">
        <w:rPr>
          <w:sz w:val="24"/>
          <w:szCs w:val="24"/>
        </w:rPr>
        <w:t xml:space="preserve">) var et randomiseret, kontrolleret, multinational, dobbeltblindet studie med 14.703 patienter med akut myokardieinfarkt og tegn, symptomer eller radiologisk verificeret </w:t>
      </w:r>
      <w:proofErr w:type="spellStart"/>
      <w:r w:rsidRPr="004C69FA">
        <w:rPr>
          <w:sz w:val="24"/>
          <w:szCs w:val="24"/>
        </w:rPr>
        <w:t>kongestivt</w:t>
      </w:r>
      <w:proofErr w:type="spellEnd"/>
      <w:r w:rsidRPr="004C69FA">
        <w:rPr>
          <w:sz w:val="24"/>
          <w:szCs w:val="24"/>
        </w:rPr>
        <w:t xml:space="preserve"> hjertesvigt og/eller venstre </w:t>
      </w:r>
      <w:proofErr w:type="spellStart"/>
      <w:r w:rsidRPr="004C69FA">
        <w:rPr>
          <w:sz w:val="24"/>
          <w:szCs w:val="24"/>
        </w:rPr>
        <w:t>ventrikulær</w:t>
      </w:r>
      <w:proofErr w:type="spellEnd"/>
      <w:r w:rsidRPr="004C69FA">
        <w:rPr>
          <w:sz w:val="24"/>
          <w:szCs w:val="24"/>
        </w:rPr>
        <w:t xml:space="preserve"> systolisk dysfunktion (påvist ved en uddrivningsfraktion på ≤ 40 % ved </w:t>
      </w:r>
      <w:proofErr w:type="spellStart"/>
      <w:r w:rsidRPr="004C69FA">
        <w:rPr>
          <w:sz w:val="24"/>
          <w:szCs w:val="24"/>
        </w:rPr>
        <w:t>radionukleid</w:t>
      </w:r>
      <w:proofErr w:type="spellEnd"/>
      <w:r w:rsidRPr="004C69FA">
        <w:rPr>
          <w:sz w:val="24"/>
          <w:szCs w:val="24"/>
        </w:rPr>
        <w:t xml:space="preserve"> </w:t>
      </w:r>
      <w:proofErr w:type="spellStart"/>
      <w:r w:rsidRPr="004C69FA">
        <w:rPr>
          <w:sz w:val="24"/>
          <w:szCs w:val="24"/>
        </w:rPr>
        <w:t>ventrikulografi</w:t>
      </w:r>
      <w:proofErr w:type="spellEnd"/>
      <w:r w:rsidRPr="004C69FA">
        <w:rPr>
          <w:sz w:val="24"/>
          <w:szCs w:val="24"/>
        </w:rPr>
        <w:t xml:space="preserve"> eller ≤ 35 % ved ekkokardiografi eller </w:t>
      </w:r>
      <w:proofErr w:type="spellStart"/>
      <w:r w:rsidRPr="004C69FA">
        <w:rPr>
          <w:sz w:val="24"/>
          <w:szCs w:val="24"/>
        </w:rPr>
        <w:t>ventrikulær</w:t>
      </w:r>
      <w:proofErr w:type="spellEnd"/>
      <w:r w:rsidRPr="004C69FA">
        <w:rPr>
          <w:sz w:val="24"/>
          <w:szCs w:val="24"/>
        </w:rPr>
        <w:t xml:space="preserve"> kontrast-</w:t>
      </w:r>
      <w:proofErr w:type="spellStart"/>
      <w:r w:rsidRPr="004C69FA">
        <w:rPr>
          <w:sz w:val="24"/>
          <w:szCs w:val="24"/>
        </w:rPr>
        <w:t>angiografi</w:t>
      </w:r>
      <w:proofErr w:type="spellEnd"/>
      <w:r w:rsidRPr="004C69FA">
        <w:rPr>
          <w:sz w:val="24"/>
          <w:szCs w:val="24"/>
        </w:rPr>
        <w:t xml:space="preserve">). Patienterne blev randomiseret, inden for 12 timer til 10 dage efter indtræden af symptomer på myokardieinfarkt, til </w:t>
      </w:r>
      <w:proofErr w:type="spellStart"/>
      <w:r w:rsidRPr="004C69FA">
        <w:rPr>
          <w:sz w:val="24"/>
          <w:szCs w:val="24"/>
        </w:rPr>
        <w:t>valsartan</w:t>
      </w:r>
      <w:proofErr w:type="spellEnd"/>
      <w:r w:rsidRPr="004C69FA">
        <w:rPr>
          <w:sz w:val="24"/>
          <w:szCs w:val="24"/>
        </w:rPr>
        <w:t xml:space="preserve">, </w:t>
      </w:r>
      <w:proofErr w:type="spellStart"/>
      <w:r w:rsidRPr="004C69FA">
        <w:rPr>
          <w:sz w:val="24"/>
          <w:szCs w:val="24"/>
        </w:rPr>
        <w:t>captopril</w:t>
      </w:r>
      <w:proofErr w:type="spellEnd"/>
      <w:r w:rsidRPr="004C69FA">
        <w:rPr>
          <w:sz w:val="24"/>
          <w:szCs w:val="24"/>
        </w:rPr>
        <w:t xml:space="preserve"> eller en kombination af begge. Den gennemsnitlige behandlingsvarighed var 2 år. Det primære endepunkt var tid til mortalitet uanset årsag.</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autoSpaceDE w:val="0"/>
        <w:autoSpaceDN w:val="0"/>
        <w:adjustRightInd w:val="0"/>
        <w:ind w:left="851"/>
        <w:rPr>
          <w:sz w:val="24"/>
          <w:szCs w:val="24"/>
        </w:rPr>
      </w:pPr>
      <w:proofErr w:type="spellStart"/>
      <w:r w:rsidRPr="004C69FA">
        <w:rPr>
          <w:sz w:val="24"/>
          <w:szCs w:val="24"/>
        </w:rPr>
        <w:t>Valsartan</w:t>
      </w:r>
      <w:proofErr w:type="spellEnd"/>
      <w:r w:rsidRPr="004C69FA">
        <w:rPr>
          <w:sz w:val="24"/>
          <w:szCs w:val="24"/>
        </w:rPr>
        <w:t xml:space="preserve"> var lige så effektivt som </w:t>
      </w:r>
      <w:proofErr w:type="spellStart"/>
      <w:r w:rsidRPr="004C69FA">
        <w:rPr>
          <w:sz w:val="24"/>
          <w:szCs w:val="24"/>
        </w:rPr>
        <w:t>captopril</w:t>
      </w:r>
      <w:proofErr w:type="spellEnd"/>
      <w:r w:rsidRPr="004C69FA">
        <w:rPr>
          <w:sz w:val="24"/>
          <w:szCs w:val="24"/>
        </w:rPr>
        <w:t xml:space="preserve"> til reduktion af totalmortalitet efter myokardieinfarkt. Totalmortaliteten var ensartet i </w:t>
      </w:r>
      <w:proofErr w:type="spellStart"/>
      <w:r w:rsidRPr="004C69FA">
        <w:rPr>
          <w:sz w:val="24"/>
          <w:szCs w:val="24"/>
        </w:rPr>
        <w:t>valsartangruppen</w:t>
      </w:r>
      <w:proofErr w:type="spellEnd"/>
      <w:r w:rsidRPr="004C69FA">
        <w:rPr>
          <w:sz w:val="24"/>
          <w:szCs w:val="24"/>
        </w:rPr>
        <w:t xml:space="preserve"> (19,9 %), </w:t>
      </w:r>
      <w:proofErr w:type="spellStart"/>
      <w:r w:rsidRPr="004C69FA">
        <w:rPr>
          <w:sz w:val="24"/>
          <w:szCs w:val="24"/>
        </w:rPr>
        <w:t>captoprilgruppen</w:t>
      </w:r>
      <w:proofErr w:type="spellEnd"/>
      <w:r w:rsidRPr="004C69FA">
        <w:rPr>
          <w:sz w:val="24"/>
          <w:szCs w:val="24"/>
        </w:rPr>
        <w:t xml:space="preserve"> (19,5 %) og </w:t>
      </w:r>
      <w:proofErr w:type="spellStart"/>
      <w:r w:rsidRPr="004C69FA">
        <w:rPr>
          <w:sz w:val="24"/>
          <w:szCs w:val="24"/>
        </w:rPr>
        <w:t>valsartan</w:t>
      </w:r>
      <w:proofErr w:type="spellEnd"/>
      <w:r w:rsidRPr="004C69FA">
        <w:rPr>
          <w:sz w:val="24"/>
          <w:szCs w:val="24"/>
        </w:rPr>
        <w:t xml:space="preserve">- + </w:t>
      </w:r>
      <w:proofErr w:type="spellStart"/>
      <w:r w:rsidRPr="004C69FA">
        <w:rPr>
          <w:sz w:val="24"/>
          <w:szCs w:val="24"/>
        </w:rPr>
        <w:t>captoprilgruppen</w:t>
      </w:r>
      <w:proofErr w:type="spellEnd"/>
      <w:r w:rsidRPr="004C69FA">
        <w:rPr>
          <w:sz w:val="24"/>
          <w:szCs w:val="24"/>
        </w:rPr>
        <w:t xml:space="preserve"> (19,3 %). Kombinationen af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gav ikke yderligere fordele i forhold til </w:t>
      </w:r>
      <w:proofErr w:type="spellStart"/>
      <w:r w:rsidRPr="004C69FA">
        <w:rPr>
          <w:sz w:val="24"/>
          <w:szCs w:val="24"/>
        </w:rPr>
        <w:t>captopril</w:t>
      </w:r>
      <w:proofErr w:type="spellEnd"/>
      <w:r w:rsidRPr="004C69FA">
        <w:rPr>
          <w:sz w:val="24"/>
          <w:szCs w:val="24"/>
        </w:rPr>
        <w:t xml:space="preserve"> alene. Der var ingen forskel mellem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med hensyn til totalmortalitet, baseret på alder, køn, race, baseline-behandlinger eller tilgrundliggende sygdom. </w:t>
      </w:r>
      <w:proofErr w:type="spellStart"/>
      <w:r w:rsidRPr="004C69FA">
        <w:rPr>
          <w:sz w:val="24"/>
          <w:szCs w:val="24"/>
        </w:rPr>
        <w:t>Valsartan</w:t>
      </w:r>
      <w:proofErr w:type="spellEnd"/>
      <w:r w:rsidRPr="004C69FA">
        <w:rPr>
          <w:sz w:val="24"/>
          <w:szCs w:val="24"/>
        </w:rPr>
        <w:t xml:space="preserve"> var også effektivt med hensyn til forlængelse af tiden til og reduktion af </w:t>
      </w:r>
      <w:proofErr w:type="spellStart"/>
      <w:r w:rsidRPr="004C69FA">
        <w:rPr>
          <w:sz w:val="24"/>
          <w:szCs w:val="24"/>
        </w:rPr>
        <w:t>kardiovaskulær</w:t>
      </w:r>
      <w:proofErr w:type="spellEnd"/>
      <w:r w:rsidRPr="004C69FA">
        <w:rPr>
          <w:sz w:val="24"/>
          <w:szCs w:val="24"/>
        </w:rPr>
        <w:t xml:space="preserve"> mortalitet, hospitalisering for hjertesvigt, recidiverende myokardieinfarkt, genoplivning ved hjertestop samt non-fatal apopleksi (sekundært sammensat endepunkt).</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autoSpaceDE w:val="0"/>
        <w:autoSpaceDN w:val="0"/>
        <w:adjustRightInd w:val="0"/>
        <w:ind w:left="851"/>
        <w:rPr>
          <w:sz w:val="24"/>
          <w:szCs w:val="24"/>
        </w:rPr>
      </w:pPr>
      <w:r w:rsidRPr="004C69FA">
        <w:rPr>
          <w:sz w:val="24"/>
          <w:szCs w:val="24"/>
        </w:rPr>
        <w:t xml:space="preserve">Sikkerhedsprofilen for </w:t>
      </w:r>
      <w:proofErr w:type="spellStart"/>
      <w:r w:rsidRPr="004C69FA">
        <w:rPr>
          <w:sz w:val="24"/>
          <w:szCs w:val="24"/>
        </w:rPr>
        <w:t>valsartan</w:t>
      </w:r>
      <w:proofErr w:type="spellEnd"/>
      <w:r w:rsidRPr="004C69FA">
        <w:rPr>
          <w:sz w:val="24"/>
          <w:szCs w:val="24"/>
        </w:rPr>
        <w:t xml:space="preserve"> stemte overens med det kliniske forløb hos patienter behandlet efter myokardieinfarkt. Med hensyn til nyrefunktion blev der observeret fordobling af </w:t>
      </w:r>
      <w:proofErr w:type="spellStart"/>
      <w:r w:rsidRPr="004C69FA">
        <w:rPr>
          <w:sz w:val="24"/>
          <w:szCs w:val="24"/>
        </w:rPr>
        <w:t>serumkreatinin</w:t>
      </w:r>
      <w:proofErr w:type="spellEnd"/>
      <w:r w:rsidRPr="004C69FA">
        <w:rPr>
          <w:sz w:val="24"/>
          <w:szCs w:val="24"/>
        </w:rPr>
        <w:t xml:space="preserve"> hos 4,2 % af de </w:t>
      </w:r>
      <w:proofErr w:type="spellStart"/>
      <w:r w:rsidRPr="004C69FA">
        <w:rPr>
          <w:sz w:val="24"/>
          <w:szCs w:val="24"/>
        </w:rPr>
        <w:t>valsartan</w:t>
      </w:r>
      <w:proofErr w:type="spellEnd"/>
      <w:r w:rsidRPr="004C69FA">
        <w:rPr>
          <w:sz w:val="24"/>
          <w:szCs w:val="24"/>
        </w:rPr>
        <w:t xml:space="preserve">-behandlede patienter, 4,8 % af patienterne behandlet med </w:t>
      </w:r>
      <w:proofErr w:type="spellStart"/>
      <w:r w:rsidRPr="004C69FA">
        <w:rPr>
          <w:sz w:val="24"/>
          <w:szCs w:val="24"/>
        </w:rPr>
        <w:t>valsartan+captopril</w:t>
      </w:r>
      <w:proofErr w:type="spellEnd"/>
      <w:r w:rsidRPr="004C69FA">
        <w:rPr>
          <w:sz w:val="24"/>
          <w:szCs w:val="24"/>
        </w:rPr>
        <w:t xml:space="preserve"> og 3,4 % af de </w:t>
      </w:r>
      <w:proofErr w:type="spellStart"/>
      <w:r w:rsidRPr="004C69FA">
        <w:rPr>
          <w:sz w:val="24"/>
          <w:szCs w:val="24"/>
        </w:rPr>
        <w:t>captopril</w:t>
      </w:r>
      <w:proofErr w:type="spellEnd"/>
      <w:r w:rsidRPr="004C69FA">
        <w:rPr>
          <w:sz w:val="24"/>
          <w:szCs w:val="24"/>
        </w:rPr>
        <w:t xml:space="preserve">-behandlede patienter. Ophør som følge af forskellige former for nyreinsufficiens forekom hos 1,1 % af de </w:t>
      </w:r>
      <w:proofErr w:type="spellStart"/>
      <w:r w:rsidRPr="004C69FA">
        <w:rPr>
          <w:sz w:val="24"/>
          <w:szCs w:val="24"/>
        </w:rPr>
        <w:t>valsartan</w:t>
      </w:r>
      <w:proofErr w:type="spellEnd"/>
      <w:r w:rsidRPr="004C69FA">
        <w:rPr>
          <w:sz w:val="24"/>
          <w:szCs w:val="24"/>
        </w:rPr>
        <w:t xml:space="preserve">-behandlede patienter, 1,3 % af patienterne behandlet med </w:t>
      </w:r>
      <w:proofErr w:type="spellStart"/>
      <w:r w:rsidRPr="004C69FA">
        <w:rPr>
          <w:sz w:val="24"/>
          <w:szCs w:val="24"/>
        </w:rPr>
        <w:t>valsartan+captopril</w:t>
      </w:r>
      <w:proofErr w:type="spellEnd"/>
      <w:r w:rsidRPr="004C69FA">
        <w:rPr>
          <w:sz w:val="24"/>
          <w:szCs w:val="24"/>
        </w:rPr>
        <w:t xml:space="preserve"> og 0,8 % af de </w:t>
      </w:r>
      <w:proofErr w:type="spellStart"/>
      <w:r w:rsidRPr="004C69FA">
        <w:rPr>
          <w:sz w:val="24"/>
          <w:szCs w:val="24"/>
        </w:rPr>
        <w:t>captopril</w:t>
      </w:r>
      <w:proofErr w:type="spellEnd"/>
      <w:r w:rsidRPr="004C69FA">
        <w:rPr>
          <w:sz w:val="24"/>
          <w:szCs w:val="24"/>
        </w:rPr>
        <w:t>-behandlede patienter. Der bør inkluderes en vurdering af nyrefunktionen ved evaluering af patienterne efter myokardieinfarkt.</w:t>
      </w:r>
    </w:p>
    <w:p w:rsidR="003E5ED1" w:rsidRPr="004C69FA" w:rsidRDefault="003E5ED1" w:rsidP="003E5ED1">
      <w:pPr>
        <w:autoSpaceDE w:val="0"/>
        <w:autoSpaceDN w:val="0"/>
        <w:adjustRightInd w:val="0"/>
        <w:ind w:left="851"/>
        <w:rPr>
          <w:sz w:val="24"/>
          <w:szCs w:val="24"/>
        </w:rPr>
      </w:pPr>
      <w:r w:rsidRPr="004C69FA">
        <w:rPr>
          <w:sz w:val="24"/>
          <w:szCs w:val="24"/>
        </w:rPr>
        <w:t xml:space="preserve">Der var ingen forskel i totalmortalitet, </w:t>
      </w:r>
      <w:proofErr w:type="spellStart"/>
      <w:r w:rsidRPr="004C69FA">
        <w:rPr>
          <w:sz w:val="24"/>
          <w:szCs w:val="24"/>
        </w:rPr>
        <w:t>kardiovaskulær</w:t>
      </w:r>
      <w:proofErr w:type="spellEnd"/>
      <w:r w:rsidRPr="004C69FA">
        <w:rPr>
          <w:sz w:val="24"/>
          <w:szCs w:val="24"/>
        </w:rPr>
        <w:t xml:space="preserve"> mortalitet eller morbiditet, når betablokkere blev administreret sammen med kombinationen af </w:t>
      </w:r>
      <w:proofErr w:type="spellStart"/>
      <w:r w:rsidRPr="004C69FA">
        <w:rPr>
          <w:sz w:val="24"/>
          <w:szCs w:val="24"/>
        </w:rPr>
        <w:t>valsartan</w:t>
      </w:r>
      <w:proofErr w:type="spellEnd"/>
      <w:r w:rsidRPr="004C69FA">
        <w:rPr>
          <w:sz w:val="24"/>
          <w:szCs w:val="24"/>
        </w:rPr>
        <w:t xml:space="preserve"> og </w:t>
      </w:r>
      <w:proofErr w:type="spellStart"/>
      <w:r w:rsidRPr="004C69FA">
        <w:rPr>
          <w:sz w:val="24"/>
          <w:szCs w:val="24"/>
        </w:rPr>
        <w:t>captopril</w:t>
      </w:r>
      <w:proofErr w:type="spellEnd"/>
      <w:r w:rsidRPr="004C69FA">
        <w:rPr>
          <w:sz w:val="24"/>
          <w:szCs w:val="24"/>
        </w:rPr>
        <w:t xml:space="preserve">, </w:t>
      </w:r>
      <w:proofErr w:type="spellStart"/>
      <w:r w:rsidRPr="004C69FA">
        <w:rPr>
          <w:sz w:val="24"/>
          <w:szCs w:val="24"/>
        </w:rPr>
        <w:t>valsartan</w:t>
      </w:r>
      <w:proofErr w:type="spellEnd"/>
      <w:r w:rsidRPr="004C69FA">
        <w:rPr>
          <w:sz w:val="24"/>
          <w:szCs w:val="24"/>
        </w:rPr>
        <w:t xml:space="preserve"> alene eller </w:t>
      </w:r>
      <w:proofErr w:type="spellStart"/>
      <w:r w:rsidRPr="004C69FA">
        <w:rPr>
          <w:sz w:val="24"/>
          <w:szCs w:val="24"/>
        </w:rPr>
        <w:t>captopril</w:t>
      </w:r>
      <w:proofErr w:type="spellEnd"/>
      <w:r w:rsidRPr="004C69FA">
        <w:rPr>
          <w:sz w:val="24"/>
          <w:szCs w:val="24"/>
        </w:rPr>
        <w:t xml:space="preserve"> alene. Uafhængigt af forsøgsmedicinen var mortaliteten lavere i den gruppe af patienter der blev behandlet med betablokkere, hvilket tyder på, at den kendte fordel ved </w:t>
      </w:r>
      <w:proofErr w:type="gramStart"/>
      <w:r w:rsidRPr="004C69FA">
        <w:rPr>
          <w:sz w:val="24"/>
          <w:szCs w:val="24"/>
        </w:rPr>
        <w:t>betablokkere</w:t>
      </w:r>
      <w:proofErr w:type="gramEnd"/>
      <w:r w:rsidRPr="004C69FA">
        <w:rPr>
          <w:sz w:val="24"/>
          <w:szCs w:val="24"/>
        </w:rPr>
        <w:t xml:space="preserve"> hos denne population opretholdtes i dette studie. </w:t>
      </w:r>
    </w:p>
    <w:p w:rsidR="003E5ED1" w:rsidRPr="004C69FA" w:rsidRDefault="003E5ED1" w:rsidP="003E5ED1">
      <w:pPr>
        <w:autoSpaceDE w:val="0"/>
        <w:autoSpaceDN w:val="0"/>
        <w:adjustRightInd w:val="0"/>
        <w:ind w:left="851"/>
        <w:rPr>
          <w:sz w:val="24"/>
          <w:szCs w:val="24"/>
        </w:rPr>
      </w:pPr>
    </w:p>
    <w:p w:rsidR="003E5ED1" w:rsidRPr="004C69FA" w:rsidRDefault="003E5ED1" w:rsidP="003E5ED1">
      <w:pPr>
        <w:autoSpaceDE w:val="0"/>
        <w:autoSpaceDN w:val="0"/>
        <w:adjustRightInd w:val="0"/>
        <w:ind w:left="851" w:hanging="851"/>
        <w:rPr>
          <w:i/>
          <w:sz w:val="24"/>
          <w:szCs w:val="24"/>
        </w:rPr>
      </w:pPr>
      <w:r w:rsidRPr="004C69FA">
        <w:rPr>
          <w:i/>
          <w:sz w:val="24"/>
          <w:szCs w:val="24"/>
        </w:rPr>
        <w:tab/>
        <w:t>40 mg, 80 mg og 160 mg</w:t>
      </w:r>
    </w:p>
    <w:p w:rsidR="003E5ED1" w:rsidRPr="004C69FA" w:rsidRDefault="003E5ED1" w:rsidP="003E5ED1">
      <w:pPr>
        <w:autoSpaceDE w:val="0"/>
        <w:autoSpaceDN w:val="0"/>
        <w:adjustRightInd w:val="0"/>
        <w:ind w:left="851"/>
        <w:rPr>
          <w:sz w:val="24"/>
          <w:szCs w:val="24"/>
          <w:u w:val="single"/>
        </w:rPr>
      </w:pPr>
      <w:r w:rsidRPr="004C69FA">
        <w:rPr>
          <w:sz w:val="24"/>
          <w:szCs w:val="24"/>
          <w:u w:val="single"/>
        </w:rPr>
        <w:t>Hjertesvigt</w:t>
      </w:r>
    </w:p>
    <w:p w:rsidR="003E5ED1" w:rsidRPr="004C69FA" w:rsidRDefault="003E5ED1" w:rsidP="003E5ED1">
      <w:pPr>
        <w:autoSpaceDE w:val="0"/>
        <w:autoSpaceDN w:val="0"/>
        <w:adjustRightInd w:val="0"/>
        <w:ind w:left="851"/>
        <w:rPr>
          <w:sz w:val="24"/>
          <w:szCs w:val="24"/>
        </w:rPr>
      </w:pPr>
      <w:r w:rsidRPr="004C69FA">
        <w:rPr>
          <w:sz w:val="24"/>
          <w:szCs w:val="24"/>
        </w:rPr>
        <w:t>Val-</w:t>
      </w:r>
      <w:proofErr w:type="spellStart"/>
      <w:r w:rsidRPr="004C69FA">
        <w:rPr>
          <w:sz w:val="24"/>
          <w:szCs w:val="24"/>
        </w:rPr>
        <w:t>HeFT</w:t>
      </w:r>
      <w:proofErr w:type="spellEnd"/>
      <w:r w:rsidRPr="004C69FA">
        <w:rPr>
          <w:sz w:val="24"/>
          <w:szCs w:val="24"/>
        </w:rPr>
        <w:t xml:space="preserve"> var et randomiseret, kontrolleret, multinationalt, klinisk studie, hvor </w:t>
      </w:r>
      <w:proofErr w:type="spellStart"/>
      <w:r w:rsidRPr="004C69FA">
        <w:rPr>
          <w:sz w:val="24"/>
          <w:szCs w:val="24"/>
        </w:rPr>
        <w:t>valsartan</w:t>
      </w:r>
      <w:proofErr w:type="spellEnd"/>
      <w:r w:rsidRPr="004C69FA">
        <w:rPr>
          <w:sz w:val="24"/>
          <w:szCs w:val="24"/>
        </w:rPr>
        <w:t xml:space="preserve"> blev sammenlignet med placebo med hensyn til morbiditet og mortalitet hos 5010 patienter med hjertesvigt NYHA-klasse II (62 %), III (36 %) og IV (2 %) i konventionel behandling samt LVEF &lt;40 % og LVIDD (</w:t>
      </w:r>
      <w:proofErr w:type="spellStart"/>
      <w:r w:rsidRPr="004C69FA">
        <w:rPr>
          <w:sz w:val="24"/>
          <w:szCs w:val="24"/>
        </w:rPr>
        <w:t>left</w:t>
      </w:r>
      <w:proofErr w:type="spellEnd"/>
      <w:r w:rsidRPr="004C69FA">
        <w:rPr>
          <w:sz w:val="24"/>
          <w:szCs w:val="24"/>
        </w:rPr>
        <w:t xml:space="preserve"> </w:t>
      </w:r>
      <w:proofErr w:type="spellStart"/>
      <w:r w:rsidRPr="004C69FA">
        <w:rPr>
          <w:sz w:val="24"/>
          <w:szCs w:val="24"/>
        </w:rPr>
        <w:t>ventricular</w:t>
      </w:r>
      <w:proofErr w:type="spellEnd"/>
      <w:r w:rsidRPr="004C69FA">
        <w:rPr>
          <w:sz w:val="24"/>
          <w:szCs w:val="24"/>
        </w:rPr>
        <w:t xml:space="preserve"> </w:t>
      </w:r>
      <w:proofErr w:type="spellStart"/>
      <w:r w:rsidRPr="004C69FA">
        <w:rPr>
          <w:sz w:val="24"/>
          <w:szCs w:val="24"/>
        </w:rPr>
        <w:t>internal</w:t>
      </w:r>
      <w:proofErr w:type="spellEnd"/>
      <w:r w:rsidRPr="004C69FA">
        <w:rPr>
          <w:sz w:val="24"/>
          <w:szCs w:val="24"/>
        </w:rPr>
        <w:t xml:space="preserve"> </w:t>
      </w:r>
      <w:proofErr w:type="spellStart"/>
      <w:r w:rsidRPr="004C69FA">
        <w:rPr>
          <w:sz w:val="24"/>
          <w:szCs w:val="24"/>
        </w:rPr>
        <w:t>diastolic</w:t>
      </w:r>
      <w:proofErr w:type="spellEnd"/>
      <w:r w:rsidRPr="004C69FA">
        <w:rPr>
          <w:sz w:val="24"/>
          <w:szCs w:val="24"/>
        </w:rPr>
        <w:t xml:space="preserve"> diameter) &gt;2,9 cm/m</w:t>
      </w:r>
      <w:r w:rsidRPr="004C69FA">
        <w:rPr>
          <w:sz w:val="24"/>
          <w:szCs w:val="24"/>
          <w:vertAlign w:val="superscript"/>
        </w:rPr>
        <w:t>2</w:t>
      </w:r>
      <w:r w:rsidRPr="004C69FA">
        <w:rPr>
          <w:sz w:val="24"/>
          <w:szCs w:val="24"/>
        </w:rPr>
        <w:t>. Basis behandling inkluderede ACE-</w:t>
      </w:r>
      <w:proofErr w:type="spellStart"/>
      <w:r w:rsidRPr="004C69FA">
        <w:rPr>
          <w:sz w:val="24"/>
          <w:szCs w:val="24"/>
        </w:rPr>
        <w:t>hæmmere</w:t>
      </w:r>
      <w:proofErr w:type="spellEnd"/>
      <w:r w:rsidRPr="004C69FA">
        <w:rPr>
          <w:sz w:val="24"/>
          <w:szCs w:val="24"/>
        </w:rPr>
        <w:t xml:space="preserve"> (93 %), </w:t>
      </w:r>
      <w:proofErr w:type="spellStart"/>
      <w:r w:rsidRPr="004C69FA">
        <w:rPr>
          <w:sz w:val="24"/>
          <w:szCs w:val="24"/>
        </w:rPr>
        <w:t>diuretika</w:t>
      </w:r>
      <w:proofErr w:type="spellEnd"/>
      <w:r w:rsidRPr="004C69FA">
        <w:rPr>
          <w:sz w:val="24"/>
          <w:szCs w:val="24"/>
        </w:rPr>
        <w:t xml:space="preserve"> (86 %), </w:t>
      </w:r>
      <w:proofErr w:type="spellStart"/>
      <w:r w:rsidRPr="004C69FA">
        <w:rPr>
          <w:sz w:val="24"/>
          <w:szCs w:val="24"/>
        </w:rPr>
        <w:t>digoxin</w:t>
      </w:r>
      <w:proofErr w:type="spellEnd"/>
      <w:r w:rsidRPr="004C69FA">
        <w:rPr>
          <w:sz w:val="24"/>
          <w:szCs w:val="24"/>
        </w:rPr>
        <w:t xml:space="preserve"> (67 %) og </w:t>
      </w:r>
      <w:r w:rsidRPr="004C69FA">
        <w:rPr>
          <w:sz w:val="24"/>
          <w:szCs w:val="24"/>
        </w:rPr>
        <w:lastRenderedPageBreak/>
        <w:t xml:space="preserve">betablokkere (36 %). Den gennemsnitlige varighed af opfølgning var næsten 2 år. Gennemsnitlig daglig dosis af </w:t>
      </w:r>
      <w:proofErr w:type="spellStart"/>
      <w:r w:rsidRPr="004C69FA">
        <w:rPr>
          <w:sz w:val="24"/>
          <w:szCs w:val="24"/>
        </w:rPr>
        <w:t>valsartan</w:t>
      </w:r>
      <w:proofErr w:type="spellEnd"/>
      <w:r w:rsidRPr="004C69FA">
        <w:rPr>
          <w:sz w:val="24"/>
          <w:szCs w:val="24"/>
        </w:rPr>
        <w:t xml:space="preserve"> i Val-</w:t>
      </w:r>
      <w:proofErr w:type="spellStart"/>
      <w:r w:rsidRPr="004C69FA">
        <w:rPr>
          <w:sz w:val="24"/>
          <w:szCs w:val="24"/>
        </w:rPr>
        <w:t>HeFT</w:t>
      </w:r>
      <w:proofErr w:type="spellEnd"/>
      <w:r w:rsidRPr="004C69FA">
        <w:rPr>
          <w:sz w:val="24"/>
          <w:szCs w:val="24"/>
        </w:rPr>
        <w:t xml:space="preserve"> var 254 mg. Studiet havde 2 primære effektmål: mortalitet af enhver årsag (tid til død) og samlet mortalitet og hjertesvigts</w:t>
      </w:r>
      <w:r>
        <w:rPr>
          <w:sz w:val="24"/>
          <w:szCs w:val="24"/>
        </w:rPr>
        <w:softHyphen/>
      </w:r>
      <w:r w:rsidRPr="004C69FA">
        <w:rPr>
          <w:sz w:val="24"/>
          <w:szCs w:val="24"/>
        </w:rPr>
        <w:t xml:space="preserve">morbiditet (tid til første sygdomshændelse) defineret som død, pludselig død med genoplivning, hospitalisering for hjertesvigt eller administration af intravenøse </w:t>
      </w:r>
      <w:proofErr w:type="spellStart"/>
      <w:r w:rsidRPr="004C69FA">
        <w:rPr>
          <w:sz w:val="24"/>
          <w:szCs w:val="24"/>
        </w:rPr>
        <w:t>inotropika</w:t>
      </w:r>
      <w:proofErr w:type="spellEnd"/>
      <w:r w:rsidRPr="004C69FA">
        <w:rPr>
          <w:sz w:val="24"/>
          <w:szCs w:val="24"/>
        </w:rPr>
        <w:t xml:space="preserve"> eller </w:t>
      </w:r>
      <w:proofErr w:type="spellStart"/>
      <w:r w:rsidRPr="004C69FA">
        <w:rPr>
          <w:sz w:val="24"/>
          <w:szCs w:val="24"/>
        </w:rPr>
        <w:t>vasodilatorer</w:t>
      </w:r>
      <w:proofErr w:type="spellEnd"/>
      <w:r w:rsidRPr="004C69FA">
        <w:rPr>
          <w:sz w:val="24"/>
          <w:szCs w:val="24"/>
        </w:rPr>
        <w:t xml:space="preserve"> i 4 timer eller derover uden hospitalisering.</w:t>
      </w:r>
    </w:p>
    <w:p w:rsidR="003E5ED1" w:rsidRPr="004C69FA" w:rsidRDefault="003E5ED1" w:rsidP="003E5ED1">
      <w:pPr>
        <w:autoSpaceDE w:val="0"/>
        <w:autoSpaceDN w:val="0"/>
        <w:adjustRightInd w:val="0"/>
        <w:ind w:left="851" w:hanging="851"/>
        <w:rPr>
          <w:sz w:val="24"/>
          <w:szCs w:val="24"/>
        </w:rPr>
      </w:pPr>
    </w:p>
    <w:p w:rsidR="003E5ED1" w:rsidRPr="004C69FA" w:rsidRDefault="003E5ED1" w:rsidP="003E5ED1">
      <w:pPr>
        <w:autoSpaceDE w:val="0"/>
        <w:autoSpaceDN w:val="0"/>
        <w:adjustRightInd w:val="0"/>
        <w:ind w:left="851"/>
        <w:rPr>
          <w:sz w:val="24"/>
          <w:szCs w:val="24"/>
        </w:rPr>
      </w:pPr>
      <w:r w:rsidRPr="004C69FA">
        <w:rPr>
          <w:sz w:val="24"/>
          <w:szCs w:val="24"/>
        </w:rPr>
        <w:t xml:space="preserve">Mortalitet af enhver årsag var ensartet (p=NS) i </w:t>
      </w:r>
      <w:proofErr w:type="spellStart"/>
      <w:r w:rsidRPr="004C69FA">
        <w:rPr>
          <w:sz w:val="24"/>
          <w:szCs w:val="24"/>
        </w:rPr>
        <w:t>valsartangruppen</w:t>
      </w:r>
      <w:proofErr w:type="spellEnd"/>
      <w:r w:rsidRPr="004C69FA">
        <w:rPr>
          <w:sz w:val="24"/>
          <w:szCs w:val="24"/>
        </w:rPr>
        <w:t xml:space="preserve"> (19,7 %) og i placebogruppen (19,4 %). Den primære fordel var på 27,5 % (95 % konfidensinterval: 17 til 37 %) reduktion af risiko for tid til første hospitalisering pga. hjertesvigt (13,9 % vs. 18,5 %). Resultater, der taler til fordel for placebo (samlet mortalitet og morbiditet var 21,9 % i placebogruppen vs. 25,4 % i </w:t>
      </w:r>
      <w:proofErr w:type="spellStart"/>
      <w:r w:rsidRPr="004C69FA">
        <w:rPr>
          <w:sz w:val="24"/>
          <w:szCs w:val="24"/>
        </w:rPr>
        <w:t>valsartangruppen</w:t>
      </w:r>
      <w:proofErr w:type="spellEnd"/>
      <w:r w:rsidRPr="004C69FA">
        <w:rPr>
          <w:sz w:val="24"/>
          <w:szCs w:val="24"/>
        </w:rPr>
        <w:t xml:space="preserve">) blev observeret hos de patienter, der fik tredobbelt kombination af en ACE-hæmmer, en beta-blokker og </w:t>
      </w:r>
      <w:proofErr w:type="spellStart"/>
      <w:r w:rsidRPr="004C69FA">
        <w:rPr>
          <w:sz w:val="24"/>
          <w:szCs w:val="24"/>
        </w:rPr>
        <w:t>valsartan</w:t>
      </w:r>
      <w:proofErr w:type="spellEnd"/>
      <w:r w:rsidRPr="004C69FA">
        <w:rPr>
          <w:sz w:val="24"/>
          <w:szCs w:val="24"/>
        </w:rPr>
        <w:t>.</w:t>
      </w:r>
    </w:p>
    <w:p w:rsidR="003E5ED1" w:rsidRPr="004C69FA" w:rsidRDefault="003E5ED1" w:rsidP="003E5ED1">
      <w:pPr>
        <w:autoSpaceDE w:val="0"/>
        <w:autoSpaceDN w:val="0"/>
        <w:adjustRightInd w:val="0"/>
        <w:ind w:left="851"/>
        <w:rPr>
          <w:sz w:val="24"/>
          <w:szCs w:val="24"/>
        </w:rPr>
      </w:pPr>
      <w:r w:rsidRPr="004C69FA">
        <w:rPr>
          <w:sz w:val="24"/>
          <w:szCs w:val="24"/>
        </w:rPr>
        <w:t>I en undergruppe af patienter, der ikke fik en ACE-hæmmer (n=366), var morbiditets</w:t>
      </w:r>
      <w:r>
        <w:rPr>
          <w:sz w:val="24"/>
          <w:szCs w:val="24"/>
        </w:rPr>
        <w:softHyphen/>
      </w:r>
      <w:r w:rsidRPr="004C69FA">
        <w:rPr>
          <w:sz w:val="24"/>
          <w:szCs w:val="24"/>
        </w:rPr>
        <w:t xml:space="preserve">fordelene størst. I denne undergruppe blev mortaliteten uanset årsag signifikant reduceret med </w:t>
      </w:r>
      <w:proofErr w:type="spellStart"/>
      <w:r w:rsidRPr="004C69FA">
        <w:rPr>
          <w:sz w:val="24"/>
          <w:szCs w:val="24"/>
        </w:rPr>
        <w:t>valsartan</w:t>
      </w:r>
      <w:proofErr w:type="spellEnd"/>
      <w:r w:rsidRPr="004C69FA">
        <w:rPr>
          <w:sz w:val="24"/>
          <w:szCs w:val="24"/>
        </w:rPr>
        <w:t xml:space="preserve"> sammenlignet med placebo med 33 % (95 % konfidensinterval: –6 % til 58 %) (17,3 % </w:t>
      </w:r>
      <w:proofErr w:type="spellStart"/>
      <w:r w:rsidRPr="004C69FA">
        <w:rPr>
          <w:sz w:val="24"/>
          <w:szCs w:val="24"/>
        </w:rPr>
        <w:t>valsartan</w:t>
      </w:r>
      <w:proofErr w:type="spellEnd"/>
      <w:r w:rsidRPr="004C69FA">
        <w:rPr>
          <w:sz w:val="24"/>
          <w:szCs w:val="24"/>
        </w:rPr>
        <w:t xml:space="preserve"> vs. 27,1 % placebo) og den samlede mortalitets- og morbiditetsrisiko blev signifikant reduceret med 44 % (24,9 % </w:t>
      </w:r>
      <w:proofErr w:type="spellStart"/>
      <w:r w:rsidRPr="004C69FA">
        <w:rPr>
          <w:sz w:val="24"/>
          <w:szCs w:val="24"/>
        </w:rPr>
        <w:t>valsartan</w:t>
      </w:r>
      <w:proofErr w:type="spellEnd"/>
      <w:r w:rsidRPr="004C69FA">
        <w:rPr>
          <w:sz w:val="24"/>
          <w:szCs w:val="24"/>
        </w:rPr>
        <w:t xml:space="preserve"> vs. 42,5 % placebo).</w:t>
      </w:r>
    </w:p>
    <w:p w:rsidR="003E5ED1" w:rsidRPr="004C69FA" w:rsidRDefault="003E5ED1" w:rsidP="003E5ED1">
      <w:pPr>
        <w:autoSpaceDE w:val="0"/>
        <w:autoSpaceDN w:val="0"/>
        <w:adjustRightInd w:val="0"/>
        <w:ind w:left="851"/>
        <w:rPr>
          <w:sz w:val="24"/>
          <w:szCs w:val="24"/>
        </w:rPr>
      </w:pPr>
      <w:r w:rsidRPr="004C69FA">
        <w:rPr>
          <w:sz w:val="24"/>
          <w:szCs w:val="24"/>
        </w:rPr>
        <w:t xml:space="preserve">Hos patienter, der fik en ACE-hæmmer uden betablokker, var mortaliteten uanset årsag ensartet (p=NS) i </w:t>
      </w:r>
      <w:proofErr w:type="spellStart"/>
      <w:r w:rsidRPr="004C69FA">
        <w:rPr>
          <w:sz w:val="24"/>
          <w:szCs w:val="24"/>
        </w:rPr>
        <w:t>valsartan</w:t>
      </w:r>
      <w:proofErr w:type="spellEnd"/>
      <w:r w:rsidRPr="004C69FA">
        <w:rPr>
          <w:sz w:val="24"/>
          <w:szCs w:val="24"/>
        </w:rPr>
        <w:t xml:space="preserve">- (21,8 %) og placebo- (22,5 %) gruppen. Den samlede mortalitets- og morbiditetsrisiko blev signifikant reduceret med 18,3 % (95 % konfidensinterval: 8 % til 28 %) med </w:t>
      </w:r>
      <w:proofErr w:type="spellStart"/>
      <w:r w:rsidRPr="004C69FA">
        <w:rPr>
          <w:sz w:val="24"/>
          <w:szCs w:val="24"/>
        </w:rPr>
        <w:t>valsartan</w:t>
      </w:r>
      <w:proofErr w:type="spellEnd"/>
      <w:r w:rsidRPr="004C69FA">
        <w:rPr>
          <w:sz w:val="24"/>
          <w:szCs w:val="24"/>
        </w:rPr>
        <w:t xml:space="preserve"> sammenlignet med placebo (31,0 % vs. 36,3 %).</w:t>
      </w:r>
    </w:p>
    <w:p w:rsidR="003E5ED1" w:rsidRPr="004C69FA" w:rsidRDefault="003E5ED1" w:rsidP="003E5ED1">
      <w:pPr>
        <w:autoSpaceDE w:val="0"/>
        <w:autoSpaceDN w:val="0"/>
        <w:adjustRightInd w:val="0"/>
        <w:ind w:left="851"/>
        <w:rPr>
          <w:sz w:val="24"/>
          <w:szCs w:val="24"/>
        </w:rPr>
      </w:pPr>
      <w:r w:rsidRPr="004C69FA">
        <w:rPr>
          <w:sz w:val="24"/>
          <w:szCs w:val="24"/>
        </w:rPr>
        <w:t>I den samlede Val-</w:t>
      </w:r>
      <w:proofErr w:type="spellStart"/>
      <w:r w:rsidRPr="004C69FA">
        <w:rPr>
          <w:sz w:val="24"/>
          <w:szCs w:val="24"/>
        </w:rPr>
        <w:t>HeFT</w:t>
      </w:r>
      <w:proofErr w:type="spellEnd"/>
      <w:r w:rsidRPr="004C69FA">
        <w:rPr>
          <w:sz w:val="24"/>
          <w:szCs w:val="24"/>
        </w:rPr>
        <w:t xml:space="preserve"> population viste patienter behandlet med </w:t>
      </w:r>
      <w:proofErr w:type="spellStart"/>
      <w:r w:rsidRPr="004C69FA">
        <w:rPr>
          <w:sz w:val="24"/>
          <w:szCs w:val="24"/>
        </w:rPr>
        <w:t>valsartan</w:t>
      </w:r>
      <w:proofErr w:type="spellEnd"/>
      <w:r w:rsidRPr="004C69FA">
        <w:rPr>
          <w:sz w:val="24"/>
          <w:szCs w:val="24"/>
        </w:rPr>
        <w:t xml:space="preserve"> signifikante forbedringer i NYHA-klasse og tegn og symptomer på hjertesvigt, inklusive dyspnø, træthed, ødem og rallen sammenlignet med placebo. Patienter behandlet med </w:t>
      </w:r>
      <w:proofErr w:type="spellStart"/>
      <w:r w:rsidRPr="004C69FA">
        <w:rPr>
          <w:sz w:val="24"/>
          <w:szCs w:val="24"/>
        </w:rPr>
        <w:t>valsartan</w:t>
      </w:r>
      <w:proofErr w:type="spellEnd"/>
      <w:r w:rsidRPr="004C69FA">
        <w:rPr>
          <w:sz w:val="24"/>
          <w:szCs w:val="24"/>
        </w:rPr>
        <w:t xml:space="preserve"> havde bedre livskvalitet, påvist ved ændring i livskvalitetsscore (Minnesota Living with Heart </w:t>
      </w:r>
      <w:proofErr w:type="spellStart"/>
      <w:r w:rsidRPr="004C69FA">
        <w:rPr>
          <w:sz w:val="24"/>
          <w:szCs w:val="24"/>
        </w:rPr>
        <w:t>Failure</w:t>
      </w:r>
      <w:proofErr w:type="spellEnd"/>
      <w:r w:rsidRPr="004C69FA">
        <w:rPr>
          <w:sz w:val="24"/>
          <w:szCs w:val="24"/>
        </w:rPr>
        <w:t xml:space="preserve"> </w:t>
      </w:r>
      <w:proofErr w:type="spellStart"/>
      <w:r w:rsidRPr="004C69FA">
        <w:rPr>
          <w:sz w:val="24"/>
          <w:szCs w:val="24"/>
        </w:rPr>
        <w:t>Quality</w:t>
      </w:r>
      <w:proofErr w:type="spellEnd"/>
      <w:r w:rsidRPr="004C69FA">
        <w:rPr>
          <w:sz w:val="24"/>
          <w:szCs w:val="24"/>
        </w:rPr>
        <w:t xml:space="preserve"> of Life score) fra baseline ved effektmål end placebo. Uddrivningsfraktionen øgedes signifikant, og LVIDD reduceredes signifikant fra baseline til endepunkt hos patienter behandlet med </w:t>
      </w:r>
      <w:proofErr w:type="spellStart"/>
      <w:r w:rsidRPr="004C69FA">
        <w:rPr>
          <w:sz w:val="24"/>
          <w:szCs w:val="24"/>
        </w:rPr>
        <w:t>valsartan</w:t>
      </w:r>
      <w:proofErr w:type="spellEnd"/>
      <w:r w:rsidRPr="004C69FA">
        <w:rPr>
          <w:sz w:val="24"/>
          <w:szCs w:val="24"/>
        </w:rPr>
        <w:t xml:space="preserve"> sammenlignet med placebo.</w:t>
      </w:r>
    </w:p>
    <w:p w:rsidR="003E5ED1" w:rsidRPr="004C69FA" w:rsidRDefault="003E5ED1" w:rsidP="003E5ED1">
      <w:pPr>
        <w:autoSpaceDE w:val="0"/>
        <w:autoSpaceDN w:val="0"/>
        <w:adjustRightInd w:val="0"/>
        <w:ind w:left="851"/>
        <w:rPr>
          <w:sz w:val="24"/>
          <w:szCs w:val="24"/>
        </w:rPr>
      </w:pPr>
    </w:p>
    <w:p w:rsidR="003E5ED1" w:rsidRPr="004C69FA" w:rsidRDefault="003E5ED1" w:rsidP="003E5ED1">
      <w:pPr>
        <w:autoSpaceDE w:val="0"/>
        <w:autoSpaceDN w:val="0"/>
        <w:adjustRightInd w:val="0"/>
        <w:ind w:left="851"/>
        <w:rPr>
          <w:sz w:val="24"/>
          <w:szCs w:val="24"/>
        </w:rPr>
      </w:pPr>
      <w:r w:rsidRPr="004C69FA">
        <w:rPr>
          <w:sz w:val="24"/>
          <w:szCs w:val="24"/>
        </w:rPr>
        <w:t xml:space="preserve">Kombinationen af en ACE-hæmmer og en </w:t>
      </w:r>
      <w:proofErr w:type="spellStart"/>
      <w:r w:rsidRPr="004C69FA">
        <w:rPr>
          <w:sz w:val="24"/>
          <w:szCs w:val="24"/>
        </w:rPr>
        <w:t>angiotensin</w:t>
      </w:r>
      <w:proofErr w:type="spellEnd"/>
      <w:r w:rsidRPr="004C69FA">
        <w:rPr>
          <w:sz w:val="24"/>
          <w:szCs w:val="24"/>
        </w:rPr>
        <w:t xml:space="preserve"> II-receptorantagonist er undersøgt i to store randomiserede, kontrollerede studier (ONTARGET (</w:t>
      </w:r>
      <w:proofErr w:type="spellStart"/>
      <w:r w:rsidRPr="004C69FA">
        <w:rPr>
          <w:sz w:val="24"/>
          <w:szCs w:val="24"/>
        </w:rPr>
        <w:t>ONgoing</w:t>
      </w:r>
      <w:proofErr w:type="spellEnd"/>
      <w:r w:rsidRPr="004C69FA">
        <w:rPr>
          <w:sz w:val="24"/>
          <w:szCs w:val="24"/>
        </w:rPr>
        <w:t xml:space="preserve"> </w:t>
      </w:r>
      <w:proofErr w:type="spellStart"/>
      <w:r w:rsidRPr="004C69FA">
        <w:rPr>
          <w:sz w:val="24"/>
          <w:szCs w:val="24"/>
        </w:rPr>
        <w:t>Telmisartan</w:t>
      </w:r>
      <w:proofErr w:type="spellEnd"/>
      <w:r w:rsidRPr="004C69FA">
        <w:rPr>
          <w:sz w:val="24"/>
          <w:szCs w:val="24"/>
        </w:rPr>
        <w:t xml:space="preserve"> </w:t>
      </w:r>
      <w:proofErr w:type="spellStart"/>
      <w:r w:rsidRPr="004C69FA">
        <w:rPr>
          <w:sz w:val="24"/>
          <w:szCs w:val="24"/>
        </w:rPr>
        <w:t>Alone</w:t>
      </w:r>
      <w:proofErr w:type="spellEnd"/>
      <w:r w:rsidRPr="004C69FA">
        <w:rPr>
          <w:sz w:val="24"/>
          <w:szCs w:val="24"/>
        </w:rPr>
        <w:t xml:space="preserve"> and in </w:t>
      </w:r>
      <w:proofErr w:type="spellStart"/>
      <w:r w:rsidRPr="004C69FA">
        <w:rPr>
          <w:sz w:val="24"/>
          <w:szCs w:val="24"/>
        </w:rPr>
        <w:t>combination</w:t>
      </w:r>
      <w:proofErr w:type="spellEnd"/>
      <w:r w:rsidRPr="004C69FA">
        <w:rPr>
          <w:sz w:val="24"/>
          <w:szCs w:val="24"/>
        </w:rPr>
        <w:t xml:space="preserve"> with </w:t>
      </w:r>
      <w:proofErr w:type="spellStart"/>
      <w:r w:rsidRPr="004C69FA">
        <w:rPr>
          <w:sz w:val="24"/>
          <w:szCs w:val="24"/>
        </w:rPr>
        <w:t>Ramipril</w:t>
      </w:r>
      <w:proofErr w:type="spellEnd"/>
      <w:r w:rsidRPr="004C69FA">
        <w:rPr>
          <w:sz w:val="24"/>
          <w:szCs w:val="24"/>
        </w:rPr>
        <w:t xml:space="preserve"> Global </w:t>
      </w:r>
      <w:proofErr w:type="spellStart"/>
      <w:r w:rsidRPr="004C69FA">
        <w:rPr>
          <w:sz w:val="24"/>
          <w:szCs w:val="24"/>
        </w:rPr>
        <w:t>Endpoint</w:t>
      </w:r>
      <w:proofErr w:type="spellEnd"/>
      <w:r w:rsidRPr="004C69FA">
        <w:rPr>
          <w:sz w:val="24"/>
          <w:szCs w:val="24"/>
        </w:rPr>
        <w:t xml:space="preserve"> Trial) og VA NEPHRON-D (The Veterans Affairs </w:t>
      </w:r>
      <w:proofErr w:type="spellStart"/>
      <w:r w:rsidRPr="004C69FA">
        <w:rPr>
          <w:sz w:val="24"/>
          <w:szCs w:val="24"/>
        </w:rPr>
        <w:t>Nephropathy</w:t>
      </w:r>
      <w:proofErr w:type="spellEnd"/>
      <w:r w:rsidRPr="004C69FA">
        <w:rPr>
          <w:sz w:val="24"/>
          <w:szCs w:val="24"/>
        </w:rPr>
        <w:t xml:space="preserve"> in Diabetes)).</w:t>
      </w:r>
    </w:p>
    <w:p w:rsidR="003E5ED1" w:rsidRPr="004C69FA" w:rsidRDefault="003E5ED1" w:rsidP="003E5ED1">
      <w:pPr>
        <w:autoSpaceDE w:val="0"/>
        <w:autoSpaceDN w:val="0"/>
        <w:adjustRightInd w:val="0"/>
        <w:ind w:left="851"/>
        <w:rPr>
          <w:sz w:val="24"/>
          <w:szCs w:val="24"/>
        </w:rPr>
      </w:pPr>
      <w:r w:rsidRPr="004C69FA">
        <w:rPr>
          <w:sz w:val="24"/>
          <w:szCs w:val="24"/>
        </w:rPr>
        <w:t xml:space="preserve">ONTARGET var et studie med patienter, der havde en anamnese med </w:t>
      </w:r>
      <w:proofErr w:type="spellStart"/>
      <w:r w:rsidRPr="004C69FA">
        <w:rPr>
          <w:sz w:val="24"/>
          <w:szCs w:val="24"/>
        </w:rPr>
        <w:t>kardiovaskulær</w:t>
      </w:r>
      <w:proofErr w:type="spellEnd"/>
      <w:r w:rsidRPr="004C69FA">
        <w:rPr>
          <w:sz w:val="24"/>
          <w:szCs w:val="24"/>
        </w:rPr>
        <w:t xml:space="preserve"> eller </w:t>
      </w:r>
      <w:proofErr w:type="spellStart"/>
      <w:r w:rsidRPr="004C69FA">
        <w:rPr>
          <w:sz w:val="24"/>
          <w:szCs w:val="24"/>
        </w:rPr>
        <w:t>cerebrovaskulær</w:t>
      </w:r>
      <w:proofErr w:type="spellEnd"/>
      <w:r w:rsidRPr="004C69FA">
        <w:rPr>
          <w:sz w:val="24"/>
          <w:szCs w:val="24"/>
        </w:rPr>
        <w:t xml:space="preserve"> sygdom, eller som havde type 2-diabetes mellitus med tegn på organpåvirkning. </w:t>
      </w:r>
    </w:p>
    <w:p w:rsidR="003E5ED1" w:rsidRPr="004C69FA" w:rsidRDefault="003E5ED1" w:rsidP="003E5ED1">
      <w:pPr>
        <w:autoSpaceDE w:val="0"/>
        <w:autoSpaceDN w:val="0"/>
        <w:adjustRightInd w:val="0"/>
        <w:ind w:left="851"/>
        <w:rPr>
          <w:sz w:val="24"/>
          <w:szCs w:val="24"/>
        </w:rPr>
      </w:pPr>
      <w:r w:rsidRPr="004C69FA">
        <w:rPr>
          <w:sz w:val="24"/>
          <w:szCs w:val="24"/>
        </w:rPr>
        <w:t xml:space="preserve">VA NEPHRON-D var et studie med patienter med type 2-diabetes mellitus og diabetisk </w:t>
      </w:r>
      <w:proofErr w:type="spellStart"/>
      <w:r w:rsidRPr="004C69FA">
        <w:rPr>
          <w:sz w:val="24"/>
          <w:szCs w:val="24"/>
        </w:rPr>
        <w:t>nefropati</w:t>
      </w:r>
      <w:proofErr w:type="spellEnd"/>
      <w:r w:rsidRPr="004C69FA">
        <w:rPr>
          <w:sz w:val="24"/>
          <w:szCs w:val="24"/>
        </w:rPr>
        <w:t>.</w:t>
      </w:r>
    </w:p>
    <w:p w:rsidR="003E5ED1" w:rsidRPr="004C69FA" w:rsidRDefault="003E5ED1" w:rsidP="003E5ED1">
      <w:pPr>
        <w:autoSpaceDE w:val="0"/>
        <w:autoSpaceDN w:val="0"/>
        <w:adjustRightInd w:val="0"/>
        <w:ind w:left="851"/>
        <w:rPr>
          <w:sz w:val="24"/>
          <w:szCs w:val="24"/>
        </w:rPr>
      </w:pPr>
      <w:r w:rsidRPr="004C69FA">
        <w:rPr>
          <w:sz w:val="24"/>
          <w:szCs w:val="24"/>
        </w:rPr>
        <w:t xml:space="preserve">Disse studier viste ikke signifikant bedre effekt på </w:t>
      </w:r>
      <w:proofErr w:type="spellStart"/>
      <w:r w:rsidRPr="004C69FA">
        <w:rPr>
          <w:sz w:val="24"/>
          <w:szCs w:val="24"/>
        </w:rPr>
        <w:t>renal</w:t>
      </w:r>
      <w:proofErr w:type="spellEnd"/>
      <w:r w:rsidRPr="004C69FA">
        <w:rPr>
          <w:sz w:val="24"/>
          <w:szCs w:val="24"/>
        </w:rPr>
        <w:t xml:space="preserve"> og/eller </w:t>
      </w:r>
      <w:proofErr w:type="spellStart"/>
      <w:r w:rsidRPr="004C69FA">
        <w:rPr>
          <w:sz w:val="24"/>
          <w:szCs w:val="24"/>
        </w:rPr>
        <w:t>kardiovaskulære</w:t>
      </w:r>
      <w:proofErr w:type="spellEnd"/>
      <w:r w:rsidRPr="004C69FA">
        <w:rPr>
          <w:sz w:val="24"/>
          <w:szCs w:val="24"/>
        </w:rPr>
        <w:t xml:space="preserve"> mål og mortalitet sammenlignet med monoterapi, mens en øget risiko for </w:t>
      </w:r>
      <w:proofErr w:type="spellStart"/>
      <w:r w:rsidRPr="004C69FA">
        <w:rPr>
          <w:sz w:val="24"/>
          <w:szCs w:val="24"/>
        </w:rPr>
        <w:t>hyperkaliæmi</w:t>
      </w:r>
      <w:proofErr w:type="spellEnd"/>
      <w:r w:rsidRPr="004C69FA">
        <w:rPr>
          <w:sz w:val="24"/>
          <w:szCs w:val="24"/>
        </w:rPr>
        <w:t xml:space="preserve">, akut nyrepåvirkning og/eller </w:t>
      </w:r>
      <w:r>
        <w:rPr>
          <w:sz w:val="24"/>
          <w:szCs w:val="24"/>
        </w:rPr>
        <w:t>hypotension</w:t>
      </w:r>
      <w:r w:rsidRPr="004C69FA">
        <w:rPr>
          <w:sz w:val="24"/>
          <w:szCs w:val="24"/>
        </w:rPr>
        <w:t xml:space="preserve"> observeredes. På baggrund af de fælles </w:t>
      </w:r>
      <w:proofErr w:type="spellStart"/>
      <w:r w:rsidRPr="004C69FA">
        <w:rPr>
          <w:sz w:val="24"/>
          <w:szCs w:val="24"/>
        </w:rPr>
        <w:t>farmakodynamiske</w:t>
      </w:r>
      <w:proofErr w:type="spellEnd"/>
      <w:r w:rsidRPr="004C69FA">
        <w:rPr>
          <w:sz w:val="24"/>
          <w:szCs w:val="24"/>
        </w:rPr>
        <w:t xml:space="preserve"> egenskaber er disse resultater også relevante for andre 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 xml:space="preserve"> II-receptorantagonister. </w:t>
      </w:r>
    </w:p>
    <w:p w:rsidR="003E5ED1" w:rsidRPr="004C69FA" w:rsidRDefault="003E5ED1" w:rsidP="003E5ED1">
      <w:pPr>
        <w:autoSpaceDE w:val="0"/>
        <w:autoSpaceDN w:val="0"/>
        <w:adjustRightInd w:val="0"/>
        <w:ind w:left="851"/>
        <w:rPr>
          <w:sz w:val="24"/>
          <w:szCs w:val="24"/>
        </w:rPr>
      </w:pPr>
      <w:r w:rsidRPr="004C69FA">
        <w:rPr>
          <w:sz w:val="24"/>
          <w:szCs w:val="24"/>
        </w:rPr>
        <w:t>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 xml:space="preserve"> II-receptorantagonister bør derfor ikke anvendes samtidigt hos patienter med diabetisk </w:t>
      </w:r>
      <w:proofErr w:type="spellStart"/>
      <w:r w:rsidRPr="004C69FA">
        <w:rPr>
          <w:sz w:val="24"/>
          <w:szCs w:val="24"/>
        </w:rPr>
        <w:t>nefropati</w:t>
      </w:r>
      <w:proofErr w:type="spellEnd"/>
      <w:r w:rsidRPr="004C69FA">
        <w:rPr>
          <w:sz w:val="24"/>
          <w:szCs w:val="24"/>
        </w:rPr>
        <w:t xml:space="preserve">. </w:t>
      </w:r>
    </w:p>
    <w:p w:rsidR="003E5ED1" w:rsidRPr="004C69FA" w:rsidDel="00341A9A" w:rsidRDefault="003E5ED1" w:rsidP="003E5ED1">
      <w:pPr>
        <w:autoSpaceDE w:val="0"/>
        <w:autoSpaceDN w:val="0"/>
        <w:adjustRightInd w:val="0"/>
        <w:ind w:left="851"/>
        <w:rPr>
          <w:sz w:val="24"/>
          <w:szCs w:val="24"/>
        </w:rPr>
      </w:pPr>
      <w:r w:rsidRPr="004C69FA">
        <w:rPr>
          <w:sz w:val="24"/>
          <w:szCs w:val="24"/>
        </w:rPr>
        <w:t>ALTITUDE (</w:t>
      </w:r>
      <w:proofErr w:type="spellStart"/>
      <w:r w:rsidRPr="004C69FA">
        <w:rPr>
          <w:sz w:val="24"/>
          <w:szCs w:val="24"/>
        </w:rPr>
        <w:t>Aliskiren</w:t>
      </w:r>
      <w:proofErr w:type="spellEnd"/>
      <w:r w:rsidRPr="004C69FA">
        <w:rPr>
          <w:sz w:val="24"/>
          <w:szCs w:val="24"/>
        </w:rPr>
        <w:t xml:space="preserve"> Trial in Type 2 Diabetes Using </w:t>
      </w:r>
      <w:proofErr w:type="spellStart"/>
      <w:r w:rsidRPr="004C69FA">
        <w:rPr>
          <w:sz w:val="24"/>
          <w:szCs w:val="24"/>
        </w:rPr>
        <w:t>Cardiovascular</w:t>
      </w:r>
      <w:proofErr w:type="spellEnd"/>
      <w:r w:rsidRPr="004C69FA">
        <w:rPr>
          <w:sz w:val="24"/>
          <w:szCs w:val="24"/>
        </w:rPr>
        <w:t xml:space="preserve"> and </w:t>
      </w:r>
      <w:proofErr w:type="spellStart"/>
      <w:r w:rsidRPr="004C69FA">
        <w:rPr>
          <w:sz w:val="24"/>
          <w:szCs w:val="24"/>
        </w:rPr>
        <w:t>Renal</w:t>
      </w:r>
      <w:proofErr w:type="spellEnd"/>
      <w:r w:rsidRPr="004C69FA">
        <w:rPr>
          <w:sz w:val="24"/>
          <w:szCs w:val="24"/>
        </w:rPr>
        <w:t xml:space="preserve"> </w:t>
      </w:r>
      <w:proofErr w:type="spellStart"/>
      <w:r w:rsidRPr="004C69FA">
        <w:rPr>
          <w:sz w:val="24"/>
          <w:szCs w:val="24"/>
        </w:rPr>
        <w:t>Disease</w:t>
      </w:r>
      <w:proofErr w:type="spellEnd"/>
      <w:r w:rsidRPr="004C69FA">
        <w:rPr>
          <w:sz w:val="24"/>
          <w:szCs w:val="24"/>
        </w:rPr>
        <w:t xml:space="preserve"> </w:t>
      </w:r>
      <w:proofErr w:type="spellStart"/>
      <w:r w:rsidRPr="004C69FA">
        <w:rPr>
          <w:sz w:val="24"/>
          <w:szCs w:val="24"/>
        </w:rPr>
        <w:t>Endpoints</w:t>
      </w:r>
      <w:proofErr w:type="spellEnd"/>
      <w:r w:rsidRPr="004C69FA">
        <w:rPr>
          <w:sz w:val="24"/>
          <w:szCs w:val="24"/>
        </w:rPr>
        <w:t xml:space="preserve">) var et studie, der skulle undersøge fordelen ved at tilføje </w:t>
      </w:r>
      <w:proofErr w:type="spellStart"/>
      <w:r w:rsidRPr="004C69FA">
        <w:rPr>
          <w:sz w:val="24"/>
          <w:szCs w:val="24"/>
        </w:rPr>
        <w:t>aliskiren</w:t>
      </w:r>
      <w:proofErr w:type="spellEnd"/>
      <w:r w:rsidRPr="004C69FA">
        <w:rPr>
          <w:sz w:val="24"/>
          <w:szCs w:val="24"/>
        </w:rPr>
        <w:t xml:space="preserve"> til standardbehandling med en ACE-hæmmer eller en </w:t>
      </w:r>
      <w:proofErr w:type="spellStart"/>
      <w:r w:rsidRPr="004C69FA">
        <w:rPr>
          <w:sz w:val="24"/>
          <w:szCs w:val="24"/>
        </w:rPr>
        <w:t>angiotensin</w:t>
      </w:r>
      <w:proofErr w:type="spellEnd"/>
      <w:r w:rsidRPr="004C69FA">
        <w:rPr>
          <w:sz w:val="24"/>
          <w:szCs w:val="24"/>
        </w:rPr>
        <w:t xml:space="preserve"> II-receptorantagonist hos patienter med type 2-diabetes mellitus og kronisk nyresygdom, </w:t>
      </w:r>
      <w:proofErr w:type="spellStart"/>
      <w:r w:rsidRPr="004C69FA">
        <w:rPr>
          <w:sz w:val="24"/>
          <w:szCs w:val="24"/>
        </w:rPr>
        <w:t>kardiovaskulær</w:t>
      </w:r>
      <w:proofErr w:type="spellEnd"/>
      <w:r w:rsidRPr="004C69FA">
        <w:rPr>
          <w:sz w:val="24"/>
          <w:szCs w:val="24"/>
        </w:rPr>
        <w:t xml:space="preserve"> sygdom </w:t>
      </w:r>
      <w:r w:rsidRPr="004C69FA">
        <w:rPr>
          <w:sz w:val="24"/>
          <w:szCs w:val="24"/>
        </w:rPr>
        <w:lastRenderedPageBreak/>
        <w:t xml:space="preserve">eller begge. Dette studie blev afsluttet tidligt pga. en øget risiko for bivirkninger. Både </w:t>
      </w:r>
      <w:proofErr w:type="spellStart"/>
      <w:r w:rsidRPr="004C69FA">
        <w:rPr>
          <w:sz w:val="24"/>
          <w:szCs w:val="24"/>
        </w:rPr>
        <w:t>kardiovaskulære</w:t>
      </w:r>
      <w:proofErr w:type="spellEnd"/>
      <w:r w:rsidRPr="004C69FA">
        <w:rPr>
          <w:sz w:val="24"/>
          <w:szCs w:val="24"/>
        </w:rPr>
        <w:t xml:space="preserve"> dødsfald og apopleksi var numerisk hyppigere forekommende i </w:t>
      </w:r>
      <w:proofErr w:type="spellStart"/>
      <w:r w:rsidRPr="004C69FA">
        <w:rPr>
          <w:sz w:val="24"/>
          <w:szCs w:val="24"/>
        </w:rPr>
        <w:t>aliskiren</w:t>
      </w:r>
      <w:proofErr w:type="spellEnd"/>
      <w:r w:rsidRPr="004C69FA">
        <w:rPr>
          <w:sz w:val="24"/>
          <w:szCs w:val="24"/>
        </w:rPr>
        <w:t xml:space="preserve">-gruppen end i placebogruppen, og bivirkninger og relevante alvorlige bivirkninger (såsom </w:t>
      </w:r>
      <w:proofErr w:type="spellStart"/>
      <w:r w:rsidRPr="004C69FA">
        <w:rPr>
          <w:sz w:val="24"/>
          <w:szCs w:val="24"/>
        </w:rPr>
        <w:t>hyperkaliæmi</w:t>
      </w:r>
      <w:proofErr w:type="spellEnd"/>
      <w:r w:rsidRPr="004C69FA">
        <w:rPr>
          <w:sz w:val="24"/>
          <w:szCs w:val="24"/>
        </w:rPr>
        <w:t xml:space="preserve">, hypotension og nedsat nyrefunktion) blev rapporteret hyppigere i </w:t>
      </w:r>
      <w:proofErr w:type="spellStart"/>
      <w:r w:rsidRPr="004C69FA">
        <w:rPr>
          <w:sz w:val="24"/>
          <w:szCs w:val="24"/>
        </w:rPr>
        <w:t>aliskiren</w:t>
      </w:r>
      <w:proofErr w:type="spellEnd"/>
      <w:r w:rsidRPr="004C69FA">
        <w:rPr>
          <w:sz w:val="24"/>
          <w:szCs w:val="24"/>
        </w:rPr>
        <w:t>-gruppen end i placebogruppen.</w:t>
      </w:r>
      <w:r w:rsidRPr="004C69FA" w:rsidDel="00341A9A">
        <w:rPr>
          <w:sz w:val="24"/>
          <w:szCs w:val="24"/>
        </w:rPr>
        <w:t xml:space="preserve"> </w:t>
      </w:r>
    </w:p>
    <w:p w:rsidR="003E5ED1" w:rsidRDefault="003E5ED1" w:rsidP="003E5ED1">
      <w:pPr>
        <w:autoSpaceDE w:val="0"/>
        <w:autoSpaceDN w:val="0"/>
        <w:adjustRightInd w:val="0"/>
        <w:ind w:firstLine="851"/>
        <w:rPr>
          <w:sz w:val="24"/>
          <w:szCs w:val="24"/>
        </w:rPr>
      </w:pPr>
    </w:p>
    <w:p w:rsidR="003E5ED1" w:rsidRPr="0001331C" w:rsidRDefault="003E5ED1" w:rsidP="003E5ED1">
      <w:pPr>
        <w:autoSpaceDE w:val="0"/>
        <w:autoSpaceDN w:val="0"/>
        <w:adjustRightInd w:val="0"/>
        <w:ind w:firstLine="851"/>
        <w:rPr>
          <w:sz w:val="24"/>
          <w:szCs w:val="24"/>
        </w:rPr>
      </w:pPr>
      <w:r w:rsidRPr="004C69FA">
        <w:rPr>
          <w:i/>
          <w:sz w:val="24"/>
          <w:szCs w:val="24"/>
        </w:rPr>
        <w:t>Pædiatrisk population</w:t>
      </w:r>
    </w:p>
    <w:p w:rsidR="003E5ED1" w:rsidRPr="004C69FA" w:rsidRDefault="003E5ED1" w:rsidP="003E5ED1">
      <w:pPr>
        <w:autoSpaceDE w:val="0"/>
        <w:autoSpaceDN w:val="0"/>
        <w:adjustRightInd w:val="0"/>
        <w:rPr>
          <w:sz w:val="24"/>
          <w:szCs w:val="24"/>
        </w:rPr>
      </w:pPr>
    </w:p>
    <w:p w:rsidR="003E5ED1" w:rsidRDefault="003E5ED1" w:rsidP="003E5ED1">
      <w:pPr>
        <w:autoSpaceDE w:val="0"/>
        <w:autoSpaceDN w:val="0"/>
        <w:adjustRightInd w:val="0"/>
        <w:ind w:firstLine="851"/>
        <w:rPr>
          <w:sz w:val="24"/>
          <w:szCs w:val="24"/>
          <w:u w:val="single"/>
        </w:rPr>
      </w:pPr>
      <w:r>
        <w:rPr>
          <w:sz w:val="24"/>
          <w:szCs w:val="24"/>
          <w:u w:val="single"/>
        </w:rPr>
        <w:t xml:space="preserve">Hypertension </w:t>
      </w:r>
    </w:p>
    <w:p w:rsidR="003E5ED1" w:rsidRDefault="003E5ED1" w:rsidP="003E5ED1">
      <w:pPr>
        <w:autoSpaceDE w:val="0"/>
        <w:autoSpaceDN w:val="0"/>
        <w:adjustRightInd w:val="0"/>
        <w:ind w:left="851"/>
        <w:rPr>
          <w:sz w:val="24"/>
          <w:szCs w:val="24"/>
        </w:rPr>
      </w:pPr>
      <w:proofErr w:type="spellStart"/>
      <w:r>
        <w:rPr>
          <w:sz w:val="24"/>
          <w:szCs w:val="24"/>
        </w:rPr>
        <w:t>Valsartans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blevet evalueret i fire randomiserede, dobbeltblindede kliniske studier med 561 pædiatriske patienter i alderen 6 til under 18 år og med 165 pædiatriske patienter i alderen 1 til 6 år. </w:t>
      </w:r>
    </w:p>
    <w:p w:rsidR="003E5ED1" w:rsidRDefault="003E5ED1" w:rsidP="003E5ED1">
      <w:pPr>
        <w:autoSpaceDE w:val="0"/>
        <w:autoSpaceDN w:val="0"/>
        <w:adjustRightInd w:val="0"/>
        <w:ind w:left="851"/>
        <w:rPr>
          <w:sz w:val="24"/>
          <w:szCs w:val="24"/>
        </w:rPr>
      </w:pPr>
      <w:r>
        <w:rPr>
          <w:sz w:val="24"/>
          <w:szCs w:val="24"/>
        </w:rPr>
        <w:t>Nyre- og urinvejslidelser og fedme var de mest almindelige underliggende medicinske tilstande, som bidrog til hypertension hos børnene inkluderet i disse studier.</w:t>
      </w:r>
    </w:p>
    <w:p w:rsidR="003E5ED1" w:rsidRPr="004C69FA" w:rsidRDefault="003E5ED1" w:rsidP="003E5ED1">
      <w:pPr>
        <w:autoSpaceDE w:val="0"/>
        <w:autoSpaceDN w:val="0"/>
        <w:adjustRightInd w:val="0"/>
        <w:rPr>
          <w:i/>
          <w:iCs/>
          <w:sz w:val="24"/>
          <w:szCs w:val="24"/>
        </w:rPr>
      </w:pPr>
    </w:p>
    <w:p w:rsidR="003E5ED1" w:rsidRPr="004C69FA" w:rsidRDefault="003E5ED1" w:rsidP="003E5ED1">
      <w:pPr>
        <w:autoSpaceDE w:val="0"/>
        <w:autoSpaceDN w:val="0"/>
        <w:adjustRightInd w:val="0"/>
        <w:ind w:firstLine="851"/>
        <w:rPr>
          <w:i/>
          <w:iCs/>
          <w:sz w:val="24"/>
          <w:szCs w:val="24"/>
          <w:u w:val="single"/>
        </w:rPr>
      </w:pPr>
      <w:r w:rsidRPr="004C69FA">
        <w:rPr>
          <w:i/>
          <w:iCs/>
          <w:sz w:val="24"/>
          <w:szCs w:val="24"/>
          <w:u w:val="single"/>
        </w:rPr>
        <w:t>Klinisk erfaring med børn på eller over 6 år</w:t>
      </w:r>
    </w:p>
    <w:p w:rsidR="003E5ED1" w:rsidRPr="004C69FA" w:rsidRDefault="003E5ED1" w:rsidP="003E5ED1">
      <w:pPr>
        <w:autoSpaceDE w:val="0"/>
        <w:autoSpaceDN w:val="0"/>
        <w:adjustRightInd w:val="0"/>
        <w:ind w:left="851"/>
        <w:rPr>
          <w:sz w:val="24"/>
          <w:szCs w:val="24"/>
        </w:rPr>
      </w:pPr>
      <w:r w:rsidRPr="004C69FA">
        <w:rPr>
          <w:sz w:val="24"/>
          <w:szCs w:val="24"/>
        </w:rPr>
        <w:t xml:space="preserve">I et klinisk studie med 261, der inkluderede </w:t>
      </w:r>
      <w:proofErr w:type="spellStart"/>
      <w:r w:rsidRPr="004C69FA">
        <w:rPr>
          <w:sz w:val="24"/>
          <w:szCs w:val="24"/>
        </w:rPr>
        <w:t>hypertensive</w:t>
      </w:r>
      <w:proofErr w:type="spellEnd"/>
      <w:r w:rsidRPr="004C69FA">
        <w:rPr>
          <w:sz w:val="24"/>
          <w:szCs w:val="24"/>
        </w:rPr>
        <w:t xml:space="preserve"> pædiatriske patienter i alderen 6 til 16 år, fik patienter, som vejede &lt;</w:t>
      </w:r>
      <w:smartTag w:uri="urn:schemas-microsoft-com:office:smarttags" w:element="metricconverter">
        <w:smartTagPr>
          <w:attr w:name="ProductID" w:val="35 kg"/>
        </w:smartTagPr>
        <w:r w:rsidRPr="004C69FA">
          <w:rPr>
            <w:sz w:val="24"/>
            <w:szCs w:val="24"/>
          </w:rPr>
          <w:t>35 kg</w:t>
        </w:r>
      </w:smartTag>
      <w:r w:rsidRPr="004C69FA">
        <w:rPr>
          <w:sz w:val="24"/>
          <w:szCs w:val="24"/>
        </w:rPr>
        <w:t xml:space="preserve"> 10, 40 eller 80 mg </w:t>
      </w:r>
      <w:proofErr w:type="spellStart"/>
      <w:r w:rsidRPr="004C69FA">
        <w:rPr>
          <w:sz w:val="24"/>
          <w:szCs w:val="24"/>
        </w:rPr>
        <w:t>valsartantabletter</w:t>
      </w:r>
      <w:proofErr w:type="spellEnd"/>
      <w:r w:rsidRPr="004C69FA">
        <w:rPr>
          <w:sz w:val="24"/>
          <w:szCs w:val="24"/>
        </w:rPr>
        <w:t xml:space="preserve"> dagligt (lav, middel og høj dosis), og patienter, som vejede </w:t>
      </w:r>
      <w:r w:rsidRPr="004C69FA">
        <w:rPr>
          <w:sz w:val="24"/>
          <w:szCs w:val="24"/>
          <w:u w:val="single"/>
        </w:rPr>
        <w:t>&gt;</w:t>
      </w:r>
      <w:smartTag w:uri="urn:schemas-microsoft-com:office:smarttags" w:element="metricconverter">
        <w:smartTagPr>
          <w:attr w:name="ProductID" w:val="35 kg"/>
        </w:smartTagPr>
        <w:r w:rsidRPr="004C69FA">
          <w:rPr>
            <w:sz w:val="24"/>
            <w:szCs w:val="24"/>
          </w:rPr>
          <w:t>35 kg</w:t>
        </w:r>
      </w:smartTag>
      <w:r w:rsidRPr="004C69FA">
        <w:rPr>
          <w:sz w:val="24"/>
          <w:szCs w:val="24"/>
        </w:rPr>
        <w:t xml:space="preserve"> fik 20, 80 eller 160 mg </w:t>
      </w:r>
      <w:proofErr w:type="spellStart"/>
      <w:r w:rsidRPr="004C69FA">
        <w:rPr>
          <w:sz w:val="24"/>
          <w:szCs w:val="24"/>
        </w:rPr>
        <w:t>valsartantabletter</w:t>
      </w:r>
      <w:proofErr w:type="spellEnd"/>
      <w:r w:rsidRPr="004C69FA">
        <w:rPr>
          <w:sz w:val="24"/>
          <w:szCs w:val="24"/>
        </w:rPr>
        <w:t xml:space="preserve"> dagligt (lav, middel og høj dosis). Ved slutningen af 2 uger reducerede </w:t>
      </w:r>
      <w:proofErr w:type="spellStart"/>
      <w:r w:rsidRPr="004C69FA">
        <w:rPr>
          <w:sz w:val="24"/>
          <w:szCs w:val="24"/>
        </w:rPr>
        <w:t>valsartan</w:t>
      </w:r>
      <w:proofErr w:type="spellEnd"/>
      <w:r w:rsidRPr="004C69FA">
        <w:rPr>
          <w:sz w:val="24"/>
          <w:szCs w:val="24"/>
        </w:rPr>
        <w:t xml:space="preserve"> både systolisk og diastolisk blodtryk på en dosisafhængig måde. </w:t>
      </w:r>
    </w:p>
    <w:p w:rsidR="003E5ED1" w:rsidRPr="004C69FA" w:rsidRDefault="003E5ED1" w:rsidP="003E5ED1">
      <w:pPr>
        <w:autoSpaceDE w:val="0"/>
        <w:autoSpaceDN w:val="0"/>
        <w:adjustRightInd w:val="0"/>
        <w:ind w:left="851"/>
        <w:rPr>
          <w:sz w:val="24"/>
          <w:szCs w:val="24"/>
        </w:rPr>
      </w:pPr>
      <w:r w:rsidRPr="004C69FA">
        <w:rPr>
          <w:sz w:val="24"/>
          <w:szCs w:val="24"/>
        </w:rPr>
        <w:t xml:space="preserve">Overordnet reducerede de tre dosisniveauer af </w:t>
      </w:r>
      <w:proofErr w:type="spellStart"/>
      <w:r w:rsidRPr="004C69FA">
        <w:rPr>
          <w:sz w:val="24"/>
          <w:szCs w:val="24"/>
        </w:rPr>
        <w:t>valsartan</w:t>
      </w:r>
      <w:proofErr w:type="spellEnd"/>
      <w:r w:rsidRPr="004C69FA">
        <w:rPr>
          <w:sz w:val="24"/>
          <w:szCs w:val="24"/>
        </w:rPr>
        <w:t xml:space="preserve"> (lav, middel og høj) signifikant det systoliske blodtryk med henholdsvis 8, 10, 12 </w:t>
      </w:r>
      <w:proofErr w:type="spellStart"/>
      <w:r w:rsidRPr="004C69FA">
        <w:rPr>
          <w:sz w:val="24"/>
          <w:szCs w:val="24"/>
        </w:rPr>
        <w:t>mmHg</w:t>
      </w:r>
      <w:proofErr w:type="spellEnd"/>
      <w:r w:rsidRPr="004C69FA">
        <w:rPr>
          <w:sz w:val="24"/>
          <w:szCs w:val="24"/>
        </w:rPr>
        <w:t xml:space="preserve"> fra baseline. Patienter blev igen</w:t>
      </w:r>
      <w:r>
        <w:rPr>
          <w:sz w:val="24"/>
          <w:szCs w:val="24"/>
        </w:rPr>
        <w:t xml:space="preserve"> </w:t>
      </w:r>
      <w:r w:rsidRPr="004C69FA">
        <w:rPr>
          <w:sz w:val="24"/>
          <w:szCs w:val="24"/>
        </w:rPr>
        <w:t xml:space="preserve">randomiseret til enten at fortsætte med at få den samme dosis af </w:t>
      </w:r>
      <w:proofErr w:type="spellStart"/>
      <w:r w:rsidRPr="004C69FA">
        <w:rPr>
          <w:sz w:val="24"/>
          <w:szCs w:val="24"/>
        </w:rPr>
        <w:t>valsartan</w:t>
      </w:r>
      <w:proofErr w:type="spellEnd"/>
      <w:r w:rsidRPr="004C69FA">
        <w:rPr>
          <w:sz w:val="24"/>
          <w:szCs w:val="24"/>
        </w:rPr>
        <w:t xml:space="preserve">, eller blev skiftet til placebo. Hos patienter, som forsatte med at få middel og højdosis af </w:t>
      </w:r>
      <w:proofErr w:type="spellStart"/>
      <w:r w:rsidRPr="004C69FA">
        <w:rPr>
          <w:sz w:val="24"/>
          <w:szCs w:val="24"/>
        </w:rPr>
        <w:t>valsartan</w:t>
      </w:r>
      <w:proofErr w:type="spellEnd"/>
      <w:r w:rsidRPr="004C69FA">
        <w:rPr>
          <w:sz w:val="24"/>
          <w:szCs w:val="24"/>
        </w:rPr>
        <w:t xml:space="preserve">, var systolisk blodtryk ved </w:t>
      </w:r>
      <w:proofErr w:type="spellStart"/>
      <w:r w:rsidRPr="004C69FA">
        <w:rPr>
          <w:i/>
          <w:iCs/>
          <w:sz w:val="24"/>
          <w:szCs w:val="24"/>
        </w:rPr>
        <w:t>trough</w:t>
      </w:r>
      <w:proofErr w:type="spellEnd"/>
      <w:r w:rsidRPr="004C69FA">
        <w:rPr>
          <w:i/>
          <w:iCs/>
          <w:sz w:val="24"/>
          <w:szCs w:val="24"/>
        </w:rPr>
        <w:t xml:space="preserve"> </w:t>
      </w:r>
      <w:r w:rsidRPr="004C69FA">
        <w:rPr>
          <w:sz w:val="24"/>
          <w:szCs w:val="24"/>
        </w:rPr>
        <w:t xml:space="preserve">-4 og -7 </w:t>
      </w:r>
      <w:proofErr w:type="spellStart"/>
      <w:r w:rsidRPr="004C69FA">
        <w:rPr>
          <w:sz w:val="24"/>
          <w:szCs w:val="24"/>
        </w:rPr>
        <w:t>mmHg</w:t>
      </w:r>
      <w:proofErr w:type="spellEnd"/>
      <w:r w:rsidRPr="004C69FA">
        <w:rPr>
          <w:sz w:val="24"/>
          <w:szCs w:val="24"/>
        </w:rPr>
        <w:t xml:space="preserve"> lavere end hos patienter, som fik placebobehandling. Hos patienter, som fik den lave dosis af </w:t>
      </w:r>
      <w:proofErr w:type="spellStart"/>
      <w:r w:rsidRPr="004C69FA">
        <w:rPr>
          <w:sz w:val="24"/>
          <w:szCs w:val="24"/>
        </w:rPr>
        <w:t>valsartan</w:t>
      </w:r>
      <w:proofErr w:type="spellEnd"/>
      <w:r w:rsidRPr="004C69FA">
        <w:rPr>
          <w:sz w:val="24"/>
          <w:szCs w:val="24"/>
        </w:rPr>
        <w:t xml:space="preserve">, var systolisk blodtryk ved </w:t>
      </w:r>
      <w:proofErr w:type="spellStart"/>
      <w:r w:rsidRPr="004C69FA">
        <w:rPr>
          <w:i/>
          <w:iCs/>
          <w:sz w:val="24"/>
          <w:szCs w:val="24"/>
        </w:rPr>
        <w:t>trough</w:t>
      </w:r>
      <w:proofErr w:type="spellEnd"/>
      <w:r w:rsidRPr="004C69FA">
        <w:rPr>
          <w:i/>
          <w:iCs/>
          <w:sz w:val="24"/>
          <w:szCs w:val="24"/>
        </w:rPr>
        <w:t xml:space="preserve"> </w:t>
      </w:r>
      <w:r w:rsidRPr="004C69FA">
        <w:rPr>
          <w:sz w:val="24"/>
          <w:szCs w:val="24"/>
        </w:rPr>
        <w:t xml:space="preserve">tilsvarende det for patienter, som fik placebobehandling. Samlet var den dosisafhængige </w:t>
      </w:r>
      <w:proofErr w:type="spellStart"/>
      <w:r w:rsidRPr="004C69FA">
        <w:rPr>
          <w:sz w:val="24"/>
          <w:szCs w:val="24"/>
        </w:rPr>
        <w:t>antihypertensive</w:t>
      </w:r>
      <w:proofErr w:type="spellEnd"/>
      <w:r w:rsidRPr="004C69FA">
        <w:rPr>
          <w:sz w:val="24"/>
          <w:szCs w:val="24"/>
        </w:rPr>
        <w:t xml:space="preserve"> virkning af </w:t>
      </w:r>
      <w:proofErr w:type="spellStart"/>
      <w:r w:rsidRPr="004C69FA">
        <w:rPr>
          <w:sz w:val="24"/>
          <w:szCs w:val="24"/>
        </w:rPr>
        <w:t>valsartan</w:t>
      </w:r>
      <w:proofErr w:type="spellEnd"/>
      <w:r w:rsidRPr="004C69FA">
        <w:rPr>
          <w:sz w:val="24"/>
          <w:szCs w:val="24"/>
        </w:rPr>
        <w:t xml:space="preserve"> konstant tværs over alle demografiske undergrupper.</w:t>
      </w:r>
    </w:p>
    <w:p w:rsidR="003E5ED1" w:rsidRPr="004C69FA" w:rsidRDefault="003E5ED1" w:rsidP="003E5ED1">
      <w:pPr>
        <w:autoSpaceDE w:val="0"/>
        <w:autoSpaceDN w:val="0"/>
        <w:adjustRightInd w:val="0"/>
        <w:rPr>
          <w:sz w:val="24"/>
          <w:szCs w:val="24"/>
        </w:rPr>
      </w:pPr>
    </w:p>
    <w:p w:rsidR="003E5ED1" w:rsidRDefault="003E5ED1" w:rsidP="003E5ED1">
      <w:pPr>
        <w:autoSpaceDE w:val="0"/>
        <w:autoSpaceDN w:val="0"/>
        <w:adjustRightInd w:val="0"/>
        <w:ind w:left="851"/>
        <w:rPr>
          <w:sz w:val="24"/>
          <w:szCs w:val="24"/>
        </w:rPr>
      </w:pPr>
      <w:r>
        <w:rPr>
          <w:sz w:val="24"/>
          <w:szCs w:val="24"/>
        </w:rPr>
        <w:t xml:space="preserve">I et andet klinisk forsøg, hvor 300 </w:t>
      </w:r>
      <w:proofErr w:type="spellStart"/>
      <w:r>
        <w:rPr>
          <w:sz w:val="24"/>
          <w:szCs w:val="24"/>
        </w:rPr>
        <w:t>hypertensive</w:t>
      </w:r>
      <w:proofErr w:type="spellEnd"/>
      <w:r>
        <w:rPr>
          <w:sz w:val="24"/>
          <w:szCs w:val="24"/>
        </w:rPr>
        <w:t xml:space="preserve"> pædiatriske patienter i alderen 6 til under 18 år, blev egnede patienter randomiseret til at få </w:t>
      </w:r>
      <w:proofErr w:type="spellStart"/>
      <w:r>
        <w:rPr>
          <w:sz w:val="24"/>
          <w:szCs w:val="24"/>
        </w:rPr>
        <w:t>valsartan</w:t>
      </w:r>
      <w:proofErr w:type="spellEnd"/>
      <w:r>
        <w:rPr>
          <w:sz w:val="24"/>
          <w:szCs w:val="24"/>
        </w:rPr>
        <w:t xml:space="preserve"> eller </w:t>
      </w:r>
      <w:proofErr w:type="spellStart"/>
      <w:r>
        <w:rPr>
          <w:sz w:val="24"/>
          <w:szCs w:val="24"/>
        </w:rPr>
        <w:t>enalapriltabletter</w:t>
      </w:r>
      <w:proofErr w:type="spellEnd"/>
      <w:r>
        <w:rPr>
          <w:sz w:val="24"/>
          <w:szCs w:val="24"/>
        </w:rPr>
        <w:t xml:space="preserve"> i 12 uger. Børn, der vejede mellem </w:t>
      </w:r>
      <w:r>
        <w:rPr>
          <w:sz w:val="24"/>
          <w:szCs w:val="24"/>
          <w:u w:val="single"/>
        </w:rPr>
        <w:t>&gt;</w:t>
      </w:r>
      <w:r>
        <w:rPr>
          <w:sz w:val="24"/>
          <w:szCs w:val="24"/>
        </w:rPr>
        <w:t xml:space="preserve">18 kg og &lt;35 kg fik </w:t>
      </w:r>
      <w:proofErr w:type="spellStart"/>
      <w:r>
        <w:rPr>
          <w:sz w:val="24"/>
          <w:szCs w:val="24"/>
        </w:rPr>
        <w:t>valsartan</w:t>
      </w:r>
      <w:proofErr w:type="spellEnd"/>
      <w:r>
        <w:rPr>
          <w:sz w:val="24"/>
          <w:szCs w:val="24"/>
        </w:rPr>
        <w:t xml:space="preserve"> 80 mg eller </w:t>
      </w:r>
      <w:proofErr w:type="spellStart"/>
      <w:r>
        <w:rPr>
          <w:sz w:val="24"/>
          <w:szCs w:val="24"/>
        </w:rPr>
        <w:t>enalapril</w:t>
      </w:r>
      <w:proofErr w:type="spellEnd"/>
      <w:r>
        <w:rPr>
          <w:sz w:val="24"/>
          <w:szCs w:val="24"/>
        </w:rPr>
        <w:t xml:space="preserve"> 10 mg. De patienter der vejede mellem </w:t>
      </w:r>
      <w:r>
        <w:rPr>
          <w:sz w:val="24"/>
          <w:szCs w:val="24"/>
          <w:u w:val="single"/>
        </w:rPr>
        <w:t>&gt;</w:t>
      </w:r>
      <w:r>
        <w:rPr>
          <w:sz w:val="24"/>
          <w:szCs w:val="24"/>
        </w:rPr>
        <w:t xml:space="preserve">35 kg og &lt;80 kg fik </w:t>
      </w:r>
      <w:proofErr w:type="spellStart"/>
      <w:r>
        <w:rPr>
          <w:sz w:val="24"/>
          <w:szCs w:val="24"/>
        </w:rPr>
        <w:t>valsartan</w:t>
      </w:r>
      <w:proofErr w:type="spellEnd"/>
      <w:r>
        <w:rPr>
          <w:sz w:val="24"/>
          <w:szCs w:val="24"/>
        </w:rPr>
        <w:t xml:space="preserve"> 160 mg eller </w:t>
      </w:r>
      <w:proofErr w:type="spellStart"/>
      <w:r>
        <w:rPr>
          <w:sz w:val="24"/>
          <w:szCs w:val="24"/>
        </w:rPr>
        <w:t>enalapril</w:t>
      </w:r>
      <w:proofErr w:type="spellEnd"/>
      <w:r>
        <w:rPr>
          <w:sz w:val="24"/>
          <w:szCs w:val="24"/>
        </w:rPr>
        <w:t xml:space="preserve"> 20 mg og de der var </w:t>
      </w:r>
      <w:r>
        <w:rPr>
          <w:sz w:val="24"/>
          <w:szCs w:val="24"/>
          <w:u w:val="single"/>
        </w:rPr>
        <w:t>&gt;</w:t>
      </w:r>
      <w:r>
        <w:rPr>
          <w:sz w:val="24"/>
          <w:szCs w:val="24"/>
        </w:rPr>
        <w:t xml:space="preserve">80 kg fik </w:t>
      </w:r>
      <w:proofErr w:type="spellStart"/>
      <w:r>
        <w:rPr>
          <w:sz w:val="24"/>
          <w:szCs w:val="24"/>
        </w:rPr>
        <w:t>valsartan</w:t>
      </w:r>
      <w:proofErr w:type="spellEnd"/>
      <w:r>
        <w:rPr>
          <w:sz w:val="24"/>
          <w:szCs w:val="24"/>
        </w:rPr>
        <w:t xml:space="preserve"> 320 mg eller </w:t>
      </w:r>
      <w:proofErr w:type="spellStart"/>
      <w:r>
        <w:rPr>
          <w:sz w:val="24"/>
          <w:szCs w:val="24"/>
        </w:rPr>
        <w:t>enalapril</w:t>
      </w:r>
      <w:proofErr w:type="spellEnd"/>
      <w:r>
        <w:rPr>
          <w:sz w:val="24"/>
          <w:szCs w:val="24"/>
        </w:rPr>
        <w:t xml:space="preserve"> 40 mg. Sænkningen i systolisk blodtryk var ens for patienter, som fik </w:t>
      </w:r>
      <w:proofErr w:type="spellStart"/>
      <w:r>
        <w:rPr>
          <w:sz w:val="24"/>
          <w:szCs w:val="24"/>
        </w:rPr>
        <w:t>valsartan</w:t>
      </w:r>
      <w:proofErr w:type="spellEnd"/>
      <w:r>
        <w:rPr>
          <w:sz w:val="24"/>
          <w:szCs w:val="24"/>
        </w:rPr>
        <w:t xml:space="preserve"> (15 </w:t>
      </w:r>
      <w:proofErr w:type="spellStart"/>
      <w:r>
        <w:rPr>
          <w:sz w:val="24"/>
          <w:szCs w:val="24"/>
        </w:rPr>
        <w:t>mmHg</w:t>
      </w:r>
      <w:proofErr w:type="spellEnd"/>
      <w:r>
        <w:rPr>
          <w:sz w:val="24"/>
          <w:szCs w:val="24"/>
        </w:rPr>
        <w:t xml:space="preserve">) og </w:t>
      </w:r>
      <w:proofErr w:type="spellStart"/>
      <w:r>
        <w:rPr>
          <w:sz w:val="24"/>
          <w:szCs w:val="24"/>
        </w:rPr>
        <w:t>enalapril</w:t>
      </w:r>
      <w:proofErr w:type="spellEnd"/>
      <w:r>
        <w:rPr>
          <w:sz w:val="24"/>
          <w:szCs w:val="24"/>
        </w:rPr>
        <w:t xml:space="preserve"> (14 </w:t>
      </w:r>
      <w:proofErr w:type="spellStart"/>
      <w:r>
        <w:rPr>
          <w:sz w:val="24"/>
          <w:szCs w:val="24"/>
        </w:rPr>
        <w:t>mmHg</w:t>
      </w:r>
      <w:proofErr w:type="spellEnd"/>
      <w:r>
        <w:rPr>
          <w:sz w:val="24"/>
          <w:szCs w:val="24"/>
        </w:rPr>
        <w:t xml:space="preserve">) (non-inferioritet </w:t>
      </w:r>
      <w:proofErr w:type="spellStart"/>
      <w:r>
        <w:rPr>
          <w:sz w:val="24"/>
          <w:szCs w:val="24"/>
        </w:rPr>
        <w:t>p-værdi</w:t>
      </w:r>
      <w:proofErr w:type="spellEnd"/>
      <w:r>
        <w:rPr>
          <w:sz w:val="24"/>
          <w:szCs w:val="24"/>
        </w:rPr>
        <w:t xml:space="preserve"> &lt;0,0001). Der blev set ensartede resultater for diastolisk blodtryk med reduktioner på 9,1 </w:t>
      </w:r>
      <w:proofErr w:type="spellStart"/>
      <w:r>
        <w:rPr>
          <w:sz w:val="24"/>
          <w:szCs w:val="24"/>
        </w:rPr>
        <w:t>mmHg</w:t>
      </w:r>
      <w:proofErr w:type="spellEnd"/>
      <w:r>
        <w:rPr>
          <w:sz w:val="24"/>
          <w:szCs w:val="24"/>
        </w:rPr>
        <w:t xml:space="preserve"> og 8,5 </w:t>
      </w:r>
      <w:proofErr w:type="spellStart"/>
      <w:r>
        <w:rPr>
          <w:sz w:val="24"/>
          <w:szCs w:val="24"/>
        </w:rPr>
        <w:t>mmHg</w:t>
      </w:r>
      <w:proofErr w:type="spellEnd"/>
      <w:r>
        <w:rPr>
          <w:sz w:val="24"/>
          <w:szCs w:val="24"/>
        </w:rPr>
        <w:t xml:space="preserve"> med henholdsvis </w:t>
      </w:r>
      <w:proofErr w:type="spellStart"/>
      <w:r>
        <w:rPr>
          <w:sz w:val="24"/>
          <w:szCs w:val="24"/>
        </w:rPr>
        <w:t>valsartan</w:t>
      </w:r>
      <w:proofErr w:type="spellEnd"/>
      <w:r>
        <w:rPr>
          <w:sz w:val="24"/>
          <w:szCs w:val="24"/>
        </w:rPr>
        <w:t xml:space="preserve"> og </w:t>
      </w:r>
      <w:proofErr w:type="spellStart"/>
      <w:r>
        <w:rPr>
          <w:sz w:val="24"/>
          <w:szCs w:val="24"/>
        </w:rPr>
        <w:t>enalapril</w:t>
      </w:r>
      <w:proofErr w:type="spellEnd"/>
      <w:r>
        <w:rPr>
          <w:sz w:val="24"/>
          <w:szCs w:val="24"/>
        </w:rPr>
        <w:t>.</w:t>
      </w:r>
    </w:p>
    <w:p w:rsidR="003E5ED1" w:rsidRDefault="003E5ED1" w:rsidP="003E5ED1">
      <w:pPr>
        <w:autoSpaceDE w:val="0"/>
        <w:autoSpaceDN w:val="0"/>
        <w:adjustRightInd w:val="0"/>
        <w:ind w:left="851"/>
        <w:rPr>
          <w:sz w:val="24"/>
          <w:szCs w:val="24"/>
        </w:rPr>
      </w:pPr>
    </w:p>
    <w:p w:rsidR="003E5ED1" w:rsidRPr="0001331C" w:rsidRDefault="003E5ED1" w:rsidP="003E5ED1">
      <w:pPr>
        <w:autoSpaceDE w:val="0"/>
        <w:autoSpaceDN w:val="0"/>
        <w:adjustRightInd w:val="0"/>
        <w:ind w:left="851"/>
        <w:rPr>
          <w:sz w:val="24"/>
          <w:szCs w:val="24"/>
        </w:rPr>
      </w:pPr>
      <w:bookmarkStart w:id="2" w:name="_Hlk503531003"/>
      <w:r>
        <w:rPr>
          <w:sz w:val="24"/>
          <w:szCs w:val="24"/>
        </w:rPr>
        <w:t>I et tredje åbent klinisk studie, med 150 </w:t>
      </w:r>
      <w:proofErr w:type="spellStart"/>
      <w:r>
        <w:rPr>
          <w:sz w:val="24"/>
          <w:szCs w:val="24"/>
        </w:rPr>
        <w:t>hypertensive</w:t>
      </w:r>
      <w:proofErr w:type="spellEnd"/>
      <w:r>
        <w:rPr>
          <w:sz w:val="24"/>
          <w:szCs w:val="24"/>
        </w:rPr>
        <w:t xml:space="preserve"> pædiatriske patienter i alderen 6 til 17 år, fik egnede patienter (systolisk BT </w:t>
      </w:r>
      <w:r>
        <w:t xml:space="preserve">≥95. </w:t>
      </w:r>
      <w:proofErr w:type="spellStart"/>
      <w:r>
        <w:t>percentil</w:t>
      </w:r>
      <w:proofErr w:type="spellEnd"/>
      <w:r>
        <w:t xml:space="preserve"> for alder, køn og højde) </w:t>
      </w:r>
      <w:proofErr w:type="spellStart"/>
      <w:r>
        <w:t>valsartan</w:t>
      </w:r>
      <w:proofErr w:type="spellEnd"/>
      <w:r>
        <w:t xml:space="preserve"> i 18 måneder for at evaluere sikkerhed og </w:t>
      </w:r>
      <w:proofErr w:type="spellStart"/>
      <w:r>
        <w:t>tolerabilitet</w:t>
      </w:r>
      <w:proofErr w:type="spellEnd"/>
      <w:r>
        <w:t xml:space="preserve">. Ud af de 150 patienter, som deltog i dette studie, fik 41 patienter også </w:t>
      </w:r>
      <w:proofErr w:type="spellStart"/>
      <w:r>
        <w:t>antihypertensiv</w:t>
      </w:r>
      <w:proofErr w:type="spellEnd"/>
      <w:r>
        <w:t xml:space="preserve"> medicin samtidig. Patienterne blev doseret ud fra deres vægtkategorier for start- og vedligeholdelsesdoser. Patienter, som vejede &gt;18 til &lt;35 kg, ≥35 til &lt;80 kg og ≥80 til &lt;160 kg, fik henholdsvis 40 mg, 80 mg og 160 mg, og doserne blev titreret til henholdsvis 80 mg, 160 mg og 320 mg efter én uge. Halvdelen af patienterne i studiet (50,0 %, n=75) havde CKD, heraf havde 29,3 % (44) af patienterne CKD i stadie 2 (GFR 60 – 80 </w:t>
      </w:r>
      <w:r>
        <w:rPr>
          <w:sz w:val="24"/>
          <w:szCs w:val="24"/>
        </w:rPr>
        <w:t>ml/min/1,73 m</w:t>
      </w:r>
      <w:r>
        <w:rPr>
          <w:sz w:val="24"/>
          <w:szCs w:val="24"/>
          <w:vertAlign w:val="superscript"/>
        </w:rPr>
        <w:t>2</w:t>
      </w:r>
      <w:r>
        <w:rPr>
          <w:sz w:val="24"/>
          <w:szCs w:val="24"/>
        </w:rPr>
        <w:t xml:space="preserve">) eller stadie 3 </w:t>
      </w:r>
      <w:r>
        <w:t>(GFR 30 – 59 </w:t>
      </w:r>
      <w:r>
        <w:rPr>
          <w:sz w:val="24"/>
          <w:szCs w:val="24"/>
        </w:rPr>
        <w:t>ml/min/1,73 m</w:t>
      </w:r>
      <w:r>
        <w:rPr>
          <w:sz w:val="24"/>
          <w:szCs w:val="24"/>
          <w:vertAlign w:val="superscript"/>
        </w:rPr>
        <w:t>2</w:t>
      </w:r>
      <w:r>
        <w:rPr>
          <w:sz w:val="24"/>
          <w:szCs w:val="24"/>
        </w:rPr>
        <w:t>). Den gennemsnitlige sænkning i systolisk blodtryk var 14,9 </w:t>
      </w:r>
      <w:proofErr w:type="spellStart"/>
      <w:r>
        <w:rPr>
          <w:sz w:val="24"/>
          <w:szCs w:val="24"/>
        </w:rPr>
        <w:t>mmHg</w:t>
      </w:r>
      <w:proofErr w:type="spellEnd"/>
      <w:r>
        <w:rPr>
          <w:sz w:val="24"/>
          <w:szCs w:val="24"/>
        </w:rPr>
        <w:t xml:space="preserve"> hos alle patienter (baseline 133,5 </w:t>
      </w:r>
      <w:proofErr w:type="spellStart"/>
      <w:r>
        <w:rPr>
          <w:sz w:val="24"/>
          <w:szCs w:val="24"/>
        </w:rPr>
        <w:t>mmHg</w:t>
      </w:r>
      <w:proofErr w:type="spellEnd"/>
      <w:r>
        <w:rPr>
          <w:sz w:val="24"/>
          <w:szCs w:val="24"/>
        </w:rPr>
        <w:t>), 18,4 </w:t>
      </w:r>
      <w:proofErr w:type="spellStart"/>
      <w:r>
        <w:rPr>
          <w:sz w:val="24"/>
          <w:szCs w:val="24"/>
        </w:rPr>
        <w:t>mmHg</w:t>
      </w:r>
      <w:proofErr w:type="spellEnd"/>
      <w:r>
        <w:rPr>
          <w:sz w:val="24"/>
          <w:szCs w:val="24"/>
        </w:rPr>
        <w:t xml:space="preserve"> hos patienter med CKD (baseline 131,9 </w:t>
      </w:r>
      <w:proofErr w:type="spellStart"/>
      <w:r>
        <w:rPr>
          <w:sz w:val="24"/>
          <w:szCs w:val="24"/>
        </w:rPr>
        <w:t>mmHg</w:t>
      </w:r>
      <w:proofErr w:type="spellEnd"/>
      <w:r>
        <w:rPr>
          <w:sz w:val="24"/>
          <w:szCs w:val="24"/>
        </w:rPr>
        <w:t>) og 11,5 </w:t>
      </w:r>
      <w:proofErr w:type="spellStart"/>
      <w:r>
        <w:rPr>
          <w:sz w:val="24"/>
          <w:szCs w:val="24"/>
        </w:rPr>
        <w:t>mmHg</w:t>
      </w:r>
      <w:proofErr w:type="spellEnd"/>
      <w:r>
        <w:rPr>
          <w:sz w:val="24"/>
          <w:szCs w:val="24"/>
        </w:rPr>
        <w:t xml:space="preserve"> hos patienter uden CKD (baseline 135,1 </w:t>
      </w:r>
      <w:proofErr w:type="spellStart"/>
      <w:r>
        <w:rPr>
          <w:sz w:val="24"/>
          <w:szCs w:val="24"/>
        </w:rPr>
        <w:t>mmHg</w:t>
      </w:r>
      <w:proofErr w:type="spellEnd"/>
      <w:r>
        <w:rPr>
          <w:sz w:val="24"/>
          <w:szCs w:val="24"/>
        </w:rPr>
        <w:t xml:space="preserve">). Procentdelen af patienter, som opnåede </w:t>
      </w:r>
      <w:r>
        <w:rPr>
          <w:sz w:val="24"/>
          <w:szCs w:val="24"/>
        </w:rPr>
        <w:lastRenderedPageBreak/>
        <w:t xml:space="preserve">overordnet BT-kontrol (både systolisk og diastolisk BT </w:t>
      </w:r>
      <w:r>
        <w:t xml:space="preserve">&lt;95. </w:t>
      </w:r>
      <w:proofErr w:type="spellStart"/>
      <w:r>
        <w:t>percentil</w:t>
      </w:r>
      <w:proofErr w:type="spellEnd"/>
      <w:r>
        <w:t>), var lidt højere i CKD-gruppen (79,5 %) sammenlignet med ikke-CKD-gruppen (72,2 %).</w:t>
      </w:r>
      <w:bookmarkEnd w:id="2"/>
    </w:p>
    <w:p w:rsidR="003E5ED1" w:rsidRPr="004C69FA" w:rsidRDefault="003E5ED1" w:rsidP="003E5ED1">
      <w:pPr>
        <w:autoSpaceDE w:val="0"/>
        <w:autoSpaceDN w:val="0"/>
        <w:adjustRightInd w:val="0"/>
        <w:rPr>
          <w:i/>
          <w:iCs/>
          <w:sz w:val="24"/>
          <w:szCs w:val="24"/>
        </w:rPr>
      </w:pPr>
    </w:p>
    <w:p w:rsidR="003E5ED1" w:rsidRDefault="003E5ED1" w:rsidP="003E5ED1">
      <w:pPr>
        <w:autoSpaceDE w:val="0"/>
        <w:autoSpaceDN w:val="0"/>
        <w:adjustRightInd w:val="0"/>
        <w:ind w:firstLine="851"/>
        <w:rPr>
          <w:i/>
          <w:iCs/>
          <w:sz w:val="24"/>
          <w:szCs w:val="24"/>
          <w:u w:val="single"/>
        </w:rPr>
      </w:pPr>
      <w:r>
        <w:rPr>
          <w:i/>
          <w:iCs/>
          <w:sz w:val="24"/>
          <w:szCs w:val="24"/>
          <w:u w:val="single"/>
        </w:rPr>
        <w:t>Klinisk erfaring med børn under 6 år</w:t>
      </w:r>
    </w:p>
    <w:p w:rsidR="003E5ED1" w:rsidRDefault="003E5ED1" w:rsidP="003E5ED1">
      <w:pPr>
        <w:tabs>
          <w:tab w:val="left" w:pos="851"/>
        </w:tabs>
        <w:ind w:left="851" w:hanging="851"/>
        <w:rPr>
          <w:sz w:val="24"/>
          <w:szCs w:val="24"/>
        </w:rPr>
      </w:pPr>
      <w:r>
        <w:rPr>
          <w:sz w:val="24"/>
          <w:szCs w:val="24"/>
        </w:rPr>
        <w:tab/>
        <w:t xml:space="preserve">Der er blevet gennemført tre kliniske forsøg med i alt 291 patienter i aldersgruppen 1 til 5 år. I disse forsøg blev der ikke inkluderet børn under 1 år. </w:t>
      </w:r>
    </w:p>
    <w:p w:rsidR="003E5ED1" w:rsidRDefault="003E5ED1" w:rsidP="003E5ED1">
      <w:pPr>
        <w:tabs>
          <w:tab w:val="left" w:pos="851"/>
        </w:tabs>
        <w:ind w:left="851" w:hanging="851"/>
        <w:rPr>
          <w:sz w:val="24"/>
          <w:szCs w:val="24"/>
        </w:rPr>
      </w:pPr>
    </w:p>
    <w:p w:rsidR="003E5ED1" w:rsidRDefault="003E5ED1" w:rsidP="003E5ED1">
      <w:pPr>
        <w:tabs>
          <w:tab w:val="left" w:pos="851"/>
        </w:tabs>
        <w:ind w:left="851" w:hanging="851"/>
        <w:rPr>
          <w:sz w:val="24"/>
          <w:szCs w:val="24"/>
        </w:rPr>
      </w:pPr>
      <w:r>
        <w:rPr>
          <w:sz w:val="24"/>
          <w:szCs w:val="24"/>
        </w:rPr>
        <w:tab/>
        <w:t xml:space="preserve">I det første forsøg med 90 patienter, kunne der ikke vises et dosisrespons men i det andet forsøg med 75 patienter, blev højere doser af </w:t>
      </w:r>
      <w:proofErr w:type="spellStart"/>
      <w:r>
        <w:rPr>
          <w:sz w:val="24"/>
          <w:szCs w:val="24"/>
        </w:rPr>
        <w:t>valsartan</w:t>
      </w:r>
      <w:proofErr w:type="spellEnd"/>
      <w:r>
        <w:rPr>
          <w:sz w:val="24"/>
          <w:szCs w:val="24"/>
        </w:rPr>
        <w:t xml:space="preserve"> forbundet med større blodtrykssænkning.</w:t>
      </w:r>
    </w:p>
    <w:p w:rsidR="003E5ED1" w:rsidRDefault="003E5ED1" w:rsidP="003E5ED1">
      <w:pPr>
        <w:tabs>
          <w:tab w:val="left" w:pos="851"/>
        </w:tabs>
        <w:ind w:left="851" w:hanging="851"/>
        <w:rPr>
          <w:sz w:val="24"/>
          <w:szCs w:val="24"/>
        </w:rPr>
      </w:pPr>
    </w:p>
    <w:p w:rsidR="003E5ED1" w:rsidRDefault="003E5ED1" w:rsidP="003E5ED1">
      <w:pPr>
        <w:tabs>
          <w:tab w:val="left" w:pos="851"/>
        </w:tabs>
        <w:ind w:left="851" w:hanging="851"/>
        <w:rPr>
          <w:sz w:val="24"/>
          <w:szCs w:val="24"/>
        </w:rPr>
      </w:pPr>
      <w:r>
        <w:rPr>
          <w:sz w:val="24"/>
          <w:szCs w:val="24"/>
        </w:rPr>
        <w:tab/>
        <w:t xml:space="preserve">Det tredje forsøg varede 6 uger, og var randomiseret dobbeltblindet forsøg, til at evaluere dosis-respons virkninger af </w:t>
      </w:r>
      <w:proofErr w:type="spellStart"/>
      <w:r>
        <w:rPr>
          <w:sz w:val="24"/>
          <w:szCs w:val="24"/>
        </w:rPr>
        <w:t>valsartan</w:t>
      </w:r>
      <w:proofErr w:type="spellEnd"/>
      <w:r>
        <w:rPr>
          <w:sz w:val="24"/>
          <w:szCs w:val="24"/>
        </w:rPr>
        <w:t xml:space="preserve"> hos 126 børn med hypertension i alderen 1 til 5 år, med eller uden underliggende kronisk nyresygdom, randomiseret til enten 0,25 mg/kg eller 4 mg/kg legemsvægt. Ved endepunktet var det gennemsnitlige systoliske blodtryk og gennemsnitlige diastoliske blodtryk, med </w:t>
      </w:r>
      <w:proofErr w:type="spellStart"/>
      <w:r>
        <w:rPr>
          <w:sz w:val="24"/>
          <w:szCs w:val="24"/>
        </w:rPr>
        <w:t>valsartan</w:t>
      </w:r>
      <w:proofErr w:type="spellEnd"/>
      <w:r>
        <w:rPr>
          <w:sz w:val="24"/>
          <w:szCs w:val="24"/>
        </w:rPr>
        <w:t xml:space="preserve"> 4,0 mg/kg sammenlignet med </w:t>
      </w:r>
      <w:proofErr w:type="spellStart"/>
      <w:r>
        <w:rPr>
          <w:sz w:val="24"/>
          <w:szCs w:val="24"/>
        </w:rPr>
        <w:t>valsartan</w:t>
      </w:r>
      <w:proofErr w:type="spellEnd"/>
      <w:r>
        <w:rPr>
          <w:sz w:val="24"/>
          <w:szCs w:val="24"/>
        </w:rPr>
        <w:t xml:space="preserve"> 0,25 mg/kg blevet reduceret til henholdsvist 8.5/6,8 </w:t>
      </w:r>
      <w:proofErr w:type="spellStart"/>
      <w:r>
        <w:rPr>
          <w:sz w:val="24"/>
          <w:szCs w:val="24"/>
        </w:rPr>
        <w:t>mmHg</w:t>
      </w:r>
      <w:proofErr w:type="spellEnd"/>
      <w:r>
        <w:rPr>
          <w:sz w:val="24"/>
          <w:szCs w:val="24"/>
        </w:rPr>
        <w:t xml:space="preserve"> og 4.1/0,3 </w:t>
      </w:r>
      <w:proofErr w:type="spellStart"/>
      <w:r>
        <w:rPr>
          <w:sz w:val="24"/>
          <w:szCs w:val="24"/>
        </w:rPr>
        <w:t>mmHg</w:t>
      </w:r>
      <w:proofErr w:type="spellEnd"/>
      <w:r>
        <w:rPr>
          <w:sz w:val="24"/>
          <w:szCs w:val="24"/>
        </w:rPr>
        <w:t xml:space="preserve"> (p=0,0157/p&lt;0,0001). Ligeledes havde undergruppen med underliggende kronisk nyresygdom også vist reduceret gennemsnitligt systolisk blodtryk og gennemsnitligt diastolisk blodtryk, med </w:t>
      </w:r>
      <w:proofErr w:type="spellStart"/>
      <w:r>
        <w:rPr>
          <w:sz w:val="24"/>
          <w:szCs w:val="24"/>
        </w:rPr>
        <w:t>valsartan</w:t>
      </w:r>
      <w:proofErr w:type="spellEnd"/>
      <w:r>
        <w:rPr>
          <w:sz w:val="24"/>
          <w:szCs w:val="24"/>
        </w:rPr>
        <w:t xml:space="preserve"> 4,0 mg/kg sammenlignet med </w:t>
      </w:r>
      <w:proofErr w:type="spellStart"/>
      <w:r>
        <w:rPr>
          <w:sz w:val="24"/>
          <w:szCs w:val="24"/>
        </w:rPr>
        <w:t>valsartan</w:t>
      </w:r>
      <w:proofErr w:type="spellEnd"/>
      <w:r>
        <w:rPr>
          <w:sz w:val="24"/>
          <w:szCs w:val="24"/>
        </w:rPr>
        <w:t xml:space="preserve"> 0,25 mg/kg (henholdsvist 9,2/6,5 </w:t>
      </w:r>
      <w:proofErr w:type="spellStart"/>
      <w:r>
        <w:rPr>
          <w:sz w:val="24"/>
          <w:szCs w:val="24"/>
        </w:rPr>
        <w:t>mmHg</w:t>
      </w:r>
      <w:proofErr w:type="spellEnd"/>
      <w:r>
        <w:rPr>
          <w:sz w:val="24"/>
          <w:szCs w:val="24"/>
        </w:rPr>
        <w:t xml:space="preserve"> og 1,2/ +1,3 </w:t>
      </w:r>
      <w:proofErr w:type="spellStart"/>
      <w:r>
        <w:rPr>
          <w:sz w:val="24"/>
          <w:szCs w:val="24"/>
        </w:rPr>
        <w:t>mmHg</w:t>
      </w:r>
      <w:proofErr w:type="spellEnd"/>
      <w:r>
        <w:rPr>
          <w:sz w:val="24"/>
          <w:szCs w:val="24"/>
        </w:rPr>
        <w:t>).</w:t>
      </w:r>
    </w:p>
    <w:p w:rsidR="003E5ED1" w:rsidRDefault="003E5ED1" w:rsidP="003E5ED1">
      <w:pPr>
        <w:tabs>
          <w:tab w:val="left" w:pos="851"/>
        </w:tabs>
        <w:ind w:left="851" w:hanging="851"/>
        <w:rPr>
          <w:sz w:val="24"/>
          <w:szCs w:val="24"/>
        </w:rPr>
      </w:pPr>
    </w:p>
    <w:p w:rsidR="004F3DAB" w:rsidRDefault="003E5ED1" w:rsidP="003E5ED1">
      <w:pPr>
        <w:tabs>
          <w:tab w:val="left" w:pos="851"/>
        </w:tabs>
        <w:ind w:left="851" w:hanging="851"/>
        <w:rPr>
          <w:sz w:val="24"/>
          <w:szCs w:val="24"/>
        </w:rPr>
      </w:pPr>
      <w:r>
        <w:rPr>
          <w:sz w:val="24"/>
          <w:szCs w:val="24"/>
        </w:rPr>
        <w:tab/>
        <w:t xml:space="preserve">Det Europæiske Lægemiddelagentur har frafaldet forpligtigelsen til at indsende undersøgelsesresultater med </w:t>
      </w:r>
      <w:proofErr w:type="spellStart"/>
      <w:r>
        <w:rPr>
          <w:sz w:val="24"/>
          <w:szCs w:val="24"/>
        </w:rPr>
        <w:t>valsartan</w:t>
      </w:r>
      <w:proofErr w:type="spellEnd"/>
      <w:r>
        <w:rPr>
          <w:sz w:val="24"/>
          <w:szCs w:val="24"/>
        </w:rPr>
        <w:t xml:space="preserve"> til hjertesvigt og hjertesvigt efter et nyligt myokardieinfarkt i alle aldre af den pædiatriske population. Se pkt. 4.2 for information om brug til børn.</w:t>
      </w:r>
    </w:p>
    <w:p w:rsidR="004F3DAB" w:rsidRPr="004C69FA" w:rsidRDefault="004F3DAB" w:rsidP="003E5ED1">
      <w:pPr>
        <w:tabs>
          <w:tab w:val="left" w:pos="851"/>
        </w:tabs>
        <w:rPr>
          <w:sz w:val="24"/>
          <w:szCs w:val="24"/>
        </w:rPr>
      </w:pPr>
    </w:p>
    <w:p w:rsidR="00E4145D" w:rsidRPr="004C69FA" w:rsidRDefault="00E4145D" w:rsidP="00E4145D">
      <w:pPr>
        <w:numPr>
          <w:ilvl w:val="1"/>
          <w:numId w:val="3"/>
        </w:numPr>
        <w:ind w:left="851" w:hanging="851"/>
        <w:rPr>
          <w:b/>
          <w:sz w:val="24"/>
          <w:szCs w:val="24"/>
        </w:rPr>
      </w:pPr>
      <w:proofErr w:type="spellStart"/>
      <w:r w:rsidRPr="004C69FA">
        <w:rPr>
          <w:b/>
          <w:sz w:val="24"/>
          <w:szCs w:val="24"/>
        </w:rPr>
        <w:t>Farmakokinetiske</w:t>
      </w:r>
      <w:proofErr w:type="spellEnd"/>
      <w:r w:rsidRPr="004C69FA">
        <w:rPr>
          <w:b/>
          <w:sz w:val="24"/>
          <w:szCs w:val="24"/>
        </w:rPr>
        <w:t xml:space="preserve"> egenskaber</w:t>
      </w:r>
    </w:p>
    <w:p w:rsidR="00E4145D" w:rsidRDefault="00E4145D" w:rsidP="00E4145D">
      <w:pPr>
        <w:autoSpaceDE w:val="0"/>
        <w:autoSpaceDN w:val="0"/>
        <w:adjustRightInd w:val="0"/>
        <w:ind w:left="851"/>
        <w:rPr>
          <w:i/>
          <w:iCs/>
          <w:sz w:val="24"/>
          <w:szCs w:val="24"/>
          <w:u w:val="single"/>
        </w:rPr>
      </w:pPr>
    </w:p>
    <w:p w:rsidR="00511674" w:rsidRDefault="00511674" w:rsidP="00511674">
      <w:pPr>
        <w:autoSpaceDE w:val="0"/>
        <w:autoSpaceDN w:val="0"/>
        <w:adjustRightInd w:val="0"/>
        <w:ind w:left="851"/>
        <w:rPr>
          <w:i/>
          <w:iCs/>
          <w:sz w:val="24"/>
          <w:szCs w:val="24"/>
          <w:u w:val="single"/>
        </w:rPr>
      </w:pPr>
      <w:r>
        <w:rPr>
          <w:i/>
          <w:iCs/>
          <w:sz w:val="24"/>
          <w:szCs w:val="24"/>
          <w:u w:val="single"/>
        </w:rPr>
        <w:t>Absorption</w:t>
      </w:r>
    </w:p>
    <w:p w:rsidR="00511674" w:rsidRDefault="00511674" w:rsidP="00511674">
      <w:pPr>
        <w:autoSpaceDE w:val="0"/>
        <w:autoSpaceDN w:val="0"/>
        <w:adjustRightInd w:val="0"/>
        <w:ind w:left="851"/>
        <w:rPr>
          <w:sz w:val="24"/>
          <w:szCs w:val="24"/>
        </w:rPr>
      </w:pPr>
      <w:r>
        <w:rPr>
          <w:sz w:val="24"/>
          <w:szCs w:val="24"/>
        </w:rPr>
        <w:t xml:space="preserve">Efter oral administration af </w:t>
      </w:r>
      <w:proofErr w:type="spellStart"/>
      <w:r>
        <w:rPr>
          <w:sz w:val="24"/>
          <w:szCs w:val="24"/>
        </w:rPr>
        <w:t>valsartan</w:t>
      </w:r>
      <w:proofErr w:type="spellEnd"/>
      <w:r>
        <w:rPr>
          <w:sz w:val="24"/>
          <w:szCs w:val="24"/>
        </w:rPr>
        <w:t xml:space="preserve"> alene nås maksimale plasmakoncentrationer af </w:t>
      </w:r>
      <w:proofErr w:type="spellStart"/>
      <w:r>
        <w:rPr>
          <w:sz w:val="24"/>
          <w:szCs w:val="24"/>
        </w:rPr>
        <w:t>valsartan</w:t>
      </w:r>
      <w:proofErr w:type="spellEnd"/>
      <w:r>
        <w:rPr>
          <w:sz w:val="24"/>
          <w:szCs w:val="24"/>
        </w:rPr>
        <w:t xml:space="preserve"> efter 2–4 timer med tabletter og 1-2 timer med opløsningsformulering. Den gennemsnitlige absolutte biotilgængelighed er henholdsvis 23 % og 39 % med tabletter og oral opløsning. </w:t>
      </w:r>
      <w:proofErr w:type="spellStart"/>
      <w:r>
        <w:rPr>
          <w:sz w:val="24"/>
          <w:szCs w:val="24"/>
        </w:rPr>
        <w:t>Valsartans</w:t>
      </w:r>
      <w:proofErr w:type="spellEnd"/>
      <w:r>
        <w:rPr>
          <w:sz w:val="24"/>
          <w:szCs w:val="24"/>
        </w:rPr>
        <w:t xml:space="preserve"> systemiske eksponering og maksimale plasmakoncentration er omkring 1,7 og 2,2 gange større for opløsningen sammenlignet med tabletterne.</w:t>
      </w:r>
    </w:p>
    <w:p w:rsidR="00511674" w:rsidRDefault="00511674" w:rsidP="00511674">
      <w:pPr>
        <w:autoSpaceDE w:val="0"/>
        <w:autoSpaceDN w:val="0"/>
        <w:adjustRightInd w:val="0"/>
        <w:ind w:left="851"/>
        <w:rPr>
          <w:sz w:val="24"/>
          <w:szCs w:val="24"/>
        </w:rPr>
      </w:pPr>
    </w:p>
    <w:p w:rsidR="00511674" w:rsidRPr="004C69FA" w:rsidRDefault="00511674" w:rsidP="00511674">
      <w:pPr>
        <w:autoSpaceDE w:val="0"/>
        <w:autoSpaceDN w:val="0"/>
        <w:adjustRightInd w:val="0"/>
        <w:ind w:left="851"/>
        <w:rPr>
          <w:sz w:val="24"/>
          <w:szCs w:val="24"/>
        </w:rPr>
      </w:pPr>
      <w:r w:rsidRPr="004C69FA">
        <w:rPr>
          <w:sz w:val="24"/>
          <w:szCs w:val="24"/>
        </w:rPr>
        <w:t xml:space="preserve">Føde reducerer eksponeringen (målt ved AUC) for </w:t>
      </w:r>
      <w:proofErr w:type="spellStart"/>
      <w:r w:rsidRPr="004C69FA">
        <w:rPr>
          <w:sz w:val="24"/>
          <w:szCs w:val="24"/>
        </w:rPr>
        <w:t>valsartan</w:t>
      </w:r>
      <w:proofErr w:type="spellEnd"/>
      <w:r w:rsidRPr="004C69FA">
        <w:rPr>
          <w:sz w:val="24"/>
          <w:szCs w:val="24"/>
        </w:rPr>
        <w:t xml:space="preserve"> med cirka 40 %, og den maksimale plasmakoncentration (</w:t>
      </w:r>
      <w:proofErr w:type="spellStart"/>
      <w:r w:rsidRPr="004C69FA">
        <w:rPr>
          <w:sz w:val="24"/>
          <w:szCs w:val="24"/>
        </w:rPr>
        <w:t>C</w:t>
      </w:r>
      <w:r w:rsidRPr="004C69FA">
        <w:rPr>
          <w:sz w:val="24"/>
          <w:szCs w:val="24"/>
          <w:vertAlign w:val="subscript"/>
        </w:rPr>
        <w:t>max</w:t>
      </w:r>
      <w:proofErr w:type="spellEnd"/>
      <w:r w:rsidRPr="004C69FA">
        <w:rPr>
          <w:sz w:val="24"/>
          <w:szCs w:val="24"/>
        </w:rPr>
        <w:t xml:space="preserve">) med cirka 50 %, selv om </w:t>
      </w:r>
      <w:proofErr w:type="spellStart"/>
      <w:r w:rsidRPr="004C69FA">
        <w:rPr>
          <w:sz w:val="24"/>
          <w:szCs w:val="24"/>
        </w:rPr>
        <w:t>valsartan</w:t>
      </w:r>
      <w:r>
        <w:rPr>
          <w:sz w:val="24"/>
          <w:szCs w:val="24"/>
        </w:rPr>
        <w:softHyphen/>
      </w:r>
      <w:r w:rsidRPr="004C69FA">
        <w:rPr>
          <w:sz w:val="24"/>
          <w:szCs w:val="24"/>
        </w:rPr>
        <w:t>koncentrationen</w:t>
      </w:r>
      <w:proofErr w:type="spellEnd"/>
      <w:r w:rsidRPr="004C69FA">
        <w:rPr>
          <w:sz w:val="24"/>
          <w:szCs w:val="24"/>
        </w:rPr>
        <w:t xml:space="preserve"> i plasma fra cirka 8 timer efter doseringen er ens for gruppen med føde og en fastende gruppe. Denne reduktion i AUC er dog ikke ledsaget af nogen klinisk signifikant reduktion af den terapeutiske virkning, og </w:t>
      </w:r>
      <w:proofErr w:type="spellStart"/>
      <w:r w:rsidRPr="004C69FA">
        <w:rPr>
          <w:sz w:val="24"/>
          <w:szCs w:val="24"/>
        </w:rPr>
        <w:t>valsartan</w:t>
      </w:r>
      <w:proofErr w:type="spellEnd"/>
      <w:r w:rsidRPr="004C69FA">
        <w:rPr>
          <w:sz w:val="24"/>
          <w:szCs w:val="24"/>
        </w:rPr>
        <w:t xml:space="preserve"> kan derfor gives med eller uden føde.</w:t>
      </w:r>
    </w:p>
    <w:p w:rsidR="00511674" w:rsidRPr="004C69FA" w:rsidRDefault="00511674" w:rsidP="00511674">
      <w:pPr>
        <w:autoSpaceDE w:val="0"/>
        <w:autoSpaceDN w:val="0"/>
        <w:adjustRightInd w:val="0"/>
        <w:rPr>
          <w:sz w:val="24"/>
          <w:szCs w:val="24"/>
        </w:rPr>
      </w:pPr>
    </w:p>
    <w:p w:rsidR="00511674" w:rsidRDefault="00511674" w:rsidP="00511674">
      <w:pPr>
        <w:autoSpaceDE w:val="0"/>
        <w:autoSpaceDN w:val="0"/>
        <w:adjustRightInd w:val="0"/>
        <w:ind w:left="851"/>
        <w:rPr>
          <w:i/>
          <w:iCs/>
          <w:sz w:val="24"/>
          <w:szCs w:val="24"/>
          <w:u w:val="single"/>
        </w:rPr>
      </w:pPr>
      <w:r>
        <w:rPr>
          <w:i/>
          <w:iCs/>
          <w:sz w:val="24"/>
          <w:szCs w:val="24"/>
          <w:u w:val="single"/>
        </w:rPr>
        <w:t>Fordeling</w:t>
      </w:r>
    </w:p>
    <w:p w:rsidR="00511674" w:rsidRPr="00511674" w:rsidRDefault="00511674" w:rsidP="00511674">
      <w:pPr>
        <w:autoSpaceDE w:val="0"/>
        <w:autoSpaceDN w:val="0"/>
        <w:adjustRightInd w:val="0"/>
        <w:ind w:left="851"/>
        <w:rPr>
          <w:sz w:val="24"/>
          <w:szCs w:val="24"/>
        </w:rPr>
      </w:pPr>
      <w:proofErr w:type="spellStart"/>
      <w:r>
        <w:rPr>
          <w:sz w:val="24"/>
          <w:szCs w:val="24"/>
        </w:rPr>
        <w:t>Steady-state</w:t>
      </w:r>
      <w:proofErr w:type="spellEnd"/>
      <w:r>
        <w:rPr>
          <w:sz w:val="24"/>
          <w:szCs w:val="24"/>
        </w:rPr>
        <w:t xml:space="preserve"> fordelingsvolumen af </w:t>
      </w:r>
      <w:proofErr w:type="spellStart"/>
      <w:r>
        <w:rPr>
          <w:sz w:val="24"/>
          <w:szCs w:val="24"/>
        </w:rPr>
        <w:t>valsartan</w:t>
      </w:r>
      <w:proofErr w:type="spellEnd"/>
      <w:r>
        <w:rPr>
          <w:sz w:val="24"/>
          <w:szCs w:val="24"/>
        </w:rPr>
        <w:t xml:space="preserve"> efter intravenøs administration er cirka 17 liter, hvilket tyder på, at </w:t>
      </w:r>
      <w:proofErr w:type="spellStart"/>
      <w:r>
        <w:rPr>
          <w:sz w:val="24"/>
          <w:szCs w:val="24"/>
        </w:rPr>
        <w:t>valsartan</w:t>
      </w:r>
      <w:proofErr w:type="spellEnd"/>
      <w:r>
        <w:rPr>
          <w:sz w:val="24"/>
          <w:szCs w:val="24"/>
        </w:rPr>
        <w:t xml:space="preserve"> ikke fordeles i omfattende grad i væv. </w:t>
      </w:r>
      <w:proofErr w:type="spellStart"/>
      <w:r>
        <w:rPr>
          <w:sz w:val="24"/>
          <w:szCs w:val="24"/>
        </w:rPr>
        <w:t>Valsartan</w:t>
      </w:r>
      <w:proofErr w:type="spellEnd"/>
      <w:r>
        <w:rPr>
          <w:sz w:val="24"/>
          <w:szCs w:val="24"/>
        </w:rPr>
        <w:t xml:space="preserve"> er i høj grad bundet til serumproteiner (94–97 %), hovedsageligt serumalbumin.</w:t>
      </w:r>
    </w:p>
    <w:p w:rsidR="00511674" w:rsidRDefault="00511674" w:rsidP="00511674">
      <w:pPr>
        <w:autoSpaceDE w:val="0"/>
        <w:autoSpaceDN w:val="0"/>
        <w:adjustRightInd w:val="0"/>
        <w:ind w:left="851"/>
        <w:rPr>
          <w:i/>
          <w:iCs/>
          <w:sz w:val="24"/>
          <w:szCs w:val="24"/>
          <w:u w:val="single"/>
        </w:rPr>
      </w:pPr>
    </w:p>
    <w:p w:rsidR="00511674" w:rsidRDefault="00511674" w:rsidP="00511674">
      <w:pPr>
        <w:autoSpaceDE w:val="0"/>
        <w:autoSpaceDN w:val="0"/>
        <w:adjustRightInd w:val="0"/>
        <w:ind w:left="851"/>
        <w:rPr>
          <w:i/>
          <w:iCs/>
          <w:sz w:val="24"/>
          <w:szCs w:val="24"/>
          <w:u w:val="single"/>
        </w:rPr>
      </w:pPr>
      <w:r>
        <w:rPr>
          <w:i/>
          <w:iCs/>
          <w:sz w:val="24"/>
          <w:szCs w:val="24"/>
          <w:u w:val="single"/>
        </w:rPr>
        <w:t>Biotransformation</w:t>
      </w:r>
    </w:p>
    <w:p w:rsidR="00511674" w:rsidRDefault="00511674" w:rsidP="00511674">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biotransformeres ikke i stort omfang, idet kun cirka 20 % af dosis genfindes som metabolitter. En </w:t>
      </w:r>
      <w:proofErr w:type="spellStart"/>
      <w:r>
        <w:rPr>
          <w:sz w:val="24"/>
          <w:szCs w:val="24"/>
        </w:rPr>
        <w:t>hydroxymetabolit</w:t>
      </w:r>
      <w:proofErr w:type="spellEnd"/>
      <w:r>
        <w:rPr>
          <w:sz w:val="24"/>
          <w:szCs w:val="24"/>
        </w:rPr>
        <w:t xml:space="preserve"> er blevet identificeret i plasma i lave koncentrationer (mindre end 10 % af </w:t>
      </w:r>
      <w:proofErr w:type="spellStart"/>
      <w:r>
        <w:rPr>
          <w:sz w:val="24"/>
          <w:szCs w:val="24"/>
        </w:rPr>
        <w:t>valsartans</w:t>
      </w:r>
      <w:proofErr w:type="spellEnd"/>
      <w:r>
        <w:rPr>
          <w:sz w:val="24"/>
          <w:szCs w:val="24"/>
        </w:rPr>
        <w:t xml:space="preserve"> AUC). Denne metabolit er farmakologisk inaktiv.</w:t>
      </w:r>
    </w:p>
    <w:p w:rsidR="00511674" w:rsidRDefault="00511674" w:rsidP="00511674">
      <w:pPr>
        <w:autoSpaceDE w:val="0"/>
        <w:autoSpaceDN w:val="0"/>
        <w:adjustRightInd w:val="0"/>
        <w:ind w:left="851" w:hanging="851"/>
        <w:rPr>
          <w:sz w:val="24"/>
          <w:szCs w:val="24"/>
        </w:rPr>
      </w:pPr>
    </w:p>
    <w:p w:rsidR="00511674" w:rsidRDefault="00511674" w:rsidP="00511674">
      <w:pPr>
        <w:autoSpaceDE w:val="0"/>
        <w:autoSpaceDN w:val="0"/>
        <w:adjustRightInd w:val="0"/>
        <w:ind w:left="851"/>
        <w:rPr>
          <w:i/>
          <w:iCs/>
          <w:sz w:val="24"/>
          <w:szCs w:val="24"/>
          <w:u w:val="single"/>
        </w:rPr>
      </w:pPr>
      <w:r>
        <w:rPr>
          <w:i/>
          <w:iCs/>
          <w:sz w:val="24"/>
          <w:szCs w:val="24"/>
          <w:u w:val="single"/>
        </w:rPr>
        <w:t xml:space="preserve">Elimination </w:t>
      </w:r>
    </w:p>
    <w:p w:rsidR="00511674" w:rsidRDefault="00511674" w:rsidP="00511674">
      <w:pPr>
        <w:autoSpaceDE w:val="0"/>
        <w:autoSpaceDN w:val="0"/>
        <w:adjustRightInd w:val="0"/>
        <w:ind w:left="851"/>
        <w:rPr>
          <w:sz w:val="24"/>
          <w:szCs w:val="24"/>
        </w:rPr>
      </w:pPr>
      <w:proofErr w:type="spellStart"/>
      <w:r>
        <w:rPr>
          <w:sz w:val="24"/>
          <w:szCs w:val="24"/>
        </w:rPr>
        <w:t>Valsartan</w:t>
      </w:r>
      <w:proofErr w:type="spellEnd"/>
      <w:r>
        <w:rPr>
          <w:sz w:val="24"/>
          <w:szCs w:val="24"/>
        </w:rPr>
        <w:t xml:space="preserve"> udviser </w:t>
      </w:r>
      <w:proofErr w:type="spellStart"/>
      <w:r>
        <w:rPr>
          <w:sz w:val="24"/>
          <w:szCs w:val="24"/>
        </w:rPr>
        <w:t>tokompartment</w:t>
      </w:r>
      <w:proofErr w:type="spellEnd"/>
      <w:r>
        <w:rPr>
          <w:sz w:val="24"/>
          <w:szCs w:val="24"/>
        </w:rPr>
        <w:t xml:space="preserve"> halveringskinetik (t</w:t>
      </w:r>
      <w:r>
        <w:rPr>
          <w:sz w:val="24"/>
          <w:szCs w:val="24"/>
          <w:vertAlign w:val="subscript"/>
        </w:rPr>
        <w:t>½α</w:t>
      </w:r>
      <w:r>
        <w:rPr>
          <w:sz w:val="24"/>
          <w:szCs w:val="24"/>
        </w:rPr>
        <w:t xml:space="preserve"> &lt;1 time og t</w:t>
      </w:r>
      <w:r>
        <w:rPr>
          <w:sz w:val="24"/>
          <w:szCs w:val="24"/>
          <w:vertAlign w:val="subscript"/>
        </w:rPr>
        <w:t>½ß</w:t>
      </w:r>
      <w:r>
        <w:rPr>
          <w:sz w:val="24"/>
          <w:szCs w:val="24"/>
        </w:rPr>
        <w:t xml:space="preserve"> omkring 9 timer). </w:t>
      </w:r>
      <w:proofErr w:type="spellStart"/>
      <w:r>
        <w:rPr>
          <w:sz w:val="24"/>
          <w:szCs w:val="24"/>
        </w:rPr>
        <w:t>Valsartan</w:t>
      </w:r>
      <w:proofErr w:type="spellEnd"/>
      <w:r>
        <w:rPr>
          <w:sz w:val="24"/>
          <w:szCs w:val="24"/>
        </w:rPr>
        <w:t xml:space="preserve"> udskilles primært ved galdeudskillelse i fæces (cirka 83 % af dosis) og </w:t>
      </w:r>
      <w:proofErr w:type="spellStart"/>
      <w:r>
        <w:rPr>
          <w:sz w:val="24"/>
          <w:szCs w:val="24"/>
        </w:rPr>
        <w:t>renalt</w:t>
      </w:r>
      <w:proofErr w:type="spellEnd"/>
      <w:r>
        <w:rPr>
          <w:sz w:val="24"/>
          <w:szCs w:val="24"/>
        </w:rPr>
        <w:t xml:space="preserve"> i urin (cirka 13 % af dosis), hovedsageligt som </w:t>
      </w:r>
      <w:proofErr w:type="spellStart"/>
      <w:r>
        <w:rPr>
          <w:sz w:val="24"/>
          <w:szCs w:val="24"/>
        </w:rPr>
        <w:t>uomdannet</w:t>
      </w:r>
      <w:proofErr w:type="spellEnd"/>
      <w:r>
        <w:rPr>
          <w:sz w:val="24"/>
          <w:szCs w:val="24"/>
        </w:rPr>
        <w:t xml:space="preserve"> stof. Efter intravenøs administration er </w:t>
      </w:r>
      <w:proofErr w:type="spellStart"/>
      <w:r>
        <w:rPr>
          <w:sz w:val="24"/>
          <w:szCs w:val="24"/>
        </w:rPr>
        <w:t>valsartans</w:t>
      </w:r>
      <w:proofErr w:type="spellEnd"/>
      <w:r>
        <w:rPr>
          <w:sz w:val="24"/>
          <w:szCs w:val="24"/>
        </w:rPr>
        <w:t xml:space="preserve"> plasma-</w:t>
      </w:r>
      <w:proofErr w:type="spellStart"/>
      <w:r>
        <w:rPr>
          <w:sz w:val="24"/>
          <w:szCs w:val="24"/>
        </w:rPr>
        <w:t>clearence</w:t>
      </w:r>
      <w:proofErr w:type="spellEnd"/>
      <w:r>
        <w:rPr>
          <w:sz w:val="24"/>
          <w:szCs w:val="24"/>
        </w:rPr>
        <w:t xml:space="preserve"> cirka 2 l/t, og den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er 0,62 l/t (cirka 30 % af den totale </w:t>
      </w:r>
      <w:proofErr w:type="spellStart"/>
      <w:r>
        <w:rPr>
          <w:sz w:val="24"/>
          <w:szCs w:val="24"/>
        </w:rPr>
        <w:t>clearance</w:t>
      </w:r>
      <w:proofErr w:type="spellEnd"/>
      <w:r>
        <w:rPr>
          <w:sz w:val="24"/>
          <w:szCs w:val="24"/>
        </w:rPr>
        <w:t xml:space="preserve">). Halveringstiden for </w:t>
      </w:r>
      <w:proofErr w:type="spellStart"/>
      <w:r>
        <w:rPr>
          <w:sz w:val="24"/>
          <w:szCs w:val="24"/>
        </w:rPr>
        <w:t>valsartan</w:t>
      </w:r>
      <w:proofErr w:type="spellEnd"/>
      <w:r>
        <w:rPr>
          <w:sz w:val="24"/>
          <w:szCs w:val="24"/>
        </w:rPr>
        <w:t xml:space="preserve"> er 6 timer.</w:t>
      </w:r>
    </w:p>
    <w:p w:rsidR="00511674" w:rsidRPr="004C69FA" w:rsidRDefault="00511674" w:rsidP="00511674">
      <w:pPr>
        <w:autoSpaceDE w:val="0"/>
        <w:autoSpaceDN w:val="0"/>
        <w:adjustRightInd w:val="0"/>
        <w:ind w:left="851" w:hanging="851"/>
        <w:rPr>
          <w:sz w:val="24"/>
          <w:szCs w:val="24"/>
        </w:rPr>
      </w:pPr>
    </w:p>
    <w:p w:rsidR="00511674" w:rsidRPr="004C69FA" w:rsidRDefault="00511674" w:rsidP="00511674">
      <w:pPr>
        <w:autoSpaceDE w:val="0"/>
        <w:autoSpaceDN w:val="0"/>
        <w:adjustRightInd w:val="0"/>
        <w:ind w:left="851"/>
        <w:rPr>
          <w:iCs/>
          <w:sz w:val="24"/>
          <w:szCs w:val="24"/>
          <w:u w:val="single"/>
        </w:rPr>
      </w:pPr>
      <w:r w:rsidRPr="004C69FA">
        <w:rPr>
          <w:iCs/>
          <w:sz w:val="24"/>
          <w:szCs w:val="24"/>
          <w:u w:val="single"/>
        </w:rPr>
        <w:t>Patienter med hjertesvigt</w:t>
      </w:r>
    </w:p>
    <w:p w:rsidR="00511674" w:rsidRPr="004C69FA" w:rsidRDefault="00511674" w:rsidP="00511674">
      <w:pPr>
        <w:autoSpaceDE w:val="0"/>
        <w:autoSpaceDN w:val="0"/>
        <w:adjustRightInd w:val="0"/>
        <w:ind w:left="851"/>
        <w:rPr>
          <w:sz w:val="24"/>
          <w:szCs w:val="24"/>
        </w:rPr>
      </w:pPr>
      <w:proofErr w:type="spellStart"/>
      <w:r w:rsidRPr="004C69FA">
        <w:rPr>
          <w:sz w:val="24"/>
          <w:szCs w:val="24"/>
        </w:rPr>
        <w:t>Valsartans</w:t>
      </w:r>
      <w:proofErr w:type="spellEnd"/>
      <w:r w:rsidRPr="004C69FA">
        <w:rPr>
          <w:sz w:val="24"/>
          <w:szCs w:val="24"/>
        </w:rPr>
        <w:t xml:space="preserve"> gennemsnitlige tid til maksimal koncentration og udskillelses-halveringstid hos patienter med hjertesvigt svarer til det, der er observeret hos raske frivillige. AUC- og </w:t>
      </w:r>
      <w:proofErr w:type="spellStart"/>
      <w:r w:rsidRPr="004C69FA">
        <w:rPr>
          <w:sz w:val="24"/>
          <w:szCs w:val="24"/>
        </w:rPr>
        <w:t>C</w:t>
      </w:r>
      <w:r w:rsidRPr="004C69FA">
        <w:rPr>
          <w:sz w:val="24"/>
          <w:szCs w:val="24"/>
          <w:vertAlign w:val="subscript"/>
        </w:rPr>
        <w:t>max</w:t>
      </w:r>
      <w:proofErr w:type="spellEnd"/>
      <w:r w:rsidRPr="004C69FA">
        <w:rPr>
          <w:sz w:val="24"/>
          <w:szCs w:val="24"/>
          <w:vertAlign w:val="subscript"/>
        </w:rPr>
        <w:t xml:space="preserve"> </w:t>
      </w:r>
      <w:r w:rsidRPr="004C69FA">
        <w:rPr>
          <w:sz w:val="24"/>
          <w:szCs w:val="24"/>
        </w:rPr>
        <w:t xml:space="preserve">værdier for </w:t>
      </w:r>
      <w:proofErr w:type="spellStart"/>
      <w:r w:rsidRPr="004C69FA">
        <w:rPr>
          <w:sz w:val="24"/>
          <w:szCs w:val="24"/>
        </w:rPr>
        <w:t>valsartan</w:t>
      </w:r>
      <w:proofErr w:type="spellEnd"/>
      <w:r w:rsidRPr="004C69FA">
        <w:rPr>
          <w:sz w:val="24"/>
          <w:szCs w:val="24"/>
        </w:rPr>
        <w:t xml:space="preserve"> er omtrent proportionale med stigende dosis over det kliniske dosisspænd (40-160 mg, 2 gange dagligt). Den gennemsnitlige akkumuleringsfaktor er ca. 1,7. Den tilsyneladende </w:t>
      </w:r>
      <w:proofErr w:type="spellStart"/>
      <w:r w:rsidRPr="004C69FA">
        <w:rPr>
          <w:sz w:val="24"/>
          <w:szCs w:val="24"/>
        </w:rPr>
        <w:t>clearance</w:t>
      </w:r>
      <w:proofErr w:type="spellEnd"/>
      <w:r w:rsidRPr="004C69FA">
        <w:rPr>
          <w:sz w:val="24"/>
          <w:szCs w:val="24"/>
        </w:rPr>
        <w:t xml:space="preserve"> for </w:t>
      </w:r>
      <w:proofErr w:type="spellStart"/>
      <w:r w:rsidRPr="004C69FA">
        <w:rPr>
          <w:sz w:val="24"/>
          <w:szCs w:val="24"/>
        </w:rPr>
        <w:t>valsartan</w:t>
      </w:r>
      <w:proofErr w:type="spellEnd"/>
      <w:r w:rsidRPr="004C69FA">
        <w:rPr>
          <w:sz w:val="24"/>
          <w:szCs w:val="24"/>
        </w:rPr>
        <w:t xml:space="preserve"> er ca. 4,5 l/t efter oral administration. Alder påvirker ikke den tilsyneladende </w:t>
      </w:r>
      <w:proofErr w:type="spellStart"/>
      <w:r w:rsidRPr="004C69FA">
        <w:rPr>
          <w:sz w:val="24"/>
          <w:szCs w:val="24"/>
        </w:rPr>
        <w:t>clearance</w:t>
      </w:r>
      <w:proofErr w:type="spellEnd"/>
      <w:r w:rsidRPr="004C69FA">
        <w:rPr>
          <w:sz w:val="24"/>
          <w:szCs w:val="24"/>
        </w:rPr>
        <w:t xml:space="preserve"> hos patienter med hjertesvigt.</w:t>
      </w:r>
    </w:p>
    <w:p w:rsidR="00511674" w:rsidRPr="004C69FA" w:rsidRDefault="00511674" w:rsidP="00511674">
      <w:pPr>
        <w:autoSpaceDE w:val="0"/>
        <w:autoSpaceDN w:val="0"/>
        <w:adjustRightInd w:val="0"/>
        <w:ind w:left="851" w:hanging="851"/>
        <w:rPr>
          <w:iCs/>
          <w:sz w:val="24"/>
          <w:szCs w:val="24"/>
        </w:rPr>
      </w:pPr>
    </w:p>
    <w:p w:rsidR="00511674" w:rsidRPr="004C69FA" w:rsidRDefault="00511674" w:rsidP="00511674">
      <w:pPr>
        <w:autoSpaceDE w:val="0"/>
        <w:autoSpaceDN w:val="0"/>
        <w:adjustRightInd w:val="0"/>
        <w:ind w:left="851"/>
        <w:rPr>
          <w:b/>
          <w:i/>
          <w:iCs/>
          <w:sz w:val="24"/>
          <w:szCs w:val="24"/>
          <w:u w:val="single"/>
        </w:rPr>
      </w:pPr>
      <w:r w:rsidRPr="004C69FA">
        <w:rPr>
          <w:b/>
          <w:i/>
          <w:iCs/>
          <w:sz w:val="24"/>
          <w:szCs w:val="24"/>
          <w:u w:val="single"/>
        </w:rPr>
        <w:t>Specielle patientpopulationer</w:t>
      </w:r>
    </w:p>
    <w:p w:rsidR="00511674" w:rsidRPr="004C69FA" w:rsidRDefault="00511674" w:rsidP="00511674">
      <w:pPr>
        <w:autoSpaceDE w:val="0"/>
        <w:autoSpaceDN w:val="0"/>
        <w:adjustRightInd w:val="0"/>
        <w:ind w:left="851" w:hanging="851"/>
        <w:rPr>
          <w:iCs/>
          <w:sz w:val="24"/>
          <w:szCs w:val="24"/>
        </w:rPr>
      </w:pPr>
    </w:p>
    <w:p w:rsidR="00511674" w:rsidRPr="004C69FA" w:rsidRDefault="00511674" w:rsidP="00511674">
      <w:pPr>
        <w:autoSpaceDE w:val="0"/>
        <w:autoSpaceDN w:val="0"/>
        <w:adjustRightInd w:val="0"/>
        <w:ind w:left="851"/>
        <w:rPr>
          <w:iCs/>
          <w:sz w:val="24"/>
          <w:szCs w:val="24"/>
          <w:u w:val="single"/>
        </w:rPr>
      </w:pPr>
      <w:r w:rsidRPr="004C69FA">
        <w:rPr>
          <w:iCs/>
          <w:sz w:val="24"/>
          <w:szCs w:val="24"/>
          <w:u w:val="single"/>
        </w:rPr>
        <w:t xml:space="preserve">Ældre </w:t>
      </w:r>
    </w:p>
    <w:p w:rsidR="00511674" w:rsidRPr="004C69FA" w:rsidRDefault="00511674" w:rsidP="00511674">
      <w:pPr>
        <w:autoSpaceDE w:val="0"/>
        <w:autoSpaceDN w:val="0"/>
        <w:adjustRightInd w:val="0"/>
        <w:ind w:left="851"/>
        <w:rPr>
          <w:sz w:val="24"/>
          <w:szCs w:val="24"/>
        </w:rPr>
      </w:pPr>
      <w:r w:rsidRPr="004C69FA">
        <w:rPr>
          <w:sz w:val="24"/>
          <w:szCs w:val="24"/>
        </w:rPr>
        <w:t xml:space="preserve">Hos nogle ældre patienter blev der observeret en noget højere plasmakoncentration af </w:t>
      </w:r>
      <w:proofErr w:type="spellStart"/>
      <w:r w:rsidRPr="004C69FA">
        <w:rPr>
          <w:sz w:val="24"/>
          <w:szCs w:val="24"/>
        </w:rPr>
        <w:t>valsartan</w:t>
      </w:r>
      <w:proofErr w:type="spellEnd"/>
      <w:r w:rsidRPr="004C69FA">
        <w:rPr>
          <w:sz w:val="24"/>
          <w:szCs w:val="24"/>
        </w:rPr>
        <w:t xml:space="preserve"> end hos yngre patienter, men det er ikke vist at have nogen klinisk signifikans.</w:t>
      </w:r>
    </w:p>
    <w:p w:rsidR="00511674" w:rsidRPr="004C69FA" w:rsidRDefault="00511674" w:rsidP="00511674">
      <w:pPr>
        <w:autoSpaceDE w:val="0"/>
        <w:autoSpaceDN w:val="0"/>
        <w:adjustRightInd w:val="0"/>
        <w:ind w:left="851"/>
        <w:rPr>
          <w:sz w:val="24"/>
          <w:szCs w:val="24"/>
          <w:u w:val="single"/>
        </w:rPr>
      </w:pPr>
    </w:p>
    <w:p w:rsidR="00511674" w:rsidRPr="004C69FA" w:rsidRDefault="00511674" w:rsidP="00511674">
      <w:pPr>
        <w:autoSpaceDE w:val="0"/>
        <w:autoSpaceDN w:val="0"/>
        <w:adjustRightInd w:val="0"/>
        <w:ind w:left="851"/>
        <w:rPr>
          <w:sz w:val="24"/>
          <w:szCs w:val="24"/>
          <w:u w:val="single"/>
        </w:rPr>
      </w:pPr>
      <w:r w:rsidRPr="004C69FA">
        <w:rPr>
          <w:sz w:val="24"/>
          <w:szCs w:val="24"/>
          <w:u w:val="single"/>
        </w:rPr>
        <w:t>Nedsat nyrefunktion</w:t>
      </w:r>
    </w:p>
    <w:p w:rsidR="00511674" w:rsidRPr="004C69FA" w:rsidRDefault="00511674" w:rsidP="00511674">
      <w:pPr>
        <w:autoSpaceDE w:val="0"/>
        <w:autoSpaceDN w:val="0"/>
        <w:adjustRightInd w:val="0"/>
        <w:ind w:left="851"/>
        <w:rPr>
          <w:sz w:val="24"/>
          <w:szCs w:val="24"/>
        </w:rPr>
      </w:pPr>
      <w:r w:rsidRPr="004C69FA">
        <w:rPr>
          <w:sz w:val="24"/>
          <w:szCs w:val="24"/>
        </w:rPr>
        <w:t>Som forventet for et stof med en nyre-</w:t>
      </w:r>
      <w:proofErr w:type="spellStart"/>
      <w:r w:rsidRPr="004C69FA">
        <w:rPr>
          <w:sz w:val="24"/>
          <w:szCs w:val="24"/>
        </w:rPr>
        <w:t>clearance</w:t>
      </w:r>
      <w:proofErr w:type="spellEnd"/>
      <w:r w:rsidRPr="004C69FA">
        <w:rPr>
          <w:sz w:val="24"/>
          <w:szCs w:val="24"/>
        </w:rPr>
        <w:t xml:space="preserve"> på kun 30 % af total </w:t>
      </w:r>
      <w:proofErr w:type="spellStart"/>
      <w:r w:rsidRPr="004C69FA">
        <w:rPr>
          <w:sz w:val="24"/>
          <w:szCs w:val="24"/>
        </w:rPr>
        <w:t>plasmaclearance</w:t>
      </w:r>
      <w:proofErr w:type="spellEnd"/>
      <w:r w:rsidRPr="004C69FA">
        <w:rPr>
          <w:sz w:val="24"/>
          <w:szCs w:val="24"/>
        </w:rPr>
        <w:t xml:space="preserve"> er der ikke observeret nogen korrelation mellem nyrefunktion og systemisk eksponering af </w:t>
      </w:r>
      <w:proofErr w:type="spellStart"/>
      <w:r w:rsidRPr="004C69FA">
        <w:rPr>
          <w:sz w:val="24"/>
          <w:szCs w:val="24"/>
        </w:rPr>
        <w:t>valsartan</w:t>
      </w:r>
      <w:proofErr w:type="spellEnd"/>
      <w:r w:rsidRPr="004C69FA">
        <w:rPr>
          <w:sz w:val="24"/>
          <w:szCs w:val="24"/>
        </w:rPr>
        <w:t>. Dosisjustering er derfor ikke påkrævet for patienter med nedsat nyrefunktion (</w:t>
      </w:r>
      <w:proofErr w:type="spellStart"/>
      <w:r w:rsidRPr="004C69FA">
        <w:rPr>
          <w:sz w:val="24"/>
          <w:szCs w:val="24"/>
        </w:rPr>
        <w:t>kreatinin-clearance</w:t>
      </w:r>
      <w:proofErr w:type="spellEnd"/>
      <w:r w:rsidRPr="004C69FA">
        <w:rPr>
          <w:sz w:val="24"/>
          <w:szCs w:val="24"/>
        </w:rPr>
        <w:t xml:space="preserve"> &gt;10 ml/min). Der findes ingen erfaring mht. sikker brug hos patienter med en </w:t>
      </w:r>
      <w:proofErr w:type="spellStart"/>
      <w:r w:rsidRPr="004C69FA">
        <w:rPr>
          <w:sz w:val="24"/>
          <w:szCs w:val="24"/>
        </w:rPr>
        <w:t>kreatinin-clearance</w:t>
      </w:r>
      <w:proofErr w:type="spellEnd"/>
      <w:r w:rsidRPr="004C69FA">
        <w:rPr>
          <w:sz w:val="24"/>
          <w:szCs w:val="24"/>
        </w:rPr>
        <w:t xml:space="preserve"> &lt; 10 ml/min og patienter i dialysebehandling, derfor bør </w:t>
      </w:r>
      <w:proofErr w:type="spellStart"/>
      <w:r w:rsidRPr="004C69FA">
        <w:rPr>
          <w:sz w:val="24"/>
          <w:szCs w:val="24"/>
        </w:rPr>
        <w:t>valsartan</w:t>
      </w:r>
      <w:proofErr w:type="spellEnd"/>
      <w:r w:rsidRPr="004C69FA">
        <w:rPr>
          <w:sz w:val="24"/>
          <w:szCs w:val="24"/>
        </w:rPr>
        <w:t xml:space="preserve"> anvendes med forsigtighed til disse patienter (se pkt. 4.2 og 4.4). </w:t>
      </w:r>
      <w:proofErr w:type="spellStart"/>
      <w:r w:rsidRPr="004C69FA">
        <w:rPr>
          <w:sz w:val="24"/>
          <w:szCs w:val="24"/>
        </w:rPr>
        <w:t>Valsartan</w:t>
      </w:r>
      <w:proofErr w:type="spellEnd"/>
      <w:r w:rsidRPr="004C69FA">
        <w:rPr>
          <w:sz w:val="24"/>
          <w:szCs w:val="24"/>
        </w:rPr>
        <w:t xml:space="preserve"> er i høj grad bundet til plasmaproteiner, og det er derfor usandsynligt, at det kan fjernes ved dialyse.</w:t>
      </w:r>
    </w:p>
    <w:p w:rsidR="00511674" w:rsidRPr="004C69FA" w:rsidRDefault="00511674" w:rsidP="00511674">
      <w:pPr>
        <w:autoSpaceDE w:val="0"/>
        <w:autoSpaceDN w:val="0"/>
        <w:adjustRightInd w:val="0"/>
        <w:ind w:left="851" w:hanging="851"/>
        <w:rPr>
          <w:sz w:val="24"/>
          <w:szCs w:val="24"/>
        </w:rPr>
      </w:pPr>
    </w:p>
    <w:p w:rsidR="00511674" w:rsidRPr="004C69FA" w:rsidRDefault="00511674" w:rsidP="00511674">
      <w:pPr>
        <w:autoSpaceDE w:val="0"/>
        <w:autoSpaceDN w:val="0"/>
        <w:adjustRightInd w:val="0"/>
        <w:ind w:left="851"/>
        <w:rPr>
          <w:sz w:val="24"/>
          <w:szCs w:val="24"/>
          <w:u w:val="single"/>
        </w:rPr>
      </w:pPr>
      <w:r w:rsidRPr="004C69FA">
        <w:rPr>
          <w:sz w:val="24"/>
          <w:szCs w:val="24"/>
          <w:u w:val="single"/>
        </w:rPr>
        <w:t>Nedsat leverfunktion</w:t>
      </w:r>
    </w:p>
    <w:p w:rsidR="00511674" w:rsidRPr="004C69FA" w:rsidRDefault="00511674" w:rsidP="00511674">
      <w:pPr>
        <w:autoSpaceDE w:val="0"/>
        <w:autoSpaceDN w:val="0"/>
        <w:adjustRightInd w:val="0"/>
        <w:ind w:left="851"/>
        <w:rPr>
          <w:sz w:val="24"/>
          <w:szCs w:val="24"/>
        </w:rPr>
      </w:pPr>
      <w:r w:rsidRPr="004C69FA">
        <w:rPr>
          <w:sz w:val="24"/>
          <w:szCs w:val="24"/>
        </w:rPr>
        <w:t xml:space="preserve">Cirka 70 % af den absorberede dosis udskilles i galden, hovedsageligt i uændret form. </w:t>
      </w:r>
      <w:proofErr w:type="spellStart"/>
      <w:r w:rsidRPr="004C69FA">
        <w:rPr>
          <w:sz w:val="24"/>
          <w:szCs w:val="24"/>
        </w:rPr>
        <w:t>Valsartan</w:t>
      </w:r>
      <w:proofErr w:type="spellEnd"/>
      <w:r w:rsidRPr="004C69FA">
        <w:rPr>
          <w:sz w:val="24"/>
          <w:szCs w:val="24"/>
        </w:rPr>
        <w:t xml:space="preserve"> gennemgår ikke nogen nævneværdig biotransformation. Der blev observeret en fordobling af eksponeringen (AUC) hos patienter med let til moderat nedsat leverfunktion sammenlignet med raske forsøgspersoner. Der blev dog ikke observeret nogen korrelation mellem </w:t>
      </w:r>
      <w:proofErr w:type="spellStart"/>
      <w:r w:rsidRPr="004C69FA">
        <w:rPr>
          <w:sz w:val="24"/>
          <w:szCs w:val="24"/>
        </w:rPr>
        <w:t>valsartan</w:t>
      </w:r>
      <w:proofErr w:type="spellEnd"/>
      <w:r w:rsidRPr="004C69FA">
        <w:rPr>
          <w:sz w:val="24"/>
          <w:szCs w:val="24"/>
        </w:rPr>
        <w:t xml:space="preserve">-koncentrationer i blodet og graden af leverinsufficiens. </w:t>
      </w:r>
      <w:proofErr w:type="spellStart"/>
      <w:r w:rsidRPr="004C69FA">
        <w:rPr>
          <w:sz w:val="24"/>
          <w:szCs w:val="24"/>
        </w:rPr>
        <w:t>Valsartan</w:t>
      </w:r>
      <w:proofErr w:type="spellEnd"/>
      <w:r w:rsidRPr="004C69FA">
        <w:rPr>
          <w:sz w:val="24"/>
          <w:szCs w:val="24"/>
        </w:rPr>
        <w:t xml:space="preserve"> er ikke undersøgt hos patienter med alvorlig leverinsufficiens (se pkt. 4.2, 4.3 og 4.4).</w:t>
      </w:r>
    </w:p>
    <w:p w:rsidR="00511674" w:rsidRPr="004C69FA" w:rsidRDefault="00511674" w:rsidP="00511674">
      <w:pPr>
        <w:tabs>
          <w:tab w:val="left" w:pos="851"/>
        </w:tabs>
        <w:ind w:left="851" w:hanging="851"/>
        <w:rPr>
          <w:sz w:val="24"/>
          <w:szCs w:val="24"/>
        </w:rPr>
      </w:pPr>
    </w:p>
    <w:p w:rsidR="00511674" w:rsidRDefault="00511674" w:rsidP="00511674">
      <w:pPr>
        <w:autoSpaceDE w:val="0"/>
        <w:autoSpaceDN w:val="0"/>
        <w:adjustRightInd w:val="0"/>
        <w:ind w:left="851"/>
        <w:rPr>
          <w:i/>
          <w:iCs/>
          <w:sz w:val="24"/>
          <w:szCs w:val="24"/>
          <w:u w:val="single"/>
        </w:rPr>
      </w:pPr>
      <w:r>
        <w:rPr>
          <w:i/>
          <w:iCs/>
          <w:sz w:val="24"/>
          <w:szCs w:val="24"/>
          <w:u w:val="single"/>
        </w:rPr>
        <w:t>Pædiatrisk population</w:t>
      </w:r>
    </w:p>
    <w:p w:rsidR="00511674" w:rsidRDefault="00511674" w:rsidP="00511674">
      <w:pPr>
        <w:autoSpaceDE w:val="0"/>
        <w:autoSpaceDN w:val="0"/>
        <w:adjustRightInd w:val="0"/>
        <w:ind w:left="851"/>
        <w:rPr>
          <w:sz w:val="24"/>
          <w:szCs w:val="24"/>
        </w:rPr>
      </w:pPr>
      <w:r>
        <w:rPr>
          <w:sz w:val="24"/>
          <w:szCs w:val="24"/>
        </w:rPr>
        <w:t xml:space="preserve">I et studie med 26 pædiatriske </w:t>
      </w:r>
      <w:proofErr w:type="spellStart"/>
      <w:r>
        <w:rPr>
          <w:sz w:val="24"/>
          <w:szCs w:val="24"/>
        </w:rPr>
        <w:t>hypertensive</w:t>
      </w:r>
      <w:proofErr w:type="spellEnd"/>
      <w:r>
        <w:rPr>
          <w:sz w:val="24"/>
          <w:szCs w:val="24"/>
        </w:rPr>
        <w:t xml:space="preserve"> patienter (aldersgruppen 1 til 16 år), der fik en enkeltdosis af en suspension med </w:t>
      </w:r>
      <w:proofErr w:type="spellStart"/>
      <w:r>
        <w:rPr>
          <w:sz w:val="24"/>
          <w:szCs w:val="24"/>
        </w:rPr>
        <w:t>valsartan</w:t>
      </w:r>
      <w:proofErr w:type="spellEnd"/>
      <w:r>
        <w:rPr>
          <w:sz w:val="24"/>
          <w:szCs w:val="24"/>
        </w:rPr>
        <w:t xml:space="preserve"> (gennemsnitlig 0,9 til 2 mg/kg med en maksimal dosis på 80 mg) var </w:t>
      </w:r>
      <w:proofErr w:type="spellStart"/>
      <w:r>
        <w:rPr>
          <w:sz w:val="24"/>
          <w:szCs w:val="24"/>
        </w:rPr>
        <w:t>clearance</w:t>
      </w:r>
      <w:proofErr w:type="spellEnd"/>
      <w:r>
        <w:rPr>
          <w:sz w:val="24"/>
          <w:szCs w:val="24"/>
        </w:rPr>
        <w:t xml:space="preserve"> (liter/time/kg) af </w:t>
      </w:r>
      <w:proofErr w:type="spellStart"/>
      <w:r>
        <w:rPr>
          <w:sz w:val="24"/>
          <w:szCs w:val="24"/>
        </w:rPr>
        <w:t>valsartan</w:t>
      </w:r>
      <w:proofErr w:type="spellEnd"/>
      <w:r>
        <w:rPr>
          <w:sz w:val="24"/>
          <w:szCs w:val="24"/>
        </w:rPr>
        <w:t xml:space="preserve"> ensartet på tværs af aldersgruppe fra 1 til 16 år og lignende til det for voksne, som fik samme formulering (se information om absorption i afsnit 5.2).</w:t>
      </w:r>
    </w:p>
    <w:p w:rsidR="00511674" w:rsidRPr="004C69FA" w:rsidRDefault="00511674" w:rsidP="00511674">
      <w:pPr>
        <w:autoSpaceDE w:val="0"/>
        <w:autoSpaceDN w:val="0"/>
        <w:adjustRightInd w:val="0"/>
        <w:rPr>
          <w:sz w:val="24"/>
          <w:szCs w:val="24"/>
        </w:rPr>
      </w:pPr>
    </w:p>
    <w:p w:rsidR="00511674" w:rsidRDefault="00511674" w:rsidP="00511674">
      <w:pPr>
        <w:autoSpaceDE w:val="0"/>
        <w:autoSpaceDN w:val="0"/>
        <w:adjustRightInd w:val="0"/>
        <w:ind w:firstLine="851"/>
        <w:rPr>
          <w:sz w:val="24"/>
          <w:szCs w:val="24"/>
          <w:u w:val="single"/>
        </w:rPr>
      </w:pPr>
    </w:p>
    <w:p w:rsidR="00511674" w:rsidRPr="004C69FA" w:rsidRDefault="00511674" w:rsidP="00511674">
      <w:pPr>
        <w:autoSpaceDE w:val="0"/>
        <w:autoSpaceDN w:val="0"/>
        <w:adjustRightInd w:val="0"/>
        <w:ind w:firstLine="851"/>
        <w:rPr>
          <w:sz w:val="24"/>
          <w:szCs w:val="24"/>
          <w:u w:val="single"/>
        </w:rPr>
      </w:pPr>
      <w:r w:rsidRPr="004C69FA">
        <w:rPr>
          <w:sz w:val="24"/>
          <w:szCs w:val="24"/>
          <w:u w:val="single"/>
        </w:rPr>
        <w:t>Nedsat nyrefunktion</w:t>
      </w:r>
    </w:p>
    <w:p w:rsidR="00511674" w:rsidRPr="004C69FA" w:rsidRDefault="00511674" w:rsidP="00511674">
      <w:pPr>
        <w:autoSpaceDE w:val="0"/>
        <w:autoSpaceDN w:val="0"/>
        <w:adjustRightInd w:val="0"/>
        <w:ind w:left="851"/>
        <w:rPr>
          <w:sz w:val="24"/>
          <w:szCs w:val="24"/>
        </w:rPr>
      </w:pPr>
      <w:r w:rsidRPr="004C69FA">
        <w:rPr>
          <w:sz w:val="24"/>
          <w:szCs w:val="24"/>
        </w:rPr>
        <w:t xml:space="preserve">Anvendelse til pædiatriske patienter med en </w:t>
      </w:r>
      <w:proofErr w:type="spellStart"/>
      <w:r w:rsidRPr="004C69FA">
        <w:rPr>
          <w:sz w:val="24"/>
          <w:szCs w:val="24"/>
        </w:rPr>
        <w:t>kreatininclearence</w:t>
      </w:r>
      <w:proofErr w:type="spellEnd"/>
      <w:r w:rsidRPr="004C69FA">
        <w:rPr>
          <w:sz w:val="24"/>
          <w:szCs w:val="24"/>
        </w:rPr>
        <w:t xml:space="preserve"> &lt;30 ml/min og til pædiatriske patienter i dialyse er ikke undersøgt. </w:t>
      </w:r>
      <w:proofErr w:type="spellStart"/>
      <w:r w:rsidRPr="004C69FA">
        <w:rPr>
          <w:sz w:val="24"/>
          <w:szCs w:val="24"/>
        </w:rPr>
        <w:t>Valsartan</w:t>
      </w:r>
      <w:proofErr w:type="spellEnd"/>
      <w:r w:rsidRPr="004C69FA">
        <w:rPr>
          <w:sz w:val="24"/>
          <w:szCs w:val="24"/>
        </w:rPr>
        <w:t xml:space="preserve"> frarådes derfor til disse </w:t>
      </w:r>
      <w:r w:rsidRPr="004C69FA">
        <w:rPr>
          <w:sz w:val="24"/>
          <w:szCs w:val="24"/>
        </w:rPr>
        <w:lastRenderedPageBreak/>
        <w:t xml:space="preserve">patienter. Dosisjustering til pædiatriske patienter med en </w:t>
      </w:r>
      <w:proofErr w:type="spellStart"/>
      <w:r w:rsidRPr="004C69FA">
        <w:rPr>
          <w:sz w:val="24"/>
          <w:szCs w:val="24"/>
        </w:rPr>
        <w:t>kreatininclearance</w:t>
      </w:r>
      <w:proofErr w:type="spellEnd"/>
      <w:r w:rsidRPr="004C69FA">
        <w:rPr>
          <w:sz w:val="24"/>
          <w:szCs w:val="24"/>
        </w:rPr>
        <w:t xml:space="preserve"> &gt;30 ml/min er ikke nødvendig. Nyrefunktion og serumkalium skal monitoreres tæt (se pkt. 4.2 og 4.4).</w:t>
      </w:r>
    </w:p>
    <w:p w:rsidR="00E4145D" w:rsidRPr="004C69FA" w:rsidRDefault="00E4145D" w:rsidP="00E4145D">
      <w:pPr>
        <w:tabs>
          <w:tab w:val="left" w:pos="851"/>
        </w:tabs>
        <w:ind w:left="851" w:hanging="851"/>
        <w:rPr>
          <w:sz w:val="24"/>
          <w:szCs w:val="24"/>
        </w:rPr>
      </w:pPr>
    </w:p>
    <w:p w:rsidR="00511674" w:rsidRPr="00511674" w:rsidRDefault="00E4145D" w:rsidP="00511674">
      <w:pPr>
        <w:numPr>
          <w:ilvl w:val="1"/>
          <w:numId w:val="4"/>
        </w:numPr>
        <w:ind w:left="851" w:hanging="851"/>
        <w:rPr>
          <w:b/>
          <w:sz w:val="24"/>
          <w:szCs w:val="24"/>
        </w:rPr>
      </w:pPr>
      <w:r w:rsidRPr="004C69FA">
        <w:rPr>
          <w:b/>
          <w:sz w:val="24"/>
          <w:szCs w:val="24"/>
        </w:rPr>
        <w:t>Prækliniske sikkerhedsdata</w:t>
      </w:r>
    </w:p>
    <w:p w:rsidR="00511674" w:rsidRPr="004C69FA" w:rsidRDefault="00511674" w:rsidP="00511674">
      <w:pPr>
        <w:ind w:left="851"/>
        <w:rPr>
          <w:sz w:val="24"/>
          <w:szCs w:val="24"/>
        </w:rPr>
      </w:pPr>
      <w:r w:rsidRPr="004C69FA">
        <w:rPr>
          <w:sz w:val="24"/>
          <w:szCs w:val="24"/>
        </w:rPr>
        <w:t xml:space="preserve">De prækliniske data viser ingen speciel risiko for mennesker vurderet ud fra konventionelle studier af sikkerhedsfarmakologi, toksicitet efter gentagne doser, </w:t>
      </w:r>
      <w:r>
        <w:rPr>
          <w:sz w:val="24"/>
          <w:szCs w:val="24"/>
        </w:rPr>
        <w:t>g</w:t>
      </w:r>
      <w:r w:rsidRPr="0001331C">
        <w:rPr>
          <w:sz w:val="24"/>
          <w:szCs w:val="24"/>
        </w:rPr>
        <w:t xml:space="preserve">enotoksicitet, </w:t>
      </w:r>
      <w:proofErr w:type="spellStart"/>
      <w:r w:rsidRPr="0001331C">
        <w:rPr>
          <w:sz w:val="24"/>
          <w:szCs w:val="24"/>
        </w:rPr>
        <w:t>karcinogent</w:t>
      </w:r>
      <w:proofErr w:type="spellEnd"/>
      <w:r w:rsidRPr="0001331C">
        <w:rPr>
          <w:sz w:val="24"/>
          <w:szCs w:val="24"/>
        </w:rPr>
        <w:t xml:space="preserve"> potentiale.</w:t>
      </w:r>
    </w:p>
    <w:p w:rsidR="00511674" w:rsidRPr="004C69FA" w:rsidRDefault="00511674" w:rsidP="00511674">
      <w:pPr>
        <w:ind w:left="851" w:hanging="851"/>
        <w:rPr>
          <w:sz w:val="24"/>
          <w:szCs w:val="24"/>
        </w:rPr>
      </w:pPr>
    </w:p>
    <w:p w:rsidR="00511674" w:rsidRPr="004C69FA" w:rsidRDefault="00511674" w:rsidP="00511674">
      <w:pPr>
        <w:ind w:left="851"/>
        <w:rPr>
          <w:sz w:val="24"/>
          <w:szCs w:val="24"/>
        </w:rPr>
      </w:pPr>
      <w:r w:rsidRPr="004C69FA">
        <w:rPr>
          <w:sz w:val="24"/>
          <w:szCs w:val="24"/>
        </w:rPr>
        <w:t xml:space="preserve">Hos rotter førte </w:t>
      </w:r>
      <w:proofErr w:type="spellStart"/>
      <w:r w:rsidRPr="004C69FA">
        <w:rPr>
          <w:sz w:val="24"/>
          <w:szCs w:val="24"/>
        </w:rPr>
        <w:t>maternelle</w:t>
      </w:r>
      <w:proofErr w:type="spellEnd"/>
      <w:r w:rsidRPr="004C69FA">
        <w:rPr>
          <w:sz w:val="24"/>
          <w:szCs w:val="24"/>
        </w:rPr>
        <w:t xml:space="preserve"> toksiske doser (600 mg/kg/dag) i de sidste dage af drægtighedsperioden samt i dieperioden til lavere overlevelse, lavere vægtforøgelse og forsinket udvikling (</w:t>
      </w:r>
      <w:proofErr w:type="spellStart"/>
      <w:r w:rsidRPr="004C69FA">
        <w:rPr>
          <w:sz w:val="24"/>
          <w:szCs w:val="24"/>
        </w:rPr>
        <w:t>pinna</w:t>
      </w:r>
      <w:proofErr w:type="spellEnd"/>
      <w:r w:rsidRPr="004C69FA">
        <w:rPr>
          <w:sz w:val="24"/>
          <w:szCs w:val="24"/>
        </w:rPr>
        <w:t>-løsning og åbning af øregang) hos ungerne (se pkt. 4.6). Disse doser hos rotter (600 mg/kg/dag) er cirka 18 gange højere end den anbefalede humane maksimumdosis, udregnet ifølge mg/m</w:t>
      </w:r>
      <w:r w:rsidRPr="00BB6CCD">
        <w:rPr>
          <w:sz w:val="24"/>
          <w:szCs w:val="24"/>
          <w:vertAlign w:val="superscript"/>
        </w:rPr>
        <w:t>2</w:t>
      </w:r>
      <w:r w:rsidRPr="004C69FA">
        <w:rPr>
          <w:sz w:val="24"/>
          <w:szCs w:val="24"/>
        </w:rPr>
        <w:t xml:space="preserve"> (beregningerne går ud fra en oral dosis på 320 mg/dag til en patient, der vejer </w:t>
      </w:r>
      <w:smartTag w:uri="urn:schemas-microsoft-com:office:smarttags" w:element="City">
        <w:smartTagPr>
          <w:attr w:name="ProductID" w:val="60 kg"/>
        </w:smartTagPr>
        <w:r w:rsidRPr="004C69FA">
          <w:rPr>
            <w:sz w:val="24"/>
            <w:szCs w:val="24"/>
          </w:rPr>
          <w:t>60 kg</w:t>
        </w:r>
      </w:smartTag>
      <w:r w:rsidRPr="004C69FA">
        <w:rPr>
          <w:sz w:val="24"/>
          <w:szCs w:val="24"/>
        </w:rPr>
        <w:t>).</w:t>
      </w:r>
    </w:p>
    <w:p w:rsidR="00511674" w:rsidRPr="004C69FA" w:rsidRDefault="00511674" w:rsidP="00511674">
      <w:pPr>
        <w:ind w:left="851" w:hanging="851"/>
        <w:rPr>
          <w:sz w:val="24"/>
          <w:szCs w:val="24"/>
        </w:rPr>
      </w:pPr>
    </w:p>
    <w:p w:rsidR="00511674" w:rsidRPr="004C69FA" w:rsidRDefault="00511674" w:rsidP="00511674">
      <w:pPr>
        <w:ind w:left="851"/>
        <w:rPr>
          <w:sz w:val="24"/>
          <w:szCs w:val="24"/>
        </w:rPr>
      </w:pPr>
      <w:r w:rsidRPr="004C69FA">
        <w:rPr>
          <w:sz w:val="24"/>
          <w:szCs w:val="24"/>
        </w:rPr>
        <w:t xml:space="preserve">I prækliniske sikkerhedsstudier på rotter forårsagede høje doser </w:t>
      </w:r>
      <w:proofErr w:type="spellStart"/>
      <w:r w:rsidRPr="004C69FA">
        <w:rPr>
          <w:sz w:val="24"/>
          <w:szCs w:val="24"/>
        </w:rPr>
        <w:t>valsartan</w:t>
      </w:r>
      <w:proofErr w:type="spellEnd"/>
      <w:r w:rsidRPr="004C69FA">
        <w:rPr>
          <w:sz w:val="24"/>
          <w:szCs w:val="24"/>
        </w:rPr>
        <w:t xml:space="preserve"> (200-600 mg/kg legemsvægt) reduktion af blodtal (erytrocytter, hæmoglobin og hæmatokritværdi) og tegn på ændringer i den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hæmodynamik</w:t>
      </w:r>
      <w:proofErr w:type="spellEnd"/>
      <w:r w:rsidRPr="004C69FA">
        <w:rPr>
          <w:sz w:val="24"/>
          <w:szCs w:val="24"/>
        </w:rPr>
        <w:t xml:space="preserve"> (lettere forhøjet plasma-urinstof, samt </w:t>
      </w:r>
      <w:proofErr w:type="spellStart"/>
      <w:r w:rsidRPr="004C69FA">
        <w:rPr>
          <w:sz w:val="24"/>
          <w:szCs w:val="24"/>
        </w:rPr>
        <w:t>renal</w:t>
      </w:r>
      <w:proofErr w:type="spellEnd"/>
      <w:r w:rsidRPr="004C69FA">
        <w:rPr>
          <w:sz w:val="24"/>
          <w:szCs w:val="24"/>
        </w:rPr>
        <w:t xml:space="preserve"> </w:t>
      </w:r>
      <w:proofErr w:type="spellStart"/>
      <w:r w:rsidRPr="004C69FA">
        <w:rPr>
          <w:sz w:val="24"/>
          <w:szCs w:val="24"/>
        </w:rPr>
        <w:t>tubulær</w:t>
      </w:r>
      <w:proofErr w:type="spellEnd"/>
      <w:r w:rsidRPr="004C69FA">
        <w:rPr>
          <w:sz w:val="24"/>
          <w:szCs w:val="24"/>
        </w:rPr>
        <w:t xml:space="preserve"> </w:t>
      </w:r>
      <w:proofErr w:type="spellStart"/>
      <w:r w:rsidRPr="004C69FA">
        <w:rPr>
          <w:sz w:val="24"/>
          <w:szCs w:val="24"/>
        </w:rPr>
        <w:t>hyperplasi</w:t>
      </w:r>
      <w:proofErr w:type="spellEnd"/>
      <w:r w:rsidRPr="004C69FA">
        <w:rPr>
          <w:sz w:val="24"/>
          <w:szCs w:val="24"/>
        </w:rPr>
        <w:t xml:space="preserve"> og </w:t>
      </w:r>
      <w:proofErr w:type="spellStart"/>
      <w:r w:rsidRPr="004C69FA">
        <w:rPr>
          <w:sz w:val="24"/>
          <w:szCs w:val="24"/>
        </w:rPr>
        <w:t>basofili</w:t>
      </w:r>
      <w:proofErr w:type="spellEnd"/>
      <w:r w:rsidRPr="004C69FA">
        <w:rPr>
          <w:sz w:val="24"/>
          <w:szCs w:val="24"/>
        </w:rPr>
        <w:t xml:space="preserve"> hos hanner).</w:t>
      </w:r>
    </w:p>
    <w:p w:rsidR="00511674" w:rsidRPr="004C69FA" w:rsidRDefault="00511674" w:rsidP="00511674">
      <w:pPr>
        <w:ind w:left="851" w:hanging="851"/>
        <w:rPr>
          <w:sz w:val="24"/>
          <w:szCs w:val="24"/>
        </w:rPr>
      </w:pPr>
    </w:p>
    <w:p w:rsidR="00511674" w:rsidRPr="004C69FA" w:rsidRDefault="00511674" w:rsidP="00511674">
      <w:pPr>
        <w:ind w:left="851"/>
        <w:rPr>
          <w:sz w:val="24"/>
          <w:szCs w:val="24"/>
        </w:rPr>
      </w:pPr>
      <w:r w:rsidRPr="004C69FA">
        <w:rPr>
          <w:sz w:val="24"/>
          <w:szCs w:val="24"/>
        </w:rPr>
        <w:t>Disse doser hos rotter (200 og 600 mg/kg/dag) er cirka 6 til 18 gange højere end den anbefalede humane maksimumdosis, udregnet ifølge mg/m</w:t>
      </w:r>
      <w:r w:rsidRPr="00BB6CCD">
        <w:rPr>
          <w:sz w:val="24"/>
          <w:szCs w:val="24"/>
          <w:vertAlign w:val="superscript"/>
        </w:rPr>
        <w:t>2</w:t>
      </w:r>
      <w:r w:rsidRPr="004C69FA">
        <w:rPr>
          <w:sz w:val="24"/>
          <w:szCs w:val="24"/>
        </w:rPr>
        <w:t xml:space="preserve"> (beregningerne går ud fra en oral dosis på 320 mg/dag til en patient, der vejer </w:t>
      </w:r>
      <w:smartTag w:uri="urn:schemas-microsoft-com:office:smarttags" w:element="City">
        <w:smartTagPr>
          <w:attr w:name="ProductID" w:val="60 kg"/>
        </w:smartTagPr>
        <w:r w:rsidRPr="004C69FA">
          <w:rPr>
            <w:sz w:val="24"/>
            <w:szCs w:val="24"/>
          </w:rPr>
          <w:t>60 kg</w:t>
        </w:r>
      </w:smartTag>
      <w:r w:rsidRPr="004C69FA">
        <w:rPr>
          <w:sz w:val="24"/>
          <w:szCs w:val="24"/>
        </w:rPr>
        <w:t>).</w:t>
      </w:r>
    </w:p>
    <w:p w:rsidR="00511674" w:rsidRPr="004C69FA" w:rsidRDefault="00511674" w:rsidP="00511674">
      <w:pPr>
        <w:ind w:left="851" w:hanging="851"/>
        <w:rPr>
          <w:sz w:val="24"/>
          <w:szCs w:val="24"/>
        </w:rPr>
      </w:pPr>
    </w:p>
    <w:p w:rsidR="00511674" w:rsidRPr="004C69FA" w:rsidRDefault="00511674" w:rsidP="00511674">
      <w:pPr>
        <w:ind w:left="851"/>
        <w:rPr>
          <w:sz w:val="24"/>
          <w:szCs w:val="24"/>
        </w:rPr>
      </w:pPr>
      <w:r w:rsidRPr="004C69FA">
        <w:rPr>
          <w:sz w:val="24"/>
          <w:szCs w:val="24"/>
        </w:rPr>
        <w:t xml:space="preserve">Hos silkeaber, som fik lignende doser, sås det samme, skønt mere alvorlige ændringer, især i nyrerne, hvor ændringerne udviklede sig til </w:t>
      </w:r>
      <w:proofErr w:type="spellStart"/>
      <w:r w:rsidRPr="004C69FA">
        <w:rPr>
          <w:sz w:val="24"/>
          <w:szCs w:val="24"/>
        </w:rPr>
        <w:t>nefropati</w:t>
      </w:r>
      <w:proofErr w:type="spellEnd"/>
      <w:r w:rsidRPr="004C69FA">
        <w:rPr>
          <w:sz w:val="24"/>
          <w:szCs w:val="24"/>
        </w:rPr>
        <w:t>, som omfattede forhøjet urinstof og serum-</w:t>
      </w:r>
      <w:proofErr w:type="spellStart"/>
      <w:r w:rsidRPr="004C69FA">
        <w:rPr>
          <w:sz w:val="24"/>
          <w:szCs w:val="24"/>
        </w:rPr>
        <w:t>kreatinin</w:t>
      </w:r>
      <w:proofErr w:type="spellEnd"/>
      <w:r w:rsidRPr="004C69FA">
        <w:rPr>
          <w:sz w:val="24"/>
          <w:szCs w:val="24"/>
        </w:rPr>
        <w:t xml:space="preserve">. </w:t>
      </w:r>
    </w:p>
    <w:p w:rsidR="00511674" w:rsidRPr="004C69FA" w:rsidRDefault="00511674" w:rsidP="00511674">
      <w:pPr>
        <w:ind w:left="851"/>
        <w:rPr>
          <w:sz w:val="24"/>
          <w:szCs w:val="24"/>
        </w:rPr>
      </w:pPr>
    </w:p>
    <w:p w:rsidR="00511674" w:rsidRPr="004C69FA" w:rsidRDefault="00511674" w:rsidP="00511674">
      <w:pPr>
        <w:ind w:left="851"/>
        <w:rPr>
          <w:sz w:val="24"/>
          <w:szCs w:val="24"/>
        </w:rPr>
      </w:pPr>
      <w:r w:rsidRPr="004C69FA">
        <w:rPr>
          <w:sz w:val="24"/>
          <w:szCs w:val="24"/>
        </w:rPr>
        <w:t xml:space="preserve">Hypertrofi i de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juxtaglomerulære</w:t>
      </w:r>
      <w:proofErr w:type="spellEnd"/>
      <w:r w:rsidRPr="004C69FA">
        <w:rPr>
          <w:sz w:val="24"/>
          <w:szCs w:val="24"/>
        </w:rPr>
        <w:t xml:space="preserve"> celler sås også hos begge arter. Alle ændringer ansås for at være forårsaget af </w:t>
      </w:r>
      <w:proofErr w:type="spellStart"/>
      <w:r w:rsidRPr="004C69FA">
        <w:rPr>
          <w:sz w:val="24"/>
          <w:szCs w:val="24"/>
        </w:rPr>
        <w:t>valsartans</w:t>
      </w:r>
      <w:proofErr w:type="spellEnd"/>
      <w:r w:rsidRPr="004C69FA">
        <w:rPr>
          <w:sz w:val="24"/>
          <w:szCs w:val="24"/>
        </w:rPr>
        <w:t xml:space="preserve"> farmakologiske virkning, som især hos silkeaber giver forlænget hypotension. Hypertrofi af de </w:t>
      </w:r>
      <w:proofErr w:type="spellStart"/>
      <w:r w:rsidRPr="004C69FA">
        <w:rPr>
          <w:sz w:val="24"/>
          <w:szCs w:val="24"/>
        </w:rPr>
        <w:t>renale</w:t>
      </w:r>
      <w:proofErr w:type="spellEnd"/>
      <w:r w:rsidRPr="004C69FA">
        <w:rPr>
          <w:sz w:val="24"/>
          <w:szCs w:val="24"/>
        </w:rPr>
        <w:t xml:space="preserve"> </w:t>
      </w:r>
      <w:proofErr w:type="spellStart"/>
      <w:r w:rsidRPr="004C69FA">
        <w:rPr>
          <w:sz w:val="24"/>
          <w:szCs w:val="24"/>
        </w:rPr>
        <w:t>juxtaglomerulære</w:t>
      </w:r>
      <w:proofErr w:type="spellEnd"/>
      <w:r w:rsidRPr="004C69FA">
        <w:rPr>
          <w:sz w:val="24"/>
          <w:szCs w:val="24"/>
        </w:rPr>
        <w:t xml:space="preserve"> celler synes ikke at have relevans for mennesker, som får terapeutiske doser </w:t>
      </w:r>
      <w:proofErr w:type="spellStart"/>
      <w:r w:rsidRPr="004C69FA">
        <w:rPr>
          <w:sz w:val="24"/>
          <w:szCs w:val="24"/>
        </w:rPr>
        <w:t>valsartan</w:t>
      </w:r>
      <w:proofErr w:type="spellEnd"/>
      <w:r w:rsidRPr="004C69FA">
        <w:rPr>
          <w:sz w:val="24"/>
          <w:szCs w:val="24"/>
        </w:rPr>
        <w:t>.</w:t>
      </w:r>
    </w:p>
    <w:p w:rsidR="00511674" w:rsidRPr="004C69FA" w:rsidRDefault="00511674" w:rsidP="00511674">
      <w:pPr>
        <w:tabs>
          <w:tab w:val="left" w:pos="851"/>
        </w:tabs>
        <w:ind w:left="851" w:hanging="851"/>
        <w:rPr>
          <w:sz w:val="24"/>
          <w:szCs w:val="24"/>
        </w:rPr>
      </w:pPr>
    </w:p>
    <w:p w:rsidR="00511674" w:rsidRPr="004C69FA" w:rsidRDefault="00511674" w:rsidP="00511674">
      <w:pPr>
        <w:tabs>
          <w:tab w:val="left" w:pos="851"/>
        </w:tabs>
        <w:autoSpaceDE w:val="0"/>
        <w:autoSpaceDN w:val="0"/>
        <w:adjustRightInd w:val="0"/>
        <w:rPr>
          <w:i/>
          <w:iCs/>
          <w:sz w:val="24"/>
          <w:szCs w:val="24"/>
          <w:u w:val="single"/>
        </w:rPr>
      </w:pPr>
      <w:r w:rsidRPr="004C69FA">
        <w:rPr>
          <w:i/>
          <w:iCs/>
          <w:sz w:val="24"/>
          <w:szCs w:val="24"/>
        </w:rPr>
        <w:tab/>
      </w:r>
      <w:r w:rsidRPr="004C69FA">
        <w:rPr>
          <w:i/>
          <w:iCs/>
          <w:sz w:val="24"/>
          <w:szCs w:val="24"/>
          <w:u w:val="single"/>
        </w:rPr>
        <w:t>Pædiatrisk population</w:t>
      </w:r>
    </w:p>
    <w:p w:rsidR="00511674" w:rsidRPr="004C69FA" w:rsidRDefault="00511674" w:rsidP="00511674">
      <w:pPr>
        <w:autoSpaceDE w:val="0"/>
        <w:autoSpaceDN w:val="0"/>
        <w:adjustRightInd w:val="0"/>
        <w:ind w:left="851"/>
        <w:rPr>
          <w:sz w:val="24"/>
          <w:szCs w:val="24"/>
        </w:rPr>
      </w:pPr>
      <w:r w:rsidRPr="004C69FA">
        <w:rPr>
          <w:sz w:val="24"/>
          <w:szCs w:val="24"/>
        </w:rPr>
        <w:t xml:space="preserve">Daglig oral dosering til neonatale/unge rotter (fra dag 7 </w:t>
      </w:r>
      <w:proofErr w:type="spellStart"/>
      <w:r w:rsidRPr="004C69FA">
        <w:rPr>
          <w:sz w:val="24"/>
          <w:szCs w:val="24"/>
        </w:rPr>
        <w:t>postnatal</w:t>
      </w:r>
      <w:proofErr w:type="spellEnd"/>
      <w:r w:rsidRPr="004C69FA">
        <w:rPr>
          <w:sz w:val="24"/>
          <w:szCs w:val="24"/>
        </w:rPr>
        <w:t xml:space="preserve"> til dag 70 </w:t>
      </w:r>
      <w:proofErr w:type="spellStart"/>
      <w:r w:rsidRPr="004C69FA">
        <w:rPr>
          <w:sz w:val="24"/>
          <w:szCs w:val="24"/>
        </w:rPr>
        <w:t>postnatal</w:t>
      </w:r>
      <w:proofErr w:type="spellEnd"/>
      <w:r w:rsidRPr="004C69FA">
        <w:rPr>
          <w:sz w:val="24"/>
          <w:szCs w:val="24"/>
        </w:rPr>
        <w:t xml:space="preserve">) med </w:t>
      </w:r>
      <w:proofErr w:type="spellStart"/>
      <w:r w:rsidRPr="004C69FA">
        <w:rPr>
          <w:sz w:val="24"/>
          <w:szCs w:val="24"/>
        </w:rPr>
        <w:t>valsartan</w:t>
      </w:r>
      <w:proofErr w:type="spellEnd"/>
      <w:r w:rsidRPr="004C69FA">
        <w:rPr>
          <w:sz w:val="24"/>
          <w:szCs w:val="24"/>
        </w:rPr>
        <w:t xml:space="preserve"> ved doser så små som 1 mg/kg/dag (omkring 10-35 % af den maksimale anbefalede pædiatriske dosis på 4 mg/kg/dag på basis af systemisk eksponering) viste vedvarende, irreversibel nyreskade. Disse her omtalte virkninger repræsenterer en forventet overdreven farmakologisk virkning af ACE-</w:t>
      </w:r>
      <w:proofErr w:type="spellStart"/>
      <w:r w:rsidRPr="004C69FA">
        <w:rPr>
          <w:sz w:val="24"/>
          <w:szCs w:val="24"/>
        </w:rPr>
        <w:t>hæmmere</w:t>
      </w:r>
      <w:proofErr w:type="spellEnd"/>
      <w:r w:rsidRPr="004C69FA">
        <w:rPr>
          <w:sz w:val="24"/>
          <w:szCs w:val="24"/>
        </w:rPr>
        <w:t xml:space="preserve"> og </w:t>
      </w:r>
      <w:proofErr w:type="spellStart"/>
      <w:r w:rsidRPr="004C69FA">
        <w:rPr>
          <w:sz w:val="24"/>
          <w:szCs w:val="24"/>
        </w:rPr>
        <w:t>angiotensin</w:t>
      </w:r>
      <w:proofErr w:type="spellEnd"/>
      <w:r w:rsidRPr="004C69FA">
        <w:rPr>
          <w:sz w:val="24"/>
          <w:szCs w:val="24"/>
        </w:rPr>
        <w:t>-II type I-</w:t>
      </w:r>
      <w:proofErr w:type="spellStart"/>
      <w:r w:rsidRPr="004C69FA">
        <w:rPr>
          <w:sz w:val="24"/>
          <w:szCs w:val="24"/>
        </w:rPr>
        <w:t>blokkere</w:t>
      </w:r>
      <w:proofErr w:type="spellEnd"/>
      <w:r w:rsidRPr="004C69FA">
        <w:rPr>
          <w:sz w:val="24"/>
          <w:szCs w:val="24"/>
        </w:rPr>
        <w:t xml:space="preserve">. Sådanne virkninger observeres, hvis rotter behandles de første 13 dage af livet. </w:t>
      </w:r>
    </w:p>
    <w:p w:rsidR="00511674" w:rsidRPr="004C69FA" w:rsidRDefault="00511674" w:rsidP="00511674">
      <w:pPr>
        <w:autoSpaceDE w:val="0"/>
        <w:autoSpaceDN w:val="0"/>
        <w:adjustRightInd w:val="0"/>
        <w:ind w:left="851"/>
        <w:rPr>
          <w:sz w:val="24"/>
          <w:szCs w:val="24"/>
        </w:rPr>
      </w:pPr>
      <w:r w:rsidRPr="004C69FA">
        <w:rPr>
          <w:sz w:val="24"/>
          <w:szCs w:val="24"/>
        </w:rPr>
        <w:t xml:space="preserve">Denne periode er sammenfaldende med 36 ugers svangerskab hos mennesker, som en gang imellem kan forlænges op til 44 uger efter undfangelse hos mennesker. Rotterne i juvenil </w:t>
      </w:r>
      <w:proofErr w:type="spellStart"/>
      <w:r w:rsidRPr="004C69FA">
        <w:rPr>
          <w:sz w:val="24"/>
          <w:szCs w:val="24"/>
        </w:rPr>
        <w:t>valsartanforsøget</w:t>
      </w:r>
      <w:proofErr w:type="spellEnd"/>
      <w:r w:rsidRPr="004C69FA">
        <w:rPr>
          <w:sz w:val="24"/>
          <w:szCs w:val="24"/>
        </w:rPr>
        <w:t xml:space="preserve"> blev doseret op til dag 70, og virkningen på nyreudviklingen (4-6 uger </w:t>
      </w:r>
      <w:proofErr w:type="spellStart"/>
      <w:r w:rsidRPr="004C69FA">
        <w:rPr>
          <w:sz w:val="24"/>
          <w:szCs w:val="24"/>
        </w:rPr>
        <w:t>postnatal</w:t>
      </w:r>
      <w:proofErr w:type="spellEnd"/>
      <w:r w:rsidRPr="004C69FA">
        <w:rPr>
          <w:sz w:val="24"/>
          <w:szCs w:val="24"/>
        </w:rPr>
        <w:t>) kan ikke udelukkes. Funktionel nyreudvikling er en fortsat proces inden for det første leveår hos mennesker. Som konsekvens kan en klinisk relevans hos børn &lt;1 år ikke udelukkes, mens prækliniske data ikke indikerer bekymring omkring sikkerheden for børn over 1 år.</w:t>
      </w:r>
    </w:p>
    <w:p w:rsidR="00E4145D" w:rsidRPr="004C69FA" w:rsidRDefault="00E4145D" w:rsidP="00E4145D">
      <w:pPr>
        <w:tabs>
          <w:tab w:val="left" w:pos="851"/>
        </w:tabs>
        <w:ind w:left="851" w:hanging="851"/>
        <w:rPr>
          <w:sz w:val="24"/>
          <w:szCs w:val="24"/>
        </w:rPr>
      </w:pPr>
    </w:p>
    <w:p w:rsidR="00E4145D" w:rsidRDefault="00E4145D" w:rsidP="00E4145D">
      <w:pPr>
        <w:tabs>
          <w:tab w:val="left" w:pos="851"/>
        </w:tabs>
        <w:ind w:left="851" w:hanging="851"/>
        <w:rPr>
          <w:sz w:val="24"/>
          <w:szCs w:val="24"/>
        </w:rPr>
      </w:pPr>
    </w:p>
    <w:p w:rsidR="00511674" w:rsidRDefault="00511674" w:rsidP="00E4145D">
      <w:pPr>
        <w:tabs>
          <w:tab w:val="left" w:pos="851"/>
        </w:tabs>
        <w:ind w:left="851" w:hanging="851"/>
        <w:rPr>
          <w:sz w:val="24"/>
          <w:szCs w:val="24"/>
        </w:rPr>
      </w:pPr>
    </w:p>
    <w:p w:rsidR="00511674" w:rsidRPr="004C69FA" w:rsidRDefault="00511674" w:rsidP="00E4145D">
      <w:pPr>
        <w:tabs>
          <w:tab w:val="left" w:pos="851"/>
        </w:tabs>
        <w:ind w:left="851" w:hanging="851"/>
        <w:rPr>
          <w:sz w:val="24"/>
          <w:szCs w:val="24"/>
        </w:rPr>
      </w:pPr>
    </w:p>
    <w:p w:rsidR="00E4145D" w:rsidRPr="004C69FA" w:rsidRDefault="00E4145D" w:rsidP="00E4145D">
      <w:pPr>
        <w:numPr>
          <w:ilvl w:val="0"/>
          <w:numId w:val="3"/>
        </w:numPr>
        <w:ind w:left="851" w:hanging="851"/>
        <w:rPr>
          <w:b/>
          <w:sz w:val="24"/>
          <w:szCs w:val="24"/>
        </w:rPr>
      </w:pPr>
      <w:r w:rsidRPr="004C69FA">
        <w:rPr>
          <w:b/>
          <w:sz w:val="24"/>
          <w:szCs w:val="24"/>
        </w:rPr>
        <w:lastRenderedPageBreak/>
        <w:t>FARMACEUTISKE OPLYSNINGER</w:t>
      </w:r>
    </w:p>
    <w:p w:rsidR="00E4145D" w:rsidRPr="004C69FA" w:rsidRDefault="00E4145D" w:rsidP="00E4145D">
      <w:pPr>
        <w:tabs>
          <w:tab w:val="left" w:pos="851"/>
        </w:tabs>
        <w:ind w:left="851" w:hanging="851"/>
        <w:rPr>
          <w:b/>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Hjælpestoffer</w:t>
      </w:r>
    </w:p>
    <w:p w:rsidR="00E4145D" w:rsidRDefault="00E4145D" w:rsidP="00E4145D">
      <w:pPr>
        <w:tabs>
          <w:tab w:val="left" w:pos="851"/>
        </w:tabs>
        <w:ind w:left="851"/>
        <w:rPr>
          <w:sz w:val="24"/>
          <w:szCs w:val="24"/>
        </w:rPr>
      </w:pPr>
    </w:p>
    <w:p w:rsidR="00E4145D" w:rsidRPr="004C69FA" w:rsidRDefault="00E4145D" w:rsidP="00E4145D">
      <w:pPr>
        <w:tabs>
          <w:tab w:val="left" w:pos="851"/>
        </w:tabs>
        <w:ind w:left="851" w:hanging="851"/>
        <w:rPr>
          <w:sz w:val="24"/>
          <w:szCs w:val="24"/>
          <w:u w:val="single"/>
        </w:rPr>
      </w:pPr>
      <w:r>
        <w:rPr>
          <w:sz w:val="24"/>
          <w:szCs w:val="24"/>
        </w:rPr>
        <w:tab/>
      </w:r>
      <w:r w:rsidRPr="004C69FA">
        <w:rPr>
          <w:sz w:val="24"/>
          <w:szCs w:val="24"/>
          <w:u w:val="single"/>
        </w:rPr>
        <w:t>Tabletkerne</w:t>
      </w:r>
    </w:p>
    <w:p w:rsidR="00E4145D" w:rsidRPr="004C69FA" w:rsidRDefault="00E4145D" w:rsidP="00E4145D">
      <w:pPr>
        <w:tabs>
          <w:tab w:val="left" w:pos="851"/>
        </w:tabs>
        <w:ind w:left="851" w:hanging="851"/>
        <w:rPr>
          <w:sz w:val="24"/>
          <w:szCs w:val="24"/>
        </w:rPr>
      </w:pPr>
      <w:r w:rsidRPr="004C69FA">
        <w:rPr>
          <w:spacing w:val="-3"/>
          <w:sz w:val="24"/>
          <w:szCs w:val="24"/>
        </w:rPr>
        <w:tab/>
      </w:r>
      <w:proofErr w:type="spellStart"/>
      <w:r w:rsidRPr="004C69FA">
        <w:rPr>
          <w:sz w:val="24"/>
          <w:szCs w:val="24"/>
        </w:rPr>
        <w:t>Lactosemonohydrat</w:t>
      </w:r>
      <w:proofErr w:type="spellEnd"/>
    </w:p>
    <w:p w:rsidR="00E4145D" w:rsidRPr="004C69FA" w:rsidRDefault="00E4145D" w:rsidP="00E4145D">
      <w:pPr>
        <w:tabs>
          <w:tab w:val="left" w:pos="851"/>
        </w:tabs>
        <w:ind w:left="851" w:hanging="851"/>
        <w:rPr>
          <w:sz w:val="24"/>
          <w:szCs w:val="24"/>
        </w:rPr>
      </w:pPr>
      <w:r w:rsidRPr="004C69FA">
        <w:rPr>
          <w:sz w:val="24"/>
          <w:szCs w:val="24"/>
        </w:rPr>
        <w:tab/>
        <w:t>Mikrokrystallinsk cellulose</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Povidon</w:t>
      </w:r>
      <w:proofErr w:type="spellEnd"/>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Croscarmellosenatrium</w:t>
      </w:r>
      <w:proofErr w:type="spellEnd"/>
    </w:p>
    <w:p w:rsidR="00E4145D" w:rsidRPr="004C69FA" w:rsidRDefault="00E4145D" w:rsidP="00E4145D">
      <w:pPr>
        <w:tabs>
          <w:tab w:val="left" w:pos="851"/>
        </w:tabs>
        <w:ind w:left="851" w:hanging="851"/>
        <w:rPr>
          <w:sz w:val="24"/>
          <w:szCs w:val="24"/>
        </w:rPr>
      </w:pPr>
      <w:r w:rsidRPr="004C69FA">
        <w:rPr>
          <w:sz w:val="24"/>
          <w:szCs w:val="24"/>
        </w:rPr>
        <w:tab/>
        <w:t xml:space="preserve">Kolloid, vandfri </w:t>
      </w:r>
      <w:proofErr w:type="spellStart"/>
      <w:r w:rsidRPr="004C69FA">
        <w:rPr>
          <w:sz w:val="24"/>
          <w:szCs w:val="24"/>
        </w:rPr>
        <w:t>silica</w:t>
      </w:r>
      <w:proofErr w:type="spellEnd"/>
      <w:r w:rsidRPr="004C69FA">
        <w:rPr>
          <w:sz w:val="24"/>
          <w:szCs w:val="24"/>
        </w:rPr>
        <w:t xml:space="preserve"> </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Magnesiumstearat</w:t>
      </w:r>
      <w:proofErr w:type="spellEnd"/>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sz w:val="24"/>
          <w:szCs w:val="24"/>
          <w:u w:val="single"/>
        </w:rPr>
      </w:pPr>
      <w:r w:rsidRPr="004C69FA">
        <w:rPr>
          <w:sz w:val="24"/>
          <w:szCs w:val="24"/>
        </w:rPr>
        <w:tab/>
      </w:r>
      <w:r w:rsidRPr="004C69FA">
        <w:rPr>
          <w:sz w:val="24"/>
          <w:szCs w:val="24"/>
          <w:u w:val="single"/>
        </w:rPr>
        <w:t>Filmovertræk</w:t>
      </w:r>
    </w:p>
    <w:p w:rsidR="00E4145D" w:rsidRPr="004C69FA" w:rsidRDefault="00E4145D" w:rsidP="00E4145D">
      <w:pPr>
        <w:tabs>
          <w:tab w:val="left" w:pos="851"/>
        </w:tabs>
        <w:ind w:left="851" w:hanging="851"/>
        <w:rPr>
          <w:sz w:val="24"/>
          <w:szCs w:val="24"/>
        </w:rPr>
      </w:pPr>
      <w:r w:rsidRPr="004C69FA">
        <w:rPr>
          <w:sz w:val="24"/>
          <w:szCs w:val="24"/>
        </w:rPr>
        <w:tab/>
      </w:r>
      <w:proofErr w:type="spellStart"/>
      <w:r w:rsidRPr="004C69FA">
        <w:rPr>
          <w:sz w:val="24"/>
          <w:szCs w:val="24"/>
        </w:rPr>
        <w:t>Hypromellose</w:t>
      </w:r>
      <w:proofErr w:type="spellEnd"/>
    </w:p>
    <w:p w:rsidR="00E4145D" w:rsidRPr="00716BC6" w:rsidRDefault="00E4145D" w:rsidP="00E4145D">
      <w:pPr>
        <w:tabs>
          <w:tab w:val="left" w:pos="851"/>
        </w:tabs>
        <w:ind w:left="851" w:hanging="851"/>
        <w:rPr>
          <w:sz w:val="24"/>
          <w:szCs w:val="24"/>
          <w:lang w:val="en-US"/>
        </w:rPr>
      </w:pPr>
      <w:r w:rsidRPr="004C69FA">
        <w:rPr>
          <w:sz w:val="24"/>
          <w:szCs w:val="24"/>
        </w:rPr>
        <w:tab/>
      </w:r>
      <w:proofErr w:type="spellStart"/>
      <w:r w:rsidRPr="00716BC6">
        <w:rPr>
          <w:sz w:val="24"/>
          <w:szCs w:val="24"/>
          <w:lang w:val="en-US"/>
        </w:rPr>
        <w:t>Titandioxid</w:t>
      </w:r>
      <w:proofErr w:type="spellEnd"/>
      <w:r w:rsidRPr="00716BC6">
        <w:rPr>
          <w:sz w:val="24"/>
          <w:szCs w:val="24"/>
          <w:lang w:val="en-US"/>
        </w:rPr>
        <w:t xml:space="preserve"> (E171)</w:t>
      </w:r>
    </w:p>
    <w:p w:rsidR="00E4145D" w:rsidRPr="00716BC6" w:rsidRDefault="00E4145D" w:rsidP="00E4145D">
      <w:pPr>
        <w:tabs>
          <w:tab w:val="left" w:pos="851"/>
        </w:tabs>
        <w:ind w:left="851" w:hanging="851"/>
        <w:rPr>
          <w:sz w:val="24"/>
          <w:szCs w:val="24"/>
          <w:lang w:val="en-US"/>
        </w:rPr>
      </w:pPr>
      <w:r w:rsidRPr="00716BC6">
        <w:rPr>
          <w:sz w:val="24"/>
          <w:szCs w:val="24"/>
          <w:lang w:val="en-US"/>
        </w:rPr>
        <w:tab/>
        <w:t>Macrogol 4000</w:t>
      </w:r>
    </w:p>
    <w:p w:rsidR="00E4145D" w:rsidRPr="00716BC6" w:rsidRDefault="00E4145D" w:rsidP="00E4145D">
      <w:pPr>
        <w:tabs>
          <w:tab w:val="left" w:pos="851"/>
        </w:tabs>
        <w:ind w:left="851" w:hanging="851"/>
        <w:rPr>
          <w:sz w:val="24"/>
          <w:szCs w:val="24"/>
          <w:lang w:val="en-US"/>
        </w:rPr>
      </w:pPr>
    </w:p>
    <w:p w:rsidR="00E4145D" w:rsidRPr="00716BC6" w:rsidRDefault="00E4145D" w:rsidP="00E4145D">
      <w:pPr>
        <w:tabs>
          <w:tab w:val="left" w:pos="851"/>
        </w:tabs>
        <w:ind w:left="851" w:hanging="851"/>
        <w:rPr>
          <w:sz w:val="24"/>
          <w:szCs w:val="24"/>
          <w:lang w:val="en-US"/>
        </w:rPr>
      </w:pPr>
      <w:r w:rsidRPr="00716BC6">
        <w:rPr>
          <w:sz w:val="24"/>
          <w:szCs w:val="24"/>
          <w:lang w:val="en-US"/>
        </w:rPr>
        <w:tab/>
      </w:r>
      <w:proofErr w:type="spellStart"/>
      <w:r w:rsidRPr="00716BC6">
        <w:rPr>
          <w:sz w:val="24"/>
          <w:szCs w:val="24"/>
          <w:lang w:val="en-US"/>
        </w:rPr>
        <w:t>Jernoxid</w:t>
      </w:r>
      <w:proofErr w:type="spellEnd"/>
      <w:r w:rsidRPr="00716BC6">
        <w:rPr>
          <w:sz w:val="24"/>
          <w:szCs w:val="24"/>
          <w:lang w:val="en-US"/>
        </w:rPr>
        <w:t xml:space="preserve">, </w:t>
      </w:r>
      <w:proofErr w:type="spellStart"/>
      <w:r w:rsidRPr="00716BC6">
        <w:rPr>
          <w:sz w:val="24"/>
          <w:szCs w:val="24"/>
          <w:lang w:val="en-US"/>
        </w:rPr>
        <w:t>gul</w:t>
      </w:r>
      <w:proofErr w:type="spellEnd"/>
      <w:r w:rsidRPr="00716BC6">
        <w:rPr>
          <w:sz w:val="24"/>
          <w:szCs w:val="24"/>
          <w:lang w:val="en-US"/>
        </w:rPr>
        <w:t xml:space="preserve"> (E</w:t>
      </w:r>
      <w:proofErr w:type="gramStart"/>
      <w:r w:rsidRPr="00716BC6">
        <w:rPr>
          <w:sz w:val="24"/>
          <w:szCs w:val="24"/>
          <w:lang w:val="en-US"/>
        </w:rPr>
        <w:t>172)*</w:t>
      </w:r>
      <w:proofErr w:type="gramEnd"/>
    </w:p>
    <w:p w:rsidR="004F3DAB" w:rsidRDefault="00E4145D" w:rsidP="00E4145D">
      <w:pPr>
        <w:tabs>
          <w:tab w:val="left" w:pos="851"/>
        </w:tabs>
        <w:ind w:left="851" w:hanging="851"/>
        <w:rPr>
          <w:sz w:val="24"/>
          <w:szCs w:val="24"/>
        </w:rPr>
      </w:pPr>
      <w:r w:rsidRPr="00716BC6">
        <w:rPr>
          <w:sz w:val="24"/>
          <w:szCs w:val="24"/>
          <w:lang w:val="en-US"/>
        </w:rPr>
        <w:tab/>
      </w:r>
      <w:r w:rsidRPr="004C69FA">
        <w:rPr>
          <w:sz w:val="24"/>
          <w:szCs w:val="24"/>
        </w:rPr>
        <w:t>Jernoxid, rød (E172)</w:t>
      </w:r>
    </w:p>
    <w:p w:rsidR="00E4145D" w:rsidRPr="004C69FA" w:rsidRDefault="004F3DAB" w:rsidP="00E4145D">
      <w:pPr>
        <w:tabs>
          <w:tab w:val="left" w:pos="851"/>
        </w:tabs>
        <w:ind w:left="851" w:hanging="851"/>
        <w:rPr>
          <w:sz w:val="24"/>
          <w:szCs w:val="24"/>
        </w:rPr>
      </w:pPr>
      <w:r>
        <w:rPr>
          <w:sz w:val="24"/>
          <w:szCs w:val="24"/>
        </w:rPr>
        <w:tab/>
        <w:t>*</w:t>
      </w:r>
      <w:r w:rsidR="00E4145D" w:rsidRPr="004C69FA">
        <w:rPr>
          <w:sz w:val="24"/>
          <w:szCs w:val="24"/>
        </w:rPr>
        <w:t>Kun i 160 mg tabletter</w:t>
      </w:r>
    </w:p>
    <w:p w:rsidR="00E4145D" w:rsidRPr="004C69FA" w:rsidRDefault="00E4145D" w:rsidP="00E4145D">
      <w:pPr>
        <w:tabs>
          <w:tab w:val="left" w:pos="851"/>
        </w:tabs>
        <w:ind w:left="851" w:hanging="851"/>
        <w:rPr>
          <w:sz w:val="24"/>
          <w:szCs w:val="24"/>
        </w:rPr>
      </w:pPr>
      <w:r w:rsidRPr="004C69FA">
        <w:rPr>
          <w:sz w:val="24"/>
          <w:szCs w:val="24"/>
        </w:rPr>
        <w:tab/>
      </w:r>
    </w:p>
    <w:p w:rsidR="00E4145D" w:rsidRPr="004C69FA" w:rsidRDefault="00E4145D" w:rsidP="00E4145D">
      <w:pPr>
        <w:numPr>
          <w:ilvl w:val="1"/>
          <w:numId w:val="5"/>
        </w:numPr>
        <w:ind w:left="851" w:hanging="851"/>
        <w:rPr>
          <w:b/>
          <w:sz w:val="24"/>
          <w:szCs w:val="24"/>
        </w:rPr>
      </w:pPr>
      <w:r w:rsidRPr="004C69FA">
        <w:rPr>
          <w:b/>
          <w:sz w:val="24"/>
          <w:szCs w:val="24"/>
        </w:rPr>
        <w:t>Uforligeligheder</w:t>
      </w:r>
    </w:p>
    <w:p w:rsidR="00E4145D" w:rsidRPr="004C69FA" w:rsidRDefault="00E4145D" w:rsidP="00E4145D">
      <w:pPr>
        <w:tabs>
          <w:tab w:val="left" w:pos="851"/>
        </w:tabs>
        <w:ind w:left="851" w:hanging="851"/>
        <w:rPr>
          <w:sz w:val="24"/>
          <w:szCs w:val="24"/>
        </w:rPr>
      </w:pPr>
      <w:r w:rsidRPr="004C69FA">
        <w:rPr>
          <w:sz w:val="24"/>
          <w:szCs w:val="24"/>
        </w:rPr>
        <w:tab/>
        <w:t>Ikke relevant.</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Opbevaringstid</w:t>
      </w:r>
    </w:p>
    <w:p w:rsidR="00E4145D" w:rsidRPr="004C69FA" w:rsidRDefault="00E4145D" w:rsidP="00E4145D">
      <w:pPr>
        <w:tabs>
          <w:tab w:val="left" w:pos="851"/>
        </w:tabs>
        <w:ind w:left="851" w:hanging="851"/>
        <w:rPr>
          <w:sz w:val="24"/>
          <w:szCs w:val="24"/>
        </w:rPr>
      </w:pPr>
      <w:r w:rsidRPr="004C69FA">
        <w:rPr>
          <w:sz w:val="24"/>
          <w:szCs w:val="24"/>
        </w:rPr>
        <w:tab/>
        <w:t>5 år.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Særlige opbevaringsforhold</w:t>
      </w:r>
    </w:p>
    <w:p w:rsidR="00E4145D" w:rsidRDefault="00E4145D" w:rsidP="00511674">
      <w:pPr>
        <w:tabs>
          <w:tab w:val="left" w:pos="851"/>
        </w:tabs>
        <w:ind w:left="851" w:hanging="851"/>
        <w:rPr>
          <w:sz w:val="24"/>
          <w:szCs w:val="24"/>
        </w:rPr>
      </w:pPr>
      <w:r w:rsidRPr="004C69FA">
        <w:rPr>
          <w:sz w:val="24"/>
          <w:szCs w:val="24"/>
        </w:rPr>
        <w:tab/>
        <w:t>Må</w:t>
      </w:r>
      <w:r w:rsidRPr="004C69FA">
        <w:rPr>
          <w:spacing w:val="-3"/>
          <w:sz w:val="24"/>
          <w:szCs w:val="24"/>
        </w:rPr>
        <w:t xml:space="preserve"> ikke opbevares ved temperaturer over 30° C. Opbevares i den originale emballage for at beskytte mod fugt.</w:t>
      </w:r>
    </w:p>
    <w:p w:rsidR="00ED5BAC" w:rsidRPr="004C69FA" w:rsidRDefault="00ED5BAC"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Emballagetyper og pakningsstørrelser</w:t>
      </w:r>
    </w:p>
    <w:p w:rsidR="00E4145D" w:rsidRPr="004C69FA" w:rsidRDefault="004F3DAB" w:rsidP="004F3DAB">
      <w:pPr>
        <w:tabs>
          <w:tab w:val="left" w:pos="851"/>
        </w:tabs>
        <w:ind w:left="851"/>
        <w:rPr>
          <w:sz w:val="24"/>
          <w:szCs w:val="24"/>
        </w:rPr>
      </w:pPr>
      <w:r>
        <w:rPr>
          <w:sz w:val="24"/>
          <w:szCs w:val="24"/>
        </w:rPr>
        <w:t>Blister.</w:t>
      </w:r>
    </w:p>
    <w:p w:rsidR="00E4145D" w:rsidRPr="004C69FA" w:rsidRDefault="00E4145D" w:rsidP="00E4145D">
      <w:pPr>
        <w:tabs>
          <w:tab w:val="left" w:pos="851"/>
        </w:tabs>
        <w:ind w:left="851" w:hanging="851"/>
        <w:rPr>
          <w:sz w:val="24"/>
          <w:szCs w:val="24"/>
        </w:rPr>
      </w:pPr>
    </w:p>
    <w:p w:rsidR="00E4145D" w:rsidRPr="004C69FA" w:rsidRDefault="00E4145D" w:rsidP="00E4145D">
      <w:pPr>
        <w:numPr>
          <w:ilvl w:val="1"/>
          <w:numId w:val="5"/>
        </w:numPr>
        <w:ind w:left="851" w:hanging="851"/>
        <w:rPr>
          <w:b/>
          <w:sz w:val="24"/>
          <w:szCs w:val="24"/>
        </w:rPr>
      </w:pPr>
      <w:r w:rsidRPr="004C69FA">
        <w:rPr>
          <w:b/>
          <w:sz w:val="24"/>
          <w:szCs w:val="24"/>
        </w:rPr>
        <w:t>Regler for destruktion og anden håndtering</w:t>
      </w:r>
    </w:p>
    <w:p w:rsidR="00E4145D" w:rsidRPr="004C69FA" w:rsidRDefault="00E4145D" w:rsidP="00E4145D">
      <w:pPr>
        <w:tabs>
          <w:tab w:val="left" w:pos="851"/>
        </w:tabs>
        <w:ind w:left="851" w:hanging="851"/>
        <w:rPr>
          <w:sz w:val="24"/>
          <w:szCs w:val="24"/>
        </w:rPr>
      </w:pPr>
      <w:r w:rsidRPr="004C69FA">
        <w:rPr>
          <w:sz w:val="24"/>
          <w:szCs w:val="24"/>
        </w:rPr>
        <w:tab/>
        <w:t>Ingen særlige forholdsregler.</w:t>
      </w:r>
    </w:p>
    <w:p w:rsidR="00E4145D" w:rsidRDefault="00E4145D" w:rsidP="00E4145D">
      <w:pPr>
        <w:tabs>
          <w:tab w:val="left" w:pos="851"/>
        </w:tabs>
        <w:ind w:left="851" w:hanging="851"/>
        <w:rPr>
          <w:sz w:val="24"/>
          <w:szCs w:val="24"/>
        </w:rPr>
      </w:pPr>
      <w:r w:rsidRPr="004C69FA">
        <w:rPr>
          <w:noProof/>
          <w:sz w:val="24"/>
          <w:szCs w:val="24"/>
        </w:rPr>
        <w:tab/>
        <w:t xml:space="preserve">Ikke anvendte lægemidler samt affald heraf bør </w:t>
      </w:r>
      <w:r w:rsidRPr="004C69FA">
        <w:rPr>
          <w:sz w:val="24"/>
          <w:szCs w:val="24"/>
        </w:rPr>
        <w:t>destrueres</w:t>
      </w:r>
      <w:r w:rsidRPr="004C69FA">
        <w:rPr>
          <w:noProof/>
          <w:sz w:val="24"/>
          <w:szCs w:val="24"/>
        </w:rPr>
        <w:t xml:space="preserve"> i </w:t>
      </w:r>
      <w:r w:rsidRPr="004C69FA">
        <w:rPr>
          <w:sz w:val="24"/>
          <w:szCs w:val="24"/>
        </w:rPr>
        <w:t>henhold til lokale retningslinjer</w:t>
      </w:r>
      <w:r>
        <w:rPr>
          <w:sz w:val="24"/>
          <w:szCs w:val="24"/>
        </w:rPr>
        <w:t>.</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7.</w:t>
      </w:r>
      <w:r w:rsidRPr="004C69FA">
        <w:rPr>
          <w:b/>
          <w:sz w:val="24"/>
          <w:szCs w:val="24"/>
        </w:rPr>
        <w:tab/>
        <w:t>INDEHAVER AF MARKEDSFØRINGSTILLADELSEN</w:t>
      </w:r>
    </w:p>
    <w:p w:rsidR="00465754" w:rsidRDefault="00465754" w:rsidP="00465754">
      <w:pPr>
        <w:ind w:firstLine="851"/>
        <w:rPr>
          <w:sz w:val="22"/>
          <w:lang w:val="en-US"/>
        </w:rPr>
      </w:pPr>
      <w:r>
        <w:rPr>
          <w:lang w:val="en-US"/>
        </w:rPr>
        <w:t xml:space="preserve">Nordic Prime </w:t>
      </w:r>
      <w:proofErr w:type="spellStart"/>
      <w:r>
        <w:rPr>
          <w:lang w:val="en-US"/>
        </w:rPr>
        <w:t>ApS</w:t>
      </w:r>
      <w:proofErr w:type="spellEnd"/>
    </w:p>
    <w:p w:rsidR="00465754" w:rsidRDefault="00465754" w:rsidP="00465754">
      <w:pPr>
        <w:ind w:firstLine="851"/>
        <w:rPr>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465754" w:rsidRDefault="00465754" w:rsidP="00465754">
      <w:pPr>
        <w:ind w:firstLine="851"/>
      </w:pPr>
      <w:r>
        <w:t>6700 Esbjerg</w:t>
      </w:r>
    </w:p>
    <w:p w:rsidR="006E535F" w:rsidRPr="004C69FA" w:rsidRDefault="006E535F" w:rsidP="00465754">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8.</w:t>
      </w:r>
      <w:r w:rsidRPr="004C69FA">
        <w:rPr>
          <w:b/>
          <w:sz w:val="24"/>
          <w:szCs w:val="24"/>
        </w:rPr>
        <w:tab/>
        <w:t>MARKEDSFØRINGSTILLADELSESNUMMER (NUMRE)</w:t>
      </w:r>
    </w:p>
    <w:p w:rsidR="00E4145D" w:rsidRPr="004C69FA" w:rsidRDefault="00E4145D" w:rsidP="00E4145D">
      <w:pPr>
        <w:tabs>
          <w:tab w:val="left" w:pos="851"/>
        </w:tabs>
        <w:ind w:left="851" w:hanging="851"/>
        <w:rPr>
          <w:sz w:val="24"/>
          <w:szCs w:val="24"/>
        </w:rPr>
      </w:pPr>
      <w:r w:rsidRPr="004C69FA">
        <w:rPr>
          <w:sz w:val="24"/>
          <w:szCs w:val="24"/>
        </w:rPr>
        <w:tab/>
        <w:t>80 mg:</w:t>
      </w:r>
      <w:r w:rsidRPr="004C69FA">
        <w:rPr>
          <w:sz w:val="24"/>
          <w:szCs w:val="24"/>
        </w:rPr>
        <w:tab/>
      </w:r>
      <w:r w:rsidR="006E535F" w:rsidRPr="006E535F">
        <w:rPr>
          <w:sz w:val="24"/>
          <w:szCs w:val="24"/>
        </w:rPr>
        <w:t>63960</w:t>
      </w:r>
    </w:p>
    <w:p w:rsidR="00E4145D" w:rsidRPr="004C69FA" w:rsidRDefault="00E4145D" w:rsidP="00E4145D">
      <w:pPr>
        <w:tabs>
          <w:tab w:val="left" w:pos="851"/>
        </w:tabs>
        <w:ind w:left="851" w:hanging="851"/>
        <w:rPr>
          <w:sz w:val="24"/>
          <w:szCs w:val="24"/>
        </w:rPr>
      </w:pPr>
      <w:r w:rsidRPr="004C69FA">
        <w:rPr>
          <w:sz w:val="24"/>
          <w:szCs w:val="24"/>
        </w:rPr>
        <w:tab/>
        <w:t>160 mg:</w:t>
      </w:r>
      <w:r w:rsidRPr="004C69FA">
        <w:rPr>
          <w:sz w:val="24"/>
          <w:szCs w:val="24"/>
        </w:rPr>
        <w:tab/>
      </w:r>
      <w:r w:rsidR="006E535F" w:rsidRPr="006E535F">
        <w:rPr>
          <w:sz w:val="24"/>
          <w:szCs w:val="24"/>
        </w:rPr>
        <w:t>63959</w:t>
      </w:r>
    </w:p>
    <w:p w:rsidR="00E4145D" w:rsidRPr="004C69FA" w:rsidRDefault="00E4145D" w:rsidP="00E4145D">
      <w:pPr>
        <w:tabs>
          <w:tab w:val="left" w:pos="851"/>
        </w:tabs>
        <w:ind w:left="851" w:hanging="851"/>
        <w:jc w:val="both"/>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t>9.</w:t>
      </w:r>
      <w:r w:rsidRPr="004C69FA">
        <w:rPr>
          <w:b/>
          <w:sz w:val="24"/>
          <w:szCs w:val="24"/>
        </w:rPr>
        <w:tab/>
        <w:t>DATO FOR FØRSTE MARKEDSFØRINGSTILLADELSE</w:t>
      </w:r>
    </w:p>
    <w:p w:rsidR="00E4145D" w:rsidRPr="004C69FA" w:rsidRDefault="00E4145D" w:rsidP="00E4145D">
      <w:pPr>
        <w:tabs>
          <w:tab w:val="left" w:pos="851"/>
        </w:tabs>
        <w:ind w:left="851" w:hanging="851"/>
        <w:rPr>
          <w:sz w:val="24"/>
          <w:szCs w:val="24"/>
        </w:rPr>
      </w:pPr>
      <w:r w:rsidRPr="004C69FA">
        <w:rPr>
          <w:sz w:val="24"/>
          <w:szCs w:val="24"/>
        </w:rPr>
        <w:tab/>
      </w:r>
      <w:r w:rsidR="004F3DAB">
        <w:rPr>
          <w:sz w:val="24"/>
          <w:szCs w:val="24"/>
        </w:rPr>
        <w:t>2</w:t>
      </w:r>
      <w:r w:rsidR="00CB2DBA">
        <w:rPr>
          <w:sz w:val="24"/>
          <w:szCs w:val="24"/>
        </w:rPr>
        <w:t>5.</w:t>
      </w:r>
      <w:r w:rsidR="004F3DAB">
        <w:rPr>
          <w:sz w:val="24"/>
          <w:szCs w:val="24"/>
        </w:rPr>
        <w:t xml:space="preserve"> februar 2020</w:t>
      </w:r>
    </w:p>
    <w:p w:rsidR="00E4145D" w:rsidRPr="004C69FA" w:rsidRDefault="00E4145D" w:rsidP="00E4145D">
      <w:pPr>
        <w:tabs>
          <w:tab w:val="left" w:pos="851"/>
        </w:tabs>
        <w:ind w:left="851" w:hanging="851"/>
        <w:rPr>
          <w:sz w:val="24"/>
          <w:szCs w:val="24"/>
        </w:rPr>
      </w:pPr>
    </w:p>
    <w:p w:rsidR="00E4145D" w:rsidRPr="004C69FA" w:rsidRDefault="00E4145D" w:rsidP="00E4145D">
      <w:pPr>
        <w:tabs>
          <w:tab w:val="left" w:pos="851"/>
        </w:tabs>
        <w:ind w:left="851" w:hanging="851"/>
        <w:rPr>
          <w:b/>
          <w:sz w:val="24"/>
          <w:szCs w:val="24"/>
        </w:rPr>
      </w:pPr>
      <w:r w:rsidRPr="004C69FA">
        <w:rPr>
          <w:b/>
          <w:sz w:val="24"/>
          <w:szCs w:val="24"/>
        </w:rPr>
        <w:lastRenderedPageBreak/>
        <w:t>10.</w:t>
      </w:r>
      <w:r w:rsidRPr="004C69FA">
        <w:rPr>
          <w:b/>
          <w:sz w:val="24"/>
          <w:szCs w:val="24"/>
        </w:rPr>
        <w:tab/>
        <w:t>DATO FOR ÆNDRING AF TEKSTEN</w:t>
      </w:r>
    </w:p>
    <w:p w:rsidR="00E4145D" w:rsidRPr="004C69FA" w:rsidRDefault="00E4145D" w:rsidP="00E4145D">
      <w:pPr>
        <w:tabs>
          <w:tab w:val="left" w:pos="851"/>
        </w:tabs>
        <w:ind w:left="851" w:hanging="851"/>
        <w:rPr>
          <w:sz w:val="24"/>
          <w:szCs w:val="24"/>
        </w:rPr>
      </w:pPr>
      <w:r w:rsidRPr="004C69FA">
        <w:rPr>
          <w:sz w:val="24"/>
          <w:szCs w:val="24"/>
        </w:rPr>
        <w:tab/>
      </w:r>
      <w:r w:rsidR="00465754">
        <w:rPr>
          <w:sz w:val="24"/>
          <w:szCs w:val="24"/>
        </w:rPr>
        <w:t>30. juli 2024</w:t>
      </w:r>
      <w:bookmarkStart w:id="3" w:name="_GoBack"/>
      <w:bookmarkEnd w:id="3"/>
    </w:p>
    <w:p w:rsidR="00E4145D" w:rsidRPr="004C09D5" w:rsidRDefault="00E4145D" w:rsidP="00E4145D"/>
    <w:p w:rsidR="00E4145D" w:rsidRPr="00034CB1" w:rsidRDefault="00E4145D" w:rsidP="00E4145D"/>
    <w:p w:rsidR="009260DE" w:rsidRDefault="009260DE" w:rsidP="00E4145D"/>
    <w:p w:rsidR="004F3DAB" w:rsidRPr="00E4145D" w:rsidRDefault="004F3DAB" w:rsidP="00E4145D"/>
    <w:sectPr w:rsidR="004F3DAB" w:rsidRPr="00E4145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BAC" w:rsidRDefault="00ED5BAC">
      <w:r>
        <w:separator/>
      </w:r>
    </w:p>
  </w:endnote>
  <w:endnote w:type="continuationSeparator" w:id="0">
    <w:p w:rsidR="00ED5BAC" w:rsidRDefault="00ED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BAC" w:rsidRDefault="00ED5BAC">
    <w:pPr>
      <w:pStyle w:val="Sidefod"/>
      <w:pBdr>
        <w:bottom w:val="single" w:sz="6" w:space="1" w:color="auto"/>
      </w:pBdr>
    </w:pPr>
  </w:p>
  <w:p w:rsidR="00ED5BAC" w:rsidRDefault="00ED5BAC" w:rsidP="00C42586">
    <w:pPr>
      <w:pStyle w:val="Sidefod"/>
      <w:tabs>
        <w:tab w:val="clear" w:pos="4819"/>
        <w:tab w:val="left" w:pos="8505"/>
      </w:tabs>
      <w:rPr>
        <w:i/>
        <w:sz w:val="18"/>
        <w:szCs w:val="18"/>
      </w:rPr>
    </w:pPr>
  </w:p>
  <w:p w:rsidR="00ED5BAC" w:rsidRPr="00B373D7" w:rsidRDefault="00ED5BA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4D9F">
      <w:rPr>
        <w:i/>
        <w:noProof/>
        <w:sz w:val="18"/>
        <w:szCs w:val="18"/>
      </w:rPr>
      <w:t>Valsartan Nordic Prime (Nordic Prime), filmovertrukne tabletter 80 mg og 160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BAC" w:rsidRDefault="00ED5BAC">
      <w:r>
        <w:separator/>
      </w:r>
    </w:p>
  </w:footnote>
  <w:footnote w:type="continuationSeparator" w:id="0">
    <w:p w:rsidR="00ED5BAC" w:rsidRDefault="00ED5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2E6E99"/>
    <w:multiLevelType w:val="hybridMultilevel"/>
    <w:tmpl w:val="634CE546"/>
    <w:lvl w:ilvl="0" w:tplc="FD2E90A6">
      <w:numFmt w:val="bullet"/>
      <w:lvlText w:val="-"/>
      <w:lvlJc w:val="left"/>
      <w:pPr>
        <w:tabs>
          <w:tab w:val="num" w:pos="1215"/>
        </w:tabs>
        <w:ind w:left="1215"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5D"/>
    <w:rsid w:val="000259B9"/>
    <w:rsid w:val="00041491"/>
    <w:rsid w:val="00050D16"/>
    <w:rsid w:val="00074F2A"/>
    <w:rsid w:val="000A1CA8"/>
    <w:rsid w:val="000A466B"/>
    <w:rsid w:val="000B058C"/>
    <w:rsid w:val="000D4D9F"/>
    <w:rsid w:val="000E4EE6"/>
    <w:rsid w:val="001454E2"/>
    <w:rsid w:val="00206CE8"/>
    <w:rsid w:val="0021526C"/>
    <w:rsid w:val="00283A2B"/>
    <w:rsid w:val="002B30AD"/>
    <w:rsid w:val="002C2C01"/>
    <w:rsid w:val="002E22A5"/>
    <w:rsid w:val="003A29AE"/>
    <w:rsid w:val="003A32D7"/>
    <w:rsid w:val="003B4074"/>
    <w:rsid w:val="003C769A"/>
    <w:rsid w:val="003E5ED1"/>
    <w:rsid w:val="003F1838"/>
    <w:rsid w:val="0045746C"/>
    <w:rsid w:val="00465754"/>
    <w:rsid w:val="0049104B"/>
    <w:rsid w:val="004E080E"/>
    <w:rsid w:val="004E3B12"/>
    <w:rsid w:val="004F3DAB"/>
    <w:rsid w:val="00500915"/>
    <w:rsid w:val="00511674"/>
    <w:rsid w:val="00513DF3"/>
    <w:rsid w:val="00532310"/>
    <w:rsid w:val="00560ECC"/>
    <w:rsid w:val="00565F0F"/>
    <w:rsid w:val="0058623B"/>
    <w:rsid w:val="00594A86"/>
    <w:rsid w:val="00596D86"/>
    <w:rsid w:val="00637F5A"/>
    <w:rsid w:val="006560B1"/>
    <w:rsid w:val="006756DD"/>
    <w:rsid w:val="006E535F"/>
    <w:rsid w:val="00716BC6"/>
    <w:rsid w:val="00737275"/>
    <w:rsid w:val="00740EEC"/>
    <w:rsid w:val="0078011A"/>
    <w:rsid w:val="00782AF4"/>
    <w:rsid w:val="00790EE7"/>
    <w:rsid w:val="007B6649"/>
    <w:rsid w:val="0081546F"/>
    <w:rsid w:val="0082576E"/>
    <w:rsid w:val="00907F75"/>
    <w:rsid w:val="009260DE"/>
    <w:rsid w:val="0093258A"/>
    <w:rsid w:val="0098653D"/>
    <w:rsid w:val="009C7BA3"/>
    <w:rsid w:val="009D1F5A"/>
    <w:rsid w:val="00A06471"/>
    <w:rsid w:val="00AC377C"/>
    <w:rsid w:val="00B003BF"/>
    <w:rsid w:val="00B373D7"/>
    <w:rsid w:val="00C36276"/>
    <w:rsid w:val="00C42586"/>
    <w:rsid w:val="00C60CCD"/>
    <w:rsid w:val="00C84483"/>
    <w:rsid w:val="00C95551"/>
    <w:rsid w:val="00CB20D7"/>
    <w:rsid w:val="00CB2DBA"/>
    <w:rsid w:val="00D020B0"/>
    <w:rsid w:val="00D11748"/>
    <w:rsid w:val="00D366CF"/>
    <w:rsid w:val="00E108AA"/>
    <w:rsid w:val="00E31812"/>
    <w:rsid w:val="00E3749A"/>
    <w:rsid w:val="00E4145D"/>
    <w:rsid w:val="00E7437F"/>
    <w:rsid w:val="00E865B8"/>
    <w:rsid w:val="00EC0B9B"/>
    <w:rsid w:val="00ED5BA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hapeDefaults>
    <o:shapedefaults v:ext="edit" spidmax="1026"/>
    <o:shapelayout v:ext="edit">
      <o:idmap v:ext="edit" data="1"/>
    </o:shapelayout>
  </w:shapeDefaults>
  <w:decimalSymbol w:val=","/>
  <w:listSeparator w:val=";"/>
  <w14:docId w14:val="644529A0"/>
  <w15:chartTrackingRefBased/>
  <w15:docId w15:val="{F2E32CA1-C734-4437-817C-5D0B722F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E4145D"/>
    <w:pPr>
      <w:autoSpaceDE w:val="0"/>
      <w:autoSpaceDN w:val="0"/>
      <w:adjustRightInd w:val="0"/>
    </w:pPr>
    <w:rPr>
      <w:color w:val="000000"/>
      <w:sz w:val="24"/>
      <w:szCs w:val="24"/>
    </w:rPr>
  </w:style>
  <w:style w:type="paragraph" w:styleId="NormalWeb">
    <w:name w:val="Normal (Web)"/>
    <w:basedOn w:val="Normal"/>
    <w:uiPriority w:val="99"/>
    <w:semiHidden/>
    <w:unhideWhenUsed/>
    <w:rsid w:val="00E4145D"/>
    <w:pPr>
      <w:spacing w:before="100" w:beforeAutospacing="1" w:after="100" w:afterAutospacing="1"/>
    </w:pPr>
    <w:rPr>
      <w:sz w:val="24"/>
      <w:szCs w:val="24"/>
      <w:lang w:eastAsia="da-DK"/>
    </w:rPr>
  </w:style>
  <w:style w:type="character" w:styleId="Hyperlink">
    <w:name w:val="Hyperlink"/>
    <w:uiPriority w:val="99"/>
    <w:unhideWhenUsed/>
    <w:rsid w:val="00E414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7634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7463</Words>
  <Characters>46981</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2024074570 - pkt. 7</dc:description>
  <cp:lastModifiedBy>Alexandra Wæver</cp:lastModifiedBy>
  <cp:revision>2</cp:revision>
  <cp:lastPrinted>2020-02-25T14:52:00Z</cp:lastPrinted>
  <dcterms:created xsi:type="dcterms:W3CDTF">2024-08-15T11:40:00Z</dcterms:created>
  <dcterms:modified xsi:type="dcterms:W3CDTF">2024-08-15T11:40:00Z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