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F9DB9" w14:textId="77777777" w:rsidR="009260DE" w:rsidRPr="00DB1A1B" w:rsidRDefault="0021526C" w:rsidP="009260DE">
      <w:pPr>
        <w:rPr>
          <w:sz w:val="24"/>
          <w:szCs w:val="24"/>
        </w:rPr>
      </w:pPr>
      <w:r w:rsidRPr="00DB1A1B">
        <w:rPr>
          <w:noProof/>
          <w:sz w:val="24"/>
          <w:szCs w:val="24"/>
          <w:lang w:eastAsia="da-DK"/>
        </w:rPr>
        <w:drawing>
          <wp:anchor distT="0" distB="0" distL="114300" distR="114300" simplePos="0" relativeHeight="251658240" behindDoc="0" locked="0" layoutInCell="1" allowOverlap="1" wp14:anchorId="0284B794" wp14:editId="3883543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B1A1B">
        <w:rPr>
          <w:sz w:val="24"/>
          <w:szCs w:val="24"/>
        </w:rPr>
        <w:br w:type="textWrapping" w:clear="all"/>
      </w:r>
    </w:p>
    <w:p w14:paraId="1F7CB0B0" w14:textId="5F07B93C" w:rsidR="009260DE" w:rsidRPr="00DB1A1B" w:rsidRDefault="009260DE" w:rsidP="009260DE">
      <w:pPr>
        <w:pStyle w:val="Titel"/>
        <w:tabs>
          <w:tab w:val="right" w:pos="9356"/>
        </w:tabs>
        <w:jc w:val="left"/>
        <w:rPr>
          <w:b w:val="0"/>
          <w:szCs w:val="24"/>
          <w:lang w:eastAsia="en-US"/>
        </w:rPr>
      </w:pPr>
      <w:r w:rsidRPr="00DB1A1B">
        <w:rPr>
          <w:b w:val="0"/>
          <w:szCs w:val="24"/>
          <w:lang w:eastAsia="en-US"/>
        </w:rPr>
        <w:tab/>
      </w:r>
      <w:r w:rsidR="00B605AA">
        <w:rPr>
          <w:szCs w:val="24"/>
        </w:rPr>
        <w:t>22. april 2024</w:t>
      </w:r>
    </w:p>
    <w:p w14:paraId="0D930105" w14:textId="77777777" w:rsidR="009260DE" w:rsidRPr="00DB1A1B" w:rsidRDefault="009260DE" w:rsidP="009260DE">
      <w:pPr>
        <w:pStyle w:val="Titel"/>
        <w:tabs>
          <w:tab w:val="left" w:pos="8222"/>
        </w:tabs>
        <w:jc w:val="left"/>
        <w:rPr>
          <w:b w:val="0"/>
          <w:szCs w:val="24"/>
        </w:rPr>
      </w:pPr>
    </w:p>
    <w:p w14:paraId="5B9ACF51" w14:textId="77777777" w:rsidR="009260DE" w:rsidRPr="00DB1A1B" w:rsidRDefault="009260DE" w:rsidP="009260DE">
      <w:pPr>
        <w:pStyle w:val="Titel"/>
        <w:jc w:val="left"/>
        <w:rPr>
          <w:b w:val="0"/>
          <w:szCs w:val="24"/>
        </w:rPr>
      </w:pPr>
    </w:p>
    <w:p w14:paraId="5D104099" w14:textId="77777777" w:rsidR="009260DE" w:rsidRPr="00DB1A1B" w:rsidRDefault="009260DE" w:rsidP="009260DE">
      <w:pPr>
        <w:pStyle w:val="Titel"/>
        <w:jc w:val="left"/>
        <w:rPr>
          <w:b w:val="0"/>
          <w:szCs w:val="24"/>
        </w:rPr>
      </w:pPr>
    </w:p>
    <w:p w14:paraId="538B162E" w14:textId="77777777" w:rsidR="009260DE" w:rsidRPr="00DB1A1B" w:rsidRDefault="009260DE" w:rsidP="009260DE">
      <w:pPr>
        <w:jc w:val="center"/>
        <w:rPr>
          <w:b/>
          <w:sz w:val="24"/>
          <w:szCs w:val="24"/>
        </w:rPr>
      </w:pPr>
      <w:r w:rsidRPr="00DB1A1B">
        <w:rPr>
          <w:b/>
          <w:sz w:val="24"/>
          <w:szCs w:val="24"/>
        </w:rPr>
        <w:t>PRODUKTRESUMÉ</w:t>
      </w:r>
    </w:p>
    <w:p w14:paraId="19DED26F" w14:textId="77777777" w:rsidR="009260DE" w:rsidRPr="00DB1A1B" w:rsidRDefault="009260DE" w:rsidP="009260DE">
      <w:pPr>
        <w:jc w:val="center"/>
        <w:rPr>
          <w:b/>
          <w:sz w:val="24"/>
          <w:szCs w:val="24"/>
        </w:rPr>
      </w:pPr>
    </w:p>
    <w:p w14:paraId="143B9922" w14:textId="77777777" w:rsidR="009260DE" w:rsidRPr="00DB1A1B" w:rsidRDefault="009260DE" w:rsidP="009260DE">
      <w:pPr>
        <w:jc w:val="center"/>
        <w:rPr>
          <w:b/>
          <w:sz w:val="24"/>
          <w:szCs w:val="24"/>
        </w:rPr>
      </w:pPr>
      <w:r w:rsidRPr="00DB1A1B">
        <w:rPr>
          <w:b/>
          <w:sz w:val="24"/>
          <w:szCs w:val="24"/>
        </w:rPr>
        <w:t>for</w:t>
      </w:r>
    </w:p>
    <w:p w14:paraId="4D6E78A7" w14:textId="77777777" w:rsidR="000B058C" w:rsidRPr="00DB1A1B" w:rsidRDefault="000B058C" w:rsidP="009260DE">
      <w:pPr>
        <w:jc w:val="center"/>
        <w:rPr>
          <w:b/>
          <w:sz w:val="24"/>
          <w:szCs w:val="24"/>
        </w:rPr>
      </w:pPr>
    </w:p>
    <w:p w14:paraId="22178D90" w14:textId="7F988606" w:rsidR="009260DE" w:rsidRPr="00DB1A1B" w:rsidRDefault="00AE72E6" w:rsidP="009260DE">
      <w:pPr>
        <w:jc w:val="center"/>
        <w:rPr>
          <w:b/>
          <w:sz w:val="24"/>
          <w:szCs w:val="24"/>
        </w:rPr>
      </w:pPr>
      <w:proofErr w:type="spellStart"/>
      <w:r w:rsidRPr="00DB1A1B">
        <w:rPr>
          <w:b/>
          <w:sz w:val="24"/>
          <w:szCs w:val="24"/>
        </w:rPr>
        <w:t>Vancomycin</w:t>
      </w:r>
      <w:proofErr w:type="spellEnd"/>
      <w:r w:rsidRPr="00DB1A1B">
        <w:rPr>
          <w:b/>
          <w:sz w:val="24"/>
          <w:szCs w:val="24"/>
        </w:rPr>
        <w:t xml:space="preserve"> </w:t>
      </w:r>
      <w:r w:rsidR="00DB1A1B" w:rsidRPr="00DB1A1B">
        <w:rPr>
          <w:b/>
          <w:sz w:val="24"/>
          <w:szCs w:val="24"/>
        </w:rPr>
        <w:t>"</w:t>
      </w:r>
      <w:r w:rsidRPr="00DB1A1B">
        <w:rPr>
          <w:b/>
          <w:sz w:val="24"/>
          <w:szCs w:val="24"/>
        </w:rPr>
        <w:t>Orion</w:t>
      </w:r>
      <w:r w:rsidR="00DB1A1B" w:rsidRPr="00DB1A1B">
        <w:rPr>
          <w:b/>
          <w:sz w:val="24"/>
          <w:szCs w:val="24"/>
        </w:rPr>
        <w:t>"</w:t>
      </w:r>
      <w:r w:rsidRPr="00DB1A1B">
        <w:rPr>
          <w:b/>
          <w:sz w:val="24"/>
          <w:szCs w:val="24"/>
        </w:rPr>
        <w:t>, pulver til koncentrat til infusionsvæske, opløsning</w:t>
      </w:r>
    </w:p>
    <w:p w14:paraId="7C9EA08E" w14:textId="77777777" w:rsidR="009260DE" w:rsidRPr="00DB1A1B" w:rsidRDefault="009260DE" w:rsidP="009260DE">
      <w:pPr>
        <w:jc w:val="both"/>
        <w:rPr>
          <w:sz w:val="24"/>
          <w:szCs w:val="24"/>
        </w:rPr>
      </w:pPr>
    </w:p>
    <w:p w14:paraId="6C826038" w14:textId="77777777" w:rsidR="009260DE" w:rsidRPr="00DB1A1B" w:rsidRDefault="009260DE" w:rsidP="009260DE">
      <w:pPr>
        <w:jc w:val="both"/>
        <w:rPr>
          <w:sz w:val="24"/>
          <w:szCs w:val="24"/>
        </w:rPr>
      </w:pPr>
    </w:p>
    <w:p w14:paraId="60B22F44" w14:textId="77777777" w:rsidR="009260DE" w:rsidRPr="00DB1A1B" w:rsidRDefault="009260DE" w:rsidP="009260DE">
      <w:pPr>
        <w:tabs>
          <w:tab w:val="left" w:pos="851"/>
        </w:tabs>
        <w:ind w:left="851" w:hanging="851"/>
        <w:rPr>
          <w:b/>
          <w:sz w:val="24"/>
          <w:szCs w:val="24"/>
        </w:rPr>
      </w:pPr>
      <w:r w:rsidRPr="00DB1A1B">
        <w:rPr>
          <w:b/>
          <w:sz w:val="24"/>
          <w:szCs w:val="24"/>
        </w:rPr>
        <w:t>0.</w:t>
      </w:r>
      <w:r w:rsidRPr="00DB1A1B">
        <w:rPr>
          <w:b/>
          <w:sz w:val="24"/>
          <w:szCs w:val="24"/>
        </w:rPr>
        <w:tab/>
        <w:t>D.SP.NR.</w:t>
      </w:r>
    </w:p>
    <w:p w14:paraId="2ECC2556" w14:textId="3C7F0CB2" w:rsidR="009260DE" w:rsidRPr="00DB1A1B" w:rsidRDefault="00AE72E6" w:rsidP="009260DE">
      <w:pPr>
        <w:tabs>
          <w:tab w:val="left" w:pos="851"/>
        </w:tabs>
        <w:ind w:left="851"/>
        <w:rPr>
          <w:sz w:val="24"/>
          <w:szCs w:val="24"/>
        </w:rPr>
      </w:pPr>
      <w:r w:rsidRPr="00DB1A1B">
        <w:rPr>
          <w:sz w:val="24"/>
          <w:szCs w:val="24"/>
        </w:rPr>
        <w:t>33209</w:t>
      </w:r>
    </w:p>
    <w:p w14:paraId="68C121B7" w14:textId="77777777" w:rsidR="009260DE" w:rsidRPr="00DB1A1B" w:rsidRDefault="009260DE" w:rsidP="009260DE">
      <w:pPr>
        <w:tabs>
          <w:tab w:val="left" w:pos="851"/>
        </w:tabs>
        <w:ind w:left="851"/>
        <w:rPr>
          <w:sz w:val="24"/>
          <w:szCs w:val="24"/>
        </w:rPr>
      </w:pPr>
    </w:p>
    <w:p w14:paraId="543762A3" w14:textId="77777777" w:rsidR="009260DE" w:rsidRPr="00DB1A1B" w:rsidRDefault="009260DE" w:rsidP="009260DE">
      <w:pPr>
        <w:tabs>
          <w:tab w:val="left" w:pos="851"/>
        </w:tabs>
        <w:ind w:left="851" w:hanging="851"/>
        <w:rPr>
          <w:b/>
          <w:sz w:val="24"/>
          <w:szCs w:val="24"/>
        </w:rPr>
      </w:pPr>
      <w:r w:rsidRPr="00DB1A1B">
        <w:rPr>
          <w:b/>
          <w:sz w:val="24"/>
          <w:szCs w:val="24"/>
        </w:rPr>
        <w:t>1.</w:t>
      </w:r>
      <w:r w:rsidRPr="00DB1A1B">
        <w:rPr>
          <w:b/>
          <w:sz w:val="24"/>
          <w:szCs w:val="24"/>
        </w:rPr>
        <w:tab/>
        <w:t>LÆGEMIDLETS NAVN</w:t>
      </w:r>
    </w:p>
    <w:p w14:paraId="6BCFFC66" w14:textId="1A177E3F" w:rsidR="009260DE" w:rsidRPr="00DB1A1B" w:rsidRDefault="00AE72E6" w:rsidP="009260DE">
      <w:pPr>
        <w:tabs>
          <w:tab w:val="left" w:pos="851"/>
        </w:tabs>
        <w:ind w:left="851"/>
        <w:rPr>
          <w:sz w:val="24"/>
          <w:szCs w:val="24"/>
        </w:rPr>
      </w:pPr>
      <w:proofErr w:type="spellStart"/>
      <w:r w:rsidRPr="00DB1A1B">
        <w:rPr>
          <w:sz w:val="24"/>
          <w:szCs w:val="24"/>
        </w:rPr>
        <w:t>Vancomycin</w:t>
      </w:r>
      <w:proofErr w:type="spellEnd"/>
      <w:r w:rsidRPr="00DB1A1B">
        <w:rPr>
          <w:sz w:val="24"/>
          <w:szCs w:val="24"/>
        </w:rPr>
        <w:t xml:space="preserve"> </w:t>
      </w:r>
      <w:r w:rsidR="00DB1A1B" w:rsidRPr="00DB1A1B">
        <w:rPr>
          <w:sz w:val="24"/>
          <w:szCs w:val="24"/>
        </w:rPr>
        <w:t>"</w:t>
      </w:r>
      <w:r w:rsidRPr="00DB1A1B">
        <w:rPr>
          <w:sz w:val="24"/>
          <w:szCs w:val="24"/>
        </w:rPr>
        <w:t>Orion</w:t>
      </w:r>
      <w:r w:rsidR="00DB1A1B" w:rsidRPr="00DB1A1B">
        <w:rPr>
          <w:sz w:val="24"/>
          <w:szCs w:val="24"/>
        </w:rPr>
        <w:t>"</w:t>
      </w:r>
    </w:p>
    <w:p w14:paraId="2512D88E" w14:textId="77777777" w:rsidR="009260DE" w:rsidRPr="00DB1A1B" w:rsidRDefault="009260DE" w:rsidP="009260DE">
      <w:pPr>
        <w:tabs>
          <w:tab w:val="left" w:pos="851"/>
        </w:tabs>
        <w:ind w:left="851"/>
        <w:rPr>
          <w:sz w:val="24"/>
          <w:szCs w:val="24"/>
        </w:rPr>
      </w:pPr>
    </w:p>
    <w:p w14:paraId="5F0A9108" w14:textId="77777777" w:rsidR="009260DE" w:rsidRPr="00DB1A1B" w:rsidRDefault="009260DE" w:rsidP="009260DE">
      <w:pPr>
        <w:tabs>
          <w:tab w:val="left" w:pos="851"/>
        </w:tabs>
        <w:ind w:left="851" w:hanging="851"/>
        <w:rPr>
          <w:b/>
          <w:sz w:val="24"/>
          <w:szCs w:val="24"/>
        </w:rPr>
      </w:pPr>
      <w:r w:rsidRPr="00DB1A1B">
        <w:rPr>
          <w:b/>
          <w:sz w:val="24"/>
          <w:szCs w:val="24"/>
        </w:rPr>
        <w:t>2.</w:t>
      </w:r>
      <w:r w:rsidRPr="00DB1A1B">
        <w:rPr>
          <w:b/>
          <w:sz w:val="24"/>
          <w:szCs w:val="24"/>
        </w:rPr>
        <w:tab/>
        <w:t>KVALITATIV OG KVANTITATIV SAMMENSÆTNING</w:t>
      </w:r>
    </w:p>
    <w:p w14:paraId="3AEDE9C7" w14:textId="2AC165F2" w:rsidR="004F2F9D" w:rsidRPr="00DB1A1B" w:rsidRDefault="004F2F9D" w:rsidP="00270E7C">
      <w:pPr>
        <w:ind w:left="851"/>
        <w:rPr>
          <w:sz w:val="24"/>
          <w:szCs w:val="24"/>
        </w:rPr>
      </w:pPr>
      <w:r w:rsidRPr="00DB1A1B">
        <w:rPr>
          <w:sz w:val="24"/>
          <w:szCs w:val="24"/>
        </w:rPr>
        <w:t xml:space="preserve">Hvert hætteglas indeholder henholdsvis 500 mg eller 1000 mg </w:t>
      </w:r>
      <w:proofErr w:type="spellStart"/>
      <w:r w:rsidRPr="00DB1A1B">
        <w:rPr>
          <w:sz w:val="24"/>
          <w:szCs w:val="24"/>
        </w:rPr>
        <w:t>vancomycinhydrochlorid</w:t>
      </w:r>
      <w:proofErr w:type="spellEnd"/>
      <w:r w:rsidRPr="00DB1A1B">
        <w:rPr>
          <w:sz w:val="24"/>
          <w:szCs w:val="24"/>
        </w:rPr>
        <w:t xml:space="preserve"> svarende til henholdsvis 500 000 IE eller 1 000 000 IE </w:t>
      </w:r>
      <w:proofErr w:type="spellStart"/>
      <w:r w:rsidRPr="00DB1A1B">
        <w:rPr>
          <w:sz w:val="24"/>
          <w:szCs w:val="24"/>
        </w:rPr>
        <w:t>vancomycin</w:t>
      </w:r>
      <w:proofErr w:type="spellEnd"/>
      <w:r w:rsidR="00DB1A1B">
        <w:rPr>
          <w:sz w:val="24"/>
          <w:szCs w:val="24"/>
        </w:rPr>
        <w:t>.</w:t>
      </w:r>
    </w:p>
    <w:p w14:paraId="542E5148" w14:textId="77777777" w:rsidR="004F2F9D" w:rsidRPr="00DB1A1B" w:rsidRDefault="004F2F9D" w:rsidP="00270E7C">
      <w:pPr>
        <w:tabs>
          <w:tab w:val="left" w:pos="567"/>
        </w:tabs>
        <w:ind w:left="851"/>
        <w:rPr>
          <w:sz w:val="24"/>
          <w:szCs w:val="24"/>
        </w:rPr>
      </w:pPr>
    </w:p>
    <w:p w14:paraId="0FF116C5" w14:textId="3E15B566" w:rsidR="004F2F9D" w:rsidRPr="00DB1A1B" w:rsidRDefault="004F2F9D" w:rsidP="00270E7C">
      <w:pPr>
        <w:ind w:left="851"/>
        <w:rPr>
          <w:sz w:val="24"/>
          <w:szCs w:val="24"/>
        </w:rPr>
      </w:pPr>
      <w:r w:rsidRPr="00DB1A1B">
        <w:rPr>
          <w:sz w:val="24"/>
          <w:szCs w:val="24"/>
        </w:rPr>
        <w:t>Alle hjælpestoffer er anført under pkt. 6.1.</w:t>
      </w:r>
    </w:p>
    <w:p w14:paraId="22F128B4" w14:textId="77777777" w:rsidR="009260DE" w:rsidRPr="00DB1A1B" w:rsidRDefault="009260DE" w:rsidP="009260DE">
      <w:pPr>
        <w:tabs>
          <w:tab w:val="left" w:pos="851"/>
        </w:tabs>
        <w:ind w:left="851"/>
        <w:rPr>
          <w:sz w:val="24"/>
          <w:szCs w:val="24"/>
        </w:rPr>
      </w:pPr>
    </w:p>
    <w:p w14:paraId="18B34C06" w14:textId="77777777" w:rsidR="009260DE" w:rsidRPr="00DB1A1B" w:rsidRDefault="009260DE" w:rsidP="009260DE">
      <w:pPr>
        <w:tabs>
          <w:tab w:val="left" w:pos="851"/>
        </w:tabs>
        <w:ind w:left="851" w:hanging="851"/>
        <w:rPr>
          <w:b/>
          <w:sz w:val="24"/>
          <w:szCs w:val="24"/>
        </w:rPr>
      </w:pPr>
      <w:r w:rsidRPr="00DB1A1B">
        <w:rPr>
          <w:b/>
          <w:sz w:val="24"/>
          <w:szCs w:val="24"/>
        </w:rPr>
        <w:t>3.</w:t>
      </w:r>
      <w:r w:rsidRPr="00DB1A1B">
        <w:rPr>
          <w:b/>
          <w:sz w:val="24"/>
          <w:szCs w:val="24"/>
        </w:rPr>
        <w:tab/>
        <w:t>LÆGEMIDDELFORM</w:t>
      </w:r>
    </w:p>
    <w:p w14:paraId="7895BB3A" w14:textId="0609384C" w:rsidR="004F2F9D" w:rsidRPr="00DB1A1B" w:rsidRDefault="004F2F9D" w:rsidP="00270E7C">
      <w:pPr>
        <w:ind w:left="851"/>
        <w:rPr>
          <w:sz w:val="24"/>
          <w:szCs w:val="24"/>
          <w:lang w:eastAsia="en-GB"/>
        </w:rPr>
      </w:pPr>
      <w:r w:rsidRPr="00DB1A1B">
        <w:rPr>
          <w:sz w:val="24"/>
          <w:szCs w:val="24"/>
        </w:rPr>
        <w:t>Pulver til koncentrat til infusionsvæske, opløsning</w:t>
      </w:r>
    </w:p>
    <w:p w14:paraId="233C89CC" w14:textId="77777777" w:rsidR="004F2F9D" w:rsidRPr="00DB1A1B" w:rsidRDefault="004F2F9D" w:rsidP="00270E7C">
      <w:pPr>
        <w:ind w:left="851"/>
        <w:rPr>
          <w:sz w:val="24"/>
          <w:szCs w:val="24"/>
        </w:rPr>
      </w:pPr>
    </w:p>
    <w:p w14:paraId="647F15F9" w14:textId="77777777" w:rsidR="004F2F9D" w:rsidRPr="00DB1A1B" w:rsidRDefault="004F2F9D" w:rsidP="00270E7C">
      <w:pPr>
        <w:ind w:left="851"/>
        <w:rPr>
          <w:sz w:val="24"/>
          <w:szCs w:val="24"/>
        </w:rPr>
      </w:pPr>
      <w:r w:rsidRPr="00DB1A1B">
        <w:rPr>
          <w:sz w:val="24"/>
          <w:szCs w:val="24"/>
        </w:rPr>
        <w:t>Hvidt til råhvidt frysetørret pulver.</w:t>
      </w:r>
    </w:p>
    <w:p w14:paraId="6B30C564" w14:textId="77777777" w:rsidR="009260DE" w:rsidRPr="00DB1A1B" w:rsidRDefault="009260DE" w:rsidP="009260DE">
      <w:pPr>
        <w:tabs>
          <w:tab w:val="left" w:pos="851"/>
        </w:tabs>
        <w:ind w:left="851"/>
        <w:rPr>
          <w:sz w:val="24"/>
          <w:szCs w:val="24"/>
        </w:rPr>
      </w:pPr>
    </w:p>
    <w:p w14:paraId="49118297" w14:textId="77777777" w:rsidR="009260DE" w:rsidRPr="00DB1A1B" w:rsidRDefault="009260DE" w:rsidP="009260DE">
      <w:pPr>
        <w:tabs>
          <w:tab w:val="left" w:pos="851"/>
        </w:tabs>
        <w:ind w:left="851"/>
        <w:rPr>
          <w:sz w:val="24"/>
          <w:szCs w:val="24"/>
        </w:rPr>
      </w:pPr>
    </w:p>
    <w:p w14:paraId="3FCBBF09" w14:textId="77777777" w:rsidR="009260DE" w:rsidRPr="00DB1A1B" w:rsidRDefault="009260DE" w:rsidP="009260DE">
      <w:pPr>
        <w:tabs>
          <w:tab w:val="left" w:pos="851"/>
        </w:tabs>
        <w:ind w:left="851" w:hanging="851"/>
        <w:rPr>
          <w:b/>
          <w:sz w:val="24"/>
          <w:szCs w:val="24"/>
        </w:rPr>
      </w:pPr>
      <w:r w:rsidRPr="00DB1A1B">
        <w:rPr>
          <w:b/>
          <w:sz w:val="24"/>
          <w:szCs w:val="24"/>
        </w:rPr>
        <w:t>4.</w:t>
      </w:r>
      <w:r w:rsidRPr="00DB1A1B">
        <w:rPr>
          <w:b/>
          <w:sz w:val="24"/>
          <w:szCs w:val="24"/>
        </w:rPr>
        <w:tab/>
        <w:t>KLINISKE OPLYSNINGER</w:t>
      </w:r>
    </w:p>
    <w:p w14:paraId="066C907E" w14:textId="77777777" w:rsidR="009260DE" w:rsidRPr="00DB1A1B" w:rsidRDefault="009260DE" w:rsidP="009260DE">
      <w:pPr>
        <w:tabs>
          <w:tab w:val="left" w:pos="851"/>
        </w:tabs>
        <w:ind w:left="851"/>
        <w:rPr>
          <w:b/>
          <w:sz w:val="24"/>
          <w:szCs w:val="24"/>
        </w:rPr>
      </w:pPr>
    </w:p>
    <w:p w14:paraId="0DEFEB8C" w14:textId="77777777" w:rsidR="009260DE" w:rsidRPr="00DB1A1B" w:rsidRDefault="009260DE" w:rsidP="009260DE">
      <w:pPr>
        <w:tabs>
          <w:tab w:val="left" w:pos="851"/>
        </w:tabs>
        <w:ind w:left="851" w:hanging="851"/>
        <w:rPr>
          <w:b/>
          <w:sz w:val="24"/>
          <w:szCs w:val="24"/>
          <w:u w:val="single"/>
        </w:rPr>
      </w:pPr>
      <w:r w:rsidRPr="00DB1A1B">
        <w:rPr>
          <w:b/>
          <w:sz w:val="24"/>
          <w:szCs w:val="24"/>
        </w:rPr>
        <w:t>4.1</w:t>
      </w:r>
      <w:r w:rsidRPr="00DB1A1B">
        <w:rPr>
          <w:b/>
          <w:sz w:val="24"/>
          <w:szCs w:val="24"/>
        </w:rPr>
        <w:tab/>
        <w:t>Terapeutiske indikationer</w:t>
      </w:r>
    </w:p>
    <w:p w14:paraId="2EC8EC27" w14:textId="77777777" w:rsidR="006B1D8C" w:rsidRPr="00DB1A1B" w:rsidRDefault="006B1D8C" w:rsidP="004F2F9D">
      <w:pPr>
        <w:suppressAutoHyphens/>
        <w:ind w:left="851"/>
        <w:rPr>
          <w:sz w:val="24"/>
          <w:szCs w:val="24"/>
          <w:u w:val="single"/>
        </w:rPr>
      </w:pPr>
    </w:p>
    <w:p w14:paraId="0879EF0D" w14:textId="4A3001FC" w:rsidR="004F2F9D" w:rsidRPr="00DB1A1B" w:rsidRDefault="004F2F9D" w:rsidP="004F2F9D">
      <w:pPr>
        <w:suppressAutoHyphens/>
        <w:ind w:left="851"/>
        <w:rPr>
          <w:sz w:val="24"/>
          <w:szCs w:val="24"/>
          <w:u w:val="single"/>
        </w:rPr>
      </w:pPr>
      <w:r w:rsidRPr="00DB1A1B">
        <w:rPr>
          <w:sz w:val="24"/>
          <w:szCs w:val="24"/>
          <w:u w:val="single"/>
        </w:rPr>
        <w:t xml:space="preserve">Intravenøs administration </w:t>
      </w:r>
    </w:p>
    <w:p w14:paraId="48D470F5" w14:textId="77777777" w:rsidR="004F2F9D" w:rsidRPr="00DB1A1B" w:rsidRDefault="004F2F9D" w:rsidP="004F2F9D">
      <w:pPr>
        <w:suppressAutoHyphens/>
        <w:ind w:left="851"/>
        <w:rPr>
          <w:sz w:val="24"/>
          <w:szCs w:val="24"/>
        </w:rPr>
      </w:pPr>
      <w:proofErr w:type="spellStart"/>
      <w:r w:rsidRPr="00DB1A1B">
        <w:rPr>
          <w:sz w:val="24"/>
          <w:szCs w:val="24"/>
        </w:rPr>
        <w:t>Vancomycin</w:t>
      </w:r>
      <w:proofErr w:type="spellEnd"/>
      <w:r w:rsidRPr="00DB1A1B">
        <w:rPr>
          <w:sz w:val="24"/>
          <w:szCs w:val="24"/>
        </w:rPr>
        <w:t xml:space="preserve"> er indiceret i alle aldersgrupper til behandling af følgende infektioner (se pkt. 4.2, 4.4 og 5.1):</w:t>
      </w:r>
    </w:p>
    <w:p w14:paraId="18FE396E" w14:textId="77777777" w:rsidR="004F2F9D" w:rsidRPr="00DB1A1B" w:rsidRDefault="004F2F9D" w:rsidP="00270E7C">
      <w:pPr>
        <w:numPr>
          <w:ilvl w:val="0"/>
          <w:numId w:val="6"/>
        </w:numPr>
        <w:suppressAutoHyphens/>
        <w:ind w:left="1276" w:hanging="425"/>
        <w:rPr>
          <w:sz w:val="24"/>
          <w:szCs w:val="24"/>
          <w:lang w:eastAsia="en-GB"/>
        </w:rPr>
      </w:pPr>
      <w:r w:rsidRPr="00DB1A1B">
        <w:rPr>
          <w:sz w:val="24"/>
          <w:szCs w:val="24"/>
        </w:rPr>
        <w:t>komplicerede hud- og bløddelsinfektioner (</w:t>
      </w:r>
      <w:proofErr w:type="spellStart"/>
      <w:r w:rsidRPr="00DB1A1B">
        <w:rPr>
          <w:sz w:val="24"/>
          <w:szCs w:val="24"/>
        </w:rPr>
        <w:t>cSSTI</w:t>
      </w:r>
      <w:proofErr w:type="spellEnd"/>
      <w:r w:rsidRPr="00DB1A1B">
        <w:rPr>
          <w:sz w:val="24"/>
          <w:szCs w:val="24"/>
        </w:rPr>
        <w:t>)</w:t>
      </w:r>
    </w:p>
    <w:p w14:paraId="6BEDDCF1" w14:textId="77777777" w:rsidR="004F2F9D" w:rsidRPr="00DB1A1B" w:rsidRDefault="004F2F9D" w:rsidP="00270E7C">
      <w:pPr>
        <w:numPr>
          <w:ilvl w:val="0"/>
          <w:numId w:val="6"/>
        </w:numPr>
        <w:suppressAutoHyphens/>
        <w:ind w:left="1276" w:hanging="425"/>
        <w:rPr>
          <w:sz w:val="24"/>
          <w:szCs w:val="24"/>
          <w:lang w:eastAsia="en-GB"/>
        </w:rPr>
      </w:pPr>
      <w:r w:rsidRPr="00DB1A1B">
        <w:rPr>
          <w:sz w:val="24"/>
          <w:szCs w:val="24"/>
        </w:rPr>
        <w:t xml:space="preserve">knogle- og </w:t>
      </w:r>
      <w:proofErr w:type="spellStart"/>
      <w:r w:rsidRPr="00DB1A1B">
        <w:rPr>
          <w:sz w:val="24"/>
          <w:szCs w:val="24"/>
        </w:rPr>
        <w:t>ledinfektioner</w:t>
      </w:r>
      <w:proofErr w:type="spellEnd"/>
    </w:p>
    <w:p w14:paraId="1F41FB4B" w14:textId="5B18CC85" w:rsidR="004F2F9D" w:rsidRPr="00DB1A1B" w:rsidRDefault="00DB1A1B" w:rsidP="00270E7C">
      <w:pPr>
        <w:numPr>
          <w:ilvl w:val="0"/>
          <w:numId w:val="6"/>
        </w:numPr>
        <w:suppressAutoHyphens/>
        <w:ind w:left="1276" w:hanging="425"/>
        <w:rPr>
          <w:sz w:val="24"/>
          <w:szCs w:val="24"/>
        </w:rPr>
      </w:pPr>
      <w:r w:rsidRPr="00DB1A1B">
        <w:rPr>
          <w:sz w:val="24"/>
          <w:szCs w:val="24"/>
        </w:rPr>
        <w:t>"</w:t>
      </w:r>
      <w:r w:rsidR="004F2F9D" w:rsidRPr="00DB1A1B">
        <w:rPr>
          <w:sz w:val="24"/>
          <w:szCs w:val="24"/>
        </w:rPr>
        <w:t>community-</w:t>
      </w:r>
      <w:proofErr w:type="spellStart"/>
      <w:r w:rsidR="004F2F9D" w:rsidRPr="00DB1A1B">
        <w:rPr>
          <w:sz w:val="24"/>
          <w:szCs w:val="24"/>
        </w:rPr>
        <w:t>acquired</w:t>
      </w:r>
      <w:proofErr w:type="spellEnd"/>
      <w:r w:rsidR="004F2F9D" w:rsidRPr="00DB1A1B">
        <w:rPr>
          <w:sz w:val="24"/>
          <w:szCs w:val="24"/>
        </w:rPr>
        <w:t xml:space="preserve"> </w:t>
      </w:r>
      <w:proofErr w:type="spellStart"/>
      <w:r w:rsidR="004F2F9D" w:rsidRPr="00DB1A1B">
        <w:rPr>
          <w:sz w:val="24"/>
          <w:szCs w:val="24"/>
        </w:rPr>
        <w:t>pneumonia</w:t>
      </w:r>
      <w:proofErr w:type="spellEnd"/>
      <w:r w:rsidRPr="00DB1A1B">
        <w:rPr>
          <w:sz w:val="24"/>
          <w:szCs w:val="24"/>
        </w:rPr>
        <w:t>"</w:t>
      </w:r>
      <w:r w:rsidR="004F2F9D" w:rsidRPr="00DB1A1B">
        <w:rPr>
          <w:sz w:val="24"/>
          <w:szCs w:val="24"/>
        </w:rPr>
        <w:t xml:space="preserve"> (CAP) - samfundserhvervet pneumoni</w:t>
      </w:r>
    </w:p>
    <w:p w14:paraId="41523BE5" w14:textId="4E5257C6" w:rsidR="004F2F9D" w:rsidRPr="00DB1A1B" w:rsidRDefault="00DB1A1B" w:rsidP="00270E7C">
      <w:pPr>
        <w:numPr>
          <w:ilvl w:val="0"/>
          <w:numId w:val="6"/>
        </w:numPr>
        <w:suppressAutoHyphens/>
        <w:ind w:left="1276" w:hanging="425"/>
        <w:rPr>
          <w:sz w:val="24"/>
          <w:szCs w:val="24"/>
        </w:rPr>
      </w:pPr>
      <w:r w:rsidRPr="00DB1A1B">
        <w:rPr>
          <w:sz w:val="24"/>
          <w:szCs w:val="24"/>
        </w:rPr>
        <w:t>"</w:t>
      </w:r>
      <w:r w:rsidR="004F2F9D" w:rsidRPr="00DB1A1B">
        <w:rPr>
          <w:sz w:val="24"/>
          <w:szCs w:val="24"/>
        </w:rPr>
        <w:t>hospital-</w:t>
      </w:r>
      <w:proofErr w:type="spellStart"/>
      <w:r w:rsidR="004F2F9D" w:rsidRPr="00DB1A1B">
        <w:rPr>
          <w:sz w:val="24"/>
          <w:szCs w:val="24"/>
        </w:rPr>
        <w:t>acquired</w:t>
      </w:r>
      <w:proofErr w:type="spellEnd"/>
      <w:r w:rsidR="004F2F9D" w:rsidRPr="00DB1A1B">
        <w:rPr>
          <w:sz w:val="24"/>
          <w:szCs w:val="24"/>
        </w:rPr>
        <w:t xml:space="preserve"> </w:t>
      </w:r>
      <w:proofErr w:type="spellStart"/>
      <w:r w:rsidR="004F2F9D" w:rsidRPr="00DB1A1B">
        <w:rPr>
          <w:sz w:val="24"/>
          <w:szCs w:val="24"/>
        </w:rPr>
        <w:t>pneumonia</w:t>
      </w:r>
      <w:proofErr w:type="spellEnd"/>
      <w:r w:rsidRPr="00DB1A1B">
        <w:rPr>
          <w:sz w:val="24"/>
          <w:szCs w:val="24"/>
        </w:rPr>
        <w:t>"</w:t>
      </w:r>
      <w:r w:rsidR="004F2F9D" w:rsidRPr="00DB1A1B">
        <w:rPr>
          <w:sz w:val="24"/>
          <w:szCs w:val="24"/>
        </w:rPr>
        <w:t xml:space="preserve"> (HAP) - hospitalserhvervet pneumoni, herunder </w:t>
      </w:r>
      <w:r w:rsidRPr="00DB1A1B">
        <w:rPr>
          <w:sz w:val="24"/>
          <w:szCs w:val="24"/>
        </w:rPr>
        <w:t>"</w:t>
      </w:r>
      <w:r w:rsidR="004F2F9D" w:rsidRPr="00DB1A1B">
        <w:rPr>
          <w:sz w:val="24"/>
          <w:szCs w:val="24"/>
        </w:rPr>
        <w:t>ventilator-</w:t>
      </w:r>
      <w:proofErr w:type="spellStart"/>
      <w:r w:rsidR="004F2F9D" w:rsidRPr="00DB1A1B">
        <w:rPr>
          <w:sz w:val="24"/>
          <w:szCs w:val="24"/>
        </w:rPr>
        <w:t>associated</w:t>
      </w:r>
      <w:proofErr w:type="spellEnd"/>
      <w:r w:rsidR="004F2F9D" w:rsidRPr="00DB1A1B">
        <w:rPr>
          <w:sz w:val="24"/>
          <w:szCs w:val="24"/>
        </w:rPr>
        <w:t xml:space="preserve"> </w:t>
      </w:r>
      <w:proofErr w:type="spellStart"/>
      <w:r w:rsidR="004F2F9D" w:rsidRPr="00DB1A1B">
        <w:rPr>
          <w:sz w:val="24"/>
          <w:szCs w:val="24"/>
        </w:rPr>
        <w:t>pneumonia</w:t>
      </w:r>
      <w:proofErr w:type="spellEnd"/>
      <w:r w:rsidRPr="00DB1A1B">
        <w:rPr>
          <w:sz w:val="24"/>
          <w:szCs w:val="24"/>
        </w:rPr>
        <w:t>"</w:t>
      </w:r>
      <w:r w:rsidR="004F2F9D" w:rsidRPr="00DB1A1B">
        <w:rPr>
          <w:sz w:val="24"/>
          <w:szCs w:val="24"/>
        </w:rPr>
        <w:t xml:space="preserve"> (VAP) - ventilatorrelateret pneumoni </w:t>
      </w:r>
    </w:p>
    <w:p w14:paraId="0AD09D42" w14:textId="77777777" w:rsidR="004F2F9D" w:rsidRPr="00DB1A1B" w:rsidRDefault="004F2F9D" w:rsidP="00270E7C">
      <w:pPr>
        <w:numPr>
          <w:ilvl w:val="0"/>
          <w:numId w:val="6"/>
        </w:numPr>
        <w:suppressAutoHyphens/>
        <w:ind w:left="1276" w:hanging="425"/>
        <w:rPr>
          <w:sz w:val="24"/>
          <w:szCs w:val="24"/>
        </w:rPr>
      </w:pPr>
      <w:proofErr w:type="spellStart"/>
      <w:r w:rsidRPr="00DB1A1B">
        <w:rPr>
          <w:sz w:val="24"/>
          <w:szCs w:val="24"/>
        </w:rPr>
        <w:t>bakteriæmi</w:t>
      </w:r>
      <w:proofErr w:type="spellEnd"/>
      <w:r w:rsidRPr="00DB1A1B">
        <w:rPr>
          <w:sz w:val="24"/>
          <w:szCs w:val="24"/>
        </w:rPr>
        <w:t>, der opstår i forbindelse med eller formodes at være forbundet med en eller flere af ovenstående infektioner.</w:t>
      </w:r>
    </w:p>
    <w:p w14:paraId="002D9105" w14:textId="77777777" w:rsidR="004F2F9D" w:rsidRPr="00DB1A1B" w:rsidRDefault="004F2F9D" w:rsidP="004F2F9D">
      <w:pPr>
        <w:suppressAutoHyphens/>
        <w:ind w:left="698"/>
        <w:rPr>
          <w:sz w:val="24"/>
          <w:szCs w:val="24"/>
        </w:rPr>
      </w:pPr>
    </w:p>
    <w:p w14:paraId="6F212E73" w14:textId="77777777" w:rsidR="004F2F9D" w:rsidRPr="00DB1A1B" w:rsidRDefault="004F2F9D" w:rsidP="00270E7C">
      <w:pPr>
        <w:suppressAutoHyphens/>
        <w:ind w:left="851"/>
        <w:rPr>
          <w:sz w:val="24"/>
          <w:szCs w:val="24"/>
        </w:rPr>
      </w:pPr>
      <w:proofErr w:type="spellStart"/>
      <w:r w:rsidRPr="00DB1A1B">
        <w:rPr>
          <w:sz w:val="24"/>
          <w:szCs w:val="24"/>
        </w:rPr>
        <w:lastRenderedPageBreak/>
        <w:t>Vancomycin</w:t>
      </w:r>
      <w:proofErr w:type="spellEnd"/>
      <w:r w:rsidRPr="00DB1A1B">
        <w:rPr>
          <w:sz w:val="24"/>
          <w:szCs w:val="24"/>
        </w:rPr>
        <w:t xml:space="preserve"> er også indiceret i alle aldersgrupper for den perioperative antibakterielle profylakse hos patienter, der har stor risiko for at udvikle bakteriel </w:t>
      </w:r>
      <w:proofErr w:type="spellStart"/>
      <w:r w:rsidRPr="00DB1A1B">
        <w:rPr>
          <w:sz w:val="24"/>
          <w:szCs w:val="24"/>
        </w:rPr>
        <w:t>endocarditis</w:t>
      </w:r>
      <w:proofErr w:type="spellEnd"/>
      <w:r w:rsidRPr="00DB1A1B">
        <w:rPr>
          <w:sz w:val="24"/>
          <w:szCs w:val="24"/>
        </w:rPr>
        <w:t xml:space="preserve">, når de undergår større kirurgiske indgreb. </w:t>
      </w:r>
    </w:p>
    <w:p w14:paraId="66FFF67A" w14:textId="77777777" w:rsidR="004F2F9D" w:rsidRPr="00DB1A1B" w:rsidRDefault="004F2F9D" w:rsidP="00270E7C">
      <w:pPr>
        <w:suppressAutoHyphens/>
        <w:ind w:left="851"/>
        <w:rPr>
          <w:sz w:val="24"/>
          <w:szCs w:val="24"/>
        </w:rPr>
      </w:pPr>
    </w:p>
    <w:p w14:paraId="049F8290" w14:textId="77777777" w:rsidR="004F2F9D" w:rsidRPr="00DB1A1B" w:rsidRDefault="004F2F9D" w:rsidP="00270E7C">
      <w:pPr>
        <w:suppressAutoHyphens/>
        <w:ind w:left="851"/>
        <w:rPr>
          <w:sz w:val="24"/>
          <w:szCs w:val="24"/>
        </w:rPr>
      </w:pPr>
      <w:r w:rsidRPr="00DB1A1B">
        <w:rPr>
          <w:sz w:val="24"/>
          <w:szCs w:val="24"/>
        </w:rPr>
        <w:t>Man bør være opmærksom på den officielle vejledning til passende brug af antibakterielle midler.</w:t>
      </w:r>
    </w:p>
    <w:p w14:paraId="5D4A8AF0" w14:textId="77777777" w:rsidR="009260DE" w:rsidRPr="00DB1A1B" w:rsidRDefault="009260DE" w:rsidP="009260DE">
      <w:pPr>
        <w:tabs>
          <w:tab w:val="left" w:pos="851"/>
        </w:tabs>
        <w:ind w:left="851"/>
        <w:rPr>
          <w:sz w:val="24"/>
          <w:szCs w:val="24"/>
        </w:rPr>
      </w:pPr>
    </w:p>
    <w:p w14:paraId="0FC106E3" w14:textId="77777777" w:rsidR="009260DE" w:rsidRPr="00DB1A1B" w:rsidRDefault="009260DE" w:rsidP="009260DE">
      <w:pPr>
        <w:tabs>
          <w:tab w:val="left" w:pos="851"/>
        </w:tabs>
        <w:ind w:left="851" w:hanging="851"/>
        <w:rPr>
          <w:b/>
          <w:sz w:val="24"/>
          <w:szCs w:val="24"/>
        </w:rPr>
      </w:pPr>
      <w:r w:rsidRPr="00DB1A1B">
        <w:rPr>
          <w:b/>
          <w:sz w:val="24"/>
          <w:szCs w:val="24"/>
        </w:rPr>
        <w:t>4.2</w:t>
      </w:r>
      <w:r w:rsidRPr="00DB1A1B">
        <w:rPr>
          <w:b/>
          <w:sz w:val="24"/>
          <w:szCs w:val="24"/>
        </w:rPr>
        <w:tab/>
        <w:t xml:space="preserve">Dosering og </w:t>
      </w:r>
      <w:r w:rsidR="002C1EC0" w:rsidRPr="00DB1A1B">
        <w:rPr>
          <w:b/>
          <w:sz w:val="24"/>
          <w:szCs w:val="24"/>
        </w:rPr>
        <w:t>administration</w:t>
      </w:r>
    </w:p>
    <w:p w14:paraId="38F090C8" w14:textId="77777777" w:rsidR="00270E7C" w:rsidRPr="00DB1A1B" w:rsidRDefault="00270E7C" w:rsidP="00270E7C">
      <w:pPr>
        <w:suppressAutoHyphens/>
        <w:ind w:left="851"/>
        <w:rPr>
          <w:sz w:val="24"/>
          <w:szCs w:val="24"/>
          <w:u w:val="single"/>
        </w:rPr>
      </w:pPr>
    </w:p>
    <w:p w14:paraId="2619709C" w14:textId="1CAD21A6" w:rsidR="004435FC" w:rsidRPr="00DB1A1B" w:rsidRDefault="004435FC" w:rsidP="00270E7C">
      <w:pPr>
        <w:suppressAutoHyphens/>
        <w:ind w:left="851"/>
        <w:rPr>
          <w:sz w:val="24"/>
          <w:szCs w:val="24"/>
          <w:u w:val="single"/>
        </w:rPr>
      </w:pPr>
      <w:r w:rsidRPr="00DB1A1B">
        <w:rPr>
          <w:sz w:val="24"/>
          <w:szCs w:val="24"/>
          <w:u w:val="single"/>
        </w:rPr>
        <w:t>Dosering</w:t>
      </w:r>
    </w:p>
    <w:p w14:paraId="3901CC04" w14:textId="77777777" w:rsidR="004435FC" w:rsidRPr="00DB1A1B" w:rsidRDefault="004435FC" w:rsidP="00270E7C">
      <w:pPr>
        <w:suppressAutoHyphens/>
        <w:ind w:left="851"/>
        <w:rPr>
          <w:sz w:val="24"/>
          <w:szCs w:val="24"/>
        </w:rPr>
      </w:pPr>
    </w:p>
    <w:p w14:paraId="14FC89E6" w14:textId="77777777" w:rsidR="004435FC" w:rsidRPr="00DB1A1B" w:rsidRDefault="004435FC" w:rsidP="00270E7C">
      <w:pPr>
        <w:suppressAutoHyphens/>
        <w:ind w:left="851"/>
        <w:rPr>
          <w:bCs/>
          <w:sz w:val="24"/>
          <w:szCs w:val="24"/>
        </w:rPr>
      </w:pPr>
      <w:r w:rsidRPr="00DB1A1B">
        <w:rPr>
          <w:bCs/>
          <w:sz w:val="24"/>
          <w:szCs w:val="24"/>
        </w:rPr>
        <w:t xml:space="preserve">Når det er muligt, bør </w:t>
      </w:r>
      <w:proofErr w:type="spellStart"/>
      <w:r w:rsidRPr="00DB1A1B">
        <w:rPr>
          <w:bCs/>
          <w:sz w:val="24"/>
          <w:szCs w:val="24"/>
        </w:rPr>
        <w:t>vancomycin</w:t>
      </w:r>
      <w:proofErr w:type="spellEnd"/>
      <w:r w:rsidRPr="00DB1A1B">
        <w:rPr>
          <w:bCs/>
          <w:sz w:val="24"/>
          <w:szCs w:val="24"/>
        </w:rPr>
        <w:t xml:space="preserve"> administreres i kombination med andre antibakterielle midler. </w:t>
      </w:r>
    </w:p>
    <w:p w14:paraId="37430B3B" w14:textId="77777777" w:rsidR="004435FC" w:rsidRPr="00DB1A1B" w:rsidRDefault="004435FC" w:rsidP="00270E7C">
      <w:pPr>
        <w:suppressAutoHyphens/>
        <w:ind w:left="851"/>
        <w:rPr>
          <w:bCs/>
          <w:sz w:val="24"/>
          <w:szCs w:val="24"/>
        </w:rPr>
      </w:pPr>
    </w:p>
    <w:p w14:paraId="2212A5A3" w14:textId="77777777" w:rsidR="004435FC" w:rsidRPr="00DB1A1B" w:rsidRDefault="004435FC" w:rsidP="00270E7C">
      <w:pPr>
        <w:suppressAutoHyphens/>
        <w:ind w:left="851"/>
        <w:rPr>
          <w:i/>
          <w:sz w:val="24"/>
          <w:szCs w:val="24"/>
          <w:u w:val="single"/>
        </w:rPr>
      </w:pPr>
      <w:r w:rsidRPr="00DB1A1B">
        <w:rPr>
          <w:i/>
          <w:sz w:val="24"/>
          <w:szCs w:val="24"/>
          <w:u w:val="single"/>
        </w:rPr>
        <w:t>Intravenøs administration</w:t>
      </w:r>
    </w:p>
    <w:p w14:paraId="40691177" w14:textId="77777777" w:rsidR="004435FC" w:rsidRPr="00DB1A1B" w:rsidRDefault="004435FC" w:rsidP="00270E7C">
      <w:pPr>
        <w:suppressAutoHyphens/>
        <w:ind w:left="851"/>
        <w:rPr>
          <w:sz w:val="24"/>
          <w:szCs w:val="24"/>
        </w:rPr>
      </w:pPr>
      <w:r w:rsidRPr="00DB1A1B">
        <w:rPr>
          <w:sz w:val="24"/>
          <w:szCs w:val="24"/>
        </w:rPr>
        <w:t>Indledende dosis bør baseres på total kropsvægt. Efterfølgende dosisjusteringer bør baseres på serumkoncentrationer for at opnå målrettede terapeutiske koncentrationer. Nyrefunktionen skal tages i betragtning ved efterfølgende doser og administrationsinterval.</w:t>
      </w:r>
    </w:p>
    <w:p w14:paraId="19CFE55D" w14:textId="77777777" w:rsidR="004435FC" w:rsidRPr="00DB1A1B" w:rsidRDefault="004435FC" w:rsidP="00270E7C">
      <w:pPr>
        <w:suppressAutoHyphens/>
        <w:ind w:left="851"/>
        <w:rPr>
          <w:sz w:val="24"/>
          <w:szCs w:val="24"/>
        </w:rPr>
      </w:pPr>
    </w:p>
    <w:p w14:paraId="579EE02C" w14:textId="5C9B480D" w:rsidR="004435FC" w:rsidRPr="00DB1A1B" w:rsidRDefault="004435FC" w:rsidP="00270E7C">
      <w:pPr>
        <w:suppressAutoHyphens/>
        <w:ind w:left="851"/>
        <w:rPr>
          <w:i/>
          <w:sz w:val="24"/>
          <w:szCs w:val="24"/>
          <w:u w:val="single"/>
        </w:rPr>
      </w:pPr>
      <w:r w:rsidRPr="00DB1A1B">
        <w:rPr>
          <w:i/>
          <w:sz w:val="24"/>
          <w:szCs w:val="24"/>
          <w:u w:val="single"/>
        </w:rPr>
        <w:t>Patienter på 12 år og derover</w:t>
      </w:r>
    </w:p>
    <w:p w14:paraId="050AEB74" w14:textId="77777777" w:rsidR="004435FC" w:rsidRPr="00DB1A1B" w:rsidRDefault="004435FC" w:rsidP="00270E7C">
      <w:pPr>
        <w:suppressAutoHyphens/>
        <w:ind w:left="851"/>
        <w:rPr>
          <w:sz w:val="24"/>
          <w:szCs w:val="24"/>
        </w:rPr>
      </w:pPr>
      <w:r w:rsidRPr="00DB1A1B">
        <w:rPr>
          <w:sz w:val="24"/>
          <w:szCs w:val="24"/>
        </w:rPr>
        <w:t xml:space="preserve">Den anbefalede dosis er 15 til 20 mg / kg legemsvægt hver 8. til 12. time (må ikke overstige 2 g pr. dosis). </w:t>
      </w:r>
    </w:p>
    <w:p w14:paraId="0EF77119" w14:textId="77777777" w:rsidR="004435FC" w:rsidRPr="00DB1A1B" w:rsidRDefault="004435FC" w:rsidP="00270E7C">
      <w:pPr>
        <w:suppressAutoHyphens/>
        <w:ind w:left="851"/>
        <w:rPr>
          <w:sz w:val="24"/>
          <w:szCs w:val="24"/>
        </w:rPr>
      </w:pPr>
      <w:r w:rsidRPr="00DB1A1B">
        <w:rPr>
          <w:sz w:val="24"/>
          <w:szCs w:val="24"/>
        </w:rPr>
        <w:t>Hos alvorligt syge patienter kan en startdosis på 25</w:t>
      </w:r>
      <w:r w:rsidRPr="00DB1A1B">
        <w:rPr>
          <w:sz w:val="24"/>
          <w:szCs w:val="24"/>
        </w:rPr>
        <w:noBreakHyphen/>
        <w:t xml:space="preserve">30 mg / kg legemsvægt anvendes til at fremme hurtig opnåelse af den ønskede dalkoncentration af </w:t>
      </w:r>
      <w:proofErr w:type="spellStart"/>
      <w:r w:rsidRPr="00DB1A1B">
        <w:rPr>
          <w:sz w:val="24"/>
          <w:szCs w:val="24"/>
        </w:rPr>
        <w:t>vancomycin</w:t>
      </w:r>
      <w:proofErr w:type="spellEnd"/>
      <w:r w:rsidRPr="00DB1A1B">
        <w:rPr>
          <w:sz w:val="24"/>
          <w:szCs w:val="24"/>
        </w:rPr>
        <w:t>.</w:t>
      </w:r>
    </w:p>
    <w:p w14:paraId="45BA8926" w14:textId="77777777" w:rsidR="004435FC" w:rsidRPr="00DB1A1B" w:rsidRDefault="004435FC" w:rsidP="00270E7C">
      <w:pPr>
        <w:suppressAutoHyphens/>
        <w:ind w:left="851"/>
        <w:rPr>
          <w:sz w:val="24"/>
          <w:szCs w:val="24"/>
        </w:rPr>
      </w:pPr>
    </w:p>
    <w:p w14:paraId="202C5212" w14:textId="77777777" w:rsidR="004435FC" w:rsidRPr="00DB1A1B" w:rsidRDefault="004435FC" w:rsidP="00270E7C">
      <w:pPr>
        <w:suppressAutoHyphens/>
        <w:ind w:left="851"/>
        <w:rPr>
          <w:i/>
          <w:sz w:val="24"/>
          <w:szCs w:val="24"/>
          <w:u w:val="single"/>
        </w:rPr>
      </w:pPr>
      <w:r w:rsidRPr="00DB1A1B">
        <w:rPr>
          <w:i/>
          <w:sz w:val="24"/>
          <w:szCs w:val="24"/>
          <w:u w:val="single"/>
        </w:rPr>
        <w:t>Spædbørn og børn i alderen fra 1 måned til under 12 år</w:t>
      </w:r>
    </w:p>
    <w:p w14:paraId="5F553928" w14:textId="77777777" w:rsidR="004435FC" w:rsidRPr="00DB1A1B" w:rsidRDefault="004435FC" w:rsidP="00270E7C">
      <w:pPr>
        <w:suppressAutoHyphens/>
        <w:ind w:left="851"/>
        <w:rPr>
          <w:sz w:val="24"/>
          <w:szCs w:val="24"/>
        </w:rPr>
      </w:pPr>
      <w:r w:rsidRPr="00DB1A1B">
        <w:rPr>
          <w:sz w:val="24"/>
          <w:szCs w:val="24"/>
        </w:rPr>
        <w:t>Den anbefalede dosis er 10 til 15 mg / kg legemsvægt hver 6. time (se pkt. 4.4).</w:t>
      </w:r>
    </w:p>
    <w:p w14:paraId="637E8B58" w14:textId="77777777" w:rsidR="004435FC" w:rsidRPr="00DB1A1B" w:rsidRDefault="004435FC" w:rsidP="00270E7C">
      <w:pPr>
        <w:suppressAutoHyphens/>
        <w:ind w:left="851"/>
        <w:rPr>
          <w:sz w:val="24"/>
          <w:szCs w:val="24"/>
        </w:rPr>
      </w:pPr>
    </w:p>
    <w:p w14:paraId="08B4AAAE" w14:textId="77777777" w:rsidR="004435FC" w:rsidRPr="00DB1A1B" w:rsidRDefault="004435FC" w:rsidP="00270E7C">
      <w:pPr>
        <w:suppressAutoHyphens/>
        <w:ind w:left="851"/>
        <w:rPr>
          <w:i/>
          <w:iCs/>
          <w:sz w:val="24"/>
          <w:szCs w:val="24"/>
          <w:u w:val="single"/>
        </w:rPr>
      </w:pPr>
      <w:r w:rsidRPr="00DB1A1B">
        <w:rPr>
          <w:i/>
          <w:iCs/>
          <w:sz w:val="24"/>
          <w:szCs w:val="24"/>
          <w:u w:val="single"/>
        </w:rPr>
        <w:t>Fuldbårent fødte (fra fødsel til 27 dage efter fødsel) og for tidlig fødte (fra fødsel til forventet fødselsdato plus 27 dage)</w:t>
      </w:r>
    </w:p>
    <w:p w14:paraId="1604846B" w14:textId="77777777" w:rsidR="004435FC" w:rsidRPr="00DB1A1B" w:rsidRDefault="004435FC" w:rsidP="00270E7C">
      <w:pPr>
        <w:suppressAutoHyphens/>
        <w:ind w:left="851"/>
        <w:rPr>
          <w:sz w:val="24"/>
          <w:szCs w:val="24"/>
        </w:rPr>
      </w:pPr>
      <w:r w:rsidRPr="00DB1A1B">
        <w:rPr>
          <w:sz w:val="24"/>
          <w:szCs w:val="24"/>
        </w:rPr>
        <w:t xml:space="preserve">For at etablere doseringsregime for nyfødte bør der søges rådgivning fra en læge med erfaring i behandling af nyfødte. En mulig måde at dosere </w:t>
      </w:r>
      <w:proofErr w:type="spellStart"/>
      <w:r w:rsidRPr="00DB1A1B">
        <w:rPr>
          <w:sz w:val="24"/>
          <w:szCs w:val="24"/>
        </w:rPr>
        <w:t>vancomycin</w:t>
      </w:r>
      <w:proofErr w:type="spellEnd"/>
      <w:r w:rsidRPr="00DB1A1B">
        <w:rPr>
          <w:sz w:val="24"/>
          <w:szCs w:val="24"/>
        </w:rPr>
        <w:t xml:space="preserve"> på hos nyfødte er illustreret i følgende tabel (se pkt. 4.4).</w:t>
      </w:r>
    </w:p>
    <w:p w14:paraId="4658C0FB" w14:textId="77777777" w:rsidR="004435FC" w:rsidRPr="00DB1A1B" w:rsidRDefault="004435FC" w:rsidP="004435FC">
      <w:pPr>
        <w:suppressAutoHyphens/>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2965"/>
        <w:gridCol w:w="2834"/>
      </w:tblGrid>
      <w:tr w:rsidR="004435FC" w:rsidRPr="00DB1A1B" w14:paraId="0CCADA6E" w14:textId="77777777" w:rsidTr="00270E7C">
        <w:tc>
          <w:tcPr>
            <w:tcW w:w="2791" w:type="dxa"/>
            <w:tcBorders>
              <w:top w:val="single" w:sz="4" w:space="0" w:color="auto"/>
              <w:left w:val="single" w:sz="4" w:space="0" w:color="auto"/>
              <w:bottom w:val="single" w:sz="4" w:space="0" w:color="auto"/>
              <w:right w:val="single" w:sz="4" w:space="0" w:color="auto"/>
            </w:tcBorders>
            <w:hideMark/>
          </w:tcPr>
          <w:p w14:paraId="55F03B4B" w14:textId="77777777" w:rsidR="004435FC" w:rsidRPr="00DB1A1B" w:rsidRDefault="004435FC">
            <w:pPr>
              <w:suppressAutoHyphens/>
              <w:rPr>
                <w:b/>
                <w:sz w:val="24"/>
                <w:szCs w:val="24"/>
              </w:rPr>
            </w:pPr>
            <w:r w:rsidRPr="00DB1A1B">
              <w:rPr>
                <w:b/>
                <w:sz w:val="24"/>
                <w:szCs w:val="24"/>
              </w:rPr>
              <w:t>PMA (uger)</w:t>
            </w:r>
          </w:p>
        </w:tc>
        <w:tc>
          <w:tcPr>
            <w:tcW w:w="2965" w:type="dxa"/>
            <w:tcBorders>
              <w:top w:val="single" w:sz="4" w:space="0" w:color="auto"/>
              <w:left w:val="single" w:sz="4" w:space="0" w:color="auto"/>
              <w:bottom w:val="single" w:sz="4" w:space="0" w:color="auto"/>
              <w:right w:val="single" w:sz="4" w:space="0" w:color="auto"/>
            </w:tcBorders>
            <w:hideMark/>
          </w:tcPr>
          <w:p w14:paraId="7C1F8B7A" w14:textId="77777777" w:rsidR="004435FC" w:rsidRPr="00DB1A1B" w:rsidRDefault="004435FC">
            <w:pPr>
              <w:suppressAutoHyphens/>
              <w:rPr>
                <w:b/>
                <w:sz w:val="24"/>
                <w:szCs w:val="24"/>
              </w:rPr>
            </w:pPr>
            <w:r w:rsidRPr="00DB1A1B">
              <w:rPr>
                <w:b/>
                <w:sz w:val="24"/>
                <w:szCs w:val="24"/>
              </w:rPr>
              <w:t>Dosis (mg/kg)</w:t>
            </w:r>
          </w:p>
        </w:tc>
        <w:tc>
          <w:tcPr>
            <w:tcW w:w="2834" w:type="dxa"/>
            <w:tcBorders>
              <w:top w:val="single" w:sz="4" w:space="0" w:color="auto"/>
              <w:left w:val="single" w:sz="4" w:space="0" w:color="auto"/>
              <w:bottom w:val="single" w:sz="4" w:space="0" w:color="auto"/>
              <w:right w:val="single" w:sz="4" w:space="0" w:color="auto"/>
            </w:tcBorders>
            <w:hideMark/>
          </w:tcPr>
          <w:p w14:paraId="6136C25A" w14:textId="77777777" w:rsidR="004435FC" w:rsidRPr="00DB1A1B" w:rsidRDefault="004435FC">
            <w:pPr>
              <w:suppressAutoHyphens/>
              <w:rPr>
                <w:b/>
                <w:sz w:val="24"/>
                <w:szCs w:val="24"/>
              </w:rPr>
            </w:pPr>
            <w:r w:rsidRPr="00DB1A1B">
              <w:rPr>
                <w:b/>
                <w:sz w:val="24"/>
                <w:szCs w:val="24"/>
              </w:rPr>
              <w:t>Administrationsinterval (timer)</w:t>
            </w:r>
          </w:p>
        </w:tc>
      </w:tr>
      <w:tr w:rsidR="004435FC" w:rsidRPr="00DB1A1B" w14:paraId="445EBA41" w14:textId="77777777" w:rsidTr="00270E7C">
        <w:tc>
          <w:tcPr>
            <w:tcW w:w="2791" w:type="dxa"/>
            <w:tcBorders>
              <w:top w:val="single" w:sz="4" w:space="0" w:color="auto"/>
              <w:left w:val="single" w:sz="4" w:space="0" w:color="auto"/>
              <w:bottom w:val="single" w:sz="4" w:space="0" w:color="auto"/>
              <w:right w:val="single" w:sz="4" w:space="0" w:color="auto"/>
            </w:tcBorders>
            <w:hideMark/>
          </w:tcPr>
          <w:p w14:paraId="5D2A585E" w14:textId="77777777" w:rsidR="004435FC" w:rsidRPr="00DB1A1B" w:rsidRDefault="004435FC">
            <w:pPr>
              <w:suppressAutoHyphens/>
              <w:rPr>
                <w:sz w:val="24"/>
                <w:szCs w:val="24"/>
              </w:rPr>
            </w:pPr>
            <w:r w:rsidRPr="00DB1A1B">
              <w:rPr>
                <w:sz w:val="24"/>
                <w:szCs w:val="24"/>
              </w:rPr>
              <w:t>&lt;29</w:t>
            </w:r>
          </w:p>
        </w:tc>
        <w:tc>
          <w:tcPr>
            <w:tcW w:w="2965" w:type="dxa"/>
            <w:tcBorders>
              <w:top w:val="single" w:sz="4" w:space="0" w:color="auto"/>
              <w:left w:val="single" w:sz="4" w:space="0" w:color="auto"/>
              <w:bottom w:val="single" w:sz="4" w:space="0" w:color="auto"/>
              <w:right w:val="single" w:sz="4" w:space="0" w:color="auto"/>
            </w:tcBorders>
            <w:hideMark/>
          </w:tcPr>
          <w:p w14:paraId="3C8D0702" w14:textId="77777777" w:rsidR="004435FC" w:rsidRPr="00DB1A1B" w:rsidRDefault="004435FC">
            <w:pPr>
              <w:suppressAutoHyphens/>
              <w:rPr>
                <w:sz w:val="24"/>
                <w:szCs w:val="24"/>
              </w:rPr>
            </w:pPr>
            <w:r w:rsidRPr="00DB1A1B">
              <w:rPr>
                <w:sz w:val="24"/>
                <w:szCs w:val="24"/>
              </w:rPr>
              <w:t>15</w:t>
            </w:r>
          </w:p>
        </w:tc>
        <w:tc>
          <w:tcPr>
            <w:tcW w:w="2834" w:type="dxa"/>
            <w:tcBorders>
              <w:top w:val="single" w:sz="4" w:space="0" w:color="auto"/>
              <w:left w:val="single" w:sz="4" w:space="0" w:color="auto"/>
              <w:bottom w:val="single" w:sz="4" w:space="0" w:color="auto"/>
              <w:right w:val="single" w:sz="4" w:space="0" w:color="auto"/>
            </w:tcBorders>
            <w:hideMark/>
          </w:tcPr>
          <w:p w14:paraId="0952B10B" w14:textId="77777777" w:rsidR="004435FC" w:rsidRPr="00DB1A1B" w:rsidRDefault="004435FC">
            <w:pPr>
              <w:suppressAutoHyphens/>
              <w:rPr>
                <w:sz w:val="24"/>
                <w:szCs w:val="24"/>
              </w:rPr>
            </w:pPr>
            <w:r w:rsidRPr="00DB1A1B">
              <w:rPr>
                <w:sz w:val="24"/>
                <w:szCs w:val="24"/>
              </w:rPr>
              <w:t>24</w:t>
            </w:r>
          </w:p>
        </w:tc>
      </w:tr>
      <w:tr w:rsidR="004435FC" w:rsidRPr="00DB1A1B" w14:paraId="40130B66" w14:textId="77777777" w:rsidTr="00270E7C">
        <w:tc>
          <w:tcPr>
            <w:tcW w:w="2791" w:type="dxa"/>
            <w:tcBorders>
              <w:top w:val="single" w:sz="4" w:space="0" w:color="auto"/>
              <w:left w:val="single" w:sz="4" w:space="0" w:color="auto"/>
              <w:bottom w:val="single" w:sz="4" w:space="0" w:color="auto"/>
              <w:right w:val="single" w:sz="4" w:space="0" w:color="auto"/>
            </w:tcBorders>
            <w:hideMark/>
          </w:tcPr>
          <w:p w14:paraId="011C1F7E" w14:textId="77777777" w:rsidR="004435FC" w:rsidRPr="00DB1A1B" w:rsidRDefault="004435FC">
            <w:pPr>
              <w:suppressAutoHyphens/>
              <w:rPr>
                <w:sz w:val="24"/>
                <w:szCs w:val="24"/>
              </w:rPr>
            </w:pPr>
            <w:r w:rsidRPr="00DB1A1B">
              <w:rPr>
                <w:sz w:val="24"/>
                <w:szCs w:val="24"/>
              </w:rPr>
              <w:t>29-35</w:t>
            </w:r>
          </w:p>
        </w:tc>
        <w:tc>
          <w:tcPr>
            <w:tcW w:w="2965" w:type="dxa"/>
            <w:tcBorders>
              <w:top w:val="single" w:sz="4" w:space="0" w:color="auto"/>
              <w:left w:val="single" w:sz="4" w:space="0" w:color="auto"/>
              <w:bottom w:val="single" w:sz="4" w:space="0" w:color="auto"/>
              <w:right w:val="single" w:sz="4" w:space="0" w:color="auto"/>
            </w:tcBorders>
            <w:hideMark/>
          </w:tcPr>
          <w:p w14:paraId="2EF0CA04" w14:textId="77777777" w:rsidR="004435FC" w:rsidRPr="00DB1A1B" w:rsidRDefault="004435FC">
            <w:pPr>
              <w:suppressAutoHyphens/>
              <w:rPr>
                <w:sz w:val="24"/>
                <w:szCs w:val="24"/>
              </w:rPr>
            </w:pPr>
            <w:r w:rsidRPr="00DB1A1B">
              <w:rPr>
                <w:sz w:val="24"/>
                <w:szCs w:val="24"/>
              </w:rPr>
              <w:t>15</w:t>
            </w:r>
          </w:p>
        </w:tc>
        <w:tc>
          <w:tcPr>
            <w:tcW w:w="2834" w:type="dxa"/>
            <w:tcBorders>
              <w:top w:val="single" w:sz="4" w:space="0" w:color="auto"/>
              <w:left w:val="single" w:sz="4" w:space="0" w:color="auto"/>
              <w:bottom w:val="single" w:sz="4" w:space="0" w:color="auto"/>
              <w:right w:val="single" w:sz="4" w:space="0" w:color="auto"/>
            </w:tcBorders>
            <w:hideMark/>
          </w:tcPr>
          <w:p w14:paraId="6682B97E" w14:textId="77777777" w:rsidR="004435FC" w:rsidRPr="00DB1A1B" w:rsidRDefault="004435FC">
            <w:pPr>
              <w:suppressAutoHyphens/>
              <w:rPr>
                <w:sz w:val="24"/>
                <w:szCs w:val="24"/>
              </w:rPr>
            </w:pPr>
            <w:r w:rsidRPr="00DB1A1B">
              <w:rPr>
                <w:sz w:val="24"/>
                <w:szCs w:val="24"/>
              </w:rPr>
              <w:t>12</w:t>
            </w:r>
          </w:p>
        </w:tc>
      </w:tr>
      <w:tr w:rsidR="004435FC" w:rsidRPr="00DB1A1B" w14:paraId="2BFCD464" w14:textId="77777777" w:rsidTr="00270E7C">
        <w:trPr>
          <w:trHeight w:hRule="exact" w:val="269"/>
        </w:trPr>
        <w:tc>
          <w:tcPr>
            <w:tcW w:w="2791" w:type="dxa"/>
            <w:tcBorders>
              <w:top w:val="single" w:sz="4" w:space="0" w:color="auto"/>
              <w:left w:val="single" w:sz="4" w:space="0" w:color="auto"/>
              <w:bottom w:val="single" w:sz="4" w:space="0" w:color="auto"/>
              <w:right w:val="single" w:sz="4" w:space="0" w:color="auto"/>
            </w:tcBorders>
            <w:hideMark/>
          </w:tcPr>
          <w:p w14:paraId="35A92A83" w14:textId="77777777" w:rsidR="004435FC" w:rsidRPr="00DB1A1B" w:rsidRDefault="004435FC">
            <w:pPr>
              <w:suppressAutoHyphens/>
              <w:rPr>
                <w:sz w:val="24"/>
                <w:szCs w:val="24"/>
              </w:rPr>
            </w:pPr>
            <w:r w:rsidRPr="00DB1A1B">
              <w:rPr>
                <w:sz w:val="24"/>
                <w:szCs w:val="24"/>
              </w:rPr>
              <w:t>&gt;35</w:t>
            </w:r>
          </w:p>
        </w:tc>
        <w:tc>
          <w:tcPr>
            <w:tcW w:w="2965" w:type="dxa"/>
            <w:tcBorders>
              <w:top w:val="single" w:sz="4" w:space="0" w:color="auto"/>
              <w:left w:val="single" w:sz="4" w:space="0" w:color="auto"/>
              <w:bottom w:val="single" w:sz="4" w:space="0" w:color="auto"/>
              <w:right w:val="single" w:sz="4" w:space="0" w:color="auto"/>
            </w:tcBorders>
            <w:hideMark/>
          </w:tcPr>
          <w:p w14:paraId="35D0B0FE" w14:textId="77777777" w:rsidR="004435FC" w:rsidRPr="00DB1A1B" w:rsidRDefault="004435FC">
            <w:pPr>
              <w:suppressAutoHyphens/>
              <w:rPr>
                <w:sz w:val="24"/>
                <w:szCs w:val="24"/>
              </w:rPr>
            </w:pPr>
            <w:r w:rsidRPr="00DB1A1B">
              <w:rPr>
                <w:sz w:val="24"/>
                <w:szCs w:val="24"/>
              </w:rPr>
              <w:t>15</w:t>
            </w:r>
          </w:p>
        </w:tc>
        <w:tc>
          <w:tcPr>
            <w:tcW w:w="2834" w:type="dxa"/>
            <w:tcBorders>
              <w:top w:val="single" w:sz="4" w:space="0" w:color="auto"/>
              <w:left w:val="single" w:sz="4" w:space="0" w:color="auto"/>
              <w:bottom w:val="single" w:sz="4" w:space="0" w:color="auto"/>
              <w:right w:val="single" w:sz="4" w:space="0" w:color="auto"/>
            </w:tcBorders>
            <w:hideMark/>
          </w:tcPr>
          <w:p w14:paraId="2222CC1A" w14:textId="77777777" w:rsidR="004435FC" w:rsidRPr="00DB1A1B" w:rsidRDefault="004435FC">
            <w:pPr>
              <w:suppressAutoHyphens/>
              <w:rPr>
                <w:sz w:val="24"/>
                <w:szCs w:val="24"/>
              </w:rPr>
            </w:pPr>
            <w:r w:rsidRPr="00DB1A1B">
              <w:rPr>
                <w:sz w:val="24"/>
                <w:szCs w:val="24"/>
              </w:rPr>
              <w:t>8</w:t>
            </w:r>
          </w:p>
        </w:tc>
      </w:tr>
    </w:tbl>
    <w:p w14:paraId="1D6CDD17" w14:textId="77777777" w:rsidR="004435FC" w:rsidRPr="00DB1A1B" w:rsidRDefault="004435FC" w:rsidP="00270E7C">
      <w:pPr>
        <w:suppressAutoHyphens/>
        <w:ind w:left="851"/>
        <w:rPr>
          <w:sz w:val="24"/>
          <w:szCs w:val="24"/>
        </w:rPr>
      </w:pPr>
      <w:r w:rsidRPr="00DB1A1B">
        <w:rPr>
          <w:sz w:val="24"/>
          <w:szCs w:val="24"/>
        </w:rPr>
        <w:t xml:space="preserve">PMA: </w:t>
      </w:r>
      <w:proofErr w:type="spellStart"/>
      <w:r w:rsidRPr="00DB1A1B">
        <w:rPr>
          <w:sz w:val="24"/>
          <w:szCs w:val="24"/>
        </w:rPr>
        <w:t>postmenstruel</w:t>
      </w:r>
      <w:proofErr w:type="spellEnd"/>
      <w:r w:rsidRPr="00DB1A1B">
        <w:rPr>
          <w:sz w:val="24"/>
          <w:szCs w:val="24"/>
        </w:rPr>
        <w:t xml:space="preserve"> alder [tiden mellem sidste menstruations første dag og fødsel (svangerskabsalder) plus den tid, der er gået efter fødslen (</w:t>
      </w:r>
      <w:proofErr w:type="spellStart"/>
      <w:r w:rsidRPr="00DB1A1B">
        <w:rPr>
          <w:sz w:val="24"/>
          <w:szCs w:val="24"/>
        </w:rPr>
        <w:t>postnatal</w:t>
      </w:r>
      <w:proofErr w:type="spellEnd"/>
      <w:r w:rsidRPr="00DB1A1B">
        <w:rPr>
          <w:sz w:val="24"/>
          <w:szCs w:val="24"/>
        </w:rPr>
        <w:t xml:space="preserve"> alder)].</w:t>
      </w:r>
    </w:p>
    <w:p w14:paraId="746A903F" w14:textId="77777777" w:rsidR="004435FC" w:rsidRPr="00DB1A1B" w:rsidRDefault="004435FC" w:rsidP="00270E7C">
      <w:pPr>
        <w:suppressAutoHyphens/>
        <w:ind w:left="851"/>
        <w:rPr>
          <w:i/>
          <w:sz w:val="24"/>
          <w:szCs w:val="24"/>
          <w:u w:val="single"/>
        </w:rPr>
      </w:pPr>
    </w:p>
    <w:p w14:paraId="372CB95F" w14:textId="77777777" w:rsidR="004435FC" w:rsidRPr="00DB1A1B" w:rsidRDefault="004435FC" w:rsidP="00270E7C">
      <w:pPr>
        <w:suppressAutoHyphens/>
        <w:ind w:left="851"/>
        <w:rPr>
          <w:i/>
          <w:sz w:val="24"/>
          <w:szCs w:val="24"/>
        </w:rPr>
      </w:pPr>
      <w:r w:rsidRPr="00DB1A1B">
        <w:rPr>
          <w:i/>
          <w:sz w:val="24"/>
          <w:szCs w:val="24"/>
        </w:rPr>
        <w:t xml:space="preserve">Peri-operativ profylakse af bakteriel </w:t>
      </w:r>
      <w:proofErr w:type="spellStart"/>
      <w:r w:rsidRPr="00DB1A1B">
        <w:rPr>
          <w:i/>
          <w:sz w:val="24"/>
          <w:szCs w:val="24"/>
        </w:rPr>
        <w:t>endokarditis</w:t>
      </w:r>
      <w:proofErr w:type="spellEnd"/>
      <w:r w:rsidRPr="00DB1A1B">
        <w:rPr>
          <w:i/>
          <w:sz w:val="24"/>
          <w:szCs w:val="24"/>
        </w:rPr>
        <w:t xml:space="preserve"> i alle aldersgrupper</w:t>
      </w:r>
    </w:p>
    <w:p w14:paraId="49D04E59" w14:textId="77777777" w:rsidR="004435FC" w:rsidRPr="00DB1A1B" w:rsidRDefault="004435FC" w:rsidP="00270E7C">
      <w:pPr>
        <w:suppressAutoHyphens/>
        <w:ind w:left="851"/>
        <w:rPr>
          <w:iCs/>
          <w:sz w:val="24"/>
          <w:szCs w:val="24"/>
        </w:rPr>
      </w:pPr>
      <w:r w:rsidRPr="00DB1A1B">
        <w:rPr>
          <w:iCs/>
          <w:sz w:val="24"/>
          <w:szCs w:val="24"/>
        </w:rPr>
        <w:t>Den anbefalede dosis er en initialdosis på 15</w:t>
      </w:r>
      <w:r w:rsidRPr="00DB1A1B">
        <w:rPr>
          <w:sz w:val="24"/>
          <w:szCs w:val="24"/>
        </w:rPr>
        <w:t> </w:t>
      </w:r>
      <w:r w:rsidRPr="00DB1A1B">
        <w:rPr>
          <w:iCs/>
          <w:sz w:val="24"/>
          <w:szCs w:val="24"/>
        </w:rPr>
        <w:t xml:space="preserve">mg / kg før induktion af anæstesi. Afhængig af operationens varighed kan en anden </w:t>
      </w:r>
      <w:proofErr w:type="spellStart"/>
      <w:r w:rsidRPr="00DB1A1B">
        <w:rPr>
          <w:iCs/>
          <w:sz w:val="24"/>
          <w:szCs w:val="24"/>
        </w:rPr>
        <w:t>vancomycindosis</w:t>
      </w:r>
      <w:proofErr w:type="spellEnd"/>
      <w:r w:rsidRPr="00DB1A1B">
        <w:rPr>
          <w:iCs/>
          <w:sz w:val="24"/>
          <w:szCs w:val="24"/>
        </w:rPr>
        <w:t xml:space="preserve"> være påkrævet.</w:t>
      </w:r>
    </w:p>
    <w:p w14:paraId="575A8831" w14:textId="77777777" w:rsidR="004435FC" w:rsidRPr="00DB1A1B" w:rsidRDefault="004435FC" w:rsidP="00270E7C">
      <w:pPr>
        <w:suppressAutoHyphens/>
        <w:ind w:left="851"/>
        <w:rPr>
          <w:iCs/>
          <w:sz w:val="24"/>
          <w:szCs w:val="24"/>
        </w:rPr>
      </w:pPr>
    </w:p>
    <w:p w14:paraId="4727B42A" w14:textId="77777777" w:rsidR="004435FC" w:rsidRPr="00DB1A1B" w:rsidRDefault="004435FC" w:rsidP="00270E7C">
      <w:pPr>
        <w:suppressAutoHyphens/>
        <w:ind w:left="851"/>
        <w:rPr>
          <w:iCs/>
          <w:sz w:val="24"/>
          <w:szCs w:val="24"/>
        </w:rPr>
      </w:pPr>
      <w:r w:rsidRPr="00DB1A1B">
        <w:rPr>
          <w:i/>
          <w:iCs/>
          <w:sz w:val="24"/>
          <w:szCs w:val="24"/>
        </w:rPr>
        <w:t>Behandlingens varighed</w:t>
      </w:r>
      <w:r w:rsidRPr="00DB1A1B">
        <w:rPr>
          <w:iCs/>
          <w:sz w:val="24"/>
          <w:szCs w:val="24"/>
        </w:rPr>
        <w:t xml:space="preserve"> </w:t>
      </w:r>
    </w:p>
    <w:p w14:paraId="59378C78" w14:textId="77777777" w:rsidR="004435FC" w:rsidRPr="00DB1A1B" w:rsidRDefault="004435FC" w:rsidP="00270E7C">
      <w:pPr>
        <w:suppressAutoHyphens/>
        <w:ind w:left="851"/>
        <w:rPr>
          <w:iCs/>
          <w:sz w:val="24"/>
          <w:szCs w:val="24"/>
        </w:rPr>
      </w:pPr>
      <w:r w:rsidRPr="00DB1A1B">
        <w:rPr>
          <w:iCs/>
          <w:sz w:val="24"/>
          <w:szCs w:val="24"/>
        </w:rPr>
        <w:t>Foreslået behandlingsvarighed er vist i tabellen nedenfor. Under alle omstændigheder bør behandlingens varighed tilpasses typen og sværhedsgraden af infektionen og individuelt klinisk respons.</w:t>
      </w:r>
    </w:p>
    <w:p w14:paraId="4314AFEF" w14:textId="77777777" w:rsidR="004435FC" w:rsidRPr="00DB1A1B" w:rsidRDefault="004435FC" w:rsidP="004435FC">
      <w:pPr>
        <w:suppressAutoHyphens/>
        <w:ind w:left="851"/>
        <w:rPr>
          <w:i/>
          <w:iCs/>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7"/>
        <w:gridCol w:w="2026"/>
      </w:tblGrid>
      <w:tr w:rsidR="004435FC" w:rsidRPr="00DB1A1B" w14:paraId="00BA26B8" w14:textId="77777777" w:rsidTr="00270E7C">
        <w:trPr>
          <w:trHeight w:val="123"/>
        </w:trPr>
        <w:tc>
          <w:tcPr>
            <w:tcW w:w="6587" w:type="dxa"/>
            <w:tcBorders>
              <w:top w:val="single" w:sz="4" w:space="0" w:color="auto"/>
              <w:left w:val="single" w:sz="4" w:space="0" w:color="auto"/>
              <w:bottom w:val="single" w:sz="4" w:space="0" w:color="auto"/>
              <w:right w:val="single" w:sz="4" w:space="0" w:color="auto"/>
            </w:tcBorders>
            <w:hideMark/>
          </w:tcPr>
          <w:p w14:paraId="0BAE4396" w14:textId="77777777" w:rsidR="004435FC" w:rsidRPr="00DB1A1B" w:rsidRDefault="004435FC">
            <w:pPr>
              <w:pStyle w:val="Default"/>
              <w:spacing w:after="140"/>
              <w:jc w:val="both"/>
              <w:rPr>
                <w:rFonts w:ascii="Times New Roman" w:hAnsi="Times New Roman" w:cs="Times New Roman"/>
                <w:lang w:val="da-DK"/>
              </w:rPr>
            </w:pPr>
            <w:r w:rsidRPr="00DB1A1B">
              <w:rPr>
                <w:rFonts w:ascii="Times New Roman" w:hAnsi="Times New Roman" w:cs="Times New Roman"/>
                <w:b/>
                <w:bCs/>
                <w:lang w:val="da-DK"/>
              </w:rPr>
              <w:lastRenderedPageBreak/>
              <w:t>Indikation</w:t>
            </w:r>
          </w:p>
        </w:tc>
        <w:tc>
          <w:tcPr>
            <w:tcW w:w="2026" w:type="dxa"/>
            <w:tcBorders>
              <w:top w:val="single" w:sz="4" w:space="0" w:color="auto"/>
              <w:left w:val="single" w:sz="4" w:space="0" w:color="auto"/>
              <w:bottom w:val="single" w:sz="4" w:space="0" w:color="auto"/>
              <w:right w:val="single" w:sz="4" w:space="0" w:color="auto"/>
            </w:tcBorders>
            <w:hideMark/>
          </w:tcPr>
          <w:p w14:paraId="37638A37" w14:textId="77777777" w:rsidR="004435FC" w:rsidRPr="00DB1A1B" w:rsidRDefault="004435FC">
            <w:pPr>
              <w:pStyle w:val="Default"/>
              <w:jc w:val="both"/>
              <w:rPr>
                <w:rFonts w:ascii="Times New Roman" w:hAnsi="Times New Roman" w:cs="Times New Roman"/>
                <w:lang w:val="da-DK"/>
              </w:rPr>
            </w:pPr>
            <w:r w:rsidRPr="00DB1A1B">
              <w:rPr>
                <w:rFonts w:ascii="Times New Roman" w:hAnsi="Times New Roman" w:cs="Times New Roman"/>
                <w:b/>
                <w:bCs/>
                <w:lang w:val="da-DK"/>
              </w:rPr>
              <w:t>Behandlingstid</w:t>
            </w:r>
          </w:p>
        </w:tc>
      </w:tr>
      <w:tr w:rsidR="004435FC" w:rsidRPr="00DB1A1B" w14:paraId="6E04973B" w14:textId="77777777" w:rsidTr="00270E7C">
        <w:trPr>
          <w:trHeight w:val="121"/>
        </w:trPr>
        <w:tc>
          <w:tcPr>
            <w:tcW w:w="6587" w:type="dxa"/>
            <w:tcBorders>
              <w:top w:val="single" w:sz="4" w:space="0" w:color="auto"/>
              <w:left w:val="single" w:sz="4" w:space="0" w:color="auto"/>
              <w:bottom w:val="single" w:sz="4" w:space="0" w:color="auto"/>
              <w:right w:val="single" w:sz="4" w:space="0" w:color="auto"/>
            </w:tcBorders>
            <w:hideMark/>
          </w:tcPr>
          <w:p w14:paraId="006BFFF1" w14:textId="77777777" w:rsidR="004435FC" w:rsidRPr="00DB1A1B" w:rsidRDefault="004435FC">
            <w:pPr>
              <w:pStyle w:val="Default"/>
              <w:rPr>
                <w:rFonts w:ascii="Times New Roman" w:hAnsi="Times New Roman" w:cs="Times New Roman"/>
                <w:lang w:val="da-DK"/>
              </w:rPr>
            </w:pPr>
            <w:r w:rsidRPr="00DB1A1B">
              <w:rPr>
                <w:rFonts w:ascii="Times New Roman" w:hAnsi="Times New Roman" w:cs="Times New Roman"/>
                <w:lang w:val="da-DK"/>
              </w:rPr>
              <w:t>Komplicerede hud- og vævsinfektioner</w:t>
            </w:r>
          </w:p>
          <w:p w14:paraId="4A4682A3" w14:textId="77777777" w:rsidR="004435FC" w:rsidRPr="00DB1A1B" w:rsidRDefault="004435FC">
            <w:pPr>
              <w:pStyle w:val="Listeafsnit"/>
              <w:tabs>
                <w:tab w:val="left" w:pos="176"/>
              </w:tabs>
              <w:ind w:left="601" w:hanging="425"/>
              <w:rPr>
                <w:sz w:val="24"/>
                <w:szCs w:val="24"/>
                <w:lang w:val="da-DK"/>
              </w:rPr>
            </w:pPr>
            <w:r w:rsidRPr="00DB1A1B">
              <w:rPr>
                <w:sz w:val="24"/>
                <w:szCs w:val="24"/>
                <w:lang w:val="da-DK"/>
              </w:rPr>
              <w:t xml:space="preserve">- Ikke </w:t>
            </w:r>
            <w:proofErr w:type="spellStart"/>
            <w:r w:rsidRPr="00DB1A1B">
              <w:rPr>
                <w:sz w:val="24"/>
                <w:szCs w:val="24"/>
                <w:lang w:val="da-DK"/>
              </w:rPr>
              <w:t>nekrotiserende</w:t>
            </w:r>
            <w:proofErr w:type="spellEnd"/>
          </w:p>
          <w:p w14:paraId="0E0E9480" w14:textId="77777777" w:rsidR="004435FC" w:rsidRPr="00DB1A1B" w:rsidRDefault="004435FC">
            <w:pPr>
              <w:pStyle w:val="Listeafsnit"/>
              <w:tabs>
                <w:tab w:val="left" w:pos="176"/>
              </w:tabs>
              <w:ind w:left="601" w:hanging="425"/>
              <w:rPr>
                <w:sz w:val="24"/>
                <w:szCs w:val="24"/>
                <w:lang w:val="da-DK"/>
              </w:rPr>
            </w:pPr>
            <w:r w:rsidRPr="00DB1A1B">
              <w:rPr>
                <w:sz w:val="24"/>
                <w:szCs w:val="24"/>
                <w:lang w:val="da-DK"/>
              </w:rPr>
              <w:t xml:space="preserve">- </w:t>
            </w:r>
            <w:proofErr w:type="spellStart"/>
            <w:r w:rsidRPr="00DB1A1B">
              <w:rPr>
                <w:sz w:val="24"/>
                <w:szCs w:val="24"/>
                <w:lang w:val="da-DK"/>
              </w:rPr>
              <w:t>Nekrotiserende</w:t>
            </w:r>
            <w:proofErr w:type="spellEnd"/>
          </w:p>
        </w:tc>
        <w:tc>
          <w:tcPr>
            <w:tcW w:w="2026" w:type="dxa"/>
            <w:tcBorders>
              <w:top w:val="single" w:sz="4" w:space="0" w:color="auto"/>
              <w:left w:val="single" w:sz="4" w:space="0" w:color="auto"/>
              <w:bottom w:val="single" w:sz="4" w:space="0" w:color="auto"/>
              <w:right w:val="single" w:sz="4" w:space="0" w:color="auto"/>
            </w:tcBorders>
          </w:tcPr>
          <w:p w14:paraId="60639F3B" w14:textId="77777777" w:rsidR="004435FC" w:rsidRPr="00DB1A1B" w:rsidRDefault="004435FC">
            <w:pPr>
              <w:pStyle w:val="Default"/>
              <w:rPr>
                <w:rFonts w:ascii="Times New Roman" w:hAnsi="Times New Roman" w:cs="Times New Roman"/>
                <w:lang w:val="da-DK"/>
              </w:rPr>
            </w:pPr>
          </w:p>
          <w:p w14:paraId="68E08521" w14:textId="77777777" w:rsidR="004435FC" w:rsidRPr="00DB1A1B" w:rsidRDefault="004435FC">
            <w:pPr>
              <w:pStyle w:val="Default"/>
              <w:rPr>
                <w:rFonts w:ascii="Times New Roman" w:hAnsi="Times New Roman" w:cs="Times New Roman"/>
                <w:lang w:val="da-DK"/>
              </w:rPr>
            </w:pPr>
            <w:r w:rsidRPr="00DB1A1B">
              <w:rPr>
                <w:rFonts w:ascii="Times New Roman" w:hAnsi="Times New Roman" w:cs="Times New Roman"/>
                <w:lang w:val="da-DK"/>
              </w:rPr>
              <w:t>7 til 14 dage</w:t>
            </w:r>
          </w:p>
          <w:p w14:paraId="08603602" w14:textId="77777777" w:rsidR="004435FC" w:rsidRPr="00DB1A1B" w:rsidRDefault="004435FC">
            <w:pPr>
              <w:pStyle w:val="Default"/>
              <w:rPr>
                <w:rFonts w:ascii="Times New Roman" w:hAnsi="Times New Roman" w:cs="Times New Roman"/>
                <w:lang w:val="da-DK"/>
              </w:rPr>
            </w:pPr>
            <w:r w:rsidRPr="00DB1A1B">
              <w:rPr>
                <w:rFonts w:ascii="Times New Roman" w:hAnsi="Times New Roman" w:cs="Times New Roman"/>
                <w:lang w:val="da-DK"/>
              </w:rPr>
              <w:t>4 til 6 uger*</w:t>
            </w:r>
          </w:p>
        </w:tc>
      </w:tr>
      <w:tr w:rsidR="004435FC" w:rsidRPr="00DB1A1B" w14:paraId="3A02AFA1" w14:textId="77777777" w:rsidTr="00270E7C">
        <w:trPr>
          <w:trHeight w:val="121"/>
        </w:trPr>
        <w:tc>
          <w:tcPr>
            <w:tcW w:w="6587" w:type="dxa"/>
            <w:tcBorders>
              <w:top w:val="single" w:sz="4" w:space="0" w:color="auto"/>
              <w:left w:val="single" w:sz="4" w:space="0" w:color="auto"/>
              <w:bottom w:val="single" w:sz="4" w:space="0" w:color="auto"/>
              <w:right w:val="single" w:sz="4" w:space="0" w:color="auto"/>
            </w:tcBorders>
            <w:hideMark/>
          </w:tcPr>
          <w:p w14:paraId="412AAE97" w14:textId="77777777" w:rsidR="004435FC" w:rsidRPr="00DB1A1B" w:rsidRDefault="004435FC">
            <w:pPr>
              <w:pStyle w:val="Default"/>
              <w:rPr>
                <w:rFonts w:ascii="Times New Roman" w:hAnsi="Times New Roman" w:cs="Times New Roman"/>
                <w:lang w:val="da-DK"/>
              </w:rPr>
            </w:pPr>
            <w:r w:rsidRPr="00DB1A1B">
              <w:rPr>
                <w:rFonts w:ascii="Times New Roman" w:hAnsi="Times New Roman" w:cs="Times New Roman"/>
                <w:lang w:val="da-DK"/>
              </w:rPr>
              <w:t xml:space="preserve">Knogler og </w:t>
            </w:r>
            <w:proofErr w:type="spellStart"/>
            <w:r w:rsidRPr="00DB1A1B">
              <w:rPr>
                <w:rFonts w:ascii="Times New Roman" w:hAnsi="Times New Roman" w:cs="Times New Roman"/>
                <w:lang w:val="da-DK"/>
              </w:rPr>
              <w:t>ledinfektioner</w:t>
            </w:r>
            <w:proofErr w:type="spellEnd"/>
            <w:r w:rsidRPr="00DB1A1B">
              <w:rPr>
                <w:rFonts w:ascii="Times New Roman" w:hAnsi="Times New Roman" w:cs="Times New Roman"/>
                <w:lang w:val="da-DK"/>
              </w:rPr>
              <w:t xml:space="preserve"> </w:t>
            </w:r>
          </w:p>
        </w:tc>
        <w:tc>
          <w:tcPr>
            <w:tcW w:w="2026" w:type="dxa"/>
            <w:tcBorders>
              <w:top w:val="single" w:sz="4" w:space="0" w:color="auto"/>
              <w:left w:val="single" w:sz="4" w:space="0" w:color="auto"/>
              <w:bottom w:val="single" w:sz="4" w:space="0" w:color="auto"/>
              <w:right w:val="single" w:sz="4" w:space="0" w:color="auto"/>
            </w:tcBorders>
            <w:hideMark/>
          </w:tcPr>
          <w:p w14:paraId="1D78AFF3" w14:textId="77777777" w:rsidR="004435FC" w:rsidRPr="00DB1A1B" w:rsidRDefault="004435FC">
            <w:pPr>
              <w:pStyle w:val="Default"/>
              <w:spacing w:after="140"/>
              <w:rPr>
                <w:rFonts w:ascii="Times New Roman" w:hAnsi="Times New Roman" w:cs="Times New Roman"/>
                <w:lang w:val="da-DK"/>
              </w:rPr>
            </w:pPr>
            <w:r w:rsidRPr="00DB1A1B">
              <w:rPr>
                <w:rFonts w:ascii="Times New Roman" w:hAnsi="Times New Roman" w:cs="Times New Roman"/>
                <w:lang w:val="da-DK"/>
              </w:rPr>
              <w:t>4 til 6 uger**</w:t>
            </w:r>
          </w:p>
        </w:tc>
      </w:tr>
      <w:tr w:rsidR="004435FC" w:rsidRPr="00DB1A1B" w14:paraId="1BEBC455" w14:textId="77777777" w:rsidTr="00270E7C">
        <w:trPr>
          <w:trHeight w:val="263"/>
        </w:trPr>
        <w:tc>
          <w:tcPr>
            <w:tcW w:w="6587" w:type="dxa"/>
            <w:tcBorders>
              <w:top w:val="single" w:sz="4" w:space="0" w:color="auto"/>
              <w:left w:val="single" w:sz="4" w:space="0" w:color="auto"/>
              <w:bottom w:val="single" w:sz="4" w:space="0" w:color="auto"/>
              <w:right w:val="single" w:sz="4" w:space="0" w:color="auto"/>
            </w:tcBorders>
            <w:hideMark/>
          </w:tcPr>
          <w:p w14:paraId="14188FBA" w14:textId="7DF957AE" w:rsidR="004435FC" w:rsidRPr="00DB1A1B" w:rsidRDefault="00DB1A1B">
            <w:pPr>
              <w:pStyle w:val="Default"/>
              <w:spacing w:after="140"/>
              <w:rPr>
                <w:rFonts w:ascii="Times New Roman" w:hAnsi="Times New Roman" w:cs="Times New Roman"/>
                <w:lang w:val="da-DK"/>
              </w:rPr>
            </w:pPr>
            <w:r w:rsidRPr="00DB1A1B">
              <w:rPr>
                <w:rFonts w:ascii="Times New Roman" w:hAnsi="Times New Roman" w:cs="Times New Roman"/>
                <w:lang w:val="da-DK"/>
              </w:rPr>
              <w:t>"</w:t>
            </w:r>
            <w:r w:rsidR="004435FC" w:rsidRPr="00DB1A1B">
              <w:rPr>
                <w:rFonts w:ascii="Times New Roman" w:hAnsi="Times New Roman" w:cs="Times New Roman"/>
                <w:lang w:val="da-DK"/>
              </w:rPr>
              <w:t>Community-</w:t>
            </w:r>
            <w:proofErr w:type="spellStart"/>
            <w:r w:rsidR="004435FC" w:rsidRPr="00DB1A1B">
              <w:rPr>
                <w:rFonts w:ascii="Times New Roman" w:hAnsi="Times New Roman" w:cs="Times New Roman"/>
                <w:lang w:val="da-DK"/>
              </w:rPr>
              <w:t>acquired</w:t>
            </w:r>
            <w:proofErr w:type="spellEnd"/>
            <w:r w:rsidR="004435FC" w:rsidRPr="00DB1A1B">
              <w:rPr>
                <w:rFonts w:ascii="Times New Roman" w:hAnsi="Times New Roman" w:cs="Times New Roman"/>
                <w:lang w:val="da-DK"/>
              </w:rPr>
              <w:t xml:space="preserve"> </w:t>
            </w:r>
            <w:proofErr w:type="spellStart"/>
            <w:r w:rsidR="004435FC" w:rsidRPr="00DB1A1B">
              <w:rPr>
                <w:rFonts w:ascii="Times New Roman" w:hAnsi="Times New Roman" w:cs="Times New Roman"/>
                <w:lang w:val="da-DK"/>
              </w:rPr>
              <w:t>pneumonia</w:t>
            </w:r>
            <w:proofErr w:type="spellEnd"/>
            <w:r w:rsidR="004435FC" w:rsidRPr="00DB1A1B">
              <w:rPr>
                <w:rFonts w:ascii="Times New Roman" w:hAnsi="Times New Roman" w:cs="Times New Roman"/>
                <w:lang w:val="da-DK"/>
              </w:rPr>
              <w:t xml:space="preserve"> (CAP) – samfundserhvervet pneumoni</w:t>
            </w:r>
          </w:p>
        </w:tc>
        <w:tc>
          <w:tcPr>
            <w:tcW w:w="2026" w:type="dxa"/>
            <w:tcBorders>
              <w:top w:val="single" w:sz="4" w:space="0" w:color="auto"/>
              <w:left w:val="single" w:sz="4" w:space="0" w:color="auto"/>
              <w:bottom w:val="single" w:sz="4" w:space="0" w:color="auto"/>
              <w:right w:val="single" w:sz="4" w:space="0" w:color="auto"/>
            </w:tcBorders>
            <w:hideMark/>
          </w:tcPr>
          <w:p w14:paraId="0D4E9D0D" w14:textId="77777777" w:rsidR="004435FC" w:rsidRPr="00DB1A1B" w:rsidRDefault="004435FC">
            <w:pPr>
              <w:pStyle w:val="Default"/>
              <w:rPr>
                <w:rFonts w:ascii="Times New Roman" w:hAnsi="Times New Roman" w:cs="Times New Roman"/>
                <w:lang w:val="da-DK"/>
              </w:rPr>
            </w:pPr>
            <w:r w:rsidRPr="00DB1A1B">
              <w:rPr>
                <w:rFonts w:ascii="Times New Roman" w:hAnsi="Times New Roman" w:cs="Times New Roman"/>
                <w:lang w:val="da-DK"/>
              </w:rPr>
              <w:t>7 til 14 dage</w:t>
            </w:r>
          </w:p>
        </w:tc>
      </w:tr>
      <w:tr w:rsidR="004435FC" w:rsidRPr="00DB1A1B" w14:paraId="6FC0D8C6" w14:textId="77777777" w:rsidTr="00270E7C">
        <w:trPr>
          <w:trHeight w:val="543"/>
        </w:trPr>
        <w:tc>
          <w:tcPr>
            <w:tcW w:w="6587" w:type="dxa"/>
            <w:tcBorders>
              <w:top w:val="single" w:sz="4" w:space="0" w:color="auto"/>
              <w:left w:val="single" w:sz="4" w:space="0" w:color="auto"/>
              <w:bottom w:val="single" w:sz="4" w:space="0" w:color="auto"/>
              <w:right w:val="single" w:sz="4" w:space="0" w:color="auto"/>
            </w:tcBorders>
            <w:hideMark/>
          </w:tcPr>
          <w:p w14:paraId="3ED7A4BB" w14:textId="2EF7512C" w:rsidR="004435FC" w:rsidRPr="00DB1A1B" w:rsidRDefault="00DB1A1B">
            <w:pPr>
              <w:pStyle w:val="Default"/>
              <w:spacing w:after="140"/>
              <w:rPr>
                <w:rFonts w:ascii="Times New Roman" w:hAnsi="Times New Roman" w:cs="Times New Roman"/>
                <w:lang w:val="da-DK"/>
              </w:rPr>
            </w:pPr>
            <w:r w:rsidRPr="00DB1A1B">
              <w:rPr>
                <w:rFonts w:ascii="Times New Roman" w:hAnsi="Times New Roman" w:cs="Times New Roman"/>
                <w:lang w:val="da-DK"/>
              </w:rPr>
              <w:t>"</w:t>
            </w:r>
            <w:r w:rsidR="004435FC" w:rsidRPr="00DB1A1B">
              <w:rPr>
                <w:rFonts w:ascii="Times New Roman" w:hAnsi="Times New Roman" w:cs="Times New Roman"/>
                <w:lang w:val="da-DK"/>
              </w:rPr>
              <w:t>Hospital-</w:t>
            </w:r>
            <w:proofErr w:type="spellStart"/>
            <w:r w:rsidR="004435FC" w:rsidRPr="00DB1A1B">
              <w:rPr>
                <w:rFonts w:ascii="Times New Roman" w:hAnsi="Times New Roman" w:cs="Times New Roman"/>
                <w:lang w:val="da-DK"/>
              </w:rPr>
              <w:t>acquired</w:t>
            </w:r>
            <w:proofErr w:type="spellEnd"/>
            <w:r w:rsidR="004435FC" w:rsidRPr="00DB1A1B">
              <w:rPr>
                <w:rFonts w:ascii="Times New Roman" w:hAnsi="Times New Roman" w:cs="Times New Roman"/>
                <w:lang w:val="da-DK"/>
              </w:rPr>
              <w:t xml:space="preserve"> </w:t>
            </w:r>
            <w:proofErr w:type="spellStart"/>
            <w:r w:rsidR="004435FC" w:rsidRPr="00DB1A1B">
              <w:rPr>
                <w:rFonts w:ascii="Times New Roman" w:hAnsi="Times New Roman" w:cs="Times New Roman"/>
                <w:lang w:val="da-DK"/>
              </w:rPr>
              <w:t>pneumonia</w:t>
            </w:r>
            <w:proofErr w:type="spellEnd"/>
            <w:r w:rsidRPr="00DB1A1B">
              <w:rPr>
                <w:rFonts w:ascii="Times New Roman" w:hAnsi="Times New Roman" w:cs="Times New Roman"/>
                <w:lang w:val="da-DK"/>
              </w:rPr>
              <w:t>"</w:t>
            </w:r>
            <w:r w:rsidR="004435FC" w:rsidRPr="00DB1A1B">
              <w:rPr>
                <w:rFonts w:ascii="Times New Roman" w:hAnsi="Times New Roman" w:cs="Times New Roman"/>
                <w:lang w:val="da-DK"/>
              </w:rPr>
              <w:t xml:space="preserve"> (HAP) – hospitalserhvervet pneumoni, herunder </w:t>
            </w:r>
            <w:r w:rsidRPr="00DB1A1B">
              <w:rPr>
                <w:rFonts w:ascii="Times New Roman" w:hAnsi="Times New Roman" w:cs="Times New Roman"/>
                <w:lang w:val="da-DK"/>
              </w:rPr>
              <w:t>"</w:t>
            </w:r>
            <w:r w:rsidR="004435FC" w:rsidRPr="00DB1A1B">
              <w:rPr>
                <w:rFonts w:ascii="Times New Roman" w:hAnsi="Times New Roman" w:cs="Times New Roman"/>
                <w:lang w:val="da-DK"/>
              </w:rPr>
              <w:t>ventilator-</w:t>
            </w:r>
            <w:proofErr w:type="spellStart"/>
            <w:r w:rsidR="004435FC" w:rsidRPr="00DB1A1B">
              <w:rPr>
                <w:rFonts w:ascii="Times New Roman" w:hAnsi="Times New Roman" w:cs="Times New Roman"/>
                <w:lang w:val="da-DK"/>
              </w:rPr>
              <w:t>associated</w:t>
            </w:r>
            <w:proofErr w:type="spellEnd"/>
            <w:r w:rsidR="004435FC" w:rsidRPr="00DB1A1B">
              <w:rPr>
                <w:rFonts w:ascii="Times New Roman" w:hAnsi="Times New Roman" w:cs="Times New Roman"/>
                <w:lang w:val="da-DK"/>
              </w:rPr>
              <w:t xml:space="preserve"> </w:t>
            </w:r>
            <w:proofErr w:type="spellStart"/>
            <w:r w:rsidR="004435FC" w:rsidRPr="00DB1A1B">
              <w:rPr>
                <w:rFonts w:ascii="Times New Roman" w:hAnsi="Times New Roman" w:cs="Times New Roman"/>
                <w:lang w:val="da-DK"/>
              </w:rPr>
              <w:t>pneumonia</w:t>
            </w:r>
            <w:proofErr w:type="spellEnd"/>
            <w:r w:rsidR="004435FC" w:rsidRPr="00DB1A1B">
              <w:rPr>
                <w:rFonts w:ascii="Times New Roman" w:hAnsi="Times New Roman" w:cs="Times New Roman"/>
                <w:lang w:val="da-DK"/>
              </w:rPr>
              <w:t xml:space="preserve"> (VAP) – ventilatorrelateret pneumoni</w:t>
            </w:r>
          </w:p>
        </w:tc>
        <w:tc>
          <w:tcPr>
            <w:tcW w:w="2026" w:type="dxa"/>
            <w:tcBorders>
              <w:top w:val="single" w:sz="4" w:space="0" w:color="auto"/>
              <w:left w:val="single" w:sz="4" w:space="0" w:color="auto"/>
              <w:bottom w:val="single" w:sz="4" w:space="0" w:color="auto"/>
              <w:right w:val="single" w:sz="4" w:space="0" w:color="auto"/>
            </w:tcBorders>
            <w:hideMark/>
          </w:tcPr>
          <w:p w14:paraId="71D76815" w14:textId="77777777" w:rsidR="004435FC" w:rsidRPr="00DB1A1B" w:rsidRDefault="004435FC">
            <w:pPr>
              <w:pStyle w:val="Default"/>
              <w:spacing w:after="140"/>
              <w:rPr>
                <w:rFonts w:ascii="Times New Roman" w:hAnsi="Times New Roman" w:cs="Times New Roman"/>
                <w:lang w:val="da-DK"/>
              </w:rPr>
            </w:pPr>
            <w:r w:rsidRPr="00DB1A1B">
              <w:rPr>
                <w:rFonts w:ascii="Times New Roman" w:hAnsi="Times New Roman" w:cs="Times New Roman"/>
                <w:lang w:val="da-DK"/>
              </w:rPr>
              <w:t xml:space="preserve">7 til 14 dage </w:t>
            </w:r>
          </w:p>
        </w:tc>
      </w:tr>
      <w:tr w:rsidR="004435FC" w:rsidRPr="00DB1A1B" w14:paraId="7F1AF36E" w14:textId="77777777" w:rsidTr="00270E7C">
        <w:trPr>
          <w:trHeight w:val="121"/>
        </w:trPr>
        <w:tc>
          <w:tcPr>
            <w:tcW w:w="6587" w:type="dxa"/>
            <w:tcBorders>
              <w:top w:val="single" w:sz="4" w:space="0" w:color="auto"/>
              <w:left w:val="single" w:sz="4" w:space="0" w:color="auto"/>
              <w:bottom w:val="single" w:sz="4" w:space="0" w:color="auto"/>
              <w:right w:val="single" w:sz="4" w:space="0" w:color="auto"/>
            </w:tcBorders>
            <w:hideMark/>
          </w:tcPr>
          <w:p w14:paraId="54491A8A" w14:textId="77777777" w:rsidR="004435FC" w:rsidRPr="00DB1A1B" w:rsidRDefault="004435FC">
            <w:pPr>
              <w:pStyle w:val="Default"/>
              <w:rPr>
                <w:rFonts w:ascii="Times New Roman" w:hAnsi="Times New Roman" w:cs="Times New Roman"/>
                <w:lang w:val="da-DK"/>
              </w:rPr>
            </w:pPr>
            <w:proofErr w:type="spellStart"/>
            <w:r w:rsidRPr="00DB1A1B">
              <w:rPr>
                <w:rFonts w:ascii="Times New Roman" w:hAnsi="Times New Roman" w:cs="Times New Roman"/>
                <w:lang w:val="da-DK"/>
              </w:rPr>
              <w:t>Infektiv</w:t>
            </w:r>
            <w:proofErr w:type="spellEnd"/>
            <w:r w:rsidRPr="00DB1A1B">
              <w:rPr>
                <w:rFonts w:ascii="Times New Roman" w:hAnsi="Times New Roman" w:cs="Times New Roman"/>
                <w:lang w:val="da-DK"/>
              </w:rPr>
              <w:t xml:space="preserve"> </w:t>
            </w:r>
            <w:proofErr w:type="spellStart"/>
            <w:r w:rsidRPr="00DB1A1B">
              <w:rPr>
                <w:rFonts w:ascii="Times New Roman" w:hAnsi="Times New Roman" w:cs="Times New Roman"/>
                <w:lang w:val="da-DK"/>
              </w:rPr>
              <w:t>endokarditis</w:t>
            </w:r>
            <w:proofErr w:type="spellEnd"/>
          </w:p>
        </w:tc>
        <w:tc>
          <w:tcPr>
            <w:tcW w:w="2026" w:type="dxa"/>
            <w:tcBorders>
              <w:top w:val="single" w:sz="4" w:space="0" w:color="auto"/>
              <w:left w:val="single" w:sz="4" w:space="0" w:color="auto"/>
              <w:bottom w:val="single" w:sz="4" w:space="0" w:color="auto"/>
              <w:right w:val="single" w:sz="4" w:space="0" w:color="auto"/>
            </w:tcBorders>
            <w:hideMark/>
          </w:tcPr>
          <w:p w14:paraId="138C0EA8" w14:textId="77777777" w:rsidR="004435FC" w:rsidRPr="00DB1A1B" w:rsidRDefault="004435FC">
            <w:pPr>
              <w:pStyle w:val="Default"/>
              <w:spacing w:after="140"/>
              <w:rPr>
                <w:rFonts w:ascii="Times New Roman" w:hAnsi="Times New Roman" w:cs="Times New Roman"/>
                <w:lang w:val="da-DK"/>
              </w:rPr>
            </w:pPr>
            <w:r w:rsidRPr="00DB1A1B">
              <w:rPr>
                <w:rFonts w:ascii="Times New Roman" w:hAnsi="Times New Roman" w:cs="Times New Roman"/>
                <w:lang w:val="da-DK"/>
              </w:rPr>
              <w:t>4 til 6 uger***</w:t>
            </w:r>
          </w:p>
        </w:tc>
      </w:tr>
    </w:tbl>
    <w:p w14:paraId="47F9D033" w14:textId="77777777" w:rsidR="004435FC" w:rsidRPr="00DB1A1B" w:rsidRDefault="004435FC" w:rsidP="004435FC">
      <w:pPr>
        <w:suppressAutoHyphens/>
        <w:ind w:left="851"/>
        <w:rPr>
          <w:sz w:val="24"/>
          <w:szCs w:val="24"/>
        </w:rPr>
      </w:pPr>
      <w:bookmarkStart w:id="0" w:name="OLE_LINK4"/>
      <w:r w:rsidRPr="00DB1A1B">
        <w:rPr>
          <w:sz w:val="24"/>
          <w:szCs w:val="24"/>
        </w:rPr>
        <w:t xml:space="preserve">*Fortsæt indtil yderligere </w:t>
      </w:r>
      <w:proofErr w:type="spellStart"/>
      <w:r w:rsidRPr="00DB1A1B">
        <w:rPr>
          <w:sz w:val="24"/>
          <w:szCs w:val="24"/>
        </w:rPr>
        <w:t>debridering</w:t>
      </w:r>
      <w:proofErr w:type="spellEnd"/>
      <w:r w:rsidRPr="00DB1A1B">
        <w:rPr>
          <w:sz w:val="24"/>
          <w:szCs w:val="24"/>
        </w:rPr>
        <w:t xml:space="preserve"> ikke er nødvendig, patienten er klinisk forbedret, og patienten er afebril i 48 til 72 timer</w:t>
      </w:r>
    </w:p>
    <w:p w14:paraId="55B51D80" w14:textId="77777777" w:rsidR="004435FC" w:rsidRPr="00DB1A1B" w:rsidRDefault="004435FC" w:rsidP="004435FC">
      <w:pPr>
        <w:suppressAutoHyphens/>
        <w:ind w:left="851"/>
        <w:rPr>
          <w:sz w:val="24"/>
          <w:szCs w:val="24"/>
        </w:rPr>
      </w:pPr>
      <w:r w:rsidRPr="00DB1A1B">
        <w:rPr>
          <w:sz w:val="24"/>
          <w:szCs w:val="24"/>
        </w:rPr>
        <w:t xml:space="preserve">** Længere forløb med oral suppressionsbehandling med passende antibiotika bør overvejes i forbindelse med infektioner i </w:t>
      </w:r>
      <w:proofErr w:type="spellStart"/>
      <w:r w:rsidRPr="00DB1A1B">
        <w:rPr>
          <w:sz w:val="24"/>
          <w:szCs w:val="24"/>
        </w:rPr>
        <w:t>ledproteser</w:t>
      </w:r>
      <w:proofErr w:type="spellEnd"/>
      <w:r w:rsidRPr="00DB1A1B">
        <w:rPr>
          <w:sz w:val="24"/>
          <w:szCs w:val="24"/>
        </w:rPr>
        <w:t>.</w:t>
      </w:r>
    </w:p>
    <w:p w14:paraId="2039A3B3" w14:textId="77777777" w:rsidR="004435FC" w:rsidRPr="00DB1A1B" w:rsidRDefault="004435FC" w:rsidP="004435FC">
      <w:pPr>
        <w:suppressAutoHyphens/>
        <w:ind w:left="851"/>
        <w:rPr>
          <w:sz w:val="24"/>
          <w:szCs w:val="24"/>
        </w:rPr>
      </w:pPr>
      <w:r w:rsidRPr="00DB1A1B">
        <w:rPr>
          <w:sz w:val="24"/>
          <w:szCs w:val="24"/>
        </w:rPr>
        <w:t>*** Varighed og behov for kombinationsbehandling er baseret på hjerteklaptype og organisme</w:t>
      </w:r>
    </w:p>
    <w:p w14:paraId="5E49C897" w14:textId="77777777" w:rsidR="004435FC" w:rsidRPr="00DB1A1B" w:rsidRDefault="004435FC" w:rsidP="004435FC">
      <w:pPr>
        <w:suppressAutoHyphens/>
        <w:ind w:left="851"/>
        <w:rPr>
          <w:sz w:val="24"/>
          <w:szCs w:val="24"/>
          <w:u w:val="single"/>
        </w:rPr>
      </w:pPr>
    </w:p>
    <w:p w14:paraId="4FA13C65" w14:textId="77777777" w:rsidR="004435FC" w:rsidRPr="00DB1A1B" w:rsidRDefault="004435FC" w:rsidP="004435FC">
      <w:pPr>
        <w:suppressAutoHyphens/>
        <w:ind w:left="851"/>
        <w:rPr>
          <w:sz w:val="24"/>
          <w:szCs w:val="24"/>
          <w:u w:val="single"/>
        </w:rPr>
      </w:pPr>
      <w:r w:rsidRPr="00DB1A1B">
        <w:rPr>
          <w:sz w:val="24"/>
          <w:szCs w:val="24"/>
          <w:u w:val="single"/>
        </w:rPr>
        <w:t>Særlige populationer</w:t>
      </w:r>
    </w:p>
    <w:p w14:paraId="7796CBF9" w14:textId="77777777" w:rsidR="004435FC" w:rsidRPr="00DB1A1B" w:rsidRDefault="004435FC" w:rsidP="004435FC">
      <w:pPr>
        <w:suppressAutoHyphens/>
        <w:ind w:left="851"/>
        <w:rPr>
          <w:sz w:val="24"/>
          <w:szCs w:val="24"/>
          <w:u w:val="single"/>
        </w:rPr>
      </w:pPr>
    </w:p>
    <w:p w14:paraId="6F1C1520" w14:textId="77777777" w:rsidR="004435FC" w:rsidRPr="00DB1A1B" w:rsidRDefault="004435FC" w:rsidP="004435FC">
      <w:pPr>
        <w:suppressAutoHyphens/>
        <w:ind w:left="851"/>
        <w:rPr>
          <w:i/>
          <w:iCs/>
          <w:sz w:val="24"/>
          <w:szCs w:val="24"/>
        </w:rPr>
      </w:pPr>
      <w:r w:rsidRPr="00DB1A1B">
        <w:rPr>
          <w:i/>
          <w:iCs/>
          <w:sz w:val="24"/>
          <w:szCs w:val="24"/>
        </w:rPr>
        <w:t>Ældre</w:t>
      </w:r>
    </w:p>
    <w:p w14:paraId="23636EA1" w14:textId="77777777" w:rsidR="004435FC" w:rsidRPr="00DB1A1B" w:rsidRDefault="004435FC" w:rsidP="004435FC">
      <w:pPr>
        <w:suppressAutoHyphens/>
        <w:ind w:left="851"/>
        <w:rPr>
          <w:sz w:val="24"/>
          <w:szCs w:val="24"/>
        </w:rPr>
      </w:pPr>
      <w:r w:rsidRPr="00DB1A1B">
        <w:rPr>
          <w:sz w:val="24"/>
          <w:szCs w:val="24"/>
        </w:rPr>
        <w:t>Lavere vedligeholdelsesdoser kan være påkrævet på grund af aldersrelateret nedsættelse af nyrefunktionen.</w:t>
      </w:r>
    </w:p>
    <w:p w14:paraId="3897CFA9" w14:textId="77777777" w:rsidR="004435FC" w:rsidRPr="00DB1A1B" w:rsidRDefault="004435FC" w:rsidP="004435FC">
      <w:pPr>
        <w:suppressAutoHyphens/>
        <w:ind w:left="851"/>
        <w:rPr>
          <w:sz w:val="24"/>
          <w:szCs w:val="24"/>
        </w:rPr>
      </w:pPr>
    </w:p>
    <w:p w14:paraId="33065093" w14:textId="77777777" w:rsidR="004435FC" w:rsidRPr="00DB1A1B" w:rsidRDefault="004435FC" w:rsidP="004435FC">
      <w:pPr>
        <w:suppressAutoHyphens/>
        <w:ind w:left="851"/>
        <w:rPr>
          <w:i/>
          <w:iCs/>
          <w:sz w:val="24"/>
          <w:szCs w:val="24"/>
        </w:rPr>
      </w:pPr>
      <w:r w:rsidRPr="00DB1A1B">
        <w:rPr>
          <w:i/>
          <w:iCs/>
          <w:sz w:val="24"/>
          <w:szCs w:val="24"/>
        </w:rPr>
        <w:t>Nedsat nyrefunktion</w:t>
      </w:r>
    </w:p>
    <w:p w14:paraId="144DEA80" w14:textId="77777777" w:rsidR="004435FC" w:rsidRPr="00DB1A1B" w:rsidRDefault="004435FC" w:rsidP="004435FC">
      <w:pPr>
        <w:suppressAutoHyphens/>
        <w:ind w:left="851"/>
        <w:rPr>
          <w:sz w:val="24"/>
          <w:szCs w:val="24"/>
        </w:rPr>
      </w:pPr>
      <w:r w:rsidRPr="00DB1A1B">
        <w:rPr>
          <w:sz w:val="24"/>
          <w:szCs w:val="24"/>
        </w:rPr>
        <w:t xml:space="preserve">Hos voksne og pædiatriske patienter med nedsat nyrefunktion bør overvejes en indledende startdosis vejledt af dal-serumkoncentrationer af </w:t>
      </w:r>
      <w:proofErr w:type="spellStart"/>
      <w:r w:rsidRPr="00DB1A1B">
        <w:rPr>
          <w:sz w:val="24"/>
          <w:szCs w:val="24"/>
        </w:rPr>
        <w:t>vancomycin</w:t>
      </w:r>
      <w:proofErr w:type="spellEnd"/>
      <w:r w:rsidRPr="00DB1A1B">
        <w:rPr>
          <w:sz w:val="24"/>
          <w:szCs w:val="24"/>
        </w:rPr>
        <w:t xml:space="preserve"> i stedet for en planlagt dosering, især hos patienter med svær nyreinsufficiens eller dem, der får nyresubstitutionsterapi (RRT), som følge af de mange forskellige faktorer, der kan påvirke </w:t>
      </w:r>
      <w:proofErr w:type="spellStart"/>
      <w:r w:rsidRPr="00DB1A1B">
        <w:rPr>
          <w:sz w:val="24"/>
          <w:szCs w:val="24"/>
        </w:rPr>
        <w:t>vancomycinniveauerne</w:t>
      </w:r>
      <w:proofErr w:type="spellEnd"/>
      <w:r w:rsidRPr="00DB1A1B">
        <w:rPr>
          <w:sz w:val="24"/>
          <w:szCs w:val="24"/>
        </w:rPr>
        <w:t xml:space="preserve"> hos disse patienter. </w:t>
      </w:r>
    </w:p>
    <w:p w14:paraId="0C29F4D7" w14:textId="77777777" w:rsidR="004435FC" w:rsidRPr="00DB1A1B" w:rsidRDefault="004435FC" w:rsidP="004435FC">
      <w:pPr>
        <w:suppressAutoHyphens/>
        <w:ind w:left="851"/>
        <w:rPr>
          <w:sz w:val="24"/>
          <w:szCs w:val="24"/>
        </w:rPr>
      </w:pPr>
    </w:p>
    <w:p w14:paraId="40A28265" w14:textId="77777777" w:rsidR="004435FC" w:rsidRPr="00DB1A1B" w:rsidRDefault="004435FC" w:rsidP="004435FC">
      <w:pPr>
        <w:suppressAutoHyphens/>
        <w:ind w:left="851"/>
        <w:rPr>
          <w:sz w:val="24"/>
          <w:szCs w:val="24"/>
        </w:rPr>
      </w:pPr>
      <w:r w:rsidRPr="00DB1A1B">
        <w:rPr>
          <w:sz w:val="24"/>
          <w:szCs w:val="24"/>
        </w:rPr>
        <w:t xml:space="preserve">Hos patienter med </w:t>
      </w:r>
      <w:proofErr w:type="gramStart"/>
      <w:r w:rsidRPr="00DB1A1B">
        <w:rPr>
          <w:sz w:val="24"/>
          <w:szCs w:val="24"/>
        </w:rPr>
        <w:t>mild eller moderat nyresvigt</w:t>
      </w:r>
      <w:proofErr w:type="gramEnd"/>
      <w:r w:rsidRPr="00DB1A1B">
        <w:rPr>
          <w:sz w:val="24"/>
          <w:szCs w:val="24"/>
        </w:rPr>
        <w:t xml:space="preserve"> må startdosis ikke reduceres. Hos patienter med svær nyreinsufficiens foretrækkes det at forlænge administrationsintervallet frem for at administrere lavere daglige doser.</w:t>
      </w:r>
    </w:p>
    <w:p w14:paraId="35712F90" w14:textId="77777777" w:rsidR="004435FC" w:rsidRPr="00DB1A1B" w:rsidRDefault="004435FC" w:rsidP="004435FC">
      <w:pPr>
        <w:suppressAutoHyphens/>
        <w:ind w:left="851"/>
        <w:rPr>
          <w:sz w:val="24"/>
          <w:szCs w:val="24"/>
        </w:rPr>
      </w:pPr>
    </w:p>
    <w:p w14:paraId="523A7D1B" w14:textId="77777777" w:rsidR="004435FC" w:rsidRPr="00DB1A1B" w:rsidRDefault="004435FC" w:rsidP="004435FC">
      <w:pPr>
        <w:suppressAutoHyphens/>
        <w:ind w:left="851"/>
        <w:rPr>
          <w:sz w:val="24"/>
          <w:szCs w:val="24"/>
        </w:rPr>
      </w:pPr>
      <w:r w:rsidRPr="00DB1A1B">
        <w:rPr>
          <w:sz w:val="24"/>
          <w:szCs w:val="24"/>
        </w:rPr>
        <w:t xml:space="preserve">Der bør tages passende hensyn til samtidig administration af lægemidler, der kan reducere </w:t>
      </w:r>
      <w:proofErr w:type="spellStart"/>
      <w:r w:rsidRPr="00DB1A1B">
        <w:rPr>
          <w:sz w:val="24"/>
          <w:szCs w:val="24"/>
        </w:rPr>
        <w:t>vancomycinclearance</w:t>
      </w:r>
      <w:proofErr w:type="spellEnd"/>
      <w:r w:rsidRPr="00DB1A1B">
        <w:rPr>
          <w:sz w:val="24"/>
          <w:szCs w:val="24"/>
        </w:rPr>
        <w:t xml:space="preserve"> og/eller forstærke dets bivirkninger (se pkt. 4.4).</w:t>
      </w:r>
    </w:p>
    <w:p w14:paraId="28DE4DD3" w14:textId="77777777" w:rsidR="004435FC" w:rsidRPr="00DB1A1B" w:rsidRDefault="004435FC" w:rsidP="004435FC">
      <w:pPr>
        <w:suppressAutoHyphens/>
        <w:ind w:left="851"/>
        <w:rPr>
          <w:sz w:val="24"/>
          <w:szCs w:val="24"/>
        </w:rPr>
      </w:pPr>
    </w:p>
    <w:p w14:paraId="735C6965" w14:textId="5870C071" w:rsidR="004435FC" w:rsidRPr="00DB1A1B" w:rsidRDefault="004435FC" w:rsidP="004435FC">
      <w:pPr>
        <w:suppressAutoHyphens/>
        <w:ind w:left="851"/>
        <w:rPr>
          <w:sz w:val="24"/>
          <w:szCs w:val="24"/>
        </w:rPr>
      </w:pPr>
      <w:proofErr w:type="spellStart"/>
      <w:r w:rsidRPr="00DB1A1B">
        <w:rPr>
          <w:sz w:val="24"/>
          <w:szCs w:val="24"/>
        </w:rPr>
        <w:t>Vancomycin</w:t>
      </w:r>
      <w:proofErr w:type="spellEnd"/>
      <w:r w:rsidRPr="00DB1A1B">
        <w:rPr>
          <w:sz w:val="24"/>
          <w:szCs w:val="24"/>
        </w:rPr>
        <w:t xml:space="preserve"> er dårligt </w:t>
      </w:r>
      <w:proofErr w:type="spellStart"/>
      <w:r w:rsidRPr="00DB1A1B">
        <w:rPr>
          <w:sz w:val="24"/>
          <w:szCs w:val="24"/>
        </w:rPr>
        <w:t>dialyserbar</w:t>
      </w:r>
      <w:proofErr w:type="spellEnd"/>
      <w:r w:rsidRPr="00DB1A1B">
        <w:rPr>
          <w:sz w:val="24"/>
          <w:szCs w:val="24"/>
        </w:rPr>
        <w:t xml:space="preserve"> ved intermitterende hæmodialyse. Anvendelse af højfluxmembraner og kontinuerlig nyresubstitutionsterapi (CRRT) øger </w:t>
      </w:r>
      <w:proofErr w:type="spellStart"/>
      <w:r w:rsidRPr="00DB1A1B">
        <w:rPr>
          <w:sz w:val="24"/>
          <w:szCs w:val="24"/>
        </w:rPr>
        <w:t>vancomycin-clearance</w:t>
      </w:r>
      <w:proofErr w:type="spellEnd"/>
      <w:r w:rsidRPr="00DB1A1B">
        <w:rPr>
          <w:sz w:val="24"/>
          <w:szCs w:val="24"/>
        </w:rPr>
        <w:t xml:space="preserve"> og kræver normalt erstatningsdosering (normalt efter </w:t>
      </w:r>
      <w:proofErr w:type="spellStart"/>
      <w:r w:rsidRPr="00DB1A1B">
        <w:rPr>
          <w:sz w:val="24"/>
          <w:szCs w:val="24"/>
        </w:rPr>
        <w:t>hemodialysesessionen</w:t>
      </w:r>
      <w:proofErr w:type="spellEnd"/>
      <w:r w:rsidRPr="00DB1A1B">
        <w:rPr>
          <w:sz w:val="24"/>
          <w:szCs w:val="24"/>
        </w:rPr>
        <w:t xml:space="preserve"> i tilfælde af intermitterende hæmodialyse).</w:t>
      </w:r>
    </w:p>
    <w:p w14:paraId="3B444E6A" w14:textId="77777777" w:rsidR="004435FC" w:rsidRPr="00DB1A1B" w:rsidRDefault="004435FC" w:rsidP="004435FC">
      <w:pPr>
        <w:suppressAutoHyphens/>
        <w:ind w:left="851"/>
        <w:rPr>
          <w:sz w:val="24"/>
          <w:szCs w:val="24"/>
        </w:rPr>
      </w:pPr>
    </w:p>
    <w:p w14:paraId="468102C3" w14:textId="77777777" w:rsidR="004435FC" w:rsidRPr="00DB1A1B" w:rsidRDefault="004435FC" w:rsidP="004435FC">
      <w:pPr>
        <w:suppressAutoHyphens/>
        <w:ind w:left="851"/>
        <w:rPr>
          <w:i/>
          <w:sz w:val="24"/>
          <w:szCs w:val="24"/>
        </w:rPr>
      </w:pPr>
      <w:r w:rsidRPr="00DB1A1B">
        <w:rPr>
          <w:i/>
          <w:sz w:val="24"/>
          <w:szCs w:val="24"/>
        </w:rPr>
        <w:t>Voksne</w:t>
      </w:r>
    </w:p>
    <w:p w14:paraId="5E53CCE7" w14:textId="77777777" w:rsidR="004435FC" w:rsidRPr="00DB1A1B" w:rsidRDefault="004435FC" w:rsidP="004435FC">
      <w:pPr>
        <w:suppressAutoHyphens/>
        <w:ind w:left="851"/>
        <w:rPr>
          <w:sz w:val="24"/>
          <w:szCs w:val="24"/>
        </w:rPr>
      </w:pPr>
      <w:r w:rsidRPr="00DB1A1B">
        <w:rPr>
          <w:sz w:val="24"/>
          <w:szCs w:val="24"/>
        </w:rPr>
        <w:t xml:space="preserve">Dosisjusteringer hos voksne patienter kan baseres på estimeret </w:t>
      </w:r>
      <w:proofErr w:type="spellStart"/>
      <w:r w:rsidRPr="00DB1A1B">
        <w:rPr>
          <w:sz w:val="24"/>
          <w:szCs w:val="24"/>
        </w:rPr>
        <w:t>glomerulær</w:t>
      </w:r>
      <w:proofErr w:type="spellEnd"/>
      <w:r w:rsidRPr="00DB1A1B">
        <w:rPr>
          <w:sz w:val="24"/>
          <w:szCs w:val="24"/>
        </w:rPr>
        <w:t xml:space="preserve"> filtreringshastighed (</w:t>
      </w:r>
      <w:proofErr w:type="spellStart"/>
      <w:r w:rsidRPr="00DB1A1B">
        <w:rPr>
          <w:sz w:val="24"/>
          <w:szCs w:val="24"/>
        </w:rPr>
        <w:t>eGFR</w:t>
      </w:r>
      <w:proofErr w:type="spellEnd"/>
      <w:r w:rsidRPr="00DB1A1B">
        <w:rPr>
          <w:sz w:val="24"/>
          <w:szCs w:val="24"/>
        </w:rPr>
        <w:t>) efter følgende formel:</w:t>
      </w:r>
    </w:p>
    <w:p w14:paraId="4FE8A07F" w14:textId="77777777" w:rsidR="004435FC" w:rsidRPr="00DB1A1B" w:rsidRDefault="004435FC" w:rsidP="004435FC">
      <w:pPr>
        <w:suppressAutoHyphens/>
        <w:ind w:left="851"/>
        <w:rPr>
          <w:sz w:val="24"/>
          <w:szCs w:val="24"/>
        </w:rPr>
      </w:pPr>
    </w:p>
    <w:p w14:paraId="2A61F52A" w14:textId="77777777" w:rsidR="004435FC" w:rsidRPr="00DB1A1B" w:rsidRDefault="004435FC" w:rsidP="004435FC">
      <w:pPr>
        <w:suppressAutoHyphens/>
        <w:ind w:left="851"/>
        <w:rPr>
          <w:sz w:val="24"/>
          <w:szCs w:val="24"/>
        </w:rPr>
      </w:pPr>
      <w:r w:rsidRPr="00DB1A1B">
        <w:rPr>
          <w:sz w:val="24"/>
          <w:szCs w:val="24"/>
        </w:rPr>
        <w:t>Mænd: [Vægt (kg) x [140 – alder (år)]] / [72 x </w:t>
      </w:r>
      <w:proofErr w:type="spellStart"/>
      <w:r w:rsidRPr="00DB1A1B">
        <w:rPr>
          <w:sz w:val="24"/>
          <w:szCs w:val="24"/>
        </w:rPr>
        <w:t>serumkreatinin</w:t>
      </w:r>
      <w:proofErr w:type="spellEnd"/>
      <w:r w:rsidRPr="00DB1A1B">
        <w:rPr>
          <w:sz w:val="24"/>
          <w:szCs w:val="24"/>
        </w:rPr>
        <w:t xml:space="preserve"> (mg/dl)]</w:t>
      </w:r>
    </w:p>
    <w:p w14:paraId="0B071B9C" w14:textId="77777777" w:rsidR="004435FC" w:rsidRPr="00DB1A1B" w:rsidRDefault="004435FC" w:rsidP="004435FC">
      <w:pPr>
        <w:suppressAutoHyphens/>
        <w:ind w:left="851"/>
        <w:rPr>
          <w:sz w:val="24"/>
          <w:szCs w:val="24"/>
        </w:rPr>
      </w:pPr>
    </w:p>
    <w:p w14:paraId="2ABAF0DC" w14:textId="77777777" w:rsidR="004435FC" w:rsidRPr="00DB1A1B" w:rsidRDefault="004435FC" w:rsidP="004435FC">
      <w:pPr>
        <w:suppressAutoHyphens/>
        <w:ind w:left="851"/>
        <w:rPr>
          <w:sz w:val="24"/>
          <w:szCs w:val="24"/>
        </w:rPr>
      </w:pPr>
      <w:r w:rsidRPr="00DB1A1B">
        <w:rPr>
          <w:sz w:val="24"/>
          <w:szCs w:val="24"/>
        </w:rPr>
        <w:t>Kvinder: 0,85 x værdi beregnet ved ovenstående formel</w:t>
      </w:r>
    </w:p>
    <w:p w14:paraId="60B702CF" w14:textId="77777777" w:rsidR="004435FC" w:rsidRPr="00DB1A1B" w:rsidRDefault="004435FC" w:rsidP="004435FC">
      <w:pPr>
        <w:suppressAutoHyphens/>
        <w:ind w:left="851"/>
        <w:rPr>
          <w:sz w:val="24"/>
          <w:szCs w:val="24"/>
        </w:rPr>
      </w:pPr>
    </w:p>
    <w:p w14:paraId="67F3A5B3" w14:textId="77777777" w:rsidR="004435FC" w:rsidRPr="00DB1A1B" w:rsidRDefault="004435FC" w:rsidP="004435FC">
      <w:pPr>
        <w:suppressAutoHyphens/>
        <w:ind w:left="851"/>
        <w:rPr>
          <w:sz w:val="24"/>
          <w:szCs w:val="24"/>
        </w:rPr>
      </w:pPr>
      <w:r w:rsidRPr="00DB1A1B">
        <w:rPr>
          <w:sz w:val="24"/>
          <w:szCs w:val="24"/>
        </w:rPr>
        <w:t xml:space="preserve">Den sædvanlige startdosis for voksne patienter er 15 til 20 mg/kg, der kan administreres en gang i døgnet hos patienter med </w:t>
      </w:r>
      <w:proofErr w:type="spellStart"/>
      <w:r w:rsidRPr="00DB1A1B">
        <w:rPr>
          <w:sz w:val="24"/>
          <w:szCs w:val="24"/>
        </w:rPr>
        <w:t>kreatininclearance</w:t>
      </w:r>
      <w:proofErr w:type="spellEnd"/>
      <w:r w:rsidRPr="00DB1A1B">
        <w:rPr>
          <w:sz w:val="24"/>
          <w:szCs w:val="24"/>
        </w:rPr>
        <w:t xml:space="preserve"> mellem 20 og 49 ml/min. Hos patienter med alvorlig nedsat nyrefunktion (</w:t>
      </w:r>
      <w:proofErr w:type="spellStart"/>
      <w:r w:rsidRPr="00DB1A1B">
        <w:rPr>
          <w:sz w:val="24"/>
          <w:szCs w:val="24"/>
        </w:rPr>
        <w:t>kreatininclearance</w:t>
      </w:r>
      <w:proofErr w:type="spellEnd"/>
      <w:r w:rsidRPr="00DB1A1B">
        <w:rPr>
          <w:sz w:val="24"/>
          <w:szCs w:val="24"/>
        </w:rPr>
        <w:t xml:space="preserve"> under 20 ml/min) eller patienter med nyresubstitutionsterapiafhænger timing og mængde af efterfølgende doser i høj grad af </w:t>
      </w:r>
      <w:proofErr w:type="spellStart"/>
      <w:r w:rsidRPr="00DB1A1B">
        <w:rPr>
          <w:sz w:val="24"/>
          <w:szCs w:val="24"/>
        </w:rPr>
        <w:t>RRT’s</w:t>
      </w:r>
      <w:proofErr w:type="spellEnd"/>
      <w:r w:rsidRPr="00DB1A1B">
        <w:rPr>
          <w:sz w:val="24"/>
          <w:szCs w:val="24"/>
        </w:rPr>
        <w:t xml:space="preserve"> modalitet og bør baseres på dal-serumkoncentrationer af </w:t>
      </w:r>
      <w:proofErr w:type="spellStart"/>
      <w:r w:rsidRPr="00DB1A1B">
        <w:rPr>
          <w:sz w:val="24"/>
          <w:szCs w:val="24"/>
        </w:rPr>
        <w:t>vancomycin</w:t>
      </w:r>
      <w:proofErr w:type="spellEnd"/>
      <w:r w:rsidRPr="00DB1A1B">
        <w:rPr>
          <w:sz w:val="24"/>
          <w:szCs w:val="24"/>
        </w:rPr>
        <w:t xml:space="preserve"> og den resterende nyrefunktion (se pkt. 4.4). Afhængigt af den kliniske situation kan man overveje at tilbageholde den næste dosis, mens man afventer resultaterne af </w:t>
      </w:r>
      <w:proofErr w:type="spellStart"/>
      <w:r w:rsidRPr="00DB1A1B">
        <w:rPr>
          <w:sz w:val="24"/>
          <w:szCs w:val="24"/>
        </w:rPr>
        <w:t>vancomycinniveauerne</w:t>
      </w:r>
      <w:proofErr w:type="spellEnd"/>
      <w:r w:rsidRPr="00DB1A1B">
        <w:rPr>
          <w:sz w:val="24"/>
          <w:szCs w:val="24"/>
        </w:rPr>
        <w:t>.</w:t>
      </w:r>
    </w:p>
    <w:p w14:paraId="0928B074" w14:textId="77777777" w:rsidR="004435FC" w:rsidRPr="00DB1A1B" w:rsidRDefault="004435FC" w:rsidP="004435FC">
      <w:pPr>
        <w:suppressAutoHyphens/>
        <w:ind w:left="851"/>
        <w:rPr>
          <w:sz w:val="24"/>
          <w:szCs w:val="24"/>
        </w:rPr>
      </w:pPr>
    </w:p>
    <w:p w14:paraId="7905FF3F" w14:textId="77777777" w:rsidR="004435FC" w:rsidRPr="00DB1A1B" w:rsidRDefault="004435FC" w:rsidP="004435FC">
      <w:pPr>
        <w:suppressAutoHyphens/>
        <w:ind w:left="851"/>
        <w:rPr>
          <w:sz w:val="24"/>
          <w:szCs w:val="24"/>
        </w:rPr>
      </w:pPr>
      <w:r w:rsidRPr="00DB1A1B">
        <w:rPr>
          <w:sz w:val="24"/>
          <w:szCs w:val="24"/>
        </w:rPr>
        <w:t>Hos kritisk syge patienter med nyreinsufficiens bør startdosis (25 til 30 mg/kg) ikke reduceres.</w:t>
      </w:r>
    </w:p>
    <w:p w14:paraId="761DFB0F" w14:textId="77777777" w:rsidR="004435FC" w:rsidRPr="00DB1A1B" w:rsidRDefault="004435FC" w:rsidP="004435FC">
      <w:pPr>
        <w:suppressAutoHyphens/>
        <w:ind w:left="851"/>
        <w:rPr>
          <w:sz w:val="24"/>
          <w:szCs w:val="24"/>
        </w:rPr>
      </w:pPr>
    </w:p>
    <w:p w14:paraId="7735734B" w14:textId="77777777" w:rsidR="004435FC" w:rsidRPr="00DB1A1B" w:rsidRDefault="004435FC" w:rsidP="004435FC">
      <w:pPr>
        <w:suppressAutoHyphens/>
        <w:ind w:left="851"/>
        <w:rPr>
          <w:i/>
          <w:iCs/>
          <w:sz w:val="24"/>
          <w:szCs w:val="24"/>
        </w:rPr>
      </w:pPr>
      <w:r w:rsidRPr="00DB1A1B">
        <w:rPr>
          <w:i/>
          <w:iCs/>
          <w:sz w:val="24"/>
          <w:szCs w:val="24"/>
        </w:rPr>
        <w:t>Pædiatrisk population</w:t>
      </w:r>
    </w:p>
    <w:p w14:paraId="58950665" w14:textId="77777777" w:rsidR="004435FC" w:rsidRPr="00DB1A1B" w:rsidRDefault="004435FC" w:rsidP="004435FC">
      <w:pPr>
        <w:suppressAutoHyphens/>
        <w:ind w:left="851"/>
        <w:rPr>
          <w:sz w:val="24"/>
          <w:szCs w:val="24"/>
        </w:rPr>
      </w:pPr>
      <w:r w:rsidRPr="00DB1A1B">
        <w:rPr>
          <w:sz w:val="24"/>
          <w:szCs w:val="24"/>
        </w:rPr>
        <w:t xml:space="preserve">Dosisjusteringer hos pædiatriske patienter fra 1 år og opefter kan baseres på estimeret </w:t>
      </w:r>
      <w:proofErr w:type="spellStart"/>
      <w:r w:rsidRPr="00DB1A1B">
        <w:rPr>
          <w:sz w:val="24"/>
          <w:szCs w:val="24"/>
        </w:rPr>
        <w:t>glomerulær</w:t>
      </w:r>
      <w:proofErr w:type="spellEnd"/>
      <w:r w:rsidRPr="00DB1A1B">
        <w:rPr>
          <w:sz w:val="24"/>
          <w:szCs w:val="24"/>
        </w:rPr>
        <w:t xml:space="preserve"> filtreringshastighed (</w:t>
      </w:r>
      <w:proofErr w:type="spellStart"/>
      <w:r w:rsidRPr="00DB1A1B">
        <w:rPr>
          <w:sz w:val="24"/>
          <w:szCs w:val="24"/>
        </w:rPr>
        <w:t>eGFR</w:t>
      </w:r>
      <w:proofErr w:type="spellEnd"/>
      <w:r w:rsidRPr="00DB1A1B">
        <w:rPr>
          <w:sz w:val="24"/>
          <w:szCs w:val="24"/>
        </w:rPr>
        <w:t>) ved den reviderede Schwartz formel:</w:t>
      </w:r>
    </w:p>
    <w:p w14:paraId="68233E29" w14:textId="77777777" w:rsidR="004435FC" w:rsidRPr="00DB1A1B" w:rsidRDefault="004435FC" w:rsidP="004435FC">
      <w:pPr>
        <w:suppressAutoHyphens/>
        <w:ind w:left="851"/>
        <w:rPr>
          <w:sz w:val="24"/>
          <w:szCs w:val="24"/>
        </w:rPr>
      </w:pPr>
    </w:p>
    <w:p w14:paraId="2B149332" w14:textId="77777777" w:rsidR="004435FC" w:rsidRPr="00DB1A1B" w:rsidRDefault="004435FC" w:rsidP="004435FC">
      <w:pPr>
        <w:suppressAutoHyphens/>
        <w:ind w:left="851"/>
        <w:rPr>
          <w:sz w:val="24"/>
          <w:szCs w:val="24"/>
        </w:rPr>
      </w:pPr>
      <w:proofErr w:type="spellStart"/>
      <w:r w:rsidRPr="00DB1A1B">
        <w:rPr>
          <w:sz w:val="24"/>
          <w:szCs w:val="24"/>
        </w:rPr>
        <w:t>eGFR</w:t>
      </w:r>
      <w:proofErr w:type="spellEnd"/>
      <w:r w:rsidRPr="00DB1A1B">
        <w:rPr>
          <w:sz w:val="24"/>
          <w:szCs w:val="24"/>
        </w:rPr>
        <w:t xml:space="preserve"> (ml/min/1,73m</w:t>
      </w:r>
      <w:r w:rsidRPr="00DB1A1B">
        <w:rPr>
          <w:sz w:val="24"/>
          <w:szCs w:val="24"/>
          <w:vertAlign w:val="superscript"/>
        </w:rPr>
        <w:t>2</w:t>
      </w:r>
      <w:r w:rsidRPr="00DB1A1B">
        <w:rPr>
          <w:sz w:val="24"/>
          <w:szCs w:val="24"/>
        </w:rPr>
        <w:t xml:space="preserve">) = (højde cm x 0,413) / </w:t>
      </w:r>
      <w:proofErr w:type="spellStart"/>
      <w:r w:rsidRPr="00DB1A1B">
        <w:rPr>
          <w:sz w:val="24"/>
          <w:szCs w:val="24"/>
        </w:rPr>
        <w:t>serumcreatinin</w:t>
      </w:r>
      <w:proofErr w:type="spellEnd"/>
      <w:r w:rsidRPr="00DB1A1B">
        <w:rPr>
          <w:sz w:val="24"/>
          <w:szCs w:val="24"/>
        </w:rPr>
        <w:t xml:space="preserve"> (mg/dl)</w:t>
      </w:r>
    </w:p>
    <w:p w14:paraId="4F5FB902" w14:textId="77777777" w:rsidR="004435FC" w:rsidRPr="00DB1A1B" w:rsidRDefault="004435FC" w:rsidP="004435FC">
      <w:pPr>
        <w:suppressAutoHyphens/>
        <w:ind w:left="851"/>
        <w:rPr>
          <w:sz w:val="24"/>
          <w:szCs w:val="24"/>
        </w:rPr>
      </w:pPr>
    </w:p>
    <w:p w14:paraId="26496562" w14:textId="77777777" w:rsidR="004435FC" w:rsidRPr="00DB1A1B" w:rsidRDefault="004435FC" w:rsidP="004435FC">
      <w:pPr>
        <w:suppressAutoHyphens/>
        <w:ind w:left="851"/>
        <w:rPr>
          <w:sz w:val="24"/>
          <w:szCs w:val="24"/>
        </w:rPr>
      </w:pPr>
      <w:proofErr w:type="spellStart"/>
      <w:r w:rsidRPr="00DB1A1B">
        <w:rPr>
          <w:sz w:val="24"/>
          <w:szCs w:val="24"/>
        </w:rPr>
        <w:t>eGFR</w:t>
      </w:r>
      <w:proofErr w:type="spellEnd"/>
      <w:r w:rsidRPr="00DB1A1B">
        <w:rPr>
          <w:sz w:val="24"/>
          <w:szCs w:val="24"/>
        </w:rPr>
        <w:t xml:space="preserve"> (ml/min/1,73m</w:t>
      </w:r>
      <w:r w:rsidRPr="00DB1A1B">
        <w:rPr>
          <w:sz w:val="24"/>
          <w:szCs w:val="24"/>
          <w:vertAlign w:val="superscript"/>
        </w:rPr>
        <w:t>2</w:t>
      </w:r>
      <w:r w:rsidRPr="00DB1A1B">
        <w:rPr>
          <w:sz w:val="24"/>
          <w:szCs w:val="24"/>
        </w:rPr>
        <w:t xml:space="preserve">) = (højde cm x 36,2) / </w:t>
      </w:r>
      <w:proofErr w:type="spellStart"/>
      <w:r w:rsidRPr="00DB1A1B">
        <w:rPr>
          <w:sz w:val="24"/>
          <w:szCs w:val="24"/>
        </w:rPr>
        <w:t>serumkreatinin</w:t>
      </w:r>
      <w:proofErr w:type="spellEnd"/>
      <w:r w:rsidRPr="00DB1A1B">
        <w:rPr>
          <w:sz w:val="24"/>
          <w:szCs w:val="24"/>
        </w:rPr>
        <w:t xml:space="preserve"> (</w:t>
      </w:r>
      <w:proofErr w:type="spellStart"/>
      <w:r w:rsidRPr="00DB1A1B">
        <w:rPr>
          <w:sz w:val="24"/>
          <w:szCs w:val="24"/>
        </w:rPr>
        <w:t>μmol</w:t>
      </w:r>
      <w:proofErr w:type="spellEnd"/>
      <w:r w:rsidRPr="00DB1A1B">
        <w:rPr>
          <w:sz w:val="24"/>
          <w:szCs w:val="24"/>
        </w:rPr>
        <w:t>/L)</w:t>
      </w:r>
    </w:p>
    <w:p w14:paraId="68C32A67" w14:textId="77777777" w:rsidR="004435FC" w:rsidRPr="00DB1A1B" w:rsidRDefault="004435FC" w:rsidP="004435FC">
      <w:pPr>
        <w:suppressAutoHyphens/>
        <w:ind w:left="851"/>
        <w:rPr>
          <w:sz w:val="24"/>
          <w:szCs w:val="24"/>
        </w:rPr>
      </w:pPr>
    </w:p>
    <w:p w14:paraId="223EAE67" w14:textId="77777777" w:rsidR="004435FC" w:rsidRPr="00DB1A1B" w:rsidRDefault="004435FC" w:rsidP="004435FC">
      <w:pPr>
        <w:suppressAutoHyphens/>
        <w:ind w:left="851"/>
        <w:rPr>
          <w:sz w:val="24"/>
          <w:szCs w:val="24"/>
        </w:rPr>
      </w:pPr>
      <w:r w:rsidRPr="00DB1A1B">
        <w:rPr>
          <w:sz w:val="24"/>
          <w:szCs w:val="24"/>
        </w:rPr>
        <w:t>For nyfødte og spædbørn under 1 år skal der søges ekspertrådgivning, da den reviderede Schwartz-formel ikke kan anvendes til disse patienter.</w:t>
      </w:r>
    </w:p>
    <w:p w14:paraId="59B557FE" w14:textId="77777777" w:rsidR="004435FC" w:rsidRPr="00DB1A1B" w:rsidRDefault="004435FC" w:rsidP="004435FC">
      <w:pPr>
        <w:suppressAutoHyphens/>
        <w:ind w:left="851"/>
        <w:rPr>
          <w:sz w:val="24"/>
          <w:szCs w:val="24"/>
        </w:rPr>
      </w:pPr>
    </w:p>
    <w:p w14:paraId="1CFD9C6B" w14:textId="77777777" w:rsidR="004435FC" w:rsidRPr="00DB1A1B" w:rsidRDefault="004435FC" w:rsidP="006B1D8C">
      <w:pPr>
        <w:ind w:left="851"/>
        <w:rPr>
          <w:sz w:val="24"/>
          <w:szCs w:val="24"/>
        </w:rPr>
      </w:pPr>
      <w:r w:rsidRPr="00DB1A1B">
        <w:rPr>
          <w:sz w:val="24"/>
          <w:szCs w:val="24"/>
        </w:rPr>
        <w:t>Vejledende doseringsanbefalinger til den pædiatriske population er vist i nedenstående tabel, der følger de samme principper som hos voksne patienter.</w:t>
      </w:r>
    </w:p>
    <w:p w14:paraId="486672FD" w14:textId="77777777" w:rsidR="004435FC" w:rsidRPr="00DB1A1B" w:rsidRDefault="004435FC" w:rsidP="006B1D8C">
      <w:pPr>
        <w:ind w:left="851"/>
        <w:rPr>
          <w:sz w:val="24"/>
          <w:szCs w:val="24"/>
          <w:u w:val="single"/>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843"/>
        <w:gridCol w:w="3544"/>
      </w:tblGrid>
      <w:tr w:rsidR="004435FC" w:rsidRPr="00DB1A1B" w14:paraId="2CC2C4C2" w14:textId="77777777" w:rsidTr="00270E7C">
        <w:trPr>
          <w:trHeight w:val="131"/>
        </w:trPr>
        <w:tc>
          <w:tcPr>
            <w:tcW w:w="3118" w:type="dxa"/>
            <w:tcBorders>
              <w:top w:val="single" w:sz="4" w:space="0" w:color="auto"/>
              <w:left w:val="single" w:sz="4" w:space="0" w:color="auto"/>
              <w:bottom w:val="single" w:sz="4" w:space="0" w:color="auto"/>
              <w:right w:val="single" w:sz="4" w:space="0" w:color="auto"/>
            </w:tcBorders>
            <w:hideMark/>
          </w:tcPr>
          <w:p w14:paraId="1D561DA4" w14:textId="77777777" w:rsidR="004435FC" w:rsidRPr="00DB1A1B" w:rsidRDefault="004435FC" w:rsidP="00270E7C">
            <w:pPr>
              <w:pStyle w:val="Default"/>
              <w:keepLines/>
              <w:spacing w:after="140"/>
              <w:rPr>
                <w:rFonts w:ascii="Times New Roman" w:hAnsi="Times New Roman" w:cs="Times New Roman"/>
                <w:lang w:val="da-DK"/>
              </w:rPr>
            </w:pPr>
            <w:r w:rsidRPr="00DB1A1B">
              <w:rPr>
                <w:rFonts w:ascii="Times New Roman" w:hAnsi="Times New Roman" w:cs="Times New Roman"/>
                <w:b/>
                <w:bCs/>
                <w:lang w:val="da-DK"/>
              </w:rPr>
              <w:t>GFR (ml/min/1,73m</w:t>
            </w:r>
            <w:r w:rsidRPr="00DB1A1B">
              <w:rPr>
                <w:rFonts w:ascii="Times New Roman" w:hAnsi="Times New Roman" w:cs="Times New Roman"/>
                <w:b/>
                <w:bCs/>
                <w:vertAlign w:val="superscript"/>
                <w:lang w:val="da-DK"/>
              </w:rPr>
              <w:t>2</w:t>
            </w:r>
            <w:r w:rsidRPr="00DB1A1B">
              <w:rPr>
                <w:rFonts w:ascii="Times New Roman" w:hAnsi="Times New Roman" w:cs="Times New Roman"/>
                <w:b/>
                <w:bCs/>
                <w:lang w:val="da-DK"/>
              </w:rPr>
              <w:t>)</w:t>
            </w:r>
            <w:r w:rsidRPr="00DB1A1B">
              <w:rPr>
                <w:rFonts w:ascii="Times New Roman" w:hAnsi="Times New Roman" w:cs="Times New Roman"/>
                <w:b/>
                <w:bCs/>
                <w:position w:val="8"/>
                <w:vertAlign w:val="superscript"/>
                <w:lang w:val="da-DK"/>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0BBBEC3B" w14:textId="77777777" w:rsidR="004435FC" w:rsidRPr="00DB1A1B" w:rsidRDefault="004435FC" w:rsidP="00270E7C">
            <w:pPr>
              <w:pStyle w:val="Default"/>
              <w:keepLines/>
              <w:rPr>
                <w:rFonts w:ascii="Times New Roman" w:hAnsi="Times New Roman" w:cs="Times New Roman"/>
                <w:lang w:val="da-DK"/>
              </w:rPr>
            </w:pPr>
            <w:r w:rsidRPr="00DB1A1B">
              <w:rPr>
                <w:rFonts w:ascii="Times New Roman" w:hAnsi="Times New Roman" w:cs="Times New Roman"/>
                <w:b/>
                <w:bCs/>
                <w:lang w:val="da-DK"/>
              </w:rPr>
              <w:t xml:space="preserve">IV dosis </w:t>
            </w:r>
          </w:p>
        </w:tc>
        <w:tc>
          <w:tcPr>
            <w:tcW w:w="3544" w:type="dxa"/>
            <w:tcBorders>
              <w:top w:val="single" w:sz="4" w:space="0" w:color="auto"/>
              <w:left w:val="single" w:sz="4" w:space="0" w:color="auto"/>
              <w:bottom w:val="single" w:sz="4" w:space="0" w:color="auto"/>
              <w:right w:val="single" w:sz="4" w:space="0" w:color="auto"/>
            </w:tcBorders>
            <w:hideMark/>
          </w:tcPr>
          <w:p w14:paraId="43624A22" w14:textId="77777777" w:rsidR="004435FC" w:rsidRPr="00DB1A1B" w:rsidRDefault="004435FC" w:rsidP="00270E7C">
            <w:pPr>
              <w:pStyle w:val="Default"/>
              <w:keepLines/>
              <w:spacing w:after="140"/>
              <w:rPr>
                <w:rFonts w:ascii="Times New Roman" w:hAnsi="Times New Roman" w:cs="Times New Roman"/>
                <w:lang w:val="da-DK"/>
              </w:rPr>
            </w:pPr>
            <w:r w:rsidRPr="00DB1A1B">
              <w:rPr>
                <w:rFonts w:ascii="Times New Roman" w:hAnsi="Times New Roman" w:cs="Times New Roman"/>
                <w:b/>
                <w:bCs/>
                <w:lang w:val="da-DK"/>
              </w:rPr>
              <w:t xml:space="preserve">Frekvens </w:t>
            </w:r>
          </w:p>
        </w:tc>
      </w:tr>
      <w:tr w:rsidR="004435FC" w:rsidRPr="00DB1A1B" w14:paraId="6FF5F3B0" w14:textId="77777777" w:rsidTr="00270E7C">
        <w:trPr>
          <w:trHeight w:val="121"/>
        </w:trPr>
        <w:tc>
          <w:tcPr>
            <w:tcW w:w="3118" w:type="dxa"/>
            <w:tcBorders>
              <w:top w:val="single" w:sz="4" w:space="0" w:color="auto"/>
              <w:left w:val="single" w:sz="4" w:space="0" w:color="auto"/>
              <w:bottom w:val="single" w:sz="4" w:space="0" w:color="auto"/>
              <w:right w:val="single" w:sz="4" w:space="0" w:color="auto"/>
            </w:tcBorders>
            <w:hideMark/>
          </w:tcPr>
          <w:p w14:paraId="4703081D" w14:textId="77777777" w:rsidR="004435FC" w:rsidRPr="00DB1A1B" w:rsidRDefault="004435FC" w:rsidP="00270E7C">
            <w:pPr>
              <w:pStyle w:val="Default"/>
              <w:keepLines/>
              <w:spacing w:after="140"/>
              <w:rPr>
                <w:rFonts w:ascii="Times New Roman" w:hAnsi="Times New Roman" w:cs="Times New Roman"/>
                <w:lang w:val="da-DK"/>
              </w:rPr>
            </w:pPr>
            <w:r w:rsidRPr="00DB1A1B">
              <w:rPr>
                <w:rFonts w:ascii="Times New Roman" w:hAnsi="Times New Roman" w:cs="Times New Roman"/>
                <w:lang w:val="da-DK"/>
              </w:rPr>
              <w:t>50-30</w:t>
            </w:r>
          </w:p>
        </w:tc>
        <w:tc>
          <w:tcPr>
            <w:tcW w:w="1843" w:type="dxa"/>
            <w:tcBorders>
              <w:top w:val="single" w:sz="4" w:space="0" w:color="auto"/>
              <w:left w:val="single" w:sz="4" w:space="0" w:color="auto"/>
              <w:bottom w:val="single" w:sz="4" w:space="0" w:color="auto"/>
              <w:right w:val="single" w:sz="4" w:space="0" w:color="auto"/>
            </w:tcBorders>
            <w:hideMark/>
          </w:tcPr>
          <w:p w14:paraId="5A5B1EDE" w14:textId="77777777" w:rsidR="004435FC" w:rsidRPr="00DB1A1B" w:rsidRDefault="004435FC" w:rsidP="00270E7C">
            <w:pPr>
              <w:pStyle w:val="Default"/>
              <w:keepLines/>
              <w:rPr>
                <w:rFonts w:ascii="Times New Roman" w:hAnsi="Times New Roman" w:cs="Times New Roman"/>
                <w:lang w:val="da-DK"/>
              </w:rPr>
            </w:pPr>
            <w:r w:rsidRPr="00DB1A1B">
              <w:rPr>
                <w:rFonts w:ascii="Times New Roman" w:hAnsi="Times New Roman" w:cs="Times New Roman"/>
                <w:lang w:val="da-DK"/>
              </w:rPr>
              <w:t xml:space="preserve">15 mg/kg </w:t>
            </w:r>
          </w:p>
        </w:tc>
        <w:tc>
          <w:tcPr>
            <w:tcW w:w="3544" w:type="dxa"/>
            <w:tcBorders>
              <w:top w:val="single" w:sz="4" w:space="0" w:color="auto"/>
              <w:left w:val="single" w:sz="4" w:space="0" w:color="auto"/>
              <w:bottom w:val="single" w:sz="4" w:space="0" w:color="auto"/>
              <w:right w:val="single" w:sz="4" w:space="0" w:color="auto"/>
            </w:tcBorders>
            <w:hideMark/>
          </w:tcPr>
          <w:p w14:paraId="74BC1EC9" w14:textId="77777777" w:rsidR="004435FC" w:rsidRPr="00DB1A1B" w:rsidRDefault="004435FC" w:rsidP="00270E7C">
            <w:pPr>
              <w:pStyle w:val="Default"/>
              <w:keepLines/>
              <w:spacing w:after="140"/>
              <w:rPr>
                <w:rFonts w:ascii="Times New Roman" w:hAnsi="Times New Roman" w:cs="Times New Roman"/>
                <w:lang w:val="da-DK"/>
              </w:rPr>
            </w:pPr>
            <w:r w:rsidRPr="00DB1A1B">
              <w:rPr>
                <w:rFonts w:ascii="Times New Roman" w:hAnsi="Times New Roman" w:cs="Times New Roman"/>
                <w:lang w:val="da-DK"/>
              </w:rPr>
              <w:t>Hver 12. time</w:t>
            </w:r>
          </w:p>
        </w:tc>
      </w:tr>
      <w:tr w:rsidR="004435FC" w:rsidRPr="00DB1A1B" w14:paraId="02765EFC" w14:textId="77777777" w:rsidTr="00270E7C">
        <w:trPr>
          <w:trHeight w:val="121"/>
        </w:trPr>
        <w:tc>
          <w:tcPr>
            <w:tcW w:w="3118" w:type="dxa"/>
            <w:tcBorders>
              <w:top w:val="single" w:sz="4" w:space="0" w:color="auto"/>
              <w:left w:val="single" w:sz="4" w:space="0" w:color="auto"/>
              <w:bottom w:val="single" w:sz="4" w:space="0" w:color="auto"/>
              <w:right w:val="single" w:sz="4" w:space="0" w:color="auto"/>
            </w:tcBorders>
            <w:hideMark/>
          </w:tcPr>
          <w:p w14:paraId="49928BB7" w14:textId="77777777" w:rsidR="004435FC" w:rsidRPr="00DB1A1B" w:rsidRDefault="004435FC" w:rsidP="00270E7C">
            <w:pPr>
              <w:pStyle w:val="Default"/>
              <w:keepLines/>
              <w:spacing w:after="140"/>
              <w:rPr>
                <w:rFonts w:ascii="Times New Roman" w:hAnsi="Times New Roman" w:cs="Times New Roman"/>
                <w:lang w:val="da-DK"/>
              </w:rPr>
            </w:pPr>
            <w:r w:rsidRPr="00DB1A1B">
              <w:rPr>
                <w:rFonts w:ascii="Times New Roman" w:hAnsi="Times New Roman" w:cs="Times New Roman"/>
                <w:lang w:val="da-DK"/>
              </w:rPr>
              <w:t>29-10</w:t>
            </w:r>
          </w:p>
        </w:tc>
        <w:tc>
          <w:tcPr>
            <w:tcW w:w="1843" w:type="dxa"/>
            <w:tcBorders>
              <w:top w:val="single" w:sz="4" w:space="0" w:color="auto"/>
              <w:left w:val="single" w:sz="4" w:space="0" w:color="auto"/>
              <w:bottom w:val="single" w:sz="4" w:space="0" w:color="auto"/>
              <w:right w:val="single" w:sz="4" w:space="0" w:color="auto"/>
            </w:tcBorders>
            <w:hideMark/>
          </w:tcPr>
          <w:p w14:paraId="1606D129" w14:textId="77777777" w:rsidR="004435FC" w:rsidRPr="00DB1A1B" w:rsidRDefault="004435FC" w:rsidP="00270E7C">
            <w:pPr>
              <w:pStyle w:val="Default"/>
              <w:keepLines/>
              <w:rPr>
                <w:rFonts w:ascii="Times New Roman" w:hAnsi="Times New Roman" w:cs="Times New Roman"/>
                <w:lang w:val="da-DK"/>
              </w:rPr>
            </w:pPr>
            <w:r w:rsidRPr="00DB1A1B">
              <w:rPr>
                <w:rFonts w:ascii="Times New Roman" w:hAnsi="Times New Roman" w:cs="Times New Roman"/>
                <w:lang w:val="da-DK"/>
              </w:rPr>
              <w:t xml:space="preserve">15 mg/kg </w:t>
            </w:r>
          </w:p>
        </w:tc>
        <w:tc>
          <w:tcPr>
            <w:tcW w:w="3544" w:type="dxa"/>
            <w:tcBorders>
              <w:top w:val="single" w:sz="4" w:space="0" w:color="auto"/>
              <w:left w:val="single" w:sz="4" w:space="0" w:color="auto"/>
              <w:bottom w:val="single" w:sz="4" w:space="0" w:color="auto"/>
              <w:right w:val="single" w:sz="4" w:space="0" w:color="auto"/>
            </w:tcBorders>
            <w:hideMark/>
          </w:tcPr>
          <w:p w14:paraId="1E92D808" w14:textId="77777777" w:rsidR="004435FC" w:rsidRPr="00DB1A1B" w:rsidRDefault="004435FC" w:rsidP="00270E7C">
            <w:pPr>
              <w:pStyle w:val="Default"/>
              <w:keepLines/>
              <w:spacing w:after="140"/>
              <w:rPr>
                <w:rFonts w:ascii="Times New Roman" w:hAnsi="Times New Roman" w:cs="Times New Roman"/>
                <w:lang w:val="da-DK"/>
              </w:rPr>
            </w:pPr>
            <w:r w:rsidRPr="00DB1A1B">
              <w:rPr>
                <w:rFonts w:ascii="Times New Roman" w:hAnsi="Times New Roman" w:cs="Times New Roman"/>
                <w:lang w:val="da-DK"/>
              </w:rPr>
              <w:t>Hver 24. time</w:t>
            </w:r>
          </w:p>
        </w:tc>
      </w:tr>
      <w:tr w:rsidR="004435FC" w:rsidRPr="00DB1A1B" w14:paraId="28A9FE08" w14:textId="77777777" w:rsidTr="00270E7C">
        <w:trPr>
          <w:trHeight w:val="421"/>
        </w:trPr>
        <w:tc>
          <w:tcPr>
            <w:tcW w:w="3118" w:type="dxa"/>
            <w:tcBorders>
              <w:top w:val="single" w:sz="4" w:space="0" w:color="auto"/>
              <w:left w:val="single" w:sz="4" w:space="0" w:color="auto"/>
              <w:bottom w:val="single" w:sz="4" w:space="0" w:color="auto"/>
              <w:right w:val="single" w:sz="4" w:space="0" w:color="auto"/>
            </w:tcBorders>
            <w:hideMark/>
          </w:tcPr>
          <w:p w14:paraId="1226A63E" w14:textId="77777777" w:rsidR="004435FC" w:rsidRPr="00DB1A1B" w:rsidRDefault="004435FC" w:rsidP="00270E7C">
            <w:pPr>
              <w:pStyle w:val="Default"/>
              <w:keepLines/>
              <w:rPr>
                <w:rFonts w:ascii="Times New Roman" w:hAnsi="Times New Roman" w:cs="Times New Roman"/>
                <w:lang w:val="da-DK" w:eastAsia="en-US"/>
              </w:rPr>
            </w:pPr>
            <w:r w:rsidRPr="00DB1A1B">
              <w:rPr>
                <w:rFonts w:ascii="Times New Roman" w:hAnsi="Times New Roman" w:cs="Times New Roman"/>
                <w:lang w:val="da-DK"/>
              </w:rPr>
              <w:t>&lt;10</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6FC450F2" w14:textId="77777777" w:rsidR="004435FC" w:rsidRPr="00DB1A1B" w:rsidRDefault="004435FC" w:rsidP="00270E7C">
            <w:pPr>
              <w:pStyle w:val="Default"/>
              <w:keepLines/>
              <w:rPr>
                <w:rFonts w:ascii="Times New Roman" w:hAnsi="Times New Roman" w:cs="Times New Roman"/>
                <w:lang w:val="da-DK"/>
              </w:rPr>
            </w:pPr>
            <w:r w:rsidRPr="00DB1A1B">
              <w:rPr>
                <w:rFonts w:ascii="Times New Roman" w:hAnsi="Times New Roman" w:cs="Times New Roman"/>
                <w:lang w:val="da-DK"/>
              </w:rPr>
              <w:t>10-15 mg/kg</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59623C23" w14:textId="77777777" w:rsidR="004435FC" w:rsidRPr="00DB1A1B" w:rsidRDefault="004435FC" w:rsidP="00270E7C">
            <w:pPr>
              <w:pStyle w:val="Default"/>
              <w:keepLines/>
              <w:rPr>
                <w:rFonts w:ascii="Times New Roman" w:hAnsi="Times New Roman" w:cs="Times New Roman"/>
                <w:lang w:val="da-DK"/>
              </w:rPr>
            </w:pPr>
            <w:r w:rsidRPr="00DB1A1B">
              <w:rPr>
                <w:rFonts w:ascii="Times New Roman" w:hAnsi="Times New Roman" w:cs="Times New Roman"/>
                <w:lang w:val="da-DK"/>
              </w:rPr>
              <w:t>Gentag dosering på baggrund af niveauer*</w:t>
            </w:r>
          </w:p>
        </w:tc>
      </w:tr>
      <w:tr w:rsidR="004435FC" w:rsidRPr="00DB1A1B" w14:paraId="245B1217" w14:textId="77777777" w:rsidTr="00270E7C">
        <w:trPr>
          <w:trHeight w:val="175"/>
        </w:trPr>
        <w:tc>
          <w:tcPr>
            <w:tcW w:w="3118" w:type="dxa"/>
            <w:tcBorders>
              <w:top w:val="single" w:sz="4" w:space="0" w:color="auto"/>
              <w:left w:val="single" w:sz="4" w:space="0" w:color="auto"/>
              <w:bottom w:val="single" w:sz="4" w:space="0" w:color="auto"/>
              <w:right w:val="single" w:sz="4" w:space="0" w:color="auto"/>
            </w:tcBorders>
            <w:hideMark/>
          </w:tcPr>
          <w:p w14:paraId="1C83414A" w14:textId="77777777" w:rsidR="004435FC" w:rsidRPr="00DB1A1B" w:rsidRDefault="004435FC" w:rsidP="00270E7C">
            <w:pPr>
              <w:pStyle w:val="Default"/>
              <w:keepLines/>
              <w:rPr>
                <w:rFonts w:ascii="Times New Roman" w:hAnsi="Times New Roman" w:cs="Times New Roman"/>
                <w:lang w:val="da-DK"/>
              </w:rPr>
            </w:pPr>
            <w:r w:rsidRPr="00DB1A1B">
              <w:rPr>
                <w:rFonts w:ascii="Times New Roman" w:hAnsi="Times New Roman" w:cs="Times New Roman"/>
                <w:lang w:val="da-DK"/>
              </w:rPr>
              <w:t>Intermitterende hæmodialyse</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26C7930" w14:textId="77777777" w:rsidR="004435FC" w:rsidRPr="00DB1A1B" w:rsidRDefault="004435FC" w:rsidP="00270E7C">
            <w:pPr>
              <w:rPr>
                <w:color w:val="000000"/>
                <w:sz w:val="24"/>
                <w:szCs w:val="24"/>
                <w:lang w:eastAsia="da-DK"/>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46722750" w14:textId="77777777" w:rsidR="004435FC" w:rsidRPr="00DB1A1B" w:rsidRDefault="004435FC" w:rsidP="00270E7C">
            <w:pPr>
              <w:rPr>
                <w:color w:val="000000"/>
                <w:sz w:val="24"/>
                <w:szCs w:val="24"/>
                <w:lang w:eastAsia="da-DK"/>
              </w:rPr>
            </w:pPr>
          </w:p>
        </w:tc>
      </w:tr>
      <w:tr w:rsidR="004435FC" w:rsidRPr="00DB1A1B" w14:paraId="5C7A84FD" w14:textId="77777777" w:rsidTr="00270E7C">
        <w:trPr>
          <w:trHeight w:val="121"/>
        </w:trPr>
        <w:tc>
          <w:tcPr>
            <w:tcW w:w="3118" w:type="dxa"/>
            <w:tcBorders>
              <w:top w:val="single" w:sz="4" w:space="0" w:color="auto"/>
              <w:left w:val="single" w:sz="4" w:space="0" w:color="auto"/>
              <w:bottom w:val="single" w:sz="4" w:space="0" w:color="auto"/>
              <w:right w:val="single" w:sz="4" w:space="0" w:color="auto"/>
            </w:tcBorders>
            <w:hideMark/>
          </w:tcPr>
          <w:p w14:paraId="54D1B0A8" w14:textId="77777777" w:rsidR="004435FC" w:rsidRPr="00DB1A1B" w:rsidRDefault="004435FC" w:rsidP="00270E7C">
            <w:pPr>
              <w:pStyle w:val="Default"/>
              <w:keepLines/>
              <w:rPr>
                <w:rFonts w:ascii="Times New Roman" w:hAnsi="Times New Roman" w:cs="Times New Roman"/>
                <w:lang w:val="da-DK"/>
              </w:rPr>
            </w:pPr>
            <w:proofErr w:type="spellStart"/>
            <w:r w:rsidRPr="00DB1A1B">
              <w:rPr>
                <w:rFonts w:ascii="Times New Roman" w:hAnsi="Times New Roman" w:cs="Times New Roman"/>
                <w:lang w:val="da-DK"/>
              </w:rPr>
              <w:t>Peritoneal</w:t>
            </w:r>
            <w:proofErr w:type="spellEnd"/>
            <w:r w:rsidRPr="00DB1A1B">
              <w:rPr>
                <w:rFonts w:ascii="Times New Roman" w:hAnsi="Times New Roman" w:cs="Times New Roman"/>
                <w:lang w:val="da-DK"/>
              </w:rPr>
              <w:t xml:space="preserve"> dialyse</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72EEA2" w14:textId="77777777" w:rsidR="004435FC" w:rsidRPr="00DB1A1B" w:rsidRDefault="004435FC" w:rsidP="00270E7C">
            <w:pPr>
              <w:rPr>
                <w:color w:val="000000"/>
                <w:sz w:val="24"/>
                <w:szCs w:val="24"/>
                <w:lang w:eastAsia="da-DK"/>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14:paraId="533968E9" w14:textId="77777777" w:rsidR="004435FC" w:rsidRPr="00DB1A1B" w:rsidRDefault="004435FC" w:rsidP="00270E7C">
            <w:pPr>
              <w:rPr>
                <w:color w:val="000000"/>
                <w:sz w:val="24"/>
                <w:szCs w:val="24"/>
                <w:lang w:eastAsia="da-DK"/>
              </w:rPr>
            </w:pPr>
          </w:p>
        </w:tc>
      </w:tr>
      <w:tr w:rsidR="004435FC" w:rsidRPr="00DB1A1B" w14:paraId="4592C308" w14:textId="77777777" w:rsidTr="00270E7C">
        <w:trPr>
          <w:trHeight w:val="263"/>
        </w:trPr>
        <w:tc>
          <w:tcPr>
            <w:tcW w:w="3118" w:type="dxa"/>
            <w:tcBorders>
              <w:top w:val="single" w:sz="4" w:space="0" w:color="auto"/>
              <w:left w:val="single" w:sz="4" w:space="0" w:color="auto"/>
              <w:bottom w:val="single" w:sz="4" w:space="0" w:color="auto"/>
              <w:right w:val="single" w:sz="4" w:space="0" w:color="auto"/>
            </w:tcBorders>
            <w:hideMark/>
          </w:tcPr>
          <w:p w14:paraId="634CCFA6" w14:textId="77777777" w:rsidR="004435FC" w:rsidRPr="00DB1A1B" w:rsidRDefault="004435FC" w:rsidP="00270E7C">
            <w:pPr>
              <w:pStyle w:val="Default"/>
              <w:keepLines/>
              <w:rPr>
                <w:rFonts w:ascii="Times New Roman" w:hAnsi="Times New Roman" w:cs="Times New Roman"/>
                <w:lang w:val="da-DK"/>
              </w:rPr>
            </w:pPr>
            <w:r w:rsidRPr="00DB1A1B">
              <w:rPr>
                <w:rFonts w:ascii="Times New Roman" w:hAnsi="Times New Roman" w:cs="Times New Roman"/>
                <w:lang w:val="da-DK"/>
              </w:rPr>
              <w:t xml:space="preserve">Kontinuerlig </w:t>
            </w:r>
            <w:proofErr w:type="spellStart"/>
            <w:r w:rsidRPr="00DB1A1B">
              <w:rPr>
                <w:rFonts w:ascii="Times New Roman" w:hAnsi="Times New Roman" w:cs="Times New Roman"/>
                <w:lang w:val="da-DK"/>
              </w:rPr>
              <w:t>nyresubstitutionssterapi</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4C7092B" w14:textId="77777777" w:rsidR="004435FC" w:rsidRPr="00DB1A1B" w:rsidRDefault="004435FC" w:rsidP="00270E7C">
            <w:pPr>
              <w:pStyle w:val="Default"/>
              <w:keepLines/>
              <w:spacing w:after="140"/>
              <w:rPr>
                <w:rFonts w:ascii="Times New Roman" w:hAnsi="Times New Roman" w:cs="Times New Roman"/>
                <w:lang w:val="da-DK"/>
              </w:rPr>
            </w:pPr>
            <w:r w:rsidRPr="00DB1A1B">
              <w:rPr>
                <w:rFonts w:ascii="Times New Roman" w:hAnsi="Times New Roman" w:cs="Times New Roman"/>
                <w:lang w:val="da-DK"/>
              </w:rPr>
              <w:t>15 mg/kg</w:t>
            </w:r>
          </w:p>
        </w:tc>
        <w:tc>
          <w:tcPr>
            <w:tcW w:w="3544" w:type="dxa"/>
            <w:tcBorders>
              <w:top w:val="single" w:sz="4" w:space="0" w:color="auto"/>
              <w:left w:val="single" w:sz="4" w:space="0" w:color="auto"/>
              <w:bottom w:val="single" w:sz="4" w:space="0" w:color="auto"/>
              <w:right w:val="single" w:sz="4" w:space="0" w:color="auto"/>
            </w:tcBorders>
            <w:hideMark/>
          </w:tcPr>
          <w:p w14:paraId="32B785BF" w14:textId="77777777" w:rsidR="004435FC" w:rsidRPr="00DB1A1B" w:rsidRDefault="004435FC" w:rsidP="00270E7C">
            <w:pPr>
              <w:pStyle w:val="Default"/>
              <w:keepLines/>
              <w:spacing w:after="140"/>
              <w:rPr>
                <w:rFonts w:ascii="Times New Roman" w:hAnsi="Times New Roman" w:cs="Times New Roman"/>
                <w:lang w:val="da-DK"/>
              </w:rPr>
            </w:pPr>
            <w:r w:rsidRPr="00DB1A1B">
              <w:rPr>
                <w:rFonts w:ascii="Times New Roman" w:hAnsi="Times New Roman" w:cs="Times New Roman"/>
                <w:lang w:val="da-DK"/>
              </w:rPr>
              <w:t>Gentag dosering på baggrund af niveauer*</w:t>
            </w:r>
          </w:p>
        </w:tc>
      </w:tr>
    </w:tbl>
    <w:p w14:paraId="2A50F129" w14:textId="77777777" w:rsidR="004435FC" w:rsidRPr="00DB1A1B" w:rsidRDefault="004435FC" w:rsidP="006B1D8C">
      <w:pPr>
        <w:ind w:left="851"/>
        <w:rPr>
          <w:sz w:val="24"/>
          <w:szCs w:val="24"/>
        </w:rPr>
      </w:pPr>
      <w:r w:rsidRPr="00DB1A1B">
        <w:rPr>
          <w:sz w:val="24"/>
          <w:szCs w:val="24"/>
        </w:rPr>
        <w:t xml:space="preserve">Den korrekte timing og mængde af efterfølgende doser afhænger i vid udstrækning af </w:t>
      </w:r>
      <w:proofErr w:type="spellStart"/>
      <w:r w:rsidRPr="00DB1A1B">
        <w:rPr>
          <w:sz w:val="24"/>
          <w:szCs w:val="24"/>
        </w:rPr>
        <w:t>RRT's</w:t>
      </w:r>
      <w:proofErr w:type="spellEnd"/>
      <w:r w:rsidRPr="00DB1A1B">
        <w:rPr>
          <w:sz w:val="24"/>
          <w:szCs w:val="24"/>
        </w:rPr>
        <w:t xml:space="preserve"> modalitet og bør baseres på serum-</w:t>
      </w:r>
      <w:proofErr w:type="spellStart"/>
      <w:r w:rsidRPr="00DB1A1B">
        <w:rPr>
          <w:sz w:val="24"/>
          <w:szCs w:val="24"/>
        </w:rPr>
        <w:t>vancomycinniveauer</w:t>
      </w:r>
      <w:proofErr w:type="spellEnd"/>
      <w:r w:rsidRPr="00DB1A1B">
        <w:rPr>
          <w:sz w:val="24"/>
          <w:szCs w:val="24"/>
        </w:rPr>
        <w:t xml:space="preserve"> opnået før dosering og på residual nyrefunktion. Afhængigt af den kliniske situation kan man overveje at tilbageholde den næste dosis, mens der afventes resultater for </w:t>
      </w:r>
      <w:proofErr w:type="spellStart"/>
      <w:r w:rsidRPr="00DB1A1B">
        <w:rPr>
          <w:sz w:val="24"/>
          <w:szCs w:val="24"/>
        </w:rPr>
        <w:t>vancomycinniveauer</w:t>
      </w:r>
      <w:proofErr w:type="spellEnd"/>
      <w:r w:rsidRPr="00DB1A1B">
        <w:rPr>
          <w:sz w:val="24"/>
          <w:szCs w:val="24"/>
        </w:rPr>
        <w:t>.</w:t>
      </w:r>
    </w:p>
    <w:p w14:paraId="7E4070E8" w14:textId="77777777" w:rsidR="004435FC" w:rsidRPr="00DB1A1B" w:rsidRDefault="004435FC" w:rsidP="00270E7C">
      <w:pPr>
        <w:suppressAutoHyphens/>
        <w:ind w:left="851"/>
        <w:rPr>
          <w:sz w:val="24"/>
          <w:szCs w:val="24"/>
          <w:u w:val="single"/>
        </w:rPr>
      </w:pPr>
    </w:p>
    <w:p w14:paraId="09386B45" w14:textId="77777777" w:rsidR="004435FC" w:rsidRPr="00DB1A1B" w:rsidRDefault="004435FC" w:rsidP="00270E7C">
      <w:pPr>
        <w:suppressAutoHyphens/>
        <w:ind w:left="851"/>
        <w:rPr>
          <w:i/>
          <w:iCs/>
          <w:sz w:val="24"/>
          <w:szCs w:val="24"/>
        </w:rPr>
      </w:pPr>
      <w:r w:rsidRPr="00DB1A1B">
        <w:rPr>
          <w:i/>
          <w:iCs/>
          <w:sz w:val="24"/>
          <w:szCs w:val="24"/>
        </w:rPr>
        <w:t>Nedsat leverfunktion</w:t>
      </w:r>
    </w:p>
    <w:p w14:paraId="5477FAA0" w14:textId="77777777" w:rsidR="004435FC" w:rsidRPr="00DB1A1B" w:rsidRDefault="004435FC" w:rsidP="00270E7C">
      <w:pPr>
        <w:suppressAutoHyphens/>
        <w:ind w:left="851"/>
        <w:rPr>
          <w:sz w:val="24"/>
          <w:szCs w:val="24"/>
        </w:rPr>
      </w:pPr>
      <w:r w:rsidRPr="00DB1A1B">
        <w:rPr>
          <w:sz w:val="24"/>
          <w:szCs w:val="24"/>
        </w:rPr>
        <w:t>Dosisjustering er ikke nødvendig hos patienter med nedsat leverfunktion.</w:t>
      </w:r>
    </w:p>
    <w:p w14:paraId="19D6ADAF" w14:textId="77777777" w:rsidR="004435FC" w:rsidRPr="00DB1A1B" w:rsidRDefault="004435FC" w:rsidP="00270E7C">
      <w:pPr>
        <w:suppressAutoHyphens/>
        <w:ind w:left="851"/>
        <w:rPr>
          <w:sz w:val="24"/>
          <w:szCs w:val="24"/>
          <w:u w:val="single"/>
        </w:rPr>
      </w:pPr>
    </w:p>
    <w:p w14:paraId="5BD1D915" w14:textId="77777777" w:rsidR="004435FC" w:rsidRPr="00DB1A1B" w:rsidRDefault="004435FC" w:rsidP="00270E7C">
      <w:pPr>
        <w:suppressAutoHyphens/>
        <w:ind w:left="851"/>
        <w:rPr>
          <w:i/>
          <w:iCs/>
          <w:sz w:val="24"/>
          <w:szCs w:val="24"/>
        </w:rPr>
      </w:pPr>
      <w:r w:rsidRPr="00DB1A1B">
        <w:rPr>
          <w:i/>
          <w:iCs/>
          <w:sz w:val="24"/>
          <w:szCs w:val="24"/>
        </w:rPr>
        <w:t>Graviditet</w:t>
      </w:r>
    </w:p>
    <w:p w14:paraId="1C81D18C" w14:textId="77777777" w:rsidR="004435FC" w:rsidRPr="00DB1A1B" w:rsidRDefault="004435FC" w:rsidP="00270E7C">
      <w:pPr>
        <w:suppressAutoHyphens/>
        <w:ind w:left="851"/>
        <w:rPr>
          <w:sz w:val="24"/>
          <w:szCs w:val="24"/>
        </w:rPr>
      </w:pPr>
      <w:r w:rsidRPr="00DB1A1B">
        <w:rPr>
          <w:sz w:val="24"/>
          <w:szCs w:val="24"/>
        </w:rPr>
        <w:t>Signifikant øgede doser kan være nødvendige for at opnå terapeutiske serumkoncentrationer hos gravide kvinder (se pkt. 4.6).</w:t>
      </w:r>
    </w:p>
    <w:p w14:paraId="3B50B64F" w14:textId="77777777" w:rsidR="004435FC" w:rsidRPr="00DB1A1B" w:rsidRDefault="004435FC" w:rsidP="00270E7C">
      <w:pPr>
        <w:suppressAutoHyphens/>
        <w:ind w:left="851"/>
        <w:rPr>
          <w:sz w:val="24"/>
          <w:szCs w:val="24"/>
          <w:u w:val="single"/>
        </w:rPr>
      </w:pPr>
    </w:p>
    <w:p w14:paraId="226ED55C" w14:textId="77777777" w:rsidR="004435FC" w:rsidRPr="00DB1A1B" w:rsidRDefault="004435FC" w:rsidP="00270E7C">
      <w:pPr>
        <w:suppressAutoHyphens/>
        <w:ind w:left="851"/>
        <w:rPr>
          <w:i/>
          <w:iCs/>
          <w:sz w:val="24"/>
          <w:szCs w:val="24"/>
        </w:rPr>
      </w:pPr>
      <w:r w:rsidRPr="00DB1A1B">
        <w:rPr>
          <w:i/>
          <w:iCs/>
          <w:sz w:val="24"/>
          <w:szCs w:val="24"/>
        </w:rPr>
        <w:lastRenderedPageBreak/>
        <w:t>Adipøse patienter</w:t>
      </w:r>
    </w:p>
    <w:p w14:paraId="10FBEA0A" w14:textId="77777777" w:rsidR="004435FC" w:rsidRPr="00DB1A1B" w:rsidRDefault="004435FC" w:rsidP="00270E7C">
      <w:pPr>
        <w:suppressAutoHyphens/>
        <w:ind w:left="851"/>
        <w:rPr>
          <w:sz w:val="24"/>
          <w:szCs w:val="24"/>
        </w:rPr>
      </w:pPr>
      <w:r w:rsidRPr="00DB1A1B">
        <w:rPr>
          <w:sz w:val="24"/>
          <w:szCs w:val="24"/>
        </w:rPr>
        <w:t>Hos adipøse patienter bør initialdosis tilpasses individuelt i forhold til total kropsvægt som hos ikke-overvægtige patienter.</w:t>
      </w:r>
    </w:p>
    <w:p w14:paraId="2B4E3D47" w14:textId="77777777" w:rsidR="004435FC" w:rsidRPr="00DB1A1B" w:rsidRDefault="004435FC" w:rsidP="004435FC">
      <w:pPr>
        <w:suppressAutoHyphens/>
        <w:ind w:left="851"/>
        <w:rPr>
          <w:sz w:val="24"/>
          <w:szCs w:val="24"/>
          <w:u w:val="single"/>
        </w:rPr>
      </w:pPr>
    </w:p>
    <w:bookmarkEnd w:id="0"/>
    <w:p w14:paraId="739196BF" w14:textId="77777777" w:rsidR="004435FC" w:rsidRPr="00DB1A1B" w:rsidRDefault="004435FC" w:rsidP="006B1D8C">
      <w:pPr>
        <w:ind w:left="851"/>
        <w:rPr>
          <w:sz w:val="24"/>
          <w:szCs w:val="24"/>
          <w:u w:val="single"/>
        </w:rPr>
      </w:pPr>
      <w:r w:rsidRPr="00DB1A1B">
        <w:rPr>
          <w:sz w:val="24"/>
          <w:szCs w:val="24"/>
          <w:u w:val="single"/>
        </w:rPr>
        <w:t xml:space="preserve">Monitorering af serumkoncentrationerne af </w:t>
      </w:r>
      <w:proofErr w:type="spellStart"/>
      <w:r w:rsidRPr="00DB1A1B">
        <w:rPr>
          <w:sz w:val="24"/>
          <w:szCs w:val="24"/>
          <w:u w:val="single"/>
        </w:rPr>
        <w:t>vancomycin</w:t>
      </w:r>
      <w:proofErr w:type="spellEnd"/>
      <w:r w:rsidRPr="00DB1A1B">
        <w:rPr>
          <w:sz w:val="24"/>
          <w:szCs w:val="24"/>
          <w:u w:val="single"/>
        </w:rPr>
        <w:t>:</w:t>
      </w:r>
    </w:p>
    <w:p w14:paraId="335101F1" w14:textId="77777777" w:rsidR="004435FC" w:rsidRPr="00DB1A1B" w:rsidRDefault="004435FC" w:rsidP="00270E7C">
      <w:pPr>
        <w:suppressAutoHyphens/>
        <w:ind w:left="851"/>
        <w:rPr>
          <w:sz w:val="24"/>
          <w:szCs w:val="24"/>
        </w:rPr>
      </w:pPr>
      <w:r w:rsidRPr="00DB1A1B">
        <w:rPr>
          <w:sz w:val="24"/>
          <w:szCs w:val="24"/>
        </w:rPr>
        <w:t xml:space="preserve">Hyppigheden af terapeutisk lægemiddelovervågning (TDM) skal individualiseres ud fra den kliniske situation og respons på behandling, fra daglig prøveudtagning, som kan være nødvendig hos nogle </w:t>
      </w:r>
      <w:proofErr w:type="spellStart"/>
      <w:r w:rsidRPr="00DB1A1B">
        <w:rPr>
          <w:sz w:val="24"/>
          <w:szCs w:val="24"/>
        </w:rPr>
        <w:t>hæmodynamisk</w:t>
      </w:r>
      <w:proofErr w:type="spellEnd"/>
      <w:r w:rsidRPr="00DB1A1B">
        <w:rPr>
          <w:sz w:val="24"/>
          <w:szCs w:val="24"/>
        </w:rPr>
        <w:t xml:space="preserve"> ustabile patienter til mindst en gang om ugen hos stabile patienter, der viser behandlingsrespons. Hos patienter med normal nyrefunktion skal serumkoncentrationen af </w:t>
      </w:r>
      <w:proofErr w:type="spellStart"/>
      <w:r w:rsidRPr="00DB1A1B">
        <w:rPr>
          <w:sz w:val="24"/>
          <w:szCs w:val="24"/>
        </w:rPr>
        <w:t>vancomycin</w:t>
      </w:r>
      <w:proofErr w:type="spellEnd"/>
      <w:r w:rsidRPr="00DB1A1B">
        <w:rPr>
          <w:sz w:val="24"/>
          <w:szCs w:val="24"/>
        </w:rPr>
        <w:t xml:space="preserve"> kontrolleres på den anden behandlingsdag umiddelbart inden næste dosis.</w:t>
      </w:r>
    </w:p>
    <w:p w14:paraId="45C44B66" w14:textId="77777777" w:rsidR="004435FC" w:rsidRPr="00DB1A1B" w:rsidRDefault="004435FC" w:rsidP="00270E7C">
      <w:pPr>
        <w:suppressAutoHyphens/>
        <w:ind w:left="851"/>
        <w:rPr>
          <w:sz w:val="24"/>
          <w:szCs w:val="24"/>
        </w:rPr>
      </w:pPr>
    </w:p>
    <w:p w14:paraId="168D6186" w14:textId="77777777" w:rsidR="004435FC" w:rsidRPr="00DB1A1B" w:rsidRDefault="004435FC" w:rsidP="00270E7C">
      <w:pPr>
        <w:suppressAutoHyphens/>
        <w:ind w:left="851"/>
        <w:rPr>
          <w:sz w:val="24"/>
          <w:szCs w:val="24"/>
        </w:rPr>
      </w:pPr>
      <w:r w:rsidRPr="00DB1A1B">
        <w:rPr>
          <w:sz w:val="24"/>
          <w:szCs w:val="24"/>
        </w:rPr>
        <w:t xml:space="preserve">Hos patienter i intermitterende hæmodialyse skal </w:t>
      </w:r>
      <w:proofErr w:type="spellStart"/>
      <w:r w:rsidRPr="00DB1A1B">
        <w:rPr>
          <w:sz w:val="24"/>
          <w:szCs w:val="24"/>
        </w:rPr>
        <w:t>vancomycinniveauer</w:t>
      </w:r>
      <w:proofErr w:type="spellEnd"/>
      <w:r w:rsidRPr="00DB1A1B">
        <w:rPr>
          <w:sz w:val="24"/>
          <w:szCs w:val="24"/>
        </w:rPr>
        <w:t xml:space="preserve"> normalt opnås inden starten af hæmodialysesessionen.</w:t>
      </w:r>
    </w:p>
    <w:p w14:paraId="48E30082" w14:textId="77777777" w:rsidR="004435FC" w:rsidRPr="00DB1A1B" w:rsidRDefault="004435FC" w:rsidP="00270E7C">
      <w:pPr>
        <w:suppressAutoHyphens/>
        <w:ind w:left="851"/>
        <w:rPr>
          <w:sz w:val="24"/>
          <w:szCs w:val="24"/>
        </w:rPr>
      </w:pPr>
    </w:p>
    <w:p w14:paraId="47976939" w14:textId="77777777" w:rsidR="004435FC" w:rsidRPr="00DB1A1B" w:rsidRDefault="004435FC" w:rsidP="00270E7C">
      <w:pPr>
        <w:suppressAutoHyphens/>
        <w:ind w:left="851"/>
        <w:rPr>
          <w:sz w:val="24"/>
          <w:szCs w:val="24"/>
        </w:rPr>
      </w:pPr>
      <w:r w:rsidRPr="00DB1A1B">
        <w:rPr>
          <w:sz w:val="24"/>
          <w:szCs w:val="24"/>
        </w:rPr>
        <w:t xml:space="preserve">Efter oral administration bør overvågning af </w:t>
      </w:r>
      <w:proofErr w:type="spellStart"/>
      <w:r w:rsidRPr="00DB1A1B">
        <w:rPr>
          <w:sz w:val="24"/>
          <w:szCs w:val="24"/>
        </w:rPr>
        <w:t>vancomycin</w:t>
      </w:r>
      <w:proofErr w:type="spellEnd"/>
      <w:r w:rsidRPr="00DB1A1B">
        <w:rPr>
          <w:sz w:val="24"/>
          <w:szCs w:val="24"/>
        </w:rPr>
        <w:t xml:space="preserve"> serumkoncentrationen hos patienter med inflammatoriske tarmlidelser gennemføres (se pkt. 4.4).</w:t>
      </w:r>
    </w:p>
    <w:p w14:paraId="16AC7C10" w14:textId="77777777" w:rsidR="004435FC" w:rsidRPr="00DB1A1B" w:rsidRDefault="004435FC" w:rsidP="00270E7C">
      <w:pPr>
        <w:suppressAutoHyphens/>
        <w:ind w:left="851"/>
        <w:rPr>
          <w:sz w:val="24"/>
          <w:szCs w:val="24"/>
        </w:rPr>
      </w:pPr>
    </w:p>
    <w:p w14:paraId="722028CF" w14:textId="77777777" w:rsidR="004435FC" w:rsidRPr="00DB1A1B" w:rsidRDefault="004435FC" w:rsidP="00270E7C">
      <w:pPr>
        <w:suppressAutoHyphens/>
        <w:ind w:left="851"/>
        <w:rPr>
          <w:sz w:val="24"/>
          <w:szCs w:val="24"/>
        </w:rPr>
      </w:pPr>
      <w:r w:rsidRPr="00DB1A1B">
        <w:rPr>
          <w:sz w:val="24"/>
          <w:szCs w:val="24"/>
        </w:rPr>
        <w:t xml:space="preserve">Terapeutiske dalkoncentrationer (minimum) af </w:t>
      </w:r>
      <w:proofErr w:type="spellStart"/>
      <w:r w:rsidRPr="00DB1A1B">
        <w:rPr>
          <w:sz w:val="24"/>
          <w:szCs w:val="24"/>
        </w:rPr>
        <w:t>vancomycin</w:t>
      </w:r>
      <w:proofErr w:type="spellEnd"/>
      <w:r w:rsidRPr="00DB1A1B">
        <w:rPr>
          <w:sz w:val="24"/>
          <w:szCs w:val="24"/>
        </w:rPr>
        <w:t xml:space="preserve"> i blodet bør normalt være 10</w:t>
      </w:r>
      <w:r w:rsidRPr="00DB1A1B">
        <w:rPr>
          <w:sz w:val="24"/>
          <w:szCs w:val="24"/>
        </w:rPr>
        <w:noBreakHyphen/>
        <w:t>20</w:t>
      </w:r>
      <w:r w:rsidRPr="00DB1A1B">
        <w:rPr>
          <w:bCs/>
          <w:iCs/>
          <w:sz w:val="24"/>
          <w:szCs w:val="24"/>
        </w:rPr>
        <w:t> </w:t>
      </w:r>
      <w:r w:rsidRPr="00DB1A1B">
        <w:rPr>
          <w:sz w:val="24"/>
          <w:szCs w:val="24"/>
        </w:rPr>
        <w:t xml:space="preserve">mg/l, afhængigt af infektionsstedet og </w:t>
      </w:r>
      <w:proofErr w:type="spellStart"/>
      <w:r w:rsidRPr="00DB1A1B">
        <w:rPr>
          <w:sz w:val="24"/>
          <w:szCs w:val="24"/>
        </w:rPr>
        <w:t>patogenets</w:t>
      </w:r>
      <w:proofErr w:type="spellEnd"/>
      <w:r w:rsidRPr="00DB1A1B">
        <w:rPr>
          <w:sz w:val="24"/>
          <w:szCs w:val="24"/>
        </w:rPr>
        <w:t xml:space="preserve"> følsomhed. Værdier på 15</w:t>
      </w:r>
      <w:r w:rsidRPr="00DB1A1B">
        <w:rPr>
          <w:sz w:val="24"/>
          <w:szCs w:val="24"/>
        </w:rPr>
        <w:noBreakHyphen/>
        <w:t>20</w:t>
      </w:r>
      <w:r w:rsidRPr="00DB1A1B">
        <w:rPr>
          <w:bCs/>
          <w:iCs/>
          <w:sz w:val="24"/>
          <w:szCs w:val="24"/>
        </w:rPr>
        <w:t> </w:t>
      </w:r>
      <w:r w:rsidRPr="00DB1A1B">
        <w:rPr>
          <w:sz w:val="24"/>
          <w:szCs w:val="24"/>
        </w:rPr>
        <w:t xml:space="preserve">mg/l anbefales normalt af kliniske laboratorier til bedre dækning af </w:t>
      </w:r>
      <w:proofErr w:type="spellStart"/>
      <w:r w:rsidRPr="00DB1A1B">
        <w:rPr>
          <w:sz w:val="24"/>
          <w:szCs w:val="24"/>
        </w:rPr>
        <w:t>patogener</w:t>
      </w:r>
      <w:proofErr w:type="spellEnd"/>
      <w:r w:rsidRPr="00DB1A1B">
        <w:rPr>
          <w:sz w:val="24"/>
          <w:szCs w:val="24"/>
        </w:rPr>
        <w:t xml:space="preserve"> klassificerede som følsomme med MIC ≥</w:t>
      </w:r>
      <w:r w:rsidRPr="00DB1A1B">
        <w:rPr>
          <w:bCs/>
          <w:iCs/>
          <w:sz w:val="24"/>
          <w:szCs w:val="24"/>
        </w:rPr>
        <w:t> </w:t>
      </w:r>
      <w:r w:rsidRPr="00DB1A1B">
        <w:rPr>
          <w:sz w:val="24"/>
          <w:szCs w:val="24"/>
        </w:rPr>
        <w:t>1</w:t>
      </w:r>
      <w:r w:rsidRPr="00DB1A1B">
        <w:rPr>
          <w:bCs/>
          <w:iCs/>
          <w:sz w:val="24"/>
          <w:szCs w:val="24"/>
        </w:rPr>
        <w:t> </w:t>
      </w:r>
      <w:r w:rsidRPr="00DB1A1B">
        <w:rPr>
          <w:sz w:val="24"/>
          <w:szCs w:val="24"/>
        </w:rPr>
        <w:t>mg/l (se pkt. 4.4 og 5.1).</w:t>
      </w:r>
    </w:p>
    <w:p w14:paraId="56CA737A" w14:textId="77777777" w:rsidR="004435FC" w:rsidRPr="00DB1A1B" w:rsidRDefault="004435FC" w:rsidP="00270E7C">
      <w:pPr>
        <w:suppressAutoHyphens/>
        <w:ind w:left="851"/>
        <w:rPr>
          <w:sz w:val="24"/>
          <w:szCs w:val="24"/>
        </w:rPr>
      </w:pPr>
    </w:p>
    <w:p w14:paraId="2FBCE6EA" w14:textId="77777777" w:rsidR="004435FC" w:rsidRPr="00DB1A1B" w:rsidRDefault="004435FC" w:rsidP="00270E7C">
      <w:pPr>
        <w:suppressAutoHyphens/>
        <w:ind w:left="851"/>
        <w:rPr>
          <w:sz w:val="24"/>
          <w:szCs w:val="24"/>
        </w:rPr>
      </w:pPr>
      <w:r w:rsidRPr="00DB1A1B">
        <w:rPr>
          <w:sz w:val="24"/>
          <w:szCs w:val="24"/>
        </w:rPr>
        <w:t>Modelbaserede metoder kan være nyttige til bestemmelse af individuelle doser for at opnå en tilstrækkelig AUC. Den modelbaserede fremgangsmåde kan anvendes både i beregningen af den personlige startdosis og for dosisjusteringer baseret på TDM resultater (se pkt. 5.1).</w:t>
      </w:r>
    </w:p>
    <w:p w14:paraId="7CF35F71" w14:textId="77777777" w:rsidR="004435FC" w:rsidRPr="00DB1A1B" w:rsidRDefault="004435FC" w:rsidP="00270E7C">
      <w:pPr>
        <w:suppressAutoHyphens/>
        <w:ind w:left="851"/>
        <w:rPr>
          <w:bCs/>
          <w:sz w:val="24"/>
          <w:szCs w:val="24"/>
        </w:rPr>
      </w:pPr>
    </w:p>
    <w:p w14:paraId="1FA17A59" w14:textId="77777777" w:rsidR="004435FC" w:rsidRPr="00DB1A1B" w:rsidRDefault="004435FC" w:rsidP="00270E7C">
      <w:pPr>
        <w:suppressAutoHyphens/>
        <w:ind w:left="851"/>
        <w:rPr>
          <w:sz w:val="24"/>
          <w:szCs w:val="24"/>
        </w:rPr>
      </w:pPr>
      <w:r w:rsidRPr="00DB1A1B">
        <w:rPr>
          <w:sz w:val="24"/>
          <w:szCs w:val="24"/>
          <w:u w:val="single"/>
        </w:rPr>
        <w:t xml:space="preserve">Administration </w:t>
      </w:r>
    </w:p>
    <w:p w14:paraId="10DF6B65" w14:textId="77777777" w:rsidR="004435FC" w:rsidRPr="00DB1A1B" w:rsidRDefault="004435FC" w:rsidP="00270E7C">
      <w:pPr>
        <w:suppressAutoHyphens/>
        <w:ind w:left="851"/>
        <w:rPr>
          <w:sz w:val="24"/>
          <w:szCs w:val="24"/>
          <w:u w:val="single"/>
        </w:rPr>
      </w:pPr>
    </w:p>
    <w:p w14:paraId="6627CAF8" w14:textId="77777777" w:rsidR="004435FC" w:rsidRPr="00DB1A1B" w:rsidRDefault="004435FC" w:rsidP="00270E7C">
      <w:pPr>
        <w:suppressAutoHyphens/>
        <w:ind w:left="851"/>
        <w:rPr>
          <w:i/>
          <w:iCs/>
          <w:sz w:val="24"/>
          <w:szCs w:val="24"/>
        </w:rPr>
      </w:pPr>
      <w:r w:rsidRPr="00DB1A1B">
        <w:rPr>
          <w:i/>
          <w:iCs/>
          <w:sz w:val="24"/>
          <w:szCs w:val="24"/>
        </w:rPr>
        <w:t>Intravenøs administration</w:t>
      </w:r>
    </w:p>
    <w:p w14:paraId="1FA27EA9" w14:textId="77777777" w:rsidR="004435FC" w:rsidRPr="00DB1A1B" w:rsidRDefault="004435FC" w:rsidP="00270E7C">
      <w:pPr>
        <w:suppressAutoHyphens/>
        <w:ind w:left="851"/>
        <w:rPr>
          <w:sz w:val="24"/>
          <w:szCs w:val="24"/>
        </w:rPr>
      </w:pPr>
      <w:r w:rsidRPr="00DB1A1B">
        <w:rPr>
          <w:sz w:val="24"/>
          <w:szCs w:val="24"/>
        </w:rPr>
        <w:t xml:space="preserve">Intravenøs </w:t>
      </w:r>
      <w:proofErr w:type="spellStart"/>
      <w:r w:rsidRPr="00DB1A1B">
        <w:rPr>
          <w:sz w:val="24"/>
          <w:szCs w:val="24"/>
        </w:rPr>
        <w:t>vancomycin</w:t>
      </w:r>
      <w:proofErr w:type="spellEnd"/>
      <w:r w:rsidRPr="00DB1A1B">
        <w:rPr>
          <w:sz w:val="24"/>
          <w:szCs w:val="24"/>
        </w:rPr>
        <w:t xml:space="preserve"> administreres sædvanligvis som en intermitterende infusion, og de doseringsanbefalinger, der præsenteres i dette afsnit, svarer til denne type administration.</w:t>
      </w:r>
    </w:p>
    <w:p w14:paraId="37E1E8D2" w14:textId="77777777" w:rsidR="004435FC" w:rsidRPr="00DB1A1B" w:rsidRDefault="004435FC" w:rsidP="00270E7C">
      <w:pPr>
        <w:suppressAutoHyphens/>
        <w:ind w:left="851"/>
        <w:rPr>
          <w:sz w:val="24"/>
          <w:szCs w:val="24"/>
        </w:rPr>
      </w:pPr>
    </w:p>
    <w:p w14:paraId="70AD8871" w14:textId="77777777" w:rsidR="004435FC" w:rsidRPr="00DB1A1B" w:rsidRDefault="004435FC" w:rsidP="00270E7C">
      <w:pPr>
        <w:suppressAutoHyphens/>
        <w:ind w:left="851"/>
        <w:rPr>
          <w:sz w:val="24"/>
          <w:szCs w:val="24"/>
        </w:rPr>
      </w:pPr>
      <w:proofErr w:type="spellStart"/>
      <w:r w:rsidRPr="00DB1A1B">
        <w:rPr>
          <w:sz w:val="24"/>
          <w:szCs w:val="24"/>
        </w:rPr>
        <w:t>Vancomycin</w:t>
      </w:r>
      <w:proofErr w:type="spellEnd"/>
      <w:r w:rsidRPr="00DB1A1B">
        <w:rPr>
          <w:sz w:val="24"/>
          <w:szCs w:val="24"/>
        </w:rPr>
        <w:t xml:space="preserve"> må kun indgives som langsom intravenøs infusion af mindst en times varighed eller ved en maksimal hastighed på 10</w:t>
      </w:r>
      <w:r w:rsidRPr="00DB1A1B">
        <w:rPr>
          <w:bCs/>
          <w:iCs/>
          <w:sz w:val="24"/>
          <w:szCs w:val="24"/>
        </w:rPr>
        <w:t> </w:t>
      </w:r>
      <w:r w:rsidRPr="00DB1A1B">
        <w:rPr>
          <w:sz w:val="24"/>
          <w:szCs w:val="24"/>
        </w:rPr>
        <w:t>mg/min (alt efter, hvad der tager længst tid) i en tilstrækkeligt fortyndet opløsning (mindst 100</w:t>
      </w:r>
      <w:r w:rsidRPr="00DB1A1B">
        <w:rPr>
          <w:bCs/>
          <w:iCs/>
          <w:sz w:val="24"/>
          <w:szCs w:val="24"/>
        </w:rPr>
        <w:t> </w:t>
      </w:r>
      <w:r w:rsidRPr="00DB1A1B">
        <w:rPr>
          <w:sz w:val="24"/>
          <w:szCs w:val="24"/>
        </w:rPr>
        <w:t>ml pr 500</w:t>
      </w:r>
      <w:r w:rsidRPr="00DB1A1B">
        <w:rPr>
          <w:bCs/>
          <w:iCs/>
          <w:sz w:val="24"/>
          <w:szCs w:val="24"/>
        </w:rPr>
        <w:t> </w:t>
      </w:r>
      <w:r w:rsidRPr="00DB1A1B">
        <w:rPr>
          <w:sz w:val="24"/>
          <w:szCs w:val="24"/>
        </w:rPr>
        <w:t>mg eller mindst 200</w:t>
      </w:r>
      <w:r w:rsidRPr="00DB1A1B">
        <w:rPr>
          <w:bCs/>
          <w:iCs/>
          <w:sz w:val="24"/>
          <w:szCs w:val="24"/>
        </w:rPr>
        <w:t> </w:t>
      </w:r>
      <w:r w:rsidRPr="00DB1A1B">
        <w:rPr>
          <w:sz w:val="24"/>
          <w:szCs w:val="24"/>
        </w:rPr>
        <w:t>ml pr 1000</w:t>
      </w:r>
      <w:r w:rsidRPr="00DB1A1B">
        <w:rPr>
          <w:bCs/>
          <w:iCs/>
          <w:sz w:val="24"/>
          <w:szCs w:val="24"/>
        </w:rPr>
        <w:t> </w:t>
      </w:r>
      <w:r w:rsidRPr="00DB1A1B">
        <w:rPr>
          <w:sz w:val="24"/>
          <w:szCs w:val="24"/>
        </w:rPr>
        <w:t>mg) (se pkt. 4.4).</w:t>
      </w:r>
    </w:p>
    <w:p w14:paraId="4C58542E" w14:textId="77777777" w:rsidR="004435FC" w:rsidRPr="00DB1A1B" w:rsidRDefault="004435FC" w:rsidP="00270E7C">
      <w:pPr>
        <w:suppressAutoHyphens/>
        <w:ind w:left="851"/>
        <w:rPr>
          <w:sz w:val="24"/>
          <w:szCs w:val="24"/>
        </w:rPr>
      </w:pPr>
    </w:p>
    <w:p w14:paraId="73A24FBC" w14:textId="77777777" w:rsidR="004435FC" w:rsidRPr="00DB1A1B" w:rsidRDefault="004435FC" w:rsidP="00270E7C">
      <w:pPr>
        <w:suppressAutoHyphens/>
        <w:ind w:left="851"/>
        <w:rPr>
          <w:sz w:val="24"/>
          <w:szCs w:val="24"/>
        </w:rPr>
      </w:pPr>
      <w:r w:rsidRPr="00DB1A1B">
        <w:rPr>
          <w:sz w:val="24"/>
          <w:szCs w:val="24"/>
        </w:rPr>
        <w:t>Patienter, der har behov for væskebegrænsning, kan også få en opløsning på 500 mg/50 ml eller 1000 mg/100 ml, om end risikoen for infusionsrelaterede bivirkninger kan være forøget ved disse højere koncentrationer.</w:t>
      </w:r>
    </w:p>
    <w:p w14:paraId="34D9D622" w14:textId="77777777" w:rsidR="004435FC" w:rsidRPr="00DB1A1B" w:rsidRDefault="004435FC" w:rsidP="00270E7C">
      <w:pPr>
        <w:suppressAutoHyphens/>
        <w:ind w:left="851"/>
        <w:rPr>
          <w:sz w:val="24"/>
          <w:szCs w:val="24"/>
        </w:rPr>
      </w:pPr>
    </w:p>
    <w:p w14:paraId="23F8B37D" w14:textId="77777777" w:rsidR="004435FC" w:rsidRPr="00DB1A1B" w:rsidRDefault="004435FC" w:rsidP="00270E7C">
      <w:pPr>
        <w:suppressAutoHyphens/>
        <w:ind w:left="851"/>
        <w:rPr>
          <w:sz w:val="24"/>
          <w:szCs w:val="24"/>
        </w:rPr>
      </w:pPr>
      <w:r w:rsidRPr="00DB1A1B">
        <w:rPr>
          <w:sz w:val="24"/>
          <w:szCs w:val="24"/>
        </w:rPr>
        <w:t>For instruktioner om tilberedning af opløsningen, se pkt.</w:t>
      </w:r>
      <w:r w:rsidRPr="00DB1A1B">
        <w:rPr>
          <w:bCs/>
          <w:iCs/>
          <w:sz w:val="24"/>
          <w:szCs w:val="24"/>
        </w:rPr>
        <w:t> </w:t>
      </w:r>
      <w:r w:rsidRPr="00DB1A1B">
        <w:rPr>
          <w:sz w:val="24"/>
          <w:szCs w:val="24"/>
        </w:rPr>
        <w:t>6.6.</w:t>
      </w:r>
    </w:p>
    <w:p w14:paraId="170A93C9" w14:textId="77777777" w:rsidR="004435FC" w:rsidRPr="00DB1A1B" w:rsidRDefault="004435FC" w:rsidP="00270E7C">
      <w:pPr>
        <w:suppressAutoHyphens/>
        <w:ind w:left="851"/>
        <w:rPr>
          <w:sz w:val="24"/>
          <w:szCs w:val="24"/>
        </w:rPr>
      </w:pPr>
    </w:p>
    <w:p w14:paraId="0BD4438A" w14:textId="77777777" w:rsidR="004435FC" w:rsidRPr="00DB1A1B" w:rsidRDefault="004435FC" w:rsidP="00270E7C">
      <w:pPr>
        <w:suppressAutoHyphens/>
        <w:ind w:left="851"/>
        <w:rPr>
          <w:sz w:val="24"/>
          <w:szCs w:val="24"/>
        </w:rPr>
      </w:pPr>
      <w:r w:rsidRPr="00DB1A1B">
        <w:rPr>
          <w:sz w:val="24"/>
          <w:szCs w:val="24"/>
        </w:rPr>
        <w:t xml:space="preserve">Kontinuerlig </w:t>
      </w:r>
      <w:proofErr w:type="spellStart"/>
      <w:r w:rsidRPr="00DB1A1B">
        <w:rPr>
          <w:sz w:val="24"/>
          <w:szCs w:val="24"/>
        </w:rPr>
        <w:t>vancomycininfusion</w:t>
      </w:r>
      <w:proofErr w:type="spellEnd"/>
      <w:r w:rsidRPr="00DB1A1B">
        <w:rPr>
          <w:sz w:val="24"/>
          <w:szCs w:val="24"/>
        </w:rPr>
        <w:t xml:space="preserve"> kan overvejes, for eksempel hos patienter med ustabil </w:t>
      </w:r>
      <w:proofErr w:type="spellStart"/>
      <w:r w:rsidRPr="00DB1A1B">
        <w:rPr>
          <w:sz w:val="24"/>
          <w:szCs w:val="24"/>
        </w:rPr>
        <w:t>vancomycinclearance</w:t>
      </w:r>
      <w:proofErr w:type="spellEnd"/>
      <w:r w:rsidRPr="00DB1A1B">
        <w:rPr>
          <w:sz w:val="24"/>
          <w:szCs w:val="24"/>
        </w:rPr>
        <w:t>.</w:t>
      </w:r>
    </w:p>
    <w:p w14:paraId="43DC2565" w14:textId="77777777" w:rsidR="009260DE" w:rsidRPr="00DB1A1B" w:rsidRDefault="009260DE" w:rsidP="009260DE">
      <w:pPr>
        <w:tabs>
          <w:tab w:val="left" w:pos="851"/>
        </w:tabs>
        <w:ind w:left="851"/>
        <w:rPr>
          <w:sz w:val="24"/>
          <w:szCs w:val="24"/>
        </w:rPr>
      </w:pPr>
    </w:p>
    <w:p w14:paraId="6F93789E" w14:textId="77777777" w:rsidR="009260DE" w:rsidRPr="00DB1A1B" w:rsidRDefault="009260DE" w:rsidP="009260DE">
      <w:pPr>
        <w:tabs>
          <w:tab w:val="left" w:pos="851"/>
        </w:tabs>
        <w:ind w:left="851" w:hanging="851"/>
        <w:rPr>
          <w:b/>
          <w:sz w:val="24"/>
          <w:szCs w:val="24"/>
        </w:rPr>
      </w:pPr>
      <w:r w:rsidRPr="00DB1A1B">
        <w:rPr>
          <w:b/>
          <w:sz w:val="24"/>
          <w:szCs w:val="24"/>
        </w:rPr>
        <w:t>4.3</w:t>
      </w:r>
      <w:r w:rsidRPr="00DB1A1B">
        <w:rPr>
          <w:b/>
          <w:sz w:val="24"/>
          <w:szCs w:val="24"/>
        </w:rPr>
        <w:tab/>
        <w:t>Kontraindikationer</w:t>
      </w:r>
    </w:p>
    <w:p w14:paraId="2490FEF7" w14:textId="77777777" w:rsidR="004435FC" w:rsidRPr="00DB1A1B" w:rsidRDefault="004435FC" w:rsidP="004435FC">
      <w:pPr>
        <w:suppressAutoHyphens/>
        <w:ind w:left="851"/>
        <w:rPr>
          <w:sz w:val="24"/>
          <w:szCs w:val="24"/>
        </w:rPr>
      </w:pPr>
      <w:r w:rsidRPr="00DB1A1B">
        <w:rPr>
          <w:sz w:val="24"/>
          <w:szCs w:val="24"/>
        </w:rPr>
        <w:t>Overfølsomhed over for det aktive stof eller et eller flere af hjælpestofferne anført i pkt. 6.1.</w:t>
      </w:r>
    </w:p>
    <w:p w14:paraId="69921E2C" w14:textId="77777777" w:rsidR="004435FC" w:rsidRPr="00DB1A1B" w:rsidRDefault="004435FC" w:rsidP="004435FC">
      <w:pPr>
        <w:suppressAutoHyphens/>
        <w:ind w:left="851"/>
        <w:rPr>
          <w:sz w:val="24"/>
          <w:szCs w:val="24"/>
        </w:rPr>
      </w:pPr>
    </w:p>
    <w:p w14:paraId="259C7306" w14:textId="77777777" w:rsidR="004435FC" w:rsidRPr="00DB1A1B" w:rsidRDefault="004435FC" w:rsidP="004435FC">
      <w:pPr>
        <w:suppressAutoHyphens/>
        <w:ind w:left="851"/>
        <w:rPr>
          <w:sz w:val="24"/>
          <w:szCs w:val="24"/>
          <w:lang w:eastAsia="en-GB"/>
        </w:rPr>
      </w:pPr>
      <w:proofErr w:type="spellStart"/>
      <w:r w:rsidRPr="00DB1A1B">
        <w:rPr>
          <w:sz w:val="24"/>
          <w:szCs w:val="24"/>
        </w:rPr>
        <w:t>Vancomycin</w:t>
      </w:r>
      <w:proofErr w:type="spellEnd"/>
      <w:r w:rsidRPr="00DB1A1B">
        <w:rPr>
          <w:sz w:val="24"/>
          <w:szCs w:val="24"/>
        </w:rPr>
        <w:t xml:space="preserve"> bør ikke administreres intramuskulært på grund af risikoen for nekrose på administrationsstedet.</w:t>
      </w:r>
    </w:p>
    <w:p w14:paraId="69A02C9F" w14:textId="77777777" w:rsidR="009260DE" w:rsidRPr="00DB1A1B" w:rsidRDefault="009260DE" w:rsidP="009260DE">
      <w:pPr>
        <w:tabs>
          <w:tab w:val="left" w:pos="851"/>
        </w:tabs>
        <w:ind w:left="851"/>
        <w:rPr>
          <w:sz w:val="24"/>
          <w:szCs w:val="24"/>
        </w:rPr>
      </w:pPr>
    </w:p>
    <w:p w14:paraId="40DCBD02" w14:textId="77777777" w:rsidR="009260DE" w:rsidRPr="00DB1A1B" w:rsidRDefault="009260DE" w:rsidP="009260DE">
      <w:pPr>
        <w:tabs>
          <w:tab w:val="left" w:pos="851"/>
        </w:tabs>
        <w:ind w:left="851" w:hanging="851"/>
        <w:rPr>
          <w:b/>
          <w:sz w:val="24"/>
          <w:szCs w:val="24"/>
        </w:rPr>
      </w:pPr>
      <w:r w:rsidRPr="00DB1A1B">
        <w:rPr>
          <w:b/>
          <w:sz w:val="24"/>
          <w:szCs w:val="24"/>
        </w:rPr>
        <w:t>4.4</w:t>
      </w:r>
      <w:r w:rsidRPr="00DB1A1B">
        <w:rPr>
          <w:b/>
          <w:sz w:val="24"/>
          <w:szCs w:val="24"/>
        </w:rPr>
        <w:tab/>
        <w:t>Særlige advarsler og forsigtighedsregler vedrørende brugen</w:t>
      </w:r>
    </w:p>
    <w:p w14:paraId="3C0CF9F4" w14:textId="77777777" w:rsidR="006B1D8C" w:rsidRPr="00DB1A1B" w:rsidRDefault="006B1D8C" w:rsidP="00270E7C">
      <w:pPr>
        <w:suppressAutoHyphens/>
        <w:ind w:left="851"/>
        <w:rPr>
          <w:sz w:val="24"/>
          <w:szCs w:val="24"/>
          <w:u w:val="single"/>
        </w:rPr>
      </w:pPr>
    </w:p>
    <w:p w14:paraId="1BA76816" w14:textId="774C0FF4" w:rsidR="004435FC" w:rsidRPr="00DB1A1B" w:rsidRDefault="004435FC" w:rsidP="00270E7C">
      <w:pPr>
        <w:suppressAutoHyphens/>
        <w:ind w:left="851"/>
        <w:rPr>
          <w:sz w:val="24"/>
          <w:szCs w:val="24"/>
          <w:u w:val="single"/>
        </w:rPr>
      </w:pPr>
      <w:r w:rsidRPr="00DB1A1B">
        <w:rPr>
          <w:sz w:val="24"/>
          <w:szCs w:val="24"/>
          <w:u w:val="single"/>
        </w:rPr>
        <w:t xml:space="preserve">Overfølsomhedsreaktioner </w:t>
      </w:r>
    </w:p>
    <w:p w14:paraId="0050D87B" w14:textId="77777777" w:rsidR="004435FC" w:rsidRPr="00DB1A1B" w:rsidRDefault="004435FC" w:rsidP="00270E7C">
      <w:pPr>
        <w:suppressAutoHyphens/>
        <w:ind w:left="851"/>
        <w:rPr>
          <w:sz w:val="24"/>
          <w:szCs w:val="24"/>
        </w:rPr>
      </w:pPr>
      <w:r w:rsidRPr="00DB1A1B">
        <w:rPr>
          <w:sz w:val="24"/>
          <w:szCs w:val="24"/>
        </w:rPr>
        <w:t xml:space="preserve">Alvorlige og lejlighedsvis dødelige overfølsomhedsreaktioner er mulige (se pkt. 4.3 og 4.8). I tilfælde af overfølsomhedsreaktioner, skal behandlingen med </w:t>
      </w:r>
      <w:proofErr w:type="spellStart"/>
      <w:r w:rsidRPr="00DB1A1B">
        <w:rPr>
          <w:sz w:val="24"/>
          <w:szCs w:val="24"/>
        </w:rPr>
        <w:t>vancomycin</w:t>
      </w:r>
      <w:proofErr w:type="spellEnd"/>
      <w:r w:rsidRPr="00DB1A1B">
        <w:rPr>
          <w:sz w:val="24"/>
          <w:szCs w:val="24"/>
        </w:rPr>
        <w:t xml:space="preserve"> straks afbrydes, og passende nødforanstaltninger skal initieres.</w:t>
      </w:r>
    </w:p>
    <w:p w14:paraId="388D9AE9" w14:textId="77777777" w:rsidR="004435FC" w:rsidRPr="00DB1A1B" w:rsidRDefault="004435FC" w:rsidP="00270E7C">
      <w:pPr>
        <w:suppressAutoHyphens/>
        <w:ind w:left="851"/>
        <w:rPr>
          <w:sz w:val="24"/>
          <w:szCs w:val="24"/>
        </w:rPr>
      </w:pPr>
    </w:p>
    <w:p w14:paraId="2B7CA747" w14:textId="58DDD849" w:rsidR="004435FC" w:rsidRPr="00DB1A1B" w:rsidRDefault="004435FC" w:rsidP="00270E7C">
      <w:pPr>
        <w:suppressAutoHyphens/>
        <w:ind w:left="851"/>
        <w:rPr>
          <w:sz w:val="24"/>
          <w:szCs w:val="24"/>
        </w:rPr>
      </w:pPr>
      <w:r w:rsidRPr="00DB1A1B">
        <w:rPr>
          <w:sz w:val="24"/>
          <w:szCs w:val="24"/>
        </w:rPr>
        <w:t xml:space="preserve">Hos patienter, der får </w:t>
      </w:r>
      <w:proofErr w:type="spellStart"/>
      <w:r w:rsidRPr="00DB1A1B">
        <w:rPr>
          <w:sz w:val="24"/>
          <w:szCs w:val="24"/>
        </w:rPr>
        <w:t>vancomycin</w:t>
      </w:r>
      <w:proofErr w:type="spellEnd"/>
      <w:r w:rsidRPr="00DB1A1B">
        <w:rPr>
          <w:sz w:val="24"/>
          <w:szCs w:val="24"/>
        </w:rPr>
        <w:t xml:space="preserve"> i en længere periode eller samtidigt med andre lægemidler, som kan forårsage </w:t>
      </w:r>
      <w:proofErr w:type="spellStart"/>
      <w:r w:rsidRPr="00DB1A1B">
        <w:rPr>
          <w:sz w:val="24"/>
          <w:szCs w:val="24"/>
        </w:rPr>
        <w:t>neutropeni</w:t>
      </w:r>
      <w:proofErr w:type="spellEnd"/>
      <w:r w:rsidRPr="00DB1A1B">
        <w:rPr>
          <w:sz w:val="24"/>
          <w:szCs w:val="24"/>
        </w:rPr>
        <w:t xml:space="preserve"> eller </w:t>
      </w:r>
      <w:proofErr w:type="spellStart"/>
      <w:r w:rsidRPr="00DB1A1B">
        <w:rPr>
          <w:sz w:val="24"/>
          <w:szCs w:val="24"/>
        </w:rPr>
        <w:t>agranulocytose</w:t>
      </w:r>
      <w:proofErr w:type="spellEnd"/>
      <w:r w:rsidRPr="00DB1A1B">
        <w:rPr>
          <w:sz w:val="24"/>
          <w:szCs w:val="24"/>
        </w:rPr>
        <w:t xml:space="preserve">, skal leukocytkoncentrationen regelmæssigt monitoreres. Alle patienter, der får </w:t>
      </w:r>
      <w:proofErr w:type="spellStart"/>
      <w:r w:rsidRPr="00DB1A1B">
        <w:rPr>
          <w:sz w:val="24"/>
          <w:szCs w:val="24"/>
        </w:rPr>
        <w:t>vancomycin</w:t>
      </w:r>
      <w:proofErr w:type="spellEnd"/>
      <w:r w:rsidRPr="00DB1A1B">
        <w:rPr>
          <w:sz w:val="24"/>
          <w:szCs w:val="24"/>
        </w:rPr>
        <w:t xml:space="preserve">, skal have foretaget regelmæssige hæmatologiske prøver, urinprøver og lever- og nyrefunktionsundersøgelser. </w:t>
      </w:r>
    </w:p>
    <w:p w14:paraId="682A0D5B" w14:textId="77777777" w:rsidR="004435FC" w:rsidRPr="00DB1A1B" w:rsidRDefault="004435FC" w:rsidP="00270E7C">
      <w:pPr>
        <w:suppressAutoHyphens/>
        <w:ind w:left="851"/>
        <w:rPr>
          <w:sz w:val="24"/>
          <w:szCs w:val="24"/>
        </w:rPr>
      </w:pPr>
    </w:p>
    <w:p w14:paraId="304F4F99" w14:textId="77777777" w:rsidR="004435FC" w:rsidRPr="00DB1A1B" w:rsidRDefault="004435FC" w:rsidP="00270E7C">
      <w:pPr>
        <w:suppressAutoHyphens/>
        <w:ind w:left="851"/>
        <w:rPr>
          <w:sz w:val="24"/>
          <w:szCs w:val="24"/>
        </w:rPr>
      </w:pPr>
      <w:proofErr w:type="spellStart"/>
      <w:r w:rsidRPr="00DB1A1B">
        <w:rPr>
          <w:sz w:val="24"/>
          <w:szCs w:val="24"/>
        </w:rPr>
        <w:t>Vancomycin</w:t>
      </w:r>
      <w:proofErr w:type="spellEnd"/>
      <w:r w:rsidRPr="00DB1A1B">
        <w:rPr>
          <w:sz w:val="24"/>
          <w:szCs w:val="24"/>
        </w:rPr>
        <w:t xml:space="preserve"> bør anvendes med forsigtighed til patienter med allergiske reaktioner på </w:t>
      </w:r>
      <w:proofErr w:type="spellStart"/>
      <w:r w:rsidRPr="00DB1A1B">
        <w:rPr>
          <w:sz w:val="24"/>
          <w:szCs w:val="24"/>
        </w:rPr>
        <w:t>teicoplanin</w:t>
      </w:r>
      <w:proofErr w:type="spellEnd"/>
      <w:r w:rsidRPr="00DB1A1B">
        <w:rPr>
          <w:sz w:val="24"/>
          <w:szCs w:val="24"/>
        </w:rPr>
        <w:t xml:space="preserve">, idet krydsallergi, herunder dødeligt </w:t>
      </w:r>
      <w:proofErr w:type="spellStart"/>
      <w:r w:rsidRPr="00DB1A1B">
        <w:rPr>
          <w:sz w:val="24"/>
          <w:szCs w:val="24"/>
        </w:rPr>
        <w:t>anafylaktisk</w:t>
      </w:r>
      <w:proofErr w:type="spellEnd"/>
      <w:r w:rsidRPr="00DB1A1B">
        <w:rPr>
          <w:sz w:val="24"/>
          <w:szCs w:val="24"/>
        </w:rPr>
        <w:t xml:space="preserve"> </w:t>
      </w:r>
      <w:proofErr w:type="spellStart"/>
      <w:r w:rsidRPr="00DB1A1B">
        <w:rPr>
          <w:sz w:val="24"/>
          <w:szCs w:val="24"/>
        </w:rPr>
        <w:t>shock</w:t>
      </w:r>
      <w:proofErr w:type="spellEnd"/>
      <w:r w:rsidRPr="00DB1A1B">
        <w:rPr>
          <w:sz w:val="24"/>
          <w:szCs w:val="24"/>
        </w:rPr>
        <w:t>, kan forekomme.</w:t>
      </w:r>
    </w:p>
    <w:p w14:paraId="6DAD7DDE" w14:textId="77777777" w:rsidR="004435FC" w:rsidRPr="00DB1A1B" w:rsidRDefault="004435FC" w:rsidP="00270E7C">
      <w:pPr>
        <w:suppressAutoHyphens/>
        <w:ind w:left="851"/>
        <w:rPr>
          <w:sz w:val="24"/>
          <w:szCs w:val="24"/>
        </w:rPr>
      </w:pPr>
    </w:p>
    <w:p w14:paraId="33C28CF5" w14:textId="77777777" w:rsidR="004435FC" w:rsidRPr="00DB1A1B" w:rsidRDefault="004435FC" w:rsidP="00270E7C">
      <w:pPr>
        <w:suppressAutoHyphens/>
        <w:ind w:left="851"/>
        <w:rPr>
          <w:sz w:val="24"/>
          <w:szCs w:val="24"/>
          <w:u w:val="single"/>
        </w:rPr>
      </w:pPr>
      <w:r w:rsidRPr="00DB1A1B">
        <w:rPr>
          <w:sz w:val="24"/>
          <w:szCs w:val="24"/>
          <w:u w:val="single"/>
        </w:rPr>
        <w:t>Spektrum for antibakteriel aktivitet</w:t>
      </w:r>
    </w:p>
    <w:p w14:paraId="49A66EA4" w14:textId="77777777" w:rsidR="004435FC" w:rsidRPr="00DB1A1B" w:rsidRDefault="004435FC" w:rsidP="00270E7C">
      <w:pPr>
        <w:suppressAutoHyphens/>
        <w:ind w:left="851"/>
        <w:rPr>
          <w:sz w:val="24"/>
          <w:szCs w:val="24"/>
        </w:rPr>
      </w:pPr>
      <w:proofErr w:type="spellStart"/>
      <w:r w:rsidRPr="00DB1A1B">
        <w:rPr>
          <w:sz w:val="24"/>
          <w:szCs w:val="24"/>
        </w:rPr>
        <w:t>Vancomycin</w:t>
      </w:r>
      <w:proofErr w:type="spellEnd"/>
      <w:r w:rsidRPr="00DB1A1B">
        <w:rPr>
          <w:sz w:val="24"/>
          <w:szCs w:val="24"/>
        </w:rPr>
        <w:t xml:space="preserve"> har et spektrum for antibakteriel aktivitet begrænset til grampositive organismer. Det er ikke egnet til brug i monoterapi ved behandling af visse typer infektioner, medmindre </w:t>
      </w:r>
      <w:proofErr w:type="spellStart"/>
      <w:r w:rsidRPr="00DB1A1B">
        <w:rPr>
          <w:sz w:val="24"/>
          <w:szCs w:val="24"/>
        </w:rPr>
        <w:t>patogenet</w:t>
      </w:r>
      <w:proofErr w:type="spellEnd"/>
      <w:r w:rsidRPr="00DB1A1B">
        <w:rPr>
          <w:sz w:val="24"/>
          <w:szCs w:val="24"/>
        </w:rPr>
        <w:t xml:space="preserve"> allerede er identificeret og kendt for at være følsomt, eller der er en klar mistanke om, at de(t) mest sandsynlige patogen(er) vil være egnet til behandling med </w:t>
      </w:r>
      <w:proofErr w:type="spellStart"/>
      <w:r w:rsidRPr="00DB1A1B">
        <w:rPr>
          <w:sz w:val="24"/>
          <w:szCs w:val="24"/>
        </w:rPr>
        <w:t>vancomycin</w:t>
      </w:r>
      <w:proofErr w:type="spellEnd"/>
      <w:r w:rsidRPr="00DB1A1B">
        <w:rPr>
          <w:sz w:val="24"/>
          <w:szCs w:val="24"/>
        </w:rPr>
        <w:t>.</w:t>
      </w:r>
    </w:p>
    <w:p w14:paraId="10EF690A" w14:textId="77777777" w:rsidR="004435FC" w:rsidRPr="00DB1A1B" w:rsidRDefault="004435FC" w:rsidP="00270E7C">
      <w:pPr>
        <w:suppressAutoHyphens/>
        <w:ind w:left="851"/>
        <w:rPr>
          <w:sz w:val="24"/>
          <w:szCs w:val="24"/>
        </w:rPr>
      </w:pPr>
    </w:p>
    <w:p w14:paraId="4B9D67D8" w14:textId="77777777" w:rsidR="004435FC" w:rsidRPr="00DB1A1B" w:rsidRDefault="004435FC" w:rsidP="00270E7C">
      <w:pPr>
        <w:suppressAutoHyphens/>
        <w:ind w:left="851"/>
        <w:rPr>
          <w:sz w:val="24"/>
          <w:szCs w:val="24"/>
        </w:rPr>
      </w:pPr>
      <w:r w:rsidRPr="00DB1A1B">
        <w:rPr>
          <w:sz w:val="24"/>
          <w:szCs w:val="24"/>
        </w:rPr>
        <w:t xml:space="preserve">Rationel anvendelse af </w:t>
      </w:r>
      <w:proofErr w:type="spellStart"/>
      <w:r w:rsidRPr="00DB1A1B">
        <w:rPr>
          <w:sz w:val="24"/>
          <w:szCs w:val="24"/>
        </w:rPr>
        <w:t>vancomycin</w:t>
      </w:r>
      <w:proofErr w:type="spellEnd"/>
      <w:r w:rsidRPr="00DB1A1B">
        <w:rPr>
          <w:sz w:val="24"/>
          <w:szCs w:val="24"/>
        </w:rPr>
        <w:t xml:space="preserve"> skal tage hensyn til det antibakterielle spektrum, sikkerhedsprofilen og egnetheden af antibakteriel standardterapi ved behandling af den enkelte patient. </w:t>
      </w:r>
    </w:p>
    <w:p w14:paraId="70A5A0AF" w14:textId="77777777" w:rsidR="004435FC" w:rsidRPr="00DB1A1B" w:rsidRDefault="004435FC" w:rsidP="00270E7C">
      <w:pPr>
        <w:suppressAutoHyphens/>
        <w:ind w:left="851"/>
        <w:rPr>
          <w:sz w:val="24"/>
          <w:szCs w:val="24"/>
        </w:rPr>
      </w:pPr>
    </w:p>
    <w:p w14:paraId="1D1243E6" w14:textId="77777777" w:rsidR="004435FC" w:rsidRPr="00DB1A1B" w:rsidRDefault="004435FC" w:rsidP="00270E7C">
      <w:pPr>
        <w:suppressAutoHyphens/>
        <w:ind w:left="851"/>
        <w:rPr>
          <w:sz w:val="24"/>
          <w:szCs w:val="24"/>
          <w:u w:val="single"/>
        </w:rPr>
      </w:pPr>
      <w:proofErr w:type="spellStart"/>
      <w:r w:rsidRPr="00DB1A1B">
        <w:rPr>
          <w:sz w:val="24"/>
          <w:szCs w:val="24"/>
          <w:u w:val="single"/>
        </w:rPr>
        <w:t>Ototoksicitet</w:t>
      </w:r>
      <w:proofErr w:type="spellEnd"/>
      <w:r w:rsidRPr="00DB1A1B">
        <w:rPr>
          <w:sz w:val="24"/>
          <w:szCs w:val="24"/>
          <w:u w:val="single"/>
        </w:rPr>
        <w:t xml:space="preserve"> </w:t>
      </w:r>
    </w:p>
    <w:p w14:paraId="60C39ECD" w14:textId="7AB2C2D3" w:rsidR="004435FC" w:rsidRPr="00DB1A1B" w:rsidRDefault="004435FC" w:rsidP="00270E7C">
      <w:pPr>
        <w:ind w:left="851"/>
        <w:rPr>
          <w:sz w:val="24"/>
          <w:szCs w:val="24"/>
        </w:rPr>
      </w:pPr>
      <w:r w:rsidRPr="00DB1A1B">
        <w:rPr>
          <w:sz w:val="24"/>
          <w:szCs w:val="24"/>
        </w:rPr>
        <w:t xml:space="preserve">Der er rapporteret </w:t>
      </w:r>
      <w:proofErr w:type="spellStart"/>
      <w:r w:rsidRPr="00DB1A1B">
        <w:rPr>
          <w:sz w:val="24"/>
          <w:szCs w:val="24"/>
        </w:rPr>
        <w:t>ototoksicitet</w:t>
      </w:r>
      <w:proofErr w:type="spellEnd"/>
      <w:r w:rsidRPr="00DB1A1B">
        <w:rPr>
          <w:sz w:val="24"/>
          <w:szCs w:val="24"/>
        </w:rPr>
        <w:t xml:space="preserve">, som kan være forbigående eller permanent (se pkt. 4.8), hos patienter med forudgående døvhed, patienter som har fået store intravenøse doser, eller som har fået samtidig behandling med et andet </w:t>
      </w:r>
      <w:proofErr w:type="spellStart"/>
      <w:r w:rsidRPr="00DB1A1B">
        <w:rPr>
          <w:sz w:val="24"/>
          <w:szCs w:val="24"/>
        </w:rPr>
        <w:t>ototoksisk</w:t>
      </w:r>
      <w:proofErr w:type="spellEnd"/>
      <w:r w:rsidRPr="00DB1A1B">
        <w:rPr>
          <w:sz w:val="24"/>
          <w:szCs w:val="24"/>
        </w:rPr>
        <w:t xml:space="preserve"> lægemiddel, f.eks. </w:t>
      </w:r>
      <w:proofErr w:type="gramStart"/>
      <w:r w:rsidRPr="00DB1A1B">
        <w:rPr>
          <w:sz w:val="24"/>
          <w:szCs w:val="24"/>
        </w:rPr>
        <w:t>et</w:t>
      </w:r>
      <w:r w:rsidR="00691261">
        <w:rPr>
          <w:sz w:val="24"/>
          <w:szCs w:val="24"/>
        </w:rPr>
        <w:t xml:space="preserve"> </w:t>
      </w:r>
      <w:r w:rsidRPr="00DB1A1B">
        <w:rPr>
          <w:sz w:val="24"/>
          <w:szCs w:val="24"/>
        </w:rPr>
        <w:t>aminoglykosid</w:t>
      </w:r>
      <w:proofErr w:type="gramEnd"/>
      <w:r w:rsidRPr="00DB1A1B">
        <w:rPr>
          <w:sz w:val="24"/>
          <w:szCs w:val="24"/>
        </w:rPr>
        <w:t xml:space="preserve">. </w:t>
      </w:r>
      <w:proofErr w:type="spellStart"/>
      <w:r w:rsidRPr="00DB1A1B">
        <w:rPr>
          <w:sz w:val="24"/>
          <w:szCs w:val="24"/>
        </w:rPr>
        <w:t>Vancomycin</w:t>
      </w:r>
      <w:proofErr w:type="spellEnd"/>
      <w:r w:rsidRPr="00DB1A1B">
        <w:rPr>
          <w:sz w:val="24"/>
          <w:szCs w:val="24"/>
        </w:rPr>
        <w:t xml:space="preserve"> bør også undgås hos patienter med tidligere høretab. Døvhed kan </w:t>
      </w:r>
      <w:proofErr w:type="spellStart"/>
      <w:r w:rsidRPr="00DB1A1B">
        <w:rPr>
          <w:sz w:val="24"/>
          <w:szCs w:val="24"/>
        </w:rPr>
        <w:t>forudgås</w:t>
      </w:r>
      <w:proofErr w:type="spellEnd"/>
      <w:r w:rsidRPr="00DB1A1B">
        <w:rPr>
          <w:sz w:val="24"/>
          <w:szCs w:val="24"/>
        </w:rPr>
        <w:t xml:space="preserve"> af tinnitus. Erfaring med andre antibiotika tyder på, at døvhed kan progrediere til trods for </w:t>
      </w:r>
      <w:proofErr w:type="spellStart"/>
      <w:r w:rsidRPr="00DB1A1B">
        <w:rPr>
          <w:sz w:val="24"/>
          <w:szCs w:val="24"/>
        </w:rPr>
        <w:t>seponering</w:t>
      </w:r>
      <w:proofErr w:type="spellEnd"/>
      <w:r w:rsidRPr="00DB1A1B">
        <w:rPr>
          <w:sz w:val="24"/>
          <w:szCs w:val="24"/>
        </w:rPr>
        <w:t xml:space="preserve"> af behandlingen. For at reducere risikoen for </w:t>
      </w:r>
      <w:proofErr w:type="spellStart"/>
      <w:r w:rsidRPr="00DB1A1B">
        <w:rPr>
          <w:sz w:val="24"/>
          <w:szCs w:val="24"/>
        </w:rPr>
        <w:t>ototoksicitet</w:t>
      </w:r>
      <w:proofErr w:type="spellEnd"/>
      <w:r w:rsidRPr="00DB1A1B">
        <w:rPr>
          <w:sz w:val="24"/>
          <w:szCs w:val="24"/>
        </w:rPr>
        <w:t xml:space="preserve"> bør blodniveauerne bestemmes periodisk, og det anbefales at foretage høreprøver regelmæssigt.</w:t>
      </w:r>
    </w:p>
    <w:p w14:paraId="4BB00CEB" w14:textId="77777777" w:rsidR="004435FC" w:rsidRPr="00DB1A1B" w:rsidRDefault="004435FC" w:rsidP="00270E7C">
      <w:pPr>
        <w:ind w:left="851"/>
        <w:rPr>
          <w:iCs/>
          <w:sz w:val="24"/>
          <w:szCs w:val="24"/>
        </w:rPr>
      </w:pPr>
    </w:p>
    <w:p w14:paraId="3BEC632C" w14:textId="77777777" w:rsidR="004435FC" w:rsidRPr="00DB1A1B" w:rsidRDefault="004435FC" w:rsidP="00270E7C">
      <w:pPr>
        <w:ind w:left="851"/>
        <w:rPr>
          <w:sz w:val="24"/>
          <w:szCs w:val="24"/>
        </w:rPr>
      </w:pPr>
      <w:r w:rsidRPr="00DB1A1B">
        <w:rPr>
          <w:sz w:val="24"/>
          <w:szCs w:val="24"/>
        </w:rPr>
        <w:t xml:space="preserve">Ældre er særligt disponerede for høreskader. Der bør foretages monitorering af den </w:t>
      </w:r>
      <w:proofErr w:type="spellStart"/>
      <w:r w:rsidRPr="00DB1A1B">
        <w:rPr>
          <w:sz w:val="24"/>
          <w:szCs w:val="24"/>
        </w:rPr>
        <w:t>vestibulære</w:t>
      </w:r>
      <w:proofErr w:type="spellEnd"/>
      <w:r w:rsidRPr="00DB1A1B">
        <w:rPr>
          <w:sz w:val="24"/>
          <w:szCs w:val="24"/>
        </w:rPr>
        <w:t xml:space="preserve"> og auditive funktion under og efter behandling hos ældre. Samtidig eller sekventiel anvendelse af andre </w:t>
      </w:r>
      <w:proofErr w:type="spellStart"/>
      <w:r w:rsidRPr="00DB1A1B">
        <w:rPr>
          <w:sz w:val="24"/>
          <w:szCs w:val="24"/>
        </w:rPr>
        <w:t>ototoksiske</w:t>
      </w:r>
      <w:proofErr w:type="spellEnd"/>
      <w:r w:rsidRPr="00DB1A1B">
        <w:rPr>
          <w:sz w:val="24"/>
          <w:szCs w:val="24"/>
        </w:rPr>
        <w:t xml:space="preserve"> stoffer skal undgås.</w:t>
      </w:r>
    </w:p>
    <w:p w14:paraId="76A5539E" w14:textId="77777777" w:rsidR="004435FC" w:rsidRPr="00DB1A1B" w:rsidRDefault="004435FC" w:rsidP="00270E7C">
      <w:pPr>
        <w:ind w:left="851"/>
        <w:rPr>
          <w:sz w:val="24"/>
          <w:szCs w:val="24"/>
        </w:rPr>
      </w:pPr>
    </w:p>
    <w:p w14:paraId="3F85BCEC" w14:textId="77777777" w:rsidR="004435FC" w:rsidRPr="00DB1A1B" w:rsidRDefault="004435FC" w:rsidP="00270E7C">
      <w:pPr>
        <w:ind w:left="851"/>
        <w:rPr>
          <w:sz w:val="24"/>
          <w:szCs w:val="24"/>
          <w:u w:val="single"/>
        </w:rPr>
      </w:pPr>
      <w:r w:rsidRPr="00DB1A1B">
        <w:rPr>
          <w:sz w:val="24"/>
          <w:szCs w:val="24"/>
          <w:u w:val="single"/>
        </w:rPr>
        <w:t>Infusionsrelaterede reaktioner</w:t>
      </w:r>
    </w:p>
    <w:p w14:paraId="08AD9290" w14:textId="441D4609" w:rsidR="004435FC" w:rsidRPr="00DB1A1B" w:rsidRDefault="004435FC" w:rsidP="00270E7C">
      <w:pPr>
        <w:suppressAutoHyphens/>
        <w:ind w:left="851"/>
        <w:rPr>
          <w:sz w:val="24"/>
          <w:szCs w:val="24"/>
        </w:rPr>
      </w:pPr>
      <w:r w:rsidRPr="00DB1A1B">
        <w:rPr>
          <w:sz w:val="24"/>
          <w:szCs w:val="24"/>
        </w:rPr>
        <w:t xml:space="preserve">Hurtig administration (dvs. over flere minutter) kan være forbundet med udtalt hypotension (herunder </w:t>
      </w:r>
      <w:proofErr w:type="spellStart"/>
      <w:r w:rsidRPr="00DB1A1B">
        <w:rPr>
          <w:sz w:val="24"/>
          <w:szCs w:val="24"/>
        </w:rPr>
        <w:t>shock</w:t>
      </w:r>
      <w:proofErr w:type="spellEnd"/>
      <w:r w:rsidRPr="00DB1A1B">
        <w:rPr>
          <w:sz w:val="24"/>
          <w:szCs w:val="24"/>
        </w:rPr>
        <w:t xml:space="preserve"> og, sjældent, hjertestop), histamin-lignende reaktioner og </w:t>
      </w:r>
      <w:proofErr w:type="spellStart"/>
      <w:r w:rsidRPr="00DB1A1B">
        <w:rPr>
          <w:sz w:val="24"/>
          <w:szCs w:val="24"/>
        </w:rPr>
        <w:t>makulopapuløst</w:t>
      </w:r>
      <w:proofErr w:type="spellEnd"/>
      <w:r w:rsidRPr="00DB1A1B">
        <w:rPr>
          <w:sz w:val="24"/>
          <w:szCs w:val="24"/>
        </w:rPr>
        <w:t xml:space="preserve"> eller </w:t>
      </w:r>
      <w:proofErr w:type="spellStart"/>
      <w:r w:rsidRPr="00DB1A1B">
        <w:rPr>
          <w:sz w:val="24"/>
          <w:szCs w:val="24"/>
        </w:rPr>
        <w:t>erytematøst</w:t>
      </w:r>
      <w:proofErr w:type="spellEnd"/>
      <w:r w:rsidRPr="00DB1A1B">
        <w:rPr>
          <w:sz w:val="24"/>
          <w:szCs w:val="24"/>
        </w:rPr>
        <w:t xml:space="preserve"> udslæt (“red man-syndrom</w:t>
      </w:r>
      <w:r w:rsidR="00DB1A1B" w:rsidRPr="00DB1A1B">
        <w:rPr>
          <w:sz w:val="24"/>
          <w:szCs w:val="24"/>
        </w:rPr>
        <w:t>"</w:t>
      </w:r>
      <w:r w:rsidRPr="00DB1A1B">
        <w:rPr>
          <w:sz w:val="24"/>
          <w:szCs w:val="24"/>
        </w:rPr>
        <w:t xml:space="preserve"> eller “red </w:t>
      </w:r>
      <w:proofErr w:type="spellStart"/>
      <w:r w:rsidRPr="00DB1A1B">
        <w:rPr>
          <w:sz w:val="24"/>
          <w:szCs w:val="24"/>
        </w:rPr>
        <w:t>neck</w:t>
      </w:r>
      <w:proofErr w:type="spellEnd"/>
      <w:r w:rsidRPr="00DB1A1B">
        <w:rPr>
          <w:sz w:val="24"/>
          <w:szCs w:val="24"/>
        </w:rPr>
        <w:t>-syndrom</w:t>
      </w:r>
      <w:r w:rsidR="00DB1A1B" w:rsidRPr="00DB1A1B">
        <w:rPr>
          <w:sz w:val="24"/>
          <w:szCs w:val="24"/>
        </w:rPr>
        <w:t>"</w:t>
      </w:r>
      <w:r w:rsidRPr="00DB1A1B">
        <w:rPr>
          <w:sz w:val="24"/>
          <w:szCs w:val="24"/>
        </w:rPr>
        <w:t xml:space="preserve">). </w:t>
      </w:r>
      <w:proofErr w:type="spellStart"/>
      <w:r w:rsidRPr="00DB1A1B">
        <w:rPr>
          <w:sz w:val="24"/>
          <w:szCs w:val="24"/>
        </w:rPr>
        <w:t>Vancomycin</w:t>
      </w:r>
      <w:proofErr w:type="spellEnd"/>
      <w:r w:rsidRPr="00DB1A1B">
        <w:rPr>
          <w:sz w:val="24"/>
          <w:szCs w:val="24"/>
        </w:rPr>
        <w:t xml:space="preserve"> skal </w:t>
      </w:r>
      <w:proofErr w:type="spellStart"/>
      <w:r w:rsidRPr="00DB1A1B">
        <w:rPr>
          <w:sz w:val="24"/>
          <w:szCs w:val="24"/>
        </w:rPr>
        <w:t>infunderes</w:t>
      </w:r>
      <w:proofErr w:type="spellEnd"/>
      <w:r w:rsidRPr="00DB1A1B">
        <w:rPr>
          <w:sz w:val="24"/>
          <w:szCs w:val="24"/>
        </w:rPr>
        <w:t xml:space="preserve"> langsomt i en fortyndet opløsning (2,5</w:t>
      </w:r>
      <w:r w:rsidRPr="00DB1A1B">
        <w:rPr>
          <w:sz w:val="24"/>
          <w:szCs w:val="24"/>
        </w:rPr>
        <w:noBreakHyphen/>
        <w:t xml:space="preserve">5,0 mg/ml) med en hastighed der ikke overstiger 10 mg/min og over et tidsrum på ikke mindre end 60 minutter for at undgå </w:t>
      </w:r>
      <w:r w:rsidRPr="00DB1A1B">
        <w:rPr>
          <w:sz w:val="24"/>
          <w:szCs w:val="24"/>
        </w:rPr>
        <w:lastRenderedPageBreak/>
        <w:t>hurtige infusionsrelaterede reaktioner. Disse reaktioner forsvinder normalt omgående, når infusionen stoppes.</w:t>
      </w:r>
    </w:p>
    <w:p w14:paraId="05DC5636" w14:textId="77777777" w:rsidR="004435FC" w:rsidRPr="00DB1A1B" w:rsidRDefault="004435FC" w:rsidP="00270E7C">
      <w:pPr>
        <w:suppressAutoHyphens/>
        <w:ind w:left="851"/>
        <w:rPr>
          <w:sz w:val="24"/>
          <w:szCs w:val="24"/>
        </w:rPr>
      </w:pPr>
    </w:p>
    <w:p w14:paraId="70E41C6C" w14:textId="77777777" w:rsidR="004435FC" w:rsidRPr="00DB1A1B" w:rsidRDefault="004435FC" w:rsidP="00270E7C">
      <w:pPr>
        <w:suppressAutoHyphens/>
        <w:ind w:left="851"/>
        <w:rPr>
          <w:sz w:val="24"/>
          <w:szCs w:val="24"/>
        </w:rPr>
      </w:pPr>
      <w:r w:rsidRPr="00DB1A1B">
        <w:rPr>
          <w:sz w:val="24"/>
          <w:szCs w:val="24"/>
        </w:rPr>
        <w:t xml:space="preserve">Hyppigheden af infusionsrelaterede reaktioner (hypotension, rødmen, </w:t>
      </w:r>
      <w:proofErr w:type="spellStart"/>
      <w:r w:rsidRPr="00DB1A1B">
        <w:rPr>
          <w:sz w:val="24"/>
          <w:szCs w:val="24"/>
        </w:rPr>
        <w:t>erytem</w:t>
      </w:r>
      <w:proofErr w:type="spellEnd"/>
      <w:r w:rsidRPr="00DB1A1B">
        <w:rPr>
          <w:sz w:val="24"/>
          <w:szCs w:val="24"/>
        </w:rPr>
        <w:t xml:space="preserve">, </w:t>
      </w:r>
      <w:proofErr w:type="spellStart"/>
      <w:r w:rsidRPr="00DB1A1B">
        <w:rPr>
          <w:sz w:val="24"/>
          <w:szCs w:val="24"/>
        </w:rPr>
        <w:t>urticaria</w:t>
      </w:r>
      <w:proofErr w:type="spellEnd"/>
      <w:r w:rsidRPr="00DB1A1B">
        <w:rPr>
          <w:sz w:val="24"/>
          <w:szCs w:val="24"/>
        </w:rPr>
        <w:t xml:space="preserve"> og </w:t>
      </w:r>
      <w:proofErr w:type="spellStart"/>
      <w:r w:rsidRPr="00DB1A1B">
        <w:rPr>
          <w:sz w:val="24"/>
          <w:szCs w:val="24"/>
        </w:rPr>
        <w:t>pruritus</w:t>
      </w:r>
      <w:proofErr w:type="spellEnd"/>
      <w:r w:rsidRPr="00DB1A1B">
        <w:rPr>
          <w:sz w:val="24"/>
          <w:szCs w:val="24"/>
        </w:rPr>
        <w:t xml:space="preserve">) stiger ved samtidig administration af </w:t>
      </w:r>
      <w:proofErr w:type="spellStart"/>
      <w:r w:rsidRPr="00DB1A1B">
        <w:rPr>
          <w:sz w:val="24"/>
          <w:szCs w:val="24"/>
        </w:rPr>
        <w:t>anæstetika</w:t>
      </w:r>
      <w:proofErr w:type="spellEnd"/>
      <w:r w:rsidRPr="00DB1A1B">
        <w:rPr>
          <w:sz w:val="24"/>
          <w:szCs w:val="24"/>
        </w:rPr>
        <w:t xml:space="preserve"> (se pkt. 4.5). Dette kan reduceres ved at indgive </w:t>
      </w:r>
      <w:proofErr w:type="spellStart"/>
      <w:r w:rsidRPr="00DB1A1B">
        <w:rPr>
          <w:sz w:val="24"/>
          <w:szCs w:val="24"/>
        </w:rPr>
        <w:t>vancomycin</w:t>
      </w:r>
      <w:proofErr w:type="spellEnd"/>
      <w:r w:rsidRPr="00DB1A1B">
        <w:rPr>
          <w:sz w:val="24"/>
          <w:szCs w:val="24"/>
        </w:rPr>
        <w:t xml:space="preserve"> ved infusion over mindst 60 minutter før anvendelse af anæstesi.</w:t>
      </w:r>
    </w:p>
    <w:p w14:paraId="7A234E05" w14:textId="77777777" w:rsidR="004435FC" w:rsidRPr="00DB1A1B" w:rsidRDefault="004435FC" w:rsidP="00270E7C">
      <w:pPr>
        <w:suppressAutoHyphens/>
        <w:ind w:left="851"/>
        <w:rPr>
          <w:sz w:val="24"/>
          <w:szCs w:val="24"/>
        </w:rPr>
      </w:pPr>
    </w:p>
    <w:p w14:paraId="37752082" w14:textId="77777777" w:rsidR="004435FC" w:rsidRPr="00DB1A1B" w:rsidRDefault="004435FC" w:rsidP="00270E7C">
      <w:pPr>
        <w:suppressAutoHyphens/>
        <w:ind w:left="851"/>
        <w:rPr>
          <w:sz w:val="24"/>
          <w:szCs w:val="24"/>
          <w:u w:val="single"/>
        </w:rPr>
      </w:pPr>
      <w:r w:rsidRPr="00DB1A1B">
        <w:rPr>
          <w:sz w:val="24"/>
          <w:szCs w:val="24"/>
          <w:u w:val="single"/>
        </w:rPr>
        <w:t xml:space="preserve">Svære </w:t>
      </w:r>
      <w:proofErr w:type="spellStart"/>
      <w:r w:rsidRPr="00DB1A1B">
        <w:rPr>
          <w:sz w:val="24"/>
          <w:szCs w:val="24"/>
          <w:u w:val="single"/>
        </w:rPr>
        <w:t>kutane</w:t>
      </w:r>
      <w:proofErr w:type="spellEnd"/>
      <w:r w:rsidRPr="00DB1A1B">
        <w:rPr>
          <w:sz w:val="24"/>
          <w:szCs w:val="24"/>
          <w:u w:val="single"/>
        </w:rPr>
        <w:t xml:space="preserve"> bivirkninger (</w:t>
      </w:r>
      <w:proofErr w:type="spellStart"/>
      <w:r w:rsidRPr="00DB1A1B">
        <w:rPr>
          <w:sz w:val="24"/>
          <w:szCs w:val="24"/>
          <w:u w:val="single"/>
        </w:rPr>
        <w:t>SCAR’er</w:t>
      </w:r>
      <w:proofErr w:type="spellEnd"/>
      <w:r w:rsidRPr="00DB1A1B">
        <w:rPr>
          <w:sz w:val="24"/>
          <w:szCs w:val="24"/>
          <w:u w:val="single"/>
        </w:rPr>
        <w:t>)</w:t>
      </w:r>
    </w:p>
    <w:p w14:paraId="236CFD76" w14:textId="77777777" w:rsidR="004435FC" w:rsidRPr="00DB1A1B" w:rsidRDefault="004435FC" w:rsidP="00270E7C">
      <w:pPr>
        <w:suppressAutoHyphens/>
        <w:ind w:left="851"/>
        <w:rPr>
          <w:sz w:val="24"/>
          <w:szCs w:val="24"/>
        </w:rPr>
      </w:pPr>
      <w:r w:rsidRPr="00DB1A1B">
        <w:rPr>
          <w:sz w:val="24"/>
          <w:szCs w:val="24"/>
        </w:rPr>
        <w:t xml:space="preserve">Svære </w:t>
      </w:r>
      <w:proofErr w:type="spellStart"/>
      <w:r w:rsidRPr="00DB1A1B">
        <w:rPr>
          <w:sz w:val="24"/>
          <w:szCs w:val="24"/>
        </w:rPr>
        <w:t>kutane</w:t>
      </w:r>
      <w:proofErr w:type="spellEnd"/>
      <w:r w:rsidRPr="00DB1A1B">
        <w:rPr>
          <w:sz w:val="24"/>
          <w:szCs w:val="24"/>
        </w:rPr>
        <w:t xml:space="preserve"> bivirkninger (</w:t>
      </w:r>
      <w:proofErr w:type="spellStart"/>
      <w:r w:rsidRPr="00DB1A1B">
        <w:rPr>
          <w:sz w:val="24"/>
          <w:szCs w:val="24"/>
        </w:rPr>
        <w:t>SCAR’er</w:t>
      </w:r>
      <w:proofErr w:type="spellEnd"/>
      <w:r w:rsidRPr="00DB1A1B">
        <w:rPr>
          <w:sz w:val="24"/>
          <w:szCs w:val="24"/>
        </w:rPr>
        <w:t xml:space="preserve">), inklusive Stevens-Johnsons syndrom (SJS), toksisk </w:t>
      </w:r>
      <w:proofErr w:type="spellStart"/>
      <w:r w:rsidRPr="00DB1A1B">
        <w:rPr>
          <w:sz w:val="24"/>
          <w:szCs w:val="24"/>
        </w:rPr>
        <w:t>epidermal</w:t>
      </w:r>
      <w:proofErr w:type="spellEnd"/>
      <w:r w:rsidRPr="00DB1A1B">
        <w:rPr>
          <w:sz w:val="24"/>
          <w:szCs w:val="24"/>
        </w:rPr>
        <w:t xml:space="preserve"> </w:t>
      </w:r>
      <w:proofErr w:type="spellStart"/>
      <w:r w:rsidRPr="00DB1A1B">
        <w:rPr>
          <w:sz w:val="24"/>
          <w:szCs w:val="24"/>
        </w:rPr>
        <w:t>nekrolyse</w:t>
      </w:r>
      <w:proofErr w:type="spellEnd"/>
      <w:r w:rsidRPr="00DB1A1B">
        <w:rPr>
          <w:sz w:val="24"/>
          <w:szCs w:val="24"/>
        </w:rPr>
        <w:t xml:space="preserve"> (TEN), lægemiddelreaktion med </w:t>
      </w:r>
      <w:proofErr w:type="spellStart"/>
      <w:r w:rsidRPr="00DB1A1B">
        <w:rPr>
          <w:sz w:val="24"/>
          <w:szCs w:val="24"/>
        </w:rPr>
        <w:t>eosinofili</w:t>
      </w:r>
      <w:proofErr w:type="spellEnd"/>
      <w:r w:rsidRPr="00DB1A1B">
        <w:rPr>
          <w:sz w:val="24"/>
          <w:szCs w:val="24"/>
        </w:rPr>
        <w:t xml:space="preserve"> og systemiske symptomer (DRESS) og akut generaliseret </w:t>
      </w:r>
      <w:proofErr w:type="spellStart"/>
      <w:r w:rsidRPr="00DB1A1B">
        <w:rPr>
          <w:sz w:val="24"/>
          <w:szCs w:val="24"/>
        </w:rPr>
        <w:t>eksantematøs</w:t>
      </w:r>
      <w:proofErr w:type="spellEnd"/>
      <w:r w:rsidRPr="00DB1A1B">
        <w:rPr>
          <w:sz w:val="24"/>
          <w:szCs w:val="24"/>
        </w:rPr>
        <w:t xml:space="preserve"> </w:t>
      </w:r>
      <w:proofErr w:type="spellStart"/>
      <w:r w:rsidRPr="00DB1A1B">
        <w:rPr>
          <w:sz w:val="24"/>
          <w:szCs w:val="24"/>
        </w:rPr>
        <w:t>pustulose</w:t>
      </w:r>
      <w:proofErr w:type="spellEnd"/>
      <w:r w:rsidRPr="00DB1A1B">
        <w:rPr>
          <w:sz w:val="24"/>
          <w:szCs w:val="24"/>
        </w:rPr>
        <w:t xml:space="preserve"> (AGEP), som kan være livstruende eller dødelige, er blevet rapporteret i forbindelse med </w:t>
      </w:r>
      <w:proofErr w:type="spellStart"/>
      <w:r w:rsidRPr="00DB1A1B">
        <w:rPr>
          <w:sz w:val="24"/>
          <w:szCs w:val="24"/>
        </w:rPr>
        <w:t>vancomycinbehandling</w:t>
      </w:r>
      <w:proofErr w:type="spellEnd"/>
      <w:r w:rsidRPr="00DB1A1B">
        <w:rPr>
          <w:sz w:val="24"/>
          <w:szCs w:val="24"/>
        </w:rPr>
        <w:t xml:space="preserve"> (se pkt. 4.8). De fleste af disse reaktioner forekom inden for få dage og i op til 8 uger efter påbegyndelse af behandlingen med </w:t>
      </w:r>
      <w:proofErr w:type="spellStart"/>
      <w:r w:rsidRPr="00DB1A1B">
        <w:rPr>
          <w:sz w:val="24"/>
          <w:szCs w:val="24"/>
        </w:rPr>
        <w:t>vancomycin</w:t>
      </w:r>
      <w:proofErr w:type="spellEnd"/>
      <w:r w:rsidRPr="00DB1A1B">
        <w:rPr>
          <w:sz w:val="24"/>
          <w:szCs w:val="24"/>
        </w:rPr>
        <w:t>.</w:t>
      </w:r>
    </w:p>
    <w:p w14:paraId="2744505D" w14:textId="77777777" w:rsidR="004435FC" w:rsidRPr="00DB1A1B" w:rsidRDefault="004435FC" w:rsidP="00270E7C">
      <w:pPr>
        <w:suppressAutoHyphens/>
        <w:ind w:left="851"/>
        <w:rPr>
          <w:sz w:val="24"/>
          <w:szCs w:val="24"/>
        </w:rPr>
      </w:pPr>
    </w:p>
    <w:p w14:paraId="02CBD7FB" w14:textId="77777777" w:rsidR="004435FC" w:rsidRPr="00DB1A1B" w:rsidRDefault="004435FC" w:rsidP="00270E7C">
      <w:pPr>
        <w:suppressAutoHyphens/>
        <w:ind w:left="851"/>
        <w:rPr>
          <w:sz w:val="24"/>
          <w:szCs w:val="24"/>
        </w:rPr>
      </w:pPr>
      <w:r w:rsidRPr="00DB1A1B">
        <w:rPr>
          <w:sz w:val="24"/>
          <w:szCs w:val="24"/>
        </w:rPr>
        <w:t xml:space="preserve">Ved ordination skal patienterne underrettes om tegn og symptomer og de skal monitoreres tæt for hudreaktioner. Hvis der opstår tegn og symptomer, som tyder på disse reaktioner, skal behandlingen med </w:t>
      </w:r>
      <w:proofErr w:type="spellStart"/>
      <w:r w:rsidRPr="00DB1A1B">
        <w:rPr>
          <w:sz w:val="24"/>
          <w:szCs w:val="24"/>
        </w:rPr>
        <w:t>vancomycyin</w:t>
      </w:r>
      <w:proofErr w:type="spellEnd"/>
      <w:r w:rsidRPr="00DB1A1B">
        <w:rPr>
          <w:sz w:val="24"/>
          <w:szCs w:val="24"/>
        </w:rPr>
        <w:t xml:space="preserve"> straks ophøre, og en alternativ behandling skal overvejes. Hvis patienten har udviklet en SCAR ved brug af </w:t>
      </w:r>
      <w:proofErr w:type="spellStart"/>
      <w:r w:rsidRPr="00DB1A1B">
        <w:rPr>
          <w:sz w:val="24"/>
          <w:szCs w:val="24"/>
        </w:rPr>
        <w:t>vancomycin</w:t>
      </w:r>
      <w:proofErr w:type="spellEnd"/>
      <w:r w:rsidRPr="00DB1A1B">
        <w:rPr>
          <w:sz w:val="24"/>
          <w:szCs w:val="24"/>
        </w:rPr>
        <w:t xml:space="preserve">, må behandling med </w:t>
      </w:r>
      <w:proofErr w:type="spellStart"/>
      <w:r w:rsidRPr="00DB1A1B">
        <w:rPr>
          <w:sz w:val="24"/>
          <w:szCs w:val="24"/>
        </w:rPr>
        <w:t>vancomycin</w:t>
      </w:r>
      <w:proofErr w:type="spellEnd"/>
      <w:r w:rsidRPr="00DB1A1B">
        <w:rPr>
          <w:sz w:val="24"/>
          <w:szCs w:val="24"/>
        </w:rPr>
        <w:t xml:space="preserve"> ikke genstartes på noget tidspunkt.</w:t>
      </w:r>
    </w:p>
    <w:p w14:paraId="612963A4" w14:textId="77777777" w:rsidR="004435FC" w:rsidRPr="00DB1A1B" w:rsidRDefault="004435FC" w:rsidP="00270E7C">
      <w:pPr>
        <w:suppressAutoHyphens/>
        <w:ind w:left="851"/>
        <w:rPr>
          <w:sz w:val="24"/>
          <w:szCs w:val="24"/>
        </w:rPr>
      </w:pPr>
    </w:p>
    <w:p w14:paraId="0BE071E9" w14:textId="77777777" w:rsidR="004435FC" w:rsidRPr="00DB1A1B" w:rsidRDefault="004435FC" w:rsidP="00270E7C">
      <w:pPr>
        <w:suppressAutoHyphens/>
        <w:ind w:left="851"/>
        <w:rPr>
          <w:sz w:val="24"/>
          <w:szCs w:val="24"/>
          <w:u w:val="single"/>
        </w:rPr>
      </w:pPr>
      <w:r w:rsidRPr="00DB1A1B">
        <w:rPr>
          <w:sz w:val="24"/>
          <w:szCs w:val="24"/>
          <w:u w:val="single"/>
        </w:rPr>
        <w:t>Reaktioner, der er relateret til administrationsstedet</w:t>
      </w:r>
    </w:p>
    <w:p w14:paraId="3C7EAE45" w14:textId="77777777" w:rsidR="004435FC" w:rsidRPr="00DB1A1B" w:rsidRDefault="004435FC" w:rsidP="00270E7C">
      <w:pPr>
        <w:suppressAutoHyphens/>
        <w:ind w:left="851"/>
        <w:rPr>
          <w:sz w:val="24"/>
          <w:szCs w:val="24"/>
        </w:rPr>
      </w:pPr>
      <w:r w:rsidRPr="00DB1A1B">
        <w:rPr>
          <w:sz w:val="24"/>
          <w:szCs w:val="24"/>
        </w:rPr>
        <w:t xml:space="preserve">Smerte og </w:t>
      </w:r>
      <w:proofErr w:type="spellStart"/>
      <w:r w:rsidRPr="00DB1A1B">
        <w:rPr>
          <w:sz w:val="24"/>
          <w:szCs w:val="24"/>
        </w:rPr>
        <w:t>tromboflebitis</w:t>
      </w:r>
      <w:proofErr w:type="spellEnd"/>
      <w:r w:rsidRPr="00DB1A1B">
        <w:rPr>
          <w:sz w:val="24"/>
          <w:szCs w:val="24"/>
        </w:rPr>
        <w:t xml:space="preserve"> kan forekomme hos mange patienter der får intravenøs </w:t>
      </w:r>
      <w:proofErr w:type="spellStart"/>
      <w:r w:rsidRPr="00DB1A1B">
        <w:rPr>
          <w:sz w:val="24"/>
          <w:szCs w:val="24"/>
        </w:rPr>
        <w:t>vancomycin</w:t>
      </w:r>
      <w:proofErr w:type="spellEnd"/>
      <w:r w:rsidRPr="00DB1A1B">
        <w:rPr>
          <w:sz w:val="24"/>
          <w:szCs w:val="24"/>
        </w:rPr>
        <w:t xml:space="preserve">, og er lejlighedsvis alvorligt. Hyppigheden og sværhedsgraden af </w:t>
      </w:r>
      <w:proofErr w:type="spellStart"/>
      <w:r w:rsidRPr="00DB1A1B">
        <w:rPr>
          <w:sz w:val="24"/>
          <w:szCs w:val="24"/>
        </w:rPr>
        <w:t>tromboflebitis</w:t>
      </w:r>
      <w:proofErr w:type="spellEnd"/>
      <w:r w:rsidRPr="00DB1A1B">
        <w:rPr>
          <w:sz w:val="24"/>
          <w:szCs w:val="24"/>
        </w:rPr>
        <w:t xml:space="preserve"> kan minimeres ved at indgive lægemidlet langsomt som en fortyndet opløsning (se pkt. 4.2) og ved jævnligt at skifte infusionssted.</w:t>
      </w:r>
    </w:p>
    <w:p w14:paraId="62F05080" w14:textId="77777777" w:rsidR="004435FC" w:rsidRPr="00DB1A1B" w:rsidRDefault="004435FC" w:rsidP="00270E7C">
      <w:pPr>
        <w:suppressAutoHyphens/>
        <w:ind w:left="851"/>
        <w:rPr>
          <w:sz w:val="24"/>
          <w:szCs w:val="24"/>
        </w:rPr>
      </w:pPr>
    </w:p>
    <w:p w14:paraId="384D2A9F" w14:textId="77777777" w:rsidR="004435FC" w:rsidRPr="00DB1A1B" w:rsidRDefault="004435FC" w:rsidP="00270E7C">
      <w:pPr>
        <w:suppressAutoHyphens/>
        <w:ind w:left="851"/>
        <w:rPr>
          <w:sz w:val="24"/>
          <w:szCs w:val="24"/>
        </w:rPr>
      </w:pPr>
      <w:r w:rsidRPr="00DB1A1B">
        <w:rPr>
          <w:sz w:val="24"/>
          <w:szCs w:val="24"/>
        </w:rPr>
        <w:t xml:space="preserve">Virkningen og sikkerheden af </w:t>
      </w:r>
      <w:proofErr w:type="spellStart"/>
      <w:r w:rsidRPr="00DB1A1B">
        <w:rPr>
          <w:sz w:val="24"/>
          <w:szCs w:val="24"/>
        </w:rPr>
        <w:t>vancomycin</w:t>
      </w:r>
      <w:proofErr w:type="spellEnd"/>
      <w:r w:rsidRPr="00DB1A1B">
        <w:rPr>
          <w:sz w:val="24"/>
          <w:szCs w:val="24"/>
        </w:rPr>
        <w:t xml:space="preserve"> til </w:t>
      </w:r>
      <w:proofErr w:type="spellStart"/>
      <w:r w:rsidRPr="00DB1A1B">
        <w:rPr>
          <w:sz w:val="24"/>
          <w:szCs w:val="24"/>
        </w:rPr>
        <w:t>intrathekal</w:t>
      </w:r>
      <w:proofErr w:type="spellEnd"/>
      <w:r w:rsidRPr="00DB1A1B">
        <w:rPr>
          <w:sz w:val="24"/>
          <w:szCs w:val="24"/>
        </w:rPr>
        <w:t xml:space="preserve">, </w:t>
      </w:r>
      <w:proofErr w:type="spellStart"/>
      <w:r w:rsidRPr="00DB1A1B">
        <w:rPr>
          <w:sz w:val="24"/>
          <w:szCs w:val="24"/>
        </w:rPr>
        <w:t>intralumbar</w:t>
      </w:r>
      <w:proofErr w:type="spellEnd"/>
      <w:r w:rsidRPr="00DB1A1B">
        <w:rPr>
          <w:sz w:val="24"/>
          <w:szCs w:val="24"/>
        </w:rPr>
        <w:t xml:space="preserve"> og </w:t>
      </w:r>
      <w:proofErr w:type="spellStart"/>
      <w:r w:rsidRPr="00DB1A1B">
        <w:rPr>
          <w:sz w:val="24"/>
          <w:szCs w:val="24"/>
        </w:rPr>
        <w:t>intraventrikulær</w:t>
      </w:r>
      <w:proofErr w:type="spellEnd"/>
      <w:r w:rsidRPr="00DB1A1B">
        <w:rPr>
          <w:sz w:val="24"/>
          <w:szCs w:val="24"/>
        </w:rPr>
        <w:t xml:space="preserve"> administration er ikke fastslået.</w:t>
      </w:r>
    </w:p>
    <w:p w14:paraId="0368F3BA" w14:textId="77777777" w:rsidR="004435FC" w:rsidRPr="00DB1A1B" w:rsidRDefault="004435FC" w:rsidP="00270E7C">
      <w:pPr>
        <w:suppressAutoHyphens/>
        <w:ind w:left="851"/>
        <w:rPr>
          <w:sz w:val="24"/>
          <w:szCs w:val="24"/>
          <w:u w:val="single"/>
        </w:rPr>
      </w:pPr>
    </w:p>
    <w:p w14:paraId="6C5AD180" w14:textId="77777777" w:rsidR="004435FC" w:rsidRPr="00DB1A1B" w:rsidRDefault="004435FC" w:rsidP="00270E7C">
      <w:pPr>
        <w:suppressAutoHyphens/>
        <w:ind w:left="851"/>
        <w:rPr>
          <w:sz w:val="24"/>
          <w:szCs w:val="24"/>
          <w:u w:val="single"/>
        </w:rPr>
      </w:pPr>
      <w:proofErr w:type="spellStart"/>
      <w:r w:rsidRPr="00DB1A1B">
        <w:rPr>
          <w:sz w:val="24"/>
          <w:szCs w:val="24"/>
          <w:u w:val="single"/>
        </w:rPr>
        <w:t>Nefrotoksicitet</w:t>
      </w:r>
      <w:proofErr w:type="spellEnd"/>
    </w:p>
    <w:p w14:paraId="73241EC6" w14:textId="77777777" w:rsidR="004435FC" w:rsidRPr="00DB1A1B" w:rsidRDefault="004435FC" w:rsidP="00270E7C">
      <w:pPr>
        <w:suppressAutoHyphens/>
        <w:ind w:left="851"/>
        <w:rPr>
          <w:sz w:val="24"/>
          <w:szCs w:val="24"/>
        </w:rPr>
      </w:pPr>
      <w:proofErr w:type="spellStart"/>
      <w:r w:rsidRPr="00DB1A1B">
        <w:rPr>
          <w:sz w:val="24"/>
          <w:szCs w:val="24"/>
        </w:rPr>
        <w:t>Vancomycin</w:t>
      </w:r>
      <w:proofErr w:type="spellEnd"/>
      <w:r w:rsidRPr="00DB1A1B">
        <w:rPr>
          <w:sz w:val="24"/>
          <w:szCs w:val="24"/>
        </w:rPr>
        <w:t xml:space="preserve"> skal anvendes med forsigtighed til patienter med nyreinsufficiens, herunder </w:t>
      </w:r>
      <w:proofErr w:type="spellStart"/>
      <w:r w:rsidRPr="00DB1A1B">
        <w:rPr>
          <w:sz w:val="24"/>
          <w:szCs w:val="24"/>
        </w:rPr>
        <w:t>anuri</w:t>
      </w:r>
      <w:proofErr w:type="spellEnd"/>
      <w:r w:rsidRPr="00DB1A1B">
        <w:rPr>
          <w:sz w:val="24"/>
          <w:szCs w:val="24"/>
        </w:rPr>
        <w:t xml:space="preserve">, da risikoen for at udvikle toksiske virkninger er meget større ved længerevarende høje blodkoncentrationer. Risikoen for toksicitet stiger ved høje blodkoncentrationer eller længerevarende behandling. </w:t>
      </w:r>
    </w:p>
    <w:p w14:paraId="4BBD74C2" w14:textId="77777777" w:rsidR="004435FC" w:rsidRPr="00DB1A1B" w:rsidRDefault="004435FC" w:rsidP="00270E7C">
      <w:pPr>
        <w:suppressAutoHyphens/>
        <w:ind w:left="851"/>
        <w:rPr>
          <w:sz w:val="24"/>
          <w:szCs w:val="24"/>
        </w:rPr>
      </w:pPr>
    </w:p>
    <w:p w14:paraId="3E3526CB" w14:textId="77777777" w:rsidR="004435FC" w:rsidRPr="00DB1A1B" w:rsidRDefault="004435FC" w:rsidP="00270E7C">
      <w:pPr>
        <w:suppressAutoHyphens/>
        <w:ind w:left="851"/>
        <w:rPr>
          <w:sz w:val="24"/>
          <w:szCs w:val="24"/>
        </w:rPr>
      </w:pPr>
      <w:r w:rsidRPr="00DB1A1B">
        <w:rPr>
          <w:sz w:val="24"/>
          <w:szCs w:val="24"/>
        </w:rPr>
        <w:t xml:space="preserve">Regelmæssig monitorering af blodkoncentrationer af </w:t>
      </w:r>
      <w:proofErr w:type="spellStart"/>
      <w:r w:rsidRPr="00DB1A1B">
        <w:rPr>
          <w:sz w:val="24"/>
          <w:szCs w:val="24"/>
        </w:rPr>
        <w:t>vancomycin</w:t>
      </w:r>
      <w:proofErr w:type="spellEnd"/>
      <w:r w:rsidRPr="00DB1A1B">
        <w:rPr>
          <w:sz w:val="24"/>
          <w:szCs w:val="24"/>
        </w:rPr>
        <w:t xml:space="preserve"> er indiceret ved højdosisbehandling og længerevarende anvendelse, især hos patienter med </w:t>
      </w:r>
      <w:proofErr w:type="spellStart"/>
      <w:r w:rsidRPr="00DB1A1B">
        <w:rPr>
          <w:sz w:val="24"/>
          <w:szCs w:val="24"/>
        </w:rPr>
        <w:t>renal</w:t>
      </w:r>
      <w:proofErr w:type="spellEnd"/>
      <w:r w:rsidRPr="00DB1A1B">
        <w:rPr>
          <w:sz w:val="24"/>
          <w:szCs w:val="24"/>
        </w:rPr>
        <w:t xml:space="preserve"> dysfunktion eller nedsat hørelse, samt ved samtidig administration af hhv. </w:t>
      </w:r>
      <w:proofErr w:type="spellStart"/>
      <w:r w:rsidRPr="00DB1A1B">
        <w:rPr>
          <w:sz w:val="24"/>
          <w:szCs w:val="24"/>
        </w:rPr>
        <w:t>nefrotoksiske</w:t>
      </w:r>
      <w:proofErr w:type="spellEnd"/>
      <w:r w:rsidRPr="00DB1A1B">
        <w:rPr>
          <w:sz w:val="24"/>
          <w:szCs w:val="24"/>
        </w:rPr>
        <w:t xml:space="preserve"> eller </w:t>
      </w:r>
      <w:proofErr w:type="spellStart"/>
      <w:r w:rsidRPr="00DB1A1B">
        <w:rPr>
          <w:sz w:val="24"/>
          <w:szCs w:val="24"/>
        </w:rPr>
        <w:t>ototoksiske</w:t>
      </w:r>
      <w:proofErr w:type="spellEnd"/>
      <w:r w:rsidRPr="00DB1A1B">
        <w:rPr>
          <w:sz w:val="24"/>
          <w:szCs w:val="24"/>
        </w:rPr>
        <w:t xml:space="preserve"> stoffer (se pkt. 4.2 og 4.5).</w:t>
      </w:r>
    </w:p>
    <w:p w14:paraId="181E1E4D" w14:textId="77777777" w:rsidR="004435FC" w:rsidRPr="00DB1A1B" w:rsidRDefault="004435FC" w:rsidP="00270E7C">
      <w:pPr>
        <w:suppressAutoHyphens/>
        <w:ind w:left="851"/>
        <w:rPr>
          <w:sz w:val="24"/>
          <w:szCs w:val="24"/>
        </w:rPr>
      </w:pPr>
    </w:p>
    <w:p w14:paraId="567D40AB" w14:textId="77777777" w:rsidR="004435FC" w:rsidRPr="00DB1A1B" w:rsidRDefault="004435FC" w:rsidP="00270E7C">
      <w:pPr>
        <w:suppressAutoHyphens/>
        <w:ind w:left="851"/>
        <w:rPr>
          <w:sz w:val="24"/>
          <w:szCs w:val="24"/>
          <w:u w:val="single"/>
        </w:rPr>
      </w:pPr>
      <w:r w:rsidRPr="00DB1A1B">
        <w:rPr>
          <w:sz w:val="24"/>
          <w:szCs w:val="24"/>
          <w:u w:val="single"/>
        </w:rPr>
        <w:t xml:space="preserve">Pædiatrisk population </w:t>
      </w:r>
    </w:p>
    <w:p w14:paraId="1E26D204" w14:textId="77777777" w:rsidR="004435FC" w:rsidRPr="00DB1A1B" w:rsidRDefault="004435FC" w:rsidP="00270E7C">
      <w:pPr>
        <w:ind w:left="851"/>
        <w:rPr>
          <w:sz w:val="24"/>
          <w:szCs w:val="24"/>
        </w:rPr>
      </w:pPr>
      <w:r w:rsidRPr="00DB1A1B">
        <w:rPr>
          <w:sz w:val="24"/>
          <w:szCs w:val="24"/>
        </w:rPr>
        <w:t xml:space="preserve">De nuværende intravenøse doseringsanbefalinger til den pædiatriske population, især for børn under 12 år, kan føre til subterapeutiske </w:t>
      </w:r>
      <w:proofErr w:type="spellStart"/>
      <w:r w:rsidRPr="00DB1A1B">
        <w:rPr>
          <w:sz w:val="24"/>
          <w:szCs w:val="24"/>
        </w:rPr>
        <w:t>vancomycinniveauer</w:t>
      </w:r>
      <w:proofErr w:type="spellEnd"/>
      <w:r w:rsidRPr="00DB1A1B">
        <w:rPr>
          <w:sz w:val="24"/>
          <w:szCs w:val="24"/>
        </w:rPr>
        <w:t xml:space="preserve"> hos et betydeligt antal børn. Sikkerheden ved øget </w:t>
      </w:r>
      <w:proofErr w:type="spellStart"/>
      <w:r w:rsidRPr="00DB1A1B">
        <w:rPr>
          <w:sz w:val="24"/>
          <w:szCs w:val="24"/>
        </w:rPr>
        <w:t>vancomycindosering</w:t>
      </w:r>
      <w:proofErr w:type="spellEnd"/>
      <w:r w:rsidRPr="00DB1A1B">
        <w:rPr>
          <w:sz w:val="24"/>
          <w:szCs w:val="24"/>
        </w:rPr>
        <w:t xml:space="preserve"> er ikke blevet korrekt vurderet, og højere doser end 60 mg/kg/dag kan ikke anbefales generelt.</w:t>
      </w:r>
    </w:p>
    <w:p w14:paraId="52539A86" w14:textId="77777777" w:rsidR="004435FC" w:rsidRPr="00DB1A1B" w:rsidRDefault="004435FC" w:rsidP="00270E7C">
      <w:pPr>
        <w:ind w:left="851"/>
        <w:rPr>
          <w:sz w:val="24"/>
          <w:szCs w:val="24"/>
        </w:rPr>
      </w:pPr>
    </w:p>
    <w:p w14:paraId="6C5BF3EC" w14:textId="77777777" w:rsidR="004435FC" w:rsidRPr="00DB1A1B" w:rsidRDefault="004435FC" w:rsidP="00270E7C">
      <w:pPr>
        <w:ind w:left="851"/>
        <w:rPr>
          <w:sz w:val="24"/>
          <w:szCs w:val="24"/>
        </w:rPr>
      </w:pPr>
      <w:proofErr w:type="spellStart"/>
      <w:r w:rsidRPr="00DB1A1B">
        <w:rPr>
          <w:sz w:val="24"/>
          <w:szCs w:val="24"/>
        </w:rPr>
        <w:t>Vancomycin</w:t>
      </w:r>
      <w:proofErr w:type="spellEnd"/>
      <w:r w:rsidRPr="00DB1A1B">
        <w:rPr>
          <w:sz w:val="24"/>
          <w:szCs w:val="24"/>
        </w:rPr>
        <w:t xml:space="preserve"> bør anvendes med særlig forsigtighed hos præmature spædbørn og mindre børn, fordi deres nyrer ikke er fuldt udviklede, hvorfor serumkoncentrationen af </w:t>
      </w:r>
      <w:proofErr w:type="spellStart"/>
      <w:r w:rsidRPr="00DB1A1B">
        <w:rPr>
          <w:sz w:val="24"/>
          <w:szCs w:val="24"/>
        </w:rPr>
        <w:t>vancomycin</w:t>
      </w:r>
      <w:proofErr w:type="spellEnd"/>
      <w:r w:rsidRPr="00DB1A1B">
        <w:rPr>
          <w:sz w:val="24"/>
          <w:szCs w:val="24"/>
        </w:rPr>
        <w:t xml:space="preserve"> kan være højere. Blodkoncentrationerne af </w:t>
      </w:r>
      <w:proofErr w:type="spellStart"/>
      <w:r w:rsidRPr="00DB1A1B">
        <w:rPr>
          <w:sz w:val="24"/>
          <w:szCs w:val="24"/>
        </w:rPr>
        <w:t>vancomycin</w:t>
      </w:r>
      <w:proofErr w:type="spellEnd"/>
      <w:r w:rsidRPr="00DB1A1B">
        <w:rPr>
          <w:sz w:val="24"/>
          <w:szCs w:val="24"/>
        </w:rPr>
        <w:t xml:space="preserve"> bør derfor </w:t>
      </w:r>
      <w:r w:rsidRPr="00DB1A1B">
        <w:rPr>
          <w:sz w:val="24"/>
          <w:szCs w:val="24"/>
        </w:rPr>
        <w:lastRenderedPageBreak/>
        <w:t xml:space="preserve">kontrolleres nøje hos disse børn. Samtidig administration af </w:t>
      </w:r>
      <w:proofErr w:type="spellStart"/>
      <w:r w:rsidRPr="00DB1A1B">
        <w:rPr>
          <w:sz w:val="24"/>
          <w:szCs w:val="24"/>
        </w:rPr>
        <w:t>vancomycin</w:t>
      </w:r>
      <w:proofErr w:type="spellEnd"/>
      <w:r w:rsidRPr="00DB1A1B">
        <w:rPr>
          <w:sz w:val="24"/>
          <w:szCs w:val="24"/>
        </w:rPr>
        <w:t xml:space="preserve"> og </w:t>
      </w:r>
      <w:proofErr w:type="spellStart"/>
      <w:r w:rsidRPr="00DB1A1B">
        <w:rPr>
          <w:sz w:val="24"/>
          <w:szCs w:val="24"/>
        </w:rPr>
        <w:t>anæstetika</w:t>
      </w:r>
      <w:proofErr w:type="spellEnd"/>
      <w:r w:rsidRPr="00DB1A1B">
        <w:rPr>
          <w:sz w:val="24"/>
          <w:szCs w:val="24"/>
        </w:rPr>
        <w:t xml:space="preserve"> er blevet forbundet med </w:t>
      </w:r>
      <w:proofErr w:type="spellStart"/>
      <w:r w:rsidRPr="00DB1A1B">
        <w:rPr>
          <w:sz w:val="24"/>
          <w:szCs w:val="24"/>
        </w:rPr>
        <w:t>erytem</w:t>
      </w:r>
      <w:proofErr w:type="spellEnd"/>
      <w:r w:rsidRPr="00DB1A1B">
        <w:rPr>
          <w:sz w:val="24"/>
          <w:szCs w:val="24"/>
        </w:rPr>
        <w:t xml:space="preserve"> og histamin-lignende rødme hos børn. Tilsvarende er samtidig anvendelse af </w:t>
      </w:r>
      <w:proofErr w:type="spellStart"/>
      <w:r w:rsidRPr="00DB1A1B">
        <w:rPr>
          <w:sz w:val="24"/>
          <w:szCs w:val="24"/>
        </w:rPr>
        <w:t>nefrotoksiske</w:t>
      </w:r>
      <w:proofErr w:type="spellEnd"/>
      <w:r w:rsidRPr="00DB1A1B">
        <w:rPr>
          <w:sz w:val="24"/>
          <w:szCs w:val="24"/>
        </w:rPr>
        <w:t xml:space="preserve"> lægemidler, såsom </w:t>
      </w:r>
      <w:proofErr w:type="spellStart"/>
      <w:r w:rsidRPr="00DB1A1B">
        <w:rPr>
          <w:sz w:val="24"/>
          <w:szCs w:val="24"/>
        </w:rPr>
        <w:t>aminoglykosidantibiotika</w:t>
      </w:r>
      <w:proofErr w:type="spellEnd"/>
      <w:r w:rsidRPr="00DB1A1B">
        <w:rPr>
          <w:sz w:val="24"/>
          <w:szCs w:val="24"/>
        </w:rPr>
        <w:t xml:space="preserve">, NSAID (f.eks. ibuprofen til lukning af åben </w:t>
      </w:r>
      <w:proofErr w:type="spellStart"/>
      <w:r w:rsidRPr="00DB1A1B">
        <w:rPr>
          <w:sz w:val="24"/>
          <w:szCs w:val="24"/>
        </w:rPr>
        <w:t>ductus</w:t>
      </w:r>
      <w:proofErr w:type="spellEnd"/>
      <w:r w:rsidRPr="00DB1A1B">
        <w:rPr>
          <w:sz w:val="24"/>
          <w:szCs w:val="24"/>
        </w:rPr>
        <w:t xml:space="preserve"> </w:t>
      </w:r>
      <w:proofErr w:type="spellStart"/>
      <w:r w:rsidRPr="00DB1A1B">
        <w:rPr>
          <w:sz w:val="24"/>
          <w:szCs w:val="24"/>
        </w:rPr>
        <w:t>arteriosus</w:t>
      </w:r>
      <w:proofErr w:type="spellEnd"/>
      <w:r w:rsidRPr="00DB1A1B">
        <w:rPr>
          <w:sz w:val="24"/>
          <w:szCs w:val="24"/>
        </w:rPr>
        <w:t xml:space="preserve">) eller </w:t>
      </w:r>
      <w:proofErr w:type="spellStart"/>
      <w:r w:rsidRPr="00DB1A1B">
        <w:rPr>
          <w:sz w:val="24"/>
          <w:szCs w:val="24"/>
        </w:rPr>
        <w:t>amphotericin</w:t>
      </w:r>
      <w:proofErr w:type="spellEnd"/>
      <w:r w:rsidRPr="00DB1A1B">
        <w:rPr>
          <w:sz w:val="24"/>
          <w:szCs w:val="24"/>
        </w:rPr>
        <w:t xml:space="preserve"> B forbundet med en øget risiko for </w:t>
      </w:r>
      <w:proofErr w:type="spellStart"/>
      <w:r w:rsidRPr="00DB1A1B">
        <w:rPr>
          <w:sz w:val="24"/>
          <w:szCs w:val="24"/>
        </w:rPr>
        <w:t>nefrotoksicitet</w:t>
      </w:r>
      <w:proofErr w:type="spellEnd"/>
      <w:r w:rsidRPr="00DB1A1B">
        <w:rPr>
          <w:sz w:val="24"/>
          <w:szCs w:val="24"/>
        </w:rPr>
        <w:t xml:space="preserve"> (se pkt. 4.5) og derfor er hyppigere kontrol af </w:t>
      </w:r>
      <w:proofErr w:type="spellStart"/>
      <w:r w:rsidRPr="00DB1A1B">
        <w:rPr>
          <w:sz w:val="24"/>
          <w:szCs w:val="24"/>
        </w:rPr>
        <w:t>vancomycin</w:t>
      </w:r>
      <w:proofErr w:type="spellEnd"/>
      <w:r w:rsidRPr="00DB1A1B">
        <w:rPr>
          <w:sz w:val="24"/>
          <w:szCs w:val="24"/>
        </w:rPr>
        <w:t xml:space="preserve"> serumniveauer og nyrefunktionen indiceret.</w:t>
      </w:r>
    </w:p>
    <w:p w14:paraId="1EA99E7F" w14:textId="77777777" w:rsidR="004435FC" w:rsidRPr="00DB1A1B" w:rsidRDefault="004435FC" w:rsidP="00270E7C">
      <w:pPr>
        <w:ind w:left="851"/>
        <w:rPr>
          <w:bCs/>
          <w:iCs/>
          <w:sz w:val="24"/>
          <w:szCs w:val="24"/>
        </w:rPr>
      </w:pPr>
    </w:p>
    <w:p w14:paraId="6C32280E" w14:textId="77777777" w:rsidR="004435FC" w:rsidRPr="00DB1A1B" w:rsidRDefault="004435FC" w:rsidP="00270E7C">
      <w:pPr>
        <w:suppressAutoHyphens/>
        <w:ind w:left="851"/>
        <w:rPr>
          <w:sz w:val="24"/>
          <w:szCs w:val="24"/>
          <w:u w:val="single"/>
        </w:rPr>
      </w:pPr>
      <w:r w:rsidRPr="00DB1A1B">
        <w:rPr>
          <w:sz w:val="24"/>
          <w:szCs w:val="24"/>
          <w:u w:val="single"/>
        </w:rPr>
        <w:t>Anvendelse til ældre</w:t>
      </w:r>
    </w:p>
    <w:p w14:paraId="5B378A95" w14:textId="77777777" w:rsidR="004435FC" w:rsidRPr="00DB1A1B" w:rsidRDefault="004435FC" w:rsidP="00270E7C">
      <w:pPr>
        <w:suppressAutoHyphens/>
        <w:ind w:left="851"/>
        <w:rPr>
          <w:sz w:val="24"/>
          <w:szCs w:val="24"/>
        </w:rPr>
      </w:pPr>
      <w:r w:rsidRPr="00DB1A1B">
        <w:rPr>
          <w:sz w:val="24"/>
          <w:szCs w:val="24"/>
        </w:rPr>
        <w:t xml:space="preserve">Den naturlige formindskelse af den </w:t>
      </w:r>
      <w:proofErr w:type="spellStart"/>
      <w:r w:rsidRPr="00DB1A1B">
        <w:rPr>
          <w:sz w:val="24"/>
          <w:szCs w:val="24"/>
        </w:rPr>
        <w:t>glomerulære</w:t>
      </w:r>
      <w:proofErr w:type="spellEnd"/>
      <w:r w:rsidRPr="00DB1A1B">
        <w:rPr>
          <w:sz w:val="24"/>
          <w:szCs w:val="24"/>
        </w:rPr>
        <w:t xml:space="preserve"> filtration ved stigende alder kan føre til forhøjede </w:t>
      </w:r>
      <w:proofErr w:type="spellStart"/>
      <w:r w:rsidRPr="00DB1A1B">
        <w:rPr>
          <w:sz w:val="24"/>
          <w:szCs w:val="24"/>
        </w:rPr>
        <w:t>vancomycinserumkoncentrationer</w:t>
      </w:r>
      <w:proofErr w:type="spellEnd"/>
      <w:r w:rsidRPr="00DB1A1B">
        <w:rPr>
          <w:sz w:val="24"/>
          <w:szCs w:val="24"/>
        </w:rPr>
        <w:t>, hvis dosis ikke justeres (se pkt. 4.2).</w:t>
      </w:r>
    </w:p>
    <w:p w14:paraId="7CCC6CBD" w14:textId="77777777" w:rsidR="004435FC" w:rsidRPr="00DB1A1B" w:rsidRDefault="004435FC" w:rsidP="00270E7C">
      <w:pPr>
        <w:suppressAutoHyphens/>
        <w:ind w:left="851"/>
        <w:rPr>
          <w:sz w:val="24"/>
          <w:szCs w:val="24"/>
          <w:u w:val="single"/>
        </w:rPr>
      </w:pPr>
    </w:p>
    <w:p w14:paraId="49747D1B" w14:textId="77777777" w:rsidR="004435FC" w:rsidRPr="00DB1A1B" w:rsidRDefault="004435FC" w:rsidP="00270E7C">
      <w:pPr>
        <w:suppressAutoHyphens/>
        <w:ind w:left="851"/>
        <w:rPr>
          <w:sz w:val="24"/>
          <w:szCs w:val="24"/>
          <w:u w:val="single"/>
        </w:rPr>
      </w:pPr>
      <w:r w:rsidRPr="00DB1A1B">
        <w:rPr>
          <w:sz w:val="24"/>
          <w:szCs w:val="24"/>
          <w:u w:val="single"/>
        </w:rPr>
        <w:t xml:space="preserve">Lægemiddelinteraktioner med </w:t>
      </w:r>
      <w:proofErr w:type="spellStart"/>
      <w:r w:rsidRPr="00DB1A1B">
        <w:rPr>
          <w:sz w:val="24"/>
          <w:szCs w:val="24"/>
          <w:u w:val="single"/>
        </w:rPr>
        <w:t>anæstetika</w:t>
      </w:r>
      <w:proofErr w:type="spellEnd"/>
    </w:p>
    <w:p w14:paraId="14F044C3" w14:textId="77777777" w:rsidR="004435FC" w:rsidRPr="00DB1A1B" w:rsidRDefault="004435FC" w:rsidP="00270E7C">
      <w:pPr>
        <w:suppressAutoHyphens/>
        <w:ind w:left="851"/>
        <w:rPr>
          <w:bCs/>
          <w:iCs/>
          <w:sz w:val="24"/>
          <w:szCs w:val="24"/>
        </w:rPr>
      </w:pPr>
      <w:proofErr w:type="spellStart"/>
      <w:r w:rsidRPr="00DB1A1B">
        <w:rPr>
          <w:sz w:val="24"/>
          <w:szCs w:val="24"/>
        </w:rPr>
        <w:t>Vancomycin</w:t>
      </w:r>
      <w:proofErr w:type="spellEnd"/>
      <w:r w:rsidRPr="00DB1A1B">
        <w:rPr>
          <w:sz w:val="24"/>
          <w:szCs w:val="24"/>
        </w:rPr>
        <w:t xml:space="preserve"> kan forstærke </w:t>
      </w:r>
      <w:proofErr w:type="spellStart"/>
      <w:r w:rsidRPr="00DB1A1B">
        <w:rPr>
          <w:sz w:val="24"/>
          <w:szCs w:val="24"/>
        </w:rPr>
        <w:t>myokardiedepression</w:t>
      </w:r>
      <w:proofErr w:type="spellEnd"/>
      <w:r w:rsidRPr="00DB1A1B">
        <w:rPr>
          <w:sz w:val="24"/>
          <w:szCs w:val="24"/>
        </w:rPr>
        <w:t xml:space="preserve"> induceret af anæstesi. Under anæstesi skal doser være godt fortyndede og administreres langsomt under tæt overvågning af hjertet. Positionsskift bør udsættes, til infusionen er færdig (se pkt. 4.2).</w:t>
      </w:r>
    </w:p>
    <w:p w14:paraId="608A990C" w14:textId="77777777" w:rsidR="004435FC" w:rsidRPr="00DB1A1B" w:rsidRDefault="004435FC" w:rsidP="00270E7C">
      <w:pPr>
        <w:suppressAutoHyphens/>
        <w:ind w:left="851"/>
        <w:rPr>
          <w:sz w:val="24"/>
          <w:szCs w:val="24"/>
        </w:rPr>
      </w:pPr>
    </w:p>
    <w:p w14:paraId="401E41A4" w14:textId="51BF4FC5" w:rsidR="004435FC" w:rsidRPr="00DB1A1B" w:rsidRDefault="004435FC" w:rsidP="00270E7C">
      <w:pPr>
        <w:suppressAutoHyphens/>
        <w:ind w:left="851"/>
        <w:rPr>
          <w:sz w:val="24"/>
          <w:szCs w:val="24"/>
          <w:u w:val="single"/>
        </w:rPr>
      </w:pPr>
      <w:proofErr w:type="spellStart"/>
      <w:r w:rsidRPr="00DB1A1B">
        <w:rPr>
          <w:sz w:val="24"/>
          <w:szCs w:val="24"/>
          <w:u w:val="single"/>
        </w:rPr>
        <w:t>Pseudomembranøs</w:t>
      </w:r>
      <w:proofErr w:type="spellEnd"/>
      <w:r w:rsidRPr="00DB1A1B">
        <w:rPr>
          <w:sz w:val="24"/>
          <w:szCs w:val="24"/>
          <w:u w:val="single"/>
        </w:rPr>
        <w:t xml:space="preserve"> </w:t>
      </w:r>
      <w:proofErr w:type="spellStart"/>
      <w:r w:rsidRPr="00DB1A1B">
        <w:rPr>
          <w:sz w:val="24"/>
          <w:szCs w:val="24"/>
          <w:u w:val="single"/>
        </w:rPr>
        <w:t>enterocolitis</w:t>
      </w:r>
      <w:proofErr w:type="spellEnd"/>
    </w:p>
    <w:p w14:paraId="63C91A13" w14:textId="33641DF2" w:rsidR="004435FC" w:rsidRPr="00DB1A1B" w:rsidRDefault="004435FC" w:rsidP="00270E7C">
      <w:pPr>
        <w:ind w:left="851"/>
        <w:rPr>
          <w:sz w:val="24"/>
          <w:szCs w:val="24"/>
        </w:rPr>
      </w:pPr>
      <w:r w:rsidRPr="00DB1A1B">
        <w:rPr>
          <w:sz w:val="24"/>
          <w:szCs w:val="24"/>
        </w:rPr>
        <w:t xml:space="preserve">I tilfælde af alvorlig vedvarende diarré bør muligheden for </w:t>
      </w:r>
      <w:proofErr w:type="spellStart"/>
      <w:r w:rsidRPr="00DB1A1B">
        <w:rPr>
          <w:sz w:val="24"/>
          <w:szCs w:val="24"/>
        </w:rPr>
        <w:t>pseudomembranøs</w:t>
      </w:r>
      <w:proofErr w:type="spellEnd"/>
      <w:r w:rsidRPr="00DB1A1B">
        <w:rPr>
          <w:sz w:val="24"/>
          <w:szCs w:val="24"/>
        </w:rPr>
        <w:t xml:space="preserve"> </w:t>
      </w:r>
      <w:proofErr w:type="spellStart"/>
      <w:r w:rsidRPr="00DB1A1B">
        <w:rPr>
          <w:sz w:val="24"/>
          <w:szCs w:val="24"/>
        </w:rPr>
        <w:t>enterocolitis</w:t>
      </w:r>
      <w:proofErr w:type="spellEnd"/>
      <w:r w:rsidRPr="00DB1A1B">
        <w:rPr>
          <w:sz w:val="24"/>
          <w:szCs w:val="24"/>
        </w:rPr>
        <w:t>, som kan være livstruende, tages i betragtning (se pkt. 4.8). Der må ikke gives lægemidler mod diarré.</w:t>
      </w:r>
    </w:p>
    <w:p w14:paraId="34FA4184" w14:textId="77777777" w:rsidR="004435FC" w:rsidRPr="00DB1A1B" w:rsidRDefault="004435FC" w:rsidP="00270E7C">
      <w:pPr>
        <w:suppressAutoHyphens/>
        <w:ind w:left="851"/>
        <w:rPr>
          <w:sz w:val="24"/>
          <w:szCs w:val="24"/>
        </w:rPr>
      </w:pPr>
    </w:p>
    <w:p w14:paraId="7FB02D08" w14:textId="77777777" w:rsidR="004435FC" w:rsidRPr="00DB1A1B" w:rsidRDefault="004435FC" w:rsidP="00270E7C">
      <w:pPr>
        <w:suppressAutoHyphens/>
        <w:ind w:left="851"/>
        <w:rPr>
          <w:sz w:val="24"/>
          <w:szCs w:val="24"/>
          <w:u w:val="single"/>
        </w:rPr>
      </w:pPr>
      <w:r w:rsidRPr="00DB1A1B">
        <w:rPr>
          <w:sz w:val="24"/>
          <w:szCs w:val="24"/>
          <w:u w:val="single"/>
        </w:rPr>
        <w:t>Superinfektion</w:t>
      </w:r>
    </w:p>
    <w:p w14:paraId="24BC8212" w14:textId="22DD9D8A" w:rsidR="004435FC" w:rsidRPr="00DB1A1B" w:rsidRDefault="004435FC" w:rsidP="00270E7C">
      <w:pPr>
        <w:suppressAutoHyphens/>
        <w:ind w:left="851"/>
        <w:rPr>
          <w:sz w:val="24"/>
          <w:szCs w:val="24"/>
        </w:rPr>
      </w:pPr>
      <w:r w:rsidRPr="00DB1A1B">
        <w:rPr>
          <w:sz w:val="24"/>
          <w:szCs w:val="24"/>
        </w:rPr>
        <w:t xml:space="preserve">Længerevarende brug af </w:t>
      </w:r>
      <w:proofErr w:type="spellStart"/>
      <w:r w:rsidRPr="00DB1A1B">
        <w:rPr>
          <w:sz w:val="24"/>
          <w:szCs w:val="24"/>
        </w:rPr>
        <w:t>vancomycin</w:t>
      </w:r>
      <w:proofErr w:type="spellEnd"/>
      <w:r w:rsidRPr="00DB1A1B">
        <w:rPr>
          <w:sz w:val="24"/>
          <w:szCs w:val="24"/>
        </w:rPr>
        <w:t xml:space="preserve"> kan resultere i overvækst af ikke-følsomme organismer. Nøje observation af patienten er essentiel. Hvis der forekommer superinfektion under behandlingen, skal de rette foranstaltninger tages.</w:t>
      </w:r>
    </w:p>
    <w:p w14:paraId="6ED6B13F" w14:textId="77777777" w:rsidR="004435FC" w:rsidRPr="00DB1A1B" w:rsidRDefault="004435FC" w:rsidP="00270E7C">
      <w:pPr>
        <w:suppressAutoHyphens/>
        <w:ind w:left="851"/>
        <w:rPr>
          <w:sz w:val="24"/>
          <w:szCs w:val="24"/>
        </w:rPr>
      </w:pPr>
    </w:p>
    <w:p w14:paraId="3D5AAD61" w14:textId="77777777" w:rsidR="004435FC" w:rsidRPr="00DB1A1B" w:rsidRDefault="004435FC" w:rsidP="00270E7C">
      <w:pPr>
        <w:suppressAutoHyphens/>
        <w:ind w:left="851"/>
        <w:rPr>
          <w:sz w:val="24"/>
          <w:szCs w:val="24"/>
          <w:u w:val="single"/>
        </w:rPr>
      </w:pPr>
      <w:r w:rsidRPr="00DB1A1B">
        <w:rPr>
          <w:sz w:val="24"/>
          <w:szCs w:val="24"/>
          <w:u w:val="single"/>
        </w:rPr>
        <w:t>Øjne</w:t>
      </w:r>
    </w:p>
    <w:p w14:paraId="5ABA46DE" w14:textId="77777777" w:rsidR="004435FC" w:rsidRPr="00DB1A1B" w:rsidRDefault="004435FC" w:rsidP="00270E7C">
      <w:pPr>
        <w:suppressAutoHyphens/>
        <w:ind w:left="851"/>
        <w:rPr>
          <w:sz w:val="24"/>
          <w:szCs w:val="24"/>
        </w:rPr>
      </w:pPr>
      <w:proofErr w:type="spellStart"/>
      <w:r w:rsidRPr="00DB1A1B">
        <w:rPr>
          <w:sz w:val="24"/>
          <w:szCs w:val="24"/>
        </w:rPr>
        <w:t>Vancomycin</w:t>
      </w:r>
      <w:proofErr w:type="spellEnd"/>
      <w:r w:rsidRPr="00DB1A1B">
        <w:rPr>
          <w:sz w:val="24"/>
          <w:szCs w:val="24"/>
        </w:rPr>
        <w:t xml:space="preserve"> er ikke godkendt til </w:t>
      </w:r>
      <w:proofErr w:type="spellStart"/>
      <w:r w:rsidRPr="00DB1A1B">
        <w:rPr>
          <w:sz w:val="24"/>
          <w:szCs w:val="24"/>
        </w:rPr>
        <w:t>intrakameral</w:t>
      </w:r>
      <w:proofErr w:type="spellEnd"/>
      <w:r w:rsidRPr="00DB1A1B">
        <w:rPr>
          <w:sz w:val="24"/>
          <w:szCs w:val="24"/>
        </w:rPr>
        <w:t xml:space="preserve"> eller </w:t>
      </w:r>
      <w:proofErr w:type="spellStart"/>
      <w:r w:rsidRPr="00DB1A1B">
        <w:rPr>
          <w:sz w:val="24"/>
          <w:szCs w:val="24"/>
        </w:rPr>
        <w:t>intravitreal</w:t>
      </w:r>
      <w:proofErr w:type="spellEnd"/>
      <w:r w:rsidRPr="00DB1A1B">
        <w:rPr>
          <w:sz w:val="24"/>
          <w:szCs w:val="24"/>
        </w:rPr>
        <w:t xml:space="preserve"> anvendelse, herunder </w:t>
      </w:r>
      <w:proofErr w:type="spellStart"/>
      <w:r w:rsidRPr="00DB1A1B">
        <w:rPr>
          <w:sz w:val="24"/>
          <w:szCs w:val="24"/>
        </w:rPr>
        <w:t>profylaktise</w:t>
      </w:r>
      <w:proofErr w:type="spellEnd"/>
      <w:r w:rsidRPr="00DB1A1B">
        <w:rPr>
          <w:sz w:val="24"/>
          <w:szCs w:val="24"/>
        </w:rPr>
        <w:t xml:space="preserve"> af </w:t>
      </w:r>
      <w:proofErr w:type="spellStart"/>
      <w:r w:rsidRPr="00DB1A1B">
        <w:rPr>
          <w:sz w:val="24"/>
          <w:szCs w:val="24"/>
        </w:rPr>
        <w:t>endophthalmitis</w:t>
      </w:r>
      <w:proofErr w:type="spellEnd"/>
      <w:r w:rsidRPr="00DB1A1B">
        <w:rPr>
          <w:sz w:val="24"/>
          <w:szCs w:val="24"/>
        </w:rPr>
        <w:t>.</w:t>
      </w:r>
    </w:p>
    <w:p w14:paraId="373D8A51" w14:textId="77777777" w:rsidR="004435FC" w:rsidRPr="00DB1A1B" w:rsidRDefault="004435FC" w:rsidP="00270E7C">
      <w:pPr>
        <w:suppressAutoHyphens/>
        <w:ind w:left="851"/>
        <w:rPr>
          <w:sz w:val="24"/>
          <w:szCs w:val="24"/>
        </w:rPr>
      </w:pPr>
    </w:p>
    <w:p w14:paraId="4EF00CD5" w14:textId="77777777" w:rsidR="004435FC" w:rsidRPr="00DB1A1B" w:rsidRDefault="004435FC" w:rsidP="00270E7C">
      <w:pPr>
        <w:suppressAutoHyphens/>
        <w:ind w:left="851"/>
        <w:rPr>
          <w:sz w:val="24"/>
          <w:szCs w:val="24"/>
        </w:rPr>
      </w:pPr>
      <w:proofErr w:type="spellStart"/>
      <w:r w:rsidRPr="00DB1A1B">
        <w:rPr>
          <w:sz w:val="24"/>
          <w:szCs w:val="24"/>
        </w:rPr>
        <w:t>Hæmoragisk</w:t>
      </w:r>
      <w:proofErr w:type="spellEnd"/>
      <w:r w:rsidRPr="00DB1A1B">
        <w:rPr>
          <w:sz w:val="24"/>
          <w:szCs w:val="24"/>
        </w:rPr>
        <w:t xml:space="preserve"> </w:t>
      </w:r>
      <w:proofErr w:type="spellStart"/>
      <w:r w:rsidRPr="00DB1A1B">
        <w:rPr>
          <w:sz w:val="24"/>
          <w:szCs w:val="24"/>
        </w:rPr>
        <w:t>okklusiv</w:t>
      </w:r>
      <w:proofErr w:type="spellEnd"/>
      <w:r w:rsidRPr="00DB1A1B">
        <w:rPr>
          <w:sz w:val="24"/>
          <w:szCs w:val="24"/>
        </w:rPr>
        <w:t xml:space="preserve"> </w:t>
      </w:r>
      <w:proofErr w:type="spellStart"/>
      <w:r w:rsidRPr="00DB1A1B">
        <w:rPr>
          <w:sz w:val="24"/>
          <w:szCs w:val="24"/>
        </w:rPr>
        <w:t>retinal</w:t>
      </w:r>
      <w:proofErr w:type="spellEnd"/>
      <w:r w:rsidRPr="00DB1A1B">
        <w:rPr>
          <w:sz w:val="24"/>
          <w:szCs w:val="24"/>
        </w:rPr>
        <w:t xml:space="preserve"> </w:t>
      </w:r>
      <w:proofErr w:type="spellStart"/>
      <w:r w:rsidRPr="00DB1A1B">
        <w:rPr>
          <w:sz w:val="24"/>
          <w:szCs w:val="24"/>
        </w:rPr>
        <w:t>vaskulitis</w:t>
      </w:r>
      <w:proofErr w:type="spellEnd"/>
      <w:r w:rsidRPr="00DB1A1B">
        <w:rPr>
          <w:sz w:val="24"/>
          <w:szCs w:val="24"/>
        </w:rPr>
        <w:t xml:space="preserve"> (HORV), inklusiv permanent synstab, er blevet observeret i enkelte tilfælde efter </w:t>
      </w:r>
      <w:proofErr w:type="spellStart"/>
      <w:r w:rsidRPr="00DB1A1B">
        <w:rPr>
          <w:sz w:val="24"/>
          <w:szCs w:val="24"/>
        </w:rPr>
        <w:t>intrakameral</w:t>
      </w:r>
      <w:proofErr w:type="spellEnd"/>
      <w:r w:rsidRPr="00DB1A1B">
        <w:rPr>
          <w:sz w:val="24"/>
          <w:szCs w:val="24"/>
        </w:rPr>
        <w:t xml:space="preserve"> eller </w:t>
      </w:r>
      <w:proofErr w:type="spellStart"/>
      <w:r w:rsidRPr="00DB1A1B">
        <w:rPr>
          <w:sz w:val="24"/>
          <w:szCs w:val="24"/>
        </w:rPr>
        <w:t>intravitreal</w:t>
      </w:r>
      <w:proofErr w:type="spellEnd"/>
      <w:r w:rsidRPr="00DB1A1B">
        <w:rPr>
          <w:sz w:val="24"/>
          <w:szCs w:val="24"/>
        </w:rPr>
        <w:t xml:space="preserve"> anvendelse af </w:t>
      </w:r>
      <w:proofErr w:type="spellStart"/>
      <w:r w:rsidRPr="00DB1A1B">
        <w:rPr>
          <w:sz w:val="24"/>
          <w:szCs w:val="24"/>
        </w:rPr>
        <w:t>vancomycin</w:t>
      </w:r>
      <w:proofErr w:type="spellEnd"/>
      <w:r w:rsidRPr="00DB1A1B">
        <w:rPr>
          <w:sz w:val="24"/>
          <w:szCs w:val="24"/>
        </w:rPr>
        <w:t xml:space="preserve"> under eller efter kataraktkirurgi.</w:t>
      </w:r>
    </w:p>
    <w:p w14:paraId="496F8A78" w14:textId="77777777" w:rsidR="009260DE" w:rsidRPr="00DB1A1B" w:rsidRDefault="009260DE" w:rsidP="009260DE">
      <w:pPr>
        <w:tabs>
          <w:tab w:val="left" w:pos="851"/>
        </w:tabs>
        <w:ind w:left="851"/>
        <w:rPr>
          <w:sz w:val="24"/>
          <w:szCs w:val="24"/>
        </w:rPr>
      </w:pPr>
    </w:p>
    <w:p w14:paraId="57200020" w14:textId="77777777" w:rsidR="009260DE" w:rsidRPr="00DB1A1B" w:rsidRDefault="009260DE" w:rsidP="009260DE">
      <w:pPr>
        <w:tabs>
          <w:tab w:val="left" w:pos="851"/>
        </w:tabs>
        <w:ind w:left="851" w:hanging="851"/>
        <w:rPr>
          <w:b/>
          <w:sz w:val="24"/>
          <w:szCs w:val="24"/>
        </w:rPr>
      </w:pPr>
      <w:r w:rsidRPr="00DB1A1B">
        <w:rPr>
          <w:b/>
          <w:sz w:val="24"/>
          <w:szCs w:val="24"/>
        </w:rPr>
        <w:t>4.5</w:t>
      </w:r>
      <w:r w:rsidRPr="00DB1A1B">
        <w:rPr>
          <w:b/>
          <w:sz w:val="24"/>
          <w:szCs w:val="24"/>
        </w:rPr>
        <w:tab/>
        <w:t>Interaktion med andre lægemidler og andre former for interaktion</w:t>
      </w:r>
    </w:p>
    <w:p w14:paraId="3FB9BB34" w14:textId="77777777" w:rsidR="004435FC" w:rsidRPr="00DB1A1B" w:rsidRDefault="004435FC" w:rsidP="00270E7C">
      <w:pPr>
        <w:ind w:left="851"/>
        <w:rPr>
          <w:noProof/>
          <w:sz w:val="24"/>
          <w:szCs w:val="24"/>
        </w:rPr>
      </w:pPr>
      <w:r w:rsidRPr="00DB1A1B">
        <w:rPr>
          <w:noProof/>
          <w:sz w:val="24"/>
          <w:szCs w:val="24"/>
        </w:rPr>
        <w:t>Samtidig administrationa af vancomycin og anæstetika er blevet associeret med myocardiedepression, erytem, rødme af huden og anafylaktiske reaktioner (se pkt. 4.4)</w:t>
      </w:r>
    </w:p>
    <w:p w14:paraId="534F9561" w14:textId="77777777" w:rsidR="004435FC" w:rsidRPr="00DB1A1B" w:rsidRDefault="004435FC" w:rsidP="00270E7C">
      <w:pPr>
        <w:ind w:left="851"/>
        <w:rPr>
          <w:noProof/>
          <w:sz w:val="24"/>
          <w:szCs w:val="24"/>
        </w:rPr>
      </w:pPr>
    </w:p>
    <w:p w14:paraId="2F227BC3" w14:textId="77777777" w:rsidR="004435FC" w:rsidRPr="00DB1A1B" w:rsidRDefault="004435FC" w:rsidP="00270E7C">
      <w:pPr>
        <w:ind w:left="851"/>
        <w:rPr>
          <w:noProof/>
          <w:sz w:val="24"/>
          <w:szCs w:val="24"/>
        </w:rPr>
      </w:pPr>
      <w:r w:rsidRPr="00DB1A1B">
        <w:rPr>
          <w:noProof/>
          <w:sz w:val="24"/>
          <w:szCs w:val="24"/>
        </w:rPr>
        <w:t xml:space="preserve">Der er rapportert, at hyppigheden af infusionsrelaterede bivirkninger øges ved samtidig administration af anæstetika. Infusionsrelaterede bivirkninger kan mindskes ved at administrere vancomycin som en 60-minuttes infusion forud for anæstesi-induktion. </w:t>
      </w:r>
    </w:p>
    <w:p w14:paraId="58F2B34B" w14:textId="77777777" w:rsidR="004435FC" w:rsidRPr="00DB1A1B" w:rsidRDefault="004435FC" w:rsidP="00270E7C">
      <w:pPr>
        <w:ind w:left="851"/>
        <w:rPr>
          <w:bCs/>
          <w:iCs/>
          <w:noProof/>
          <w:sz w:val="24"/>
          <w:szCs w:val="24"/>
        </w:rPr>
      </w:pPr>
      <w:r w:rsidRPr="00DB1A1B">
        <w:rPr>
          <w:noProof/>
          <w:sz w:val="24"/>
          <w:szCs w:val="24"/>
        </w:rPr>
        <w:t xml:space="preserve">Ved samtidig administration med anæstetika skal dosis fortyndes til 5 mg/ml eller mindre samt administreres langsomt med tæt monitorering af hjertet. </w:t>
      </w:r>
      <w:r w:rsidRPr="00DB1A1B">
        <w:rPr>
          <w:sz w:val="24"/>
          <w:szCs w:val="24"/>
        </w:rPr>
        <w:t xml:space="preserve">Positionsskift bør udsættes, til infusionen er færdig. </w:t>
      </w:r>
    </w:p>
    <w:p w14:paraId="71D51AB6" w14:textId="77777777" w:rsidR="004435FC" w:rsidRPr="00DB1A1B" w:rsidRDefault="004435FC" w:rsidP="00270E7C">
      <w:pPr>
        <w:suppressAutoHyphens/>
        <w:ind w:left="851"/>
        <w:rPr>
          <w:sz w:val="24"/>
          <w:szCs w:val="24"/>
          <w:u w:val="single"/>
        </w:rPr>
      </w:pPr>
    </w:p>
    <w:p w14:paraId="176EA97D" w14:textId="77777777" w:rsidR="004435FC" w:rsidRPr="00DB1A1B" w:rsidRDefault="004435FC" w:rsidP="00270E7C">
      <w:pPr>
        <w:suppressAutoHyphens/>
        <w:ind w:left="851"/>
        <w:rPr>
          <w:sz w:val="24"/>
          <w:szCs w:val="24"/>
        </w:rPr>
      </w:pPr>
      <w:proofErr w:type="spellStart"/>
      <w:r w:rsidRPr="00DB1A1B">
        <w:rPr>
          <w:sz w:val="24"/>
          <w:szCs w:val="24"/>
        </w:rPr>
        <w:t>Tokcisiteten</w:t>
      </w:r>
      <w:proofErr w:type="spellEnd"/>
      <w:r w:rsidRPr="00DB1A1B">
        <w:rPr>
          <w:sz w:val="24"/>
          <w:szCs w:val="24"/>
        </w:rPr>
        <w:t xml:space="preserve"> af </w:t>
      </w:r>
      <w:proofErr w:type="spellStart"/>
      <w:r w:rsidRPr="00DB1A1B">
        <w:rPr>
          <w:sz w:val="24"/>
          <w:szCs w:val="24"/>
        </w:rPr>
        <w:t>vancomycin</w:t>
      </w:r>
      <w:proofErr w:type="spellEnd"/>
      <w:r w:rsidRPr="00DB1A1B">
        <w:rPr>
          <w:sz w:val="24"/>
          <w:szCs w:val="24"/>
        </w:rPr>
        <w:t xml:space="preserve"> kan øges ved samtidig eller sekventiel systemisk eller </w:t>
      </w:r>
      <w:proofErr w:type="spellStart"/>
      <w:r w:rsidRPr="00DB1A1B">
        <w:rPr>
          <w:sz w:val="24"/>
          <w:szCs w:val="24"/>
        </w:rPr>
        <w:t>topikal</w:t>
      </w:r>
      <w:proofErr w:type="spellEnd"/>
      <w:r w:rsidRPr="00DB1A1B">
        <w:rPr>
          <w:sz w:val="24"/>
          <w:szCs w:val="24"/>
        </w:rPr>
        <w:t xml:space="preserve"> administration af andre potentielt </w:t>
      </w:r>
      <w:proofErr w:type="spellStart"/>
      <w:r w:rsidRPr="00DB1A1B">
        <w:rPr>
          <w:sz w:val="24"/>
          <w:szCs w:val="24"/>
        </w:rPr>
        <w:t>oto</w:t>
      </w:r>
      <w:proofErr w:type="spellEnd"/>
      <w:r w:rsidRPr="00DB1A1B">
        <w:rPr>
          <w:sz w:val="24"/>
          <w:szCs w:val="24"/>
        </w:rPr>
        <w:t xml:space="preserve">- eller </w:t>
      </w:r>
      <w:proofErr w:type="spellStart"/>
      <w:r w:rsidRPr="00DB1A1B">
        <w:rPr>
          <w:sz w:val="24"/>
          <w:szCs w:val="24"/>
        </w:rPr>
        <w:t>nefrotoksiske</w:t>
      </w:r>
      <w:proofErr w:type="spellEnd"/>
      <w:r w:rsidRPr="00DB1A1B">
        <w:rPr>
          <w:sz w:val="24"/>
          <w:szCs w:val="24"/>
        </w:rPr>
        <w:t xml:space="preserve"> lægemidler såsom </w:t>
      </w:r>
      <w:proofErr w:type="spellStart"/>
      <w:r w:rsidRPr="00DB1A1B">
        <w:rPr>
          <w:sz w:val="24"/>
          <w:szCs w:val="24"/>
        </w:rPr>
        <w:t>amphotericin</w:t>
      </w:r>
      <w:proofErr w:type="spellEnd"/>
      <w:r w:rsidRPr="00DB1A1B">
        <w:rPr>
          <w:sz w:val="24"/>
          <w:szCs w:val="24"/>
        </w:rPr>
        <w:t xml:space="preserve"> B, aminoglykosider, </w:t>
      </w:r>
      <w:proofErr w:type="spellStart"/>
      <w:r w:rsidRPr="00DB1A1B">
        <w:rPr>
          <w:sz w:val="24"/>
          <w:szCs w:val="24"/>
        </w:rPr>
        <w:t>bacitracin</w:t>
      </w:r>
      <w:proofErr w:type="spellEnd"/>
      <w:r w:rsidRPr="00DB1A1B">
        <w:rPr>
          <w:sz w:val="24"/>
          <w:szCs w:val="24"/>
        </w:rPr>
        <w:t xml:space="preserve">, </w:t>
      </w:r>
      <w:proofErr w:type="spellStart"/>
      <w:r w:rsidRPr="00DB1A1B">
        <w:rPr>
          <w:sz w:val="24"/>
          <w:szCs w:val="24"/>
        </w:rPr>
        <w:t>polymyxin</w:t>
      </w:r>
      <w:proofErr w:type="spellEnd"/>
      <w:r w:rsidRPr="00DB1A1B">
        <w:rPr>
          <w:sz w:val="24"/>
          <w:szCs w:val="24"/>
        </w:rPr>
        <w:t xml:space="preserve"> B, </w:t>
      </w:r>
      <w:proofErr w:type="spellStart"/>
      <w:r w:rsidRPr="00DB1A1B">
        <w:rPr>
          <w:sz w:val="24"/>
          <w:szCs w:val="24"/>
        </w:rPr>
        <w:t>colistin</w:t>
      </w:r>
      <w:proofErr w:type="spellEnd"/>
      <w:r w:rsidRPr="00DB1A1B">
        <w:rPr>
          <w:sz w:val="24"/>
          <w:szCs w:val="24"/>
        </w:rPr>
        <w:t xml:space="preserve">, </w:t>
      </w:r>
      <w:proofErr w:type="spellStart"/>
      <w:r w:rsidRPr="00DB1A1B">
        <w:rPr>
          <w:sz w:val="24"/>
          <w:szCs w:val="24"/>
        </w:rPr>
        <w:t>viomycin</w:t>
      </w:r>
      <w:proofErr w:type="spellEnd"/>
      <w:r w:rsidRPr="00DB1A1B">
        <w:rPr>
          <w:sz w:val="24"/>
          <w:szCs w:val="24"/>
        </w:rPr>
        <w:t>, loop-</w:t>
      </w:r>
      <w:proofErr w:type="spellStart"/>
      <w:r w:rsidRPr="00DB1A1B">
        <w:rPr>
          <w:sz w:val="24"/>
          <w:szCs w:val="24"/>
        </w:rPr>
        <w:t>diuretika</w:t>
      </w:r>
      <w:proofErr w:type="spellEnd"/>
      <w:r w:rsidRPr="00DB1A1B">
        <w:rPr>
          <w:sz w:val="24"/>
          <w:szCs w:val="24"/>
        </w:rPr>
        <w:t xml:space="preserve">, </w:t>
      </w:r>
      <w:proofErr w:type="spellStart"/>
      <w:r w:rsidRPr="00DB1A1B">
        <w:rPr>
          <w:sz w:val="24"/>
          <w:szCs w:val="24"/>
        </w:rPr>
        <w:t>piperacillin</w:t>
      </w:r>
      <w:proofErr w:type="spellEnd"/>
      <w:r w:rsidRPr="00DB1A1B">
        <w:rPr>
          <w:sz w:val="24"/>
          <w:szCs w:val="24"/>
        </w:rPr>
        <w:t>/</w:t>
      </w:r>
      <w:proofErr w:type="spellStart"/>
      <w:r w:rsidRPr="00DB1A1B">
        <w:rPr>
          <w:sz w:val="24"/>
          <w:szCs w:val="24"/>
        </w:rPr>
        <w:t>tazobactam</w:t>
      </w:r>
      <w:proofErr w:type="spellEnd"/>
      <w:r w:rsidRPr="00DB1A1B">
        <w:rPr>
          <w:sz w:val="24"/>
          <w:szCs w:val="24"/>
        </w:rPr>
        <w:t xml:space="preserve">, </w:t>
      </w:r>
      <w:proofErr w:type="spellStart"/>
      <w:r w:rsidRPr="00DB1A1B">
        <w:rPr>
          <w:sz w:val="24"/>
          <w:szCs w:val="24"/>
        </w:rPr>
        <w:t>NSAID’er</w:t>
      </w:r>
      <w:proofErr w:type="spellEnd"/>
      <w:r w:rsidRPr="00DB1A1B">
        <w:rPr>
          <w:sz w:val="24"/>
          <w:szCs w:val="24"/>
        </w:rPr>
        <w:t xml:space="preserve">, </w:t>
      </w:r>
      <w:proofErr w:type="spellStart"/>
      <w:r w:rsidRPr="00DB1A1B">
        <w:rPr>
          <w:sz w:val="24"/>
          <w:szCs w:val="24"/>
        </w:rPr>
        <w:t>iodide</w:t>
      </w:r>
      <w:proofErr w:type="spellEnd"/>
      <w:r w:rsidRPr="00DB1A1B">
        <w:rPr>
          <w:sz w:val="24"/>
          <w:szCs w:val="24"/>
        </w:rPr>
        <w:t xml:space="preserve"> kontrastmidler, </w:t>
      </w:r>
      <w:proofErr w:type="spellStart"/>
      <w:r w:rsidRPr="00DB1A1B">
        <w:rPr>
          <w:sz w:val="24"/>
          <w:szCs w:val="24"/>
        </w:rPr>
        <w:t>organoplatiner</w:t>
      </w:r>
      <w:proofErr w:type="spellEnd"/>
      <w:r w:rsidRPr="00DB1A1B">
        <w:rPr>
          <w:sz w:val="24"/>
          <w:szCs w:val="24"/>
        </w:rPr>
        <w:t xml:space="preserve"> (såsom </w:t>
      </w:r>
      <w:proofErr w:type="spellStart"/>
      <w:r w:rsidRPr="00DB1A1B">
        <w:rPr>
          <w:sz w:val="24"/>
          <w:szCs w:val="24"/>
        </w:rPr>
        <w:t>cisplatin</w:t>
      </w:r>
      <w:proofErr w:type="spellEnd"/>
      <w:r w:rsidRPr="00DB1A1B">
        <w:rPr>
          <w:sz w:val="24"/>
          <w:szCs w:val="24"/>
        </w:rPr>
        <w:t xml:space="preserve">), </w:t>
      </w:r>
      <w:proofErr w:type="spellStart"/>
      <w:r w:rsidRPr="00DB1A1B">
        <w:rPr>
          <w:sz w:val="24"/>
          <w:szCs w:val="24"/>
        </w:rPr>
        <w:t>methotrexat</w:t>
      </w:r>
      <w:proofErr w:type="spellEnd"/>
      <w:r w:rsidRPr="00DB1A1B">
        <w:rPr>
          <w:sz w:val="24"/>
          <w:szCs w:val="24"/>
        </w:rPr>
        <w:t xml:space="preserve"> i høje doser og visse antivirale lægemidler (såsom </w:t>
      </w:r>
      <w:proofErr w:type="spellStart"/>
      <w:r w:rsidRPr="00DB1A1B">
        <w:rPr>
          <w:sz w:val="24"/>
          <w:szCs w:val="24"/>
        </w:rPr>
        <w:t>foscarnet</w:t>
      </w:r>
      <w:proofErr w:type="spellEnd"/>
      <w:r w:rsidRPr="00DB1A1B">
        <w:rPr>
          <w:sz w:val="24"/>
          <w:szCs w:val="24"/>
        </w:rPr>
        <w:t xml:space="preserve">, </w:t>
      </w:r>
      <w:proofErr w:type="spellStart"/>
      <w:r w:rsidRPr="00DB1A1B">
        <w:rPr>
          <w:sz w:val="24"/>
          <w:szCs w:val="24"/>
        </w:rPr>
        <w:lastRenderedPageBreak/>
        <w:t>aciclovir</w:t>
      </w:r>
      <w:proofErr w:type="spellEnd"/>
      <w:r w:rsidRPr="00DB1A1B">
        <w:rPr>
          <w:sz w:val="24"/>
          <w:szCs w:val="24"/>
        </w:rPr>
        <w:t xml:space="preserve">, </w:t>
      </w:r>
      <w:proofErr w:type="spellStart"/>
      <w:r w:rsidRPr="00DB1A1B">
        <w:rPr>
          <w:sz w:val="24"/>
          <w:szCs w:val="24"/>
        </w:rPr>
        <w:t>ganciclovir</w:t>
      </w:r>
      <w:proofErr w:type="spellEnd"/>
      <w:r w:rsidRPr="00DB1A1B">
        <w:rPr>
          <w:sz w:val="24"/>
          <w:szCs w:val="24"/>
        </w:rPr>
        <w:t xml:space="preserve">), </w:t>
      </w:r>
      <w:proofErr w:type="spellStart"/>
      <w:r w:rsidRPr="00DB1A1B">
        <w:rPr>
          <w:sz w:val="24"/>
          <w:szCs w:val="24"/>
        </w:rPr>
        <w:t>ciclosporin</w:t>
      </w:r>
      <w:proofErr w:type="spellEnd"/>
      <w:r w:rsidRPr="00DB1A1B">
        <w:rPr>
          <w:sz w:val="24"/>
          <w:szCs w:val="24"/>
        </w:rPr>
        <w:t xml:space="preserve"> eller </w:t>
      </w:r>
      <w:proofErr w:type="spellStart"/>
      <w:r w:rsidRPr="00DB1A1B">
        <w:rPr>
          <w:sz w:val="24"/>
          <w:szCs w:val="24"/>
        </w:rPr>
        <w:t>tacrolimus</w:t>
      </w:r>
      <w:proofErr w:type="spellEnd"/>
      <w:r w:rsidRPr="00DB1A1B">
        <w:rPr>
          <w:sz w:val="24"/>
          <w:szCs w:val="24"/>
        </w:rPr>
        <w:t xml:space="preserve">. Der skal udvises forsigtighed ved brugen af disse samt og omhyggelig monitorering er nødvendig (se pkt. 4.4). </w:t>
      </w:r>
    </w:p>
    <w:p w14:paraId="702D46F1" w14:textId="77777777" w:rsidR="004435FC" w:rsidRPr="00DB1A1B" w:rsidRDefault="004435FC" w:rsidP="00270E7C">
      <w:pPr>
        <w:ind w:left="851"/>
        <w:rPr>
          <w:noProof/>
          <w:sz w:val="24"/>
          <w:szCs w:val="24"/>
        </w:rPr>
      </w:pPr>
    </w:p>
    <w:p w14:paraId="140784CA" w14:textId="77777777" w:rsidR="004435FC" w:rsidRPr="00DB1A1B" w:rsidRDefault="004435FC" w:rsidP="00270E7C">
      <w:pPr>
        <w:ind w:left="851"/>
        <w:rPr>
          <w:noProof/>
          <w:sz w:val="24"/>
          <w:szCs w:val="24"/>
          <w:u w:val="single"/>
        </w:rPr>
      </w:pPr>
      <w:proofErr w:type="spellStart"/>
      <w:r w:rsidRPr="00DB1A1B">
        <w:rPr>
          <w:sz w:val="24"/>
          <w:szCs w:val="24"/>
          <w:u w:val="single"/>
        </w:rPr>
        <w:t>Muskelrelaksantia</w:t>
      </w:r>
      <w:proofErr w:type="spellEnd"/>
    </w:p>
    <w:p w14:paraId="7F7DE8F5" w14:textId="77777777" w:rsidR="004435FC" w:rsidRPr="00DB1A1B" w:rsidRDefault="004435FC" w:rsidP="00270E7C">
      <w:pPr>
        <w:ind w:left="851"/>
        <w:rPr>
          <w:noProof/>
          <w:sz w:val="24"/>
          <w:szCs w:val="24"/>
        </w:rPr>
      </w:pPr>
      <w:r w:rsidRPr="00DB1A1B">
        <w:rPr>
          <w:noProof/>
          <w:sz w:val="24"/>
          <w:szCs w:val="24"/>
        </w:rPr>
        <w:t xml:space="preserve">Hvis der tilføres vancomycinhydrochlorid under eller umiddelbart efter en operation, kan virkningen af samtidigt administrerede muskelrelaksantia (f.eks. succinylcholin), såsom neuromuskulær blokade, blive forstærket eller forlænget. </w:t>
      </w:r>
    </w:p>
    <w:p w14:paraId="1C5F0C52" w14:textId="77777777" w:rsidR="004435FC" w:rsidRPr="00DB1A1B" w:rsidRDefault="004435FC" w:rsidP="00270E7C">
      <w:pPr>
        <w:tabs>
          <w:tab w:val="left" w:pos="851"/>
        </w:tabs>
        <w:ind w:left="851"/>
        <w:rPr>
          <w:sz w:val="24"/>
          <w:szCs w:val="24"/>
        </w:rPr>
      </w:pPr>
    </w:p>
    <w:p w14:paraId="05686F73" w14:textId="2AF17BB2" w:rsidR="004435FC" w:rsidRPr="00DB1A1B" w:rsidRDefault="004435FC" w:rsidP="00270E7C">
      <w:pPr>
        <w:tabs>
          <w:tab w:val="left" w:pos="851"/>
        </w:tabs>
        <w:ind w:left="851"/>
        <w:rPr>
          <w:sz w:val="24"/>
          <w:szCs w:val="24"/>
          <w:u w:val="single"/>
        </w:rPr>
      </w:pPr>
      <w:r w:rsidRPr="00DB1A1B">
        <w:rPr>
          <w:sz w:val="24"/>
          <w:szCs w:val="24"/>
          <w:u w:val="single"/>
        </w:rPr>
        <w:t xml:space="preserve">Orale </w:t>
      </w:r>
      <w:proofErr w:type="spellStart"/>
      <w:r w:rsidRPr="00DB1A1B">
        <w:rPr>
          <w:sz w:val="24"/>
          <w:szCs w:val="24"/>
          <w:u w:val="single"/>
        </w:rPr>
        <w:t>antikoagulantia</w:t>
      </w:r>
      <w:proofErr w:type="spellEnd"/>
    </w:p>
    <w:p w14:paraId="12883119" w14:textId="0D2316DC" w:rsidR="004435FC" w:rsidRPr="00DB1A1B" w:rsidRDefault="004435FC" w:rsidP="00270E7C">
      <w:pPr>
        <w:tabs>
          <w:tab w:val="left" w:pos="851"/>
        </w:tabs>
        <w:ind w:left="851"/>
        <w:rPr>
          <w:sz w:val="24"/>
          <w:szCs w:val="24"/>
        </w:rPr>
      </w:pPr>
      <w:r w:rsidRPr="00DB1A1B">
        <w:rPr>
          <w:sz w:val="24"/>
          <w:szCs w:val="24"/>
        </w:rPr>
        <w:t xml:space="preserve">Samtidig administration af </w:t>
      </w:r>
      <w:proofErr w:type="spellStart"/>
      <w:r w:rsidRPr="00DB1A1B">
        <w:rPr>
          <w:sz w:val="24"/>
          <w:szCs w:val="24"/>
        </w:rPr>
        <w:t>vancomycin</w:t>
      </w:r>
      <w:proofErr w:type="spellEnd"/>
      <w:r w:rsidRPr="00DB1A1B">
        <w:rPr>
          <w:sz w:val="24"/>
          <w:szCs w:val="24"/>
        </w:rPr>
        <w:t xml:space="preserve"> og </w:t>
      </w:r>
      <w:proofErr w:type="spellStart"/>
      <w:r w:rsidRPr="00DB1A1B">
        <w:rPr>
          <w:sz w:val="24"/>
          <w:szCs w:val="24"/>
        </w:rPr>
        <w:t>warfarin</w:t>
      </w:r>
      <w:proofErr w:type="spellEnd"/>
      <w:r w:rsidRPr="00DB1A1B">
        <w:rPr>
          <w:sz w:val="24"/>
          <w:szCs w:val="24"/>
        </w:rPr>
        <w:t xml:space="preserve"> kan forstærke </w:t>
      </w:r>
      <w:proofErr w:type="spellStart"/>
      <w:r w:rsidRPr="00DB1A1B">
        <w:rPr>
          <w:sz w:val="24"/>
          <w:szCs w:val="24"/>
        </w:rPr>
        <w:t>warfarins</w:t>
      </w:r>
      <w:proofErr w:type="spellEnd"/>
      <w:r w:rsidRPr="00DB1A1B">
        <w:rPr>
          <w:sz w:val="24"/>
          <w:szCs w:val="24"/>
        </w:rPr>
        <w:t xml:space="preserve"> antikoagulerende virkning. Der har været mange indberetninger om stigning i orale </w:t>
      </w:r>
      <w:proofErr w:type="spellStart"/>
      <w:r w:rsidRPr="00DB1A1B">
        <w:rPr>
          <w:sz w:val="24"/>
          <w:szCs w:val="24"/>
        </w:rPr>
        <w:t>antikoagulanters</w:t>
      </w:r>
      <w:proofErr w:type="spellEnd"/>
      <w:r w:rsidRPr="00DB1A1B">
        <w:rPr>
          <w:sz w:val="24"/>
          <w:szCs w:val="24"/>
        </w:rPr>
        <w:t xml:space="preserve"> aktivitet hos patienter, der får antibiotika. Risikoen kan variere afhængigt af den underliggende infektion, alder og patientens almentilstand, således at det er svært at vurdere bidraget af </w:t>
      </w:r>
      <w:proofErr w:type="spellStart"/>
      <w:r w:rsidRPr="00DB1A1B">
        <w:rPr>
          <w:sz w:val="24"/>
          <w:szCs w:val="24"/>
        </w:rPr>
        <w:t>vancomycin</w:t>
      </w:r>
      <w:proofErr w:type="spellEnd"/>
      <w:r w:rsidRPr="00DB1A1B">
        <w:rPr>
          <w:sz w:val="24"/>
          <w:szCs w:val="24"/>
        </w:rPr>
        <w:t xml:space="preserve"> til forøgelse af INR (international normaliseret ratio). Det anbefales, at INR monitoreres hyppigt under og kort tid efter samtidig administration af </w:t>
      </w:r>
      <w:proofErr w:type="spellStart"/>
      <w:r w:rsidRPr="00DB1A1B">
        <w:rPr>
          <w:sz w:val="24"/>
          <w:szCs w:val="24"/>
        </w:rPr>
        <w:t>vancomycin</w:t>
      </w:r>
      <w:proofErr w:type="spellEnd"/>
      <w:r w:rsidRPr="00DB1A1B">
        <w:rPr>
          <w:sz w:val="24"/>
          <w:szCs w:val="24"/>
        </w:rPr>
        <w:t xml:space="preserve"> og et oralt </w:t>
      </w:r>
      <w:proofErr w:type="spellStart"/>
      <w:r w:rsidRPr="00DB1A1B">
        <w:rPr>
          <w:sz w:val="24"/>
          <w:szCs w:val="24"/>
        </w:rPr>
        <w:t>antikoagulantium</w:t>
      </w:r>
      <w:proofErr w:type="spellEnd"/>
      <w:r w:rsidRPr="00DB1A1B">
        <w:rPr>
          <w:sz w:val="24"/>
          <w:szCs w:val="24"/>
        </w:rPr>
        <w:t>.</w:t>
      </w:r>
    </w:p>
    <w:p w14:paraId="1653C159" w14:textId="77777777" w:rsidR="009260DE" w:rsidRPr="00DB1A1B" w:rsidRDefault="009260DE" w:rsidP="009260DE">
      <w:pPr>
        <w:tabs>
          <w:tab w:val="left" w:pos="851"/>
        </w:tabs>
        <w:ind w:left="851"/>
        <w:rPr>
          <w:sz w:val="24"/>
          <w:szCs w:val="24"/>
        </w:rPr>
      </w:pPr>
    </w:p>
    <w:p w14:paraId="262D204B" w14:textId="77777777" w:rsidR="009260DE" w:rsidRPr="00DB1A1B" w:rsidRDefault="009260DE" w:rsidP="009260DE">
      <w:pPr>
        <w:tabs>
          <w:tab w:val="left" w:pos="851"/>
        </w:tabs>
        <w:ind w:left="851" w:hanging="851"/>
        <w:rPr>
          <w:b/>
          <w:sz w:val="24"/>
          <w:szCs w:val="24"/>
        </w:rPr>
      </w:pPr>
      <w:r w:rsidRPr="00DB1A1B">
        <w:rPr>
          <w:b/>
          <w:sz w:val="24"/>
          <w:szCs w:val="24"/>
        </w:rPr>
        <w:t>4.6</w:t>
      </w:r>
      <w:r w:rsidRPr="00DB1A1B">
        <w:rPr>
          <w:b/>
          <w:sz w:val="24"/>
          <w:szCs w:val="24"/>
        </w:rPr>
        <w:tab/>
      </w:r>
      <w:r w:rsidR="0071241E" w:rsidRPr="00DB1A1B">
        <w:rPr>
          <w:b/>
          <w:sz w:val="24"/>
          <w:szCs w:val="24"/>
        </w:rPr>
        <w:t>Fertilitet, g</w:t>
      </w:r>
      <w:r w:rsidRPr="00DB1A1B">
        <w:rPr>
          <w:b/>
          <w:sz w:val="24"/>
          <w:szCs w:val="24"/>
        </w:rPr>
        <w:t>raviditet og amning</w:t>
      </w:r>
    </w:p>
    <w:p w14:paraId="7A10EC2F" w14:textId="77777777" w:rsidR="006B1D8C" w:rsidRPr="00DB1A1B" w:rsidRDefault="006B1D8C" w:rsidP="00270E7C">
      <w:pPr>
        <w:suppressAutoHyphens/>
        <w:ind w:left="851"/>
        <w:rPr>
          <w:sz w:val="24"/>
          <w:szCs w:val="24"/>
          <w:u w:val="single"/>
        </w:rPr>
      </w:pPr>
    </w:p>
    <w:p w14:paraId="01055F20" w14:textId="66B99EE0" w:rsidR="004435FC" w:rsidRPr="00DB1A1B" w:rsidRDefault="004435FC" w:rsidP="00270E7C">
      <w:pPr>
        <w:suppressAutoHyphens/>
        <w:ind w:left="851"/>
        <w:rPr>
          <w:sz w:val="24"/>
          <w:szCs w:val="24"/>
          <w:u w:val="single"/>
          <w:lang w:eastAsia="en-GB"/>
        </w:rPr>
      </w:pPr>
      <w:r w:rsidRPr="00DB1A1B">
        <w:rPr>
          <w:sz w:val="24"/>
          <w:szCs w:val="24"/>
          <w:u w:val="single"/>
        </w:rPr>
        <w:t>Graviditet</w:t>
      </w:r>
    </w:p>
    <w:p w14:paraId="461EFCB5" w14:textId="36E90FB7" w:rsidR="004435FC" w:rsidRPr="00DB1A1B" w:rsidRDefault="004435FC" w:rsidP="00270E7C">
      <w:pPr>
        <w:suppressAutoHyphens/>
        <w:ind w:left="851"/>
        <w:rPr>
          <w:bCs/>
          <w:iCs/>
          <w:sz w:val="24"/>
          <w:szCs w:val="24"/>
        </w:rPr>
      </w:pPr>
      <w:r w:rsidRPr="00DB1A1B">
        <w:rPr>
          <w:sz w:val="24"/>
          <w:szCs w:val="24"/>
        </w:rPr>
        <w:t xml:space="preserve">Der er utilstrækkelige data fra anvendelse af </w:t>
      </w:r>
      <w:proofErr w:type="spellStart"/>
      <w:r w:rsidRPr="00DB1A1B">
        <w:rPr>
          <w:sz w:val="24"/>
          <w:szCs w:val="24"/>
        </w:rPr>
        <w:t>vancomycin</w:t>
      </w:r>
      <w:proofErr w:type="spellEnd"/>
      <w:r w:rsidRPr="00DB1A1B">
        <w:rPr>
          <w:sz w:val="24"/>
          <w:szCs w:val="24"/>
        </w:rPr>
        <w:t xml:space="preserve"> til gravide kvinder. Reproduktionstoksikologiske dyrestudier indikerer ingen virkninger på svangerskabs</w:t>
      </w:r>
      <w:r w:rsidR="00691261">
        <w:rPr>
          <w:sz w:val="24"/>
          <w:szCs w:val="24"/>
        </w:rPr>
        <w:softHyphen/>
      </w:r>
      <w:r w:rsidRPr="00DB1A1B">
        <w:rPr>
          <w:sz w:val="24"/>
          <w:szCs w:val="24"/>
        </w:rPr>
        <w:t xml:space="preserve">perioden eller den </w:t>
      </w:r>
      <w:proofErr w:type="spellStart"/>
      <w:r w:rsidRPr="00DB1A1B">
        <w:rPr>
          <w:sz w:val="24"/>
          <w:szCs w:val="24"/>
        </w:rPr>
        <w:t>embryoføtale</w:t>
      </w:r>
      <w:proofErr w:type="spellEnd"/>
      <w:r w:rsidRPr="00DB1A1B">
        <w:rPr>
          <w:sz w:val="24"/>
          <w:szCs w:val="24"/>
        </w:rPr>
        <w:t xml:space="preserve"> udvikling (se pkt. 5.3). </w:t>
      </w:r>
    </w:p>
    <w:p w14:paraId="2DD17A6E" w14:textId="77777777" w:rsidR="004435FC" w:rsidRPr="00DB1A1B" w:rsidRDefault="004435FC" w:rsidP="00270E7C">
      <w:pPr>
        <w:suppressAutoHyphens/>
        <w:ind w:left="851"/>
        <w:rPr>
          <w:sz w:val="24"/>
          <w:szCs w:val="24"/>
        </w:rPr>
      </w:pPr>
    </w:p>
    <w:p w14:paraId="5852A89F" w14:textId="77777777" w:rsidR="004435FC" w:rsidRPr="00DB1A1B" w:rsidRDefault="004435FC" w:rsidP="00270E7C">
      <w:pPr>
        <w:suppressAutoHyphens/>
        <w:ind w:left="851"/>
        <w:rPr>
          <w:bCs/>
          <w:iCs/>
          <w:sz w:val="24"/>
          <w:szCs w:val="24"/>
        </w:rPr>
      </w:pPr>
      <w:proofErr w:type="spellStart"/>
      <w:r w:rsidRPr="00DB1A1B">
        <w:rPr>
          <w:sz w:val="24"/>
          <w:szCs w:val="24"/>
        </w:rPr>
        <w:t>Vancomycin</w:t>
      </w:r>
      <w:proofErr w:type="spellEnd"/>
      <w:r w:rsidRPr="00DB1A1B">
        <w:rPr>
          <w:sz w:val="24"/>
          <w:szCs w:val="24"/>
        </w:rPr>
        <w:t xml:space="preserve"> passerer imidlertid placenta, og en mulig risiko for embryonal og neonatal </w:t>
      </w:r>
      <w:proofErr w:type="spellStart"/>
      <w:r w:rsidRPr="00DB1A1B">
        <w:rPr>
          <w:sz w:val="24"/>
          <w:szCs w:val="24"/>
        </w:rPr>
        <w:t>ototoksicitet</w:t>
      </w:r>
      <w:proofErr w:type="spellEnd"/>
      <w:r w:rsidRPr="00DB1A1B">
        <w:rPr>
          <w:sz w:val="24"/>
          <w:szCs w:val="24"/>
        </w:rPr>
        <w:t xml:space="preserve"> og </w:t>
      </w:r>
      <w:proofErr w:type="spellStart"/>
      <w:r w:rsidRPr="00DB1A1B">
        <w:rPr>
          <w:sz w:val="24"/>
          <w:szCs w:val="24"/>
        </w:rPr>
        <w:t>nefrotoksicitet</w:t>
      </w:r>
      <w:proofErr w:type="spellEnd"/>
      <w:r w:rsidRPr="00DB1A1B">
        <w:rPr>
          <w:sz w:val="24"/>
          <w:szCs w:val="24"/>
        </w:rPr>
        <w:t xml:space="preserve"> kan ikke udelukkes. Derfor bør </w:t>
      </w:r>
      <w:proofErr w:type="spellStart"/>
      <w:r w:rsidRPr="00DB1A1B">
        <w:rPr>
          <w:sz w:val="24"/>
          <w:szCs w:val="24"/>
        </w:rPr>
        <w:t>vancomycin</w:t>
      </w:r>
      <w:proofErr w:type="spellEnd"/>
      <w:r w:rsidRPr="00DB1A1B">
        <w:rPr>
          <w:sz w:val="24"/>
          <w:szCs w:val="24"/>
        </w:rPr>
        <w:t xml:space="preserve"> kun gives under graviditet, hvis det er strengt nødvendigt, og efter en grundig </w:t>
      </w:r>
      <w:proofErr w:type="spellStart"/>
      <w:r w:rsidRPr="00DB1A1B">
        <w:rPr>
          <w:sz w:val="24"/>
          <w:szCs w:val="24"/>
        </w:rPr>
        <w:t>risk</w:t>
      </w:r>
      <w:proofErr w:type="spellEnd"/>
      <w:r w:rsidRPr="00DB1A1B">
        <w:rPr>
          <w:sz w:val="24"/>
          <w:szCs w:val="24"/>
        </w:rPr>
        <w:t xml:space="preserve">/benefit-evaluering. </w:t>
      </w:r>
    </w:p>
    <w:p w14:paraId="761BD3B8" w14:textId="77777777" w:rsidR="004435FC" w:rsidRPr="00DB1A1B" w:rsidRDefault="004435FC" w:rsidP="00270E7C">
      <w:pPr>
        <w:suppressAutoHyphens/>
        <w:ind w:left="851"/>
        <w:rPr>
          <w:sz w:val="24"/>
          <w:szCs w:val="24"/>
        </w:rPr>
      </w:pPr>
    </w:p>
    <w:p w14:paraId="249632A1" w14:textId="77777777" w:rsidR="004435FC" w:rsidRPr="00DB1A1B" w:rsidRDefault="004435FC" w:rsidP="00270E7C">
      <w:pPr>
        <w:suppressAutoHyphens/>
        <w:ind w:left="851"/>
        <w:rPr>
          <w:sz w:val="24"/>
          <w:szCs w:val="24"/>
          <w:u w:val="single"/>
        </w:rPr>
      </w:pPr>
      <w:r w:rsidRPr="00DB1A1B">
        <w:rPr>
          <w:sz w:val="24"/>
          <w:szCs w:val="24"/>
          <w:u w:val="single"/>
        </w:rPr>
        <w:t>Amning</w:t>
      </w:r>
    </w:p>
    <w:p w14:paraId="31211CD6" w14:textId="77777777" w:rsidR="004435FC" w:rsidRPr="00DB1A1B" w:rsidRDefault="004435FC" w:rsidP="00270E7C">
      <w:pPr>
        <w:suppressAutoHyphens/>
        <w:ind w:left="851"/>
        <w:rPr>
          <w:sz w:val="24"/>
          <w:szCs w:val="24"/>
        </w:rPr>
      </w:pPr>
      <w:proofErr w:type="spellStart"/>
      <w:r w:rsidRPr="00DB1A1B">
        <w:rPr>
          <w:sz w:val="24"/>
          <w:szCs w:val="24"/>
        </w:rPr>
        <w:t>Vancomycin</w:t>
      </w:r>
      <w:proofErr w:type="spellEnd"/>
      <w:r w:rsidRPr="00DB1A1B">
        <w:rPr>
          <w:sz w:val="24"/>
          <w:szCs w:val="24"/>
        </w:rPr>
        <w:t xml:space="preserve"> udskilles i modermælken og bør derfor kun bruges i </w:t>
      </w:r>
      <w:proofErr w:type="spellStart"/>
      <w:r w:rsidRPr="00DB1A1B">
        <w:rPr>
          <w:sz w:val="24"/>
          <w:szCs w:val="24"/>
        </w:rPr>
        <w:t>ammeperioden</w:t>
      </w:r>
      <w:proofErr w:type="spellEnd"/>
      <w:r w:rsidRPr="00DB1A1B">
        <w:rPr>
          <w:sz w:val="24"/>
          <w:szCs w:val="24"/>
        </w:rPr>
        <w:t xml:space="preserve">, hvis det er absolut nødvendigt og andre antibiotika ikke har virket. Der skal udvises forsigtighed, når </w:t>
      </w:r>
      <w:proofErr w:type="spellStart"/>
      <w:r w:rsidRPr="00DB1A1B">
        <w:rPr>
          <w:sz w:val="24"/>
          <w:szCs w:val="24"/>
        </w:rPr>
        <w:t>vancomycin</w:t>
      </w:r>
      <w:proofErr w:type="spellEnd"/>
      <w:r w:rsidRPr="00DB1A1B">
        <w:rPr>
          <w:sz w:val="24"/>
          <w:szCs w:val="24"/>
        </w:rPr>
        <w:t xml:space="preserve"> gives til kvinder, der ammer, pga. mulige bivirkninger hos spædbarnet (forstyrrelser i tarmfloraen med diarré, kolonisering med gærlignende svampe og mulig sensibilisering). I betragtning af vigtigheden af dette lægemiddel for en ammende mor, skal det overvejes at ophøre med amningen. </w:t>
      </w:r>
    </w:p>
    <w:p w14:paraId="2DE45436" w14:textId="77777777" w:rsidR="009260DE" w:rsidRPr="00DB1A1B" w:rsidRDefault="009260DE" w:rsidP="009260DE">
      <w:pPr>
        <w:tabs>
          <w:tab w:val="left" w:pos="851"/>
        </w:tabs>
        <w:ind w:left="851"/>
        <w:rPr>
          <w:sz w:val="24"/>
          <w:szCs w:val="24"/>
        </w:rPr>
      </w:pPr>
    </w:p>
    <w:p w14:paraId="2B7F7070" w14:textId="77777777" w:rsidR="009260DE" w:rsidRPr="00DB1A1B" w:rsidRDefault="009260DE" w:rsidP="009260DE">
      <w:pPr>
        <w:tabs>
          <w:tab w:val="left" w:pos="851"/>
        </w:tabs>
        <w:ind w:left="851" w:hanging="851"/>
        <w:rPr>
          <w:b/>
          <w:sz w:val="24"/>
          <w:szCs w:val="24"/>
        </w:rPr>
      </w:pPr>
      <w:r w:rsidRPr="00DB1A1B">
        <w:rPr>
          <w:b/>
          <w:sz w:val="24"/>
          <w:szCs w:val="24"/>
        </w:rPr>
        <w:t>4.7</w:t>
      </w:r>
      <w:r w:rsidRPr="00DB1A1B">
        <w:rPr>
          <w:b/>
          <w:sz w:val="24"/>
          <w:szCs w:val="24"/>
        </w:rPr>
        <w:tab/>
        <w:t xml:space="preserve">Virkning på evnen til at føre motorkøretøj </w:t>
      </w:r>
      <w:r w:rsidR="0071241E" w:rsidRPr="00DB1A1B">
        <w:rPr>
          <w:b/>
          <w:sz w:val="24"/>
          <w:szCs w:val="24"/>
        </w:rPr>
        <w:t>og</w:t>
      </w:r>
      <w:r w:rsidRPr="00DB1A1B">
        <w:rPr>
          <w:b/>
          <w:sz w:val="24"/>
          <w:szCs w:val="24"/>
        </w:rPr>
        <w:t xml:space="preserve"> betjene maskiner</w:t>
      </w:r>
    </w:p>
    <w:p w14:paraId="47E57C0A" w14:textId="77777777" w:rsidR="004435FC" w:rsidRPr="00DB1A1B" w:rsidRDefault="004435FC" w:rsidP="004435FC">
      <w:pPr>
        <w:suppressAutoHyphens/>
        <w:ind w:left="851"/>
        <w:rPr>
          <w:sz w:val="24"/>
          <w:szCs w:val="24"/>
        </w:rPr>
      </w:pPr>
      <w:r w:rsidRPr="00DB1A1B">
        <w:rPr>
          <w:sz w:val="24"/>
          <w:szCs w:val="24"/>
        </w:rPr>
        <w:t>Ikke mærkning.</w:t>
      </w:r>
    </w:p>
    <w:p w14:paraId="49D478E1" w14:textId="2B8D4390" w:rsidR="004435FC" w:rsidRPr="00DB1A1B" w:rsidRDefault="004435FC" w:rsidP="004435FC">
      <w:pPr>
        <w:suppressAutoHyphens/>
        <w:ind w:left="851"/>
        <w:rPr>
          <w:sz w:val="24"/>
          <w:szCs w:val="24"/>
          <w:lang w:eastAsia="en-GB"/>
        </w:rPr>
      </w:pPr>
      <w:proofErr w:type="spellStart"/>
      <w:r w:rsidRPr="00DB1A1B">
        <w:rPr>
          <w:sz w:val="24"/>
          <w:szCs w:val="24"/>
        </w:rPr>
        <w:t>Vancomycin</w:t>
      </w:r>
      <w:proofErr w:type="spellEnd"/>
      <w:r w:rsidRPr="00DB1A1B">
        <w:rPr>
          <w:sz w:val="24"/>
          <w:szCs w:val="24"/>
        </w:rPr>
        <w:t xml:space="preserve"> </w:t>
      </w:r>
      <w:r w:rsidR="00DB1A1B" w:rsidRPr="00DB1A1B">
        <w:rPr>
          <w:sz w:val="24"/>
          <w:szCs w:val="24"/>
        </w:rPr>
        <w:t>"</w:t>
      </w:r>
      <w:r w:rsidRPr="00DB1A1B">
        <w:rPr>
          <w:sz w:val="24"/>
          <w:szCs w:val="24"/>
        </w:rPr>
        <w:t>Orion</w:t>
      </w:r>
      <w:r w:rsidR="00DB1A1B" w:rsidRPr="00DB1A1B">
        <w:rPr>
          <w:sz w:val="24"/>
          <w:szCs w:val="24"/>
        </w:rPr>
        <w:t>"</w:t>
      </w:r>
      <w:r w:rsidRPr="00DB1A1B">
        <w:rPr>
          <w:sz w:val="24"/>
          <w:szCs w:val="24"/>
        </w:rPr>
        <w:t xml:space="preserve"> påvirker ikke eller kun i ubetydelig grad evnen til at føre motorkøretøj og betjene maskiner.</w:t>
      </w:r>
    </w:p>
    <w:p w14:paraId="257C7011" w14:textId="77777777" w:rsidR="009260DE" w:rsidRPr="00DB1A1B" w:rsidRDefault="009260DE" w:rsidP="009260DE">
      <w:pPr>
        <w:tabs>
          <w:tab w:val="left" w:pos="851"/>
        </w:tabs>
        <w:ind w:left="851"/>
        <w:rPr>
          <w:sz w:val="24"/>
          <w:szCs w:val="24"/>
        </w:rPr>
      </w:pPr>
    </w:p>
    <w:p w14:paraId="31E3F14D" w14:textId="77777777" w:rsidR="009260DE" w:rsidRPr="00DB1A1B" w:rsidRDefault="009260DE" w:rsidP="009260DE">
      <w:pPr>
        <w:tabs>
          <w:tab w:val="left" w:pos="851"/>
        </w:tabs>
        <w:ind w:left="851" w:hanging="851"/>
        <w:rPr>
          <w:b/>
          <w:sz w:val="24"/>
          <w:szCs w:val="24"/>
        </w:rPr>
      </w:pPr>
      <w:r w:rsidRPr="00DB1A1B">
        <w:rPr>
          <w:b/>
          <w:sz w:val="24"/>
          <w:szCs w:val="24"/>
        </w:rPr>
        <w:t>4.8</w:t>
      </w:r>
      <w:r w:rsidRPr="00DB1A1B">
        <w:rPr>
          <w:b/>
          <w:sz w:val="24"/>
          <w:szCs w:val="24"/>
        </w:rPr>
        <w:tab/>
        <w:t>Bivirkninger</w:t>
      </w:r>
    </w:p>
    <w:p w14:paraId="039FD27E" w14:textId="77777777" w:rsidR="006B1D8C" w:rsidRPr="00DB1A1B" w:rsidRDefault="006B1D8C" w:rsidP="00270E7C">
      <w:pPr>
        <w:ind w:left="851"/>
        <w:rPr>
          <w:sz w:val="24"/>
          <w:szCs w:val="24"/>
          <w:u w:val="single"/>
        </w:rPr>
      </w:pPr>
    </w:p>
    <w:p w14:paraId="3D21D48A" w14:textId="27A1298A" w:rsidR="004435FC" w:rsidRPr="00DB1A1B" w:rsidRDefault="004435FC" w:rsidP="00270E7C">
      <w:pPr>
        <w:ind w:left="851"/>
        <w:rPr>
          <w:sz w:val="24"/>
          <w:szCs w:val="24"/>
          <w:u w:val="single"/>
        </w:rPr>
      </w:pPr>
      <w:r w:rsidRPr="00DB1A1B">
        <w:rPr>
          <w:sz w:val="24"/>
          <w:szCs w:val="24"/>
          <w:u w:val="single"/>
        </w:rPr>
        <w:t xml:space="preserve">Resumé af </w:t>
      </w:r>
      <w:r w:rsidR="006B1D8C" w:rsidRPr="00DB1A1B">
        <w:rPr>
          <w:sz w:val="24"/>
          <w:szCs w:val="24"/>
          <w:u w:val="single"/>
        </w:rPr>
        <w:t>s</w:t>
      </w:r>
      <w:r w:rsidRPr="00DB1A1B">
        <w:rPr>
          <w:sz w:val="24"/>
          <w:szCs w:val="24"/>
          <w:u w:val="single"/>
        </w:rPr>
        <w:t>ikkerhedsprofilen</w:t>
      </w:r>
    </w:p>
    <w:p w14:paraId="55E37F62" w14:textId="383EC6DB" w:rsidR="004435FC" w:rsidRPr="00DB1A1B" w:rsidRDefault="004435FC" w:rsidP="00270E7C">
      <w:pPr>
        <w:ind w:left="851"/>
        <w:rPr>
          <w:sz w:val="24"/>
          <w:szCs w:val="24"/>
        </w:rPr>
      </w:pPr>
      <w:r w:rsidRPr="00DB1A1B">
        <w:rPr>
          <w:sz w:val="24"/>
          <w:szCs w:val="24"/>
        </w:rPr>
        <w:t xml:space="preserve">De mest almindelige bivirkninger er </w:t>
      </w:r>
      <w:proofErr w:type="spellStart"/>
      <w:r w:rsidRPr="00DB1A1B">
        <w:rPr>
          <w:sz w:val="24"/>
          <w:szCs w:val="24"/>
        </w:rPr>
        <w:t>flebitis</w:t>
      </w:r>
      <w:proofErr w:type="spellEnd"/>
      <w:r w:rsidRPr="00DB1A1B">
        <w:rPr>
          <w:sz w:val="24"/>
          <w:szCs w:val="24"/>
        </w:rPr>
        <w:t>, pseudo-allergiske reaktioner og rødme på overkroppen (</w:t>
      </w:r>
      <w:r w:rsidR="00DB1A1B" w:rsidRPr="00DB1A1B">
        <w:rPr>
          <w:sz w:val="24"/>
          <w:szCs w:val="24"/>
        </w:rPr>
        <w:t>"</w:t>
      </w:r>
      <w:r w:rsidRPr="00DB1A1B">
        <w:rPr>
          <w:sz w:val="24"/>
          <w:szCs w:val="24"/>
        </w:rPr>
        <w:t>rød-hals-syndrom</w:t>
      </w:r>
      <w:r w:rsidR="00DB1A1B" w:rsidRPr="00DB1A1B">
        <w:rPr>
          <w:sz w:val="24"/>
          <w:szCs w:val="24"/>
        </w:rPr>
        <w:t>"</w:t>
      </w:r>
      <w:r w:rsidRPr="00DB1A1B">
        <w:rPr>
          <w:sz w:val="24"/>
          <w:szCs w:val="24"/>
        </w:rPr>
        <w:t xml:space="preserve">) i forbindelse med for hurtig intravenøs infusion af </w:t>
      </w:r>
      <w:proofErr w:type="spellStart"/>
      <w:r w:rsidRPr="00DB1A1B">
        <w:rPr>
          <w:sz w:val="24"/>
          <w:szCs w:val="24"/>
        </w:rPr>
        <w:t>vancomycin</w:t>
      </w:r>
      <w:proofErr w:type="spellEnd"/>
      <w:r w:rsidRPr="00DB1A1B">
        <w:rPr>
          <w:sz w:val="24"/>
          <w:szCs w:val="24"/>
        </w:rPr>
        <w:t>.</w:t>
      </w:r>
    </w:p>
    <w:p w14:paraId="139AB6DC" w14:textId="77777777" w:rsidR="004435FC" w:rsidRPr="00DB1A1B" w:rsidRDefault="004435FC" w:rsidP="00270E7C">
      <w:pPr>
        <w:ind w:left="851"/>
        <w:rPr>
          <w:sz w:val="24"/>
          <w:szCs w:val="24"/>
        </w:rPr>
      </w:pPr>
    </w:p>
    <w:p w14:paraId="3165CABF" w14:textId="77777777" w:rsidR="004435FC" w:rsidRPr="00DB1A1B" w:rsidRDefault="004435FC" w:rsidP="00270E7C">
      <w:pPr>
        <w:ind w:left="851"/>
        <w:rPr>
          <w:sz w:val="24"/>
          <w:szCs w:val="24"/>
        </w:rPr>
      </w:pPr>
      <w:r w:rsidRPr="00DB1A1B">
        <w:rPr>
          <w:sz w:val="24"/>
          <w:szCs w:val="24"/>
        </w:rPr>
        <w:t xml:space="preserve">Svære </w:t>
      </w:r>
      <w:proofErr w:type="spellStart"/>
      <w:r w:rsidRPr="00DB1A1B">
        <w:rPr>
          <w:sz w:val="24"/>
          <w:szCs w:val="24"/>
        </w:rPr>
        <w:t>kutane</w:t>
      </w:r>
      <w:proofErr w:type="spellEnd"/>
      <w:r w:rsidRPr="00DB1A1B">
        <w:rPr>
          <w:sz w:val="24"/>
          <w:szCs w:val="24"/>
        </w:rPr>
        <w:t xml:space="preserve"> bivirkninger (</w:t>
      </w:r>
      <w:proofErr w:type="spellStart"/>
      <w:r w:rsidRPr="00DB1A1B">
        <w:rPr>
          <w:sz w:val="24"/>
          <w:szCs w:val="24"/>
        </w:rPr>
        <w:t>SCAR’er</w:t>
      </w:r>
      <w:proofErr w:type="spellEnd"/>
      <w:r w:rsidRPr="00DB1A1B">
        <w:rPr>
          <w:sz w:val="24"/>
          <w:szCs w:val="24"/>
        </w:rPr>
        <w:t xml:space="preserve">), inklusive Stevens-Johnsons syndrom (SJS), toksisk </w:t>
      </w:r>
      <w:proofErr w:type="spellStart"/>
      <w:r w:rsidRPr="00DB1A1B">
        <w:rPr>
          <w:sz w:val="24"/>
          <w:szCs w:val="24"/>
        </w:rPr>
        <w:t>epidermal</w:t>
      </w:r>
      <w:proofErr w:type="spellEnd"/>
      <w:r w:rsidRPr="00DB1A1B">
        <w:rPr>
          <w:sz w:val="24"/>
          <w:szCs w:val="24"/>
        </w:rPr>
        <w:t xml:space="preserve"> </w:t>
      </w:r>
      <w:proofErr w:type="spellStart"/>
      <w:r w:rsidRPr="00DB1A1B">
        <w:rPr>
          <w:sz w:val="24"/>
          <w:szCs w:val="24"/>
        </w:rPr>
        <w:t>nekrolyse</w:t>
      </w:r>
      <w:proofErr w:type="spellEnd"/>
      <w:r w:rsidRPr="00DB1A1B">
        <w:rPr>
          <w:sz w:val="24"/>
          <w:szCs w:val="24"/>
        </w:rPr>
        <w:t xml:space="preserve"> (TEN), lægemiddelreaktion med </w:t>
      </w:r>
      <w:proofErr w:type="spellStart"/>
      <w:r w:rsidRPr="00DB1A1B">
        <w:rPr>
          <w:sz w:val="24"/>
          <w:szCs w:val="24"/>
        </w:rPr>
        <w:t>eosinofili</w:t>
      </w:r>
      <w:proofErr w:type="spellEnd"/>
      <w:r w:rsidRPr="00DB1A1B">
        <w:rPr>
          <w:sz w:val="24"/>
          <w:szCs w:val="24"/>
        </w:rPr>
        <w:t xml:space="preserve"> og systemiske </w:t>
      </w:r>
      <w:r w:rsidRPr="00DB1A1B">
        <w:rPr>
          <w:sz w:val="24"/>
          <w:szCs w:val="24"/>
        </w:rPr>
        <w:lastRenderedPageBreak/>
        <w:t xml:space="preserve">symptomer (DRESS) og akut generaliseret </w:t>
      </w:r>
      <w:proofErr w:type="spellStart"/>
      <w:r w:rsidRPr="00DB1A1B">
        <w:rPr>
          <w:sz w:val="24"/>
          <w:szCs w:val="24"/>
        </w:rPr>
        <w:t>eksantematøs</w:t>
      </w:r>
      <w:proofErr w:type="spellEnd"/>
      <w:r w:rsidRPr="00DB1A1B">
        <w:rPr>
          <w:sz w:val="24"/>
          <w:szCs w:val="24"/>
        </w:rPr>
        <w:t xml:space="preserve"> </w:t>
      </w:r>
      <w:proofErr w:type="spellStart"/>
      <w:r w:rsidRPr="00DB1A1B">
        <w:rPr>
          <w:sz w:val="24"/>
          <w:szCs w:val="24"/>
        </w:rPr>
        <w:t>pustulose</w:t>
      </w:r>
      <w:proofErr w:type="spellEnd"/>
      <w:r w:rsidRPr="00DB1A1B">
        <w:rPr>
          <w:sz w:val="24"/>
          <w:szCs w:val="24"/>
        </w:rPr>
        <w:t xml:space="preserve"> (AGEP) er blevet rapporteret i forbindelse med </w:t>
      </w:r>
      <w:proofErr w:type="spellStart"/>
      <w:r w:rsidRPr="00DB1A1B">
        <w:rPr>
          <w:sz w:val="24"/>
          <w:szCs w:val="24"/>
        </w:rPr>
        <w:t>vancomycinbehandling</w:t>
      </w:r>
      <w:proofErr w:type="spellEnd"/>
      <w:r w:rsidRPr="00DB1A1B">
        <w:rPr>
          <w:sz w:val="24"/>
          <w:szCs w:val="24"/>
        </w:rPr>
        <w:t xml:space="preserve"> (se pkt. 4.4).</w:t>
      </w:r>
    </w:p>
    <w:p w14:paraId="291FDD66" w14:textId="77777777" w:rsidR="004435FC" w:rsidRPr="00DB1A1B" w:rsidRDefault="004435FC" w:rsidP="00270E7C">
      <w:pPr>
        <w:ind w:left="851"/>
        <w:rPr>
          <w:sz w:val="24"/>
          <w:szCs w:val="24"/>
        </w:rPr>
      </w:pPr>
    </w:p>
    <w:p w14:paraId="467D6DFE" w14:textId="77777777" w:rsidR="004435FC" w:rsidRPr="00DB1A1B" w:rsidRDefault="004435FC" w:rsidP="00270E7C">
      <w:pPr>
        <w:ind w:left="851"/>
        <w:rPr>
          <w:sz w:val="24"/>
          <w:szCs w:val="24"/>
          <w:u w:val="single"/>
        </w:rPr>
      </w:pPr>
      <w:r w:rsidRPr="00DB1A1B">
        <w:rPr>
          <w:sz w:val="24"/>
          <w:szCs w:val="24"/>
          <w:u w:val="single"/>
        </w:rPr>
        <w:t>Tabel over bivirkninger</w:t>
      </w:r>
    </w:p>
    <w:p w14:paraId="54F17E3E" w14:textId="77777777" w:rsidR="004435FC" w:rsidRPr="00DB1A1B" w:rsidRDefault="004435FC" w:rsidP="00270E7C">
      <w:pPr>
        <w:ind w:left="851"/>
        <w:rPr>
          <w:sz w:val="24"/>
          <w:szCs w:val="24"/>
        </w:rPr>
      </w:pPr>
      <w:r w:rsidRPr="00DB1A1B">
        <w:rPr>
          <w:sz w:val="24"/>
          <w:szCs w:val="24"/>
        </w:rPr>
        <w:t>Inden for hver frekvensgruppe er bivirkningerne opstillet efter faldende alvorlighed.</w:t>
      </w:r>
    </w:p>
    <w:p w14:paraId="4F84E99D" w14:textId="77777777" w:rsidR="004435FC" w:rsidRPr="00DB1A1B" w:rsidRDefault="004435FC" w:rsidP="00270E7C">
      <w:pPr>
        <w:ind w:left="851"/>
        <w:rPr>
          <w:sz w:val="24"/>
          <w:szCs w:val="24"/>
        </w:rPr>
      </w:pPr>
      <w:r w:rsidRPr="00DB1A1B">
        <w:rPr>
          <w:sz w:val="24"/>
          <w:szCs w:val="24"/>
        </w:rPr>
        <w:t xml:space="preserve">Bivirkningerne anført nedenfor er defineret ved hjælp af </w:t>
      </w:r>
      <w:proofErr w:type="spellStart"/>
      <w:r w:rsidRPr="00DB1A1B">
        <w:rPr>
          <w:sz w:val="24"/>
          <w:szCs w:val="24"/>
        </w:rPr>
        <w:t>MedDRA</w:t>
      </w:r>
      <w:proofErr w:type="spellEnd"/>
      <w:r w:rsidRPr="00DB1A1B">
        <w:rPr>
          <w:sz w:val="24"/>
          <w:szCs w:val="24"/>
        </w:rPr>
        <w:t>-konventionen og system-organsystemdatabasen:</w:t>
      </w:r>
    </w:p>
    <w:p w14:paraId="390304C0" w14:textId="77777777" w:rsidR="004435FC" w:rsidRPr="00DB1A1B" w:rsidRDefault="004435FC" w:rsidP="00270E7C">
      <w:pPr>
        <w:ind w:left="851"/>
        <w:rPr>
          <w:sz w:val="24"/>
          <w:szCs w:val="24"/>
        </w:rPr>
      </w:pPr>
      <w:r w:rsidRPr="00DB1A1B">
        <w:rPr>
          <w:sz w:val="24"/>
          <w:szCs w:val="24"/>
        </w:rPr>
        <w:t>Meget almindelig (≥ 1/10); almindelig (≥ 1/100 til &lt;1/10); ikke almindelig (≥ 1/1.000 til &lt;1/100); sjælden (≥ 1/10.000 til &lt;1/1.000); meget sjælden (&lt;1/10.000), ikke kendt (kan ikke estimeres ud fra forhåndenværende data).</w:t>
      </w:r>
    </w:p>
    <w:p w14:paraId="43DA15FD" w14:textId="77777777" w:rsidR="004435FC" w:rsidRPr="00DB1A1B" w:rsidRDefault="004435FC" w:rsidP="004435FC">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7533"/>
      </w:tblGrid>
      <w:tr w:rsidR="004435FC" w:rsidRPr="00DB1A1B" w14:paraId="75FAA5EE" w14:textId="77777777" w:rsidTr="00270E7C">
        <w:tc>
          <w:tcPr>
            <w:tcW w:w="5000" w:type="pct"/>
            <w:gridSpan w:val="2"/>
            <w:tcBorders>
              <w:top w:val="single" w:sz="4" w:space="0" w:color="auto"/>
              <w:left w:val="single" w:sz="4" w:space="0" w:color="auto"/>
              <w:bottom w:val="single" w:sz="4" w:space="0" w:color="auto"/>
              <w:right w:val="single" w:sz="4" w:space="0" w:color="auto"/>
            </w:tcBorders>
            <w:hideMark/>
          </w:tcPr>
          <w:p w14:paraId="208A5564" w14:textId="77777777" w:rsidR="004435FC" w:rsidRPr="00DB1A1B" w:rsidRDefault="004435FC">
            <w:pPr>
              <w:keepNext/>
              <w:rPr>
                <w:sz w:val="24"/>
                <w:szCs w:val="24"/>
                <w:lang w:eastAsia="de-DE"/>
              </w:rPr>
            </w:pPr>
            <w:proofErr w:type="spellStart"/>
            <w:r w:rsidRPr="00DB1A1B">
              <w:rPr>
                <w:b/>
                <w:sz w:val="24"/>
                <w:szCs w:val="24"/>
              </w:rPr>
              <w:t>MedDRA</w:t>
            </w:r>
            <w:proofErr w:type="spellEnd"/>
            <w:r w:rsidRPr="00DB1A1B">
              <w:rPr>
                <w:b/>
                <w:sz w:val="24"/>
                <w:szCs w:val="24"/>
              </w:rPr>
              <w:t>-systemorgan</w:t>
            </w:r>
            <w:r w:rsidRPr="00DB1A1B">
              <w:rPr>
                <w:b/>
                <w:sz w:val="24"/>
                <w:szCs w:val="24"/>
              </w:rPr>
              <w:softHyphen/>
              <w:t>klasse</w:t>
            </w:r>
          </w:p>
        </w:tc>
      </w:tr>
      <w:tr w:rsidR="004435FC" w:rsidRPr="00DB1A1B" w14:paraId="090D58CF" w14:textId="77777777" w:rsidTr="00270E7C">
        <w:tc>
          <w:tcPr>
            <w:tcW w:w="1088" w:type="pct"/>
            <w:tcBorders>
              <w:top w:val="single" w:sz="4" w:space="0" w:color="auto"/>
              <w:left w:val="single" w:sz="4" w:space="0" w:color="auto"/>
              <w:bottom w:val="single" w:sz="4" w:space="0" w:color="auto"/>
              <w:right w:val="single" w:sz="4" w:space="0" w:color="auto"/>
            </w:tcBorders>
            <w:hideMark/>
          </w:tcPr>
          <w:p w14:paraId="2BBC9C0A" w14:textId="77777777" w:rsidR="004435FC" w:rsidRPr="00DB1A1B" w:rsidRDefault="004435FC">
            <w:pPr>
              <w:keepNext/>
              <w:rPr>
                <w:b/>
                <w:sz w:val="24"/>
                <w:szCs w:val="24"/>
                <w:lang w:eastAsia="de-DE"/>
              </w:rPr>
            </w:pPr>
            <w:r w:rsidRPr="00DB1A1B">
              <w:rPr>
                <w:b/>
                <w:sz w:val="24"/>
                <w:szCs w:val="24"/>
                <w:lang w:eastAsia="de-DE"/>
              </w:rPr>
              <w:t>Hyppighed</w:t>
            </w:r>
          </w:p>
        </w:tc>
        <w:tc>
          <w:tcPr>
            <w:tcW w:w="3912" w:type="pct"/>
            <w:tcBorders>
              <w:top w:val="single" w:sz="4" w:space="0" w:color="auto"/>
              <w:left w:val="single" w:sz="4" w:space="0" w:color="auto"/>
              <w:bottom w:val="single" w:sz="4" w:space="0" w:color="auto"/>
              <w:right w:val="single" w:sz="4" w:space="0" w:color="auto"/>
            </w:tcBorders>
            <w:hideMark/>
          </w:tcPr>
          <w:p w14:paraId="7DBAF9C8" w14:textId="77777777" w:rsidR="004435FC" w:rsidRPr="00DB1A1B" w:rsidRDefault="004435FC">
            <w:pPr>
              <w:keepNext/>
              <w:rPr>
                <w:b/>
                <w:sz w:val="24"/>
                <w:szCs w:val="24"/>
                <w:lang w:eastAsia="de-DE"/>
              </w:rPr>
            </w:pPr>
            <w:r w:rsidRPr="00DB1A1B">
              <w:rPr>
                <w:b/>
                <w:sz w:val="24"/>
                <w:szCs w:val="24"/>
                <w:lang w:eastAsia="de-DE"/>
              </w:rPr>
              <w:t>Bivirkning</w:t>
            </w:r>
          </w:p>
        </w:tc>
      </w:tr>
      <w:tr w:rsidR="004435FC" w:rsidRPr="00DB1A1B" w14:paraId="135ABF14" w14:textId="77777777" w:rsidTr="00270E7C">
        <w:tc>
          <w:tcPr>
            <w:tcW w:w="5000" w:type="pct"/>
            <w:gridSpan w:val="2"/>
            <w:tcBorders>
              <w:top w:val="single" w:sz="4" w:space="0" w:color="auto"/>
              <w:left w:val="single" w:sz="4" w:space="0" w:color="auto"/>
              <w:bottom w:val="single" w:sz="4" w:space="0" w:color="auto"/>
              <w:right w:val="single" w:sz="4" w:space="0" w:color="auto"/>
            </w:tcBorders>
            <w:hideMark/>
          </w:tcPr>
          <w:p w14:paraId="6014A715" w14:textId="77777777" w:rsidR="004435FC" w:rsidRPr="00DB1A1B" w:rsidRDefault="004435FC">
            <w:pPr>
              <w:keepNext/>
              <w:rPr>
                <w:b/>
                <w:bCs/>
                <w:sz w:val="24"/>
                <w:szCs w:val="24"/>
                <w:lang w:eastAsia="de-DE"/>
              </w:rPr>
            </w:pPr>
            <w:r w:rsidRPr="00DB1A1B">
              <w:rPr>
                <w:b/>
                <w:bCs/>
                <w:sz w:val="24"/>
                <w:szCs w:val="24"/>
              </w:rPr>
              <w:t>Blod og lymfesystem</w:t>
            </w:r>
          </w:p>
        </w:tc>
      </w:tr>
      <w:tr w:rsidR="004435FC" w:rsidRPr="00B605AA" w14:paraId="380277B5" w14:textId="77777777" w:rsidTr="00270E7C">
        <w:tc>
          <w:tcPr>
            <w:tcW w:w="1088" w:type="pct"/>
            <w:tcBorders>
              <w:top w:val="single" w:sz="4" w:space="0" w:color="auto"/>
              <w:left w:val="single" w:sz="4" w:space="0" w:color="auto"/>
              <w:bottom w:val="single" w:sz="4" w:space="0" w:color="auto"/>
              <w:right w:val="single" w:sz="4" w:space="0" w:color="auto"/>
            </w:tcBorders>
            <w:hideMark/>
          </w:tcPr>
          <w:p w14:paraId="1B610BB4" w14:textId="77777777" w:rsidR="004435FC" w:rsidRPr="00DB1A1B" w:rsidRDefault="004435FC">
            <w:pPr>
              <w:keepNext/>
              <w:rPr>
                <w:sz w:val="24"/>
                <w:szCs w:val="24"/>
                <w:lang w:eastAsia="de-DE"/>
              </w:rPr>
            </w:pPr>
            <w:r w:rsidRPr="00DB1A1B">
              <w:rPr>
                <w:sz w:val="24"/>
                <w:szCs w:val="24"/>
                <w:lang w:eastAsia="de-DE"/>
              </w:rPr>
              <w:t>Sjælden</w:t>
            </w:r>
          </w:p>
        </w:tc>
        <w:tc>
          <w:tcPr>
            <w:tcW w:w="3912" w:type="pct"/>
            <w:tcBorders>
              <w:top w:val="single" w:sz="4" w:space="0" w:color="auto"/>
              <w:left w:val="single" w:sz="4" w:space="0" w:color="auto"/>
              <w:bottom w:val="single" w:sz="4" w:space="0" w:color="auto"/>
              <w:right w:val="single" w:sz="4" w:space="0" w:color="auto"/>
            </w:tcBorders>
            <w:hideMark/>
          </w:tcPr>
          <w:p w14:paraId="750ABD06" w14:textId="77777777" w:rsidR="004435FC" w:rsidRPr="00B605AA" w:rsidRDefault="004435FC">
            <w:pPr>
              <w:keepNext/>
              <w:rPr>
                <w:sz w:val="24"/>
                <w:szCs w:val="24"/>
                <w:lang w:val="en-US" w:eastAsia="de-DE"/>
              </w:rPr>
            </w:pPr>
            <w:proofErr w:type="spellStart"/>
            <w:r w:rsidRPr="00B605AA">
              <w:rPr>
                <w:sz w:val="24"/>
                <w:szCs w:val="24"/>
                <w:lang w:val="en-US"/>
              </w:rPr>
              <w:t>Reversibel</w:t>
            </w:r>
            <w:proofErr w:type="spellEnd"/>
            <w:r w:rsidRPr="00B605AA">
              <w:rPr>
                <w:sz w:val="24"/>
                <w:szCs w:val="24"/>
                <w:lang w:val="en-US"/>
              </w:rPr>
              <w:t xml:space="preserve"> </w:t>
            </w:r>
            <w:proofErr w:type="spellStart"/>
            <w:r w:rsidRPr="00B605AA">
              <w:rPr>
                <w:sz w:val="24"/>
                <w:szCs w:val="24"/>
                <w:lang w:val="en-US"/>
              </w:rPr>
              <w:t>neutropeni</w:t>
            </w:r>
            <w:proofErr w:type="spellEnd"/>
            <w:r w:rsidRPr="00B605AA">
              <w:rPr>
                <w:sz w:val="24"/>
                <w:szCs w:val="24"/>
                <w:lang w:val="en-US"/>
              </w:rPr>
              <w:t xml:space="preserve">, </w:t>
            </w:r>
            <w:proofErr w:type="spellStart"/>
            <w:r w:rsidRPr="00B605AA">
              <w:rPr>
                <w:sz w:val="24"/>
                <w:szCs w:val="24"/>
                <w:lang w:val="en-US"/>
              </w:rPr>
              <w:t>agranulocytose</w:t>
            </w:r>
            <w:proofErr w:type="spellEnd"/>
            <w:r w:rsidRPr="00B605AA">
              <w:rPr>
                <w:sz w:val="24"/>
                <w:szCs w:val="24"/>
                <w:lang w:val="en-US"/>
              </w:rPr>
              <w:t xml:space="preserve">, </w:t>
            </w:r>
            <w:proofErr w:type="spellStart"/>
            <w:r w:rsidRPr="00B605AA">
              <w:rPr>
                <w:sz w:val="24"/>
                <w:szCs w:val="24"/>
                <w:lang w:val="en-US"/>
              </w:rPr>
              <w:t>eosinofili</w:t>
            </w:r>
            <w:proofErr w:type="spellEnd"/>
            <w:r w:rsidRPr="00B605AA">
              <w:rPr>
                <w:sz w:val="24"/>
                <w:szCs w:val="24"/>
                <w:lang w:val="en-US"/>
              </w:rPr>
              <w:t xml:space="preserve">, </w:t>
            </w:r>
            <w:proofErr w:type="spellStart"/>
            <w:r w:rsidRPr="00B605AA">
              <w:rPr>
                <w:sz w:val="24"/>
                <w:szCs w:val="24"/>
                <w:lang w:val="en-US"/>
              </w:rPr>
              <w:t>trombocytopeni</w:t>
            </w:r>
            <w:proofErr w:type="spellEnd"/>
            <w:r w:rsidRPr="00B605AA">
              <w:rPr>
                <w:sz w:val="24"/>
                <w:szCs w:val="24"/>
                <w:lang w:val="en-US"/>
              </w:rPr>
              <w:t xml:space="preserve">, </w:t>
            </w:r>
            <w:proofErr w:type="spellStart"/>
            <w:r w:rsidRPr="00B605AA">
              <w:rPr>
                <w:sz w:val="24"/>
                <w:szCs w:val="24"/>
                <w:lang w:val="en-US"/>
              </w:rPr>
              <w:t>pancytopeni</w:t>
            </w:r>
            <w:proofErr w:type="spellEnd"/>
          </w:p>
        </w:tc>
      </w:tr>
      <w:tr w:rsidR="004435FC" w:rsidRPr="00DB1A1B" w14:paraId="78E8A53D" w14:textId="77777777" w:rsidTr="00270E7C">
        <w:tc>
          <w:tcPr>
            <w:tcW w:w="5000" w:type="pct"/>
            <w:gridSpan w:val="2"/>
            <w:tcBorders>
              <w:top w:val="single" w:sz="4" w:space="0" w:color="auto"/>
              <w:left w:val="single" w:sz="4" w:space="0" w:color="auto"/>
              <w:bottom w:val="single" w:sz="4" w:space="0" w:color="auto"/>
              <w:right w:val="single" w:sz="4" w:space="0" w:color="auto"/>
            </w:tcBorders>
            <w:hideMark/>
          </w:tcPr>
          <w:p w14:paraId="51B71D37" w14:textId="77777777" w:rsidR="004435FC" w:rsidRPr="00DB1A1B" w:rsidRDefault="004435FC">
            <w:pPr>
              <w:keepNext/>
              <w:rPr>
                <w:b/>
                <w:bCs/>
                <w:sz w:val="24"/>
                <w:szCs w:val="24"/>
                <w:lang w:eastAsia="de-DE"/>
              </w:rPr>
            </w:pPr>
            <w:r w:rsidRPr="00DB1A1B">
              <w:rPr>
                <w:b/>
                <w:bCs/>
                <w:sz w:val="24"/>
                <w:szCs w:val="24"/>
              </w:rPr>
              <w:t>Immunsystemet</w:t>
            </w:r>
          </w:p>
        </w:tc>
      </w:tr>
      <w:tr w:rsidR="004435FC" w:rsidRPr="00DB1A1B" w14:paraId="180BCB8A" w14:textId="77777777" w:rsidTr="00270E7C">
        <w:tc>
          <w:tcPr>
            <w:tcW w:w="1088" w:type="pct"/>
            <w:tcBorders>
              <w:top w:val="single" w:sz="4" w:space="0" w:color="auto"/>
              <w:left w:val="single" w:sz="4" w:space="0" w:color="auto"/>
              <w:bottom w:val="single" w:sz="4" w:space="0" w:color="auto"/>
              <w:right w:val="single" w:sz="4" w:space="0" w:color="auto"/>
            </w:tcBorders>
            <w:hideMark/>
          </w:tcPr>
          <w:p w14:paraId="10180255" w14:textId="77777777" w:rsidR="004435FC" w:rsidRPr="00DB1A1B" w:rsidRDefault="004435FC">
            <w:pPr>
              <w:keepNext/>
              <w:rPr>
                <w:sz w:val="24"/>
                <w:szCs w:val="24"/>
                <w:lang w:eastAsia="de-DE"/>
              </w:rPr>
            </w:pPr>
            <w:r w:rsidRPr="00DB1A1B">
              <w:rPr>
                <w:sz w:val="24"/>
                <w:szCs w:val="24"/>
                <w:lang w:eastAsia="de-DE"/>
              </w:rPr>
              <w:t>Sjælden</w:t>
            </w:r>
          </w:p>
        </w:tc>
        <w:tc>
          <w:tcPr>
            <w:tcW w:w="3912" w:type="pct"/>
            <w:tcBorders>
              <w:top w:val="single" w:sz="4" w:space="0" w:color="auto"/>
              <w:left w:val="single" w:sz="4" w:space="0" w:color="auto"/>
              <w:bottom w:val="single" w:sz="4" w:space="0" w:color="auto"/>
              <w:right w:val="single" w:sz="4" w:space="0" w:color="auto"/>
            </w:tcBorders>
            <w:hideMark/>
          </w:tcPr>
          <w:p w14:paraId="041E4362" w14:textId="77777777" w:rsidR="004435FC" w:rsidRPr="00DB1A1B" w:rsidRDefault="004435FC">
            <w:pPr>
              <w:keepNext/>
              <w:rPr>
                <w:sz w:val="24"/>
                <w:szCs w:val="24"/>
                <w:lang w:eastAsia="de-DE"/>
              </w:rPr>
            </w:pPr>
            <w:r w:rsidRPr="00DB1A1B">
              <w:rPr>
                <w:sz w:val="24"/>
                <w:szCs w:val="24"/>
              </w:rPr>
              <w:t xml:space="preserve">Overfølsomhedsreaktioner </w:t>
            </w:r>
            <w:proofErr w:type="spellStart"/>
            <w:r w:rsidRPr="00DB1A1B">
              <w:rPr>
                <w:sz w:val="24"/>
                <w:szCs w:val="24"/>
              </w:rPr>
              <w:t>anafylaktiske</w:t>
            </w:r>
            <w:proofErr w:type="spellEnd"/>
            <w:r w:rsidRPr="00DB1A1B">
              <w:rPr>
                <w:sz w:val="24"/>
                <w:szCs w:val="24"/>
              </w:rPr>
              <w:t xml:space="preserve"> reaktioner</w:t>
            </w:r>
          </w:p>
        </w:tc>
      </w:tr>
      <w:tr w:rsidR="004435FC" w:rsidRPr="00DB1A1B" w14:paraId="766CCB19" w14:textId="77777777" w:rsidTr="00270E7C">
        <w:tc>
          <w:tcPr>
            <w:tcW w:w="5000" w:type="pct"/>
            <w:gridSpan w:val="2"/>
            <w:tcBorders>
              <w:top w:val="single" w:sz="4" w:space="0" w:color="auto"/>
              <w:left w:val="single" w:sz="4" w:space="0" w:color="auto"/>
              <w:bottom w:val="single" w:sz="4" w:space="0" w:color="auto"/>
              <w:right w:val="single" w:sz="4" w:space="0" w:color="auto"/>
            </w:tcBorders>
            <w:hideMark/>
          </w:tcPr>
          <w:p w14:paraId="178C24CF" w14:textId="77777777" w:rsidR="004435FC" w:rsidRPr="00DB1A1B" w:rsidRDefault="004435FC">
            <w:pPr>
              <w:keepNext/>
              <w:rPr>
                <w:b/>
                <w:bCs/>
                <w:sz w:val="24"/>
                <w:szCs w:val="24"/>
                <w:lang w:eastAsia="de-DE"/>
              </w:rPr>
            </w:pPr>
            <w:r w:rsidRPr="00DB1A1B">
              <w:rPr>
                <w:b/>
                <w:bCs/>
                <w:sz w:val="24"/>
                <w:szCs w:val="24"/>
              </w:rPr>
              <w:t>Øre og labyrint</w:t>
            </w:r>
          </w:p>
        </w:tc>
      </w:tr>
      <w:tr w:rsidR="004435FC" w:rsidRPr="00DB1A1B" w14:paraId="2F8BAE98" w14:textId="77777777" w:rsidTr="00270E7C">
        <w:tc>
          <w:tcPr>
            <w:tcW w:w="1088" w:type="pct"/>
            <w:tcBorders>
              <w:top w:val="single" w:sz="4" w:space="0" w:color="auto"/>
              <w:left w:val="single" w:sz="4" w:space="0" w:color="auto"/>
              <w:bottom w:val="single" w:sz="4" w:space="0" w:color="auto"/>
              <w:right w:val="single" w:sz="4" w:space="0" w:color="auto"/>
            </w:tcBorders>
            <w:hideMark/>
          </w:tcPr>
          <w:p w14:paraId="46B87D3C" w14:textId="77777777" w:rsidR="004435FC" w:rsidRPr="00DB1A1B" w:rsidRDefault="004435FC">
            <w:pPr>
              <w:keepNext/>
              <w:rPr>
                <w:sz w:val="24"/>
                <w:szCs w:val="24"/>
                <w:lang w:eastAsia="de-DE"/>
              </w:rPr>
            </w:pPr>
            <w:r w:rsidRPr="00DB1A1B">
              <w:rPr>
                <w:sz w:val="24"/>
                <w:szCs w:val="24"/>
                <w:lang w:eastAsia="de-DE"/>
              </w:rPr>
              <w:t>Ikke almindelig</w:t>
            </w:r>
          </w:p>
        </w:tc>
        <w:tc>
          <w:tcPr>
            <w:tcW w:w="3912" w:type="pct"/>
            <w:tcBorders>
              <w:top w:val="single" w:sz="4" w:space="0" w:color="auto"/>
              <w:left w:val="single" w:sz="4" w:space="0" w:color="auto"/>
              <w:bottom w:val="single" w:sz="4" w:space="0" w:color="auto"/>
              <w:right w:val="single" w:sz="4" w:space="0" w:color="auto"/>
            </w:tcBorders>
            <w:hideMark/>
          </w:tcPr>
          <w:p w14:paraId="2EA94A14" w14:textId="77777777" w:rsidR="004435FC" w:rsidRPr="00DB1A1B" w:rsidRDefault="004435FC">
            <w:pPr>
              <w:keepNext/>
              <w:rPr>
                <w:sz w:val="24"/>
                <w:szCs w:val="24"/>
                <w:lang w:eastAsia="de-DE"/>
              </w:rPr>
            </w:pPr>
            <w:r w:rsidRPr="00DB1A1B">
              <w:rPr>
                <w:sz w:val="24"/>
                <w:szCs w:val="24"/>
              </w:rPr>
              <w:t>Forbigående eller permanent tab af hørelse</w:t>
            </w:r>
          </w:p>
        </w:tc>
      </w:tr>
      <w:tr w:rsidR="004435FC" w:rsidRPr="00DB1A1B" w14:paraId="428DA944" w14:textId="77777777" w:rsidTr="00270E7C">
        <w:tc>
          <w:tcPr>
            <w:tcW w:w="1088" w:type="pct"/>
            <w:tcBorders>
              <w:top w:val="single" w:sz="4" w:space="0" w:color="auto"/>
              <w:left w:val="single" w:sz="4" w:space="0" w:color="auto"/>
              <w:bottom w:val="single" w:sz="4" w:space="0" w:color="auto"/>
              <w:right w:val="single" w:sz="4" w:space="0" w:color="auto"/>
            </w:tcBorders>
            <w:hideMark/>
          </w:tcPr>
          <w:p w14:paraId="1CB5C215" w14:textId="77777777" w:rsidR="004435FC" w:rsidRPr="00DB1A1B" w:rsidRDefault="004435FC">
            <w:pPr>
              <w:keepNext/>
              <w:rPr>
                <w:sz w:val="24"/>
                <w:szCs w:val="24"/>
                <w:lang w:eastAsia="de-DE"/>
              </w:rPr>
            </w:pPr>
            <w:r w:rsidRPr="00DB1A1B">
              <w:rPr>
                <w:sz w:val="24"/>
                <w:szCs w:val="24"/>
                <w:lang w:eastAsia="de-DE"/>
              </w:rPr>
              <w:t>Sjælden</w:t>
            </w:r>
          </w:p>
        </w:tc>
        <w:tc>
          <w:tcPr>
            <w:tcW w:w="3912" w:type="pct"/>
            <w:tcBorders>
              <w:top w:val="single" w:sz="4" w:space="0" w:color="auto"/>
              <w:left w:val="single" w:sz="4" w:space="0" w:color="auto"/>
              <w:bottom w:val="single" w:sz="4" w:space="0" w:color="auto"/>
              <w:right w:val="single" w:sz="4" w:space="0" w:color="auto"/>
            </w:tcBorders>
            <w:hideMark/>
          </w:tcPr>
          <w:p w14:paraId="03E35056" w14:textId="77777777" w:rsidR="004435FC" w:rsidRPr="00DB1A1B" w:rsidRDefault="004435FC">
            <w:pPr>
              <w:keepNext/>
              <w:rPr>
                <w:sz w:val="24"/>
                <w:szCs w:val="24"/>
                <w:lang w:eastAsia="de-DE"/>
              </w:rPr>
            </w:pPr>
            <w:proofErr w:type="spellStart"/>
            <w:r w:rsidRPr="00DB1A1B">
              <w:rPr>
                <w:sz w:val="24"/>
                <w:szCs w:val="24"/>
              </w:rPr>
              <w:t>Vertigo</w:t>
            </w:r>
            <w:proofErr w:type="spellEnd"/>
            <w:r w:rsidRPr="00DB1A1B">
              <w:rPr>
                <w:sz w:val="24"/>
                <w:szCs w:val="24"/>
              </w:rPr>
              <w:t>, tinnitus, svimmelhed</w:t>
            </w:r>
          </w:p>
        </w:tc>
      </w:tr>
      <w:tr w:rsidR="004435FC" w:rsidRPr="00DB1A1B" w14:paraId="4BC45BA0" w14:textId="77777777" w:rsidTr="00270E7C">
        <w:tc>
          <w:tcPr>
            <w:tcW w:w="5000" w:type="pct"/>
            <w:gridSpan w:val="2"/>
            <w:tcBorders>
              <w:top w:val="single" w:sz="4" w:space="0" w:color="auto"/>
              <w:left w:val="single" w:sz="4" w:space="0" w:color="auto"/>
              <w:bottom w:val="single" w:sz="4" w:space="0" w:color="auto"/>
              <w:right w:val="single" w:sz="4" w:space="0" w:color="auto"/>
            </w:tcBorders>
            <w:hideMark/>
          </w:tcPr>
          <w:p w14:paraId="4FA36E1E" w14:textId="77777777" w:rsidR="004435FC" w:rsidRPr="00DB1A1B" w:rsidRDefault="004435FC">
            <w:pPr>
              <w:keepNext/>
              <w:rPr>
                <w:sz w:val="24"/>
                <w:szCs w:val="24"/>
                <w:lang w:eastAsia="de-DE"/>
              </w:rPr>
            </w:pPr>
            <w:r w:rsidRPr="00DB1A1B">
              <w:rPr>
                <w:b/>
                <w:sz w:val="24"/>
                <w:szCs w:val="24"/>
                <w:lang w:eastAsia="de-DE"/>
              </w:rPr>
              <w:t>Hjerte</w:t>
            </w:r>
          </w:p>
        </w:tc>
      </w:tr>
      <w:tr w:rsidR="004435FC" w:rsidRPr="00DB1A1B" w14:paraId="2793502B" w14:textId="77777777" w:rsidTr="00270E7C">
        <w:tc>
          <w:tcPr>
            <w:tcW w:w="1088" w:type="pct"/>
            <w:tcBorders>
              <w:top w:val="single" w:sz="4" w:space="0" w:color="auto"/>
              <w:left w:val="single" w:sz="4" w:space="0" w:color="auto"/>
              <w:bottom w:val="single" w:sz="4" w:space="0" w:color="auto"/>
              <w:right w:val="single" w:sz="4" w:space="0" w:color="auto"/>
            </w:tcBorders>
            <w:hideMark/>
          </w:tcPr>
          <w:p w14:paraId="46FBE416" w14:textId="77777777" w:rsidR="004435FC" w:rsidRPr="00DB1A1B" w:rsidRDefault="004435FC">
            <w:pPr>
              <w:keepNext/>
              <w:rPr>
                <w:sz w:val="24"/>
                <w:szCs w:val="24"/>
                <w:lang w:eastAsia="de-DE"/>
              </w:rPr>
            </w:pPr>
            <w:r w:rsidRPr="00DB1A1B">
              <w:rPr>
                <w:sz w:val="24"/>
                <w:szCs w:val="24"/>
              </w:rPr>
              <w:t>Meget sjælden</w:t>
            </w:r>
          </w:p>
        </w:tc>
        <w:tc>
          <w:tcPr>
            <w:tcW w:w="3912" w:type="pct"/>
            <w:tcBorders>
              <w:top w:val="single" w:sz="4" w:space="0" w:color="auto"/>
              <w:left w:val="single" w:sz="4" w:space="0" w:color="auto"/>
              <w:bottom w:val="single" w:sz="4" w:space="0" w:color="auto"/>
              <w:right w:val="single" w:sz="4" w:space="0" w:color="auto"/>
            </w:tcBorders>
            <w:hideMark/>
          </w:tcPr>
          <w:p w14:paraId="486A0D76" w14:textId="77777777" w:rsidR="004435FC" w:rsidRPr="00DB1A1B" w:rsidRDefault="004435FC">
            <w:pPr>
              <w:keepNext/>
              <w:rPr>
                <w:sz w:val="24"/>
                <w:szCs w:val="24"/>
                <w:lang w:eastAsia="de-DE"/>
              </w:rPr>
            </w:pPr>
            <w:r w:rsidRPr="00DB1A1B">
              <w:rPr>
                <w:sz w:val="24"/>
                <w:szCs w:val="24"/>
                <w:lang w:eastAsia="de-DE"/>
              </w:rPr>
              <w:t>Hjertestop</w:t>
            </w:r>
          </w:p>
        </w:tc>
      </w:tr>
      <w:tr w:rsidR="004435FC" w:rsidRPr="00DB1A1B" w14:paraId="521699E2" w14:textId="77777777" w:rsidTr="00270E7C">
        <w:tc>
          <w:tcPr>
            <w:tcW w:w="5000" w:type="pct"/>
            <w:gridSpan w:val="2"/>
            <w:tcBorders>
              <w:top w:val="single" w:sz="4" w:space="0" w:color="auto"/>
              <w:left w:val="single" w:sz="4" w:space="0" w:color="auto"/>
              <w:bottom w:val="single" w:sz="4" w:space="0" w:color="auto"/>
              <w:right w:val="single" w:sz="4" w:space="0" w:color="auto"/>
            </w:tcBorders>
            <w:hideMark/>
          </w:tcPr>
          <w:p w14:paraId="59775577" w14:textId="77777777" w:rsidR="004435FC" w:rsidRPr="00DB1A1B" w:rsidRDefault="004435FC">
            <w:pPr>
              <w:keepNext/>
              <w:rPr>
                <w:sz w:val="24"/>
                <w:szCs w:val="24"/>
                <w:lang w:eastAsia="de-DE"/>
              </w:rPr>
            </w:pPr>
            <w:proofErr w:type="spellStart"/>
            <w:r w:rsidRPr="00DB1A1B">
              <w:rPr>
                <w:b/>
                <w:sz w:val="24"/>
                <w:szCs w:val="24"/>
                <w:lang w:eastAsia="de-DE"/>
              </w:rPr>
              <w:t>Vaskulære</w:t>
            </w:r>
            <w:proofErr w:type="spellEnd"/>
            <w:r w:rsidRPr="00DB1A1B">
              <w:rPr>
                <w:b/>
                <w:sz w:val="24"/>
                <w:szCs w:val="24"/>
                <w:lang w:eastAsia="de-DE"/>
              </w:rPr>
              <w:t xml:space="preserve"> sygdomme</w:t>
            </w:r>
          </w:p>
        </w:tc>
      </w:tr>
      <w:tr w:rsidR="004435FC" w:rsidRPr="00DB1A1B" w14:paraId="580F2683" w14:textId="77777777" w:rsidTr="00270E7C">
        <w:tc>
          <w:tcPr>
            <w:tcW w:w="1088" w:type="pct"/>
            <w:tcBorders>
              <w:top w:val="single" w:sz="4" w:space="0" w:color="auto"/>
              <w:left w:val="single" w:sz="4" w:space="0" w:color="auto"/>
              <w:bottom w:val="single" w:sz="4" w:space="0" w:color="auto"/>
              <w:right w:val="single" w:sz="4" w:space="0" w:color="auto"/>
            </w:tcBorders>
            <w:hideMark/>
          </w:tcPr>
          <w:p w14:paraId="481A6345" w14:textId="77777777" w:rsidR="004435FC" w:rsidRPr="00DB1A1B" w:rsidRDefault="004435FC">
            <w:pPr>
              <w:keepNext/>
              <w:rPr>
                <w:sz w:val="24"/>
                <w:szCs w:val="24"/>
                <w:lang w:eastAsia="de-DE"/>
              </w:rPr>
            </w:pPr>
            <w:r w:rsidRPr="00DB1A1B">
              <w:rPr>
                <w:sz w:val="24"/>
                <w:szCs w:val="24"/>
                <w:lang w:eastAsia="de-DE"/>
              </w:rPr>
              <w:t>Almindelig</w:t>
            </w:r>
          </w:p>
        </w:tc>
        <w:tc>
          <w:tcPr>
            <w:tcW w:w="3912" w:type="pct"/>
            <w:tcBorders>
              <w:top w:val="single" w:sz="4" w:space="0" w:color="auto"/>
              <w:left w:val="single" w:sz="4" w:space="0" w:color="auto"/>
              <w:bottom w:val="single" w:sz="4" w:space="0" w:color="auto"/>
              <w:right w:val="single" w:sz="4" w:space="0" w:color="auto"/>
            </w:tcBorders>
            <w:hideMark/>
          </w:tcPr>
          <w:p w14:paraId="375F24AF" w14:textId="77777777" w:rsidR="004435FC" w:rsidRPr="00DB1A1B" w:rsidRDefault="004435FC">
            <w:pPr>
              <w:keepNext/>
              <w:rPr>
                <w:sz w:val="24"/>
                <w:szCs w:val="24"/>
                <w:lang w:eastAsia="de-DE"/>
              </w:rPr>
            </w:pPr>
            <w:r w:rsidRPr="00DB1A1B">
              <w:rPr>
                <w:sz w:val="24"/>
                <w:szCs w:val="24"/>
                <w:lang w:eastAsia="de-DE"/>
              </w:rPr>
              <w:t>Fald i blodtrykket</w:t>
            </w:r>
          </w:p>
        </w:tc>
      </w:tr>
      <w:tr w:rsidR="004435FC" w:rsidRPr="00DB1A1B" w14:paraId="320E0E3D" w14:textId="77777777" w:rsidTr="00270E7C">
        <w:tc>
          <w:tcPr>
            <w:tcW w:w="1088" w:type="pct"/>
            <w:tcBorders>
              <w:top w:val="single" w:sz="4" w:space="0" w:color="auto"/>
              <w:left w:val="single" w:sz="4" w:space="0" w:color="auto"/>
              <w:bottom w:val="single" w:sz="4" w:space="0" w:color="auto"/>
              <w:right w:val="single" w:sz="4" w:space="0" w:color="auto"/>
            </w:tcBorders>
            <w:hideMark/>
          </w:tcPr>
          <w:p w14:paraId="584560BB" w14:textId="77777777" w:rsidR="004435FC" w:rsidRPr="00DB1A1B" w:rsidRDefault="004435FC">
            <w:pPr>
              <w:keepNext/>
              <w:rPr>
                <w:sz w:val="24"/>
                <w:szCs w:val="24"/>
                <w:lang w:eastAsia="de-DE"/>
              </w:rPr>
            </w:pPr>
            <w:r w:rsidRPr="00DB1A1B">
              <w:rPr>
                <w:sz w:val="24"/>
                <w:szCs w:val="24"/>
                <w:lang w:eastAsia="de-DE"/>
              </w:rPr>
              <w:t>Sjælden</w:t>
            </w:r>
          </w:p>
        </w:tc>
        <w:tc>
          <w:tcPr>
            <w:tcW w:w="3912" w:type="pct"/>
            <w:tcBorders>
              <w:top w:val="single" w:sz="4" w:space="0" w:color="auto"/>
              <w:left w:val="single" w:sz="4" w:space="0" w:color="auto"/>
              <w:bottom w:val="single" w:sz="4" w:space="0" w:color="auto"/>
              <w:right w:val="single" w:sz="4" w:space="0" w:color="auto"/>
            </w:tcBorders>
            <w:hideMark/>
          </w:tcPr>
          <w:p w14:paraId="789CCA69" w14:textId="77777777" w:rsidR="004435FC" w:rsidRPr="00DB1A1B" w:rsidRDefault="004435FC">
            <w:pPr>
              <w:keepNext/>
              <w:rPr>
                <w:sz w:val="24"/>
                <w:szCs w:val="24"/>
                <w:lang w:eastAsia="de-DE"/>
              </w:rPr>
            </w:pPr>
            <w:proofErr w:type="spellStart"/>
            <w:r w:rsidRPr="00DB1A1B">
              <w:rPr>
                <w:sz w:val="24"/>
                <w:szCs w:val="24"/>
                <w:lang w:eastAsia="de-DE"/>
              </w:rPr>
              <w:t>Vaskulitis</w:t>
            </w:r>
            <w:proofErr w:type="spellEnd"/>
          </w:p>
        </w:tc>
      </w:tr>
      <w:tr w:rsidR="004435FC" w:rsidRPr="00DB1A1B" w14:paraId="53962742" w14:textId="77777777" w:rsidTr="00270E7C">
        <w:tc>
          <w:tcPr>
            <w:tcW w:w="5000" w:type="pct"/>
            <w:gridSpan w:val="2"/>
            <w:tcBorders>
              <w:top w:val="single" w:sz="4" w:space="0" w:color="auto"/>
              <w:left w:val="single" w:sz="4" w:space="0" w:color="auto"/>
              <w:bottom w:val="single" w:sz="4" w:space="0" w:color="auto"/>
              <w:right w:val="single" w:sz="4" w:space="0" w:color="auto"/>
            </w:tcBorders>
            <w:hideMark/>
          </w:tcPr>
          <w:p w14:paraId="604509CF" w14:textId="77777777" w:rsidR="004435FC" w:rsidRPr="00DB1A1B" w:rsidRDefault="004435FC">
            <w:pPr>
              <w:keepNext/>
              <w:rPr>
                <w:sz w:val="24"/>
                <w:szCs w:val="24"/>
                <w:lang w:eastAsia="de-DE"/>
              </w:rPr>
            </w:pPr>
            <w:r w:rsidRPr="00DB1A1B">
              <w:rPr>
                <w:b/>
                <w:sz w:val="24"/>
                <w:szCs w:val="24"/>
                <w:lang w:eastAsia="de-DE"/>
              </w:rPr>
              <w:t xml:space="preserve">Luftveje, thorax og </w:t>
            </w:r>
            <w:proofErr w:type="spellStart"/>
            <w:r w:rsidRPr="00DB1A1B">
              <w:rPr>
                <w:b/>
                <w:sz w:val="24"/>
                <w:szCs w:val="24"/>
                <w:lang w:eastAsia="de-DE"/>
              </w:rPr>
              <w:t>mediastinum</w:t>
            </w:r>
            <w:proofErr w:type="spellEnd"/>
          </w:p>
        </w:tc>
      </w:tr>
      <w:tr w:rsidR="004435FC" w:rsidRPr="00DB1A1B" w14:paraId="7E533883" w14:textId="77777777" w:rsidTr="00270E7C">
        <w:tc>
          <w:tcPr>
            <w:tcW w:w="1088" w:type="pct"/>
            <w:tcBorders>
              <w:top w:val="single" w:sz="4" w:space="0" w:color="auto"/>
              <w:left w:val="single" w:sz="4" w:space="0" w:color="auto"/>
              <w:bottom w:val="single" w:sz="4" w:space="0" w:color="auto"/>
              <w:right w:val="single" w:sz="4" w:space="0" w:color="auto"/>
            </w:tcBorders>
            <w:hideMark/>
          </w:tcPr>
          <w:p w14:paraId="426CFFBE" w14:textId="77777777" w:rsidR="004435FC" w:rsidRPr="00DB1A1B" w:rsidRDefault="004435FC">
            <w:pPr>
              <w:keepNext/>
              <w:rPr>
                <w:sz w:val="24"/>
                <w:szCs w:val="24"/>
                <w:lang w:eastAsia="de-DE"/>
              </w:rPr>
            </w:pPr>
            <w:r w:rsidRPr="00DB1A1B">
              <w:rPr>
                <w:sz w:val="24"/>
                <w:szCs w:val="24"/>
                <w:lang w:eastAsia="de-DE"/>
              </w:rPr>
              <w:t>Almindelig</w:t>
            </w:r>
          </w:p>
        </w:tc>
        <w:tc>
          <w:tcPr>
            <w:tcW w:w="3912" w:type="pct"/>
            <w:tcBorders>
              <w:top w:val="single" w:sz="4" w:space="0" w:color="auto"/>
              <w:left w:val="single" w:sz="4" w:space="0" w:color="auto"/>
              <w:bottom w:val="single" w:sz="4" w:space="0" w:color="auto"/>
              <w:right w:val="single" w:sz="4" w:space="0" w:color="auto"/>
            </w:tcBorders>
            <w:hideMark/>
          </w:tcPr>
          <w:p w14:paraId="6A9C0406" w14:textId="77777777" w:rsidR="004435FC" w:rsidRPr="00DB1A1B" w:rsidRDefault="004435FC">
            <w:pPr>
              <w:keepNext/>
              <w:rPr>
                <w:sz w:val="24"/>
                <w:szCs w:val="24"/>
                <w:lang w:eastAsia="de-DE"/>
              </w:rPr>
            </w:pPr>
            <w:r w:rsidRPr="00DB1A1B">
              <w:rPr>
                <w:sz w:val="24"/>
                <w:szCs w:val="24"/>
                <w:lang w:eastAsia="de-DE"/>
              </w:rPr>
              <w:t>Dyspnø, stridor</w:t>
            </w:r>
          </w:p>
        </w:tc>
      </w:tr>
      <w:tr w:rsidR="004435FC" w:rsidRPr="00DB1A1B" w14:paraId="33CBE764" w14:textId="77777777" w:rsidTr="00270E7C">
        <w:tc>
          <w:tcPr>
            <w:tcW w:w="5000" w:type="pct"/>
            <w:gridSpan w:val="2"/>
            <w:tcBorders>
              <w:top w:val="single" w:sz="4" w:space="0" w:color="auto"/>
              <w:left w:val="single" w:sz="4" w:space="0" w:color="auto"/>
              <w:bottom w:val="single" w:sz="4" w:space="0" w:color="auto"/>
              <w:right w:val="single" w:sz="4" w:space="0" w:color="auto"/>
            </w:tcBorders>
            <w:hideMark/>
          </w:tcPr>
          <w:p w14:paraId="59ABEDBA" w14:textId="77777777" w:rsidR="004435FC" w:rsidRPr="00DB1A1B" w:rsidRDefault="004435FC">
            <w:pPr>
              <w:keepNext/>
              <w:rPr>
                <w:sz w:val="24"/>
                <w:szCs w:val="24"/>
                <w:lang w:eastAsia="de-DE"/>
              </w:rPr>
            </w:pPr>
            <w:r w:rsidRPr="00DB1A1B">
              <w:rPr>
                <w:b/>
                <w:sz w:val="24"/>
                <w:szCs w:val="24"/>
                <w:lang w:eastAsia="de-DE"/>
              </w:rPr>
              <w:t>Mave-tarm-kanalen</w:t>
            </w:r>
          </w:p>
        </w:tc>
      </w:tr>
      <w:tr w:rsidR="004435FC" w:rsidRPr="00DB1A1B" w14:paraId="098D186E" w14:textId="77777777" w:rsidTr="00270E7C">
        <w:tc>
          <w:tcPr>
            <w:tcW w:w="1088" w:type="pct"/>
            <w:tcBorders>
              <w:top w:val="single" w:sz="4" w:space="0" w:color="auto"/>
              <w:left w:val="single" w:sz="4" w:space="0" w:color="auto"/>
              <w:bottom w:val="single" w:sz="4" w:space="0" w:color="auto"/>
              <w:right w:val="single" w:sz="4" w:space="0" w:color="auto"/>
            </w:tcBorders>
            <w:hideMark/>
          </w:tcPr>
          <w:p w14:paraId="3078B39B" w14:textId="77777777" w:rsidR="004435FC" w:rsidRPr="00DB1A1B" w:rsidRDefault="004435FC">
            <w:pPr>
              <w:keepNext/>
              <w:rPr>
                <w:sz w:val="24"/>
                <w:szCs w:val="24"/>
                <w:lang w:eastAsia="de-DE"/>
              </w:rPr>
            </w:pPr>
            <w:r w:rsidRPr="00DB1A1B">
              <w:rPr>
                <w:sz w:val="24"/>
                <w:szCs w:val="24"/>
                <w:lang w:eastAsia="de-DE"/>
              </w:rPr>
              <w:t>Sjælden</w:t>
            </w:r>
          </w:p>
        </w:tc>
        <w:tc>
          <w:tcPr>
            <w:tcW w:w="3912" w:type="pct"/>
            <w:tcBorders>
              <w:top w:val="single" w:sz="4" w:space="0" w:color="auto"/>
              <w:left w:val="single" w:sz="4" w:space="0" w:color="auto"/>
              <w:bottom w:val="single" w:sz="4" w:space="0" w:color="auto"/>
              <w:right w:val="single" w:sz="4" w:space="0" w:color="auto"/>
            </w:tcBorders>
            <w:hideMark/>
          </w:tcPr>
          <w:p w14:paraId="218F17B4" w14:textId="77777777" w:rsidR="004435FC" w:rsidRPr="00DB1A1B" w:rsidRDefault="004435FC">
            <w:pPr>
              <w:keepNext/>
              <w:rPr>
                <w:sz w:val="24"/>
                <w:szCs w:val="24"/>
                <w:lang w:eastAsia="de-DE"/>
              </w:rPr>
            </w:pPr>
            <w:r w:rsidRPr="00DB1A1B">
              <w:rPr>
                <w:sz w:val="24"/>
                <w:szCs w:val="24"/>
                <w:lang w:eastAsia="de-DE"/>
              </w:rPr>
              <w:t>Kvalme</w:t>
            </w:r>
          </w:p>
        </w:tc>
      </w:tr>
      <w:tr w:rsidR="004435FC" w:rsidRPr="00DB1A1B" w14:paraId="70EF0FBF" w14:textId="77777777" w:rsidTr="00270E7C">
        <w:tc>
          <w:tcPr>
            <w:tcW w:w="1088" w:type="pct"/>
            <w:tcBorders>
              <w:top w:val="single" w:sz="4" w:space="0" w:color="auto"/>
              <w:left w:val="single" w:sz="4" w:space="0" w:color="auto"/>
              <w:bottom w:val="single" w:sz="4" w:space="0" w:color="auto"/>
              <w:right w:val="single" w:sz="4" w:space="0" w:color="auto"/>
            </w:tcBorders>
            <w:hideMark/>
          </w:tcPr>
          <w:p w14:paraId="04EEE4BE" w14:textId="77777777" w:rsidR="004435FC" w:rsidRPr="00DB1A1B" w:rsidRDefault="004435FC">
            <w:pPr>
              <w:keepNext/>
              <w:rPr>
                <w:sz w:val="24"/>
                <w:szCs w:val="24"/>
                <w:lang w:eastAsia="de-DE"/>
              </w:rPr>
            </w:pPr>
            <w:r w:rsidRPr="00DB1A1B">
              <w:rPr>
                <w:sz w:val="24"/>
                <w:szCs w:val="24"/>
                <w:lang w:eastAsia="de-DE"/>
              </w:rPr>
              <w:t>Meget sjælden</w:t>
            </w:r>
          </w:p>
        </w:tc>
        <w:tc>
          <w:tcPr>
            <w:tcW w:w="3912" w:type="pct"/>
            <w:tcBorders>
              <w:top w:val="single" w:sz="4" w:space="0" w:color="auto"/>
              <w:left w:val="single" w:sz="4" w:space="0" w:color="auto"/>
              <w:bottom w:val="single" w:sz="4" w:space="0" w:color="auto"/>
              <w:right w:val="single" w:sz="4" w:space="0" w:color="auto"/>
            </w:tcBorders>
            <w:hideMark/>
          </w:tcPr>
          <w:p w14:paraId="5BCA0A04" w14:textId="77777777" w:rsidR="004435FC" w:rsidRPr="00DB1A1B" w:rsidRDefault="004435FC">
            <w:pPr>
              <w:keepNext/>
              <w:rPr>
                <w:sz w:val="24"/>
                <w:szCs w:val="24"/>
                <w:lang w:eastAsia="de-DE"/>
              </w:rPr>
            </w:pPr>
            <w:proofErr w:type="spellStart"/>
            <w:r w:rsidRPr="00DB1A1B">
              <w:rPr>
                <w:sz w:val="24"/>
                <w:szCs w:val="24"/>
                <w:lang w:eastAsia="de-DE"/>
              </w:rPr>
              <w:t>Pseudo-membranøs</w:t>
            </w:r>
            <w:proofErr w:type="spellEnd"/>
            <w:r w:rsidRPr="00DB1A1B">
              <w:rPr>
                <w:sz w:val="24"/>
                <w:szCs w:val="24"/>
                <w:lang w:eastAsia="de-DE"/>
              </w:rPr>
              <w:t xml:space="preserve"> </w:t>
            </w:r>
            <w:proofErr w:type="spellStart"/>
            <w:r w:rsidRPr="00DB1A1B">
              <w:rPr>
                <w:sz w:val="24"/>
                <w:szCs w:val="24"/>
                <w:lang w:eastAsia="de-DE"/>
              </w:rPr>
              <w:t>enterocolitis</w:t>
            </w:r>
            <w:proofErr w:type="spellEnd"/>
          </w:p>
        </w:tc>
      </w:tr>
      <w:tr w:rsidR="004435FC" w:rsidRPr="00DB1A1B" w14:paraId="703D0F0F" w14:textId="77777777" w:rsidTr="00270E7C">
        <w:tc>
          <w:tcPr>
            <w:tcW w:w="1088" w:type="pct"/>
            <w:tcBorders>
              <w:top w:val="single" w:sz="4" w:space="0" w:color="auto"/>
              <w:left w:val="single" w:sz="4" w:space="0" w:color="auto"/>
              <w:bottom w:val="single" w:sz="4" w:space="0" w:color="auto"/>
              <w:right w:val="single" w:sz="4" w:space="0" w:color="auto"/>
            </w:tcBorders>
            <w:hideMark/>
          </w:tcPr>
          <w:p w14:paraId="1E3BF97E" w14:textId="77777777" w:rsidR="004435FC" w:rsidRPr="00DB1A1B" w:rsidRDefault="004435FC">
            <w:pPr>
              <w:keepNext/>
              <w:rPr>
                <w:sz w:val="24"/>
                <w:szCs w:val="24"/>
                <w:lang w:eastAsia="de-DE"/>
              </w:rPr>
            </w:pPr>
            <w:r w:rsidRPr="00DB1A1B">
              <w:rPr>
                <w:sz w:val="24"/>
                <w:szCs w:val="24"/>
                <w:lang w:eastAsia="de-DE"/>
              </w:rPr>
              <w:t>Ikke kendt</w:t>
            </w:r>
          </w:p>
        </w:tc>
        <w:tc>
          <w:tcPr>
            <w:tcW w:w="3912" w:type="pct"/>
            <w:tcBorders>
              <w:top w:val="single" w:sz="4" w:space="0" w:color="auto"/>
              <w:left w:val="single" w:sz="4" w:space="0" w:color="auto"/>
              <w:bottom w:val="single" w:sz="4" w:space="0" w:color="auto"/>
              <w:right w:val="single" w:sz="4" w:space="0" w:color="auto"/>
            </w:tcBorders>
            <w:hideMark/>
          </w:tcPr>
          <w:p w14:paraId="7DDF07D9" w14:textId="77777777" w:rsidR="004435FC" w:rsidRPr="00DB1A1B" w:rsidRDefault="004435FC">
            <w:pPr>
              <w:keepNext/>
              <w:rPr>
                <w:sz w:val="24"/>
                <w:szCs w:val="24"/>
                <w:lang w:eastAsia="de-DE"/>
              </w:rPr>
            </w:pPr>
            <w:r w:rsidRPr="00DB1A1B">
              <w:rPr>
                <w:sz w:val="24"/>
                <w:szCs w:val="24"/>
                <w:lang w:eastAsia="de-DE"/>
              </w:rPr>
              <w:t>Opkastning, diarre</w:t>
            </w:r>
          </w:p>
        </w:tc>
      </w:tr>
      <w:tr w:rsidR="004435FC" w:rsidRPr="00DB1A1B" w14:paraId="14C6282E" w14:textId="77777777" w:rsidTr="00270E7C">
        <w:tc>
          <w:tcPr>
            <w:tcW w:w="5000" w:type="pct"/>
            <w:gridSpan w:val="2"/>
            <w:tcBorders>
              <w:top w:val="single" w:sz="4" w:space="0" w:color="auto"/>
              <w:left w:val="single" w:sz="4" w:space="0" w:color="auto"/>
              <w:bottom w:val="single" w:sz="4" w:space="0" w:color="auto"/>
              <w:right w:val="single" w:sz="4" w:space="0" w:color="auto"/>
            </w:tcBorders>
            <w:hideMark/>
          </w:tcPr>
          <w:p w14:paraId="71779CC5" w14:textId="77777777" w:rsidR="004435FC" w:rsidRPr="00DB1A1B" w:rsidRDefault="004435FC">
            <w:pPr>
              <w:keepNext/>
              <w:rPr>
                <w:sz w:val="24"/>
                <w:szCs w:val="24"/>
                <w:lang w:eastAsia="de-DE"/>
              </w:rPr>
            </w:pPr>
            <w:r w:rsidRPr="00DB1A1B">
              <w:rPr>
                <w:b/>
                <w:sz w:val="24"/>
                <w:szCs w:val="24"/>
                <w:lang w:eastAsia="de-DE"/>
              </w:rPr>
              <w:t>Hud og subkutane væv</w:t>
            </w:r>
          </w:p>
        </w:tc>
      </w:tr>
      <w:tr w:rsidR="004435FC" w:rsidRPr="00DB1A1B" w14:paraId="1E6B6C63" w14:textId="77777777" w:rsidTr="00270E7C">
        <w:tc>
          <w:tcPr>
            <w:tcW w:w="1088" w:type="pct"/>
            <w:tcBorders>
              <w:top w:val="single" w:sz="4" w:space="0" w:color="auto"/>
              <w:left w:val="single" w:sz="4" w:space="0" w:color="auto"/>
              <w:bottom w:val="single" w:sz="4" w:space="0" w:color="auto"/>
              <w:right w:val="single" w:sz="4" w:space="0" w:color="auto"/>
            </w:tcBorders>
            <w:hideMark/>
          </w:tcPr>
          <w:p w14:paraId="110034DF" w14:textId="77777777" w:rsidR="004435FC" w:rsidRPr="00DB1A1B" w:rsidRDefault="004435FC">
            <w:pPr>
              <w:keepNext/>
              <w:rPr>
                <w:sz w:val="24"/>
                <w:szCs w:val="24"/>
                <w:lang w:eastAsia="de-DE"/>
              </w:rPr>
            </w:pPr>
            <w:r w:rsidRPr="00DB1A1B">
              <w:rPr>
                <w:sz w:val="24"/>
                <w:szCs w:val="24"/>
                <w:lang w:eastAsia="de-DE"/>
              </w:rPr>
              <w:t>Almindelig</w:t>
            </w:r>
          </w:p>
        </w:tc>
        <w:tc>
          <w:tcPr>
            <w:tcW w:w="3912" w:type="pct"/>
            <w:tcBorders>
              <w:top w:val="single" w:sz="4" w:space="0" w:color="auto"/>
              <w:left w:val="single" w:sz="4" w:space="0" w:color="auto"/>
              <w:bottom w:val="single" w:sz="4" w:space="0" w:color="auto"/>
              <w:right w:val="single" w:sz="4" w:space="0" w:color="auto"/>
            </w:tcBorders>
            <w:hideMark/>
          </w:tcPr>
          <w:p w14:paraId="4FF8FF6A" w14:textId="59D4684A" w:rsidR="004435FC" w:rsidRPr="00DB1A1B" w:rsidRDefault="004435FC">
            <w:pPr>
              <w:keepNext/>
              <w:rPr>
                <w:sz w:val="24"/>
                <w:szCs w:val="24"/>
                <w:lang w:eastAsia="de-DE"/>
              </w:rPr>
            </w:pPr>
            <w:r w:rsidRPr="00DB1A1B">
              <w:rPr>
                <w:sz w:val="24"/>
                <w:szCs w:val="24"/>
                <w:lang w:eastAsia="de-DE"/>
              </w:rPr>
              <w:t>Rødme af overkroppen (</w:t>
            </w:r>
            <w:r w:rsidR="00DB1A1B" w:rsidRPr="00DB1A1B">
              <w:rPr>
                <w:sz w:val="24"/>
                <w:szCs w:val="24"/>
                <w:lang w:eastAsia="de-DE"/>
              </w:rPr>
              <w:t>"</w:t>
            </w:r>
            <w:r w:rsidRPr="00DB1A1B">
              <w:rPr>
                <w:sz w:val="24"/>
                <w:szCs w:val="24"/>
                <w:lang w:eastAsia="de-DE"/>
              </w:rPr>
              <w:t>red man-syndrom</w:t>
            </w:r>
            <w:r w:rsidR="00DB1A1B" w:rsidRPr="00DB1A1B">
              <w:rPr>
                <w:sz w:val="24"/>
                <w:szCs w:val="24"/>
                <w:lang w:eastAsia="de-DE"/>
              </w:rPr>
              <w:t>"</w:t>
            </w:r>
            <w:r w:rsidRPr="00DB1A1B">
              <w:rPr>
                <w:sz w:val="24"/>
                <w:szCs w:val="24"/>
                <w:lang w:eastAsia="de-DE"/>
              </w:rPr>
              <w:t xml:space="preserve">), </w:t>
            </w:r>
            <w:proofErr w:type="spellStart"/>
            <w:r w:rsidRPr="00DB1A1B">
              <w:rPr>
                <w:sz w:val="24"/>
                <w:szCs w:val="24"/>
                <w:lang w:eastAsia="de-DE"/>
              </w:rPr>
              <w:t>eksantem</w:t>
            </w:r>
            <w:proofErr w:type="spellEnd"/>
            <w:r w:rsidRPr="00DB1A1B">
              <w:rPr>
                <w:sz w:val="24"/>
                <w:szCs w:val="24"/>
                <w:lang w:eastAsia="de-DE"/>
              </w:rPr>
              <w:t xml:space="preserve"> og slimhindeinflam</w:t>
            </w:r>
            <w:r w:rsidRPr="00DB1A1B">
              <w:rPr>
                <w:sz w:val="24"/>
                <w:szCs w:val="24"/>
                <w:lang w:eastAsia="de-DE"/>
              </w:rPr>
              <w:softHyphen/>
              <w:t xml:space="preserve">mation, </w:t>
            </w:r>
            <w:proofErr w:type="spellStart"/>
            <w:r w:rsidRPr="00DB1A1B">
              <w:rPr>
                <w:sz w:val="24"/>
                <w:szCs w:val="24"/>
                <w:lang w:eastAsia="de-DE"/>
              </w:rPr>
              <w:t>pruritus</w:t>
            </w:r>
            <w:proofErr w:type="spellEnd"/>
            <w:r w:rsidRPr="00DB1A1B">
              <w:rPr>
                <w:sz w:val="24"/>
                <w:szCs w:val="24"/>
                <w:lang w:eastAsia="de-DE"/>
              </w:rPr>
              <w:t xml:space="preserve">, </w:t>
            </w:r>
            <w:proofErr w:type="spellStart"/>
            <w:r w:rsidRPr="00DB1A1B">
              <w:rPr>
                <w:sz w:val="24"/>
                <w:szCs w:val="24"/>
                <w:lang w:eastAsia="de-DE"/>
              </w:rPr>
              <w:t>urticaria</w:t>
            </w:r>
            <w:proofErr w:type="spellEnd"/>
          </w:p>
        </w:tc>
      </w:tr>
      <w:tr w:rsidR="004435FC" w:rsidRPr="00DB1A1B" w14:paraId="50FD239E" w14:textId="77777777" w:rsidTr="00270E7C">
        <w:tc>
          <w:tcPr>
            <w:tcW w:w="1088" w:type="pct"/>
            <w:tcBorders>
              <w:top w:val="single" w:sz="4" w:space="0" w:color="auto"/>
              <w:left w:val="single" w:sz="4" w:space="0" w:color="auto"/>
              <w:bottom w:val="single" w:sz="4" w:space="0" w:color="auto"/>
              <w:right w:val="single" w:sz="4" w:space="0" w:color="auto"/>
            </w:tcBorders>
            <w:hideMark/>
          </w:tcPr>
          <w:p w14:paraId="1A29D481" w14:textId="77777777" w:rsidR="004435FC" w:rsidRPr="00DB1A1B" w:rsidRDefault="004435FC">
            <w:pPr>
              <w:keepNext/>
              <w:rPr>
                <w:sz w:val="24"/>
                <w:szCs w:val="24"/>
                <w:lang w:eastAsia="de-DE"/>
              </w:rPr>
            </w:pPr>
            <w:r w:rsidRPr="00DB1A1B">
              <w:rPr>
                <w:sz w:val="24"/>
                <w:szCs w:val="24"/>
                <w:lang w:eastAsia="de-DE"/>
              </w:rPr>
              <w:t>Meget sjælden</w:t>
            </w:r>
          </w:p>
        </w:tc>
        <w:tc>
          <w:tcPr>
            <w:tcW w:w="3912" w:type="pct"/>
            <w:tcBorders>
              <w:top w:val="single" w:sz="4" w:space="0" w:color="auto"/>
              <w:left w:val="single" w:sz="4" w:space="0" w:color="auto"/>
              <w:bottom w:val="single" w:sz="4" w:space="0" w:color="auto"/>
              <w:right w:val="single" w:sz="4" w:space="0" w:color="auto"/>
            </w:tcBorders>
            <w:hideMark/>
          </w:tcPr>
          <w:p w14:paraId="51CA17BA" w14:textId="77777777" w:rsidR="004435FC" w:rsidRPr="00DB1A1B" w:rsidRDefault="004435FC">
            <w:pPr>
              <w:keepNext/>
              <w:rPr>
                <w:sz w:val="24"/>
                <w:szCs w:val="24"/>
                <w:lang w:eastAsia="de-DE"/>
              </w:rPr>
            </w:pPr>
            <w:proofErr w:type="spellStart"/>
            <w:r w:rsidRPr="00DB1A1B">
              <w:rPr>
                <w:sz w:val="24"/>
                <w:szCs w:val="24"/>
                <w:lang w:eastAsia="de-DE"/>
              </w:rPr>
              <w:t>Eksfoliativ</w:t>
            </w:r>
            <w:proofErr w:type="spellEnd"/>
            <w:r w:rsidRPr="00DB1A1B">
              <w:rPr>
                <w:sz w:val="24"/>
                <w:szCs w:val="24"/>
                <w:lang w:eastAsia="de-DE"/>
              </w:rPr>
              <w:t xml:space="preserve"> </w:t>
            </w:r>
            <w:proofErr w:type="spellStart"/>
            <w:r w:rsidRPr="00DB1A1B">
              <w:rPr>
                <w:sz w:val="24"/>
                <w:szCs w:val="24"/>
                <w:lang w:eastAsia="de-DE"/>
              </w:rPr>
              <w:t>dermatitis</w:t>
            </w:r>
            <w:proofErr w:type="spellEnd"/>
            <w:r w:rsidRPr="00DB1A1B">
              <w:rPr>
                <w:sz w:val="24"/>
                <w:szCs w:val="24"/>
                <w:lang w:eastAsia="de-DE"/>
              </w:rPr>
              <w:t xml:space="preserve">, Stevens-Johnsons syndrom, Toksisk </w:t>
            </w:r>
            <w:proofErr w:type="spellStart"/>
            <w:r w:rsidRPr="00DB1A1B">
              <w:rPr>
                <w:sz w:val="24"/>
                <w:szCs w:val="24"/>
                <w:lang w:eastAsia="de-DE"/>
              </w:rPr>
              <w:t>epidermal</w:t>
            </w:r>
            <w:proofErr w:type="spellEnd"/>
            <w:r w:rsidRPr="00DB1A1B">
              <w:rPr>
                <w:sz w:val="24"/>
                <w:szCs w:val="24"/>
                <w:lang w:eastAsia="de-DE"/>
              </w:rPr>
              <w:t xml:space="preserve"> </w:t>
            </w:r>
            <w:proofErr w:type="spellStart"/>
            <w:r w:rsidRPr="00DB1A1B">
              <w:rPr>
                <w:sz w:val="24"/>
                <w:szCs w:val="24"/>
                <w:lang w:eastAsia="de-DE"/>
              </w:rPr>
              <w:t>nekrolyse</w:t>
            </w:r>
            <w:proofErr w:type="spellEnd"/>
            <w:r w:rsidRPr="00DB1A1B">
              <w:rPr>
                <w:sz w:val="24"/>
                <w:szCs w:val="24"/>
                <w:lang w:eastAsia="de-DE"/>
              </w:rPr>
              <w:t xml:space="preserve"> (TEN), Lineær </w:t>
            </w:r>
            <w:proofErr w:type="spellStart"/>
            <w:r w:rsidRPr="00DB1A1B">
              <w:rPr>
                <w:sz w:val="24"/>
                <w:szCs w:val="24"/>
                <w:lang w:eastAsia="de-DE"/>
              </w:rPr>
              <w:t>IgA</w:t>
            </w:r>
            <w:proofErr w:type="spellEnd"/>
            <w:r w:rsidRPr="00DB1A1B">
              <w:rPr>
                <w:sz w:val="24"/>
                <w:szCs w:val="24"/>
                <w:lang w:eastAsia="de-DE"/>
              </w:rPr>
              <w:t xml:space="preserve">-udløst </w:t>
            </w:r>
            <w:proofErr w:type="spellStart"/>
            <w:r w:rsidRPr="00DB1A1B">
              <w:rPr>
                <w:sz w:val="24"/>
                <w:szCs w:val="24"/>
                <w:lang w:eastAsia="de-DE"/>
              </w:rPr>
              <w:t>bulløs</w:t>
            </w:r>
            <w:proofErr w:type="spellEnd"/>
            <w:r w:rsidRPr="00DB1A1B">
              <w:rPr>
                <w:sz w:val="24"/>
                <w:szCs w:val="24"/>
                <w:lang w:eastAsia="de-DE"/>
              </w:rPr>
              <w:t xml:space="preserve"> </w:t>
            </w:r>
            <w:proofErr w:type="spellStart"/>
            <w:r w:rsidRPr="00DB1A1B">
              <w:rPr>
                <w:sz w:val="24"/>
                <w:szCs w:val="24"/>
                <w:lang w:eastAsia="de-DE"/>
              </w:rPr>
              <w:t>dermatose</w:t>
            </w:r>
            <w:proofErr w:type="spellEnd"/>
          </w:p>
        </w:tc>
      </w:tr>
      <w:tr w:rsidR="004435FC" w:rsidRPr="00DB1A1B" w14:paraId="6D52FF66" w14:textId="77777777" w:rsidTr="00270E7C">
        <w:tc>
          <w:tcPr>
            <w:tcW w:w="1088" w:type="pct"/>
            <w:tcBorders>
              <w:top w:val="single" w:sz="4" w:space="0" w:color="auto"/>
              <w:left w:val="single" w:sz="4" w:space="0" w:color="auto"/>
              <w:bottom w:val="single" w:sz="4" w:space="0" w:color="auto"/>
              <w:right w:val="single" w:sz="4" w:space="0" w:color="auto"/>
            </w:tcBorders>
            <w:hideMark/>
          </w:tcPr>
          <w:p w14:paraId="1A4C5791" w14:textId="77777777" w:rsidR="004435FC" w:rsidRPr="00DB1A1B" w:rsidRDefault="004435FC">
            <w:pPr>
              <w:keepNext/>
              <w:rPr>
                <w:sz w:val="24"/>
                <w:szCs w:val="24"/>
                <w:lang w:eastAsia="de-DE"/>
              </w:rPr>
            </w:pPr>
            <w:r w:rsidRPr="00DB1A1B">
              <w:rPr>
                <w:sz w:val="24"/>
                <w:szCs w:val="24"/>
                <w:lang w:eastAsia="de-DE"/>
              </w:rPr>
              <w:t>Ikke kendt</w:t>
            </w:r>
          </w:p>
        </w:tc>
        <w:tc>
          <w:tcPr>
            <w:tcW w:w="3912" w:type="pct"/>
            <w:tcBorders>
              <w:top w:val="single" w:sz="4" w:space="0" w:color="auto"/>
              <w:left w:val="single" w:sz="4" w:space="0" w:color="auto"/>
              <w:bottom w:val="single" w:sz="4" w:space="0" w:color="auto"/>
              <w:right w:val="single" w:sz="4" w:space="0" w:color="auto"/>
            </w:tcBorders>
            <w:hideMark/>
          </w:tcPr>
          <w:p w14:paraId="7F1F42CF" w14:textId="1DD9D96B" w:rsidR="004435FC" w:rsidRPr="00DB1A1B" w:rsidRDefault="004435FC" w:rsidP="006B1D8C">
            <w:pPr>
              <w:keepNext/>
              <w:rPr>
                <w:sz w:val="24"/>
                <w:szCs w:val="24"/>
                <w:lang w:eastAsia="de-DE"/>
              </w:rPr>
            </w:pPr>
            <w:proofErr w:type="spellStart"/>
            <w:r w:rsidRPr="00DB1A1B">
              <w:rPr>
                <w:sz w:val="24"/>
                <w:szCs w:val="24"/>
                <w:lang w:eastAsia="de-DE"/>
              </w:rPr>
              <w:t>Eosinofili</w:t>
            </w:r>
            <w:proofErr w:type="spellEnd"/>
            <w:r w:rsidRPr="00DB1A1B">
              <w:rPr>
                <w:sz w:val="24"/>
                <w:szCs w:val="24"/>
                <w:lang w:eastAsia="de-DE"/>
              </w:rPr>
              <w:t xml:space="preserve"> og systemiske symptomer (DRESS syndrom),</w:t>
            </w:r>
            <w:r w:rsidR="006B1D8C" w:rsidRPr="00DB1A1B">
              <w:rPr>
                <w:sz w:val="24"/>
                <w:szCs w:val="24"/>
                <w:lang w:eastAsia="de-DE"/>
              </w:rPr>
              <w:t xml:space="preserve"> </w:t>
            </w:r>
            <w:r w:rsidRPr="00DB1A1B">
              <w:rPr>
                <w:sz w:val="24"/>
                <w:szCs w:val="24"/>
                <w:lang w:eastAsia="de-DE"/>
              </w:rPr>
              <w:t xml:space="preserve">AGEP (akut generaliseret </w:t>
            </w:r>
            <w:proofErr w:type="spellStart"/>
            <w:r w:rsidRPr="00DB1A1B">
              <w:rPr>
                <w:sz w:val="24"/>
                <w:szCs w:val="24"/>
                <w:lang w:eastAsia="de-DE"/>
              </w:rPr>
              <w:t>eksantematøs</w:t>
            </w:r>
            <w:proofErr w:type="spellEnd"/>
            <w:r w:rsidRPr="00DB1A1B">
              <w:rPr>
                <w:sz w:val="24"/>
                <w:szCs w:val="24"/>
                <w:lang w:eastAsia="de-DE"/>
              </w:rPr>
              <w:t xml:space="preserve"> </w:t>
            </w:r>
            <w:proofErr w:type="spellStart"/>
            <w:r w:rsidRPr="00DB1A1B">
              <w:rPr>
                <w:sz w:val="24"/>
                <w:szCs w:val="24"/>
                <w:lang w:eastAsia="de-DE"/>
              </w:rPr>
              <w:t>pustulose</w:t>
            </w:r>
            <w:proofErr w:type="spellEnd"/>
            <w:r w:rsidRPr="00DB1A1B">
              <w:rPr>
                <w:sz w:val="24"/>
                <w:szCs w:val="24"/>
                <w:lang w:eastAsia="de-DE"/>
              </w:rPr>
              <w:t>)</w:t>
            </w:r>
          </w:p>
        </w:tc>
      </w:tr>
      <w:tr w:rsidR="004435FC" w:rsidRPr="00DB1A1B" w14:paraId="0369FFB2" w14:textId="77777777" w:rsidTr="00270E7C">
        <w:tc>
          <w:tcPr>
            <w:tcW w:w="5000" w:type="pct"/>
            <w:gridSpan w:val="2"/>
            <w:tcBorders>
              <w:top w:val="single" w:sz="4" w:space="0" w:color="auto"/>
              <w:left w:val="single" w:sz="4" w:space="0" w:color="auto"/>
              <w:bottom w:val="single" w:sz="4" w:space="0" w:color="auto"/>
              <w:right w:val="single" w:sz="4" w:space="0" w:color="auto"/>
            </w:tcBorders>
            <w:hideMark/>
          </w:tcPr>
          <w:p w14:paraId="241CE42B" w14:textId="77777777" w:rsidR="004435FC" w:rsidRPr="00DB1A1B" w:rsidRDefault="004435FC">
            <w:pPr>
              <w:keepNext/>
              <w:rPr>
                <w:sz w:val="24"/>
                <w:szCs w:val="24"/>
                <w:lang w:eastAsia="de-DE"/>
              </w:rPr>
            </w:pPr>
            <w:r w:rsidRPr="00DB1A1B">
              <w:rPr>
                <w:b/>
                <w:sz w:val="24"/>
                <w:szCs w:val="24"/>
                <w:lang w:eastAsia="de-DE"/>
              </w:rPr>
              <w:t>Nyrer og urinveje</w:t>
            </w:r>
          </w:p>
        </w:tc>
      </w:tr>
      <w:tr w:rsidR="004435FC" w:rsidRPr="00DB1A1B" w14:paraId="4FB132EE" w14:textId="77777777" w:rsidTr="00270E7C">
        <w:tc>
          <w:tcPr>
            <w:tcW w:w="1088" w:type="pct"/>
            <w:tcBorders>
              <w:top w:val="single" w:sz="4" w:space="0" w:color="auto"/>
              <w:left w:val="single" w:sz="4" w:space="0" w:color="auto"/>
              <w:bottom w:val="single" w:sz="4" w:space="0" w:color="auto"/>
              <w:right w:val="single" w:sz="4" w:space="0" w:color="auto"/>
            </w:tcBorders>
            <w:hideMark/>
          </w:tcPr>
          <w:p w14:paraId="1482FA60" w14:textId="77777777" w:rsidR="004435FC" w:rsidRPr="00DB1A1B" w:rsidRDefault="004435FC">
            <w:pPr>
              <w:keepNext/>
              <w:rPr>
                <w:sz w:val="24"/>
                <w:szCs w:val="24"/>
                <w:lang w:eastAsia="de-DE"/>
              </w:rPr>
            </w:pPr>
            <w:r w:rsidRPr="00DB1A1B">
              <w:rPr>
                <w:sz w:val="24"/>
                <w:szCs w:val="24"/>
                <w:lang w:eastAsia="de-DE"/>
              </w:rPr>
              <w:t>Almindelig</w:t>
            </w:r>
          </w:p>
        </w:tc>
        <w:tc>
          <w:tcPr>
            <w:tcW w:w="3912" w:type="pct"/>
            <w:tcBorders>
              <w:top w:val="single" w:sz="4" w:space="0" w:color="auto"/>
              <w:left w:val="single" w:sz="4" w:space="0" w:color="auto"/>
              <w:bottom w:val="single" w:sz="4" w:space="0" w:color="auto"/>
              <w:right w:val="single" w:sz="4" w:space="0" w:color="auto"/>
            </w:tcBorders>
            <w:hideMark/>
          </w:tcPr>
          <w:p w14:paraId="7FCBFCE1" w14:textId="77777777" w:rsidR="004435FC" w:rsidRPr="00DB1A1B" w:rsidRDefault="004435FC">
            <w:pPr>
              <w:keepNext/>
              <w:rPr>
                <w:sz w:val="24"/>
                <w:szCs w:val="24"/>
                <w:lang w:eastAsia="de-DE"/>
              </w:rPr>
            </w:pPr>
            <w:r w:rsidRPr="00DB1A1B">
              <w:rPr>
                <w:sz w:val="24"/>
                <w:szCs w:val="24"/>
                <w:lang w:eastAsia="de-DE"/>
              </w:rPr>
              <w:t xml:space="preserve">Nyreinsufficiens primært manifesteret ved øget </w:t>
            </w:r>
            <w:proofErr w:type="spellStart"/>
            <w:r w:rsidRPr="00DB1A1B">
              <w:rPr>
                <w:sz w:val="24"/>
                <w:szCs w:val="24"/>
                <w:lang w:eastAsia="de-DE"/>
              </w:rPr>
              <w:t>serumkreatinin</w:t>
            </w:r>
            <w:proofErr w:type="spellEnd"/>
            <w:r w:rsidRPr="00DB1A1B">
              <w:rPr>
                <w:sz w:val="24"/>
                <w:szCs w:val="24"/>
                <w:lang w:eastAsia="de-DE"/>
              </w:rPr>
              <w:t xml:space="preserve"> og </w:t>
            </w:r>
            <w:proofErr w:type="spellStart"/>
            <w:r w:rsidRPr="00DB1A1B">
              <w:rPr>
                <w:sz w:val="24"/>
                <w:szCs w:val="24"/>
                <w:lang w:eastAsia="de-DE"/>
              </w:rPr>
              <w:t>urea</w:t>
            </w:r>
            <w:proofErr w:type="spellEnd"/>
          </w:p>
        </w:tc>
      </w:tr>
      <w:tr w:rsidR="004435FC" w:rsidRPr="00DB1A1B" w14:paraId="40AFB948" w14:textId="77777777" w:rsidTr="00270E7C">
        <w:tc>
          <w:tcPr>
            <w:tcW w:w="1088" w:type="pct"/>
            <w:tcBorders>
              <w:top w:val="single" w:sz="4" w:space="0" w:color="auto"/>
              <w:left w:val="single" w:sz="4" w:space="0" w:color="auto"/>
              <w:bottom w:val="single" w:sz="4" w:space="0" w:color="auto"/>
              <w:right w:val="single" w:sz="4" w:space="0" w:color="auto"/>
            </w:tcBorders>
            <w:hideMark/>
          </w:tcPr>
          <w:p w14:paraId="5BFBC394" w14:textId="77777777" w:rsidR="004435FC" w:rsidRPr="00DB1A1B" w:rsidRDefault="004435FC">
            <w:pPr>
              <w:keepNext/>
              <w:rPr>
                <w:sz w:val="24"/>
                <w:szCs w:val="24"/>
                <w:lang w:eastAsia="de-DE"/>
              </w:rPr>
            </w:pPr>
            <w:r w:rsidRPr="00DB1A1B">
              <w:rPr>
                <w:sz w:val="24"/>
                <w:szCs w:val="24"/>
                <w:lang w:eastAsia="de-DE"/>
              </w:rPr>
              <w:t>Sjælden</w:t>
            </w:r>
          </w:p>
        </w:tc>
        <w:tc>
          <w:tcPr>
            <w:tcW w:w="3912" w:type="pct"/>
            <w:tcBorders>
              <w:top w:val="single" w:sz="4" w:space="0" w:color="auto"/>
              <w:left w:val="single" w:sz="4" w:space="0" w:color="auto"/>
              <w:bottom w:val="single" w:sz="4" w:space="0" w:color="auto"/>
              <w:right w:val="single" w:sz="4" w:space="0" w:color="auto"/>
            </w:tcBorders>
            <w:hideMark/>
          </w:tcPr>
          <w:p w14:paraId="648AECEA" w14:textId="77777777" w:rsidR="004435FC" w:rsidRPr="00DB1A1B" w:rsidRDefault="004435FC">
            <w:pPr>
              <w:keepNext/>
              <w:rPr>
                <w:sz w:val="24"/>
                <w:szCs w:val="24"/>
                <w:lang w:eastAsia="de-DE"/>
              </w:rPr>
            </w:pPr>
            <w:proofErr w:type="spellStart"/>
            <w:r w:rsidRPr="00DB1A1B">
              <w:rPr>
                <w:sz w:val="24"/>
                <w:szCs w:val="24"/>
                <w:lang w:eastAsia="de-DE"/>
              </w:rPr>
              <w:t>Interstitiel</w:t>
            </w:r>
            <w:proofErr w:type="spellEnd"/>
            <w:r w:rsidRPr="00DB1A1B">
              <w:rPr>
                <w:sz w:val="24"/>
                <w:szCs w:val="24"/>
                <w:lang w:eastAsia="de-DE"/>
              </w:rPr>
              <w:t xml:space="preserve"> </w:t>
            </w:r>
            <w:proofErr w:type="spellStart"/>
            <w:r w:rsidRPr="00DB1A1B">
              <w:rPr>
                <w:sz w:val="24"/>
                <w:szCs w:val="24"/>
                <w:lang w:eastAsia="de-DE"/>
              </w:rPr>
              <w:t>nefritis</w:t>
            </w:r>
            <w:proofErr w:type="spellEnd"/>
            <w:r w:rsidRPr="00DB1A1B">
              <w:rPr>
                <w:sz w:val="24"/>
                <w:szCs w:val="24"/>
                <w:lang w:eastAsia="de-DE"/>
              </w:rPr>
              <w:t>, akut nyresvigt</w:t>
            </w:r>
          </w:p>
        </w:tc>
      </w:tr>
      <w:tr w:rsidR="004435FC" w:rsidRPr="00DB1A1B" w14:paraId="302517B8" w14:textId="77777777" w:rsidTr="00270E7C">
        <w:tc>
          <w:tcPr>
            <w:tcW w:w="1088" w:type="pct"/>
            <w:tcBorders>
              <w:top w:val="single" w:sz="4" w:space="0" w:color="auto"/>
              <w:left w:val="single" w:sz="4" w:space="0" w:color="auto"/>
              <w:bottom w:val="single" w:sz="4" w:space="0" w:color="auto"/>
              <w:right w:val="single" w:sz="4" w:space="0" w:color="auto"/>
            </w:tcBorders>
            <w:hideMark/>
          </w:tcPr>
          <w:p w14:paraId="3063C4B1" w14:textId="77777777" w:rsidR="004435FC" w:rsidRPr="00DB1A1B" w:rsidRDefault="004435FC">
            <w:pPr>
              <w:keepNext/>
              <w:rPr>
                <w:sz w:val="24"/>
                <w:szCs w:val="24"/>
                <w:lang w:eastAsia="de-DE"/>
              </w:rPr>
            </w:pPr>
            <w:r w:rsidRPr="00DB1A1B">
              <w:rPr>
                <w:sz w:val="24"/>
                <w:szCs w:val="24"/>
                <w:lang w:eastAsia="de-DE"/>
              </w:rPr>
              <w:t>Ikke kendt</w:t>
            </w:r>
          </w:p>
        </w:tc>
        <w:tc>
          <w:tcPr>
            <w:tcW w:w="3912" w:type="pct"/>
            <w:tcBorders>
              <w:top w:val="single" w:sz="4" w:space="0" w:color="auto"/>
              <w:left w:val="single" w:sz="4" w:space="0" w:color="auto"/>
              <w:bottom w:val="single" w:sz="4" w:space="0" w:color="auto"/>
              <w:right w:val="single" w:sz="4" w:space="0" w:color="auto"/>
            </w:tcBorders>
            <w:hideMark/>
          </w:tcPr>
          <w:p w14:paraId="7E7D835A" w14:textId="77777777" w:rsidR="004435FC" w:rsidRPr="00DB1A1B" w:rsidRDefault="004435FC">
            <w:pPr>
              <w:keepNext/>
              <w:rPr>
                <w:sz w:val="24"/>
                <w:szCs w:val="24"/>
                <w:lang w:eastAsia="de-DE"/>
              </w:rPr>
            </w:pPr>
            <w:r w:rsidRPr="00DB1A1B">
              <w:rPr>
                <w:sz w:val="24"/>
                <w:szCs w:val="24"/>
                <w:lang w:eastAsia="de-DE"/>
              </w:rPr>
              <w:t xml:space="preserve">Akut </w:t>
            </w:r>
            <w:proofErr w:type="spellStart"/>
            <w:r w:rsidRPr="00DB1A1B">
              <w:rPr>
                <w:sz w:val="24"/>
                <w:szCs w:val="24"/>
                <w:lang w:eastAsia="de-DE"/>
              </w:rPr>
              <w:t>tubulær</w:t>
            </w:r>
            <w:proofErr w:type="spellEnd"/>
            <w:r w:rsidRPr="00DB1A1B">
              <w:rPr>
                <w:sz w:val="24"/>
                <w:szCs w:val="24"/>
                <w:lang w:eastAsia="de-DE"/>
              </w:rPr>
              <w:t xml:space="preserve"> nekrose</w:t>
            </w:r>
          </w:p>
        </w:tc>
      </w:tr>
      <w:tr w:rsidR="004435FC" w:rsidRPr="00DB1A1B" w14:paraId="5148D2A0" w14:textId="77777777" w:rsidTr="00270E7C">
        <w:tc>
          <w:tcPr>
            <w:tcW w:w="5000" w:type="pct"/>
            <w:gridSpan w:val="2"/>
            <w:tcBorders>
              <w:top w:val="single" w:sz="4" w:space="0" w:color="auto"/>
              <w:left w:val="single" w:sz="4" w:space="0" w:color="auto"/>
              <w:bottom w:val="single" w:sz="4" w:space="0" w:color="auto"/>
              <w:right w:val="single" w:sz="4" w:space="0" w:color="auto"/>
            </w:tcBorders>
            <w:hideMark/>
          </w:tcPr>
          <w:p w14:paraId="1A0BC9C9" w14:textId="77777777" w:rsidR="004435FC" w:rsidRPr="00DB1A1B" w:rsidRDefault="004435FC">
            <w:pPr>
              <w:keepNext/>
              <w:rPr>
                <w:sz w:val="24"/>
                <w:szCs w:val="24"/>
                <w:lang w:eastAsia="de-DE"/>
              </w:rPr>
            </w:pPr>
            <w:r w:rsidRPr="00DB1A1B">
              <w:rPr>
                <w:b/>
                <w:sz w:val="24"/>
                <w:szCs w:val="24"/>
                <w:lang w:eastAsia="de-DE"/>
              </w:rPr>
              <w:t>Almene symptomer og reaktioner på administrationsstedet</w:t>
            </w:r>
          </w:p>
        </w:tc>
      </w:tr>
      <w:tr w:rsidR="004435FC" w:rsidRPr="00DB1A1B" w14:paraId="10414BE7" w14:textId="77777777" w:rsidTr="00270E7C">
        <w:tc>
          <w:tcPr>
            <w:tcW w:w="1088" w:type="pct"/>
            <w:tcBorders>
              <w:top w:val="single" w:sz="4" w:space="0" w:color="auto"/>
              <w:left w:val="single" w:sz="4" w:space="0" w:color="auto"/>
              <w:bottom w:val="single" w:sz="4" w:space="0" w:color="auto"/>
              <w:right w:val="single" w:sz="4" w:space="0" w:color="auto"/>
            </w:tcBorders>
            <w:hideMark/>
          </w:tcPr>
          <w:p w14:paraId="71C51D36" w14:textId="77777777" w:rsidR="004435FC" w:rsidRPr="00DB1A1B" w:rsidRDefault="004435FC">
            <w:pPr>
              <w:keepNext/>
              <w:rPr>
                <w:sz w:val="24"/>
                <w:szCs w:val="24"/>
                <w:lang w:eastAsia="de-DE"/>
              </w:rPr>
            </w:pPr>
            <w:r w:rsidRPr="00DB1A1B">
              <w:rPr>
                <w:sz w:val="24"/>
                <w:szCs w:val="24"/>
                <w:lang w:eastAsia="de-DE"/>
              </w:rPr>
              <w:t>Almindelig</w:t>
            </w:r>
          </w:p>
        </w:tc>
        <w:tc>
          <w:tcPr>
            <w:tcW w:w="3912" w:type="pct"/>
            <w:tcBorders>
              <w:top w:val="single" w:sz="4" w:space="0" w:color="auto"/>
              <w:left w:val="single" w:sz="4" w:space="0" w:color="auto"/>
              <w:bottom w:val="single" w:sz="4" w:space="0" w:color="auto"/>
              <w:right w:val="single" w:sz="4" w:space="0" w:color="auto"/>
            </w:tcBorders>
            <w:hideMark/>
          </w:tcPr>
          <w:p w14:paraId="31FE9FB2" w14:textId="77777777" w:rsidR="004435FC" w:rsidRPr="00DB1A1B" w:rsidRDefault="004435FC">
            <w:pPr>
              <w:keepNext/>
              <w:rPr>
                <w:sz w:val="24"/>
                <w:szCs w:val="24"/>
                <w:lang w:eastAsia="de-DE"/>
              </w:rPr>
            </w:pPr>
            <w:proofErr w:type="spellStart"/>
            <w:r w:rsidRPr="00DB1A1B">
              <w:rPr>
                <w:sz w:val="24"/>
                <w:szCs w:val="24"/>
                <w:lang w:eastAsia="de-DE"/>
              </w:rPr>
              <w:t>Flebitis</w:t>
            </w:r>
            <w:proofErr w:type="spellEnd"/>
            <w:r w:rsidRPr="00DB1A1B">
              <w:rPr>
                <w:sz w:val="24"/>
                <w:szCs w:val="24"/>
                <w:lang w:eastAsia="de-DE"/>
              </w:rPr>
              <w:t>, rødme på overkroppen og ansigtet</w:t>
            </w:r>
          </w:p>
        </w:tc>
      </w:tr>
      <w:tr w:rsidR="004435FC" w:rsidRPr="00DB1A1B" w14:paraId="33BD799C" w14:textId="77777777" w:rsidTr="00270E7C">
        <w:tc>
          <w:tcPr>
            <w:tcW w:w="1088" w:type="pct"/>
            <w:tcBorders>
              <w:top w:val="single" w:sz="4" w:space="0" w:color="auto"/>
              <w:left w:val="single" w:sz="4" w:space="0" w:color="auto"/>
              <w:bottom w:val="single" w:sz="4" w:space="0" w:color="auto"/>
              <w:right w:val="single" w:sz="4" w:space="0" w:color="auto"/>
            </w:tcBorders>
            <w:hideMark/>
          </w:tcPr>
          <w:p w14:paraId="3409A766" w14:textId="77777777" w:rsidR="004435FC" w:rsidRPr="00DB1A1B" w:rsidRDefault="004435FC">
            <w:pPr>
              <w:keepNext/>
              <w:rPr>
                <w:sz w:val="24"/>
                <w:szCs w:val="24"/>
                <w:lang w:eastAsia="de-DE"/>
              </w:rPr>
            </w:pPr>
            <w:r w:rsidRPr="00DB1A1B">
              <w:rPr>
                <w:sz w:val="24"/>
                <w:szCs w:val="24"/>
                <w:lang w:eastAsia="de-DE"/>
              </w:rPr>
              <w:t>Sjælden</w:t>
            </w:r>
          </w:p>
        </w:tc>
        <w:tc>
          <w:tcPr>
            <w:tcW w:w="3912" w:type="pct"/>
            <w:tcBorders>
              <w:top w:val="single" w:sz="4" w:space="0" w:color="auto"/>
              <w:left w:val="single" w:sz="4" w:space="0" w:color="auto"/>
              <w:bottom w:val="single" w:sz="4" w:space="0" w:color="auto"/>
              <w:right w:val="single" w:sz="4" w:space="0" w:color="auto"/>
            </w:tcBorders>
            <w:hideMark/>
          </w:tcPr>
          <w:p w14:paraId="7167BCA8" w14:textId="77777777" w:rsidR="004435FC" w:rsidRPr="00DB1A1B" w:rsidRDefault="004435FC">
            <w:pPr>
              <w:keepNext/>
              <w:rPr>
                <w:sz w:val="24"/>
                <w:szCs w:val="24"/>
                <w:lang w:eastAsia="de-DE"/>
              </w:rPr>
            </w:pPr>
            <w:r w:rsidRPr="00DB1A1B">
              <w:rPr>
                <w:sz w:val="24"/>
                <w:szCs w:val="24"/>
                <w:lang w:eastAsia="de-DE"/>
              </w:rPr>
              <w:t>Lægemiddelinduceret feber, kuldegysninger, smerter og muskelkramper af brystet og rygmuskler</w:t>
            </w:r>
          </w:p>
        </w:tc>
      </w:tr>
    </w:tbl>
    <w:p w14:paraId="5F685FE0" w14:textId="208F0108" w:rsidR="00691261" w:rsidRDefault="00691261" w:rsidP="004435FC">
      <w:pPr>
        <w:ind w:left="851" w:hanging="851"/>
        <w:rPr>
          <w:sz w:val="24"/>
          <w:szCs w:val="24"/>
          <w:lang w:eastAsia="en-GB"/>
        </w:rPr>
      </w:pPr>
    </w:p>
    <w:p w14:paraId="292763AE" w14:textId="77777777" w:rsidR="00691261" w:rsidRDefault="00691261">
      <w:pPr>
        <w:rPr>
          <w:sz w:val="24"/>
          <w:szCs w:val="24"/>
          <w:lang w:eastAsia="en-GB"/>
        </w:rPr>
      </w:pPr>
      <w:r>
        <w:rPr>
          <w:sz w:val="24"/>
          <w:szCs w:val="24"/>
          <w:lang w:eastAsia="en-GB"/>
        </w:rPr>
        <w:br w:type="page"/>
      </w:r>
    </w:p>
    <w:p w14:paraId="4F0C2908" w14:textId="77777777" w:rsidR="004435FC" w:rsidRPr="00DB1A1B" w:rsidRDefault="004435FC" w:rsidP="004435FC">
      <w:pPr>
        <w:ind w:left="851" w:hanging="851"/>
        <w:rPr>
          <w:sz w:val="24"/>
          <w:szCs w:val="24"/>
          <w:lang w:eastAsia="en-GB"/>
        </w:rPr>
      </w:pPr>
    </w:p>
    <w:p w14:paraId="42330418" w14:textId="4976AA86" w:rsidR="004435FC" w:rsidRPr="00DB1A1B" w:rsidRDefault="004435FC" w:rsidP="00270E7C">
      <w:pPr>
        <w:ind w:left="851"/>
        <w:rPr>
          <w:sz w:val="24"/>
          <w:szCs w:val="24"/>
          <w:u w:val="single"/>
          <w:lang w:eastAsia="en-GB"/>
        </w:rPr>
      </w:pPr>
      <w:r w:rsidRPr="00DB1A1B">
        <w:rPr>
          <w:sz w:val="24"/>
          <w:szCs w:val="24"/>
          <w:u w:val="single"/>
          <w:lang w:eastAsia="en-GB"/>
        </w:rPr>
        <w:t>Beskrivelse af udvalgte bivirkninger</w:t>
      </w:r>
    </w:p>
    <w:p w14:paraId="3A30DFE4" w14:textId="77777777" w:rsidR="004435FC" w:rsidRPr="00DB1A1B" w:rsidRDefault="004435FC" w:rsidP="00270E7C">
      <w:pPr>
        <w:ind w:left="851"/>
        <w:rPr>
          <w:sz w:val="24"/>
          <w:szCs w:val="24"/>
          <w:lang w:eastAsia="en-GB"/>
        </w:rPr>
      </w:pPr>
      <w:r w:rsidRPr="00DB1A1B">
        <w:rPr>
          <w:sz w:val="24"/>
          <w:szCs w:val="24"/>
          <w:lang w:eastAsia="en-GB"/>
        </w:rPr>
        <w:t xml:space="preserve">Reversibel </w:t>
      </w:r>
      <w:proofErr w:type="spellStart"/>
      <w:r w:rsidRPr="00DB1A1B">
        <w:rPr>
          <w:sz w:val="24"/>
          <w:szCs w:val="24"/>
          <w:lang w:eastAsia="en-GB"/>
        </w:rPr>
        <w:t>neutropeni</w:t>
      </w:r>
      <w:proofErr w:type="spellEnd"/>
      <w:r w:rsidRPr="00DB1A1B">
        <w:rPr>
          <w:sz w:val="24"/>
          <w:szCs w:val="24"/>
          <w:lang w:eastAsia="en-GB"/>
        </w:rPr>
        <w:t xml:space="preserve"> normalt startende en uge eller mere efter indtræden af intravenøs terapi eller efter total dosis på mere end 25</w:t>
      </w:r>
      <w:r w:rsidRPr="00DB1A1B">
        <w:rPr>
          <w:sz w:val="24"/>
          <w:szCs w:val="24"/>
        </w:rPr>
        <w:t> </w:t>
      </w:r>
      <w:r w:rsidRPr="00DB1A1B">
        <w:rPr>
          <w:sz w:val="24"/>
          <w:szCs w:val="24"/>
          <w:lang w:eastAsia="en-GB"/>
        </w:rPr>
        <w:t>g.</w:t>
      </w:r>
    </w:p>
    <w:p w14:paraId="0009F923" w14:textId="77777777" w:rsidR="004435FC" w:rsidRPr="00DB1A1B" w:rsidRDefault="004435FC" w:rsidP="00270E7C">
      <w:pPr>
        <w:ind w:left="851"/>
        <w:rPr>
          <w:sz w:val="24"/>
          <w:szCs w:val="24"/>
          <w:lang w:eastAsia="en-GB"/>
        </w:rPr>
      </w:pPr>
    </w:p>
    <w:p w14:paraId="19A755E3" w14:textId="77777777" w:rsidR="004435FC" w:rsidRPr="00DB1A1B" w:rsidRDefault="004435FC" w:rsidP="00270E7C">
      <w:pPr>
        <w:ind w:left="851"/>
        <w:rPr>
          <w:sz w:val="24"/>
          <w:szCs w:val="24"/>
          <w:lang w:eastAsia="en-GB"/>
        </w:rPr>
      </w:pPr>
      <w:r w:rsidRPr="00DB1A1B">
        <w:rPr>
          <w:sz w:val="24"/>
          <w:szCs w:val="24"/>
          <w:lang w:eastAsia="en-GB"/>
        </w:rPr>
        <w:t xml:space="preserve">Under eller kort efter hurtig infusion kan </w:t>
      </w:r>
      <w:proofErr w:type="spellStart"/>
      <w:r w:rsidRPr="00DB1A1B">
        <w:rPr>
          <w:sz w:val="24"/>
          <w:szCs w:val="24"/>
          <w:lang w:eastAsia="en-GB"/>
        </w:rPr>
        <w:t>anafylaktiske</w:t>
      </w:r>
      <w:proofErr w:type="spellEnd"/>
      <w:r w:rsidRPr="00DB1A1B">
        <w:rPr>
          <w:sz w:val="24"/>
          <w:szCs w:val="24"/>
          <w:lang w:eastAsia="en-GB"/>
        </w:rPr>
        <w:t>/</w:t>
      </w:r>
      <w:proofErr w:type="spellStart"/>
      <w:r w:rsidRPr="00DB1A1B">
        <w:rPr>
          <w:sz w:val="24"/>
          <w:szCs w:val="24"/>
          <w:lang w:eastAsia="en-GB"/>
        </w:rPr>
        <w:t>anafylaktoide</w:t>
      </w:r>
      <w:proofErr w:type="spellEnd"/>
      <w:r w:rsidRPr="00DB1A1B">
        <w:rPr>
          <w:sz w:val="24"/>
          <w:szCs w:val="24"/>
          <w:lang w:eastAsia="en-GB"/>
        </w:rPr>
        <w:t xml:space="preserve"> reaktioner inklusive </w:t>
      </w:r>
      <w:proofErr w:type="spellStart"/>
      <w:r w:rsidRPr="00DB1A1B">
        <w:rPr>
          <w:sz w:val="24"/>
          <w:szCs w:val="24"/>
          <w:lang w:eastAsia="en-GB"/>
        </w:rPr>
        <w:t>hvæsen</w:t>
      </w:r>
      <w:proofErr w:type="spellEnd"/>
      <w:r w:rsidRPr="00DB1A1B">
        <w:rPr>
          <w:sz w:val="24"/>
          <w:szCs w:val="24"/>
          <w:lang w:eastAsia="en-GB"/>
        </w:rPr>
        <w:t xml:space="preserve"> forekomme. Reaktionerne aftager, når indgivelsen standses, som regel efter mellem 20 minutter og 2 timer. </w:t>
      </w:r>
    </w:p>
    <w:p w14:paraId="43969259" w14:textId="77777777" w:rsidR="004435FC" w:rsidRPr="00DB1A1B" w:rsidRDefault="004435FC" w:rsidP="00270E7C">
      <w:pPr>
        <w:ind w:left="851"/>
        <w:rPr>
          <w:sz w:val="24"/>
          <w:szCs w:val="24"/>
          <w:lang w:eastAsia="en-GB"/>
        </w:rPr>
      </w:pPr>
      <w:proofErr w:type="spellStart"/>
      <w:r w:rsidRPr="00DB1A1B">
        <w:rPr>
          <w:sz w:val="24"/>
          <w:szCs w:val="24"/>
          <w:lang w:eastAsia="en-GB"/>
        </w:rPr>
        <w:t>Vancomycin</w:t>
      </w:r>
      <w:proofErr w:type="spellEnd"/>
      <w:r w:rsidRPr="00DB1A1B">
        <w:rPr>
          <w:sz w:val="24"/>
          <w:szCs w:val="24"/>
          <w:lang w:eastAsia="en-GB"/>
        </w:rPr>
        <w:t xml:space="preserve"> skal indgives langsomt (se pkt. 4.2 og 4.4). Nekrose kan forekomme efter intramuskulær injektion.</w:t>
      </w:r>
    </w:p>
    <w:p w14:paraId="02794043" w14:textId="77777777" w:rsidR="004435FC" w:rsidRPr="00DB1A1B" w:rsidRDefault="004435FC" w:rsidP="00270E7C">
      <w:pPr>
        <w:ind w:left="851"/>
        <w:rPr>
          <w:sz w:val="24"/>
          <w:szCs w:val="24"/>
          <w:lang w:eastAsia="en-GB"/>
        </w:rPr>
      </w:pPr>
    </w:p>
    <w:p w14:paraId="00A30922" w14:textId="77777777" w:rsidR="004435FC" w:rsidRPr="00DB1A1B" w:rsidRDefault="004435FC" w:rsidP="00270E7C">
      <w:pPr>
        <w:ind w:left="851"/>
        <w:rPr>
          <w:sz w:val="24"/>
          <w:szCs w:val="24"/>
          <w:lang w:eastAsia="en-GB"/>
        </w:rPr>
      </w:pPr>
      <w:r w:rsidRPr="00DB1A1B">
        <w:rPr>
          <w:sz w:val="24"/>
          <w:szCs w:val="24"/>
          <w:lang w:eastAsia="en-GB"/>
        </w:rPr>
        <w:t>Tinnitus, muligvis som et forstadie til døvhed, bør betragtes som en indikation på at afbryde behandlingen.</w:t>
      </w:r>
    </w:p>
    <w:p w14:paraId="09A21913" w14:textId="77777777" w:rsidR="004435FC" w:rsidRPr="00DB1A1B" w:rsidRDefault="004435FC" w:rsidP="00270E7C">
      <w:pPr>
        <w:ind w:left="851"/>
        <w:rPr>
          <w:sz w:val="24"/>
          <w:szCs w:val="24"/>
          <w:lang w:eastAsia="en-GB"/>
        </w:rPr>
      </w:pPr>
    </w:p>
    <w:p w14:paraId="2AA8AF76" w14:textId="77777777" w:rsidR="004435FC" w:rsidRPr="00DB1A1B" w:rsidRDefault="004435FC" w:rsidP="00270E7C">
      <w:pPr>
        <w:ind w:left="851"/>
        <w:rPr>
          <w:sz w:val="24"/>
          <w:szCs w:val="24"/>
          <w:lang w:eastAsia="en-GB"/>
        </w:rPr>
      </w:pPr>
      <w:proofErr w:type="spellStart"/>
      <w:r w:rsidRPr="00DB1A1B">
        <w:rPr>
          <w:sz w:val="24"/>
          <w:szCs w:val="24"/>
          <w:lang w:eastAsia="en-GB"/>
        </w:rPr>
        <w:t>Ototoksicitet</w:t>
      </w:r>
      <w:proofErr w:type="spellEnd"/>
      <w:r w:rsidRPr="00DB1A1B">
        <w:rPr>
          <w:sz w:val="24"/>
          <w:szCs w:val="24"/>
          <w:lang w:eastAsia="en-GB"/>
        </w:rPr>
        <w:t xml:space="preserve"> har primært været rapporteret hos patienter, der har fået høje doser eller været i samtidig behandling med andre </w:t>
      </w:r>
      <w:proofErr w:type="spellStart"/>
      <w:r w:rsidRPr="00DB1A1B">
        <w:rPr>
          <w:sz w:val="24"/>
          <w:szCs w:val="24"/>
          <w:lang w:eastAsia="en-GB"/>
        </w:rPr>
        <w:t>ototoksiske</w:t>
      </w:r>
      <w:proofErr w:type="spellEnd"/>
      <w:r w:rsidRPr="00DB1A1B">
        <w:rPr>
          <w:sz w:val="24"/>
          <w:szCs w:val="24"/>
          <w:lang w:eastAsia="en-GB"/>
        </w:rPr>
        <w:t xml:space="preserve"> lægemidler som aminoglykosider eller hos patienter, der i forvejen havde nedsat nyrefunktion eller nedsat hørelse. </w:t>
      </w:r>
    </w:p>
    <w:p w14:paraId="2460061C" w14:textId="6878A98C" w:rsidR="004435FC" w:rsidRPr="00DB1A1B" w:rsidRDefault="004435FC" w:rsidP="00270E7C">
      <w:pPr>
        <w:ind w:left="851"/>
        <w:rPr>
          <w:sz w:val="24"/>
          <w:szCs w:val="24"/>
          <w:lang w:eastAsia="en-GB"/>
        </w:rPr>
      </w:pPr>
    </w:p>
    <w:p w14:paraId="12D72DBA" w14:textId="780D5C03" w:rsidR="004435FC" w:rsidRPr="00DB1A1B" w:rsidRDefault="004435FC" w:rsidP="00270E7C">
      <w:pPr>
        <w:ind w:left="851"/>
        <w:rPr>
          <w:sz w:val="24"/>
          <w:szCs w:val="24"/>
          <w:lang w:eastAsia="en-GB"/>
        </w:rPr>
      </w:pPr>
      <w:r w:rsidRPr="00DB1A1B">
        <w:rPr>
          <w:sz w:val="24"/>
          <w:szCs w:val="24"/>
          <w:lang w:eastAsia="en-GB"/>
        </w:rPr>
        <w:t xml:space="preserve">Hvis </w:t>
      </w:r>
      <w:proofErr w:type="spellStart"/>
      <w:r w:rsidRPr="00DB1A1B">
        <w:rPr>
          <w:sz w:val="24"/>
          <w:szCs w:val="24"/>
          <w:lang w:eastAsia="en-GB"/>
        </w:rPr>
        <w:t>bulløse</w:t>
      </w:r>
      <w:proofErr w:type="spellEnd"/>
      <w:r w:rsidRPr="00DB1A1B">
        <w:rPr>
          <w:sz w:val="24"/>
          <w:szCs w:val="24"/>
          <w:lang w:eastAsia="en-GB"/>
        </w:rPr>
        <w:t xml:space="preserve"> lidelser mistænkes skal lægemidlet seponeres og der skal foretages specialiseret dermatologisk vurdering.</w:t>
      </w:r>
    </w:p>
    <w:p w14:paraId="6401EBF8" w14:textId="77777777" w:rsidR="004435FC" w:rsidRPr="00DB1A1B" w:rsidRDefault="004435FC" w:rsidP="00270E7C">
      <w:pPr>
        <w:ind w:left="851"/>
        <w:rPr>
          <w:sz w:val="24"/>
          <w:szCs w:val="24"/>
          <w:lang w:eastAsia="en-GB"/>
        </w:rPr>
      </w:pPr>
    </w:p>
    <w:p w14:paraId="38C67A29" w14:textId="338FDE78" w:rsidR="004435FC" w:rsidRPr="00DB1A1B" w:rsidRDefault="004435FC" w:rsidP="00270E7C">
      <w:pPr>
        <w:ind w:left="851"/>
        <w:rPr>
          <w:sz w:val="24"/>
          <w:szCs w:val="24"/>
          <w:lang w:eastAsia="en-GB"/>
        </w:rPr>
      </w:pPr>
      <w:r w:rsidRPr="00DB1A1B">
        <w:rPr>
          <w:sz w:val="24"/>
          <w:szCs w:val="24"/>
          <w:lang w:eastAsia="en-GB"/>
        </w:rPr>
        <w:t xml:space="preserve">Jo sværere nyreinsufficiens, desto større risiko for at udvikle bivirkninger relateret til parenteral administration af </w:t>
      </w:r>
      <w:proofErr w:type="spellStart"/>
      <w:r w:rsidRPr="00DB1A1B">
        <w:rPr>
          <w:sz w:val="24"/>
          <w:szCs w:val="24"/>
          <w:lang w:eastAsia="en-GB"/>
        </w:rPr>
        <w:t>vancomycin</w:t>
      </w:r>
      <w:proofErr w:type="spellEnd"/>
      <w:r w:rsidRPr="00DB1A1B">
        <w:rPr>
          <w:sz w:val="24"/>
          <w:szCs w:val="24"/>
          <w:lang w:eastAsia="en-GB"/>
        </w:rPr>
        <w:t>.</w:t>
      </w:r>
    </w:p>
    <w:p w14:paraId="31495468" w14:textId="77777777" w:rsidR="004435FC" w:rsidRPr="00DB1A1B" w:rsidRDefault="004435FC" w:rsidP="00270E7C">
      <w:pPr>
        <w:ind w:left="851"/>
        <w:rPr>
          <w:sz w:val="24"/>
          <w:szCs w:val="24"/>
          <w:lang w:eastAsia="en-GB"/>
        </w:rPr>
      </w:pPr>
    </w:p>
    <w:p w14:paraId="6537E7A1" w14:textId="77777777" w:rsidR="004435FC" w:rsidRPr="00DB1A1B" w:rsidRDefault="004435FC" w:rsidP="00270E7C">
      <w:pPr>
        <w:ind w:left="851"/>
        <w:rPr>
          <w:sz w:val="24"/>
          <w:szCs w:val="24"/>
          <w:u w:val="single"/>
          <w:lang w:eastAsia="en-GB"/>
        </w:rPr>
      </w:pPr>
      <w:r w:rsidRPr="00DB1A1B">
        <w:rPr>
          <w:sz w:val="24"/>
          <w:szCs w:val="24"/>
          <w:u w:val="single"/>
          <w:lang w:eastAsia="en-GB"/>
        </w:rPr>
        <w:t>Pædiatrisk population</w:t>
      </w:r>
    </w:p>
    <w:p w14:paraId="2CBE0121" w14:textId="77777777" w:rsidR="004435FC" w:rsidRPr="00DB1A1B" w:rsidRDefault="004435FC" w:rsidP="00270E7C">
      <w:pPr>
        <w:ind w:left="851"/>
        <w:rPr>
          <w:sz w:val="24"/>
          <w:szCs w:val="24"/>
          <w:lang w:eastAsia="en-GB"/>
        </w:rPr>
      </w:pPr>
      <w:r w:rsidRPr="00DB1A1B">
        <w:rPr>
          <w:sz w:val="24"/>
          <w:szCs w:val="24"/>
          <w:lang w:eastAsia="en-GB"/>
        </w:rPr>
        <w:t xml:space="preserve">Sikkerhedsprofilen er generelt den samme for børn og voksne patienter. </w:t>
      </w:r>
      <w:proofErr w:type="spellStart"/>
      <w:r w:rsidRPr="00DB1A1B">
        <w:rPr>
          <w:sz w:val="24"/>
          <w:szCs w:val="24"/>
          <w:lang w:eastAsia="en-GB"/>
        </w:rPr>
        <w:t>Nefrotoksicitet</w:t>
      </w:r>
      <w:proofErr w:type="spellEnd"/>
      <w:r w:rsidRPr="00DB1A1B">
        <w:rPr>
          <w:sz w:val="24"/>
          <w:szCs w:val="24"/>
          <w:lang w:eastAsia="en-GB"/>
        </w:rPr>
        <w:t xml:space="preserve"> er beskrevet hos børn, sædvanligvis i forbindelse med andre </w:t>
      </w:r>
      <w:proofErr w:type="spellStart"/>
      <w:r w:rsidRPr="00DB1A1B">
        <w:rPr>
          <w:sz w:val="24"/>
          <w:szCs w:val="24"/>
          <w:lang w:eastAsia="en-GB"/>
        </w:rPr>
        <w:t>nefrotoksiske</w:t>
      </w:r>
      <w:proofErr w:type="spellEnd"/>
      <w:r w:rsidRPr="00DB1A1B">
        <w:rPr>
          <w:sz w:val="24"/>
          <w:szCs w:val="24"/>
          <w:lang w:eastAsia="en-GB"/>
        </w:rPr>
        <w:t xml:space="preserve"> lægemidler såsom aminoglykosider.</w:t>
      </w:r>
    </w:p>
    <w:p w14:paraId="103E0936" w14:textId="77777777" w:rsidR="004435FC" w:rsidRPr="00DB1A1B" w:rsidRDefault="004435FC" w:rsidP="00270E7C">
      <w:pPr>
        <w:ind w:left="851"/>
        <w:rPr>
          <w:sz w:val="24"/>
          <w:szCs w:val="24"/>
          <w:lang w:eastAsia="en-GB"/>
        </w:rPr>
      </w:pPr>
    </w:p>
    <w:p w14:paraId="36F41544" w14:textId="77777777" w:rsidR="004435FC" w:rsidRPr="00DB1A1B" w:rsidRDefault="004435FC" w:rsidP="00270E7C">
      <w:pPr>
        <w:autoSpaceDE w:val="0"/>
        <w:autoSpaceDN w:val="0"/>
        <w:adjustRightInd w:val="0"/>
        <w:ind w:left="851"/>
        <w:rPr>
          <w:sz w:val="24"/>
          <w:szCs w:val="24"/>
          <w:u w:val="single"/>
        </w:rPr>
      </w:pPr>
      <w:r w:rsidRPr="00DB1A1B">
        <w:rPr>
          <w:sz w:val="24"/>
          <w:szCs w:val="24"/>
          <w:u w:val="single"/>
        </w:rPr>
        <w:t>Indberetning af formodede bivirkninger</w:t>
      </w:r>
    </w:p>
    <w:p w14:paraId="4CE09177" w14:textId="77777777" w:rsidR="004435FC" w:rsidRPr="00DB1A1B" w:rsidRDefault="004435FC" w:rsidP="00270E7C">
      <w:pPr>
        <w:autoSpaceDE w:val="0"/>
        <w:autoSpaceDN w:val="0"/>
        <w:adjustRightInd w:val="0"/>
        <w:ind w:left="851"/>
        <w:rPr>
          <w:sz w:val="24"/>
          <w:szCs w:val="24"/>
        </w:rPr>
      </w:pPr>
      <w:r w:rsidRPr="00DB1A1B">
        <w:rPr>
          <w:sz w:val="24"/>
          <w:szCs w:val="24"/>
        </w:rPr>
        <w:t>Når lægemidlet er godkendt, er indberetning af formodede bivirkninger vigtig. Det muliggør løbende overvågning af benefit/</w:t>
      </w:r>
      <w:proofErr w:type="spellStart"/>
      <w:r w:rsidRPr="00DB1A1B">
        <w:rPr>
          <w:sz w:val="24"/>
          <w:szCs w:val="24"/>
        </w:rPr>
        <w:t>risk</w:t>
      </w:r>
      <w:proofErr w:type="spellEnd"/>
      <w:r w:rsidRPr="00DB1A1B">
        <w:rPr>
          <w:sz w:val="24"/>
          <w:szCs w:val="24"/>
        </w:rPr>
        <w:t>-forholdet for lægemidlet. Sundhedspersonale anmodes om at indberette alle formodede bivirkninger via:</w:t>
      </w:r>
    </w:p>
    <w:p w14:paraId="5E39722C" w14:textId="77777777" w:rsidR="004435FC" w:rsidRPr="00DB1A1B" w:rsidRDefault="004435FC" w:rsidP="00270E7C">
      <w:pPr>
        <w:autoSpaceDE w:val="0"/>
        <w:autoSpaceDN w:val="0"/>
        <w:adjustRightInd w:val="0"/>
        <w:ind w:left="851"/>
        <w:rPr>
          <w:sz w:val="24"/>
          <w:szCs w:val="24"/>
        </w:rPr>
      </w:pPr>
    </w:p>
    <w:p w14:paraId="5CDDEA0F" w14:textId="77777777" w:rsidR="004435FC" w:rsidRPr="00DB1A1B" w:rsidRDefault="004435FC" w:rsidP="00270E7C">
      <w:pPr>
        <w:autoSpaceDE w:val="0"/>
        <w:autoSpaceDN w:val="0"/>
        <w:adjustRightInd w:val="0"/>
        <w:ind w:left="851"/>
        <w:rPr>
          <w:sz w:val="24"/>
          <w:szCs w:val="24"/>
        </w:rPr>
      </w:pPr>
      <w:r w:rsidRPr="00DB1A1B">
        <w:rPr>
          <w:sz w:val="24"/>
          <w:szCs w:val="24"/>
        </w:rPr>
        <w:t>Lægemiddelstyrelsen</w:t>
      </w:r>
    </w:p>
    <w:p w14:paraId="486926C1" w14:textId="77777777" w:rsidR="004435FC" w:rsidRPr="00DB1A1B" w:rsidRDefault="004435FC" w:rsidP="00270E7C">
      <w:pPr>
        <w:autoSpaceDE w:val="0"/>
        <w:autoSpaceDN w:val="0"/>
        <w:adjustRightInd w:val="0"/>
        <w:ind w:left="851"/>
        <w:rPr>
          <w:sz w:val="24"/>
          <w:szCs w:val="24"/>
        </w:rPr>
      </w:pPr>
      <w:r w:rsidRPr="00DB1A1B">
        <w:rPr>
          <w:sz w:val="24"/>
          <w:szCs w:val="24"/>
        </w:rPr>
        <w:t>Axel Heides Gade 1</w:t>
      </w:r>
    </w:p>
    <w:p w14:paraId="050083C6" w14:textId="77777777" w:rsidR="004435FC" w:rsidRPr="00DB1A1B" w:rsidRDefault="004435FC" w:rsidP="00270E7C">
      <w:pPr>
        <w:autoSpaceDE w:val="0"/>
        <w:autoSpaceDN w:val="0"/>
        <w:adjustRightInd w:val="0"/>
        <w:ind w:left="851"/>
        <w:rPr>
          <w:sz w:val="24"/>
          <w:szCs w:val="24"/>
        </w:rPr>
      </w:pPr>
      <w:r w:rsidRPr="00DB1A1B">
        <w:rPr>
          <w:sz w:val="24"/>
          <w:szCs w:val="24"/>
        </w:rPr>
        <w:t>DK-2300 København S</w:t>
      </w:r>
    </w:p>
    <w:p w14:paraId="7FCBE53E" w14:textId="77777777" w:rsidR="004435FC" w:rsidRPr="00DB1A1B" w:rsidRDefault="004435FC" w:rsidP="006B1D8C">
      <w:pPr>
        <w:ind w:left="851"/>
        <w:rPr>
          <w:sz w:val="24"/>
          <w:szCs w:val="24"/>
        </w:rPr>
      </w:pPr>
      <w:r w:rsidRPr="00DB1A1B">
        <w:rPr>
          <w:sz w:val="24"/>
          <w:szCs w:val="24"/>
        </w:rPr>
        <w:t>Websted: www.meldenbivirkning.dk</w:t>
      </w:r>
    </w:p>
    <w:p w14:paraId="54601B97" w14:textId="77777777" w:rsidR="009260DE" w:rsidRPr="00DB1A1B" w:rsidRDefault="009260DE" w:rsidP="00A10294">
      <w:pPr>
        <w:tabs>
          <w:tab w:val="left" w:pos="851"/>
        </w:tabs>
        <w:ind w:left="851"/>
        <w:rPr>
          <w:sz w:val="24"/>
          <w:szCs w:val="24"/>
        </w:rPr>
      </w:pPr>
    </w:p>
    <w:p w14:paraId="060F4654" w14:textId="77777777" w:rsidR="009260DE" w:rsidRPr="00DB1A1B" w:rsidRDefault="009260DE" w:rsidP="009260DE">
      <w:pPr>
        <w:tabs>
          <w:tab w:val="left" w:pos="851"/>
        </w:tabs>
        <w:ind w:left="851" w:hanging="851"/>
        <w:rPr>
          <w:b/>
          <w:sz w:val="24"/>
          <w:szCs w:val="24"/>
        </w:rPr>
      </w:pPr>
      <w:r w:rsidRPr="00DB1A1B">
        <w:rPr>
          <w:b/>
          <w:sz w:val="24"/>
          <w:szCs w:val="24"/>
        </w:rPr>
        <w:t>4.9</w:t>
      </w:r>
      <w:r w:rsidRPr="00DB1A1B">
        <w:rPr>
          <w:b/>
          <w:sz w:val="24"/>
          <w:szCs w:val="24"/>
        </w:rPr>
        <w:tab/>
        <w:t>Overdosering</w:t>
      </w:r>
    </w:p>
    <w:p w14:paraId="6DE815A4" w14:textId="6C7F96F6" w:rsidR="004435FC" w:rsidRPr="00DB1A1B" w:rsidRDefault="004435FC" w:rsidP="00270E7C">
      <w:pPr>
        <w:suppressAutoHyphens/>
        <w:ind w:left="851"/>
        <w:rPr>
          <w:sz w:val="24"/>
          <w:szCs w:val="24"/>
        </w:rPr>
      </w:pPr>
      <w:r w:rsidRPr="00DB1A1B">
        <w:rPr>
          <w:sz w:val="24"/>
          <w:szCs w:val="24"/>
        </w:rPr>
        <w:t xml:space="preserve">Der er rapporteret om tilfælde af toksicitet grundet overdosering. 500 mg administreret intravenøst til et 2-årigt barn resulterede i letal forgiftning. Hos en voksen resulterede administration af 56 mg over en periode på 10 dage i nyreinsufficiens. Ved særlige højrisiko tilstande (f.eks. i tilfælde af svær nyreinsufficiens) kan der forekomme høje serum niveauer samt </w:t>
      </w:r>
      <w:proofErr w:type="spellStart"/>
      <w:r w:rsidRPr="00DB1A1B">
        <w:rPr>
          <w:sz w:val="24"/>
          <w:szCs w:val="24"/>
        </w:rPr>
        <w:t>oto</w:t>
      </w:r>
      <w:proofErr w:type="spellEnd"/>
      <w:r w:rsidRPr="00DB1A1B">
        <w:rPr>
          <w:sz w:val="24"/>
          <w:szCs w:val="24"/>
        </w:rPr>
        <w:t xml:space="preserve">- og </w:t>
      </w:r>
      <w:proofErr w:type="spellStart"/>
      <w:r w:rsidRPr="00DB1A1B">
        <w:rPr>
          <w:sz w:val="24"/>
          <w:szCs w:val="24"/>
        </w:rPr>
        <w:t>nefro</w:t>
      </w:r>
      <w:proofErr w:type="spellEnd"/>
      <w:r w:rsidRPr="00DB1A1B">
        <w:rPr>
          <w:sz w:val="24"/>
          <w:szCs w:val="24"/>
        </w:rPr>
        <w:t>-toksicitet.</w:t>
      </w:r>
    </w:p>
    <w:p w14:paraId="7B93166E" w14:textId="77777777" w:rsidR="004435FC" w:rsidRPr="00DB1A1B" w:rsidRDefault="004435FC" w:rsidP="00270E7C">
      <w:pPr>
        <w:suppressAutoHyphens/>
        <w:ind w:left="851"/>
        <w:rPr>
          <w:bCs/>
          <w:sz w:val="24"/>
          <w:szCs w:val="24"/>
        </w:rPr>
      </w:pPr>
    </w:p>
    <w:p w14:paraId="54D082DB" w14:textId="77777777" w:rsidR="004435FC" w:rsidRPr="00DB1A1B" w:rsidRDefault="004435FC" w:rsidP="00270E7C">
      <w:pPr>
        <w:ind w:left="851"/>
        <w:rPr>
          <w:b/>
          <w:sz w:val="24"/>
          <w:szCs w:val="24"/>
          <w:u w:val="single"/>
        </w:rPr>
      </w:pPr>
      <w:r w:rsidRPr="00DB1A1B">
        <w:rPr>
          <w:sz w:val="24"/>
          <w:szCs w:val="24"/>
          <w:u w:val="single"/>
        </w:rPr>
        <w:t>Behandling i tilfælde af overdosering</w:t>
      </w:r>
    </w:p>
    <w:p w14:paraId="5E38E000" w14:textId="77777777" w:rsidR="004435FC" w:rsidRPr="00DB1A1B" w:rsidRDefault="004435FC" w:rsidP="00270E7C">
      <w:pPr>
        <w:numPr>
          <w:ilvl w:val="0"/>
          <w:numId w:val="7"/>
        </w:numPr>
        <w:suppressAutoHyphens/>
        <w:ind w:left="1276" w:hanging="425"/>
        <w:rPr>
          <w:sz w:val="24"/>
          <w:szCs w:val="24"/>
        </w:rPr>
      </w:pPr>
      <w:r w:rsidRPr="00DB1A1B">
        <w:rPr>
          <w:sz w:val="24"/>
          <w:szCs w:val="24"/>
        </w:rPr>
        <w:t>Der kendes ingen specifik modgift.</w:t>
      </w:r>
      <w:r w:rsidRPr="00DB1A1B">
        <w:rPr>
          <w:b/>
          <w:sz w:val="24"/>
          <w:szCs w:val="24"/>
        </w:rPr>
        <w:t xml:space="preserve"> </w:t>
      </w:r>
    </w:p>
    <w:p w14:paraId="46F6550A" w14:textId="77777777" w:rsidR="004435FC" w:rsidRPr="00DB1A1B" w:rsidRDefault="004435FC" w:rsidP="00270E7C">
      <w:pPr>
        <w:numPr>
          <w:ilvl w:val="0"/>
          <w:numId w:val="7"/>
        </w:numPr>
        <w:suppressAutoHyphens/>
        <w:ind w:left="1276" w:hanging="425"/>
        <w:rPr>
          <w:sz w:val="24"/>
          <w:szCs w:val="24"/>
        </w:rPr>
      </w:pPr>
      <w:r w:rsidRPr="00DB1A1B">
        <w:rPr>
          <w:sz w:val="24"/>
          <w:szCs w:val="24"/>
        </w:rPr>
        <w:t>Det er nødvendigt med symptomatisk behandling med opretholdelse af nyrefunktionen.</w:t>
      </w:r>
    </w:p>
    <w:p w14:paraId="73292FD4" w14:textId="77777777" w:rsidR="004435FC" w:rsidRPr="00DB1A1B" w:rsidRDefault="004435FC" w:rsidP="00270E7C">
      <w:pPr>
        <w:numPr>
          <w:ilvl w:val="0"/>
          <w:numId w:val="7"/>
        </w:numPr>
        <w:suppressAutoHyphens/>
        <w:ind w:left="1276" w:hanging="425"/>
        <w:rPr>
          <w:sz w:val="24"/>
          <w:szCs w:val="24"/>
        </w:rPr>
      </w:pPr>
      <w:proofErr w:type="spellStart"/>
      <w:r w:rsidRPr="00DB1A1B">
        <w:rPr>
          <w:sz w:val="24"/>
          <w:szCs w:val="24"/>
        </w:rPr>
        <w:t>Vancomycin</w:t>
      </w:r>
      <w:proofErr w:type="spellEnd"/>
      <w:r w:rsidRPr="00DB1A1B">
        <w:rPr>
          <w:sz w:val="24"/>
          <w:szCs w:val="24"/>
        </w:rPr>
        <w:t xml:space="preserve"> fjernes i ringe grad fra blodet ved hæmodialyse eller </w:t>
      </w:r>
      <w:proofErr w:type="spellStart"/>
      <w:r w:rsidRPr="00DB1A1B">
        <w:rPr>
          <w:sz w:val="24"/>
          <w:szCs w:val="24"/>
        </w:rPr>
        <w:t>peritonealdialyse</w:t>
      </w:r>
      <w:proofErr w:type="spellEnd"/>
      <w:r w:rsidRPr="00DB1A1B">
        <w:rPr>
          <w:sz w:val="24"/>
          <w:szCs w:val="24"/>
        </w:rPr>
        <w:t>.</w:t>
      </w:r>
    </w:p>
    <w:p w14:paraId="0E1CD7FF" w14:textId="77777777" w:rsidR="004435FC" w:rsidRPr="00DB1A1B" w:rsidRDefault="004435FC" w:rsidP="006B1D8C">
      <w:pPr>
        <w:suppressAutoHyphens/>
        <w:ind w:left="1276"/>
        <w:rPr>
          <w:sz w:val="24"/>
          <w:szCs w:val="24"/>
        </w:rPr>
      </w:pPr>
      <w:proofErr w:type="spellStart"/>
      <w:r w:rsidRPr="00DB1A1B">
        <w:rPr>
          <w:sz w:val="24"/>
          <w:szCs w:val="24"/>
        </w:rPr>
        <w:lastRenderedPageBreak/>
        <w:t>Hæmofiltration</w:t>
      </w:r>
      <w:proofErr w:type="spellEnd"/>
      <w:r w:rsidRPr="00DB1A1B">
        <w:rPr>
          <w:sz w:val="24"/>
          <w:szCs w:val="24"/>
        </w:rPr>
        <w:t xml:space="preserve"> eller </w:t>
      </w:r>
      <w:proofErr w:type="spellStart"/>
      <w:r w:rsidRPr="00DB1A1B">
        <w:rPr>
          <w:sz w:val="24"/>
          <w:szCs w:val="24"/>
        </w:rPr>
        <w:t>hæmoperfusion</w:t>
      </w:r>
      <w:proofErr w:type="spellEnd"/>
      <w:r w:rsidRPr="00DB1A1B">
        <w:rPr>
          <w:sz w:val="24"/>
          <w:szCs w:val="24"/>
        </w:rPr>
        <w:t xml:space="preserve"> med </w:t>
      </w:r>
      <w:proofErr w:type="spellStart"/>
      <w:r w:rsidRPr="00DB1A1B">
        <w:rPr>
          <w:sz w:val="24"/>
          <w:szCs w:val="24"/>
        </w:rPr>
        <w:t>polysulfonresiner</w:t>
      </w:r>
      <w:proofErr w:type="spellEnd"/>
      <w:r w:rsidRPr="00DB1A1B">
        <w:rPr>
          <w:sz w:val="24"/>
          <w:szCs w:val="24"/>
        </w:rPr>
        <w:t xml:space="preserve"> har været anvendt til at reducere serumkoncentrationerne af </w:t>
      </w:r>
      <w:proofErr w:type="spellStart"/>
      <w:r w:rsidRPr="00DB1A1B">
        <w:rPr>
          <w:sz w:val="24"/>
          <w:szCs w:val="24"/>
        </w:rPr>
        <w:t>vancomycin</w:t>
      </w:r>
      <w:proofErr w:type="spellEnd"/>
      <w:r w:rsidRPr="00DB1A1B">
        <w:rPr>
          <w:sz w:val="24"/>
          <w:szCs w:val="24"/>
        </w:rPr>
        <w:t xml:space="preserve">. </w:t>
      </w:r>
    </w:p>
    <w:p w14:paraId="74AB368D" w14:textId="77777777" w:rsidR="009260DE" w:rsidRPr="00DB1A1B" w:rsidRDefault="009260DE" w:rsidP="009260DE">
      <w:pPr>
        <w:tabs>
          <w:tab w:val="left" w:pos="851"/>
        </w:tabs>
        <w:ind w:left="851"/>
        <w:rPr>
          <w:sz w:val="24"/>
          <w:szCs w:val="24"/>
        </w:rPr>
      </w:pPr>
    </w:p>
    <w:p w14:paraId="6758A2F3" w14:textId="77777777" w:rsidR="009260DE" w:rsidRPr="00DB1A1B" w:rsidRDefault="009260DE" w:rsidP="009260DE">
      <w:pPr>
        <w:tabs>
          <w:tab w:val="left" w:pos="851"/>
        </w:tabs>
        <w:ind w:left="851" w:hanging="851"/>
        <w:rPr>
          <w:b/>
          <w:sz w:val="24"/>
          <w:szCs w:val="24"/>
        </w:rPr>
      </w:pPr>
      <w:r w:rsidRPr="00DB1A1B">
        <w:rPr>
          <w:b/>
          <w:sz w:val="24"/>
          <w:szCs w:val="24"/>
        </w:rPr>
        <w:t>4.10</w:t>
      </w:r>
      <w:r w:rsidRPr="00DB1A1B">
        <w:rPr>
          <w:b/>
          <w:sz w:val="24"/>
          <w:szCs w:val="24"/>
        </w:rPr>
        <w:tab/>
        <w:t>Udlevering</w:t>
      </w:r>
    </w:p>
    <w:p w14:paraId="4E703B7D" w14:textId="55106B2B" w:rsidR="009260DE" w:rsidRPr="00DB1A1B" w:rsidRDefault="004435FC" w:rsidP="009260DE">
      <w:pPr>
        <w:tabs>
          <w:tab w:val="left" w:pos="851"/>
        </w:tabs>
        <w:ind w:left="851"/>
        <w:rPr>
          <w:sz w:val="24"/>
          <w:szCs w:val="24"/>
        </w:rPr>
      </w:pPr>
      <w:r w:rsidRPr="00DB1A1B">
        <w:rPr>
          <w:sz w:val="24"/>
          <w:szCs w:val="24"/>
        </w:rPr>
        <w:t>B</w:t>
      </w:r>
    </w:p>
    <w:p w14:paraId="42A703E0" w14:textId="77777777" w:rsidR="009260DE" w:rsidRPr="00DB1A1B" w:rsidRDefault="009260DE" w:rsidP="009260DE">
      <w:pPr>
        <w:tabs>
          <w:tab w:val="left" w:pos="851"/>
        </w:tabs>
        <w:ind w:left="851"/>
        <w:rPr>
          <w:sz w:val="24"/>
          <w:szCs w:val="24"/>
        </w:rPr>
      </w:pPr>
    </w:p>
    <w:p w14:paraId="1C4C7D92" w14:textId="77777777" w:rsidR="009260DE" w:rsidRPr="00DB1A1B" w:rsidRDefault="009260DE" w:rsidP="009260DE">
      <w:pPr>
        <w:tabs>
          <w:tab w:val="left" w:pos="851"/>
        </w:tabs>
        <w:ind w:left="851"/>
        <w:rPr>
          <w:sz w:val="24"/>
          <w:szCs w:val="24"/>
        </w:rPr>
      </w:pPr>
    </w:p>
    <w:p w14:paraId="3D7A11AC" w14:textId="77777777" w:rsidR="009260DE" w:rsidRPr="00DB1A1B" w:rsidRDefault="009260DE" w:rsidP="009260DE">
      <w:pPr>
        <w:tabs>
          <w:tab w:val="left" w:pos="851"/>
        </w:tabs>
        <w:ind w:left="851" w:hanging="851"/>
        <w:rPr>
          <w:b/>
          <w:sz w:val="24"/>
          <w:szCs w:val="24"/>
        </w:rPr>
      </w:pPr>
      <w:r w:rsidRPr="00DB1A1B">
        <w:rPr>
          <w:b/>
          <w:sz w:val="24"/>
          <w:szCs w:val="24"/>
        </w:rPr>
        <w:t>5.</w:t>
      </w:r>
      <w:r w:rsidRPr="00DB1A1B">
        <w:rPr>
          <w:b/>
          <w:sz w:val="24"/>
          <w:szCs w:val="24"/>
        </w:rPr>
        <w:tab/>
        <w:t>FARMAKOLOGISKE EGENSKABER</w:t>
      </w:r>
    </w:p>
    <w:p w14:paraId="0F04BFD7" w14:textId="77777777" w:rsidR="009260DE" w:rsidRPr="00DB1A1B" w:rsidRDefault="009260DE" w:rsidP="009260DE">
      <w:pPr>
        <w:tabs>
          <w:tab w:val="left" w:pos="851"/>
        </w:tabs>
        <w:ind w:left="851"/>
        <w:rPr>
          <w:sz w:val="24"/>
          <w:szCs w:val="24"/>
        </w:rPr>
      </w:pPr>
    </w:p>
    <w:p w14:paraId="4440521A" w14:textId="77777777" w:rsidR="009260DE" w:rsidRPr="00DB1A1B" w:rsidRDefault="009260DE" w:rsidP="009260DE">
      <w:pPr>
        <w:tabs>
          <w:tab w:val="num" w:pos="851"/>
        </w:tabs>
        <w:ind w:left="851" w:hanging="851"/>
        <w:rPr>
          <w:b/>
          <w:sz w:val="24"/>
          <w:szCs w:val="24"/>
        </w:rPr>
      </w:pPr>
      <w:r w:rsidRPr="00DB1A1B">
        <w:rPr>
          <w:b/>
          <w:sz w:val="24"/>
          <w:szCs w:val="24"/>
        </w:rPr>
        <w:t>5.1</w:t>
      </w:r>
      <w:r w:rsidRPr="00DB1A1B">
        <w:rPr>
          <w:b/>
          <w:sz w:val="24"/>
          <w:szCs w:val="24"/>
        </w:rPr>
        <w:tab/>
      </w:r>
      <w:proofErr w:type="spellStart"/>
      <w:r w:rsidRPr="00DB1A1B">
        <w:rPr>
          <w:b/>
          <w:sz w:val="24"/>
          <w:szCs w:val="24"/>
        </w:rPr>
        <w:t>Farmakodynamiske</w:t>
      </w:r>
      <w:proofErr w:type="spellEnd"/>
      <w:r w:rsidRPr="00DB1A1B">
        <w:rPr>
          <w:b/>
          <w:sz w:val="24"/>
          <w:szCs w:val="24"/>
        </w:rPr>
        <w:t xml:space="preserve"> egenskaber</w:t>
      </w:r>
    </w:p>
    <w:p w14:paraId="30233C69" w14:textId="595CF9D1" w:rsidR="004435FC" w:rsidRPr="00DB1A1B" w:rsidRDefault="004435FC" w:rsidP="00270E7C">
      <w:pPr>
        <w:suppressAutoHyphens/>
        <w:ind w:left="851"/>
        <w:rPr>
          <w:sz w:val="24"/>
          <w:szCs w:val="24"/>
        </w:rPr>
      </w:pPr>
      <w:r w:rsidRPr="00DB1A1B">
        <w:rPr>
          <w:sz w:val="24"/>
          <w:szCs w:val="24"/>
        </w:rPr>
        <w:t xml:space="preserve">Antibakterielle midler til systemisk brug; </w:t>
      </w:r>
      <w:proofErr w:type="spellStart"/>
      <w:r w:rsidRPr="00DB1A1B">
        <w:rPr>
          <w:sz w:val="24"/>
          <w:szCs w:val="24"/>
        </w:rPr>
        <w:t>glycopeptidantibakterika</w:t>
      </w:r>
      <w:proofErr w:type="spellEnd"/>
      <w:r w:rsidR="006B1D8C" w:rsidRPr="00DB1A1B">
        <w:rPr>
          <w:sz w:val="24"/>
          <w:szCs w:val="24"/>
        </w:rPr>
        <w:t xml:space="preserve">, </w:t>
      </w:r>
      <w:r w:rsidRPr="00DB1A1B">
        <w:rPr>
          <w:sz w:val="24"/>
          <w:szCs w:val="24"/>
        </w:rPr>
        <w:t>ATC-kode: J01XA01</w:t>
      </w:r>
      <w:r w:rsidR="006B1D8C" w:rsidRPr="00DB1A1B">
        <w:rPr>
          <w:sz w:val="24"/>
          <w:szCs w:val="24"/>
        </w:rPr>
        <w:t>.</w:t>
      </w:r>
    </w:p>
    <w:p w14:paraId="52D14942" w14:textId="77777777" w:rsidR="004435FC" w:rsidRPr="00DB1A1B" w:rsidRDefault="004435FC" w:rsidP="00270E7C">
      <w:pPr>
        <w:suppressAutoHyphens/>
        <w:ind w:left="851"/>
        <w:rPr>
          <w:sz w:val="24"/>
          <w:szCs w:val="24"/>
        </w:rPr>
      </w:pPr>
    </w:p>
    <w:p w14:paraId="41F43CE5" w14:textId="77777777" w:rsidR="004435FC" w:rsidRPr="00DB1A1B" w:rsidRDefault="004435FC" w:rsidP="00270E7C">
      <w:pPr>
        <w:suppressAutoHyphens/>
        <w:ind w:left="851"/>
        <w:rPr>
          <w:sz w:val="24"/>
          <w:szCs w:val="24"/>
          <w:u w:val="single"/>
          <w:lang w:eastAsia="en-GB"/>
        </w:rPr>
      </w:pPr>
      <w:r w:rsidRPr="00DB1A1B">
        <w:rPr>
          <w:sz w:val="24"/>
          <w:szCs w:val="24"/>
          <w:u w:val="single"/>
        </w:rPr>
        <w:t>Virkningsmekanisme</w:t>
      </w:r>
    </w:p>
    <w:p w14:paraId="51D107D0" w14:textId="77777777" w:rsidR="004435FC" w:rsidRPr="00DB1A1B" w:rsidRDefault="004435FC" w:rsidP="00270E7C">
      <w:pPr>
        <w:suppressAutoHyphens/>
        <w:ind w:left="851"/>
        <w:rPr>
          <w:sz w:val="24"/>
          <w:szCs w:val="24"/>
        </w:rPr>
      </w:pPr>
      <w:proofErr w:type="spellStart"/>
      <w:r w:rsidRPr="00DB1A1B">
        <w:rPr>
          <w:sz w:val="24"/>
          <w:szCs w:val="24"/>
        </w:rPr>
        <w:t>Vancomycin</w:t>
      </w:r>
      <w:proofErr w:type="spellEnd"/>
      <w:r w:rsidRPr="00DB1A1B">
        <w:rPr>
          <w:sz w:val="24"/>
          <w:szCs w:val="24"/>
        </w:rPr>
        <w:t xml:space="preserve"> er et tricyklisk </w:t>
      </w:r>
      <w:proofErr w:type="spellStart"/>
      <w:r w:rsidRPr="00DB1A1B">
        <w:rPr>
          <w:sz w:val="24"/>
          <w:szCs w:val="24"/>
        </w:rPr>
        <w:t>glycopeptid</w:t>
      </w:r>
      <w:proofErr w:type="spellEnd"/>
      <w:r w:rsidRPr="00DB1A1B">
        <w:rPr>
          <w:sz w:val="24"/>
          <w:szCs w:val="24"/>
        </w:rPr>
        <w:t>-antibiotikum, som hæmmer syntesen af cellevæggen i følsomme bakterier ved at binde sig med høj affinitet til D-</w:t>
      </w:r>
      <w:proofErr w:type="spellStart"/>
      <w:r w:rsidRPr="00DB1A1B">
        <w:rPr>
          <w:sz w:val="24"/>
          <w:szCs w:val="24"/>
        </w:rPr>
        <w:t>alanyl</w:t>
      </w:r>
      <w:proofErr w:type="spellEnd"/>
      <w:r w:rsidRPr="00DB1A1B">
        <w:rPr>
          <w:sz w:val="24"/>
          <w:szCs w:val="24"/>
        </w:rPr>
        <w:t>-D-</w:t>
      </w:r>
      <w:proofErr w:type="spellStart"/>
      <w:r w:rsidRPr="00DB1A1B">
        <w:rPr>
          <w:sz w:val="24"/>
          <w:szCs w:val="24"/>
        </w:rPr>
        <w:t>alanin</w:t>
      </w:r>
      <w:proofErr w:type="spellEnd"/>
      <w:r w:rsidRPr="00DB1A1B">
        <w:rPr>
          <w:sz w:val="24"/>
          <w:szCs w:val="24"/>
        </w:rPr>
        <w:t xml:space="preserve"> terminus af cellevæggens </w:t>
      </w:r>
      <w:proofErr w:type="spellStart"/>
      <w:r w:rsidRPr="00DB1A1B">
        <w:rPr>
          <w:sz w:val="24"/>
          <w:szCs w:val="24"/>
        </w:rPr>
        <w:t>prækursorer</w:t>
      </w:r>
      <w:proofErr w:type="spellEnd"/>
      <w:r w:rsidRPr="00DB1A1B">
        <w:rPr>
          <w:sz w:val="24"/>
          <w:szCs w:val="24"/>
        </w:rPr>
        <w:t>. Lægemidlet er langsomt baktericidt for delende mikroorganismer. Desuden svækker det permeabiliteten af den bakterielle cellemembran og RNA-syntese.</w:t>
      </w:r>
    </w:p>
    <w:p w14:paraId="5B25A29C" w14:textId="77777777" w:rsidR="004435FC" w:rsidRPr="00DB1A1B" w:rsidRDefault="004435FC" w:rsidP="00270E7C">
      <w:pPr>
        <w:suppressAutoHyphens/>
        <w:ind w:left="851"/>
        <w:rPr>
          <w:sz w:val="24"/>
          <w:szCs w:val="24"/>
        </w:rPr>
      </w:pPr>
    </w:p>
    <w:p w14:paraId="4DDC11AA" w14:textId="77777777" w:rsidR="004435FC" w:rsidRPr="00DB1A1B" w:rsidRDefault="004435FC" w:rsidP="00270E7C">
      <w:pPr>
        <w:suppressAutoHyphens/>
        <w:ind w:left="851"/>
        <w:rPr>
          <w:sz w:val="24"/>
          <w:szCs w:val="24"/>
          <w:u w:val="single"/>
        </w:rPr>
      </w:pPr>
      <w:proofErr w:type="spellStart"/>
      <w:r w:rsidRPr="00DB1A1B">
        <w:rPr>
          <w:sz w:val="24"/>
          <w:szCs w:val="24"/>
          <w:u w:val="single"/>
        </w:rPr>
        <w:t>Farmakokinetiske</w:t>
      </w:r>
      <w:proofErr w:type="spellEnd"/>
      <w:r w:rsidRPr="00DB1A1B">
        <w:rPr>
          <w:sz w:val="24"/>
          <w:szCs w:val="24"/>
          <w:u w:val="single"/>
        </w:rPr>
        <w:t>/</w:t>
      </w:r>
      <w:proofErr w:type="spellStart"/>
      <w:r w:rsidRPr="00DB1A1B">
        <w:rPr>
          <w:sz w:val="24"/>
          <w:szCs w:val="24"/>
          <w:u w:val="single"/>
        </w:rPr>
        <w:t>Farmakodynamiske</w:t>
      </w:r>
      <w:proofErr w:type="spellEnd"/>
      <w:r w:rsidRPr="00DB1A1B">
        <w:rPr>
          <w:sz w:val="24"/>
          <w:szCs w:val="24"/>
          <w:u w:val="single"/>
        </w:rPr>
        <w:t xml:space="preserve"> forhold:</w:t>
      </w:r>
    </w:p>
    <w:p w14:paraId="0E9E7C2E" w14:textId="77777777" w:rsidR="004435FC" w:rsidRPr="00DB1A1B" w:rsidRDefault="004435FC" w:rsidP="00270E7C">
      <w:pPr>
        <w:suppressAutoHyphens/>
        <w:ind w:left="851"/>
        <w:rPr>
          <w:sz w:val="24"/>
          <w:szCs w:val="24"/>
        </w:rPr>
      </w:pPr>
      <w:proofErr w:type="spellStart"/>
      <w:r w:rsidRPr="00DB1A1B">
        <w:rPr>
          <w:sz w:val="24"/>
          <w:szCs w:val="24"/>
        </w:rPr>
        <w:t>Vancomycin</w:t>
      </w:r>
      <w:proofErr w:type="spellEnd"/>
      <w:r w:rsidRPr="00DB1A1B">
        <w:rPr>
          <w:sz w:val="24"/>
          <w:szCs w:val="24"/>
        </w:rPr>
        <w:t xml:space="preserve"> udviser koncentrations-uafhængig aktivitet, hvor AUC (arealet under koncentrationskurven) divideret med målorganismens MIC (minimum hæmmende koncentration) er den primære prædiktive parameter for virkning. På baggrund af data </w:t>
      </w:r>
      <w:r w:rsidRPr="00DB1A1B">
        <w:rPr>
          <w:i/>
          <w:sz w:val="24"/>
          <w:szCs w:val="24"/>
        </w:rPr>
        <w:t xml:space="preserve">in </w:t>
      </w:r>
      <w:proofErr w:type="spellStart"/>
      <w:r w:rsidRPr="00DB1A1B">
        <w:rPr>
          <w:i/>
          <w:sz w:val="24"/>
          <w:szCs w:val="24"/>
        </w:rPr>
        <w:t>vitro</w:t>
      </w:r>
      <w:proofErr w:type="spellEnd"/>
      <w:r w:rsidRPr="00DB1A1B">
        <w:rPr>
          <w:sz w:val="24"/>
          <w:szCs w:val="24"/>
        </w:rPr>
        <w:t xml:space="preserve">, data fra dyrestudier og begrænsede data fra anvendelse på mennesker er der fastlagt en AUC/MIC-ratio på 400 som et </w:t>
      </w:r>
      <w:proofErr w:type="spellStart"/>
      <w:r w:rsidRPr="00DB1A1B">
        <w:rPr>
          <w:sz w:val="24"/>
          <w:szCs w:val="24"/>
        </w:rPr>
        <w:t>farmakokinetisk</w:t>
      </w:r>
      <w:proofErr w:type="spellEnd"/>
      <w:r w:rsidRPr="00DB1A1B">
        <w:rPr>
          <w:sz w:val="24"/>
          <w:szCs w:val="24"/>
        </w:rPr>
        <w:t>/</w:t>
      </w:r>
      <w:proofErr w:type="spellStart"/>
      <w:r w:rsidRPr="00DB1A1B">
        <w:rPr>
          <w:sz w:val="24"/>
          <w:szCs w:val="24"/>
        </w:rPr>
        <w:t>farmakodynamisk</w:t>
      </w:r>
      <w:proofErr w:type="spellEnd"/>
      <w:r w:rsidRPr="00DB1A1B">
        <w:rPr>
          <w:sz w:val="24"/>
          <w:szCs w:val="24"/>
        </w:rPr>
        <w:t xml:space="preserve"> mål, hvis en klinisk virkning af </w:t>
      </w:r>
      <w:proofErr w:type="spellStart"/>
      <w:r w:rsidRPr="00DB1A1B">
        <w:rPr>
          <w:sz w:val="24"/>
          <w:szCs w:val="24"/>
        </w:rPr>
        <w:t>vancomycin</w:t>
      </w:r>
      <w:proofErr w:type="spellEnd"/>
      <w:r w:rsidRPr="00DB1A1B">
        <w:rPr>
          <w:sz w:val="24"/>
          <w:szCs w:val="24"/>
        </w:rPr>
        <w:t xml:space="preserve"> skal opnås. For at nå dette mål, når MIC-værdierne er ≥ 1,0 mg/l, er dosering i det øvre område og høje laveste dalkoncentrationer (15-20 mg/l) nødvendigt (se pkt. 4.2).</w:t>
      </w:r>
    </w:p>
    <w:p w14:paraId="710EA6E2" w14:textId="77777777" w:rsidR="004435FC" w:rsidRPr="00DB1A1B" w:rsidRDefault="004435FC" w:rsidP="00270E7C">
      <w:pPr>
        <w:suppressAutoHyphens/>
        <w:ind w:left="851"/>
        <w:rPr>
          <w:sz w:val="24"/>
          <w:szCs w:val="24"/>
        </w:rPr>
      </w:pPr>
    </w:p>
    <w:p w14:paraId="5A251274" w14:textId="77777777" w:rsidR="004435FC" w:rsidRPr="00DB1A1B" w:rsidRDefault="004435FC" w:rsidP="00270E7C">
      <w:pPr>
        <w:suppressAutoHyphens/>
        <w:ind w:left="851"/>
        <w:rPr>
          <w:sz w:val="24"/>
          <w:szCs w:val="24"/>
          <w:u w:val="single"/>
        </w:rPr>
      </w:pPr>
      <w:r w:rsidRPr="00DB1A1B">
        <w:rPr>
          <w:sz w:val="24"/>
          <w:szCs w:val="24"/>
          <w:u w:val="single"/>
        </w:rPr>
        <w:t>Resistensmekanisme</w:t>
      </w:r>
    </w:p>
    <w:p w14:paraId="5B41CAC6" w14:textId="77777777" w:rsidR="004435FC" w:rsidRPr="00DB1A1B" w:rsidRDefault="004435FC" w:rsidP="00270E7C">
      <w:pPr>
        <w:suppressAutoHyphens/>
        <w:ind w:left="851"/>
        <w:rPr>
          <w:sz w:val="24"/>
          <w:szCs w:val="24"/>
        </w:rPr>
      </w:pPr>
      <w:r w:rsidRPr="00DB1A1B">
        <w:rPr>
          <w:sz w:val="24"/>
          <w:szCs w:val="24"/>
        </w:rPr>
        <w:t xml:space="preserve">Erhvervet resistens over for </w:t>
      </w:r>
      <w:proofErr w:type="spellStart"/>
      <w:r w:rsidRPr="00DB1A1B">
        <w:rPr>
          <w:sz w:val="24"/>
          <w:szCs w:val="24"/>
        </w:rPr>
        <w:t>glycopeptider</w:t>
      </w:r>
      <w:proofErr w:type="spellEnd"/>
      <w:r w:rsidRPr="00DB1A1B">
        <w:rPr>
          <w:sz w:val="24"/>
          <w:szCs w:val="24"/>
        </w:rPr>
        <w:t xml:space="preserve"> er mest almindelig i </w:t>
      </w:r>
      <w:proofErr w:type="spellStart"/>
      <w:r w:rsidRPr="00DB1A1B">
        <w:rPr>
          <w:sz w:val="24"/>
          <w:szCs w:val="24"/>
        </w:rPr>
        <w:t>enterokokker</w:t>
      </w:r>
      <w:proofErr w:type="spellEnd"/>
      <w:r w:rsidRPr="00DB1A1B">
        <w:rPr>
          <w:sz w:val="24"/>
          <w:szCs w:val="24"/>
        </w:rPr>
        <w:t xml:space="preserve"> og er baseret på erhvervelse af forskellige van-genkomplekser, som modificerer D-</w:t>
      </w:r>
      <w:proofErr w:type="spellStart"/>
      <w:r w:rsidRPr="00DB1A1B">
        <w:rPr>
          <w:sz w:val="24"/>
          <w:szCs w:val="24"/>
        </w:rPr>
        <w:t>alanyl</w:t>
      </w:r>
      <w:proofErr w:type="spellEnd"/>
      <w:r w:rsidRPr="00DB1A1B">
        <w:rPr>
          <w:sz w:val="24"/>
          <w:szCs w:val="24"/>
        </w:rPr>
        <w:t>-D-</w:t>
      </w:r>
      <w:proofErr w:type="spellStart"/>
      <w:r w:rsidRPr="00DB1A1B">
        <w:rPr>
          <w:sz w:val="24"/>
          <w:szCs w:val="24"/>
        </w:rPr>
        <w:t>alanin</w:t>
      </w:r>
      <w:proofErr w:type="spellEnd"/>
      <w:r w:rsidRPr="00DB1A1B">
        <w:rPr>
          <w:sz w:val="24"/>
          <w:szCs w:val="24"/>
        </w:rPr>
        <w:t xml:space="preserve"> mål til D-</w:t>
      </w:r>
      <w:proofErr w:type="spellStart"/>
      <w:r w:rsidRPr="00DB1A1B">
        <w:rPr>
          <w:sz w:val="24"/>
          <w:szCs w:val="24"/>
        </w:rPr>
        <w:t>alanyl</w:t>
      </w:r>
      <w:proofErr w:type="spellEnd"/>
      <w:r w:rsidRPr="00DB1A1B">
        <w:rPr>
          <w:sz w:val="24"/>
          <w:szCs w:val="24"/>
        </w:rPr>
        <w:t>-D-</w:t>
      </w:r>
      <w:proofErr w:type="spellStart"/>
      <w:r w:rsidRPr="00DB1A1B">
        <w:rPr>
          <w:sz w:val="24"/>
          <w:szCs w:val="24"/>
        </w:rPr>
        <w:t>lactat</w:t>
      </w:r>
      <w:proofErr w:type="spellEnd"/>
      <w:r w:rsidRPr="00DB1A1B">
        <w:rPr>
          <w:sz w:val="24"/>
          <w:szCs w:val="24"/>
        </w:rPr>
        <w:t xml:space="preserve"> eller D-</w:t>
      </w:r>
      <w:proofErr w:type="spellStart"/>
      <w:r w:rsidRPr="00DB1A1B">
        <w:rPr>
          <w:sz w:val="24"/>
          <w:szCs w:val="24"/>
        </w:rPr>
        <w:t>alanyl</w:t>
      </w:r>
      <w:proofErr w:type="spellEnd"/>
      <w:r w:rsidRPr="00DB1A1B">
        <w:rPr>
          <w:sz w:val="24"/>
          <w:szCs w:val="24"/>
        </w:rPr>
        <w:t>-D-</w:t>
      </w:r>
      <w:proofErr w:type="spellStart"/>
      <w:r w:rsidRPr="00DB1A1B">
        <w:rPr>
          <w:sz w:val="24"/>
          <w:szCs w:val="24"/>
        </w:rPr>
        <w:t>serin</w:t>
      </w:r>
      <w:proofErr w:type="spellEnd"/>
      <w:r w:rsidRPr="00DB1A1B">
        <w:rPr>
          <w:sz w:val="24"/>
          <w:szCs w:val="24"/>
        </w:rPr>
        <w:t xml:space="preserve"> som binder </w:t>
      </w:r>
      <w:proofErr w:type="spellStart"/>
      <w:r w:rsidRPr="00DB1A1B">
        <w:rPr>
          <w:sz w:val="24"/>
          <w:szCs w:val="24"/>
        </w:rPr>
        <w:t>vancomycin</w:t>
      </w:r>
      <w:proofErr w:type="spellEnd"/>
      <w:r w:rsidRPr="00DB1A1B">
        <w:rPr>
          <w:sz w:val="24"/>
          <w:szCs w:val="24"/>
        </w:rPr>
        <w:t xml:space="preserve"> dårligt. I visse lande er der observeret en stigning i tilfældene, især i </w:t>
      </w:r>
      <w:proofErr w:type="spellStart"/>
      <w:r w:rsidRPr="00DB1A1B">
        <w:rPr>
          <w:sz w:val="24"/>
          <w:szCs w:val="24"/>
        </w:rPr>
        <w:t>enterokokker</w:t>
      </w:r>
      <w:proofErr w:type="spellEnd"/>
      <w:r w:rsidRPr="00DB1A1B">
        <w:rPr>
          <w:sz w:val="24"/>
          <w:szCs w:val="24"/>
        </w:rPr>
        <w:t xml:space="preserve">; multiresistente stammer af </w:t>
      </w:r>
      <w:proofErr w:type="spellStart"/>
      <w:r w:rsidRPr="00DB1A1B">
        <w:rPr>
          <w:i/>
          <w:sz w:val="24"/>
          <w:szCs w:val="24"/>
        </w:rPr>
        <w:t>Enterococcus</w:t>
      </w:r>
      <w:proofErr w:type="spellEnd"/>
      <w:r w:rsidRPr="00DB1A1B">
        <w:rPr>
          <w:i/>
          <w:sz w:val="24"/>
          <w:szCs w:val="24"/>
        </w:rPr>
        <w:t xml:space="preserve"> </w:t>
      </w:r>
      <w:proofErr w:type="spellStart"/>
      <w:r w:rsidRPr="00DB1A1B">
        <w:rPr>
          <w:i/>
          <w:sz w:val="24"/>
          <w:szCs w:val="24"/>
        </w:rPr>
        <w:t>faecium</w:t>
      </w:r>
      <w:proofErr w:type="spellEnd"/>
      <w:r w:rsidRPr="00DB1A1B">
        <w:rPr>
          <w:sz w:val="24"/>
          <w:szCs w:val="24"/>
        </w:rPr>
        <w:t xml:space="preserve"> er særligt foruroligende.</w:t>
      </w:r>
    </w:p>
    <w:p w14:paraId="060CF795" w14:textId="77777777" w:rsidR="004435FC" w:rsidRPr="00DB1A1B" w:rsidRDefault="004435FC" w:rsidP="00270E7C">
      <w:pPr>
        <w:suppressAutoHyphens/>
        <w:ind w:left="851"/>
        <w:rPr>
          <w:sz w:val="24"/>
          <w:szCs w:val="24"/>
        </w:rPr>
      </w:pPr>
    </w:p>
    <w:p w14:paraId="3A82C6F3" w14:textId="40CD7382" w:rsidR="004435FC" w:rsidRPr="00DB1A1B" w:rsidRDefault="004435FC" w:rsidP="00270E7C">
      <w:pPr>
        <w:suppressAutoHyphens/>
        <w:ind w:left="851"/>
        <w:rPr>
          <w:sz w:val="24"/>
          <w:szCs w:val="24"/>
        </w:rPr>
      </w:pPr>
      <w:r w:rsidRPr="00DB1A1B">
        <w:rPr>
          <w:sz w:val="24"/>
          <w:szCs w:val="24"/>
        </w:rPr>
        <w:t xml:space="preserve">Van-gener er sjældent blevet fundet i </w:t>
      </w:r>
      <w:proofErr w:type="spellStart"/>
      <w:r w:rsidRPr="00DB1A1B">
        <w:rPr>
          <w:i/>
          <w:sz w:val="24"/>
          <w:szCs w:val="24"/>
        </w:rPr>
        <w:t>Staphylococcus</w:t>
      </w:r>
      <w:proofErr w:type="spellEnd"/>
      <w:r w:rsidRPr="00DB1A1B">
        <w:rPr>
          <w:i/>
          <w:sz w:val="24"/>
          <w:szCs w:val="24"/>
        </w:rPr>
        <w:t xml:space="preserve"> aureus</w:t>
      </w:r>
      <w:r w:rsidRPr="00DB1A1B">
        <w:rPr>
          <w:sz w:val="24"/>
          <w:szCs w:val="24"/>
        </w:rPr>
        <w:t xml:space="preserve">, hvor ændringer i </w:t>
      </w:r>
      <w:proofErr w:type="spellStart"/>
      <w:r w:rsidRPr="00DB1A1B">
        <w:rPr>
          <w:sz w:val="24"/>
          <w:szCs w:val="24"/>
        </w:rPr>
        <w:t>cellevægstruktur</w:t>
      </w:r>
      <w:proofErr w:type="spellEnd"/>
      <w:r w:rsidRPr="00DB1A1B">
        <w:rPr>
          <w:sz w:val="24"/>
          <w:szCs w:val="24"/>
        </w:rPr>
        <w:t xml:space="preserve"> resulterer i </w:t>
      </w:r>
      <w:r w:rsidR="00DB1A1B" w:rsidRPr="00DB1A1B">
        <w:rPr>
          <w:sz w:val="24"/>
          <w:szCs w:val="24"/>
        </w:rPr>
        <w:t>"</w:t>
      </w:r>
      <w:r w:rsidRPr="00DB1A1B">
        <w:rPr>
          <w:sz w:val="24"/>
          <w:szCs w:val="24"/>
        </w:rPr>
        <w:t>middel</w:t>
      </w:r>
      <w:r w:rsidR="00DB1A1B" w:rsidRPr="00DB1A1B">
        <w:rPr>
          <w:sz w:val="24"/>
          <w:szCs w:val="24"/>
        </w:rPr>
        <w:t>"</w:t>
      </w:r>
      <w:r w:rsidRPr="00DB1A1B">
        <w:rPr>
          <w:sz w:val="24"/>
          <w:szCs w:val="24"/>
        </w:rPr>
        <w:t xml:space="preserve"> følsomhed, som i reglen er heterogen. Også </w:t>
      </w:r>
      <w:proofErr w:type="spellStart"/>
      <w:r w:rsidRPr="00DB1A1B">
        <w:rPr>
          <w:sz w:val="24"/>
          <w:szCs w:val="24"/>
        </w:rPr>
        <w:t>methicillinresistente</w:t>
      </w:r>
      <w:proofErr w:type="spellEnd"/>
      <w:r w:rsidRPr="00DB1A1B">
        <w:rPr>
          <w:sz w:val="24"/>
          <w:szCs w:val="24"/>
        </w:rPr>
        <w:t xml:space="preserve"> </w:t>
      </w:r>
      <w:proofErr w:type="spellStart"/>
      <w:r w:rsidRPr="00DB1A1B">
        <w:rPr>
          <w:i/>
          <w:sz w:val="24"/>
          <w:szCs w:val="24"/>
        </w:rPr>
        <w:t>Staphylococcus</w:t>
      </w:r>
      <w:proofErr w:type="spellEnd"/>
      <w:r w:rsidRPr="00DB1A1B">
        <w:rPr>
          <w:sz w:val="24"/>
          <w:szCs w:val="24"/>
        </w:rPr>
        <w:t xml:space="preserve"> stammer (MRSA) med nedsat følsomhed for </w:t>
      </w:r>
      <w:proofErr w:type="spellStart"/>
      <w:r w:rsidRPr="00DB1A1B">
        <w:rPr>
          <w:sz w:val="24"/>
          <w:szCs w:val="24"/>
        </w:rPr>
        <w:t>vancomycin</w:t>
      </w:r>
      <w:proofErr w:type="spellEnd"/>
      <w:r w:rsidRPr="00DB1A1B">
        <w:rPr>
          <w:sz w:val="24"/>
          <w:szCs w:val="24"/>
        </w:rPr>
        <w:t xml:space="preserve"> er rapporteret. Den reducerede følsomhed eller resistens over for </w:t>
      </w:r>
      <w:proofErr w:type="spellStart"/>
      <w:r w:rsidRPr="00DB1A1B">
        <w:rPr>
          <w:sz w:val="24"/>
          <w:szCs w:val="24"/>
        </w:rPr>
        <w:t>vancomycin</w:t>
      </w:r>
      <w:proofErr w:type="spellEnd"/>
      <w:r w:rsidRPr="00DB1A1B">
        <w:rPr>
          <w:sz w:val="24"/>
          <w:szCs w:val="24"/>
        </w:rPr>
        <w:t xml:space="preserve"> i </w:t>
      </w:r>
      <w:proofErr w:type="spellStart"/>
      <w:r w:rsidRPr="00DB1A1B">
        <w:rPr>
          <w:i/>
          <w:sz w:val="24"/>
          <w:szCs w:val="24"/>
        </w:rPr>
        <w:t>Staphylococcus</w:t>
      </w:r>
      <w:proofErr w:type="spellEnd"/>
      <w:r w:rsidRPr="00DB1A1B">
        <w:rPr>
          <w:sz w:val="24"/>
          <w:szCs w:val="24"/>
        </w:rPr>
        <w:t xml:space="preserve"> er ikke godt forstået. Adskillige genetiske elementer og multiple mutationer er påkrævet.</w:t>
      </w:r>
    </w:p>
    <w:p w14:paraId="46173E7B" w14:textId="77777777" w:rsidR="004435FC" w:rsidRPr="00DB1A1B" w:rsidRDefault="004435FC" w:rsidP="00270E7C">
      <w:pPr>
        <w:suppressAutoHyphens/>
        <w:ind w:left="851"/>
        <w:rPr>
          <w:sz w:val="24"/>
          <w:szCs w:val="24"/>
        </w:rPr>
      </w:pPr>
    </w:p>
    <w:p w14:paraId="04C4C53C" w14:textId="77777777" w:rsidR="004435FC" w:rsidRPr="00DB1A1B" w:rsidRDefault="004435FC" w:rsidP="00270E7C">
      <w:pPr>
        <w:suppressAutoHyphens/>
        <w:ind w:left="851"/>
        <w:rPr>
          <w:sz w:val="24"/>
          <w:szCs w:val="24"/>
        </w:rPr>
      </w:pPr>
      <w:r w:rsidRPr="00DB1A1B">
        <w:rPr>
          <w:sz w:val="24"/>
          <w:szCs w:val="24"/>
        </w:rPr>
        <w:t xml:space="preserve">Der er ingen krydsresistens mellem </w:t>
      </w:r>
      <w:proofErr w:type="spellStart"/>
      <w:r w:rsidRPr="00DB1A1B">
        <w:rPr>
          <w:sz w:val="24"/>
          <w:szCs w:val="24"/>
        </w:rPr>
        <w:t>vancomycin</w:t>
      </w:r>
      <w:proofErr w:type="spellEnd"/>
      <w:r w:rsidRPr="00DB1A1B">
        <w:rPr>
          <w:sz w:val="24"/>
          <w:szCs w:val="24"/>
        </w:rPr>
        <w:t xml:space="preserve"> og andre klasser af antibiotika. Krydsresistens med andre </w:t>
      </w:r>
      <w:proofErr w:type="spellStart"/>
      <w:r w:rsidRPr="00DB1A1B">
        <w:rPr>
          <w:sz w:val="24"/>
          <w:szCs w:val="24"/>
        </w:rPr>
        <w:t>glycopeptidantibiotika</w:t>
      </w:r>
      <w:proofErr w:type="spellEnd"/>
      <w:r w:rsidRPr="00DB1A1B">
        <w:rPr>
          <w:sz w:val="24"/>
          <w:szCs w:val="24"/>
        </w:rPr>
        <w:t xml:space="preserve">, såsom </w:t>
      </w:r>
      <w:proofErr w:type="spellStart"/>
      <w:r w:rsidRPr="00DB1A1B">
        <w:rPr>
          <w:sz w:val="24"/>
          <w:szCs w:val="24"/>
        </w:rPr>
        <w:t>teicoplanin</w:t>
      </w:r>
      <w:proofErr w:type="spellEnd"/>
      <w:r w:rsidRPr="00DB1A1B">
        <w:rPr>
          <w:sz w:val="24"/>
          <w:szCs w:val="24"/>
        </w:rPr>
        <w:t>, forekommer. Sekundær udvikling af resistens under behandling er sjælden.</w:t>
      </w:r>
    </w:p>
    <w:p w14:paraId="0BCF4C64" w14:textId="77777777" w:rsidR="004435FC" w:rsidRPr="00DB1A1B" w:rsidRDefault="004435FC" w:rsidP="00270E7C">
      <w:pPr>
        <w:suppressAutoHyphens/>
        <w:ind w:left="851"/>
        <w:rPr>
          <w:sz w:val="24"/>
          <w:szCs w:val="24"/>
        </w:rPr>
      </w:pPr>
    </w:p>
    <w:p w14:paraId="2AB257A5" w14:textId="77777777" w:rsidR="004435FC" w:rsidRPr="00DB1A1B" w:rsidRDefault="004435FC" w:rsidP="00270E7C">
      <w:pPr>
        <w:suppressAutoHyphens/>
        <w:ind w:left="851"/>
        <w:rPr>
          <w:sz w:val="24"/>
          <w:szCs w:val="24"/>
          <w:u w:val="single"/>
        </w:rPr>
      </w:pPr>
      <w:r w:rsidRPr="00DB1A1B">
        <w:rPr>
          <w:sz w:val="24"/>
          <w:szCs w:val="24"/>
          <w:u w:val="single"/>
        </w:rPr>
        <w:t>Synergi</w:t>
      </w:r>
    </w:p>
    <w:p w14:paraId="16D91B14" w14:textId="77777777" w:rsidR="004435FC" w:rsidRPr="00DB1A1B" w:rsidRDefault="004435FC" w:rsidP="00270E7C">
      <w:pPr>
        <w:suppressAutoHyphens/>
        <w:ind w:left="851"/>
        <w:rPr>
          <w:sz w:val="24"/>
          <w:szCs w:val="24"/>
        </w:rPr>
      </w:pPr>
      <w:r w:rsidRPr="00DB1A1B">
        <w:rPr>
          <w:sz w:val="24"/>
          <w:szCs w:val="24"/>
        </w:rPr>
        <w:t xml:space="preserve">Kombinationen af </w:t>
      </w:r>
      <w:proofErr w:type="spellStart"/>
      <w:r w:rsidRPr="00DB1A1B">
        <w:rPr>
          <w:sz w:val="24"/>
          <w:szCs w:val="24"/>
        </w:rPr>
        <w:t>vancomycin</w:t>
      </w:r>
      <w:proofErr w:type="spellEnd"/>
      <w:r w:rsidRPr="00DB1A1B">
        <w:rPr>
          <w:sz w:val="24"/>
          <w:szCs w:val="24"/>
        </w:rPr>
        <w:t xml:space="preserve"> med et </w:t>
      </w:r>
      <w:proofErr w:type="spellStart"/>
      <w:r w:rsidRPr="00DB1A1B">
        <w:rPr>
          <w:sz w:val="24"/>
          <w:szCs w:val="24"/>
        </w:rPr>
        <w:t>aminoglycosidantibiotikum</w:t>
      </w:r>
      <w:proofErr w:type="spellEnd"/>
      <w:r w:rsidRPr="00DB1A1B">
        <w:rPr>
          <w:sz w:val="24"/>
          <w:szCs w:val="24"/>
        </w:rPr>
        <w:t xml:space="preserve"> har en </w:t>
      </w:r>
      <w:proofErr w:type="spellStart"/>
      <w:r w:rsidRPr="00DB1A1B">
        <w:rPr>
          <w:sz w:val="24"/>
          <w:szCs w:val="24"/>
        </w:rPr>
        <w:t>synergistisk</w:t>
      </w:r>
      <w:proofErr w:type="spellEnd"/>
      <w:r w:rsidRPr="00DB1A1B">
        <w:rPr>
          <w:sz w:val="24"/>
          <w:szCs w:val="24"/>
        </w:rPr>
        <w:t xml:space="preserve"> virkning mod mange stammer af </w:t>
      </w:r>
      <w:proofErr w:type="spellStart"/>
      <w:r w:rsidRPr="00DB1A1B">
        <w:rPr>
          <w:i/>
          <w:sz w:val="24"/>
          <w:szCs w:val="24"/>
        </w:rPr>
        <w:t>Staphylococcus</w:t>
      </w:r>
      <w:proofErr w:type="spellEnd"/>
      <w:r w:rsidRPr="00DB1A1B">
        <w:rPr>
          <w:i/>
          <w:sz w:val="24"/>
          <w:szCs w:val="24"/>
        </w:rPr>
        <w:t xml:space="preserve"> aureus</w:t>
      </w:r>
      <w:r w:rsidRPr="00DB1A1B">
        <w:rPr>
          <w:sz w:val="24"/>
          <w:szCs w:val="24"/>
        </w:rPr>
        <w:t>, ikke-</w:t>
      </w:r>
      <w:proofErr w:type="spellStart"/>
      <w:r w:rsidRPr="00DB1A1B">
        <w:rPr>
          <w:sz w:val="24"/>
          <w:szCs w:val="24"/>
        </w:rPr>
        <w:t>enterococcale</w:t>
      </w:r>
      <w:proofErr w:type="spellEnd"/>
      <w:r w:rsidRPr="00DB1A1B">
        <w:rPr>
          <w:sz w:val="24"/>
          <w:szCs w:val="24"/>
        </w:rPr>
        <w:t xml:space="preserve"> gruppe D-streptokokker, </w:t>
      </w:r>
      <w:proofErr w:type="spellStart"/>
      <w:r w:rsidRPr="00DB1A1B">
        <w:rPr>
          <w:sz w:val="24"/>
          <w:szCs w:val="24"/>
        </w:rPr>
        <w:t>enterokokker</w:t>
      </w:r>
      <w:proofErr w:type="spellEnd"/>
      <w:r w:rsidRPr="00DB1A1B">
        <w:rPr>
          <w:sz w:val="24"/>
          <w:szCs w:val="24"/>
        </w:rPr>
        <w:t xml:space="preserve"> og streptokokker af </w:t>
      </w:r>
      <w:proofErr w:type="spellStart"/>
      <w:r w:rsidRPr="00DB1A1B">
        <w:rPr>
          <w:i/>
          <w:sz w:val="24"/>
          <w:szCs w:val="24"/>
        </w:rPr>
        <w:t>Viridansgruppen</w:t>
      </w:r>
      <w:proofErr w:type="spellEnd"/>
      <w:r w:rsidRPr="00DB1A1B">
        <w:rPr>
          <w:sz w:val="24"/>
          <w:szCs w:val="24"/>
        </w:rPr>
        <w:t xml:space="preserve">. Kombinationen af </w:t>
      </w:r>
      <w:proofErr w:type="spellStart"/>
      <w:r w:rsidRPr="00DB1A1B">
        <w:rPr>
          <w:sz w:val="24"/>
          <w:szCs w:val="24"/>
        </w:rPr>
        <w:lastRenderedPageBreak/>
        <w:t>vancomycin</w:t>
      </w:r>
      <w:proofErr w:type="spellEnd"/>
      <w:r w:rsidRPr="00DB1A1B">
        <w:rPr>
          <w:sz w:val="24"/>
          <w:szCs w:val="24"/>
        </w:rPr>
        <w:t xml:space="preserve"> med et </w:t>
      </w:r>
      <w:proofErr w:type="spellStart"/>
      <w:r w:rsidRPr="00DB1A1B">
        <w:rPr>
          <w:sz w:val="24"/>
          <w:szCs w:val="24"/>
        </w:rPr>
        <w:t>cefalosporin</w:t>
      </w:r>
      <w:proofErr w:type="spellEnd"/>
      <w:r w:rsidRPr="00DB1A1B">
        <w:rPr>
          <w:sz w:val="24"/>
          <w:szCs w:val="24"/>
        </w:rPr>
        <w:t xml:space="preserve"> har en </w:t>
      </w:r>
      <w:proofErr w:type="spellStart"/>
      <w:r w:rsidRPr="00DB1A1B">
        <w:rPr>
          <w:sz w:val="24"/>
          <w:szCs w:val="24"/>
        </w:rPr>
        <w:t>synergistisk</w:t>
      </w:r>
      <w:proofErr w:type="spellEnd"/>
      <w:r w:rsidRPr="00DB1A1B">
        <w:rPr>
          <w:sz w:val="24"/>
          <w:szCs w:val="24"/>
        </w:rPr>
        <w:t xml:space="preserve"> virkning mod nogle </w:t>
      </w:r>
      <w:proofErr w:type="spellStart"/>
      <w:r w:rsidRPr="00DB1A1B">
        <w:rPr>
          <w:sz w:val="24"/>
          <w:szCs w:val="24"/>
        </w:rPr>
        <w:t>oxacillin</w:t>
      </w:r>
      <w:proofErr w:type="spellEnd"/>
      <w:r w:rsidRPr="00DB1A1B">
        <w:rPr>
          <w:sz w:val="24"/>
          <w:szCs w:val="24"/>
        </w:rPr>
        <w:t xml:space="preserve">-resistente </w:t>
      </w:r>
      <w:proofErr w:type="spellStart"/>
      <w:r w:rsidRPr="00DB1A1B">
        <w:rPr>
          <w:i/>
          <w:sz w:val="24"/>
          <w:szCs w:val="24"/>
        </w:rPr>
        <w:t>Staphylococcus</w:t>
      </w:r>
      <w:proofErr w:type="spellEnd"/>
      <w:r w:rsidRPr="00DB1A1B">
        <w:rPr>
          <w:i/>
          <w:sz w:val="24"/>
          <w:szCs w:val="24"/>
        </w:rPr>
        <w:t xml:space="preserve"> </w:t>
      </w:r>
      <w:proofErr w:type="spellStart"/>
      <w:r w:rsidRPr="00DB1A1B">
        <w:rPr>
          <w:i/>
          <w:sz w:val="24"/>
          <w:szCs w:val="24"/>
        </w:rPr>
        <w:t>epidermidis</w:t>
      </w:r>
      <w:proofErr w:type="spellEnd"/>
      <w:r w:rsidRPr="00DB1A1B">
        <w:rPr>
          <w:sz w:val="24"/>
          <w:szCs w:val="24"/>
        </w:rPr>
        <w:t xml:space="preserve">-stammer, og kombinationen af </w:t>
      </w:r>
      <w:proofErr w:type="spellStart"/>
      <w:r w:rsidRPr="00DB1A1B">
        <w:rPr>
          <w:sz w:val="24"/>
          <w:szCs w:val="24"/>
        </w:rPr>
        <w:t>vancomycin</w:t>
      </w:r>
      <w:proofErr w:type="spellEnd"/>
      <w:r w:rsidRPr="00DB1A1B">
        <w:rPr>
          <w:sz w:val="24"/>
          <w:szCs w:val="24"/>
        </w:rPr>
        <w:t xml:space="preserve"> og </w:t>
      </w:r>
      <w:proofErr w:type="spellStart"/>
      <w:r w:rsidRPr="00DB1A1B">
        <w:rPr>
          <w:sz w:val="24"/>
          <w:szCs w:val="24"/>
        </w:rPr>
        <w:t>rifampicin</w:t>
      </w:r>
      <w:proofErr w:type="spellEnd"/>
      <w:r w:rsidRPr="00DB1A1B">
        <w:rPr>
          <w:sz w:val="24"/>
          <w:szCs w:val="24"/>
        </w:rPr>
        <w:t xml:space="preserve"> har en </w:t>
      </w:r>
      <w:proofErr w:type="spellStart"/>
      <w:r w:rsidRPr="00DB1A1B">
        <w:rPr>
          <w:sz w:val="24"/>
          <w:szCs w:val="24"/>
        </w:rPr>
        <w:t>synergistisk</w:t>
      </w:r>
      <w:proofErr w:type="spellEnd"/>
      <w:r w:rsidRPr="00DB1A1B">
        <w:rPr>
          <w:sz w:val="24"/>
          <w:szCs w:val="24"/>
        </w:rPr>
        <w:t xml:space="preserve"> virkning mod </w:t>
      </w:r>
      <w:proofErr w:type="spellStart"/>
      <w:r w:rsidRPr="00DB1A1B">
        <w:rPr>
          <w:i/>
          <w:sz w:val="24"/>
          <w:szCs w:val="24"/>
        </w:rPr>
        <w:t>Staphylococcus</w:t>
      </w:r>
      <w:proofErr w:type="spellEnd"/>
      <w:r w:rsidRPr="00DB1A1B">
        <w:rPr>
          <w:i/>
          <w:sz w:val="24"/>
          <w:szCs w:val="24"/>
        </w:rPr>
        <w:t xml:space="preserve"> </w:t>
      </w:r>
      <w:proofErr w:type="spellStart"/>
      <w:r w:rsidRPr="00DB1A1B">
        <w:rPr>
          <w:i/>
          <w:sz w:val="24"/>
          <w:szCs w:val="24"/>
        </w:rPr>
        <w:t>epidermidis</w:t>
      </w:r>
      <w:proofErr w:type="spellEnd"/>
      <w:r w:rsidRPr="00DB1A1B">
        <w:rPr>
          <w:sz w:val="24"/>
          <w:szCs w:val="24"/>
        </w:rPr>
        <w:t xml:space="preserve"> og en delvis </w:t>
      </w:r>
      <w:proofErr w:type="spellStart"/>
      <w:r w:rsidRPr="00DB1A1B">
        <w:rPr>
          <w:sz w:val="24"/>
          <w:szCs w:val="24"/>
        </w:rPr>
        <w:t>synergistisk</w:t>
      </w:r>
      <w:proofErr w:type="spellEnd"/>
      <w:r w:rsidRPr="00DB1A1B">
        <w:rPr>
          <w:sz w:val="24"/>
          <w:szCs w:val="24"/>
        </w:rPr>
        <w:t xml:space="preserve"> virkning mod nogle </w:t>
      </w:r>
      <w:proofErr w:type="spellStart"/>
      <w:r w:rsidRPr="00DB1A1B">
        <w:rPr>
          <w:i/>
          <w:sz w:val="24"/>
          <w:szCs w:val="24"/>
        </w:rPr>
        <w:t>Staphylococcus</w:t>
      </w:r>
      <w:proofErr w:type="spellEnd"/>
      <w:r w:rsidRPr="00DB1A1B">
        <w:rPr>
          <w:i/>
          <w:sz w:val="24"/>
          <w:szCs w:val="24"/>
        </w:rPr>
        <w:t xml:space="preserve"> aureus</w:t>
      </w:r>
      <w:r w:rsidRPr="00DB1A1B">
        <w:rPr>
          <w:sz w:val="24"/>
          <w:szCs w:val="24"/>
        </w:rPr>
        <w:t xml:space="preserve">-stammer. Da </w:t>
      </w:r>
      <w:proofErr w:type="spellStart"/>
      <w:r w:rsidRPr="00DB1A1B">
        <w:rPr>
          <w:sz w:val="24"/>
          <w:szCs w:val="24"/>
        </w:rPr>
        <w:t>vancomycin</w:t>
      </w:r>
      <w:proofErr w:type="spellEnd"/>
      <w:r w:rsidRPr="00DB1A1B">
        <w:rPr>
          <w:sz w:val="24"/>
          <w:szCs w:val="24"/>
        </w:rPr>
        <w:t xml:space="preserve"> i kombination med et </w:t>
      </w:r>
      <w:proofErr w:type="spellStart"/>
      <w:r w:rsidRPr="00DB1A1B">
        <w:rPr>
          <w:sz w:val="24"/>
          <w:szCs w:val="24"/>
        </w:rPr>
        <w:t>cephalosporin</w:t>
      </w:r>
      <w:proofErr w:type="spellEnd"/>
      <w:r w:rsidRPr="00DB1A1B">
        <w:rPr>
          <w:sz w:val="24"/>
          <w:szCs w:val="24"/>
        </w:rPr>
        <w:t xml:space="preserve"> også kan have en antagonistisk virkning mod nogle </w:t>
      </w:r>
      <w:proofErr w:type="spellStart"/>
      <w:r w:rsidRPr="00DB1A1B">
        <w:rPr>
          <w:i/>
          <w:sz w:val="24"/>
          <w:szCs w:val="24"/>
        </w:rPr>
        <w:t>Staphylococcus</w:t>
      </w:r>
      <w:proofErr w:type="spellEnd"/>
      <w:r w:rsidRPr="00DB1A1B">
        <w:rPr>
          <w:i/>
          <w:sz w:val="24"/>
          <w:szCs w:val="24"/>
        </w:rPr>
        <w:t xml:space="preserve"> </w:t>
      </w:r>
      <w:proofErr w:type="spellStart"/>
      <w:r w:rsidRPr="00DB1A1B">
        <w:rPr>
          <w:i/>
          <w:sz w:val="24"/>
          <w:szCs w:val="24"/>
        </w:rPr>
        <w:t>epidermidis</w:t>
      </w:r>
      <w:proofErr w:type="spellEnd"/>
      <w:r w:rsidRPr="00DB1A1B">
        <w:rPr>
          <w:sz w:val="24"/>
          <w:szCs w:val="24"/>
        </w:rPr>
        <w:t xml:space="preserve">-stammer og i kombination med </w:t>
      </w:r>
      <w:proofErr w:type="spellStart"/>
      <w:r w:rsidRPr="00DB1A1B">
        <w:rPr>
          <w:sz w:val="24"/>
          <w:szCs w:val="24"/>
        </w:rPr>
        <w:t>rifampicin</w:t>
      </w:r>
      <w:proofErr w:type="spellEnd"/>
      <w:r w:rsidRPr="00DB1A1B">
        <w:rPr>
          <w:sz w:val="24"/>
          <w:szCs w:val="24"/>
        </w:rPr>
        <w:t xml:space="preserve"> mod nogle </w:t>
      </w:r>
      <w:proofErr w:type="spellStart"/>
      <w:r w:rsidRPr="00DB1A1B">
        <w:rPr>
          <w:i/>
          <w:sz w:val="24"/>
          <w:szCs w:val="24"/>
        </w:rPr>
        <w:t>Staphylococcus</w:t>
      </w:r>
      <w:proofErr w:type="spellEnd"/>
      <w:r w:rsidRPr="00DB1A1B">
        <w:rPr>
          <w:i/>
          <w:sz w:val="24"/>
          <w:szCs w:val="24"/>
        </w:rPr>
        <w:t xml:space="preserve"> aureus</w:t>
      </w:r>
      <w:r w:rsidRPr="00DB1A1B">
        <w:rPr>
          <w:sz w:val="24"/>
          <w:szCs w:val="24"/>
        </w:rPr>
        <w:t>-stammer, er forudgående synergitests nyttige.</w:t>
      </w:r>
    </w:p>
    <w:p w14:paraId="21F08258" w14:textId="77777777" w:rsidR="004435FC" w:rsidRPr="00DB1A1B" w:rsidRDefault="004435FC" w:rsidP="00270E7C">
      <w:pPr>
        <w:suppressAutoHyphens/>
        <w:ind w:left="851"/>
        <w:rPr>
          <w:sz w:val="24"/>
          <w:szCs w:val="24"/>
        </w:rPr>
      </w:pPr>
    </w:p>
    <w:p w14:paraId="22C526AA" w14:textId="77777777" w:rsidR="004435FC" w:rsidRPr="00DB1A1B" w:rsidRDefault="004435FC" w:rsidP="00270E7C">
      <w:pPr>
        <w:suppressAutoHyphens/>
        <w:ind w:left="851"/>
        <w:rPr>
          <w:sz w:val="24"/>
          <w:szCs w:val="24"/>
        </w:rPr>
      </w:pPr>
      <w:r w:rsidRPr="00DB1A1B">
        <w:rPr>
          <w:sz w:val="24"/>
          <w:szCs w:val="24"/>
        </w:rPr>
        <w:t xml:space="preserve">Prøver til bakteriekulturer bør indhentes med henblik på at isolere og identificere de sygdomsfremkaldende organismer og bestemme deres følsomhed over for </w:t>
      </w:r>
      <w:proofErr w:type="spellStart"/>
      <w:r w:rsidRPr="00DB1A1B">
        <w:rPr>
          <w:sz w:val="24"/>
          <w:szCs w:val="24"/>
        </w:rPr>
        <w:t>vancomycin</w:t>
      </w:r>
      <w:proofErr w:type="spellEnd"/>
      <w:r w:rsidRPr="00DB1A1B">
        <w:rPr>
          <w:sz w:val="24"/>
          <w:szCs w:val="24"/>
        </w:rPr>
        <w:t>.</w:t>
      </w:r>
    </w:p>
    <w:p w14:paraId="0069002F" w14:textId="77777777" w:rsidR="004435FC" w:rsidRPr="00DB1A1B" w:rsidRDefault="004435FC" w:rsidP="00270E7C">
      <w:pPr>
        <w:suppressAutoHyphens/>
        <w:ind w:left="851"/>
        <w:rPr>
          <w:sz w:val="24"/>
          <w:szCs w:val="24"/>
        </w:rPr>
      </w:pPr>
    </w:p>
    <w:p w14:paraId="5738B5EF" w14:textId="77777777" w:rsidR="004435FC" w:rsidRPr="00DB1A1B" w:rsidRDefault="004435FC" w:rsidP="00270E7C">
      <w:pPr>
        <w:suppressAutoHyphens/>
        <w:ind w:left="851"/>
        <w:rPr>
          <w:sz w:val="24"/>
          <w:szCs w:val="24"/>
          <w:u w:val="single"/>
        </w:rPr>
      </w:pPr>
      <w:r w:rsidRPr="00DB1A1B">
        <w:rPr>
          <w:sz w:val="24"/>
          <w:szCs w:val="24"/>
          <w:u w:val="single"/>
        </w:rPr>
        <w:t xml:space="preserve">Resistensbestemmelse </w:t>
      </w:r>
      <w:proofErr w:type="spellStart"/>
      <w:r w:rsidRPr="00DB1A1B">
        <w:rPr>
          <w:sz w:val="24"/>
          <w:szCs w:val="24"/>
          <w:u w:val="single"/>
        </w:rPr>
        <w:t>breakpoints</w:t>
      </w:r>
      <w:proofErr w:type="spellEnd"/>
    </w:p>
    <w:p w14:paraId="35A867C5" w14:textId="77777777" w:rsidR="004435FC" w:rsidRPr="00DB1A1B" w:rsidRDefault="004435FC" w:rsidP="00270E7C">
      <w:pPr>
        <w:suppressAutoHyphens/>
        <w:ind w:left="851"/>
        <w:rPr>
          <w:sz w:val="24"/>
          <w:szCs w:val="24"/>
        </w:rPr>
      </w:pPr>
      <w:proofErr w:type="spellStart"/>
      <w:r w:rsidRPr="00DB1A1B">
        <w:rPr>
          <w:sz w:val="24"/>
          <w:szCs w:val="24"/>
        </w:rPr>
        <w:t>Vancomycin</w:t>
      </w:r>
      <w:proofErr w:type="spellEnd"/>
      <w:r w:rsidRPr="00DB1A1B">
        <w:rPr>
          <w:sz w:val="24"/>
          <w:szCs w:val="24"/>
        </w:rPr>
        <w:t xml:space="preserve"> er aktivt mod grampositive bakterier, såsom stafylokokker, streptokokker, </w:t>
      </w:r>
      <w:proofErr w:type="spellStart"/>
      <w:r w:rsidRPr="00DB1A1B">
        <w:rPr>
          <w:sz w:val="24"/>
          <w:szCs w:val="24"/>
        </w:rPr>
        <w:t>enterokokker</w:t>
      </w:r>
      <w:proofErr w:type="spellEnd"/>
      <w:r w:rsidRPr="00DB1A1B">
        <w:rPr>
          <w:sz w:val="24"/>
          <w:szCs w:val="24"/>
        </w:rPr>
        <w:t xml:space="preserve">, </w:t>
      </w:r>
      <w:proofErr w:type="spellStart"/>
      <w:r w:rsidRPr="00DB1A1B">
        <w:rPr>
          <w:sz w:val="24"/>
          <w:szCs w:val="24"/>
        </w:rPr>
        <w:t>pneumokokker</w:t>
      </w:r>
      <w:proofErr w:type="spellEnd"/>
      <w:r w:rsidRPr="00DB1A1B">
        <w:rPr>
          <w:sz w:val="24"/>
          <w:szCs w:val="24"/>
        </w:rPr>
        <w:t xml:space="preserve">, og </w:t>
      </w:r>
      <w:proofErr w:type="spellStart"/>
      <w:r w:rsidRPr="00DB1A1B">
        <w:rPr>
          <w:sz w:val="24"/>
          <w:szCs w:val="24"/>
        </w:rPr>
        <w:t>clostridier</w:t>
      </w:r>
      <w:proofErr w:type="spellEnd"/>
      <w:r w:rsidRPr="00DB1A1B">
        <w:rPr>
          <w:sz w:val="24"/>
          <w:szCs w:val="24"/>
        </w:rPr>
        <w:t>. Gramnegative bakterier er resistente.</w:t>
      </w:r>
    </w:p>
    <w:p w14:paraId="18A1BF8B" w14:textId="77777777" w:rsidR="004435FC" w:rsidRPr="00DB1A1B" w:rsidRDefault="004435FC" w:rsidP="00270E7C">
      <w:pPr>
        <w:suppressAutoHyphens/>
        <w:ind w:left="851"/>
        <w:rPr>
          <w:sz w:val="24"/>
          <w:szCs w:val="24"/>
        </w:rPr>
      </w:pPr>
    </w:p>
    <w:p w14:paraId="103DFC35" w14:textId="77777777" w:rsidR="004435FC" w:rsidRPr="00DB1A1B" w:rsidRDefault="004435FC" w:rsidP="00270E7C">
      <w:pPr>
        <w:suppressAutoHyphens/>
        <w:ind w:left="851"/>
        <w:rPr>
          <w:sz w:val="24"/>
          <w:szCs w:val="24"/>
        </w:rPr>
      </w:pPr>
      <w:r w:rsidRPr="00DB1A1B">
        <w:rPr>
          <w:sz w:val="24"/>
          <w:szCs w:val="24"/>
        </w:rPr>
        <w:t xml:space="preserve">Forekomsten af erhvervet resistens kan variere geografisk og over tid for udvalgte arter, og lokal information om resistens er ønskelig, især ved behandling af alvorlige infektioner. Om nødvendigt bør der søges ekspertrådgivning, når den lokale forekomst af resistens er således, at brug af midlet ved blot nogle typer af infektioner er tvivlsom. Her gives der kun en generel information om chancen for, at mikroorganismer er følsomme for </w:t>
      </w:r>
      <w:proofErr w:type="spellStart"/>
      <w:r w:rsidRPr="00DB1A1B">
        <w:rPr>
          <w:sz w:val="24"/>
          <w:szCs w:val="24"/>
        </w:rPr>
        <w:t>vancomycin</w:t>
      </w:r>
      <w:proofErr w:type="spellEnd"/>
      <w:r w:rsidRPr="00DB1A1B">
        <w:rPr>
          <w:sz w:val="24"/>
          <w:szCs w:val="24"/>
        </w:rPr>
        <w:t>.</w:t>
      </w:r>
    </w:p>
    <w:p w14:paraId="35014663" w14:textId="77777777" w:rsidR="004435FC" w:rsidRPr="00DB1A1B" w:rsidRDefault="004435FC" w:rsidP="00270E7C">
      <w:pPr>
        <w:suppressAutoHyphens/>
        <w:ind w:left="851"/>
        <w:rPr>
          <w:sz w:val="24"/>
          <w:szCs w:val="24"/>
        </w:rPr>
      </w:pPr>
    </w:p>
    <w:p w14:paraId="0CF6023C" w14:textId="77777777" w:rsidR="004435FC" w:rsidRPr="00DB1A1B" w:rsidRDefault="004435FC" w:rsidP="00270E7C">
      <w:pPr>
        <w:ind w:left="851"/>
        <w:rPr>
          <w:sz w:val="24"/>
          <w:szCs w:val="24"/>
        </w:rPr>
      </w:pPr>
      <w:r w:rsidRPr="00DB1A1B">
        <w:rPr>
          <w:sz w:val="24"/>
          <w:szCs w:val="24"/>
        </w:rPr>
        <w:t xml:space="preserve">Minimal inhiberende koncentration (MIC) </w:t>
      </w:r>
      <w:proofErr w:type="spellStart"/>
      <w:r w:rsidRPr="00DB1A1B">
        <w:rPr>
          <w:sz w:val="24"/>
          <w:szCs w:val="24"/>
        </w:rPr>
        <w:t>breakpoints</w:t>
      </w:r>
      <w:proofErr w:type="spellEnd"/>
      <w:r w:rsidRPr="00DB1A1B">
        <w:rPr>
          <w:sz w:val="24"/>
          <w:szCs w:val="24"/>
        </w:rPr>
        <w:t xml:space="preserve"> fastlagt af European </w:t>
      </w:r>
      <w:proofErr w:type="spellStart"/>
      <w:r w:rsidRPr="00DB1A1B">
        <w:rPr>
          <w:sz w:val="24"/>
          <w:szCs w:val="24"/>
        </w:rPr>
        <w:t>Committee</w:t>
      </w:r>
      <w:proofErr w:type="spellEnd"/>
      <w:r w:rsidRPr="00DB1A1B">
        <w:rPr>
          <w:sz w:val="24"/>
          <w:szCs w:val="24"/>
        </w:rPr>
        <w:t xml:space="preserve"> on </w:t>
      </w:r>
      <w:proofErr w:type="spellStart"/>
      <w:r w:rsidRPr="00DB1A1B">
        <w:rPr>
          <w:sz w:val="24"/>
          <w:szCs w:val="24"/>
        </w:rPr>
        <w:t>Antimicrobial</w:t>
      </w:r>
      <w:proofErr w:type="spellEnd"/>
      <w:r w:rsidRPr="00DB1A1B">
        <w:rPr>
          <w:sz w:val="24"/>
          <w:szCs w:val="24"/>
        </w:rPr>
        <w:t xml:space="preserve"> </w:t>
      </w:r>
      <w:proofErr w:type="spellStart"/>
      <w:r w:rsidRPr="00DB1A1B">
        <w:rPr>
          <w:sz w:val="24"/>
          <w:szCs w:val="24"/>
        </w:rPr>
        <w:t>Susceptibility</w:t>
      </w:r>
      <w:proofErr w:type="spellEnd"/>
      <w:r w:rsidRPr="00DB1A1B">
        <w:rPr>
          <w:sz w:val="24"/>
          <w:szCs w:val="24"/>
        </w:rPr>
        <w:t xml:space="preserve"> </w:t>
      </w:r>
      <w:proofErr w:type="spellStart"/>
      <w:r w:rsidRPr="00DB1A1B">
        <w:rPr>
          <w:sz w:val="24"/>
          <w:szCs w:val="24"/>
        </w:rPr>
        <w:t>Testing</w:t>
      </w:r>
      <w:proofErr w:type="spellEnd"/>
      <w:r w:rsidRPr="00DB1A1B">
        <w:rPr>
          <w:sz w:val="24"/>
          <w:szCs w:val="24"/>
        </w:rPr>
        <w:t xml:space="preserve"> (EUCAST) er som følger:</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8"/>
        <w:gridCol w:w="1842"/>
        <w:gridCol w:w="1702"/>
      </w:tblGrid>
      <w:tr w:rsidR="004435FC" w:rsidRPr="00DB1A1B" w14:paraId="24CAEE17" w14:textId="77777777" w:rsidTr="006B1D8C">
        <w:tc>
          <w:tcPr>
            <w:tcW w:w="3118" w:type="dxa"/>
            <w:tcBorders>
              <w:top w:val="single" w:sz="4" w:space="0" w:color="auto"/>
              <w:left w:val="single" w:sz="4" w:space="0" w:color="auto"/>
              <w:bottom w:val="single" w:sz="4" w:space="0" w:color="auto"/>
              <w:right w:val="single" w:sz="4" w:space="0" w:color="auto"/>
            </w:tcBorders>
          </w:tcPr>
          <w:p w14:paraId="54C06919" w14:textId="77777777" w:rsidR="004435FC" w:rsidRPr="00DB1A1B" w:rsidRDefault="004435FC">
            <w:pPr>
              <w:rPr>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14:paraId="748CD1D9" w14:textId="77777777" w:rsidR="004435FC" w:rsidRPr="00DB1A1B" w:rsidRDefault="004435FC">
            <w:pPr>
              <w:rPr>
                <w:sz w:val="24"/>
                <w:szCs w:val="24"/>
              </w:rPr>
            </w:pPr>
            <w:r w:rsidRPr="00DB1A1B">
              <w:rPr>
                <w:sz w:val="24"/>
                <w:szCs w:val="24"/>
              </w:rPr>
              <w:t>Følsomme</w:t>
            </w:r>
          </w:p>
        </w:tc>
        <w:tc>
          <w:tcPr>
            <w:tcW w:w="1702" w:type="dxa"/>
            <w:tcBorders>
              <w:top w:val="single" w:sz="4" w:space="0" w:color="auto"/>
              <w:left w:val="single" w:sz="4" w:space="0" w:color="auto"/>
              <w:bottom w:val="single" w:sz="4" w:space="0" w:color="auto"/>
              <w:right w:val="single" w:sz="4" w:space="0" w:color="auto"/>
            </w:tcBorders>
            <w:hideMark/>
          </w:tcPr>
          <w:p w14:paraId="595B7601" w14:textId="77777777" w:rsidR="004435FC" w:rsidRPr="00DB1A1B" w:rsidRDefault="004435FC">
            <w:pPr>
              <w:rPr>
                <w:sz w:val="24"/>
                <w:szCs w:val="24"/>
              </w:rPr>
            </w:pPr>
            <w:r w:rsidRPr="00DB1A1B">
              <w:rPr>
                <w:sz w:val="24"/>
                <w:szCs w:val="24"/>
              </w:rPr>
              <w:t>Resistente</w:t>
            </w:r>
          </w:p>
        </w:tc>
      </w:tr>
      <w:tr w:rsidR="004435FC" w:rsidRPr="00DB1A1B" w14:paraId="070CFD62" w14:textId="77777777" w:rsidTr="006B1D8C">
        <w:tc>
          <w:tcPr>
            <w:tcW w:w="3118" w:type="dxa"/>
            <w:tcBorders>
              <w:top w:val="single" w:sz="4" w:space="0" w:color="auto"/>
              <w:left w:val="single" w:sz="4" w:space="0" w:color="auto"/>
              <w:bottom w:val="single" w:sz="4" w:space="0" w:color="auto"/>
              <w:right w:val="single" w:sz="4" w:space="0" w:color="auto"/>
            </w:tcBorders>
            <w:hideMark/>
          </w:tcPr>
          <w:p w14:paraId="181CA726" w14:textId="77777777" w:rsidR="004435FC" w:rsidRPr="00DB1A1B" w:rsidRDefault="004435FC">
            <w:pPr>
              <w:rPr>
                <w:sz w:val="24"/>
                <w:szCs w:val="24"/>
              </w:rPr>
            </w:pPr>
            <w:proofErr w:type="spellStart"/>
            <w:r w:rsidRPr="00DB1A1B">
              <w:rPr>
                <w:i/>
                <w:sz w:val="24"/>
                <w:szCs w:val="24"/>
              </w:rPr>
              <w:t>Staphylococcus</w:t>
            </w:r>
            <w:proofErr w:type="spellEnd"/>
            <w:r w:rsidRPr="00DB1A1B">
              <w:rPr>
                <w:i/>
                <w:sz w:val="24"/>
                <w:szCs w:val="24"/>
              </w:rPr>
              <w:t xml:space="preserve"> aureus</w:t>
            </w:r>
            <w:r w:rsidRPr="00DB1A1B">
              <w:rPr>
                <w:i/>
                <w:sz w:val="24"/>
                <w:szCs w:val="24"/>
                <w:vertAlign w:val="superscript"/>
              </w:rPr>
              <w:t>1</w:t>
            </w:r>
          </w:p>
        </w:tc>
        <w:tc>
          <w:tcPr>
            <w:tcW w:w="1842" w:type="dxa"/>
            <w:tcBorders>
              <w:top w:val="single" w:sz="4" w:space="0" w:color="auto"/>
              <w:left w:val="single" w:sz="4" w:space="0" w:color="auto"/>
              <w:bottom w:val="single" w:sz="4" w:space="0" w:color="auto"/>
              <w:right w:val="single" w:sz="4" w:space="0" w:color="auto"/>
            </w:tcBorders>
            <w:hideMark/>
          </w:tcPr>
          <w:p w14:paraId="1E451886" w14:textId="77777777" w:rsidR="004435FC" w:rsidRPr="00DB1A1B" w:rsidRDefault="004435FC">
            <w:pPr>
              <w:rPr>
                <w:sz w:val="24"/>
                <w:szCs w:val="24"/>
              </w:rPr>
            </w:pPr>
            <w:r w:rsidRPr="00DB1A1B">
              <w:rPr>
                <w:b/>
                <w:i/>
                <w:sz w:val="24"/>
                <w:szCs w:val="24"/>
              </w:rPr>
              <w:sym w:font="Symbol" w:char="F0A3"/>
            </w:r>
            <w:r w:rsidRPr="00DB1A1B">
              <w:rPr>
                <w:sz w:val="24"/>
                <w:szCs w:val="24"/>
              </w:rPr>
              <w:t> 2 mg/l</w:t>
            </w:r>
          </w:p>
        </w:tc>
        <w:tc>
          <w:tcPr>
            <w:tcW w:w="1702" w:type="dxa"/>
            <w:tcBorders>
              <w:top w:val="single" w:sz="4" w:space="0" w:color="auto"/>
              <w:left w:val="single" w:sz="4" w:space="0" w:color="auto"/>
              <w:bottom w:val="single" w:sz="4" w:space="0" w:color="auto"/>
              <w:right w:val="single" w:sz="4" w:space="0" w:color="auto"/>
            </w:tcBorders>
            <w:hideMark/>
          </w:tcPr>
          <w:p w14:paraId="5BCA9D9A" w14:textId="77777777" w:rsidR="004435FC" w:rsidRPr="00DB1A1B" w:rsidRDefault="004435FC">
            <w:pPr>
              <w:rPr>
                <w:sz w:val="24"/>
                <w:szCs w:val="24"/>
              </w:rPr>
            </w:pPr>
            <w:r w:rsidRPr="00DB1A1B">
              <w:rPr>
                <w:sz w:val="24"/>
                <w:szCs w:val="24"/>
              </w:rPr>
              <w:t>&gt; 2 mg/l</w:t>
            </w:r>
          </w:p>
        </w:tc>
      </w:tr>
      <w:tr w:rsidR="004435FC" w:rsidRPr="00DB1A1B" w14:paraId="761EB044" w14:textId="77777777" w:rsidTr="006B1D8C">
        <w:tc>
          <w:tcPr>
            <w:tcW w:w="3118" w:type="dxa"/>
            <w:tcBorders>
              <w:top w:val="single" w:sz="4" w:space="0" w:color="auto"/>
              <w:left w:val="single" w:sz="4" w:space="0" w:color="auto"/>
              <w:bottom w:val="single" w:sz="4" w:space="0" w:color="auto"/>
              <w:right w:val="single" w:sz="4" w:space="0" w:color="auto"/>
            </w:tcBorders>
            <w:hideMark/>
          </w:tcPr>
          <w:p w14:paraId="18614350" w14:textId="77777777" w:rsidR="004435FC" w:rsidRPr="00DB1A1B" w:rsidRDefault="004435FC">
            <w:pPr>
              <w:rPr>
                <w:i/>
                <w:sz w:val="24"/>
                <w:szCs w:val="24"/>
              </w:rPr>
            </w:pPr>
            <w:proofErr w:type="spellStart"/>
            <w:r w:rsidRPr="00DB1A1B">
              <w:rPr>
                <w:i/>
                <w:sz w:val="24"/>
                <w:szCs w:val="24"/>
              </w:rPr>
              <w:t>Coagulase</w:t>
            </w:r>
            <w:proofErr w:type="spellEnd"/>
            <w:r w:rsidRPr="00DB1A1B">
              <w:rPr>
                <w:i/>
                <w:sz w:val="24"/>
                <w:szCs w:val="24"/>
              </w:rPr>
              <w:t>-negative stafylokokker</w:t>
            </w:r>
          </w:p>
        </w:tc>
        <w:tc>
          <w:tcPr>
            <w:tcW w:w="1842" w:type="dxa"/>
            <w:tcBorders>
              <w:top w:val="single" w:sz="4" w:space="0" w:color="auto"/>
              <w:left w:val="single" w:sz="4" w:space="0" w:color="auto"/>
              <w:bottom w:val="single" w:sz="4" w:space="0" w:color="auto"/>
              <w:right w:val="single" w:sz="4" w:space="0" w:color="auto"/>
            </w:tcBorders>
            <w:hideMark/>
          </w:tcPr>
          <w:p w14:paraId="66601C11" w14:textId="77777777" w:rsidR="004435FC" w:rsidRPr="00DB1A1B" w:rsidRDefault="004435FC">
            <w:pPr>
              <w:rPr>
                <w:sz w:val="24"/>
                <w:szCs w:val="24"/>
              </w:rPr>
            </w:pPr>
            <w:r w:rsidRPr="00DB1A1B">
              <w:rPr>
                <w:b/>
                <w:i/>
                <w:sz w:val="24"/>
                <w:szCs w:val="24"/>
              </w:rPr>
              <w:sym w:font="Symbol" w:char="F0A3"/>
            </w:r>
            <w:r w:rsidRPr="00DB1A1B">
              <w:rPr>
                <w:sz w:val="24"/>
                <w:szCs w:val="24"/>
              </w:rPr>
              <w:t> 4 mg/l</w:t>
            </w:r>
          </w:p>
        </w:tc>
        <w:tc>
          <w:tcPr>
            <w:tcW w:w="1702" w:type="dxa"/>
            <w:tcBorders>
              <w:top w:val="single" w:sz="4" w:space="0" w:color="auto"/>
              <w:left w:val="single" w:sz="4" w:space="0" w:color="auto"/>
              <w:bottom w:val="single" w:sz="4" w:space="0" w:color="auto"/>
              <w:right w:val="single" w:sz="4" w:space="0" w:color="auto"/>
            </w:tcBorders>
            <w:hideMark/>
          </w:tcPr>
          <w:p w14:paraId="1021A75F" w14:textId="77777777" w:rsidR="004435FC" w:rsidRPr="00DB1A1B" w:rsidRDefault="004435FC">
            <w:pPr>
              <w:rPr>
                <w:sz w:val="24"/>
                <w:szCs w:val="24"/>
              </w:rPr>
            </w:pPr>
            <w:r w:rsidRPr="00DB1A1B">
              <w:rPr>
                <w:sz w:val="24"/>
                <w:szCs w:val="24"/>
              </w:rPr>
              <w:t>&gt; 4 mg/l</w:t>
            </w:r>
          </w:p>
        </w:tc>
      </w:tr>
      <w:tr w:rsidR="004435FC" w:rsidRPr="00DB1A1B" w14:paraId="2CC862D4" w14:textId="77777777" w:rsidTr="006B1D8C">
        <w:tc>
          <w:tcPr>
            <w:tcW w:w="3118" w:type="dxa"/>
            <w:tcBorders>
              <w:top w:val="single" w:sz="4" w:space="0" w:color="auto"/>
              <w:left w:val="single" w:sz="4" w:space="0" w:color="auto"/>
              <w:bottom w:val="single" w:sz="4" w:space="0" w:color="auto"/>
              <w:right w:val="single" w:sz="4" w:space="0" w:color="auto"/>
            </w:tcBorders>
            <w:hideMark/>
          </w:tcPr>
          <w:p w14:paraId="125D08DB" w14:textId="77777777" w:rsidR="004435FC" w:rsidRPr="00DB1A1B" w:rsidRDefault="004435FC">
            <w:pPr>
              <w:rPr>
                <w:i/>
                <w:sz w:val="24"/>
                <w:szCs w:val="24"/>
              </w:rPr>
            </w:pPr>
            <w:proofErr w:type="spellStart"/>
            <w:r w:rsidRPr="00DB1A1B">
              <w:rPr>
                <w:i/>
                <w:sz w:val="24"/>
                <w:szCs w:val="24"/>
              </w:rPr>
              <w:t>Enterococcus</w:t>
            </w:r>
            <w:proofErr w:type="spellEnd"/>
            <w:r w:rsidRPr="00DB1A1B">
              <w:rPr>
                <w:i/>
                <w:sz w:val="24"/>
                <w:szCs w:val="24"/>
              </w:rPr>
              <w:t xml:space="preserve"> </w:t>
            </w:r>
            <w:proofErr w:type="spellStart"/>
            <w:r w:rsidRPr="00DB1A1B">
              <w:rPr>
                <w:sz w:val="24"/>
                <w:szCs w:val="24"/>
              </w:rPr>
              <w:t>spp</w:t>
            </w:r>
            <w:proofErr w:type="spellEnd"/>
            <w:r w:rsidRPr="00DB1A1B">
              <w:rPr>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14:paraId="16297F9F" w14:textId="77777777" w:rsidR="004435FC" w:rsidRPr="00DB1A1B" w:rsidRDefault="004435FC">
            <w:pPr>
              <w:rPr>
                <w:b/>
                <w:i/>
                <w:sz w:val="24"/>
                <w:szCs w:val="24"/>
              </w:rPr>
            </w:pPr>
            <w:r w:rsidRPr="00DB1A1B">
              <w:rPr>
                <w:b/>
                <w:i/>
                <w:sz w:val="24"/>
                <w:szCs w:val="24"/>
              </w:rPr>
              <w:sym w:font="Symbol" w:char="F0A3"/>
            </w:r>
            <w:r w:rsidRPr="00DB1A1B">
              <w:rPr>
                <w:sz w:val="24"/>
                <w:szCs w:val="24"/>
              </w:rPr>
              <w:t> 4 mg/l</w:t>
            </w:r>
          </w:p>
        </w:tc>
        <w:tc>
          <w:tcPr>
            <w:tcW w:w="1702" w:type="dxa"/>
            <w:tcBorders>
              <w:top w:val="single" w:sz="4" w:space="0" w:color="auto"/>
              <w:left w:val="single" w:sz="4" w:space="0" w:color="auto"/>
              <w:bottom w:val="single" w:sz="4" w:space="0" w:color="auto"/>
              <w:right w:val="single" w:sz="4" w:space="0" w:color="auto"/>
            </w:tcBorders>
            <w:hideMark/>
          </w:tcPr>
          <w:p w14:paraId="5111A3DE" w14:textId="77777777" w:rsidR="004435FC" w:rsidRPr="00DB1A1B" w:rsidRDefault="004435FC">
            <w:pPr>
              <w:rPr>
                <w:sz w:val="24"/>
                <w:szCs w:val="24"/>
              </w:rPr>
            </w:pPr>
            <w:r w:rsidRPr="00DB1A1B">
              <w:rPr>
                <w:sz w:val="24"/>
                <w:szCs w:val="24"/>
              </w:rPr>
              <w:t>&gt; 4 mg/l</w:t>
            </w:r>
          </w:p>
        </w:tc>
      </w:tr>
      <w:tr w:rsidR="004435FC" w:rsidRPr="00DB1A1B" w14:paraId="0C3D246F" w14:textId="77777777" w:rsidTr="006B1D8C">
        <w:tc>
          <w:tcPr>
            <w:tcW w:w="3118" w:type="dxa"/>
            <w:tcBorders>
              <w:top w:val="single" w:sz="4" w:space="0" w:color="auto"/>
              <w:left w:val="single" w:sz="4" w:space="0" w:color="auto"/>
              <w:bottom w:val="single" w:sz="4" w:space="0" w:color="auto"/>
              <w:right w:val="single" w:sz="4" w:space="0" w:color="auto"/>
            </w:tcBorders>
            <w:hideMark/>
          </w:tcPr>
          <w:p w14:paraId="1E841710" w14:textId="77777777" w:rsidR="004435FC" w:rsidRPr="00DB1A1B" w:rsidRDefault="004435FC">
            <w:pPr>
              <w:rPr>
                <w:sz w:val="24"/>
                <w:szCs w:val="24"/>
              </w:rPr>
            </w:pPr>
            <w:proofErr w:type="spellStart"/>
            <w:r w:rsidRPr="00DB1A1B">
              <w:rPr>
                <w:i/>
                <w:sz w:val="24"/>
                <w:szCs w:val="24"/>
              </w:rPr>
              <w:t>Streptococcus</w:t>
            </w:r>
            <w:proofErr w:type="spellEnd"/>
            <w:r w:rsidRPr="00DB1A1B">
              <w:rPr>
                <w:i/>
                <w:sz w:val="24"/>
                <w:szCs w:val="24"/>
              </w:rPr>
              <w:t xml:space="preserve"> grupper A, B, C og G</w:t>
            </w:r>
          </w:p>
        </w:tc>
        <w:tc>
          <w:tcPr>
            <w:tcW w:w="1842" w:type="dxa"/>
            <w:tcBorders>
              <w:top w:val="single" w:sz="4" w:space="0" w:color="auto"/>
              <w:left w:val="single" w:sz="4" w:space="0" w:color="auto"/>
              <w:bottom w:val="single" w:sz="4" w:space="0" w:color="auto"/>
              <w:right w:val="single" w:sz="4" w:space="0" w:color="auto"/>
            </w:tcBorders>
            <w:hideMark/>
          </w:tcPr>
          <w:p w14:paraId="4C75958E" w14:textId="77777777" w:rsidR="004435FC" w:rsidRPr="00DB1A1B" w:rsidRDefault="004435FC">
            <w:pPr>
              <w:rPr>
                <w:bCs/>
                <w:iCs/>
                <w:sz w:val="24"/>
                <w:szCs w:val="24"/>
              </w:rPr>
            </w:pPr>
            <w:r w:rsidRPr="00DB1A1B">
              <w:rPr>
                <w:bCs/>
                <w:iCs/>
                <w:sz w:val="24"/>
                <w:szCs w:val="24"/>
              </w:rPr>
              <w:sym w:font="Symbol" w:char="F0A3"/>
            </w:r>
            <w:r w:rsidRPr="00DB1A1B">
              <w:rPr>
                <w:bCs/>
                <w:iCs/>
                <w:sz w:val="24"/>
                <w:szCs w:val="24"/>
              </w:rPr>
              <w:t> 2 mg/l</w:t>
            </w:r>
          </w:p>
        </w:tc>
        <w:tc>
          <w:tcPr>
            <w:tcW w:w="1702" w:type="dxa"/>
            <w:tcBorders>
              <w:top w:val="single" w:sz="4" w:space="0" w:color="auto"/>
              <w:left w:val="single" w:sz="4" w:space="0" w:color="auto"/>
              <w:bottom w:val="single" w:sz="4" w:space="0" w:color="auto"/>
              <w:right w:val="single" w:sz="4" w:space="0" w:color="auto"/>
            </w:tcBorders>
            <w:hideMark/>
          </w:tcPr>
          <w:p w14:paraId="55F75322" w14:textId="77777777" w:rsidR="004435FC" w:rsidRPr="00DB1A1B" w:rsidRDefault="004435FC">
            <w:pPr>
              <w:rPr>
                <w:bCs/>
                <w:iCs/>
                <w:sz w:val="24"/>
                <w:szCs w:val="24"/>
              </w:rPr>
            </w:pPr>
            <w:r w:rsidRPr="00DB1A1B">
              <w:rPr>
                <w:bCs/>
                <w:iCs/>
                <w:sz w:val="24"/>
                <w:szCs w:val="24"/>
              </w:rPr>
              <w:t>&gt; 2 mg/l</w:t>
            </w:r>
          </w:p>
        </w:tc>
      </w:tr>
      <w:tr w:rsidR="004435FC" w:rsidRPr="00DB1A1B" w14:paraId="6C36C833" w14:textId="77777777" w:rsidTr="006B1D8C">
        <w:tc>
          <w:tcPr>
            <w:tcW w:w="3118" w:type="dxa"/>
            <w:tcBorders>
              <w:top w:val="single" w:sz="4" w:space="0" w:color="auto"/>
              <w:left w:val="single" w:sz="4" w:space="0" w:color="auto"/>
              <w:bottom w:val="single" w:sz="4" w:space="0" w:color="auto"/>
              <w:right w:val="single" w:sz="4" w:space="0" w:color="auto"/>
            </w:tcBorders>
            <w:hideMark/>
          </w:tcPr>
          <w:p w14:paraId="20AB6B13" w14:textId="77777777" w:rsidR="004435FC" w:rsidRPr="00DB1A1B" w:rsidRDefault="004435FC">
            <w:pPr>
              <w:rPr>
                <w:bCs/>
                <w:i/>
                <w:sz w:val="24"/>
                <w:szCs w:val="24"/>
              </w:rPr>
            </w:pPr>
            <w:proofErr w:type="spellStart"/>
            <w:r w:rsidRPr="00DB1A1B">
              <w:rPr>
                <w:bCs/>
                <w:i/>
                <w:sz w:val="24"/>
                <w:szCs w:val="24"/>
              </w:rPr>
              <w:t>Streptococcus</w:t>
            </w:r>
            <w:proofErr w:type="spellEnd"/>
            <w:r w:rsidRPr="00DB1A1B">
              <w:rPr>
                <w:bCs/>
                <w:i/>
                <w:sz w:val="24"/>
                <w:szCs w:val="24"/>
              </w:rPr>
              <w:t xml:space="preserve"> </w:t>
            </w:r>
            <w:proofErr w:type="spellStart"/>
            <w:r w:rsidRPr="00DB1A1B">
              <w:rPr>
                <w:bCs/>
                <w:i/>
                <w:sz w:val="24"/>
                <w:szCs w:val="24"/>
              </w:rPr>
              <w:t>pneumoniae</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6B378CF2" w14:textId="77777777" w:rsidR="004435FC" w:rsidRPr="00DB1A1B" w:rsidRDefault="004435FC">
            <w:pPr>
              <w:rPr>
                <w:bCs/>
                <w:iCs/>
                <w:sz w:val="24"/>
                <w:szCs w:val="24"/>
              </w:rPr>
            </w:pPr>
            <w:r w:rsidRPr="00DB1A1B">
              <w:rPr>
                <w:bCs/>
                <w:iCs/>
                <w:sz w:val="24"/>
                <w:szCs w:val="24"/>
              </w:rPr>
              <w:sym w:font="Symbol" w:char="F0A3"/>
            </w:r>
            <w:r w:rsidRPr="00DB1A1B">
              <w:rPr>
                <w:bCs/>
                <w:iCs/>
                <w:sz w:val="24"/>
                <w:szCs w:val="24"/>
              </w:rPr>
              <w:t> 2 mg/l</w:t>
            </w:r>
          </w:p>
        </w:tc>
        <w:tc>
          <w:tcPr>
            <w:tcW w:w="1702" w:type="dxa"/>
            <w:tcBorders>
              <w:top w:val="single" w:sz="4" w:space="0" w:color="auto"/>
              <w:left w:val="single" w:sz="4" w:space="0" w:color="auto"/>
              <w:bottom w:val="single" w:sz="4" w:space="0" w:color="auto"/>
              <w:right w:val="single" w:sz="4" w:space="0" w:color="auto"/>
            </w:tcBorders>
            <w:hideMark/>
          </w:tcPr>
          <w:p w14:paraId="4D26FFF9" w14:textId="77777777" w:rsidR="004435FC" w:rsidRPr="00DB1A1B" w:rsidRDefault="004435FC">
            <w:pPr>
              <w:rPr>
                <w:bCs/>
                <w:iCs/>
                <w:sz w:val="24"/>
                <w:szCs w:val="24"/>
              </w:rPr>
            </w:pPr>
            <w:r w:rsidRPr="00DB1A1B">
              <w:rPr>
                <w:bCs/>
                <w:iCs/>
                <w:sz w:val="24"/>
                <w:szCs w:val="24"/>
              </w:rPr>
              <w:t>&gt; 2 mg/l</w:t>
            </w:r>
          </w:p>
        </w:tc>
      </w:tr>
      <w:tr w:rsidR="004435FC" w:rsidRPr="00DB1A1B" w14:paraId="0EFF1C70" w14:textId="77777777" w:rsidTr="006B1D8C">
        <w:tc>
          <w:tcPr>
            <w:tcW w:w="3118" w:type="dxa"/>
            <w:tcBorders>
              <w:top w:val="single" w:sz="4" w:space="0" w:color="auto"/>
              <w:left w:val="single" w:sz="4" w:space="0" w:color="auto"/>
              <w:bottom w:val="single" w:sz="4" w:space="0" w:color="auto"/>
              <w:right w:val="single" w:sz="4" w:space="0" w:color="auto"/>
            </w:tcBorders>
            <w:hideMark/>
          </w:tcPr>
          <w:p w14:paraId="0CAB3714" w14:textId="77777777" w:rsidR="004435FC" w:rsidRPr="00DB1A1B" w:rsidRDefault="004435FC">
            <w:pPr>
              <w:rPr>
                <w:sz w:val="24"/>
                <w:szCs w:val="24"/>
              </w:rPr>
            </w:pPr>
            <w:r w:rsidRPr="00DB1A1B">
              <w:rPr>
                <w:sz w:val="24"/>
                <w:szCs w:val="24"/>
              </w:rPr>
              <w:t xml:space="preserve">Grampositive </w:t>
            </w:r>
            <w:proofErr w:type="spellStart"/>
            <w:r w:rsidRPr="00DB1A1B">
              <w:rPr>
                <w:sz w:val="24"/>
                <w:szCs w:val="24"/>
              </w:rPr>
              <w:t>anaerober</w:t>
            </w:r>
            <w:proofErr w:type="spellEnd"/>
          </w:p>
        </w:tc>
        <w:tc>
          <w:tcPr>
            <w:tcW w:w="1842" w:type="dxa"/>
            <w:tcBorders>
              <w:top w:val="single" w:sz="4" w:space="0" w:color="auto"/>
              <w:left w:val="single" w:sz="4" w:space="0" w:color="auto"/>
              <w:bottom w:val="single" w:sz="4" w:space="0" w:color="auto"/>
              <w:right w:val="single" w:sz="4" w:space="0" w:color="auto"/>
            </w:tcBorders>
            <w:hideMark/>
          </w:tcPr>
          <w:p w14:paraId="1F6CB922" w14:textId="77777777" w:rsidR="004435FC" w:rsidRPr="00DB1A1B" w:rsidRDefault="004435FC">
            <w:pPr>
              <w:rPr>
                <w:bCs/>
                <w:iCs/>
                <w:sz w:val="24"/>
                <w:szCs w:val="24"/>
              </w:rPr>
            </w:pPr>
            <w:r w:rsidRPr="00DB1A1B">
              <w:rPr>
                <w:bCs/>
                <w:iCs/>
                <w:sz w:val="24"/>
                <w:szCs w:val="24"/>
              </w:rPr>
              <w:sym w:font="Symbol" w:char="F0A3"/>
            </w:r>
            <w:r w:rsidRPr="00DB1A1B">
              <w:rPr>
                <w:bCs/>
                <w:iCs/>
                <w:sz w:val="24"/>
                <w:szCs w:val="24"/>
              </w:rPr>
              <w:t> 2 mg/l</w:t>
            </w:r>
          </w:p>
        </w:tc>
        <w:tc>
          <w:tcPr>
            <w:tcW w:w="1702" w:type="dxa"/>
            <w:tcBorders>
              <w:top w:val="single" w:sz="4" w:space="0" w:color="auto"/>
              <w:left w:val="single" w:sz="4" w:space="0" w:color="auto"/>
              <w:bottom w:val="single" w:sz="4" w:space="0" w:color="auto"/>
              <w:right w:val="single" w:sz="4" w:space="0" w:color="auto"/>
            </w:tcBorders>
            <w:hideMark/>
          </w:tcPr>
          <w:p w14:paraId="2907100A" w14:textId="77777777" w:rsidR="004435FC" w:rsidRPr="00DB1A1B" w:rsidRDefault="004435FC">
            <w:pPr>
              <w:rPr>
                <w:bCs/>
                <w:iCs/>
                <w:sz w:val="24"/>
                <w:szCs w:val="24"/>
              </w:rPr>
            </w:pPr>
            <w:r w:rsidRPr="00DB1A1B">
              <w:rPr>
                <w:bCs/>
                <w:iCs/>
                <w:sz w:val="24"/>
                <w:szCs w:val="24"/>
              </w:rPr>
              <w:t>&gt; 2 mg/l</w:t>
            </w:r>
          </w:p>
        </w:tc>
      </w:tr>
    </w:tbl>
    <w:p w14:paraId="6BF2AF21" w14:textId="5D233F61" w:rsidR="004435FC" w:rsidRPr="00DB1A1B" w:rsidRDefault="004435FC" w:rsidP="00270E7C">
      <w:pPr>
        <w:numPr>
          <w:ilvl w:val="0"/>
          <w:numId w:val="8"/>
        </w:numPr>
        <w:ind w:left="993" w:hanging="142"/>
        <w:rPr>
          <w:sz w:val="24"/>
          <w:szCs w:val="24"/>
        </w:rPr>
      </w:pPr>
      <w:r w:rsidRPr="00DB1A1B">
        <w:rPr>
          <w:sz w:val="24"/>
          <w:szCs w:val="24"/>
        </w:rPr>
        <w:t xml:space="preserve">S. aureus med </w:t>
      </w:r>
      <w:proofErr w:type="spellStart"/>
      <w:r w:rsidRPr="00DB1A1B">
        <w:rPr>
          <w:sz w:val="24"/>
          <w:szCs w:val="24"/>
        </w:rPr>
        <w:t>vancomycin</w:t>
      </w:r>
      <w:proofErr w:type="spellEnd"/>
      <w:r w:rsidRPr="00DB1A1B">
        <w:rPr>
          <w:sz w:val="24"/>
          <w:szCs w:val="24"/>
        </w:rPr>
        <w:t xml:space="preserve"> MIC-værdier på 2 mg/l er på grænsen af vildtypedistribution, og der kan være en forringet klinisk respons.</w:t>
      </w:r>
    </w:p>
    <w:p w14:paraId="2C434FAB" w14:textId="77777777" w:rsidR="006B1D8C" w:rsidRPr="00DB1A1B" w:rsidRDefault="006B1D8C" w:rsidP="006B1D8C">
      <w:pPr>
        <w:ind w:left="993"/>
        <w:rPr>
          <w:sz w:val="24"/>
          <w:szCs w:val="24"/>
        </w:rPr>
      </w:pPr>
    </w:p>
    <w:tbl>
      <w:tblPr>
        <w:tblW w:w="0" w:type="auto"/>
        <w:tblInd w:w="843" w:type="dxa"/>
        <w:tblBorders>
          <w:top w:val="single" w:sz="6" w:space="0" w:color="000000"/>
          <w:left w:val="single" w:sz="6" w:space="0" w:color="000000"/>
          <w:bottom w:val="single" w:sz="6" w:space="0" w:color="000000"/>
          <w:right w:val="single" w:sz="6" w:space="0" w:color="000000"/>
          <w:insideV w:val="single" w:sz="6" w:space="0" w:color="000000"/>
        </w:tblBorders>
        <w:tblLayout w:type="fixed"/>
        <w:tblCellMar>
          <w:left w:w="117" w:type="dxa"/>
          <w:right w:w="117" w:type="dxa"/>
        </w:tblCellMar>
        <w:tblLook w:val="04A0" w:firstRow="1" w:lastRow="0" w:firstColumn="1" w:lastColumn="0" w:noHBand="0" w:noVBand="1"/>
      </w:tblPr>
      <w:tblGrid>
        <w:gridCol w:w="6520"/>
      </w:tblGrid>
      <w:tr w:rsidR="004435FC" w:rsidRPr="00DB1A1B" w14:paraId="440D2632" w14:textId="77777777" w:rsidTr="00270E7C">
        <w:trPr>
          <w:trHeight w:val="372"/>
        </w:trPr>
        <w:tc>
          <w:tcPr>
            <w:tcW w:w="6520" w:type="dxa"/>
            <w:tcBorders>
              <w:top w:val="single" w:sz="6" w:space="0" w:color="000000"/>
              <w:left w:val="single" w:sz="6" w:space="0" w:color="000000"/>
              <w:bottom w:val="nil"/>
              <w:right w:val="single" w:sz="6" w:space="0" w:color="000000"/>
            </w:tcBorders>
            <w:shd w:val="clear" w:color="auto" w:fill="FFFFFF"/>
            <w:hideMark/>
          </w:tcPr>
          <w:p w14:paraId="4AA55726" w14:textId="5EE8ACAD" w:rsidR="004435FC" w:rsidRPr="00DB1A1B" w:rsidRDefault="004435FC">
            <w:pPr>
              <w:suppressAutoHyphens/>
              <w:rPr>
                <w:sz w:val="24"/>
                <w:szCs w:val="24"/>
              </w:rPr>
            </w:pPr>
            <w:r w:rsidRPr="00DB1A1B">
              <w:rPr>
                <w:b/>
                <w:sz w:val="24"/>
                <w:szCs w:val="24"/>
                <w:u w:val="single"/>
              </w:rPr>
              <w:t>Arter, der almindeligvis er følsomme</w:t>
            </w:r>
          </w:p>
        </w:tc>
      </w:tr>
      <w:tr w:rsidR="004435FC" w:rsidRPr="00B605AA" w14:paraId="4FED72F5" w14:textId="77777777" w:rsidTr="00270E7C">
        <w:trPr>
          <w:trHeight w:val="276"/>
        </w:trPr>
        <w:tc>
          <w:tcPr>
            <w:tcW w:w="6520" w:type="dxa"/>
            <w:tcBorders>
              <w:top w:val="single" w:sz="4" w:space="0" w:color="auto"/>
              <w:left w:val="single" w:sz="4" w:space="0" w:color="auto"/>
              <w:bottom w:val="single" w:sz="4" w:space="0" w:color="auto"/>
              <w:right w:val="single" w:sz="4" w:space="0" w:color="auto"/>
            </w:tcBorders>
            <w:shd w:val="clear" w:color="auto" w:fill="FFFFFF"/>
          </w:tcPr>
          <w:p w14:paraId="477F1A64" w14:textId="77777777" w:rsidR="004435FC" w:rsidRPr="00B605AA" w:rsidRDefault="004435FC">
            <w:pPr>
              <w:pStyle w:val="Default"/>
              <w:rPr>
                <w:rFonts w:ascii="Times New Roman" w:hAnsi="Times New Roman" w:cs="Times New Roman"/>
              </w:rPr>
            </w:pPr>
            <w:proofErr w:type="spellStart"/>
            <w:r w:rsidRPr="00B605AA">
              <w:rPr>
                <w:rFonts w:ascii="Times New Roman" w:hAnsi="Times New Roman" w:cs="Times New Roman"/>
                <w:b/>
                <w:bCs/>
              </w:rPr>
              <w:t>Grampositive</w:t>
            </w:r>
            <w:proofErr w:type="spellEnd"/>
          </w:p>
          <w:p w14:paraId="72243A14" w14:textId="77777777" w:rsidR="004435FC" w:rsidRPr="00B605AA" w:rsidRDefault="004435FC">
            <w:pPr>
              <w:pStyle w:val="Default"/>
              <w:rPr>
                <w:rFonts w:ascii="Times New Roman" w:hAnsi="Times New Roman" w:cs="Times New Roman"/>
              </w:rPr>
            </w:pPr>
            <w:r w:rsidRPr="00B605AA">
              <w:rPr>
                <w:rFonts w:ascii="Times New Roman" w:hAnsi="Times New Roman" w:cs="Times New Roman"/>
                <w:i/>
                <w:iCs/>
              </w:rPr>
              <w:t xml:space="preserve">Enterococcus faecalis </w:t>
            </w:r>
          </w:p>
          <w:p w14:paraId="72D5039A" w14:textId="77777777" w:rsidR="004435FC" w:rsidRPr="00B605AA" w:rsidRDefault="004435FC">
            <w:pPr>
              <w:pStyle w:val="Default"/>
              <w:rPr>
                <w:rFonts w:ascii="Times New Roman" w:hAnsi="Times New Roman" w:cs="Times New Roman"/>
              </w:rPr>
            </w:pPr>
            <w:r w:rsidRPr="00B605AA">
              <w:rPr>
                <w:rFonts w:ascii="Times New Roman" w:hAnsi="Times New Roman" w:cs="Times New Roman"/>
                <w:i/>
                <w:iCs/>
              </w:rPr>
              <w:t xml:space="preserve">Staphylococcus aureus </w:t>
            </w:r>
          </w:p>
          <w:p w14:paraId="70F83257" w14:textId="77777777" w:rsidR="004435FC" w:rsidRPr="00B605AA" w:rsidRDefault="004435FC">
            <w:pPr>
              <w:pStyle w:val="Default"/>
              <w:rPr>
                <w:rFonts w:ascii="Times New Roman" w:hAnsi="Times New Roman" w:cs="Times New Roman"/>
              </w:rPr>
            </w:pPr>
            <w:proofErr w:type="spellStart"/>
            <w:r w:rsidRPr="00B605AA">
              <w:rPr>
                <w:rFonts w:ascii="Times New Roman" w:hAnsi="Times New Roman" w:cs="Times New Roman"/>
                <w:iCs/>
              </w:rPr>
              <w:t>Methicillinresistent</w:t>
            </w:r>
            <w:proofErr w:type="spellEnd"/>
            <w:r w:rsidRPr="00B605AA">
              <w:rPr>
                <w:rFonts w:ascii="Times New Roman" w:hAnsi="Times New Roman" w:cs="Times New Roman"/>
                <w:i/>
                <w:iCs/>
              </w:rPr>
              <w:t xml:space="preserve"> Staphylococcus aureus </w:t>
            </w:r>
          </w:p>
          <w:p w14:paraId="7CB01622" w14:textId="77777777" w:rsidR="004435FC" w:rsidRPr="00B605AA" w:rsidRDefault="004435FC">
            <w:pPr>
              <w:pStyle w:val="Default"/>
              <w:rPr>
                <w:rFonts w:ascii="Times New Roman" w:hAnsi="Times New Roman" w:cs="Times New Roman"/>
              </w:rPr>
            </w:pPr>
            <w:proofErr w:type="spellStart"/>
            <w:r w:rsidRPr="00B605AA">
              <w:rPr>
                <w:rFonts w:ascii="Times New Roman" w:hAnsi="Times New Roman" w:cs="Times New Roman"/>
                <w:iCs/>
              </w:rPr>
              <w:t>Koagulase</w:t>
            </w:r>
            <w:proofErr w:type="spellEnd"/>
            <w:r w:rsidRPr="00B605AA">
              <w:rPr>
                <w:rFonts w:ascii="Times New Roman" w:hAnsi="Times New Roman" w:cs="Times New Roman"/>
                <w:iCs/>
              </w:rPr>
              <w:t>-negative</w:t>
            </w:r>
            <w:r w:rsidRPr="00B605AA">
              <w:rPr>
                <w:rFonts w:ascii="Times New Roman" w:hAnsi="Times New Roman" w:cs="Times New Roman"/>
                <w:i/>
                <w:iCs/>
              </w:rPr>
              <w:t xml:space="preserve"> Staphylococci </w:t>
            </w:r>
          </w:p>
          <w:p w14:paraId="0A4E112A" w14:textId="77777777" w:rsidR="004435FC" w:rsidRPr="00B605AA" w:rsidRDefault="004435FC">
            <w:pPr>
              <w:pStyle w:val="Default"/>
              <w:rPr>
                <w:rFonts w:ascii="Times New Roman" w:hAnsi="Times New Roman" w:cs="Times New Roman"/>
              </w:rPr>
            </w:pPr>
            <w:r w:rsidRPr="00B605AA">
              <w:rPr>
                <w:rFonts w:ascii="Times New Roman" w:hAnsi="Times New Roman" w:cs="Times New Roman"/>
                <w:i/>
                <w:iCs/>
              </w:rPr>
              <w:t xml:space="preserve">Streptococcus </w:t>
            </w:r>
            <w:r w:rsidRPr="00B605AA">
              <w:rPr>
                <w:rFonts w:ascii="Times New Roman" w:hAnsi="Times New Roman" w:cs="Times New Roman"/>
                <w:iCs/>
              </w:rPr>
              <w:t>spp.</w:t>
            </w:r>
            <w:r w:rsidRPr="00B605AA">
              <w:rPr>
                <w:rFonts w:ascii="Times New Roman" w:hAnsi="Times New Roman" w:cs="Times New Roman"/>
                <w:i/>
                <w:iCs/>
              </w:rPr>
              <w:t xml:space="preserve"> </w:t>
            </w:r>
          </w:p>
          <w:p w14:paraId="6FF520A4" w14:textId="77777777" w:rsidR="004435FC" w:rsidRPr="00B605AA" w:rsidRDefault="004435FC">
            <w:pPr>
              <w:pStyle w:val="Default"/>
              <w:rPr>
                <w:rFonts w:ascii="Times New Roman" w:hAnsi="Times New Roman" w:cs="Times New Roman"/>
              </w:rPr>
            </w:pPr>
            <w:r w:rsidRPr="00B605AA">
              <w:rPr>
                <w:rFonts w:ascii="Times New Roman" w:hAnsi="Times New Roman" w:cs="Times New Roman"/>
                <w:i/>
                <w:iCs/>
              </w:rPr>
              <w:t xml:space="preserve">Streptococcus pneumoniae </w:t>
            </w:r>
          </w:p>
          <w:p w14:paraId="29F2301C" w14:textId="77777777" w:rsidR="004435FC" w:rsidRPr="00B605AA" w:rsidRDefault="004435FC">
            <w:pPr>
              <w:pStyle w:val="Default"/>
              <w:rPr>
                <w:rFonts w:ascii="Times New Roman" w:hAnsi="Times New Roman" w:cs="Times New Roman"/>
              </w:rPr>
            </w:pPr>
            <w:proofErr w:type="spellStart"/>
            <w:r w:rsidRPr="00B605AA">
              <w:rPr>
                <w:rFonts w:ascii="Times New Roman" w:hAnsi="Times New Roman" w:cs="Times New Roman"/>
                <w:i/>
                <w:iCs/>
              </w:rPr>
              <w:t>Enteroccocus</w:t>
            </w:r>
            <w:proofErr w:type="spellEnd"/>
            <w:r w:rsidRPr="00B605AA">
              <w:rPr>
                <w:rFonts w:ascii="Times New Roman" w:hAnsi="Times New Roman" w:cs="Times New Roman"/>
                <w:i/>
                <w:iCs/>
              </w:rPr>
              <w:t xml:space="preserve"> </w:t>
            </w:r>
            <w:r w:rsidRPr="00B605AA">
              <w:rPr>
                <w:rFonts w:ascii="Times New Roman" w:hAnsi="Times New Roman" w:cs="Times New Roman"/>
                <w:iCs/>
              </w:rPr>
              <w:t>spp.</w:t>
            </w:r>
            <w:r w:rsidRPr="00B605AA">
              <w:rPr>
                <w:rFonts w:ascii="Times New Roman" w:hAnsi="Times New Roman" w:cs="Times New Roman"/>
                <w:i/>
                <w:iCs/>
              </w:rPr>
              <w:t xml:space="preserve"> </w:t>
            </w:r>
          </w:p>
          <w:p w14:paraId="4B2C77D1" w14:textId="77777777" w:rsidR="004435FC" w:rsidRPr="00B605AA" w:rsidRDefault="004435FC">
            <w:pPr>
              <w:pStyle w:val="Default"/>
              <w:rPr>
                <w:rFonts w:ascii="Times New Roman" w:hAnsi="Times New Roman" w:cs="Times New Roman"/>
                <w:i/>
                <w:iCs/>
              </w:rPr>
            </w:pPr>
            <w:r w:rsidRPr="00B605AA">
              <w:rPr>
                <w:rFonts w:ascii="Times New Roman" w:hAnsi="Times New Roman" w:cs="Times New Roman"/>
                <w:i/>
                <w:iCs/>
              </w:rPr>
              <w:t xml:space="preserve">Staphylococcus </w:t>
            </w:r>
            <w:r w:rsidRPr="00B605AA">
              <w:rPr>
                <w:rFonts w:ascii="Times New Roman" w:hAnsi="Times New Roman" w:cs="Times New Roman"/>
                <w:iCs/>
              </w:rPr>
              <w:t>spp.</w:t>
            </w:r>
            <w:r w:rsidRPr="00B605AA">
              <w:rPr>
                <w:rFonts w:ascii="Times New Roman" w:hAnsi="Times New Roman" w:cs="Times New Roman"/>
                <w:i/>
                <w:iCs/>
              </w:rPr>
              <w:t xml:space="preserve"> </w:t>
            </w:r>
          </w:p>
          <w:p w14:paraId="03FD5802" w14:textId="77777777" w:rsidR="004435FC" w:rsidRPr="00B605AA" w:rsidRDefault="004435FC">
            <w:pPr>
              <w:pStyle w:val="Default"/>
              <w:rPr>
                <w:rFonts w:ascii="Times New Roman" w:hAnsi="Times New Roman" w:cs="Times New Roman"/>
              </w:rPr>
            </w:pPr>
          </w:p>
          <w:p w14:paraId="2925F85B" w14:textId="77777777" w:rsidR="004435FC" w:rsidRPr="00B605AA" w:rsidRDefault="004435FC">
            <w:pPr>
              <w:pStyle w:val="Default"/>
              <w:rPr>
                <w:rFonts w:ascii="Times New Roman" w:hAnsi="Times New Roman" w:cs="Times New Roman"/>
              </w:rPr>
            </w:pPr>
            <w:r w:rsidRPr="00B605AA">
              <w:rPr>
                <w:rFonts w:ascii="Times New Roman" w:hAnsi="Times New Roman" w:cs="Times New Roman"/>
                <w:b/>
                <w:bCs/>
              </w:rPr>
              <w:t xml:space="preserve">Anaerobe </w:t>
            </w:r>
            <w:proofErr w:type="spellStart"/>
            <w:r w:rsidRPr="00B605AA">
              <w:rPr>
                <w:rFonts w:ascii="Times New Roman" w:hAnsi="Times New Roman" w:cs="Times New Roman"/>
                <w:b/>
                <w:bCs/>
              </w:rPr>
              <w:t>arter</w:t>
            </w:r>
            <w:proofErr w:type="spellEnd"/>
          </w:p>
          <w:p w14:paraId="30B5744E" w14:textId="77777777" w:rsidR="004435FC" w:rsidRPr="00B605AA" w:rsidRDefault="004435FC">
            <w:pPr>
              <w:pStyle w:val="Default"/>
              <w:rPr>
                <w:rFonts w:ascii="Times New Roman" w:hAnsi="Times New Roman" w:cs="Times New Roman"/>
              </w:rPr>
            </w:pPr>
            <w:r w:rsidRPr="00B605AA">
              <w:rPr>
                <w:rFonts w:ascii="Times New Roman" w:hAnsi="Times New Roman" w:cs="Times New Roman"/>
                <w:i/>
              </w:rPr>
              <w:t>Clostridium</w:t>
            </w:r>
            <w:r w:rsidRPr="00B605AA">
              <w:rPr>
                <w:rFonts w:ascii="Times New Roman" w:hAnsi="Times New Roman" w:cs="Times New Roman"/>
              </w:rPr>
              <w:t xml:space="preserve"> spp. </w:t>
            </w:r>
            <w:proofErr w:type="spellStart"/>
            <w:r w:rsidRPr="00B605AA">
              <w:rPr>
                <w:rFonts w:ascii="Times New Roman" w:hAnsi="Times New Roman" w:cs="Times New Roman"/>
              </w:rPr>
              <w:t>undtagen</w:t>
            </w:r>
            <w:proofErr w:type="spellEnd"/>
            <w:r w:rsidRPr="00B605AA">
              <w:rPr>
                <w:rFonts w:ascii="Times New Roman" w:hAnsi="Times New Roman" w:cs="Times New Roman"/>
              </w:rPr>
              <w:t xml:space="preserve"> </w:t>
            </w:r>
            <w:r w:rsidRPr="00B605AA">
              <w:rPr>
                <w:rFonts w:ascii="Times New Roman" w:hAnsi="Times New Roman" w:cs="Times New Roman"/>
                <w:i/>
              </w:rPr>
              <w:t xml:space="preserve">Clostridium </w:t>
            </w:r>
            <w:proofErr w:type="spellStart"/>
            <w:r w:rsidRPr="00B605AA">
              <w:rPr>
                <w:rFonts w:ascii="Times New Roman" w:hAnsi="Times New Roman" w:cs="Times New Roman"/>
                <w:i/>
              </w:rPr>
              <w:t>innocuum</w:t>
            </w:r>
            <w:proofErr w:type="spellEnd"/>
            <w:r w:rsidRPr="00B605AA">
              <w:rPr>
                <w:rFonts w:ascii="Times New Roman" w:hAnsi="Times New Roman" w:cs="Times New Roman"/>
              </w:rPr>
              <w:t xml:space="preserve"> </w:t>
            </w:r>
          </w:p>
          <w:p w14:paraId="3C3BA57C" w14:textId="77777777" w:rsidR="004435FC" w:rsidRPr="00B605AA" w:rsidRDefault="004435FC">
            <w:pPr>
              <w:pStyle w:val="Default"/>
              <w:rPr>
                <w:rFonts w:ascii="Times New Roman" w:hAnsi="Times New Roman" w:cs="Times New Roman"/>
              </w:rPr>
            </w:pPr>
            <w:proofErr w:type="spellStart"/>
            <w:r w:rsidRPr="00B605AA">
              <w:rPr>
                <w:rFonts w:ascii="Times New Roman" w:hAnsi="Times New Roman" w:cs="Times New Roman"/>
                <w:i/>
              </w:rPr>
              <w:t>Eubacterium</w:t>
            </w:r>
            <w:proofErr w:type="spellEnd"/>
            <w:r w:rsidRPr="00B605AA">
              <w:rPr>
                <w:rFonts w:ascii="Times New Roman" w:hAnsi="Times New Roman" w:cs="Times New Roman"/>
              </w:rPr>
              <w:t xml:space="preserve"> spp. </w:t>
            </w:r>
          </w:p>
          <w:p w14:paraId="57485505" w14:textId="77777777" w:rsidR="004435FC" w:rsidRPr="00B605AA" w:rsidRDefault="004435FC">
            <w:pPr>
              <w:suppressAutoHyphens/>
              <w:rPr>
                <w:sz w:val="24"/>
                <w:szCs w:val="24"/>
                <w:lang w:val="en-US"/>
              </w:rPr>
            </w:pPr>
            <w:proofErr w:type="spellStart"/>
            <w:r w:rsidRPr="00B605AA">
              <w:rPr>
                <w:i/>
                <w:sz w:val="24"/>
                <w:szCs w:val="24"/>
                <w:lang w:val="en-US"/>
              </w:rPr>
              <w:t>Peptostreptococcus</w:t>
            </w:r>
            <w:proofErr w:type="spellEnd"/>
            <w:r w:rsidRPr="00B605AA">
              <w:rPr>
                <w:sz w:val="24"/>
                <w:szCs w:val="24"/>
                <w:lang w:val="en-US"/>
              </w:rPr>
              <w:t xml:space="preserve"> spp.</w:t>
            </w:r>
          </w:p>
          <w:p w14:paraId="0CF28BE4" w14:textId="77777777" w:rsidR="004435FC" w:rsidRPr="00B605AA" w:rsidRDefault="004435FC">
            <w:pPr>
              <w:suppressAutoHyphens/>
              <w:rPr>
                <w:i/>
                <w:sz w:val="24"/>
                <w:szCs w:val="24"/>
                <w:lang w:val="en-US"/>
              </w:rPr>
            </w:pPr>
          </w:p>
        </w:tc>
      </w:tr>
      <w:tr w:rsidR="004435FC" w:rsidRPr="00DB1A1B" w14:paraId="75C4EF84" w14:textId="77777777" w:rsidTr="00270E7C">
        <w:tc>
          <w:tcPr>
            <w:tcW w:w="6520" w:type="dxa"/>
            <w:tcBorders>
              <w:top w:val="single" w:sz="4" w:space="0" w:color="auto"/>
              <w:left w:val="single" w:sz="4" w:space="0" w:color="auto"/>
              <w:bottom w:val="nil"/>
              <w:right w:val="single" w:sz="4" w:space="0" w:color="auto"/>
            </w:tcBorders>
            <w:shd w:val="clear" w:color="auto" w:fill="FFFFFF"/>
            <w:hideMark/>
          </w:tcPr>
          <w:p w14:paraId="636005A1" w14:textId="77777777" w:rsidR="004435FC" w:rsidRPr="00DB1A1B" w:rsidRDefault="004435FC">
            <w:pPr>
              <w:suppressAutoHyphens/>
              <w:rPr>
                <w:b/>
                <w:i/>
                <w:sz w:val="24"/>
                <w:szCs w:val="24"/>
              </w:rPr>
            </w:pPr>
            <w:r w:rsidRPr="00DB1A1B">
              <w:rPr>
                <w:b/>
                <w:sz w:val="24"/>
                <w:szCs w:val="24"/>
                <w:u w:val="single"/>
              </w:rPr>
              <w:lastRenderedPageBreak/>
              <w:t>Arter, for hvilke erhvervet resistens kan være et problem</w:t>
            </w:r>
          </w:p>
        </w:tc>
      </w:tr>
      <w:tr w:rsidR="004435FC" w:rsidRPr="00DB1A1B" w14:paraId="7DFAFF17" w14:textId="77777777" w:rsidTr="00270E7C">
        <w:tc>
          <w:tcPr>
            <w:tcW w:w="6520" w:type="dxa"/>
            <w:tcBorders>
              <w:top w:val="nil"/>
              <w:left w:val="single" w:sz="4" w:space="0" w:color="auto"/>
              <w:bottom w:val="single" w:sz="4" w:space="0" w:color="auto"/>
              <w:right w:val="single" w:sz="4" w:space="0" w:color="auto"/>
            </w:tcBorders>
            <w:shd w:val="clear" w:color="auto" w:fill="FFFFFF"/>
            <w:hideMark/>
          </w:tcPr>
          <w:p w14:paraId="1F2588BA" w14:textId="77777777" w:rsidR="004435FC" w:rsidRPr="00DB1A1B" w:rsidRDefault="004435FC">
            <w:pPr>
              <w:suppressAutoHyphens/>
              <w:rPr>
                <w:i/>
                <w:sz w:val="24"/>
                <w:szCs w:val="24"/>
              </w:rPr>
            </w:pPr>
            <w:proofErr w:type="spellStart"/>
            <w:r w:rsidRPr="00DB1A1B">
              <w:rPr>
                <w:i/>
                <w:sz w:val="24"/>
                <w:szCs w:val="24"/>
              </w:rPr>
              <w:t>Enterococcus</w:t>
            </w:r>
            <w:proofErr w:type="spellEnd"/>
            <w:r w:rsidRPr="00DB1A1B">
              <w:rPr>
                <w:i/>
                <w:sz w:val="24"/>
                <w:szCs w:val="24"/>
              </w:rPr>
              <w:t xml:space="preserve"> </w:t>
            </w:r>
            <w:proofErr w:type="spellStart"/>
            <w:r w:rsidRPr="00DB1A1B">
              <w:rPr>
                <w:i/>
                <w:sz w:val="24"/>
                <w:szCs w:val="24"/>
              </w:rPr>
              <w:t>faecium</w:t>
            </w:r>
            <w:proofErr w:type="spellEnd"/>
          </w:p>
        </w:tc>
      </w:tr>
      <w:tr w:rsidR="004435FC" w:rsidRPr="00DB1A1B" w14:paraId="62AA856B" w14:textId="77777777" w:rsidTr="00270E7C">
        <w:tc>
          <w:tcPr>
            <w:tcW w:w="6520" w:type="dxa"/>
            <w:tcBorders>
              <w:top w:val="single" w:sz="4" w:space="0" w:color="auto"/>
              <w:left w:val="single" w:sz="4" w:space="0" w:color="auto"/>
              <w:bottom w:val="nil"/>
              <w:right w:val="single" w:sz="4" w:space="0" w:color="auto"/>
            </w:tcBorders>
            <w:shd w:val="clear" w:color="auto" w:fill="FFFFFF"/>
          </w:tcPr>
          <w:p w14:paraId="2119060D" w14:textId="77777777" w:rsidR="004435FC" w:rsidRPr="00DB1A1B" w:rsidRDefault="004435FC">
            <w:pPr>
              <w:suppressAutoHyphens/>
              <w:rPr>
                <w:b/>
                <w:sz w:val="24"/>
                <w:szCs w:val="24"/>
              </w:rPr>
            </w:pPr>
            <w:r w:rsidRPr="00DB1A1B">
              <w:rPr>
                <w:b/>
                <w:sz w:val="24"/>
                <w:szCs w:val="24"/>
                <w:u w:val="single"/>
              </w:rPr>
              <w:t>Naturligt resistente organismer</w:t>
            </w:r>
          </w:p>
          <w:p w14:paraId="5809DB64" w14:textId="77777777" w:rsidR="004435FC" w:rsidRPr="00DB1A1B" w:rsidRDefault="004435FC">
            <w:pPr>
              <w:suppressAutoHyphens/>
              <w:rPr>
                <w:b/>
                <w:sz w:val="24"/>
                <w:szCs w:val="24"/>
              </w:rPr>
            </w:pPr>
            <w:r w:rsidRPr="00DB1A1B">
              <w:rPr>
                <w:b/>
                <w:sz w:val="24"/>
                <w:szCs w:val="24"/>
              </w:rPr>
              <w:t>Alle gramnegative bakterier</w:t>
            </w:r>
          </w:p>
          <w:p w14:paraId="0D326DCA" w14:textId="77777777" w:rsidR="004435FC" w:rsidRPr="00DB1A1B" w:rsidRDefault="004435FC">
            <w:pPr>
              <w:suppressAutoHyphens/>
              <w:rPr>
                <w:b/>
                <w:sz w:val="24"/>
                <w:szCs w:val="24"/>
              </w:rPr>
            </w:pPr>
          </w:p>
        </w:tc>
      </w:tr>
      <w:tr w:rsidR="004435FC" w:rsidRPr="00DB1A1B" w14:paraId="06EF962F" w14:textId="77777777" w:rsidTr="00270E7C">
        <w:trPr>
          <w:trHeight w:val="2287"/>
        </w:trPr>
        <w:tc>
          <w:tcPr>
            <w:tcW w:w="6520" w:type="dxa"/>
            <w:tcBorders>
              <w:top w:val="nil"/>
              <w:left w:val="single" w:sz="4" w:space="0" w:color="auto"/>
              <w:bottom w:val="single" w:sz="4" w:space="0" w:color="auto"/>
              <w:right w:val="single" w:sz="4" w:space="0" w:color="auto"/>
            </w:tcBorders>
            <w:shd w:val="clear" w:color="auto" w:fill="FFFFFF"/>
          </w:tcPr>
          <w:p w14:paraId="42CD4C10" w14:textId="77777777" w:rsidR="004435FC" w:rsidRPr="00B605AA" w:rsidRDefault="004435FC">
            <w:pPr>
              <w:suppressAutoHyphens/>
              <w:rPr>
                <w:b/>
                <w:sz w:val="24"/>
                <w:szCs w:val="24"/>
                <w:lang w:val="en-US"/>
              </w:rPr>
            </w:pPr>
            <w:proofErr w:type="spellStart"/>
            <w:r w:rsidRPr="00B605AA">
              <w:rPr>
                <w:b/>
                <w:sz w:val="24"/>
                <w:szCs w:val="24"/>
                <w:lang w:val="en-US"/>
              </w:rPr>
              <w:t>Grampositive</w:t>
            </w:r>
            <w:proofErr w:type="spellEnd"/>
            <w:r w:rsidRPr="00B605AA">
              <w:rPr>
                <w:b/>
                <w:sz w:val="24"/>
                <w:szCs w:val="24"/>
                <w:lang w:val="en-US"/>
              </w:rPr>
              <w:t xml:space="preserve"> aerobe </w:t>
            </w:r>
            <w:proofErr w:type="spellStart"/>
            <w:r w:rsidRPr="00B605AA">
              <w:rPr>
                <w:b/>
                <w:sz w:val="24"/>
                <w:szCs w:val="24"/>
                <w:lang w:val="en-US"/>
              </w:rPr>
              <w:t>arter</w:t>
            </w:r>
            <w:proofErr w:type="spellEnd"/>
            <w:r w:rsidRPr="00B605AA">
              <w:rPr>
                <w:b/>
                <w:sz w:val="24"/>
                <w:szCs w:val="24"/>
                <w:lang w:val="en-US"/>
              </w:rPr>
              <w:t xml:space="preserve"> </w:t>
            </w:r>
          </w:p>
          <w:p w14:paraId="58EBD4C2" w14:textId="32646934" w:rsidR="004435FC" w:rsidRPr="00B605AA" w:rsidRDefault="004435FC" w:rsidP="006B1D8C">
            <w:pPr>
              <w:suppressAutoHyphens/>
              <w:ind w:left="306"/>
              <w:rPr>
                <w:i/>
                <w:sz w:val="24"/>
                <w:szCs w:val="24"/>
                <w:lang w:val="en-US"/>
              </w:rPr>
            </w:pPr>
            <w:proofErr w:type="spellStart"/>
            <w:r w:rsidRPr="00B605AA">
              <w:rPr>
                <w:i/>
                <w:sz w:val="24"/>
                <w:szCs w:val="24"/>
                <w:lang w:val="en-US"/>
              </w:rPr>
              <w:t>Erysipelothrix</w:t>
            </w:r>
            <w:proofErr w:type="spellEnd"/>
            <w:r w:rsidRPr="00B605AA">
              <w:rPr>
                <w:i/>
                <w:sz w:val="24"/>
                <w:szCs w:val="24"/>
                <w:lang w:val="en-US"/>
              </w:rPr>
              <w:t xml:space="preserve"> </w:t>
            </w:r>
            <w:proofErr w:type="spellStart"/>
            <w:r w:rsidRPr="00B605AA">
              <w:rPr>
                <w:i/>
                <w:sz w:val="24"/>
                <w:szCs w:val="24"/>
                <w:lang w:val="en-US"/>
              </w:rPr>
              <w:t>rhusiopathiae</w:t>
            </w:r>
            <w:proofErr w:type="spellEnd"/>
          </w:p>
          <w:p w14:paraId="6A4DF33C" w14:textId="2A530C83" w:rsidR="004435FC" w:rsidRPr="00B605AA" w:rsidRDefault="004435FC" w:rsidP="006B1D8C">
            <w:pPr>
              <w:suppressAutoHyphens/>
              <w:ind w:left="306"/>
              <w:rPr>
                <w:bCs/>
                <w:i/>
                <w:sz w:val="24"/>
                <w:szCs w:val="24"/>
                <w:lang w:val="en-US"/>
              </w:rPr>
            </w:pPr>
            <w:r w:rsidRPr="00B605AA">
              <w:rPr>
                <w:bCs/>
                <w:i/>
                <w:sz w:val="24"/>
                <w:szCs w:val="24"/>
                <w:lang w:val="en-US"/>
              </w:rPr>
              <w:t>Heterofermentative Lactobacillus</w:t>
            </w:r>
          </w:p>
          <w:p w14:paraId="4B79400E" w14:textId="6289B193" w:rsidR="004435FC" w:rsidRPr="00B605AA" w:rsidRDefault="004435FC" w:rsidP="006B1D8C">
            <w:pPr>
              <w:suppressAutoHyphens/>
              <w:ind w:left="306"/>
              <w:rPr>
                <w:bCs/>
                <w:i/>
                <w:sz w:val="24"/>
                <w:szCs w:val="24"/>
                <w:lang w:val="en-US"/>
              </w:rPr>
            </w:pPr>
            <w:proofErr w:type="spellStart"/>
            <w:r w:rsidRPr="00B605AA">
              <w:rPr>
                <w:bCs/>
                <w:i/>
                <w:sz w:val="24"/>
                <w:szCs w:val="24"/>
                <w:lang w:val="en-US"/>
              </w:rPr>
              <w:t>Leuconostoc</w:t>
            </w:r>
            <w:proofErr w:type="spellEnd"/>
            <w:r w:rsidRPr="00B605AA">
              <w:rPr>
                <w:bCs/>
                <w:i/>
                <w:sz w:val="24"/>
                <w:szCs w:val="24"/>
                <w:lang w:val="en-US"/>
              </w:rPr>
              <w:t xml:space="preserve"> </w:t>
            </w:r>
            <w:proofErr w:type="spellStart"/>
            <w:r w:rsidRPr="00B605AA">
              <w:rPr>
                <w:bCs/>
                <w:sz w:val="24"/>
                <w:szCs w:val="24"/>
                <w:lang w:val="en-US"/>
              </w:rPr>
              <w:t>spp</w:t>
            </w:r>
            <w:proofErr w:type="spellEnd"/>
          </w:p>
          <w:p w14:paraId="059B2B36" w14:textId="3048058D" w:rsidR="004435FC" w:rsidRPr="00B605AA" w:rsidRDefault="004435FC" w:rsidP="006B1D8C">
            <w:pPr>
              <w:suppressAutoHyphens/>
              <w:ind w:left="306"/>
              <w:rPr>
                <w:sz w:val="24"/>
                <w:szCs w:val="24"/>
                <w:lang w:val="en-US"/>
              </w:rPr>
            </w:pPr>
            <w:proofErr w:type="spellStart"/>
            <w:r w:rsidRPr="00B605AA">
              <w:rPr>
                <w:bCs/>
                <w:i/>
                <w:sz w:val="24"/>
                <w:szCs w:val="24"/>
                <w:lang w:val="en-US"/>
              </w:rPr>
              <w:t>Pediococcus</w:t>
            </w:r>
            <w:proofErr w:type="spellEnd"/>
            <w:r w:rsidRPr="00B605AA">
              <w:rPr>
                <w:bCs/>
                <w:i/>
                <w:sz w:val="24"/>
                <w:szCs w:val="24"/>
                <w:lang w:val="en-US"/>
              </w:rPr>
              <w:t xml:space="preserve"> </w:t>
            </w:r>
            <w:r w:rsidRPr="00B605AA">
              <w:rPr>
                <w:bCs/>
                <w:sz w:val="24"/>
                <w:szCs w:val="24"/>
                <w:lang w:val="en-US"/>
              </w:rPr>
              <w:t>spp.</w:t>
            </w:r>
          </w:p>
          <w:p w14:paraId="2CD56D17" w14:textId="77777777" w:rsidR="004435FC" w:rsidRPr="00B605AA" w:rsidRDefault="004435FC">
            <w:pPr>
              <w:suppressAutoHyphens/>
              <w:rPr>
                <w:bCs/>
                <w:sz w:val="24"/>
                <w:szCs w:val="24"/>
                <w:u w:val="single"/>
                <w:lang w:val="en-US"/>
              </w:rPr>
            </w:pPr>
          </w:p>
          <w:p w14:paraId="12C6E738" w14:textId="77777777" w:rsidR="004435FC" w:rsidRPr="00B605AA" w:rsidRDefault="004435FC">
            <w:pPr>
              <w:suppressAutoHyphens/>
              <w:rPr>
                <w:b/>
                <w:bCs/>
                <w:sz w:val="24"/>
                <w:szCs w:val="24"/>
                <w:lang w:val="en-US"/>
              </w:rPr>
            </w:pPr>
            <w:r w:rsidRPr="00B605AA">
              <w:rPr>
                <w:b/>
                <w:bCs/>
                <w:sz w:val="24"/>
                <w:szCs w:val="24"/>
                <w:lang w:val="en-US"/>
              </w:rPr>
              <w:t xml:space="preserve">Anaerobe </w:t>
            </w:r>
            <w:proofErr w:type="spellStart"/>
            <w:r w:rsidRPr="00B605AA">
              <w:rPr>
                <w:b/>
                <w:bCs/>
                <w:sz w:val="24"/>
                <w:szCs w:val="24"/>
                <w:lang w:val="en-US"/>
              </w:rPr>
              <w:t>arter</w:t>
            </w:r>
            <w:proofErr w:type="spellEnd"/>
          </w:p>
          <w:p w14:paraId="73A11D57" w14:textId="05C753CC" w:rsidR="004435FC" w:rsidRPr="00DB1A1B" w:rsidRDefault="004435FC" w:rsidP="006B1D8C">
            <w:pPr>
              <w:suppressAutoHyphens/>
              <w:ind w:left="306"/>
              <w:rPr>
                <w:bCs/>
                <w:sz w:val="24"/>
                <w:szCs w:val="24"/>
              </w:rPr>
            </w:pPr>
            <w:proofErr w:type="spellStart"/>
            <w:r w:rsidRPr="00DB1A1B">
              <w:rPr>
                <w:bCs/>
                <w:i/>
                <w:sz w:val="24"/>
                <w:szCs w:val="24"/>
              </w:rPr>
              <w:t>Clostridium</w:t>
            </w:r>
            <w:proofErr w:type="spellEnd"/>
            <w:r w:rsidRPr="00DB1A1B">
              <w:rPr>
                <w:bCs/>
                <w:i/>
                <w:sz w:val="24"/>
                <w:szCs w:val="24"/>
              </w:rPr>
              <w:t xml:space="preserve"> </w:t>
            </w:r>
            <w:proofErr w:type="spellStart"/>
            <w:r w:rsidRPr="00DB1A1B">
              <w:rPr>
                <w:bCs/>
                <w:i/>
                <w:sz w:val="24"/>
                <w:szCs w:val="24"/>
              </w:rPr>
              <w:t>innocuum</w:t>
            </w:r>
            <w:proofErr w:type="spellEnd"/>
          </w:p>
        </w:tc>
      </w:tr>
      <w:tr w:rsidR="004435FC" w:rsidRPr="00DB1A1B" w14:paraId="1D23417C" w14:textId="77777777" w:rsidTr="00270E7C">
        <w:tc>
          <w:tcPr>
            <w:tcW w:w="6520" w:type="dxa"/>
            <w:tcBorders>
              <w:top w:val="single" w:sz="4" w:space="0" w:color="auto"/>
              <w:left w:val="single" w:sz="4" w:space="0" w:color="auto"/>
              <w:bottom w:val="single" w:sz="4" w:space="0" w:color="auto"/>
              <w:right w:val="single" w:sz="4" w:space="0" w:color="auto"/>
            </w:tcBorders>
            <w:shd w:val="clear" w:color="auto" w:fill="FFFFFF"/>
            <w:hideMark/>
          </w:tcPr>
          <w:p w14:paraId="30613B0D" w14:textId="77777777" w:rsidR="004435FC" w:rsidRPr="00DB1A1B" w:rsidRDefault="004435FC">
            <w:pPr>
              <w:suppressAutoHyphens/>
              <w:rPr>
                <w:bCs/>
                <w:sz w:val="24"/>
                <w:szCs w:val="24"/>
              </w:rPr>
            </w:pPr>
            <w:r w:rsidRPr="00DB1A1B">
              <w:rPr>
                <w:bCs/>
                <w:sz w:val="24"/>
                <w:szCs w:val="24"/>
              </w:rPr>
              <w:t xml:space="preserve">Fremkomsten af resistens over for </w:t>
            </w:r>
            <w:proofErr w:type="spellStart"/>
            <w:r w:rsidRPr="00DB1A1B">
              <w:rPr>
                <w:bCs/>
                <w:sz w:val="24"/>
                <w:szCs w:val="24"/>
              </w:rPr>
              <w:t>vancomycin</w:t>
            </w:r>
            <w:proofErr w:type="spellEnd"/>
            <w:r w:rsidRPr="00DB1A1B">
              <w:rPr>
                <w:bCs/>
                <w:sz w:val="24"/>
                <w:szCs w:val="24"/>
              </w:rPr>
              <w:t xml:space="preserve"> varierer fra et sygehus til et andet, og derfor bør et lokalt mikrobiologisk laboratorium kontaktes for relevant lokal information.</w:t>
            </w:r>
          </w:p>
        </w:tc>
      </w:tr>
    </w:tbl>
    <w:p w14:paraId="2F6EB1BA" w14:textId="77777777" w:rsidR="009260DE" w:rsidRPr="00DB1A1B" w:rsidRDefault="009260DE" w:rsidP="009260DE">
      <w:pPr>
        <w:tabs>
          <w:tab w:val="left" w:pos="851"/>
        </w:tabs>
        <w:ind w:left="851"/>
        <w:rPr>
          <w:sz w:val="24"/>
          <w:szCs w:val="24"/>
        </w:rPr>
      </w:pPr>
    </w:p>
    <w:p w14:paraId="44A4E60A" w14:textId="77777777" w:rsidR="009260DE" w:rsidRPr="00DB1A1B" w:rsidRDefault="009260DE" w:rsidP="009260DE">
      <w:pPr>
        <w:tabs>
          <w:tab w:val="left" w:pos="851"/>
        </w:tabs>
        <w:ind w:left="851" w:hanging="851"/>
        <w:rPr>
          <w:b/>
          <w:sz w:val="24"/>
          <w:szCs w:val="24"/>
        </w:rPr>
      </w:pPr>
      <w:r w:rsidRPr="00DB1A1B">
        <w:rPr>
          <w:b/>
          <w:sz w:val="24"/>
          <w:szCs w:val="24"/>
        </w:rPr>
        <w:t>5.2</w:t>
      </w:r>
      <w:r w:rsidRPr="00DB1A1B">
        <w:rPr>
          <w:b/>
          <w:sz w:val="24"/>
          <w:szCs w:val="24"/>
        </w:rPr>
        <w:tab/>
      </w:r>
      <w:proofErr w:type="spellStart"/>
      <w:r w:rsidRPr="00DB1A1B">
        <w:rPr>
          <w:b/>
          <w:sz w:val="24"/>
          <w:szCs w:val="24"/>
        </w:rPr>
        <w:t>Farmakokinetiske</w:t>
      </w:r>
      <w:proofErr w:type="spellEnd"/>
      <w:r w:rsidRPr="00DB1A1B">
        <w:rPr>
          <w:b/>
          <w:sz w:val="24"/>
          <w:szCs w:val="24"/>
        </w:rPr>
        <w:t xml:space="preserve"> egenskaber</w:t>
      </w:r>
    </w:p>
    <w:p w14:paraId="05C0BE15" w14:textId="77777777" w:rsidR="006B1D8C" w:rsidRPr="00DB1A1B" w:rsidRDefault="006B1D8C" w:rsidP="00270E7C">
      <w:pPr>
        <w:suppressAutoHyphens/>
        <w:ind w:left="851"/>
        <w:rPr>
          <w:sz w:val="24"/>
          <w:szCs w:val="24"/>
          <w:u w:val="single"/>
        </w:rPr>
      </w:pPr>
    </w:p>
    <w:p w14:paraId="092303C9" w14:textId="4AE6726E" w:rsidR="004435FC" w:rsidRPr="00DB1A1B" w:rsidRDefault="004435FC" w:rsidP="00270E7C">
      <w:pPr>
        <w:suppressAutoHyphens/>
        <w:ind w:left="851"/>
        <w:rPr>
          <w:sz w:val="24"/>
          <w:szCs w:val="24"/>
          <w:u w:val="single"/>
        </w:rPr>
      </w:pPr>
      <w:r w:rsidRPr="00DB1A1B">
        <w:rPr>
          <w:sz w:val="24"/>
          <w:szCs w:val="24"/>
          <w:u w:val="single"/>
        </w:rPr>
        <w:t>Absorption</w:t>
      </w:r>
    </w:p>
    <w:p w14:paraId="1F54F03E" w14:textId="4E48D01E" w:rsidR="004435FC" w:rsidRPr="00DB1A1B" w:rsidRDefault="004435FC" w:rsidP="00270E7C">
      <w:pPr>
        <w:suppressAutoHyphens/>
        <w:ind w:left="851"/>
        <w:rPr>
          <w:sz w:val="24"/>
          <w:szCs w:val="24"/>
        </w:rPr>
      </w:pPr>
      <w:proofErr w:type="spellStart"/>
      <w:r w:rsidRPr="00DB1A1B">
        <w:rPr>
          <w:sz w:val="24"/>
          <w:szCs w:val="24"/>
        </w:rPr>
        <w:t>Vancomycin</w:t>
      </w:r>
      <w:proofErr w:type="spellEnd"/>
      <w:r w:rsidRPr="00DB1A1B">
        <w:rPr>
          <w:sz w:val="24"/>
          <w:szCs w:val="24"/>
        </w:rPr>
        <w:t xml:space="preserve"> indgives intravenøst til behandling af systemiske infektioner.</w:t>
      </w:r>
    </w:p>
    <w:p w14:paraId="1891332C" w14:textId="77777777" w:rsidR="004435FC" w:rsidRPr="00DB1A1B" w:rsidRDefault="004435FC" w:rsidP="00270E7C">
      <w:pPr>
        <w:suppressAutoHyphens/>
        <w:ind w:left="851"/>
        <w:rPr>
          <w:sz w:val="24"/>
          <w:szCs w:val="24"/>
        </w:rPr>
      </w:pPr>
    </w:p>
    <w:p w14:paraId="1564DEC0" w14:textId="77777777" w:rsidR="004435FC" w:rsidRPr="00DB1A1B" w:rsidRDefault="004435FC" w:rsidP="00270E7C">
      <w:pPr>
        <w:suppressAutoHyphens/>
        <w:ind w:left="851"/>
        <w:rPr>
          <w:sz w:val="24"/>
          <w:szCs w:val="24"/>
        </w:rPr>
      </w:pPr>
      <w:r w:rsidRPr="00DB1A1B">
        <w:rPr>
          <w:sz w:val="24"/>
          <w:szCs w:val="24"/>
        </w:rPr>
        <w:t xml:space="preserve">Hos patienter med normal nyrefunktion frembringer intravenøs infusion af multiple doser af 1 g </w:t>
      </w:r>
      <w:proofErr w:type="spellStart"/>
      <w:r w:rsidRPr="00DB1A1B">
        <w:rPr>
          <w:sz w:val="24"/>
          <w:szCs w:val="24"/>
        </w:rPr>
        <w:t>vancomycin</w:t>
      </w:r>
      <w:proofErr w:type="spellEnd"/>
      <w:r w:rsidRPr="00DB1A1B">
        <w:rPr>
          <w:sz w:val="24"/>
          <w:szCs w:val="24"/>
        </w:rPr>
        <w:t xml:space="preserve"> (15 mg/kg) i 60 minutter omtrentlige gennemsnitlige plasmakoncentrationer på 50-60 mg/l, 20-25 mg/l og 5-10 mg/l, henholdsvis med det samme, 2 timer og 11 timer efter afslutning af infusionen. Plasmaniveauerne opnået efter flere doser svarer til dem, der er opnået efter en enkelt dosis.</w:t>
      </w:r>
    </w:p>
    <w:p w14:paraId="59C23554" w14:textId="77777777" w:rsidR="004435FC" w:rsidRPr="00DB1A1B" w:rsidRDefault="004435FC" w:rsidP="00270E7C">
      <w:pPr>
        <w:suppressAutoHyphens/>
        <w:ind w:left="851"/>
        <w:rPr>
          <w:sz w:val="24"/>
          <w:szCs w:val="24"/>
        </w:rPr>
      </w:pPr>
    </w:p>
    <w:p w14:paraId="0A84BF98" w14:textId="77777777" w:rsidR="004435FC" w:rsidRPr="00DB1A1B" w:rsidRDefault="004435FC" w:rsidP="00270E7C">
      <w:pPr>
        <w:suppressAutoHyphens/>
        <w:ind w:left="851"/>
        <w:rPr>
          <w:sz w:val="24"/>
          <w:szCs w:val="24"/>
          <w:u w:val="single"/>
          <w:lang w:eastAsia="en-GB"/>
        </w:rPr>
      </w:pPr>
      <w:r w:rsidRPr="00DB1A1B">
        <w:rPr>
          <w:sz w:val="24"/>
          <w:szCs w:val="24"/>
          <w:u w:val="single"/>
        </w:rPr>
        <w:t>Fordeling</w:t>
      </w:r>
    </w:p>
    <w:p w14:paraId="21B6E929" w14:textId="77777777" w:rsidR="004435FC" w:rsidRPr="00DB1A1B" w:rsidRDefault="004435FC" w:rsidP="00270E7C">
      <w:pPr>
        <w:suppressAutoHyphens/>
        <w:ind w:left="851"/>
        <w:rPr>
          <w:color w:val="000000"/>
          <w:sz w:val="24"/>
          <w:szCs w:val="24"/>
        </w:rPr>
      </w:pPr>
      <w:r w:rsidRPr="00DB1A1B">
        <w:rPr>
          <w:color w:val="000000"/>
          <w:sz w:val="24"/>
          <w:szCs w:val="24"/>
        </w:rPr>
        <w:t>Fordelingsvolumen er ca. 60</w:t>
      </w:r>
      <w:r w:rsidRPr="00DB1A1B">
        <w:rPr>
          <w:sz w:val="24"/>
          <w:szCs w:val="24"/>
        </w:rPr>
        <w:t> </w:t>
      </w:r>
      <w:r w:rsidRPr="00DB1A1B">
        <w:rPr>
          <w:color w:val="000000"/>
          <w:sz w:val="24"/>
          <w:szCs w:val="24"/>
        </w:rPr>
        <w:t>l/1,73</w:t>
      </w:r>
      <w:r w:rsidRPr="00DB1A1B">
        <w:rPr>
          <w:sz w:val="24"/>
          <w:szCs w:val="24"/>
        </w:rPr>
        <w:t> </w:t>
      </w:r>
      <w:r w:rsidRPr="00DB1A1B">
        <w:rPr>
          <w:color w:val="000000"/>
          <w:sz w:val="24"/>
          <w:szCs w:val="24"/>
        </w:rPr>
        <w:t>m</w:t>
      </w:r>
      <w:r w:rsidRPr="00DB1A1B">
        <w:rPr>
          <w:color w:val="000000"/>
          <w:sz w:val="24"/>
          <w:szCs w:val="24"/>
          <w:vertAlign w:val="superscript"/>
        </w:rPr>
        <w:t>2</w:t>
      </w:r>
      <w:r w:rsidRPr="00DB1A1B">
        <w:rPr>
          <w:color w:val="000000"/>
          <w:sz w:val="24"/>
          <w:szCs w:val="24"/>
        </w:rPr>
        <w:t xml:space="preserve"> legemsoverflade. Ved serumkoncentrationer af </w:t>
      </w:r>
      <w:proofErr w:type="spellStart"/>
      <w:r w:rsidRPr="00DB1A1B">
        <w:rPr>
          <w:color w:val="000000"/>
          <w:sz w:val="24"/>
          <w:szCs w:val="24"/>
        </w:rPr>
        <w:t>vancomycin</w:t>
      </w:r>
      <w:proofErr w:type="spellEnd"/>
      <w:r w:rsidRPr="00DB1A1B">
        <w:rPr>
          <w:color w:val="000000"/>
          <w:sz w:val="24"/>
          <w:szCs w:val="24"/>
        </w:rPr>
        <w:t xml:space="preserve"> på 10</w:t>
      </w:r>
      <w:r w:rsidRPr="00DB1A1B">
        <w:rPr>
          <w:sz w:val="24"/>
          <w:szCs w:val="24"/>
        </w:rPr>
        <w:t> </w:t>
      </w:r>
      <w:r w:rsidRPr="00DB1A1B">
        <w:rPr>
          <w:color w:val="000000"/>
          <w:sz w:val="24"/>
          <w:szCs w:val="24"/>
        </w:rPr>
        <w:t>mg/l til 100</w:t>
      </w:r>
      <w:r w:rsidRPr="00DB1A1B">
        <w:rPr>
          <w:sz w:val="24"/>
          <w:szCs w:val="24"/>
        </w:rPr>
        <w:t> </w:t>
      </w:r>
      <w:r w:rsidRPr="00DB1A1B">
        <w:rPr>
          <w:color w:val="000000"/>
          <w:sz w:val="24"/>
          <w:szCs w:val="24"/>
        </w:rPr>
        <w:t xml:space="preserve">mg/l er bindingen af lægemidlet til plasmaproteiner ca. 30-55%, målt ved </w:t>
      </w:r>
      <w:proofErr w:type="spellStart"/>
      <w:r w:rsidRPr="00DB1A1B">
        <w:rPr>
          <w:color w:val="000000"/>
          <w:sz w:val="24"/>
          <w:szCs w:val="24"/>
        </w:rPr>
        <w:t>ultra</w:t>
      </w:r>
      <w:proofErr w:type="spellEnd"/>
      <w:r w:rsidRPr="00DB1A1B">
        <w:rPr>
          <w:color w:val="000000"/>
          <w:sz w:val="24"/>
          <w:szCs w:val="24"/>
        </w:rPr>
        <w:t>-filtrering.</w:t>
      </w:r>
    </w:p>
    <w:p w14:paraId="011B938E" w14:textId="77777777" w:rsidR="004435FC" w:rsidRPr="00DB1A1B" w:rsidRDefault="004435FC" w:rsidP="00270E7C">
      <w:pPr>
        <w:suppressAutoHyphens/>
        <w:ind w:left="851"/>
        <w:rPr>
          <w:color w:val="000000"/>
          <w:sz w:val="24"/>
          <w:szCs w:val="24"/>
        </w:rPr>
      </w:pPr>
    </w:p>
    <w:p w14:paraId="19F850E8" w14:textId="77777777" w:rsidR="004435FC" w:rsidRPr="00DB1A1B" w:rsidRDefault="004435FC" w:rsidP="00270E7C">
      <w:pPr>
        <w:suppressAutoHyphens/>
        <w:ind w:left="851"/>
        <w:rPr>
          <w:color w:val="000000"/>
          <w:sz w:val="24"/>
          <w:szCs w:val="24"/>
        </w:rPr>
      </w:pPr>
      <w:proofErr w:type="spellStart"/>
      <w:r w:rsidRPr="00DB1A1B">
        <w:rPr>
          <w:color w:val="000000"/>
          <w:sz w:val="24"/>
          <w:szCs w:val="24"/>
        </w:rPr>
        <w:t>Vancomycin</w:t>
      </w:r>
      <w:proofErr w:type="spellEnd"/>
      <w:r w:rsidRPr="00DB1A1B">
        <w:rPr>
          <w:color w:val="000000"/>
          <w:sz w:val="24"/>
          <w:szCs w:val="24"/>
        </w:rPr>
        <w:t xml:space="preserve"> diffunderer let over placenta og fordeles i navlestrengsblodet. Hos ikke-betændte </w:t>
      </w:r>
      <w:proofErr w:type="spellStart"/>
      <w:r w:rsidRPr="00DB1A1B">
        <w:rPr>
          <w:color w:val="000000"/>
          <w:sz w:val="24"/>
          <w:szCs w:val="24"/>
        </w:rPr>
        <w:t>meninges</w:t>
      </w:r>
      <w:proofErr w:type="spellEnd"/>
      <w:r w:rsidRPr="00DB1A1B">
        <w:rPr>
          <w:color w:val="000000"/>
          <w:sz w:val="24"/>
          <w:szCs w:val="24"/>
        </w:rPr>
        <w:t xml:space="preserve"> passerer </w:t>
      </w:r>
      <w:proofErr w:type="spellStart"/>
      <w:r w:rsidRPr="00DB1A1B">
        <w:rPr>
          <w:color w:val="000000"/>
          <w:sz w:val="24"/>
          <w:szCs w:val="24"/>
        </w:rPr>
        <w:t>vancomycin</w:t>
      </w:r>
      <w:proofErr w:type="spellEnd"/>
      <w:r w:rsidRPr="00DB1A1B">
        <w:rPr>
          <w:color w:val="000000"/>
          <w:sz w:val="24"/>
          <w:szCs w:val="24"/>
        </w:rPr>
        <w:t xml:space="preserve"> kun blod-hjerne-barrieren i ringe grad.</w:t>
      </w:r>
    </w:p>
    <w:p w14:paraId="66448F19" w14:textId="77777777" w:rsidR="004435FC" w:rsidRPr="00DB1A1B" w:rsidRDefault="004435FC" w:rsidP="00270E7C">
      <w:pPr>
        <w:suppressAutoHyphens/>
        <w:ind w:left="851"/>
        <w:rPr>
          <w:color w:val="000000"/>
          <w:sz w:val="24"/>
          <w:szCs w:val="24"/>
        </w:rPr>
      </w:pPr>
    </w:p>
    <w:p w14:paraId="6F32ADF9" w14:textId="77777777" w:rsidR="004435FC" w:rsidRPr="00DB1A1B" w:rsidRDefault="004435FC" w:rsidP="00270E7C">
      <w:pPr>
        <w:suppressAutoHyphens/>
        <w:ind w:left="851"/>
        <w:rPr>
          <w:sz w:val="24"/>
          <w:szCs w:val="24"/>
          <w:u w:val="single"/>
        </w:rPr>
      </w:pPr>
      <w:r w:rsidRPr="00DB1A1B">
        <w:rPr>
          <w:sz w:val="24"/>
          <w:szCs w:val="24"/>
          <w:u w:val="single"/>
        </w:rPr>
        <w:t>Biotransformation</w:t>
      </w:r>
    </w:p>
    <w:p w14:paraId="06492398" w14:textId="77777777" w:rsidR="004435FC" w:rsidRPr="00DB1A1B" w:rsidRDefault="004435FC" w:rsidP="00270E7C">
      <w:pPr>
        <w:suppressAutoHyphens/>
        <w:ind w:left="851"/>
        <w:rPr>
          <w:sz w:val="24"/>
          <w:szCs w:val="24"/>
        </w:rPr>
      </w:pPr>
      <w:r w:rsidRPr="00DB1A1B">
        <w:rPr>
          <w:sz w:val="24"/>
          <w:szCs w:val="24"/>
        </w:rPr>
        <w:t xml:space="preserve">Lægemidlet </w:t>
      </w:r>
      <w:proofErr w:type="spellStart"/>
      <w:r w:rsidRPr="00DB1A1B">
        <w:rPr>
          <w:sz w:val="24"/>
          <w:szCs w:val="24"/>
        </w:rPr>
        <w:t>metaboliseres</w:t>
      </w:r>
      <w:proofErr w:type="spellEnd"/>
      <w:r w:rsidRPr="00DB1A1B">
        <w:rPr>
          <w:sz w:val="24"/>
          <w:szCs w:val="24"/>
        </w:rPr>
        <w:t xml:space="preserve"> kun i lille omfang. Efter parenteral indgivelse udskilles det </w:t>
      </w:r>
      <w:proofErr w:type="spellStart"/>
      <w:r w:rsidRPr="00DB1A1B">
        <w:rPr>
          <w:sz w:val="24"/>
          <w:szCs w:val="24"/>
        </w:rPr>
        <w:t>renalt</w:t>
      </w:r>
      <w:proofErr w:type="spellEnd"/>
      <w:r w:rsidRPr="00DB1A1B">
        <w:rPr>
          <w:sz w:val="24"/>
          <w:szCs w:val="24"/>
        </w:rPr>
        <w:t xml:space="preserve"> via </w:t>
      </w:r>
      <w:proofErr w:type="spellStart"/>
      <w:r w:rsidRPr="00DB1A1B">
        <w:rPr>
          <w:sz w:val="24"/>
          <w:szCs w:val="24"/>
        </w:rPr>
        <w:t>glomerulær</w:t>
      </w:r>
      <w:proofErr w:type="spellEnd"/>
      <w:r w:rsidRPr="00DB1A1B">
        <w:rPr>
          <w:sz w:val="24"/>
          <w:szCs w:val="24"/>
        </w:rPr>
        <w:t xml:space="preserve"> filtration, næsten fuldstændigt som det mikrobiologisk aktive stof (ca. 75-90% inden for 24 timer).</w:t>
      </w:r>
    </w:p>
    <w:p w14:paraId="3EE734B1" w14:textId="77777777" w:rsidR="004435FC" w:rsidRPr="00DB1A1B" w:rsidRDefault="004435FC" w:rsidP="00270E7C">
      <w:pPr>
        <w:suppressAutoHyphens/>
        <w:ind w:left="851"/>
        <w:rPr>
          <w:sz w:val="24"/>
          <w:szCs w:val="24"/>
        </w:rPr>
      </w:pPr>
    </w:p>
    <w:p w14:paraId="46DD462A" w14:textId="77777777" w:rsidR="004435FC" w:rsidRPr="00DB1A1B" w:rsidRDefault="004435FC" w:rsidP="00270E7C">
      <w:pPr>
        <w:suppressAutoHyphens/>
        <w:ind w:left="851"/>
        <w:rPr>
          <w:sz w:val="24"/>
          <w:szCs w:val="24"/>
          <w:u w:val="single"/>
        </w:rPr>
      </w:pPr>
      <w:r w:rsidRPr="00DB1A1B">
        <w:rPr>
          <w:sz w:val="24"/>
          <w:szCs w:val="24"/>
          <w:u w:val="single"/>
        </w:rPr>
        <w:t>Elimination</w:t>
      </w:r>
    </w:p>
    <w:p w14:paraId="31D98742" w14:textId="77777777" w:rsidR="004435FC" w:rsidRPr="00DB1A1B" w:rsidRDefault="004435FC" w:rsidP="00270E7C">
      <w:pPr>
        <w:suppressAutoHyphens/>
        <w:ind w:left="851"/>
        <w:rPr>
          <w:sz w:val="24"/>
          <w:szCs w:val="24"/>
        </w:rPr>
      </w:pPr>
      <w:r w:rsidRPr="00DB1A1B">
        <w:rPr>
          <w:sz w:val="24"/>
          <w:szCs w:val="24"/>
        </w:rPr>
        <w:t xml:space="preserve">Halveringstiden af </w:t>
      </w:r>
      <w:proofErr w:type="spellStart"/>
      <w:r w:rsidRPr="00DB1A1B">
        <w:rPr>
          <w:sz w:val="24"/>
          <w:szCs w:val="24"/>
        </w:rPr>
        <w:t>vancomycin</w:t>
      </w:r>
      <w:proofErr w:type="spellEnd"/>
      <w:r w:rsidRPr="00DB1A1B">
        <w:rPr>
          <w:sz w:val="24"/>
          <w:szCs w:val="24"/>
        </w:rPr>
        <w:t xml:space="preserve"> er 4 til 6 timer hos patienter med normal nyrefunktion og 2,2-3 timer hos børn. </w:t>
      </w:r>
      <w:proofErr w:type="spellStart"/>
      <w:r w:rsidRPr="00DB1A1B">
        <w:rPr>
          <w:sz w:val="24"/>
          <w:szCs w:val="24"/>
        </w:rPr>
        <w:t>Clearance</w:t>
      </w:r>
      <w:proofErr w:type="spellEnd"/>
      <w:r w:rsidRPr="00DB1A1B">
        <w:rPr>
          <w:sz w:val="24"/>
          <w:szCs w:val="24"/>
        </w:rPr>
        <w:t xml:space="preserve"> fra plasma er ca. 0,058 l/kg/h og fra nyrer ca. 0,048 l/kg/time. I de første 24 timer udskilles ca. 80 % af en administreret dosis af </w:t>
      </w:r>
      <w:proofErr w:type="spellStart"/>
      <w:r w:rsidRPr="00DB1A1B">
        <w:rPr>
          <w:sz w:val="24"/>
          <w:szCs w:val="24"/>
        </w:rPr>
        <w:t>vancomycin</w:t>
      </w:r>
      <w:proofErr w:type="spellEnd"/>
      <w:r w:rsidRPr="00DB1A1B">
        <w:rPr>
          <w:sz w:val="24"/>
          <w:szCs w:val="24"/>
        </w:rPr>
        <w:t xml:space="preserve"> i urinen gennem </w:t>
      </w:r>
      <w:proofErr w:type="spellStart"/>
      <w:r w:rsidRPr="00DB1A1B">
        <w:rPr>
          <w:sz w:val="24"/>
          <w:szCs w:val="24"/>
        </w:rPr>
        <w:t>glomerulær</w:t>
      </w:r>
      <w:proofErr w:type="spellEnd"/>
      <w:r w:rsidRPr="00DB1A1B">
        <w:rPr>
          <w:sz w:val="24"/>
          <w:szCs w:val="24"/>
        </w:rPr>
        <w:t xml:space="preserve"> filtration. Nedsat nyrefunktion forsinker udskillelsen af </w:t>
      </w:r>
      <w:proofErr w:type="spellStart"/>
      <w:r w:rsidRPr="00DB1A1B">
        <w:rPr>
          <w:sz w:val="24"/>
          <w:szCs w:val="24"/>
        </w:rPr>
        <w:t>vancomycin</w:t>
      </w:r>
      <w:proofErr w:type="spellEnd"/>
      <w:r w:rsidRPr="00DB1A1B">
        <w:rPr>
          <w:sz w:val="24"/>
          <w:szCs w:val="24"/>
        </w:rPr>
        <w:t xml:space="preserve">. Hos patienter med nedsat nyrefunktion var den gennemsnitlige halveringstid 7,5 dage. På grund af </w:t>
      </w:r>
      <w:proofErr w:type="spellStart"/>
      <w:r w:rsidRPr="00DB1A1B">
        <w:rPr>
          <w:sz w:val="24"/>
          <w:szCs w:val="24"/>
        </w:rPr>
        <w:t>ototoksicitet</w:t>
      </w:r>
      <w:proofErr w:type="spellEnd"/>
      <w:r w:rsidRPr="00DB1A1B">
        <w:rPr>
          <w:sz w:val="24"/>
          <w:szCs w:val="24"/>
        </w:rPr>
        <w:t xml:space="preserve"> af </w:t>
      </w:r>
      <w:proofErr w:type="spellStart"/>
      <w:r w:rsidRPr="00DB1A1B">
        <w:rPr>
          <w:sz w:val="24"/>
          <w:szCs w:val="24"/>
        </w:rPr>
        <w:t>vancomycin</w:t>
      </w:r>
      <w:proofErr w:type="spellEnd"/>
      <w:r w:rsidRPr="00DB1A1B">
        <w:rPr>
          <w:sz w:val="24"/>
          <w:szCs w:val="24"/>
        </w:rPr>
        <w:t xml:space="preserve"> er terapi-</w:t>
      </w:r>
      <w:proofErr w:type="spellStart"/>
      <w:r w:rsidRPr="00DB1A1B">
        <w:rPr>
          <w:sz w:val="24"/>
          <w:szCs w:val="24"/>
        </w:rPr>
        <w:t>adjuvant</w:t>
      </w:r>
      <w:proofErr w:type="spellEnd"/>
      <w:r w:rsidRPr="00DB1A1B">
        <w:rPr>
          <w:sz w:val="24"/>
          <w:szCs w:val="24"/>
        </w:rPr>
        <w:t xml:space="preserve"> monitorering af plasmakoncentrationen indiceret i sådanne tilfælde.</w:t>
      </w:r>
    </w:p>
    <w:p w14:paraId="0126CC31" w14:textId="77777777" w:rsidR="004435FC" w:rsidRPr="00DB1A1B" w:rsidRDefault="004435FC" w:rsidP="00270E7C">
      <w:pPr>
        <w:suppressAutoHyphens/>
        <w:ind w:left="851"/>
        <w:rPr>
          <w:sz w:val="24"/>
          <w:szCs w:val="24"/>
        </w:rPr>
      </w:pPr>
    </w:p>
    <w:p w14:paraId="487425C7" w14:textId="77777777" w:rsidR="004435FC" w:rsidRPr="00DB1A1B" w:rsidRDefault="004435FC" w:rsidP="00270E7C">
      <w:pPr>
        <w:suppressAutoHyphens/>
        <w:ind w:left="851"/>
        <w:rPr>
          <w:sz w:val="24"/>
          <w:szCs w:val="24"/>
        </w:rPr>
      </w:pPr>
      <w:r w:rsidRPr="00DB1A1B">
        <w:rPr>
          <w:sz w:val="24"/>
          <w:szCs w:val="24"/>
        </w:rPr>
        <w:lastRenderedPageBreak/>
        <w:t>Galdesekretion er ubetydelig (mindre end 5 % af en dosis).</w:t>
      </w:r>
    </w:p>
    <w:p w14:paraId="2ADA230E" w14:textId="77777777" w:rsidR="004435FC" w:rsidRPr="00DB1A1B" w:rsidRDefault="004435FC" w:rsidP="00270E7C">
      <w:pPr>
        <w:suppressAutoHyphens/>
        <w:ind w:left="851"/>
        <w:rPr>
          <w:sz w:val="24"/>
          <w:szCs w:val="24"/>
        </w:rPr>
      </w:pPr>
    </w:p>
    <w:p w14:paraId="0D7F9446" w14:textId="77777777" w:rsidR="004435FC" w:rsidRPr="00DB1A1B" w:rsidRDefault="004435FC" w:rsidP="00270E7C">
      <w:pPr>
        <w:suppressAutoHyphens/>
        <w:ind w:left="851"/>
        <w:rPr>
          <w:sz w:val="24"/>
          <w:szCs w:val="24"/>
        </w:rPr>
      </w:pPr>
      <w:r w:rsidRPr="00DB1A1B">
        <w:rPr>
          <w:sz w:val="24"/>
          <w:szCs w:val="24"/>
        </w:rPr>
        <w:t xml:space="preserve">Selvom </w:t>
      </w:r>
      <w:proofErr w:type="spellStart"/>
      <w:r w:rsidRPr="00DB1A1B">
        <w:rPr>
          <w:sz w:val="24"/>
          <w:szCs w:val="24"/>
        </w:rPr>
        <w:t>vancomycin</w:t>
      </w:r>
      <w:proofErr w:type="spellEnd"/>
      <w:r w:rsidRPr="00DB1A1B">
        <w:rPr>
          <w:sz w:val="24"/>
          <w:szCs w:val="24"/>
        </w:rPr>
        <w:t xml:space="preserve"> ikke elimineres effektivt ved hæmodialyse eller </w:t>
      </w:r>
      <w:proofErr w:type="spellStart"/>
      <w:r w:rsidRPr="00DB1A1B">
        <w:rPr>
          <w:sz w:val="24"/>
          <w:szCs w:val="24"/>
        </w:rPr>
        <w:t>peritonealdialyse</w:t>
      </w:r>
      <w:proofErr w:type="spellEnd"/>
      <w:r w:rsidRPr="00DB1A1B">
        <w:rPr>
          <w:sz w:val="24"/>
          <w:szCs w:val="24"/>
        </w:rPr>
        <w:t xml:space="preserve">, har der været rapporter om en stigning i </w:t>
      </w:r>
      <w:proofErr w:type="spellStart"/>
      <w:r w:rsidRPr="00DB1A1B">
        <w:rPr>
          <w:sz w:val="24"/>
          <w:szCs w:val="24"/>
        </w:rPr>
        <w:t>vancomycin</w:t>
      </w:r>
      <w:proofErr w:type="spellEnd"/>
      <w:r w:rsidRPr="00DB1A1B">
        <w:rPr>
          <w:sz w:val="24"/>
          <w:szCs w:val="24"/>
        </w:rPr>
        <w:t xml:space="preserve"> </w:t>
      </w:r>
      <w:proofErr w:type="spellStart"/>
      <w:r w:rsidRPr="00DB1A1B">
        <w:rPr>
          <w:sz w:val="24"/>
          <w:szCs w:val="24"/>
        </w:rPr>
        <w:t>clearance</w:t>
      </w:r>
      <w:proofErr w:type="spellEnd"/>
      <w:r w:rsidRPr="00DB1A1B">
        <w:rPr>
          <w:sz w:val="24"/>
          <w:szCs w:val="24"/>
        </w:rPr>
        <w:t xml:space="preserve"> med </w:t>
      </w:r>
      <w:proofErr w:type="spellStart"/>
      <w:r w:rsidRPr="00DB1A1B">
        <w:rPr>
          <w:sz w:val="24"/>
          <w:szCs w:val="24"/>
        </w:rPr>
        <w:t>hæmoperfusion</w:t>
      </w:r>
      <w:proofErr w:type="spellEnd"/>
      <w:r w:rsidRPr="00DB1A1B">
        <w:rPr>
          <w:sz w:val="24"/>
          <w:szCs w:val="24"/>
        </w:rPr>
        <w:t xml:space="preserve"> og </w:t>
      </w:r>
      <w:proofErr w:type="spellStart"/>
      <w:r w:rsidRPr="00DB1A1B">
        <w:rPr>
          <w:sz w:val="24"/>
          <w:szCs w:val="24"/>
        </w:rPr>
        <w:t>hæmofiltration</w:t>
      </w:r>
      <w:proofErr w:type="spellEnd"/>
      <w:r w:rsidRPr="00DB1A1B">
        <w:rPr>
          <w:sz w:val="24"/>
          <w:szCs w:val="24"/>
        </w:rPr>
        <w:t xml:space="preserve">. </w:t>
      </w:r>
    </w:p>
    <w:p w14:paraId="72680024" w14:textId="77777777" w:rsidR="004435FC" w:rsidRPr="00DB1A1B" w:rsidRDefault="004435FC" w:rsidP="00270E7C">
      <w:pPr>
        <w:suppressAutoHyphens/>
        <w:ind w:left="851"/>
        <w:rPr>
          <w:sz w:val="24"/>
          <w:szCs w:val="24"/>
        </w:rPr>
      </w:pPr>
    </w:p>
    <w:p w14:paraId="1ADA668F" w14:textId="77777777" w:rsidR="004435FC" w:rsidRPr="00DB1A1B" w:rsidRDefault="004435FC" w:rsidP="00270E7C">
      <w:pPr>
        <w:suppressAutoHyphens/>
        <w:ind w:left="851"/>
        <w:rPr>
          <w:sz w:val="24"/>
          <w:szCs w:val="24"/>
          <w:u w:val="single"/>
        </w:rPr>
      </w:pPr>
      <w:proofErr w:type="spellStart"/>
      <w:r w:rsidRPr="00DB1A1B">
        <w:rPr>
          <w:sz w:val="24"/>
          <w:szCs w:val="24"/>
          <w:u w:val="single"/>
        </w:rPr>
        <w:t>Lineraritet</w:t>
      </w:r>
      <w:proofErr w:type="spellEnd"/>
      <w:r w:rsidRPr="00DB1A1B">
        <w:rPr>
          <w:sz w:val="24"/>
          <w:szCs w:val="24"/>
          <w:u w:val="single"/>
        </w:rPr>
        <w:t xml:space="preserve"> / </w:t>
      </w:r>
      <w:proofErr w:type="spellStart"/>
      <w:r w:rsidRPr="00DB1A1B">
        <w:rPr>
          <w:sz w:val="24"/>
          <w:szCs w:val="24"/>
          <w:u w:val="single"/>
        </w:rPr>
        <w:t>ulinearitet</w:t>
      </w:r>
      <w:proofErr w:type="spellEnd"/>
    </w:p>
    <w:p w14:paraId="479D2AA1" w14:textId="77777777" w:rsidR="004435FC" w:rsidRPr="00DB1A1B" w:rsidRDefault="004435FC" w:rsidP="00270E7C">
      <w:pPr>
        <w:suppressAutoHyphens/>
        <w:ind w:left="851"/>
        <w:rPr>
          <w:sz w:val="24"/>
          <w:szCs w:val="24"/>
        </w:rPr>
      </w:pPr>
      <w:proofErr w:type="spellStart"/>
      <w:r w:rsidRPr="00DB1A1B">
        <w:rPr>
          <w:sz w:val="24"/>
          <w:szCs w:val="24"/>
        </w:rPr>
        <w:t>Vancomycinkoncentration</w:t>
      </w:r>
      <w:proofErr w:type="spellEnd"/>
      <w:r w:rsidRPr="00DB1A1B">
        <w:rPr>
          <w:sz w:val="24"/>
          <w:szCs w:val="24"/>
        </w:rPr>
        <w:t xml:space="preserve"> forøges almindeligvis proportionalt med stigende dosis. Plasmakoncentrationerne under indgivelse af multiple doser er de samme som efter administration af en enkelt dosis.</w:t>
      </w:r>
    </w:p>
    <w:p w14:paraId="7379428B" w14:textId="77777777" w:rsidR="004435FC" w:rsidRPr="00DB1A1B" w:rsidRDefault="004435FC" w:rsidP="00270E7C">
      <w:pPr>
        <w:suppressAutoHyphens/>
        <w:ind w:left="851"/>
        <w:rPr>
          <w:sz w:val="24"/>
          <w:szCs w:val="24"/>
        </w:rPr>
      </w:pPr>
    </w:p>
    <w:p w14:paraId="0DFAC975" w14:textId="77777777" w:rsidR="004435FC" w:rsidRPr="00DB1A1B" w:rsidRDefault="004435FC" w:rsidP="00270E7C">
      <w:pPr>
        <w:suppressAutoHyphens/>
        <w:ind w:left="851"/>
        <w:rPr>
          <w:sz w:val="24"/>
          <w:szCs w:val="24"/>
          <w:u w:val="single"/>
        </w:rPr>
      </w:pPr>
      <w:r w:rsidRPr="00DB1A1B">
        <w:rPr>
          <w:sz w:val="24"/>
          <w:szCs w:val="24"/>
          <w:u w:val="single"/>
        </w:rPr>
        <w:t>Egenskaber hos specifikke grupper</w:t>
      </w:r>
    </w:p>
    <w:p w14:paraId="690F43D3" w14:textId="77777777" w:rsidR="004435FC" w:rsidRPr="00DB1A1B" w:rsidRDefault="004435FC" w:rsidP="00270E7C">
      <w:pPr>
        <w:suppressAutoHyphens/>
        <w:ind w:left="851"/>
        <w:rPr>
          <w:sz w:val="24"/>
          <w:szCs w:val="24"/>
          <w:u w:val="single"/>
        </w:rPr>
      </w:pPr>
    </w:p>
    <w:p w14:paraId="09A9E9F2" w14:textId="77777777" w:rsidR="004435FC" w:rsidRPr="00DB1A1B" w:rsidRDefault="004435FC" w:rsidP="00270E7C">
      <w:pPr>
        <w:suppressAutoHyphens/>
        <w:ind w:left="851"/>
        <w:rPr>
          <w:i/>
          <w:sz w:val="24"/>
          <w:szCs w:val="24"/>
        </w:rPr>
      </w:pPr>
      <w:r w:rsidRPr="00DB1A1B">
        <w:rPr>
          <w:i/>
          <w:sz w:val="24"/>
          <w:szCs w:val="24"/>
        </w:rPr>
        <w:t>Nedsat nyrefunktion</w:t>
      </w:r>
    </w:p>
    <w:p w14:paraId="568098CB" w14:textId="77777777" w:rsidR="004435FC" w:rsidRPr="00DB1A1B" w:rsidRDefault="004435FC" w:rsidP="00270E7C">
      <w:pPr>
        <w:suppressAutoHyphens/>
        <w:ind w:left="851"/>
        <w:rPr>
          <w:sz w:val="24"/>
          <w:szCs w:val="24"/>
        </w:rPr>
      </w:pPr>
      <w:proofErr w:type="spellStart"/>
      <w:r w:rsidRPr="00DB1A1B">
        <w:rPr>
          <w:sz w:val="24"/>
          <w:szCs w:val="24"/>
        </w:rPr>
        <w:t>Vancomycin</w:t>
      </w:r>
      <w:proofErr w:type="spellEnd"/>
      <w:r w:rsidRPr="00DB1A1B">
        <w:rPr>
          <w:sz w:val="24"/>
          <w:szCs w:val="24"/>
        </w:rPr>
        <w:t xml:space="preserve"> </w:t>
      </w:r>
      <w:proofErr w:type="spellStart"/>
      <w:r w:rsidRPr="00DB1A1B">
        <w:rPr>
          <w:sz w:val="24"/>
          <w:szCs w:val="24"/>
        </w:rPr>
        <w:t>elimimeres</w:t>
      </w:r>
      <w:proofErr w:type="spellEnd"/>
      <w:r w:rsidRPr="00DB1A1B">
        <w:rPr>
          <w:sz w:val="24"/>
          <w:szCs w:val="24"/>
        </w:rPr>
        <w:t xml:space="preserve"> primært ved </w:t>
      </w:r>
      <w:proofErr w:type="spellStart"/>
      <w:r w:rsidRPr="00DB1A1B">
        <w:rPr>
          <w:sz w:val="24"/>
          <w:szCs w:val="24"/>
        </w:rPr>
        <w:t>glomerulær</w:t>
      </w:r>
      <w:proofErr w:type="spellEnd"/>
      <w:r w:rsidRPr="00DB1A1B">
        <w:rPr>
          <w:sz w:val="24"/>
          <w:szCs w:val="24"/>
        </w:rPr>
        <w:t xml:space="preserve"> filtration. Hos patienter med nedsat nyrefunktion er den terminale eliminationshalveringstid af </w:t>
      </w:r>
      <w:proofErr w:type="spellStart"/>
      <w:r w:rsidRPr="00DB1A1B">
        <w:rPr>
          <w:sz w:val="24"/>
          <w:szCs w:val="24"/>
        </w:rPr>
        <w:t>vancomycin</w:t>
      </w:r>
      <w:proofErr w:type="spellEnd"/>
      <w:r w:rsidRPr="00DB1A1B">
        <w:rPr>
          <w:sz w:val="24"/>
          <w:szCs w:val="24"/>
        </w:rPr>
        <w:t xml:space="preserve"> forlænget, og den totale </w:t>
      </w:r>
      <w:proofErr w:type="spellStart"/>
      <w:r w:rsidRPr="00DB1A1B">
        <w:rPr>
          <w:sz w:val="24"/>
          <w:szCs w:val="24"/>
        </w:rPr>
        <w:t>clearance</w:t>
      </w:r>
      <w:proofErr w:type="spellEnd"/>
      <w:r w:rsidRPr="00DB1A1B">
        <w:rPr>
          <w:sz w:val="24"/>
          <w:szCs w:val="24"/>
        </w:rPr>
        <w:t xml:space="preserve"> er reduceret. Efterfølgende skal optimal dosis beregnes i overensstemmelse med doseringsanbefalingerne i pkt.  4.2. Dosering og administration.</w:t>
      </w:r>
    </w:p>
    <w:p w14:paraId="1E728036" w14:textId="77777777" w:rsidR="004435FC" w:rsidRPr="00DB1A1B" w:rsidRDefault="004435FC" w:rsidP="00270E7C">
      <w:pPr>
        <w:suppressAutoHyphens/>
        <w:ind w:left="851"/>
        <w:rPr>
          <w:sz w:val="24"/>
          <w:szCs w:val="24"/>
        </w:rPr>
      </w:pPr>
    </w:p>
    <w:p w14:paraId="29AD50A4" w14:textId="77777777" w:rsidR="004435FC" w:rsidRPr="00DB1A1B" w:rsidRDefault="004435FC" w:rsidP="00270E7C">
      <w:pPr>
        <w:suppressAutoHyphens/>
        <w:ind w:left="851"/>
        <w:rPr>
          <w:i/>
          <w:sz w:val="24"/>
          <w:szCs w:val="24"/>
        </w:rPr>
      </w:pPr>
      <w:r w:rsidRPr="00DB1A1B">
        <w:rPr>
          <w:i/>
          <w:sz w:val="24"/>
          <w:szCs w:val="24"/>
        </w:rPr>
        <w:t>Nedsat leverfunktion</w:t>
      </w:r>
    </w:p>
    <w:p w14:paraId="78FB5FD1" w14:textId="77777777" w:rsidR="004435FC" w:rsidRPr="00DB1A1B" w:rsidRDefault="004435FC" w:rsidP="00270E7C">
      <w:pPr>
        <w:suppressAutoHyphens/>
        <w:ind w:left="851"/>
        <w:rPr>
          <w:sz w:val="24"/>
          <w:szCs w:val="24"/>
        </w:rPr>
      </w:pPr>
      <w:proofErr w:type="spellStart"/>
      <w:r w:rsidRPr="00DB1A1B">
        <w:rPr>
          <w:sz w:val="24"/>
          <w:szCs w:val="24"/>
        </w:rPr>
        <w:t>Vancomycins</w:t>
      </w:r>
      <w:proofErr w:type="spellEnd"/>
      <w:r w:rsidRPr="00DB1A1B">
        <w:rPr>
          <w:sz w:val="24"/>
          <w:szCs w:val="24"/>
        </w:rPr>
        <w:t xml:space="preserve"> </w:t>
      </w:r>
      <w:proofErr w:type="spellStart"/>
      <w:r w:rsidRPr="00DB1A1B">
        <w:rPr>
          <w:sz w:val="24"/>
          <w:szCs w:val="24"/>
        </w:rPr>
        <w:t>farmakokinetiske</w:t>
      </w:r>
      <w:proofErr w:type="spellEnd"/>
      <w:r w:rsidRPr="00DB1A1B">
        <w:rPr>
          <w:sz w:val="24"/>
          <w:szCs w:val="24"/>
        </w:rPr>
        <w:t xml:space="preserve"> forhold ændres ikke hos patienter med nedsat leverfunktion.</w:t>
      </w:r>
    </w:p>
    <w:p w14:paraId="5E97D6A0" w14:textId="77777777" w:rsidR="004435FC" w:rsidRPr="00DB1A1B" w:rsidRDefault="004435FC" w:rsidP="00270E7C">
      <w:pPr>
        <w:suppressAutoHyphens/>
        <w:ind w:left="851"/>
        <w:rPr>
          <w:sz w:val="24"/>
          <w:szCs w:val="24"/>
        </w:rPr>
      </w:pPr>
    </w:p>
    <w:p w14:paraId="0211A227" w14:textId="77777777" w:rsidR="004435FC" w:rsidRPr="00DB1A1B" w:rsidRDefault="004435FC" w:rsidP="00270E7C">
      <w:pPr>
        <w:suppressAutoHyphens/>
        <w:ind w:left="851"/>
        <w:rPr>
          <w:i/>
          <w:sz w:val="24"/>
          <w:szCs w:val="24"/>
        </w:rPr>
      </w:pPr>
      <w:r w:rsidRPr="00DB1A1B">
        <w:rPr>
          <w:i/>
          <w:sz w:val="24"/>
          <w:szCs w:val="24"/>
        </w:rPr>
        <w:t>Gravide:</w:t>
      </w:r>
    </w:p>
    <w:p w14:paraId="79866677" w14:textId="77777777" w:rsidR="004435FC" w:rsidRPr="00DB1A1B" w:rsidRDefault="004435FC" w:rsidP="00270E7C">
      <w:pPr>
        <w:suppressAutoHyphens/>
        <w:ind w:left="851"/>
        <w:rPr>
          <w:sz w:val="24"/>
          <w:szCs w:val="24"/>
        </w:rPr>
      </w:pPr>
      <w:r w:rsidRPr="00DB1A1B">
        <w:rPr>
          <w:sz w:val="24"/>
          <w:szCs w:val="24"/>
        </w:rPr>
        <w:t>Markant øgede doser kan være nødvendige for at opnå terapeutiske serumkoncentrationer hos gravide (se pkt.  4.6).</w:t>
      </w:r>
    </w:p>
    <w:p w14:paraId="3415DB32" w14:textId="77777777" w:rsidR="004435FC" w:rsidRPr="00DB1A1B" w:rsidRDefault="004435FC" w:rsidP="00270E7C">
      <w:pPr>
        <w:suppressAutoHyphens/>
        <w:ind w:left="851"/>
        <w:rPr>
          <w:sz w:val="24"/>
          <w:szCs w:val="24"/>
        </w:rPr>
      </w:pPr>
    </w:p>
    <w:p w14:paraId="4586D03A" w14:textId="77777777" w:rsidR="004435FC" w:rsidRPr="00DB1A1B" w:rsidRDefault="004435FC" w:rsidP="00270E7C">
      <w:pPr>
        <w:suppressAutoHyphens/>
        <w:ind w:left="851"/>
        <w:rPr>
          <w:i/>
          <w:sz w:val="24"/>
          <w:szCs w:val="24"/>
        </w:rPr>
      </w:pPr>
      <w:r w:rsidRPr="00DB1A1B">
        <w:rPr>
          <w:i/>
          <w:sz w:val="24"/>
          <w:szCs w:val="24"/>
        </w:rPr>
        <w:t>Overvægtige patienter</w:t>
      </w:r>
    </w:p>
    <w:p w14:paraId="5FEF0A59" w14:textId="77777777" w:rsidR="004435FC" w:rsidRPr="00DB1A1B" w:rsidRDefault="004435FC" w:rsidP="00270E7C">
      <w:pPr>
        <w:suppressAutoHyphens/>
        <w:ind w:left="851"/>
        <w:rPr>
          <w:sz w:val="24"/>
          <w:szCs w:val="24"/>
        </w:rPr>
      </w:pPr>
      <w:proofErr w:type="spellStart"/>
      <w:r w:rsidRPr="00DB1A1B">
        <w:rPr>
          <w:sz w:val="24"/>
          <w:szCs w:val="24"/>
        </w:rPr>
        <w:t>Vancomycinfordelingen</w:t>
      </w:r>
      <w:proofErr w:type="spellEnd"/>
      <w:r w:rsidRPr="00DB1A1B">
        <w:rPr>
          <w:sz w:val="24"/>
          <w:szCs w:val="24"/>
        </w:rPr>
        <w:t xml:space="preserve"> kan ændres for overvægtige patienter som følge af stigninger i distributionsvolumen, i </w:t>
      </w:r>
      <w:proofErr w:type="spellStart"/>
      <w:r w:rsidRPr="00DB1A1B">
        <w:rPr>
          <w:sz w:val="24"/>
          <w:szCs w:val="24"/>
        </w:rPr>
        <w:t>renal</w:t>
      </w:r>
      <w:proofErr w:type="spellEnd"/>
      <w:r w:rsidRPr="00DB1A1B">
        <w:rPr>
          <w:sz w:val="24"/>
          <w:szCs w:val="24"/>
        </w:rPr>
        <w:t xml:space="preserve"> </w:t>
      </w:r>
      <w:proofErr w:type="spellStart"/>
      <w:r w:rsidRPr="00DB1A1B">
        <w:rPr>
          <w:sz w:val="24"/>
          <w:szCs w:val="24"/>
        </w:rPr>
        <w:t>clearance</w:t>
      </w:r>
      <w:proofErr w:type="spellEnd"/>
      <w:r w:rsidRPr="00DB1A1B">
        <w:rPr>
          <w:sz w:val="24"/>
          <w:szCs w:val="24"/>
        </w:rPr>
        <w:t xml:space="preserve"> og eventuelle ændringer i plasmaproteinbinding. Hos denne befolkningsgruppe er den fundne </w:t>
      </w:r>
      <w:proofErr w:type="spellStart"/>
      <w:r w:rsidRPr="00DB1A1B">
        <w:rPr>
          <w:sz w:val="24"/>
          <w:szCs w:val="24"/>
        </w:rPr>
        <w:t>vancomycin</w:t>
      </w:r>
      <w:proofErr w:type="spellEnd"/>
      <w:r w:rsidRPr="00DB1A1B">
        <w:rPr>
          <w:sz w:val="24"/>
          <w:szCs w:val="24"/>
        </w:rPr>
        <w:t xml:space="preserve"> serumkoncentration højere end forventet hos raske, mandlige voksne (se pkt. 4.2).</w:t>
      </w:r>
    </w:p>
    <w:p w14:paraId="706CEAE5" w14:textId="77777777" w:rsidR="004435FC" w:rsidRPr="00DB1A1B" w:rsidRDefault="004435FC" w:rsidP="00270E7C">
      <w:pPr>
        <w:suppressAutoHyphens/>
        <w:ind w:left="851"/>
        <w:rPr>
          <w:sz w:val="24"/>
          <w:szCs w:val="24"/>
        </w:rPr>
      </w:pPr>
    </w:p>
    <w:p w14:paraId="1D7C48FB" w14:textId="77777777" w:rsidR="004435FC" w:rsidRPr="00DB1A1B" w:rsidRDefault="004435FC" w:rsidP="00270E7C">
      <w:pPr>
        <w:suppressAutoHyphens/>
        <w:ind w:left="851"/>
        <w:rPr>
          <w:sz w:val="24"/>
          <w:szCs w:val="24"/>
          <w:u w:val="single"/>
        </w:rPr>
      </w:pPr>
      <w:r w:rsidRPr="00DB1A1B">
        <w:rPr>
          <w:sz w:val="24"/>
          <w:szCs w:val="24"/>
          <w:u w:val="single"/>
        </w:rPr>
        <w:t>Pædiatrisk population</w:t>
      </w:r>
    </w:p>
    <w:p w14:paraId="44088D57" w14:textId="77777777" w:rsidR="004435FC" w:rsidRPr="00DB1A1B" w:rsidRDefault="004435FC" w:rsidP="00270E7C">
      <w:pPr>
        <w:suppressAutoHyphens/>
        <w:ind w:left="851"/>
        <w:rPr>
          <w:sz w:val="24"/>
          <w:szCs w:val="24"/>
        </w:rPr>
      </w:pPr>
      <w:proofErr w:type="spellStart"/>
      <w:r w:rsidRPr="00DB1A1B">
        <w:rPr>
          <w:sz w:val="24"/>
          <w:szCs w:val="24"/>
        </w:rPr>
        <w:t>Vancomycin</w:t>
      </w:r>
      <w:proofErr w:type="spellEnd"/>
      <w:r w:rsidRPr="00DB1A1B">
        <w:rPr>
          <w:sz w:val="24"/>
          <w:szCs w:val="24"/>
        </w:rPr>
        <w:t xml:space="preserve"> PK har udvist bred inter-individuel variation hos præmature og nyfødte. Hos nyfødte varierer </w:t>
      </w:r>
      <w:proofErr w:type="spellStart"/>
      <w:r w:rsidRPr="00DB1A1B">
        <w:rPr>
          <w:sz w:val="24"/>
          <w:szCs w:val="24"/>
        </w:rPr>
        <w:t>vancomycins</w:t>
      </w:r>
      <w:proofErr w:type="spellEnd"/>
      <w:r w:rsidRPr="00DB1A1B">
        <w:rPr>
          <w:sz w:val="24"/>
          <w:szCs w:val="24"/>
        </w:rPr>
        <w:t xml:space="preserve"> fordelingsvolumen efter intravenøs administration mellem 0,38 og 0,97 l/kg, svarende til værdierne hos voksne, mens </w:t>
      </w:r>
      <w:proofErr w:type="spellStart"/>
      <w:r w:rsidRPr="00DB1A1B">
        <w:rPr>
          <w:sz w:val="24"/>
          <w:szCs w:val="24"/>
        </w:rPr>
        <w:t>clearance</w:t>
      </w:r>
      <w:proofErr w:type="spellEnd"/>
      <w:r w:rsidRPr="00DB1A1B">
        <w:rPr>
          <w:sz w:val="24"/>
          <w:szCs w:val="24"/>
        </w:rPr>
        <w:t xml:space="preserve"> varierer mellem 0,63 og 1,4 ml/kg/min. Halveringstiden varierer mellem 3,5 og 10 timer og er længere end hos voksne, hvilket afspejler de sædvanlige, lavere værdier for </w:t>
      </w:r>
      <w:proofErr w:type="spellStart"/>
      <w:r w:rsidRPr="00DB1A1B">
        <w:rPr>
          <w:sz w:val="24"/>
          <w:szCs w:val="24"/>
        </w:rPr>
        <w:t>clearance</w:t>
      </w:r>
      <w:proofErr w:type="spellEnd"/>
      <w:r w:rsidRPr="00DB1A1B">
        <w:rPr>
          <w:sz w:val="24"/>
          <w:szCs w:val="24"/>
        </w:rPr>
        <w:t xml:space="preserve"> hos den nyfødte. </w:t>
      </w:r>
    </w:p>
    <w:p w14:paraId="17231960" w14:textId="77777777" w:rsidR="004435FC" w:rsidRPr="00DB1A1B" w:rsidRDefault="004435FC" w:rsidP="00270E7C">
      <w:pPr>
        <w:suppressAutoHyphens/>
        <w:ind w:left="851"/>
        <w:rPr>
          <w:sz w:val="24"/>
          <w:szCs w:val="24"/>
        </w:rPr>
      </w:pPr>
    </w:p>
    <w:p w14:paraId="38913864" w14:textId="77777777" w:rsidR="004435FC" w:rsidRPr="00DB1A1B" w:rsidRDefault="004435FC" w:rsidP="00270E7C">
      <w:pPr>
        <w:suppressAutoHyphens/>
        <w:ind w:left="851"/>
        <w:rPr>
          <w:sz w:val="24"/>
          <w:szCs w:val="24"/>
        </w:rPr>
      </w:pPr>
      <w:r w:rsidRPr="00DB1A1B">
        <w:rPr>
          <w:sz w:val="24"/>
          <w:szCs w:val="24"/>
        </w:rPr>
        <w:t xml:space="preserve">Hos spædbørn og mindre børn spænder fordelingsvolumen mellem 0,26-1,05 l/kg, mens </w:t>
      </w:r>
      <w:proofErr w:type="spellStart"/>
      <w:r w:rsidRPr="00DB1A1B">
        <w:rPr>
          <w:sz w:val="24"/>
          <w:szCs w:val="24"/>
        </w:rPr>
        <w:t>clearance</w:t>
      </w:r>
      <w:proofErr w:type="spellEnd"/>
      <w:r w:rsidRPr="00DB1A1B">
        <w:rPr>
          <w:sz w:val="24"/>
          <w:szCs w:val="24"/>
        </w:rPr>
        <w:t xml:space="preserve"> varierer mellem 0,33-1,87 ml/kg/min. </w:t>
      </w:r>
    </w:p>
    <w:p w14:paraId="4FA6698C" w14:textId="77777777" w:rsidR="009260DE" w:rsidRPr="00DB1A1B" w:rsidRDefault="009260DE" w:rsidP="009260DE">
      <w:pPr>
        <w:tabs>
          <w:tab w:val="left" w:pos="851"/>
        </w:tabs>
        <w:ind w:left="851"/>
        <w:rPr>
          <w:sz w:val="24"/>
          <w:szCs w:val="24"/>
        </w:rPr>
      </w:pPr>
    </w:p>
    <w:p w14:paraId="3E2C0C0E" w14:textId="77777777" w:rsidR="009260DE" w:rsidRPr="00DB1A1B" w:rsidRDefault="009260DE" w:rsidP="009260DE">
      <w:pPr>
        <w:tabs>
          <w:tab w:val="left" w:pos="851"/>
        </w:tabs>
        <w:ind w:left="851" w:hanging="851"/>
        <w:rPr>
          <w:b/>
          <w:sz w:val="24"/>
          <w:szCs w:val="24"/>
        </w:rPr>
      </w:pPr>
      <w:r w:rsidRPr="00DB1A1B">
        <w:rPr>
          <w:b/>
          <w:sz w:val="24"/>
          <w:szCs w:val="24"/>
        </w:rPr>
        <w:t>5.3</w:t>
      </w:r>
      <w:r w:rsidRPr="00DB1A1B">
        <w:rPr>
          <w:b/>
          <w:sz w:val="24"/>
          <w:szCs w:val="24"/>
        </w:rPr>
        <w:tab/>
      </w:r>
      <w:r w:rsidR="00BD7931" w:rsidRPr="00DB1A1B">
        <w:rPr>
          <w:b/>
          <w:sz w:val="24"/>
          <w:szCs w:val="24"/>
        </w:rPr>
        <w:t>Non-</w:t>
      </w:r>
      <w:r w:rsidRPr="00DB1A1B">
        <w:rPr>
          <w:b/>
          <w:sz w:val="24"/>
          <w:szCs w:val="24"/>
        </w:rPr>
        <w:t>kliniske sikkerhedsdata</w:t>
      </w:r>
    </w:p>
    <w:p w14:paraId="0D017E86" w14:textId="5A64FA58" w:rsidR="004435FC" w:rsidRPr="00DB1A1B" w:rsidRDefault="004435FC" w:rsidP="00270E7C">
      <w:pPr>
        <w:ind w:left="851"/>
        <w:rPr>
          <w:sz w:val="24"/>
          <w:szCs w:val="24"/>
          <w:lang w:eastAsia="en-GB"/>
        </w:rPr>
      </w:pPr>
      <w:r w:rsidRPr="00DB1A1B">
        <w:rPr>
          <w:sz w:val="24"/>
          <w:szCs w:val="24"/>
        </w:rPr>
        <w:t>Non-kliniske data viser ingen speciel risiko for mennesker vurderet ud fra konventionelle studier af sikkerhedsfarmakologi og toksicitet efter gentagne doser.</w:t>
      </w:r>
    </w:p>
    <w:p w14:paraId="0D5F95A7" w14:textId="77777777" w:rsidR="004435FC" w:rsidRPr="00DB1A1B" w:rsidRDefault="004435FC" w:rsidP="00270E7C">
      <w:pPr>
        <w:ind w:left="851"/>
        <w:rPr>
          <w:sz w:val="24"/>
          <w:szCs w:val="24"/>
        </w:rPr>
      </w:pPr>
    </w:p>
    <w:p w14:paraId="26FCD946" w14:textId="77777777" w:rsidR="004435FC" w:rsidRPr="00DB1A1B" w:rsidRDefault="004435FC" w:rsidP="00270E7C">
      <w:pPr>
        <w:ind w:left="851"/>
        <w:rPr>
          <w:sz w:val="24"/>
          <w:szCs w:val="24"/>
        </w:rPr>
      </w:pPr>
      <w:r w:rsidRPr="00DB1A1B">
        <w:rPr>
          <w:sz w:val="24"/>
          <w:szCs w:val="24"/>
        </w:rPr>
        <w:t xml:space="preserve">Begrænsede data om mutagene virkninger viser ikke tegn på nogen risiko. Der er ikke udført langtidsdyrestudier vedrørende det </w:t>
      </w:r>
      <w:proofErr w:type="spellStart"/>
      <w:r w:rsidRPr="00DB1A1B">
        <w:rPr>
          <w:sz w:val="24"/>
          <w:szCs w:val="24"/>
        </w:rPr>
        <w:t>karcinogene</w:t>
      </w:r>
      <w:proofErr w:type="spellEnd"/>
      <w:r w:rsidRPr="00DB1A1B">
        <w:rPr>
          <w:sz w:val="24"/>
          <w:szCs w:val="24"/>
        </w:rPr>
        <w:t xml:space="preserve"> potentiale. I studier af </w:t>
      </w:r>
      <w:proofErr w:type="spellStart"/>
      <w:r w:rsidRPr="00DB1A1B">
        <w:rPr>
          <w:sz w:val="24"/>
          <w:szCs w:val="24"/>
        </w:rPr>
        <w:t>teratogenicitet</w:t>
      </w:r>
      <w:proofErr w:type="spellEnd"/>
      <w:r w:rsidRPr="00DB1A1B">
        <w:rPr>
          <w:sz w:val="24"/>
          <w:szCs w:val="24"/>
        </w:rPr>
        <w:t xml:space="preserve">, hvor rotter og kaniner fik doser, der ca. svarer til dosering til mennesker </w:t>
      </w:r>
      <w:r w:rsidRPr="00DB1A1B">
        <w:rPr>
          <w:sz w:val="24"/>
          <w:szCs w:val="24"/>
        </w:rPr>
        <w:lastRenderedPageBreak/>
        <w:t>baseret på legemsoverflade (mg/m</w:t>
      </w:r>
      <w:r w:rsidRPr="00DB1A1B">
        <w:rPr>
          <w:sz w:val="24"/>
          <w:szCs w:val="24"/>
          <w:vertAlign w:val="superscript"/>
        </w:rPr>
        <w:t>2</w:t>
      </w:r>
      <w:r w:rsidRPr="00DB1A1B">
        <w:rPr>
          <w:sz w:val="24"/>
          <w:szCs w:val="24"/>
        </w:rPr>
        <w:t xml:space="preserve">), blev der ikke observeret direkte eller indirekte </w:t>
      </w:r>
      <w:proofErr w:type="spellStart"/>
      <w:r w:rsidRPr="00DB1A1B">
        <w:rPr>
          <w:sz w:val="24"/>
          <w:szCs w:val="24"/>
        </w:rPr>
        <w:t>teratogene</w:t>
      </w:r>
      <w:proofErr w:type="spellEnd"/>
      <w:r w:rsidRPr="00DB1A1B">
        <w:rPr>
          <w:sz w:val="24"/>
          <w:szCs w:val="24"/>
        </w:rPr>
        <w:t xml:space="preserve"> virkninger. </w:t>
      </w:r>
    </w:p>
    <w:p w14:paraId="4D280F59" w14:textId="77777777" w:rsidR="004435FC" w:rsidRPr="00DB1A1B" w:rsidRDefault="004435FC" w:rsidP="00270E7C">
      <w:pPr>
        <w:ind w:left="851"/>
        <w:rPr>
          <w:sz w:val="24"/>
          <w:szCs w:val="24"/>
        </w:rPr>
      </w:pPr>
    </w:p>
    <w:p w14:paraId="14E196A9" w14:textId="77777777" w:rsidR="004435FC" w:rsidRPr="00DB1A1B" w:rsidRDefault="004435FC" w:rsidP="00270E7C">
      <w:pPr>
        <w:ind w:left="851"/>
        <w:rPr>
          <w:sz w:val="24"/>
          <w:szCs w:val="24"/>
        </w:rPr>
      </w:pPr>
      <w:r w:rsidRPr="00DB1A1B">
        <w:rPr>
          <w:sz w:val="24"/>
          <w:szCs w:val="24"/>
        </w:rPr>
        <w:t xml:space="preserve">Der er ikke udført dyrestudier i den </w:t>
      </w:r>
      <w:proofErr w:type="spellStart"/>
      <w:r w:rsidRPr="00DB1A1B">
        <w:rPr>
          <w:sz w:val="24"/>
          <w:szCs w:val="24"/>
        </w:rPr>
        <w:t>perinatale</w:t>
      </w:r>
      <w:proofErr w:type="spellEnd"/>
      <w:r w:rsidRPr="00DB1A1B">
        <w:rPr>
          <w:sz w:val="24"/>
          <w:szCs w:val="24"/>
        </w:rPr>
        <w:t>/</w:t>
      </w:r>
      <w:proofErr w:type="spellStart"/>
      <w:r w:rsidRPr="00DB1A1B">
        <w:rPr>
          <w:sz w:val="24"/>
          <w:szCs w:val="24"/>
        </w:rPr>
        <w:t>postnatale</w:t>
      </w:r>
      <w:proofErr w:type="spellEnd"/>
      <w:r w:rsidRPr="00DB1A1B">
        <w:rPr>
          <w:sz w:val="24"/>
          <w:szCs w:val="24"/>
        </w:rPr>
        <w:t xml:space="preserve"> periode og vedrørende fertiliteten.</w:t>
      </w:r>
    </w:p>
    <w:p w14:paraId="72A518A0" w14:textId="77777777" w:rsidR="009260DE" w:rsidRPr="00DB1A1B" w:rsidRDefault="009260DE" w:rsidP="009260DE">
      <w:pPr>
        <w:tabs>
          <w:tab w:val="left" w:pos="851"/>
        </w:tabs>
        <w:ind w:left="851"/>
        <w:rPr>
          <w:sz w:val="24"/>
          <w:szCs w:val="24"/>
        </w:rPr>
      </w:pPr>
    </w:p>
    <w:p w14:paraId="42AEB5C6" w14:textId="77777777" w:rsidR="009260DE" w:rsidRPr="00DB1A1B" w:rsidRDefault="009260DE" w:rsidP="009260DE">
      <w:pPr>
        <w:tabs>
          <w:tab w:val="left" w:pos="851"/>
        </w:tabs>
        <w:ind w:left="851"/>
        <w:rPr>
          <w:sz w:val="24"/>
          <w:szCs w:val="24"/>
        </w:rPr>
      </w:pPr>
    </w:p>
    <w:p w14:paraId="43804C50" w14:textId="77777777" w:rsidR="009260DE" w:rsidRPr="00DB1A1B" w:rsidRDefault="009260DE" w:rsidP="009260DE">
      <w:pPr>
        <w:tabs>
          <w:tab w:val="left" w:pos="851"/>
        </w:tabs>
        <w:ind w:left="851" w:hanging="851"/>
        <w:rPr>
          <w:b/>
          <w:sz w:val="24"/>
          <w:szCs w:val="24"/>
        </w:rPr>
      </w:pPr>
      <w:r w:rsidRPr="00DB1A1B">
        <w:rPr>
          <w:b/>
          <w:sz w:val="24"/>
          <w:szCs w:val="24"/>
        </w:rPr>
        <w:t>6.</w:t>
      </w:r>
      <w:r w:rsidRPr="00DB1A1B">
        <w:rPr>
          <w:b/>
          <w:sz w:val="24"/>
          <w:szCs w:val="24"/>
        </w:rPr>
        <w:tab/>
        <w:t>FARMACEUTISKE OPLYSNINGER</w:t>
      </w:r>
    </w:p>
    <w:p w14:paraId="2BFC7BAB" w14:textId="77777777" w:rsidR="009260DE" w:rsidRPr="00DB1A1B" w:rsidRDefault="009260DE" w:rsidP="009260DE">
      <w:pPr>
        <w:tabs>
          <w:tab w:val="left" w:pos="851"/>
        </w:tabs>
        <w:ind w:left="851"/>
        <w:rPr>
          <w:sz w:val="24"/>
          <w:szCs w:val="24"/>
        </w:rPr>
      </w:pPr>
    </w:p>
    <w:p w14:paraId="10212A76" w14:textId="77777777" w:rsidR="009260DE" w:rsidRPr="00DB1A1B" w:rsidRDefault="009260DE" w:rsidP="009260DE">
      <w:pPr>
        <w:tabs>
          <w:tab w:val="left" w:pos="851"/>
        </w:tabs>
        <w:ind w:left="851" w:hanging="851"/>
        <w:rPr>
          <w:b/>
          <w:sz w:val="24"/>
          <w:szCs w:val="24"/>
        </w:rPr>
      </w:pPr>
      <w:r w:rsidRPr="00DB1A1B">
        <w:rPr>
          <w:b/>
          <w:sz w:val="24"/>
          <w:szCs w:val="24"/>
        </w:rPr>
        <w:t>6.1</w:t>
      </w:r>
      <w:r w:rsidRPr="00DB1A1B">
        <w:rPr>
          <w:b/>
          <w:sz w:val="24"/>
          <w:szCs w:val="24"/>
        </w:rPr>
        <w:tab/>
        <w:t>Hjælpestoffer</w:t>
      </w:r>
    </w:p>
    <w:p w14:paraId="73B5D80A" w14:textId="77777777" w:rsidR="004435FC" w:rsidRPr="00DB1A1B" w:rsidRDefault="004435FC" w:rsidP="004435FC">
      <w:pPr>
        <w:suppressAutoHyphens/>
        <w:ind w:left="851" w:hanging="851"/>
        <w:rPr>
          <w:sz w:val="24"/>
          <w:szCs w:val="24"/>
          <w:lang w:eastAsia="en-GB"/>
        </w:rPr>
      </w:pPr>
      <w:r w:rsidRPr="00DB1A1B">
        <w:rPr>
          <w:sz w:val="24"/>
          <w:szCs w:val="24"/>
        </w:rPr>
        <w:tab/>
        <w:t>Saltsyre (til pH justering).</w:t>
      </w:r>
    </w:p>
    <w:p w14:paraId="762599D5" w14:textId="77777777" w:rsidR="009260DE" w:rsidRPr="00DB1A1B" w:rsidRDefault="009260DE" w:rsidP="009260DE">
      <w:pPr>
        <w:tabs>
          <w:tab w:val="left" w:pos="851"/>
        </w:tabs>
        <w:ind w:left="851"/>
        <w:rPr>
          <w:sz w:val="24"/>
          <w:szCs w:val="24"/>
        </w:rPr>
      </w:pPr>
    </w:p>
    <w:p w14:paraId="1B8B7C76" w14:textId="77777777" w:rsidR="009260DE" w:rsidRPr="00DB1A1B" w:rsidRDefault="009260DE" w:rsidP="009260DE">
      <w:pPr>
        <w:tabs>
          <w:tab w:val="left" w:pos="851"/>
        </w:tabs>
        <w:ind w:left="851" w:hanging="851"/>
        <w:rPr>
          <w:b/>
          <w:sz w:val="24"/>
          <w:szCs w:val="24"/>
        </w:rPr>
      </w:pPr>
      <w:r w:rsidRPr="00DB1A1B">
        <w:rPr>
          <w:b/>
          <w:sz w:val="24"/>
          <w:szCs w:val="24"/>
        </w:rPr>
        <w:t>6.2</w:t>
      </w:r>
      <w:r w:rsidRPr="00DB1A1B">
        <w:rPr>
          <w:b/>
          <w:sz w:val="24"/>
          <w:szCs w:val="24"/>
        </w:rPr>
        <w:tab/>
        <w:t>Uforligeligheder</w:t>
      </w:r>
    </w:p>
    <w:p w14:paraId="30E44786" w14:textId="4DFB54D1" w:rsidR="004435FC" w:rsidRPr="00DB1A1B" w:rsidRDefault="004435FC" w:rsidP="00270E7C">
      <w:pPr>
        <w:suppressAutoHyphens/>
        <w:ind w:left="851"/>
        <w:rPr>
          <w:sz w:val="24"/>
          <w:szCs w:val="24"/>
          <w:lang w:eastAsia="en-GB"/>
        </w:rPr>
      </w:pPr>
      <w:proofErr w:type="spellStart"/>
      <w:r w:rsidRPr="00DB1A1B">
        <w:rPr>
          <w:sz w:val="24"/>
          <w:szCs w:val="24"/>
        </w:rPr>
        <w:t>Vancomycin</w:t>
      </w:r>
      <w:proofErr w:type="spellEnd"/>
      <w:r w:rsidRPr="00DB1A1B">
        <w:rPr>
          <w:sz w:val="24"/>
          <w:szCs w:val="24"/>
        </w:rPr>
        <w:t xml:space="preserve"> </w:t>
      </w:r>
      <w:r w:rsidR="00DB1A1B" w:rsidRPr="00DB1A1B">
        <w:rPr>
          <w:sz w:val="24"/>
          <w:szCs w:val="24"/>
        </w:rPr>
        <w:t>"</w:t>
      </w:r>
      <w:r w:rsidRPr="00DB1A1B">
        <w:rPr>
          <w:sz w:val="24"/>
          <w:szCs w:val="24"/>
        </w:rPr>
        <w:t>Orion</w:t>
      </w:r>
      <w:r w:rsidR="00DB1A1B" w:rsidRPr="00DB1A1B">
        <w:rPr>
          <w:sz w:val="24"/>
          <w:szCs w:val="24"/>
        </w:rPr>
        <w:t>"</w:t>
      </w:r>
      <w:r w:rsidRPr="00DB1A1B">
        <w:rPr>
          <w:sz w:val="24"/>
          <w:szCs w:val="24"/>
        </w:rPr>
        <w:t xml:space="preserve"> har en lav pH-værdi. Dette kan forårsage kemisk eller fysisk ustabilitet, hvis det blandes med andre stoffer. Hver enkelt parenteral opløsning skal derfor kontrolleres visuelt for bundfald og misfarvning inden anvendelse.</w:t>
      </w:r>
    </w:p>
    <w:p w14:paraId="4098B9BE" w14:textId="77777777" w:rsidR="004435FC" w:rsidRPr="00DB1A1B" w:rsidRDefault="004435FC" w:rsidP="00270E7C">
      <w:pPr>
        <w:suppressAutoHyphens/>
        <w:ind w:left="851"/>
        <w:rPr>
          <w:sz w:val="24"/>
          <w:szCs w:val="24"/>
        </w:rPr>
      </w:pPr>
    </w:p>
    <w:p w14:paraId="3E1A949A" w14:textId="77777777" w:rsidR="004435FC" w:rsidRPr="00DB1A1B" w:rsidRDefault="004435FC" w:rsidP="00270E7C">
      <w:pPr>
        <w:suppressAutoHyphens/>
        <w:ind w:left="851"/>
        <w:rPr>
          <w:sz w:val="24"/>
          <w:szCs w:val="24"/>
        </w:rPr>
      </w:pPr>
      <w:r w:rsidRPr="00DB1A1B">
        <w:rPr>
          <w:sz w:val="24"/>
          <w:szCs w:val="24"/>
        </w:rPr>
        <w:t>Dette lægemiddel må ikke blandes med andre lægemidler end dem, der er anført under pkt. 6.6.</w:t>
      </w:r>
    </w:p>
    <w:p w14:paraId="1CC3A4F9" w14:textId="77777777" w:rsidR="004435FC" w:rsidRPr="00DB1A1B" w:rsidRDefault="004435FC" w:rsidP="00270E7C">
      <w:pPr>
        <w:suppressAutoHyphens/>
        <w:ind w:left="851"/>
        <w:rPr>
          <w:sz w:val="24"/>
          <w:szCs w:val="24"/>
        </w:rPr>
      </w:pPr>
    </w:p>
    <w:p w14:paraId="189CB3CF" w14:textId="77777777" w:rsidR="004435FC" w:rsidRPr="00DB1A1B" w:rsidRDefault="004435FC" w:rsidP="00270E7C">
      <w:pPr>
        <w:suppressAutoHyphens/>
        <w:ind w:left="851"/>
        <w:rPr>
          <w:sz w:val="24"/>
          <w:szCs w:val="24"/>
        </w:rPr>
      </w:pPr>
      <w:r w:rsidRPr="00DB1A1B">
        <w:rPr>
          <w:sz w:val="24"/>
          <w:szCs w:val="24"/>
        </w:rPr>
        <w:t xml:space="preserve">Blandinger af opløsninger af </w:t>
      </w:r>
      <w:proofErr w:type="spellStart"/>
      <w:r w:rsidRPr="00DB1A1B">
        <w:rPr>
          <w:sz w:val="24"/>
          <w:szCs w:val="24"/>
        </w:rPr>
        <w:t>vancomycin</w:t>
      </w:r>
      <w:proofErr w:type="spellEnd"/>
      <w:r w:rsidRPr="00DB1A1B">
        <w:rPr>
          <w:sz w:val="24"/>
          <w:szCs w:val="24"/>
        </w:rPr>
        <w:t xml:space="preserve"> og </w:t>
      </w:r>
      <w:proofErr w:type="spellStart"/>
      <w:r w:rsidRPr="00DB1A1B">
        <w:rPr>
          <w:sz w:val="24"/>
          <w:szCs w:val="24"/>
        </w:rPr>
        <w:t>betalactam</w:t>
      </w:r>
      <w:proofErr w:type="spellEnd"/>
      <w:r w:rsidRPr="00DB1A1B">
        <w:rPr>
          <w:sz w:val="24"/>
          <w:szCs w:val="24"/>
        </w:rPr>
        <w:t xml:space="preserve">-antibiotika er påvist at være fysisk uforligelige. Risikoen for udfældning stiger i takt med højere koncentrationer af </w:t>
      </w:r>
      <w:proofErr w:type="spellStart"/>
      <w:r w:rsidRPr="00DB1A1B">
        <w:rPr>
          <w:sz w:val="24"/>
          <w:szCs w:val="24"/>
        </w:rPr>
        <w:t>vancomycin</w:t>
      </w:r>
      <w:proofErr w:type="spellEnd"/>
      <w:r w:rsidRPr="00DB1A1B">
        <w:rPr>
          <w:sz w:val="24"/>
          <w:szCs w:val="24"/>
        </w:rPr>
        <w:t xml:space="preserve">. Det anbefales at gennemskylle de intravenøse slanger tilstrækkeligt mellem hver administration af disse antibiotika. Det anbefales også at fortynde opløsninger med </w:t>
      </w:r>
      <w:proofErr w:type="spellStart"/>
      <w:r w:rsidRPr="00DB1A1B">
        <w:rPr>
          <w:sz w:val="24"/>
          <w:szCs w:val="24"/>
        </w:rPr>
        <w:t>vancomycinhydrochlorid</w:t>
      </w:r>
      <w:proofErr w:type="spellEnd"/>
      <w:r w:rsidRPr="00DB1A1B">
        <w:rPr>
          <w:sz w:val="24"/>
          <w:szCs w:val="24"/>
        </w:rPr>
        <w:t xml:space="preserve"> til 5 mg/ml eller derunder. </w:t>
      </w:r>
    </w:p>
    <w:p w14:paraId="1B54C2E1" w14:textId="77777777" w:rsidR="009260DE" w:rsidRPr="00DB1A1B" w:rsidRDefault="009260DE" w:rsidP="009260DE">
      <w:pPr>
        <w:tabs>
          <w:tab w:val="left" w:pos="851"/>
        </w:tabs>
        <w:ind w:left="851"/>
        <w:rPr>
          <w:sz w:val="24"/>
          <w:szCs w:val="24"/>
        </w:rPr>
      </w:pPr>
    </w:p>
    <w:p w14:paraId="1DC4EB5C" w14:textId="77777777" w:rsidR="009260DE" w:rsidRPr="00DB1A1B" w:rsidRDefault="009260DE" w:rsidP="009260DE">
      <w:pPr>
        <w:tabs>
          <w:tab w:val="left" w:pos="851"/>
        </w:tabs>
        <w:ind w:left="851" w:hanging="851"/>
        <w:rPr>
          <w:b/>
          <w:sz w:val="24"/>
          <w:szCs w:val="24"/>
        </w:rPr>
      </w:pPr>
      <w:r w:rsidRPr="00DB1A1B">
        <w:rPr>
          <w:b/>
          <w:sz w:val="24"/>
          <w:szCs w:val="24"/>
        </w:rPr>
        <w:t>6.3</w:t>
      </w:r>
      <w:r w:rsidRPr="00DB1A1B">
        <w:rPr>
          <w:b/>
          <w:sz w:val="24"/>
          <w:szCs w:val="24"/>
        </w:rPr>
        <w:tab/>
        <w:t>Opbevaringstid</w:t>
      </w:r>
    </w:p>
    <w:p w14:paraId="5F890693" w14:textId="77777777" w:rsidR="006B1D8C" w:rsidRPr="00DB1A1B" w:rsidRDefault="006B1D8C" w:rsidP="004435FC">
      <w:pPr>
        <w:suppressAutoHyphens/>
        <w:ind w:left="851"/>
        <w:rPr>
          <w:i/>
          <w:sz w:val="24"/>
          <w:szCs w:val="24"/>
        </w:rPr>
      </w:pPr>
    </w:p>
    <w:p w14:paraId="6A6DDFF4" w14:textId="6EE4EDF0" w:rsidR="004435FC" w:rsidRPr="00DB1A1B" w:rsidRDefault="004435FC" w:rsidP="004435FC">
      <w:pPr>
        <w:suppressAutoHyphens/>
        <w:ind w:left="851"/>
        <w:rPr>
          <w:sz w:val="24"/>
          <w:szCs w:val="24"/>
        </w:rPr>
      </w:pPr>
      <w:r w:rsidRPr="00DB1A1B">
        <w:rPr>
          <w:i/>
          <w:sz w:val="24"/>
          <w:szCs w:val="24"/>
        </w:rPr>
        <w:t>Opbevaringstid for pulver:</w:t>
      </w:r>
      <w:r w:rsidRPr="00DB1A1B">
        <w:rPr>
          <w:sz w:val="24"/>
          <w:szCs w:val="24"/>
        </w:rPr>
        <w:t xml:space="preserve"> </w:t>
      </w:r>
    </w:p>
    <w:p w14:paraId="14358097" w14:textId="77777777" w:rsidR="004435FC" w:rsidRPr="00DB1A1B" w:rsidRDefault="004435FC" w:rsidP="004435FC">
      <w:pPr>
        <w:suppressAutoHyphens/>
        <w:ind w:left="851"/>
        <w:rPr>
          <w:sz w:val="24"/>
          <w:szCs w:val="24"/>
        </w:rPr>
      </w:pPr>
      <w:r w:rsidRPr="00DB1A1B">
        <w:rPr>
          <w:sz w:val="24"/>
          <w:szCs w:val="24"/>
        </w:rPr>
        <w:t>2 år.</w:t>
      </w:r>
    </w:p>
    <w:p w14:paraId="6392E6C3" w14:textId="77777777" w:rsidR="004435FC" w:rsidRPr="00DB1A1B" w:rsidRDefault="004435FC" w:rsidP="004435FC">
      <w:pPr>
        <w:suppressAutoHyphens/>
        <w:ind w:left="851"/>
        <w:rPr>
          <w:sz w:val="24"/>
          <w:szCs w:val="24"/>
          <w:lang w:eastAsia="en-GB"/>
        </w:rPr>
      </w:pPr>
    </w:p>
    <w:p w14:paraId="15ABB2BD" w14:textId="77777777" w:rsidR="004435FC" w:rsidRPr="00DB1A1B" w:rsidRDefault="004435FC" w:rsidP="004435FC">
      <w:pPr>
        <w:suppressAutoHyphens/>
        <w:ind w:left="851"/>
        <w:rPr>
          <w:sz w:val="24"/>
          <w:szCs w:val="24"/>
        </w:rPr>
      </w:pPr>
      <w:r w:rsidRPr="00DB1A1B">
        <w:rPr>
          <w:i/>
          <w:sz w:val="24"/>
          <w:szCs w:val="24"/>
        </w:rPr>
        <w:t xml:space="preserve">Opbevaringstid for </w:t>
      </w:r>
      <w:proofErr w:type="spellStart"/>
      <w:r w:rsidRPr="00DB1A1B">
        <w:rPr>
          <w:i/>
          <w:sz w:val="24"/>
          <w:szCs w:val="24"/>
        </w:rPr>
        <w:t>rekonstitueret</w:t>
      </w:r>
      <w:proofErr w:type="spellEnd"/>
      <w:r w:rsidRPr="00DB1A1B">
        <w:rPr>
          <w:i/>
          <w:sz w:val="24"/>
          <w:szCs w:val="24"/>
        </w:rPr>
        <w:t xml:space="preserve"> koncentrat til infusion, opløsning og fortyndede opløsninger</w:t>
      </w:r>
      <w:r w:rsidRPr="00DB1A1B">
        <w:rPr>
          <w:sz w:val="24"/>
          <w:szCs w:val="24"/>
        </w:rPr>
        <w:t xml:space="preserve">: </w:t>
      </w:r>
    </w:p>
    <w:p w14:paraId="76F4C5B6" w14:textId="77777777" w:rsidR="004435FC" w:rsidRPr="00DB1A1B" w:rsidRDefault="004435FC" w:rsidP="004435FC">
      <w:pPr>
        <w:suppressAutoHyphens/>
        <w:ind w:left="851"/>
        <w:rPr>
          <w:sz w:val="24"/>
          <w:szCs w:val="24"/>
        </w:rPr>
      </w:pPr>
      <w:r w:rsidRPr="00DB1A1B">
        <w:rPr>
          <w:sz w:val="24"/>
          <w:szCs w:val="24"/>
        </w:rPr>
        <w:t xml:space="preserve">Anvendes umiddelbart efter </w:t>
      </w:r>
      <w:proofErr w:type="spellStart"/>
      <w:r w:rsidRPr="00DB1A1B">
        <w:rPr>
          <w:sz w:val="24"/>
          <w:szCs w:val="24"/>
        </w:rPr>
        <w:t>rekonstituering</w:t>
      </w:r>
      <w:proofErr w:type="spellEnd"/>
      <w:r w:rsidRPr="00DB1A1B">
        <w:rPr>
          <w:sz w:val="24"/>
          <w:szCs w:val="24"/>
        </w:rPr>
        <w:t>.</w:t>
      </w:r>
    </w:p>
    <w:p w14:paraId="2751DB25" w14:textId="77777777" w:rsidR="004435FC" w:rsidRPr="00DB1A1B" w:rsidRDefault="004435FC" w:rsidP="004435FC">
      <w:pPr>
        <w:suppressAutoHyphens/>
        <w:ind w:left="851"/>
        <w:rPr>
          <w:i/>
          <w:sz w:val="24"/>
          <w:szCs w:val="24"/>
        </w:rPr>
      </w:pPr>
    </w:p>
    <w:p w14:paraId="0A50D005" w14:textId="77777777" w:rsidR="004435FC" w:rsidRPr="00DB1A1B" w:rsidRDefault="004435FC" w:rsidP="004435FC">
      <w:pPr>
        <w:suppressAutoHyphens/>
        <w:ind w:left="851"/>
        <w:rPr>
          <w:sz w:val="24"/>
          <w:szCs w:val="24"/>
        </w:rPr>
      </w:pPr>
      <w:r w:rsidRPr="00DB1A1B">
        <w:rPr>
          <w:sz w:val="24"/>
          <w:szCs w:val="24"/>
        </w:rPr>
        <w:t>Kemisk og fysisk stabilitet i brug af den klargjorte infusionsopløsning er blevet påvist i 24 timer ved 2</w:t>
      </w:r>
      <w:r w:rsidRPr="00DB1A1B">
        <w:rPr>
          <w:sz w:val="24"/>
          <w:szCs w:val="24"/>
        </w:rPr>
        <w:noBreakHyphen/>
        <w:t xml:space="preserve">8 °C. Ud fra et mikrobiologisk synspunkt skal præparatet bruges med det samme, medmindre metoden brugt til </w:t>
      </w:r>
      <w:proofErr w:type="spellStart"/>
      <w:r w:rsidRPr="00DB1A1B">
        <w:rPr>
          <w:sz w:val="24"/>
          <w:szCs w:val="24"/>
        </w:rPr>
        <w:t>rekonstitution</w:t>
      </w:r>
      <w:proofErr w:type="spellEnd"/>
      <w:r w:rsidRPr="00DB1A1B">
        <w:rPr>
          <w:sz w:val="24"/>
          <w:szCs w:val="24"/>
        </w:rPr>
        <w:t xml:space="preserve"> og fortynding udelukker mikrobiel kontaminering. </w:t>
      </w:r>
    </w:p>
    <w:p w14:paraId="5948FE6C" w14:textId="77777777" w:rsidR="004435FC" w:rsidRPr="00DB1A1B" w:rsidRDefault="004435FC" w:rsidP="004435FC">
      <w:pPr>
        <w:suppressAutoHyphens/>
        <w:ind w:left="851"/>
        <w:rPr>
          <w:sz w:val="24"/>
          <w:szCs w:val="24"/>
        </w:rPr>
      </w:pPr>
      <w:r w:rsidRPr="00DB1A1B">
        <w:rPr>
          <w:sz w:val="24"/>
          <w:szCs w:val="24"/>
        </w:rPr>
        <w:t>Hvis præparatet ikke bruges øjeblikkeligt, er den samlede opbevaringstid og opbevaringsbetingelserne før anvendelsen brugerens eget ansvar.</w:t>
      </w:r>
    </w:p>
    <w:p w14:paraId="7C3D0B17" w14:textId="77777777" w:rsidR="009260DE" w:rsidRPr="00DB1A1B" w:rsidRDefault="009260DE" w:rsidP="009260DE">
      <w:pPr>
        <w:tabs>
          <w:tab w:val="left" w:pos="851"/>
        </w:tabs>
        <w:ind w:left="851"/>
        <w:rPr>
          <w:sz w:val="24"/>
          <w:szCs w:val="24"/>
        </w:rPr>
      </w:pPr>
    </w:p>
    <w:p w14:paraId="4CDF5E4D" w14:textId="77777777" w:rsidR="009260DE" w:rsidRPr="00DB1A1B" w:rsidRDefault="009260DE" w:rsidP="009260DE">
      <w:pPr>
        <w:tabs>
          <w:tab w:val="left" w:pos="851"/>
        </w:tabs>
        <w:ind w:left="851" w:hanging="851"/>
        <w:rPr>
          <w:b/>
          <w:sz w:val="24"/>
          <w:szCs w:val="24"/>
        </w:rPr>
      </w:pPr>
      <w:r w:rsidRPr="00DB1A1B">
        <w:rPr>
          <w:b/>
          <w:sz w:val="24"/>
          <w:szCs w:val="24"/>
        </w:rPr>
        <w:t>6.4</w:t>
      </w:r>
      <w:r w:rsidRPr="00DB1A1B">
        <w:rPr>
          <w:b/>
          <w:sz w:val="24"/>
          <w:szCs w:val="24"/>
        </w:rPr>
        <w:tab/>
        <w:t>Særlige opbevaringsforhold</w:t>
      </w:r>
    </w:p>
    <w:p w14:paraId="55666D44" w14:textId="7FD723E7" w:rsidR="004435FC" w:rsidRPr="00DB1A1B" w:rsidRDefault="004435FC" w:rsidP="00270E7C">
      <w:pPr>
        <w:ind w:left="851"/>
        <w:rPr>
          <w:sz w:val="24"/>
          <w:szCs w:val="24"/>
        </w:rPr>
      </w:pPr>
      <w:r w:rsidRPr="00DB1A1B">
        <w:rPr>
          <w:sz w:val="24"/>
          <w:szCs w:val="24"/>
        </w:rPr>
        <w:t>Opbevares ved temperaturer under 30</w:t>
      </w:r>
      <w:r w:rsidR="00691261">
        <w:rPr>
          <w:sz w:val="24"/>
          <w:szCs w:val="24"/>
        </w:rPr>
        <w:t xml:space="preserve"> </w:t>
      </w:r>
      <w:r w:rsidRPr="00DB1A1B">
        <w:rPr>
          <w:sz w:val="24"/>
          <w:szCs w:val="24"/>
        </w:rPr>
        <w:t>°C. Opbevar hætteglassene i den ydre karton for at beskytte mod lys.</w:t>
      </w:r>
    </w:p>
    <w:p w14:paraId="557AA617" w14:textId="77777777" w:rsidR="004435FC" w:rsidRPr="00DB1A1B" w:rsidRDefault="004435FC" w:rsidP="00270E7C">
      <w:pPr>
        <w:ind w:left="851"/>
        <w:rPr>
          <w:sz w:val="24"/>
          <w:szCs w:val="24"/>
          <w:lang w:eastAsia="en-GB"/>
        </w:rPr>
      </w:pPr>
    </w:p>
    <w:p w14:paraId="5D4298C5" w14:textId="77777777" w:rsidR="004435FC" w:rsidRPr="00DB1A1B" w:rsidRDefault="004435FC" w:rsidP="00270E7C">
      <w:pPr>
        <w:ind w:left="851"/>
        <w:rPr>
          <w:b/>
          <w:sz w:val="24"/>
          <w:szCs w:val="24"/>
        </w:rPr>
      </w:pPr>
      <w:r w:rsidRPr="00DB1A1B">
        <w:rPr>
          <w:sz w:val="24"/>
          <w:szCs w:val="24"/>
        </w:rPr>
        <w:t xml:space="preserve">Opbevaringsforhold efter </w:t>
      </w:r>
      <w:proofErr w:type="spellStart"/>
      <w:r w:rsidRPr="00DB1A1B">
        <w:rPr>
          <w:sz w:val="24"/>
          <w:szCs w:val="24"/>
        </w:rPr>
        <w:t>rekonstitution</w:t>
      </w:r>
      <w:proofErr w:type="spellEnd"/>
      <w:r w:rsidRPr="00DB1A1B">
        <w:rPr>
          <w:sz w:val="24"/>
          <w:szCs w:val="24"/>
        </w:rPr>
        <w:t xml:space="preserve"> og fortynding af lægemidlet, se pkt. 6.3.</w:t>
      </w:r>
    </w:p>
    <w:p w14:paraId="7821BAFD" w14:textId="77777777" w:rsidR="009260DE" w:rsidRPr="00DB1A1B" w:rsidRDefault="009260DE" w:rsidP="009260DE">
      <w:pPr>
        <w:tabs>
          <w:tab w:val="left" w:pos="851"/>
        </w:tabs>
        <w:ind w:left="851"/>
        <w:rPr>
          <w:sz w:val="24"/>
          <w:szCs w:val="24"/>
        </w:rPr>
      </w:pPr>
    </w:p>
    <w:p w14:paraId="410F7B10" w14:textId="77777777" w:rsidR="009260DE" w:rsidRPr="00DB1A1B" w:rsidRDefault="009260DE" w:rsidP="009260DE">
      <w:pPr>
        <w:tabs>
          <w:tab w:val="left" w:pos="851"/>
        </w:tabs>
        <w:ind w:left="851" w:hanging="851"/>
        <w:rPr>
          <w:b/>
          <w:sz w:val="24"/>
          <w:szCs w:val="24"/>
        </w:rPr>
      </w:pPr>
      <w:r w:rsidRPr="00DB1A1B">
        <w:rPr>
          <w:b/>
          <w:sz w:val="24"/>
          <w:szCs w:val="24"/>
        </w:rPr>
        <w:t>6.5</w:t>
      </w:r>
      <w:r w:rsidRPr="00DB1A1B">
        <w:rPr>
          <w:b/>
          <w:sz w:val="24"/>
          <w:szCs w:val="24"/>
        </w:rPr>
        <w:tab/>
        <w:t>Emballagetype og pakningsstørrelser</w:t>
      </w:r>
    </w:p>
    <w:p w14:paraId="003BE98E" w14:textId="477FA3D0" w:rsidR="004435FC" w:rsidRPr="00DB1A1B" w:rsidRDefault="004435FC" w:rsidP="00270E7C">
      <w:pPr>
        <w:suppressAutoHyphens/>
        <w:ind w:left="851"/>
        <w:rPr>
          <w:sz w:val="24"/>
          <w:szCs w:val="24"/>
          <w:lang w:eastAsia="en-GB"/>
        </w:rPr>
      </w:pPr>
      <w:r w:rsidRPr="00DB1A1B">
        <w:rPr>
          <w:sz w:val="24"/>
          <w:szCs w:val="24"/>
        </w:rPr>
        <w:t xml:space="preserve">Farveløse type I-hætteglas der er lukket med en </w:t>
      </w:r>
      <w:proofErr w:type="spellStart"/>
      <w:r w:rsidRPr="00DB1A1B">
        <w:rPr>
          <w:sz w:val="24"/>
          <w:szCs w:val="24"/>
        </w:rPr>
        <w:t>brombutyl</w:t>
      </w:r>
      <w:proofErr w:type="spellEnd"/>
      <w:r w:rsidRPr="00DB1A1B">
        <w:rPr>
          <w:sz w:val="24"/>
          <w:szCs w:val="24"/>
        </w:rPr>
        <w:t>-gummiprop og et vippelåg af aluminium.</w:t>
      </w:r>
    </w:p>
    <w:p w14:paraId="157B9B6B" w14:textId="77777777" w:rsidR="004435FC" w:rsidRPr="00DB1A1B" w:rsidRDefault="004435FC" w:rsidP="00270E7C">
      <w:pPr>
        <w:suppressAutoHyphens/>
        <w:ind w:left="851"/>
        <w:rPr>
          <w:sz w:val="24"/>
          <w:szCs w:val="24"/>
        </w:rPr>
      </w:pPr>
      <w:r w:rsidRPr="00DB1A1B">
        <w:rPr>
          <w:sz w:val="24"/>
          <w:szCs w:val="24"/>
        </w:rPr>
        <w:t>Pakningsstørrelser af 1 hætteglas og 10 hætteglas</w:t>
      </w:r>
    </w:p>
    <w:p w14:paraId="42061F81" w14:textId="77777777" w:rsidR="004435FC" w:rsidRPr="00DB1A1B" w:rsidRDefault="004435FC" w:rsidP="00270E7C">
      <w:pPr>
        <w:ind w:left="851"/>
        <w:rPr>
          <w:sz w:val="24"/>
          <w:szCs w:val="24"/>
        </w:rPr>
      </w:pPr>
    </w:p>
    <w:p w14:paraId="7FF37294" w14:textId="77777777" w:rsidR="004435FC" w:rsidRPr="00DB1A1B" w:rsidRDefault="004435FC" w:rsidP="00270E7C">
      <w:pPr>
        <w:suppressAutoHyphens/>
        <w:ind w:left="851"/>
        <w:rPr>
          <w:sz w:val="24"/>
          <w:szCs w:val="24"/>
        </w:rPr>
      </w:pPr>
      <w:r w:rsidRPr="00DB1A1B">
        <w:rPr>
          <w:sz w:val="24"/>
          <w:szCs w:val="24"/>
        </w:rPr>
        <w:t>Ikke alle pakningsstørrelser er nødvendigvis markedsført.</w:t>
      </w:r>
    </w:p>
    <w:p w14:paraId="7C6A7E0B" w14:textId="77777777" w:rsidR="009260DE" w:rsidRPr="00DB1A1B" w:rsidRDefault="009260DE" w:rsidP="009260DE">
      <w:pPr>
        <w:tabs>
          <w:tab w:val="left" w:pos="851"/>
        </w:tabs>
        <w:ind w:left="851"/>
        <w:rPr>
          <w:sz w:val="24"/>
          <w:szCs w:val="24"/>
        </w:rPr>
      </w:pPr>
    </w:p>
    <w:p w14:paraId="1C725739" w14:textId="77777777" w:rsidR="009260DE" w:rsidRPr="00DB1A1B" w:rsidRDefault="009260DE" w:rsidP="009260DE">
      <w:pPr>
        <w:tabs>
          <w:tab w:val="left" w:pos="851"/>
        </w:tabs>
        <w:ind w:left="851" w:hanging="851"/>
        <w:rPr>
          <w:b/>
          <w:sz w:val="24"/>
          <w:szCs w:val="24"/>
        </w:rPr>
      </w:pPr>
      <w:r w:rsidRPr="00DB1A1B">
        <w:rPr>
          <w:b/>
          <w:sz w:val="24"/>
          <w:szCs w:val="24"/>
        </w:rPr>
        <w:t>6.6</w:t>
      </w:r>
      <w:r w:rsidRPr="00DB1A1B">
        <w:rPr>
          <w:b/>
          <w:sz w:val="24"/>
          <w:szCs w:val="24"/>
        </w:rPr>
        <w:tab/>
        <w:t xml:space="preserve">Regler for </w:t>
      </w:r>
      <w:r w:rsidR="00BD7931" w:rsidRPr="00DB1A1B">
        <w:rPr>
          <w:b/>
          <w:sz w:val="24"/>
          <w:szCs w:val="24"/>
        </w:rPr>
        <w:t>bortskaffelse</w:t>
      </w:r>
      <w:r w:rsidRPr="00DB1A1B">
        <w:rPr>
          <w:b/>
          <w:sz w:val="24"/>
          <w:szCs w:val="24"/>
        </w:rPr>
        <w:t xml:space="preserve"> og anden håndtering</w:t>
      </w:r>
    </w:p>
    <w:p w14:paraId="350162F9" w14:textId="7B8957D0" w:rsidR="004435FC" w:rsidRPr="00DB1A1B" w:rsidRDefault="004435FC" w:rsidP="00270E7C">
      <w:pPr>
        <w:suppressAutoHyphens/>
        <w:ind w:left="851"/>
        <w:rPr>
          <w:sz w:val="24"/>
          <w:szCs w:val="24"/>
          <w:lang w:eastAsia="en-GB"/>
        </w:rPr>
      </w:pPr>
      <w:r w:rsidRPr="00DB1A1B">
        <w:rPr>
          <w:sz w:val="24"/>
          <w:szCs w:val="24"/>
        </w:rPr>
        <w:t xml:space="preserve">Pulveret skal </w:t>
      </w:r>
      <w:proofErr w:type="spellStart"/>
      <w:r w:rsidRPr="00DB1A1B">
        <w:rPr>
          <w:sz w:val="24"/>
          <w:szCs w:val="24"/>
        </w:rPr>
        <w:t>rekonstitueres</w:t>
      </w:r>
      <w:proofErr w:type="spellEnd"/>
      <w:r w:rsidRPr="00DB1A1B">
        <w:rPr>
          <w:sz w:val="24"/>
          <w:szCs w:val="24"/>
        </w:rPr>
        <w:t xml:space="preserve">, og koncentratet skal derefter fortyndes yderligere inden brug. Den </w:t>
      </w:r>
      <w:proofErr w:type="spellStart"/>
      <w:r w:rsidRPr="00DB1A1B">
        <w:rPr>
          <w:sz w:val="24"/>
          <w:szCs w:val="24"/>
        </w:rPr>
        <w:t>rekonstituerede</w:t>
      </w:r>
      <w:proofErr w:type="spellEnd"/>
      <w:r w:rsidR="00691261">
        <w:rPr>
          <w:sz w:val="24"/>
          <w:szCs w:val="24"/>
        </w:rPr>
        <w:t xml:space="preserve"> </w:t>
      </w:r>
      <w:r w:rsidRPr="00DB1A1B">
        <w:rPr>
          <w:sz w:val="24"/>
          <w:szCs w:val="24"/>
        </w:rPr>
        <w:t xml:space="preserve">opløsning er klar og farveløs eller næsten farveløs. </w:t>
      </w:r>
    </w:p>
    <w:p w14:paraId="113EC3ED" w14:textId="77777777" w:rsidR="004435FC" w:rsidRPr="00DB1A1B" w:rsidRDefault="004435FC" w:rsidP="00270E7C">
      <w:pPr>
        <w:suppressAutoHyphens/>
        <w:ind w:left="851"/>
        <w:rPr>
          <w:bCs/>
          <w:sz w:val="24"/>
          <w:szCs w:val="24"/>
        </w:rPr>
      </w:pPr>
    </w:p>
    <w:p w14:paraId="2FEF09EE" w14:textId="77777777" w:rsidR="004435FC" w:rsidRPr="00DB1A1B" w:rsidRDefault="004435FC" w:rsidP="00270E7C">
      <w:pPr>
        <w:suppressAutoHyphens/>
        <w:ind w:left="851"/>
        <w:rPr>
          <w:sz w:val="24"/>
          <w:szCs w:val="24"/>
          <w:shd w:val="pct15" w:color="auto" w:fill="FFFFFF"/>
        </w:rPr>
      </w:pPr>
      <w:r w:rsidRPr="00DB1A1B">
        <w:rPr>
          <w:sz w:val="24"/>
          <w:szCs w:val="24"/>
          <w:u w:val="single"/>
        </w:rPr>
        <w:t>Tilberedning af koncentrat til infusion</w:t>
      </w:r>
    </w:p>
    <w:p w14:paraId="005CB719" w14:textId="77777777" w:rsidR="004435FC" w:rsidRPr="00DB1A1B" w:rsidRDefault="004435FC" w:rsidP="00270E7C">
      <w:pPr>
        <w:suppressAutoHyphens/>
        <w:ind w:left="851"/>
        <w:rPr>
          <w:sz w:val="24"/>
          <w:szCs w:val="24"/>
        </w:rPr>
      </w:pPr>
      <w:r w:rsidRPr="00DB1A1B">
        <w:rPr>
          <w:sz w:val="24"/>
          <w:szCs w:val="24"/>
        </w:rPr>
        <w:t>Opløs indholdet af ét 500 mg hætteglas i 10 ml vand til injektionsvæsker</w:t>
      </w:r>
    </w:p>
    <w:p w14:paraId="7FE8E011" w14:textId="77777777" w:rsidR="004435FC" w:rsidRPr="00DB1A1B" w:rsidRDefault="004435FC" w:rsidP="00270E7C">
      <w:pPr>
        <w:suppressAutoHyphens/>
        <w:ind w:left="851"/>
        <w:rPr>
          <w:sz w:val="24"/>
          <w:szCs w:val="24"/>
        </w:rPr>
      </w:pPr>
      <w:r w:rsidRPr="00DB1A1B">
        <w:rPr>
          <w:sz w:val="24"/>
          <w:szCs w:val="24"/>
        </w:rPr>
        <w:t>Opløs indholdet af ét 1 000 mg hætteglas i 20 ml vand til injektionsvæsker.</w:t>
      </w:r>
    </w:p>
    <w:p w14:paraId="23E8EFE7" w14:textId="4A200FB6" w:rsidR="004435FC" w:rsidRPr="00DB1A1B" w:rsidRDefault="004435FC" w:rsidP="00270E7C">
      <w:pPr>
        <w:suppressAutoHyphens/>
        <w:ind w:left="851"/>
        <w:rPr>
          <w:sz w:val="24"/>
          <w:szCs w:val="24"/>
        </w:rPr>
      </w:pPr>
    </w:p>
    <w:p w14:paraId="3A483F38" w14:textId="77777777" w:rsidR="004435FC" w:rsidRPr="00DB1A1B" w:rsidRDefault="004435FC" w:rsidP="00270E7C">
      <w:pPr>
        <w:suppressAutoHyphens/>
        <w:ind w:left="851"/>
        <w:rPr>
          <w:sz w:val="24"/>
          <w:szCs w:val="24"/>
        </w:rPr>
      </w:pPr>
      <w:r w:rsidRPr="00DB1A1B">
        <w:rPr>
          <w:sz w:val="24"/>
          <w:szCs w:val="24"/>
        </w:rPr>
        <w:t xml:space="preserve">En milliliter af det </w:t>
      </w:r>
      <w:proofErr w:type="spellStart"/>
      <w:r w:rsidRPr="00DB1A1B">
        <w:rPr>
          <w:sz w:val="24"/>
          <w:szCs w:val="24"/>
        </w:rPr>
        <w:t>rekonstituerede</w:t>
      </w:r>
      <w:proofErr w:type="spellEnd"/>
      <w:r w:rsidRPr="00DB1A1B">
        <w:rPr>
          <w:sz w:val="24"/>
          <w:szCs w:val="24"/>
        </w:rPr>
        <w:t xml:space="preserve"> koncentrat til infusion, opløsning indeholder 50 mg </w:t>
      </w:r>
      <w:proofErr w:type="spellStart"/>
      <w:r w:rsidRPr="00DB1A1B">
        <w:rPr>
          <w:sz w:val="24"/>
          <w:szCs w:val="24"/>
        </w:rPr>
        <w:t>vancomycinhydrochlorid</w:t>
      </w:r>
      <w:proofErr w:type="spellEnd"/>
      <w:r w:rsidRPr="00DB1A1B">
        <w:rPr>
          <w:sz w:val="24"/>
          <w:szCs w:val="24"/>
        </w:rPr>
        <w:t>.</w:t>
      </w:r>
    </w:p>
    <w:p w14:paraId="322AC608" w14:textId="77777777" w:rsidR="004435FC" w:rsidRPr="00DB1A1B" w:rsidRDefault="004435FC" w:rsidP="00270E7C">
      <w:pPr>
        <w:suppressAutoHyphens/>
        <w:ind w:left="851"/>
        <w:rPr>
          <w:sz w:val="24"/>
          <w:szCs w:val="24"/>
        </w:rPr>
      </w:pPr>
    </w:p>
    <w:p w14:paraId="2DFC022A" w14:textId="77777777" w:rsidR="004435FC" w:rsidRPr="00DB1A1B" w:rsidRDefault="004435FC" w:rsidP="00270E7C">
      <w:pPr>
        <w:suppressAutoHyphens/>
        <w:ind w:left="851"/>
        <w:rPr>
          <w:b/>
          <w:sz w:val="24"/>
          <w:szCs w:val="24"/>
          <w:u w:val="single"/>
        </w:rPr>
      </w:pPr>
      <w:r w:rsidRPr="00DB1A1B">
        <w:rPr>
          <w:sz w:val="24"/>
          <w:szCs w:val="24"/>
          <w:u w:val="single"/>
        </w:rPr>
        <w:t>Tilberedning af infusionsvæsken, opløsning</w:t>
      </w:r>
    </w:p>
    <w:p w14:paraId="37EBE1C2" w14:textId="17E34CE2" w:rsidR="004435FC" w:rsidRPr="00DB1A1B" w:rsidRDefault="004435FC" w:rsidP="00270E7C">
      <w:pPr>
        <w:suppressAutoHyphens/>
        <w:ind w:left="851"/>
        <w:rPr>
          <w:sz w:val="24"/>
          <w:szCs w:val="24"/>
        </w:rPr>
      </w:pPr>
      <w:proofErr w:type="spellStart"/>
      <w:r w:rsidRPr="00DB1A1B">
        <w:rPr>
          <w:sz w:val="24"/>
          <w:szCs w:val="24"/>
        </w:rPr>
        <w:t>Vancomycin</w:t>
      </w:r>
      <w:proofErr w:type="spellEnd"/>
      <w:r w:rsidRPr="00DB1A1B">
        <w:rPr>
          <w:sz w:val="24"/>
          <w:szCs w:val="24"/>
        </w:rPr>
        <w:t xml:space="preserve"> </w:t>
      </w:r>
      <w:r w:rsidR="00DB1A1B" w:rsidRPr="00DB1A1B">
        <w:rPr>
          <w:sz w:val="24"/>
          <w:szCs w:val="24"/>
        </w:rPr>
        <w:t>"</w:t>
      </w:r>
      <w:r w:rsidRPr="00DB1A1B">
        <w:rPr>
          <w:sz w:val="24"/>
          <w:szCs w:val="24"/>
        </w:rPr>
        <w:t>Orion</w:t>
      </w:r>
      <w:r w:rsidR="00DB1A1B" w:rsidRPr="00DB1A1B">
        <w:rPr>
          <w:sz w:val="24"/>
          <w:szCs w:val="24"/>
        </w:rPr>
        <w:t>"</w:t>
      </w:r>
      <w:r w:rsidRPr="00DB1A1B">
        <w:rPr>
          <w:sz w:val="24"/>
          <w:szCs w:val="24"/>
        </w:rPr>
        <w:t xml:space="preserve"> kan fortyndes med 9 mg/ml (0,9 %) </w:t>
      </w:r>
      <w:proofErr w:type="spellStart"/>
      <w:r w:rsidRPr="00DB1A1B">
        <w:rPr>
          <w:sz w:val="24"/>
          <w:szCs w:val="24"/>
        </w:rPr>
        <w:t>natriumchlorid</w:t>
      </w:r>
      <w:proofErr w:type="spellEnd"/>
      <w:r w:rsidRPr="00DB1A1B">
        <w:rPr>
          <w:sz w:val="24"/>
          <w:szCs w:val="24"/>
        </w:rPr>
        <w:t xml:space="preserve"> eller 50 mg/ml (5 %) </w:t>
      </w:r>
      <w:proofErr w:type="spellStart"/>
      <w:r w:rsidRPr="00DB1A1B">
        <w:rPr>
          <w:sz w:val="24"/>
          <w:szCs w:val="24"/>
        </w:rPr>
        <w:t>glucoseopløsning</w:t>
      </w:r>
      <w:proofErr w:type="spellEnd"/>
      <w:r w:rsidRPr="00DB1A1B">
        <w:rPr>
          <w:sz w:val="24"/>
          <w:szCs w:val="24"/>
        </w:rPr>
        <w:t>.</w:t>
      </w:r>
    </w:p>
    <w:p w14:paraId="6F409F29" w14:textId="77777777" w:rsidR="004435FC" w:rsidRPr="00DB1A1B" w:rsidRDefault="004435FC" w:rsidP="00270E7C">
      <w:pPr>
        <w:suppressAutoHyphens/>
        <w:ind w:left="851"/>
        <w:rPr>
          <w:sz w:val="24"/>
          <w:szCs w:val="24"/>
        </w:rPr>
      </w:pPr>
    </w:p>
    <w:p w14:paraId="1D26DB96" w14:textId="77777777" w:rsidR="004435FC" w:rsidRPr="00DB1A1B" w:rsidRDefault="004435FC" w:rsidP="00270E7C">
      <w:pPr>
        <w:ind w:left="851"/>
        <w:rPr>
          <w:iCs/>
          <w:sz w:val="24"/>
          <w:szCs w:val="24"/>
        </w:rPr>
      </w:pPr>
      <w:r w:rsidRPr="00DB1A1B">
        <w:rPr>
          <w:iCs/>
          <w:sz w:val="24"/>
          <w:szCs w:val="24"/>
        </w:rPr>
        <w:t xml:space="preserve">Hætteglas med 500 mg </w:t>
      </w:r>
      <w:proofErr w:type="spellStart"/>
      <w:r w:rsidRPr="00DB1A1B">
        <w:rPr>
          <w:iCs/>
          <w:sz w:val="24"/>
          <w:szCs w:val="24"/>
        </w:rPr>
        <w:t>vancomycin</w:t>
      </w:r>
      <w:proofErr w:type="spellEnd"/>
      <w:r w:rsidRPr="00DB1A1B">
        <w:rPr>
          <w:iCs/>
          <w:sz w:val="24"/>
          <w:szCs w:val="24"/>
        </w:rPr>
        <w:t>:</w:t>
      </w:r>
    </w:p>
    <w:p w14:paraId="76C2CE59" w14:textId="77777777" w:rsidR="004435FC" w:rsidRPr="00DB1A1B" w:rsidRDefault="004435FC" w:rsidP="00270E7C">
      <w:pPr>
        <w:pStyle w:val="Listeafsnit"/>
        <w:numPr>
          <w:ilvl w:val="0"/>
          <w:numId w:val="9"/>
        </w:numPr>
        <w:ind w:left="1276" w:hanging="425"/>
        <w:rPr>
          <w:sz w:val="24"/>
          <w:szCs w:val="24"/>
          <w:lang w:val="da-DK"/>
        </w:rPr>
      </w:pPr>
      <w:r w:rsidRPr="00DB1A1B">
        <w:rPr>
          <w:sz w:val="24"/>
          <w:szCs w:val="24"/>
          <w:lang w:val="da-DK"/>
        </w:rPr>
        <w:t xml:space="preserve">For at opnå en opløsning til infusion på 2,5 mg/ml fortyndes 10 ml infusionskoncentrat med 190 ml </w:t>
      </w:r>
      <w:proofErr w:type="spellStart"/>
      <w:r w:rsidRPr="00DB1A1B">
        <w:rPr>
          <w:sz w:val="24"/>
          <w:szCs w:val="24"/>
          <w:lang w:val="da-DK"/>
        </w:rPr>
        <w:t>diluent</w:t>
      </w:r>
      <w:proofErr w:type="spellEnd"/>
    </w:p>
    <w:p w14:paraId="2A7329C3" w14:textId="77777777" w:rsidR="004435FC" w:rsidRPr="00DB1A1B" w:rsidRDefault="004435FC" w:rsidP="00270E7C">
      <w:pPr>
        <w:pStyle w:val="Listeafsnit"/>
        <w:numPr>
          <w:ilvl w:val="0"/>
          <w:numId w:val="9"/>
        </w:numPr>
        <w:ind w:left="1276" w:hanging="425"/>
        <w:rPr>
          <w:sz w:val="24"/>
          <w:szCs w:val="24"/>
          <w:lang w:val="da-DK"/>
        </w:rPr>
      </w:pPr>
      <w:r w:rsidRPr="00DB1A1B">
        <w:rPr>
          <w:sz w:val="24"/>
          <w:szCs w:val="24"/>
          <w:lang w:val="da-DK"/>
        </w:rPr>
        <w:t xml:space="preserve">For at opnå en opløsning til infusion på 5 mg/ml fortyndes 10 ml infusionskoncentrat med 90 ml af </w:t>
      </w:r>
      <w:proofErr w:type="spellStart"/>
      <w:r w:rsidRPr="00DB1A1B">
        <w:rPr>
          <w:sz w:val="24"/>
          <w:szCs w:val="24"/>
          <w:lang w:val="da-DK"/>
        </w:rPr>
        <w:t>diluent</w:t>
      </w:r>
      <w:proofErr w:type="spellEnd"/>
    </w:p>
    <w:p w14:paraId="1F15FA61" w14:textId="77777777" w:rsidR="004435FC" w:rsidRPr="00DB1A1B" w:rsidRDefault="004435FC" w:rsidP="00270E7C">
      <w:pPr>
        <w:pStyle w:val="Listeafsnit"/>
        <w:numPr>
          <w:ilvl w:val="0"/>
          <w:numId w:val="9"/>
        </w:numPr>
        <w:ind w:left="1276" w:hanging="425"/>
        <w:rPr>
          <w:sz w:val="24"/>
          <w:szCs w:val="24"/>
          <w:lang w:val="da-DK"/>
        </w:rPr>
      </w:pPr>
      <w:r w:rsidRPr="00DB1A1B">
        <w:rPr>
          <w:sz w:val="24"/>
          <w:szCs w:val="24"/>
          <w:lang w:val="da-DK"/>
        </w:rPr>
        <w:t xml:space="preserve">For at opnå en opløsning til infusion på 10 mg/ml fortyndes 10 ml infusionskoncentrat med 40 ml af </w:t>
      </w:r>
      <w:proofErr w:type="spellStart"/>
      <w:r w:rsidRPr="00DB1A1B">
        <w:rPr>
          <w:sz w:val="24"/>
          <w:szCs w:val="24"/>
          <w:lang w:val="da-DK"/>
        </w:rPr>
        <w:t>diluent</w:t>
      </w:r>
      <w:proofErr w:type="spellEnd"/>
    </w:p>
    <w:p w14:paraId="29331B3B" w14:textId="77777777" w:rsidR="004435FC" w:rsidRPr="00DB1A1B" w:rsidRDefault="004435FC" w:rsidP="004435FC">
      <w:pPr>
        <w:suppressAutoHyphens/>
        <w:ind w:left="851"/>
        <w:rPr>
          <w:sz w:val="24"/>
          <w:szCs w:val="24"/>
        </w:rPr>
      </w:pPr>
    </w:p>
    <w:p w14:paraId="28A85E8E" w14:textId="77777777" w:rsidR="004435FC" w:rsidRPr="00DB1A1B" w:rsidRDefault="004435FC" w:rsidP="006B1D8C">
      <w:pPr>
        <w:ind w:left="851"/>
        <w:rPr>
          <w:sz w:val="24"/>
          <w:szCs w:val="24"/>
        </w:rPr>
      </w:pPr>
      <w:r w:rsidRPr="00DB1A1B">
        <w:rPr>
          <w:sz w:val="24"/>
          <w:szCs w:val="24"/>
        </w:rPr>
        <w:t xml:space="preserve">Hætteglas med 1 000 mg </w:t>
      </w:r>
      <w:proofErr w:type="spellStart"/>
      <w:r w:rsidRPr="00DB1A1B">
        <w:rPr>
          <w:sz w:val="24"/>
          <w:szCs w:val="24"/>
        </w:rPr>
        <w:t>vancomycin</w:t>
      </w:r>
      <w:proofErr w:type="spellEnd"/>
      <w:r w:rsidRPr="00DB1A1B">
        <w:rPr>
          <w:sz w:val="24"/>
          <w:szCs w:val="24"/>
        </w:rPr>
        <w:t>:</w:t>
      </w:r>
    </w:p>
    <w:p w14:paraId="5E40494C" w14:textId="77777777" w:rsidR="004435FC" w:rsidRPr="00DB1A1B" w:rsidRDefault="004435FC" w:rsidP="00270E7C">
      <w:pPr>
        <w:pStyle w:val="Listeafsnit"/>
        <w:numPr>
          <w:ilvl w:val="0"/>
          <w:numId w:val="9"/>
        </w:numPr>
        <w:ind w:left="1276" w:hanging="425"/>
        <w:rPr>
          <w:sz w:val="24"/>
          <w:szCs w:val="24"/>
          <w:lang w:val="da-DK"/>
        </w:rPr>
      </w:pPr>
      <w:r w:rsidRPr="00DB1A1B">
        <w:rPr>
          <w:sz w:val="24"/>
          <w:szCs w:val="24"/>
          <w:lang w:val="da-DK"/>
        </w:rPr>
        <w:t xml:space="preserve">For at opnå en opløsning til infusion på 2,5 mg/ml fortyndes 20 ml infusionskoncentrat med 380 ml </w:t>
      </w:r>
      <w:proofErr w:type="spellStart"/>
      <w:r w:rsidRPr="00DB1A1B">
        <w:rPr>
          <w:sz w:val="24"/>
          <w:szCs w:val="24"/>
          <w:lang w:val="da-DK"/>
        </w:rPr>
        <w:t>diluent</w:t>
      </w:r>
      <w:proofErr w:type="spellEnd"/>
    </w:p>
    <w:p w14:paraId="6348CF09" w14:textId="77777777" w:rsidR="004435FC" w:rsidRPr="00DB1A1B" w:rsidRDefault="004435FC" w:rsidP="00270E7C">
      <w:pPr>
        <w:pStyle w:val="Listeafsnit"/>
        <w:numPr>
          <w:ilvl w:val="0"/>
          <w:numId w:val="9"/>
        </w:numPr>
        <w:ind w:left="1276" w:hanging="425"/>
        <w:rPr>
          <w:sz w:val="24"/>
          <w:szCs w:val="24"/>
          <w:lang w:val="da-DK"/>
        </w:rPr>
      </w:pPr>
      <w:r w:rsidRPr="00DB1A1B">
        <w:rPr>
          <w:sz w:val="24"/>
          <w:szCs w:val="24"/>
          <w:lang w:val="da-DK"/>
        </w:rPr>
        <w:t xml:space="preserve">For at opnå en opløsning til infusion på 5 mg/ml fortyndes 20 ml infusionskoncentrat med 180 ml af </w:t>
      </w:r>
      <w:proofErr w:type="spellStart"/>
      <w:r w:rsidRPr="00DB1A1B">
        <w:rPr>
          <w:sz w:val="24"/>
          <w:szCs w:val="24"/>
          <w:lang w:val="da-DK"/>
        </w:rPr>
        <w:t>diluent</w:t>
      </w:r>
      <w:proofErr w:type="spellEnd"/>
    </w:p>
    <w:p w14:paraId="7B3B71B8" w14:textId="77777777" w:rsidR="004435FC" w:rsidRPr="00DB1A1B" w:rsidRDefault="004435FC" w:rsidP="00270E7C">
      <w:pPr>
        <w:pStyle w:val="Listeafsnit"/>
        <w:numPr>
          <w:ilvl w:val="0"/>
          <w:numId w:val="9"/>
        </w:numPr>
        <w:ind w:left="1276" w:hanging="425"/>
        <w:rPr>
          <w:sz w:val="24"/>
          <w:szCs w:val="24"/>
          <w:lang w:val="da-DK"/>
        </w:rPr>
      </w:pPr>
      <w:r w:rsidRPr="00DB1A1B">
        <w:rPr>
          <w:sz w:val="24"/>
          <w:szCs w:val="24"/>
          <w:lang w:val="da-DK"/>
        </w:rPr>
        <w:t xml:space="preserve">For at opnå en opløsning til infusion på 10 mg/ml fortyndes 20 ml infusionskoncentrat med 80 ml af </w:t>
      </w:r>
      <w:proofErr w:type="spellStart"/>
      <w:r w:rsidRPr="00DB1A1B">
        <w:rPr>
          <w:sz w:val="24"/>
          <w:szCs w:val="24"/>
          <w:lang w:val="da-DK"/>
        </w:rPr>
        <w:t>diluent</w:t>
      </w:r>
      <w:proofErr w:type="spellEnd"/>
    </w:p>
    <w:p w14:paraId="32869DCD" w14:textId="77777777" w:rsidR="004435FC" w:rsidRPr="00DB1A1B" w:rsidRDefault="004435FC" w:rsidP="004435FC">
      <w:pPr>
        <w:suppressAutoHyphens/>
        <w:ind w:left="851"/>
        <w:rPr>
          <w:sz w:val="24"/>
          <w:szCs w:val="24"/>
        </w:rPr>
      </w:pPr>
    </w:p>
    <w:p w14:paraId="716081FC" w14:textId="77777777" w:rsidR="004435FC" w:rsidRPr="00DB1A1B" w:rsidRDefault="004435FC" w:rsidP="00270E7C">
      <w:pPr>
        <w:suppressAutoHyphens/>
        <w:ind w:left="851"/>
        <w:rPr>
          <w:sz w:val="24"/>
          <w:szCs w:val="24"/>
        </w:rPr>
      </w:pPr>
      <w:r w:rsidRPr="00DB1A1B">
        <w:rPr>
          <w:sz w:val="24"/>
          <w:szCs w:val="24"/>
        </w:rPr>
        <w:t>Koncentrationer på mere end 5 mg/ml anbefales ikke. Hos patienter med væskerestriktion kan en dosis på 10 mg/ml benyttes (se pkt. 4.2).</w:t>
      </w:r>
    </w:p>
    <w:p w14:paraId="1E678973" w14:textId="77777777" w:rsidR="004435FC" w:rsidRPr="00DB1A1B" w:rsidRDefault="004435FC" w:rsidP="00270E7C">
      <w:pPr>
        <w:suppressAutoHyphens/>
        <w:ind w:left="851"/>
        <w:rPr>
          <w:sz w:val="24"/>
          <w:szCs w:val="24"/>
        </w:rPr>
      </w:pPr>
    </w:p>
    <w:p w14:paraId="0510BFA5" w14:textId="77777777" w:rsidR="004435FC" w:rsidRPr="00DB1A1B" w:rsidRDefault="004435FC" w:rsidP="00270E7C">
      <w:pPr>
        <w:suppressAutoHyphens/>
        <w:ind w:left="851"/>
        <w:rPr>
          <w:i/>
          <w:sz w:val="24"/>
          <w:szCs w:val="24"/>
        </w:rPr>
      </w:pPr>
      <w:r w:rsidRPr="00DB1A1B">
        <w:rPr>
          <w:i/>
          <w:sz w:val="24"/>
          <w:szCs w:val="24"/>
        </w:rPr>
        <w:t>Infusionsvæskeopløsningens udseende</w:t>
      </w:r>
    </w:p>
    <w:p w14:paraId="6E94DFA0" w14:textId="77777777" w:rsidR="004435FC" w:rsidRPr="00DB1A1B" w:rsidRDefault="004435FC" w:rsidP="00270E7C">
      <w:pPr>
        <w:suppressAutoHyphens/>
        <w:ind w:left="851"/>
        <w:rPr>
          <w:sz w:val="24"/>
          <w:szCs w:val="24"/>
        </w:rPr>
      </w:pPr>
      <w:r w:rsidRPr="00DB1A1B">
        <w:rPr>
          <w:sz w:val="24"/>
          <w:szCs w:val="24"/>
        </w:rPr>
        <w:t>Opløsningen skal efterses for partikler og misfarvning inden administration. Opløsningen må kun anvendes, hvis den er klar og fri for partikler.</w:t>
      </w:r>
    </w:p>
    <w:p w14:paraId="6053F04A" w14:textId="77777777" w:rsidR="004435FC" w:rsidRPr="00DB1A1B" w:rsidRDefault="004435FC" w:rsidP="00270E7C">
      <w:pPr>
        <w:suppressAutoHyphens/>
        <w:ind w:left="851"/>
        <w:rPr>
          <w:sz w:val="24"/>
          <w:szCs w:val="24"/>
        </w:rPr>
      </w:pPr>
      <w:r w:rsidRPr="00DB1A1B">
        <w:rPr>
          <w:sz w:val="24"/>
          <w:szCs w:val="24"/>
        </w:rPr>
        <w:t>Opbevaringsbetingelser for det fortyndede lægemiddel, se pkt. 6.3.</w:t>
      </w:r>
    </w:p>
    <w:p w14:paraId="2BA05EB9" w14:textId="77777777" w:rsidR="004435FC" w:rsidRPr="00DB1A1B" w:rsidRDefault="004435FC" w:rsidP="00270E7C">
      <w:pPr>
        <w:suppressAutoHyphens/>
        <w:ind w:left="851"/>
        <w:rPr>
          <w:sz w:val="24"/>
          <w:szCs w:val="24"/>
        </w:rPr>
      </w:pPr>
    </w:p>
    <w:p w14:paraId="425EB4DA" w14:textId="77777777" w:rsidR="004435FC" w:rsidRPr="00DB1A1B" w:rsidRDefault="004435FC" w:rsidP="00270E7C">
      <w:pPr>
        <w:suppressAutoHyphens/>
        <w:ind w:left="851"/>
        <w:rPr>
          <w:sz w:val="24"/>
          <w:szCs w:val="24"/>
          <w:u w:val="single"/>
        </w:rPr>
      </w:pPr>
      <w:r w:rsidRPr="00DB1A1B">
        <w:rPr>
          <w:sz w:val="24"/>
          <w:szCs w:val="24"/>
          <w:u w:val="single"/>
        </w:rPr>
        <w:t>Administration</w:t>
      </w:r>
    </w:p>
    <w:p w14:paraId="464CDA46" w14:textId="77777777" w:rsidR="004435FC" w:rsidRPr="00DB1A1B" w:rsidRDefault="004435FC" w:rsidP="00270E7C">
      <w:pPr>
        <w:suppressAutoHyphens/>
        <w:ind w:left="851"/>
        <w:rPr>
          <w:sz w:val="24"/>
          <w:szCs w:val="24"/>
        </w:rPr>
      </w:pPr>
      <w:proofErr w:type="spellStart"/>
      <w:r w:rsidRPr="00DB1A1B">
        <w:rPr>
          <w:sz w:val="24"/>
          <w:szCs w:val="24"/>
        </w:rPr>
        <w:t>Vancomycin</w:t>
      </w:r>
      <w:proofErr w:type="spellEnd"/>
      <w:r w:rsidRPr="00DB1A1B">
        <w:rPr>
          <w:sz w:val="24"/>
          <w:szCs w:val="24"/>
        </w:rPr>
        <w:t xml:space="preserve"> skal administreres langsomt ved intravenøs infusion over mindst en time eller med en hastighed på højst 10 mg/min (alt efter hvad der er længst) (se pkt. 4.2).</w:t>
      </w:r>
    </w:p>
    <w:p w14:paraId="0D5E896C" w14:textId="77777777" w:rsidR="004435FC" w:rsidRPr="00DB1A1B" w:rsidRDefault="004435FC" w:rsidP="00270E7C">
      <w:pPr>
        <w:suppressAutoHyphens/>
        <w:ind w:left="851"/>
        <w:rPr>
          <w:sz w:val="24"/>
          <w:szCs w:val="24"/>
        </w:rPr>
      </w:pPr>
    </w:p>
    <w:p w14:paraId="7ECAAD7A" w14:textId="77777777" w:rsidR="004435FC" w:rsidRPr="00DB1A1B" w:rsidRDefault="004435FC" w:rsidP="00270E7C">
      <w:pPr>
        <w:suppressAutoHyphens/>
        <w:ind w:left="851"/>
        <w:rPr>
          <w:sz w:val="24"/>
          <w:szCs w:val="24"/>
        </w:rPr>
      </w:pPr>
      <w:r w:rsidRPr="00DB1A1B">
        <w:rPr>
          <w:sz w:val="24"/>
          <w:szCs w:val="24"/>
        </w:rPr>
        <w:t xml:space="preserve">For at forhindre udfældning grundet den lave pH-værdi af </w:t>
      </w:r>
      <w:proofErr w:type="spellStart"/>
      <w:r w:rsidRPr="00DB1A1B">
        <w:rPr>
          <w:sz w:val="24"/>
          <w:szCs w:val="24"/>
        </w:rPr>
        <w:t>vancomycinhydrochlorid</w:t>
      </w:r>
      <w:proofErr w:type="spellEnd"/>
      <w:r w:rsidRPr="00DB1A1B">
        <w:rPr>
          <w:sz w:val="24"/>
          <w:szCs w:val="24"/>
        </w:rPr>
        <w:t xml:space="preserve"> i opløsning skal alle intravenøse kanyler og katetre skylles med 9 mg/ml (0,9 %) </w:t>
      </w:r>
      <w:proofErr w:type="spellStart"/>
      <w:r w:rsidRPr="00DB1A1B">
        <w:rPr>
          <w:sz w:val="24"/>
          <w:szCs w:val="24"/>
        </w:rPr>
        <w:t>natriumchloridopløsning</w:t>
      </w:r>
      <w:proofErr w:type="spellEnd"/>
      <w:r w:rsidRPr="00DB1A1B">
        <w:rPr>
          <w:sz w:val="24"/>
          <w:szCs w:val="24"/>
        </w:rPr>
        <w:t>.</w:t>
      </w:r>
    </w:p>
    <w:p w14:paraId="406E18D5" w14:textId="77777777" w:rsidR="004435FC" w:rsidRPr="00DB1A1B" w:rsidRDefault="004435FC" w:rsidP="00270E7C">
      <w:pPr>
        <w:suppressAutoHyphens/>
        <w:ind w:left="851"/>
        <w:rPr>
          <w:sz w:val="24"/>
          <w:szCs w:val="24"/>
        </w:rPr>
      </w:pPr>
    </w:p>
    <w:p w14:paraId="5ABB726D" w14:textId="77777777" w:rsidR="004435FC" w:rsidRPr="00DB1A1B" w:rsidRDefault="004435FC" w:rsidP="00270E7C">
      <w:pPr>
        <w:suppressAutoHyphens/>
        <w:ind w:left="851"/>
        <w:rPr>
          <w:sz w:val="24"/>
          <w:szCs w:val="24"/>
        </w:rPr>
      </w:pPr>
      <w:r w:rsidRPr="00DB1A1B">
        <w:rPr>
          <w:sz w:val="24"/>
          <w:szCs w:val="24"/>
        </w:rPr>
        <w:lastRenderedPageBreak/>
        <w:t xml:space="preserve">Hvis ikke den kemiske og fysiske kompatibilitet er bevist skal </w:t>
      </w:r>
      <w:proofErr w:type="spellStart"/>
      <w:r w:rsidRPr="00DB1A1B">
        <w:rPr>
          <w:sz w:val="24"/>
          <w:szCs w:val="24"/>
        </w:rPr>
        <w:t>vancomycinopløsninger</w:t>
      </w:r>
      <w:proofErr w:type="spellEnd"/>
      <w:r w:rsidRPr="00DB1A1B">
        <w:rPr>
          <w:sz w:val="24"/>
          <w:szCs w:val="24"/>
        </w:rPr>
        <w:t xml:space="preserve"> administreres separat (se pkt. 6.2).</w:t>
      </w:r>
    </w:p>
    <w:p w14:paraId="6421B1A3" w14:textId="77777777" w:rsidR="004435FC" w:rsidRPr="00DB1A1B" w:rsidRDefault="004435FC" w:rsidP="00270E7C">
      <w:pPr>
        <w:suppressAutoHyphens/>
        <w:ind w:left="851"/>
        <w:rPr>
          <w:sz w:val="24"/>
          <w:szCs w:val="24"/>
        </w:rPr>
      </w:pPr>
    </w:p>
    <w:p w14:paraId="7BA8A595" w14:textId="77777777" w:rsidR="004435FC" w:rsidRPr="00DB1A1B" w:rsidRDefault="004435FC" w:rsidP="00270E7C">
      <w:pPr>
        <w:suppressAutoHyphens/>
        <w:ind w:left="851"/>
        <w:rPr>
          <w:b/>
          <w:sz w:val="24"/>
          <w:szCs w:val="24"/>
          <w:u w:val="single"/>
        </w:rPr>
      </w:pPr>
      <w:r w:rsidRPr="00DB1A1B">
        <w:rPr>
          <w:sz w:val="24"/>
          <w:szCs w:val="24"/>
          <w:u w:val="single"/>
        </w:rPr>
        <w:t>Bortskaffelse</w:t>
      </w:r>
    </w:p>
    <w:p w14:paraId="0FE55080" w14:textId="77777777" w:rsidR="004435FC" w:rsidRPr="00DB1A1B" w:rsidRDefault="004435FC" w:rsidP="00270E7C">
      <w:pPr>
        <w:suppressAutoHyphens/>
        <w:ind w:left="851"/>
        <w:rPr>
          <w:sz w:val="24"/>
          <w:szCs w:val="24"/>
        </w:rPr>
      </w:pPr>
      <w:r w:rsidRPr="00DB1A1B">
        <w:rPr>
          <w:sz w:val="24"/>
          <w:szCs w:val="24"/>
        </w:rPr>
        <w:t xml:space="preserve">Hætteglassene er kun beregnet til engangsbrug. </w:t>
      </w:r>
    </w:p>
    <w:p w14:paraId="6B4DEC47" w14:textId="77777777" w:rsidR="004435FC" w:rsidRPr="00DB1A1B" w:rsidRDefault="004435FC" w:rsidP="00270E7C">
      <w:pPr>
        <w:suppressAutoHyphens/>
        <w:ind w:left="851"/>
        <w:rPr>
          <w:sz w:val="24"/>
          <w:szCs w:val="24"/>
        </w:rPr>
      </w:pPr>
      <w:r w:rsidRPr="00DB1A1B">
        <w:rPr>
          <w:sz w:val="24"/>
          <w:szCs w:val="24"/>
        </w:rPr>
        <w:t>Ikke anvendt lægemiddel skal kasseres. Ikke anvendt lægemiddel samt affald heraf skal bortskaffes i henhold til lokale retningslinjer.</w:t>
      </w:r>
    </w:p>
    <w:p w14:paraId="41993667" w14:textId="77777777" w:rsidR="009260DE" w:rsidRPr="00DB1A1B" w:rsidRDefault="009260DE" w:rsidP="000730CA">
      <w:pPr>
        <w:tabs>
          <w:tab w:val="left" w:pos="851"/>
        </w:tabs>
        <w:ind w:left="851"/>
        <w:rPr>
          <w:sz w:val="24"/>
          <w:szCs w:val="24"/>
        </w:rPr>
      </w:pPr>
    </w:p>
    <w:p w14:paraId="2DC8E1B7" w14:textId="77777777" w:rsidR="009260DE" w:rsidRPr="00DB1A1B" w:rsidRDefault="009260DE" w:rsidP="009260DE">
      <w:pPr>
        <w:tabs>
          <w:tab w:val="left" w:pos="851"/>
        </w:tabs>
        <w:ind w:left="851" w:hanging="851"/>
        <w:rPr>
          <w:b/>
          <w:sz w:val="24"/>
          <w:szCs w:val="24"/>
        </w:rPr>
      </w:pPr>
      <w:r w:rsidRPr="00DB1A1B">
        <w:rPr>
          <w:b/>
          <w:sz w:val="24"/>
          <w:szCs w:val="24"/>
        </w:rPr>
        <w:t>7.</w:t>
      </w:r>
      <w:r w:rsidRPr="00DB1A1B">
        <w:rPr>
          <w:b/>
          <w:sz w:val="24"/>
          <w:szCs w:val="24"/>
        </w:rPr>
        <w:tab/>
        <w:t>INDEHAVER AF MARKEDSFØRINGSTILLADELSEN</w:t>
      </w:r>
    </w:p>
    <w:p w14:paraId="33E58DCC" w14:textId="77777777" w:rsidR="004435FC" w:rsidRPr="00DB1A1B" w:rsidRDefault="004435FC" w:rsidP="004435FC">
      <w:pPr>
        <w:suppressAutoHyphens/>
        <w:ind w:left="851"/>
        <w:rPr>
          <w:bCs/>
          <w:noProof/>
          <w:sz w:val="24"/>
          <w:szCs w:val="24"/>
          <w:lang w:eastAsia="en-GB"/>
        </w:rPr>
      </w:pPr>
      <w:r w:rsidRPr="00DB1A1B">
        <w:rPr>
          <w:bCs/>
          <w:noProof/>
          <w:sz w:val="24"/>
          <w:szCs w:val="24"/>
        </w:rPr>
        <w:t>Orion Corporation</w:t>
      </w:r>
    </w:p>
    <w:p w14:paraId="087D9644" w14:textId="77777777" w:rsidR="004435FC" w:rsidRPr="00DB1A1B" w:rsidRDefault="004435FC" w:rsidP="004435FC">
      <w:pPr>
        <w:suppressAutoHyphens/>
        <w:ind w:left="851"/>
        <w:rPr>
          <w:bCs/>
          <w:noProof/>
          <w:sz w:val="24"/>
          <w:szCs w:val="24"/>
        </w:rPr>
      </w:pPr>
      <w:r w:rsidRPr="00DB1A1B">
        <w:rPr>
          <w:bCs/>
          <w:noProof/>
          <w:sz w:val="24"/>
          <w:szCs w:val="24"/>
        </w:rPr>
        <w:t>Orionintie 1</w:t>
      </w:r>
    </w:p>
    <w:p w14:paraId="54FA74CC" w14:textId="77777777" w:rsidR="004435FC" w:rsidRPr="00B605AA" w:rsidRDefault="004435FC" w:rsidP="004435FC">
      <w:pPr>
        <w:suppressAutoHyphens/>
        <w:ind w:left="851"/>
        <w:rPr>
          <w:bCs/>
          <w:noProof/>
          <w:sz w:val="24"/>
          <w:szCs w:val="24"/>
          <w:lang w:val="en-US"/>
        </w:rPr>
      </w:pPr>
      <w:r w:rsidRPr="00B605AA">
        <w:rPr>
          <w:bCs/>
          <w:noProof/>
          <w:sz w:val="24"/>
          <w:szCs w:val="24"/>
          <w:lang w:val="en-US"/>
        </w:rPr>
        <w:t>FI-02200 Espoo</w:t>
      </w:r>
    </w:p>
    <w:p w14:paraId="275FA03F" w14:textId="77777777" w:rsidR="004435FC" w:rsidRPr="00B605AA" w:rsidRDefault="004435FC" w:rsidP="004435FC">
      <w:pPr>
        <w:suppressAutoHyphens/>
        <w:ind w:left="851"/>
        <w:rPr>
          <w:bCs/>
          <w:noProof/>
          <w:sz w:val="24"/>
          <w:szCs w:val="24"/>
          <w:lang w:val="en-US"/>
        </w:rPr>
      </w:pPr>
      <w:r w:rsidRPr="00B605AA">
        <w:rPr>
          <w:bCs/>
          <w:noProof/>
          <w:sz w:val="24"/>
          <w:szCs w:val="24"/>
          <w:lang w:val="en-US"/>
        </w:rPr>
        <w:t>Finland</w:t>
      </w:r>
    </w:p>
    <w:p w14:paraId="1A9362DC" w14:textId="77777777" w:rsidR="004435FC" w:rsidRPr="00B605AA" w:rsidRDefault="004435FC" w:rsidP="004435FC">
      <w:pPr>
        <w:suppressAutoHyphens/>
        <w:ind w:left="851"/>
        <w:rPr>
          <w:sz w:val="24"/>
          <w:szCs w:val="24"/>
          <w:lang w:val="en-US"/>
        </w:rPr>
      </w:pPr>
    </w:p>
    <w:p w14:paraId="234460D3" w14:textId="77777777" w:rsidR="004435FC" w:rsidRPr="00B605AA" w:rsidRDefault="004435FC" w:rsidP="004435FC">
      <w:pPr>
        <w:suppressAutoHyphens/>
        <w:ind w:left="851"/>
        <w:rPr>
          <w:b/>
          <w:sz w:val="24"/>
          <w:szCs w:val="24"/>
          <w:lang w:val="en-US"/>
        </w:rPr>
      </w:pPr>
      <w:proofErr w:type="spellStart"/>
      <w:r w:rsidRPr="00B605AA">
        <w:rPr>
          <w:b/>
          <w:sz w:val="24"/>
          <w:szCs w:val="24"/>
          <w:lang w:val="en-US"/>
        </w:rPr>
        <w:t>Repræsentant</w:t>
      </w:r>
      <w:proofErr w:type="spellEnd"/>
    </w:p>
    <w:p w14:paraId="11433C65" w14:textId="77777777" w:rsidR="004435FC" w:rsidRPr="00B605AA" w:rsidRDefault="004435FC" w:rsidP="004435FC">
      <w:pPr>
        <w:suppressAutoHyphens/>
        <w:ind w:left="851"/>
        <w:rPr>
          <w:bCs/>
          <w:sz w:val="24"/>
          <w:szCs w:val="24"/>
          <w:lang w:val="en-US"/>
        </w:rPr>
      </w:pPr>
      <w:r w:rsidRPr="00B605AA">
        <w:rPr>
          <w:bCs/>
          <w:sz w:val="24"/>
          <w:szCs w:val="24"/>
          <w:lang w:val="en-US"/>
        </w:rPr>
        <w:t>Orion Pharma A/S</w:t>
      </w:r>
    </w:p>
    <w:p w14:paraId="5B70BBF1" w14:textId="77777777" w:rsidR="004435FC" w:rsidRPr="00DB1A1B" w:rsidRDefault="004435FC" w:rsidP="004435FC">
      <w:pPr>
        <w:suppressAutoHyphens/>
        <w:ind w:left="851"/>
        <w:rPr>
          <w:bCs/>
          <w:sz w:val="24"/>
          <w:szCs w:val="24"/>
        </w:rPr>
      </w:pPr>
      <w:r w:rsidRPr="00DB1A1B">
        <w:rPr>
          <w:bCs/>
          <w:sz w:val="24"/>
          <w:szCs w:val="24"/>
        </w:rPr>
        <w:t>Ørestads Boulevard 73</w:t>
      </w:r>
    </w:p>
    <w:p w14:paraId="0EE6F0CF" w14:textId="77777777" w:rsidR="004435FC" w:rsidRPr="00DB1A1B" w:rsidRDefault="004435FC" w:rsidP="004435FC">
      <w:pPr>
        <w:suppressAutoHyphens/>
        <w:ind w:left="851"/>
        <w:rPr>
          <w:bCs/>
          <w:sz w:val="24"/>
          <w:szCs w:val="24"/>
        </w:rPr>
      </w:pPr>
      <w:r w:rsidRPr="00DB1A1B">
        <w:rPr>
          <w:bCs/>
          <w:sz w:val="24"/>
          <w:szCs w:val="24"/>
        </w:rPr>
        <w:t>2300 København S</w:t>
      </w:r>
    </w:p>
    <w:p w14:paraId="4D7B2E1B" w14:textId="77777777" w:rsidR="00641C65" w:rsidRPr="00DB1A1B" w:rsidRDefault="00641C65" w:rsidP="009260DE">
      <w:pPr>
        <w:tabs>
          <w:tab w:val="left" w:pos="851"/>
        </w:tabs>
        <w:ind w:left="851"/>
        <w:rPr>
          <w:sz w:val="24"/>
          <w:szCs w:val="24"/>
        </w:rPr>
      </w:pPr>
    </w:p>
    <w:p w14:paraId="09A49223" w14:textId="77777777" w:rsidR="009260DE" w:rsidRPr="00DB1A1B" w:rsidRDefault="009260DE" w:rsidP="009260DE">
      <w:pPr>
        <w:tabs>
          <w:tab w:val="left" w:pos="851"/>
        </w:tabs>
        <w:ind w:left="851" w:hanging="851"/>
        <w:rPr>
          <w:b/>
          <w:sz w:val="24"/>
          <w:szCs w:val="24"/>
        </w:rPr>
      </w:pPr>
      <w:r w:rsidRPr="00DB1A1B">
        <w:rPr>
          <w:b/>
          <w:sz w:val="24"/>
          <w:szCs w:val="24"/>
        </w:rPr>
        <w:t>8.</w:t>
      </w:r>
      <w:r w:rsidRPr="00DB1A1B">
        <w:rPr>
          <w:b/>
          <w:sz w:val="24"/>
          <w:szCs w:val="24"/>
        </w:rPr>
        <w:tab/>
        <w:t>MARKEDSFØRINGSTILLADELSESNUMMER (</w:t>
      </w:r>
      <w:r w:rsidR="00BF6243" w:rsidRPr="00DB1A1B">
        <w:rPr>
          <w:b/>
          <w:sz w:val="24"/>
          <w:szCs w:val="24"/>
        </w:rPr>
        <w:t>-</w:t>
      </w:r>
      <w:r w:rsidRPr="00DB1A1B">
        <w:rPr>
          <w:b/>
          <w:sz w:val="24"/>
          <w:szCs w:val="24"/>
        </w:rPr>
        <w:t>NUMRE)</w:t>
      </w:r>
    </w:p>
    <w:p w14:paraId="0986F168" w14:textId="035B69CA" w:rsidR="009260DE" w:rsidRPr="00DB1A1B" w:rsidRDefault="004435FC" w:rsidP="00B605AA">
      <w:pPr>
        <w:tabs>
          <w:tab w:val="left" w:pos="851"/>
          <w:tab w:val="left" w:pos="1985"/>
        </w:tabs>
        <w:ind w:left="851"/>
        <w:rPr>
          <w:sz w:val="24"/>
          <w:szCs w:val="24"/>
        </w:rPr>
      </w:pPr>
      <w:r w:rsidRPr="00DB1A1B">
        <w:rPr>
          <w:sz w:val="24"/>
          <w:szCs w:val="24"/>
        </w:rPr>
        <w:t xml:space="preserve">500 mg: </w:t>
      </w:r>
      <w:r w:rsidR="00B605AA">
        <w:rPr>
          <w:sz w:val="24"/>
          <w:szCs w:val="24"/>
        </w:rPr>
        <w:tab/>
      </w:r>
      <w:r w:rsidRPr="00DB1A1B">
        <w:rPr>
          <w:sz w:val="24"/>
          <w:szCs w:val="24"/>
        </w:rPr>
        <w:t>68634</w:t>
      </w:r>
    </w:p>
    <w:p w14:paraId="24907399" w14:textId="64F613AB" w:rsidR="004435FC" w:rsidRPr="00DB1A1B" w:rsidRDefault="004435FC" w:rsidP="00B605AA">
      <w:pPr>
        <w:tabs>
          <w:tab w:val="left" w:pos="851"/>
          <w:tab w:val="left" w:pos="1985"/>
        </w:tabs>
        <w:ind w:left="851"/>
        <w:rPr>
          <w:sz w:val="24"/>
          <w:szCs w:val="24"/>
        </w:rPr>
      </w:pPr>
      <w:r w:rsidRPr="00DB1A1B">
        <w:rPr>
          <w:sz w:val="24"/>
          <w:szCs w:val="24"/>
        </w:rPr>
        <w:t xml:space="preserve">1000 mg: </w:t>
      </w:r>
      <w:r w:rsidR="00B605AA">
        <w:rPr>
          <w:sz w:val="24"/>
          <w:szCs w:val="24"/>
        </w:rPr>
        <w:tab/>
      </w:r>
      <w:bookmarkStart w:id="1" w:name="_GoBack"/>
      <w:bookmarkEnd w:id="1"/>
      <w:r w:rsidRPr="00DB1A1B">
        <w:rPr>
          <w:sz w:val="24"/>
          <w:szCs w:val="24"/>
        </w:rPr>
        <w:t>68635</w:t>
      </w:r>
    </w:p>
    <w:p w14:paraId="18E7C819" w14:textId="77777777" w:rsidR="009260DE" w:rsidRPr="00DB1A1B" w:rsidRDefault="009260DE" w:rsidP="009260DE">
      <w:pPr>
        <w:tabs>
          <w:tab w:val="left" w:pos="851"/>
        </w:tabs>
        <w:ind w:left="851"/>
        <w:jc w:val="both"/>
        <w:rPr>
          <w:sz w:val="24"/>
          <w:szCs w:val="24"/>
        </w:rPr>
      </w:pPr>
    </w:p>
    <w:p w14:paraId="0EF42C18" w14:textId="77777777" w:rsidR="009260DE" w:rsidRPr="00DB1A1B" w:rsidRDefault="009260DE" w:rsidP="009260DE">
      <w:pPr>
        <w:tabs>
          <w:tab w:val="left" w:pos="851"/>
        </w:tabs>
        <w:ind w:left="851" w:hanging="851"/>
        <w:rPr>
          <w:b/>
          <w:sz w:val="24"/>
          <w:szCs w:val="24"/>
        </w:rPr>
      </w:pPr>
      <w:r w:rsidRPr="00DB1A1B">
        <w:rPr>
          <w:b/>
          <w:sz w:val="24"/>
          <w:szCs w:val="24"/>
        </w:rPr>
        <w:t>9.</w:t>
      </w:r>
      <w:r w:rsidRPr="00DB1A1B">
        <w:rPr>
          <w:b/>
          <w:sz w:val="24"/>
          <w:szCs w:val="24"/>
        </w:rPr>
        <w:tab/>
        <w:t>DATO FOR FØRSTE MARKEDSFØRINGSTILLADELSE</w:t>
      </w:r>
    </w:p>
    <w:p w14:paraId="484C535C" w14:textId="69B94365" w:rsidR="009260DE" w:rsidRPr="00DB1A1B" w:rsidRDefault="00B605AA" w:rsidP="009260DE">
      <w:pPr>
        <w:tabs>
          <w:tab w:val="left" w:pos="851"/>
        </w:tabs>
        <w:ind w:left="851"/>
        <w:rPr>
          <w:sz w:val="24"/>
          <w:szCs w:val="24"/>
        </w:rPr>
      </w:pPr>
      <w:r>
        <w:rPr>
          <w:sz w:val="24"/>
          <w:szCs w:val="24"/>
        </w:rPr>
        <w:t>22. april 2024</w:t>
      </w:r>
    </w:p>
    <w:p w14:paraId="3326C491" w14:textId="77777777" w:rsidR="009260DE" w:rsidRPr="00DB1A1B" w:rsidRDefault="009260DE" w:rsidP="009260DE">
      <w:pPr>
        <w:tabs>
          <w:tab w:val="left" w:pos="851"/>
        </w:tabs>
        <w:ind w:left="851"/>
        <w:rPr>
          <w:sz w:val="24"/>
          <w:szCs w:val="24"/>
        </w:rPr>
      </w:pPr>
    </w:p>
    <w:p w14:paraId="714FC7D6" w14:textId="77777777" w:rsidR="009260DE" w:rsidRPr="00DB1A1B" w:rsidRDefault="009260DE" w:rsidP="009260DE">
      <w:pPr>
        <w:tabs>
          <w:tab w:val="left" w:pos="851"/>
        </w:tabs>
        <w:ind w:left="851" w:hanging="851"/>
        <w:rPr>
          <w:b/>
          <w:sz w:val="24"/>
          <w:szCs w:val="24"/>
        </w:rPr>
      </w:pPr>
      <w:r w:rsidRPr="00DB1A1B">
        <w:rPr>
          <w:b/>
          <w:sz w:val="24"/>
          <w:szCs w:val="24"/>
        </w:rPr>
        <w:t>10.</w:t>
      </w:r>
      <w:r w:rsidRPr="00DB1A1B">
        <w:rPr>
          <w:b/>
          <w:sz w:val="24"/>
          <w:szCs w:val="24"/>
        </w:rPr>
        <w:tab/>
        <w:t>DATO FOR ÆNDRING AF TEKSTEN</w:t>
      </w:r>
    </w:p>
    <w:p w14:paraId="1CB262CB" w14:textId="61476E71" w:rsidR="009260DE" w:rsidRPr="00DB1A1B" w:rsidRDefault="004435FC" w:rsidP="009260DE">
      <w:pPr>
        <w:tabs>
          <w:tab w:val="left" w:pos="851"/>
        </w:tabs>
        <w:ind w:left="851"/>
        <w:rPr>
          <w:sz w:val="24"/>
          <w:szCs w:val="24"/>
        </w:rPr>
      </w:pPr>
      <w:r w:rsidRPr="00DB1A1B">
        <w:rPr>
          <w:sz w:val="24"/>
          <w:szCs w:val="24"/>
        </w:rPr>
        <w:t>-</w:t>
      </w:r>
    </w:p>
    <w:sectPr w:rsidR="009260DE" w:rsidRPr="00DB1A1B"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5FD94" w14:textId="77777777" w:rsidR="00B4381E" w:rsidRDefault="00B4381E">
      <w:r>
        <w:separator/>
      </w:r>
    </w:p>
  </w:endnote>
  <w:endnote w:type="continuationSeparator" w:id="0">
    <w:p w14:paraId="6D854FB1" w14:textId="77777777" w:rsidR="00B4381E" w:rsidRDefault="00B4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EC9E4" w14:textId="77777777" w:rsidR="00B4381E" w:rsidRDefault="00B4381E">
    <w:pPr>
      <w:pStyle w:val="Sidefod"/>
      <w:pBdr>
        <w:bottom w:val="single" w:sz="6" w:space="1" w:color="auto"/>
      </w:pBdr>
    </w:pPr>
  </w:p>
  <w:p w14:paraId="4B34064C" w14:textId="77777777" w:rsidR="00B4381E" w:rsidRDefault="00B4381E" w:rsidP="00C42586">
    <w:pPr>
      <w:pStyle w:val="Sidefod"/>
      <w:tabs>
        <w:tab w:val="clear" w:pos="4819"/>
        <w:tab w:val="left" w:pos="8505"/>
      </w:tabs>
      <w:rPr>
        <w:i/>
        <w:sz w:val="18"/>
        <w:szCs w:val="18"/>
      </w:rPr>
    </w:pPr>
  </w:p>
  <w:p w14:paraId="25E25C9D" w14:textId="07CEB8F3" w:rsidR="00B4381E" w:rsidRPr="00B373D7" w:rsidRDefault="00B4381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605AA">
      <w:rPr>
        <w:i/>
        <w:noProof/>
        <w:sz w:val="18"/>
        <w:szCs w:val="18"/>
      </w:rPr>
      <w:t>Vancomycin Orion, pulver til koncentrat til infusionsvæske, opløsning 500 mg og 1000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87A77" w14:textId="77777777" w:rsidR="00B4381E" w:rsidRDefault="00B4381E">
      <w:r>
        <w:separator/>
      </w:r>
    </w:p>
  </w:footnote>
  <w:footnote w:type="continuationSeparator" w:id="0">
    <w:p w14:paraId="26D45A8B" w14:textId="77777777" w:rsidR="00B4381E" w:rsidRDefault="00B43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93F5F"/>
    <w:multiLevelType w:val="hybridMultilevel"/>
    <w:tmpl w:val="941447A0"/>
    <w:lvl w:ilvl="0" w:tplc="16AADA02">
      <w:start w:val="1"/>
      <w:numFmt w:val="decimal"/>
      <w:lvlText w:val="%1."/>
      <w:lvlJc w:val="left"/>
      <w:pPr>
        <w:ind w:left="720" w:hanging="360"/>
      </w:pPr>
      <w:rPr>
        <w:vertAlign w:val="superscrip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F02112C"/>
    <w:multiLevelType w:val="hybridMultilevel"/>
    <w:tmpl w:val="F0BE5318"/>
    <w:lvl w:ilvl="0" w:tplc="FFFFFFFF">
      <w:start w:val="1"/>
      <w:numFmt w:val="bullet"/>
      <w:lvlText w:val="-"/>
      <w:lvlJc w:val="left"/>
      <w:pPr>
        <w:ind w:left="1571" w:hanging="360"/>
      </w:p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89C342D"/>
    <w:multiLevelType w:val="hybridMultilevel"/>
    <w:tmpl w:val="20223B64"/>
    <w:lvl w:ilvl="0" w:tplc="FDDC9808">
      <w:start w:val="1"/>
      <w:numFmt w:val="bullet"/>
      <w:lvlText w:val="-"/>
      <w:lvlJc w:val="left"/>
      <w:pPr>
        <w:ind w:left="1004" w:hanging="360"/>
      </w:pPr>
      <w:rPr>
        <w:sz w:val="24"/>
        <w:szCs w:val="24"/>
      </w:rPr>
    </w:lvl>
    <w:lvl w:ilvl="1" w:tplc="040B0003">
      <w:start w:val="1"/>
      <w:numFmt w:val="bullet"/>
      <w:lvlText w:val="o"/>
      <w:lvlJc w:val="left"/>
      <w:pPr>
        <w:ind w:left="1724" w:hanging="360"/>
      </w:pPr>
      <w:rPr>
        <w:rFonts w:ascii="Courier New" w:hAnsi="Courier New" w:cs="Courier New" w:hint="default"/>
      </w:rPr>
    </w:lvl>
    <w:lvl w:ilvl="2" w:tplc="040B0005">
      <w:start w:val="1"/>
      <w:numFmt w:val="bullet"/>
      <w:lvlText w:val=""/>
      <w:lvlJc w:val="left"/>
      <w:pPr>
        <w:ind w:left="2444" w:hanging="360"/>
      </w:pPr>
      <w:rPr>
        <w:rFonts w:ascii="Wingdings" w:hAnsi="Wingdings" w:hint="default"/>
      </w:rPr>
    </w:lvl>
    <w:lvl w:ilvl="3" w:tplc="040B0001">
      <w:start w:val="1"/>
      <w:numFmt w:val="bullet"/>
      <w:lvlText w:val=""/>
      <w:lvlJc w:val="left"/>
      <w:pPr>
        <w:ind w:left="3164" w:hanging="360"/>
      </w:pPr>
      <w:rPr>
        <w:rFonts w:ascii="Symbol" w:hAnsi="Symbol" w:hint="default"/>
      </w:rPr>
    </w:lvl>
    <w:lvl w:ilvl="4" w:tplc="040B0003">
      <w:start w:val="1"/>
      <w:numFmt w:val="bullet"/>
      <w:lvlText w:val="o"/>
      <w:lvlJc w:val="left"/>
      <w:pPr>
        <w:ind w:left="3884" w:hanging="360"/>
      </w:pPr>
      <w:rPr>
        <w:rFonts w:ascii="Courier New" w:hAnsi="Courier New" w:cs="Courier New" w:hint="default"/>
      </w:rPr>
    </w:lvl>
    <w:lvl w:ilvl="5" w:tplc="040B0005">
      <w:start w:val="1"/>
      <w:numFmt w:val="bullet"/>
      <w:lvlText w:val=""/>
      <w:lvlJc w:val="left"/>
      <w:pPr>
        <w:ind w:left="4604" w:hanging="360"/>
      </w:pPr>
      <w:rPr>
        <w:rFonts w:ascii="Wingdings" w:hAnsi="Wingdings" w:hint="default"/>
      </w:rPr>
    </w:lvl>
    <w:lvl w:ilvl="6" w:tplc="040B0001">
      <w:start w:val="1"/>
      <w:numFmt w:val="bullet"/>
      <w:lvlText w:val=""/>
      <w:lvlJc w:val="left"/>
      <w:pPr>
        <w:ind w:left="5324" w:hanging="360"/>
      </w:pPr>
      <w:rPr>
        <w:rFonts w:ascii="Symbol" w:hAnsi="Symbol" w:hint="default"/>
      </w:rPr>
    </w:lvl>
    <w:lvl w:ilvl="7" w:tplc="040B0003">
      <w:start w:val="1"/>
      <w:numFmt w:val="bullet"/>
      <w:lvlText w:val="o"/>
      <w:lvlJc w:val="left"/>
      <w:pPr>
        <w:ind w:left="6044" w:hanging="360"/>
      </w:pPr>
      <w:rPr>
        <w:rFonts w:ascii="Courier New" w:hAnsi="Courier New" w:cs="Courier New" w:hint="default"/>
      </w:rPr>
    </w:lvl>
    <w:lvl w:ilvl="8" w:tplc="040B0005">
      <w:start w:val="1"/>
      <w:numFmt w:val="bullet"/>
      <w:lvlText w:val=""/>
      <w:lvlJc w:val="left"/>
      <w:pPr>
        <w:ind w:left="6764" w:hanging="360"/>
      </w:pPr>
      <w:rPr>
        <w:rFonts w:ascii="Wingdings" w:hAnsi="Wingdings" w:hint="default"/>
      </w:rPr>
    </w:lvl>
  </w:abstractNum>
  <w:abstractNum w:abstractNumId="8" w15:restartNumberingAfterBreak="0">
    <w:nsid w:val="6BAE463D"/>
    <w:multiLevelType w:val="hybridMultilevel"/>
    <w:tmpl w:val="5164E08E"/>
    <w:lvl w:ilvl="0" w:tplc="2D7A014E">
      <w:start w:val="1"/>
      <w:numFmt w:val="bullet"/>
      <w:lvlText w:val="-"/>
      <w:lvlJc w:val="left"/>
      <w:pPr>
        <w:ind w:left="720" w:hanging="360"/>
      </w:pPr>
      <w:rPr>
        <w:sz w:val="24"/>
        <w:szCs w:val="24"/>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D9"/>
    <w:rsid w:val="000259B9"/>
    <w:rsid w:val="00041491"/>
    <w:rsid w:val="00050D16"/>
    <w:rsid w:val="000730CA"/>
    <w:rsid w:val="00074F2A"/>
    <w:rsid w:val="000A1CA8"/>
    <w:rsid w:val="000A466B"/>
    <w:rsid w:val="000B058C"/>
    <w:rsid w:val="000D68B0"/>
    <w:rsid w:val="000E4EE6"/>
    <w:rsid w:val="001454E2"/>
    <w:rsid w:val="00185753"/>
    <w:rsid w:val="00206CE8"/>
    <w:rsid w:val="0021526C"/>
    <w:rsid w:val="00270E7C"/>
    <w:rsid w:val="00283A2B"/>
    <w:rsid w:val="002B30AD"/>
    <w:rsid w:val="002C1EC0"/>
    <w:rsid w:val="002C2C01"/>
    <w:rsid w:val="003A29AE"/>
    <w:rsid w:val="003A32D7"/>
    <w:rsid w:val="003B4074"/>
    <w:rsid w:val="003C769A"/>
    <w:rsid w:val="003D3A90"/>
    <w:rsid w:val="003F1838"/>
    <w:rsid w:val="004251C1"/>
    <w:rsid w:val="004435FC"/>
    <w:rsid w:val="0045746C"/>
    <w:rsid w:val="0049104B"/>
    <w:rsid w:val="004E3B12"/>
    <w:rsid w:val="004F2F9D"/>
    <w:rsid w:val="00532310"/>
    <w:rsid w:val="00565F0F"/>
    <w:rsid w:val="00594A86"/>
    <w:rsid w:val="00596D86"/>
    <w:rsid w:val="00637F5A"/>
    <w:rsid w:val="00641C65"/>
    <w:rsid w:val="006560B1"/>
    <w:rsid w:val="006756DD"/>
    <w:rsid w:val="00691261"/>
    <w:rsid w:val="006B1D8C"/>
    <w:rsid w:val="0071241E"/>
    <w:rsid w:val="00737275"/>
    <w:rsid w:val="00740EEC"/>
    <w:rsid w:val="0078011A"/>
    <w:rsid w:val="00782AF4"/>
    <w:rsid w:val="00790EE7"/>
    <w:rsid w:val="007B11D9"/>
    <w:rsid w:val="007B6649"/>
    <w:rsid w:val="0082576E"/>
    <w:rsid w:val="0089346F"/>
    <w:rsid w:val="00907F75"/>
    <w:rsid w:val="009260DE"/>
    <w:rsid w:val="0093258A"/>
    <w:rsid w:val="009C7BA3"/>
    <w:rsid w:val="009D1F5A"/>
    <w:rsid w:val="00A10294"/>
    <w:rsid w:val="00AE72E6"/>
    <w:rsid w:val="00B003BF"/>
    <w:rsid w:val="00B373D7"/>
    <w:rsid w:val="00B4381E"/>
    <w:rsid w:val="00B55271"/>
    <w:rsid w:val="00B605AA"/>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B1A1B"/>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59964"/>
  <w15:chartTrackingRefBased/>
  <w15:docId w15:val="{DF4CC272-4304-49DA-B6A8-891B5D0D7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4435FC"/>
    <w:pPr>
      <w:ind w:left="720"/>
      <w:contextualSpacing/>
    </w:pPr>
    <w:rPr>
      <w:sz w:val="20"/>
      <w:lang w:val="nl-NL" w:eastAsia="nl-NL"/>
    </w:rPr>
  </w:style>
  <w:style w:type="paragraph" w:customStyle="1" w:styleId="Default">
    <w:name w:val="Default"/>
    <w:rsid w:val="004435FC"/>
    <w:pPr>
      <w:autoSpaceDE w:val="0"/>
      <w:autoSpaceDN w:val="0"/>
      <w:adjustRightInd w:val="0"/>
    </w:pPr>
    <w:rPr>
      <w:rFonts w:ascii="Verdana" w:hAnsi="Verdana" w:cs="Verdan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05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1377917">
      <w:bodyDiv w:val="1"/>
      <w:marLeft w:val="0"/>
      <w:marRight w:val="0"/>
      <w:marTop w:val="0"/>
      <w:marBottom w:val="0"/>
      <w:divBdr>
        <w:top w:val="none" w:sz="0" w:space="0" w:color="auto"/>
        <w:left w:val="none" w:sz="0" w:space="0" w:color="auto"/>
        <w:bottom w:val="none" w:sz="0" w:space="0" w:color="auto"/>
        <w:right w:val="none" w:sz="0" w:space="0" w:color="auto"/>
      </w:divBdr>
    </w:div>
    <w:div w:id="189150395">
      <w:bodyDiv w:val="1"/>
      <w:marLeft w:val="0"/>
      <w:marRight w:val="0"/>
      <w:marTop w:val="0"/>
      <w:marBottom w:val="0"/>
      <w:divBdr>
        <w:top w:val="none" w:sz="0" w:space="0" w:color="auto"/>
        <w:left w:val="none" w:sz="0" w:space="0" w:color="auto"/>
        <w:bottom w:val="none" w:sz="0" w:space="0" w:color="auto"/>
        <w:right w:val="none" w:sz="0" w:space="0" w:color="auto"/>
      </w:divBdr>
    </w:div>
    <w:div w:id="200098012">
      <w:bodyDiv w:val="1"/>
      <w:marLeft w:val="0"/>
      <w:marRight w:val="0"/>
      <w:marTop w:val="0"/>
      <w:marBottom w:val="0"/>
      <w:divBdr>
        <w:top w:val="none" w:sz="0" w:space="0" w:color="auto"/>
        <w:left w:val="none" w:sz="0" w:space="0" w:color="auto"/>
        <w:bottom w:val="none" w:sz="0" w:space="0" w:color="auto"/>
        <w:right w:val="none" w:sz="0" w:space="0" w:color="auto"/>
      </w:divBdr>
    </w:div>
    <w:div w:id="268586818">
      <w:bodyDiv w:val="1"/>
      <w:marLeft w:val="0"/>
      <w:marRight w:val="0"/>
      <w:marTop w:val="0"/>
      <w:marBottom w:val="0"/>
      <w:divBdr>
        <w:top w:val="none" w:sz="0" w:space="0" w:color="auto"/>
        <w:left w:val="none" w:sz="0" w:space="0" w:color="auto"/>
        <w:bottom w:val="none" w:sz="0" w:space="0" w:color="auto"/>
        <w:right w:val="none" w:sz="0" w:space="0" w:color="auto"/>
      </w:divBdr>
    </w:div>
    <w:div w:id="653876189">
      <w:bodyDiv w:val="1"/>
      <w:marLeft w:val="0"/>
      <w:marRight w:val="0"/>
      <w:marTop w:val="0"/>
      <w:marBottom w:val="0"/>
      <w:divBdr>
        <w:top w:val="none" w:sz="0" w:space="0" w:color="auto"/>
        <w:left w:val="none" w:sz="0" w:space="0" w:color="auto"/>
        <w:bottom w:val="none" w:sz="0" w:space="0" w:color="auto"/>
        <w:right w:val="none" w:sz="0" w:space="0" w:color="auto"/>
      </w:divBdr>
    </w:div>
    <w:div w:id="677342305">
      <w:bodyDiv w:val="1"/>
      <w:marLeft w:val="0"/>
      <w:marRight w:val="0"/>
      <w:marTop w:val="0"/>
      <w:marBottom w:val="0"/>
      <w:divBdr>
        <w:top w:val="none" w:sz="0" w:space="0" w:color="auto"/>
        <w:left w:val="none" w:sz="0" w:space="0" w:color="auto"/>
        <w:bottom w:val="none" w:sz="0" w:space="0" w:color="auto"/>
        <w:right w:val="none" w:sz="0" w:space="0" w:color="auto"/>
      </w:divBdr>
    </w:div>
    <w:div w:id="720784959">
      <w:bodyDiv w:val="1"/>
      <w:marLeft w:val="0"/>
      <w:marRight w:val="0"/>
      <w:marTop w:val="0"/>
      <w:marBottom w:val="0"/>
      <w:divBdr>
        <w:top w:val="none" w:sz="0" w:space="0" w:color="auto"/>
        <w:left w:val="none" w:sz="0" w:space="0" w:color="auto"/>
        <w:bottom w:val="none" w:sz="0" w:space="0" w:color="auto"/>
        <w:right w:val="none" w:sz="0" w:space="0" w:color="auto"/>
      </w:divBdr>
    </w:div>
    <w:div w:id="743844213">
      <w:bodyDiv w:val="1"/>
      <w:marLeft w:val="0"/>
      <w:marRight w:val="0"/>
      <w:marTop w:val="0"/>
      <w:marBottom w:val="0"/>
      <w:divBdr>
        <w:top w:val="none" w:sz="0" w:space="0" w:color="auto"/>
        <w:left w:val="none" w:sz="0" w:space="0" w:color="auto"/>
        <w:bottom w:val="none" w:sz="0" w:space="0" w:color="auto"/>
        <w:right w:val="none" w:sz="0" w:space="0" w:color="auto"/>
      </w:divBdr>
    </w:div>
    <w:div w:id="929973534">
      <w:bodyDiv w:val="1"/>
      <w:marLeft w:val="0"/>
      <w:marRight w:val="0"/>
      <w:marTop w:val="0"/>
      <w:marBottom w:val="0"/>
      <w:divBdr>
        <w:top w:val="none" w:sz="0" w:space="0" w:color="auto"/>
        <w:left w:val="none" w:sz="0" w:space="0" w:color="auto"/>
        <w:bottom w:val="none" w:sz="0" w:space="0" w:color="auto"/>
        <w:right w:val="none" w:sz="0" w:space="0" w:color="auto"/>
      </w:divBdr>
    </w:div>
    <w:div w:id="946228723">
      <w:bodyDiv w:val="1"/>
      <w:marLeft w:val="0"/>
      <w:marRight w:val="0"/>
      <w:marTop w:val="0"/>
      <w:marBottom w:val="0"/>
      <w:divBdr>
        <w:top w:val="none" w:sz="0" w:space="0" w:color="auto"/>
        <w:left w:val="none" w:sz="0" w:space="0" w:color="auto"/>
        <w:bottom w:val="none" w:sz="0" w:space="0" w:color="auto"/>
        <w:right w:val="none" w:sz="0" w:space="0" w:color="auto"/>
      </w:divBdr>
    </w:div>
    <w:div w:id="1061749772">
      <w:bodyDiv w:val="1"/>
      <w:marLeft w:val="0"/>
      <w:marRight w:val="0"/>
      <w:marTop w:val="0"/>
      <w:marBottom w:val="0"/>
      <w:divBdr>
        <w:top w:val="none" w:sz="0" w:space="0" w:color="auto"/>
        <w:left w:val="none" w:sz="0" w:space="0" w:color="auto"/>
        <w:bottom w:val="none" w:sz="0" w:space="0" w:color="auto"/>
        <w:right w:val="none" w:sz="0" w:space="0" w:color="auto"/>
      </w:divBdr>
    </w:div>
    <w:div w:id="1124154083">
      <w:bodyDiv w:val="1"/>
      <w:marLeft w:val="0"/>
      <w:marRight w:val="0"/>
      <w:marTop w:val="0"/>
      <w:marBottom w:val="0"/>
      <w:divBdr>
        <w:top w:val="none" w:sz="0" w:space="0" w:color="auto"/>
        <w:left w:val="none" w:sz="0" w:space="0" w:color="auto"/>
        <w:bottom w:val="none" w:sz="0" w:space="0" w:color="auto"/>
        <w:right w:val="none" w:sz="0" w:space="0" w:color="auto"/>
      </w:divBdr>
    </w:div>
    <w:div w:id="1201672109">
      <w:bodyDiv w:val="1"/>
      <w:marLeft w:val="0"/>
      <w:marRight w:val="0"/>
      <w:marTop w:val="0"/>
      <w:marBottom w:val="0"/>
      <w:divBdr>
        <w:top w:val="none" w:sz="0" w:space="0" w:color="auto"/>
        <w:left w:val="none" w:sz="0" w:space="0" w:color="auto"/>
        <w:bottom w:val="none" w:sz="0" w:space="0" w:color="auto"/>
        <w:right w:val="none" w:sz="0" w:space="0" w:color="auto"/>
      </w:divBdr>
    </w:div>
    <w:div w:id="1307513957">
      <w:bodyDiv w:val="1"/>
      <w:marLeft w:val="0"/>
      <w:marRight w:val="0"/>
      <w:marTop w:val="0"/>
      <w:marBottom w:val="0"/>
      <w:divBdr>
        <w:top w:val="none" w:sz="0" w:space="0" w:color="auto"/>
        <w:left w:val="none" w:sz="0" w:space="0" w:color="auto"/>
        <w:bottom w:val="none" w:sz="0" w:space="0" w:color="auto"/>
        <w:right w:val="none" w:sz="0" w:space="0" w:color="auto"/>
      </w:divBdr>
    </w:div>
    <w:div w:id="1555044903">
      <w:bodyDiv w:val="1"/>
      <w:marLeft w:val="0"/>
      <w:marRight w:val="0"/>
      <w:marTop w:val="0"/>
      <w:marBottom w:val="0"/>
      <w:divBdr>
        <w:top w:val="none" w:sz="0" w:space="0" w:color="auto"/>
        <w:left w:val="none" w:sz="0" w:space="0" w:color="auto"/>
        <w:bottom w:val="none" w:sz="0" w:space="0" w:color="auto"/>
        <w:right w:val="none" w:sz="0" w:space="0" w:color="auto"/>
      </w:divBdr>
    </w:div>
    <w:div w:id="1635524879">
      <w:bodyDiv w:val="1"/>
      <w:marLeft w:val="0"/>
      <w:marRight w:val="0"/>
      <w:marTop w:val="0"/>
      <w:marBottom w:val="0"/>
      <w:divBdr>
        <w:top w:val="none" w:sz="0" w:space="0" w:color="auto"/>
        <w:left w:val="none" w:sz="0" w:space="0" w:color="auto"/>
        <w:bottom w:val="none" w:sz="0" w:space="0" w:color="auto"/>
        <w:right w:val="none" w:sz="0" w:space="0" w:color="auto"/>
      </w:divBdr>
    </w:div>
    <w:div w:id="1867130811">
      <w:bodyDiv w:val="1"/>
      <w:marLeft w:val="0"/>
      <w:marRight w:val="0"/>
      <w:marTop w:val="0"/>
      <w:marBottom w:val="0"/>
      <w:divBdr>
        <w:top w:val="none" w:sz="0" w:space="0" w:color="auto"/>
        <w:left w:val="none" w:sz="0" w:space="0" w:color="auto"/>
        <w:bottom w:val="none" w:sz="0" w:space="0" w:color="auto"/>
        <w:right w:val="none" w:sz="0" w:space="0" w:color="auto"/>
      </w:divBdr>
    </w:div>
    <w:div w:id="1876111259">
      <w:bodyDiv w:val="1"/>
      <w:marLeft w:val="0"/>
      <w:marRight w:val="0"/>
      <w:marTop w:val="0"/>
      <w:marBottom w:val="0"/>
      <w:divBdr>
        <w:top w:val="none" w:sz="0" w:space="0" w:color="auto"/>
        <w:left w:val="none" w:sz="0" w:space="0" w:color="auto"/>
        <w:bottom w:val="none" w:sz="0" w:space="0" w:color="auto"/>
        <w:right w:val="none" w:sz="0" w:space="0" w:color="auto"/>
      </w:divBdr>
    </w:div>
    <w:div w:id="1876654922">
      <w:bodyDiv w:val="1"/>
      <w:marLeft w:val="0"/>
      <w:marRight w:val="0"/>
      <w:marTop w:val="0"/>
      <w:marBottom w:val="0"/>
      <w:divBdr>
        <w:top w:val="none" w:sz="0" w:space="0" w:color="auto"/>
        <w:left w:val="none" w:sz="0" w:space="0" w:color="auto"/>
        <w:bottom w:val="none" w:sz="0" w:space="0" w:color="auto"/>
        <w:right w:val="none" w:sz="0" w:space="0" w:color="auto"/>
      </w:divBdr>
    </w:div>
    <w:div w:id="20972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37</TotalTime>
  <Pages>18</Pages>
  <Words>5280</Words>
  <Characters>35353</Characters>
  <Application>Microsoft Office Word</Application>
  <DocSecurity>0</DocSecurity>
  <Lines>294</Lines>
  <Paragraphs>81</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40552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2022110279, MT</dc:description>
  <cp:lastModifiedBy>Gitte Jørgensen</cp:lastModifiedBy>
  <cp:revision>8</cp:revision>
  <cp:lastPrinted>2012-08-22T08:53:00Z</cp:lastPrinted>
  <dcterms:created xsi:type="dcterms:W3CDTF">2024-04-22T06:30:00Z</dcterms:created>
  <dcterms:modified xsi:type="dcterms:W3CDTF">2024-04-22T10:44:00Z</dcterms:modified>
</cp:coreProperties>
</file>