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BC6" w:rsidRPr="008F49E1" w:rsidRDefault="00140BC6" w:rsidP="00140BC6">
      <w:pPr>
        <w:rPr>
          <w:sz w:val="24"/>
          <w:szCs w:val="24"/>
        </w:rPr>
      </w:pPr>
      <w:r w:rsidRPr="009260DE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0" locked="0" layoutInCell="1" allowOverlap="1" wp14:anchorId="0BDDB998" wp14:editId="5425C426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br w:type="textWrapping" w:clear="all"/>
      </w:r>
    </w:p>
    <w:p w:rsidR="00140BC6" w:rsidRPr="00C84483" w:rsidRDefault="00140BC6" w:rsidP="00140BC6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C84483">
        <w:rPr>
          <w:b w:val="0"/>
          <w:szCs w:val="24"/>
          <w:lang w:eastAsia="en-US"/>
        </w:rPr>
        <w:tab/>
      </w:r>
      <w:r w:rsidR="00B31581">
        <w:rPr>
          <w:szCs w:val="24"/>
        </w:rPr>
        <w:t>15</w:t>
      </w:r>
      <w:r w:rsidR="002A571C">
        <w:rPr>
          <w:szCs w:val="24"/>
        </w:rPr>
        <w:t>. december 2025</w:t>
      </w:r>
    </w:p>
    <w:p w:rsidR="00007FBD" w:rsidRPr="00C84483" w:rsidRDefault="00007FBD" w:rsidP="00140BC6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:rsidR="00140BC6" w:rsidRPr="00C84483" w:rsidRDefault="00140BC6" w:rsidP="00140BC6">
      <w:pPr>
        <w:pStyle w:val="Titel"/>
        <w:jc w:val="left"/>
        <w:rPr>
          <w:b w:val="0"/>
          <w:szCs w:val="24"/>
        </w:rPr>
      </w:pPr>
    </w:p>
    <w:p w:rsidR="00140BC6" w:rsidRPr="00C84483" w:rsidRDefault="00140BC6" w:rsidP="00140BC6">
      <w:pPr>
        <w:pStyle w:val="Titel"/>
        <w:jc w:val="left"/>
        <w:rPr>
          <w:b w:val="0"/>
          <w:szCs w:val="24"/>
        </w:rPr>
      </w:pPr>
    </w:p>
    <w:p w:rsidR="00140BC6" w:rsidRPr="00C84483" w:rsidRDefault="00140BC6" w:rsidP="00140BC6">
      <w:pPr>
        <w:jc w:val="center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PRODUKTRESUMÉ</w:t>
      </w:r>
    </w:p>
    <w:p w:rsidR="00140BC6" w:rsidRPr="00C84483" w:rsidRDefault="00140BC6" w:rsidP="00140BC6">
      <w:pPr>
        <w:jc w:val="center"/>
        <w:rPr>
          <w:b/>
          <w:sz w:val="24"/>
          <w:szCs w:val="24"/>
        </w:rPr>
      </w:pPr>
    </w:p>
    <w:p w:rsidR="00140BC6" w:rsidRDefault="00140BC6" w:rsidP="00140BC6">
      <w:pPr>
        <w:jc w:val="center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for</w:t>
      </w:r>
    </w:p>
    <w:p w:rsidR="00140BC6" w:rsidRPr="00C84483" w:rsidRDefault="00140BC6" w:rsidP="00140BC6">
      <w:pPr>
        <w:jc w:val="center"/>
        <w:rPr>
          <w:b/>
          <w:sz w:val="24"/>
          <w:szCs w:val="24"/>
        </w:rPr>
      </w:pPr>
    </w:p>
    <w:p w:rsidR="00140BC6" w:rsidRPr="00C84483" w:rsidRDefault="00AE36B0" w:rsidP="00140BC6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Vancomycine</w:t>
      </w:r>
      <w:proofErr w:type="spellEnd"/>
      <w:r>
        <w:rPr>
          <w:b/>
          <w:sz w:val="24"/>
          <w:szCs w:val="24"/>
        </w:rPr>
        <w:t xml:space="preserve"> Strides</w:t>
      </w:r>
      <w:r w:rsidR="00140BC6">
        <w:rPr>
          <w:b/>
          <w:sz w:val="24"/>
          <w:szCs w:val="24"/>
        </w:rPr>
        <w:t>, hårde kapsler</w:t>
      </w:r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Orifarm</w:t>
      </w:r>
      <w:proofErr w:type="spellEnd"/>
      <w:r>
        <w:rPr>
          <w:b/>
          <w:sz w:val="24"/>
          <w:szCs w:val="24"/>
        </w:rPr>
        <w:t>)</w:t>
      </w:r>
    </w:p>
    <w:p w:rsidR="00140BC6" w:rsidRPr="00C84483" w:rsidRDefault="00140BC6" w:rsidP="00140BC6">
      <w:pPr>
        <w:jc w:val="both"/>
        <w:rPr>
          <w:sz w:val="24"/>
          <w:szCs w:val="24"/>
        </w:rPr>
      </w:pPr>
    </w:p>
    <w:p w:rsidR="00140BC6" w:rsidRPr="002C041E" w:rsidRDefault="00140BC6" w:rsidP="00140BC6">
      <w:pPr>
        <w:ind w:left="851" w:hanging="851"/>
        <w:jc w:val="both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0.</w:t>
      </w:r>
      <w:r w:rsidRPr="005A3580">
        <w:rPr>
          <w:b/>
          <w:sz w:val="24"/>
          <w:szCs w:val="24"/>
        </w:rPr>
        <w:tab/>
        <w:t>D.SP.NR.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</w:r>
      <w:r w:rsidRPr="005A3580">
        <w:rPr>
          <w:sz w:val="24"/>
          <w:szCs w:val="24"/>
        </w:rPr>
        <w:t>30219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1.</w:t>
      </w:r>
      <w:r w:rsidRPr="005A3580">
        <w:rPr>
          <w:b/>
          <w:sz w:val="24"/>
          <w:szCs w:val="24"/>
        </w:rPr>
        <w:tab/>
        <w:t>LÆGEMIDLETS NAVN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AE36B0">
        <w:rPr>
          <w:sz w:val="24"/>
          <w:szCs w:val="24"/>
        </w:rPr>
        <w:t>Vancomycine</w:t>
      </w:r>
      <w:proofErr w:type="spellEnd"/>
      <w:r w:rsidR="00AE36B0">
        <w:rPr>
          <w:sz w:val="24"/>
          <w:szCs w:val="24"/>
        </w:rPr>
        <w:t xml:space="preserve"> Strides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2.</w:t>
      </w:r>
      <w:r w:rsidRPr="005A3580">
        <w:rPr>
          <w:b/>
          <w:sz w:val="24"/>
          <w:szCs w:val="24"/>
        </w:rPr>
        <w:tab/>
        <w:t>KVALITATIV OG KVANTITATIV SAMMENSÆTNING</w:t>
      </w:r>
    </w:p>
    <w:p w:rsidR="00140BC6" w:rsidRPr="005A3580" w:rsidRDefault="00140BC6" w:rsidP="00AE36B0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Hver</w:t>
      </w:r>
      <w:r w:rsidRPr="005A3580">
        <w:rPr>
          <w:rFonts w:ascii="Times New Roman" w:hAnsi="Times New Roman"/>
          <w:sz w:val="24"/>
          <w:szCs w:val="24"/>
        </w:rPr>
        <w:t xml:space="preserve"> kapsel indeholder 250 mg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vancomycinhydrochlorid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svarende til 25</w:t>
      </w:r>
      <w:r>
        <w:rPr>
          <w:rFonts w:ascii="Times New Roman" w:hAnsi="Times New Roman"/>
          <w:sz w:val="24"/>
          <w:szCs w:val="24"/>
        </w:rPr>
        <w:t>0</w:t>
      </w:r>
      <w:r w:rsidRPr="005A3580">
        <w:rPr>
          <w:rFonts w:ascii="Times New Roman" w:hAnsi="Times New Roman"/>
          <w:sz w:val="24"/>
          <w:szCs w:val="24"/>
        </w:rPr>
        <w:t xml:space="preserve">.000 IE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>.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Alle hjælpestoffer er anført under pkt. 6.1.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3.</w:t>
      </w:r>
      <w:r w:rsidRPr="005A3580">
        <w:rPr>
          <w:b/>
          <w:sz w:val="24"/>
          <w:szCs w:val="24"/>
        </w:rPr>
        <w:tab/>
        <w:t>LÆGEMIDDELFORM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Hårde kapsler</w:t>
      </w:r>
      <w:r w:rsidR="00AE36B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E36B0">
        <w:rPr>
          <w:rFonts w:ascii="Times New Roman" w:hAnsi="Times New Roman"/>
          <w:sz w:val="24"/>
          <w:szCs w:val="24"/>
        </w:rPr>
        <w:t>Orifarm</w:t>
      </w:r>
      <w:proofErr w:type="spellEnd"/>
      <w:r w:rsidR="00AE36B0">
        <w:rPr>
          <w:rFonts w:ascii="Times New Roman" w:hAnsi="Times New Roman"/>
          <w:sz w:val="24"/>
          <w:szCs w:val="24"/>
        </w:rPr>
        <w:t>)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4.</w:t>
      </w:r>
      <w:r w:rsidRPr="005A3580">
        <w:rPr>
          <w:b/>
          <w:sz w:val="24"/>
          <w:szCs w:val="24"/>
        </w:rPr>
        <w:tab/>
        <w:t>KLINISKE OPLYSNINGER</w:t>
      </w: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  <w:u w:val="single"/>
        </w:rPr>
      </w:pPr>
      <w:r w:rsidRPr="005A3580">
        <w:rPr>
          <w:b/>
          <w:sz w:val="24"/>
          <w:szCs w:val="24"/>
        </w:rPr>
        <w:t>4.1</w:t>
      </w:r>
      <w:r w:rsidRPr="005A3580">
        <w:rPr>
          <w:b/>
          <w:sz w:val="24"/>
          <w:szCs w:val="24"/>
        </w:rPr>
        <w:tab/>
        <w:t>Terapeutiske indikationer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>
        <w:rPr>
          <w:rFonts w:ascii="Times New Roman" w:hAnsi="Times New Roman"/>
          <w:sz w:val="24"/>
          <w:szCs w:val="24"/>
        </w:rPr>
        <w:t>-kapsler</w:t>
      </w:r>
      <w:r w:rsidRPr="005A3580">
        <w:rPr>
          <w:rFonts w:ascii="Times New Roman" w:hAnsi="Times New Roman"/>
          <w:sz w:val="24"/>
          <w:szCs w:val="24"/>
        </w:rPr>
        <w:t xml:space="preserve"> er indiceret </w:t>
      </w:r>
      <w:r>
        <w:rPr>
          <w:rFonts w:ascii="Times New Roman" w:hAnsi="Times New Roman"/>
          <w:sz w:val="24"/>
          <w:szCs w:val="24"/>
        </w:rPr>
        <w:t>hos</w:t>
      </w:r>
      <w:r w:rsidRPr="005A3580">
        <w:rPr>
          <w:rFonts w:ascii="Times New Roman" w:hAnsi="Times New Roman"/>
          <w:sz w:val="24"/>
          <w:szCs w:val="24"/>
        </w:rPr>
        <w:t xml:space="preserve"> patienter fra 12 år </w:t>
      </w:r>
      <w:r>
        <w:rPr>
          <w:rFonts w:ascii="Times New Roman" w:hAnsi="Times New Roman"/>
          <w:sz w:val="24"/>
          <w:szCs w:val="24"/>
        </w:rPr>
        <w:t xml:space="preserve">og ældre </w:t>
      </w:r>
      <w:r w:rsidRPr="005A3580">
        <w:rPr>
          <w:rFonts w:ascii="Times New Roman" w:hAnsi="Times New Roman"/>
          <w:sz w:val="24"/>
          <w:szCs w:val="24"/>
        </w:rPr>
        <w:t xml:space="preserve">til behandling af </w:t>
      </w:r>
      <w:proofErr w:type="spellStart"/>
      <w:r w:rsidRPr="005A3580">
        <w:rPr>
          <w:rFonts w:ascii="Times New Roman" w:hAnsi="Times New Roman"/>
          <w:i/>
          <w:spacing w:val="-3"/>
          <w:sz w:val="24"/>
          <w:szCs w:val="24"/>
        </w:rPr>
        <w:t>Clostridium</w:t>
      </w:r>
      <w:proofErr w:type="spellEnd"/>
      <w:r w:rsidRPr="005A3580">
        <w:rPr>
          <w:rFonts w:ascii="Times New Roman" w:hAnsi="Times New Roman"/>
          <w:i/>
          <w:spacing w:val="-3"/>
          <w:sz w:val="24"/>
          <w:szCs w:val="24"/>
        </w:rPr>
        <w:t xml:space="preserve"> difficile</w:t>
      </w:r>
      <w:r w:rsidRPr="005A3580">
        <w:rPr>
          <w:rFonts w:ascii="Times New Roman" w:hAnsi="Times New Roman"/>
          <w:sz w:val="24"/>
          <w:szCs w:val="24"/>
        </w:rPr>
        <w:t>-infektion (CDI) (se pkt. 4.2, 4.4 og 5.1).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Default="00140BC6" w:rsidP="00AE36B0">
      <w:pPr>
        <w:pStyle w:val="Ingenafstand"/>
        <w:ind w:left="851"/>
        <w:rPr>
          <w:sz w:val="24"/>
          <w:szCs w:val="24"/>
        </w:rPr>
      </w:pPr>
      <w:r w:rsidRPr="00F43648">
        <w:rPr>
          <w:rFonts w:ascii="Times New Roman" w:hAnsi="Times New Roman"/>
          <w:sz w:val="24"/>
          <w:szCs w:val="24"/>
        </w:rPr>
        <w:t>Der bør tages hensyn til officiel vejledning om passende anvendelse af antibakterielle midler.</w:t>
      </w:r>
    </w:p>
    <w:p w:rsidR="00AE36B0" w:rsidRPr="00AE36B0" w:rsidRDefault="00AE36B0" w:rsidP="00AE36B0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4.2</w:t>
      </w:r>
      <w:r w:rsidRPr="005A3580">
        <w:rPr>
          <w:b/>
          <w:sz w:val="24"/>
          <w:szCs w:val="24"/>
        </w:rPr>
        <w:tab/>
        <w:t>Dosering og indgivelsesmåde</w:t>
      </w:r>
    </w:p>
    <w:p w:rsidR="00AE36B0" w:rsidRPr="00927033" w:rsidRDefault="00AE36B0" w:rsidP="002A1420">
      <w:pPr>
        <w:ind w:left="851"/>
        <w:rPr>
          <w:sz w:val="24"/>
          <w:szCs w:val="24"/>
          <w:lang w:eastAsia="da-DK"/>
        </w:rPr>
      </w:pPr>
      <w:r w:rsidRPr="00401F11">
        <w:rPr>
          <w:sz w:val="24"/>
          <w:szCs w:val="24"/>
        </w:rPr>
        <w:t>Styrelsen gør opmærksom på, at ikke alle godkendte doseringsmuligheder/ anvendelsesmuligheder kan følges med dette præparat, hvorfor indlægssedlen bør informere brugeren om dette.</w:t>
      </w:r>
    </w:p>
    <w:p w:rsidR="00AE36B0" w:rsidRDefault="00AE36B0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  <w:u w:val="single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pacing w:val="-2"/>
          <w:sz w:val="24"/>
          <w:szCs w:val="24"/>
          <w:u w:val="single"/>
        </w:rPr>
      </w:pPr>
      <w:r w:rsidRPr="005A3580">
        <w:rPr>
          <w:rFonts w:ascii="Times New Roman" w:hAnsi="Times New Roman"/>
          <w:sz w:val="24"/>
          <w:szCs w:val="24"/>
          <w:u w:val="single"/>
        </w:rPr>
        <w:t>Dosering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  <w:u w:val="single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i/>
          <w:sz w:val="24"/>
          <w:szCs w:val="24"/>
        </w:rPr>
      </w:pPr>
      <w:r w:rsidRPr="005A3580">
        <w:rPr>
          <w:rFonts w:ascii="Times New Roman" w:hAnsi="Times New Roman"/>
          <w:i/>
          <w:sz w:val="24"/>
          <w:szCs w:val="24"/>
        </w:rPr>
        <w:t xml:space="preserve">Voksne og unge </w:t>
      </w:r>
      <w:r>
        <w:rPr>
          <w:rFonts w:ascii="Times New Roman" w:hAnsi="Times New Roman"/>
          <w:i/>
          <w:sz w:val="24"/>
          <w:szCs w:val="24"/>
        </w:rPr>
        <w:t>i alderen</w:t>
      </w:r>
      <w:r w:rsidRPr="005A3580">
        <w:rPr>
          <w:rFonts w:ascii="Times New Roman" w:hAnsi="Times New Roman"/>
          <w:i/>
          <w:sz w:val="24"/>
          <w:szCs w:val="24"/>
        </w:rPr>
        <w:t xml:space="preserve"> 12 år til 18 år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  <w:u w:val="single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pacing w:val="2"/>
          <w:sz w:val="24"/>
          <w:szCs w:val="24"/>
        </w:rPr>
        <w:lastRenderedPageBreak/>
        <w:t xml:space="preserve">Den anbefalede </w:t>
      </w:r>
      <w:proofErr w:type="spellStart"/>
      <w:r w:rsidRPr="005A3580">
        <w:rPr>
          <w:rFonts w:ascii="Times New Roman" w:hAnsi="Times New Roman"/>
          <w:spacing w:val="2"/>
          <w:sz w:val="24"/>
          <w:szCs w:val="24"/>
        </w:rPr>
        <w:t>vancomycin</w:t>
      </w:r>
      <w:r>
        <w:rPr>
          <w:rFonts w:ascii="Times New Roman" w:hAnsi="Times New Roman"/>
          <w:spacing w:val="2"/>
          <w:sz w:val="24"/>
          <w:szCs w:val="24"/>
        </w:rPr>
        <w:t>dosis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for den første episode af ikke-alvorlig CDI</w:t>
      </w:r>
      <w:r w:rsidRPr="005A3580">
        <w:rPr>
          <w:rFonts w:ascii="Times New Roman" w:hAnsi="Times New Roman"/>
          <w:spacing w:val="2"/>
          <w:sz w:val="24"/>
          <w:szCs w:val="24"/>
        </w:rPr>
        <w:t xml:space="preserve"> er 125 mg hver 6. time i 10 dage. Denne dosis kan øges til 500 mg hver 6. time i 10 dage i tilfælde af </w:t>
      </w:r>
      <w:r>
        <w:rPr>
          <w:rFonts w:ascii="Times New Roman" w:hAnsi="Times New Roman"/>
          <w:spacing w:val="2"/>
          <w:sz w:val="24"/>
          <w:szCs w:val="24"/>
        </w:rPr>
        <w:t>alvorlig</w:t>
      </w:r>
      <w:r w:rsidRPr="005A3580">
        <w:rPr>
          <w:rFonts w:ascii="Times New Roman" w:hAnsi="Times New Roman"/>
          <w:spacing w:val="2"/>
          <w:sz w:val="24"/>
          <w:szCs w:val="24"/>
        </w:rPr>
        <w:t xml:space="preserve"> eller kompliceret sygdom. Den maksimale daglige dosis må ikke overstige 2 g.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Hos patienter med flere tilbagefald kan </w:t>
      </w:r>
      <w:r>
        <w:rPr>
          <w:rFonts w:ascii="Times New Roman" w:hAnsi="Times New Roman"/>
          <w:sz w:val="24"/>
          <w:szCs w:val="24"/>
        </w:rPr>
        <w:t>man</w:t>
      </w:r>
      <w:r w:rsidRPr="005A3580">
        <w:rPr>
          <w:rFonts w:ascii="Times New Roman" w:hAnsi="Times New Roman"/>
          <w:sz w:val="24"/>
          <w:szCs w:val="24"/>
        </w:rPr>
        <w:t xml:space="preserve"> overveje at behandle den </w:t>
      </w:r>
      <w:r>
        <w:rPr>
          <w:rFonts w:ascii="Times New Roman" w:hAnsi="Times New Roman"/>
          <w:sz w:val="24"/>
          <w:szCs w:val="24"/>
        </w:rPr>
        <w:t>nuværende</w:t>
      </w:r>
      <w:r w:rsidRPr="005A3580">
        <w:rPr>
          <w:rFonts w:ascii="Times New Roman" w:hAnsi="Times New Roman"/>
          <w:sz w:val="24"/>
          <w:szCs w:val="24"/>
        </w:rPr>
        <w:t xml:space="preserve"> episode </w:t>
      </w:r>
      <w:r>
        <w:rPr>
          <w:rFonts w:ascii="Times New Roman" w:hAnsi="Times New Roman"/>
          <w:sz w:val="24"/>
          <w:szCs w:val="24"/>
        </w:rPr>
        <w:t xml:space="preserve">af </w:t>
      </w:r>
      <w:r w:rsidRPr="005A3580">
        <w:rPr>
          <w:rFonts w:ascii="Times New Roman" w:hAnsi="Times New Roman"/>
          <w:sz w:val="24"/>
          <w:szCs w:val="24"/>
        </w:rPr>
        <w:t xml:space="preserve">CDI med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125 mg fire gange dagligt i 10 dage efterfulgt af enten </w:t>
      </w:r>
      <w:r>
        <w:rPr>
          <w:rFonts w:ascii="Times New Roman" w:hAnsi="Times New Roman"/>
          <w:sz w:val="24"/>
          <w:szCs w:val="24"/>
        </w:rPr>
        <w:t>nedsat</w:t>
      </w:r>
      <w:r w:rsidRPr="005A3580">
        <w:rPr>
          <w:rFonts w:ascii="Times New Roman" w:hAnsi="Times New Roman"/>
          <w:sz w:val="24"/>
          <w:szCs w:val="24"/>
        </w:rPr>
        <w:t xml:space="preserve"> dos</w:t>
      </w:r>
      <w:r>
        <w:rPr>
          <w:rFonts w:ascii="Times New Roman" w:hAnsi="Times New Roman"/>
          <w:sz w:val="24"/>
          <w:szCs w:val="24"/>
        </w:rPr>
        <w:t>is, dvs. gradvis nedsættelse</w:t>
      </w:r>
      <w:r w:rsidRPr="005A3580">
        <w:rPr>
          <w:rFonts w:ascii="Times New Roman" w:hAnsi="Times New Roman"/>
          <w:sz w:val="24"/>
          <w:szCs w:val="24"/>
        </w:rPr>
        <w:t xml:space="preserve"> til 125 mg dag</w:t>
      </w:r>
      <w:r>
        <w:rPr>
          <w:rFonts w:ascii="Times New Roman" w:hAnsi="Times New Roman"/>
          <w:sz w:val="24"/>
          <w:szCs w:val="24"/>
        </w:rPr>
        <w:t>ligt</w:t>
      </w:r>
      <w:r w:rsidRPr="005A3580">
        <w:rPr>
          <w:rFonts w:ascii="Times New Roman" w:hAnsi="Times New Roman"/>
          <w:sz w:val="24"/>
          <w:szCs w:val="24"/>
        </w:rPr>
        <w:t xml:space="preserve"> eller et </w:t>
      </w:r>
      <w:r>
        <w:rPr>
          <w:rFonts w:ascii="Times New Roman" w:hAnsi="Times New Roman"/>
          <w:sz w:val="24"/>
          <w:szCs w:val="24"/>
        </w:rPr>
        <w:t>puls</w:t>
      </w:r>
      <w:r w:rsidRPr="005A3580">
        <w:rPr>
          <w:rFonts w:ascii="Times New Roman" w:hAnsi="Times New Roman"/>
          <w:sz w:val="24"/>
          <w:szCs w:val="24"/>
        </w:rPr>
        <w:t xml:space="preserve">regime, dvs.125-500 mg/dag hver 2.-3. dag i mindst 3 uger. 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Behandlingsvarighed med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må muligvis skræddersys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til de enkelte</w:t>
      </w:r>
      <w:r w:rsidRPr="005A3580">
        <w:rPr>
          <w:rFonts w:ascii="Times New Roman" w:hAnsi="Times New Roman"/>
          <w:sz w:val="24"/>
          <w:szCs w:val="24"/>
        </w:rPr>
        <w:t xml:space="preserve"> patient</w:t>
      </w:r>
      <w:r>
        <w:rPr>
          <w:rFonts w:ascii="Times New Roman" w:hAnsi="Times New Roman"/>
          <w:sz w:val="24"/>
          <w:szCs w:val="24"/>
        </w:rPr>
        <w:t>er</w:t>
      </w:r>
      <w:r w:rsidRPr="005A3580">
        <w:rPr>
          <w:rFonts w:ascii="Times New Roman" w:hAnsi="Times New Roman"/>
          <w:sz w:val="24"/>
          <w:szCs w:val="24"/>
        </w:rPr>
        <w:t xml:space="preserve">s kliniske forløb. </w:t>
      </w:r>
      <w:r>
        <w:rPr>
          <w:rFonts w:ascii="Times New Roman" w:hAnsi="Times New Roman"/>
          <w:sz w:val="24"/>
          <w:szCs w:val="24"/>
        </w:rPr>
        <w:t>Nå det er</w:t>
      </w:r>
      <w:r w:rsidRPr="005A3580">
        <w:rPr>
          <w:rFonts w:ascii="Times New Roman" w:hAnsi="Times New Roman"/>
          <w:sz w:val="24"/>
          <w:szCs w:val="24"/>
        </w:rPr>
        <w:t xml:space="preserve"> muligt</w:t>
      </w:r>
      <w:r>
        <w:rPr>
          <w:rFonts w:ascii="Times New Roman" w:hAnsi="Times New Roman"/>
          <w:sz w:val="24"/>
          <w:szCs w:val="24"/>
        </w:rPr>
        <w:t>,</w:t>
      </w:r>
      <w:r w:rsidRPr="005A3580">
        <w:rPr>
          <w:rFonts w:ascii="Times New Roman" w:hAnsi="Times New Roman"/>
          <w:sz w:val="24"/>
          <w:szCs w:val="24"/>
        </w:rPr>
        <w:t xml:space="preserve"> skal antibakterielle </w:t>
      </w:r>
      <w:r>
        <w:rPr>
          <w:rFonts w:ascii="Times New Roman" w:hAnsi="Times New Roman"/>
          <w:sz w:val="24"/>
          <w:szCs w:val="24"/>
        </w:rPr>
        <w:t>stoffer</w:t>
      </w:r>
      <w:r w:rsidRPr="005A3580">
        <w:rPr>
          <w:rFonts w:ascii="Times New Roman" w:hAnsi="Times New Roman"/>
          <w:sz w:val="24"/>
          <w:szCs w:val="24"/>
        </w:rPr>
        <w:t xml:space="preserve">, der formodes at have forårsaget CDI, seponeres. </w:t>
      </w:r>
      <w:r w:rsidRPr="0079429B">
        <w:rPr>
          <w:rFonts w:ascii="Times New Roman" w:hAnsi="Times New Roman"/>
          <w:sz w:val="24"/>
          <w:szCs w:val="24"/>
        </w:rPr>
        <w:t>Passende væske- og elektrolyterstatning bør iværksættes.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79429B">
        <w:rPr>
          <w:rFonts w:ascii="Times New Roman" w:hAnsi="Times New Roman"/>
          <w:sz w:val="24"/>
          <w:szCs w:val="24"/>
        </w:rPr>
        <w:t xml:space="preserve">Serumkoncentrationerne af </w:t>
      </w:r>
      <w:proofErr w:type="spellStart"/>
      <w:r w:rsidRPr="0079429B">
        <w:rPr>
          <w:rFonts w:ascii="Times New Roman" w:hAnsi="Times New Roman"/>
          <w:sz w:val="24"/>
          <w:szCs w:val="24"/>
        </w:rPr>
        <w:t>vancomycin</w:t>
      </w:r>
      <w:proofErr w:type="spellEnd"/>
      <w:r w:rsidRPr="0079429B">
        <w:rPr>
          <w:rFonts w:ascii="Times New Roman" w:hAnsi="Times New Roman"/>
          <w:sz w:val="24"/>
          <w:szCs w:val="24"/>
        </w:rPr>
        <w:t xml:space="preserve"> efter oral administration til patienter med inflammatoriske tarmlidelser bør monitoreres (se pkt. 4.4).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5A3580">
        <w:rPr>
          <w:rFonts w:ascii="Times New Roman" w:hAnsi="Times New Roman"/>
          <w:sz w:val="24"/>
          <w:szCs w:val="24"/>
          <w:u w:val="single"/>
        </w:rPr>
        <w:t>Særlige populationer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i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i/>
          <w:sz w:val="24"/>
          <w:szCs w:val="24"/>
        </w:rPr>
      </w:pPr>
      <w:r w:rsidRPr="005A3580">
        <w:rPr>
          <w:rFonts w:ascii="Times New Roman" w:hAnsi="Times New Roman"/>
          <w:i/>
          <w:sz w:val="24"/>
          <w:szCs w:val="24"/>
        </w:rPr>
        <w:t>Nedsat nyrefunktion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På grund af</w:t>
      </w:r>
      <w:r w:rsidRPr="005A3580">
        <w:rPr>
          <w:rFonts w:ascii="Times New Roman" w:hAnsi="Times New Roman"/>
          <w:sz w:val="24"/>
          <w:szCs w:val="24"/>
        </w:rPr>
        <w:t xml:space="preserve"> den meget lave systemiske absorption er dosisjustering ikke sandsynlig, medmindre der kan forekomme </w:t>
      </w:r>
      <w:r>
        <w:rPr>
          <w:rFonts w:ascii="Times New Roman" w:hAnsi="Times New Roman"/>
          <w:sz w:val="24"/>
          <w:szCs w:val="24"/>
        </w:rPr>
        <w:t>betydelig</w:t>
      </w:r>
      <w:r w:rsidRPr="005A3580">
        <w:rPr>
          <w:rFonts w:ascii="Times New Roman" w:hAnsi="Times New Roman"/>
          <w:sz w:val="24"/>
          <w:szCs w:val="24"/>
        </w:rPr>
        <w:t xml:space="preserve"> oral absorption i tilfælde af inflammatorisk</w:t>
      </w:r>
      <w:r>
        <w:rPr>
          <w:rFonts w:ascii="Times New Roman" w:hAnsi="Times New Roman"/>
          <w:sz w:val="24"/>
          <w:szCs w:val="24"/>
        </w:rPr>
        <w:t>e</w:t>
      </w:r>
      <w:r w:rsidRPr="005A3580">
        <w:rPr>
          <w:rFonts w:ascii="Times New Roman" w:hAnsi="Times New Roman"/>
          <w:sz w:val="24"/>
          <w:szCs w:val="24"/>
        </w:rPr>
        <w:t xml:space="preserve"> tarmsygdom</w:t>
      </w:r>
      <w:r>
        <w:rPr>
          <w:rFonts w:ascii="Times New Roman" w:hAnsi="Times New Roman"/>
          <w:sz w:val="24"/>
          <w:szCs w:val="24"/>
        </w:rPr>
        <w:t>me</w:t>
      </w:r>
      <w:r w:rsidRPr="005A3580">
        <w:rPr>
          <w:rFonts w:ascii="Times New Roman" w:hAnsi="Times New Roman"/>
          <w:sz w:val="24"/>
          <w:szCs w:val="24"/>
        </w:rPr>
        <w:t xml:space="preserve"> eller </w:t>
      </w:r>
      <w:proofErr w:type="spellStart"/>
      <w:r w:rsidRPr="005A3580">
        <w:rPr>
          <w:rFonts w:ascii="Times New Roman" w:hAnsi="Times New Roman"/>
          <w:i/>
          <w:sz w:val="24"/>
          <w:szCs w:val="24"/>
        </w:rPr>
        <w:t>Clostridium</w:t>
      </w:r>
      <w:proofErr w:type="spellEnd"/>
      <w:r w:rsidRPr="005A3580">
        <w:rPr>
          <w:rFonts w:ascii="Times New Roman" w:hAnsi="Times New Roman"/>
          <w:i/>
          <w:sz w:val="24"/>
          <w:szCs w:val="24"/>
        </w:rPr>
        <w:t xml:space="preserve"> difficile</w:t>
      </w:r>
      <w:r w:rsidRPr="005A3580">
        <w:rPr>
          <w:rFonts w:ascii="Times New Roman" w:hAnsi="Times New Roman"/>
          <w:sz w:val="24"/>
          <w:szCs w:val="24"/>
        </w:rPr>
        <w:t xml:space="preserve">-induceret </w:t>
      </w:r>
      <w:proofErr w:type="spellStart"/>
      <w:r w:rsidRPr="005A3580">
        <w:rPr>
          <w:rFonts w:ascii="Times New Roman" w:hAnsi="Times New Roman"/>
          <w:sz w:val="24"/>
          <w:szCs w:val="24"/>
        </w:rPr>
        <w:t>pseudomembranøs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colitis</w:t>
      </w:r>
      <w:r w:rsidRPr="005A3580">
        <w:rPr>
          <w:rFonts w:ascii="Times New Roman" w:hAnsi="Times New Roman"/>
          <w:sz w:val="24"/>
          <w:szCs w:val="24"/>
        </w:rPr>
        <w:t xml:space="preserve"> (se pkt. 4.4).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i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i/>
          <w:sz w:val="24"/>
          <w:szCs w:val="24"/>
        </w:rPr>
      </w:pPr>
      <w:r w:rsidRPr="005A3580">
        <w:rPr>
          <w:rFonts w:ascii="Times New Roman" w:hAnsi="Times New Roman"/>
          <w:i/>
          <w:sz w:val="24"/>
          <w:szCs w:val="24"/>
        </w:rPr>
        <w:t xml:space="preserve">Pædiatrisk population 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pacing w:val="2"/>
          <w:sz w:val="24"/>
          <w:szCs w:val="24"/>
        </w:rPr>
      </w:pPr>
      <w:proofErr w:type="spellStart"/>
      <w:r w:rsidRPr="005A3580">
        <w:rPr>
          <w:rFonts w:ascii="Times New Roman" w:hAnsi="Times New Roman"/>
          <w:spacing w:val="1"/>
          <w:sz w:val="24"/>
          <w:szCs w:val="24"/>
        </w:rPr>
        <w:t>Vancomycin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>-kapsler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er ikke egne</w:t>
      </w:r>
      <w:r>
        <w:rPr>
          <w:rFonts w:ascii="Times New Roman" w:hAnsi="Times New Roman"/>
          <w:spacing w:val="1"/>
          <w:sz w:val="24"/>
          <w:szCs w:val="24"/>
        </w:rPr>
        <w:t>de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til behandling af børn under 12 år eller </w:t>
      </w:r>
      <w:r>
        <w:rPr>
          <w:rFonts w:ascii="Times New Roman" w:hAnsi="Times New Roman"/>
          <w:spacing w:val="1"/>
          <w:sz w:val="24"/>
          <w:szCs w:val="24"/>
        </w:rPr>
        <w:t xml:space="preserve">for 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unge, der ikke </w:t>
      </w:r>
      <w:r>
        <w:rPr>
          <w:rFonts w:ascii="Times New Roman" w:hAnsi="Times New Roman"/>
          <w:spacing w:val="1"/>
          <w:sz w:val="24"/>
          <w:szCs w:val="24"/>
        </w:rPr>
        <w:t>er i stand til at sluge dem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. </w:t>
      </w:r>
      <w:r w:rsidRPr="006E65C7">
        <w:rPr>
          <w:rFonts w:ascii="Times New Roman" w:hAnsi="Times New Roman"/>
          <w:sz w:val="24"/>
          <w:szCs w:val="24"/>
        </w:rPr>
        <w:t>Hos patienter under 12 år skal en formulering, der er egnet til alderen, anvendes.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5A3580">
        <w:rPr>
          <w:rFonts w:ascii="Times New Roman" w:hAnsi="Times New Roman"/>
          <w:sz w:val="24"/>
          <w:szCs w:val="24"/>
          <w:u w:val="single"/>
        </w:rPr>
        <w:t>Administration</w:t>
      </w:r>
    </w:p>
    <w:p w:rsidR="00140BC6" w:rsidRPr="00A93686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A93686">
        <w:rPr>
          <w:rFonts w:ascii="Times New Roman" w:hAnsi="Times New Roman"/>
          <w:sz w:val="24"/>
          <w:szCs w:val="24"/>
        </w:rPr>
        <w:t>Til oral anvendelse.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pacing w:val="2"/>
          <w:sz w:val="24"/>
          <w:szCs w:val="24"/>
        </w:rPr>
        <w:t xml:space="preserve">Kapslen må ikke åbnes og </w:t>
      </w:r>
      <w:r>
        <w:rPr>
          <w:rFonts w:ascii="Times New Roman" w:hAnsi="Times New Roman"/>
          <w:spacing w:val="2"/>
          <w:sz w:val="24"/>
          <w:szCs w:val="24"/>
        </w:rPr>
        <w:t>bør</w:t>
      </w:r>
      <w:r w:rsidRPr="005A3580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ind</w:t>
      </w:r>
      <w:r w:rsidRPr="005A3580">
        <w:rPr>
          <w:rFonts w:ascii="Times New Roman" w:hAnsi="Times New Roman"/>
          <w:spacing w:val="2"/>
          <w:sz w:val="24"/>
          <w:szCs w:val="24"/>
        </w:rPr>
        <w:t>tages med rigeligt vand.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4.3</w:t>
      </w:r>
      <w:r w:rsidRPr="005A3580">
        <w:rPr>
          <w:b/>
          <w:sz w:val="24"/>
          <w:szCs w:val="24"/>
        </w:rPr>
        <w:tab/>
        <w:t>Kontraindikationer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Overfølsomhed over for det aktive stof eller over for et eller flere af hjælpestofferne anført i pkt. 4.4.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4.4</w:t>
      </w:r>
      <w:r w:rsidRPr="005A3580">
        <w:rPr>
          <w:b/>
          <w:sz w:val="24"/>
          <w:szCs w:val="24"/>
        </w:rPr>
        <w:tab/>
        <w:t>Særlige advarsler og forsigtighedsregler vedrørende brugen</w:t>
      </w:r>
    </w:p>
    <w:p w:rsidR="00140BC6" w:rsidRPr="006F0292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:rsidR="00140BC6" w:rsidRPr="00424026" w:rsidRDefault="00140BC6" w:rsidP="00140BC6">
      <w:pPr>
        <w:ind w:left="851"/>
        <w:rPr>
          <w:sz w:val="24"/>
          <w:szCs w:val="24"/>
          <w:u w:val="single"/>
        </w:rPr>
      </w:pPr>
      <w:r w:rsidRPr="00424026">
        <w:rPr>
          <w:sz w:val="24"/>
          <w:szCs w:val="24"/>
          <w:u w:val="single"/>
        </w:rPr>
        <w:t>Kun til oral anvendelse</w:t>
      </w:r>
    </w:p>
    <w:p w:rsidR="00140BC6" w:rsidRDefault="00140BC6" w:rsidP="00AE36B0">
      <w:pPr>
        <w:ind w:left="851"/>
        <w:rPr>
          <w:sz w:val="24"/>
          <w:szCs w:val="24"/>
        </w:rPr>
      </w:pPr>
      <w:r w:rsidRPr="00424026">
        <w:rPr>
          <w:sz w:val="24"/>
          <w:szCs w:val="24"/>
        </w:rPr>
        <w:t xml:space="preserve">Dette præparat er kun til oral anvendelse og absorberes ikke systemisk. Oralt administrerede </w:t>
      </w:r>
      <w:proofErr w:type="spellStart"/>
      <w:r w:rsidRPr="00424026">
        <w:rPr>
          <w:sz w:val="24"/>
          <w:szCs w:val="24"/>
        </w:rPr>
        <w:t>Vancomycin</w:t>
      </w:r>
      <w:proofErr w:type="spellEnd"/>
      <w:r w:rsidRPr="00424026">
        <w:rPr>
          <w:sz w:val="24"/>
          <w:szCs w:val="24"/>
        </w:rPr>
        <w:t>-kapsler er ikke effektive ved andre typer infektioner.</w:t>
      </w:r>
    </w:p>
    <w:p w:rsidR="00AE36B0" w:rsidRPr="00424026" w:rsidRDefault="00AE36B0" w:rsidP="00AE36B0">
      <w:pPr>
        <w:ind w:left="851"/>
        <w:rPr>
          <w:sz w:val="24"/>
          <w:szCs w:val="24"/>
        </w:rPr>
      </w:pPr>
    </w:p>
    <w:p w:rsidR="00140BC6" w:rsidRPr="00424026" w:rsidRDefault="00140BC6" w:rsidP="00140BC6">
      <w:pPr>
        <w:ind w:left="851"/>
        <w:rPr>
          <w:sz w:val="24"/>
          <w:szCs w:val="24"/>
          <w:u w:val="single"/>
        </w:rPr>
      </w:pPr>
      <w:r w:rsidRPr="00424026">
        <w:rPr>
          <w:sz w:val="24"/>
          <w:szCs w:val="24"/>
          <w:u w:val="single"/>
        </w:rPr>
        <w:t>Risiko for systemisk absorption</w:t>
      </w:r>
    </w:p>
    <w:p w:rsidR="00140BC6" w:rsidRPr="00424026" w:rsidRDefault="00140BC6" w:rsidP="00140BC6">
      <w:pPr>
        <w:ind w:left="851"/>
        <w:rPr>
          <w:spacing w:val="1"/>
          <w:sz w:val="24"/>
          <w:szCs w:val="24"/>
        </w:rPr>
      </w:pPr>
      <w:r w:rsidRPr="00424026">
        <w:rPr>
          <w:sz w:val="24"/>
          <w:szCs w:val="24"/>
        </w:rPr>
        <w:t xml:space="preserve">Absorption kan forøges hos patienter med inflammatoriske sygdomme i tarmslimhinden eller </w:t>
      </w:r>
      <w:proofErr w:type="spellStart"/>
      <w:r w:rsidRPr="00424026">
        <w:rPr>
          <w:i/>
          <w:sz w:val="24"/>
          <w:szCs w:val="24"/>
        </w:rPr>
        <w:t>Clostridium</w:t>
      </w:r>
      <w:proofErr w:type="spellEnd"/>
      <w:r w:rsidRPr="00424026">
        <w:rPr>
          <w:i/>
          <w:sz w:val="24"/>
          <w:szCs w:val="24"/>
        </w:rPr>
        <w:t xml:space="preserve"> difficile</w:t>
      </w:r>
      <w:r w:rsidRPr="00424026">
        <w:rPr>
          <w:sz w:val="24"/>
          <w:szCs w:val="24"/>
        </w:rPr>
        <w:t xml:space="preserve">-induceret </w:t>
      </w:r>
      <w:proofErr w:type="spellStart"/>
      <w:r w:rsidRPr="00424026">
        <w:rPr>
          <w:sz w:val="24"/>
          <w:szCs w:val="24"/>
        </w:rPr>
        <w:t>pseudomembranøs</w:t>
      </w:r>
      <w:proofErr w:type="spellEnd"/>
      <w:r w:rsidRPr="00424026">
        <w:rPr>
          <w:sz w:val="24"/>
          <w:szCs w:val="24"/>
        </w:rPr>
        <w:t xml:space="preserve"> colitis. Disse patienter kan være i fare for udvikling af bivirkninger, især ved samtidig nedsat nyrefunktion. Jo større nedsat nyrefunktion, jo større er risikoen for at udvikle bivirkningerne forbundet med parenteral administration af </w:t>
      </w:r>
      <w:proofErr w:type="spellStart"/>
      <w:r w:rsidRPr="00424026">
        <w:rPr>
          <w:sz w:val="24"/>
          <w:szCs w:val="24"/>
        </w:rPr>
        <w:t>vancomycin</w:t>
      </w:r>
      <w:proofErr w:type="spellEnd"/>
      <w:r w:rsidRPr="00424026">
        <w:rPr>
          <w:sz w:val="24"/>
          <w:szCs w:val="24"/>
        </w:rPr>
        <w:t xml:space="preserve">. </w:t>
      </w:r>
      <w:proofErr w:type="spellStart"/>
      <w:r w:rsidRPr="00424026">
        <w:rPr>
          <w:sz w:val="24"/>
          <w:szCs w:val="24"/>
        </w:rPr>
        <w:t>Vancomycinkoncentrationerne</w:t>
      </w:r>
      <w:proofErr w:type="spellEnd"/>
      <w:r w:rsidRPr="00424026">
        <w:rPr>
          <w:sz w:val="24"/>
          <w:szCs w:val="24"/>
        </w:rPr>
        <w:t xml:space="preserve"> i serum hos patienter med inflammatoriske sygdomme i tarmslimhinden skal monitoreres. </w:t>
      </w:r>
    </w:p>
    <w:p w:rsidR="00140BC6" w:rsidRPr="00424026" w:rsidRDefault="00140BC6" w:rsidP="00140BC6">
      <w:pPr>
        <w:ind w:left="851"/>
        <w:rPr>
          <w:spacing w:val="1"/>
          <w:sz w:val="24"/>
          <w:szCs w:val="24"/>
        </w:rPr>
      </w:pPr>
    </w:p>
    <w:p w:rsidR="00140BC6" w:rsidRPr="00424026" w:rsidRDefault="00140BC6" w:rsidP="00140BC6">
      <w:pPr>
        <w:ind w:left="851"/>
        <w:rPr>
          <w:sz w:val="24"/>
          <w:szCs w:val="24"/>
          <w:u w:val="single"/>
        </w:rPr>
      </w:pPr>
      <w:proofErr w:type="spellStart"/>
      <w:r w:rsidRPr="00424026">
        <w:rPr>
          <w:sz w:val="24"/>
          <w:szCs w:val="24"/>
          <w:u w:val="single"/>
        </w:rPr>
        <w:lastRenderedPageBreak/>
        <w:t>Nefrotoksicitet</w:t>
      </w:r>
      <w:proofErr w:type="spellEnd"/>
    </w:p>
    <w:p w:rsidR="00140BC6" w:rsidRPr="00424026" w:rsidRDefault="00140BC6" w:rsidP="00140BC6">
      <w:pPr>
        <w:ind w:left="851"/>
        <w:rPr>
          <w:sz w:val="24"/>
          <w:szCs w:val="24"/>
        </w:rPr>
      </w:pPr>
      <w:r w:rsidRPr="00424026">
        <w:rPr>
          <w:sz w:val="24"/>
          <w:szCs w:val="24"/>
        </w:rPr>
        <w:t xml:space="preserve">Nyrefunktionen skal monitoreres løbende ved behandling af patienter med underliggende nyresvigt eller patienter, der får samtidig behandling med </w:t>
      </w:r>
      <w:proofErr w:type="gramStart"/>
      <w:r w:rsidRPr="00424026">
        <w:rPr>
          <w:sz w:val="24"/>
          <w:szCs w:val="24"/>
        </w:rPr>
        <w:t>et aminoglykosid</w:t>
      </w:r>
      <w:proofErr w:type="gramEnd"/>
      <w:r w:rsidRPr="00424026">
        <w:rPr>
          <w:sz w:val="24"/>
          <w:szCs w:val="24"/>
        </w:rPr>
        <w:t xml:space="preserve"> eller andre </w:t>
      </w:r>
      <w:proofErr w:type="spellStart"/>
      <w:r w:rsidRPr="00424026">
        <w:rPr>
          <w:sz w:val="24"/>
          <w:szCs w:val="24"/>
        </w:rPr>
        <w:t>nefrotoksiske</w:t>
      </w:r>
      <w:proofErr w:type="spellEnd"/>
      <w:r w:rsidRPr="00424026">
        <w:rPr>
          <w:sz w:val="24"/>
          <w:szCs w:val="24"/>
        </w:rPr>
        <w:t xml:space="preserve"> lægemidler.</w:t>
      </w:r>
    </w:p>
    <w:p w:rsidR="00140BC6" w:rsidRPr="00424026" w:rsidRDefault="00140BC6" w:rsidP="00140BC6">
      <w:pPr>
        <w:ind w:left="851"/>
        <w:rPr>
          <w:sz w:val="24"/>
          <w:szCs w:val="24"/>
        </w:rPr>
      </w:pPr>
    </w:p>
    <w:p w:rsidR="00140BC6" w:rsidRPr="00424026" w:rsidRDefault="00140BC6" w:rsidP="00140BC6">
      <w:pPr>
        <w:ind w:left="851"/>
        <w:rPr>
          <w:sz w:val="24"/>
          <w:szCs w:val="24"/>
          <w:u w:val="single"/>
        </w:rPr>
      </w:pPr>
      <w:proofErr w:type="spellStart"/>
      <w:r w:rsidRPr="00424026">
        <w:rPr>
          <w:sz w:val="24"/>
          <w:szCs w:val="24"/>
          <w:u w:val="single"/>
        </w:rPr>
        <w:t>Ototoksicitet</w:t>
      </w:r>
      <w:proofErr w:type="spellEnd"/>
    </w:p>
    <w:p w:rsidR="00140BC6" w:rsidRPr="00424026" w:rsidRDefault="00140BC6" w:rsidP="00140BC6">
      <w:pPr>
        <w:ind w:left="851"/>
        <w:rPr>
          <w:spacing w:val="1"/>
          <w:sz w:val="24"/>
          <w:szCs w:val="24"/>
        </w:rPr>
      </w:pPr>
      <w:r w:rsidRPr="00424026">
        <w:rPr>
          <w:sz w:val="24"/>
          <w:szCs w:val="24"/>
        </w:rPr>
        <w:t xml:space="preserve">Løbende tests af auditiv funktion kan være nyttige for at minimere risikoen for </w:t>
      </w:r>
      <w:proofErr w:type="spellStart"/>
      <w:r w:rsidRPr="00424026">
        <w:rPr>
          <w:sz w:val="24"/>
          <w:szCs w:val="24"/>
        </w:rPr>
        <w:t>ototoksicitet</w:t>
      </w:r>
      <w:proofErr w:type="spellEnd"/>
      <w:r w:rsidRPr="00424026">
        <w:rPr>
          <w:sz w:val="24"/>
          <w:szCs w:val="24"/>
        </w:rPr>
        <w:t xml:space="preserve"> hos patienter med et underliggende høretab, eller som får samtidig behandling med et </w:t>
      </w:r>
      <w:proofErr w:type="spellStart"/>
      <w:r w:rsidRPr="00424026">
        <w:rPr>
          <w:sz w:val="24"/>
          <w:szCs w:val="24"/>
        </w:rPr>
        <w:t>ototoksisk</w:t>
      </w:r>
      <w:proofErr w:type="spellEnd"/>
      <w:r w:rsidRPr="00424026">
        <w:rPr>
          <w:sz w:val="24"/>
          <w:szCs w:val="24"/>
        </w:rPr>
        <w:t xml:space="preserve"> middel så som </w:t>
      </w:r>
      <w:proofErr w:type="gramStart"/>
      <w:r w:rsidRPr="00424026">
        <w:rPr>
          <w:sz w:val="24"/>
          <w:szCs w:val="24"/>
        </w:rPr>
        <w:t>et aminoglykosid</w:t>
      </w:r>
      <w:proofErr w:type="gramEnd"/>
      <w:r w:rsidRPr="00424026">
        <w:rPr>
          <w:sz w:val="24"/>
          <w:szCs w:val="24"/>
        </w:rPr>
        <w:t>.</w:t>
      </w:r>
    </w:p>
    <w:p w:rsidR="00140BC6" w:rsidRPr="00424026" w:rsidRDefault="00140BC6" w:rsidP="00140BC6">
      <w:pPr>
        <w:ind w:left="851"/>
        <w:rPr>
          <w:spacing w:val="-4"/>
          <w:sz w:val="24"/>
          <w:szCs w:val="24"/>
        </w:rPr>
      </w:pPr>
    </w:p>
    <w:p w:rsidR="00140BC6" w:rsidRPr="00424026" w:rsidRDefault="00140BC6" w:rsidP="00140BC6">
      <w:pPr>
        <w:ind w:left="851"/>
        <w:rPr>
          <w:sz w:val="24"/>
          <w:szCs w:val="24"/>
          <w:u w:val="single"/>
        </w:rPr>
      </w:pPr>
      <w:r w:rsidRPr="00424026">
        <w:rPr>
          <w:sz w:val="24"/>
          <w:szCs w:val="24"/>
          <w:u w:val="single"/>
        </w:rPr>
        <w:t xml:space="preserve">Interaktioner med </w:t>
      </w:r>
      <w:proofErr w:type="spellStart"/>
      <w:r w:rsidRPr="00424026">
        <w:rPr>
          <w:sz w:val="24"/>
          <w:szCs w:val="24"/>
          <w:u w:val="single"/>
        </w:rPr>
        <w:t>antipropulsiva</w:t>
      </w:r>
      <w:proofErr w:type="spellEnd"/>
      <w:r w:rsidRPr="00424026">
        <w:rPr>
          <w:sz w:val="24"/>
          <w:szCs w:val="24"/>
          <w:u w:val="single"/>
        </w:rPr>
        <w:t xml:space="preserve"> og </w:t>
      </w:r>
      <w:proofErr w:type="spellStart"/>
      <w:r w:rsidRPr="00424026">
        <w:rPr>
          <w:sz w:val="24"/>
          <w:szCs w:val="24"/>
          <w:u w:val="single"/>
        </w:rPr>
        <w:t>protonpumpehæmmere</w:t>
      </w:r>
      <w:proofErr w:type="spellEnd"/>
    </w:p>
    <w:p w:rsidR="00140BC6" w:rsidRPr="00424026" w:rsidRDefault="00140BC6" w:rsidP="00140BC6">
      <w:pPr>
        <w:ind w:left="851"/>
        <w:rPr>
          <w:spacing w:val="-4"/>
          <w:sz w:val="24"/>
          <w:szCs w:val="24"/>
        </w:rPr>
      </w:pPr>
      <w:proofErr w:type="spellStart"/>
      <w:r w:rsidRPr="00424026">
        <w:rPr>
          <w:spacing w:val="-4"/>
          <w:sz w:val="24"/>
          <w:szCs w:val="24"/>
        </w:rPr>
        <w:t>Antipropulsiva</w:t>
      </w:r>
      <w:proofErr w:type="spellEnd"/>
      <w:r w:rsidRPr="00424026">
        <w:rPr>
          <w:spacing w:val="-4"/>
          <w:sz w:val="24"/>
          <w:szCs w:val="24"/>
        </w:rPr>
        <w:t xml:space="preserve"> bør undgås, og anvendelse af </w:t>
      </w:r>
      <w:proofErr w:type="spellStart"/>
      <w:r w:rsidRPr="00424026">
        <w:rPr>
          <w:spacing w:val="-4"/>
          <w:sz w:val="24"/>
          <w:szCs w:val="24"/>
        </w:rPr>
        <w:t>protonpumpehæmmere</w:t>
      </w:r>
      <w:proofErr w:type="spellEnd"/>
      <w:r w:rsidRPr="00424026">
        <w:rPr>
          <w:spacing w:val="-4"/>
          <w:sz w:val="24"/>
          <w:szCs w:val="24"/>
        </w:rPr>
        <w:t xml:space="preserve"> bør tages op til fornyet overvejelse. </w:t>
      </w:r>
    </w:p>
    <w:p w:rsidR="00140BC6" w:rsidRPr="00424026" w:rsidRDefault="00140BC6" w:rsidP="00140BC6">
      <w:pPr>
        <w:ind w:left="851"/>
        <w:rPr>
          <w:sz w:val="24"/>
          <w:szCs w:val="24"/>
        </w:rPr>
      </w:pPr>
    </w:p>
    <w:p w:rsidR="00140BC6" w:rsidRPr="00424026" w:rsidRDefault="00140BC6" w:rsidP="00140BC6">
      <w:pPr>
        <w:ind w:left="851"/>
        <w:rPr>
          <w:sz w:val="24"/>
          <w:szCs w:val="24"/>
          <w:u w:val="single"/>
        </w:rPr>
      </w:pPr>
      <w:r w:rsidRPr="00424026">
        <w:rPr>
          <w:sz w:val="24"/>
          <w:szCs w:val="24"/>
          <w:u w:val="single"/>
        </w:rPr>
        <w:t>Udvikling af lægemiddelresistente bakterier</w:t>
      </w:r>
    </w:p>
    <w:p w:rsidR="00140BC6" w:rsidRDefault="00140BC6" w:rsidP="00140BC6">
      <w:pPr>
        <w:ind w:left="851"/>
        <w:rPr>
          <w:sz w:val="24"/>
          <w:szCs w:val="24"/>
        </w:rPr>
      </w:pPr>
      <w:r w:rsidRPr="00424026">
        <w:rPr>
          <w:sz w:val="24"/>
          <w:szCs w:val="24"/>
        </w:rPr>
        <w:t xml:space="preserve">Langvarig anvendelse af </w:t>
      </w:r>
      <w:proofErr w:type="spellStart"/>
      <w:r w:rsidRPr="00424026">
        <w:rPr>
          <w:sz w:val="24"/>
          <w:szCs w:val="24"/>
        </w:rPr>
        <w:t>vancomycin</w:t>
      </w:r>
      <w:proofErr w:type="spellEnd"/>
      <w:r w:rsidRPr="00424026">
        <w:rPr>
          <w:sz w:val="24"/>
          <w:szCs w:val="24"/>
        </w:rPr>
        <w:t xml:space="preserve"> kan resultere i overvækst af ikke-følsomme organismer. Omhyggelig observation af patienten er afgørende. Hvis superinfektion forekommer under behandlingen, skal der træffes passende foranstaltninger.</w:t>
      </w:r>
    </w:p>
    <w:p w:rsidR="002B3377" w:rsidRPr="002034E4" w:rsidRDefault="002B3377" w:rsidP="00140BC6">
      <w:pPr>
        <w:ind w:left="851"/>
        <w:rPr>
          <w:spacing w:val="-4"/>
          <w:sz w:val="24"/>
          <w:szCs w:val="24"/>
        </w:rPr>
      </w:pPr>
    </w:p>
    <w:p w:rsidR="002B3377" w:rsidRPr="002034E4" w:rsidRDefault="002B3377" w:rsidP="002B3377">
      <w:pPr>
        <w:tabs>
          <w:tab w:val="left" w:pos="851"/>
        </w:tabs>
        <w:ind w:left="851" w:firstLine="1"/>
        <w:outlineLvl w:val="0"/>
        <w:rPr>
          <w:bCs/>
          <w:spacing w:val="-3"/>
          <w:sz w:val="24"/>
          <w:szCs w:val="24"/>
          <w:u w:val="single"/>
        </w:rPr>
      </w:pPr>
      <w:r w:rsidRPr="002034E4">
        <w:rPr>
          <w:bCs/>
          <w:spacing w:val="-3"/>
          <w:sz w:val="24"/>
          <w:szCs w:val="24"/>
          <w:u w:val="single"/>
        </w:rPr>
        <w:t xml:space="preserve">Svære </w:t>
      </w:r>
      <w:proofErr w:type="spellStart"/>
      <w:r w:rsidRPr="002034E4">
        <w:rPr>
          <w:bCs/>
          <w:spacing w:val="-3"/>
          <w:sz w:val="24"/>
          <w:szCs w:val="24"/>
          <w:u w:val="single"/>
        </w:rPr>
        <w:t>kutane</w:t>
      </w:r>
      <w:proofErr w:type="spellEnd"/>
      <w:r w:rsidRPr="002034E4">
        <w:rPr>
          <w:bCs/>
          <w:spacing w:val="-3"/>
          <w:sz w:val="24"/>
          <w:szCs w:val="24"/>
          <w:u w:val="single"/>
        </w:rPr>
        <w:t xml:space="preserve"> bivirkninger (</w:t>
      </w:r>
      <w:proofErr w:type="spellStart"/>
      <w:r w:rsidRPr="002034E4">
        <w:rPr>
          <w:bCs/>
          <w:spacing w:val="-3"/>
          <w:sz w:val="24"/>
          <w:szCs w:val="24"/>
          <w:u w:val="single"/>
        </w:rPr>
        <w:t>SCAR’er</w:t>
      </w:r>
      <w:proofErr w:type="spellEnd"/>
      <w:r w:rsidRPr="002034E4">
        <w:rPr>
          <w:bCs/>
          <w:spacing w:val="-3"/>
          <w:sz w:val="24"/>
          <w:szCs w:val="24"/>
          <w:u w:val="single"/>
        </w:rPr>
        <w:t>)</w:t>
      </w:r>
    </w:p>
    <w:p w:rsidR="002B3377" w:rsidRPr="002034E4" w:rsidRDefault="002B3377" w:rsidP="002B3377">
      <w:pPr>
        <w:tabs>
          <w:tab w:val="left" w:pos="851"/>
        </w:tabs>
        <w:ind w:left="851" w:firstLine="1"/>
        <w:outlineLvl w:val="0"/>
        <w:rPr>
          <w:spacing w:val="-3"/>
          <w:sz w:val="24"/>
          <w:szCs w:val="24"/>
        </w:rPr>
      </w:pPr>
      <w:r w:rsidRPr="002034E4">
        <w:rPr>
          <w:spacing w:val="-3"/>
          <w:sz w:val="24"/>
          <w:szCs w:val="24"/>
        </w:rPr>
        <w:t xml:space="preserve">Svære </w:t>
      </w:r>
      <w:proofErr w:type="spellStart"/>
      <w:r w:rsidRPr="002034E4">
        <w:rPr>
          <w:spacing w:val="-3"/>
          <w:sz w:val="24"/>
          <w:szCs w:val="24"/>
        </w:rPr>
        <w:t>kutane</w:t>
      </w:r>
      <w:proofErr w:type="spellEnd"/>
      <w:r w:rsidRPr="002034E4">
        <w:rPr>
          <w:spacing w:val="-3"/>
          <w:sz w:val="24"/>
          <w:szCs w:val="24"/>
        </w:rPr>
        <w:t xml:space="preserve"> bivirkninger (</w:t>
      </w:r>
      <w:proofErr w:type="spellStart"/>
      <w:r w:rsidRPr="002034E4">
        <w:rPr>
          <w:spacing w:val="-3"/>
          <w:sz w:val="24"/>
          <w:szCs w:val="24"/>
        </w:rPr>
        <w:t>SCAR’er</w:t>
      </w:r>
      <w:proofErr w:type="spellEnd"/>
      <w:r w:rsidRPr="002034E4">
        <w:rPr>
          <w:spacing w:val="-3"/>
          <w:sz w:val="24"/>
          <w:szCs w:val="24"/>
        </w:rPr>
        <w:t xml:space="preserve">), inklusive Stevens-Johnsons syndrom (SJS), toksisk </w:t>
      </w:r>
      <w:proofErr w:type="spellStart"/>
      <w:r w:rsidRPr="002034E4">
        <w:rPr>
          <w:spacing w:val="-3"/>
          <w:sz w:val="24"/>
          <w:szCs w:val="24"/>
        </w:rPr>
        <w:t>epidermal</w:t>
      </w:r>
      <w:proofErr w:type="spellEnd"/>
      <w:r w:rsidRPr="002034E4">
        <w:rPr>
          <w:spacing w:val="-3"/>
          <w:sz w:val="24"/>
          <w:szCs w:val="24"/>
        </w:rPr>
        <w:t xml:space="preserve"> </w:t>
      </w:r>
      <w:proofErr w:type="spellStart"/>
      <w:r w:rsidRPr="002034E4">
        <w:rPr>
          <w:spacing w:val="-3"/>
          <w:sz w:val="24"/>
          <w:szCs w:val="24"/>
        </w:rPr>
        <w:t>nekrolyse</w:t>
      </w:r>
      <w:proofErr w:type="spellEnd"/>
      <w:r w:rsidRPr="002034E4">
        <w:rPr>
          <w:spacing w:val="-3"/>
          <w:sz w:val="24"/>
          <w:szCs w:val="24"/>
        </w:rPr>
        <w:t xml:space="preserve"> (TEN), lægemiddelreaktion med </w:t>
      </w:r>
      <w:proofErr w:type="spellStart"/>
      <w:r w:rsidRPr="002034E4">
        <w:rPr>
          <w:spacing w:val="-3"/>
          <w:sz w:val="24"/>
          <w:szCs w:val="24"/>
        </w:rPr>
        <w:t>eosinofili</w:t>
      </w:r>
      <w:proofErr w:type="spellEnd"/>
      <w:r w:rsidRPr="002034E4">
        <w:rPr>
          <w:spacing w:val="-3"/>
          <w:sz w:val="24"/>
          <w:szCs w:val="24"/>
        </w:rPr>
        <w:t xml:space="preserve"> og systemiske symptomer (DRESS) og akut generaliseret </w:t>
      </w:r>
      <w:proofErr w:type="spellStart"/>
      <w:r w:rsidRPr="002034E4">
        <w:rPr>
          <w:spacing w:val="-3"/>
          <w:sz w:val="24"/>
          <w:szCs w:val="24"/>
        </w:rPr>
        <w:t>eksantematøs</w:t>
      </w:r>
      <w:proofErr w:type="spellEnd"/>
      <w:r w:rsidRPr="002034E4">
        <w:rPr>
          <w:spacing w:val="-3"/>
          <w:sz w:val="24"/>
          <w:szCs w:val="24"/>
        </w:rPr>
        <w:t xml:space="preserve"> </w:t>
      </w:r>
      <w:proofErr w:type="spellStart"/>
      <w:r w:rsidRPr="002034E4">
        <w:rPr>
          <w:spacing w:val="-3"/>
          <w:sz w:val="24"/>
          <w:szCs w:val="24"/>
        </w:rPr>
        <w:t>pustulose</w:t>
      </w:r>
      <w:proofErr w:type="spellEnd"/>
      <w:r w:rsidRPr="002034E4">
        <w:rPr>
          <w:spacing w:val="-3"/>
          <w:sz w:val="24"/>
          <w:szCs w:val="24"/>
        </w:rPr>
        <w:t xml:space="preserve"> (AGEP), som kan være livstruende eller dødelige, er blevet rapporteret i forbindelse med </w:t>
      </w:r>
      <w:proofErr w:type="spellStart"/>
      <w:r w:rsidRPr="002034E4">
        <w:rPr>
          <w:spacing w:val="-3"/>
          <w:sz w:val="24"/>
          <w:szCs w:val="24"/>
        </w:rPr>
        <w:t>vancomycinbehandling</w:t>
      </w:r>
      <w:proofErr w:type="spellEnd"/>
      <w:r w:rsidRPr="002034E4">
        <w:rPr>
          <w:spacing w:val="-3"/>
          <w:sz w:val="24"/>
          <w:szCs w:val="24"/>
        </w:rPr>
        <w:t xml:space="preserve"> (se </w:t>
      </w:r>
      <w:r w:rsidR="008D3B1F">
        <w:rPr>
          <w:spacing w:val="-3"/>
          <w:sz w:val="24"/>
          <w:szCs w:val="24"/>
        </w:rPr>
        <w:t>pkt.</w:t>
      </w:r>
      <w:r w:rsidRPr="002034E4">
        <w:rPr>
          <w:spacing w:val="-3"/>
          <w:sz w:val="24"/>
          <w:szCs w:val="24"/>
        </w:rPr>
        <w:t xml:space="preserve"> 4.8). De fleste af disse reaktioner forekom inden for få dage og i op til 8 uger efter påbegyndelse af</w:t>
      </w:r>
    </w:p>
    <w:p w:rsidR="002B3377" w:rsidRPr="002034E4" w:rsidRDefault="002B3377" w:rsidP="002B3377">
      <w:pPr>
        <w:tabs>
          <w:tab w:val="left" w:pos="851"/>
        </w:tabs>
        <w:ind w:left="851" w:firstLine="1"/>
        <w:outlineLvl w:val="0"/>
        <w:rPr>
          <w:spacing w:val="-3"/>
          <w:sz w:val="24"/>
          <w:szCs w:val="24"/>
        </w:rPr>
      </w:pPr>
      <w:r w:rsidRPr="002034E4">
        <w:rPr>
          <w:spacing w:val="-3"/>
          <w:sz w:val="24"/>
          <w:szCs w:val="24"/>
        </w:rPr>
        <w:t xml:space="preserve">behandlingen med </w:t>
      </w:r>
      <w:proofErr w:type="spellStart"/>
      <w:r w:rsidRPr="002034E4">
        <w:rPr>
          <w:spacing w:val="-3"/>
          <w:sz w:val="24"/>
          <w:szCs w:val="24"/>
        </w:rPr>
        <w:t>vancomycin</w:t>
      </w:r>
      <w:proofErr w:type="spellEnd"/>
      <w:r w:rsidRPr="002034E4">
        <w:rPr>
          <w:spacing w:val="-3"/>
          <w:sz w:val="24"/>
          <w:szCs w:val="24"/>
        </w:rPr>
        <w:t>.</w:t>
      </w:r>
    </w:p>
    <w:p w:rsidR="002B3377" w:rsidRPr="002034E4" w:rsidRDefault="002B3377" w:rsidP="002B3377">
      <w:pPr>
        <w:ind w:left="851"/>
        <w:rPr>
          <w:spacing w:val="-4"/>
          <w:sz w:val="24"/>
          <w:szCs w:val="24"/>
        </w:rPr>
      </w:pPr>
      <w:r w:rsidRPr="002034E4">
        <w:rPr>
          <w:spacing w:val="-3"/>
          <w:sz w:val="24"/>
          <w:szCs w:val="24"/>
        </w:rPr>
        <w:t xml:space="preserve">Ved ordination skal patienterne underrettes om tegn og symptomer og de skal monitoreres tæt for hudreaktioner. Hvis der opstår tegn og symptomer, som tyder på disse reaktioner, skal behandlingen med </w:t>
      </w:r>
      <w:proofErr w:type="spellStart"/>
      <w:r w:rsidRPr="002034E4">
        <w:rPr>
          <w:spacing w:val="-3"/>
          <w:sz w:val="24"/>
          <w:szCs w:val="24"/>
        </w:rPr>
        <w:t>vancomycyin</w:t>
      </w:r>
      <w:proofErr w:type="spellEnd"/>
      <w:r w:rsidRPr="002034E4">
        <w:rPr>
          <w:spacing w:val="-3"/>
          <w:sz w:val="24"/>
          <w:szCs w:val="24"/>
        </w:rPr>
        <w:t xml:space="preserve"> straks ophøre, og en alternativ behandling skal overvejes. Hvis patienten har udviklet en SCAR ved brug af </w:t>
      </w:r>
      <w:proofErr w:type="spellStart"/>
      <w:r w:rsidRPr="002034E4">
        <w:rPr>
          <w:spacing w:val="-3"/>
          <w:sz w:val="24"/>
          <w:szCs w:val="24"/>
        </w:rPr>
        <w:t>vancomycin</w:t>
      </w:r>
      <w:proofErr w:type="spellEnd"/>
      <w:r w:rsidRPr="002034E4">
        <w:rPr>
          <w:spacing w:val="-3"/>
          <w:sz w:val="24"/>
          <w:szCs w:val="24"/>
        </w:rPr>
        <w:t xml:space="preserve">, må behandling med </w:t>
      </w:r>
      <w:proofErr w:type="spellStart"/>
      <w:r w:rsidRPr="002034E4">
        <w:rPr>
          <w:spacing w:val="-3"/>
          <w:sz w:val="24"/>
          <w:szCs w:val="24"/>
        </w:rPr>
        <w:t>vancomycin</w:t>
      </w:r>
      <w:proofErr w:type="spellEnd"/>
      <w:r w:rsidRPr="002034E4">
        <w:rPr>
          <w:spacing w:val="-3"/>
          <w:sz w:val="24"/>
          <w:szCs w:val="24"/>
        </w:rPr>
        <w:t xml:space="preserve"> ikke genstartes på noget tidspunkt.</w:t>
      </w:r>
    </w:p>
    <w:p w:rsidR="00140BC6" w:rsidRPr="002034E4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4.5</w:t>
      </w:r>
      <w:r w:rsidRPr="005A3580">
        <w:rPr>
          <w:b/>
          <w:sz w:val="24"/>
          <w:szCs w:val="24"/>
        </w:rPr>
        <w:tab/>
        <w:t>Interaktion med andre lægemidler og andre former for interaktion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Der er ikke indberettet interaktioner med oralt administreret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. Hos patienter med svært nedsat nyrefunktion og </w:t>
      </w:r>
      <w:proofErr w:type="gramStart"/>
      <w:r w:rsidRPr="005A3580">
        <w:rPr>
          <w:rFonts w:ascii="Times New Roman" w:hAnsi="Times New Roman"/>
          <w:sz w:val="24"/>
          <w:szCs w:val="24"/>
        </w:rPr>
        <w:t>svær colitis</w:t>
      </w:r>
      <w:proofErr w:type="gramEnd"/>
      <w:r w:rsidRPr="005A3580">
        <w:rPr>
          <w:rFonts w:ascii="Times New Roman" w:hAnsi="Times New Roman"/>
          <w:sz w:val="24"/>
          <w:szCs w:val="24"/>
        </w:rPr>
        <w:t xml:space="preserve"> kan der forekomme systemisk absorption, hvilket resulterer i risiko for interaktion, der normalt kun ses efter parenteral administration. F</w:t>
      </w:r>
      <w:r>
        <w:rPr>
          <w:rFonts w:ascii="Times New Roman" w:hAnsi="Times New Roman"/>
          <w:sz w:val="24"/>
          <w:szCs w:val="24"/>
        </w:rPr>
        <w:t>or eksempel</w:t>
      </w:r>
      <w:r w:rsidRPr="005A3580">
        <w:rPr>
          <w:rFonts w:ascii="Times New Roman" w:hAnsi="Times New Roman"/>
          <w:sz w:val="24"/>
          <w:szCs w:val="24"/>
        </w:rPr>
        <w:t xml:space="preserve"> kan parenteral administration af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og </w:t>
      </w:r>
      <w:proofErr w:type="spellStart"/>
      <w:r w:rsidRPr="005A3580">
        <w:rPr>
          <w:rFonts w:ascii="Times New Roman" w:hAnsi="Times New Roman"/>
          <w:sz w:val="24"/>
          <w:szCs w:val="24"/>
        </w:rPr>
        <w:t>anæstetika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forårsage </w:t>
      </w:r>
      <w:proofErr w:type="spellStart"/>
      <w:r w:rsidRPr="005A3580">
        <w:rPr>
          <w:rFonts w:ascii="Times New Roman" w:hAnsi="Times New Roman"/>
          <w:sz w:val="24"/>
          <w:szCs w:val="24"/>
        </w:rPr>
        <w:t>erytem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og </w:t>
      </w:r>
      <w:proofErr w:type="spellStart"/>
      <w:r w:rsidRPr="005A3580">
        <w:rPr>
          <w:rFonts w:ascii="Times New Roman" w:hAnsi="Times New Roman"/>
          <w:sz w:val="24"/>
          <w:szCs w:val="24"/>
        </w:rPr>
        <w:t>anafylaktiske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reaktioner.</w:t>
      </w:r>
    </w:p>
    <w:p w:rsidR="00140BC6" w:rsidRPr="005A3580" w:rsidRDefault="00140BC6" w:rsidP="00AE36B0">
      <w:pPr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4.6</w:t>
      </w:r>
      <w:r w:rsidRPr="005A3580">
        <w:rPr>
          <w:b/>
          <w:sz w:val="24"/>
          <w:szCs w:val="24"/>
        </w:rPr>
        <w:tab/>
        <w:t>Graviditet og amning</w:t>
      </w:r>
    </w:p>
    <w:p w:rsidR="00140BC6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A93686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A93686">
        <w:rPr>
          <w:rFonts w:ascii="Times New Roman" w:hAnsi="Times New Roman"/>
          <w:sz w:val="24"/>
          <w:szCs w:val="24"/>
          <w:u w:val="single"/>
        </w:rPr>
        <w:t>Graviditet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Der er utilstrækkelige data fra anvendelse af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 w:rsidRPr="005A3580">
        <w:rPr>
          <w:rFonts w:ascii="Times New Roman" w:hAnsi="Times New Roman"/>
          <w:sz w:val="24"/>
          <w:szCs w:val="24"/>
        </w:rPr>
        <w:t>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under graviditet. Sikker anvendelse af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under graviditet er ikke fastlagt. Dyreforsøg af reproduktionsevnen ved doser, der svarer til den kliniske dosis på grundlag af legemsoverfladeareal (mg/m</w:t>
      </w:r>
      <w:r w:rsidRPr="005A3580">
        <w:rPr>
          <w:rFonts w:ascii="Times New Roman" w:hAnsi="Times New Roman"/>
          <w:sz w:val="24"/>
          <w:szCs w:val="24"/>
          <w:vertAlign w:val="superscript"/>
        </w:rPr>
        <w:t>3</w:t>
      </w:r>
      <w:r w:rsidRPr="005A3580">
        <w:rPr>
          <w:rFonts w:ascii="Times New Roman" w:hAnsi="Times New Roman"/>
          <w:sz w:val="24"/>
          <w:szCs w:val="24"/>
        </w:rPr>
        <w:t>), indikeret ingen direkte eller indirekte virkninger på fosterudvikling, foster eller drægtighed.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bør kun administreres til gravide kvinder efter nøje vurdering af fordele og risici.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A93686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A93686">
        <w:rPr>
          <w:rFonts w:ascii="Times New Roman" w:hAnsi="Times New Roman"/>
          <w:sz w:val="24"/>
          <w:szCs w:val="24"/>
          <w:u w:val="single"/>
        </w:rPr>
        <w:lastRenderedPageBreak/>
        <w:t>Amning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proofErr w:type="spellStart"/>
      <w:r w:rsidRPr="005A3580">
        <w:rPr>
          <w:rFonts w:ascii="Times New Roman" w:hAnsi="Times New Roman"/>
          <w:spacing w:val="1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pacing w:val="1"/>
          <w:sz w:val="24"/>
          <w:szCs w:val="24"/>
        </w:rPr>
        <w:t xml:space="preserve"> udskilles i modermælk og bør derfor kun anvendes under amning, hvis behandling med andre antibiotika er slået fejl. Det anbefales at ophøre med amning under behandling med </w:t>
      </w:r>
      <w:proofErr w:type="spellStart"/>
      <w:r w:rsidRPr="005A3580">
        <w:rPr>
          <w:rFonts w:ascii="Times New Roman" w:hAnsi="Times New Roman"/>
          <w:spacing w:val="1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pacing w:val="1"/>
          <w:sz w:val="24"/>
          <w:szCs w:val="24"/>
        </w:rPr>
        <w:t xml:space="preserve">. 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A93686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A93686">
        <w:rPr>
          <w:rFonts w:ascii="Times New Roman" w:hAnsi="Times New Roman"/>
          <w:sz w:val="24"/>
          <w:szCs w:val="24"/>
          <w:u w:val="single"/>
        </w:rPr>
        <w:t>Fertilitet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Der er ikke udført studier af fertilitetsevnen.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4.7</w:t>
      </w:r>
      <w:r w:rsidRPr="005A3580">
        <w:rPr>
          <w:b/>
          <w:sz w:val="24"/>
          <w:szCs w:val="24"/>
        </w:rPr>
        <w:tab/>
        <w:t>Virkninger på evnen til at føre motorkøretøj eller betjene maskiner</w:t>
      </w:r>
    </w:p>
    <w:p w:rsidR="00140BC6" w:rsidRDefault="00140BC6" w:rsidP="00140BC6">
      <w:pPr>
        <w:pStyle w:val="Ingenafstand"/>
        <w:ind w:left="851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Ikke mærkning.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pacing w:val="1"/>
          <w:sz w:val="24"/>
          <w:szCs w:val="24"/>
        </w:rPr>
        <w:t xml:space="preserve">I sjældne tilfælde kan </w:t>
      </w:r>
      <w:proofErr w:type="spellStart"/>
      <w:r w:rsidRPr="005A3580">
        <w:rPr>
          <w:rFonts w:ascii="Times New Roman" w:hAnsi="Times New Roman"/>
          <w:spacing w:val="1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pacing w:val="1"/>
          <w:sz w:val="24"/>
          <w:szCs w:val="24"/>
        </w:rPr>
        <w:t xml:space="preserve"> forårsage </w:t>
      </w:r>
      <w:proofErr w:type="spellStart"/>
      <w:r w:rsidRPr="005A3580">
        <w:rPr>
          <w:rFonts w:ascii="Times New Roman" w:hAnsi="Times New Roman"/>
          <w:spacing w:val="1"/>
          <w:sz w:val="24"/>
          <w:szCs w:val="24"/>
        </w:rPr>
        <w:t>vertigo</w:t>
      </w:r>
      <w:proofErr w:type="spellEnd"/>
      <w:r w:rsidRPr="005A3580">
        <w:rPr>
          <w:rFonts w:ascii="Times New Roman" w:hAnsi="Times New Roman"/>
          <w:spacing w:val="1"/>
          <w:sz w:val="24"/>
          <w:szCs w:val="24"/>
        </w:rPr>
        <w:t xml:space="preserve"> og svimmelhed. Patienter frarådes at frarådes at føre motorkøretøj eller betjene maskiner, hvis ovenstående symptomer bemærkes.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4.8</w:t>
      </w:r>
      <w:r w:rsidRPr="005A3580">
        <w:rPr>
          <w:b/>
          <w:sz w:val="24"/>
          <w:szCs w:val="24"/>
        </w:rPr>
        <w:tab/>
        <w:t>Bivirkninger</w:t>
      </w:r>
    </w:p>
    <w:p w:rsidR="00140BC6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A93686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A93686">
        <w:rPr>
          <w:rFonts w:ascii="Times New Roman" w:hAnsi="Times New Roman"/>
          <w:sz w:val="24"/>
          <w:szCs w:val="24"/>
          <w:u w:val="single"/>
        </w:rPr>
        <w:t>Resumé af sikkerhedsprofilen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Absorptionen af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fra mave-tarm-kanalen er ubetydelig. Ved </w:t>
      </w:r>
      <w:r>
        <w:rPr>
          <w:rFonts w:ascii="Times New Roman" w:hAnsi="Times New Roman"/>
          <w:sz w:val="24"/>
          <w:szCs w:val="24"/>
        </w:rPr>
        <w:t>alvorlig betændelse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5A3580">
        <w:rPr>
          <w:rFonts w:ascii="Times New Roman" w:hAnsi="Times New Roman"/>
          <w:sz w:val="24"/>
          <w:szCs w:val="24"/>
        </w:rPr>
        <w:t xml:space="preserve"> tarmslimhinden, især i kombination med nyreinsufficiens, kan der </w:t>
      </w:r>
      <w:r>
        <w:rPr>
          <w:rFonts w:ascii="Times New Roman" w:hAnsi="Times New Roman"/>
          <w:sz w:val="24"/>
          <w:szCs w:val="24"/>
        </w:rPr>
        <w:t>dog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opstå</w:t>
      </w:r>
      <w:r w:rsidRPr="005A3580">
        <w:rPr>
          <w:rFonts w:ascii="Times New Roman" w:hAnsi="Times New Roman"/>
          <w:sz w:val="24"/>
          <w:szCs w:val="24"/>
        </w:rPr>
        <w:t xml:space="preserve"> bivirkninger, </w:t>
      </w:r>
      <w:r>
        <w:rPr>
          <w:rFonts w:ascii="Times New Roman" w:hAnsi="Times New Roman"/>
          <w:sz w:val="24"/>
          <w:szCs w:val="24"/>
        </w:rPr>
        <w:t>som forekommer ved parenteral</w:t>
      </w:r>
      <w:r w:rsidRPr="005A3580">
        <w:rPr>
          <w:rFonts w:ascii="Times New Roman" w:hAnsi="Times New Roman"/>
          <w:sz w:val="24"/>
          <w:szCs w:val="24"/>
        </w:rPr>
        <w:t xml:space="preserve"> administr</w:t>
      </w:r>
      <w:r>
        <w:rPr>
          <w:rFonts w:ascii="Times New Roman" w:hAnsi="Times New Roman"/>
          <w:sz w:val="24"/>
          <w:szCs w:val="24"/>
        </w:rPr>
        <w:t>ation</w:t>
      </w:r>
      <w:r w:rsidRPr="005A3580">
        <w:rPr>
          <w:rFonts w:ascii="Times New Roman" w:hAnsi="Times New Roman"/>
          <w:sz w:val="24"/>
          <w:szCs w:val="24"/>
        </w:rPr>
        <w:t xml:space="preserve">. Derfor er nedenstående bivirkninger og </w:t>
      </w:r>
      <w:r>
        <w:rPr>
          <w:rFonts w:ascii="Times New Roman" w:hAnsi="Times New Roman"/>
          <w:sz w:val="24"/>
          <w:szCs w:val="24"/>
        </w:rPr>
        <w:t>frekvenser relateret til</w:t>
      </w:r>
      <w:r w:rsidRPr="005A3580">
        <w:rPr>
          <w:rFonts w:ascii="Times New Roman" w:hAnsi="Times New Roman"/>
          <w:sz w:val="24"/>
          <w:szCs w:val="24"/>
        </w:rPr>
        <w:t xml:space="preserve"> parenteral </w:t>
      </w:r>
      <w:proofErr w:type="spellStart"/>
      <w:r>
        <w:rPr>
          <w:rFonts w:ascii="Times New Roman" w:hAnsi="Times New Roman"/>
          <w:sz w:val="24"/>
          <w:szCs w:val="24"/>
        </w:rPr>
        <w:t>vancomycin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5A3580">
        <w:rPr>
          <w:rFonts w:ascii="Times New Roman" w:hAnsi="Times New Roman"/>
          <w:sz w:val="24"/>
          <w:szCs w:val="24"/>
        </w:rPr>
        <w:t xml:space="preserve">administration </w:t>
      </w:r>
      <w:r>
        <w:rPr>
          <w:rFonts w:ascii="Times New Roman" w:hAnsi="Times New Roman"/>
          <w:sz w:val="24"/>
          <w:szCs w:val="24"/>
        </w:rPr>
        <w:t>inkluderet</w:t>
      </w:r>
      <w:r w:rsidRPr="005A3580">
        <w:rPr>
          <w:rFonts w:ascii="Times New Roman" w:hAnsi="Times New Roman"/>
          <w:sz w:val="24"/>
          <w:szCs w:val="24"/>
        </w:rPr>
        <w:t>.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pacing w:val="2"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Når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administreres parenteralt, er de mest almindelige bivirkninger </w:t>
      </w:r>
      <w:proofErr w:type="spellStart"/>
      <w:r>
        <w:rPr>
          <w:rFonts w:ascii="Times New Roman" w:hAnsi="Times New Roman"/>
          <w:sz w:val="24"/>
          <w:szCs w:val="24"/>
        </w:rPr>
        <w:t>flebitis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, pseudoallergiske reaktioner og </w:t>
      </w:r>
      <w:r>
        <w:rPr>
          <w:rFonts w:ascii="Times New Roman" w:hAnsi="Times New Roman"/>
          <w:sz w:val="24"/>
          <w:szCs w:val="24"/>
        </w:rPr>
        <w:t>rødmen på</w:t>
      </w:r>
      <w:r w:rsidRPr="005A3580">
        <w:rPr>
          <w:rFonts w:ascii="Times New Roman" w:hAnsi="Times New Roman"/>
          <w:sz w:val="24"/>
          <w:szCs w:val="24"/>
        </w:rPr>
        <w:t xml:space="preserve"> overkroppen (</w:t>
      </w:r>
      <w:r>
        <w:rPr>
          <w:rFonts w:ascii="Times New Roman" w:hAnsi="Times New Roman"/>
          <w:sz w:val="24"/>
          <w:szCs w:val="24"/>
        </w:rPr>
        <w:t>"</w:t>
      </w:r>
      <w:r w:rsidRPr="005A3580">
        <w:rPr>
          <w:rFonts w:ascii="Times New Roman" w:hAnsi="Times New Roman"/>
          <w:sz w:val="24"/>
          <w:szCs w:val="24"/>
        </w:rPr>
        <w:t>red</w:t>
      </w:r>
      <w:r>
        <w:rPr>
          <w:rFonts w:ascii="Times New Roman" w:hAnsi="Times New Roman"/>
          <w:sz w:val="24"/>
          <w:szCs w:val="24"/>
        </w:rPr>
        <w:t xml:space="preserve"> man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80">
        <w:rPr>
          <w:rFonts w:ascii="Times New Roman" w:hAnsi="Times New Roman"/>
          <w:sz w:val="24"/>
          <w:szCs w:val="24"/>
        </w:rPr>
        <w:t>syndrome</w:t>
      </w:r>
      <w:proofErr w:type="spellEnd"/>
      <w:r>
        <w:rPr>
          <w:rFonts w:ascii="Times New Roman" w:hAnsi="Times New Roman"/>
          <w:sz w:val="24"/>
          <w:szCs w:val="24"/>
        </w:rPr>
        <w:t>"</w:t>
      </w:r>
      <w:r w:rsidRPr="005A3580">
        <w:rPr>
          <w:rFonts w:ascii="Times New Roman" w:hAnsi="Times New Roman"/>
          <w:sz w:val="24"/>
          <w:szCs w:val="24"/>
        </w:rPr>
        <w:t xml:space="preserve">) i forbindelse med for hurtig intravenøs infusion af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>.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pacing w:val="2"/>
          <w:sz w:val="24"/>
          <w:szCs w:val="24"/>
        </w:rPr>
      </w:pPr>
    </w:p>
    <w:p w:rsidR="00140BC6" w:rsidRPr="00A93686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Tabel</w:t>
      </w:r>
      <w:r w:rsidRPr="00A93686">
        <w:rPr>
          <w:rFonts w:ascii="Times New Roman" w:hAnsi="Times New Roman"/>
          <w:sz w:val="24"/>
          <w:szCs w:val="24"/>
          <w:u w:val="single"/>
        </w:rPr>
        <w:t xml:space="preserve"> over bivirkninger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Inden for hver </w:t>
      </w:r>
      <w:r>
        <w:rPr>
          <w:rFonts w:ascii="Times New Roman" w:hAnsi="Times New Roman"/>
          <w:sz w:val="24"/>
          <w:szCs w:val="24"/>
        </w:rPr>
        <w:t>frekvensgruppe</w:t>
      </w:r>
      <w:r w:rsidRPr="005A3580">
        <w:rPr>
          <w:rFonts w:ascii="Times New Roman" w:hAnsi="Times New Roman"/>
          <w:sz w:val="24"/>
          <w:szCs w:val="24"/>
        </w:rPr>
        <w:t xml:space="preserve"> er bivirkningerne </w:t>
      </w:r>
      <w:r>
        <w:rPr>
          <w:rFonts w:ascii="Times New Roman" w:hAnsi="Times New Roman"/>
          <w:sz w:val="24"/>
          <w:szCs w:val="24"/>
        </w:rPr>
        <w:t>opstillet</w:t>
      </w:r>
      <w:r w:rsidRPr="005A3580">
        <w:rPr>
          <w:rFonts w:ascii="Times New Roman" w:hAnsi="Times New Roman"/>
          <w:sz w:val="24"/>
          <w:szCs w:val="24"/>
        </w:rPr>
        <w:t xml:space="preserve"> efter faldende </w:t>
      </w:r>
      <w:r>
        <w:rPr>
          <w:rFonts w:ascii="Times New Roman" w:hAnsi="Times New Roman"/>
          <w:sz w:val="24"/>
          <w:szCs w:val="24"/>
        </w:rPr>
        <w:t>alvorlighed</w:t>
      </w:r>
      <w:r w:rsidRPr="005A3580">
        <w:rPr>
          <w:rFonts w:ascii="Times New Roman" w:hAnsi="Times New Roman"/>
          <w:sz w:val="24"/>
          <w:szCs w:val="24"/>
        </w:rPr>
        <w:t>.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5A3580">
        <w:rPr>
          <w:rFonts w:ascii="Times New Roman" w:hAnsi="Times New Roman"/>
          <w:sz w:val="24"/>
          <w:szCs w:val="24"/>
        </w:rPr>
        <w:t>ivirkninger</w:t>
      </w:r>
      <w:r>
        <w:rPr>
          <w:rFonts w:ascii="Times New Roman" w:hAnsi="Times New Roman"/>
          <w:sz w:val="24"/>
          <w:szCs w:val="24"/>
        </w:rPr>
        <w:t>ne angivet nedenfor</w:t>
      </w:r>
      <w:r w:rsidRPr="005A3580">
        <w:rPr>
          <w:rFonts w:ascii="Times New Roman" w:hAnsi="Times New Roman"/>
          <w:sz w:val="24"/>
          <w:szCs w:val="24"/>
        </w:rPr>
        <w:t xml:space="preserve"> er defineret </w:t>
      </w:r>
      <w:r>
        <w:rPr>
          <w:rFonts w:ascii="Times New Roman" w:hAnsi="Times New Roman"/>
          <w:sz w:val="24"/>
          <w:szCs w:val="24"/>
        </w:rPr>
        <w:t>ved hjælp af følgende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80">
        <w:rPr>
          <w:rFonts w:ascii="Times New Roman" w:hAnsi="Times New Roman"/>
          <w:sz w:val="24"/>
          <w:szCs w:val="24"/>
        </w:rPr>
        <w:t>MedDRA</w:t>
      </w:r>
      <w:r>
        <w:rPr>
          <w:rFonts w:ascii="Times New Roman" w:hAnsi="Times New Roman"/>
          <w:sz w:val="24"/>
          <w:szCs w:val="24"/>
        </w:rPr>
        <w:t>.konvention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og systemorganklasse: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pacing w:val="1"/>
          <w:sz w:val="24"/>
          <w:szCs w:val="24"/>
        </w:rPr>
        <w:t>Meget almindelig (≥1/10)</w:t>
      </w:r>
      <w:r>
        <w:rPr>
          <w:rFonts w:ascii="Times New Roman" w:hAnsi="Times New Roman"/>
          <w:spacing w:val="1"/>
          <w:sz w:val="24"/>
          <w:szCs w:val="24"/>
        </w:rPr>
        <w:t>;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almindelig (≥1/100 til &lt;1/10)</w:t>
      </w:r>
      <w:r>
        <w:rPr>
          <w:rFonts w:ascii="Times New Roman" w:hAnsi="Times New Roman"/>
          <w:spacing w:val="1"/>
          <w:sz w:val="24"/>
          <w:szCs w:val="24"/>
        </w:rPr>
        <w:t>;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ikke almindelig (≥1/1.000 til &lt;1/100)</w:t>
      </w:r>
      <w:r>
        <w:rPr>
          <w:rFonts w:ascii="Times New Roman" w:hAnsi="Times New Roman"/>
          <w:spacing w:val="1"/>
          <w:sz w:val="24"/>
          <w:szCs w:val="24"/>
        </w:rPr>
        <w:t>;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sjælden (≥1/10.000 til &lt;1/1.000)</w:t>
      </w:r>
      <w:r>
        <w:rPr>
          <w:rFonts w:ascii="Times New Roman" w:hAnsi="Times New Roman"/>
          <w:spacing w:val="1"/>
          <w:sz w:val="24"/>
          <w:szCs w:val="24"/>
        </w:rPr>
        <w:t>;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meget sjælden (&lt;1/10.000)</w:t>
      </w:r>
      <w:r>
        <w:rPr>
          <w:rFonts w:ascii="Times New Roman" w:hAnsi="Times New Roman"/>
          <w:spacing w:val="1"/>
          <w:sz w:val="24"/>
          <w:szCs w:val="24"/>
        </w:rPr>
        <w:t>;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ikke kendt (kan ikke estimeres ud fra forhåndenværende data).</w:t>
      </w:r>
    </w:p>
    <w:p w:rsidR="008D3B1F" w:rsidRDefault="008D3B1F">
      <w:pPr>
        <w:rPr>
          <w:sz w:val="24"/>
          <w:szCs w:val="24"/>
          <w:lang w:eastAsia="da-DK" w:bidi="da-DK"/>
        </w:rPr>
      </w:pPr>
      <w:r>
        <w:rPr>
          <w:sz w:val="24"/>
          <w:szCs w:val="24"/>
        </w:rPr>
        <w:br w:type="page"/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10"/>
        <w:gridCol w:w="4814"/>
      </w:tblGrid>
      <w:tr w:rsidR="00140BC6" w:rsidRPr="00A93686" w:rsidTr="003B4B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A93686" w:rsidRDefault="00140BC6" w:rsidP="003B4BCE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Systemorganklasse</w:t>
            </w:r>
          </w:p>
        </w:tc>
      </w:tr>
      <w:tr w:rsidR="00140BC6" w:rsidRPr="00A93686" w:rsidTr="003B4BCE"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A93686" w:rsidRDefault="00140BC6" w:rsidP="003B4BCE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Hyppighed</w:t>
            </w:r>
          </w:p>
        </w:tc>
        <w:tc>
          <w:tcPr>
            <w:tcW w:w="2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A93686" w:rsidRDefault="00140BC6" w:rsidP="003B4BCE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Bivirkninger</w:t>
            </w:r>
          </w:p>
        </w:tc>
      </w:tr>
      <w:tr w:rsidR="00140BC6" w:rsidRPr="00A93686" w:rsidTr="003B4B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A93686" w:rsidRDefault="00140BC6" w:rsidP="003B4BCE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Blod og lymfesystem</w:t>
            </w:r>
          </w:p>
        </w:tc>
      </w:tr>
      <w:tr w:rsidR="00140BC6" w:rsidRPr="00B31581" w:rsidTr="003B4BC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Sjælden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  <w:lang w:val="en-US"/>
              </w:rPr>
            </w:pPr>
            <w:proofErr w:type="spellStart"/>
            <w:r w:rsidRPr="005A3580">
              <w:rPr>
                <w:sz w:val="24"/>
                <w:szCs w:val="24"/>
                <w:lang w:val="en-US"/>
              </w:rPr>
              <w:t>Reversibel</w:t>
            </w:r>
            <w:proofErr w:type="spellEnd"/>
            <w:r w:rsidRPr="005A3580">
              <w:rPr>
                <w:sz w:val="24"/>
                <w:szCs w:val="24"/>
                <w:lang w:val="en-US"/>
              </w:rPr>
              <w:t xml:space="preserve"> neutropeni</w:t>
            </w:r>
            <w:r w:rsidRPr="005A3580">
              <w:rPr>
                <w:sz w:val="24"/>
                <w:szCs w:val="24"/>
                <w:vertAlign w:val="superscript"/>
                <w:lang w:val="en-US"/>
              </w:rPr>
              <w:t>1</w:t>
            </w:r>
            <w:r w:rsidRPr="005A358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A3580">
              <w:rPr>
                <w:sz w:val="24"/>
                <w:szCs w:val="24"/>
                <w:lang w:val="en-US"/>
              </w:rPr>
              <w:t>agranulocytose</w:t>
            </w:r>
            <w:proofErr w:type="spellEnd"/>
            <w:r w:rsidRPr="005A358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A3580">
              <w:rPr>
                <w:sz w:val="24"/>
                <w:szCs w:val="24"/>
                <w:lang w:val="en-US"/>
              </w:rPr>
              <w:t>eosinofili</w:t>
            </w:r>
            <w:proofErr w:type="spellEnd"/>
            <w:r w:rsidRPr="005A358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A3580">
              <w:rPr>
                <w:sz w:val="24"/>
                <w:szCs w:val="24"/>
                <w:lang w:val="en-US"/>
              </w:rPr>
              <w:t>trombocytopeni</w:t>
            </w:r>
            <w:proofErr w:type="spellEnd"/>
            <w:r w:rsidRPr="005A358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A3580">
              <w:rPr>
                <w:sz w:val="24"/>
                <w:szCs w:val="24"/>
                <w:lang w:val="en-US"/>
              </w:rPr>
              <w:t>pancytopeni</w:t>
            </w:r>
            <w:proofErr w:type="spellEnd"/>
            <w:r w:rsidRPr="005A3580">
              <w:rPr>
                <w:sz w:val="24"/>
                <w:szCs w:val="24"/>
                <w:lang w:val="en-US"/>
              </w:rPr>
              <w:t>.</w:t>
            </w:r>
          </w:p>
        </w:tc>
      </w:tr>
      <w:tr w:rsidR="00140BC6" w:rsidRPr="00A93686" w:rsidTr="003B4B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A93686" w:rsidRDefault="00140BC6" w:rsidP="003B4BCE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Immunsystemet</w:t>
            </w:r>
          </w:p>
        </w:tc>
      </w:tr>
      <w:tr w:rsidR="00140BC6" w:rsidRPr="005A3580" w:rsidTr="003B4BC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Sjælden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 xml:space="preserve">Overfølsomhedsreaktioner, </w:t>
            </w:r>
            <w:proofErr w:type="spellStart"/>
            <w:r w:rsidRPr="005A3580">
              <w:rPr>
                <w:sz w:val="24"/>
                <w:szCs w:val="24"/>
              </w:rPr>
              <w:t>anafylaktiske</w:t>
            </w:r>
            <w:proofErr w:type="spellEnd"/>
            <w:r w:rsidRPr="005A3580">
              <w:rPr>
                <w:sz w:val="24"/>
                <w:szCs w:val="24"/>
              </w:rPr>
              <w:t xml:space="preserve"> reaktioner</w:t>
            </w:r>
            <w:r w:rsidRPr="005A358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40BC6" w:rsidRPr="00A93686" w:rsidTr="003B4B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A93686" w:rsidRDefault="00140BC6" w:rsidP="003B4BCE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Øre og labyrint</w:t>
            </w:r>
          </w:p>
        </w:tc>
      </w:tr>
      <w:tr w:rsidR="00140BC6" w:rsidRPr="005A3580" w:rsidTr="003B4BC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Ikke almindelig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Forbigående eller permanent høretab</w:t>
            </w:r>
            <w:r w:rsidRPr="005A358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140BC6" w:rsidRPr="005A3580" w:rsidTr="003B4BC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Sjælden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proofErr w:type="spellStart"/>
            <w:r w:rsidRPr="005A3580">
              <w:rPr>
                <w:sz w:val="24"/>
                <w:szCs w:val="24"/>
              </w:rPr>
              <w:t>Vertigo</w:t>
            </w:r>
            <w:proofErr w:type="spellEnd"/>
            <w:r w:rsidRPr="005A3580">
              <w:rPr>
                <w:sz w:val="24"/>
                <w:szCs w:val="24"/>
              </w:rPr>
              <w:t>, svimmelhed, tinnitus</w:t>
            </w:r>
            <w:r w:rsidRPr="005A3580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40BC6" w:rsidRPr="00A93686" w:rsidTr="003B4B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A93686" w:rsidRDefault="00140BC6" w:rsidP="003B4BCE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Hjerte</w:t>
            </w:r>
          </w:p>
        </w:tc>
      </w:tr>
      <w:tr w:rsidR="00140BC6" w:rsidRPr="005A3580" w:rsidTr="003B4BC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Meget sjælden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Hjertestop</w:t>
            </w:r>
          </w:p>
        </w:tc>
      </w:tr>
      <w:tr w:rsidR="00140BC6" w:rsidRPr="00A93686" w:rsidTr="003B4B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A93686" w:rsidRDefault="00140BC6" w:rsidP="003B4BCE">
            <w:pPr>
              <w:rPr>
                <w:b/>
                <w:sz w:val="24"/>
                <w:szCs w:val="24"/>
              </w:rPr>
            </w:pPr>
            <w:proofErr w:type="spellStart"/>
            <w:r w:rsidRPr="00A93686">
              <w:rPr>
                <w:b/>
                <w:sz w:val="24"/>
                <w:szCs w:val="24"/>
              </w:rPr>
              <w:t>Vaskulære</w:t>
            </w:r>
            <w:proofErr w:type="spellEnd"/>
            <w:r w:rsidRPr="00A93686">
              <w:rPr>
                <w:b/>
                <w:sz w:val="24"/>
                <w:szCs w:val="24"/>
              </w:rPr>
              <w:t xml:space="preserve"> sygdomme</w:t>
            </w:r>
          </w:p>
        </w:tc>
      </w:tr>
      <w:tr w:rsidR="00140BC6" w:rsidRPr="005A3580" w:rsidTr="003B4BC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Almindelig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Blodtryksfald</w:t>
            </w:r>
          </w:p>
        </w:tc>
      </w:tr>
      <w:tr w:rsidR="00140BC6" w:rsidRPr="005A3580" w:rsidTr="003B4BC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Sjælden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proofErr w:type="spellStart"/>
            <w:r w:rsidRPr="005A3580">
              <w:rPr>
                <w:sz w:val="24"/>
                <w:szCs w:val="24"/>
              </w:rPr>
              <w:t>Vaskulitis</w:t>
            </w:r>
            <w:proofErr w:type="spellEnd"/>
          </w:p>
        </w:tc>
      </w:tr>
      <w:tr w:rsidR="00140BC6" w:rsidRPr="00A93686" w:rsidTr="003B4B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A93686" w:rsidRDefault="00140BC6" w:rsidP="003B4BCE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 xml:space="preserve">Luftveje, thorax og </w:t>
            </w:r>
            <w:proofErr w:type="spellStart"/>
            <w:r w:rsidRPr="00A93686">
              <w:rPr>
                <w:b/>
                <w:sz w:val="24"/>
                <w:szCs w:val="24"/>
              </w:rPr>
              <w:t>mediastinum</w:t>
            </w:r>
            <w:proofErr w:type="spellEnd"/>
          </w:p>
        </w:tc>
      </w:tr>
      <w:tr w:rsidR="00140BC6" w:rsidRPr="005A3580" w:rsidTr="003B4BC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Almindelig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Dyspnø, stridor</w:t>
            </w:r>
          </w:p>
        </w:tc>
      </w:tr>
      <w:tr w:rsidR="00140BC6" w:rsidRPr="00A93686" w:rsidTr="003B4B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A93686" w:rsidRDefault="00140BC6" w:rsidP="003B4BCE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Mave-tarm-kanalen</w:t>
            </w:r>
          </w:p>
        </w:tc>
      </w:tr>
      <w:tr w:rsidR="00140BC6" w:rsidRPr="005A3580" w:rsidTr="003B4BC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Sjælden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Kvalme</w:t>
            </w:r>
          </w:p>
        </w:tc>
      </w:tr>
      <w:tr w:rsidR="00140BC6" w:rsidRPr="005A3580" w:rsidTr="003B4BC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Meget sjælden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proofErr w:type="spellStart"/>
            <w:r w:rsidRPr="005A3580">
              <w:rPr>
                <w:sz w:val="24"/>
                <w:szCs w:val="24"/>
              </w:rPr>
              <w:t>Pseudomembranøs</w:t>
            </w:r>
            <w:proofErr w:type="spellEnd"/>
            <w:r w:rsidRPr="005A3580">
              <w:rPr>
                <w:sz w:val="24"/>
                <w:szCs w:val="24"/>
              </w:rPr>
              <w:t xml:space="preserve"> </w:t>
            </w:r>
            <w:proofErr w:type="spellStart"/>
            <w:r w:rsidRPr="005A3580">
              <w:rPr>
                <w:sz w:val="24"/>
                <w:szCs w:val="24"/>
              </w:rPr>
              <w:t>enterocolitis</w:t>
            </w:r>
            <w:proofErr w:type="spellEnd"/>
            <w:r w:rsidRPr="005A3580">
              <w:rPr>
                <w:sz w:val="24"/>
                <w:szCs w:val="24"/>
              </w:rPr>
              <w:t>.</w:t>
            </w:r>
          </w:p>
        </w:tc>
      </w:tr>
      <w:tr w:rsidR="00140BC6" w:rsidRPr="005A3580" w:rsidTr="003B4BC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Ikke kendt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Opkastning, diarré</w:t>
            </w:r>
          </w:p>
        </w:tc>
      </w:tr>
      <w:tr w:rsidR="00140BC6" w:rsidRPr="00A93686" w:rsidTr="003B4B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A93686" w:rsidRDefault="00140BC6" w:rsidP="003B4BCE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Hud og subkutane væv</w:t>
            </w:r>
          </w:p>
        </w:tc>
      </w:tr>
      <w:tr w:rsidR="00140BC6" w:rsidRPr="005A3580" w:rsidTr="003B4BC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Almindelig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Rødme</w:t>
            </w:r>
            <w:r w:rsidRPr="005A3580">
              <w:rPr>
                <w:sz w:val="24"/>
                <w:szCs w:val="24"/>
              </w:rPr>
              <w:t xml:space="preserve"> af overkroppen (</w:t>
            </w:r>
            <w:r>
              <w:rPr>
                <w:sz w:val="24"/>
                <w:szCs w:val="24"/>
              </w:rPr>
              <w:t>"</w:t>
            </w:r>
            <w:r w:rsidRPr="005A3580">
              <w:rPr>
                <w:sz w:val="24"/>
                <w:szCs w:val="24"/>
              </w:rPr>
              <w:t xml:space="preserve">red man </w:t>
            </w:r>
            <w:proofErr w:type="spellStart"/>
            <w:r w:rsidRPr="005A3580">
              <w:rPr>
                <w:sz w:val="24"/>
                <w:szCs w:val="24"/>
              </w:rPr>
              <w:t>syndrome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5A3580">
              <w:rPr>
                <w:sz w:val="24"/>
                <w:szCs w:val="24"/>
              </w:rPr>
              <w:t xml:space="preserve">), </w:t>
            </w:r>
            <w:proofErr w:type="spellStart"/>
            <w:r w:rsidRPr="005A3580">
              <w:rPr>
                <w:sz w:val="24"/>
                <w:szCs w:val="24"/>
              </w:rPr>
              <w:t>eksantem</w:t>
            </w:r>
            <w:proofErr w:type="spellEnd"/>
            <w:r w:rsidRPr="005A3580">
              <w:rPr>
                <w:sz w:val="24"/>
                <w:szCs w:val="24"/>
              </w:rPr>
              <w:t xml:space="preserve"> og </w:t>
            </w:r>
            <w:proofErr w:type="spellStart"/>
            <w:r>
              <w:rPr>
                <w:sz w:val="24"/>
                <w:szCs w:val="24"/>
              </w:rPr>
              <w:t>mucosal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A3580">
              <w:rPr>
                <w:sz w:val="24"/>
                <w:szCs w:val="24"/>
              </w:rPr>
              <w:t xml:space="preserve">inflammation af slimhinder, </w:t>
            </w:r>
            <w:proofErr w:type="spellStart"/>
            <w:r w:rsidRPr="005A3580">
              <w:rPr>
                <w:sz w:val="24"/>
                <w:szCs w:val="24"/>
              </w:rPr>
              <w:t>pruritus</w:t>
            </w:r>
            <w:proofErr w:type="spellEnd"/>
            <w:r w:rsidRPr="005A3580">
              <w:rPr>
                <w:sz w:val="24"/>
                <w:szCs w:val="24"/>
              </w:rPr>
              <w:t xml:space="preserve">, </w:t>
            </w:r>
            <w:proofErr w:type="spellStart"/>
            <w:r w:rsidRPr="005A3580">
              <w:rPr>
                <w:sz w:val="24"/>
                <w:szCs w:val="24"/>
              </w:rPr>
              <w:t>urticaria</w:t>
            </w:r>
            <w:proofErr w:type="spellEnd"/>
            <w:r w:rsidRPr="005A3580">
              <w:rPr>
                <w:sz w:val="24"/>
                <w:szCs w:val="24"/>
              </w:rPr>
              <w:t>.</w:t>
            </w:r>
          </w:p>
        </w:tc>
      </w:tr>
      <w:tr w:rsidR="00140BC6" w:rsidRPr="008D3B1F" w:rsidTr="003B4BC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8D3B1F" w:rsidRDefault="00140BC6" w:rsidP="003B4BCE">
            <w:pPr>
              <w:rPr>
                <w:sz w:val="24"/>
                <w:szCs w:val="24"/>
              </w:rPr>
            </w:pPr>
            <w:r w:rsidRPr="008D3B1F">
              <w:rPr>
                <w:sz w:val="24"/>
                <w:szCs w:val="24"/>
              </w:rPr>
              <w:t>Meget sjælden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8D3B1F" w:rsidRDefault="00396236" w:rsidP="003B4BCE">
            <w:pPr>
              <w:rPr>
                <w:sz w:val="24"/>
                <w:szCs w:val="24"/>
              </w:rPr>
            </w:pPr>
            <w:proofErr w:type="spellStart"/>
            <w:r w:rsidRPr="008D3B1F">
              <w:rPr>
                <w:sz w:val="24"/>
                <w:szCs w:val="24"/>
              </w:rPr>
              <w:t>Eksfoliativ</w:t>
            </w:r>
            <w:proofErr w:type="spellEnd"/>
            <w:r w:rsidRPr="008D3B1F">
              <w:rPr>
                <w:sz w:val="24"/>
                <w:szCs w:val="24"/>
              </w:rPr>
              <w:t xml:space="preserve"> </w:t>
            </w:r>
            <w:proofErr w:type="spellStart"/>
            <w:r w:rsidRPr="008D3B1F">
              <w:rPr>
                <w:sz w:val="24"/>
                <w:szCs w:val="24"/>
              </w:rPr>
              <w:t>dermatitis</w:t>
            </w:r>
            <w:proofErr w:type="spellEnd"/>
            <w:r w:rsidRPr="008D3B1F">
              <w:rPr>
                <w:sz w:val="24"/>
                <w:szCs w:val="24"/>
              </w:rPr>
              <w:t xml:space="preserve">, Stevens-Johnsons syndrom, </w:t>
            </w:r>
            <w:r w:rsidR="008D3B1F" w:rsidRPr="008D3B1F">
              <w:rPr>
                <w:sz w:val="24"/>
                <w:szCs w:val="24"/>
              </w:rPr>
              <w:t>t</w:t>
            </w:r>
            <w:r w:rsidRPr="008D3B1F">
              <w:rPr>
                <w:sz w:val="24"/>
                <w:szCs w:val="24"/>
              </w:rPr>
              <w:t xml:space="preserve">oksisk </w:t>
            </w:r>
            <w:proofErr w:type="spellStart"/>
            <w:r w:rsidRPr="008D3B1F">
              <w:rPr>
                <w:sz w:val="24"/>
                <w:szCs w:val="24"/>
              </w:rPr>
              <w:t>epidermal</w:t>
            </w:r>
            <w:proofErr w:type="spellEnd"/>
            <w:r w:rsidRPr="008D3B1F">
              <w:rPr>
                <w:sz w:val="24"/>
                <w:szCs w:val="24"/>
              </w:rPr>
              <w:t xml:space="preserve"> </w:t>
            </w:r>
            <w:proofErr w:type="spellStart"/>
            <w:r w:rsidRPr="008D3B1F">
              <w:rPr>
                <w:sz w:val="24"/>
                <w:szCs w:val="24"/>
              </w:rPr>
              <w:t>nekrolyse</w:t>
            </w:r>
            <w:proofErr w:type="spellEnd"/>
            <w:r w:rsidRPr="008D3B1F">
              <w:rPr>
                <w:sz w:val="24"/>
                <w:szCs w:val="24"/>
              </w:rPr>
              <w:t xml:space="preserve"> (TEN), lineær </w:t>
            </w:r>
            <w:proofErr w:type="spellStart"/>
            <w:r w:rsidRPr="008D3B1F">
              <w:rPr>
                <w:sz w:val="24"/>
                <w:szCs w:val="24"/>
              </w:rPr>
              <w:t>IgA</w:t>
            </w:r>
            <w:proofErr w:type="spellEnd"/>
            <w:r w:rsidRPr="008D3B1F">
              <w:rPr>
                <w:sz w:val="24"/>
                <w:szCs w:val="24"/>
              </w:rPr>
              <w:t xml:space="preserve"> </w:t>
            </w:r>
            <w:proofErr w:type="spellStart"/>
            <w:r w:rsidRPr="008D3B1F">
              <w:rPr>
                <w:sz w:val="24"/>
                <w:szCs w:val="24"/>
              </w:rPr>
              <w:t>bulløs</w:t>
            </w:r>
            <w:proofErr w:type="spellEnd"/>
            <w:r w:rsidRPr="008D3B1F">
              <w:rPr>
                <w:sz w:val="24"/>
                <w:szCs w:val="24"/>
              </w:rPr>
              <w:t xml:space="preserve"> </w:t>
            </w:r>
            <w:proofErr w:type="spellStart"/>
            <w:r w:rsidRPr="008D3B1F">
              <w:rPr>
                <w:sz w:val="24"/>
                <w:szCs w:val="24"/>
              </w:rPr>
              <w:t>dermatose</w:t>
            </w:r>
            <w:proofErr w:type="spellEnd"/>
            <w:r w:rsidRPr="008D3B1F">
              <w:rPr>
                <w:sz w:val="24"/>
                <w:szCs w:val="24"/>
              </w:rPr>
              <w:t>.</w:t>
            </w:r>
          </w:p>
        </w:tc>
      </w:tr>
      <w:tr w:rsidR="00140BC6" w:rsidRPr="005A3580" w:rsidTr="003B4BC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Ikke kendt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proofErr w:type="spellStart"/>
            <w:r w:rsidRPr="005A3580">
              <w:rPr>
                <w:sz w:val="24"/>
                <w:szCs w:val="24"/>
              </w:rPr>
              <w:t>Eosinofili</w:t>
            </w:r>
            <w:proofErr w:type="spellEnd"/>
            <w:r w:rsidRPr="005A3580">
              <w:rPr>
                <w:sz w:val="24"/>
                <w:szCs w:val="24"/>
              </w:rPr>
              <w:t xml:space="preserve"> og systemiske symptomer (DRESS-syndrom), </w:t>
            </w:r>
            <w:r>
              <w:rPr>
                <w:sz w:val="24"/>
                <w:szCs w:val="24"/>
              </w:rPr>
              <w:t>AGEP (</w:t>
            </w:r>
            <w:r w:rsidRPr="005A3580">
              <w:rPr>
                <w:sz w:val="24"/>
                <w:szCs w:val="24"/>
              </w:rPr>
              <w:t xml:space="preserve">akut generaliseret </w:t>
            </w:r>
            <w:proofErr w:type="spellStart"/>
            <w:r w:rsidRPr="005A3580">
              <w:rPr>
                <w:sz w:val="24"/>
                <w:szCs w:val="24"/>
              </w:rPr>
              <w:t>eksantematøs</w:t>
            </w:r>
            <w:proofErr w:type="spellEnd"/>
            <w:r w:rsidRPr="005A3580">
              <w:rPr>
                <w:sz w:val="24"/>
                <w:szCs w:val="24"/>
              </w:rPr>
              <w:t xml:space="preserve"> </w:t>
            </w:r>
            <w:proofErr w:type="spellStart"/>
            <w:r w:rsidRPr="005A3580">
              <w:rPr>
                <w:sz w:val="24"/>
                <w:szCs w:val="24"/>
              </w:rPr>
              <w:t>pustulose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5A3580">
              <w:rPr>
                <w:sz w:val="24"/>
                <w:szCs w:val="24"/>
              </w:rPr>
              <w:t>.</w:t>
            </w:r>
          </w:p>
        </w:tc>
      </w:tr>
      <w:tr w:rsidR="00140BC6" w:rsidRPr="00A93686" w:rsidTr="003B4B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A93686" w:rsidRDefault="00140BC6" w:rsidP="003B4BCE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Nyrer og urinveje</w:t>
            </w:r>
          </w:p>
        </w:tc>
      </w:tr>
      <w:tr w:rsidR="00140BC6" w:rsidRPr="005A3580" w:rsidTr="003B4BC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Almindelig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 xml:space="preserve">Nyreinsufficiens, primært manifesteret </w:t>
            </w:r>
            <w:r>
              <w:rPr>
                <w:sz w:val="24"/>
                <w:szCs w:val="24"/>
              </w:rPr>
              <w:t>af</w:t>
            </w:r>
            <w:r w:rsidRPr="005A3580">
              <w:rPr>
                <w:sz w:val="24"/>
                <w:szCs w:val="24"/>
              </w:rPr>
              <w:t xml:space="preserve"> forhøjet </w:t>
            </w:r>
            <w:proofErr w:type="spellStart"/>
            <w:r>
              <w:rPr>
                <w:sz w:val="24"/>
                <w:szCs w:val="24"/>
              </w:rPr>
              <w:t>serumk</w:t>
            </w:r>
            <w:r w:rsidRPr="005A3580">
              <w:rPr>
                <w:sz w:val="24"/>
                <w:szCs w:val="24"/>
              </w:rPr>
              <w:t>reatinin</w:t>
            </w:r>
            <w:proofErr w:type="spellEnd"/>
            <w:r w:rsidRPr="005A3580">
              <w:rPr>
                <w:sz w:val="24"/>
                <w:szCs w:val="24"/>
              </w:rPr>
              <w:t xml:space="preserve"> og </w:t>
            </w:r>
            <w:r>
              <w:rPr>
                <w:sz w:val="24"/>
                <w:szCs w:val="24"/>
              </w:rPr>
              <w:t>serum</w:t>
            </w:r>
            <w:r w:rsidRPr="005A3580">
              <w:rPr>
                <w:sz w:val="24"/>
                <w:szCs w:val="24"/>
              </w:rPr>
              <w:t>urinstof.</w:t>
            </w:r>
          </w:p>
        </w:tc>
      </w:tr>
      <w:tr w:rsidR="00140BC6" w:rsidRPr="005A3580" w:rsidTr="003B4BC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Sjælden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proofErr w:type="spellStart"/>
            <w:r w:rsidRPr="005A3580">
              <w:rPr>
                <w:sz w:val="24"/>
                <w:szCs w:val="24"/>
              </w:rPr>
              <w:t>Interstitiel</w:t>
            </w:r>
            <w:proofErr w:type="spellEnd"/>
            <w:r w:rsidRPr="005A3580">
              <w:rPr>
                <w:sz w:val="24"/>
                <w:szCs w:val="24"/>
              </w:rPr>
              <w:t xml:space="preserve"> </w:t>
            </w:r>
            <w:proofErr w:type="spellStart"/>
            <w:r w:rsidRPr="005A3580">
              <w:rPr>
                <w:sz w:val="24"/>
                <w:szCs w:val="24"/>
              </w:rPr>
              <w:t>nefritis</w:t>
            </w:r>
            <w:proofErr w:type="spellEnd"/>
            <w:r w:rsidRPr="005A3580">
              <w:rPr>
                <w:sz w:val="24"/>
                <w:szCs w:val="24"/>
              </w:rPr>
              <w:t>, akut nyresvigt.</w:t>
            </w:r>
          </w:p>
        </w:tc>
      </w:tr>
      <w:tr w:rsidR="00140BC6" w:rsidRPr="005A3580" w:rsidTr="003B4BC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Ikke kendt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 xml:space="preserve">Akut </w:t>
            </w:r>
            <w:proofErr w:type="spellStart"/>
            <w:r w:rsidRPr="005A3580">
              <w:rPr>
                <w:sz w:val="24"/>
                <w:szCs w:val="24"/>
              </w:rPr>
              <w:t>tubulær</w:t>
            </w:r>
            <w:proofErr w:type="spellEnd"/>
            <w:r w:rsidRPr="005A3580">
              <w:rPr>
                <w:sz w:val="24"/>
                <w:szCs w:val="24"/>
              </w:rPr>
              <w:t xml:space="preserve"> nekrose</w:t>
            </w:r>
          </w:p>
        </w:tc>
      </w:tr>
      <w:tr w:rsidR="00140BC6" w:rsidRPr="00A93686" w:rsidTr="003B4B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A93686" w:rsidRDefault="00140BC6" w:rsidP="003B4BCE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Almene symptomer og reaktioner på administrationsstedet</w:t>
            </w:r>
          </w:p>
        </w:tc>
      </w:tr>
      <w:tr w:rsidR="00140BC6" w:rsidRPr="005A3580" w:rsidTr="003B4BC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Almindelig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Phlebitis</w:t>
            </w:r>
            <w:proofErr w:type="spellEnd"/>
            <w:r w:rsidRPr="005A3580">
              <w:rPr>
                <w:sz w:val="24"/>
                <w:szCs w:val="24"/>
              </w:rPr>
              <w:t>, rødme af overkrop</w:t>
            </w:r>
            <w:r>
              <w:rPr>
                <w:sz w:val="24"/>
                <w:szCs w:val="24"/>
              </w:rPr>
              <w:t>pen</w:t>
            </w:r>
            <w:r w:rsidRPr="005A3580">
              <w:rPr>
                <w:sz w:val="24"/>
                <w:szCs w:val="24"/>
              </w:rPr>
              <w:t xml:space="preserve"> og ansigt.</w:t>
            </w:r>
          </w:p>
        </w:tc>
      </w:tr>
      <w:tr w:rsidR="00140BC6" w:rsidRPr="005A3580" w:rsidTr="003B4BC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Sjælden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3B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5A3580">
              <w:rPr>
                <w:sz w:val="24"/>
                <w:szCs w:val="24"/>
              </w:rPr>
              <w:t>ægemiddel</w:t>
            </w:r>
            <w:r>
              <w:rPr>
                <w:sz w:val="24"/>
                <w:szCs w:val="24"/>
              </w:rPr>
              <w:t xml:space="preserve">induceret </w:t>
            </w:r>
            <w:r w:rsidRPr="005A3580">
              <w:rPr>
                <w:sz w:val="24"/>
                <w:szCs w:val="24"/>
              </w:rPr>
              <w:t xml:space="preserve">feber, </w:t>
            </w:r>
            <w:r>
              <w:rPr>
                <w:sz w:val="24"/>
                <w:szCs w:val="24"/>
              </w:rPr>
              <w:t xml:space="preserve">kulderystelser, </w:t>
            </w:r>
            <w:r w:rsidRPr="005A3580">
              <w:rPr>
                <w:sz w:val="24"/>
                <w:szCs w:val="24"/>
              </w:rPr>
              <w:t>smerter og muskelspasmer i bryst</w:t>
            </w:r>
            <w:r>
              <w:rPr>
                <w:sz w:val="24"/>
                <w:szCs w:val="24"/>
              </w:rPr>
              <w:t>et</w:t>
            </w:r>
            <w:r w:rsidRPr="005A3580">
              <w:rPr>
                <w:sz w:val="24"/>
                <w:szCs w:val="24"/>
              </w:rPr>
              <w:t xml:space="preserve"> og rygmuskler</w:t>
            </w:r>
            <w:r>
              <w:rPr>
                <w:sz w:val="24"/>
                <w:szCs w:val="24"/>
              </w:rPr>
              <w:t>ne</w:t>
            </w:r>
          </w:p>
        </w:tc>
      </w:tr>
    </w:tbl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5A3580">
        <w:rPr>
          <w:rFonts w:ascii="Times New Roman" w:hAnsi="Times New Roman"/>
          <w:sz w:val="24"/>
          <w:szCs w:val="24"/>
          <w:u w:val="single"/>
        </w:rPr>
        <w:t>Beskrivelse af udvalgte bivirkninger</w:t>
      </w:r>
    </w:p>
    <w:p w:rsidR="00140BC6" w:rsidRPr="005A3580" w:rsidRDefault="00140BC6" w:rsidP="00140BC6">
      <w:pPr>
        <w:pStyle w:val="Ingenafstand"/>
        <w:numPr>
          <w:ilvl w:val="0"/>
          <w:numId w:val="6"/>
        </w:numPr>
        <w:ind w:left="1276" w:hanging="425"/>
        <w:rPr>
          <w:rFonts w:ascii="Times New Roman" w:hAnsi="Times New Roman"/>
          <w:sz w:val="24"/>
          <w:szCs w:val="24"/>
          <w:u w:val="single"/>
        </w:rPr>
      </w:pPr>
      <w:r w:rsidRPr="005A3580">
        <w:rPr>
          <w:rFonts w:ascii="Times New Roman" w:hAnsi="Times New Roman"/>
          <w:sz w:val="24"/>
          <w:szCs w:val="24"/>
        </w:rPr>
        <w:t xml:space="preserve">Reversibel </w:t>
      </w:r>
      <w:proofErr w:type="spellStart"/>
      <w:r w:rsidRPr="005A3580">
        <w:rPr>
          <w:rFonts w:ascii="Times New Roman" w:hAnsi="Times New Roman"/>
          <w:sz w:val="24"/>
          <w:szCs w:val="24"/>
        </w:rPr>
        <w:t>neutropeni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, der </w:t>
      </w:r>
      <w:r>
        <w:rPr>
          <w:rFonts w:ascii="Times New Roman" w:hAnsi="Times New Roman"/>
          <w:sz w:val="24"/>
          <w:szCs w:val="24"/>
        </w:rPr>
        <w:t>normalt</w:t>
      </w:r>
      <w:r w:rsidRPr="005A3580">
        <w:rPr>
          <w:rFonts w:ascii="Times New Roman" w:hAnsi="Times New Roman"/>
          <w:sz w:val="24"/>
          <w:szCs w:val="24"/>
        </w:rPr>
        <w:t xml:space="preserve"> starter en uge eller mere efter påbegynd</w:t>
      </w:r>
      <w:r>
        <w:rPr>
          <w:rFonts w:ascii="Times New Roman" w:hAnsi="Times New Roman"/>
          <w:sz w:val="24"/>
          <w:szCs w:val="24"/>
        </w:rPr>
        <w:t>else af</w:t>
      </w:r>
      <w:r w:rsidRPr="005A3580">
        <w:rPr>
          <w:rFonts w:ascii="Times New Roman" w:hAnsi="Times New Roman"/>
          <w:sz w:val="24"/>
          <w:szCs w:val="24"/>
        </w:rPr>
        <w:t xml:space="preserve"> intravenøs behandling eller efter en samlet dosis på </w:t>
      </w:r>
      <w:r>
        <w:rPr>
          <w:rFonts w:ascii="Times New Roman" w:hAnsi="Times New Roman"/>
          <w:sz w:val="24"/>
          <w:szCs w:val="24"/>
        </w:rPr>
        <w:t>mere end</w:t>
      </w:r>
      <w:r w:rsidRPr="005A3580">
        <w:rPr>
          <w:rFonts w:ascii="Times New Roman" w:hAnsi="Times New Roman"/>
          <w:sz w:val="24"/>
          <w:szCs w:val="24"/>
        </w:rPr>
        <w:t xml:space="preserve"> 25 g.</w:t>
      </w:r>
    </w:p>
    <w:p w:rsidR="00140BC6" w:rsidRPr="005A3580" w:rsidRDefault="00140BC6" w:rsidP="00140BC6">
      <w:pPr>
        <w:pStyle w:val="Ingenafstand"/>
        <w:numPr>
          <w:ilvl w:val="0"/>
          <w:numId w:val="6"/>
        </w:numPr>
        <w:ind w:left="1276" w:hanging="425"/>
        <w:rPr>
          <w:rFonts w:ascii="Times New Roman" w:hAnsi="Times New Roman"/>
          <w:sz w:val="24"/>
          <w:szCs w:val="24"/>
          <w:u w:val="single"/>
        </w:rPr>
      </w:pPr>
      <w:r w:rsidRPr="005A3580">
        <w:rPr>
          <w:rFonts w:ascii="Times New Roman" w:hAnsi="Times New Roman"/>
          <w:sz w:val="24"/>
          <w:szCs w:val="24"/>
        </w:rPr>
        <w:t xml:space="preserve">Intravenøs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bør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80">
        <w:rPr>
          <w:rFonts w:ascii="Times New Roman" w:hAnsi="Times New Roman"/>
          <w:sz w:val="24"/>
          <w:szCs w:val="24"/>
        </w:rPr>
        <w:t>infunderes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langsomt. </w:t>
      </w:r>
      <w:r>
        <w:rPr>
          <w:rFonts w:ascii="Times New Roman" w:hAnsi="Times New Roman"/>
          <w:sz w:val="24"/>
          <w:szCs w:val="24"/>
        </w:rPr>
        <w:t>U</w:t>
      </w:r>
      <w:r w:rsidRPr="005A3580">
        <w:rPr>
          <w:rFonts w:ascii="Times New Roman" w:hAnsi="Times New Roman"/>
          <w:sz w:val="24"/>
          <w:szCs w:val="24"/>
        </w:rPr>
        <w:t xml:space="preserve">nder </w:t>
      </w:r>
      <w:r>
        <w:rPr>
          <w:rFonts w:ascii="Times New Roman" w:hAnsi="Times New Roman"/>
          <w:sz w:val="24"/>
          <w:szCs w:val="24"/>
        </w:rPr>
        <w:t>eller</w:t>
      </w:r>
      <w:r w:rsidRPr="005A3580">
        <w:rPr>
          <w:rFonts w:ascii="Times New Roman" w:hAnsi="Times New Roman"/>
          <w:sz w:val="24"/>
          <w:szCs w:val="24"/>
        </w:rPr>
        <w:t xml:space="preserve"> kort </w:t>
      </w:r>
      <w:r>
        <w:rPr>
          <w:rFonts w:ascii="Times New Roman" w:hAnsi="Times New Roman"/>
          <w:sz w:val="24"/>
          <w:szCs w:val="24"/>
        </w:rPr>
        <w:t xml:space="preserve">tid </w:t>
      </w:r>
      <w:r w:rsidRPr="005A3580">
        <w:rPr>
          <w:rFonts w:ascii="Times New Roman" w:hAnsi="Times New Roman"/>
          <w:sz w:val="24"/>
          <w:szCs w:val="24"/>
        </w:rPr>
        <w:t xml:space="preserve">efter hurtig infusion kan </w:t>
      </w:r>
      <w:proofErr w:type="spellStart"/>
      <w:r w:rsidRPr="005A3580">
        <w:rPr>
          <w:rFonts w:ascii="Times New Roman" w:hAnsi="Times New Roman"/>
          <w:sz w:val="24"/>
          <w:szCs w:val="24"/>
        </w:rPr>
        <w:t>anafylaktiske</w:t>
      </w:r>
      <w:proofErr w:type="spellEnd"/>
      <w:r w:rsidRPr="005A3580">
        <w:rPr>
          <w:rFonts w:ascii="Times New Roman" w:hAnsi="Times New Roman"/>
          <w:sz w:val="24"/>
          <w:szCs w:val="24"/>
        </w:rPr>
        <w:t>/</w:t>
      </w:r>
      <w:proofErr w:type="spellStart"/>
      <w:r w:rsidRPr="005A3580">
        <w:rPr>
          <w:rFonts w:ascii="Times New Roman" w:hAnsi="Times New Roman"/>
          <w:sz w:val="24"/>
          <w:szCs w:val="24"/>
        </w:rPr>
        <w:t>anafylaktoide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reaktioner, herunder </w:t>
      </w:r>
      <w:proofErr w:type="spellStart"/>
      <w:r w:rsidRPr="005A3580">
        <w:rPr>
          <w:rFonts w:ascii="Times New Roman" w:hAnsi="Times New Roman"/>
          <w:sz w:val="24"/>
          <w:szCs w:val="24"/>
        </w:rPr>
        <w:t>hvæsen</w:t>
      </w:r>
      <w:proofErr w:type="spellEnd"/>
      <w:r w:rsidRPr="005A358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forekomme</w:t>
      </w:r>
      <w:r w:rsidRPr="005A3580">
        <w:rPr>
          <w:rFonts w:ascii="Times New Roman" w:hAnsi="Times New Roman"/>
          <w:sz w:val="24"/>
          <w:szCs w:val="24"/>
        </w:rPr>
        <w:t xml:space="preserve">. </w:t>
      </w:r>
      <w:r w:rsidRPr="005A3580">
        <w:rPr>
          <w:rFonts w:ascii="Times New Roman" w:hAnsi="Times New Roman"/>
          <w:sz w:val="24"/>
          <w:szCs w:val="24"/>
        </w:rPr>
        <w:lastRenderedPageBreak/>
        <w:t xml:space="preserve">Reaktionerne </w:t>
      </w:r>
      <w:r>
        <w:rPr>
          <w:rFonts w:ascii="Times New Roman" w:hAnsi="Times New Roman"/>
          <w:sz w:val="24"/>
          <w:szCs w:val="24"/>
        </w:rPr>
        <w:t>formindskes</w:t>
      </w:r>
      <w:r w:rsidRPr="005A3580">
        <w:rPr>
          <w:rFonts w:ascii="Times New Roman" w:hAnsi="Times New Roman"/>
          <w:sz w:val="24"/>
          <w:szCs w:val="24"/>
        </w:rPr>
        <w:t xml:space="preserve">, når administrationen stoppes, generelt </w:t>
      </w:r>
      <w:r>
        <w:rPr>
          <w:rFonts w:ascii="Times New Roman" w:hAnsi="Times New Roman"/>
          <w:sz w:val="24"/>
          <w:szCs w:val="24"/>
        </w:rPr>
        <w:t>efter</w:t>
      </w:r>
      <w:r w:rsidRPr="005A3580">
        <w:rPr>
          <w:rFonts w:ascii="Times New Roman" w:hAnsi="Times New Roman"/>
          <w:sz w:val="24"/>
          <w:szCs w:val="24"/>
        </w:rPr>
        <w:t xml:space="preserve"> 20 minutter til 2 timer. </w:t>
      </w:r>
      <w:r>
        <w:rPr>
          <w:rFonts w:ascii="Times New Roman" w:hAnsi="Times New Roman"/>
          <w:sz w:val="24"/>
          <w:szCs w:val="24"/>
        </w:rPr>
        <w:t>Nekrose</w:t>
      </w:r>
      <w:r w:rsidRPr="005A3580">
        <w:rPr>
          <w:rFonts w:ascii="Times New Roman" w:hAnsi="Times New Roman"/>
          <w:sz w:val="24"/>
          <w:szCs w:val="24"/>
        </w:rPr>
        <w:t xml:space="preserve"> kan forekomme efter intramuskulær injektion.</w:t>
      </w:r>
    </w:p>
    <w:p w:rsidR="00140BC6" w:rsidRPr="005A3580" w:rsidRDefault="00140BC6" w:rsidP="00140BC6">
      <w:pPr>
        <w:pStyle w:val="Ingenafstand"/>
        <w:numPr>
          <w:ilvl w:val="0"/>
          <w:numId w:val="6"/>
        </w:numPr>
        <w:ind w:left="1276" w:hanging="425"/>
        <w:rPr>
          <w:rFonts w:ascii="Times New Roman" w:hAnsi="Times New Roman"/>
          <w:sz w:val="24"/>
          <w:szCs w:val="24"/>
          <w:u w:val="single"/>
        </w:rPr>
      </w:pPr>
      <w:r w:rsidRPr="005A3580">
        <w:rPr>
          <w:rFonts w:ascii="Times New Roman" w:hAnsi="Times New Roman"/>
          <w:sz w:val="24"/>
          <w:szCs w:val="24"/>
        </w:rPr>
        <w:t xml:space="preserve">Tinnitus, muligvis </w:t>
      </w:r>
      <w:r>
        <w:rPr>
          <w:rFonts w:ascii="Times New Roman" w:hAnsi="Times New Roman"/>
          <w:sz w:val="24"/>
          <w:szCs w:val="24"/>
        </w:rPr>
        <w:t>forud for</w:t>
      </w:r>
      <w:r w:rsidRPr="005A3580">
        <w:rPr>
          <w:rFonts w:ascii="Times New Roman" w:hAnsi="Times New Roman"/>
          <w:sz w:val="24"/>
          <w:szCs w:val="24"/>
        </w:rPr>
        <w:t xml:space="preserve"> døvhed, </w:t>
      </w:r>
      <w:r>
        <w:rPr>
          <w:rFonts w:ascii="Times New Roman" w:hAnsi="Times New Roman"/>
          <w:sz w:val="24"/>
          <w:szCs w:val="24"/>
        </w:rPr>
        <w:t>bør betragtes</w:t>
      </w:r>
      <w:r w:rsidRPr="005A3580">
        <w:rPr>
          <w:rFonts w:ascii="Times New Roman" w:hAnsi="Times New Roman"/>
          <w:sz w:val="24"/>
          <w:szCs w:val="24"/>
        </w:rPr>
        <w:t xml:space="preserve"> som </w:t>
      </w:r>
      <w:r>
        <w:rPr>
          <w:rFonts w:ascii="Times New Roman" w:hAnsi="Times New Roman"/>
          <w:sz w:val="24"/>
          <w:szCs w:val="24"/>
        </w:rPr>
        <w:t xml:space="preserve">en </w:t>
      </w:r>
      <w:r w:rsidRPr="005A3580">
        <w:rPr>
          <w:rFonts w:ascii="Times New Roman" w:hAnsi="Times New Roman"/>
          <w:sz w:val="24"/>
          <w:szCs w:val="24"/>
        </w:rPr>
        <w:t xml:space="preserve">indikation for at </w:t>
      </w:r>
      <w:r>
        <w:rPr>
          <w:rFonts w:ascii="Times New Roman" w:hAnsi="Times New Roman"/>
          <w:sz w:val="24"/>
          <w:szCs w:val="24"/>
        </w:rPr>
        <w:t>afbryde</w:t>
      </w:r>
      <w:r w:rsidRPr="005A3580">
        <w:rPr>
          <w:rFonts w:ascii="Times New Roman" w:hAnsi="Times New Roman"/>
          <w:sz w:val="24"/>
          <w:szCs w:val="24"/>
        </w:rPr>
        <w:t xml:space="preserve"> behandlingen.</w:t>
      </w:r>
    </w:p>
    <w:p w:rsidR="00396236" w:rsidRPr="008D3B1F" w:rsidRDefault="00396236" w:rsidP="00396236">
      <w:pPr>
        <w:pStyle w:val="Ingenafstand"/>
        <w:numPr>
          <w:ilvl w:val="0"/>
          <w:numId w:val="6"/>
        </w:numPr>
        <w:ind w:left="1276" w:hanging="425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8D3B1F">
        <w:rPr>
          <w:rFonts w:ascii="Times New Roman" w:hAnsi="Times New Roman"/>
          <w:sz w:val="24"/>
          <w:szCs w:val="24"/>
        </w:rPr>
        <w:t>Ototoksicitet</w:t>
      </w:r>
      <w:proofErr w:type="spellEnd"/>
      <w:r w:rsidRPr="008D3B1F">
        <w:rPr>
          <w:rFonts w:ascii="Times New Roman" w:hAnsi="Times New Roman"/>
          <w:sz w:val="24"/>
          <w:szCs w:val="24"/>
        </w:rPr>
        <w:t xml:space="preserve"> er primært blevet rapporteret hos patienter, der fik høje doser, eller ved samtidig behandling med andre </w:t>
      </w:r>
      <w:proofErr w:type="spellStart"/>
      <w:r w:rsidRPr="008D3B1F">
        <w:rPr>
          <w:rFonts w:ascii="Times New Roman" w:hAnsi="Times New Roman"/>
          <w:sz w:val="24"/>
          <w:szCs w:val="24"/>
        </w:rPr>
        <w:t>ototoksiske</w:t>
      </w:r>
      <w:proofErr w:type="spellEnd"/>
      <w:r w:rsidRPr="008D3B1F">
        <w:rPr>
          <w:rFonts w:ascii="Times New Roman" w:hAnsi="Times New Roman"/>
          <w:sz w:val="24"/>
          <w:szCs w:val="24"/>
        </w:rPr>
        <w:t xml:space="preserve"> lægemidler som aminoglykosid, eller hos patienter der havde en eksisterende reduktion i nyrefunktion eller hørelse.</w:t>
      </w:r>
    </w:p>
    <w:p w:rsidR="00396236" w:rsidRPr="008D3B1F" w:rsidRDefault="00396236" w:rsidP="00396236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</w:p>
    <w:p w:rsidR="00396236" w:rsidRPr="00396236" w:rsidRDefault="00396236" w:rsidP="0039623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396236">
        <w:rPr>
          <w:rFonts w:ascii="Times New Roman" w:hAnsi="Times New Roman"/>
          <w:sz w:val="24"/>
          <w:szCs w:val="24"/>
        </w:rPr>
        <w:t xml:space="preserve">Svære </w:t>
      </w:r>
      <w:proofErr w:type="spellStart"/>
      <w:r w:rsidRPr="00396236">
        <w:rPr>
          <w:rFonts w:ascii="Times New Roman" w:hAnsi="Times New Roman"/>
          <w:sz w:val="24"/>
          <w:szCs w:val="24"/>
        </w:rPr>
        <w:t>kutane</w:t>
      </w:r>
      <w:proofErr w:type="spellEnd"/>
      <w:r w:rsidRPr="00396236">
        <w:rPr>
          <w:rFonts w:ascii="Times New Roman" w:hAnsi="Times New Roman"/>
          <w:sz w:val="24"/>
          <w:szCs w:val="24"/>
        </w:rPr>
        <w:t xml:space="preserve"> bivirkninger (</w:t>
      </w:r>
      <w:proofErr w:type="spellStart"/>
      <w:r w:rsidRPr="00396236">
        <w:rPr>
          <w:rFonts w:ascii="Times New Roman" w:hAnsi="Times New Roman"/>
          <w:sz w:val="24"/>
          <w:szCs w:val="24"/>
        </w:rPr>
        <w:t>SCAR’er</w:t>
      </w:r>
      <w:proofErr w:type="spellEnd"/>
      <w:r w:rsidRPr="00396236">
        <w:rPr>
          <w:rFonts w:ascii="Times New Roman" w:hAnsi="Times New Roman"/>
          <w:sz w:val="24"/>
          <w:szCs w:val="24"/>
        </w:rPr>
        <w:t xml:space="preserve">), inklusive Stevens-Johnsons syndrom (SJS), toksisk </w:t>
      </w:r>
      <w:proofErr w:type="spellStart"/>
      <w:r w:rsidRPr="00396236">
        <w:rPr>
          <w:rFonts w:ascii="Times New Roman" w:hAnsi="Times New Roman"/>
          <w:sz w:val="24"/>
          <w:szCs w:val="24"/>
        </w:rPr>
        <w:t>epidermal</w:t>
      </w:r>
      <w:proofErr w:type="spellEnd"/>
      <w:r w:rsidRPr="003962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6236">
        <w:rPr>
          <w:rFonts w:ascii="Times New Roman" w:hAnsi="Times New Roman"/>
          <w:sz w:val="24"/>
          <w:szCs w:val="24"/>
        </w:rPr>
        <w:t>nekrolyse</w:t>
      </w:r>
      <w:proofErr w:type="spellEnd"/>
      <w:r w:rsidRPr="00396236">
        <w:rPr>
          <w:rFonts w:ascii="Times New Roman" w:hAnsi="Times New Roman"/>
          <w:sz w:val="24"/>
          <w:szCs w:val="24"/>
        </w:rPr>
        <w:t xml:space="preserve"> (TEN), lægemiddelreaktion med </w:t>
      </w:r>
      <w:proofErr w:type="spellStart"/>
      <w:r w:rsidRPr="00396236">
        <w:rPr>
          <w:rFonts w:ascii="Times New Roman" w:hAnsi="Times New Roman"/>
          <w:sz w:val="24"/>
          <w:szCs w:val="24"/>
        </w:rPr>
        <w:t>eosinofili</w:t>
      </w:r>
      <w:proofErr w:type="spellEnd"/>
      <w:r w:rsidRPr="00396236">
        <w:rPr>
          <w:rFonts w:ascii="Times New Roman" w:hAnsi="Times New Roman"/>
          <w:sz w:val="24"/>
          <w:szCs w:val="24"/>
        </w:rPr>
        <w:t xml:space="preserve"> og systemiske symptomer (DRESS) og akut generaliseret </w:t>
      </w:r>
      <w:proofErr w:type="spellStart"/>
      <w:r w:rsidRPr="00396236">
        <w:rPr>
          <w:rFonts w:ascii="Times New Roman" w:hAnsi="Times New Roman"/>
          <w:sz w:val="24"/>
          <w:szCs w:val="24"/>
        </w:rPr>
        <w:t>eksantematøs</w:t>
      </w:r>
      <w:proofErr w:type="spellEnd"/>
      <w:r w:rsidRPr="003962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6236">
        <w:rPr>
          <w:rFonts w:ascii="Times New Roman" w:hAnsi="Times New Roman"/>
          <w:sz w:val="24"/>
          <w:szCs w:val="24"/>
        </w:rPr>
        <w:t>pustulose</w:t>
      </w:r>
      <w:proofErr w:type="spellEnd"/>
      <w:r w:rsidRPr="00396236">
        <w:rPr>
          <w:rFonts w:ascii="Times New Roman" w:hAnsi="Times New Roman"/>
          <w:sz w:val="24"/>
          <w:szCs w:val="24"/>
        </w:rPr>
        <w:t xml:space="preserve"> (AGEP) er blevet rapporteret i forbindelse med </w:t>
      </w:r>
      <w:proofErr w:type="spellStart"/>
      <w:r w:rsidRPr="00396236">
        <w:rPr>
          <w:rFonts w:ascii="Times New Roman" w:hAnsi="Times New Roman"/>
          <w:sz w:val="24"/>
          <w:szCs w:val="24"/>
        </w:rPr>
        <w:t>vancomycinbehandling</w:t>
      </w:r>
      <w:proofErr w:type="spellEnd"/>
      <w:r w:rsidRPr="00396236">
        <w:rPr>
          <w:rFonts w:ascii="Times New Roman" w:hAnsi="Times New Roman"/>
          <w:sz w:val="24"/>
          <w:szCs w:val="24"/>
        </w:rPr>
        <w:t xml:space="preserve"> (se pkt. 4.4).</w:t>
      </w:r>
    </w:p>
    <w:p w:rsidR="00140BC6" w:rsidRPr="00396236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5A3580">
        <w:rPr>
          <w:rFonts w:ascii="Times New Roman" w:hAnsi="Times New Roman"/>
          <w:sz w:val="24"/>
          <w:szCs w:val="24"/>
          <w:u w:val="single"/>
        </w:rPr>
        <w:t>Pædiatrisk population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Sikkerhedsprofilen er generelt den samme for børn og voksne patienter. Der er beskrevet </w:t>
      </w:r>
      <w:proofErr w:type="spellStart"/>
      <w:r w:rsidRPr="005A3580">
        <w:rPr>
          <w:rFonts w:ascii="Times New Roman" w:hAnsi="Times New Roman"/>
          <w:sz w:val="24"/>
          <w:szCs w:val="24"/>
        </w:rPr>
        <w:t>nefrotoksicitet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hos børn, særligt i forbindelse med andre </w:t>
      </w:r>
      <w:proofErr w:type="spellStart"/>
      <w:r w:rsidRPr="005A3580">
        <w:rPr>
          <w:rFonts w:ascii="Times New Roman" w:hAnsi="Times New Roman"/>
          <w:sz w:val="24"/>
          <w:szCs w:val="24"/>
        </w:rPr>
        <w:t>nefrotoksiske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midler, f.eks. aminoglykosider.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  <w:u w:val="single"/>
        </w:rPr>
      </w:pPr>
    </w:p>
    <w:p w:rsidR="00140BC6" w:rsidRPr="003952CE" w:rsidRDefault="00140BC6" w:rsidP="00140BC6">
      <w:pPr>
        <w:autoSpaceDE w:val="0"/>
        <w:autoSpaceDN w:val="0"/>
        <w:ind w:left="851"/>
        <w:rPr>
          <w:sz w:val="24"/>
          <w:szCs w:val="24"/>
          <w:u w:val="single"/>
        </w:rPr>
      </w:pPr>
      <w:r w:rsidRPr="003952CE">
        <w:rPr>
          <w:sz w:val="24"/>
          <w:szCs w:val="24"/>
          <w:u w:val="single"/>
        </w:rPr>
        <w:t>Indberetning af formodede bivirkninger</w:t>
      </w:r>
    </w:p>
    <w:p w:rsidR="00140BC6" w:rsidRPr="003952CE" w:rsidRDefault="00140BC6" w:rsidP="00140BC6">
      <w:pPr>
        <w:ind w:left="851"/>
        <w:rPr>
          <w:sz w:val="24"/>
          <w:szCs w:val="24"/>
        </w:rPr>
      </w:pPr>
      <w:r w:rsidRPr="003952CE">
        <w:rPr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 w:rsidRPr="003952CE">
        <w:rPr>
          <w:sz w:val="24"/>
          <w:szCs w:val="24"/>
        </w:rPr>
        <w:t>risk</w:t>
      </w:r>
      <w:proofErr w:type="spellEnd"/>
      <w:r w:rsidRPr="003952CE">
        <w:rPr>
          <w:sz w:val="24"/>
          <w:szCs w:val="24"/>
        </w:rPr>
        <w:t xml:space="preserve">-forholdet for lægemidlet. </w:t>
      </w:r>
      <w:r w:rsidR="0041111B">
        <w:rPr>
          <w:sz w:val="24"/>
          <w:szCs w:val="24"/>
        </w:rPr>
        <w:t>S</w:t>
      </w:r>
      <w:r w:rsidRPr="003952CE">
        <w:rPr>
          <w:sz w:val="24"/>
          <w:szCs w:val="24"/>
        </w:rPr>
        <w:t>undhedspersonale anmodes om at indberette alle formodede bivirkninger via:</w:t>
      </w:r>
    </w:p>
    <w:p w:rsidR="00140BC6" w:rsidRPr="003952CE" w:rsidRDefault="00140BC6" w:rsidP="00140BC6">
      <w:pPr>
        <w:tabs>
          <w:tab w:val="left" w:pos="2440"/>
        </w:tabs>
        <w:ind w:left="851"/>
        <w:rPr>
          <w:sz w:val="24"/>
          <w:szCs w:val="24"/>
        </w:rPr>
      </w:pPr>
    </w:p>
    <w:p w:rsidR="00140BC6" w:rsidRPr="003952CE" w:rsidRDefault="00140BC6" w:rsidP="00140BC6">
      <w:pPr>
        <w:ind w:left="851"/>
        <w:rPr>
          <w:sz w:val="24"/>
          <w:szCs w:val="24"/>
        </w:rPr>
      </w:pPr>
      <w:r w:rsidRPr="003952CE">
        <w:rPr>
          <w:sz w:val="24"/>
          <w:szCs w:val="24"/>
        </w:rPr>
        <w:t>Lægemiddelstyrelsen</w:t>
      </w:r>
    </w:p>
    <w:p w:rsidR="00140BC6" w:rsidRPr="003952CE" w:rsidRDefault="00140BC6" w:rsidP="00140BC6">
      <w:pPr>
        <w:ind w:left="851"/>
        <w:rPr>
          <w:sz w:val="24"/>
          <w:szCs w:val="24"/>
        </w:rPr>
      </w:pPr>
      <w:r w:rsidRPr="003952CE">
        <w:rPr>
          <w:sz w:val="24"/>
          <w:szCs w:val="24"/>
        </w:rPr>
        <w:t>Axel Heides Gade 1</w:t>
      </w:r>
    </w:p>
    <w:p w:rsidR="00140BC6" w:rsidRPr="003952CE" w:rsidRDefault="00140BC6" w:rsidP="00140BC6">
      <w:pPr>
        <w:ind w:left="851"/>
        <w:rPr>
          <w:sz w:val="24"/>
          <w:szCs w:val="24"/>
        </w:rPr>
      </w:pPr>
      <w:r w:rsidRPr="003952CE">
        <w:rPr>
          <w:sz w:val="24"/>
          <w:szCs w:val="24"/>
        </w:rPr>
        <w:t>DK-2300 København S</w:t>
      </w:r>
    </w:p>
    <w:p w:rsidR="00140BC6" w:rsidRPr="00331725" w:rsidRDefault="00140BC6" w:rsidP="00140BC6">
      <w:pPr>
        <w:ind w:left="851"/>
        <w:rPr>
          <w:sz w:val="24"/>
          <w:szCs w:val="24"/>
        </w:rPr>
      </w:pPr>
      <w:r w:rsidRPr="00331725">
        <w:rPr>
          <w:sz w:val="24"/>
          <w:szCs w:val="24"/>
        </w:rPr>
        <w:t xml:space="preserve">Websted: </w:t>
      </w:r>
      <w:hyperlink r:id="rId8" w:history="1">
        <w:r w:rsidRPr="00331725">
          <w:rPr>
            <w:rStyle w:val="Hyperlink"/>
            <w:sz w:val="24"/>
            <w:szCs w:val="24"/>
          </w:rPr>
          <w:t>www.meldenbivirkning.dk</w:t>
        </w:r>
      </w:hyperlink>
    </w:p>
    <w:p w:rsidR="00140BC6" w:rsidRPr="00331725" w:rsidRDefault="00140BC6" w:rsidP="00140BC6">
      <w:pPr>
        <w:pStyle w:val="Sidehoved"/>
        <w:tabs>
          <w:tab w:val="clear" w:pos="4819"/>
          <w:tab w:val="clear" w:pos="9638"/>
        </w:tabs>
        <w:ind w:left="851" w:hanging="851"/>
        <w:rPr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4.9</w:t>
      </w:r>
      <w:r w:rsidRPr="005A3580">
        <w:rPr>
          <w:b/>
          <w:sz w:val="24"/>
          <w:szCs w:val="24"/>
        </w:rPr>
        <w:tab/>
        <w:t>Overdosering</w:t>
      </w:r>
    </w:p>
    <w:p w:rsidR="00140BC6" w:rsidRDefault="00140BC6" w:rsidP="00140BC6">
      <w:pPr>
        <w:pStyle w:val="Ingenafstand"/>
        <w:ind w:left="851"/>
        <w:rPr>
          <w:rFonts w:ascii="Times New Roman" w:hAnsi="Times New Roman"/>
          <w:spacing w:val="2"/>
          <w:sz w:val="24"/>
          <w:szCs w:val="24"/>
        </w:rPr>
      </w:pPr>
    </w:p>
    <w:p w:rsidR="00140BC6" w:rsidRPr="00A93686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A93686">
        <w:rPr>
          <w:rFonts w:ascii="Times New Roman" w:hAnsi="Times New Roman"/>
          <w:spacing w:val="2"/>
          <w:sz w:val="24"/>
          <w:szCs w:val="24"/>
          <w:u w:val="single"/>
        </w:rPr>
        <w:t>Behandling af overdosering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Det tilrådes at give understøttende behandling og opretholde </w:t>
      </w:r>
      <w:proofErr w:type="spellStart"/>
      <w:r w:rsidRPr="005A3580">
        <w:rPr>
          <w:rFonts w:ascii="Times New Roman" w:hAnsi="Times New Roman"/>
          <w:sz w:val="24"/>
          <w:szCs w:val="24"/>
        </w:rPr>
        <w:t>glomerulær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filtration.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elimineres i ringe grad ved dialyse. </w:t>
      </w:r>
      <w:proofErr w:type="spellStart"/>
      <w:r w:rsidRPr="005A3580">
        <w:rPr>
          <w:rFonts w:ascii="Times New Roman" w:hAnsi="Times New Roman"/>
          <w:sz w:val="24"/>
          <w:szCs w:val="24"/>
        </w:rPr>
        <w:t>Hæmofiltration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og </w:t>
      </w:r>
      <w:proofErr w:type="spellStart"/>
      <w:r w:rsidRPr="005A3580">
        <w:rPr>
          <w:rFonts w:ascii="Times New Roman" w:hAnsi="Times New Roman"/>
          <w:sz w:val="24"/>
          <w:szCs w:val="24"/>
        </w:rPr>
        <w:t>hæmoperfusion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med </w:t>
      </w:r>
      <w:proofErr w:type="spellStart"/>
      <w:r w:rsidRPr="005A3580">
        <w:rPr>
          <w:rFonts w:ascii="Times New Roman" w:hAnsi="Times New Roman"/>
          <w:sz w:val="24"/>
          <w:szCs w:val="24"/>
        </w:rPr>
        <w:t>Amberlite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80">
        <w:rPr>
          <w:rFonts w:ascii="Times New Roman" w:hAnsi="Times New Roman"/>
          <w:sz w:val="24"/>
          <w:szCs w:val="24"/>
        </w:rPr>
        <w:t>resin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XAD-4 er rapporteret at have en begrænset gavnlig virkning.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4.10</w:t>
      </w:r>
      <w:r w:rsidRPr="005A3580">
        <w:rPr>
          <w:b/>
          <w:sz w:val="24"/>
          <w:szCs w:val="24"/>
        </w:rPr>
        <w:tab/>
        <w:t>Udlevering</w:t>
      </w:r>
    </w:p>
    <w:p w:rsidR="00140BC6" w:rsidRPr="005A3580" w:rsidRDefault="00140BC6" w:rsidP="00140BC6">
      <w:pPr>
        <w:ind w:left="851"/>
        <w:rPr>
          <w:sz w:val="24"/>
          <w:szCs w:val="24"/>
        </w:rPr>
      </w:pPr>
      <w:r w:rsidRPr="005A3580">
        <w:rPr>
          <w:sz w:val="24"/>
          <w:szCs w:val="24"/>
        </w:rPr>
        <w:t>B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5.</w:t>
      </w:r>
      <w:r w:rsidRPr="005A3580">
        <w:rPr>
          <w:b/>
          <w:sz w:val="24"/>
          <w:szCs w:val="24"/>
        </w:rPr>
        <w:tab/>
        <w:t>FARMAKOLOGISKE EGENSKABER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5.0</w:t>
      </w:r>
      <w:r w:rsidRPr="005A3580">
        <w:rPr>
          <w:b/>
          <w:sz w:val="24"/>
          <w:szCs w:val="24"/>
        </w:rPr>
        <w:tab/>
        <w:t>Terapeutisk klassifikation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ATC-kode: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3580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3580">
        <w:rPr>
          <w:rFonts w:ascii="Times New Roman" w:hAnsi="Times New Roman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3580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3580">
        <w:rPr>
          <w:rFonts w:ascii="Times New Roman" w:hAnsi="Times New Roman"/>
          <w:sz w:val="24"/>
          <w:szCs w:val="24"/>
        </w:rPr>
        <w:t xml:space="preserve">Diarémidler, </w:t>
      </w:r>
      <w:proofErr w:type="spellStart"/>
      <w:r w:rsidRPr="005A358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intestinale</w:t>
      </w:r>
      <w:proofErr w:type="spellEnd"/>
      <w:r w:rsidRPr="005A358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antiinflammatoriske midler/</w:t>
      </w:r>
      <w:proofErr w:type="spellStart"/>
      <w:r w:rsidRPr="005A358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anti</w:t>
      </w: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softHyphen/>
      </w:r>
      <w:r w:rsidRPr="005A358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infektionsmidler</w:t>
      </w:r>
      <w:proofErr w:type="spellEnd"/>
      <w:r w:rsidRPr="005A358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, antibiotika</w:t>
      </w:r>
      <w:r w:rsidRPr="005A3580">
        <w:rPr>
          <w:rFonts w:ascii="Times New Roman" w:hAnsi="Times New Roman"/>
          <w:sz w:val="24"/>
          <w:szCs w:val="24"/>
        </w:rPr>
        <w:t xml:space="preserve">, 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5.1</w:t>
      </w:r>
      <w:r w:rsidRPr="005A3580">
        <w:rPr>
          <w:b/>
          <w:sz w:val="24"/>
          <w:szCs w:val="24"/>
        </w:rPr>
        <w:tab/>
      </w:r>
      <w:proofErr w:type="spellStart"/>
      <w:r w:rsidRPr="005A3580">
        <w:rPr>
          <w:b/>
          <w:sz w:val="24"/>
          <w:szCs w:val="24"/>
        </w:rPr>
        <w:t>Farmakodynamiske</w:t>
      </w:r>
      <w:proofErr w:type="spellEnd"/>
      <w:r w:rsidRPr="005A3580">
        <w:rPr>
          <w:b/>
          <w:sz w:val="24"/>
          <w:szCs w:val="24"/>
        </w:rPr>
        <w:t xml:space="preserve"> egenskaber</w:t>
      </w:r>
    </w:p>
    <w:p w:rsidR="00140BC6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A93686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A93686">
        <w:rPr>
          <w:rFonts w:ascii="Times New Roman" w:hAnsi="Times New Roman"/>
          <w:sz w:val="24"/>
          <w:szCs w:val="24"/>
          <w:u w:val="single"/>
        </w:rPr>
        <w:t>Virkningsmekanisme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er et tricyklisk </w:t>
      </w:r>
      <w:proofErr w:type="spellStart"/>
      <w:r w:rsidRPr="005A3580">
        <w:rPr>
          <w:rFonts w:ascii="Times New Roman" w:hAnsi="Times New Roman"/>
          <w:sz w:val="24"/>
          <w:szCs w:val="24"/>
        </w:rPr>
        <w:t>glykopeptidantibiotikum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, der hæmmer syntesen af cellevæggen i </w:t>
      </w:r>
      <w:r>
        <w:rPr>
          <w:rFonts w:ascii="Times New Roman" w:hAnsi="Times New Roman"/>
          <w:sz w:val="24"/>
          <w:szCs w:val="24"/>
        </w:rPr>
        <w:t>følsomme</w:t>
      </w:r>
      <w:r w:rsidRPr="005A3580">
        <w:rPr>
          <w:rFonts w:ascii="Times New Roman" w:hAnsi="Times New Roman"/>
          <w:sz w:val="24"/>
          <w:szCs w:val="24"/>
        </w:rPr>
        <w:t xml:space="preserve"> bakterier</w:t>
      </w:r>
      <w:r>
        <w:rPr>
          <w:rFonts w:ascii="Times New Roman" w:hAnsi="Times New Roman"/>
          <w:sz w:val="24"/>
          <w:szCs w:val="24"/>
        </w:rPr>
        <w:t xml:space="preserve"> ved</w:t>
      </w:r>
      <w:r w:rsidRPr="005A3580">
        <w:rPr>
          <w:rFonts w:ascii="Times New Roman" w:hAnsi="Times New Roman"/>
          <w:sz w:val="24"/>
          <w:szCs w:val="24"/>
        </w:rPr>
        <w:t xml:space="preserve"> bind</w:t>
      </w:r>
      <w:r>
        <w:rPr>
          <w:rFonts w:ascii="Times New Roman" w:hAnsi="Times New Roman"/>
          <w:sz w:val="24"/>
          <w:szCs w:val="24"/>
        </w:rPr>
        <w:t>ing</w:t>
      </w:r>
      <w:r w:rsidRPr="005A3580">
        <w:rPr>
          <w:rFonts w:ascii="Times New Roman" w:hAnsi="Times New Roman"/>
          <w:sz w:val="24"/>
          <w:szCs w:val="24"/>
        </w:rPr>
        <w:t xml:space="preserve"> med høj affinitet til D-</w:t>
      </w:r>
      <w:proofErr w:type="spellStart"/>
      <w:r w:rsidRPr="005A3580">
        <w:rPr>
          <w:rFonts w:ascii="Times New Roman" w:hAnsi="Times New Roman"/>
          <w:sz w:val="24"/>
          <w:szCs w:val="24"/>
        </w:rPr>
        <w:t>alanyl</w:t>
      </w:r>
      <w:proofErr w:type="spellEnd"/>
      <w:r w:rsidRPr="005A3580">
        <w:rPr>
          <w:rFonts w:ascii="Times New Roman" w:hAnsi="Times New Roman"/>
          <w:sz w:val="24"/>
          <w:szCs w:val="24"/>
        </w:rPr>
        <w:t>-D-</w:t>
      </w:r>
      <w:proofErr w:type="spellStart"/>
      <w:r w:rsidRPr="005A3580">
        <w:rPr>
          <w:rFonts w:ascii="Times New Roman" w:hAnsi="Times New Roman"/>
          <w:sz w:val="24"/>
          <w:szCs w:val="24"/>
        </w:rPr>
        <w:t>alanin</w:t>
      </w:r>
      <w:proofErr w:type="spellEnd"/>
      <w:r w:rsidRPr="005A3580">
        <w:rPr>
          <w:rFonts w:ascii="Times New Roman" w:hAnsi="Times New Roman"/>
          <w:sz w:val="24"/>
          <w:szCs w:val="24"/>
        </w:rPr>
        <w:t>-termin</w:t>
      </w:r>
      <w:r>
        <w:rPr>
          <w:rFonts w:ascii="Times New Roman" w:hAnsi="Times New Roman"/>
          <w:sz w:val="24"/>
          <w:szCs w:val="24"/>
        </w:rPr>
        <w:t>alen af</w:t>
      </w:r>
      <w:r w:rsidRPr="005A3580">
        <w:rPr>
          <w:rFonts w:ascii="Times New Roman" w:hAnsi="Times New Roman"/>
          <w:sz w:val="24"/>
          <w:szCs w:val="24"/>
        </w:rPr>
        <w:t xml:space="preserve"> cellevæggens </w:t>
      </w:r>
      <w:proofErr w:type="spellStart"/>
      <w:r w:rsidRPr="005A3580">
        <w:rPr>
          <w:rFonts w:ascii="Times New Roman" w:hAnsi="Times New Roman"/>
          <w:sz w:val="24"/>
          <w:szCs w:val="24"/>
        </w:rPr>
        <w:t>prækursorer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. Lægemidlet er baktericidt for delende </w:t>
      </w:r>
      <w:r w:rsidRPr="005A3580">
        <w:rPr>
          <w:rFonts w:ascii="Times New Roman" w:hAnsi="Times New Roman"/>
          <w:sz w:val="24"/>
          <w:szCs w:val="24"/>
        </w:rPr>
        <w:lastRenderedPageBreak/>
        <w:t xml:space="preserve">mikroorganismer. Derudover </w:t>
      </w:r>
      <w:r>
        <w:rPr>
          <w:rFonts w:ascii="Times New Roman" w:hAnsi="Times New Roman"/>
          <w:sz w:val="24"/>
          <w:szCs w:val="24"/>
        </w:rPr>
        <w:t>påvirker</w:t>
      </w:r>
      <w:r w:rsidRPr="005A3580">
        <w:rPr>
          <w:rFonts w:ascii="Times New Roman" w:hAnsi="Times New Roman"/>
          <w:sz w:val="24"/>
          <w:szCs w:val="24"/>
        </w:rPr>
        <w:t xml:space="preserve"> det permeabiliteten af bakteriecellemembran</w:t>
      </w:r>
      <w:r>
        <w:rPr>
          <w:rFonts w:ascii="Times New Roman" w:hAnsi="Times New Roman"/>
          <w:sz w:val="24"/>
          <w:szCs w:val="24"/>
        </w:rPr>
        <w:t>en</w:t>
      </w:r>
      <w:r w:rsidRPr="005A3580">
        <w:rPr>
          <w:rFonts w:ascii="Times New Roman" w:hAnsi="Times New Roman"/>
          <w:sz w:val="24"/>
          <w:szCs w:val="24"/>
        </w:rPr>
        <w:t xml:space="preserve"> og RNA-syntese</w:t>
      </w:r>
      <w:r>
        <w:rPr>
          <w:rFonts w:ascii="Times New Roman" w:hAnsi="Times New Roman"/>
          <w:sz w:val="24"/>
          <w:szCs w:val="24"/>
        </w:rPr>
        <w:t>n</w:t>
      </w:r>
      <w:r w:rsidRPr="005A3580">
        <w:rPr>
          <w:rFonts w:ascii="Times New Roman" w:hAnsi="Times New Roman"/>
          <w:sz w:val="24"/>
          <w:szCs w:val="24"/>
        </w:rPr>
        <w:t>.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  <w:u w:val="single"/>
        </w:rPr>
      </w:pPr>
    </w:p>
    <w:p w:rsidR="00140BC6" w:rsidRPr="00A93686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A93686">
        <w:rPr>
          <w:rFonts w:ascii="Times New Roman" w:hAnsi="Times New Roman"/>
          <w:sz w:val="24"/>
          <w:szCs w:val="24"/>
          <w:u w:val="single"/>
        </w:rPr>
        <w:t>Resistensmekanisme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Erhvervet resistens </w:t>
      </w:r>
      <w:r>
        <w:rPr>
          <w:rFonts w:ascii="Times New Roman" w:hAnsi="Times New Roman"/>
          <w:sz w:val="24"/>
          <w:szCs w:val="24"/>
        </w:rPr>
        <w:t>over for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80">
        <w:rPr>
          <w:rFonts w:ascii="Times New Roman" w:hAnsi="Times New Roman"/>
          <w:sz w:val="24"/>
          <w:szCs w:val="24"/>
        </w:rPr>
        <w:t>glykopeptider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er mest almindelig </w:t>
      </w:r>
      <w:r>
        <w:rPr>
          <w:rFonts w:ascii="Times New Roman" w:hAnsi="Times New Roman"/>
          <w:sz w:val="24"/>
          <w:szCs w:val="24"/>
        </w:rPr>
        <w:t>hos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80">
        <w:rPr>
          <w:rFonts w:ascii="Times New Roman" w:hAnsi="Times New Roman"/>
          <w:sz w:val="24"/>
          <w:szCs w:val="24"/>
        </w:rPr>
        <w:t>enterokokker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og er baseret på erhvervelse af forskellige van-genkomplekser, </w:t>
      </w:r>
      <w:r>
        <w:rPr>
          <w:rFonts w:ascii="Times New Roman" w:hAnsi="Times New Roman"/>
          <w:sz w:val="24"/>
          <w:szCs w:val="24"/>
        </w:rPr>
        <w:t>som modificerer</w:t>
      </w:r>
      <w:r w:rsidRPr="005A3580">
        <w:rPr>
          <w:rFonts w:ascii="Times New Roman" w:hAnsi="Times New Roman"/>
          <w:sz w:val="24"/>
          <w:szCs w:val="24"/>
        </w:rPr>
        <w:t xml:space="preserve"> D-</w:t>
      </w:r>
      <w:proofErr w:type="spellStart"/>
      <w:r w:rsidRPr="005A3580">
        <w:rPr>
          <w:rFonts w:ascii="Times New Roman" w:hAnsi="Times New Roman"/>
          <w:sz w:val="24"/>
          <w:szCs w:val="24"/>
        </w:rPr>
        <w:t>alanyl</w:t>
      </w:r>
      <w:proofErr w:type="spellEnd"/>
      <w:r w:rsidRPr="005A3580">
        <w:rPr>
          <w:rFonts w:ascii="Times New Roman" w:hAnsi="Times New Roman"/>
          <w:sz w:val="24"/>
          <w:szCs w:val="24"/>
        </w:rPr>
        <w:t>-D-</w:t>
      </w:r>
      <w:proofErr w:type="spellStart"/>
      <w:r w:rsidRPr="005A3580">
        <w:rPr>
          <w:rFonts w:ascii="Times New Roman" w:hAnsi="Times New Roman"/>
          <w:sz w:val="24"/>
          <w:szCs w:val="24"/>
        </w:rPr>
        <w:t>alanin</w:t>
      </w:r>
      <w:proofErr w:type="spellEnd"/>
      <w:r w:rsidRPr="005A3580">
        <w:rPr>
          <w:rFonts w:ascii="Times New Roman" w:hAnsi="Times New Roman"/>
          <w:sz w:val="24"/>
          <w:szCs w:val="24"/>
        </w:rPr>
        <w:t>-målet til D-</w:t>
      </w:r>
      <w:proofErr w:type="spellStart"/>
      <w:r w:rsidRPr="005A3580">
        <w:rPr>
          <w:rFonts w:ascii="Times New Roman" w:hAnsi="Times New Roman"/>
          <w:sz w:val="24"/>
          <w:szCs w:val="24"/>
        </w:rPr>
        <w:t>alanyl</w:t>
      </w:r>
      <w:proofErr w:type="spellEnd"/>
      <w:r w:rsidRPr="005A3580">
        <w:rPr>
          <w:rFonts w:ascii="Times New Roman" w:hAnsi="Times New Roman"/>
          <w:sz w:val="24"/>
          <w:szCs w:val="24"/>
        </w:rPr>
        <w:t>-D-</w:t>
      </w:r>
      <w:proofErr w:type="spellStart"/>
      <w:r w:rsidRPr="005A3580"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c</w:t>
      </w:r>
      <w:r w:rsidRPr="005A3580">
        <w:rPr>
          <w:rFonts w:ascii="Times New Roman" w:hAnsi="Times New Roman"/>
          <w:sz w:val="24"/>
          <w:szCs w:val="24"/>
        </w:rPr>
        <w:t>tat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eller D-</w:t>
      </w:r>
      <w:proofErr w:type="spellStart"/>
      <w:r w:rsidRPr="005A3580">
        <w:rPr>
          <w:rFonts w:ascii="Times New Roman" w:hAnsi="Times New Roman"/>
          <w:sz w:val="24"/>
          <w:szCs w:val="24"/>
        </w:rPr>
        <w:t>alanyl</w:t>
      </w:r>
      <w:proofErr w:type="spellEnd"/>
      <w:r w:rsidRPr="005A3580">
        <w:rPr>
          <w:rFonts w:ascii="Times New Roman" w:hAnsi="Times New Roman"/>
          <w:sz w:val="24"/>
          <w:szCs w:val="24"/>
        </w:rPr>
        <w:t>-D-</w:t>
      </w:r>
      <w:proofErr w:type="spellStart"/>
      <w:r w:rsidRPr="005A3580">
        <w:rPr>
          <w:rFonts w:ascii="Times New Roman" w:hAnsi="Times New Roman"/>
          <w:sz w:val="24"/>
          <w:szCs w:val="24"/>
        </w:rPr>
        <w:t>serin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der</w:t>
      </w:r>
      <w:r w:rsidRPr="005A3580">
        <w:rPr>
          <w:rFonts w:ascii="Times New Roman" w:hAnsi="Times New Roman"/>
          <w:sz w:val="24"/>
          <w:szCs w:val="24"/>
        </w:rPr>
        <w:t xml:space="preserve"> binder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dårligt. I </w:t>
      </w:r>
      <w:r>
        <w:rPr>
          <w:rFonts w:ascii="Times New Roman" w:hAnsi="Times New Roman"/>
          <w:sz w:val="24"/>
          <w:szCs w:val="24"/>
        </w:rPr>
        <w:t>nogle</w:t>
      </w:r>
      <w:r w:rsidRPr="005A3580">
        <w:rPr>
          <w:rFonts w:ascii="Times New Roman" w:hAnsi="Times New Roman"/>
          <w:sz w:val="24"/>
          <w:szCs w:val="24"/>
        </w:rPr>
        <w:t xml:space="preserve"> lande </w:t>
      </w:r>
      <w:r>
        <w:rPr>
          <w:rFonts w:ascii="Times New Roman" w:hAnsi="Times New Roman"/>
          <w:sz w:val="24"/>
          <w:szCs w:val="24"/>
        </w:rPr>
        <w:t>observeres</w:t>
      </w:r>
      <w:r w:rsidRPr="005A3580">
        <w:rPr>
          <w:rFonts w:ascii="Times New Roman" w:hAnsi="Times New Roman"/>
          <w:sz w:val="24"/>
          <w:szCs w:val="24"/>
        </w:rPr>
        <w:t xml:space="preserve"> stigende tilfælde af resistens, især </w:t>
      </w:r>
      <w:r>
        <w:rPr>
          <w:rFonts w:ascii="Times New Roman" w:hAnsi="Times New Roman"/>
          <w:sz w:val="24"/>
          <w:szCs w:val="24"/>
        </w:rPr>
        <w:t>i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80">
        <w:rPr>
          <w:rFonts w:ascii="Times New Roman" w:hAnsi="Times New Roman"/>
          <w:sz w:val="24"/>
          <w:szCs w:val="24"/>
        </w:rPr>
        <w:t>enterokokker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5A3580">
        <w:rPr>
          <w:rFonts w:ascii="Times New Roman" w:hAnsi="Times New Roman"/>
          <w:sz w:val="24"/>
          <w:szCs w:val="24"/>
        </w:rPr>
        <w:t>ulti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5A3580">
        <w:rPr>
          <w:rFonts w:ascii="Times New Roman" w:hAnsi="Times New Roman"/>
          <w:sz w:val="24"/>
          <w:szCs w:val="24"/>
        </w:rPr>
        <w:t xml:space="preserve">resistente stammer af </w:t>
      </w:r>
      <w:proofErr w:type="spellStart"/>
      <w:r w:rsidRPr="005A3580">
        <w:rPr>
          <w:rFonts w:ascii="Times New Roman" w:hAnsi="Times New Roman"/>
          <w:sz w:val="24"/>
          <w:szCs w:val="24"/>
        </w:rPr>
        <w:t>Enterococcus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80">
        <w:rPr>
          <w:rFonts w:ascii="Times New Roman" w:hAnsi="Times New Roman"/>
          <w:sz w:val="24"/>
          <w:szCs w:val="24"/>
        </w:rPr>
        <w:t>faecium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er </w:t>
      </w:r>
      <w:r>
        <w:rPr>
          <w:rFonts w:ascii="Times New Roman" w:hAnsi="Times New Roman"/>
          <w:sz w:val="24"/>
          <w:szCs w:val="24"/>
        </w:rPr>
        <w:t>særligt</w:t>
      </w:r>
      <w:r w:rsidRPr="005A3580">
        <w:rPr>
          <w:rFonts w:ascii="Times New Roman" w:hAnsi="Times New Roman"/>
          <w:sz w:val="24"/>
          <w:szCs w:val="24"/>
        </w:rPr>
        <w:t xml:space="preserve"> alarmerende.  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Van-gener er sjældent </w:t>
      </w:r>
      <w:r>
        <w:rPr>
          <w:rFonts w:ascii="Times New Roman" w:hAnsi="Times New Roman"/>
          <w:sz w:val="24"/>
          <w:szCs w:val="24"/>
        </w:rPr>
        <w:t xml:space="preserve">blevet </w:t>
      </w:r>
      <w:r w:rsidRPr="005A3580">
        <w:rPr>
          <w:rFonts w:ascii="Times New Roman" w:hAnsi="Times New Roman"/>
          <w:sz w:val="24"/>
          <w:szCs w:val="24"/>
        </w:rPr>
        <w:t>fundet i</w:t>
      </w:r>
      <w:r w:rsidRPr="005A358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3580">
        <w:rPr>
          <w:rFonts w:ascii="Times New Roman" w:hAnsi="Times New Roman"/>
          <w:i/>
          <w:sz w:val="24"/>
          <w:szCs w:val="24"/>
        </w:rPr>
        <w:t>Staphylococcus</w:t>
      </w:r>
      <w:proofErr w:type="spellEnd"/>
      <w:r w:rsidRPr="005A3580">
        <w:rPr>
          <w:rFonts w:ascii="Times New Roman" w:hAnsi="Times New Roman"/>
          <w:i/>
          <w:sz w:val="24"/>
          <w:szCs w:val="24"/>
        </w:rPr>
        <w:t xml:space="preserve"> aureus</w:t>
      </w:r>
      <w:r w:rsidRPr="005A3580">
        <w:rPr>
          <w:rFonts w:ascii="Times New Roman" w:hAnsi="Times New Roman"/>
          <w:sz w:val="24"/>
          <w:szCs w:val="24"/>
        </w:rPr>
        <w:t>, hvor ændringer i cellevægsstruktur resultere</w:t>
      </w:r>
      <w:r>
        <w:rPr>
          <w:rFonts w:ascii="Times New Roman" w:hAnsi="Times New Roman"/>
          <w:sz w:val="24"/>
          <w:szCs w:val="24"/>
        </w:rPr>
        <w:t>r</w:t>
      </w:r>
      <w:r w:rsidRPr="005A3580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"</w:t>
      </w:r>
      <w:proofErr w:type="spellStart"/>
      <w:r>
        <w:rPr>
          <w:rFonts w:ascii="Times New Roman" w:hAnsi="Times New Roman"/>
          <w:sz w:val="24"/>
          <w:szCs w:val="24"/>
        </w:rPr>
        <w:t>intermediær</w:t>
      </w:r>
      <w:proofErr w:type="spellEnd"/>
      <w:r>
        <w:rPr>
          <w:rFonts w:ascii="Times New Roman" w:hAnsi="Times New Roman"/>
          <w:sz w:val="24"/>
          <w:szCs w:val="24"/>
        </w:rPr>
        <w:t>"</w:t>
      </w:r>
      <w:r w:rsidRPr="005A3580">
        <w:rPr>
          <w:rFonts w:ascii="Times New Roman" w:hAnsi="Times New Roman"/>
          <w:sz w:val="24"/>
          <w:szCs w:val="24"/>
        </w:rPr>
        <w:t xml:space="preserve"> følsomhed, som </w:t>
      </w:r>
      <w:r>
        <w:rPr>
          <w:rFonts w:ascii="Times New Roman" w:hAnsi="Times New Roman"/>
          <w:sz w:val="24"/>
          <w:szCs w:val="24"/>
        </w:rPr>
        <w:t>almindeligvis</w:t>
      </w:r>
      <w:r w:rsidRPr="005A3580">
        <w:rPr>
          <w:rFonts w:ascii="Times New Roman" w:hAnsi="Times New Roman"/>
          <w:sz w:val="24"/>
          <w:szCs w:val="24"/>
        </w:rPr>
        <w:t xml:space="preserve"> er heterogen. </w:t>
      </w:r>
      <w:r>
        <w:rPr>
          <w:rFonts w:ascii="Times New Roman" w:hAnsi="Times New Roman"/>
          <w:sz w:val="24"/>
          <w:szCs w:val="24"/>
        </w:rPr>
        <w:t>D</w:t>
      </w:r>
      <w:r w:rsidRPr="005A3580">
        <w:rPr>
          <w:rFonts w:ascii="Times New Roman" w:hAnsi="Times New Roman"/>
          <w:sz w:val="24"/>
          <w:szCs w:val="24"/>
        </w:rPr>
        <w:t xml:space="preserve">er </w:t>
      </w:r>
      <w:r>
        <w:rPr>
          <w:rFonts w:ascii="Times New Roman" w:hAnsi="Times New Roman"/>
          <w:sz w:val="24"/>
          <w:szCs w:val="24"/>
        </w:rPr>
        <w:t xml:space="preserve">er også </w:t>
      </w:r>
      <w:r w:rsidRPr="005A3580">
        <w:rPr>
          <w:rFonts w:ascii="Times New Roman" w:hAnsi="Times New Roman"/>
          <w:sz w:val="24"/>
          <w:szCs w:val="24"/>
        </w:rPr>
        <w:t xml:space="preserve">rapporteret om </w:t>
      </w:r>
      <w:proofErr w:type="spellStart"/>
      <w:r w:rsidRPr="005A3580">
        <w:rPr>
          <w:rFonts w:ascii="Times New Roman" w:hAnsi="Times New Roman"/>
          <w:sz w:val="24"/>
          <w:szCs w:val="24"/>
        </w:rPr>
        <w:t>methicillinresistente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53B">
        <w:rPr>
          <w:rFonts w:ascii="Times New Roman" w:hAnsi="Times New Roman"/>
          <w:i/>
          <w:sz w:val="24"/>
          <w:szCs w:val="24"/>
        </w:rPr>
        <w:t>Staphylococcus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5A3580">
        <w:rPr>
          <w:rFonts w:ascii="Times New Roman" w:hAnsi="Times New Roman"/>
          <w:sz w:val="24"/>
          <w:szCs w:val="24"/>
        </w:rPr>
        <w:t xml:space="preserve">stammer (MRSA) med </w:t>
      </w:r>
      <w:r>
        <w:rPr>
          <w:rFonts w:ascii="Times New Roman" w:hAnsi="Times New Roman"/>
          <w:sz w:val="24"/>
          <w:szCs w:val="24"/>
        </w:rPr>
        <w:t>nedsat</w:t>
      </w:r>
      <w:r w:rsidRPr="005A3580">
        <w:rPr>
          <w:rFonts w:ascii="Times New Roman" w:hAnsi="Times New Roman"/>
          <w:sz w:val="24"/>
          <w:szCs w:val="24"/>
        </w:rPr>
        <w:t xml:space="preserve"> følsomhed for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. Den reducerede følsomhed eller resistens </w:t>
      </w:r>
      <w:r>
        <w:rPr>
          <w:rFonts w:ascii="Times New Roman" w:hAnsi="Times New Roman"/>
          <w:sz w:val="24"/>
          <w:szCs w:val="24"/>
        </w:rPr>
        <w:t>over for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FC653B">
        <w:rPr>
          <w:rFonts w:ascii="Times New Roman" w:hAnsi="Times New Roman"/>
          <w:i/>
          <w:sz w:val="24"/>
          <w:szCs w:val="24"/>
        </w:rPr>
        <w:t>Sstaphylococcus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er ikke </w:t>
      </w:r>
      <w:r>
        <w:rPr>
          <w:rFonts w:ascii="Times New Roman" w:hAnsi="Times New Roman"/>
          <w:sz w:val="24"/>
          <w:szCs w:val="24"/>
        </w:rPr>
        <w:t>vel</w:t>
      </w:r>
      <w:r w:rsidRPr="005A3580">
        <w:rPr>
          <w:rFonts w:ascii="Times New Roman" w:hAnsi="Times New Roman"/>
          <w:sz w:val="24"/>
          <w:szCs w:val="24"/>
        </w:rPr>
        <w:t xml:space="preserve">forstået. Der kræves adskillige genetiske elementer og </w:t>
      </w:r>
      <w:r>
        <w:rPr>
          <w:rFonts w:ascii="Times New Roman" w:hAnsi="Times New Roman"/>
          <w:sz w:val="24"/>
          <w:szCs w:val="24"/>
        </w:rPr>
        <w:t>mange</w:t>
      </w:r>
      <w:r w:rsidRPr="005A3580">
        <w:rPr>
          <w:rFonts w:ascii="Times New Roman" w:hAnsi="Times New Roman"/>
          <w:sz w:val="24"/>
          <w:szCs w:val="24"/>
        </w:rPr>
        <w:t xml:space="preserve"> mutationer.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Der er ingen krydsresistens mellem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og andre </w:t>
      </w:r>
      <w:r>
        <w:rPr>
          <w:rFonts w:ascii="Times New Roman" w:hAnsi="Times New Roman"/>
          <w:sz w:val="24"/>
          <w:szCs w:val="24"/>
        </w:rPr>
        <w:t>klasser</w:t>
      </w:r>
      <w:r w:rsidRPr="005A3580">
        <w:rPr>
          <w:rFonts w:ascii="Times New Roman" w:hAnsi="Times New Roman"/>
          <w:sz w:val="24"/>
          <w:szCs w:val="24"/>
        </w:rPr>
        <w:t xml:space="preserve"> af antibiotika. </w:t>
      </w:r>
      <w:r>
        <w:rPr>
          <w:rFonts w:ascii="Times New Roman" w:hAnsi="Times New Roman"/>
          <w:sz w:val="24"/>
          <w:szCs w:val="24"/>
        </w:rPr>
        <w:t>K</w:t>
      </w:r>
      <w:r w:rsidRPr="005A3580">
        <w:rPr>
          <w:rFonts w:ascii="Times New Roman" w:hAnsi="Times New Roman"/>
          <w:sz w:val="24"/>
          <w:szCs w:val="24"/>
        </w:rPr>
        <w:t xml:space="preserve">rydsresistens med andre </w:t>
      </w:r>
      <w:proofErr w:type="spellStart"/>
      <w:r w:rsidRPr="005A3580">
        <w:rPr>
          <w:rFonts w:ascii="Times New Roman" w:hAnsi="Times New Roman"/>
          <w:sz w:val="24"/>
          <w:szCs w:val="24"/>
        </w:rPr>
        <w:t>glykopeptidantibiotika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5A3580">
        <w:rPr>
          <w:rFonts w:ascii="Times New Roman" w:hAnsi="Times New Roman"/>
          <w:sz w:val="24"/>
          <w:szCs w:val="24"/>
        </w:rPr>
        <w:t xml:space="preserve"> såsom </w:t>
      </w:r>
      <w:proofErr w:type="spellStart"/>
      <w:r w:rsidRPr="005A3580">
        <w:rPr>
          <w:rFonts w:ascii="Times New Roman" w:hAnsi="Times New Roman"/>
          <w:sz w:val="24"/>
          <w:szCs w:val="24"/>
        </w:rPr>
        <w:t>teicoplanin</w:t>
      </w:r>
      <w:proofErr w:type="spellEnd"/>
      <w:r>
        <w:rPr>
          <w:rFonts w:ascii="Times New Roman" w:hAnsi="Times New Roman"/>
          <w:sz w:val="24"/>
          <w:szCs w:val="24"/>
        </w:rPr>
        <w:t>, forekommer</w:t>
      </w:r>
      <w:r w:rsidRPr="005A3580">
        <w:rPr>
          <w:rFonts w:ascii="Times New Roman" w:hAnsi="Times New Roman"/>
          <w:sz w:val="24"/>
          <w:szCs w:val="24"/>
        </w:rPr>
        <w:t>. Sekundær udvikling af resistens under behandling er sjælden.</w:t>
      </w:r>
    </w:p>
    <w:p w:rsidR="00140BC6" w:rsidRPr="005A3580" w:rsidRDefault="00140BC6" w:rsidP="00140BC6">
      <w:pPr>
        <w:rPr>
          <w:sz w:val="24"/>
          <w:szCs w:val="24"/>
        </w:rPr>
      </w:pPr>
    </w:p>
    <w:p w:rsidR="00140BC6" w:rsidRPr="00A93686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Resistensbestemmelsesbreakpoints</w:t>
      </w:r>
      <w:proofErr w:type="spellEnd"/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Forekomsten af erhvervet resistens kan variere geografisk og </w:t>
      </w:r>
      <w:r>
        <w:rPr>
          <w:rFonts w:ascii="Times New Roman" w:hAnsi="Times New Roman"/>
          <w:sz w:val="24"/>
          <w:szCs w:val="24"/>
        </w:rPr>
        <w:t>med</w:t>
      </w:r>
      <w:r w:rsidRPr="005A3580">
        <w:rPr>
          <w:rFonts w:ascii="Times New Roman" w:hAnsi="Times New Roman"/>
          <w:sz w:val="24"/>
          <w:szCs w:val="24"/>
        </w:rPr>
        <w:t xml:space="preserve"> tid</w:t>
      </w:r>
      <w:r>
        <w:rPr>
          <w:rFonts w:ascii="Times New Roman" w:hAnsi="Times New Roman"/>
          <w:sz w:val="24"/>
          <w:szCs w:val="24"/>
        </w:rPr>
        <w:t>en</w:t>
      </w:r>
      <w:r w:rsidRPr="005A3580">
        <w:rPr>
          <w:rFonts w:ascii="Times New Roman" w:hAnsi="Times New Roman"/>
          <w:sz w:val="24"/>
          <w:szCs w:val="24"/>
        </w:rPr>
        <w:t xml:space="preserve"> for </w:t>
      </w:r>
      <w:r>
        <w:rPr>
          <w:rFonts w:ascii="Times New Roman" w:hAnsi="Times New Roman"/>
          <w:sz w:val="24"/>
          <w:szCs w:val="24"/>
        </w:rPr>
        <w:t>udvalgte</w:t>
      </w:r>
      <w:r w:rsidRPr="005A3580">
        <w:rPr>
          <w:rFonts w:ascii="Times New Roman" w:hAnsi="Times New Roman"/>
          <w:sz w:val="24"/>
          <w:szCs w:val="24"/>
        </w:rPr>
        <w:t xml:space="preserve"> arter, og lokal information om resistens er </w:t>
      </w:r>
      <w:r>
        <w:rPr>
          <w:rFonts w:ascii="Times New Roman" w:hAnsi="Times New Roman"/>
          <w:sz w:val="24"/>
          <w:szCs w:val="24"/>
        </w:rPr>
        <w:t>ønskelig</w:t>
      </w:r>
      <w:r w:rsidRPr="005A3580">
        <w:rPr>
          <w:rFonts w:ascii="Times New Roman" w:hAnsi="Times New Roman"/>
          <w:sz w:val="24"/>
          <w:szCs w:val="24"/>
        </w:rPr>
        <w:t xml:space="preserve">, især ved behandling af alvorlige infektioner. </w:t>
      </w:r>
      <w:r>
        <w:rPr>
          <w:rFonts w:ascii="Times New Roman" w:hAnsi="Times New Roman"/>
          <w:sz w:val="24"/>
          <w:szCs w:val="24"/>
        </w:rPr>
        <w:t>Efter behov skal der søges</w:t>
      </w:r>
      <w:r w:rsidRPr="005A3580">
        <w:rPr>
          <w:rFonts w:ascii="Times New Roman" w:hAnsi="Times New Roman"/>
          <w:sz w:val="24"/>
          <w:szCs w:val="24"/>
        </w:rPr>
        <w:t xml:space="preserve"> ekspertrådgivning, når den lokale forekomst af resistens er sådan, at </w:t>
      </w:r>
      <w:r>
        <w:rPr>
          <w:rFonts w:ascii="Times New Roman" w:hAnsi="Times New Roman"/>
          <w:sz w:val="24"/>
          <w:szCs w:val="24"/>
        </w:rPr>
        <w:t>anvendelsen</w:t>
      </w:r>
      <w:r w:rsidRPr="005A3580">
        <w:rPr>
          <w:rFonts w:ascii="Times New Roman" w:hAnsi="Times New Roman"/>
          <w:sz w:val="24"/>
          <w:szCs w:val="24"/>
        </w:rPr>
        <w:t xml:space="preserve"> af midlet </w:t>
      </w:r>
      <w:r>
        <w:rPr>
          <w:rFonts w:ascii="Times New Roman" w:hAnsi="Times New Roman"/>
          <w:sz w:val="24"/>
          <w:szCs w:val="24"/>
        </w:rPr>
        <w:t>i mindst</w:t>
      </w:r>
      <w:r w:rsidRPr="005A3580">
        <w:rPr>
          <w:rFonts w:ascii="Times New Roman" w:hAnsi="Times New Roman"/>
          <w:sz w:val="24"/>
          <w:szCs w:val="24"/>
        </w:rPr>
        <w:t xml:space="preserve"> nogle typer infektioner er tvivlsom. </w:t>
      </w:r>
      <w:r>
        <w:rPr>
          <w:rFonts w:ascii="Times New Roman" w:hAnsi="Times New Roman"/>
          <w:sz w:val="24"/>
          <w:szCs w:val="24"/>
        </w:rPr>
        <w:t>Her gives kun skønsmæssig</w:t>
      </w:r>
      <w:r w:rsidRPr="005A3580">
        <w:rPr>
          <w:rFonts w:ascii="Times New Roman" w:hAnsi="Times New Roman"/>
          <w:sz w:val="24"/>
          <w:szCs w:val="24"/>
        </w:rPr>
        <w:t xml:space="preserve"> vejledning om </w:t>
      </w:r>
      <w:r>
        <w:rPr>
          <w:rFonts w:ascii="Times New Roman" w:hAnsi="Times New Roman"/>
          <w:sz w:val="24"/>
          <w:szCs w:val="24"/>
        </w:rPr>
        <w:t xml:space="preserve">muligheden for, at </w:t>
      </w:r>
      <w:r w:rsidRPr="005A3580">
        <w:rPr>
          <w:rFonts w:ascii="Times New Roman" w:hAnsi="Times New Roman"/>
          <w:sz w:val="24"/>
          <w:szCs w:val="24"/>
        </w:rPr>
        <w:t>mikroorganismer</w:t>
      </w:r>
      <w:r>
        <w:rPr>
          <w:rFonts w:ascii="Times New Roman" w:hAnsi="Times New Roman"/>
          <w:sz w:val="24"/>
          <w:szCs w:val="24"/>
        </w:rPr>
        <w:t>ne</w:t>
      </w:r>
      <w:r w:rsidRPr="005A3580">
        <w:rPr>
          <w:rFonts w:ascii="Times New Roman" w:hAnsi="Times New Roman"/>
          <w:sz w:val="24"/>
          <w:szCs w:val="24"/>
        </w:rPr>
        <w:t xml:space="preserve"> er følsomme for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>.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BA1D78">
        <w:rPr>
          <w:rFonts w:ascii="Times New Roman" w:hAnsi="Times New Roman"/>
          <w:sz w:val="24"/>
          <w:szCs w:val="24"/>
        </w:rPr>
        <w:t>MIC-</w:t>
      </w:r>
      <w:proofErr w:type="spellStart"/>
      <w:r w:rsidRPr="00BA1D78">
        <w:rPr>
          <w:rFonts w:ascii="Times New Roman" w:hAnsi="Times New Roman"/>
          <w:sz w:val="24"/>
          <w:szCs w:val="24"/>
        </w:rPr>
        <w:t>breakpoints</w:t>
      </w:r>
      <w:proofErr w:type="spellEnd"/>
      <w:r w:rsidRPr="00BA1D78">
        <w:rPr>
          <w:rFonts w:ascii="Times New Roman" w:hAnsi="Times New Roman"/>
          <w:sz w:val="24"/>
          <w:szCs w:val="24"/>
        </w:rPr>
        <w:t xml:space="preserve"> fastsat af Den Europæiske Komité for Antimikrobiel Følsomhedstestning (EUCAST) er som følger</w:t>
      </w:r>
      <w:r w:rsidRPr="005A3580">
        <w:rPr>
          <w:rFonts w:ascii="Times New Roman" w:hAnsi="Times New Roman"/>
          <w:sz w:val="24"/>
          <w:szCs w:val="24"/>
        </w:rPr>
        <w:t>: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2804"/>
        <w:gridCol w:w="2514"/>
      </w:tblGrid>
      <w:tr w:rsidR="00140BC6" w:rsidRPr="005A3580" w:rsidTr="00283905">
        <w:trPr>
          <w:trHeight w:val="286"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C6" w:rsidRPr="005A3580" w:rsidRDefault="00140BC6" w:rsidP="003B4BCE">
            <w:pPr>
              <w:rPr>
                <w:i/>
                <w:sz w:val="24"/>
                <w:szCs w:val="24"/>
              </w:rPr>
            </w:pPr>
            <w:proofErr w:type="spellStart"/>
            <w:r w:rsidRPr="005A3580">
              <w:rPr>
                <w:i/>
                <w:sz w:val="24"/>
                <w:szCs w:val="24"/>
              </w:rPr>
              <w:t>Clostridium</w:t>
            </w:r>
            <w:proofErr w:type="spellEnd"/>
            <w:r w:rsidRPr="005A3580">
              <w:rPr>
                <w:i/>
                <w:sz w:val="24"/>
                <w:szCs w:val="24"/>
              </w:rPr>
              <w:t xml:space="preserve"> difficile</w:t>
            </w:r>
            <w:r w:rsidRPr="005A3580">
              <w:rPr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783229">
            <w:pPr>
              <w:jc w:val="center"/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Følsom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783229">
            <w:pPr>
              <w:jc w:val="center"/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Resistent</w:t>
            </w:r>
          </w:p>
        </w:tc>
      </w:tr>
      <w:tr w:rsidR="00140BC6" w:rsidRPr="005A3580" w:rsidTr="00283905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C6" w:rsidRPr="005A3580" w:rsidRDefault="00140BC6" w:rsidP="003B4BCE">
            <w:pPr>
              <w:rPr>
                <w:sz w:val="24"/>
                <w:szCs w:val="24"/>
                <w:lang w:bidi="da-DK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5A3580" w:rsidRDefault="00140BC6" w:rsidP="00783229">
            <w:pPr>
              <w:jc w:val="center"/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 w:rsidRPr="005A3580">
              <w:rPr>
                <w:sz w:val="24"/>
                <w:szCs w:val="24"/>
              </w:rPr>
              <w:t>2 mg/l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C6" w:rsidRPr="00A730AB" w:rsidRDefault="00140BC6" w:rsidP="00283905">
            <w:pPr>
              <w:ind w:left="85"/>
              <w:jc w:val="center"/>
              <w:rPr>
                <w:sz w:val="24"/>
                <w:szCs w:val="24"/>
              </w:rPr>
            </w:pPr>
            <w:r w:rsidRPr="00A730AB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 xml:space="preserve"> </w:t>
            </w:r>
            <w:r w:rsidRPr="00A730AB">
              <w:rPr>
                <w:sz w:val="24"/>
                <w:szCs w:val="24"/>
              </w:rPr>
              <w:t>2 mg/l</w:t>
            </w:r>
          </w:p>
        </w:tc>
      </w:tr>
    </w:tbl>
    <w:p w:rsidR="00140BC6" w:rsidRPr="005A3580" w:rsidRDefault="00140BC6" w:rsidP="00140BC6">
      <w:pPr>
        <w:pStyle w:val="Ingenafstand"/>
        <w:ind w:left="993" w:hanging="142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breakpoints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baseret på epidemiologiske cut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5A3580">
        <w:rPr>
          <w:rFonts w:ascii="Times New Roman" w:hAnsi="Times New Roman"/>
          <w:sz w:val="24"/>
          <w:szCs w:val="24"/>
        </w:rPr>
        <w:t>off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-værdier (ECOFF), som </w:t>
      </w:r>
      <w:r>
        <w:rPr>
          <w:rFonts w:ascii="Times New Roman" w:hAnsi="Times New Roman"/>
          <w:sz w:val="24"/>
          <w:szCs w:val="24"/>
        </w:rPr>
        <w:t>adskiller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80">
        <w:rPr>
          <w:rFonts w:ascii="Times New Roman" w:hAnsi="Times New Roman"/>
          <w:sz w:val="24"/>
          <w:szCs w:val="24"/>
        </w:rPr>
        <w:t>vildtypeisolater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fra </w:t>
      </w:r>
      <w:r>
        <w:rPr>
          <w:rFonts w:ascii="Times New Roman" w:hAnsi="Times New Roman"/>
          <w:sz w:val="24"/>
          <w:szCs w:val="24"/>
        </w:rPr>
        <w:t>dem</w:t>
      </w:r>
      <w:r w:rsidRPr="005A3580">
        <w:rPr>
          <w:rFonts w:ascii="Times New Roman" w:hAnsi="Times New Roman"/>
          <w:sz w:val="24"/>
          <w:szCs w:val="24"/>
        </w:rPr>
        <w:t xml:space="preserve"> med </w:t>
      </w:r>
      <w:r>
        <w:rPr>
          <w:rFonts w:ascii="Times New Roman" w:hAnsi="Times New Roman"/>
          <w:sz w:val="24"/>
          <w:szCs w:val="24"/>
        </w:rPr>
        <w:t>nedsat</w:t>
      </w:r>
      <w:r w:rsidRPr="005A3580">
        <w:rPr>
          <w:rFonts w:ascii="Times New Roman" w:hAnsi="Times New Roman"/>
          <w:sz w:val="24"/>
          <w:szCs w:val="24"/>
        </w:rPr>
        <w:t xml:space="preserve"> følsomhed.</w:t>
      </w:r>
    </w:p>
    <w:p w:rsidR="00140BC6" w:rsidRPr="005A3580" w:rsidRDefault="00140BC6" w:rsidP="00140BC6">
      <w:pPr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5.2</w:t>
      </w:r>
      <w:r w:rsidRPr="005A3580">
        <w:rPr>
          <w:b/>
          <w:sz w:val="24"/>
          <w:szCs w:val="24"/>
        </w:rPr>
        <w:tab/>
        <w:t>Farmakokinetiske egenskaber</w:t>
      </w:r>
    </w:p>
    <w:p w:rsidR="00140BC6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  <w:u w:val="single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5A3580">
        <w:rPr>
          <w:rFonts w:ascii="Times New Roman" w:hAnsi="Times New Roman"/>
          <w:sz w:val="24"/>
          <w:szCs w:val="24"/>
          <w:u w:val="single"/>
        </w:rPr>
        <w:t>Absorption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5A3580">
        <w:rPr>
          <w:rFonts w:ascii="Times New Roman" w:hAnsi="Times New Roman"/>
          <w:spacing w:val="1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pacing w:val="1"/>
          <w:sz w:val="24"/>
          <w:szCs w:val="24"/>
        </w:rPr>
        <w:t xml:space="preserve"> absorberes </w:t>
      </w:r>
      <w:r>
        <w:rPr>
          <w:rFonts w:ascii="Times New Roman" w:hAnsi="Times New Roman"/>
          <w:spacing w:val="1"/>
          <w:sz w:val="24"/>
          <w:szCs w:val="24"/>
        </w:rPr>
        <w:t>normalt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ikke i blodet efter oral administration. </w:t>
      </w:r>
      <w:r>
        <w:rPr>
          <w:rFonts w:ascii="Times New Roman" w:hAnsi="Times New Roman"/>
          <w:spacing w:val="1"/>
          <w:sz w:val="24"/>
          <w:szCs w:val="24"/>
        </w:rPr>
        <w:t>Imidlertid kan a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bsorption </w:t>
      </w:r>
      <w:r>
        <w:rPr>
          <w:rFonts w:ascii="Times New Roman" w:hAnsi="Times New Roman"/>
          <w:spacing w:val="1"/>
          <w:sz w:val="24"/>
          <w:szCs w:val="24"/>
        </w:rPr>
        <w:t xml:space="preserve">forøges 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hos patienter med inflammatoriske sygdomme i tarmslimhinden eller </w:t>
      </w:r>
      <w:proofErr w:type="spellStart"/>
      <w:r w:rsidRPr="005A3580">
        <w:rPr>
          <w:rFonts w:ascii="Times New Roman" w:hAnsi="Times New Roman"/>
          <w:i/>
          <w:sz w:val="24"/>
          <w:szCs w:val="24"/>
        </w:rPr>
        <w:t>Clostridium</w:t>
      </w:r>
      <w:proofErr w:type="spellEnd"/>
      <w:r w:rsidRPr="005A3580">
        <w:rPr>
          <w:rFonts w:ascii="Times New Roman" w:hAnsi="Times New Roman"/>
          <w:i/>
          <w:sz w:val="24"/>
          <w:szCs w:val="24"/>
        </w:rPr>
        <w:t xml:space="preserve"> difficile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-induceret </w:t>
      </w:r>
      <w:proofErr w:type="spellStart"/>
      <w:r w:rsidRPr="005A3580">
        <w:rPr>
          <w:rFonts w:ascii="Times New Roman" w:hAnsi="Times New Roman"/>
          <w:spacing w:val="1"/>
          <w:sz w:val="24"/>
          <w:szCs w:val="24"/>
        </w:rPr>
        <w:t>pseudomembranøs</w:t>
      </w:r>
      <w:proofErr w:type="spellEnd"/>
      <w:r w:rsidRPr="005A3580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colitis</w:t>
      </w:r>
      <w:r w:rsidRPr="005A3580">
        <w:rPr>
          <w:rFonts w:ascii="Times New Roman" w:hAnsi="Times New Roman"/>
          <w:spacing w:val="1"/>
          <w:sz w:val="24"/>
          <w:szCs w:val="24"/>
        </w:rPr>
        <w:t>. Dette kan føre til akkumul</w:t>
      </w:r>
      <w:r>
        <w:rPr>
          <w:rFonts w:ascii="Times New Roman" w:hAnsi="Times New Roman"/>
          <w:spacing w:val="1"/>
          <w:sz w:val="24"/>
          <w:szCs w:val="24"/>
        </w:rPr>
        <w:t>ering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af </w:t>
      </w:r>
      <w:proofErr w:type="spellStart"/>
      <w:r w:rsidRPr="005A3580">
        <w:rPr>
          <w:rFonts w:ascii="Times New Roman" w:hAnsi="Times New Roman"/>
          <w:spacing w:val="1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pacing w:val="1"/>
          <w:sz w:val="24"/>
          <w:szCs w:val="24"/>
        </w:rPr>
        <w:t xml:space="preserve"> hos patienter med samtidig nedsat nyrefunktion.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pacing w:val="1"/>
          <w:sz w:val="24"/>
          <w:szCs w:val="24"/>
          <w:u w:val="single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pacing w:val="1"/>
          <w:sz w:val="24"/>
          <w:szCs w:val="24"/>
          <w:u w:val="single"/>
        </w:rPr>
      </w:pPr>
      <w:r w:rsidRPr="005A3580">
        <w:rPr>
          <w:rFonts w:ascii="Times New Roman" w:hAnsi="Times New Roman"/>
          <w:spacing w:val="1"/>
          <w:sz w:val="24"/>
          <w:szCs w:val="24"/>
          <w:u w:val="single"/>
        </w:rPr>
        <w:t>Elimination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pacing w:val="1"/>
          <w:sz w:val="24"/>
          <w:szCs w:val="24"/>
        </w:rPr>
      </w:pPr>
      <w:r w:rsidRPr="005A3580">
        <w:rPr>
          <w:rFonts w:ascii="Times New Roman" w:hAnsi="Times New Roman"/>
          <w:spacing w:val="1"/>
          <w:sz w:val="24"/>
          <w:szCs w:val="24"/>
        </w:rPr>
        <w:t xml:space="preserve">En oral dosis udskilles næsten udelukkende i fæces. </w:t>
      </w:r>
      <w:r>
        <w:rPr>
          <w:rFonts w:ascii="Times New Roman" w:hAnsi="Times New Roman"/>
          <w:spacing w:val="1"/>
          <w:sz w:val="24"/>
          <w:szCs w:val="24"/>
        </w:rPr>
        <w:t>I løbet af 7 doser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på 250 mg hver 8. time oversteg </w:t>
      </w:r>
      <w:r>
        <w:rPr>
          <w:rFonts w:ascii="Times New Roman" w:hAnsi="Times New Roman"/>
          <w:spacing w:val="1"/>
          <w:sz w:val="24"/>
          <w:szCs w:val="24"/>
        </w:rPr>
        <w:t xml:space="preserve">de fækale </w:t>
      </w:r>
      <w:r w:rsidRPr="005A3580">
        <w:rPr>
          <w:rFonts w:ascii="Times New Roman" w:hAnsi="Times New Roman"/>
          <w:spacing w:val="1"/>
          <w:sz w:val="24"/>
          <w:szCs w:val="24"/>
        </w:rPr>
        <w:t>koncentratione</w:t>
      </w:r>
      <w:r>
        <w:rPr>
          <w:rFonts w:ascii="Times New Roman" w:hAnsi="Times New Roman"/>
          <w:spacing w:val="1"/>
          <w:sz w:val="24"/>
          <w:szCs w:val="24"/>
        </w:rPr>
        <w:t>r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af </w:t>
      </w:r>
      <w:proofErr w:type="spellStart"/>
      <w:r w:rsidRPr="005A3580">
        <w:rPr>
          <w:rFonts w:ascii="Times New Roman" w:hAnsi="Times New Roman"/>
          <w:spacing w:val="1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pacing w:val="1"/>
          <w:sz w:val="24"/>
          <w:szCs w:val="24"/>
        </w:rPr>
        <w:t xml:space="preserve"> hos frivillige 100 mg/kg i de fleste prøver. Der blev ikke </w:t>
      </w:r>
      <w:r>
        <w:rPr>
          <w:rFonts w:ascii="Times New Roman" w:hAnsi="Times New Roman"/>
          <w:spacing w:val="1"/>
          <w:sz w:val="24"/>
          <w:szCs w:val="24"/>
        </w:rPr>
        <w:t>påvist nogen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blod</w:t>
      </w:r>
      <w:r w:rsidRPr="005A3580">
        <w:rPr>
          <w:rFonts w:ascii="Times New Roman" w:hAnsi="Times New Roman"/>
          <w:spacing w:val="1"/>
          <w:sz w:val="24"/>
          <w:szCs w:val="24"/>
        </w:rPr>
        <w:t>koncentrationer, og urin</w:t>
      </w:r>
      <w:r>
        <w:rPr>
          <w:rFonts w:ascii="Times New Roman" w:hAnsi="Times New Roman"/>
          <w:spacing w:val="1"/>
          <w:sz w:val="24"/>
          <w:szCs w:val="24"/>
        </w:rPr>
        <w:t>genindvindingen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oversteg ikke 0,7</w:t>
      </w:r>
      <w:r>
        <w:rPr>
          <w:rFonts w:ascii="Times New Roman" w:hAnsi="Times New Roman"/>
          <w:spacing w:val="1"/>
          <w:sz w:val="24"/>
          <w:szCs w:val="24"/>
        </w:rPr>
        <w:t>6</w:t>
      </w:r>
      <w:r w:rsidRPr="005A3580">
        <w:rPr>
          <w:rFonts w:ascii="Times New Roman" w:hAnsi="Times New Roman"/>
          <w:spacing w:val="1"/>
          <w:sz w:val="24"/>
          <w:szCs w:val="24"/>
        </w:rPr>
        <w:t> %.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lastRenderedPageBreak/>
        <w:t>5.3</w:t>
      </w:r>
      <w:r w:rsidRPr="005A3580">
        <w:rPr>
          <w:b/>
          <w:sz w:val="24"/>
          <w:szCs w:val="24"/>
        </w:rPr>
        <w:tab/>
        <w:t>Prækliniske sikkerhedsdata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Ikke-kliniske data viser ingen særlig risiko for mennesker baseret på konventionelle undersøgelser af sikkerhedsfarmakologi og toksicitet efter gentagne doser.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Begrænsede data om mutagene virkninger viser negative resultater; der foreligger ikke data fra langvarige dyreforsøg af </w:t>
      </w:r>
      <w:proofErr w:type="spellStart"/>
      <w:r w:rsidRPr="005A3580">
        <w:rPr>
          <w:rFonts w:ascii="Times New Roman" w:hAnsi="Times New Roman"/>
          <w:sz w:val="24"/>
          <w:szCs w:val="24"/>
        </w:rPr>
        <w:t>karcinogent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potentiale. I </w:t>
      </w:r>
      <w:proofErr w:type="spellStart"/>
      <w:r w:rsidRPr="005A3580">
        <w:rPr>
          <w:rFonts w:ascii="Times New Roman" w:hAnsi="Times New Roman"/>
          <w:sz w:val="24"/>
          <w:szCs w:val="24"/>
        </w:rPr>
        <w:t>teratogenicitetsundersøgelser</w:t>
      </w:r>
      <w:proofErr w:type="spellEnd"/>
      <w:r w:rsidRPr="005A3580">
        <w:rPr>
          <w:rFonts w:ascii="Times New Roman" w:hAnsi="Times New Roman"/>
          <w:sz w:val="24"/>
          <w:szCs w:val="24"/>
        </w:rPr>
        <w:t>, hvor rotter og kaniner fik doser, der ca. svarer til den humane mennesker baseret på legemsoverflade (mg/m</w:t>
      </w:r>
      <w:r w:rsidRPr="005A3580">
        <w:rPr>
          <w:rFonts w:ascii="Times New Roman" w:hAnsi="Times New Roman"/>
          <w:sz w:val="24"/>
          <w:szCs w:val="24"/>
          <w:vertAlign w:val="superscript"/>
        </w:rPr>
        <w:t>2</w:t>
      </w:r>
      <w:r w:rsidRPr="005A3580">
        <w:rPr>
          <w:rFonts w:ascii="Times New Roman" w:hAnsi="Times New Roman"/>
          <w:sz w:val="24"/>
          <w:szCs w:val="24"/>
        </w:rPr>
        <w:t xml:space="preserve">), blev der ikke observeret direkte eller indirekte </w:t>
      </w:r>
      <w:proofErr w:type="spellStart"/>
      <w:r w:rsidRPr="005A3580">
        <w:rPr>
          <w:rFonts w:ascii="Times New Roman" w:hAnsi="Times New Roman"/>
          <w:sz w:val="24"/>
          <w:szCs w:val="24"/>
        </w:rPr>
        <w:t>teratogene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virkninger.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Der er ikke udført dyreforsøg i den </w:t>
      </w:r>
      <w:proofErr w:type="spellStart"/>
      <w:r w:rsidRPr="005A3580">
        <w:rPr>
          <w:rFonts w:ascii="Times New Roman" w:hAnsi="Times New Roman"/>
          <w:sz w:val="24"/>
          <w:szCs w:val="24"/>
        </w:rPr>
        <w:t>perinatale</w:t>
      </w:r>
      <w:proofErr w:type="spellEnd"/>
      <w:r w:rsidRPr="005A3580">
        <w:rPr>
          <w:rFonts w:ascii="Times New Roman" w:hAnsi="Times New Roman"/>
          <w:sz w:val="24"/>
          <w:szCs w:val="24"/>
        </w:rPr>
        <w:t>/</w:t>
      </w:r>
      <w:proofErr w:type="spellStart"/>
      <w:r w:rsidRPr="005A3580">
        <w:rPr>
          <w:rFonts w:ascii="Times New Roman" w:hAnsi="Times New Roman"/>
          <w:sz w:val="24"/>
          <w:szCs w:val="24"/>
        </w:rPr>
        <w:t>postnatale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periode eller forsøg vedrørende fertiliteten.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6.</w:t>
      </w:r>
      <w:r w:rsidRPr="005A3580">
        <w:rPr>
          <w:b/>
          <w:sz w:val="24"/>
          <w:szCs w:val="24"/>
        </w:rPr>
        <w:tab/>
        <w:t>FARMACEUTISKE OPLYSNINGER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6.1</w:t>
      </w:r>
      <w:r w:rsidRPr="005A3580">
        <w:rPr>
          <w:b/>
          <w:sz w:val="24"/>
          <w:szCs w:val="24"/>
        </w:rPr>
        <w:tab/>
        <w:t>Hjælpestoffer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  <w:u w:val="single"/>
        </w:rPr>
        <w:t>Kapselindhold: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proofErr w:type="spellStart"/>
      <w:r w:rsidRPr="005A3580">
        <w:rPr>
          <w:rFonts w:ascii="Times New Roman" w:hAnsi="Times New Roman"/>
          <w:spacing w:val="-2"/>
          <w:sz w:val="24"/>
          <w:szCs w:val="24"/>
        </w:rPr>
        <w:t>Macrogol</w:t>
      </w:r>
      <w:proofErr w:type="spellEnd"/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  <w:u w:val="single"/>
        </w:rPr>
        <w:t>Kapselover- og underdel:</w:t>
      </w:r>
      <w:r w:rsidRPr="005A3580">
        <w:rPr>
          <w:rFonts w:ascii="Times New Roman" w:hAnsi="Times New Roman"/>
          <w:sz w:val="24"/>
          <w:szCs w:val="24"/>
        </w:rPr>
        <w:t xml:space="preserve"> 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Gelatine</w:t>
      </w:r>
    </w:p>
    <w:p w:rsidR="00140BC6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Farvestoffer: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pacing w:val="-4"/>
          <w:sz w:val="24"/>
          <w:szCs w:val="24"/>
        </w:rPr>
        <w:t>Jernoxid, gul (E172)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pacing w:val="-4"/>
          <w:sz w:val="24"/>
          <w:szCs w:val="24"/>
        </w:rPr>
        <w:t>Jernoxid, rød (E172)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Titandioxid (E171)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pacing w:val="-4"/>
          <w:sz w:val="24"/>
          <w:szCs w:val="24"/>
        </w:rPr>
        <w:t>Jernoxid, sort (E172)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6.2</w:t>
      </w:r>
      <w:r w:rsidRPr="005A3580">
        <w:rPr>
          <w:b/>
          <w:sz w:val="24"/>
          <w:szCs w:val="24"/>
        </w:rPr>
        <w:tab/>
        <w:t>Uforligeligheder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Ikke relevant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6.3</w:t>
      </w:r>
      <w:r w:rsidRPr="005A3580">
        <w:rPr>
          <w:b/>
          <w:sz w:val="24"/>
          <w:szCs w:val="24"/>
        </w:rPr>
        <w:tab/>
        <w:t>Opbevaringstid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ab/>
      </w:r>
      <w:r w:rsidR="00AE36B0">
        <w:rPr>
          <w:rFonts w:ascii="Times New Roman" w:hAnsi="Times New Roman"/>
          <w:sz w:val="24"/>
          <w:szCs w:val="24"/>
        </w:rPr>
        <w:t>18 måneder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6.4</w:t>
      </w:r>
      <w:r w:rsidRPr="005A3580">
        <w:rPr>
          <w:b/>
          <w:sz w:val="24"/>
          <w:szCs w:val="24"/>
        </w:rPr>
        <w:tab/>
        <w:t>Særlige opbevaringsforhold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Må ikke opbevares ved temperaturer over 25 °C.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6.5</w:t>
      </w:r>
      <w:r w:rsidRPr="005A3580">
        <w:rPr>
          <w:b/>
          <w:sz w:val="24"/>
          <w:szCs w:val="24"/>
        </w:rPr>
        <w:tab/>
        <w:t>Emballagetyper og pakningsstørrelser</w:t>
      </w:r>
    </w:p>
    <w:p w:rsidR="00140BC6" w:rsidRDefault="00AE36B0" w:rsidP="00AE36B0">
      <w:pPr>
        <w:ind w:left="851"/>
        <w:rPr>
          <w:sz w:val="24"/>
          <w:szCs w:val="24"/>
          <w:lang w:eastAsia="da-DK" w:bidi="da-DK"/>
        </w:rPr>
      </w:pPr>
      <w:r w:rsidRPr="00AE36B0">
        <w:rPr>
          <w:sz w:val="24"/>
          <w:szCs w:val="24"/>
          <w:lang w:eastAsia="da-DK" w:bidi="da-DK"/>
        </w:rPr>
        <w:t>Blister</w:t>
      </w:r>
      <w:r>
        <w:rPr>
          <w:sz w:val="24"/>
          <w:szCs w:val="24"/>
          <w:lang w:eastAsia="da-DK" w:bidi="da-DK"/>
        </w:rPr>
        <w:t>.</w:t>
      </w:r>
    </w:p>
    <w:p w:rsidR="00AE36B0" w:rsidRPr="005A3580" w:rsidRDefault="00AE36B0" w:rsidP="00AE36B0">
      <w:pPr>
        <w:ind w:left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6.6</w:t>
      </w:r>
      <w:r w:rsidRPr="005A3580">
        <w:rPr>
          <w:b/>
          <w:sz w:val="24"/>
          <w:szCs w:val="24"/>
        </w:rPr>
        <w:tab/>
        <w:t>Regler for destruktion og anden håndtering</w:t>
      </w: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Ingen særlige forholdsregler ved bortskaffelse.</w:t>
      </w:r>
    </w:p>
    <w:p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Ikke anvendt lægemiddel samt affald heraf skal bortskaffes i henhold til lokale retningslinjer.</w:t>
      </w:r>
    </w:p>
    <w:p w:rsidR="0041111B" w:rsidRDefault="0041111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40BC6" w:rsidRPr="005A3580" w:rsidRDefault="00140BC6" w:rsidP="00140BC6">
      <w:pPr>
        <w:ind w:left="851" w:hanging="851"/>
        <w:jc w:val="both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7.</w:t>
      </w:r>
      <w:r w:rsidRPr="005A3580">
        <w:rPr>
          <w:b/>
          <w:sz w:val="24"/>
          <w:szCs w:val="24"/>
        </w:rPr>
        <w:tab/>
        <w:t>INDEHAVER AF MARKEDSFØRINGSTILLADELSEN</w:t>
      </w:r>
    </w:p>
    <w:p w:rsidR="002A571C" w:rsidRPr="00B31581" w:rsidRDefault="002A571C" w:rsidP="002A571C">
      <w:pPr>
        <w:tabs>
          <w:tab w:val="left" w:pos="0"/>
          <w:tab w:val="left" w:pos="849"/>
          <w:tab w:val="left" w:pos="1698"/>
          <w:tab w:val="left" w:pos="2550"/>
          <w:tab w:val="left" w:pos="3402"/>
          <w:tab w:val="left" w:pos="4254"/>
          <w:tab w:val="left" w:pos="5103"/>
          <w:tab w:val="left" w:pos="5952"/>
          <w:tab w:val="left" w:pos="6804"/>
          <w:tab w:val="left" w:pos="7656"/>
          <w:tab w:val="left" w:pos="8508"/>
        </w:tabs>
        <w:suppressAutoHyphens/>
        <w:spacing w:line="240" w:lineRule="atLeast"/>
        <w:ind w:left="849"/>
        <w:jc w:val="both"/>
        <w:rPr>
          <w:spacing w:val="-3"/>
          <w:sz w:val="24"/>
          <w:szCs w:val="24"/>
        </w:rPr>
      </w:pPr>
      <w:proofErr w:type="spellStart"/>
      <w:r w:rsidRPr="00B31581">
        <w:rPr>
          <w:spacing w:val="-3"/>
          <w:sz w:val="24"/>
          <w:szCs w:val="24"/>
        </w:rPr>
        <w:t>Orifarm</w:t>
      </w:r>
      <w:proofErr w:type="spellEnd"/>
      <w:r w:rsidRPr="00B31581">
        <w:rPr>
          <w:spacing w:val="-3"/>
          <w:sz w:val="24"/>
          <w:szCs w:val="24"/>
        </w:rPr>
        <w:t xml:space="preserve"> A/S</w:t>
      </w:r>
    </w:p>
    <w:p w:rsidR="002A571C" w:rsidRPr="00B31581" w:rsidRDefault="002A571C" w:rsidP="002A571C">
      <w:pPr>
        <w:tabs>
          <w:tab w:val="left" w:pos="0"/>
          <w:tab w:val="left" w:pos="849"/>
          <w:tab w:val="left" w:pos="1698"/>
          <w:tab w:val="left" w:pos="2550"/>
          <w:tab w:val="left" w:pos="3402"/>
          <w:tab w:val="left" w:pos="4254"/>
          <w:tab w:val="left" w:pos="5103"/>
          <w:tab w:val="left" w:pos="5952"/>
          <w:tab w:val="left" w:pos="6804"/>
          <w:tab w:val="left" w:pos="7656"/>
          <w:tab w:val="left" w:pos="8508"/>
        </w:tabs>
        <w:suppressAutoHyphens/>
        <w:spacing w:line="240" w:lineRule="atLeast"/>
        <w:ind w:left="849"/>
        <w:jc w:val="both"/>
        <w:rPr>
          <w:spacing w:val="-3"/>
          <w:sz w:val="24"/>
          <w:szCs w:val="24"/>
        </w:rPr>
      </w:pPr>
      <w:r w:rsidRPr="00B31581">
        <w:rPr>
          <w:spacing w:val="-3"/>
          <w:sz w:val="24"/>
          <w:szCs w:val="24"/>
        </w:rPr>
        <w:t>Energivej 15</w:t>
      </w:r>
    </w:p>
    <w:p w:rsidR="002A571C" w:rsidRPr="00B31581" w:rsidRDefault="002A571C" w:rsidP="002A571C">
      <w:pPr>
        <w:tabs>
          <w:tab w:val="left" w:pos="0"/>
          <w:tab w:val="left" w:pos="849"/>
          <w:tab w:val="left" w:pos="1698"/>
          <w:tab w:val="left" w:pos="2550"/>
          <w:tab w:val="left" w:pos="3402"/>
          <w:tab w:val="left" w:pos="4254"/>
          <w:tab w:val="left" w:pos="5103"/>
          <w:tab w:val="left" w:pos="5952"/>
          <w:tab w:val="left" w:pos="6804"/>
          <w:tab w:val="left" w:pos="7656"/>
          <w:tab w:val="left" w:pos="8508"/>
        </w:tabs>
        <w:suppressAutoHyphens/>
        <w:spacing w:line="240" w:lineRule="atLeast"/>
        <w:ind w:left="849"/>
        <w:jc w:val="both"/>
        <w:rPr>
          <w:spacing w:val="-3"/>
          <w:sz w:val="24"/>
          <w:szCs w:val="24"/>
        </w:rPr>
      </w:pPr>
      <w:r w:rsidRPr="00B31581">
        <w:rPr>
          <w:spacing w:val="-3"/>
          <w:sz w:val="24"/>
          <w:szCs w:val="24"/>
        </w:rPr>
        <w:t>5260 Odense S</w:t>
      </w:r>
    </w:p>
    <w:p w:rsidR="00140BC6" w:rsidRPr="00B31581" w:rsidRDefault="00140BC6" w:rsidP="00140BC6">
      <w:pPr>
        <w:ind w:left="851" w:hanging="851"/>
        <w:rPr>
          <w:sz w:val="24"/>
          <w:szCs w:val="24"/>
        </w:rPr>
      </w:pPr>
      <w:bookmarkStart w:id="0" w:name="_GoBack"/>
      <w:bookmarkEnd w:id="0"/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8.</w:t>
      </w:r>
      <w:r w:rsidRPr="005A3580">
        <w:rPr>
          <w:b/>
          <w:sz w:val="24"/>
          <w:szCs w:val="24"/>
        </w:rPr>
        <w:tab/>
        <w:t>MARKEDSFØRINGSTILLADELSESNUMMER (NUMRE)</w:t>
      </w:r>
    </w:p>
    <w:p w:rsidR="00140BC6" w:rsidRDefault="002A571C" w:rsidP="00140BC6">
      <w:pPr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A571C">
        <w:rPr>
          <w:sz w:val="24"/>
          <w:szCs w:val="24"/>
        </w:rPr>
        <w:t>74928</w:t>
      </w:r>
    </w:p>
    <w:p w:rsidR="002A571C" w:rsidRPr="005A3580" w:rsidRDefault="002A571C" w:rsidP="00140BC6">
      <w:pPr>
        <w:ind w:left="851" w:hanging="851"/>
        <w:jc w:val="both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9.</w:t>
      </w:r>
      <w:r w:rsidRPr="005A3580">
        <w:rPr>
          <w:b/>
          <w:sz w:val="24"/>
          <w:szCs w:val="24"/>
        </w:rPr>
        <w:tab/>
        <w:t>DATO FOR FØRSTE MARKEDSFØRINGSTILLADELSE</w:t>
      </w:r>
    </w:p>
    <w:p w:rsidR="00140BC6" w:rsidRPr="005A3580" w:rsidRDefault="00B31581" w:rsidP="00140BC6">
      <w:pPr>
        <w:ind w:left="851"/>
        <w:rPr>
          <w:sz w:val="24"/>
          <w:szCs w:val="24"/>
        </w:rPr>
      </w:pPr>
      <w:r>
        <w:rPr>
          <w:sz w:val="24"/>
          <w:szCs w:val="24"/>
        </w:rPr>
        <w:t>15</w:t>
      </w:r>
      <w:r w:rsidR="002A571C">
        <w:rPr>
          <w:sz w:val="24"/>
          <w:szCs w:val="24"/>
        </w:rPr>
        <w:t>. december</w:t>
      </w:r>
      <w:r w:rsidR="007E2A86">
        <w:rPr>
          <w:sz w:val="24"/>
          <w:szCs w:val="24"/>
        </w:rPr>
        <w:t xml:space="preserve"> </w:t>
      </w:r>
      <w:r w:rsidR="002A571C">
        <w:rPr>
          <w:sz w:val="24"/>
          <w:szCs w:val="24"/>
        </w:rPr>
        <w:t>2025</w:t>
      </w:r>
    </w:p>
    <w:p w:rsidR="00140BC6" w:rsidRPr="005A3580" w:rsidRDefault="00140BC6" w:rsidP="00140BC6">
      <w:pPr>
        <w:ind w:left="851" w:hanging="851"/>
        <w:rPr>
          <w:sz w:val="24"/>
          <w:szCs w:val="24"/>
        </w:rPr>
      </w:pPr>
    </w:p>
    <w:p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10.</w:t>
      </w:r>
      <w:r w:rsidRPr="005A3580">
        <w:rPr>
          <w:b/>
          <w:sz w:val="24"/>
          <w:szCs w:val="24"/>
        </w:rPr>
        <w:tab/>
        <w:t>DATO FOR ÆNDRING AF TEKSTEN</w:t>
      </w:r>
    </w:p>
    <w:p w:rsidR="00140BC6" w:rsidRPr="0086556C" w:rsidRDefault="002A571C" w:rsidP="0041111B">
      <w:pPr>
        <w:ind w:firstLine="851"/>
      </w:pPr>
      <w:r>
        <w:rPr>
          <w:sz w:val="24"/>
          <w:szCs w:val="24"/>
        </w:rPr>
        <w:t>-</w:t>
      </w:r>
    </w:p>
    <w:p w:rsidR="00140BC6" w:rsidRPr="0011449E" w:rsidRDefault="00140BC6" w:rsidP="00140BC6"/>
    <w:p w:rsidR="009260DE" w:rsidRPr="00140BC6" w:rsidRDefault="009260DE" w:rsidP="00140BC6"/>
    <w:sectPr w:rsidR="009260DE" w:rsidRPr="00140BC6" w:rsidSect="000259B9">
      <w:footerReference w:type="default" r:id="rId9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BC6" w:rsidRDefault="00140BC6">
      <w:r>
        <w:separator/>
      </w:r>
    </w:p>
  </w:endnote>
  <w:endnote w:type="continuationSeparator" w:id="0">
    <w:p w:rsidR="00140BC6" w:rsidRDefault="0014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9B9" w:rsidRDefault="000259B9">
    <w:pPr>
      <w:pStyle w:val="Sidefod"/>
      <w:pBdr>
        <w:bottom w:val="single" w:sz="6" w:space="1" w:color="auto"/>
      </w:pBdr>
    </w:pPr>
  </w:p>
  <w:p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2A571C">
      <w:rPr>
        <w:i/>
        <w:noProof/>
        <w:sz w:val="18"/>
        <w:szCs w:val="18"/>
      </w:rPr>
      <w:t>Vancomycin Strides (Orifarm), hårde kapsler 250 mg.docx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BC6" w:rsidRDefault="00140BC6">
      <w:r>
        <w:separator/>
      </w:r>
    </w:p>
  </w:footnote>
  <w:footnote w:type="continuationSeparator" w:id="0">
    <w:p w:rsidR="00140BC6" w:rsidRDefault="00140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3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67A14F62"/>
    <w:multiLevelType w:val="hybridMultilevel"/>
    <w:tmpl w:val="551EA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C6"/>
    <w:rsid w:val="00007FBD"/>
    <w:rsid w:val="000259B9"/>
    <w:rsid w:val="00041491"/>
    <w:rsid w:val="00050D16"/>
    <w:rsid w:val="00074F2A"/>
    <w:rsid w:val="000A1CA8"/>
    <w:rsid w:val="000A466B"/>
    <w:rsid w:val="000B058C"/>
    <w:rsid w:val="000E4EE6"/>
    <w:rsid w:val="00140BC6"/>
    <w:rsid w:val="001454E2"/>
    <w:rsid w:val="002034E4"/>
    <w:rsid w:val="00206CE8"/>
    <w:rsid w:val="0021526C"/>
    <w:rsid w:val="00283905"/>
    <w:rsid w:val="00283A2B"/>
    <w:rsid w:val="002A571C"/>
    <w:rsid w:val="002B30AD"/>
    <w:rsid w:val="002B3377"/>
    <w:rsid w:val="002C2C01"/>
    <w:rsid w:val="00331725"/>
    <w:rsid w:val="00396236"/>
    <w:rsid w:val="003A29AE"/>
    <w:rsid w:val="003A32D7"/>
    <w:rsid w:val="003B4074"/>
    <w:rsid w:val="003C769A"/>
    <w:rsid w:val="003F1838"/>
    <w:rsid w:val="0041111B"/>
    <w:rsid w:val="0045746C"/>
    <w:rsid w:val="0049104B"/>
    <w:rsid w:val="004E3B12"/>
    <w:rsid w:val="00532310"/>
    <w:rsid w:val="00560ECC"/>
    <w:rsid w:val="00565F0F"/>
    <w:rsid w:val="00580D60"/>
    <w:rsid w:val="00594A86"/>
    <w:rsid w:val="00596D86"/>
    <w:rsid w:val="00637F5A"/>
    <w:rsid w:val="006560B1"/>
    <w:rsid w:val="006756DD"/>
    <w:rsid w:val="00737275"/>
    <w:rsid w:val="00740EEC"/>
    <w:rsid w:val="0078011A"/>
    <w:rsid w:val="00782AF4"/>
    <w:rsid w:val="00783229"/>
    <w:rsid w:val="00790EE7"/>
    <w:rsid w:val="007B6649"/>
    <w:rsid w:val="007E2A86"/>
    <w:rsid w:val="0081546F"/>
    <w:rsid w:val="0082576E"/>
    <w:rsid w:val="008D18BB"/>
    <w:rsid w:val="008D3B1F"/>
    <w:rsid w:val="00907F75"/>
    <w:rsid w:val="009260DE"/>
    <w:rsid w:val="00927CC6"/>
    <w:rsid w:val="0093258A"/>
    <w:rsid w:val="009C7BA3"/>
    <w:rsid w:val="009D1F5A"/>
    <w:rsid w:val="00AE36B0"/>
    <w:rsid w:val="00B003BF"/>
    <w:rsid w:val="00B31581"/>
    <w:rsid w:val="00B373D7"/>
    <w:rsid w:val="00C02E24"/>
    <w:rsid w:val="00C36276"/>
    <w:rsid w:val="00C42586"/>
    <w:rsid w:val="00C60CCD"/>
    <w:rsid w:val="00C84483"/>
    <w:rsid w:val="00C95551"/>
    <w:rsid w:val="00CB20D7"/>
    <w:rsid w:val="00CC6C1A"/>
    <w:rsid w:val="00D020B0"/>
    <w:rsid w:val="00D11748"/>
    <w:rsid w:val="00D31F67"/>
    <w:rsid w:val="00D366CF"/>
    <w:rsid w:val="00E108AA"/>
    <w:rsid w:val="00E31812"/>
    <w:rsid w:val="00E3749A"/>
    <w:rsid w:val="00E7437F"/>
    <w:rsid w:val="00E865B8"/>
    <w:rsid w:val="00EC0B9B"/>
    <w:rsid w:val="00ED5E9F"/>
    <w:rsid w:val="00F66D4F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C6C79"/>
  <w15:chartTrackingRefBased/>
  <w15:docId w15:val="{FC20355B-0841-4E31-BA69-37A5714C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styleId="Ingenafstand">
    <w:name w:val="No Spacing"/>
    <w:uiPriority w:val="1"/>
    <w:qFormat/>
    <w:rsid w:val="00140BC6"/>
    <w:rPr>
      <w:rFonts w:ascii="Calibri" w:hAnsi="Calibri"/>
      <w:sz w:val="22"/>
      <w:szCs w:val="22"/>
      <w:lang w:bidi="da-DK"/>
    </w:rPr>
  </w:style>
  <w:style w:type="character" w:styleId="Hyperlink">
    <w:name w:val="Hyperlink"/>
    <w:uiPriority w:val="99"/>
    <w:semiHidden/>
    <w:unhideWhenUsed/>
    <w:rsid w:val="00140BC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denbivirkning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1999</Words>
  <Characters>13890</Characters>
  <Application>Microsoft Office Word</Application>
  <DocSecurity>0</DocSecurity>
  <Lines>115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Karen Heltoft</dc:creator>
  <cp:keywords/>
  <dc:description>2025102407_x000d_
Nyt PI-SPC</dc:description>
  <cp:lastModifiedBy>Karen Heltoft</cp:lastModifiedBy>
  <cp:revision>8</cp:revision>
  <cp:lastPrinted>2012-08-22T08:53:00Z</cp:lastPrinted>
  <dcterms:created xsi:type="dcterms:W3CDTF">2025-12-08T12:48:00Z</dcterms:created>
  <dcterms:modified xsi:type="dcterms:W3CDTF">2025-12-15T12:21:00Z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wTemplateConverted">
    <vt:lpwstr>SPC Hum.dotm</vt:lpwstr>
  </property>
  <property fmtid="{D5CDD505-2E9C-101B-9397-08002B2CF9AE}" pid="3" name="ConvertedFromMacroDocument">
    <vt:lpwstr>True</vt:lpwstr>
  </property>
</Properties>
</file>