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BDEB9" w14:textId="77777777" w:rsidR="00735CE3" w:rsidRPr="0082114D" w:rsidRDefault="00735CE3" w:rsidP="0082114D">
      <w:pPr>
        <w:pStyle w:val="Title"/>
        <w:tabs>
          <w:tab w:val="left" w:pos="7938"/>
        </w:tabs>
        <w:jc w:val="left"/>
        <w:rPr>
          <w:b w:val="0"/>
        </w:rPr>
      </w:pPr>
      <w:bookmarkStart w:id="0" w:name="_GoBack"/>
      <w:bookmarkEnd w:id="0"/>
      <w:r w:rsidRPr="004326E6">
        <w:rPr>
          <w:b w:val="0"/>
          <w:noProof/>
        </w:rPr>
        <w:drawing>
          <wp:inline distT="0" distB="0" distL="0" distR="0" wp14:anchorId="1C756772" wp14:editId="5F0E517C">
            <wp:extent cx="2463800" cy="685800"/>
            <wp:effectExtent l="0" t="0" r="0" b="0"/>
            <wp:docPr id="2" name="Billed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 descr="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3800" cy="685800"/>
                    </a:xfrm>
                    <a:prstGeom prst="rect">
                      <a:avLst/>
                    </a:prstGeom>
                    <a:noFill/>
                    <a:ln>
                      <a:noFill/>
                    </a:ln>
                  </pic:spPr>
                </pic:pic>
              </a:graphicData>
            </a:graphic>
          </wp:inline>
        </w:drawing>
      </w:r>
    </w:p>
    <w:p w14:paraId="1A4C40C4" w14:textId="77777777" w:rsidR="00735CE3" w:rsidRPr="0082114D" w:rsidRDefault="00735CE3" w:rsidP="0082114D">
      <w:pPr>
        <w:tabs>
          <w:tab w:val="right" w:pos="9072"/>
        </w:tabs>
        <w:rPr>
          <w:spacing w:val="-3"/>
          <w:sz w:val="24"/>
        </w:rPr>
      </w:pPr>
    </w:p>
    <w:p w14:paraId="7A5D65B5" w14:textId="77777777" w:rsidR="00735CE3" w:rsidRDefault="00735CE3" w:rsidP="00404F9C">
      <w:pPr>
        <w:tabs>
          <w:tab w:val="right" w:pos="9072"/>
        </w:tabs>
        <w:jc w:val="right"/>
        <w:rPr>
          <w:b/>
          <w:spacing w:val="-3"/>
          <w:sz w:val="24"/>
        </w:rPr>
      </w:pPr>
      <w:r>
        <w:rPr>
          <w:b/>
          <w:spacing w:val="-3"/>
          <w:sz w:val="24"/>
        </w:rPr>
        <w:t>1. marts 2018</w:t>
      </w:r>
    </w:p>
    <w:p w14:paraId="6C13CE08" w14:textId="77777777" w:rsidR="00404F9C" w:rsidRPr="00404F9C" w:rsidRDefault="00404F9C" w:rsidP="00404F9C">
      <w:pPr>
        <w:rPr>
          <w:sz w:val="24"/>
          <w:szCs w:val="24"/>
        </w:rPr>
      </w:pPr>
    </w:p>
    <w:p w14:paraId="4ED3FDB8" w14:textId="77777777" w:rsidR="00404F9C" w:rsidRPr="00404F9C" w:rsidRDefault="00404F9C" w:rsidP="00404F9C">
      <w:pPr>
        <w:rPr>
          <w:sz w:val="24"/>
          <w:szCs w:val="24"/>
        </w:rPr>
      </w:pPr>
    </w:p>
    <w:p w14:paraId="35B95C94" w14:textId="77777777" w:rsidR="00404F9C" w:rsidRPr="00404F9C" w:rsidRDefault="00404F9C" w:rsidP="00404F9C">
      <w:pPr>
        <w:rPr>
          <w:sz w:val="24"/>
          <w:szCs w:val="24"/>
        </w:rPr>
      </w:pPr>
    </w:p>
    <w:p w14:paraId="2321605A" w14:textId="77777777" w:rsidR="00735CE3" w:rsidRPr="00404F9C" w:rsidRDefault="00735CE3" w:rsidP="00404F9C">
      <w:pPr>
        <w:jc w:val="center"/>
        <w:rPr>
          <w:b/>
          <w:sz w:val="24"/>
          <w:szCs w:val="24"/>
        </w:rPr>
      </w:pPr>
      <w:r w:rsidRPr="00404F9C">
        <w:rPr>
          <w:b/>
          <w:sz w:val="24"/>
          <w:szCs w:val="24"/>
        </w:rPr>
        <w:t>PRODUKTRESUMÉ</w:t>
      </w:r>
    </w:p>
    <w:p w14:paraId="527A1437" w14:textId="77777777" w:rsidR="00735CE3" w:rsidRDefault="00735CE3" w:rsidP="00735CE3">
      <w:pPr>
        <w:tabs>
          <w:tab w:val="left" w:pos="0"/>
          <w:tab w:val="left" w:pos="851"/>
          <w:tab w:val="left" w:pos="1701"/>
          <w:tab w:val="left" w:pos="2552"/>
          <w:tab w:val="left" w:pos="3403"/>
          <w:tab w:val="left" w:pos="4254"/>
          <w:tab w:val="left" w:pos="5105"/>
          <w:tab w:val="left" w:pos="5955"/>
          <w:tab w:val="left" w:pos="6806"/>
          <w:tab w:val="left" w:pos="7657"/>
          <w:tab w:val="left" w:pos="8508"/>
        </w:tabs>
        <w:jc w:val="center"/>
        <w:rPr>
          <w:b/>
          <w:spacing w:val="-3"/>
          <w:sz w:val="24"/>
        </w:rPr>
      </w:pPr>
    </w:p>
    <w:p w14:paraId="306672AD" w14:textId="77777777" w:rsidR="00735CE3" w:rsidRDefault="00735CE3" w:rsidP="00735CE3">
      <w:pPr>
        <w:tabs>
          <w:tab w:val="center" w:pos="4536"/>
        </w:tabs>
        <w:jc w:val="center"/>
        <w:rPr>
          <w:b/>
          <w:spacing w:val="-3"/>
          <w:sz w:val="24"/>
        </w:rPr>
      </w:pPr>
      <w:r>
        <w:rPr>
          <w:b/>
          <w:spacing w:val="-3"/>
          <w:sz w:val="24"/>
        </w:rPr>
        <w:t>for</w:t>
      </w:r>
    </w:p>
    <w:p w14:paraId="654A1184" w14:textId="77777777" w:rsidR="00735CE3" w:rsidRDefault="00735CE3" w:rsidP="00735CE3">
      <w:pPr>
        <w:tabs>
          <w:tab w:val="left" w:pos="0"/>
          <w:tab w:val="left" w:pos="851"/>
          <w:tab w:val="left" w:pos="1701"/>
          <w:tab w:val="left" w:pos="2552"/>
          <w:tab w:val="left" w:pos="3403"/>
          <w:tab w:val="left" w:pos="4254"/>
          <w:tab w:val="left" w:pos="5105"/>
          <w:tab w:val="left" w:pos="5955"/>
          <w:tab w:val="left" w:pos="6806"/>
          <w:tab w:val="left" w:pos="7657"/>
          <w:tab w:val="left" w:pos="8508"/>
        </w:tabs>
        <w:jc w:val="center"/>
        <w:rPr>
          <w:b/>
          <w:spacing w:val="-3"/>
          <w:sz w:val="24"/>
        </w:rPr>
      </w:pPr>
    </w:p>
    <w:p w14:paraId="658ED768" w14:textId="77777777" w:rsidR="00735CE3" w:rsidRDefault="00735CE3" w:rsidP="00735CE3">
      <w:pPr>
        <w:tabs>
          <w:tab w:val="center" w:pos="4536"/>
        </w:tabs>
        <w:jc w:val="center"/>
        <w:rPr>
          <w:spacing w:val="-3"/>
          <w:sz w:val="24"/>
        </w:rPr>
      </w:pPr>
      <w:r>
        <w:rPr>
          <w:b/>
          <w:spacing w:val="-3"/>
          <w:sz w:val="24"/>
        </w:rPr>
        <w:t xml:space="preserve">Vancomycin </w:t>
      </w:r>
      <w:r w:rsidR="000E70BD">
        <w:rPr>
          <w:b/>
          <w:spacing w:val="-3"/>
          <w:sz w:val="24"/>
        </w:rPr>
        <w:t>"</w:t>
      </w:r>
      <w:r>
        <w:rPr>
          <w:b/>
          <w:spacing w:val="-3"/>
          <w:sz w:val="24"/>
        </w:rPr>
        <w:t>Xellia</w:t>
      </w:r>
      <w:r w:rsidR="000E70BD">
        <w:rPr>
          <w:b/>
          <w:spacing w:val="-3"/>
          <w:sz w:val="24"/>
        </w:rPr>
        <w:t>"</w:t>
      </w:r>
      <w:r>
        <w:rPr>
          <w:b/>
          <w:spacing w:val="-3"/>
          <w:sz w:val="24"/>
        </w:rPr>
        <w:t xml:space="preserve">, </w:t>
      </w:r>
      <w:r w:rsidR="00094949">
        <w:rPr>
          <w:b/>
          <w:spacing w:val="-3"/>
          <w:sz w:val="24"/>
        </w:rPr>
        <w:t xml:space="preserve">hårde </w:t>
      </w:r>
      <w:r>
        <w:rPr>
          <w:b/>
          <w:spacing w:val="-3"/>
          <w:sz w:val="24"/>
        </w:rPr>
        <w:t>kapsler</w:t>
      </w:r>
    </w:p>
    <w:p w14:paraId="33EAA48C" w14:textId="77777777" w:rsidR="00735CE3" w:rsidRDefault="00735CE3" w:rsidP="00735CE3">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rPr>
      </w:pPr>
    </w:p>
    <w:p w14:paraId="4BB75AB0" w14:textId="77777777" w:rsidR="00404F9C" w:rsidRDefault="00404F9C" w:rsidP="00735CE3">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rPr>
      </w:pPr>
    </w:p>
    <w:p w14:paraId="541EE4E2" w14:textId="77777777" w:rsidR="00823089" w:rsidRDefault="00823089" w:rsidP="00823089">
      <w:pPr>
        <w:tabs>
          <w:tab w:val="left" w:pos="851"/>
        </w:tabs>
        <w:ind w:left="851" w:hanging="851"/>
        <w:rPr>
          <w:b/>
          <w:sz w:val="24"/>
          <w:szCs w:val="24"/>
        </w:rPr>
      </w:pPr>
      <w:r>
        <w:rPr>
          <w:b/>
          <w:sz w:val="24"/>
          <w:szCs w:val="24"/>
        </w:rPr>
        <w:t>0.</w:t>
      </w:r>
      <w:r>
        <w:rPr>
          <w:b/>
          <w:sz w:val="24"/>
          <w:szCs w:val="24"/>
        </w:rPr>
        <w:tab/>
        <w:t>D.SP.NR.</w:t>
      </w:r>
    </w:p>
    <w:p w14:paraId="403F8EDD" w14:textId="77777777" w:rsidR="00735CE3" w:rsidRDefault="00735CE3" w:rsidP="00735CE3">
      <w:pPr>
        <w:tabs>
          <w:tab w:val="left" w:pos="0"/>
          <w:tab w:val="left" w:pos="851"/>
        </w:tabs>
        <w:ind w:left="850" w:hanging="850"/>
        <w:jc w:val="both"/>
        <w:rPr>
          <w:spacing w:val="-3"/>
          <w:sz w:val="24"/>
        </w:rPr>
      </w:pPr>
      <w:r>
        <w:rPr>
          <w:spacing w:val="-3"/>
          <w:sz w:val="24"/>
        </w:rPr>
        <w:tab/>
      </w:r>
      <w:r w:rsidR="00094949">
        <w:rPr>
          <w:spacing w:val="-3"/>
          <w:sz w:val="24"/>
        </w:rPr>
        <w:t>0</w:t>
      </w:r>
      <w:r>
        <w:rPr>
          <w:spacing w:val="-3"/>
          <w:sz w:val="24"/>
        </w:rPr>
        <w:t>9414</w:t>
      </w:r>
    </w:p>
    <w:p w14:paraId="6158892D" w14:textId="77777777" w:rsidR="00735CE3" w:rsidRDefault="00735CE3" w:rsidP="00735CE3">
      <w:pPr>
        <w:tabs>
          <w:tab w:val="left" w:pos="0"/>
          <w:tab w:val="left" w:pos="851"/>
        </w:tabs>
        <w:jc w:val="both"/>
        <w:rPr>
          <w:spacing w:val="-3"/>
          <w:sz w:val="24"/>
        </w:rPr>
      </w:pPr>
    </w:p>
    <w:p w14:paraId="1C937BD6" w14:textId="77777777" w:rsidR="00823089" w:rsidRDefault="00823089" w:rsidP="00823089">
      <w:pPr>
        <w:tabs>
          <w:tab w:val="left" w:pos="851"/>
        </w:tabs>
        <w:ind w:left="851" w:hanging="851"/>
        <w:rPr>
          <w:b/>
          <w:sz w:val="24"/>
          <w:szCs w:val="24"/>
        </w:rPr>
      </w:pPr>
      <w:r>
        <w:rPr>
          <w:b/>
          <w:sz w:val="24"/>
          <w:szCs w:val="24"/>
        </w:rPr>
        <w:t>1.</w:t>
      </w:r>
      <w:r>
        <w:rPr>
          <w:b/>
          <w:sz w:val="24"/>
          <w:szCs w:val="24"/>
        </w:rPr>
        <w:tab/>
        <w:t>LÆGEMIDLETS NAVN</w:t>
      </w:r>
    </w:p>
    <w:p w14:paraId="61027737" w14:textId="77777777" w:rsidR="00735CE3" w:rsidRDefault="00735CE3" w:rsidP="00735CE3">
      <w:pPr>
        <w:tabs>
          <w:tab w:val="left" w:pos="0"/>
          <w:tab w:val="left" w:pos="851"/>
        </w:tabs>
        <w:ind w:left="850" w:hanging="850"/>
        <w:jc w:val="both"/>
        <w:rPr>
          <w:spacing w:val="-3"/>
          <w:sz w:val="24"/>
        </w:rPr>
      </w:pPr>
      <w:r>
        <w:rPr>
          <w:spacing w:val="-3"/>
          <w:sz w:val="24"/>
        </w:rPr>
        <w:tab/>
        <w:t xml:space="preserve">Vancomycin </w:t>
      </w:r>
      <w:r w:rsidR="000E70BD">
        <w:rPr>
          <w:spacing w:val="-3"/>
          <w:sz w:val="24"/>
        </w:rPr>
        <w:t>"</w:t>
      </w:r>
      <w:r>
        <w:rPr>
          <w:spacing w:val="-3"/>
          <w:sz w:val="24"/>
        </w:rPr>
        <w:t>Xellia</w:t>
      </w:r>
      <w:r w:rsidR="000E70BD">
        <w:rPr>
          <w:spacing w:val="-3"/>
          <w:sz w:val="24"/>
        </w:rPr>
        <w:t>"</w:t>
      </w:r>
    </w:p>
    <w:p w14:paraId="36A454D8" w14:textId="77777777" w:rsidR="00735CE3" w:rsidRDefault="00735CE3" w:rsidP="00735CE3">
      <w:pPr>
        <w:tabs>
          <w:tab w:val="left" w:pos="0"/>
          <w:tab w:val="left" w:pos="851"/>
        </w:tabs>
        <w:jc w:val="both"/>
        <w:rPr>
          <w:spacing w:val="-3"/>
          <w:sz w:val="24"/>
        </w:rPr>
      </w:pPr>
    </w:p>
    <w:p w14:paraId="5957B078" w14:textId="77777777" w:rsidR="00823089" w:rsidRDefault="00823089" w:rsidP="00823089">
      <w:pPr>
        <w:tabs>
          <w:tab w:val="left" w:pos="851"/>
        </w:tabs>
        <w:ind w:left="851" w:hanging="851"/>
        <w:rPr>
          <w:b/>
          <w:sz w:val="24"/>
          <w:szCs w:val="24"/>
        </w:rPr>
      </w:pPr>
      <w:r>
        <w:rPr>
          <w:b/>
          <w:sz w:val="24"/>
          <w:szCs w:val="24"/>
        </w:rPr>
        <w:t>2.</w:t>
      </w:r>
      <w:r>
        <w:rPr>
          <w:b/>
          <w:sz w:val="24"/>
          <w:szCs w:val="24"/>
        </w:rPr>
        <w:tab/>
        <w:t>KVALITATIV OG KVANTITATIV SAMMENSÆTNING</w:t>
      </w:r>
    </w:p>
    <w:p w14:paraId="1419C8CF" w14:textId="77777777" w:rsidR="00735CE3" w:rsidRDefault="00735CE3" w:rsidP="00735CE3">
      <w:pPr>
        <w:tabs>
          <w:tab w:val="left" w:pos="0"/>
          <w:tab w:val="left" w:pos="851"/>
        </w:tabs>
        <w:ind w:left="850" w:hanging="850"/>
        <w:rPr>
          <w:spacing w:val="-3"/>
          <w:sz w:val="24"/>
        </w:rPr>
      </w:pPr>
      <w:r>
        <w:rPr>
          <w:spacing w:val="-3"/>
          <w:sz w:val="24"/>
        </w:rPr>
        <w:tab/>
      </w:r>
      <w:r>
        <w:rPr>
          <w:sz w:val="24"/>
          <w:szCs w:val="24"/>
        </w:rPr>
        <w:t>Hver kapsel indeholder 125 mg og 250 mg vancomycinhydrochlorid svarende til 125.000 IE og 250.000 IE vancomycin.</w:t>
      </w:r>
    </w:p>
    <w:p w14:paraId="3C395F2D" w14:textId="77777777" w:rsidR="00735CE3" w:rsidRDefault="00735CE3" w:rsidP="00735CE3">
      <w:pPr>
        <w:tabs>
          <w:tab w:val="left" w:pos="0"/>
          <w:tab w:val="left" w:pos="851"/>
        </w:tabs>
        <w:ind w:left="850" w:hanging="850"/>
        <w:jc w:val="both"/>
        <w:rPr>
          <w:spacing w:val="-3"/>
          <w:sz w:val="24"/>
        </w:rPr>
      </w:pPr>
      <w:r>
        <w:rPr>
          <w:spacing w:val="-3"/>
          <w:sz w:val="24"/>
        </w:rPr>
        <w:tab/>
      </w:r>
    </w:p>
    <w:p w14:paraId="0005211C" w14:textId="77777777" w:rsidR="00735CE3" w:rsidRDefault="00735CE3" w:rsidP="00735CE3">
      <w:pPr>
        <w:tabs>
          <w:tab w:val="left" w:pos="0"/>
          <w:tab w:val="left" w:pos="851"/>
        </w:tabs>
        <w:ind w:left="850" w:hanging="850"/>
        <w:jc w:val="both"/>
        <w:rPr>
          <w:spacing w:val="-3"/>
          <w:sz w:val="24"/>
        </w:rPr>
      </w:pPr>
      <w:r>
        <w:rPr>
          <w:spacing w:val="-3"/>
          <w:sz w:val="24"/>
        </w:rPr>
        <w:tab/>
        <w:t>Hjælpestoffer se pkt. 6.1.</w:t>
      </w:r>
    </w:p>
    <w:p w14:paraId="5FD3E7E4" w14:textId="77777777" w:rsidR="00735CE3" w:rsidRDefault="00735CE3" w:rsidP="00735CE3">
      <w:pPr>
        <w:tabs>
          <w:tab w:val="left" w:pos="0"/>
          <w:tab w:val="left" w:pos="851"/>
        </w:tabs>
        <w:jc w:val="both"/>
        <w:rPr>
          <w:spacing w:val="-3"/>
          <w:sz w:val="24"/>
        </w:rPr>
      </w:pPr>
    </w:p>
    <w:p w14:paraId="5F7402EC" w14:textId="77777777" w:rsidR="00823089" w:rsidRDefault="00823089" w:rsidP="00823089">
      <w:pPr>
        <w:tabs>
          <w:tab w:val="left" w:pos="851"/>
        </w:tabs>
        <w:ind w:left="851" w:hanging="851"/>
        <w:rPr>
          <w:b/>
          <w:sz w:val="24"/>
          <w:szCs w:val="24"/>
        </w:rPr>
      </w:pPr>
      <w:r>
        <w:rPr>
          <w:b/>
          <w:sz w:val="24"/>
          <w:szCs w:val="24"/>
        </w:rPr>
        <w:t>3.</w:t>
      </w:r>
      <w:r>
        <w:rPr>
          <w:b/>
          <w:sz w:val="24"/>
          <w:szCs w:val="24"/>
        </w:rPr>
        <w:tab/>
        <w:t>LÆGEMIDDELFORM</w:t>
      </w:r>
    </w:p>
    <w:p w14:paraId="00A1116C" w14:textId="77777777" w:rsidR="00735CE3" w:rsidRDefault="00735CE3" w:rsidP="00735CE3">
      <w:pPr>
        <w:tabs>
          <w:tab w:val="left" w:pos="0"/>
          <w:tab w:val="left" w:pos="851"/>
        </w:tabs>
        <w:ind w:left="850" w:hanging="850"/>
        <w:jc w:val="both"/>
        <w:rPr>
          <w:spacing w:val="-3"/>
          <w:sz w:val="24"/>
        </w:rPr>
      </w:pPr>
      <w:r>
        <w:rPr>
          <w:spacing w:val="-3"/>
          <w:sz w:val="24"/>
        </w:rPr>
        <w:tab/>
      </w:r>
      <w:r w:rsidR="00404F9C">
        <w:rPr>
          <w:spacing w:val="-3"/>
          <w:sz w:val="24"/>
        </w:rPr>
        <w:t>Hårde k</w:t>
      </w:r>
      <w:r>
        <w:rPr>
          <w:spacing w:val="-3"/>
          <w:sz w:val="24"/>
        </w:rPr>
        <w:t>apsler</w:t>
      </w:r>
    </w:p>
    <w:p w14:paraId="3E260F1C" w14:textId="77777777" w:rsidR="00735CE3" w:rsidRDefault="00735CE3" w:rsidP="00735CE3">
      <w:pPr>
        <w:tabs>
          <w:tab w:val="left" w:pos="0"/>
          <w:tab w:val="left" w:pos="851"/>
        </w:tabs>
        <w:jc w:val="both"/>
        <w:rPr>
          <w:spacing w:val="-3"/>
          <w:sz w:val="24"/>
        </w:rPr>
      </w:pPr>
    </w:p>
    <w:p w14:paraId="551E8BD3" w14:textId="77777777" w:rsidR="00735CE3" w:rsidRDefault="00735CE3" w:rsidP="00735CE3">
      <w:pPr>
        <w:tabs>
          <w:tab w:val="left" w:pos="0"/>
          <w:tab w:val="left" w:pos="851"/>
        </w:tabs>
        <w:jc w:val="both"/>
        <w:rPr>
          <w:spacing w:val="-3"/>
          <w:sz w:val="24"/>
        </w:rPr>
      </w:pPr>
    </w:p>
    <w:p w14:paraId="0FE6FD1D" w14:textId="77777777" w:rsidR="00823089" w:rsidRDefault="00823089" w:rsidP="00823089">
      <w:pPr>
        <w:tabs>
          <w:tab w:val="left" w:pos="851"/>
        </w:tabs>
        <w:ind w:left="851" w:hanging="851"/>
        <w:rPr>
          <w:b/>
          <w:sz w:val="24"/>
          <w:szCs w:val="24"/>
        </w:rPr>
      </w:pPr>
      <w:r>
        <w:rPr>
          <w:b/>
          <w:sz w:val="24"/>
          <w:szCs w:val="24"/>
        </w:rPr>
        <w:t>4.</w:t>
      </w:r>
      <w:r>
        <w:rPr>
          <w:b/>
          <w:sz w:val="24"/>
          <w:szCs w:val="24"/>
        </w:rPr>
        <w:tab/>
        <w:t>KLINISKE OPLYSNINGER</w:t>
      </w:r>
    </w:p>
    <w:p w14:paraId="2B8904BF" w14:textId="77777777" w:rsidR="00735CE3" w:rsidRDefault="00735CE3" w:rsidP="00735CE3">
      <w:pPr>
        <w:tabs>
          <w:tab w:val="left" w:pos="0"/>
          <w:tab w:val="left" w:pos="851"/>
        </w:tabs>
        <w:jc w:val="both"/>
        <w:rPr>
          <w:spacing w:val="-3"/>
          <w:sz w:val="24"/>
        </w:rPr>
      </w:pPr>
    </w:p>
    <w:p w14:paraId="4287EA9A" w14:textId="77777777" w:rsidR="00823089" w:rsidRDefault="00823089" w:rsidP="00823089">
      <w:pPr>
        <w:tabs>
          <w:tab w:val="left" w:pos="851"/>
        </w:tabs>
        <w:ind w:left="851" w:hanging="851"/>
        <w:rPr>
          <w:b/>
          <w:sz w:val="24"/>
          <w:szCs w:val="24"/>
          <w:u w:val="single"/>
        </w:rPr>
      </w:pPr>
      <w:r>
        <w:rPr>
          <w:b/>
          <w:sz w:val="24"/>
          <w:szCs w:val="24"/>
        </w:rPr>
        <w:t>4.1</w:t>
      </w:r>
      <w:r>
        <w:rPr>
          <w:b/>
          <w:sz w:val="24"/>
          <w:szCs w:val="24"/>
        </w:rPr>
        <w:tab/>
        <w:t>Terapeutiske indikationer</w:t>
      </w:r>
    </w:p>
    <w:p w14:paraId="73400044" w14:textId="77777777" w:rsidR="00735CE3" w:rsidRDefault="00735CE3" w:rsidP="00735CE3">
      <w:pPr>
        <w:tabs>
          <w:tab w:val="left" w:pos="851"/>
        </w:tabs>
        <w:ind w:left="851" w:hanging="851"/>
        <w:rPr>
          <w:sz w:val="24"/>
          <w:szCs w:val="24"/>
        </w:rPr>
      </w:pPr>
      <w:r>
        <w:rPr>
          <w:spacing w:val="-3"/>
          <w:sz w:val="24"/>
        </w:rPr>
        <w:tab/>
      </w:r>
      <w:r>
        <w:rPr>
          <w:sz w:val="24"/>
          <w:szCs w:val="24"/>
        </w:rPr>
        <w:t xml:space="preserve">Vancomycin kapsler er indiceret hos patienter fra 12 år og ældre til behandling af </w:t>
      </w:r>
      <w:r w:rsidRPr="00D94CAF">
        <w:rPr>
          <w:i/>
          <w:sz w:val="24"/>
          <w:szCs w:val="24"/>
        </w:rPr>
        <w:t>Clostridium difficile</w:t>
      </w:r>
      <w:r>
        <w:rPr>
          <w:sz w:val="24"/>
          <w:szCs w:val="24"/>
        </w:rPr>
        <w:t xml:space="preserve"> infektion (CDI) (se pkt. 4.2, 4.4 og 5.1).</w:t>
      </w:r>
    </w:p>
    <w:p w14:paraId="7957273D" w14:textId="77777777" w:rsidR="00735CE3" w:rsidRDefault="00735CE3" w:rsidP="00735CE3">
      <w:pPr>
        <w:tabs>
          <w:tab w:val="left" w:pos="851"/>
        </w:tabs>
        <w:ind w:left="851" w:hanging="851"/>
        <w:rPr>
          <w:sz w:val="24"/>
          <w:szCs w:val="24"/>
        </w:rPr>
      </w:pPr>
    </w:p>
    <w:p w14:paraId="1F8936CA" w14:textId="77777777" w:rsidR="00735CE3" w:rsidRDefault="00735CE3" w:rsidP="00735CE3">
      <w:pPr>
        <w:tabs>
          <w:tab w:val="left" w:pos="851"/>
        </w:tabs>
        <w:ind w:left="851"/>
        <w:rPr>
          <w:sz w:val="24"/>
          <w:szCs w:val="24"/>
        </w:rPr>
      </w:pPr>
      <w:r>
        <w:rPr>
          <w:sz w:val="24"/>
          <w:szCs w:val="24"/>
        </w:rPr>
        <w:t>Der bør tages hensyn til officiel vejledning om passende anvendelse af antibakterielle midler.</w:t>
      </w:r>
    </w:p>
    <w:p w14:paraId="6E079EF3" w14:textId="77777777" w:rsidR="00735CE3" w:rsidRDefault="00735CE3" w:rsidP="00735CE3">
      <w:pPr>
        <w:tabs>
          <w:tab w:val="left" w:pos="851"/>
        </w:tabs>
        <w:ind w:left="851" w:hanging="851"/>
        <w:rPr>
          <w:spacing w:val="-3"/>
          <w:sz w:val="24"/>
        </w:rPr>
      </w:pPr>
      <w:r>
        <w:rPr>
          <w:sz w:val="24"/>
          <w:szCs w:val="24"/>
        </w:rPr>
        <w:tab/>
      </w:r>
    </w:p>
    <w:p w14:paraId="3569B9A1" w14:textId="77777777" w:rsidR="00823089" w:rsidRDefault="00823089" w:rsidP="00823089">
      <w:pPr>
        <w:tabs>
          <w:tab w:val="left" w:pos="851"/>
        </w:tabs>
        <w:ind w:left="851" w:hanging="851"/>
        <w:rPr>
          <w:b/>
          <w:sz w:val="24"/>
          <w:szCs w:val="24"/>
        </w:rPr>
      </w:pPr>
      <w:r>
        <w:rPr>
          <w:b/>
          <w:sz w:val="24"/>
          <w:szCs w:val="24"/>
        </w:rPr>
        <w:t>4.2</w:t>
      </w:r>
      <w:r>
        <w:rPr>
          <w:b/>
          <w:sz w:val="24"/>
          <w:szCs w:val="24"/>
        </w:rPr>
        <w:tab/>
        <w:t>Dosering og indgivelsesmåde</w:t>
      </w:r>
    </w:p>
    <w:p w14:paraId="340317F3" w14:textId="77777777" w:rsidR="000E70BD" w:rsidRDefault="000E70BD" w:rsidP="00735CE3">
      <w:pPr>
        <w:tabs>
          <w:tab w:val="left" w:pos="851"/>
        </w:tabs>
        <w:ind w:firstLine="851"/>
        <w:rPr>
          <w:sz w:val="24"/>
          <w:szCs w:val="24"/>
          <w:u w:val="single"/>
        </w:rPr>
      </w:pPr>
    </w:p>
    <w:p w14:paraId="75BAA389" w14:textId="77777777" w:rsidR="00735CE3" w:rsidRDefault="00735CE3" w:rsidP="00735CE3">
      <w:pPr>
        <w:tabs>
          <w:tab w:val="left" w:pos="851"/>
        </w:tabs>
        <w:ind w:firstLine="851"/>
        <w:rPr>
          <w:spacing w:val="-3"/>
          <w:sz w:val="24"/>
          <w:szCs w:val="24"/>
        </w:rPr>
      </w:pPr>
      <w:r>
        <w:rPr>
          <w:sz w:val="24"/>
          <w:szCs w:val="24"/>
          <w:u w:val="single"/>
        </w:rPr>
        <w:t>Dosering</w:t>
      </w:r>
    </w:p>
    <w:p w14:paraId="1420ABF1" w14:textId="77777777" w:rsidR="00735CE3" w:rsidRDefault="00735CE3" w:rsidP="00735CE3">
      <w:pPr>
        <w:tabs>
          <w:tab w:val="left" w:pos="851"/>
        </w:tabs>
        <w:ind w:firstLine="851"/>
        <w:rPr>
          <w:spacing w:val="-3"/>
          <w:sz w:val="24"/>
          <w:szCs w:val="24"/>
        </w:rPr>
      </w:pPr>
    </w:p>
    <w:p w14:paraId="4471090D" w14:textId="77777777" w:rsidR="00735CE3" w:rsidRDefault="00735CE3" w:rsidP="00735CE3">
      <w:pPr>
        <w:tabs>
          <w:tab w:val="left" w:pos="851"/>
        </w:tabs>
        <w:ind w:firstLine="851"/>
        <w:rPr>
          <w:spacing w:val="-3"/>
          <w:sz w:val="24"/>
          <w:szCs w:val="24"/>
        </w:rPr>
      </w:pPr>
      <w:r>
        <w:rPr>
          <w:i/>
          <w:spacing w:val="-3"/>
          <w:sz w:val="24"/>
          <w:szCs w:val="24"/>
        </w:rPr>
        <w:t>Voksne og unge i alderen 12 til 18 år</w:t>
      </w:r>
    </w:p>
    <w:p w14:paraId="3F752305" w14:textId="77777777" w:rsidR="00735CE3" w:rsidRDefault="00735CE3" w:rsidP="00735CE3">
      <w:pPr>
        <w:tabs>
          <w:tab w:val="left" w:pos="851"/>
        </w:tabs>
        <w:ind w:left="851"/>
        <w:rPr>
          <w:spacing w:val="-3"/>
          <w:sz w:val="24"/>
          <w:szCs w:val="24"/>
        </w:rPr>
      </w:pPr>
      <w:r>
        <w:rPr>
          <w:spacing w:val="-3"/>
          <w:sz w:val="24"/>
          <w:szCs w:val="24"/>
        </w:rPr>
        <w:t xml:space="preserve">Den anbefalede vancomycindosis for den første episode af ikke-alvorlig CDI </w:t>
      </w:r>
      <w:r>
        <w:rPr>
          <w:sz w:val="24"/>
          <w:szCs w:val="24"/>
        </w:rPr>
        <w:t xml:space="preserve">er 125 mg hver 6. time i 10 dage. Denne dosis kan øges til 500 mg hver 6. time i 10 dage i tilfælde af alvorlig eller kompliceret sygdom. </w:t>
      </w:r>
      <w:r>
        <w:rPr>
          <w:spacing w:val="-3"/>
          <w:sz w:val="24"/>
          <w:szCs w:val="24"/>
        </w:rPr>
        <w:t xml:space="preserve"> Den maximale daglige dosis må ikke overstige 2 g. </w:t>
      </w:r>
    </w:p>
    <w:p w14:paraId="0BCD54DB" w14:textId="77777777" w:rsidR="00735CE3" w:rsidRDefault="00735CE3" w:rsidP="00735CE3">
      <w:pPr>
        <w:tabs>
          <w:tab w:val="left" w:pos="851"/>
        </w:tabs>
        <w:ind w:left="851"/>
        <w:rPr>
          <w:spacing w:val="-3"/>
          <w:sz w:val="24"/>
          <w:szCs w:val="24"/>
        </w:rPr>
      </w:pPr>
    </w:p>
    <w:p w14:paraId="5F3D0776" w14:textId="77777777" w:rsidR="00735CE3" w:rsidRDefault="00735CE3" w:rsidP="00735CE3">
      <w:pPr>
        <w:pStyle w:val="Default"/>
        <w:ind w:left="851"/>
        <w:rPr>
          <w:rFonts w:ascii="Times New Roman" w:hAnsi="Times New Roman" w:cs="Times New Roman"/>
          <w:lang w:val="da-DK"/>
        </w:rPr>
      </w:pPr>
      <w:r>
        <w:rPr>
          <w:rFonts w:ascii="Times New Roman" w:hAnsi="Times New Roman" w:cs="Times New Roman"/>
          <w:lang w:val="da-DK"/>
        </w:rPr>
        <w:lastRenderedPageBreak/>
        <w:t>Hos patienter med flere tilbagefald kan man overveje at behandle den nuværende episode af CDI med vancomycin 125 mg fire gang dagligt i 10 dage efterfulgt af enten nedsat dosis, dvs. gradvis nedsættelse</w:t>
      </w:r>
      <w:r w:rsidR="001C1A01">
        <w:rPr>
          <w:rFonts w:ascii="Times New Roman" w:hAnsi="Times New Roman" w:cs="Times New Roman"/>
          <w:lang w:val="da-DK"/>
        </w:rPr>
        <w:t xml:space="preserve"> </w:t>
      </w:r>
      <w:r>
        <w:rPr>
          <w:rFonts w:ascii="Times New Roman" w:hAnsi="Times New Roman" w:cs="Times New Roman"/>
          <w:lang w:val="da-DK"/>
        </w:rPr>
        <w:t xml:space="preserve">til 125 mg dagligt, eller et pulsregime, dvs. 125-500 mg / dag hver 2.-3. dage i mindst 3 uger. </w:t>
      </w:r>
    </w:p>
    <w:p w14:paraId="435412A8" w14:textId="77777777" w:rsidR="00735CE3" w:rsidRDefault="00735CE3" w:rsidP="00735CE3">
      <w:pPr>
        <w:tabs>
          <w:tab w:val="left" w:pos="0"/>
        </w:tabs>
        <w:ind w:left="851"/>
        <w:rPr>
          <w:sz w:val="24"/>
          <w:szCs w:val="24"/>
        </w:rPr>
      </w:pPr>
    </w:p>
    <w:p w14:paraId="0B5C9A3D" w14:textId="77777777" w:rsidR="00735CE3" w:rsidRDefault="00735CE3" w:rsidP="00735CE3">
      <w:pPr>
        <w:tabs>
          <w:tab w:val="left" w:pos="0"/>
        </w:tabs>
        <w:ind w:left="851"/>
        <w:rPr>
          <w:sz w:val="24"/>
          <w:szCs w:val="24"/>
        </w:rPr>
      </w:pPr>
      <w:r>
        <w:rPr>
          <w:sz w:val="24"/>
          <w:szCs w:val="24"/>
        </w:rPr>
        <w:t>Behandlingsvarighed med vancomycin må muligvis skræddersys til de enkelte patienters kliniske forløb. Når det er muligt, skal antibakterielle stoffer, der formodes at have forårsaget CDI, seponeres. Passende væske- og elektrolyterstatning bør iværksættes.</w:t>
      </w:r>
    </w:p>
    <w:p w14:paraId="7A95DC84" w14:textId="77777777" w:rsidR="00735CE3" w:rsidRDefault="00735CE3" w:rsidP="00735CE3">
      <w:pPr>
        <w:tabs>
          <w:tab w:val="left" w:pos="0"/>
        </w:tabs>
        <w:ind w:left="851"/>
        <w:rPr>
          <w:sz w:val="24"/>
          <w:szCs w:val="24"/>
        </w:rPr>
      </w:pPr>
    </w:p>
    <w:p w14:paraId="6239A34B" w14:textId="77777777" w:rsidR="00735CE3" w:rsidRDefault="00735CE3" w:rsidP="00735CE3">
      <w:pPr>
        <w:tabs>
          <w:tab w:val="left" w:pos="0"/>
        </w:tabs>
        <w:ind w:left="851"/>
        <w:rPr>
          <w:spacing w:val="-3"/>
          <w:sz w:val="24"/>
          <w:szCs w:val="24"/>
        </w:rPr>
      </w:pPr>
      <w:r>
        <w:rPr>
          <w:sz w:val="24"/>
          <w:szCs w:val="24"/>
        </w:rPr>
        <w:t>Serumkoncentrationerne af vancomycin efter oral administration til patienter med inflammatoriske tarmlidelser bør udføres (se pkt. 4.4).</w:t>
      </w:r>
    </w:p>
    <w:p w14:paraId="583A7173" w14:textId="77777777" w:rsidR="00735CE3" w:rsidRDefault="00735CE3" w:rsidP="00735CE3">
      <w:pPr>
        <w:tabs>
          <w:tab w:val="left" w:pos="0"/>
        </w:tabs>
        <w:ind w:left="851" w:hanging="851"/>
        <w:rPr>
          <w:spacing w:val="-3"/>
          <w:sz w:val="24"/>
          <w:szCs w:val="24"/>
        </w:rPr>
      </w:pPr>
      <w:r>
        <w:rPr>
          <w:spacing w:val="-3"/>
          <w:sz w:val="24"/>
          <w:szCs w:val="24"/>
        </w:rPr>
        <w:tab/>
      </w:r>
    </w:p>
    <w:p w14:paraId="551F369F" w14:textId="77777777" w:rsidR="00735CE3" w:rsidRDefault="00735CE3" w:rsidP="00735CE3">
      <w:pPr>
        <w:pStyle w:val="Default"/>
        <w:spacing w:after="140"/>
        <w:ind w:left="851"/>
        <w:rPr>
          <w:rFonts w:ascii="Times New Roman" w:hAnsi="Times New Roman" w:cs="Times New Roman"/>
          <w:lang w:val="da-DK"/>
        </w:rPr>
      </w:pPr>
      <w:r>
        <w:rPr>
          <w:rFonts w:ascii="Times New Roman" w:hAnsi="Times New Roman" w:cs="Times New Roman"/>
          <w:u w:val="single"/>
          <w:lang w:val="da-DK"/>
        </w:rPr>
        <w:t xml:space="preserve">Særlige populationer </w:t>
      </w:r>
    </w:p>
    <w:p w14:paraId="297F568B" w14:textId="77777777" w:rsidR="00735CE3" w:rsidRDefault="00735CE3" w:rsidP="00735CE3">
      <w:pPr>
        <w:pStyle w:val="Default"/>
        <w:ind w:left="851"/>
        <w:rPr>
          <w:rFonts w:ascii="Times New Roman" w:hAnsi="Times New Roman" w:cs="Times New Roman"/>
          <w:lang w:val="da-DK"/>
        </w:rPr>
      </w:pPr>
      <w:r>
        <w:rPr>
          <w:rFonts w:ascii="Times New Roman" w:hAnsi="Times New Roman" w:cs="Times New Roman"/>
          <w:i/>
          <w:iCs/>
          <w:lang w:val="da-DK"/>
        </w:rPr>
        <w:t xml:space="preserve">Nedsat nyrefunktion </w:t>
      </w:r>
    </w:p>
    <w:p w14:paraId="1527D1BD" w14:textId="77777777" w:rsidR="00735CE3" w:rsidRDefault="00735CE3" w:rsidP="00735CE3">
      <w:pPr>
        <w:pStyle w:val="Default"/>
        <w:ind w:left="851"/>
        <w:rPr>
          <w:rFonts w:ascii="Times New Roman" w:hAnsi="Times New Roman" w:cs="Times New Roman"/>
          <w:lang w:val="da-DK"/>
        </w:rPr>
      </w:pPr>
      <w:r>
        <w:rPr>
          <w:rFonts w:ascii="Times New Roman" w:hAnsi="Times New Roman" w:cs="Times New Roman"/>
          <w:lang w:val="da-DK"/>
        </w:rPr>
        <w:t xml:space="preserve">På grund af den meget lave systemiske absorption, er dosisjustering ikke sandsynlig, medmindre der kan forekomme betydelig oral absorption i tilfælde af inflammatoriske tarmsygdomme eller </w:t>
      </w:r>
      <w:r>
        <w:rPr>
          <w:rFonts w:ascii="Times New Roman" w:hAnsi="Times New Roman" w:cs="Times New Roman"/>
          <w:i/>
          <w:iCs/>
          <w:lang w:val="da-DK"/>
        </w:rPr>
        <w:t>Clostridium difficile</w:t>
      </w:r>
      <w:r>
        <w:rPr>
          <w:rFonts w:ascii="Times New Roman" w:hAnsi="Times New Roman" w:cs="Times New Roman"/>
          <w:lang w:val="da-DK"/>
        </w:rPr>
        <w:t xml:space="preserve">-induceret pseudomembranøs colitis (se pkt. 4.4). </w:t>
      </w:r>
    </w:p>
    <w:p w14:paraId="33A5FED3" w14:textId="77777777" w:rsidR="00735CE3" w:rsidRDefault="00735CE3" w:rsidP="00735CE3">
      <w:pPr>
        <w:pStyle w:val="Default"/>
        <w:ind w:left="851"/>
        <w:jc w:val="both"/>
        <w:rPr>
          <w:rFonts w:ascii="Times New Roman" w:hAnsi="Times New Roman" w:cs="Times New Roman"/>
          <w:i/>
          <w:iCs/>
          <w:u w:val="single"/>
          <w:lang w:val="da-DK"/>
        </w:rPr>
      </w:pPr>
    </w:p>
    <w:p w14:paraId="022DC337" w14:textId="77777777" w:rsidR="00735CE3" w:rsidRDefault="00735CE3" w:rsidP="00735CE3">
      <w:pPr>
        <w:pStyle w:val="Default"/>
        <w:ind w:left="851"/>
        <w:rPr>
          <w:rFonts w:ascii="Times New Roman" w:hAnsi="Times New Roman" w:cs="Times New Roman"/>
          <w:color w:val="auto"/>
          <w:lang w:val="da-DK"/>
        </w:rPr>
      </w:pPr>
      <w:r>
        <w:rPr>
          <w:rFonts w:ascii="Times New Roman" w:hAnsi="Times New Roman" w:cs="Times New Roman"/>
          <w:i/>
          <w:iCs/>
          <w:u w:val="single"/>
          <w:lang w:val="da-DK"/>
        </w:rPr>
        <w:t>Pædiatrisk populati</w:t>
      </w:r>
      <w:r>
        <w:rPr>
          <w:rFonts w:ascii="Times New Roman" w:hAnsi="Times New Roman" w:cs="Times New Roman"/>
          <w:i/>
          <w:iCs/>
          <w:color w:val="auto"/>
          <w:u w:val="single"/>
          <w:lang w:val="da-DK"/>
        </w:rPr>
        <w:t xml:space="preserve">on </w:t>
      </w:r>
    </w:p>
    <w:p w14:paraId="30A6D14D" w14:textId="77777777" w:rsidR="00735CE3" w:rsidRDefault="00735CE3" w:rsidP="00735CE3">
      <w:pPr>
        <w:tabs>
          <w:tab w:val="left" w:pos="0"/>
        </w:tabs>
        <w:ind w:left="851"/>
        <w:rPr>
          <w:spacing w:val="-3"/>
          <w:sz w:val="24"/>
          <w:szCs w:val="24"/>
        </w:rPr>
      </w:pPr>
      <w:r>
        <w:rPr>
          <w:sz w:val="24"/>
          <w:szCs w:val="24"/>
        </w:rPr>
        <w:t>Vancomycin kapsler er ikke egnede til behandling af børn under 12 år eller for unge, der ikke er i stand til at sluge dem. Hos patienter under 12 år skal en formulering, der er egent til alderen anvendes.</w:t>
      </w:r>
    </w:p>
    <w:p w14:paraId="0AB832EC" w14:textId="77777777" w:rsidR="00735CE3" w:rsidRDefault="00735CE3" w:rsidP="00735CE3">
      <w:pPr>
        <w:tabs>
          <w:tab w:val="left" w:pos="0"/>
        </w:tabs>
        <w:ind w:left="851" w:hanging="851"/>
        <w:rPr>
          <w:spacing w:val="-3"/>
          <w:sz w:val="24"/>
          <w:szCs w:val="24"/>
        </w:rPr>
      </w:pPr>
      <w:r>
        <w:rPr>
          <w:spacing w:val="-3"/>
          <w:sz w:val="24"/>
          <w:szCs w:val="24"/>
        </w:rPr>
        <w:tab/>
      </w:r>
    </w:p>
    <w:p w14:paraId="578637D6" w14:textId="77777777" w:rsidR="00735CE3" w:rsidRDefault="00735CE3" w:rsidP="00735CE3">
      <w:pPr>
        <w:ind w:left="851"/>
        <w:rPr>
          <w:b/>
          <w:sz w:val="24"/>
          <w:szCs w:val="24"/>
        </w:rPr>
      </w:pPr>
      <w:r>
        <w:rPr>
          <w:sz w:val="24"/>
          <w:szCs w:val="24"/>
          <w:u w:val="single"/>
        </w:rPr>
        <w:t>Administration</w:t>
      </w:r>
    </w:p>
    <w:p w14:paraId="5318FE1C" w14:textId="77777777" w:rsidR="00735CE3" w:rsidRDefault="00735CE3" w:rsidP="00735CE3">
      <w:pPr>
        <w:tabs>
          <w:tab w:val="left" w:pos="0"/>
          <w:tab w:val="left" w:pos="851"/>
        </w:tabs>
        <w:ind w:left="850" w:hanging="850"/>
        <w:rPr>
          <w:sz w:val="24"/>
          <w:szCs w:val="24"/>
        </w:rPr>
      </w:pPr>
      <w:r>
        <w:rPr>
          <w:sz w:val="24"/>
          <w:szCs w:val="24"/>
        </w:rPr>
        <w:tab/>
        <w:t>Til oral anvendelse.</w:t>
      </w:r>
    </w:p>
    <w:p w14:paraId="00D94B32" w14:textId="77777777" w:rsidR="00735CE3" w:rsidRDefault="00735CE3" w:rsidP="00735CE3">
      <w:pPr>
        <w:tabs>
          <w:tab w:val="left" w:pos="0"/>
          <w:tab w:val="left" w:pos="851"/>
        </w:tabs>
        <w:ind w:left="850" w:hanging="850"/>
        <w:rPr>
          <w:sz w:val="24"/>
          <w:szCs w:val="24"/>
        </w:rPr>
      </w:pPr>
      <w:r>
        <w:rPr>
          <w:sz w:val="24"/>
          <w:szCs w:val="24"/>
        </w:rPr>
        <w:tab/>
        <w:t>Kapslen må ikke åbnes og bør indtages med rigeligt vand.</w:t>
      </w:r>
    </w:p>
    <w:p w14:paraId="2B267A88" w14:textId="77777777" w:rsidR="00735CE3" w:rsidRPr="00EE5810" w:rsidRDefault="00735CE3" w:rsidP="00735CE3">
      <w:pPr>
        <w:tabs>
          <w:tab w:val="left" w:pos="0"/>
          <w:tab w:val="left" w:pos="851"/>
        </w:tabs>
        <w:ind w:left="850" w:hanging="850"/>
        <w:rPr>
          <w:spacing w:val="-3"/>
          <w:sz w:val="24"/>
          <w:szCs w:val="24"/>
        </w:rPr>
      </w:pPr>
    </w:p>
    <w:p w14:paraId="7E37842D" w14:textId="77777777" w:rsidR="00823089" w:rsidRDefault="00823089" w:rsidP="00823089">
      <w:pPr>
        <w:tabs>
          <w:tab w:val="left" w:pos="851"/>
        </w:tabs>
        <w:ind w:left="851" w:hanging="851"/>
        <w:rPr>
          <w:b/>
          <w:sz w:val="24"/>
          <w:szCs w:val="24"/>
        </w:rPr>
      </w:pPr>
      <w:r>
        <w:rPr>
          <w:b/>
          <w:sz w:val="24"/>
          <w:szCs w:val="24"/>
        </w:rPr>
        <w:t>4.3</w:t>
      </w:r>
      <w:r>
        <w:rPr>
          <w:b/>
          <w:sz w:val="24"/>
          <w:szCs w:val="24"/>
        </w:rPr>
        <w:tab/>
        <w:t>Kontraindikationer</w:t>
      </w:r>
    </w:p>
    <w:p w14:paraId="32D6B6B6" w14:textId="77777777" w:rsidR="00735CE3" w:rsidRDefault="00735CE3" w:rsidP="00735CE3">
      <w:pPr>
        <w:ind w:left="851" w:hanging="851"/>
        <w:rPr>
          <w:spacing w:val="-3"/>
          <w:sz w:val="24"/>
          <w:szCs w:val="24"/>
        </w:rPr>
      </w:pPr>
      <w:r w:rsidRPr="00057FCC">
        <w:rPr>
          <w:spacing w:val="-3"/>
          <w:sz w:val="24"/>
          <w:szCs w:val="24"/>
        </w:rPr>
        <w:tab/>
      </w:r>
      <w:r>
        <w:rPr>
          <w:spacing w:val="-3"/>
          <w:sz w:val="24"/>
          <w:szCs w:val="24"/>
        </w:rPr>
        <w:t>Overfølsomhed overfor det aktive stof eller over for et eller flere af hjælpestofferne</w:t>
      </w:r>
      <w:r>
        <w:rPr>
          <w:snapToGrid w:val="0"/>
          <w:sz w:val="22"/>
          <w:szCs w:val="24"/>
          <w:lang w:eastAsia="zh-CN"/>
        </w:rPr>
        <w:t xml:space="preserve"> anført i pkt. 6.1 (se</w:t>
      </w:r>
      <w:r>
        <w:rPr>
          <w:spacing w:val="-3"/>
          <w:sz w:val="24"/>
          <w:szCs w:val="24"/>
        </w:rPr>
        <w:t xml:space="preserve"> pkt. 4.4).</w:t>
      </w:r>
    </w:p>
    <w:p w14:paraId="722C25D4" w14:textId="77777777" w:rsidR="00735CE3" w:rsidRDefault="00735CE3" w:rsidP="00735CE3">
      <w:pPr>
        <w:ind w:left="851" w:hanging="851"/>
        <w:rPr>
          <w:b/>
          <w:spacing w:val="-3"/>
          <w:sz w:val="24"/>
        </w:rPr>
      </w:pPr>
    </w:p>
    <w:p w14:paraId="22B41B52" w14:textId="77777777" w:rsidR="00823089" w:rsidRDefault="00823089" w:rsidP="00823089">
      <w:pPr>
        <w:tabs>
          <w:tab w:val="left" w:pos="851"/>
        </w:tabs>
        <w:ind w:left="851" w:hanging="851"/>
        <w:rPr>
          <w:b/>
          <w:sz w:val="24"/>
          <w:szCs w:val="24"/>
        </w:rPr>
      </w:pPr>
      <w:r>
        <w:rPr>
          <w:b/>
          <w:sz w:val="24"/>
          <w:szCs w:val="24"/>
        </w:rPr>
        <w:t>4.4</w:t>
      </w:r>
      <w:r>
        <w:rPr>
          <w:b/>
          <w:sz w:val="24"/>
          <w:szCs w:val="24"/>
        </w:rPr>
        <w:tab/>
        <w:t>Særlige advarsler og forsigtighedsregler vedrørende brugen</w:t>
      </w:r>
    </w:p>
    <w:p w14:paraId="7288E271" w14:textId="77777777" w:rsidR="00735CE3" w:rsidRDefault="00735CE3" w:rsidP="00735CE3">
      <w:pPr>
        <w:pStyle w:val="Default"/>
        <w:ind w:left="851"/>
        <w:jc w:val="both"/>
        <w:rPr>
          <w:rFonts w:ascii="Times New Roman" w:hAnsi="Times New Roman" w:cs="Times New Roman"/>
          <w:b/>
          <w:bCs/>
          <w:lang w:val="da-DK"/>
        </w:rPr>
      </w:pPr>
    </w:p>
    <w:p w14:paraId="0863F819" w14:textId="77777777" w:rsidR="00735CE3" w:rsidRDefault="00735CE3" w:rsidP="00735CE3">
      <w:pPr>
        <w:pStyle w:val="Default"/>
        <w:ind w:left="851"/>
        <w:rPr>
          <w:rFonts w:ascii="Times New Roman" w:hAnsi="Times New Roman" w:cs="Times New Roman"/>
          <w:lang w:val="da-DK"/>
        </w:rPr>
      </w:pPr>
      <w:r>
        <w:rPr>
          <w:rFonts w:ascii="Times New Roman" w:hAnsi="Times New Roman" w:cs="Times New Roman"/>
          <w:b/>
          <w:bCs/>
          <w:lang w:val="da-DK"/>
        </w:rPr>
        <w:t xml:space="preserve">Kun oral anvendelse </w:t>
      </w:r>
    </w:p>
    <w:p w14:paraId="7E31920C" w14:textId="77777777" w:rsidR="00735CE3" w:rsidRDefault="00735CE3" w:rsidP="00735CE3">
      <w:pPr>
        <w:pStyle w:val="Default"/>
        <w:ind w:left="851"/>
        <w:rPr>
          <w:rFonts w:ascii="Times New Roman" w:hAnsi="Times New Roman" w:cs="Times New Roman"/>
          <w:lang w:val="da-DK"/>
        </w:rPr>
      </w:pPr>
      <w:r>
        <w:rPr>
          <w:rFonts w:ascii="Times New Roman" w:hAnsi="Times New Roman" w:cs="Times New Roman"/>
          <w:lang w:val="da-DK"/>
        </w:rPr>
        <w:t xml:space="preserve">Dette præparat er kun til oral anvendelse og absorberes ikke systemisk. Oralt administrerede </w:t>
      </w:r>
      <w:r w:rsidR="001C1A01">
        <w:rPr>
          <w:rFonts w:ascii="Times New Roman" w:hAnsi="Times New Roman" w:cs="Times New Roman"/>
          <w:lang w:val="da-DK"/>
        </w:rPr>
        <w:t>v</w:t>
      </w:r>
      <w:r>
        <w:rPr>
          <w:rFonts w:ascii="Times New Roman" w:hAnsi="Times New Roman" w:cs="Times New Roman"/>
          <w:lang w:val="da-DK"/>
        </w:rPr>
        <w:t xml:space="preserve">ancomycin kapsler er ikke effektive ved andre typer infektioner. </w:t>
      </w:r>
    </w:p>
    <w:p w14:paraId="4EBCD4B0" w14:textId="77777777" w:rsidR="00735CE3" w:rsidRDefault="00735CE3" w:rsidP="00735CE3">
      <w:pPr>
        <w:pStyle w:val="Default"/>
        <w:ind w:left="851"/>
        <w:rPr>
          <w:rFonts w:ascii="Times New Roman" w:hAnsi="Times New Roman" w:cs="Times New Roman"/>
          <w:lang w:val="da-DK"/>
        </w:rPr>
      </w:pPr>
    </w:p>
    <w:p w14:paraId="3D38475E" w14:textId="77777777" w:rsidR="00735CE3" w:rsidRDefault="00735CE3" w:rsidP="00735CE3">
      <w:pPr>
        <w:pStyle w:val="Default"/>
        <w:ind w:left="851"/>
        <w:rPr>
          <w:rFonts w:ascii="Times New Roman" w:hAnsi="Times New Roman" w:cs="Times New Roman"/>
          <w:lang w:val="da-DK"/>
        </w:rPr>
      </w:pPr>
      <w:r>
        <w:rPr>
          <w:rFonts w:ascii="Times New Roman" w:hAnsi="Times New Roman" w:cs="Times New Roman"/>
          <w:b/>
          <w:bCs/>
          <w:lang w:val="da-DK"/>
        </w:rPr>
        <w:t xml:space="preserve">Risiko for systemisk absorption </w:t>
      </w:r>
    </w:p>
    <w:p w14:paraId="3316BC6A" w14:textId="77777777" w:rsidR="00735CE3" w:rsidRDefault="00735CE3" w:rsidP="00735CE3">
      <w:pPr>
        <w:pStyle w:val="Default"/>
        <w:ind w:left="851"/>
        <w:rPr>
          <w:rFonts w:ascii="Times New Roman" w:hAnsi="Times New Roman" w:cs="Times New Roman"/>
          <w:lang w:val="da-DK"/>
        </w:rPr>
      </w:pPr>
      <w:r>
        <w:rPr>
          <w:rFonts w:ascii="Times New Roman" w:hAnsi="Times New Roman" w:cs="Times New Roman"/>
          <w:lang w:val="da-DK"/>
        </w:rPr>
        <w:t xml:space="preserve">Absorption kan forøges hos patienter med inflammatoriske sygdomme i tarmslimhinden eller </w:t>
      </w:r>
      <w:r>
        <w:rPr>
          <w:rFonts w:ascii="Times New Roman" w:hAnsi="Times New Roman" w:cs="Times New Roman"/>
          <w:i/>
          <w:iCs/>
          <w:lang w:val="da-DK"/>
        </w:rPr>
        <w:t>Clostridium difficile-</w:t>
      </w:r>
      <w:r w:rsidRPr="00D94CAF">
        <w:rPr>
          <w:rFonts w:ascii="Times New Roman" w:hAnsi="Times New Roman" w:cs="Times New Roman"/>
          <w:iCs/>
          <w:lang w:val="da-DK"/>
        </w:rPr>
        <w:t>induceret</w:t>
      </w:r>
      <w:r>
        <w:rPr>
          <w:rFonts w:ascii="Times New Roman" w:hAnsi="Times New Roman" w:cs="Times New Roman"/>
          <w:i/>
          <w:iCs/>
          <w:lang w:val="da-DK"/>
        </w:rPr>
        <w:t xml:space="preserve"> </w:t>
      </w:r>
      <w:r>
        <w:rPr>
          <w:rFonts w:ascii="Times New Roman" w:hAnsi="Times New Roman" w:cs="Times New Roman"/>
          <w:lang w:val="da-DK"/>
        </w:rPr>
        <w:t xml:space="preserve">pseudomembranøs colitis. Disse patienter kan være i fare for udvikling af bivirkninger, især ved samtidig nedsat nyrefunktion. Jo større nedsat nyrefunktion, jo større er risikoen for at udvikle bivirkningerne forbundet med parenteral administration af vancomycin. Vancomycinkoncentrationerne i serum hos patienter med inflammatoriske sygdomme i tarmslimhinden skal monitoreres. </w:t>
      </w:r>
    </w:p>
    <w:p w14:paraId="0A46EB21" w14:textId="77777777" w:rsidR="00735CE3" w:rsidRDefault="00735CE3" w:rsidP="00735CE3">
      <w:pPr>
        <w:pStyle w:val="Default"/>
        <w:ind w:left="851"/>
        <w:rPr>
          <w:rFonts w:ascii="Times New Roman" w:hAnsi="Times New Roman" w:cs="Times New Roman"/>
          <w:lang w:val="da-DK"/>
        </w:rPr>
      </w:pPr>
    </w:p>
    <w:p w14:paraId="5DB70271" w14:textId="77777777" w:rsidR="00735CE3" w:rsidRDefault="00735CE3" w:rsidP="00735CE3">
      <w:pPr>
        <w:pStyle w:val="Default"/>
        <w:ind w:left="851"/>
        <w:rPr>
          <w:rFonts w:ascii="Times New Roman" w:hAnsi="Times New Roman" w:cs="Times New Roman"/>
          <w:lang w:val="da-DK"/>
        </w:rPr>
      </w:pPr>
      <w:r>
        <w:rPr>
          <w:rFonts w:ascii="Times New Roman" w:hAnsi="Times New Roman" w:cs="Times New Roman"/>
          <w:b/>
          <w:bCs/>
          <w:lang w:val="da-DK"/>
        </w:rPr>
        <w:t xml:space="preserve">Nefrotoksicitet </w:t>
      </w:r>
    </w:p>
    <w:p w14:paraId="50E57E65" w14:textId="77777777" w:rsidR="00735CE3" w:rsidRDefault="00735CE3" w:rsidP="00735CE3">
      <w:pPr>
        <w:ind w:left="851" w:hanging="1"/>
        <w:rPr>
          <w:sz w:val="24"/>
          <w:szCs w:val="24"/>
        </w:rPr>
      </w:pPr>
      <w:r>
        <w:rPr>
          <w:sz w:val="24"/>
          <w:szCs w:val="24"/>
        </w:rPr>
        <w:t xml:space="preserve">Nyrefunktionen skal monitoreres løbende ved behandling af patienter med underliggende nyresvigt eller patienter, der får samtidig behandling med </w:t>
      </w:r>
      <w:proofErr w:type="gramStart"/>
      <w:r>
        <w:rPr>
          <w:sz w:val="24"/>
          <w:szCs w:val="24"/>
        </w:rPr>
        <w:t>et aminoglykosid</w:t>
      </w:r>
      <w:proofErr w:type="gramEnd"/>
      <w:r>
        <w:rPr>
          <w:sz w:val="24"/>
          <w:szCs w:val="24"/>
        </w:rPr>
        <w:t xml:space="preserve"> eller andre nefrotoksiske lægemidler. </w:t>
      </w:r>
    </w:p>
    <w:p w14:paraId="0F2EBE43" w14:textId="77777777" w:rsidR="001C1A01" w:rsidRDefault="001C1A01">
      <w:pPr>
        <w:rPr>
          <w:sz w:val="24"/>
          <w:szCs w:val="24"/>
        </w:rPr>
      </w:pPr>
      <w:r>
        <w:rPr>
          <w:sz w:val="24"/>
          <w:szCs w:val="24"/>
        </w:rPr>
        <w:br w:type="page"/>
      </w:r>
    </w:p>
    <w:p w14:paraId="0F45D474" w14:textId="77777777" w:rsidR="00735CE3" w:rsidRDefault="00735CE3" w:rsidP="00735CE3">
      <w:pPr>
        <w:ind w:left="851" w:hanging="1"/>
        <w:rPr>
          <w:sz w:val="24"/>
          <w:szCs w:val="24"/>
        </w:rPr>
      </w:pPr>
    </w:p>
    <w:p w14:paraId="04F41DE4" w14:textId="77777777" w:rsidR="00735CE3" w:rsidRPr="000E70BD" w:rsidRDefault="00735CE3" w:rsidP="001C1A01">
      <w:pPr>
        <w:ind w:left="851"/>
        <w:rPr>
          <w:b/>
          <w:sz w:val="24"/>
          <w:szCs w:val="24"/>
        </w:rPr>
      </w:pPr>
      <w:r w:rsidRPr="000E70BD">
        <w:rPr>
          <w:b/>
          <w:sz w:val="24"/>
          <w:szCs w:val="24"/>
        </w:rPr>
        <w:t xml:space="preserve">Ototoksicitet </w:t>
      </w:r>
    </w:p>
    <w:p w14:paraId="242B6CB3" w14:textId="77777777" w:rsidR="00735CE3" w:rsidRDefault="00735CE3" w:rsidP="001C1A01">
      <w:pPr>
        <w:ind w:left="851" w:hanging="1"/>
        <w:rPr>
          <w:sz w:val="24"/>
          <w:szCs w:val="24"/>
        </w:rPr>
      </w:pPr>
      <w:r>
        <w:rPr>
          <w:sz w:val="24"/>
          <w:szCs w:val="24"/>
        </w:rPr>
        <w:t xml:space="preserve">Løbende tests af auditiv funktion kan være nyttige for at minimere risikoen for ototoksicitet hos patienter med et underliggende høretab, eller som får samtidig behandling med et ototoksisk middel så som </w:t>
      </w:r>
      <w:proofErr w:type="gramStart"/>
      <w:r>
        <w:rPr>
          <w:sz w:val="24"/>
          <w:szCs w:val="24"/>
        </w:rPr>
        <w:t>et aminoglykosid</w:t>
      </w:r>
      <w:proofErr w:type="gramEnd"/>
      <w:r>
        <w:rPr>
          <w:sz w:val="24"/>
          <w:szCs w:val="24"/>
        </w:rPr>
        <w:t xml:space="preserve">. </w:t>
      </w:r>
    </w:p>
    <w:p w14:paraId="30F5E3B3" w14:textId="77777777" w:rsidR="00735CE3" w:rsidRDefault="00735CE3" w:rsidP="001C1A01">
      <w:pPr>
        <w:ind w:left="851" w:hanging="1"/>
        <w:rPr>
          <w:sz w:val="24"/>
          <w:szCs w:val="24"/>
        </w:rPr>
      </w:pPr>
    </w:p>
    <w:p w14:paraId="642D073E" w14:textId="77777777" w:rsidR="00735CE3" w:rsidRDefault="00735CE3" w:rsidP="001C1A01">
      <w:pPr>
        <w:pStyle w:val="Default"/>
        <w:ind w:left="851"/>
        <w:rPr>
          <w:rFonts w:ascii="Times New Roman" w:hAnsi="Times New Roman" w:cs="Times New Roman"/>
          <w:lang w:val="da-DK"/>
        </w:rPr>
      </w:pPr>
      <w:r>
        <w:rPr>
          <w:rFonts w:ascii="Times New Roman" w:hAnsi="Times New Roman" w:cs="Times New Roman"/>
          <w:b/>
          <w:bCs/>
          <w:u w:val="single"/>
          <w:lang w:val="da-DK"/>
        </w:rPr>
        <w:t>Interaktioner med antipropulsiva og protonpumpehæmmere</w:t>
      </w:r>
    </w:p>
    <w:p w14:paraId="2E7BBEB9" w14:textId="77777777" w:rsidR="00735CE3" w:rsidRDefault="00735CE3" w:rsidP="001C1A01">
      <w:pPr>
        <w:pStyle w:val="Default"/>
        <w:ind w:left="851"/>
        <w:rPr>
          <w:rFonts w:ascii="Times New Roman" w:hAnsi="Times New Roman" w:cs="Times New Roman"/>
          <w:lang w:val="da-DK"/>
        </w:rPr>
      </w:pPr>
      <w:r>
        <w:rPr>
          <w:rFonts w:ascii="Times New Roman" w:hAnsi="Times New Roman" w:cs="Times New Roman"/>
          <w:lang w:val="da-DK"/>
        </w:rPr>
        <w:t xml:space="preserve">Antipropulsiva bør undgås, og anvendelse af protonpumpehæmmere bør tages op til fornyet overvejelse. </w:t>
      </w:r>
    </w:p>
    <w:p w14:paraId="5C5099F2" w14:textId="77777777" w:rsidR="00735CE3" w:rsidRDefault="00735CE3" w:rsidP="001C1A01">
      <w:pPr>
        <w:pStyle w:val="Default"/>
        <w:ind w:left="851"/>
        <w:rPr>
          <w:rFonts w:ascii="Times New Roman" w:hAnsi="Times New Roman" w:cs="Times New Roman"/>
          <w:b/>
          <w:bCs/>
          <w:lang w:val="da-DK"/>
        </w:rPr>
      </w:pPr>
    </w:p>
    <w:p w14:paraId="1B2EB17B" w14:textId="77777777" w:rsidR="00735CE3" w:rsidRDefault="00735CE3" w:rsidP="001C1A01">
      <w:pPr>
        <w:pStyle w:val="Default"/>
        <w:ind w:left="851"/>
        <w:rPr>
          <w:rFonts w:ascii="Times New Roman" w:hAnsi="Times New Roman" w:cs="Times New Roman"/>
          <w:lang w:val="da-DK"/>
        </w:rPr>
      </w:pPr>
      <w:r>
        <w:rPr>
          <w:rFonts w:ascii="Times New Roman" w:hAnsi="Times New Roman" w:cs="Times New Roman"/>
          <w:b/>
          <w:bCs/>
          <w:lang w:val="da-DK"/>
        </w:rPr>
        <w:t xml:space="preserve">Udvikling af lægemiddelresistente bakterier </w:t>
      </w:r>
    </w:p>
    <w:p w14:paraId="695B89FB" w14:textId="77777777" w:rsidR="00735CE3" w:rsidRDefault="00735CE3" w:rsidP="001C1A01">
      <w:pPr>
        <w:ind w:left="851" w:hanging="1"/>
        <w:rPr>
          <w:sz w:val="24"/>
          <w:szCs w:val="24"/>
        </w:rPr>
      </w:pPr>
      <w:r>
        <w:rPr>
          <w:sz w:val="24"/>
          <w:szCs w:val="24"/>
        </w:rPr>
        <w:t>Langvarig anvendelse af vancomycin kan resultere i overvækst af ikke-følsomme organismer. Omhyggelig observation af patienten er afgørende. Hvis superinfektion forekommer under behandlingen, skal der træffes passende foranstaltninger.</w:t>
      </w:r>
    </w:p>
    <w:p w14:paraId="77C95B44" w14:textId="77777777" w:rsidR="00735CE3" w:rsidRDefault="00735CE3" w:rsidP="00735CE3">
      <w:pPr>
        <w:ind w:left="851" w:hanging="1"/>
        <w:rPr>
          <w:spacing w:val="-3"/>
          <w:sz w:val="24"/>
        </w:rPr>
      </w:pPr>
    </w:p>
    <w:p w14:paraId="02BF2DED" w14:textId="77777777" w:rsidR="00823089" w:rsidRDefault="00823089" w:rsidP="00823089">
      <w:pPr>
        <w:tabs>
          <w:tab w:val="left" w:pos="851"/>
        </w:tabs>
        <w:ind w:left="851" w:hanging="851"/>
        <w:rPr>
          <w:b/>
          <w:sz w:val="24"/>
          <w:szCs w:val="24"/>
        </w:rPr>
      </w:pPr>
      <w:r>
        <w:rPr>
          <w:b/>
          <w:sz w:val="24"/>
          <w:szCs w:val="24"/>
        </w:rPr>
        <w:t>4.5</w:t>
      </w:r>
      <w:r>
        <w:rPr>
          <w:b/>
          <w:sz w:val="24"/>
          <w:szCs w:val="24"/>
        </w:rPr>
        <w:tab/>
        <w:t>Interaktion med andre lægemidler og andre former for interaktion</w:t>
      </w:r>
    </w:p>
    <w:p w14:paraId="7B519810" w14:textId="77777777" w:rsidR="00735CE3" w:rsidRPr="00057FCC" w:rsidRDefault="00735CE3" w:rsidP="00735CE3">
      <w:pPr>
        <w:ind w:left="851" w:hanging="1"/>
        <w:rPr>
          <w:sz w:val="24"/>
          <w:szCs w:val="24"/>
        </w:rPr>
      </w:pPr>
      <w:r>
        <w:rPr>
          <w:spacing w:val="-3"/>
          <w:sz w:val="24"/>
        </w:rPr>
        <w:tab/>
      </w:r>
      <w:r w:rsidRPr="00057FCC">
        <w:rPr>
          <w:sz w:val="24"/>
          <w:szCs w:val="24"/>
        </w:rPr>
        <w:t>Da der er en risiko for systemisk absorption (se pkt</w:t>
      </w:r>
      <w:r>
        <w:rPr>
          <w:sz w:val="24"/>
          <w:szCs w:val="24"/>
        </w:rPr>
        <w:t>.</w:t>
      </w:r>
      <w:r w:rsidRPr="00057FCC">
        <w:rPr>
          <w:sz w:val="24"/>
          <w:szCs w:val="24"/>
        </w:rPr>
        <w:t xml:space="preserve"> 4.4), bør en samtidig og/eller efterfølgende systemisk eller topikal brug af andre potentielle ototoksiske og/eller nefrotoksiske lægemidler følges op med omhyggelig monitorering.</w:t>
      </w:r>
    </w:p>
    <w:p w14:paraId="04439C26" w14:textId="77777777" w:rsidR="00735CE3" w:rsidRDefault="00735CE3" w:rsidP="00735CE3">
      <w:pPr>
        <w:tabs>
          <w:tab w:val="left" w:pos="0"/>
          <w:tab w:val="left" w:pos="851"/>
        </w:tabs>
        <w:ind w:left="850" w:hanging="850"/>
        <w:jc w:val="both"/>
        <w:rPr>
          <w:spacing w:val="-3"/>
          <w:sz w:val="24"/>
        </w:rPr>
      </w:pPr>
    </w:p>
    <w:p w14:paraId="30CA0B70" w14:textId="77777777" w:rsidR="00823089" w:rsidRDefault="00823089" w:rsidP="00823089">
      <w:pPr>
        <w:tabs>
          <w:tab w:val="left" w:pos="851"/>
        </w:tabs>
        <w:ind w:left="851" w:hanging="851"/>
        <w:rPr>
          <w:b/>
          <w:sz w:val="24"/>
          <w:szCs w:val="24"/>
        </w:rPr>
      </w:pPr>
      <w:r>
        <w:rPr>
          <w:b/>
          <w:sz w:val="24"/>
          <w:szCs w:val="24"/>
        </w:rPr>
        <w:t>4.6</w:t>
      </w:r>
      <w:r>
        <w:rPr>
          <w:b/>
          <w:sz w:val="24"/>
          <w:szCs w:val="24"/>
        </w:rPr>
        <w:tab/>
        <w:t>Graviditet og amning</w:t>
      </w:r>
    </w:p>
    <w:p w14:paraId="522592EA" w14:textId="77777777" w:rsidR="00735CE3" w:rsidRDefault="00735CE3" w:rsidP="00E42C46">
      <w:pPr>
        <w:ind w:firstLine="850"/>
        <w:rPr>
          <w:sz w:val="24"/>
          <w:szCs w:val="24"/>
        </w:rPr>
      </w:pPr>
      <w:r>
        <w:rPr>
          <w:sz w:val="24"/>
          <w:szCs w:val="24"/>
        </w:rPr>
        <w:t xml:space="preserve">Erfaringsgrundlaget for anvendelse af vancomycin under graviditet og amning er ringe. </w:t>
      </w:r>
    </w:p>
    <w:p w14:paraId="068202F0" w14:textId="77777777" w:rsidR="00735CE3" w:rsidRDefault="00735CE3" w:rsidP="00735CE3">
      <w:pPr>
        <w:ind w:left="851" w:hanging="1"/>
        <w:outlineLvl w:val="0"/>
        <w:rPr>
          <w:spacing w:val="-3"/>
          <w:sz w:val="24"/>
        </w:rPr>
      </w:pPr>
    </w:p>
    <w:p w14:paraId="44B76231" w14:textId="77777777" w:rsidR="00735CE3" w:rsidRDefault="00735CE3" w:rsidP="00735CE3">
      <w:pPr>
        <w:ind w:left="851" w:hanging="1"/>
        <w:outlineLvl w:val="0"/>
        <w:rPr>
          <w:sz w:val="24"/>
          <w:szCs w:val="24"/>
          <w:u w:val="single"/>
        </w:rPr>
      </w:pPr>
      <w:r>
        <w:rPr>
          <w:sz w:val="24"/>
          <w:szCs w:val="24"/>
          <w:u w:val="single"/>
        </w:rPr>
        <w:t>Graviditet:</w:t>
      </w:r>
    </w:p>
    <w:p w14:paraId="4A3EC3B2" w14:textId="77777777" w:rsidR="00735CE3" w:rsidRDefault="00735CE3" w:rsidP="00735CE3">
      <w:pPr>
        <w:ind w:left="851" w:hanging="1"/>
        <w:outlineLvl w:val="0"/>
        <w:rPr>
          <w:sz w:val="24"/>
          <w:szCs w:val="24"/>
        </w:rPr>
      </w:pPr>
      <w:r>
        <w:rPr>
          <w:sz w:val="24"/>
          <w:szCs w:val="24"/>
        </w:rPr>
        <w:t>Bør så vidt muligt ikke anvendes til gravide.</w:t>
      </w:r>
    </w:p>
    <w:p w14:paraId="64E671F5" w14:textId="77777777" w:rsidR="00735CE3" w:rsidRDefault="00735CE3" w:rsidP="00735CE3">
      <w:pPr>
        <w:pStyle w:val="BodyTextIndent"/>
        <w:ind w:left="851" w:hanging="1"/>
        <w:rPr>
          <w:color w:val="800080"/>
          <w:sz w:val="24"/>
          <w:szCs w:val="24"/>
        </w:rPr>
      </w:pPr>
      <w:r>
        <w:rPr>
          <w:sz w:val="24"/>
          <w:szCs w:val="24"/>
        </w:rPr>
        <w:t xml:space="preserve">Dyreforsøg indikerer dog ikke direkte eller indirekte skadelige virkninger på svangerskab, den embryonale/føtale udvikling, fødsel eller den postnatale udvikling. </w:t>
      </w:r>
    </w:p>
    <w:p w14:paraId="77AEAC3A" w14:textId="77777777" w:rsidR="00735CE3" w:rsidRDefault="00735CE3" w:rsidP="00735CE3">
      <w:pPr>
        <w:ind w:left="851" w:hanging="1"/>
        <w:rPr>
          <w:szCs w:val="24"/>
        </w:rPr>
      </w:pPr>
      <w:r>
        <w:rPr>
          <w:sz w:val="24"/>
          <w:szCs w:val="24"/>
        </w:rPr>
        <w:t xml:space="preserve">Der er ingen meddelelser om teratogen effekt. En </w:t>
      </w:r>
      <w:r>
        <w:rPr>
          <w:iCs/>
          <w:sz w:val="24"/>
          <w:szCs w:val="24"/>
        </w:rPr>
        <w:t>potentiel risiko for udvikling af føtal og neonatal ototoksicitet og nefrotoksicitet kan dog ikke udelukkes.</w:t>
      </w:r>
    </w:p>
    <w:p w14:paraId="03122050" w14:textId="77777777" w:rsidR="00735CE3" w:rsidRPr="000E7116" w:rsidRDefault="00735CE3" w:rsidP="00735CE3">
      <w:pPr>
        <w:rPr>
          <w:sz w:val="24"/>
          <w:szCs w:val="24"/>
        </w:rPr>
      </w:pPr>
    </w:p>
    <w:p w14:paraId="696E5E9F" w14:textId="77777777" w:rsidR="00735CE3" w:rsidRDefault="00735CE3" w:rsidP="00735CE3">
      <w:pPr>
        <w:ind w:left="851" w:hanging="1"/>
        <w:rPr>
          <w:sz w:val="24"/>
          <w:szCs w:val="24"/>
          <w:u w:val="single"/>
        </w:rPr>
      </w:pPr>
      <w:r>
        <w:rPr>
          <w:sz w:val="24"/>
          <w:szCs w:val="24"/>
          <w:u w:val="single"/>
        </w:rPr>
        <w:t>Amning:</w:t>
      </w:r>
    </w:p>
    <w:p w14:paraId="4A30F77E" w14:textId="77777777" w:rsidR="00735CE3" w:rsidRPr="00D94CAF" w:rsidRDefault="00735CE3" w:rsidP="00735CE3">
      <w:pPr>
        <w:ind w:left="850"/>
        <w:rPr>
          <w:sz w:val="24"/>
          <w:szCs w:val="24"/>
        </w:rPr>
      </w:pPr>
      <w:r w:rsidRPr="00D94CAF">
        <w:rPr>
          <w:sz w:val="24"/>
          <w:szCs w:val="24"/>
        </w:rPr>
        <w:t>Vancomycin bør kun anvendes på tvingende indikation i ammeperioden, da der er en risiko for systemisk absorption (se pkt. 4.4)</w:t>
      </w:r>
    </w:p>
    <w:p w14:paraId="539385AC" w14:textId="77777777" w:rsidR="00735CE3" w:rsidRPr="00D94CAF" w:rsidRDefault="00735CE3" w:rsidP="00735CE3">
      <w:pPr>
        <w:ind w:firstLine="850"/>
        <w:rPr>
          <w:sz w:val="24"/>
          <w:szCs w:val="24"/>
        </w:rPr>
      </w:pPr>
      <w:r w:rsidRPr="00D94CAF">
        <w:rPr>
          <w:sz w:val="24"/>
          <w:szCs w:val="24"/>
        </w:rPr>
        <w:t>Vancomycin udskilles i modermælken</w:t>
      </w:r>
      <w:r w:rsidRPr="00D94CAF">
        <w:rPr>
          <w:color w:val="800080"/>
          <w:sz w:val="24"/>
          <w:szCs w:val="24"/>
        </w:rPr>
        <w:t xml:space="preserve">. </w:t>
      </w:r>
      <w:r w:rsidRPr="00D94CAF">
        <w:rPr>
          <w:sz w:val="24"/>
          <w:szCs w:val="24"/>
        </w:rPr>
        <w:t xml:space="preserve">Mælk/plasma-koncentrationsratio er 0,5-1. </w:t>
      </w:r>
    </w:p>
    <w:p w14:paraId="5D7BFCB6" w14:textId="77777777" w:rsidR="00735CE3" w:rsidRPr="00D94CAF" w:rsidRDefault="00735CE3" w:rsidP="00735CE3">
      <w:pPr>
        <w:ind w:firstLine="850"/>
        <w:rPr>
          <w:sz w:val="24"/>
          <w:szCs w:val="24"/>
        </w:rPr>
      </w:pPr>
      <w:r w:rsidRPr="00D94CAF">
        <w:rPr>
          <w:sz w:val="24"/>
          <w:szCs w:val="24"/>
        </w:rPr>
        <w:t>Det anbefales at stoppe amningen under vancomycin behandlingen.</w:t>
      </w:r>
    </w:p>
    <w:p w14:paraId="789ABB2A" w14:textId="77777777" w:rsidR="00735CE3" w:rsidRPr="00D94CAF" w:rsidRDefault="00735CE3" w:rsidP="00735CE3">
      <w:pPr>
        <w:ind w:firstLine="850"/>
        <w:rPr>
          <w:sz w:val="24"/>
          <w:szCs w:val="24"/>
        </w:rPr>
      </w:pPr>
    </w:p>
    <w:p w14:paraId="630B2D6C" w14:textId="77777777" w:rsidR="00735CE3" w:rsidRDefault="00735CE3" w:rsidP="00735CE3">
      <w:pPr>
        <w:ind w:firstLine="850"/>
        <w:rPr>
          <w:spacing w:val="-3"/>
          <w:sz w:val="24"/>
          <w:szCs w:val="24"/>
          <w:u w:val="single"/>
        </w:rPr>
      </w:pPr>
      <w:r>
        <w:rPr>
          <w:spacing w:val="-3"/>
          <w:sz w:val="24"/>
          <w:szCs w:val="24"/>
          <w:u w:val="single"/>
        </w:rPr>
        <w:t xml:space="preserve">Fertilitet: </w:t>
      </w:r>
    </w:p>
    <w:p w14:paraId="3EDA691E" w14:textId="77777777" w:rsidR="00735CE3" w:rsidRDefault="00735CE3" w:rsidP="00735CE3">
      <w:pPr>
        <w:ind w:firstLine="850"/>
        <w:rPr>
          <w:spacing w:val="-3"/>
          <w:sz w:val="24"/>
          <w:szCs w:val="24"/>
        </w:rPr>
      </w:pPr>
      <w:r>
        <w:rPr>
          <w:spacing w:val="-3"/>
          <w:sz w:val="24"/>
          <w:szCs w:val="24"/>
        </w:rPr>
        <w:t>Der er ikke udført definitive fertilitetsstudier.</w:t>
      </w:r>
    </w:p>
    <w:p w14:paraId="5BFF786B" w14:textId="77777777" w:rsidR="00735CE3" w:rsidRDefault="00735CE3" w:rsidP="00735CE3">
      <w:pPr>
        <w:ind w:left="851" w:hanging="1"/>
        <w:outlineLvl w:val="0"/>
        <w:rPr>
          <w:spacing w:val="-3"/>
          <w:sz w:val="24"/>
        </w:rPr>
      </w:pPr>
    </w:p>
    <w:p w14:paraId="72BB7683" w14:textId="77777777" w:rsidR="00823089" w:rsidRDefault="00823089" w:rsidP="00823089">
      <w:pPr>
        <w:tabs>
          <w:tab w:val="left" w:pos="851"/>
        </w:tabs>
        <w:ind w:left="851" w:hanging="851"/>
        <w:rPr>
          <w:b/>
          <w:sz w:val="24"/>
          <w:szCs w:val="24"/>
        </w:rPr>
      </w:pPr>
      <w:r>
        <w:rPr>
          <w:b/>
          <w:sz w:val="24"/>
          <w:szCs w:val="24"/>
        </w:rPr>
        <w:t>4.7</w:t>
      </w:r>
      <w:r>
        <w:rPr>
          <w:b/>
          <w:sz w:val="24"/>
          <w:szCs w:val="24"/>
        </w:rPr>
        <w:tab/>
        <w:t>Virkninger på evnen til at føre motorkøretøj eller betjene maskiner</w:t>
      </w:r>
    </w:p>
    <w:p w14:paraId="1CBE7109" w14:textId="77777777" w:rsidR="00735CE3" w:rsidRDefault="00735CE3" w:rsidP="000E70BD">
      <w:pPr>
        <w:tabs>
          <w:tab w:val="left" w:pos="0"/>
        </w:tabs>
        <w:ind w:left="851"/>
        <w:rPr>
          <w:spacing w:val="-3"/>
          <w:sz w:val="24"/>
        </w:rPr>
      </w:pPr>
      <w:r>
        <w:rPr>
          <w:spacing w:val="-3"/>
          <w:sz w:val="24"/>
        </w:rPr>
        <w:t>Ikke mærkning.</w:t>
      </w:r>
    </w:p>
    <w:p w14:paraId="51031A0B" w14:textId="77777777" w:rsidR="00735CE3" w:rsidRDefault="00735CE3" w:rsidP="000E70BD">
      <w:pPr>
        <w:tabs>
          <w:tab w:val="left" w:pos="0"/>
        </w:tabs>
        <w:ind w:left="851"/>
        <w:rPr>
          <w:spacing w:val="-3"/>
          <w:sz w:val="24"/>
        </w:rPr>
      </w:pPr>
    </w:p>
    <w:p w14:paraId="7F0B058A" w14:textId="77777777" w:rsidR="00735CE3" w:rsidRDefault="00735CE3" w:rsidP="000E70BD">
      <w:pPr>
        <w:tabs>
          <w:tab w:val="left" w:pos="0"/>
        </w:tabs>
        <w:ind w:left="851"/>
        <w:rPr>
          <w:spacing w:val="-3"/>
          <w:sz w:val="24"/>
        </w:rPr>
      </w:pPr>
      <w:r>
        <w:rPr>
          <w:sz w:val="24"/>
          <w:szCs w:val="24"/>
        </w:rPr>
        <w:t>Påvirker ikke eller kun i ubetydelig grad evnen til at føre motorkøretøj eller betjene maskiner.</w:t>
      </w:r>
    </w:p>
    <w:p w14:paraId="64E06E66" w14:textId="77777777" w:rsidR="00735CE3" w:rsidRDefault="00735CE3" w:rsidP="007E02EE">
      <w:pPr>
        <w:ind w:left="851"/>
        <w:rPr>
          <w:sz w:val="24"/>
          <w:szCs w:val="24"/>
        </w:rPr>
      </w:pPr>
      <w:r>
        <w:rPr>
          <w:sz w:val="24"/>
          <w:szCs w:val="24"/>
        </w:rPr>
        <w:t>Vertigo og svimmelhed er sjældent rapporteret, og dette kan påvirke evnen til at køre og betjene maskiner.</w:t>
      </w:r>
    </w:p>
    <w:p w14:paraId="10F83538" w14:textId="77777777" w:rsidR="008E58C0" w:rsidRDefault="008E58C0">
      <w:pPr>
        <w:rPr>
          <w:spacing w:val="-3"/>
          <w:sz w:val="24"/>
        </w:rPr>
      </w:pPr>
      <w:r>
        <w:rPr>
          <w:spacing w:val="-3"/>
          <w:sz w:val="24"/>
        </w:rPr>
        <w:br w:type="page"/>
      </w:r>
    </w:p>
    <w:p w14:paraId="1D1E69FB" w14:textId="77777777" w:rsidR="007E02EE" w:rsidRDefault="007E02EE" w:rsidP="007E02EE">
      <w:pPr>
        <w:ind w:left="851"/>
        <w:rPr>
          <w:spacing w:val="-3"/>
          <w:sz w:val="24"/>
        </w:rPr>
      </w:pPr>
    </w:p>
    <w:p w14:paraId="32D48459" w14:textId="77777777" w:rsidR="00823089" w:rsidRDefault="00823089" w:rsidP="00823089">
      <w:pPr>
        <w:tabs>
          <w:tab w:val="left" w:pos="851"/>
        </w:tabs>
        <w:ind w:left="851" w:hanging="851"/>
        <w:rPr>
          <w:b/>
          <w:sz w:val="24"/>
          <w:szCs w:val="24"/>
        </w:rPr>
      </w:pPr>
      <w:r>
        <w:rPr>
          <w:b/>
          <w:sz w:val="24"/>
          <w:szCs w:val="24"/>
        </w:rPr>
        <w:t>4.8</w:t>
      </w:r>
      <w:r>
        <w:rPr>
          <w:b/>
          <w:sz w:val="24"/>
          <w:szCs w:val="24"/>
        </w:rPr>
        <w:tab/>
        <w:t>Bivirkninger</w:t>
      </w:r>
    </w:p>
    <w:p w14:paraId="1DE60CB9" w14:textId="77777777" w:rsidR="00735CE3" w:rsidRPr="00823089" w:rsidRDefault="00735CE3" w:rsidP="00823089">
      <w:pPr>
        <w:ind w:left="851"/>
        <w:rPr>
          <w:sz w:val="24"/>
          <w:szCs w:val="24"/>
        </w:rPr>
      </w:pPr>
    </w:p>
    <w:p w14:paraId="1D82C623" w14:textId="77777777" w:rsidR="00735CE3" w:rsidRPr="00823089" w:rsidRDefault="00735CE3" w:rsidP="00823089">
      <w:pPr>
        <w:ind w:left="851"/>
        <w:rPr>
          <w:sz w:val="24"/>
          <w:szCs w:val="24"/>
        </w:rPr>
      </w:pPr>
      <w:r w:rsidRPr="00823089">
        <w:rPr>
          <w:sz w:val="24"/>
          <w:szCs w:val="24"/>
          <w:u w:val="single"/>
        </w:rPr>
        <w:t>Resumé af sikkerhedsprofilen</w:t>
      </w:r>
    </w:p>
    <w:p w14:paraId="3CF7F7A5" w14:textId="77777777" w:rsidR="00735CE3" w:rsidRPr="00823089" w:rsidRDefault="00735CE3" w:rsidP="00823089">
      <w:pPr>
        <w:ind w:left="851"/>
        <w:rPr>
          <w:sz w:val="24"/>
          <w:szCs w:val="24"/>
        </w:rPr>
      </w:pPr>
      <w:r w:rsidRPr="00823089">
        <w:rPr>
          <w:sz w:val="24"/>
          <w:szCs w:val="24"/>
        </w:rPr>
        <w:t>Absorptionen af vancomycin fra mave-tarm</w:t>
      </w:r>
      <w:r w:rsidR="008E58C0">
        <w:rPr>
          <w:sz w:val="24"/>
          <w:szCs w:val="24"/>
        </w:rPr>
        <w:t>-</w:t>
      </w:r>
      <w:r w:rsidRPr="00823089">
        <w:rPr>
          <w:sz w:val="24"/>
          <w:szCs w:val="24"/>
        </w:rPr>
        <w:t>kanalen er ubetydelig. Ved alvorlig betændelse i tarmslimhinden, især i kombination med nyreinsufficiens, kan der dog opstå bivirkninger, som forekommer ved parenteral administration. Derfor er nedenstående bivirkninger og frekvenser relateret til parenteral administration inkluderet.</w:t>
      </w:r>
    </w:p>
    <w:p w14:paraId="0FE440FF" w14:textId="77777777" w:rsidR="00735CE3" w:rsidRDefault="00735CE3" w:rsidP="00735CE3">
      <w:pPr>
        <w:tabs>
          <w:tab w:val="left" w:pos="851"/>
        </w:tabs>
        <w:ind w:left="851" w:hanging="851"/>
        <w:rPr>
          <w:spacing w:val="-3"/>
          <w:sz w:val="24"/>
          <w:szCs w:val="24"/>
        </w:rPr>
      </w:pPr>
      <w:r>
        <w:rPr>
          <w:spacing w:val="-3"/>
          <w:sz w:val="24"/>
          <w:szCs w:val="24"/>
        </w:rPr>
        <w:tab/>
      </w:r>
    </w:p>
    <w:p w14:paraId="429E3820" w14:textId="77777777" w:rsidR="00735CE3" w:rsidRDefault="00735CE3" w:rsidP="00735CE3">
      <w:pPr>
        <w:tabs>
          <w:tab w:val="left" w:pos="851"/>
        </w:tabs>
        <w:ind w:left="851" w:hanging="851"/>
        <w:rPr>
          <w:sz w:val="24"/>
          <w:szCs w:val="24"/>
        </w:rPr>
      </w:pPr>
      <w:r>
        <w:rPr>
          <w:spacing w:val="-3"/>
          <w:sz w:val="24"/>
          <w:szCs w:val="24"/>
        </w:rPr>
        <w:tab/>
      </w:r>
      <w:r>
        <w:rPr>
          <w:sz w:val="24"/>
          <w:szCs w:val="24"/>
        </w:rPr>
        <w:t>Når vancomycin administreres parenteralt, er de mest almindelige bivirkninger flebitis, pseudo-allergiske reaktioner og rødmen på overkroppen (</w:t>
      </w:r>
      <w:r w:rsidR="000E70BD">
        <w:rPr>
          <w:sz w:val="24"/>
          <w:szCs w:val="24"/>
        </w:rPr>
        <w:t>"</w:t>
      </w:r>
      <w:r>
        <w:rPr>
          <w:sz w:val="24"/>
          <w:szCs w:val="24"/>
        </w:rPr>
        <w:t>red neck syndrome</w:t>
      </w:r>
      <w:r w:rsidR="000E70BD">
        <w:rPr>
          <w:sz w:val="24"/>
          <w:szCs w:val="24"/>
        </w:rPr>
        <w:t>"</w:t>
      </w:r>
      <w:r>
        <w:rPr>
          <w:sz w:val="24"/>
          <w:szCs w:val="24"/>
        </w:rPr>
        <w:t>) i forbindelse med for hurtig intravenøs infusion af vancomycin.</w:t>
      </w:r>
    </w:p>
    <w:p w14:paraId="4ADBF406" w14:textId="77777777" w:rsidR="00735CE3" w:rsidRDefault="00735CE3" w:rsidP="00735CE3">
      <w:pPr>
        <w:tabs>
          <w:tab w:val="left" w:pos="851"/>
        </w:tabs>
        <w:ind w:left="851" w:hanging="851"/>
        <w:rPr>
          <w:spacing w:val="-3"/>
          <w:sz w:val="24"/>
          <w:szCs w:val="24"/>
        </w:rPr>
      </w:pPr>
      <w:r>
        <w:rPr>
          <w:spacing w:val="-3"/>
          <w:sz w:val="24"/>
          <w:szCs w:val="24"/>
        </w:rPr>
        <w:tab/>
      </w:r>
    </w:p>
    <w:p w14:paraId="732D6032" w14:textId="77777777" w:rsidR="00735CE3" w:rsidRDefault="00735CE3" w:rsidP="00735CE3">
      <w:pPr>
        <w:pStyle w:val="Default"/>
        <w:ind w:firstLine="851"/>
        <w:jc w:val="both"/>
        <w:rPr>
          <w:rFonts w:ascii="Times New Roman" w:hAnsi="Times New Roman" w:cs="Times New Roman"/>
          <w:lang w:val="da-DK"/>
        </w:rPr>
      </w:pPr>
      <w:r>
        <w:rPr>
          <w:rFonts w:ascii="Times New Roman" w:hAnsi="Times New Roman" w:cs="Times New Roman"/>
          <w:u w:val="single"/>
          <w:lang w:val="da-DK"/>
        </w:rPr>
        <w:t xml:space="preserve">Tabel over bivirkninger </w:t>
      </w:r>
    </w:p>
    <w:p w14:paraId="2ED04C16" w14:textId="77777777" w:rsidR="00735CE3" w:rsidRDefault="00735CE3" w:rsidP="00735CE3">
      <w:pPr>
        <w:tabs>
          <w:tab w:val="left" w:pos="851"/>
        </w:tabs>
        <w:ind w:left="851" w:hanging="851"/>
        <w:rPr>
          <w:sz w:val="24"/>
          <w:szCs w:val="24"/>
        </w:rPr>
      </w:pPr>
      <w:r>
        <w:rPr>
          <w:sz w:val="24"/>
          <w:szCs w:val="24"/>
        </w:rPr>
        <w:tab/>
        <w:t>Inden for hver frekvensgruppe er bivirkningerne opstillet efter faldende alvorlighed.</w:t>
      </w:r>
    </w:p>
    <w:p w14:paraId="0803AD74" w14:textId="77777777" w:rsidR="00735CE3" w:rsidRDefault="00735CE3" w:rsidP="00735CE3">
      <w:pPr>
        <w:tabs>
          <w:tab w:val="left" w:pos="851"/>
        </w:tabs>
        <w:ind w:left="851"/>
        <w:rPr>
          <w:spacing w:val="-3"/>
          <w:sz w:val="24"/>
          <w:szCs w:val="24"/>
        </w:rPr>
      </w:pPr>
    </w:p>
    <w:p w14:paraId="1021FD3B" w14:textId="77777777" w:rsidR="00735CE3" w:rsidRDefault="00735CE3" w:rsidP="00735CE3">
      <w:pPr>
        <w:tabs>
          <w:tab w:val="left" w:pos="851"/>
        </w:tabs>
        <w:ind w:left="851"/>
        <w:rPr>
          <w:spacing w:val="-3"/>
          <w:sz w:val="24"/>
          <w:szCs w:val="24"/>
        </w:rPr>
      </w:pPr>
      <w:r>
        <w:rPr>
          <w:spacing w:val="-3"/>
          <w:sz w:val="24"/>
          <w:szCs w:val="24"/>
        </w:rPr>
        <w:t xml:space="preserve">Bivirkninger angivet nedenfor er defineret </w:t>
      </w:r>
      <w:r>
        <w:rPr>
          <w:sz w:val="24"/>
          <w:szCs w:val="24"/>
        </w:rPr>
        <w:t xml:space="preserve">ved hjælp af følgende </w:t>
      </w:r>
      <w:r>
        <w:rPr>
          <w:spacing w:val="-3"/>
          <w:sz w:val="24"/>
          <w:szCs w:val="24"/>
        </w:rPr>
        <w:t>MedDRA-konvention eller systemorganklasse:</w:t>
      </w:r>
    </w:p>
    <w:p w14:paraId="02FC7BDB" w14:textId="77777777" w:rsidR="00735CE3" w:rsidRDefault="00735CE3" w:rsidP="00735CE3">
      <w:pPr>
        <w:tabs>
          <w:tab w:val="left" w:pos="851"/>
        </w:tabs>
        <w:ind w:left="851"/>
        <w:rPr>
          <w:spacing w:val="-3"/>
          <w:sz w:val="24"/>
          <w:szCs w:val="24"/>
        </w:rPr>
      </w:pPr>
      <w:r>
        <w:rPr>
          <w:spacing w:val="-3"/>
          <w:sz w:val="24"/>
          <w:szCs w:val="24"/>
        </w:rPr>
        <w:t>Meget almindelig (≥ 1/10); almindelig (≥ 1/100 til &lt;1/10);</w:t>
      </w:r>
      <w:r>
        <w:rPr>
          <w:sz w:val="18"/>
          <w:szCs w:val="18"/>
        </w:rPr>
        <w:t xml:space="preserve"> </w:t>
      </w:r>
      <w:r>
        <w:rPr>
          <w:sz w:val="24"/>
          <w:szCs w:val="24"/>
        </w:rPr>
        <w:t>ikke almindelig</w:t>
      </w:r>
      <w:r>
        <w:rPr>
          <w:sz w:val="18"/>
          <w:szCs w:val="18"/>
        </w:rPr>
        <w:t xml:space="preserve"> </w:t>
      </w:r>
      <w:r>
        <w:rPr>
          <w:spacing w:val="-3"/>
          <w:sz w:val="24"/>
          <w:szCs w:val="24"/>
        </w:rPr>
        <w:t>(≥ 1/1.000 til &lt;1/100); sjælden (≥ 1/10.000 til &lt;1/1.000); meget sjælden (&lt;1/10.000), ikke kendt (kan ikke estimeres ud fra forhåndenværende data).</w:t>
      </w:r>
    </w:p>
    <w:p w14:paraId="2B28359C" w14:textId="77777777" w:rsidR="00735CE3" w:rsidRDefault="00735CE3" w:rsidP="00735CE3">
      <w:pPr>
        <w:tabs>
          <w:tab w:val="left" w:pos="851"/>
        </w:tabs>
        <w:ind w:left="851"/>
        <w:rPr>
          <w:spacing w:val="-3"/>
          <w:sz w:val="24"/>
          <w:szCs w:val="24"/>
        </w:rPr>
      </w:pPr>
    </w:p>
    <w:tbl>
      <w:tblPr>
        <w:tblW w:w="4300" w:type="pct"/>
        <w:tblInd w:w="846"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216"/>
        <w:gridCol w:w="6064"/>
      </w:tblGrid>
      <w:tr w:rsidR="00735CE3" w:rsidRPr="00E42C46" w14:paraId="724DD3A5" w14:textId="77777777" w:rsidTr="007E02EE">
        <w:trPr>
          <w:cantSplit/>
          <w:tblHeader/>
        </w:trPr>
        <w:tc>
          <w:tcPr>
            <w:tcW w:w="5000" w:type="pct"/>
            <w:gridSpan w:val="2"/>
            <w:tcBorders>
              <w:top w:val="single" w:sz="4" w:space="0" w:color="auto"/>
              <w:left w:val="single" w:sz="4" w:space="0" w:color="auto"/>
              <w:bottom w:val="single" w:sz="4" w:space="0" w:color="auto"/>
              <w:right w:val="single" w:sz="4" w:space="0" w:color="auto"/>
            </w:tcBorders>
            <w:hideMark/>
          </w:tcPr>
          <w:p w14:paraId="409D6C3A" w14:textId="77777777" w:rsidR="00735CE3" w:rsidRPr="00E42C46" w:rsidRDefault="00735CE3" w:rsidP="00E42C46">
            <w:pPr>
              <w:rPr>
                <w:b/>
                <w:sz w:val="24"/>
                <w:szCs w:val="24"/>
              </w:rPr>
            </w:pPr>
            <w:r w:rsidRPr="00E42C46">
              <w:rPr>
                <w:b/>
                <w:sz w:val="24"/>
                <w:szCs w:val="24"/>
              </w:rPr>
              <w:t xml:space="preserve">Systemorganklasse </w:t>
            </w:r>
          </w:p>
        </w:tc>
      </w:tr>
      <w:tr w:rsidR="00735CE3" w:rsidRPr="00E42C46" w14:paraId="63D0689F" w14:textId="77777777" w:rsidTr="007E02EE">
        <w:trPr>
          <w:cantSplit/>
          <w:tblHeader/>
        </w:trPr>
        <w:tc>
          <w:tcPr>
            <w:tcW w:w="1338" w:type="pct"/>
            <w:tcBorders>
              <w:top w:val="single" w:sz="4" w:space="0" w:color="auto"/>
              <w:left w:val="single" w:sz="4" w:space="0" w:color="auto"/>
              <w:bottom w:val="single" w:sz="4" w:space="0" w:color="auto"/>
              <w:right w:val="single" w:sz="4" w:space="0" w:color="auto"/>
            </w:tcBorders>
            <w:hideMark/>
          </w:tcPr>
          <w:p w14:paraId="2EBD5455" w14:textId="77777777" w:rsidR="00735CE3" w:rsidRPr="00E42C46" w:rsidRDefault="00735CE3" w:rsidP="00E42C46">
            <w:pPr>
              <w:rPr>
                <w:sz w:val="24"/>
                <w:szCs w:val="24"/>
                <w:lang w:eastAsia="en-GB"/>
              </w:rPr>
            </w:pPr>
            <w:r w:rsidRPr="00E42C46">
              <w:rPr>
                <w:sz w:val="24"/>
                <w:szCs w:val="24"/>
              </w:rPr>
              <w:t>Frekvens</w:t>
            </w:r>
          </w:p>
        </w:tc>
        <w:tc>
          <w:tcPr>
            <w:tcW w:w="3662" w:type="pct"/>
            <w:tcBorders>
              <w:top w:val="single" w:sz="4" w:space="0" w:color="auto"/>
              <w:left w:val="single" w:sz="4" w:space="0" w:color="auto"/>
              <w:bottom w:val="single" w:sz="4" w:space="0" w:color="auto"/>
              <w:right w:val="single" w:sz="4" w:space="0" w:color="auto"/>
            </w:tcBorders>
            <w:hideMark/>
          </w:tcPr>
          <w:p w14:paraId="3059103B" w14:textId="77777777" w:rsidR="00735CE3" w:rsidRPr="00E42C46" w:rsidRDefault="00735CE3" w:rsidP="00E42C46">
            <w:pPr>
              <w:rPr>
                <w:spacing w:val="-3"/>
                <w:sz w:val="24"/>
                <w:szCs w:val="24"/>
                <w:lang w:eastAsia="en-GB"/>
              </w:rPr>
            </w:pPr>
            <w:r w:rsidRPr="00E42C46">
              <w:rPr>
                <w:sz w:val="24"/>
                <w:szCs w:val="24"/>
              </w:rPr>
              <w:t>Bivirkning</w:t>
            </w:r>
          </w:p>
        </w:tc>
      </w:tr>
      <w:tr w:rsidR="00735CE3" w:rsidRPr="00E42C46" w14:paraId="3CB6A4CF"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4D4A76A6" w14:textId="77777777" w:rsidR="00735CE3" w:rsidRPr="00E42C46" w:rsidRDefault="00735CE3" w:rsidP="00E42C46">
            <w:pPr>
              <w:rPr>
                <w:b/>
                <w:spacing w:val="-3"/>
                <w:sz w:val="24"/>
                <w:szCs w:val="24"/>
                <w:lang w:eastAsia="en-GB"/>
              </w:rPr>
            </w:pPr>
            <w:r w:rsidRPr="00E42C46">
              <w:rPr>
                <w:b/>
                <w:sz w:val="24"/>
                <w:szCs w:val="24"/>
                <w:lang w:eastAsia="en-GB"/>
              </w:rPr>
              <w:t>Blod og lymfesystemet:</w:t>
            </w:r>
          </w:p>
        </w:tc>
      </w:tr>
      <w:tr w:rsidR="00735CE3" w:rsidRPr="00E42C46" w14:paraId="7C7B0E96"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45DD5F42" w14:textId="77777777" w:rsidR="00735CE3" w:rsidRPr="00E42C46" w:rsidRDefault="00735CE3" w:rsidP="00E42C46">
            <w:pPr>
              <w:rPr>
                <w:sz w:val="24"/>
                <w:szCs w:val="24"/>
                <w:lang w:eastAsia="en-GB"/>
              </w:rPr>
            </w:pPr>
            <w:r w:rsidRPr="00E42C46">
              <w:rPr>
                <w:iCs/>
                <w:sz w:val="24"/>
                <w:szCs w:val="24"/>
                <w:lang w:eastAsia="en-GB"/>
              </w:rPr>
              <w:t xml:space="preserve">Sjælden </w:t>
            </w:r>
          </w:p>
        </w:tc>
        <w:tc>
          <w:tcPr>
            <w:tcW w:w="3662" w:type="pct"/>
            <w:tcBorders>
              <w:top w:val="single" w:sz="4" w:space="0" w:color="auto"/>
              <w:left w:val="single" w:sz="4" w:space="0" w:color="auto"/>
              <w:bottom w:val="single" w:sz="4" w:space="0" w:color="auto"/>
              <w:right w:val="single" w:sz="4" w:space="0" w:color="auto"/>
            </w:tcBorders>
            <w:hideMark/>
          </w:tcPr>
          <w:p w14:paraId="589C3A72" w14:textId="77777777" w:rsidR="00735CE3" w:rsidRPr="00E42C46" w:rsidRDefault="00735CE3" w:rsidP="00E42C46">
            <w:pPr>
              <w:rPr>
                <w:sz w:val="24"/>
                <w:szCs w:val="24"/>
                <w:lang w:val="en-US"/>
              </w:rPr>
            </w:pPr>
            <w:r w:rsidRPr="00E42C46">
              <w:rPr>
                <w:spacing w:val="-3"/>
                <w:sz w:val="24"/>
                <w:szCs w:val="24"/>
                <w:lang w:val="en-US" w:eastAsia="en-GB"/>
              </w:rPr>
              <w:t>Reversibel neutropeni, agranulocytose,</w:t>
            </w:r>
            <w:r w:rsidRPr="00E42C46">
              <w:rPr>
                <w:sz w:val="24"/>
                <w:szCs w:val="24"/>
                <w:lang w:val="en-US" w:eastAsia="en-GB"/>
              </w:rPr>
              <w:t xml:space="preserve"> eosinofili,</w:t>
            </w:r>
            <w:r w:rsidRPr="00E42C46">
              <w:rPr>
                <w:spacing w:val="-3"/>
                <w:sz w:val="24"/>
                <w:szCs w:val="24"/>
                <w:lang w:val="en-US" w:eastAsia="en-GB"/>
              </w:rPr>
              <w:t xml:space="preserve"> thrombocytopeni,</w:t>
            </w:r>
            <w:r w:rsidRPr="00E42C46">
              <w:rPr>
                <w:sz w:val="24"/>
                <w:szCs w:val="24"/>
                <w:lang w:val="en-US" w:eastAsia="en-GB"/>
              </w:rPr>
              <w:t xml:space="preserve"> pancytopeni. </w:t>
            </w:r>
          </w:p>
        </w:tc>
      </w:tr>
      <w:tr w:rsidR="00735CE3" w:rsidRPr="00E42C46" w14:paraId="43CA2672"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17EB9545" w14:textId="77777777" w:rsidR="00735CE3" w:rsidRPr="00E42C46" w:rsidRDefault="00735CE3" w:rsidP="00E42C46">
            <w:pPr>
              <w:rPr>
                <w:b/>
                <w:spacing w:val="-3"/>
                <w:sz w:val="24"/>
                <w:szCs w:val="24"/>
                <w:lang w:eastAsia="en-GB"/>
              </w:rPr>
            </w:pPr>
            <w:r w:rsidRPr="00E42C46">
              <w:rPr>
                <w:b/>
                <w:sz w:val="24"/>
                <w:szCs w:val="24"/>
              </w:rPr>
              <w:t>Immunsystemet:</w:t>
            </w:r>
          </w:p>
        </w:tc>
      </w:tr>
      <w:tr w:rsidR="00735CE3" w:rsidRPr="00E42C46" w14:paraId="22705F87"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3D31CDF6" w14:textId="77777777" w:rsidR="00735CE3" w:rsidRPr="00E42C46" w:rsidRDefault="00735CE3" w:rsidP="00E42C46">
            <w:pPr>
              <w:rPr>
                <w:sz w:val="24"/>
                <w:szCs w:val="24"/>
                <w:lang w:eastAsia="en-GB"/>
              </w:rPr>
            </w:pPr>
            <w:r w:rsidRPr="00E42C46">
              <w:rPr>
                <w:iCs/>
                <w:sz w:val="24"/>
                <w:szCs w:val="24"/>
                <w:lang w:eastAsia="en-GB"/>
              </w:rPr>
              <w:t>Sjælden</w:t>
            </w:r>
          </w:p>
        </w:tc>
        <w:tc>
          <w:tcPr>
            <w:tcW w:w="3662" w:type="pct"/>
            <w:tcBorders>
              <w:top w:val="single" w:sz="4" w:space="0" w:color="auto"/>
              <w:left w:val="single" w:sz="4" w:space="0" w:color="auto"/>
              <w:bottom w:val="single" w:sz="4" w:space="0" w:color="auto"/>
              <w:right w:val="single" w:sz="4" w:space="0" w:color="auto"/>
            </w:tcBorders>
            <w:hideMark/>
          </w:tcPr>
          <w:p w14:paraId="3AB73B72" w14:textId="77777777" w:rsidR="00735CE3" w:rsidRPr="00E42C46" w:rsidRDefault="00735CE3" w:rsidP="00E42C46">
            <w:pPr>
              <w:rPr>
                <w:spacing w:val="-3"/>
                <w:sz w:val="24"/>
                <w:szCs w:val="24"/>
                <w:lang w:eastAsia="en-GB"/>
              </w:rPr>
            </w:pPr>
            <w:r w:rsidRPr="00E42C46">
              <w:rPr>
                <w:sz w:val="24"/>
                <w:szCs w:val="24"/>
              </w:rPr>
              <w:t xml:space="preserve">Overfølsomhedsreaktioner, anafylaktiske reaktioner </w:t>
            </w:r>
          </w:p>
        </w:tc>
      </w:tr>
      <w:tr w:rsidR="00735CE3" w:rsidRPr="00E42C46" w14:paraId="3FD0930D"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4C0D9316" w14:textId="77777777" w:rsidR="00735CE3" w:rsidRPr="00E42C46" w:rsidRDefault="00735CE3" w:rsidP="00E42C46">
            <w:pPr>
              <w:rPr>
                <w:b/>
                <w:spacing w:val="-3"/>
                <w:sz w:val="24"/>
                <w:szCs w:val="24"/>
                <w:lang w:eastAsia="en-GB"/>
              </w:rPr>
            </w:pPr>
            <w:r w:rsidRPr="00E42C46">
              <w:rPr>
                <w:b/>
                <w:sz w:val="24"/>
                <w:szCs w:val="24"/>
                <w:lang w:eastAsia="en-GB"/>
              </w:rPr>
              <w:t>Øre og labyrint:</w:t>
            </w:r>
          </w:p>
        </w:tc>
      </w:tr>
      <w:tr w:rsidR="00735CE3" w:rsidRPr="00E42C46" w14:paraId="24936498"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3FA62E51" w14:textId="77777777" w:rsidR="00735CE3" w:rsidRPr="00E42C46" w:rsidRDefault="00735CE3" w:rsidP="00E42C46">
            <w:pPr>
              <w:rPr>
                <w:sz w:val="24"/>
                <w:szCs w:val="24"/>
                <w:lang w:eastAsia="en-GB"/>
              </w:rPr>
            </w:pPr>
            <w:r w:rsidRPr="00E42C46">
              <w:rPr>
                <w:sz w:val="24"/>
                <w:szCs w:val="24"/>
                <w:lang w:eastAsia="en-GB"/>
              </w:rPr>
              <w:t>Ualmindelig</w:t>
            </w:r>
          </w:p>
        </w:tc>
        <w:tc>
          <w:tcPr>
            <w:tcW w:w="3662" w:type="pct"/>
            <w:tcBorders>
              <w:top w:val="single" w:sz="4" w:space="0" w:color="auto"/>
              <w:left w:val="single" w:sz="4" w:space="0" w:color="auto"/>
              <w:bottom w:val="single" w:sz="4" w:space="0" w:color="auto"/>
              <w:right w:val="single" w:sz="4" w:space="0" w:color="auto"/>
            </w:tcBorders>
            <w:hideMark/>
          </w:tcPr>
          <w:p w14:paraId="654BB609" w14:textId="77777777" w:rsidR="00735CE3" w:rsidRPr="00E42C46" w:rsidRDefault="00735CE3" w:rsidP="00E42C46">
            <w:pPr>
              <w:rPr>
                <w:sz w:val="24"/>
                <w:szCs w:val="24"/>
              </w:rPr>
            </w:pPr>
            <w:r w:rsidRPr="00E42C46">
              <w:rPr>
                <w:sz w:val="24"/>
                <w:szCs w:val="24"/>
              </w:rPr>
              <w:t>Forbigående eller permanent høretab</w:t>
            </w:r>
          </w:p>
        </w:tc>
      </w:tr>
      <w:tr w:rsidR="00735CE3" w:rsidRPr="00E42C46" w14:paraId="280125DE"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4586CF38" w14:textId="77777777" w:rsidR="00735CE3" w:rsidRPr="00E42C46" w:rsidRDefault="00735CE3" w:rsidP="00E42C46">
            <w:pPr>
              <w:rPr>
                <w:sz w:val="24"/>
                <w:szCs w:val="24"/>
                <w:lang w:eastAsia="en-GB"/>
              </w:rPr>
            </w:pPr>
            <w:r w:rsidRPr="00E42C46">
              <w:rPr>
                <w:iCs/>
                <w:sz w:val="24"/>
                <w:szCs w:val="24"/>
                <w:lang w:eastAsia="en-GB"/>
              </w:rPr>
              <w:t xml:space="preserve">Sjælden </w:t>
            </w:r>
          </w:p>
        </w:tc>
        <w:tc>
          <w:tcPr>
            <w:tcW w:w="3662" w:type="pct"/>
            <w:tcBorders>
              <w:top w:val="single" w:sz="4" w:space="0" w:color="auto"/>
              <w:left w:val="single" w:sz="4" w:space="0" w:color="auto"/>
              <w:bottom w:val="single" w:sz="4" w:space="0" w:color="auto"/>
              <w:right w:val="single" w:sz="4" w:space="0" w:color="auto"/>
            </w:tcBorders>
            <w:hideMark/>
          </w:tcPr>
          <w:p w14:paraId="5FC8736E" w14:textId="77777777" w:rsidR="00735CE3" w:rsidRPr="00E42C46" w:rsidRDefault="00735CE3" w:rsidP="00E42C46">
            <w:pPr>
              <w:rPr>
                <w:sz w:val="24"/>
                <w:szCs w:val="24"/>
              </w:rPr>
            </w:pPr>
            <w:r w:rsidRPr="00E42C46">
              <w:rPr>
                <w:spacing w:val="-3"/>
                <w:sz w:val="24"/>
                <w:szCs w:val="24"/>
                <w:lang w:eastAsia="en-GB"/>
              </w:rPr>
              <w:t>Vertigo, tinnitus, svimmelhed</w:t>
            </w:r>
          </w:p>
        </w:tc>
      </w:tr>
      <w:tr w:rsidR="00735CE3" w:rsidRPr="00E42C46" w14:paraId="2E328F9A"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4F16867F" w14:textId="77777777" w:rsidR="00735CE3" w:rsidRPr="00E42C46" w:rsidRDefault="00735CE3" w:rsidP="00E42C46">
            <w:pPr>
              <w:rPr>
                <w:b/>
                <w:sz w:val="24"/>
                <w:szCs w:val="24"/>
              </w:rPr>
            </w:pPr>
            <w:r w:rsidRPr="00E42C46">
              <w:rPr>
                <w:b/>
                <w:sz w:val="24"/>
                <w:szCs w:val="24"/>
                <w:lang w:eastAsia="en-GB"/>
              </w:rPr>
              <w:t xml:space="preserve">Hjerte </w:t>
            </w:r>
          </w:p>
        </w:tc>
      </w:tr>
      <w:tr w:rsidR="00735CE3" w:rsidRPr="00E42C46" w14:paraId="1035CA79"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64BBDC23" w14:textId="77777777" w:rsidR="00735CE3" w:rsidRPr="00E42C46" w:rsidRDefault="00735CE3" w:rsidP="00E42C46">
            <w:pPr>
              <w:rPr>
                <w:sz w:val="24"/>
                <w:szCs w:val="24"/>
                <w:lang w:eastAsia="en-GB"/>
              </w:rPr>
            </w:pPr>
            <w:r w:rsidRPr="00E42C46">
              <w:rPr>
                <w:iCs/>
                <w:sz w:val="24"/>
                <w:szCs w:val="24"/>
                <w:lang w:eastAsia="en-GB"/>
              </w:rPr>
              <w:t xml:space="preserve">Meget sjælden </w:t>
            </w:r>
          </w:p>
        </w:tc>
        <w:tc>
          <w:tcPr>
            <w:tcW w:w="3662" w:type="pct"/>
            <w:tcBorders>
              <w:top w:val="single" w:sz="4" w:space="0" w:color="auto"/>
              <w:left w:val="single" w:sz="4" w:space="0" w:color="auto"/>
              <w:bottom w:val="single" w:sz="4" w:space="0" w:color="auto"/>
              <w:right w:val="single" w:sz="4" w:space="0" w:color="auto"/>
            </w:tcBorders>
            <w:hideMark/>
          </w:tcPr>
          <w:p w14:paraId="15F918B6" w14:textId="77777777" w:rsidR="00735CE3" w:rsidRPr="00E42C46" w:rsidRDefault="00735CE3" w:rsidP="00E42C46">
            <w:pPr>
              <w:rPr>
                <w:sz w:val="24"/>
                <w:szCs w:val="24"/>
              </w:rPr>
            </w:pPr>
            <w:r w:rsidRPr="00E42C46">
              <w:rPr>
                <w:sz w:val="24"/>
                <w:szCs w:val="24"/>
              </w:rPr>
              <w:t>Hjertestop</w:t>
            </w:r>
          </w:p>
        </w:tc>
      </w:tr>
      <w:tr w:rsidR="00735CE3" w:rsidRPr="00E42C46" w14:paraId="2FD388EB"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7AA53AF3" w14:textId="77777777" w:rsidR="00735CE3" w:rsidRPr="00E42C46" w:rsidRDefault="00735CE3" w:rsidP="00E42C46">
            <w:pPr>
              <w:rPr>
                <w:b/>
                <w:sz w:val="24"/>
                <w:szCs w:val="24"/>
              </w:rPr>
            </w:pPr>
            <w:r w:rsidRPr="00E42C46">
              <w:rPr>
                <w:b/>
                <w:sz w:val="24"/>
                <w:szCs w:val="24"/>
                <w:lang w:eastAsia="en-GB"/>
              </w:rPr>
              <w:t>Vaskulære sygdomme</w:t>
            </w:r>
          </w:p>
        </w:tc>
      </w:tr>
      <w:tr w:rsidR="00735CE3" w:rsidRPr="00E42C46" w14:paraId="6DB22D8D"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613876F6" w14:textId="77777777" w:rsidR="00735CE3" w:rsidRPr="00E42C46" w:rsidRDefault="00735CE3" w:rsidP="00E42C46">
            <w:pPr>
              <w:rPr>
                <w:iCs/>
                <w:sz w:val="24"/>
                <w:szCs w:val="24"/>
                <w:lang w:eastAsia="en-GB"/>
              </w:rPr>
            </w:pPr>
            <w:r w:rsidRPr="00E42C46">
              <w:rPr>
                <w:iCs/>
                <w:sz w:val="24"/>
                <w:szCs w:val="24"/>
                <w:lang w:eastAsia="en-GB"/>
              </w:rPr>
              <w:t xml:space="preserve">Almindelige </w:t>
            </w:r>
          </w:p>
        </w:tc>
        <w:tc>
          <w:tcPr>
            <w:tcW w:w="3662" w:type="pct"/>
            <w:tcBorders>
              <w:top w:val="single" w:sz="4" w:space="0" w:color="auto"/>
              <w:left w:val="single" w:sz="4" w:space="0" w:color="auto"/>
              <w:bottom w:val="single" w:sz="4" w:space="0" w:color="auto"/>
              <w:right w:val="single" w:sz="4" w:space="0" w:color="auto"/>
            </w:tcBorders>
            <w:hideMark/>
          </w:tcPr>
          <w:p w14:paraId="4E38A22B" w14:textId="77777777" w:rsidR="00735CE3" w:rsidRPr="00E42C46" w:rsidRDefault="00735CE3" w:rsidP="00E42C46">
            <w:pPr>
              <w:rPr>
                <w:spacing w:val="-3"/>
                <w:sz w:val="24"/>
                <w:szCs w:val="24"/>
              </w:rPr>
            </w:pPr>
            <w:r w:rsidRPr="00E42C46">
              <w:rPr>
                <w:sz w:val="24"/>
                <w:szCs w:val="24"/>
              </w:rPr>
              <w:t>Blodtryksfald</w:t>
            </w:r>
          </w:p>
        </w:tc>
      </w:tr>
      <w:tr w:rsidR="00735CE3" w:rsidRPr="00E42C46" w14:paraId="7465BC8B"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678A6392" w14:textId="77777777" w:rsidR="00735CE3" w:rsidRPr="00E42C46" w:rsidRDefault="00735CE3" w:rsidP="00E42C46">
            <w:pPr>
              <w:rPr>
                <w:sz w:val="24"/>
                <w:szCs w:val="24"/>
              </w:rPr>
            </w:pPr>
            <w:r w:rsidRPr="00E42C46">
              <w:rPr>
                <w:sz w:val="24"/>
                <w:szCs w:val="24"/>
              </w:rPr>
              <w:t xml:space="preserve">Sjælden </w:t>
            </w:r>
          </w:p>
        </w:tc>
        <w:tc>
          <w:tcPr>
            <w:tcW w:w="3662" w:type="pct"/>
            <w:tcBorders>
              <w:top w:val="single" w:sz="4" w:space="0" w:color="auto"/>
              <w:left w:val="single" w:sz="4" w:space="0" w:color="auto"/>
              <w:bottom w:val="single" w:sz="4" w:space="0" w:color="auto"/>
              <w:right w:val="single" w:sz="4" w:space="0" w:color="auto"/>
            </w:tcBorders>
            <w:hideMark/>
          </w:tcPr>
          <w:p w14:paraId="431AC0DD" w14:textId="77777777" w:rsidR="00735CE3" w:rsidRPr="00E42C46" w:rsidRDefault="00735CE3" w:rsidP="00E42C46">
            <w:pPr>
              <w:rPr>
                <w:sz w:val="24"/>
                <w:szCs w:val="24"/>
              </w:rPr>
            </w:pPr>
            <w:r w:rsidRPr="00E42C46">
              <w:rPr>
                <w:sz w:val="24"/>
                <w:szCs w:val="24"/>
              </w:rPr>
              <w:t xml:space="preserve">Vaskulitis </w:t>
            </w:r>
          </w:p>
        </w:tc>
      </w:tr>
      <w:tr w:rsidR="00735CE3" w:rsidRPr="00E42C46" w14:paraId="3CBC25A0"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7DFF0DAA" w14:textId="77777777" w:rsidR="00735CE3" w:rsidRPr="00E42C46" w:rsidRDefault="00735CE3" w:rsidP="00E42C46">
            <w:pPr>
              <w:rPr>
                <w:b/>
                <w:sz w:val="24"/>
                <w:szCs w:val="24"/>
              </w:rPr>
            </w:pPr>
            <w:r w:rsidRPr="00E42C46">
              <w:rPr>
                <w:b/>
                <w:sz w:val="24"/>
                <w:szCs w:val="24"/>
              </w:rPr>
              <w:t>Luftveje</w:t>
            </w:r>
            <w:r w:rsidRPr="00E42C46">
              <w:rPr>
                <w:b/>
                <w:sz w:val="24"/>
                <w:szCs w:val="24"/>
                <w:lang w:eastAsia="en-GB"/>
              </w:rPr>
              <w:t>, thorax og mediastinum:</w:t>
            </w:r>
          </w:p>
        </w:tc>
      </w:tr>
      <w:tr w:rsidR="00735CE3" w:rsidRPr="00E42C46" w14:paraId="39A31034"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18FC3023" w14:textId="77777777" w:rsidR="00735CE3" w:rsidRPr="00E42C46" w:rsidRDefault="00735CE3" w:rsidP="00E42C46">
            <w:pPr>
              <w:rPr>
                <w:iCs/>
                <w:sz w:val="24"/>
                <w:szCs w:val="24"/>
                <w:lang w:eastAsia="en-GB"/>
              </w:rPr>
            </w:pPr>
            <w:r w:rsidRPr="00E42C46">
              <w:rPr>
                <w:iCs/>
                <w:sz w:val="24"/>
                <w:szCs w:val="24"/>
                <w:lang w:eastAsia="en-GB"/>
              </w:rPr>
              <w:t xml:space="preserve">Almindelige </w:t>
            </w:r>
          </w:p>
        </w:tc>
        <w:tc>
          <w:tcPr>
            <w:tcW w:w="3662" w:type="pct"/>
            <w:tcBorders>
              <w:top w:val="single" w:sz="4" w:space="0" w:color="auto"/>
              <w:left w:val="single" w:sz="4" w:space="0" w:color="auto"/>
              <w:bottom w:val="single" w:sz="4" w:space="0" w:color="auto"/>
              <w:right w:val="single" w:sz="4" w:space="0" w:color="auto"/>
            </w:tcBorders>
            <w:hideMark/>
          </w:tcPr>
          <w:p w14:paraId="1DCF6D5B" w14:textId="77777777" w:rsidR="00735CE3" w:rsidRPr="00E42C46" w:rsidRDefault="00735CE3" w:rsidP="00E42C46">
            <w:pPr>
              <w:rPr>
                <w:sz w:val="24"/>
                <w:szCs w:val="24"/>
                <w:lang w:eastAsia="en-GB"/>
              </w:rPr>
            </w:pPr>
            <w:r w:rsidRPr="00E42C46">
              <w:rPr>
                <w:snapToGrid w:val="0"/>
                <w:color w:val="000000"/>
                <w:spacing w:val="-3"/>
                <w:sz w:val="24"/>
                <w:szCs w:val="24"/>
              </w:rPr>
              <w:t xml:space="preserve">Dyspnø, </w:t>
            </w:r>
            <w:r w:rsidRPr="00E42C46">
              <w:rPr>
                <w:spacing w:val="-3"/>
                <w:sz w:val="24"/>
                <w:szCs w:val="24"/>
                <w:lang w:eastAsia="en-GB"/>
              </w:rPr>
              <w:t>stridor</w:t>
            </w:r>
          </w:p>
        </w:tc>
      </w:tr>
      <w:tr w:rsidR="00735CE3" w:rsidRPr="00E42C46" w14:paraId="15BE1CC6"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3FB1740E" w14:textId="77777777" w:rsidR="00735CE3" w:rsidRPr="00E42C46" w:rsidRDefault="00735CE3" w:rsidP="00E42C46">
            <w:pPr>
              <w:rPr>
                <w:b/>
                <w:sz w:val="24"/>
                <w:szCs w:val="24"/>
              </w:rPr>
            </w:pPr>
            <w:r w:rsidRPr="00E42C46">
              <w:rPr>
                <w:b/>
                <w:sz w:val="24"/>
                <w:szCs w:val="24"/>
                <w:lang w:eastAsia="en-GB"/>
              </w:rPr>
              <w:t>Mave-tarm-kanalen:</w:t>
            </w:r>
          </w:p>
        </w:tc>
      </w:tr>
      <w:tr w:rsidR="00735CE3" w:rsidRPr="00E42C46" w14:paraId="4764460B"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396289AF" w14:textId="77777777" w:rsidR="00735CE3" w:rsidRPr="00E42C46" w:rsidRDefault="00735CE3" w:rsidP="00E42C46">
            <w:pPr>
              <w:rPr>
                <w:sz w:val="24"/>
                <w:szCs w:val="24"/>
                <w:lang w:eastAsia="en-GB"/>
              </w:rPr>
            </w:pPr>
            <w:r w:rsidRPr="00E42C46">
              <w:rPr>
                <w:iCs/>
                <w:sz w:val="24"/>
                <w:szCs w:val="24"/>
                <w:lang w:eastAsia="en-GB"/>
              </w:rPr>
              <w:t xml:space="preserve">Sjælden </w:t>
            </w:r>
          </w:p>
        </w:tc>
        <w:tc>
          <w:tcPr>
            <w:tcW w:w="3662" w:type="pct"/>
            <w:tcBorders>
              <w:top w:val="single" w:sz="4" w:space="0" w:color="auto"/>
              <w:left w:val="single" w:sz="4" w:space="0" w:color="auto"/>
              <w:bottom w:val="single" w:sz="4" w:space="0" w:color="auto"/>
              <w:right w:val="single" w:sz="4" w:space="0" w:color="auto"/>
            </w:tcBorders>
            <w:hideMark/>
          </w:tcPr>
          <w:p w14:paraId="1448C96E" w14:textId="77777777" w:rsidR="00735CE3" w:rsidRPr="00E42C46" w:rsidRDefault="00735CE3" w:rsidP="00E42C46">
            <w:pPr>
              <w:rPr>
                <w:sz w:val="24"/>
                <w:szCs w:val="24"/>
              </w:rPr>
            </w:pPr>
            <w:r w:rsidRPr="00E42C46">
              <w:rPr>
                <w:sz w:val="24"/>
                <w:szCs w:val="24"/>
                <w:lang w:eastAsia="en-GB"/>
              </w:rPr>
              <w:t>Kvalme</w:t>
            </w:r>
          </w:p>
        </w:tc>
      </w:tr>
      <w:tr w:rsidR="00735CE3" w:rsidRPr="00E42C46" w14:paraId="03776171"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6CDFFFF7" w14:textId="77777777" w:rsidR="00735CE3" w:rsidRPr="00E42C46" w:rsidRDefault="00735CE3" w:rsidP="00E42C46">
            <w:pPr>
              <w:rPr>
                <w:sz w:val="24"/>
                <w:szCs w:val="24"/>
                <w:lang w:eastAsia="en-GB"/>
              </w:rPr>
            </w:pPr>
            <w:r w:rsidRPr="00E42C46">
              <w:rPr>
                <w:iCs/>
                <w:sz w:val="24"/>
                <w:szCs w:val="24"/>
                <w:lang w:eastAsia="en-GB"/>
              </w:rPr>
              <w:t>Meget sjælden</w:t>
            </w:r>
          </w:p>
        </w:tc>
        <w:tc>
          <w:tcPr>
            <w:tcW w:w="3662" w:type="pct"/>
            <w:tcBorders>
              <w:top w:val="single" w:sz="4" w:space="0" w:color="auto"/>
              <w:left w:val="single" w:sz="4" w:space="0" w:color="auto"/>
              <w:bottom w:val="single" w:sz="4" w:space="0" w:color="auto"/>
              <w:right w:val="single" w:sz="4" w:space="0" w:color="auto"/>
            </w:tcBorders>
            <w:hideMark/>
          </w:tcPr>
          <w:p w14:paraId="686B9D1D" w14:textId="77777777" w:rsidR="00735CE3" w:rsidRPr="00E42C46" w:rsidRDefault="00735CE3" w:rsidP="00E42C46">
            <w:pPr>
              <w:rPr>
                <w:sz w:val="24"/>
                <w:szCs w:val="24"/>
              </w:rPr>
            </w:pPr>
            <w:r w:rsidRPr="00E42C46">
              <w:rPr>
                <w:sz w:val="24"/>
                <w:szCs w:val="24"/>
              </w:rPr>
              <w:t>Pseudomembranøs enterocolitis</w:t>
            </w:r>
          </w:p>
        </w:tc>
      </w:tr>
      <w:tr w:rsidR="00735CE3" w:rsidRPr="00E42C46" w14:paraId="09738B7C"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15E1E1DA" w14:textId="77777777" w:rsidR="00735CE3" w:rsidRPr="00E42C46" w:rsidRDefault="00735CE3" w:rsidP="00E42C46">
            <w:pPr>
              <w:rPr>
                <w:sz w:val="24"/>
                <w:szCs w:val="24"/>
              </w:rPr>
            </w:pPr>
            <w:r w:rsidRPr="00E42C46">
              <w:rPr>
                <w:sz w:val="24"/>
                <w:szCs w:val="24"/>
              </w:rPr>
              <w:t xml:space="preserve">Ikke kendt </w:t>
            </w:r>
          </w:p>
        </w:tc>
        <w:tc>
          <w:tcPr>
            <w:tcW w:w="3662" w:type="pct"/>
            <w:tcBorders>
              <w:top w:val="single" w:sz="4" w:space="0" w:color="auto"/>
              <w:left w:val="single" w:sz="4" w:space="0" w:color="auto"/>
              <w:bottom w:val="single" w:sz="4" w:space="0" w:color="auto"/>
              <w:right w:val="single" w:sz="4" w:space="0" w:color="auto"/>
            </w:tcBorders>
            <w:hideMark/>
          </w:tcPr>
          <w:p w14:paraId="15A22BB5" w14:textId="77777777" w:rsidR="00735CE3" w:rsidRPr="00E42C46" w:rsidRDefault="00735CE3" w:rsidP="00E42C46">
            <w:pPr>
              <w:rPr>
                <w:sz w:val="24"/>
                <w:szCs w:val="24"/>
              </w:rPr>
            </w:pPr>
            <w:r w:rsidRPr="00E42C46">
              <w:rPr>
                <w:sz w:val="24"/>
                <w:szCs w:val="24"/>
              </w:rPr>
              <w:t xml:space="preserve">Opkastning, diarré </w:t>
            </w:r>
          </w:p>
        </w:tc>
      </w:tr>
      <w:tr w:rsidR="00735CE3" w:rsidRPr="006802AD" w14:paraId="0885315B"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30BAC786" w14:textId="77777777" w:rsidR="00735CE3" w:rsidRPr="006802AD" w:rsidRDefault="00735CE3" w:rsidP="00E42C46">
            <w:pPr>
              <w:rPr>
                <w:b/>
                <w:sz w:val="24"/>
                <w:szCs w:val="24"/>
              </w:rPr>
            </w:pPr>
            <w:r w:rsidRPr="006802AD">
              <w:rPr>
                <w:b/>
                <w:sz w:val="24"/>
                <w:szCs w:val="24"/>
              </w:rPr>
              <w:t xml:space="preserve">Hud- og subkutane væv: </w:t>
            </w:r>
          </w:p>
        </w:tc>
      </w:tr>
      <w:tr w:rsidR="00735CE3" w:rsidRPr="00E42C46" w14:paraId="52D81D18"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78C32315" w14:textId="77777777" w:rsidR="00735CE3" w:rsidRPr="00E42C46" w:rsidRDefault="00735CE3" w:rsidP="00E42C46">
            <w:pPr>
              <w:rPr>
                <w:iCs/>
                <w:sz w:val="24"/>
                <w:szCs w:val="24"/>
                <w:lang w:eastAsia="en-GB"/>
              </w:rPr>
            </w:pPr>
            <w:r w:rsidRPr="00E42C46">
              <w:rPr>
                <w:sz w:val="24"/>
                <w:szCs w:val="24"/>
                <w:lang w:eastAsia="en-GB"/>
              </w:rPr>
              <w:t xml:space="preserve">Almindelige </w:t>
            </w:r>
          </w:p>
        </w:tc>
        <w:tc>
          <w:tcPr>
            <w:tcW w:w="3662" w:type="pct"/>
            <w:tcBorders>
              <w:top w:val="single" w:sz="4" w:space="0" w:color="auto"/>
              <w:left w:val="single" w:sz="4" w:space="0" w:color="auto"/>
              <w:bottom w:val="single" w:sz="4" w:space="0" w:color="auto"/>
              <w:right w:val="single" w:sz="4" w:space="0" w:color="auto"/>
            </w:tcBorders>
            <w:hideMark/>
          </w:tcPr>
          <w:p w14:paraId="7125D137" w14:textId="77777777" w:rsidR="00735CE3" w:rsidRPr="00E42C46" w:rsidRDefault="00735CE3" w:rsidP="00E42C46">
            <w:pPr>
              <w:rPr>
                <w:spacing w:val="-3"/>
                <w:sz w:val="24"/>
                <w:szCs w:val="24"/>
              </w:rPr>
            </w:pPr>
            <w:r w:rsidRPr="00E42C46">
              <w:rPr>
                <w:sz w:val="24"/>
                <w:szCs w:val="24"/>
              </w:rPr>
              <w:t>Rødmen af overkroppen (“red man syndrom</w:t>
            </w:r>
            <w:r w:rsidR="000E70BD">
              <w:rPr>
                <w:sz w:val="24"/>
                <w:szCs w:val="24"/>
              </w:rPr>
              <w:t>"</w:t>
            </w:r>
            <w:r w:rsidRPr="00E42C46">
              <w:rPr>
                <w:sz w:val="24"/>
                <w:szCs w:val="24"/>
              </w:rPr>
              <w:t>), eksantem og mucosal inflammation, pruritus, urticaria</w:t>
            </w:r>
          </w:p>
        </w:tc>
      </w:tr>
      <w:tr w:rsidR="00735CE3" w:rsidRPr="00E42C46" w14:paraId="241B4F4A"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47E11422" w14:textId="77777777" w:rsidR="00735CE3" w:rsidRPr="00E42C46" w:rsidRDefault="00735CE3" w:rsidP="00E42C46">
            <w:pPr>
              <w:rPr>
                <w:sz w:val="24"/>
                <w:szCs w:val="24"/>
                <w:lang w:eastAsia="en-GB"/>
              </w:rPr>
            </w:pPr>
            <w:r w:rsidRPr="00E42C46">
              <w:rPr>
                <w:sz w:val="24"/>
                <w:szCs w:val="24"/>
                <w:lang w:eastAsia="en-GB"/>
              </w:rPr>
              <w:t>Meget sjælden</w:t>
            </w:r>
          </w:p>
        </w:tc>
        <w:tc>
          <w:tcPr>
            <w:tcW w:w="3662" w:type="pct"/>
            <w:tcBorders>
              <w:top w:val="single" w:sz="4" w:space="0" w:color="auto"/>
              <w:left w:val="single" w:sz="4" w:space="0" w:color="auto"/>
              <w:bottom w:val="single" w:sz="4" w:space="0" w:color="auto"/>
              <w:right w:val="single" w:sz="4" w:space="0" w:color="auto"/>
            </w:tcBorders>
            <w:hideMark/>
          </w:tcPr>
          <w:p w14:paraId="20CE4434" w14:textId="77777777" w:rsidR="00735CE3" w:rsidRPr="00E42C46" w:rsidRDefault="00735CE3" w:rsidP="00E42C46">
            <w:pPr>
              <w:rPr>
                <w:sz w:val="24"/>
                <w:szCs w:val="24"/>
              </w:rPr>
            </w:pPr>
            <w:r w:rsidRPr="00E42C46">
              <w:rPr>
                <w:spacing w:val="-3"/>
                <w:sz w:val="24"/>
                <w:szCs w:val="24"/>
              </w:rPr>
              <w:t xml:space="preserve">Exfoliativ dermatitis, Stevens-Johnsons syndrom, Lyell syndrom, </w:t>
            </w:r>
            <w:r w:rsidRPr="00E42C46">
              <w:rPr>
                <w:sz w:val="24"/>
                <w:szCs w:val="24"/>
              </w:rPr>
              <w:t xml:space="preserve">lineær IgA bulløs dermatose </w:t>
            </w:r>
          </w:p>
        </w:tc>
      </w:tr>
      <w:tr w:rsidR="00735CE3" w:rsidRPr="00E42C46" w14:paraId="2E9995B5"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46BD9FE7" w14:textId="77777777" w:rsidR="00735CE3" w:rsidRPr="00E42C46" w:rsidRDefault="00735CE3" w:rsidP="00E42C46">
            <w:pPr>
              <w:rPr>
                <w:sz w:val="24"/>
                <w:szCs w:val="24"/>
              </w:rPr>
            </w:pPr>
            <w:r w:rsidRPr="00E42C46">
              <w:rPr>
                <w:sz w:val="24"/>
                <w:szCs w:val="24"/>
              </w:rPr>
              <w:t xml:space="preserve">Ikke kendt </w:t>
            </w:r>
          </w:p>
        </w:tc>
        <w:tc>
          <w:tcPr>
            <w:tcW w:w="3662" w:type="pct"/>
            <w:tcBorders>
              <w:top w:val="single" w:sz="4" w:space="0" w:color="auto"/>
              <w:left w:val="single" w:sz="4" w:space="0" w:color="auto"/>
              <w:bottom w:val="single" w:sz="4" w:space="0" w:color="auto"/>
              <w:right w:val="single" w:sz="4" w:space="0" w:color="auto"/>
            </w:tcBorders>
            <w:hideMark/>
          </w:tcPr>
          <w:p w14:paraId="73AC2879" w14:textId="77777777" w:rsidR="00735CE3" w:rsidRPr="00E42C46" w:rsidRDefault="00735CE3" w:rsidP="00E42C46">
            <w:pPr>
              <w:rPr>
                <w:spacing w:val="-3"/>
                <w:sz w:val="24"/>
                <w:szCs w:val="24"/>
              </w:rPr>
            </w:pPr>
            <w:r w:rsidRPr="00E42C46">
              <w:rPr>
                <w:sz w:val="24"/>
                <w:szCs w:val="24"/>
              </w:rPr>
              <w:t xml:space="preserve">Eosinofili og systemiske symptomer (DRESS syndrom), AGEP (akut generaliseret eksantematøs pustulose) </w:t>
            </w:r>
          </w:p>
        </w:tc>
      </w:tr>
      <w:tr w:rsidR="00735CE3" w:rsidRPr="006802AD" w14:paraId="07A13FA9"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5510FC05" w14:textId="77777777" w:rsidR="00735CE3" w:rsidRPr="006802AD" w:rsidRDefault="00735CE3" w:rsidP="00E42C46">
            <w:pPr>
              <w:rPr>
                <w:b/>
                <w:sz w:val="24"/>
                <w:szCs w:val="24"/>
              </w:rPr>
            </w:pPr>
            <w:r w:rsidRPr="006802AD">
              <w:rPr>
                <w:b/>
                <w:sz w:val="24"/>
                <w:szCs w:val="24"/>
                <w:lang w:eastAsia="en-GB"/>
              </w:rPr>
              <w:t>Nyrer og urinveje:</w:t>
            </w:r>
          </w:p>
        </w:tc>
      </w:tr>
      <w:tr w:rsidR="00735CE3" w:rsidRPr="00E42C46" w14:paraId="43A6EE3E"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5013E2D4" w14:textId="77777777" w:rsidR="00735CE3" w:rsidRPr="00E42C46" w:rsidRDefault="00735CE3" w:rsidP="00E42C46">
            <w:pPr>
              <w:rPr>
                <w:iCs/>
                <w:sz w:val="24"/>
                <w:szCs w:val="24"/>
                <w:lang w:eastAsia="en-GB"/>
              </w:rPr>
            </w:pPr>
            <w:r w:rsidRPr="00E42C46">
              <w:rPr>
                <w:sz w:val="24"/>
                <w:szCs w:val="24"/>
                <w:lang w:eastAsia="en-GB"/>
              </w:rPr>
              <w:t xml:space="preserve">Almindelige </w:t>
            </w:r>
            <w:r w:rsidRPr="00E42C46">
              <w:rPr>
                <w:iCs/>
                <w:sz w:val="24"/>
                <w:szCs w:val="24"/>
                <w:lang w:eastAsia="en-GB"/>
              </w:rPr>
              <w:t xml:space="preserve"> </w:t>
            </w:r>
          </w:p>
        </w:tc>
        <w:tc>
          <w:tcPr>
            <w:tcW w:w="3662" w:type="pct"/>
            <w:tcBorders>
              <w:top w:val="single" w:sz="4" w:space="0" w:color="auto"/>
              <w:left w:val="single" w:sz="4" w:space="0" w:color="auto"/>
              <w:bottom w:val="single" w:sz="4" w:space="0" w:color="auto"/>
              <w:right w:val="single" w:sz="4" w:space="0" w:color="auto"/>
            </w:tcBorders>
            <w:hideMark/>
          </w:tcPr>
          <w:p w14:paraId="25F1ADD8" w14:textId="77777777" w:rsidR="00735CE3" w:rsidRPr="00E42C46" w:rsidRDefault="00735CE3" w:rsidP="00E42C46">
            <w:pPr>
              <w:rPr>
                <w:sz w:val="24"/>
                <w:szCs w:val="24"/>
              </w:rPr>
            </w:pPr>
            <w:r w:rsidRPr="00E42C46">
              <w:rPr>
                <w:sz w:val="24"/>
                <w:szCs w:val="24"/>
              </w:rPr>
              <w:t xml:space="preserve">Nyreinsufficiens primært manifesteret af forhøjet serumkreatinin og serumurinstof </w:t>
            </w:r>
          </w:p>
        </w:tc>
      </w:tr>
      <w:tr w:rsidR="00735CE3" w:rsidRPr="00E42C46" w14:paraId="1E90AB53"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760E91E5" w14:textId="77777777" w:rsidR="00735CE3" w:rsidRPr="00E42C46" w:rsidRDefault="00735CE3" w:rsidP="00E42C46">
            <w:pPr>
              <w:rPr>
                <w:sz w:val="24"/>
                <w:szCs w:val="24"/>
                <w:lang w:eastAsia="en-GB"/>
              </w:rPr>
            </w:pPr>
            <w:r w:rsidRPr="00E42C46">
              <w:rPr>
                <w:iCs/>
                <w:sz w:val="24"/>
                <w:szCs w:val="24"/>
                <w:lang w:eastAsia="en-GB"/>
              </w:rPr>
              <w:t>Sjælden</w:t>
            </w:r>
          </w:p>
        </w:tc>
        <w:tc>
          <w:tcPr>
            <w:tcW w:w="3662" w:type="pct"/>
            <w:tcBorders>
              <w:top w:val="single" w:sz="4" w:space="0" w:color="auto"/>
              <w:left w:val="single" w:sz="4" w:space="0" w:color="auto"/>
              <w:bottom w:val="single" w:sz="4" w:space="0" w:color="auto"/>
              <w:right w:val="single" w:sz="4" w:space="0" w:color="auto"/>
            </w:tcBorders>
            <w:hideMark/>
          </w:tcPr>
          <w:p w14:paraId="27FFE213" w14:textId="77777777" w:rsidR="00735CE3" w:rsidRPr="00E42C46" w:rsidRDefault="00735CE3" w:rsidP="00E42C46">
            <w:pPr>
              <w:rPr>
                <w:sz w:val="24"/>
                <w:szCs w:val="24"/>
              </w:rPr>
            </w:pPr>
            <w:r w:rsidRPr="00E42C46">
              <w:rPr>
                <w:spacing w:val="-3"/>
                <w:sz w:val="24"/>
                <w:szCs w:val="24"/>
              </w:rPr>
              <w:t>Interstitiel nefritis, akut nyresvigt</w:t>
            </w:r>
          </w:p>
        </w:tc>
      </w:tr>
      <w:tr w:rsidR="00735CE3" w:rsidRPr="00E42C46" w14:paraId="789BF0E0"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2F096060" w14:textId="77777777" w:rsidR="00735CE3" w:rsidRPr="00E42C46" w:rsidRDefault="00735CE3" w:rsidP="00E42C46">
            <w:pPr>
              <w:rPr>
                <w:sz w:val="24"/>
                <w:szCs w:val="24"/>
              </w:rPr>
            </w:pPr>
            <w:r w:rsidRPr="00E42C46">
              <w:rPr>
                <w:sz w:val="24"/>
                <w:szCs w:val="24"/>
              </w:rPr>
              <w:t xml:space="preserve">Ikke kendt </w:t>
            </w:r>
          </w:p>
        </w:tc>
        <w:tc>
          <w:tcPr>
            <w:tcW w:w="3662" w:type="pct"/>
            <w:tcBorders>
              <w:top w:val="single" w:sz="4" w:space="0" w:color="auto"/>
              <w:left w:val="single" w:sz="4" w:space="0" w:color="auto"/>
              <w:bottom w:val="single" w:sz="4" w:space="0" w:color="auto"/>
              <w:right w:val="single" w:sz="4" w:space="0" w:color="auto"/>
            </w:tcBorders>
            <w:hideMark/>
          </w:tcPr>
          <w:p w14:paraId="15C318D2" w14:textId="77777777" w:rsidR="00735CE3" w:rsidRPr="00E42C46" w:rsidRDefault="00735CE3" w:rsidP="00E42C46">
            <w:pPr>
              <w:rPr>
                <w:sz w:val="24"/>
                <w:szCs w:val="24"/>
              </w:rPr>
            </w:pPr>
            <w:r w:rsidRPr="00E42C46">
              <w:rPr>
                <w:sz w:val="24"/>
                <w:szCs w:val="24"/>
              </w:rPr>
              <w:t xml:space="preserve">Akut tubulær nekrose </w:t>
            </w:r>
          </w:p>
        </w:tc>
      </w:tr>
      <w:tr w:rsidR="00735CE3" w:rsidRPr="006802AD" w14:paraId="44C078B5" w14:textId="77777777" w:rsidTr="007E02EE">
        <w:tc>
          <w:tcPr>
            <w:tcW w:w="5000" w:type="pct"/>
            <w:gridSpan w:val="2"/>
            <w:tcBorders>
              <w:top w:val="single" w:sz="4" w:space="0" w:color="auto"/>
              <w:left w:val="single" w:sz="4" w:space="0" w:color="auto"/>
              <w:bottom w:val="single" w:sz="4" w:space="0" w:color="auto"/>
              <w:right w:val="single" w:sz="4" w:space="0" w:color="auto"/>
            </w:tcBorders>
            <w:hideMark/>
          </w:tcPr>
          <w:p w14:paraId="1174B13F" w14:textId="77777777" w:rsidR="00735CE3" w:rsidRPr="006802AD" w:rsidRDefault="00735CE3" w:rsidP="00E42C46">
            <w:pPr>
              <w:rPr>
                <w:b/>
                <w:sz w:val="24"/>
                <w:szCs w:val="24"/>
              </w:rPr>
            </w:pPr>
            <w:r w:rsidRPr="006802AD">
              <w:rPr>
                <w:b/>
                <w:sz w:val="24"/>
                <w:szCs w:val="24"/>
                <w:lang w:eastAsia="en-GB"/>
              </w:rPr>
              <w:t>Almene symptomer og reaktioner på administrationsstedet</w:t>
            </w:r>
            <w:r w:rsidRPr="006802AD">
              <w:rPr>
                <w:b/>
                <w:sz w:val="24"/>
                <w:szCs w:val="24"/>
              </w:rPr>
              <w:t xml:space="preserve">: </w:t>
            </w:r>
          </w:p>
        </w:tc>
      </w:tr>
      <w:tr w:rsidR="00735CE3" w:rsidRPr="00E42C46" w14:paraId="155DCE4A"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26E381C9" w14:textId="77777777" w:rsidR="00735CE3" w:rsidRPr="00E42C46" w:rsidRDefault="00735CE3" w:rsidP="00E42C46">
            <w:pPr>
              <w:rPr>
                <w:iCs/>
                <w:spacing w:val="-3"/>
                <w:sz w:val="24"/>
                <w:szCs w:val="24"/>
                <w:lang w:eastAsia="en-GB"/>
              </w:rPr>
            </w:pPr>
            <w:r w:rsidRPr="00E42C46">
              <w:rPr>
                <w:sz w:val="24"/>
                <w:szCs w:val="24"/>
                <w:lang w:eastAsia="en-GB"/>
              </w:rPr>
              <w:t xml:space="preserve">Almindelige </w:t>
            </w:r>
          </w:p>
        </w:tc>
        <w:tc>
          <w:tcPr>
            <w:tcW w:w="3662" w:type="pct"/>
            <w:tcBorders>
              <w:top w:val="single" w:sz="4" w:space="0" w:color="auto"/>
              <w:left w:val="single" w:sz="4" w:space="0" w:color="auto"/>
              <w:bottom w:val="single" w:sz="4" w:space="0" w:color="auto"/>
              <w:right w:val="single" w:sz="4" w:space="0" w:color="auto"/>
            </w:tcBorders>
            <w:hideMark/>
          </w:tcPr>
          <w:p w14:paraId="00F6C12F" w14:textId="77777777" w:rsidR="00735CE3" w:rsidRPr="00E42C46" w:rsidRDefault="00735CE3" w:rsidP="00E42C46">
            <w:pPr>
              <w:rPr>
                <w:sz w:val="24"/>
                <w:szCs w:val="24"/>
              </w:rPr>
            </w:pPr>
            <w:r w:rsidRPr="00E42C46">
              <w:rPr>
                <w:spacing w:val="-3"/>
                <w:sz w:val="24"/>
                <w:szCs w:val="24"/>
              </w:rPr>
              <w:t xml:space="preserve">Phlebitis, rødme af overkroppem og ansigt. </w:t>
            </w:r>
          </w:p>
        </w:tc>
      </w:tr>
      <w:tr w:rsidR="00735CE3" w:rsidRPr="00E42C46" w14:paraId="5FB57593" w14:textId="77777777" w:rsidTr="007E02EE">
        <w:tc>
          <w:tcPr>
            <w:tcW w:w="1338" w:type="pct"/>
            <w:tcBorders>
              <w:top w:val="single" w:sz="4" w:space="0" w:color="auto"/>
              <w:left w:val="single" w:sz="4" w:space="0" w:color="auto"/>
              <w:bottom w:val="single" w:sz="4" w:space="0" w:color="auto"/>
              <w:right w:val="single" w:sz="4" w:space="0" w:color="auto"/>
            </w:tcBorders>
            <w:hideMark/>
          </w:tcPr>
          <w:p w14:paraId="4ABFB8C9" w14:textId="77777777" w:rsidR="00735CE3" w:rsidRPr="00E42C46" w:rsidRDefault="00735CE3" w:rsidP="00E42C46">
            <w:pPr>
              <w:rPr>
                <w:sz w:val="24"/>
                <w:szCs w:val="24"/>
                <w:lang w:eastAsia="en-GB"/>
              </w:rPr>
            </w:pPr>
            <w:r w:rsidRPr="00E42C46">
              <w:rPr>
                <w:sz w:val="24"/>
                <w:szCs w:val="24"/>
                <w:lang w:eastAsia="en-GB"/>
              </w:rPr>
              <w:t>Sjælden</w:t>
            </w:r>
          </w:p>
        </w:tc>
        <w:tc>
          <w:tcPr>
            <w:tcW w:w="3662" w:type="pct"/>
            <w:tcBorders>
              <w:top w:val="single" w:sz="4" w:space="0" w:color="auto"/>
              <w:left w:val="single" w:sz="4" w:space="0" w:color="auto"/>
              <w:bottom w:val="single" w:sz="4" w:space="0" w:color="auto"/>
              <w:right w:val="single" w:sz="4" w:space="0" w:color="auto"/>
            </w:tcBorders>
            <w:hideMark/>
          </w:tcPr>
          <w:p w14:paraId="3820DC70" w14:textId="77777777" w:rsidR="00735CE3" w:rsidRPr="00E42C46" w:rsidRDefault="00735CE3" w:rsidP="00E42C46">
            <w:pPr>
              <w:rPr>
                <w:sz w:val="24"/>
                <w:szCs w:val="24"/>
              </w:rPr>
            </w:pPr>
            <w:r w:rsidRPr="00E42C46">
              <w:rPr>
                <w:sz w:val="24"/>
                <w:szCs w:val="24"/>
              </w:rPr>
              <w:t xml:space="preserve">Lægemiddelinduceret feber, kulderystelser, </w:t>
            </w:r>
            <w:r w:rsidRPr="00E42C46">
              <w:rPr>
                <w:spacing w:val="-3"/>
                <w:sz w:val="24"/>
                <w:szCs w:val="24"/>
              </w:rPr>
              <w:t>smerter i bryst og rygmuskler.</w:t>
            </w:r>
          </w:p>
        </w:tc>
      </w:tr>
    </w:tbl>
    <w:p w14:paraId="4F6C6DC8" w14:textId="77777777" w:rsidR="00735CE3" w:rsidRDefault="00735CE3" w:rsidP="00735CE3">
      <w:pPr>
        <w:tabs>
          <w:tab w:val="left" w:pos="0"/>
          <w:tab w:val="left" w:pos="851"/>
        </w:tabs>
        <w:ind w:left="850" w:hanging="850"/>
        <w:jc w:val="both"/>
        <w:rPr>
          <w:spacing w:val="-3"/>
          <w:sz w:val="24"/>
        </w:rPr>
      </w:pPr>
    </w:p>
    <w:p w14:paraId="0DBC6248" w14:textId="77777777" w:rsidR="00735CE3" w:rsidRPr="008E58C0" w:rsidRDefault="00735CE3" w:rsidP="008E58C0">
      <w:pPr>
        <w:tabs>
          <w:tab w:val="left" w:pos="0"/>
          <w:tab w:val="left" w:pos="851"/>
        </w:tabs>
        <w:ind w:left="850" w:firstLine="4"/>
        <w:rPr>
          <w:spacing w:val="-3"/>
          <w:sz w:val="24"/>
          <w:szCs w:val="24"/>
        </w:rPr>
      </w:pPr>
      <w:r w:rsidRPr="008E58C0">
        <w:rPr>
          <w:sz w:val="24"/>
          <w:szCs w:val="24"/>
          <w:u w:val="single"/>
        </w:rPr>
        <w:t>Beskrivelse af udvalgte bivirkninger</w:t>
      </w:r>
    </w:p>
    <w:p w14:paraId="0F1328B8" w14:textId="77777777" w:rsidR="00735CE3" w:rsidRPr="008E58C0" w:rsidRDefault="00735CE3" w:rsidP="008E58C0">
      <w:pPr>
        <w:tabs>
          <w:tab w:val="left" w:pos="0"/>
          <w:tab w:val="left" w:pos="851"/>
        </w:tabs>
        <w:ind w:left="850" w:firstLine="4"/>
        <w:rPr>
          <w:spacing w:val="-3"/>
          <w:sz w:val="24"/>
          <w:szCs w:val="24"/>
        </w:rPr>
      </w:pPr>
      <w:r w:rsidRPr="008E58C0">
        <w:rPr>
          <w:sz w:val="24"/>
          <w:szCs w:val="24"/>
        </w:rPr>
        <w:t>Reversibel neutropeni, der normalt starter en uge eller mere efter påbegyndelse af intravenøs behandling eller efter en samlet dosis på mere end 25 g.</w:t>
      </w:r>
      <w:r w:rsidRPr="008E58C0">
        <w:rPr>
          <w:spacing w:val="-3"/>
          <w:sz w:val="24"/>
          <w:szCs w:val="24"/>
        </w:rPr>
        <w:t xml:space="preserve"> </w:t>
      </w:r>
    </w:p>
    <w:p w14:paraId="6D0DD609" w14:textId="77777777" w:rsidR="00735CE3" w:rsidRPr="008E58C0" w:rsidRDefault="00735CE3" w:rsidP="008E58C0">
      <w:pPr>
        <w:tabs>
          <w:tab w:val="left" w:pos="0"/>
          <w:tab w:val="left" w:pos="851"/>
        </w:tabs>
        <w:ind w:left="850" w:firstLine="4"/>
        <w:rPr>
          <w:spacing w:val="-3"/>
          <w:sz w:val="24"/>
          <w:szCs w:val="24"/>
        </w:rPr>
      </w:pPr>
    </w:p>
    <w:p w14:paraId="46D90424" w14:textId="77777777" w:rsidR="00735CE3" w:rsidRPr="008E58C0" w:rsidRDefault="00735CE3" w:rsidP="008E58C0">
      <w:pPr>
        <w:pStyle w:val="Default"/>
        <w:ind w:left="851"/>
        <w:rPr>
          <w:rFonts w:ascii="Times New Roman" w:hAnsi="Times New Roman" w:cs="Times New Roman"/>
          <w:lang w:val="da-DK"/>
        </w:rPr>
      </w:pPr>
      <w:r w:rsidRPr="008E58C0">
        <w:rPr>
          <w:rFonts w:ascii="Times New Roman" w:hAnsi="Times New Roman" w:cs="Times New Roman"/>
          <w:lang w:val="da-DK"/>
        </w:rPr>
        <w:t xml:space="preserve">Intravenøs vancomycin bør infunderes langsomt. Under eller kort tid efter hurtig infusion kan anafylaktiske/anafylaktoide reaktioner, herunder hvæsen, forekomme. Reaktionerne formindskes når administrationen stoppes, generelt efter 20 minutter til 2 timer. Nekrose kan forekomme efter intramuskulær injektion. </w:t>
      </w:r>
    </w:p>
    <w:p w14:paraId="0E80B013" w14:textId="77777777" w:rsidR="00735CE3" w:rsidRPr="008E58C0" w:rsidRDefault="00735CE3" w:rsidP="008E58C0">
      <w:pPr>
        <w:pStyle w:val="Default"/>
        <w:ind w:left="851"/>
        <w:rPr>
          <w:rFonts w:ascii="Times New Roman" w:hAnsi="Times New Roman" w:cs="Times New Roman"/>
          <w:lang w:val="da-DK"/>
        </w:rPr>
      </w:pPr>
    </w:p>
    <w:p w14:paraId="79EF77F4" w14:textId="77777777" w:rsidR="00735CE3" w:rsidRPr="008E58C0" w:rsidRDefault="00735CE3" w:rsidP="008E58C0">
      <w:pPr>
        <w:tabs>
          <w:tab w:val="left" w:pos="0"/>
          <w:tab w:val="left" w:pos="851"/>
        </w:tabs>
        <w:ind w:left="850" w:firstLine="4"/>
        <w:rPr>
          <w:sz w:val="24"/>
          <w:szCs w:val="24"/>
        </w:rPr>
      </w:pPr>
      <w:r w:rsidRPr="008E58C0">
        <w:rPr>
          <w:sz w:val="24"/>
          <w:szCs w:val="24"/>
        </w:rPr>
        <w:t>Tinnitus, muligvis forud for døvhed, bør betragtes som en indikation for at afbryde behandlingen.</w:t>
      </w:r>
    </w:p>
    <w:p w14:paraId="72D9CE8A" w14:textId="77777777" w:rsidR="00735CE3" w:rsidRPr="008E58C0" w:rsidRDefault="00735CE3" w:rsidP="008E58C0">
      <w:pPr>
        <w:tabs>
          <w:tab w:val="left" w:pos="0"/>
          <w:tab w:val="left" w:pos="851"/>
        </w:tabs>
        <w:ind w:left="850" w:firstLine="4"/>
        <w:rPr>
          <w:spacing w:val="-3"/>
          <w:sz w:val="24"/>
          <w:szCs w:val="24"/>
        </w:rPr>
      </w:pPr>
    </w:p>
    <w:p w14:paraId="28D56A90" w14:textId="77777777" w:rsidR="00735CE3" w:rsidRPr="008E58C0" w:rsidRDefault="00735CE3" w:rsidP="008E58C0">
      <w:pPr>
        <w:tabs>
          <w:tab w:val="left" w:pos="0"/>
          <w:tab w:val="left" w:pos="851"/>
        </w:tabs>
        <w:ind w:left="850" w:firstLine="4"/>
        <w:rPr>
          <w:spacing w:val="-3"/>
          <w:sz w:val="24"/>
          <w:szCs w:val="24"/>
        </w:rPr>
      </w:pPr>
      <w:r w:rsidRPr="008E58C0">
        <w:rPr>
          <w:spacing w:val="-3"/>
          <w:sz w:val="24"/>
          <w:szCs w:val="24"/>
        </w:rPr>
        <w:t>Ototoksicitet er primært blevet rapporteret hos patienter, der fik høje doser; eller ved samtidig behandling med andre ototoksiske lægemidler som aminoglycosid; eller hos patienter der havde en eksisterende reduktion i nyrefunktion eller hørelse.</w:t>
      </w:r>
    </w:p>
    <w:p w14:paraId="1E65D57B" w14:textId="77777777" w:rsidR="00735CE3" w:rsidRPr="008E58C0" w:rsidRDefault="00735CE3" w:rsidP="008E58C0">
      <w:pPr>
        <w:tabs>
          <w:tab w:val="left" w:pos="0"/>
          <w:tab w:val="left" w:pos="851"/>
        </w:tabs>
        <w:ind w:left="850" w:firstLine="4"/>
        <w:rPr>
          <w:spacing w:val="-3"/>
          <w:sz w:val="24"/>
          <w:szCs w:val="24"/>
        </w:rPr>
      </w:pPr>
    </w:p>
    <w:p w14:paraId="43BB87E1" w14:textId="77777777" w:rsidR="00735CE3" w:rsidRPr="008E58C0" w:rsidRDefault="00735CE3" w:rsidP="008E58C0">
      <w:pPr>
        <w:pStyle w:val="NormalWeb"/>
        <w:shd w:val="clear" w:color="auto" w:fill="FFFFFF"/>
        <w:tabs>
          <w:tab w:val="left" w:pos="851"/>
        </w:tabs>
        <w:spacing w:before="0" w:after="0" w:afterAutospacing="0"/>
        <w:ind w:left="851"/>
        <w:rPr>
          <w:spacing w:val="-3"/>
          <w:sz w:val="24"/>
          <w:szCs w:val="24"/>
        </w:rPr>
      </w:pPr>
      <w:r w:rsidRPr="008E58C0">
        <w:rPr>
          <w:sz w:val="24"/>
          <w:szCs w:val="24"/>
        </w:rPr>
        <w:t xml:space="preserve">Hvis der er mistanke om en bulløs lidelse, skal behandlingen afbrydes, og der bør foretages specialiseret dermatologisk vurdering. </w:t>
      </w:r>
    </w:p>
    <w:p w14:paraId="0C58A56C" w14:textId="77777777" w:rsidR="00735CE3" w:rsidRPr="008E58C0" w:rsidRDefault="00735CE3" w:rsidP="008E58C0">
      <w:pPr>
        <w:pStyle w:val="NormalWeb"/>
        <w:shd w:val="clear" w:color="auto" w:fill="FFFFFF"/>
        <w:spacing w:before="0" w:after="0" w:afterAutospacing="0"/>
        <w:ind w:left="851"/>
        <w:rPr>
          <w:spacing w:val="-3"/>
          <w:sz w:val="24"/>
          <w:szCs w:val="24"/>
          <w:u w:val="single"/>
        </w:rPr>
      </w:pPr>
    </w:p>
    <w:p w14:paraId="3FCEDC2D" w14:textId="77777777" w:rsidR="00735CE3" w:rsidRPr="008E58C0" w:rsidRDefault="00735CE3" w:rsidP="008E58C0">
      <w:pPr>
        <w:pStyle w:val="NormalWeb"/>
        <w:shd w:val="clear" w:color="auto" w:fill="FFFFFF"/>
        <w:spacing w:before="0" w:after="0" w:afterAutospacing="0"/>
        <w:ind w:left="851"/>
        <w:rPr>
          <w:sz w:val="24"/>
          <w:szCs w:val="24"/>
          <w:u w:val="single"/>
        </w:rPr>
      </w:pPr>
      <w:r w:rsidRPr="008E58C0">
        <w:rPr>
          <w:sz w:val="24"/>
          <w:szCs w:val="24"/>
          <w:u w:val="single"/>
        </w:rPr>
        <w:t>Indberetning af formodede bivirkninger</w:t>
      </w:r>
    </w:p>
    <w:p w14:paraId="7DE1902C" w14:textId="77777777" w:rsidR="00735CE3" w:rsidRPr="008E58C0" w:rsidRDefault="00735CE3" w:rsidP="008E58C0">
      <w:pPr>
        <w:pStyle w:val="NormalWeb"/>
        <w:shd w:val="clear" w:color="auto" w:fill="FFFFFF"/>
        <w:spacing w:before="0" w:after="0" w:afterAutospacing="0"/>
        <w:ind w:left="851"/>
        <w:rPr>
          <w:spacing w:val="-3"/>
          <w:sz w:val="24"/>
          <w:szCs w:val="24"/>
        </w:rPr>
      </w:pPr>
      <w:r w:rsidRPr="008E58C0">
        <w:rPr>
          <w:spacing w:val="-3"/>
          <w:sz w:val="24"/>
          <w:szCs w:val="24"/>
        </w:rPr>
        <w:t xml:space="preserve">Når lægemidlet er godkendt, er indberetning af formodede bivirkninger vigtig. Det muliggør løbende overvågning af benefit/risk-forholdet for lægemidlet. Læger og sundhedspersonale anmodes om at indberette alle formodede bivirkninger via: </w:t>
      </w:r>
    </w:p>
    <w:p w14:paraId="5164E26B" w14:textId="77777777" w:rsidR="008E58C0" w:rsidRDefault="008E58C0" w:rsidP="008E58C0">
      <w:pPr>
        <w:ind w:left="851"/>
        <w:rPr>
          <w:spacing w:val="-3"/>
          <w:sz w:val="24"/>
          <w:szCs w:val="24"/>
        </w:rPr>
      </w:pPr>
    </w:p>
    <w:p w14:paraId="264EF538" w14:textId="77777777" w:rsidR="00735CE3" w:rsidRPr="008E58C0" w:rsidRDefault="00735CE3" w:rsidP="008E58C0">
      <w:pPr>
        <w:ind w:left="851"/>
        <w:rPr>
          <w:spacing w:val="-3"/>
          <w:sz w:val="24"/>
          <w:szCs w:val="24"/>
        </w:rPr>
      </w:pPr>
      <w:r w:rsidRPr="008E58C0">
        <w:rPr>
          <w:spacing w:val="-3"/>
          <w:sz w:val="24"/>
          <w:szCs w:val="24"/>
        </w:rPr>
        <w:t>Lægemiddelstyrelsen</w:t>
      </w:r>
      <w:r w:rsidRPr="008E58C0">
        <w:rPr>
          <w:spacing w:val="-3"/>
          <w:sz w:val="24"/>
          <w:szCs w:val="24"/>
        </w:rPr>
        <w:br/>
        <w:t>Axel Heides Gade 1</w:t>
      </w:r>
      <w:r w:rsidRPr="008E58C0">
        <w:rPr>
          <w:spacing w:val="-3"/>
          <w:sz w:val="24"/>
          <w:szCs w:val="24"/>
        </w:rPr>
        <w:br/>
        <w:t>DK-2300 København S</w:t>
      </w:r>
      <w:r w:rsidRPr="008E58C0">
        <w:rPr>
          <w:spacing w:val="-3"/>
          <w:sz w:val="24"/>
          <w:szCs w:val="24"/>
        </w:rPr>
        <w:br/>
        <w:t xml:space="preserve">Websted: </w:t>
      </w:r>
      <w:hyperlink r:id="rId8" w:history="1">
        <w:r w:rsidRPr="008E58C0">
          <w:rPr>
            <w:rStyle w:val="Hyperlink"/>
            <w:spacing w:val="-3"/>
            <w:sz w:val="24"/>
            <w:szCs w:val="24"/>
          </w:rPr>
          <w:t>www.meldenbivirkning.dk</w:t>
        </w:r>
      </w:hyperlink>
      <w:r w:rsidRPr="008E58C0">
        <w:rPr>
          <w:spacing w:val="-3"/>
          <w:sz w:val="24"/>
          <w:szCs w:val="24"/>
        </w:rPr>
        <w:br/>
      </w:r>
    </w:p>
    <w:p w14:paraId="3E2230B9" w14:textId="77777777" w:rsidR="000D3FF9" w:rsidRDefault="000D3FF9" w:rsidP="000D3FF9">
      <w:pPr>
        <w:tabs>
          <w:tab w:val="left" w:pos="851"/>
        </w:tabs>
        <w:ind w:left="851" w:hanging="851"/>
        <w:rPr>
          <w:b/>
          <w:sz w:val="24"/>
          <w:szCs w:val="24"/>
        </w:rPr>
      </w:pPr>
      <w:r>
        <w:rPr>
          <w:b/>
          <w:sz w:val="24"/>
          <w:szCs w:val="24"/>
        </w:rPr>
        <w:t>4.9</w:t>
      </w:r>
      <w:r>
        <w:rPr>
          <w:b/>
          <w:sz w:val="24"/>
          <w:szCs w:val="24"/>
        </w:rPr>
        <w:tab/>
        <w:t>Overdosering</w:t>
      </w:r>
    </w:p>
    <w:p w14:paraId="40B3F8B5" w14:textId="77777777" w:rsidR="00735CE3" w:rsidRDefault="00735CE3" w:rsidP="00735CE3">
      <w:pPr>
        <w:ind w:left="851" w:hanging="851"/>
        <w:rPr>
          <w:spacing w:val="-3"/>
          <w:sz w:val="24"/>
        </w:rPr>
      </w:pPr>
    </w:p>
    <w:p w14:paraId="535906E1" w14:textId="77777777" w:rsidR="00735CE3" w:rsidRDefault="00735CE3" w:rsidP="00735CE3">
      <w:pPr>
        <w:ind w:left="851" w:hanging="851"/>
        <w:rPr>
          <w:spacing w:val="-3"/>
          <w:sz w:val="24"/>
          <w:u w:val="single"/>
        </w:rPr>
      </w:pPr>
      <w:r>
        <w:rPr>
          <w:spacing w:val="-3"/>
          <w:sz w:val="24"/>
        </w:rPr>
        <w:tab/>
      </w:r>
      <w:r>
        <w:rPr>
          <w:spacing w:val="-3"/>
          <w:sz w:val="24"/>
          <w:u w:val="single"/>
        </w:rPr>
        <w:t xml:space="preserve">Toksicitet: </w:t>
      </w:r>
    </w:p>
    <w:p w14:paraId="1969B863" w14:textId="77777777" w:rsidR="00735CE3" w:rsidRDefault="00735CE3" w:rsidP="00735CE3">
      <w:pPr>
        <w:ind w:left="851"/>
        <w:rPr>
          <w:spacing w:val="-3"/>
          <w:sz w:val="24"/>
        </w:rPr>
      </w:pPr>
      <w:r>
        <w:rPr>
          <w:spacing w:val="-3"/>
          <w:sz w:val="24"/>
        </w:rPr>
        <w:t xml:space="preserve">Begrænset erfaring med overdosering, dog førte 500 mg IV givet til en 2-årig til letal forgiftning. 56 g fordelt på 10 døgn til en voksen medførte nyreinsufficiens.  </w:t>
      </w:r>
    </w:p>
    <w:p w14:paraId="07D36EDB" w14:textId="77777777" w:rsidR="00735CE3" w:rsidRDefault="00735CE3" w:rsidP="00735CE3">
      <w:pPr>
        <w:ind w:left="851"/>
        <w:rPr>
          <w:sz w:val="24"/>
          <w:szCs w:val="24"/>
          <w:u w:val="single"/>
        </w:rPr>
      </w:pPr>
    </w:p>
    <w:p w14:paraId="55508693" w14:textId="77777777" w:rsidR="00735CE3" w:rsidRDefault="00735CE3" w:rsidP="00735CE3">
      <w:pPr>
        <w:ind w:left="851"/>
        <w:rPr>
          <w:sz w:val="24"/>
          <w:szCs w:val="24"/>
          <w:u w:val="single"/>
        </w:rPr>
      </w:pPr>
      <w:r>
        <w:rPr>
          <w:sz w:val="24"/>
          <w:szCs w:val="24"/>
          <w:u w:val="single"/>
        </w:rPr>
        <w:t>Symptomer:</w:t>
      </w:r>
    </w:p>
    <w:p w14:paraId="0D478607" w14:textId="77777777" w:rsidR="00735CE3" w:rsidRDefault="00735CE3" w:rsidP="00735CE3">
      <w:pPr>
        <w:ind w:left="851"/>
        <w:rPr>
          <w:sz w:val="24"/>
          <w:szCs w:val="24"/>
        </w:rPr>
      </w:pPr>
      <w:r>
        <w:rPr>
          <w:sz w:val="24"/>
          <w:szCs w:val="24"/>
        </w:rPr>
        <w:t xml:space="preserve">Overdosis kan forårsage kvalme, opkastning, epigastrisk ubehag og diarre. </w:t>
      </w:r>
    </w:p>
    <w:p w14:paraId="0BED7F1B" w14:textId="77777777" w:rsidR="00735CE3" w:rsidRDefault="00735CE3" w:rsidP="00735CE3">
      <w:pPr>
        <w:ind w:left="851"/>
        <w:rPr>
          <w:sz w:val="24"/>
          <w:szCs w:val="24"/>
        </w:rPr>
      </w:pPr>
      <w:r>
        <w:rPr>
          <w:sz w:val="24"/>
          <w:szCs w:val="24"/>
        </w:rPr>
        <w:t>Symptomer, som beskrevet under bivirkninger (se</w:t>
      </w:r>
      <w:r w:rsidR="008E58C0">
        <w:rPr>
          <w:sz w:val="24"/>
          <w:szCs w:val="24"/>
        </w:rPr>
        <w:t xml:space="preserve"> pkt.</w:t>
      </w:r>
      <w:r>
        <w:rPr>
          <w:sz w:val="24"/>
          <w:szCs w:val="24"/>
        </w:rPr>
        <w:t xml:space="preserve"> 4.8), forstærkes ved overdosering. Nyrepåvirkning kan eventuel forekomme. </w:t>
      </w:r>
    </w:p>
    <w:p w14:paraId="3131EA01" w14:textId="77777777" w:rsidR="00735CE3" w:rsidRDefault="00735CE3" w:rsidP="00735CE3">
      <w:pPr>
        <w:rPr>
          <w:sz w:val="24"/>
          <w:szCs w:val="24"/>
        </w:rPr>
      </w:pPr>
    </w:p>
    <w:p w14:paraId="62EAEEDE" w14:textId="77777777" w:rsidR="00735CE3" w:rsidRDefault="00735CE3" w:rsidP="00735CE3">
      <w:pPr>
        <w:ind w:left="851"/>
        <w:rPr>
          <w:sz w:val="24"/>
          <w:szCs w:val="24"/>
          <w:u w:val="single"/>
        </w:rPr>
      </w:pPr>
      <w:r>
        <w:rPr>
          <w:sz w:val="24"/>
          <w:szCs w:val="24"/>
          <w:u w:val="single"/>
        </w:rPr>
        <w:t xml:space="preserve">Behandling: </w:t>
      </w:r>
    </w:p>
    <w:p w14:paraId="69DAB7ED" w14:textId="77777777" w:rsidR="007E02EE" w:rsidRDefault="00735CE3" w:rsidP="00735CE3">
      <w:pPr>
        <w:ind w:left="851"/>
        <w:rPr>
          <w:sz w:val="24"/>
          <w:szCs w:val="24"/>
        </w:rPr>
      </w:pPr>
      <w:r>
        <w:rPr>
          <w:sz w:val="24"/>
          <w:szCs w:val="24"/>
        </w:rPr>
        <w:t xml:space="preserve">Symptomatisk behandling, kul i gentagne doser (reducerer halveringstid). Sørg for god diurese. evt. ventrikeltømning. </w:t>
      </w:r>
    </w:p>
    <w:p w14:paraId="06CEF3EA" w14:textId="77777777" w:rsidR="00735CE3" w:rsidRDefault="00735CE3" w:rsidP="00735CE3">
      <w:pPr>
        <w:ind w:left="851"/>
        <w:rPr>
          <w:sz w:val="24"/>
          <w:szCs w:val="24"/>
        </w:rPr>
      </w:pPr>
      <w:r>
        <w:rPr>
          <w:sz w:val="24"/>
          <w:szCs w:val="24"/>
        </w:rPr>
        <w:t>Vancomycin elimineres kun i ringe grad ved dialyse. En øget clearance af vancomycin ved high-flux hæmodialyse, hæmofiltration og hæmoperfusion med polysulfon resin er rapporteret.</w:t>
      </w:r>
    </w:p>
    <w:p w14:paraId="4C70124D" w14:textId="77777777" w:rsidR="00735CE3" w:rsidRDefault="00735CE3" w:rsidP="00735CE3">
      <w:pPr>
        <w:tabs>
          <w:tab w:val="left" w:pos="0"/>
          <w:tab w:val="left" w:pos="851"/>
        </w:tabs>
        <w:ind w:left="850" w:hanging="850"/>
        <w:rPr>
          <w:spacing w:val="-3"/>
          <w:sz w:val="24"/>
          <w:szCs w:val="24"/>
        </w:rPr>
      </w:pPr>
      <w:r>
        <w:rPr>
          <w:sz w:val="24"/>
          <w:szCs w:val="24"/>
        </w:rPr>
        <w:tab/>
        <w:t>Ved toksiske symptomer og samtidig nedsat nyrefunktion foretages eventuelt hæmodialyse eller hæmoperfusion.</w:t>
      </w:r>
    </w:p>
    <w:p w14:paraId="027AF9F4" w14:textId="77777777" w:rsidR="00735CE3" w:rsidRDefault="00735CE3" w:rsidP="00735CE3">
      <w:pPr>
        <w:ind w:left="851" w:hanging="851"/>
        <w:rPr>
          <w:spacing w:val="-3"/>
          <w:sz w:val="24"/>
        </w:rPr>
      </w:pPr>
    </w:p>
    <w:p w14:paraId="42D3C149" w14:textId="77777777" w:rsidR="000D3FF9" w:rsidRDefault="000D3FF9" w:rsidP="000D3FF9">
      <w:pPr>
        <w:tabs>
          <w:tab w:val="left" w:pos="851"/>
        </w:tabs>
        <w:ind w:left="851" w:hanging="851"/>
        <w:rPr>
          <w:b/>
          <w:sz w:val="24"/>
          <w:szCs w:val="24"/>
        </w:rPr>
      </w:pPr>
      <w:r>
        <w:rPr>
          <w:b/>
          <w:sz w:val="24"/>
          <w:szCs w:val="24"/>
        </w:rPr>
        <w:t>4.10</w:t>
      </w:r>
      <w:r>
        <w:rPr>
          <w:b/>
          <w:sz w:val="24"/>
          <w:szCs w:val="24"/>
        </w:rPr>
        <w:tab/>
        <w:t>Udlevering</w:t>
      </w:r>
    </w:p>
    <w:p w14:paraId="50AAD77A" w14:textId="77777777" w:rsidR="00735CE3" w:rsidRDefault="00735CE3" w:rsidP="00735CE3">
      <w:pPr>
        <w:tabs>
          <w:tab w:val="left" w:pos="0"/>
          <w:tab w:val="left" w:pos="851"/>
        </w:tabs>
        <w:ind w:left="850" w:hanging="850"/>
        <w:jc w:val="both"/>
        <w:rPr>
          <w:spacing w:val="-3"/>
          <w:sz w:val="24"/>
        </w:rPr>
      </w:pPr>
      <w:r>
        <w:rPr>
          <w:spacing w:val="-3"/>
          <w:sz w:val="24"/>
        </w:rPr>
        <w:tab/>
        <w:t>B</w:t>
      </w:r>
    </w:p>
    <w:p w14:paraId="45193884" w14:textId="77777777" w:rsidR="00735CE3" w:rsidRDefault="00735CE3" w:rsidP="00735CE3">
      <w:pPr>
        <w:tabs>
          <w:tab w:val="left" w:pos="0"/>
          <w:tab w:val="left" w:pos="851"/>
        </w:tabs>
        <w:jc w:val="both"/>
        <w:rPr>
          <w:spacing w:val="-3"/>
          <w:sz w:val="24"/>
        </w:rPr>
      </w:pPr>
    </w:p>
    <w:p w14:paraId="7399E795" w14:textId="77777777" w:rsidR="00735CE3" w:rsidRDefault="00735CE3" w:rsidP="00735CE3">
      <w:pPr>
        <w:tabs>
          <w:tab w:val="left" w:pos="0"/>
          <w:tab w:val="left" w:pos="851"/>
        </w:tabs>
        <w:jc w:val="both"/>
        <w:rPr>
          <w:spacing w:val="-3"/>
          <w:sz w:val="24"/>
        </w:rPr>
      </w:pPr>
    </w:p>
    <w:p w14:paraId="725631D7" w14:textId="77777777" w:rsidR="000D3FF9" w:rsidRDefault="000D3FF9" w:rsidP="000D3FF9">
      <w:pPr>
        <w:tabs>
          <w:tab w:val="left" w:pos="851"/>
        </w:tabs>
        <w:ind w:left="851" w:hanging="851"/>
        <w:rPr>
          <w:b/>
          <w:sz w:val="24"/>
          <w:szCs w:val="24"/>
        </w:rPr>
      </w:pPr>
      <w:r>
        <w:rPr>
          <w:b/>
          <w:sz w:val="24"/>
          <w:szCs w:val="24"/>
        </w:rPr>
        <w:t>5.</w:t>
      </w:r>
      <w:r>
        <w:rPr>
          <w:b/>
          <w:sz w:val="24"/>
          <w:szCs w:val="24"/>
        </w:rPr>
        <w:tab/>
        <w:t>FARMAKOLOGISKE EGENSKABER</w:t>
      </w:r>
    </w:p>
    <w:p w14:paraId="6FC308E7" w14:textId="77777777" w:rsidR="00735CE3" w:rsidRDefault="00735CE3" w:rsidP="00735CE3">
      <w:pPr>
        <w:tabs>
          <w:tab w:val="left" w:pos="0"/>
          <w:tab w:val="left" w:pos="851"/>
        </w:tabs>
        <w:jc w:val="both"/>
        <w:rPr>
          <w:b/>
          <w:spacing w:val="-3"/>
          <w:sz w:val="24"/>
        </w:rPr>
      </w:pPr>
    </w:p>
    <w:p w14:paraId="2839733D" w14:textId="77777777" w:rsidR="000D3FF9" w:rsidRDefault="000D3FF9" w:rsidP="000D3FF9">
      <w:pPr>
        <w:tabs>
          <w:tab w:val="left" w:pos="851"/>
        </w:tabs>
        <w:ind w:left="851" w:hanging="851"/>
        <w:rPr>
          <w:b/>
          <w:sz w:val="24"/>
          <w:szCs w:val="24"/>
        </w:rPr>
      </w:pPr>
      <w:r>
        <w:rPr>
          <w:b/>
          <w:sz w:val="24"/>
          <w:szCs w:val="24"/>
        </w:rPr>
        <w:t>5.0</w:t>
      </w:r>
      <w:r>
        <w:rPr>
          <w:b/>
          <w:sz w:val="24"/>
          <w:szCs w:val="24"/>
        </w:rPr>
        <w:tab/>
        <w:t>Terapeutisk klassifikation</w:t>
      </w:r>
    </w:p>
    <w:p w14:paraId="3F06C599" w14:textId="77777777" w:rsidR="00735CE3" w:rsidRPr="00731C80" w:rsidRDefault="00735CE3" w:rsidP="00735CE3">
      <w:pPr>
        <w:tabs>
          <w:tab w:val="left" w:pos="0"/>
          <w:tab w:val="left" w:pos="851"/>
        </w:tabs>
        <w:ind w:left="850" w:hanging="850"/>
        <w:jc w:val="both"/>
        <w:rPr>
          <w:spacing w:val="-3"/>
          <w:sz w:val="24"/>
        </w:rPr>
      </w:pPr>
      <w:r>
        <w:rPr>
          <w:spacing w:val="-3"/>
          <w:sz w:val="24"/>
        </w:rPr>
        <w:tab/>
      </w:r>
      <w:r w:rsidR="007A7E9E">
        <w:rPr>
          <w:spacing w:val="-3"/>
          <w:sz w:val="24"/>
        </w:rPr>
        <w:t xml:space="preserve">ATC-kode: </w:t>
      </w:r>
      <w:r>
        <w:rPr>
          <w:spacing w:val="-3"/>
          <w:sz w:val="24"/>
        </w:rPr>
        <w:t>A 07 AA 09</w:t>
      </w:r>
      <w:r w:rsidR="007A7E9E">
        <w:rPr>
          <w:spacing w:val="-3"/>
          <w:sz w:val="24"/>
        </w:rPr>
        <w:t>.</w:t>
      </w:r>
      <w:r>
        <w:rPr>
          <w:spacing w:val="-3"/>
          <w:sz w:val="24"/>
        </w:rPr>
        <w:t xml:space="preserve"> Antibiotika</w:t>
      </w:r>
      <w:r w:rsidR="007A7E9E">
        <w:rPr>
          <w:spacing w:val="-3"/>
          <w:sz w:val="24"/>
        </w:rPr>
        <w:t>.</w:t>
      </w:r>
    </w:p>
    <w:p w14:paraId="01D761A4" w14:textId="77777777" w:rsidR="00735CE3" w:rsidRDefault="00735CE3" w:rsidP="00735CE3">
      <w:pPr>
        <w:tabs>
          <w:tab w:val="left" w:pos="0"/>
          <w:tab w:val="left" w:pos="851"/>
        </w:tabs>
        <w:ind w:left="850" w:hanging="850"/>
        <w:jc w:val="both"/>
        <w:rPr>
          <w:spacing w:val="-3"/>
          <w:sz w:val="24"/>
        </w:rPr>
      </w:pPr>
    </w:p>
    <w:p w14:paraId="3EC98900" w14:textId="77777777" w:rsidR="000D3FF9" w:rsidRDefault="000D3FF9" w:rsidP="000D3FF9">
      <w:pPr>
        <w:tabs>
          <w:tab w:val="num" w:pos="851"/>
        </w:tabs>
        <w:ind w:left="851" w:hanging="851"/>
        <w:rPr>
          <w:b/>
          <w:sz w:val="24"/>
          <w:szCs w:val="24"/>
        </w:rPr>
      </w:pPr>
      <w:r>
        <w:rPr>
          <w:b/>
          <w:sz w:val="24"/>
          <w:szCs w:val="24"/>
        </w:rPr>
        <w:t>5.1</w:t>
      </w:r>
      <w:r>
        <w:rPr>
          <w:b/>
          <w:sz w:val="24"/>
          <w:szCs w:val="24"/>
        </w:rPr>
        <w:tab/>
        <w:t>Farmakodynamiske egenskaber</w:t>
      </w:r>
    </w:p>
    <w:p w14:paraId="54999639" w14:textId="77777777" w:rsidR="00735CE3" w:rsidRDefault="00735CE3" w:rsidP="00735CE3">
      <w:pPr>
        <w:tabs>
          <w:tab w:val="left" w:pos="0"/>
          <w:tab w:val="left" w:pos="851"/>
        </w:tabs>
        <w:ind w:left="850" w:hanging="850"/>
        <w:jc w:val="both"/>
        <w:rPr>
          <w:spacing w:val="-3"/>
          <w:sz w:val="24"/>
        </w:rPr>
      </w:pPr>
    </w:p>
    <w:p w14:paraId="2324F5A8" w14:textId="77777777" w:rsidR="00735CE3" w:rsidRPr="005A3286" w:rsidRDefault="00735CE3" w:rsidP="00735CE3">
      <w:pPr>
        <w:tabs>
          <w:tab w:val="left" w:pos="0"/>
          <w:tab w:val="left" w:pos="851"/>
        </w:tabs>
        <w:ind w:left="850" w:hanging="850"/>
        <w:rPr>
          <w:sz w:val="24"/>
          <w:u w:val="single"/>
        </w:rPr>
      </w:pPr>
      <w:r w:rsidRPr="005A3286">
        <w:rPr>
          <w:sz w:val="24"/>
        </w:rPr>
        <w:tab/>
      </w:r>
      <w:r w:rsidRPr="005A3286">
        <w:rPr>
          <w:sz w:val="24"/>
          <w:u w:val="single"/>
        </w:rPr>
        <w:t xml:space="preserve">Virkningsmekanisme </w:t>
      </w:r>
    </w:p>
    <w:p w14:paraId="5BF0E58D" w14:textId="77777777" w:rsidR="00735CE3" w:rsidRDefault="00735CE3" w:rsidP="00735CE3">
      <w:pPr>
        <w:pStyle w:val="Default"/>
        <w:ind w:left="851" w:hanging="1"/>
        <w:rPr>
          <w:rFonts w:ascii="Times New Roman" w:hAnsi="Times New Roman" w:cs="Times New Roman"/>
          <w:lang w:val="da-DK"/>
        </w:rPr>
      </w:pPr>
      <w:r>
        <w:rPr>
          <w:rFonts w:ascii="Times New Roman" w:hAnsi="Times New Roman" w:cs="Times New Roman"/>
          <w:spacing w:val="-3"/>
          <w:lang w:val="da-DK"/>
        </w:rPr>
        <w:t xml:space="preserve">Vancomycin er et tricyklisk glycopeptidantibiotikum, </w:t>
      </w:r>
      <w:r>
        <w:rPr>
          <w:rFonts w:ascii="Times New Roman" w:hAnsi="Times New Roman" w:cs="Times New Roman"/>
          <w:lang w:val="da-DK"/>
        </w:rPr>
        <w:t>der hæmmer syntesen af cellevæggen i følsomme bakterier ved binding med høj affinitet til D-alanyl-D-alanin-terminalen af cellevæggens prækursorer. Lægemidlet er baktericidt for delende mikroorganismer. Derudover påvirker det permeabiliteten af bakteriecellemembranen og RNA-syntesen.</w:t>
      </w:r>
    </w:p>
    <w:p w14:paraId="43A342EA" w14:textId="77777777" w:rsidR="00735CE3" w:rsidRDefault="00735CE3" w:rsidP="00735CE3">
      <w:pPr>
        <w:tabs>
          <w:tab w:val="left" w:pos="0"/>
          <w:tab w:val="left" w:pos="851"/>
        </w:tabs>
        <w:ind w:left="850" w:firstLine="1"/>
        <w:rPr>
          <w:spacing w:val="-3"/>
          <w:sz w:val="24"/>
          <w:u w:val="single"/>
        </w:rPr>
      </w:pPr>
    </w:p>
    <w:p w14:paraId="694AEC0A" w14:textId="77777777" w:rsidR="00735CE3" w:rsidRPr="005A3286" w:rsidRDefault="00735CE3" w:rsidP="00735CE3">
      <w:pPr>
        <w:tabs>
          <w:tab w:val="left" w:pos="0"/>
          <w:tab w:val="left" w:pos="851"/>
        </w:tabs>
        <w:ind w:left="850" w:firstLine="1"/>
        <w:rPr>
          <w:sz w:val="24"/>
        </w:rPr>
      </w:pPr>
      <w:r w:rsidRPr="005A3286">
        <w:rPr>
          <w:sz w:val="24"/>
          <w:u w:val="single"/>
        </w:rPr>
        <w:t xml:space="preserve">Resistensmekanisme </w:t>
      </w:r>
    </w:p>
    <w:p w14:paraId="7A4E1E16" w14:textId="77777777" w:rsidR="00735CE3" w:rsidRDefault="00735CE3" w:rsidP="00735CE3">
      <w:pPr>
        <w:tabs>
          <w:tab w:val="left" w:pos="0"/>
          <w:tab w:val="left" w:pos="851"/>
        </w:tabs>
        <w:ind w:left="850" w:firstLine="1"/>
        <w:rPr>
          <w:spacing w:val="-3"/>
          <w:sz w:val="24"/>
          <w:szCs w:val="24"/>
        </w:rPr>
      </w:pPr>
      <w:r>
        <w:rPr>
          <w:spacing w:val="-3"/>
          <w:sz w:val="24"/>
        </w:rPr>
        <w:t>Erhvervet resistens over f</w:t>
      </w:r>
      <w:r>
        <w:rPr>
          <w:spacing w:val="-3"/>
          <w:sz w:val="24"/>
          <w:szCs w:val="24"/>
        </w:rPr>
        <w:t xml:space="preserve">or glycpeptider er mest almindelig hos enterokokker og er baseret på erhvervelse af forskellige van-genkomplekser, som modificerer D-alanyl-D-alanin-målet til D-alanyl-D-laktat eller D-alanyl-D-serin, der binder vancomycin dårligt. I nogle lande </w:t>
      </w:r>
      <w:r>
        <w:rPr>
          <w:sz w:val="24"/>
          <w:szCs w:val="24"/>
        </w:rPr>
        <w:t xml:space="preserve">observeres stigende tilfælde </w:t>
      </w:r>
      <w:r>
        <w:rPr>
          <w:spacing w:val="-3"/>
          <w:sz w:val="24"/>
          <w:szCs w:val="24"/>
        </w:rPr>
        <w:t xml:space="preserve">af resistens </w:t>
      </w:r>
      <w:r>
        <w:rPr>
          <w:sz w:val="24"/>
          <w:szCs w:val="24"/>
        </w:rPr>
        <w:t xml:space="preserve">især i </w:t>
      </w:r>
      <w:r>
        <w:rPr>
          <w:spacing w:val="-3"/>
          <w:sz w:val="24"/>
          <w:szCs w:val="24"/>
        </w:rPr>
        <w:t xml:space="preserve">enterokokker; multi-resistente stammer af Enterococcus faecium er </w:t>
      </w:r>
      <w:r>
        <w:rPr>
          <w:sz w:val="24"/>
          <w:szCs w:val="24"/>
        </w:rPr>
        <w:t xml:space="preserve">særligt </w:t>
      </w:r>
      <w:r>
        <w:rPr>
          <w:spacing w:val="-3"/>
          <w:sz w:val="24"/>
          <w:szCs w:val="24"/>
        </w:rPr>
        <w:t>alarmerende.</w:t>
      </w:r>
    </w:p>
    <w:p w14:paraId="21E525C2" w14:textId="77777777" w:rsidR="00735CE3" w:rsidRDefault="00735CE3" w:rsidP="00735CE3">
      <w:pPr>
        <w:tabs>
          <w:tab w:val="left" w:pos="0"/>
          <w:tab w:val="left" w:pos="851"/>
        </w:tabs>
        <w:ind w:left="850" w:firstLine="1"/>
        <w:rPr>
          <w:spacing w:val="-3"/>
          <w:sz w:val="24"/>
        </w:rPr>
      </w:pPr>
    </w:p>
    <w:p w14:paraId="6EE64F60" w14:textId="77777777" w:rsidR="00735CE3" w:rsidRDefault="00735CE3" w:rsidP="00735CE3">
      <w:pPr>
        <w:tabs>
          <w:tab w:val="left" w:pos="0"/>
          <w:tab w:val="left" w:pos="851"/>
        </w:tabs>
        <w:ind w:left="850" w:firstLine="1"/>
        <w:rPr>
          <w:spacing w:val="-3"/>
          <w:sz w:val="24"/>
        </w:rPr>
      </w:pPr>
      <w:r>
        <w:rPr>
          <w:spacing w:val="-3"/>
          <w:sz w:val="24"/>
        </w:rPr>
        <w:t>Van-gener er s</w:t>
      </w:r>
      <w:r>
        <w:rPr>
          <w:spacing w:val="-3"/>
          <w:sz w:val="24"/>
          <w:szCs w:val="24"/>
        </w:rPr>
        <w:t xml:space="preserve">jældent blevet fundet i </w:t>
      </w:r>
      <w:r>
        <w:rPr>
          <w:i/>
          <w:spacing w:val="-3"/>
          <w:sz w:val="24"/>
          <w:szCs w:val="24"/>
        </w:rPr>
        <w:t>Staphylococcus aureus</w:t>
      </w:r>
      <w:r>
        <w:rPr>
          <w:spacing w:val="-3"/>
          <w:sz w:val="24"/>
          <w:szCs w:val="24"/>
        </w:rPr>
        <w:t xml:space="preserve">, hvor </w:t>
      </w:r>
      <w:r>
        <w:rPr>
          <w:sz w:val="24"/>
          <w:szCs w:val="24"/>
        </w:rPr>
        <w:t>æ</w:t>
      </w:r>
      <w:r>
        <w:rPr>
          <w:spacing w:val="-3"/>
          <w:sz w:val="24"/>
          <w:szCs w:val="24"/>
        </w:rPr>
        <w:t>ndringer i cellevæg</w:t>
      </w:r>
      <w:r w:rsidR="00C158E7">
        <w:rPr>
          <w:spacing w:val="-3"/>
          <w:sz w:val="24"/>
          <w:szCs w:val="24"/>
        </w:rPr>
        <w:t>s</w:t>
      </w:r>
      <w:r>
        <w:rPr>
          <w:spacing w:val="-3"/>
          <w:sz w:val="24"/>
          <w:szCs w:val="24"/>
        </w:rPr>
        <w:t xml:space="preserve">struktur </w:t>
      </w:r>
      <w:r>
        <w:rPr>
          <w:sz w:val="24"/>
          <w:szCs w:val="24"/>
        </w:rPr>
        <w:t xml:space="preserve">resulterer i </w:t>
      </w:r>
      <w:r w:rsidR="000E70BD">
        <w:rPr>
          <w:sz w:val="24"/>
          <w:szCs w:val="24"/>
        </w:rPr>
        <w:t>"</w:t>
      </w:r>
      <w:r>
        <w:rPr>
          <w:sz w:val="24"/>
          <w:szCs w:val="24"/>
        </w:rPr>
        <w:t>intermediær</w:t>
      </w:r>
      <w:r w:rsidR="000E70BD">
        <w:rPr>
          <w:sz w:val="24"/>
          <w:szCs w:val="24"/>
        </w:rPr>
        <w:t>"</w:t>
      </w:r>
      <w:r>
        <w:rPr>
          <w:spacing w:val="-3"/>
          <w:sz w:val="24"/>
          <w:szCs w:val="24"/>
        </w:rPr>
        <w:t xml:space="preserve"> følsomhed, </w:t>
      </w:r>
      <w:r>
        <w:rPr>
          <w:sz w:val="24"/>
          <w:szCs w:val="24"/>
        </w:rPr>
        <w:t xml:space="preserve">som almindeligvis er heterogen. Der er også rapporteret om methicillinresistente </w:t>
      </w:r>
      <w:r>
        <w:rPr>
          <w:i/>
          <w:iCs/>
          <w:sz w:val="24"/>
          <w:szCs w:val="24"/>
        </w:rPr>
        <w:t xml:space="preserve">Staphylococcus </w:t>
      </w:r>
      <w:r>
        <w:rPr>
          <w:sz w:val="24"/>
          <w:szCs w:val="24"/>
        </w:rPr>
        <w:t xml:space="preserve">stammer (MRSA) med nedsat følsomhed for vancomycin. Den reducerede følsomhed eller resistens over for vancomycin i </w:t>
      </w:r>
      <w:r>
        <w:rPr>
          <w:i/>
          <w:iCs/>
          <w:sz w:val="24"/>
          <w:szCs w:val="24"/>
        </w:rPr>
        <w:t xml:space="preserve">Staphylococcus </w:t>
      </w:r>
      <w:r>
        <w:rPr>
          <w:sz w:val="24"/>
          <w:szCs w:val="24"/>
        </w:rPr>
        <w:t>er ikke velforstået. Der kræves adskillige genetiske elementer og mange mutationer.</w:t>
      </w:r>
      <w:r>
        <w:rPr>
          <w:spacing w:val="-3"/>
          <w:sz w:val="24"/>
          <w:szCs w:val="24"/>
        </w:rPr>
        <w:t xml:space="preserve"> </w:t>
      </w:r>
    </w:p>
    <w:p w14:paraId="14801628" w14:textId="77777777" w:rsidR="00735CE3" w:rsidRDefault="00735CE3" w:rsidP="00735CE3">
      <w:pPr>
        <w:tabs>
          <w:tab w:val="left" w:pos="0"/>
          <w:tab w:val="left" w:pos="851"/>
        </w:tabs>
        <w:ind w:left="850" w:hanging="850"/>
        <w:rPr>
          <w:spacing w:val="-3"/>
          <w:sz w:val="24"/>
        </w:rPr>
      </w:pPr>
      <w:r>
        <w:rPr>
          <w:spacing w:val="-3"/>
          <w:sz w:val="24"/>
        </w:rPr>
        <w:tab/>
      </w:r>
    </w:p>
    <w:p w14:paraId="10DEAED0" w14:textId="77777777" w:rsidR="00735CE3" w:rsidRDefault="00735CE3" w:rsidP="00735CE3">
      <w:pPr>
        <w:tabs>
          <w:tab w:val="left" w:pos="0"/>
          <w:tab w:val="left" w:pos="851"/>
          <w:tab w:val="left" w:pos="5835"/>
        </w:tabs>
        <w:ind w:left="850" w:hanging="850"/>
        <w:rPr>
          <w:spacing w:val="-3"/>
          <w:sz w:val="24"/>
        </w:rPr>
      </w:pPr>
      <w:r>
        <w:rPr>
          <w:spacing w:val="-3"/>
          <w:sz w:val="24"/>
        </w:rPr>
        <w:tab/>
      </w:r>
      <w:r>
        <w:rPr>
          <w:spacing w:val="-3"/>
          <w:sz w:val="24"/>
        </w:rPr>
        <w:tab/>
        <w:t xml:space="preserve">Der er ingen krydsresistens mellem vancomycin og andre klasser af antibiotika. Krydsresistens med andre glycopeptidantibiotika, såsom teicoplanin forekommer. Sekundær udvikling af resistens under behandling er sjælden. </w:t>
      </w:r>
    </w:p>
    <w:p w14:paraId="49E51078" w14:textId="77777777" w:rsidR="00735CE3" w:rsidRDefault="00735CE3" w:rsidP="00735CE3">
      <w:pPr>
        <w:tabs>
          <w:tab w:val="left" w:pos="0"/>
          <w:tab w:val="left" w:pos="851"/>
        </w:tabs>
        <w:ind w:left="850" w:hanging="850"/>
        <w:rPr>
          <w:spacing w:val="-3"/>
          <w:sz w:val="24"/>
          <w:u w:val="single"/>
        </w:rPr>
      </w:pPr>
      <w:r>
        <w:rPr>
          <w:spacing w:val="-3"/>
          <w:sz w:val="24"/>
        </w:rPr>
        <w:tab/>
      </w:r>
      <w:r>
        <w:rPr>
          <w:spacing w:val="-3"/>
          <w:sz w:val="24"/>
          <w:u w:val="single"/>
        </w:rPr>
        <w:tab/>
      </w:r>
    </w:p>
    <w:p w14:paraId="73B59A31" w14:textId="77777777" w:rsidR="00735CE3" w:rsidRDefault="00735CE3" w:rsidP="00735CE3">
      <w:pPr>
        <w:tabs>
          <w:tab w:val="left" w:pos="0"/>
          <w:tab w:val="left" w:pos="851"/>
        </w:tabs>
        <w:ind w:left="850" w:hanging="850"/>
        <w:rPr>
          <w:spacing w:val="-3"/>
          <w:sz w:val="24"/>
        </w:rPr>
      </w:pPr>
      <w:r>
        <w:rPr>
          <w:spacing w:val="-3"/>
          <w:sz w:val="24"/>
        </w:rPr>
        <w:tab/>
        <w:t>Fremkomsten af resistens over for vancomycin varierer fra det ene hospital til det andet, og et lokalt mikrobiologisk laboratorium bør derfor kontaktes for relevante lokale oplysninger.</w:t>
      </w:r>
    </w:p>
    <w:p w14:paraId="18E93866" w14:textId="77777777" w:rsidR="00735CE3" w:rsidRDefault="00735CE3" w:rsidP="00735CE3">
      <w:pPr>
        <w:tabs>
          <w:tab w:val="left" w:pos="0"/>
          <w:tab w:val="left" w:pos="851"/>
        </w:tabs>
        <w:ind w:left="850" w:hanging="850"/>
        <w:rPr>
          <w:spacing w:val="-3"/>
          <w:sz w:val="24"/>
        </w:rPr>
      </w:pPr>
    </w:p>
    <w:p w14:paraId="4625586D" w14:textId="77777777" w:rsidR="00735CE3" w:rsidRPr="007A7E9E" w:rsidRDefault="00735CE3" w:rsidP="007A7E9E">
      <w:pPr>
        <w:ind w:left="851"/>
        <w:rPr>
          <w:sz w:val="24"/>
          <w:szCs w:val="24"/>
          <w:u w:val="single"/>
        </w:rPr>
      </w:pPr>
      <w:r w:rsidRPr="007A7E9E">
        <w:rPr>
          <w:sz w:val="24"/>
          <w:szCs w:val="24"/>
          <w:u w:val="single"/>
        </w:rPr>
        <w:t xml:space="preserve">Resistensbestemmelse breakpoints </w:t>
      </w:r>
    </w:p>
    <w:p w14:paraId="21BE305B" w14:textId="77777777" w:rsidR="00735CE3" w:rsidRDefault="00735CE3" w:rsidP="00735CE3">
      <w:pPr>
        <w:pStyle w:val="Default"/>
        <w:ind w:left="851"/>
        <w:rPr>
          <w:rFonts w:ascii="Times New Roman" w:hAnsi="Times New Roman" w:cs="Times New Roman"/>
          <w:lang w:val="da-DK"/>
        </w:rPr>
      </w:pPr>
      <w:r>
        <w:rPr>
          <w:rFonts w:ascii="Times New Roman" w:hAnsi="Times New Roman" w:cs="Times New Roman"/>
          <w:lang w:val="da-DK"/>
        </w:rPr>
        <w:t xml:space="preserve">Forekomsten af erhvervet resistens kan variere geografisk og med tiden for udvalgte arter, og lokal information om resistens er ønskelig, især ved behandling af alvorlige infektioner. Efter behov skal der søges ekspertrådgivning, når den lokale forekomst af resistens er sådan, at anvendelsen af midlet i mindst nogle typer infektioner er tvivlsom. Her gives kun skønsmæssig vejledning om muligheden for, at mikroorganismerne er følsomme for vancomycin. </w:t>
      </w:r>
    </w:p>
    <w:p w14:paraId="1851D5F9" w14:textId="77777777" w:rsidR="00735CE3" w:rsidRDefault="00735CE3" w:rsidP="00735CE3">
      <w:pPr>
        <w:pStyle w:val="Default"/>
        <w:ind w:left="851"/>
        <w:rPr>
          <w:rFonts w:ascii="Times New Roman" w:hAnsi="Times New Roman" w:cs="Times New Roman"/>
          <w:lang w:val="da-DK"/>
        </w:rPr>
      </w:pPr>
    </w:p>
    <w:p w14:paraId="168A6CCE" w14:textId="77777777" w:rsidR="00735CE3" w:rsidRDefault="00735CE3" w:rsidP="00735CE3">
      <w:pPr>
        <w:keepNext/>
        <w:tabs>
          <w:tab w:val="left" w:pos="0"/>
          <w:tab w:val="left" w:pos="851"/>
        </w:tabs>
        <w:ind w:left="851"/>
        <w:rPr>
          <w:sz w:val="24"/>
          <w:szCs w:val="24"/>
        </w:rPr>
      </w:pPr>
      <w:r>
        <w:rPr>
          <w:sz w:val="24"/>
          <w:szCs w:val="24"/>
        </w:rPr>
        <w:t>MIC - breakpoints, fastsat af Den Europæiske Komité for Antimikrobiel Følsomhedstestning (EUCAST) er som følger:</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4"/>
        <w:gridCol w:w="2429"/>
        <w:gridCol w:w="3196"/>
      </w:tblGrid>
      <w:tr w:rsidR="00735CE3" w14:paraId="706102CE" w14:textId="77777777" w:rsidTr="007A7E9E">
        <w:tc>
          <w:tcPr>
            <w:tcW w:w="3044" w:type="dxa"/>
            <w:tcBorders>
              <w:top w:val="single" w:sz="4" w:space="0" w:color="auto"/>
              <w:left w:val="single" w:sz="4" w:space="0" w:color="auto"/>
              <w:bottom w:val="single" w:sz="4" w:space="0" w:color="auto"/>
              <w:right w:val="single" w:sz="4" w:space="0" w:color="auto"/>
            </w:tcBorders>
          </w:tcPr>
          <w:p w14:paraId="577CC8EA" w14:textId="77777777" w:rsidR="00735CE3" w:rsidRDefault="00735CE3" w:rsidP="003B4BCE">
            <w:pPr>
              <w:pStyle w:val="Default"/>
              <w:keepNext/>
              <w:jc w:val="both"/>
              <w:rPr>
                <w:rFonts w:ascii="Times New Roman" w:hAnsi="Times New Roman" w:cs="Times New Roman"/>
                <w:i/>
                <w:spacing w:val="-3"/>
                <w:lang w:val="da-DK"/>
              </w:rPr>
            </w:pPr>
          </w:p>
          <w:p w14:paraId="6934AE0B" w14:textId="77777777" w:rsidR="00735CE3" w:rsidRDefault="00735CE3" w:rsidP="003B4BCE">
            <w:pPr>
              <w:pStyle w:val="Default"/>
              <w:keepNext/>
              <w:jc w:val="both"/>
              <w:rPr>
                <w:rFonts w:ascii="Times New Roman" w:hAnsi="Times New Roman" w:cs="Times New Roman"/>
                <w:spacing w:val="-3"/>
                <w:vertAlign w:val="superscript"/>
                <w:lang w:val="da-DK"/>
              </w:rPr>
            </w:pPr>
            <w:r>
              <w:rPr>
                <w:rFonts w:ascii="Times New Roman" w:hAnsi="Times New Roman" w:cs="Times New Roman"/>
                <w:i/>
                <w:spacing w:val="-3"/>
                <w:lang w:val="da-DK"/>
              </w:rPr>
              <w:t>Clostridium difficile</w:t>
            </w:r>
            <w:r>
              <w:rPr>
                <w:rFonts w:ascii="Times New Roman" w:hAnsi="Times New Roman" w:cs="Times New Roman"/>
                <w:i/>
                <w:spacing w:val="-3"/>
                <w:vertAlign w:val="superscript"/>
                <w:lang w:val="da-DK"/>
              </w:rPr>
              <w:t>1</w:t>
            </w:r>
          </w:p>
        </w:tc>
        <w:tc>
          <w:tcPr>
            <w:tcW w:w="2429" w:type="dxa"/>
            <w:tcBorders>
              <w:top w:val="single" w:sz="4" w:space="0" w:color="auto"/>
              <w:left w:val="single" w:sz="4" w:space="0" w:color="auto"/>
              <w:bottom w:val="single" w:sz="4" w:space="0" w:color="auto"/>
              <w:right w:val="single" w:sz="4" w:space="0" w:color="auto"/>
            </w:tcBorders>
            <w:hideMark/>
          </w:tcPr>
          <w:p w14:paraId="2505D190" w14:textId="77777777" w:rsidR="00735CE3" w:rsidRDefault="00735CE3" w:rsidP="003B4BCE">
            <w:pPr>
              <w:pStyle w:val="Default"/>
              <w:keepNext/>
              <w:jc w:val="both"/>
              <w:rPr>
                <w:rFonts w:ascii="Times New Roman" w:hAnsi="Times New Roman" w:cs="Times New Roman"/>
                <w:b/>
                <w:bCs/>
                <w:lang w:val="da-DK"/>
              </w:rPr>
            </w:pPr>
            <w:r>
              <w:rPr>
                <w:rFonts w:ascii="Times New Roman" w:hAnsi="Times New Roman" w:cs="Times New Roman"/>
                <w:b/>
                <w:bCs/>
                <w:lang w:val="da-DK"/>
              </w:rPr>
              <w:t xml:space="preserve">Følsom </w:t>
            </w:r>
          </w:p>
          <w:p w14:paraId="6B453490" w14:textId="77777777" w:rsidR="00735CE3" w:rsidRDefault="00735CE3" w:rsidP="003B4BCE">
            <w:pPr>
              <w:pStyle w:val="Default"/>
              <w:keepNext/>
              <w:jc w:val="both"/>
              <w:rPr>
                <w:rFonts w:ascii="Times New Roman" w:hAnsi="Times New Roman" w:cs="Times New Roman"/>
                <w:bCs/>
                <w:lang w:val="da-DK"/>
              </w:rPr>
            </w:pPr>
            <w:r>
              <w:rPr>
                <w:rFonts w:ascii="Times New Roman" w:hAnsi="Times New Roman" w:cs="Times New Roman"/>
                <w:bCs/>
                <w:lang w:val="da-DK"/>
              </w:rPr>
              <w:t>≤ 2 mg/l</w:t>
            </w:r>
          </w:p>
        </w:tc>
        <w:tc>
          <w:tcPr>
            <w:tcW w:w="3196" w:type="dxa"/>
            <w:tcBorders>
              <w:top w:val="single" w:sz="4" w:space="0" w:color="auto"/>
              <w:left w:val="single" w:sz="4" w:space="0" w:color="auto"/>
              <w:bottom w:val="single" w:sz="4" w:space="0" w:color="auto"/>
              <w:right w:val="single" w:sz="4" w:space="0" w:color="auto"/>
            </w:tcBorders>
            <w:hideMark/>
          </w:tcPr>
          <w:p w14:paraId="58FE5B71" w14:textId="77777777" w:rsidR="00735CE3" w:rsidRDefault="00735CE3" w:rsidP="003B4BCE">
            <w:pPr>
              <w:pStyle w:val="Default"/>
              <w:keepNext/>
              <w:jc w:val="both"/>
              <w:rPr>
                <w:rFonts w:ascii="Times New Roman" w:hAnsi="Times New Roman" w:cs="Times New Roman"/>
                <w:b/>
                <w:bCs/>
                <w:lang w:val="da-DK"/>
              </w:rPr>
            </w:pPr>
            <w:r>
              <w:rPr>
                <w:rFonts w:ascii="Times New Roman" w:hAnsi="Times New Roman" w:cs="Times New Roman"/>
                <w:b/>
                <w:bCs/>
                <w:lang w:val="da-DK"/>
              </w:rPr>
              <w:t xml:space="preserve">Resistent </w:t>
            </w:r>
          </w:p>
          <w:p w14:paraId="3106E3E1" w14:textId="77777777" w:rsidR="00735CE3" w:rsidRDefault="00735CE3" w:rsidP="003B4BCE">
            <w:pPr>
              <w:pStyle w:val="Default"/>
              <w:keepNext/>
              <w:jc w:val="both"/>
              <w:rPr>
                <w:rFonts w:ascii="Times New Roman" w:hAnsi="Times New Roman" w:cs="Times New Roman"/>
                <w:spacing w:val="-3"/>
                <w:lang w:val="da-DK"/>
              </w:rPr>
            </w:pPr>
            <w:r>
              <w:rPr>
                <w:rFonts w:ascii="Times New Roman" w:hAnsi="Times New Roman" w:cs="Times New Roman"/>
                <w:bCs/>
                <w:lang w:val="da-DK"/>
              </w:rPr>
              <w:t>&gt; 2 mg/l</w:t>
            </w:r>
          </w:p>
        </w:tc>
      </w:tr>
    </w:tbl>
    <w:p w14:paraId="54B59165" w14:textId="77777777" w:rsidR="00735CE3" w:rsidRDefault="00735CE3" w:rsidP="00735CE3">
      <w:pPr>
        <w:tabs>
          <w:tab w:val="left" w:pos="0"/>
          <w:tab w:val="left" w:pos="851"/>
        </w:tabs>
        <w:ind w:left="851"/>
        <w:jc w:val="both"/>
        <w:rPr>
          <w:sz w:val="22"/>
          <w:szCs w:val="22"/>
        </w:rPr>
      </w:pPr>
      <w:r>
        <w:rPr>
          <w:sz w:val="22"/>
          <w:szCs w:val="22"/>
          <w:vertAlign w:val="superscript"/>
        </w:rPr>
        <w:t>1</w:t>
      </w:r>
      <w:r>
        <w:rPr>
          <w:sz w:val="22"/>
          <w:szCs w:val="22"/>
        </w:rPr>
        <w:t xml:space="preserve"> breakpoints er baseret på epidemiologiske cut-off-værdier (ECOFFs), som adskiller vildtype-isolater fra dem med nedsat følsomhed.</w:t>
      </w:r>
    </w:p>
    <w:p w14:paraId="5497B392" w14:textId="77777777" w:rsidR="00735CE3" w:rsidRDefault="00735CE3" w:rsidP="00735CE3">
      <w:pPr>
        <w:tabs>
          <w:tab w:val="left" w:pos="0"/>
          <w:tab w:val="left" w:pos="851"/>
        </w:tabs>
        <w:ind w:left="850" w:hanging="850"/>
        <w:jc w:val="both"/>
        <w:rPr>
          <w:spacing w:val="-3"/>
          <w:sz w:val="24"/>
        </w:rPr>
      </w:pPr>
    </w:p>
    <w:p w14:paraId="5AD0C6BF" w14:textId="77777777" w:rsidR="000D3FF9" w:rsidRDefault="000D3FF9" w:rsidP="000D3FF9">
      <w:pPr>
        <w:tabs>
          <w:tab w:val="left" w:pos="851"/>
        </w:tabs>
        <w:ind w:left="851" w:hanging="851"/>
        <w:rPr>
          <w:b/>
          <w:sz w:val="24"/>
          <w:szCs w:val="24"/>
        </w:rPr>
      </w:pPr>
      <w:r>
        <w:rPr>
          <w:b/>
          <w:sz w:val="24"/>
          <w:szCs w:val="24"/>
        </w:rPr>
        <w:t>5.2</w:t>
      </w:r>
      <w:r>
        <w:rPr>
          <w:b/>
          <w:sz w:val="24"/>
          <w:szCs w:val="24"/>
        </w:rPr>
        <w:tab/>
        <w:t>Farmakokinetiske egenskaber</w:t>
      </w:r>
    </w:p>
    <w:p w14:paraId="16657E02" w14:textId="77777777" w:rsidR="00735CE3" w:rsidRDefault="00735CE3" w:rsidP="00735CE3">
      <w:pPr>
        <w:tabs>
          <w:tab w:val="left" w:pos="0"/>
          <w:tab w:val="left" w:pos="851"/>
        </w:tabs>
        <w:ind w:left="850" w:hanging="850"/>
        <w:rPr>
          <w:spacing w:val="-3"/>
          <w:sz w:val="24"/>
        </w:rPr>
      </w:pPr>
    </w:p>
    <w:p w14:paraId="4E9FC66D" w14:textId="77777777" w:rsidR="00735CE3" w:rsidRDefault="00735CE3" w:rsidP="00735CE3">
      <w:pPr>
        <w:tabs>
          <w:tab w:val="left" w:pos="0"/>
          <w:tab w:val="left" w:pos="851"/>
        </w:tabs>
        <w:ind w:left="850" w:hanging="850"/>
        <w:rPr>
          <w:spacing w:val="-3"/>
          <w:sz w:val="24"/>
          <w:szCs w:val="24"/>
        </w:rPr>
      </w:pPr>
      <w:r>
        <w:rPr>
          <w:spacing w:val="-3"/>
          <w:sz w:val="24"/>
        </w:rPr>
        <w:tab/>
      </w:r>
      <w:r>
        <w:rPr>
          <w:spacing w:val="-3"/>
          <w:sz w:val="24"/>
        </w:rPr>
        <w:tab/>
      </w:r>
      <w:r>
        <w:rPr>
          <w:sz w:val="24"/>
          <w:szCs w:val="24"/>
          <w:u w:val="single"/>
        </w:rPr>
        <w:t>Absorption</w:t>
      </w:r>
    </w:p>
    <w:p w14:paraId="628C2A2C" w14:textId="77777777" w:rsidR="00735CE3" w:rsidRDefault="00735CE3" w:rsidP="00735CE3">
      <w:pPr>
        <w:tabs>
          <w:tab w:val="left" w:pos="0"/>
          <w:tab w:val="left" w:pos="851"/>
        </w:tabs>
        <w:ind w:left="850" w:hanging="850"/>
        <w:rPr>
          <w:spacing w:val="-3"/>
          <w:sz w:val="24"/>
        </w:rPr>
      </w:pPr>
      <w:r>
        <w:rPr>
          <w:spacing w:val="-3"/>
          <w:sz w:val="24"/>
        </w:rPr>
        <w:tab/>
        <w:t>Vancomycin absorberes normalt i</w:t>
      </w:r>
      <w:r>
        <w:rPr>
          <w:spacing w:val="-3"/>
          <w:sz w:val="24"/>
          <w:szCs w:val="24"/>
        </w:rPr>
        <w:t xml:space="preserve">kke </w:t>
      </w:r>
      <w:r>
        <w:rPr>
          <w:sz w:val="24"/>
          <w:szCs w:val="24"/>
        </w:rPr>
        <w:t xml:space="preserve">i blodet efter oral administration. Imidlertid kan absorption forøges hos patienter med inflammatoriske sygdomme i tarmslimhinden eller med </w:t>
      </w:r>
      <w:r>
        <w:rPr>
          <w:i/>
          <w:iCs/>
          <w:sz w:val="24"/>
          <w:szCs w:val="24"/>
        </w:rPr>
        <w:t xml:space="preserve">Clostridium difficile-induceret </w:t>
      </w:r>
      <w:r>
        <w:rPr>
          <w:sz w:val="24"/>
          <w:szCs w:val="24"/>
        </w:rPr>
        <w:t xml:space="preserve">pseudomembranøs colitis. Dette kan føre til akkumulering af vancomycin hos patienter med samtidig nedsat nyrefunktion. </w:t>
      </w:r>
    </w:p>
    <w:p w14:paraId="363ACD60" w14:textId="77777777" w:rsidR="00735CE3" w:rsidRDefault="00735CE3" w:rsidP="00735CE3">
      <w:pPr>
        <w:tabs>
          <w:tab w:val="left" w:pos="0"/>
          <w:tab w:val="left" w:pos="851"/>
        </w:tabs>
        <w:ind w:left="850" w:firstLine="4"/>
        <w:rPr>
          <w:sz w:val="24"/>
          <w:szCs w:val="24"/>
          <w:u w:val="single"/>
        </w:rPr>
      </w:pPr>
    </w:p>
    <w:p w14:paraId="08E5AB3A" w14:textId="77777777" w:rsidR="00735CE3" w:rsidRDefault="00735CE3" w:rsidP="00735CE3">
      <w:pPr>
        <w:tabs>
          <w:tab w:val="left" w:pos="0"/>
          <w:tab w:val="left" w:pos="851"/>
        </w:tabs>
        <w:ind w:left="850" w:firstLine="4"/>
        <w:rPr>
          <w:spacing w:val="-3"/>
          <w:sz w:val="24"/>
          <w:szCs w:val="24"/>
        </w:rPr>
      </w:pPr>
      <w:r>
        <w:rPr>
          <w:sz w:val="24"/>
          <w:szCs w:val="24"/>
          <w:u w:val="single"/>
        </w:rPr>
        <w:t>Elimination</w:t>
      </w:r>
    </w:p>
    <w:p w14:paraId="6DE69141" w14:textId="77777777" w:rsidR="00735CE3" w:rsidRDefault="00735CE3" w:rsidP="00735CE3">
      <w:pPr>
        <w:tabs>
          <w:tab w:val="left" w:pos="0"/>
          <w:tab w:val="left" w:pos="851"/>
        </w:tabs>
        <w:ind w:left="850" w:firstLine="4"/>
        <w:rPr>
          <w:spacing w:val="-3"/>
          <w:sz w:val="24"/>
          <w:szCs w:val="24"/>
        </w:rPr>
      </w:pPr>
      <w:r>
        <w:rPr>
          <w:sz w:val="24"/>
          <w:szCs w:val="24"/>
        </w:rPr>
        <w:t xml:space="preserve">En oral dosis udskilles næsten udelukkende i fæces. I løbet af 7 doser på 250 mg hver </w:t>
      </w:r>
      <w:r>
        <w:rPr>
          <w:spacing w:val="-3"/>
          <w:sz w:val="24"/>
          <w:szCs w:val="24"/>
        </w:rPr>
        <w:t xml:space="preserve">8. time oversteg de fækale koncentrationer af vancomycin </w:t>
      </w:r>
      <w:r>
        <w:rPr>
          <w:sz w:val="24"/>
          <w:szCs w:val="24"/>
        </w:rPr>
        <w:t>hos frivillige</w:t>
      </w:r>
      <w:r>
        <w:rPr>
          <w:spacing w:val="-3"/>
          <w:sz w:val="24"/>
          <w:szCs w:val="24"/>
        </w:rPr>
        <w:t xml:space="preserve"> 100 mg/kg i </w:t>
      </w:r>
      <w:r>
        <w:rPr>
          <w:sz w:val="24"/>
          <w:szCs w:val="24"/>
        </w:rPr>
        <w:t xml:space="preserve">de fleste prøver. </w:t>
      </w:r>
      <w:r>
        <w:rPr>
          <w:spacing w:val="-3"/>
          <w:sz w:val="24"/>
          <w:szCs w:val="24"/>
        </w:rPr>
        <w:t xml:space="preserve">Der blev </w:t>
      </w:r>
      <w:r>
        <w:rPr>
          <w:sz w:val="24"/>
          <w:szCs w:val="24"/>
        </w:rPr>
        <w:t>ikke påvist nogen blodkoncentrationer, og uringenvindingen oversteg ikke</w:t>
      </w:r>
      <w:r>
        <w:rPr>
          <w:spacing w:val="-3"/>
          <w:sz w:val="24"/>
          <w:szCs w:val="24"/>
        </w:rPr>
        <w:t xml:space="preserve"> 0,76%.</w:t>
      </w:r>
    </w:p>
    <w:p w14:paraId="415F6BDD" w14:textId="77777777" w:rsidR="00735CE3" w:rsidRDefault="00735CE3" w:rsidP="00735CE3">
      <w:pPr>
        <w:tabs>
          <w:tab w:val="left" w:pos="0"/>
          <w:tab w:val="left" w:pos="851"/>
        </w:tabs>
        <w:ind w:left="850" w:firstLine="4"/>
        <w:rPr>
          <w:spacing w:val="-3"/>
          <w:sz w:val="24"/>
          <w:szCs w:val="24"/>
        </w:rPr>
      </w:pPr>
    </w:p>
    <w:p w14:paraId="04B9E3DE" w14:textId="77777777" w:rsidR="00735CE3" w:rsidRDefault="00735CE3" w:rsidP="00735CE3">
      <w:pPr>
        <w:tabs>
          <w:tab w:val="left" w:pos="0"/>
          <w:tab w:val="left" w:pos="851"/>
        </w:tabs>
        <w:ind w:left="850" w:firstLine="4"/>
        <w:rPr>
          <w:spacing w:val="-3"/>
          <w:sz w:val="24"/>
        </w:rPr>
      </w:pPr>
      <w:r>
        <w:rPr>
          <w:spacing w:val="-3"/>
          <w:sz w:val="24"/>
        </w:rPr>
        <w:t>Målbare serum koncentrationer kan i sjældne tilfælde forekomme hos patienter med aktiv C. difficile-induceret pseudomembranøs colitis og, i tilfælde af nedsat nyrefunktion, er der risiko for akkumulering.</w:t>
      </w:r>
    </w:p>
    <w:p w14:paraId="6A67624F" w14:textId="77777777" w:rsidR="00735CE3" w:rsidRDefault="00735CE3" w:rsidP="00735CE3">
      <w:pPr>
        <w:tabs>
          <w:tab w:val="left" w:pos="0"/>
          <w:tab w:val="left" w:pos="851"/>
        </w:tabs>
        <w:ind w:left="850" w:firstLine="4"/>
        <w:rPr>
          <w:spacing w:val="-3"/>
          <w:sz w:val="24"/>
        </w:rPr>
      </w:pPr>
    </w:p>
    <w:p w14:paraId="1B33666A" w14:textId="77777777" w:rsidR="00735CE3" w:rsidRDefault="00735CE3" w:rsidP="00735CE3">
      <w:pPr>
        <w:tabs>
          <w:tab w:val="left" w:pos="0"/>
          <w:tab w:val="left" w:pos="851"/>
        </w:tabs>
        <w:ind w:left="850" w:firstLine="4"/>
        <w:rPr>
          <w:spacing w:val="-3"/>
          <w:sz w:val="24"/>
        </w:rPr>
      </w:pPr>
      <w:r>
        <w:rPr>
          <w:spacing w:val="-3"/>
          <w:sz w:val="24"/>
        </w:rPr>
        <w:t>Ved administration af vancomycin, oral opløsning 2 g dagligt i 16 dage til anuriske patienter uden samtidig inflammatorisk tarmsygdom, sås målbare serumværdier på &gt;0,66 mikrogram/ml hos 2 ud af 5 patienter. Hos patienter med normal nyrefunktion som havde pseudomembranøs colitis blev der ved doser på 2 g dagligt målt koncentrationer på &gt;3,100 mg/kg i fæces og værdier på &lt;1 mikrogram/ml i serum.</w:t>
      </w:r>
    </w:p>
    <w:p w14:paraId="1DECB1B3" w14:textId="77777777" w:rsidR="00735CE3" w:rsidRDefault="00735CE3" w:rsidP="00735CE3">
      <w:pPr>
        <w:tabs>
          <w:tab w:val="left" w:pos="0"/>
          <w:tab w:val="left" w:pos="851"/>
        </w:tabs>
        <w:ind w:left="850" w:hanging="850"/>
        <w:rPr>
          <w:spacing w:val="-3"/>
          <w:sz w:val="24"/>
        </w:rPr>
      </w:pPr>
    </w:p>
    <w:p w14:paraId="1C69D48E" w14:textId="77777777" w:rsidR="000D3FF9" w:rsidRDefault="000D3FF9" w:rsidP="000D3FF9">
      <w:pPr>
        <w:tabs>
          <w:tab w:val="left" w:pos="851"/>
        </w:tabs>
        <w:ind w:left="851" w:hanging="851"/>
        <w:rPr>
          <w:b/>
          <w:sz w:val="24"/>
          <w:szCs w:val="24"/>
        </w:rPr>
      </w:pPr>
      <w:r>
        <w:rPr>
          <w:b/>
          <w:sz w:val="24"/>
          <w:szCs w:val="24"/>
        </w:rPr>
        <w:t>5.3</w:t>
      </w:r>
      <w:r>
        <w:rPr>
          <w:b/>
          <w:sz w:val="24"/>
          <w:szCs w:val="24"/>
        </w:rPr>
        <w:tab/>
        <w:t>Prækliniske sikkerhedsdata</w:t>
      </w:r>
    </w:p>
    <w:p w14:paraId="230C0BBA" w14:textId="77777777" w:rsidR="00735CE3" w:rsidRDefault="00735CE3" w:rsidP="00735CE3">
      <w:pPr>
        <w:tabs>
          <w:tab w:val="left" w:pos="0"/>
          <w:tab w:val="left" w:pos="851"/>
        </w:tabs>
        <w:ind w:left="850" w:hanging="850"/>
        <w:rPr>
          <w:spacing w:val="-3"/>
          <w:sz w:val="24"/>
        </w:rPr>
      </w:pPr>
      <w:r>
        <w:rPr>
          <w:spacing w:val="-3"/>
          <w:sz w:val="24"/>
        </w:rPr>
        <w:tab/>
        <w:t>Tilgængelige data fra reproduktionsstudier har ikke påvist teratogen effekt af vancomycin.</w:t>
      </w:r>
    </w:p>
    <w:p w14:paraId="202AA4A1" w14:textId="77777777" w:rsidR="005B6297" w:rsidRDefault="005B6297" w:rsidP="00735CE3">
      <w:pPr>
        <w:tabs>
          <w:tab w:val="left" w:pos="0"/>
          <w:tab w:val="left" w:pos="851"/>
        </w:tabs>
        <w:ind w:left="850" w:hanging="850"/>
        <w:rPr>
          <w:spacing w:val="-3"/>
          <w:sz w:val="24"/>
        </w:rPr>
      </w:pPr>
    </w:p>
    <w:p w14:paraId="1EFA87F6" w14:textId="77777777" w:rsidR="00735CE3" w:rsidRDefault="005B6297" w:rsidP="00735CE3">
      <w:pPr>
        <w:tabs>
          <w:tab w:val="left" w:pos="0"/>
          <w:tab w:val="left" w:pos="851"/>
        </w:tabs>
        <w:ind w:left="850" w:hanging="850"/>
        <w:rPr>
          <w:spacing w:val="-3"/>
          <w:sz w:val="24"/>
        </w:rPr>
      </w:pPr>
      <w:r>
        <w:rPr>
          <w:spacing w:val="-3"/>
          <w:sz w:val="24"/>
        </w:rPr>
        <w:tab/>
      </w:r>
      <w:r w:rsidR="00735CE3">
        <w:rPr>
          <w:spacing w:val="-3"/>
          <w:sz w:val="24"/>
        </w:rPr>
        <w:t>Mutagent og carcinogent potentiale: Kun begrænsede tests er udført vedrørende den mutagene effekt af vancomycin. Ingen mutagen effekt er fundet i disse undersøgelser. I teratogenicitetsforsøg, hvor rotter og kaniner fik doser, der omtrent svarer til dosis til mennesker baseret på kropsoverfladen (mg/m</w:t>
      </w:r>
      <w:r w:rsidR="00735CE3">
        <w:rPr>
          <w:spacing w:val="-3"/>
          <w:sz w:val="24"/>
          <w:vertAlign w:val="superscript"/>
        </w:rPr>
        <w:t>2</w:t>
      </w:r>
      <w:r w:rsidR="00735CE3">
        <w:rPr>
          <w:spacing w:val="-3"/>
          <w:sz w:val="24"/>
        </w:rPr>
        <w:t>), blev der ikke observeret direkte eller indirekte teratogene effekter.</w:t>
      </w:r>
    </w:p>
    <w:p w14:paraId="0C3EA92F" w14:textId="77777777" w:rsidR="00735CE3" w:rsidRDefault="00735CE3" w:rsidP="00735CE3">
      <w:pPr>
        <w:tabs>
          <w:tab w:val="left" w:pos="0"/>
          <w:tab w:val="left" w:pos="851"/>
        </w:tabs>
        <w:ind w:left="850" w:hanging="850"/>
        <w:rPr>
          <w:spacing w:val="-3"/>
          <w:sz w:val="24"/>
        </w:rPr>
      </w:pPr>
    </w:p>
    <w:p w14:paraId="5AED281F" w14:textId="77777777" w:rsidR="00735CE3" w:rsidRDefault="00735CE3" w:rsidP="00735CE3">
      <w:pPr>
        <w:tabs>
          <w:tab w:val="left" w:pos="0"/>
          <w:tab w:val="left" w:pos="851"/>
        </w:tabs>
        <w:ind w:left="850" w:hanging="850"/>
        <w:rPr>
          <w:spacing w:val="-3"/>
          <w:sz w:val="24"/>
        </w:rPr>
      </w:pPr>
      <w:r>
        <w:rPr>
          <w:spacing w:val="-3"/>
          <w:sz w:val="24"/>
        </w:rPr>
        <w:tab/>
        <w:t>Fertilitetsundersøgelser og langsigtede undersøgelser hos dyr med hensyn til at evaluere carcinogent potentiale er ikke tilgængelige</w:t>
      </w:r>
    </w:p>
    <w:p w14:paraId="57290201" w14:textId="77777777" w:rsidR="00735CE3" w:rsidRDefault="00735CE3" w:rsidP="00735CE3">
      <w:pPr>
        <w:tabs>
          <w:tab w:val="left" w:pos="0"/>
          <w:tab w:val="left" w:pos="851"/>
        </w:tabs>
        <w:ind w:left="850" w:hanging="850"/>
        <w:rPr>
          <w:spacing w:val="-3"/>
          <w:sz w:val="24"/>
        </w:rPr>
      </w:pPr>
    </w:p>
    <w:p w14:paraId="5B3ECAE9" w14:textId="77777777" w:rsidR="00C158E7" w:rsidRDefault="00C158E7">
      <w:pPr>
        <w:rPr>
          <w:spacing w:val="-3"/>
          <w:sz w:val="24"/>
        </w:rPr>
      </w:pPr>
      <w:r>
        <w:rPr>
          <w:spacing w:val="-3"/>
          <w:sz w:val="24"/>
        </w:rPr>
        <w:br w:type="page"/>
      </w:r>
    </w:p>
    <w:p w14:paraId="12FB31BA" w14:textId="77777777" w:rsidR="00735CE3" w:rsidRDefault="00735CE3" w:rsidP="00735CE3">
      <w:pPr>
        <w:tabs>
          <w:tab w:val="left" w:pos="0"/>
          <w:tab w:val="left" w:pos="851"/>
        </w:tabs>
        <w:rPr>
          <w:spacing w:val="-3"/>
          <w:sz w:val="24"/>
        </w:rPr>
      </w:pPr>
    </w:p>
    <w:p w14:paraId="49AF6152" w14:textId="77777777" w:rsidR="000D3FF9" w:rsidRDefault="000D3FF9" w:rsidP="000D3FF9">
      <w:pPr>
        <w:tabs>
          <w:tab w:val="left" w:pos="851"/>
        </w:tabs>
        <w:ind w:left="851" w:hanging="851"/>
        <w:rPr>
          <w:b/>
          <w:sz w:val="24"/>
          <w:szCs w:val="24"/>
        </w:rPr>
      </w:pPr>
      <w:r>
        <w:rPr>
          <w:b/>
          <w:sz w:val="24"/>
          <w:szCs w:val="24"/>
        </w:rPr>
        <w:t>6.</w:t>
      </w:r>
      <w:r>
        <w:rPr>
          <w:b/>
          <w:sz w:val="24"/>
          <w:szCs w:val="24"/>
        </w:rPr>
        <w:tab/>
        <w:t>FARMACEUTISKE OPLYSNINGER</w:t>
      </w:r>
    </w:p>
    <w:p w14:paraId="68355BD5" w14:textId="77777777" w:rsidR="00735CE3" w:rsidRDefault="00735CE3" w:rsidP="00735CE3">
      <w:pPr>
        <w:tabs>
          <w:tab w:val="left" w:pos="0"/>
          <w:tab w:val="left" w:pos="851"/>
        </w:tabs>
        <w:rPr>
          <w:spacing w:val="-3"/>
          <w:sz w:val="24"/>
        </w:rPr>
      </w:pPr>
    </w:p>
    <w:p w14:paraId="6210DA6F" w14:textId="77777777" w:rsidR="000D3FF9" w:rsidRDefault="000D3FF9" w:rsidP="000D3FF9">
      <w:pPr>
        <w:tabs>
          <w:tab w:val="left" w:pos="851"/>
        </w:tabs>
        <w:ind w:left="851" w:hanging="851"/>
        <w:rPr>
          <w:b/>
          <w:sz w:val="24"/>
          <w:szCs w:val="24"/>
        </w:rPr>
      </w:pPr>
      <w:r>
        <w:rPr>
          <w:b/>
          <w:sz w:val="24"/>
          <w:szCs w:val="24"/>
        </w:rPr>
        <w:t>6.1</w:t>
      </w:r>
      <w:r>
        <w:rPr>
          <w:b/>
          <w:sz w:val="24"/>
          <w:szCs w:val="24"/>
        </w:rPr>
        <w:tab/>
        <w:t>Hjælpestoffer</w:t>
      </w:r>
    </w:p>
    <w:p w14:paraId="3B98CF48" w14:textId="77777777" w:rsidR="00735CE3" w:rsidRPr="00731C80" w:rsidRDefault="00735CE3" w:rsidP="00735CE3">
      <w:pPr>
        <w:tabs>
          <w:tab w:val="left" w:pos="0"/>
          <w:tab w:val="left" w:pos="851"/>
        </w:tabs>
        <w:ind w:left="850" w:hanging="850"/>
        <w:rPr>
          <w:spacing w:val="-3"/>
          <w:sz w:val="24"/>
        </w:rPr>
      </w:pPr>
      <w:r>
        <w:rPr>
          <w:spacing w:val="-3"/>
          <w:sz w:val="24"/>
        </w:rPr>
        <w:tab/>
      </w:r>
      <w:r w:rsidRPr="00731C80">
        <w:rPr>
          <w:spacing w:val="-3"/>
          <w:sz w:val="24"/>
        </w:rPr>
        <w:t xml:space="preserve">Macrogol 6000. Gelatine. (Kapsler 125 mg og 250 mg). </w:t>
      </w:r>
    </w:p>
    <w:p w14:paraId="7054D9C4" w14:textId="77777777" w:rsidR="00735CE3" w:rsidRPr="00731C80" w:rsidRDefault="00735CE3" w:rsidP="00735CE3">
      <w:pPr>
        <w:tabs>
          <w:tab w:val="left" w:pos="0"/>
          <w:tab w:val="left" w:pos="851"/>
        </w:tabs>
        <w:rPr>
          <w:spacing w:val="-3"/>
          <w:sz w:val="24"/>
        </w:rPr>
      </w:pPr>
    </w:p>
    <w:p w14:paraId="02332187" w14:textId="77777777" w:rsidR="00735CE3" w:rsidRPr="00731C80" w:rsidRDefault="00735CE3" w:rsidP="00735CE3">
      <w:pPr>
        <w:tabs>
          <w:tab w:val="left" w:pos="0"/>
          <w:tab w:val="left" w:pos="851"/>
        </w:tabs>
        <w:ind w:left="850" w:hanging="850"/>
        <w:rPr>
          <w:spacing w:val="-3"/>
          <w:sz w:val="24"/>
        </w:rPr>
      </w:pPr>
      <w:r w:rsidRPr="00731C80">
        <w:rPr>
          <w:spacing w:val="-3"/>
          <w:sz w:val="24"/>
        </w:rPr>
        <w:tab/>
        <w:t>Jernoxid, gul (E172); jernoxid, sort (E172); titandioxid (E 171). (Kapsler 125 mg og 250 mg).</w:t>
      </w:r>
    </w:p>
    <w:p w14:paraId="7E99EC1D" w14:textId="77777777" w:rsidR="00735CE3" w:rsidRPr="00731C80" w:rsidRDefault="00735CE3" w:rsidP="00735CE3">
      <w:pPr>
        <w:tabs>
          <w:tab w:val="left" w:pos="0"/>
          <w:tab w:val="left" w:pos="851"/>
        </w:tabs>
        <w:rPr>
          <w:spacing w:val="-3"/>
          <w:sz w:val="24"/>
        </w:rPr>
      </w:pPr>
    </w:p>
    <w:p w14:paraId="72041DF4" w14:textId="77777777" w:rsidR="00735CE3" w:rsidRPr="00731C80" w:rsidRDefault="00735CE3" w:rsidP="00735CE3">
      <w:pPr>
        <w:tabs>
          <w:tab w:val="left" w:pos="0"/>
          <w:tab w:val="left" w:pos="851"/>
        </w:tabs>
        <w:ind w:left="850" w:hanging="850"/>
        <w:rPr>
          <w:spacing w:val="-3"/>
          <w:sz w:val="24"/>
        </w:rPr>
      </w:pPr>
      <w:r w:rsidRPr="00731C80">
        <w:rPr>
          <w:spacing w:val="-3"/>
          <w:sz w:val="24"/>
        </w:rPr>
        <w:tab/>
        <w:t>Indigotin (E 132). (Kapsler 250 mg).</w:t>
      </w:r>
    </w:p>
    <w:p w14:paraId="22FE0F81" w14:textId="77777777" w:rsidR="00735CE3" w:rsidRPr="00731C80" w:rsidRDefault="00735CE3" w:rsidP="00735CE3">
      <w:pPr>
        <w:tabs>
          <w:tab w:val="left" w:pos="0"/>
          <w:tab w:val="left" w:pos="851"/>
        </w:tabs>
        <w:ind w:left="850" w:hanging="850"/>
        <w:rPr>
          <w:spacing w:val="-3"/>
          <w:sz w:val="24"/>
        </w:rPr>
      </w:pPr>
    </w:p>
    <w:p w14:paraId="07A59711" w14:textId="77777777" w:rsidR="00735CE3" w:rsidRPr="00731C80" w:rsidRDefault="00735CE3" w:rsidP="00735CE3">
      <w:pPr>
        <w:tabs>
          <w:tab w:val="left" w:pos="0"/>
          <w:tab w:val="left" w:pos="851"/>
        </w:tabs>
        <w:ind w:left="850" w:hanging="850"/>
        <w:rPr>
          <w:spacing w:val="-3"/>
          <w:sz w:val="24"/>
        </w:rPr>
      </w:pPr>
      <w:r w:rsidRPr="00731C80">
        <w:rPr>
          <w:spacing w:val="-3"/>
          <w:sz w:val="24"/>
        </w:rPr>
        <w:tab/>
        <w:t>Blæk anvendt på 125 mg kapsler: Shellac; propylenglycol; koncentreret ammoniakopløsning; kaliumhydroxid; jernoxid, sort (E172).</w:t>
      </w:r>
    </w:p>
    <w:p w14:paraId="76A11A6C" w14:textId="77777777" w:rsidR="00735CE3" w:rsidRPr="00731C80" w:rsidRDefault="00735CE3" w:rsidP="00735CE3">
      <w:pPr>
        <w:tabs>
          <w:tab w:val="left" w:pos="0"/>
          <w:tab w:val="left" w:pos="851"/>
        </w:tabs>
        <w:ind w:left="850" w:hanging="850"/>
        <w:rPr>
          <w:spacing w:val="-3"/>
          <w:sz w:val="24"/>
        </w:rPr>
      </w:pPr>
    </w:p>
    <w:p w14:paraId="1D7FAABB" w14:textId="77777777" w:rsidR="00735CE3" w:rsidRPr="00731C80" w:rsidRDefault="00735CE3" w:rsidP="00735CE3">
      <w:pPr>
        <w:tabs>
          <w:tab w:val="left" w:pos="0"/>
          <w:tab w:val="left" w:pos="851"/>
        </w:tabs>
        <w:ind w:left="850" w:hanging="850"/>
        <w:rPr>
          <w:spacing w:val="-3"/>
          <w:sz w:val="24"/>
        </w:rPr>
      </w:pPr>
      <w:r w:rsidRPr="00731C80">
        <w:rPr>
          <w:spacing w:val="-3"/>
          <w:sz w:val="24"/>
        </w:rPr>
        <w:tab/>
        <w:t>Blæk anvendt på 250 mg kapsler; Shellac; propylenglycol; natriumhydroxid; povidon; titandioxid (E171).</w:t>
      </w:r>
    </w:p>
    <w:p w14:paraId="45C58766" w14:textId="77777777" w:rsidR="00735CE3" w:rsidRDefault="00735CE3" w:rsidP="00735CE3">
      <w:pPr>
        <w:tabs>
          <w:tab w:val="left" w:pos="0"/>
          <w:tab w:val="left" w:pos="851"/>
        </w:tabs>
        <w:ind w:left="850" w:hanging="850"/>
        <w:rPr>
          <w:spacing w:val="-3"/>
          <w:sz w:val="24"/>
        </w:rPr>
      </w:pPr>
    </w:p>
    <w:p w14:paraId="45E82820" w14:textId="77777777" w:rsidR="00213B2F" w:rsidRDefault="00213B2F" w:rsidP="00213B2F">
      <w:pPr>
        <w:tabs>
          <w:tab w:val="left" w:pos="851"/>
        </w:tabs>
        <w:ind w:left="851" w:hanging="851"/>
        <w:rPr>
          <w:b/>
          <w:sz w:val="24"/>
          <w:szCs w:val="24"/>
        </w:rPr>
      </w:pPr>
      <w:r>
        <w:rPr>
          <w:b/>
          <w:sz w:val="24"/>
          <w:szCs w:val="24"/>
        </w:rPr>
        <w:t>6.2</w:t>
      </w:r>
      <w:r>
        <w:rPr>
          <w:b/>
          <w:sz w:val="24"/>
          <w:szCs w:val="24"/>
        </w:rPr>
        <w:tab/>
        <w:t>Uforligeligheder</w:t>
      </w:r>
    </w:p>
    <w:p w14:paraId="765825D1" w14:textId="77777777" w:rsidR="00735CE3" w:rsidRDefault="00735CE3" w:rsidP="00735CE3">
      <w:pPr>
        <w:tabs>
          <w:tab w:val="left" w:pos="0"/>
          <w:tab w:val="left" w:pos="851"/>
        </w:tabs>
        <w:ind w:left="850" w:hanging="850"/>
        <w:jc w:val="both"/>
        <w:rPr>
          <w:spacing w:val="-3"/>
          <w:sz w:val="24"/>
        </w:rPr>
      </w:pPr>
      <w:r>
        <w:rPr>
          <w:spacing w:val="-3"/>
          <w:sz w:val="24"/>
        </w:rPr>
        <w:tab/>
        <w:t>Ikke relevant.</w:t>
      </w:r>
    </w:p>
    <w:p w14:paraId="2EAFCD18" w14:textId="77777777" w:rsidR="00735CE3" w:rsidRDefault="00735CE3" w:rsidP="00735CE3">
      <w:pPr>
        <w:tabs>
          <w:tab w:val="left" w:pos="0"/>
          <w:tab w:val="left" w:pos="851"/>
        </w:tabs>
        <w:ind w:left="850" w:hanging="850"/>
        <w:jc w:val="both"/>
        <w:rPr>
          <w:spacing w:val="-3"/>
          <w:sz w:val="24"/>
        </w:rPr>
      </w:pPr>
    </w:p>
    <w:p w14:paraId="295BE976" w14:textId="77777777" w:rsidR="00213B2F" w:rsidRDefault="00213B2F" w:rsidP="00213B2F">
      <w:pPr>
        <w:tabs>
          <w:tab w:val="left" w:pos="851"/>
        </w:tabs>
        <w:ind w:left="851" w:hanging="851"/>
        <w:rPr>
          <w:b/>
          <w:sz w:val="24"/>
          <w:szCs w:val="24"/>
        </w:rPr>
      </w:pPr>
      <w:r>
        <w:rPr>
          <w:b/>
          <w:sz w:val="24"/>
          <w:szCs w:val="24"/>
        </w:rPr>
        <w:t>6.3</w:t>
      </w:r>
      <w:r>
        <w:rPr>
          <w:b/>
          <w:sz w:val="24"/>
          <w:szCs w:val="24"/>
        </w:rPr>
        <w:tab/>
        <w:t>Opbevaringstid</w:t>
      </w:r>
    </w:p>
    <w:p w14:paraId="4618223E" w14:textId="77777777" w:rsidR="00735CE3" w:rsidRDefault="00735CE3" w:rsidP="00735CE3">
      <w:pPr>
        <w:tabs>
          <w:tab w:val="left" w:pos="0"/>
          <w:tab w:val="left" w:pos="851"/>
        </w:tabs>
        <w:ind w:left="850" w:hanging="850"/>
        <w:jc w:val="both"/>
        <w:rPr>
          <w:spacing w:val="-3"/>
          <w:sz w:val="24"/>
        </w:rPr>
      </w:pPr>
      <w:r>
        <w:rPr>
          <w:spacing w:val="-3"/>
          <w:sz w:val="24"/>
        </w:rPr>
        <w:tab/>
        <w:t>2 år.</w:t>
      </w:r>
    </w:p>
    <w:p w14:paraId="26E67E37" w14:textId="77777777" w:rsidR="00735CE3" w:rsidRDefault="00735CE3" w:rsidP="00735CE3">
      <w:pPr>
        <w:tabs>
          <w:tab w:val="left" w:pos="0"/>
          <w:tab w:val="left" w:pos="851"/>
        </w:tabs>
        <w:jc w:val="both"/>
        <w:rPr>
          <w:spacing w:val="-3"/>
          <w:sz w:val="24"/>
        </w:rPr>
      </w:pPr>
    </w:p>
    <w:p w14:paraId="7384C7B6" w14:textId="77777777" w:rsidR="00213B2F" w:rsidRDefault="00213B2F" w:rsidP="00213B2F">
      <w:pPr>
        <w:tabs>
          <w:tab w:val="left" w:pos="851"/>
        </w:tabs>
        <w:ind w:left="851" w:hanging="851"/>
        <w:rPr>
          <w:b/>
          <w:sz w:val="24"/>
          <w:szCs w:val="24"/>
        </w:rPr>
      </w:pPr>
      <w:r>
        <w:rPr>
          <w:b/>
          <w:sz w:val="24"/>
          <w:szCs w:val="24"/>
        </w:rPr>
        <w:t>6.4</w:t>
      </w:r>
      <w:r>
        <w:rPr>
          <w:b/>
          <w:sz w:val="24"/>
          <w:szCs w:val="24"/>
        </w:rPr>
        <w:tab/>
        <w:t>Særlige opbevaringsforhold</w:t>
      </w:r>
    </w:p>
    <w:p w14:paraId="47EE991D" w14:textId="77777777" w:rsidR="00735CE3" w:rsidRDefault="00735CE3" w:rsidP="00735CE3">
      <w:pPr>
        <w:tabs>
          <w:tab w:val="left" w:pos="0"/>
          <w:tab w:val="left" w:pos="851"/>
        </w:tabs>
        <w:ind w:left="850" w:hanging="850"/>
        <w:jc w:val="both"/>
        <w:rPr>
          <w:spacing w:val="-3"/>
          <w:sz w:val="24"/>
        </w:rPr>
      </w:pPr>
      <w:r>
        <w:rPr>
          <w:spacing w:val="-3"/>
          <w:sz w:val="24"/>
        </w:rPr>
        <w:tab/>
        <w:t>Ingen.</w:t>
      </w:r>
    </w:p>
    <w:p w14:paraId="2774BB16" w14:textId="77777777" w:rsidR="00735CE3" w:rsidRDefault="00735CE3" w:rsidP="00735CE3">
      <w:pPr>
        <w:tabs>
          <w:tab w:val="left" w:pos="0"/>
          <w:tab w:val="left" w:pos="851"/>
        </w:tabs>
        <w:jc w:val="both"/>
        <w:rPr>
          <w:spacing w:val="-3"/>
          <w:sz w:val="24"/>
        </w:rPr>
      </w:pPr>
    </w:p>
    <w:p w14:paraId="443A14C2" w14:textId="77777777" w:rsidR="00213B2F" w:rsidRDefault="00213B2F" w:rsidP="00213B2F">
      <w:pPr>
        <w:tabs>
          <w:tab w:val="left" w:pos="851"/>
        </w:tabs>
        <w:ind w:left="851" w:hanging="851"/>
        <w:rPr>
          <w:b/>
          <w:sz w:val="24"/>
          <w:szCs w:val="24"/>
        </w:rPr>
      </w:pPr>
      <w:r>
        <w:rPr>
          <w:b/>
          <w:sz w:val="24"/>
          <w:szCs w:val="24"/>
        </w:rPr>
        <w:t>6.5</w:t>
      </w:r>
      <w:r>
        <w:rPr>
          <w:b/>
          <w:sz w:val="24"/>
          <w:szCs w:val="24"/>
        </w:rPr>
        <w:tab/>
        <w:t>Emballagetyper og pakningsstørrelser</w:t>
      </w:r>
    </w:p>
    <w:p w14:paraId="033B212F" w14:textId="77777777" w:rsidR="00735CE3" w:rsidRDefault="00735CE3" w:rsidP="00735CE3">
      <w:pPr>
        <w:tabs>
          <w:tab w:val="left" w:pos="0"/>
          <w:tab w:val="left" w:pos="851"/>
        </w:tabs>
        <w:ind w:left="850" w:hanging="850"/>
        <w:jc w:val="both"/>
        <w:rPr>
          <w:spacing w:val="-3"/>
          <w:sz w:val="24"/>
        </w:rPr>
      </w:pPr>
      <w:r>
        <w:rPr>
          <w:spacing w:val="-3"/>
          <w:sz w:val="24"/>
        </w:rPr>
        <w:tab/>
        <w:t>Blisterpakning.</w:t>
      </w:r>
    </w:p>
    <w:p w14:paraId="0E74BF3A" w14:textId="77777777" w:rsidR="00735CE3" w:rsidRDefault="00735CE3" w:rsidP="00735CE3">
      <w:pPr>
        <w:tabs>
          <w:tab w:val="left" w:pos="0"/>
          <w:tab w:val="left" w:pos="851"/>
        </w:tabs>
        <w:ind w:left="850" w:hanging="850"/>
        <w:jc w:val="both"/>
        <w:rPr>
          <w:spacing w:val="-3"/>
          <w:sz w:val="24"/>
        </w:rPr>
      </w:pPr>
    </w:p>
    <w:p w14:paraId="2FD8BB90" w14:textId="77777777" w:rsidR="00213B2F" w:rsidRDefault="00213B2F" w:rsidP="00213B2F">
      <w:pPr>
        <w:tabs>
          <w:tab w:val="left" w:pos="851"/>
        </w:tabs>
        <w:ind w:left="851" w:hanging="851"/>
        <w:rPr>
          <w:b/>
          <w:sz w:val="24"/>
          <w:szCs w:val="24"/>
        </w:rPr>
      </w:pPr>
      <w:r>
        <w:rPr>
          <w:b/>
          <w:sz w:val="24"/>
          <w:szCs w:val="24"/>
        </w:rPr>
        <w:t>6.6</w:t>
      </w:r>
      <w:r>
        <w:rPr>
          <w:b/>
          <w:sz w:val="24"/>
          <w:szCs w:val="24"/>
        </w:rPr>
        <w:tab/>
        <w:t>Regler for destruktion og anden håndtering</w:t>
      </w:r>
    </w:p>
    <w:p w14:paraId="28A0433A" w14:textId="77777777" w:rsidR="00735CE3" w:rsidRDefault="00735CE3" w:rsidP="00735CE3">
      <w:pPr>
        <w:tabs>
          <w:tab w:val="left" w:pos="0"/>
          <w:tab w:val="left" w:pos="851"/>
        </w:tabs>
        <w:ind w:left="850" w:hanging="850"/>
        <w:jc w:val="both"/>
        <w:rPr>
          <w:spacing w:val="-3"/>
          <w:sz w:val="24"/>
        </w:rPr>
      </w:pPr>
      <w:r>
        <w:rPr>
          <w:spacing w:val="-3"/>
          <w:sz w:val="24"/>
        </w:rPr>
        <w:tab/>
        <w:t>Ingen særlige forholdsregler.</w:t>
      </w:r>
    </w:p>
    <w:p w14:paraId="273FDF97" w14:textId="77777777" w:rsidR="00735CE3" w:rsidRPr="005B6297" w:rsidRDefault="00735CE3" w:rsidP="005B6297">
      <w:pPr>
        <w:tabs>
          <w:tab w:val="left" w:pos="0"/>
          <w:tab w:val="left" w:pos="851"/>
        </w:tabs>
        <w:ind w:left="850" w:hanging="850"/>
        <w:rPr>
          <w:spacing w:val="-3"/>
          <w:sz w:val="24"/>
        </w:rPr>
      </w:pPr>
    </w:p>
    <w:p w14:paraId="58715D53" w14:textId="77777777" w:rsidR="00213B2F" w:rsidRDefault="00213B2F" w:rsidP="00213B2F">
      <w:pPr>
        <w:tabs>
          <w:tab w:val="left" w:pos="851"/>
        </w:tabs>
        <w:ind w:left="851" w:hanging="851"/>
        <w:rPr>
          <w:b/>
          <w:sz w:val="24"/>
          <w:szCs w:val="24"/>
        </w:rPr>
      </w:pPr>
      <w:r>
        <w:rPr>
          <w:b/>
          <w:sz w:val="24"/>
          <w:szCs w:val="24"/>
        </w:rPr>
        <w:t>7.</w:t>
      </w:r>
      <w:r>
        <w:rPr>
          <w:b/>
          <w:sz w:val="24"/>
          <w:szCs w:val="24"/>
        </w:rPr>
        <w:tab/>
        <w:t>INDEHAVER AF MARKEDSFØRINGSTILLADELSEN</w:t>
      </w:r>
    </w:p>
    <w:p w14:paraId="10161F35" w14:textId="77777777" w:rsidR="00735CE3" w:rsidRPr="00711786" w:rsidRDefault="00735CE3" w:rsidP="00735CE3">
      <w:pPr>
        <w:tabs>
          <w:tab w:val="left" w:pos="0"/>
          <w:tab w:val="left" w:pos="851"/>
        </w:tabs>
        <w:ind w:left="850" w:hanging="850"/>
        <w:jc w:val="both"/>
        <w:rPr>
          <w:spacing w:val="-3"/>
          <w:sz w:val="24"/>
        </w:rPr>
      </w:pPr>
      <w:r>
        <w:rPr>
          <w:spacing w:val="-3"/>
          <w:sz w:val="24"/>
        </w:rPr>
        <w:tab/>
      </w:r>
      <w:r w:rsidRPr="00711786">
        <w:rPr>
          <w:spacing w:val="-3"/>
          <w:sz w:val="24"/>
        </w:rPr>
        <w:t>Xellia Pharmaceuticals ApS</w:t>
      </w:r>
    </w:p>
    <w:p w14:paraId="3BB7F6DE" w14:textId="77777777" w:rsidR="00735CE3" w:rsidRPr="00B14F76" w:rsidRDefault="00735CE3" w:rsidP="00735CE3">
      <w:pPr>
        <w:tabs>
          <w:tab w:val="left" w:pos="0"/>
          <w:tab w:val="left" w:pos="851"/>
        </w:tabs>
        <w:ind w:left="850" w:hanging="850"/>
        <w:jc w:val="both"/>
        <w:rPr>
          <w:spacing w:val="-3"/>
          <w:sz w:val="24"/>
        </w:rPr>
      </w:pPr>
      <w:r>
        <w:rPr>
          <w:spacing w:val="-3"/>
          <w:sz w:val="24"/>
        </w:rPr>
        <w:tab/>
      </w:r>
      <w:r w:rsidRPr="00B14F76">
        <w:rPr>
          <w:spacing w:val="-3"/>
          <w:sz w:val="24"/>
        </w:rPr>
        <w:t>Dalslandsgade 11</w:t>
      </w:r>
    </w:p>
    <w:p w14:paraId="1B86687C" w14:textId="77777777" w:rsidR="00735CE3" w:rsidRDefault="00735CE3" w:rsidP="00735CE3">
      <w:pPr>
        <w:tabs>
          <w:tab w:val="left" w:pos="0"/>
          <w:tab w:val="left" w:pos="851"/>
        </w:tabs>
        <w:ind w:left="850" w:hanging="850"/>
        <w:jc w:val="both"/>
        <w:rPr>
          <w:spacing w:val="-3"/>
          <w:sz w:val="24"/>
        </w:rPr>
      </w:pPr>
      <w:r>
        <w:rPr>
          <w:spacing w:val="-3"/>
          <w:sz w:val="24"/>
        </w:rPr>
        <w:tab/>
        <w:t>2300 København S</w:t>
      </w:r>
    </w:p>
    <w:p w14:paraId="0E631B9E" w14:textId="77777777" w:rsidR="00735CE3" w:rsidRDefault="00735CE3" w:rsidP="005B6297">
      <w:pPr>
        <w:tabs>
          <w:tab w:val="left" w:pos="0"/>
          <w:tab w:val="left" w:pos="851"/>
        </w:tabs>
        <w:ind w:left="850" w:hanging="850"/>
        <w:rPr>
          <w:spacing w:val="-3"/>
          <w:sz w:val="24"/>
        </w:rPr>
      </w:pPr>
      <w:r>
        <w:rPr>
          <w:spacing w:val="-3"/>
          <w:sz w:val="24"/>
        </w:rPr>
        <w:tab/>
      </w:r>
    </w:p>
    <w:p w14:paraId="0B272337" w14:textId="77777777" w:rsidR="00213B2F" w:rsidRDefault="00213B2F" w:rsidP="00213B2F">
      <w:pPr>
        <w:tabs>
          <w:tab w:val="left" w:pos="851"/>
        </w:tabs>
        <w:ind w:left="851" w:hanging="851"/>
        <w:rPr>
          <w:b/>
          <w:sz w:val="24"/>
          <w:szCs w:val="24"/>
        </w:rPr>
      </w:pPr>
      <w:r>
        <w:rPr>
          <w:b/>
          <w:sz w:val="24"/>
          <w:szCs w:val="24"/>
        </w:rPr>
        <w:t>8.</w:t>
      </w:r>
      <w:r>
        <w:rPr>
          <w:b/>
          <w:sz w:val="24"/>
          <w:szCs w:val="24"/>
        </w:rPr>
        <w:tab/>
        <w:t>MARKEDSFØRINGSTILLADELSESNUMMER (NUMRE)</w:t>
      </w:r>
    </w:p>
    <w:p w14:paraId="777EABE6" w14:textId="77777777" w:rsidR="00735CE3" w:rsidRDefault="00735CE3" w:rsidP="00735CE3">
      <w:pPr>
        <w:tabs>
          <w:tab w:val="left" w:pos="0"/>
          <w:tab w:val="left" w:pos="851"/>
        </w:tabs>
        <w:ind w:left="850" w:hanging="850"/>
        <w:jc w:val="both"/>
        <w:rPr>
          <w:spacing w:val="-3"/>
          <w:sz w:val="24"/>
        </w:rPr>
      </w:pPr>
      <w:r>
        <w:rPr>
          <w:spacing w:val="-3"/>
          <w:sz w:val="24"/>
        </w:rPr>
        <w:tab/>
        <w:t xml:space="preserve">16665: 125 mg </w:t>
      </w:r>
    </w:p>
    <w:p w14:paraId="51959C3A" w14:textId="77777777" w:rsidR="00735CE3" w:rsidRDefault="00735CE3" w:rsidP="00735CE3">
      <w:pPr>
        <w:tabs>
          <w:tab w:val="left" w:pos="0"/>
          <w:tab w:val="left" w:pos="851"/>
        </w:tabs>
        <w:jc w:val="both"/>
        <w:rPr>
          <w:spacing w:val="-3"/>
          <w:sz w:val="24"/>
        </w:rPr>
      </w:pPr>
      <w:r>
        <w:rPr>
          <w:spacing w:val="-3"/>
          <w:sz w:val="24"/>
        </w:rPr>
        <w:tab/>
        <w:t>16666: 250 mg</w:t>
      </w:r>
    </w:p>
    <w:p w14:paraId="739738B4" w14:textId="77777777" w:rsidR="00735CE3" w:rsidRDefault="00735CE3" w:rsidP="00735CE3">
      <w:pPr>
        <w:tabs>
          <w:tab w:val="left" w:pos="0"/>
          <w:tab w:val="left" w:pos="851"/>
        </w:tabs>
        <w:jc w:val="both"/>
        <w:rPr>
          <w:spacing w:val="-3"/>
          <w:sz w:val="24"/>
        </w:rPr>
      </w:pPr>
    </w:p>
    <w:p w14:paraId="0B675737" w14:textId="77777777" w:rsidR="00213B2F" w:rsidRDefault="00213B2F" w:rsidP="00213B2F">
      <w:pPr>
        <w:tabs>
          <w:tab w:val="left" w:pos="851"/>
        </w:tabs>
        <w:ind w:left="851" w:hanging="851"/>
        <w:rPr>
          <w:b/>
          <w:sz w:val="24"/>
          <w:szCs w:val="24"/>
        </w:rPr>
      </w:pPr>
      <w:r>
        <w:rPr>
          <w:b/>
          <w:sz w:val="24"/>
          <w:szCs w:val="24"/>
        </w:rPr>
        <w:t>9.</w:t>
      </w:r>
      <w:r>
        <w:rPr>
          <w:b/>
          <w:sz w:val="24"/>
          <w:szCs w:val="24"/>
        </w:rPr>
        <w:tab/>
        <w:t>DATO FOR FØRSTE MARKEDSFØRINGSTILLADELSE</w:t>
      </w:r>
    </w:p>
    <w:p w14:paraId="16899C58" w14:textId="77777777" w:rsidR="00735CE3" w:rsidRDefault="00735CE3" w:rsidP="00735CE3">
      <w:pPr>
        <w:ind w:left="851" w:hanging="851"/>
        <w:rPr>
          <w:sz w:val="24"/>
        </w:rPr>
      </w:pPr>
      <w:r>
        <w:rPr>
          <w:sz w:val="24"/>
        </w:rPr>
        <w:tab/>
        <w:t>13. juni 1995</w:t>
      </w:r>
    </w:p>
    <w:p w14:paraId="383F9AC2" w14:textId="77777777" w:rsidR="00735CE3" w:rsidRDefault="00735CE3" w:rsidP="00735CE3">
      <w:pPr>
        <w:ind w:left="851" w:hanging="851"/>
        <w:rPr>
          <w:sz w:val="24"/>
        </w:rPr>
      </w:pPr>
    </w:p>
    <w:p w14:paraId="7B20E68E" w14:textId="77777777" w:rsidR="00213B2F" w:rsidRDefault="00213B2F" w:rsidP="00213B2F">
      <w:pPr>
        <w:tabs>
          <w:tab w:val="left" w:pos="851"/>
        </w:tabs>
        <w:ind w:left="851" w:hanging="851"/>
        <w:rPr>
          <w:b/>
          <w:sz w:val="24"/>
          <w:szCs w:val="24"/>
        </w:rPr>
      </w:pPr>
      <w:r>
        <w:rPr>
          <w:b/>
          <w:sz w:val="24"/>
          <w:szCs w:val="24"/>
        </w:rPr>
        <w:t>10.</w:t>
      </w:r>
      <w:r>
        <w:rPr>
          <w:b/>
          <w:sz w:val="24"/>
          <w:szCs w:val="24"/>
        </w:rPr>
        <w:tab/>
        <w:t>DATO FOR ÆNDRING AF TEKSTEN</w:t>
      </w:r>
    </w:p>
    <w:p w14:paraId="3839CCDF" w14:textId="77777777" w:rsidR="00735CE3" w:rsidRPr="00575791" w:rsidRDefault="00735CE3" w:rsidP="00735CE3">
      <w:pPr>
        <w:ind w:left="851" w:hanging="851"/>
        <w:rPr>
          <w:sz w:val="24"/>
        </w:rPr>
      </w:pPr>
      <w:r w:rsidRPr="00575791">
        <w:rPr>
          <w:sz w:val="24"/>
        </w:rPr>
        <w:tab/>
      </w:r>
      <w:r w:rsidRPr="00575791">
        <w:rPr>
          <w:spacing w:val="-3"/>
          <w:sz w:val="24"/>
        </w:rPr>
        <w:t>1. marts 2018</w:t>
      </w:r>
    </w:p>
    <w:sectPr w:rsidR="00735CE3" w:rsidRPr="00575791"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5EAB21" w14:textId="77777777" w:rsidR="00735CE3" w:rsidRDefault="00735CE3">
      <w:r>
        <w:separator/>
      </w:r>
    </w:p>
  </w:endnote>
  <w:endnote w:type="continuationSeparator" w:id="0">
    <w:p w14:paraId="4F507B9B" w14:textId="77777777" w:rsidR="00735CE3" w:rsidRDefault="00735C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19DAFE" w14:textId="77777777" w:rsidR="000259B9" w:rsidRDefault="000259B9">
    <w:pPr>
      <w:pStyle w:val="Footer"/>
      <w:pBdr>
        <w:bottom w:val="single" w:sz="6" w:space="1" w:color="auto"/>
      </w:pBdr>
    </w:pPr>
  </w:p>
  <w:p w14:paraId="22F32C26" w14:textId="77777777" w:rsidR="000259B9" w:rsidRDefault="000259B9" w:rsidP="00C42586">
    <w:pPr>
      <w:pStyle w:val="Footer"/>
      <w:tabs>
        <w:tab w:val="clear" w:pos="4819"/>
        <w:tab w:val="left" w:pos="8505"/>
      </w:tabs>
      <w:rPr>
        <w:i/>
        <w:sz w:val="18"/>
        <w:szCs w:val="18"/>
      </w:rPr>
    </w:pPr>
  </w:p>
  <w:p w14:paraId="65F17A87" w14:textId="77777777" w:rsidR="000259B9" w:rsidRPr="00B373D7" w:rsidRDefault="00782AF4" w:rsidP="00C42586">
    <w:pPr>
      <w:pStyle w:val="Footer"/>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404F9C">
      <w:rPr>
        <w:i/>
        <w:noProof/>
        <w:sz w:val="18"/>
        <w:szCs w:val="18"/>
      </w:rPr>
      <w:t>Vancomycin Xellia, hårde kapsler 125 mg og 250 mg</w:t>
    </w:r>
    <w:r w:rsidRPr="00B373D7">
      <w:rPr>
        <w:i/>
        <w:sz w:val="18"/>
        <w:szCs w:val="18"/>
      </w:rPr>
      <w:fldChar w:fldCharType="end"/>
    </w:r>
    <w:r w:rsidR="000259B9" w:rsidRPr="00B373D7">
      <w:rPr>
        <w:i/>
        <w:sz w:val="18"/>
        <w:szCs w:val="18"/>
      </w:rPr>
      <w:tab/>
      <w:t xml:space="preserve">Side </w:t>
    </w:r>
    <w:r w:rsidRPr="00B373D7">
      <w:rPr>
        <w:rStyle w:val="PageNumber"/>
        <w:i/>
        <w:sz w:val="18"/>
        <w:szCs w:val="18"/>
      </w:rPr>
      <w:fldChar w:fldCharType="begin"/>
    </w:r>
    <w:r w:rsidR="000259B9" w:rsidRPr="00B373D7">
      <w:rPr>
        <w:rStyle w:val="PageNumber"/>
        <w:i/>
        <w:sz w:val="18"/>
        <w:szCs w:val="18"/>
      </w:rPr>
      <w:instrText xml:space="preserve"> PAGE </w:instrText>
    </w:r>
    <w:r w:rsidRPr="00B373D7">
      <w:rPr>
        <w:rStyle w:val="PageNumber"/>
        <w:i/>
        <w:sz w:val="18"/>
        <w:szCs w:val="18"/>
      </w:rPr>
      <w:fldChar w:fldCharType="separate"/>
    </w:r>
    <w:r w:rsidR="00C60CCD">
      <w:rPr>
        <w:rStyle w:val="PageNumber"/>
        <w:i/>
        <w:noProof/>
        <w:sz w:val="18"/>
        <w:szCs w:val="18"/>
      </w:rPr>
      <w:t>3</w:t>
    </w:r>
    <w:r w:rsidRPr="00B373D7">
      <w:rPr>
        <w:rStyle w:val="PageNumber"/>
        <w:i/>
        <w:sz w:val="18"/>
        <w:szCs w:val="18"/>
      </w:rPr>
      <w:fldChar w:fldCharType="end"/>
    </w:r>
    <w:r w:rsidR="000259B9" w:rsidRPr="00B373D7">
      <w:rPr>
        <w:rStyle w:val="PageNumber"/>
        <w:i/>
        <w:sz w:val="18"/>
        <w:szCs w:val="18"/>
      </w:rPr>
      <w:t xml:space="preserve"> af </w:t>
    </w:r>
    <w:r w:rsidRPr="00B373D7">
      <w:rPr>
        <w:rStyle w:val="PageNumber"/>
        <w:i/>
        <w:sz w:val="18"/>
        <w:szCs w:val="18"/>
      </w:rPr>
      <w:fldChar w:fldCharType="begin"/>
    </w:r>
    <w:r w:rsidR="000259B9" w:rsidRPr="00B373D7">
      <w:rPr>
        <w:rStyle w:val="PageNumber"/>
        <w:i/>
        <w:sz w:val="18"/>
        <w:szCs w:val="18"/>
      </w:rPr>
      <w:instrText xml:space="preserve"> NUMPAGES </w:instrText>
    </w:r>
    <w:r w:rsidRPr="00B373D7">
      <w:rPr>
        <w:rStyle w:val="PageNumber"/>
        <w:i/>
        <w:sz w:val="18"/>
        <w:szCs w:val="18"/>
      </w:rPr>
      <w:fldChar w:fldCharType="separate"/>
    </w:r>
    <w:r w:rsidR="00C60CCD">
      <w:rPr>
        <w:rStyle w:val="PageNumber"/>
        <w:i/>
        <w:noProof/>
        <w:sz w:val="18"/>
        <w:szCs w:val="18"/>
      </w:rPr>
      <w:t>3</w:t>
    </w:r>
    <w:r w:rsidRPr="00B373D7">
      <w:rPr>
        <w:rStyle w:val="PageNumber"/>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58F06B" w14:textId="77777777" w:rsidR="00735CE3" w:rsidRDefault="00735CE3">
      <w:r>
        <w:separator/>
      </w:r>
    </w:p>
  </w:footnote>
  <w:footnote w:type="continuationSeparator" w:id="0">
    <w:p w14:paraId="55AA1F25" w14:textId="77777777" w:rsidR="00735CE3" w:rsidRDefault="00735C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CE3"/>
    <w:rsid w:val="000259B9"/>
    <w:rsid w:val="00041491"/>
    <w:rsid w:val="00050D16"/>
    <w:rsid w:val="00074F2A"/>
    <w:rsid w:val="00094949"/>
    <w:rsid w:val="000A1CA8"/>
    <w:rsid w:val="000A466B"/>
    <w:rsid w:val="000B058C"/>
    <w:rsid w:val="000D3FF9"/>
    <w:rsid w:val="000E4EE6"/>
    <w:rsid w:val="000E70BD"/>
    <w:rsid w:val="001454E2"/>
    <w:rsid w:val="001C1A01"/>
    <w:rsid w:val="00206CE8"/>
    <w:rsid w:val="00213B2F"/>
    <w:rsid w:val="0021526C"/>
    <w:rsid w:val="00283A2B"/>
    <w:rsid w:val="002B30AD"/>
    <w:rsid w:val="002C2C01"/>
    <w:rsid w:val="003A29AE"/>
    <w:rsid w:val="003A32D7"/>
    <w:rsid w:val="003B4074"/>
    <w:rsid w:val="003C769A"/>
    <w:rsid w:val="003F1838"/>
    <w:rsid w:val="00404F9C"/>
    <w:rsid w:val="0045746C"/>
    <w:rsid w:val="0049104B"/>
    <w:rsid w:val="004E3B12"/>
    <w:rsid w:val="00532310"/>
    <w:rsid w:val="00560ECC"/>
    <w:rsid w:val="00565F0F"/>
    <w:rsid w:val="00576783"/>
    <w:rsid w:val="00594A86"/>
    <w:rsid w:val="00596D86"/>
    <w:rsid w:val="005B6297"/>
    <w:rsid w:val="00637F5A"/>
    <w:rsid w:val="00654E3F"/>
    <w:rsid w:val="006560B1"/>
    <w:rsid w:val="006756DD"/>
    <w:rsid w:val="006802AD"/>
    <w:rsid w:val="00735CE3"/>
    <w:rsid w:val="00737275"/>
    <w:rsid w:val="00740EEC"/>
    <w:rsid w:val="0078011A"/>
    <w:rsid w:val="00782AF4"/>
    <w:rsid w:val="00790EE7"/>
    <w:rsid w:val="007A7E9E"/>
    <w:rsid w:val="007B6649"/>
    <w:rsid w:val="007E02EE"/>
    <w:rsid w:val="0081546F"/>
    <w:rsid w:val="0082114D"/>
    <w:rsid w:val="00823089"/>
    <w:rsid w:val="0082576E"/>
    <w:rsid w:val="008E58C0"/>
    <w:rsid w:val="00907F75"/>
    <w:rsid w:val="009260DE"/>
    <w:rsid w:val="0093258A"/>
    <w:rsid w:val="0098661C"/>
    <w:rsid w:val="009C7BA3"/>
    <w:rsid w:val="009D1F5A"/>
    <w:rsid w:val="00B003BF"/>
    <w:rsid w:val="00B373D7"/>
    <w:rsid w:val="00B9358A"/>
    <w:rsid w:val="00C158E7"/>
    <w:rsid w:val="00C36276"/>
    <w:rsid w:val="00C42586"/>
    <w:rsid w:val="00C60CCD"/>
    <w:rsid w:val="00C84483"/>
    <w:rsid w:val="00C95551"/>
    <w:rsid w:val="00CB20D7"/>
    <w:rsid w:val="00D020B0"/>
    <w:rsid w:val="00D11748"/>
    <w:rsid w:val="00D366CF"/>
    <w:rsid w:val="00E108AA"/>
    <w:rsid w:val="00E31812"/>
    <w:rsid w:val="00E3749A"/>
    <w:rsid w:val="00E42C46"/>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49F593"/>
  <w15:chartTrackingRefBased/>
  <w15:docId w15:val="{087CE0EA-17EF-4EC8-9961-271046B64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D01"/>
    <w:rPr>
      <w:sz w:val="23"/>
      <w:lang w:eastAsia="en-US"/>
    </w:rPr>
  </w:style>
  <w:style w:type="paragraph" w:styleId="Heading1">
    <w:name w:val="heading 1"/>
    <w:basedOn w:val="Normal"/>
    <w:next w:val="Normal"/>
    <w:link w:val="Heading1Char"/>
    <w:qFormat/>
    <w:rsid w:val="00FB6D01"/>
    <w:pPr>
      <w:keepNext/>
      <w:spacing w:before="240" w:after="60"/>
      <w:outlineLvl w:val="0"/>
    </w:pPr>
    <w:rPr>
      <w:rFonts w:ascii="Arial" w:hAnsi="Arial"/>
      <w:b/>
      <w:kern w:val="28"/>
      <w:sz w:val="28"/>
    </w:rPr>
  </w:style>
  <w:style w:type="paragraph" w:styleId="Heading3">
    <w:name w:val="heading 3"/>
    <w:basedOn w:val="Normal"/>
    <w:next w:val="Normal"/>
    <w:qFormat/>
    <w:rsid w:val="00FB6D01"/>
    <w:pPr>
      <w:keepNext/>
      <w:spacing w:before="240" w:after="60"/>
      <w:outlineLvl w:val="2"/>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semiHidden/>
    <w:rsid w:val="00790EE7"/>
    <w:rPr>
      <w:sz w:val="20"/>
      <w:lang w:eastAsia="da-DK"/>
    </w:rPr>
  </w:style>
  <w:style w:type="paragraph" w:styleId="Header">
    <w:name w:val="header"/>
    <w:basedOn w:val="Normal"/>
    <w:link w:val="HeaderChar"/>
    <w:rsid w:val="00790EE7"/>
    <w:pPr>
      <w:tabs>
        <w:tab w:val="center" w:pos="4819"/>
        <w:tab w:val="right" w:pos="9638"/>
      </w:tabs>
    </w:pPr>
    <w:rPr>
      <w:sz w:val="24"/>
      <w:lang w:eastAsia="da-DK"/>
    </w:rPr>
  </w:style>
  <w:style w:type="paragraph" w:styleId="Title">
    <w:name w:val="Title"/>
    <w:basedOn w:val="Normal"/>
    <w:link w:val="TitleChar"/>
    <w:qFormat/>
    <w:rsid w:val="00790EE7"/>
    <w:pPr>
      <w:jc w:val="center"/>
    </w:pPr>
    <w:rPr>
      <w:b/>
      <w:sz w:val="24"/>
      <w:lang w:eastAsia="da-DK"/>
    </w:rPr>
  </w:style>
  <w:style w:type="character" w:styleId="CommentReference">
    <w:name w:val="annotation reference"/>
    <w:semiHidden/>
    <w:rsid w:val="00790EE7"/>
    <w:rPr>
      <w:sz w:val="16"/>
      <w:szCs w:val="16"/>
    </w:rPr>
  </w:style>
  <w:style w:type="paragraph" w:styleId="BalloonText">
    <w:name w:val="Balloon Text"/>
    <w:basedOn w:val="Normal"/>
    <w:semiHidden/>
    <w:rsid w:val="00790EE7"/>
    <w:rPr>
      <w:rFonts w:ascii="Tahoma" w:hAnsi="Tahoma" w:cs="Tahoma"/>
      <w:sz w:val="16"/>
      <w:szCs w:val="16"/>
    </w:rPr>
  </w:style>
  <w:style w:type="paragraph" w:styleId="Footer">
    <w:name w:val="footer"/>
    <w:basedOn w:val="Normal"/>
    <w:rsid w:val="00C42586"/>
    <w:pPr>
      <w:tabs>
        <w:tab w:val="center" w:pos="4819"/>
        <w:tab w:val="right" w:pos="9638"/>
      </w:tabs>
    </w:pPr>
  </w:style>
  <w:style w:type="character" w:styleId="PageNumber">
    <w:name w:val="page number"/>
    <w:basedOn w:val="DefaultParagraphFont"/>
    <w:rsid w:val="00C42586"/>
  </w:style>
  <w:style w:type="character" w:customStyle="1" w:styleId="CommentTextChar">
    <w:name w:val="Comment Text Char"/>
    <w:basedOn w:val="DefaultParagraphFont"/>
    <w:link w:val="CommentText"/>
    <w:semiHidden/>
    <w:rsid w:val="00B003BF"/>
  </w:style>
  <w:style w:type="character" w:customStyle="1" w:styleId="HeaderChar">
    <w:name w:val="Header Char"/>
    <w:link w:val="Header"/>
    <w:rsid w:val="00B003BF"/>
    <w:rPr>
      <w:sz w:val="24"/>
    </w:rPr>
  </w:style>
  <w:style w:type="character" w:customStyle="1" w:styleId="TitleChar">
    <w:name w:val="Title Char"/>
    <w:link w:val="Title"/>
    <w:rsid w:val="00B003BF"/>
    <w:rPr>
      <w:b/>
      <w:sz w:val="24"/>
    </w:rPr>
  </w:style>
  <w:style w:type="paragraph" w:styleId="CommentSubject">
    <w:name w:val="annotation subject"/>
    <w:basedOn w:val="CommentText"/>
    <w:next w:val="CommentText"/>
    <w:link w:val="CommentSubjectChar"/>
    <w:uiPriority w:val="99"/>
    <w:semiHidden/>
    <w:unhideWhenUsed/>
    <w:rsid w:val="009260DE"/>
    <w:rPr>
      <w:b/>
      <w:bCs/>
      <w:lang w:eastAsia="en-US"/>
    </w:rPr>
  </w:style>
  <w:style w:type="character" w:customStyle="1" w:styleId="CommentSubjectChar">
    <w:name w:val="Comment Subject Char"/>
    <w:basedOn w:val="CommentTextChar"/>
    <w:link w:val="CommentSubject"/>
    <w:uiPriority w:val="99"/>
    <w:semiHidden/>
    <w:rsid w:val="009260DE"/>
    <w:rPr>
      <w:b/>
      <w:bCs/>
      <w:lang w:eastAsia="en-US"/>
    </w:rPr>
  </w:style>
  <w:style w:type="paragraph" w:styleId="BodyTextIndent">
    <w:name w:val="Body Text Indent"/>
    <w:basedOn w:val="Normal"/>
    <w:link w:val="BodyTextIndentChar"/>
    <w:rsid w:val="00735CE3"/>
    <w:pPr>
      <w:ind w:left="71"/>
    </w:pPr>
    <w:rPr>
      <w:color w:val="000000"/>
      <w:lang w:eastAsia="da-DK"/>
    </w:rPr>
  </w:style>
  <w:style w:type="character" w:customStyle="1" w:styleId="BodyTextIndentChar">
    <w:name w:val="Body Text Indent Char"/>
    <w:basedOn w:val="DefaultParagraphFont"/>
    <w:link w:val="BodyTextIndent"/>
    <w:rsid w:val="00735CE3"/>
    <w:rPr>
      <w:color w:val="000000"/>
      <w:sz w:val="23"/>
    </w:rPr>
  </w:style>
  <w:style w:type="paragraph" w:customStyle="1" w:styleId="Text">
    <w:name w:val="Text"/>
    <w:basedOn w:val="Normal"/>
    <w:uiPriority w:val="99"/>
    <w:rsid w:val="00735CE3"/>
    <w:pPr>
      <w:spacing w:before="14" w:after="144" w:line="300" w:lineRule="atLeast"/>
      <w:ind w:left="720" w:right="360" w:hanging="720"/>
    </w:pPr>
    <w:rPr>
      <w:snapToGrid w:val="0"/>
      <w:color w:val="000000"/>
      <w:sz w:val="24"/>
      <w:szCs w:val="24"/>
      <w:lang w:val="en-GB"/>
    </w:rPr>
  </w:style>
  <w:style w:type="character" w:customStyle="1" w:styleId="Heading1Char">
    <w:name w:val="Heading 1 Char"/>
    <w:link w:val="Heading1"/>
    <w:rsid w:val="00735CE3"/>
    <w:rPr>
      <w:rFonts w:ascii="Arial" w:hAnsi="Arial"/>
      <w:b/>
      <w:kern w:val="28"/>
      <w:sz w:val="28"/>
      <w:lang w:eastAsia="en-US"/>
    </w:rPr>
  </w:style>
  <w:style w:type="character" w:styleId="Hyperlink">
    <w:name w:val="Hyperlink"/>
    <w:uiPriority w:val="99"/>
    <w:semiHidden/>
    <w:unhideWhenUsed/>
    <w:rsid w:val="00735CE3"/>
    <w:rPr>
      <w:color w:val="0000FF"/>
      <w:u w:val="single"/>
    </w:rPr>
  </w:style>
  <w:style w:type="paragraph" w:styleId="NormalWeb">
    <w:name w:val="Normal (Web)"/>
    <w:basedOn w:val="Normal"/>
    <w:uiPriority w:val="99"/>
    <w:semiHidden/>
    <w:unhideWhenUsed/>
    <w:rsid w:val="00735CE3"/>
    <w:pPr>
      <w:spacing w:before="45" w:after="100" w:afterAutospacing="1"/>
    </w:pPr>
    <w:rPr>
      <w:sz w:val="22"/>
      <w:szCs w:val="22"/>
      <w:lang w:eastAsia="da-DK"/>
    </w:rPr>
  </w:style>
  <w:style w:type="paragraph" w:customStyle="1" w:styleId="Default">
    <w:name w:val="Default"/>
    <w:rsid w:val="00735CE3"/>
    <w:pPr>
      <w:autoSpaceDE w:val="0"/>
      <w:autoSpaceDN w:val="0"/>
      <w:adjustRightInd w:val="0"/>
    </w:pPr>
    <w:rPr>
      <w:rFonts w:ascii="Verdana" w:hAnsi="Verdana" w:cs="Verdana"/>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560359">
      <w:bodyDiv w:val="1"/>
      <w:marLeft w:val="0"/>
      <w:marRight w:val="0"/>
      <w:marTop w:val="0"/>
      <w:marBottom w:val="0"/>
      <w:divBdr>
        <w:top w:val="none" w:sz="0" w:space="0" w:color="auto"/>
        <w:left w:val="none" w:sz="0" w:space="0" w:color="auto"/>
        <w:bottom w:val="none" w:sz="0" w:space="0" w:color="auto"/>
        <w:right w:val="none" w:sz="0" w:space="0" w:color="auto"/>
      </w:divBdr>
    </w:div>
    <w:div w:id="124584528">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77683583">
      <w:bodyDiv w:val="1"/>
      <w:marLeft w:val="0"/>
      <w:marRight w:val="0"/>
      <w:marTop w:val="0"/>
      <w:marBottom w:val="0"/>
      <w:divBdr>
        <w:top w:val="none" w:sz="0" w:space="0" w:color="auto"/>
        <w:left w:val="none" w:sz="0" w:space="0" w:color="auto"/>
        <w:bottom w:val="none" w:sz="0" w:space="0" w:color="auto"/>
        <w:right w:val="none" w:sz="0" w:space="0" w:color="auto"/>
      </w:divBdr>
    </w:div>
    <w:div w:id="282884602">
      <w:bodyDiv w:val="1"/>
      <w:marLeft w:val="0"/>
      <w:marRight w:val="0"/>
      <w:marTop w:val="0"/>
      <w:marBottom w:val="0"/>
      <w:divBdr>
        <w:top w:val="none" w:sz="0" w:space="0" w:color="auto"/>
        <w:left w:val="none" w:sz="0" w:space="0" w:color="auto"/>
        <w:bottom w:val="none" w:sz="0" w:space="0" w:color="auto"/>
        <w:right w:val="none" w:sz="0" w:space="0" w:color="auto"/>
      </w:divBdr>
    </w:div>
    <w:div w:id="304160983">
      <w:bodyDiv w:val="1"/>
      <w:marLeft w:val="0"/>
      <w:marRight w:val="0"/>
      <w:marTop w:val="0"/>
      <w:marBottom w:val="0"/>
      <w:divBdr>
        <w:top w:val="none" w:sz="0" w:space="0" w:color="auto"/>
        <w:left w:val="none" w:sz="0" w:space="0" w:color="auto"/>
        <w:bottom w:val="none" w:sz="0" w:space="0" w:color="auto"/>
        <w:right w:val="none" w:sz="0" w:space="0" w:color="auto"/>
      </w:divBdr>
    </w:div>
    <w:div w:id="357894914">
      <w:bodyDiv w:val="1"/>
      <w:marLeft w:val="0"/>
      <w:marRight w:val="0"/>
      <w:marTop w:val="0"/>
      <w:marBottom w:val="0"/>
      <w:divBdr>
        <w:top w:val="none" w:sz="0" w:space="0" w:color="auto"/>
        <w:left w:val="none" w:sz="0" w:space="0" w:color="auto"/>
        <w:bottom w:val="none" w:sz="0" w:space="0" w:color="auto"/>
        <w:right w:val="none" w:sz="0" w:space="0" w:color="auto"/>
      </w:divBdr>
    </w:div>
    <w:div w:id="386104326">
      <w:bodyDiv w:val="1"/>
      <w:marLeft w:val="0"/>
      <w:marRight w:val="0"/>
      <w:marTop w:val="0"/>
      <w:marBottom w:val="0"/>
      <w:divBdr>
        <w:top w:val="none" w:sz="0" w:space="0" w:color="auto"/>
        <w:left w:val="none" w:sz="0" w:space="0" w:color="auto"/>
        <w:bottom w:val="none" w:sz="0" w:space="0" w:color="auto"/>
        <w:right w:val="none" w:sz="0" w:space="0" w:color="auto"/>
      </w:divBdr>
    </w:div>
    <w:div w:id="429083404">
      <w:bodyDiv w:val="1"/>
      <w:marLeft w:val="0"/>
      <w:marRight w:val="0"/>
      <w:marTop w:val="0"/>
      <w:marBottom w:val="0"/>
      <w:divBdr>
        <w:top w:val="none" w:sz="0" w:space="0" w:color="auto"/>
        <w:left w:val="none" w:sz="0" w:space="0" w:color="auto"/>
        <w:bottom w:val="none" w:sz="0" w:space="0" w:color="auto"/>
        <w:right w:val="none" w:sz="0" w:space="0" w:color="auto"/>
      </w:divBdr>
    </w:div>
    <w:div w:id="508132819">
      <w:bodyDiv w:val="1"/>
      <w:marLeft w:val="0"/>
      <w:marRight w:val="0"/>
      <w:marTop w:val="0"/>
      <w:marBottom w:val="0"/>
      <w:divBdr>
        <w:top w:val="none" w:sz="0" w:space="0" w:color="auto"/>
        <w:left w:val="none" w:sz="0" w:space="0" w:color="auto"/>
        <w:bottom w:val="none" w:sz="0" w:space="0" w:color="auto"/>
        <w:right w:val="none" w:sz="0" w:space="0" w:color="auto"/>
      </w:divBdr>
    </w:div>
    <w:div w:id="531110895">
      <w:bodyDiv w:val="1"/>
      <w:marLeft w:val="0"/>
      <w:marRight w:val="0"/>
      <w:marTop w:val="0"/>
      <w:marBottom w:val="0"/>
      <w:divBdr>
        <w:top w:val="none" w:sz="0" w:space="0" w:color="auto"/>
        <w:left w:val="none" w:sz="0" w:space="0" w:color="auto"/>
        <w:bottom w:val="none" w:sz="0" w:space="0" w:color="auto"/>
        <w:right w:val="none" w:sz="0" w:space="0" w:color="auto"/>
      </w:divBdr>
    </w:div>
    <w:div w:id="566116746">
      <w:bodyDiv w:val="1"/>
      <w:marLeft w:val="0"/>
      <w:marRight w:val="0"/>
      <w:marTop w:val="0"/>
      <w:marBottom w:val="0"/>
      <w:divBdr>
        <w:top w:val="none" w:sz="0" w:space="0" w:color="auto"/>
        <w:left w:val="none" w:sz="0" w:space="0" w:color="auto"/>
        <w:bottom w:val="none" w:sz="0" w:space="0" w:color="auto"/>
        <w:right w:val="none" w:sz="0" w:space="0" w:color="auto"/>
      </w:divBdr>
    </w:div>
    <w:div w:id="652417204">
      <w:bodyDiv w:val="1"/>
      <w:marLeft w:val="0"/>
      <w:marRight w:val="0"/>
      <w:marTop w:val="0"/>
      <w:marBottom w:val="0"/>
      <w:divBdr>
        <w:top w:val="none" w:sz="0" w:space="0" w:color="auto"/>
        <w:left w:val="none" w:sz="0" w:space="0" w:color="auto"/>
        <w:bottom w:val="none" w:sz="0" w:space="0" w:color="auto"/>
        <w:right w:val="none" w:sz="0" w:space="0" w:color="auto"/>
      </w:divBdr>
    </w:div>
    <w:div w:id="761725512">
      <w:bodyDiv w:val="1"/>
      <w:marLeft w:val="0"/>
      <w:marRight w:val="0"/>
      <w:marTop w:val="0"/>
      <w:marBottom w:val="0"/>
      <w:divBdr>
        <w:top w:val="none" w:sz="0" w:space="0" w:color="auto"/>
        <w:left w:val="none" w:sz="0" w:space="0" w:color="auto"/>
        <w:bottom w:val="none" w:sz="0" w:space="0" w:color="auto"/>
        <w:right w:val="none" w:sz="0" w:space="0" w:color="auto"/>
      </w:divBdr>
    </w:div>
    <w:div w:id="851139396">
      <w:bodyDiv w:val="1"/>
      <w:marLeft w:val="0"/>
      <w:marRight w:val="0"/>
      <w:marTop w:val="0"/>
      <w:marBottom w:val="0"/>
      <w:divBdr>
        <w:top w:val="none" w:sz="0" w:space="0" w:color="auto"/>
        <w:left w:val="none" w:sz="0" w:space="0" w:color="auto"/>
        <w:bottom w:val="none" w:sz="0" w:space="0" w:color="auto"/>
        <w:right w:val="none" w:sz="0" w:space="0" w:color="auto"/>
      </w:divBdr>
    </w:div>
    <w:div w:id="1016078652">
      <w:bodyDiv w:val="1"/>
      <w:marLeft w:val="0"/>
      <w:marRight w:val="0"/>
      <w:marTop w:val="0"/>
      <w:marBottom w:val="0"/>
      <w:divBdr>
        <w:top w:val="none" w:sz="0" w:space="0" w:color="auto"/>
        <w:left w:val="none" w:sz="0" w:space="0" w:color="auto"/>
        <w:bottom w:val="none" w:sz="0" w:space="0" w:color="auto"/>
        <w:right w:val="none" w:sz="0" w:space="0" w:color="auto"/>
      </w:divBdr>
    </w:div>
    <w:div w:id="1033383070">
      <w:bodyDiv w:val="1"/>
      <w:marLeft w:val="0"/>
      <w:marRight w:val="0"/>
      <w:marTop w:val="0"/>
      <w:marBottom w:val="0"/>
      <w:divBdr>
        <w:top w:val="none" w:sz="0" w:space="0" w:color="auto"/>
        <w:left w:val="none" w:sz="0" w:space="0" w:color="auto"/>
        <w:bottom w:val="none" w:sz="0" w:space="0" w:color="auto"/>
        <w:right w:val="none" w:sz="0" w:space="0" w:color="auto"/>
      </w:divBdr>
    </w:div>
    <w:div w:id="1035542790">
      <w:bodyDiv w:val="1"/>
      <w:marLeft w:val="0"/>
      <w:marRight w:val="0"/>
      <w:marTop w:val="0"/>
      <w:marBottom w:val="0"/>
      <w:divBdr>
        <w:top w:val="none" w:sz="0" w:space="0" w:color="auto"/>
        <w:left w:val="none" w:sz="0" w:space="0" w:color="auto"/>
        <w:bottom w:val="none" w:sz="0" w:space="0" w:color="auto"/>
        <w:right w:val="none" w:sz="0" w:space="0" w:color="auto"/>
      </w:divBdr>
    </w:div>
    <w:div w:id="1048991908">
      <w:bodyDiv w:val="1"/>
      <w:marLeft w:val="0"/>
      <w:marRight w:val="0"/>
      <w:marTop w:val="0"/>
      <w:marBottom w:val="0"/>
      <w:divBdr>
        <w:top w:val="none" w:sz="0" w:space="0" w:color="auto"/>
        <w:left w:val="none" w:sz="0" w:space="0" w:color="auto"/>
        <w:bottom w:val="none" w:sz="0" w:space="0" w:color="auto"/>
        <w:right w:val="none" w:sz="0" w:space="0" w:color="auto"/>
      </w:divBdr>
    </w:div>
    <w:div w:id="1097949118">
      <w:bodyDiv w:val="1"/>
      <w:marLeft w:val="0"/>
      <w:marRight w:val="0"/>
      <w:marTop w:val="0"/>
      <w:marBottom w:val="0"/>
      <w:divBdr>
        <w:top w:val="none" w:sz="0" w:space="0" w:color="auto"/>
        <w:left w:val="none" w:sz="0" w:space="0" w:color="auto"/>
        <w:bottom w:val="none" w:sz="0" w:space="0" w:color="auto"/>
        <w:right w:val="none" w:sz="0" w:space="0" w:color="auto"/>
      </w:divBdr>
    </w:div>
    <w:div w:id="1186595765">
      <w:bodyDiv w:val="1"/>
      <w:marLeft w:val="0"/>
      <w:marRight w:val="0"/>
      <w:marTop w:val="0"/>
      <w:marBottom w:val="0"/>
      <w:divBdr>
        <w:top w:val="none" w:sz="0" w:space="0" w:color="auto"/>
        <w:left w:val="none" w:sz="0" w:space="0" w:color="auto"/>
        <w:bottom w:val="none" w:sz="0" w:space="0" w:color="auto"/>
        <w:right w:val="none" w:sz="0" w:space="0" w:color="auto"/>
      </w:divBdr>
    </w:div>
    <w:div w:id="1201630355">
      <w:bodyDiv w:val="1"/>
      <w:marLeft w:val="0"/>
      <w:marRight w:val="0"/>
      <w:marTop w:val="0"/>
      <w:marBottom w:val="0"/>
      <w:divBdr>
        <w:top w:val="none" w:sz="0" w:space="0" w:color="auto"/>
        <w:left w:val="none" w:sz="0" w:space="0" w:color="auto"/>
        <w:bottom w:val="none" w:sz="0" w:space="0" w:color="auto"/>
        <w:right w:val="none" w:sz="0" w:space="0" w:color="auto"/>
      </w:divBdr>
    </w:div>
    <w:div w:id="1237328222">
      <w:bodyDiv w:val="1"/>
      <w:marLeft w:val="0"/>
      <w:marRight w:val="0"/>
      <w:marTop w:val="0"/>
      <w:marBottom w:val="0"/>
      <w:divBdr>
        <w:top w:val="none" w:sz="0" w:space="0" w:color="auto"/>
        <w:left w:val="none" w:sz="0" w:space="0" w:color="auto"/>
        <w:bottom w:val="none" w:sz="0" w:space="0" w:color="auto"/>
        <w:right w:val="none" w:sz="0" w:space="0" w:color="auto"/>
      </w:divBdr>
    </w:div>
    <w:div w:id="1280989799">
      <w:bodyDiv w:val="1"/>
      <w:marLeft w:val="0"/>
      <w:marRight w:val="0"/>
      <w:marTop w:val="0"/>
      <w:marBottom w:val="0"/>
      <w:divBdr>
        <w:top w:val="none" w:sz="0" w:space="0" w:color="auto"/>
        <w:left w:val="none" w:sz="0" w:space="0" w:color="auto"/>
        <w:bottom w:val="none" w:sz="0" w:space="0" w:color="auto"/>
        <w:right w:val="none" w:sz="0" w:space="0" w:color="auto"/>
      </w:divBdr>
    </w:div>
    <w:div w:id="1448962177">
      <w:bodyDiv w:val="1"/>
      <w:marLeft w:val="0"/>
      <w:marRight w:val="0"/>
      <w:marTop w:val="0"/>
      <w:marBottom w:val="0"/>
      <w:divBdr>
        <w:top w:val="none" w:sz="0" w:space="0" w:color="auto"/>
        <w:left w:val="none" w:sz="0" w:space="0" w:color="auto"/>
        <w:bottom w:val="none" w:sz="0" w:space="0" w:color="auto"/>
        <w:right w:val="none" w:sz="0" w:space="0" w:color="auto"/>
      </w:divBdr>
    </w:div>
    <w:div w:id="1516193089">
      <w:bodyDiv w:val="1"/>
      <w:marLeft w:val="0"/>
      <w:marRight w:val="0"/>
      <w:marTop w:val="0"/>
      <w:marBottom w:val="0"/>
      <w:divBdr>
        <w:top w:val="none" w:sz="0" w:space="0" w:color="auto"/>
        <w:left w:val="none" w:sz="0" w:space="0" w:color="auto"/>
        <w:bottom w:val="none" w:sz="0" w:space="0" w:color="auto"/>
        <w:right w:val="none" w:sz="0" w:space="0" w:color="auto"/>
      </w:divBdr>
    </w:div>
    <w:div w:id="1680545399">
      <w:bodyDiv w:val="1"/>
      <w:marLeft w:val="0"/>
      <w:marRight w:val="0"/>
      <w:marTop w:val="0"/>
      <w:marBottom w:val="0"/>
      <w:divBdr>
        <w:top w:val="none" w:sz="0" w:space="0" w:color="auto"/>
        <w:left w:val="none" w:sz="0" w:space="0" w:color="auto"/>
        <w:bottom w:val="none" w:sz="0" w:space="0" w:color="auto"/>
        <w:right w:val="none" w:sz="0" w:space="0" w:color="auto"/>
      </w:divBdr>
    </w:div>
    <w:div w:id="1777022721">
      <w:bodyDiv w:val="1"/>
      <w:marLeft w:val="0"/>
      <w:marRight w:val="0"/>
      <w:marTop w:val="0"/>
      <w:marBottom w:val="0"/>
      <w:divBdr>
        <w:top w:val="none" w:sz="0" w:space="0" w:color="auto"/>
        <w:left w:val="none" w:sz="0" w:space="0" w:color="auto"/>
        <w:bottom w:val="none" w:sz="0" w:space="0" w:color="auto"/>
        <w:right w:val="none" w:sz="0" w:space="0" w:color="auto"/>
      </w:divBdr>
    </w:div>
    <w:div w:id="1794208835">
      <w:bodyDiv w:val="1"/>
      <w:marLeft w:val="0"/>
      <w:marRight w:val="0"/>
      <w:marTop w:val="0"/>
      <w:marBottom w:val="0"/>
      <w:divBdr>
        <w:top w:val="none" w:sz="0" w:space="0" w:color="auto"/>
        <w:left w:val="none" w:sz="0" w:space="0" w:color="auto"/>
        <w:bottom w:val="none" w:sz="0" w:space="0" w:color="auto"/>
        <w:right w:val="none" w:sz="0" w:space="0" w:color="auto"/>
      </w:divBdr>
    </w:div>
    <w:div w:id="1839224527">
      <w:bodyDiv w:val="1"/>
      <w:marLeft w:val="0"/>
      <w:marRight w:val="0"/>
      <w:marTop w:val="0"/>
      <w:marBottom w:val="0"/>
      <w:divBdr>
        <w:top w:val="none" w:sz="0" w:space="0" w:color="auto"/>
        <w:left w:val="none" w:sz="0" w:space="0" w:color="auto"/>
        <w:bottom w:val="none" w:sz="0" w:space="0" w:color="auto"/>
        <w:right w:val="none" w:sz="0" w:space="0" w:color="auto"/>
      </w:divBdr>
    </w:div>
    <w:div w:id="1941453005">
      <w:bodyDiv w:val="1"/>
      <w:marLeft w:val="0"/>
      <w:marRight w:val="0"/>
      <w:marTop w:val="0"/>
      <w:marBottom w:val="0"/>
      <w:divBdr>
        <w:top w:val="none" w:sz="0" w:space="0" w:color="auto"/>
        <w:left w:val="none" w:sz="0" w:space="0" w:color="auto"/>
        <w:bottom w:val="none" w:sz="0" w:space="0" w:color="auto"/>
        <w:right w:val="none" w:sz="0" w:space="0" w:color="auto"/>
      </w:divBdr>
    </w:div>
    <w:div w:id="2087605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Hum.dotm</Template>
  <TotalTime>0</TotalTime>
  <Pages>1</Pages>
  <Words>2224</Words>
  <Characters>13568</Characters>
  <Application>Microsoft Office Word</Application>
  <DocSecurity>0</DocSecurity>
  <Lines>113</Lines>
  <Paragraphs>31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ændring i filnavn, overskrifter og layout - Gitte Jørgensen : 07-02-2020 11:32_x000d_
_x000d_
2017102480_x000d_
SPC pkt. 2, 4.1-4.4, 4.8, 5.1, 5.2</dc:description>
  <cp:lastModifiedBy>Nils Boje</cp:lastModifiedBy>
  <cp:revision>2</cp:revision>
  <cp:lastPrinted>2012-08-22T08:53:00Z</cp:lastPrinted>
  <dcterms:created xsi:type="dcterms:W3CDTF">2020-02-10T01:10:00Z</dcterms:created>
  <dcterms:modified xsi:type="dcterms:W3CDTF">2020-02-10T01:10:00Z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ies>
</file>