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r w:rsidRPr="00303008">
        <w:rPr>
          <w:noProof/>
          <w:sz w:val="24"/>
          <w:szCs w:val="24"/>
          <w:lang w:val="en-GB"/>
        </w:rPr>
        <w:drawing>
          <wp:inline distT="0" distB="0" distL="0" distR="0" wp14:anchorId="0E370769" wp14:editId="7023F8F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303008" w:rsidRDefault="006B3847" w:rsidP="006B3847">
      <w:pPr>
        <w:tabs>
          <w:tab w:val="right" w:pos="9356"/>
        </w:tabs>
        <w:rPr>
          <w:b/>
          <w:sz w:val="24"/>
          <w:szCs w:val="24"/>
          <w:lang w:val="en-GB"/>
        </w:rPr>
      </w:pPr>
      <w:r w:rsidRPr="00303008">
        <w:rPr>
          <w:b/>
          <w:sz w:val="24"/>
          <w:szCs w:val="24"/>
          <w:lang w:val="en-GB"/>
        </w:rPr>
        <w:tab/>
      </w:r>
      <w:r w:rsidR="00795FCE">
        <w:rPr>
          <w:b/>
          <w:sz w:val="24"/>
          <w:szCs w:val="24"/>
          <w:lang w:val="en-GB"/>
        </w:rPr>
        <w:t>31 January 2025</w:t>
      </w:r>
    </w:p>
    <w:p w:rsidR="006B3847" w:rsidRPr="00303008" w:rsidRDefault="006B3847" w:rsidP="006B3847">
      <w:pPr>
        <w:rPr>
          <w:sz w:val="24"/>
          <w:szCs w:val="24"/>
          <w:lang w:val="en-GB"/>
        </w:rPr>
      </w:pPr>
    </w:p>
    <w:p w:rsidR="007C5D2A" w:rsidRPr="00303008" w:rsidRDefault="007C5D2A" w:rsidP="007C5D2A">
      <w:pPr>
        <w:rPr>
          <w:sz w:val="24"/>
          <w:szCs w:val="24"/>
          <w:lang w:val="en-GB"/>
        </w:rPr>
      </w:pPr>
    </w:p>
    <w:p w:rsidR="007C5D2A" w:rsidRPr="00303008" w:rsidRDefault="007C5D2A" w:rsidP="007C5D2A">
      <w:pPr>
        <w:rPr>
          <w:sz w:val="24"/>
          <w:szCs w:val="24"/>
          <w:lang w:val="en-GB"/>
        </w:rPr>
      </w:pPr>
    </w:p>
    <w:p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795FCE" w:rsidRDefault="00E964F6" w:rsidP="007C5D2A">
      <w:pPr>
        <w:jc w:val="center"/>
        <w:rPr>
          <w:b/>
          <w:sz w:val="24"/>
          <w:szCs w:val="24"/>
          <w:lang w:val="en-US"/>
        </w:rPr>
      </w:pPr>
      <w:r w:rsidRPr="00795FCE">
        <w:rPr>
          <w:b/>
          <w:sz w:val="24"/>
          <w:szCs w:val="24"/>
          <w:lang w:val="en-US"/>
        </w:rPr>
        <w:t xml:space="preserve">Vareniclin "Stada", </w:t>
      </w:r>
      <w:r w:rsidR="00DF742D" w:rsidRPr="00795FCE">
        <w:rPr>
          <w:b/>
          <w:sz w:val="24"/>
          <w:szCs w:val="24"/>
          <w:lang w:val="en-US"/>
        </w:rPr>
        <w:t>filmcoated</w:t>
      </w:r>
      <w:r w:rsidRPr="00795FCE">
        <w:rPr>
          <w:b/>
          <w:sz w:val="24"/>
          <w:szCs w:val="24"/>
          <w:lang w:val="en-US"/>
        </w:rPr>
        <w:t xml:space="preserve"> tablet</w:t>
      </w:r>
      <w:r w:rsidR="00DF742D" w:rsidRPr="00795FCE">
        <w:rPr>
          <w:b/>
          <w:sz w:val="24"/>
          <w:szCs w:val="24"/>
          <w:lang w:val="en-US"/>
        </w:rPr>
        <w:t>s</w:t>
      </w:r>
    </w:p>
    <w:p w:rsidR="007C5D2A" w:rsidRPr="00795FCE" w:rsidRDefault="007C5D2A" w:rsidP="007C5D2A">
      <w:pPr>
        <w:jc w:val="both"/>
        <w:rPr>
          <w:sz w:val="24"/>
          <w:szCs w:val="24"/>
          <w:lang w:val="en-US"/>
        </w:rPr>
      </w:pPr>
    </w:p>
    <w:p w:rsidR="0042292D" w:rsidRPr="00795FCE" w:rsidRDefault="0042292D" w:rsidP="007C5D2A">
      <w:pPr>
        <w:jc w:val="both"/>
        <w:rPr>
          <w:sz w:val="24"/>
          <w:szCs w:val="24"/>
          <w:lang w:val="en-US"/>
        </w:rPr>
      </w:pPr>
    </w:p>
    <w:p w:rsidR="008F2F8C" w:rsidRPr="00DF742D" w:rsidRDefault="008F2F8C" w:rsidP="008F2F8C">
      <w:pPr>
        <w:tabs>
          <w:tab w:val="left" w:pos="8222"/>
        </w:tabs>
        <w:ind w:left="851" w:hanging="851"/>
        <w:rPr>
          <w:b/>
          <w:sz w:val="24"/>
          <w:szCs w:val="24"/>
          <w:lang w:val="en-US"/>
        </w:rPr>
      </w:pPr>
      <w:r w:rsidRPr="00DF742D">
        <w:rPr>
          <w:b/>
          <w:sz w:val="24"/>
          <w:szCs w:val="24"/>
          <w:lang w:val="en-US"/>
        </w:rPr>
        <w:t>0.</w:t>
      </w:r>
      <w:r w:rsidRPr="00DF742D">
        <w:rPr>
          <w:b/>
          <w:sz w:val="24"/>
          <w:szCs w:val="24"/>
          <w:lang w:val="en-US"/>
        </w:rPr>
        <w:tab/>
        <w:t>D.SP.NO.</w:t>
      </w:r>
    </w:p>
    <w:p w:rsidR="008F2F8C" w:rsidRPr="00303008" w:rsidRDefault="00E964F6" w:rsidP="008F2F8C">
      <w:pPr>
        <w:tabs>
          <w:tab w:val="left" w:pos="8222"/>
        </w:tabs>
        <w:ind w:left="851"/>
        <w:rPr>
          <w:sz w:val="24"/>
          <w:szCs w:val="24"/>
          <w:lang w:val="en-GB"/>
        </w:rPr>
      </w:pPr>
      <w:r>
        <w:rPr>
          <w:sz w:val="24"/>
          <w:szCs w:val="24"/>
          <w:lang w:val="en-GB"/>
        </w:rPr>
        <w:t>32089</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E964F6" w:rsidP="004A3BF4">
      <w:pPr>
        <w:tabs>
          <w:tab w:val="left" w:pos="851"/>
        </w:tabs>
        <w:ind w:left="851"/>
        <w:rPr>
          <w:sz w:val="24"/>
          <w:szCs w:val="24"/>
          <w:lang w:val="en-GB"/>
        </w:rPr>
      </w:pPr>
      <w:r>
        <w:rPr>
          <w:sz w:val="24"/>
          <w:szCs w:val="24"/>
          <w:lang w:val="en-GB"/>
        </w:rPr>
        <w:t>Vareniclin "Stada"</w:t>
      </w:r>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CC20FD" w:rsidRDefault="00CC20FD" w:rsidP="00DF742D">
      <w:pPr>
        <w:tabs>
          <w:tab w:val="left" w:pos="1134"/>
        </w:tabs>
        <w:ind w:left="1134" w:hanging="283"/>
        <w:rPr>
          <w:sz w:val="24"/>
          <w:szCs w:val="24"/>
          <w:lang w:val="en-GB"/>
        </w:rPr>
      </w:pPr>
    </w:p>
    <w:p w:rsidR="00CC20FD" w:rsidRPr="00CC20FD" w:rsidRDefault="00CC20FD" w:rsidP="00DF742D">
      <w:pPr>
        <w:tabs>
          <w:tab w:val="left" w:pos="1134"/>
        </w:tabs>
        <w:ind w:left="1134" w:hanging="283"/>
        <w:rPr>
          <w:sz w:val="24"/>
          <w:szCs w:val="24"/>
          <w:u w:val="single"/>
          <w:lang w:val="en-GB"/>
        </w:rPr>
      </w:pPr>
      <w:r w:rsidRPr="00CC20FD">
        <w:rPr>
          <w:sz w:val="24"/>
          <w:szCs w:val="24"/>
          <w:u w:val="single"/>
          <w:lang w:val="en-GB"/>
        </w:rPr>
        <w:t>0,5 mg</w:t>
      </w:r>
    </w:p>
    <w:p w:rsidR="00DF742D" w:rsidRDefault="00DF742D" w:rsidP="00DF742D">
      <w:pPr>
        <w:tabs>
          <w:tab w:val="left" w:pos="1134"/>
        </w:tabs>
        <w:ind w:left="1134" w:hanging="283"/>
        <w:rPr>
          <w:sz w:val="24"/>
          <w:szCs w:val="24"/>
          <w:lang w:val="en-GB"/>
        </w:rPr>
      </w:pPr>
      <w:r w:rsidRPr="00DF742D">
        <w:rPr>
          <w:sz w:val="24"/>
          <w:szCs w:val="24"/>
          <w:lang w:val="en-GB"/>
        </w:rPr>
        <w:t>Each tablet contains varenicline tartrate equivalent to 0.5 mg varenicline.</w:t>
      </w:r>
    </w:p>
    <w:p w:rsidR="00CC20FD" w:rsidRDefault="00CC20FD" w:rsidP="00DF742D">
      <w:pPr>
        <w:tabs>
          <w:tab w:val="left" w:pos="1134"/>
        </w:tabs>
        <w:ind w:left="1134" w:hanging="283"/>
        <w:rPr>
          <w:sz w:val="24"/>
          <w:szCs w:val="24"/>
          <w:lang w:val="en-GB"/>
        </w:rPr>
      </w:pPr>
    </w:p>
    <w:p w:rsidR="00CC20FD" w:rsidRPr="00CC20FD" w:rsidRDefault="00CC20FD" w:rsidP="00DF742D">
      <w:pPr>
        <w:tabs>
          <w:tab w:val="left" w:pos="1134"/>
        </w:tabs>
        <w:ind w:left="1134" w:hanging="283"/>
        <w:rPr>
          <w:sz w:val="24"/>
          <w:szCs w:val="24"/>
          <w:u w:val="single"/>
          <w:lang w:val="en-GB"/>
        </w:rPr>
      </w:pPr>
      <w:r w:rsidRPr="00CC20FD">
        <w:rPr>
          <w:sz w:val="24"/>
          <w:szCs w:val="24"/>
          <w:u w:val="single"/>
          <w:lang w:val="en-GB"/>
        </w:rPr>
        <w:t>1 mg</w:t>
      </w:r>
    </w:p>
    <w:p w:rsidR="00DF742D" w:rsidRDefault="00DF742D" w:rsidP="00DF742D">
      <w:pPr>
        <w:tabs>
          <w:tab w:val="left" w:pos="1134"/>
        </w:tabs>
        <w:ind w:left="1134" w:hanging="283"/>
        <w:rPr>
          <w:sz w:val="24"/>
          <w:szCs w:val="24"/>
          <w:lang w:val="en-GB"/>
        </w:rPr>
      </w:pPr>
      <w:r w:rsidRPr="00DF742D">
        <w:rPr>
          <w:sz w:val="24"/>
          <w:szCs w:val="24"/>
          <w:lang w:val="en-GB"/>
        </w:rPr>
        <w:t>Each tablet contains varenicline tartrate equivalent to 1 mg varenicline.</w:t>
      </w:r>
    </w:p>
    <w:p w:rsidR="00CC20FD" w:rsidRDefault="00CC20FD" w:rsidP="00DF742D">
      <w:pPr>
        <w:tabs>
          <w:tab w:val="left" w:pos="1134"/>
        </w:tabs>
        <w:ind w:left="1134" w:hanging="283"/>
        <w:rPr>
          <w:sz w:val="24"/>
          <w:szCs w:val="24"/>
          <w:lang w:val="en-GB"/>
        </w:rPr>
      </w:pPr>
    </w:p>
    <w:p w:rsidR="00CC20FD" w:rsidRPr="00CC20FD" w:rsidRDefault="00CC20FD" w:rsidP="00DF742D">
      <w:pPr>
        <w:tabs>
          <w:tab w:val="left" w:pos="1134"/>
        </w:tabs>
        <w:ind w:left="1134" w:hanging="283"/>
        <w:rPr>
          <w:sz w:val="24"/>
          <w:szCs w:val="24"/>
          <w:u w:val="single"/>
          <w:lang w:val="en-GB"/>
        </w:rPr>
      </w:pPr>
      <w:r w:rsidRPr="00CC20FD">
        <w:rPr>
          <w:sz w:val="24"/>
          <w:szCs w:val="24"/>
          <w:u w:val="single"/>
          <w:lang w:val="en-GB"/>
        </w:rPr>
        <w:t>0,5</w:t>
      </w:r>
      <w:r w:rsidR="00294FAB">
        <w:rPr>
          <w:sz w:val="24"/>
          <w:szCs w:val="24"/>
          <w:u w:val="single"/>
          <w:lang w:val="en-GB"/>
        </w:rPr>
        <w:t xml:space="preserve"> mg</w:t>
      </w:r>
      <w:r w:rsidRPr="00CC20FD">
        <w:rPr>
          <w:sz w:val="24"/>
          <w:szCs w:val="24"/>
          <w:u w:val="single"/>
          <w:lang w:val="en-GB"/>
        </w:rPr>
        <w:t>+1 mg</w:t>
      </w:r>
    </w:p>
    <w:p w:rsidR="00DF742D" w:rsidRDefault="00DF742D" w:rsidP="00DF742D">
      <w:pPr>
        <w:tabs>
          <w:tab w:val="left" w:pos="1134"/>
        </w:tabs>
        <w:ind w:left="1134" w:hanging="283"/>
        <w:rPr>
          <w:sz w:val="24"/>
          <w:szCs w:val="24"/>
          <w:lang w:val="en-GB"/>
        </w:rPr>
      </w:pPr>
      <w:r w:rsidRPr="00DF742D">
        <w:rPr>
          <w:sz w:val="24"/>
          <w:szCs w:val="24"/>
          <w:lang w:val="en-GB"/>
        </w:rPr>
        <w:t>Each tablet contains varenicline tartrate equivalent to 0.5 mg varenicline.</w:t>
      </w:r>
    </w:p>
    <w:p w:rsidR="00DF742D" w:rsidRDefault="00DF742D" w:rsidP="00DF742D">
      <w:pPr>
        <w:tabs>
          <w:tab w:val="left" w:pos="1134"/>
        </w:tabs>
        <w:ind w:left="1134" w:hanging="283"/>
        <w:rPr>
          <w:sz w:val="24"/>
          <w:szCs w:val="24"/>
          <w:lang w:val="en-GB"/>
        </w:rPr>
      </w:pPr>
      <w:r w:rsidRPr="00DF742D">
        <w:rPr>
          <w:sz w:val="24"/>
          <w:szCs w:val="24"/>
          <w:lang w:val="en-GB"/>
        </w:rPr>
        <w:t>Each tablet contains varenicline tartrate equivalent to 1 mg varenicline.</w:t>
      </w:r>
    </w:p>
    <w:p w:rsidR="00DF742D" w:rsidRDefault="00DF742D" w:rsidP="00DF742D">
      <w:pPr>
        <w:tabs>
          <w:tab w:val="left" w:pos="1134"/>
        </w:tabs>
        <w:ind w:left="1134" w:hanging="283"/>
        <w:rPr>
          <w:sz w:val="24"/>
          <w:szCs w:val="24"/>
          <w:lang w:val="en-GB"/>
        </w:rPr>
      </w:pPr>
    </w:p>
    <w:p w:rsidR="00DF742D" w:rsidRPr="00DF742D" w:rsidRDefault="00DF742D" w:rsidP="00DF742D">
      <w:pPr>
        <w:tabs>
          <w:tab w:val="left" w:pos="1134"/>
        </w:tabs>
        <w:ind w:left="1134" w:hanging="283"/>
        <w:rPr>
          <w:sz w:val="24"/>
          <w:szCs w:val="24"/>
          <w:lang w:val="en-GB"/>
        </w:rPr>
      </w:pPr>
      <w:r w:rsidRPr="00DF742D">
        <w:rPr>
          <w:sz w:val="24"/>
          <w:szCs w:val="24"/>
          <w:lang w:val="en-GB"/>
        </w:rPr>
        <w:t>For the full list of excipients, see section 6.1.</w:t>
      </w:r>
    </w:p>
    <w:p w:rsidR="007C5D2A" w:rsidRPr="00DF742D" w:rsidRDefault="007C5D2A" w:rsidP="004A3BF4">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CC20FD" w:rsidRPr="00CC20FD" w:rsidRDefault="00CC20FD" w:rsidP="00CC20FD">
      <w:pPr>
        <w:tabs>
          <w:tab w:val="left" w:pos="851"/>
        </w:tabs>
        <w:ind w:left="851"/>
        <w:rPr>
          <w:sz w:val="24"/>
          <w:szCs w:val="24"/>
          <w:lang w:val="en-GB"/>
        </w:rPr>
      </w:pPr>
      <w:r w:rsidRPr="00CC20FD">
        <w:rPr>
          <w:sz w:val="24"/>
          <w:szCs w:val="24"/>
          <w:lang w:val="en-GB"/>
        </w:rPr>
        <w:t>Film-coated tablet</w:t>
      </w:r>
      <w:r>
        <w:rPr>
          <w:sz w:val="24"/>
          <w:szCs w:val="24"/>
          <w:lang w:val="en-GB"/>
        </w:rPr>
        <w:t>s</w:t>
      </w:r>
    </w:p>
    <w:p w:rsidR="00CC20FD" w:rsidRDefault="00CC20FD" w:rsidP="00CC20FD">
      <w:pPr>
        <w:tabs>
          <w:tab w:val="left" w:pos="851"/>
        </w:tabs>
        <w:ind w:left="851"/>
        <w:rPr>
          <w:sz w:val="24"/>
          <w:szCs w:val="24"/>
          <w:lang w:val="en-GB"/>
        </w:rPr>
      </w:pPr>
    </w:p>
    <w:p w:rsidR="00CC20FD" w:rsidRPr="00CC20FD" w:rsidRDefault="00CC20FD" w:rsidP="00CC20FD">
      <w:pPr>
        <w:tabs>
          <w:tab w:val="left" w:pos="851"/>
        </w:tabs>
        <w:ind w:left="851"/>
        <w:rPr>
          <w:sz w:val="24"/>
          <w:szCs w:val="24"/>
          <w:u w:val="single"/>
          <w:lang w:val="en-GB"/>
        </w:rPr>
      </w:pPr>
      <w:r w:rsidRPr="00CC20FD">
        <w:rPr>
          <w:sz w:val="24"/>
          <w:szCs w:val="24"/>
          <w:u w:val="single"/>
          <w:lang w:val="en-GB"/>
        </w:rPr>
        <w:t>0,5 mg</w:t>
      </w:r>
    </w:p>
    <w:p w:rsidR="00CC20FD" w:rsidRDefault="00CC20FD" w:rsidP="00CC20FD">
      <w:pPr>
        <w:tabs>
          <w:tab w:val="left" w:pos="851"/>
        </w:tabs>
        <w:ind w:left="851"/>
        <w:rPr>
          <w:sz w:val="24"/>
          <w:szCs w:val="24"/>
          <w:lang w:val="en-GB"/>
        </w:rPr>
      </w:pPr>
      <w:r w:rsidRPr="00CC20FD">
        <w:rPr>
          <w:sz w:val="24"/>
          <w:szCs w:val="24"/>
          <w:lang w:val="en-GB"/>
        </w:rPr>
        <w:t>White to white-off, capsular shaped, biconvex film-coated tablets debossed with “C2” on one side and plain on other side. The film-coated tablets are 8.15 mm ± 0.2 mm long and 4.15 mm ± 0.2 mm wide.</w:t>
      </w:r>
    </w:p>
    <w:p w:rsidR="00CC20FD" w:rsidRDefault="00CC20FD" w:rsidP="00CC20FD">
      <w:pPr>
        <w:tabs>
          <w:tab w:val="left" w:pos="851"/>
        </w:tabs>
        <w:ind w:left="851"/>
        <w:rPr>
          <w:sz w:val="24"/>
          <w:szCs w:val="24"/>
          <w:lang w:val="en-GB"/>
        </w:rPr>
      </w:pPr>
    </w:p>
    <w:p w:rsidR="00CC20FD" w:rsidRPr="00CC20FD" w:rsidRDefault="00CC20FD" w:rsidP="00CC20FD">
      <w:pPr>
        <w:tabs>
          <w:tab w:val="left" w:pos="851"/>
        </w:tabs>
        <w:ind w:left="851"/>
        <w:rPr>
          <w:sz w:val="24"/>
          <w:szCs w:val="24"/>
          <w:u w:val="single"/>
          <w:lang w:val="en-GB"/>
        </w:rPr>
      </w:pPr>
      <w:r w:rsidRPr="00CC20FD">
        <w:rPr>
          <w:sz w:val="24"/>
          <w:szCs w:val="24"/>
          <w:u w:val="single"/>
          <w:lang w:val="en-GB"/>
        </w:rPr>
        <w:t>1 mg</w:t>
      </w:r>
    </w:p>
    <w:p w:rsidR="00CC20FD" w:rsidRDefault="00CC20FD" w:rsidP="00CC20FD">
      <w:pPr>
        <w:tabs>
          <w:tab w:val="left" w:pos="851"/>
        </w:tabs>
        <w:ind w:left="851"/>
        <w:rPr>
          <w:sz w:val="24"/>
          <w:szCs w:val="24"/>
          <w:lang w:val="en-GB"/>
        </w:rPr>
      </w:pPr>
      <w:r w:rsidRPr="00CC20FD">
        <w:rPr>
          <w:sz w:val="24"/>
          <w:szCs w:val="24"/>
          <w:lang w:val="en-GB"/>
        </w:rPr>
        <w:t>Light blue, capsular shaped, biconvex film-coated tablets debossed with “C1” on one side and plain on other side. The film-coated tablets are 10.15 mm ± 0.2 mm long and 5.15 mm ± 0.2 mm wide.</w:t>
      </w:r>
    </w:p>
    <w:p w:rsidR="00CC20FD" w:rsidRDefault="00CC20FD">
      <w:pPr>
        <w:rPr>
          <w:sz w:val="24"/>
          <w:szCs w:val="24"/>
          <w:lang w:val="en-GB"/>
        </w:rPr>
      </w:pPr>
      <w:r>
        <w:rPr>
          <w:sz w:val="24"/>
          <w:szCs w:val="24"/>
          <w:lang w:val="en-GB"/>
        </w:rPr>
        <w:br w:type="page"/>
      </w:r>
    </w:p>
    <w:p w:rsidR="00CC20FD" w:rsidRDefault="00CC20FD" w:rsidP="00CC20FD">
      <w:pPr>
        <w:tabs>
          <w:tab w:val="left" w:pos="851"/>
        </w:tabs>
        <w:ind w:left="851"/>
        <w:rPr>
          <w:sz w:val="24"/>
          <w:szCs w:val="24"/>
          <w:lang w:val="en-GB"/>
        </w:rPr>
      </w:pPr>
    </w:p>
    <w:p w:rsidR="00CC20FD" w:rsidRPr="00CC20FD" w:rsidRDefault="00CC20FD" w:rsidP="00CC20FD">
      <w:pPr>
        <w:tabs>
          <w:tab w:val="left" w:pos="851"/>
        </w:tabs>
        <w:ind w:left="851"/>
        <w:rPr>
          <w:sz w:val="24"/>
          <w:szCs w:val="24"/>
          <w:u w:val="single"/>
          <w:lang w:val="en-GB"/>
        </w:rPr>
      </w:pPr>
      <w:r w:rsidRPr="00CC20FD">
        <w:rPr>
          <w:sz w:val="24"/>
          <w:szCs w:val="24"/>
          <w:u w:val="single"/>
          <w:lang w:val="en-GB"/>
        </w:rPr>
        <w:t>0,5</w:t>
      </w:r>
      <w:r w:rsidR="00294FAB">
        <w:rPr>
          <w:sz w:val="24"/>
          <w:szCs w:val="24"/>
          <w:u w:val="single"/>
          <w:lang w:val="en-GB"/>
        </w:rPr>
        <w:t xml:space="preserve"> mg</w:t>
      </w:r>
      <w:r w:rsidRPr="00CC20FD">
        <w:rPr>
          <w:sz w:val="24"/>
          <w:szCs w:val="24"/>
          <w:u w:val="single"/>
          <w:lang w:val="en-GB"/>
        </w:rPr>
        <w:t>+1 mg</w:t>
      </w:r>
    </w:p>
    <w:p w:rsidR="00CC20FD" w:rsidRDefault="00CC20FD" w:rsidP="00CC20FD">
      <w:pPr>
        <w:tabs>
          <w:tab w:val="left" w:pos="851"/>
        </w:tabs>
        <w:ind w:left="851"/>
        <w:rPr>
          <w:sz w:val="24"/>
          <w:szCs w:val="24"/>
          <w:lang w:val="en-GB"/>
        </w:rPr>
      </w:pPr>
      <w:r w:rsidRPr="00CC20FD">
        <w:rPr>
          <w:sz w:val="24"/>
          <w:szCs w:val="24"/>
          <w:lang w:val="en-GB"/>
        </w:rPr>
        <w:t>White to white-off, capsular shaped, biconvex film-coated tablets debossed with “C2” on one side and plain on other side. The film-coated tablets are 8.15 mm ± 0.2 mm long and 4.15 mm ± 0.2 mm wide.</w:t>
      </w:r>
    </w:p>
    <w:p w:rsidR="00CC20FD" w:rsidRPr="00CC20FD" w:rsidRDefault="00CC20FD" w:rsidP="00CC20FD">
      <w:pPr>
        <w:tabs>
          <w:tab w:val="left" w:pos="851"/>
        </w:tabs>
        <w:ind w:left="851"/>
        <w:rPr>
          <w:sz w:val="24"/>
          <w:szCs w:val="24"/>
          <w:lang w:val="en-GB"/>
        </w:rPr>
      </w:pPr>
    </w:p>
    <w:p w:rsidR="00CC20FD" w:rsidRPr="00CC20FD" w:rsidRDefault="00CC20FD" w:rsidP="00CC20FD">
      <w:pPr>
        <w:tabs>
          <w:tab w:val="left" w:pos="851"/>
        </w:tabs>
        <w:ind w:left="851"/>
        <w:rPr>
          <w:sz w:val="24"/>
          <w:szCs w:val="24"/>
          <w:lang w:val="en-GB"/>
        </w:rPr>
      </w:pPr>
      <w:r w:rsidRPr="00CC20FD">
        <w:rPr>
          <w:sz w:val="24"/>
          <w:szCs w:val="24"/>
          <w:lang w:val="en-GB"/>
        </w:rPr>
        <w:t>Light blue, capsular shaped, biconvex film-coated tablets debossed with “C1” on one side and plain on other side. The film-coated tablets are 10.15 mm ± 0.2 mm long and 5.15 mm ± 0.2 mm wide.</w:t>
      </w:r>
    </w:p>
    <w:p w:rsidR="007C5D2A" w:rsidRPr="00CC20FD" w:rsidRDefault="007C5D2A" w:rsidP="004A3BF4">
      <w:pPr>
        <w:tabs>
          <w:tab w:val="left" w:pos="851"/>
        </w:tabs>
        <w:ind w:left="851"/>
        <w:rPr>
          <w:sz w:val="24"/>
          <w:szCs w:val="24"/>
          <w:lang w:val="en-GB"/>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CC20FD" w:rsidRPr="00CC20FD" w:rsidRDefault="00CC20FD" w:rsidP="00CC20FD">
      <w:pPr>
        <w:tabs>
          <w:tab w:val="left" w:pos="851"/>
        </w:tabs>
        <w:ind w:left="851"/>
        <w:rPr>
          <w:sz w:val="24"/>
          <w:szCs w:val="24"/>
          <w:lang w:val="en-GB"/>
        </w:rPr>
      </w:pPr>
      <w:r w:rsidRPr="00CC20FD">
        <w:rPr>
          <w:sz w:val="24"/>
          <w:szCs w:val="24"/>
          <w:lang w:val="en-GB"/>
        </w:rPr>
        <w:t>Vareniclin "Stada" is indicated for smoking cessation in adults.</w:t>
      </w:r>
    </w:p>
    <w:p w:rsidR="007C5D2A" w:rsidRPr="00CC20FD" w:rsidRDefault="007C5D2A" w:rsidP="00A85D26">
      <w:pPr>
        <w:tabs>
          <w:tab w:val="left" w:pos="851"/>
        </w:tabs>
        <w:ind w:left="851"/>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CC20FD" w:rsidRPr="00CC20FD" w:rsidRDefault="00CC20FD" w:rsidP="00CC20FD">
      <w:pPr>
        <w:tabs>
          <w:tab w:val="left" w:pos="851"/>
        </w:tabs>
        <w:ind w:left="851"/>
        <w:rPr>
          <w:sz w:val="24"/>
          <w:szCs w:val="24"/>
          <w:lang w:val="en-GB"/>
        </w:rPr>
      </w:pPr>
    </w:p>
    <w:p w:rsidR="00CC20FD" w:rsidRPr="00CC20FD" w:rsidRDefault="00CC20FD" w:rsidP="00CC20FD">
      <w:pPr>
        <w:tabs>
          <w:tab w:val="left" w:pos="851"/>
        </w:tabs>
        <w:ind w:left="851"/>
        <w:rPr>
          <w:sz w:val="24"/>
          <w:szCs w:val="24"/>
          <w:u w:val="single"/>
          <w:lang w:val="en-GB"/>
        </w:rPr>
      </w:pPr>
      <w:r w:rsidRPr="00CC20FD">
        <w:rPr>
          <w:sz w:val="24"/>
          <w:szCs w:val="24"/>
          <w:u w:val="single"/>
          <w:lang w:val="en-GB"/>
        </w:rPr>
        <w:t>Posology</w:t>
      </w:r>
    </w:p>
    <w:p w:rsidR="00CC20FD" w:rsidRPr="00CC20FD" w:rsidRDefault="00CC20FD" w:rsidP="00CC20FD">
      <w:pPr>
        <w:tabs>
          <w:tab w:val="left" w:pos="851"/>
        </w:tabs>
        <w:ind w:left="851"/>
        <w:rPr>
          <w:sz w:val="24"/>
          <w:szCs w:val="24"/>
          <w:lang w:val="en-GB"/>
        </w:rPr>
      </w:pPr>
      <w:r w:rsidRPr="00CC20FD">
        <w:rPr>
          <w:sz w:val="24"/>
          <w:szCs w:val="24"/>
          <w:lang w:val="en-GB"/>
        </w:rPr>
        <w:t>The recommended dose is 1 mg varenicline twice daily following a 1-week titration as follows:</w:t>
      </w:r>
    </w:p>
    <w:p w:rsidR="00CC20FD" w:rsidRPr="00CC20FD" w:rsidRDefault="00CC20FD" w:rsidP="00CC20FD">
      <w:pPr>
        <w:tabs>
          <w:tab w:val="left" w:pos="851"/>
        </w:tabs>
        <w:ind w:left="851"/>
        <w:rPr>
          <w:sz w:val="24"/>
          <w:szCs w:val="24"/>
          <w:lang w:val="en-GB"/>
        </w:rPr>
      </w:pPr>
    </w:p>
    <w:tbl>
      <w:tblPr>
        <w:tblStyle w:val="Tabel-Gitter"/>
        <w:tblW w:w="6520" w:type="dxa"/>
        <w:tblInd w:w="846" w:type="dxa"/>
        <w:tblLook w:val="04A0" w:firstRow="1" w:lastRow="0" w:firstColumn="1" w:lastColumn="0" w:noHBand="0" w:noVBand="1"/>
      </w:tblPr>
      <w:tblGrid>
        <w:gridCol w:w="3118"/>
        <w:gridCol w:w="3402"/>
      </w:tblGrid>
      <w:tr w:rsidR="00CC20FD" w:rsidRPr="00CC20FD" w:rsidTr="00CC20FD">
        <w:tc>
          <w:tcPr>
            <w:tcW w:w="3118" w:type="dxa"/>
          </w:tcPr>
          <w:p w:rsidR="00CC20FD" w:rsidRPr="00CC20FD" w:rsidRDefault="00CC20FD" w:rsidP="00CC20FD">
            <w:pPr>
              <w:ind w:left="33"/>
              <w:rPr>
                <w:sz w:val="24"/>
                <w:szCs w:val="24"/>
                <w:lang w:val="en-GB"/>
              </w:rPr>
            </w:pPr>
            <w:r w:rsidRPr="00CC20FD">
              <w:rPr>
                <w:sz w:val="24"/>
                <w:szCs w:val="24"/>
                <w:lang w:val="en-GB"/>
              </w:rPr>
              <w:t>Days 1 – 3</w:t>
            </w:r>
          </w:p>
        </w:tc>
        <w:tc>
          <w:tcPr>
            <w:tcW w:w="3402" w:type="dxa"/>
          </w:tcPr>
          <w:p w:rsidR="00CC20FD" w:rsidRPr="00CC20FD" w:rsidRDefault="00CC20FD" w:rsidP="00CC20FD">
            <w:pPr>
              <w:tabs>
                <w:tab w:val="left" w:pos="851"/>
              </w:tabs>
              <w:ind w:left="851"/>
              <w:rPr>
                <w:sz w:val="24"/>
                <w:szCs w:val="24"/>
                <w:lang w:val="en-GB"/>
              </w:rPr>
            </w:pPr>
            <w:r w:rsidRPr="00CC20FD">
              <w:rPr>
                <w:sz w:val="24"/>
                <w:szCs w:val="24"/>
                <w:lang w:val="en-GB"/>
              </w:rPr>
              <w:t>0.5 mg once daily</w:t>
            </w:r>
          </w:p>
        </w:tc>
      </w:tr>
      <w:tr w:rsidR="00CC20FD" w:rsidRPr="00CC20FD" w:rsidTr="00CC20FD">
        <w:tc>
          <w:tcPr>
            <w:tcW w:w="3118" w:type="dxa"/>
          </w:tcPr>
          <w:p w:rsidR="00CC20FD" w:rsidRPr="00CC20FD" w:rsidRDefault="00CC20FD" w:rsidP="00CC20FD">
            <w:pPr>
              <w:ind w:left="33"/>
              <w:rPr>
                <w:sz w:val="24"/>
                <w:szCs w:val="24"/>
                <w:lang w:val="en-GB"/>
              </w:rPr>
            </w:pPr>
            <w:r w:rsidRPr="00CC20FD">
              <w:rPr>
                <w:sz w:val="24"/>
                <w:szCs w:val="24"/>
                <w:lang w:val="en-GB"/>
              </w:rPr>
              <w:t>Days 4 – 7</w:t>
            </w:r>
          </w:p>
        </w:tc>
        <w:tc>
          <w:tcPr>
            <w:tcW w:w="3402" w:type="dxa"/>
          </w:tcPr>
          <w:p w:rsidR="00CC20FD" w:rsidRPr="00CC20FD" w:rsidRDefault="00CC20FD" w:rsidP="00CC20FD">
            <w:pPr>
              <w:tabs>
                <w:tab w:val="left" w:pos="851"/>
              </w:tabs>
              <w:ind w:left="851"/>
              <w:rPr>
                <w:sz w:val="24"/>
                <w:szCs w:val="24"/>
                <w:lang w:val="en-GB"/>
              </w:rPr>
            </w:pPr>
            <w:r w:rsidRPr="00CC20FD">
              <w:rPr>
                <w:sz w:val="24"/>
                <w:szCs w:val="24"/>
                <w:lang w:val="en-GB"/>
              </w:rPr>
              <w:t>0.5 mg twice daily</w:t>
            </w:r>
          </w:p>
        </w:tc>
      </w:tr>
      <w:tr w:rsidR="00CC20FD" w:rsidRPr="00CC20FD" w:rsidTr="00CC20FD">
        <w:tc>
          <w:tcPr>
            <w:tcW w:w="3118" w:type="dxa"/>
          </w:tcPr>
          <w:p w:rsidR="00CC20FD" w:rsidRPr="00CC20FD" w:rsidRDefault="00CC20FD" w:rsidP="00CC20FD">
            <w:pPr>
              <w:ind w:left="33"/>
              <w:rPr>
                <w:sz w:val="24"/>
                <w:szCs w:val="24"/>
                <w:lang w:val="en-GB"/>
              </w:rPr>
            </w:pPr>
            <w:r w:rsidRPr="00CC20FD">
              <w:rPr>
                <w:sz w:val="24"/>
                <w:szCs w:val="24"/>
                <w:lang w:val="en-GB"/>
              </w:rPr>
              <w:t>Day 8 – End of treatment</w:t>
            </w:r>
          </w:p>
        </w:tc>
        <w:tc>
          <w:tcPr>
            <w:tcW w:w="3402" w:type="dxa"/>
          </w:tcPr>
          <w:p w:rsidR="00CC20FD" w:rsidRPr="00CC20FD" w:rsidRDefault="00CC20FD" w:rsidP="00CC20FD">
            <w:pPr>
              <w:tabs>
                <w:tab w:val="left" w:pos="851"/>
              </w:tabs>
              <w:ind w:left="851"/>
              <w:rPr>
                <w:sz w:val="24"/>
                <w:szCs w:val="24"/>
                <w:lang w:val="en-GB"/>
              </w:rPr>
            </w:pPr>
            <w:r w:rsidRPr="00CC20FD">
              <w:rPr>
                <w:sz w:val="24"/>
                <w:szCs w:val="24"/>
                <w:lang w:val="en-GB"/>
              </w:rPr>
              <w:t>1 mg twice daily</w:t>
            </w:r>
          </w:p>
        </w:tc>
      </w:tr>
    </w:tbl>
    <w:p w:rsidR="00CC20FD" w:rsidRPr="00CC20FD" w:rsidRDefault="00CC20FD" w:rsidP="00CC20FD">
      <w:pPr>
        <w:tabs>
          <w:tab w:val="left" w:pos="851"/>
        </w:tabs>
        <w:ind w:left="851"/>
        <w:rPr>
          <w:sz w:val="24"/>
          <w:szCs w:val="24"/>
          <w:lang w:val="en-GB"/>
        </w:rPr>
      </w:pPr>
    </w:p>
    <w:p w:rsidR="00CC20FD" w:rsidRPr="00CC20FD" w:rsidRDefault="00CC20FD" w:rsidP="00CC20FD">
      <w:pPr>
        <w:tabs>
          <w:tab w:val="left" w:pos="851"/>
        </w:tabs>
        <w:ind w:left="851"/>
        <w:rPr>
          <w:sz w:val="24"/>
          <w:szCs w:val="24"/>
          <w:lang w:val="en-GB"/>
        </w:rPr>
      </w:pPr>
      <w:r w:rsidRPr="00CC20FD">
        <w:rPr>
          <w:sz w:val="24"/>
          <w:szCs w:val="24"/>
          <w:lang w:val="en-GB"/>
        </w:rPr>
        <w:t>The patient should set a date to stop smoking. Vareniclin "Stada" dosing should usually start at 1-2 weeks before this date (see section 5.1). Patients should be treated with Vareniclin "Stada" for 12 weeks.</w:t>
      </w:r>
    </w:p>
    <w:p w:rsidR="00CC20FD" w:rsidRPr="00CC20FD" w:rsidRDefault="00CC20FD" w:rsidP="00CC20FD">
      <w:pPr>
        <w:tabs>
          <w:tab w:val="left" w:pos="851"/>
        </w:tabs>
        <w:ind w:left="851"/>
        <w:rPr>
          <w:sz w:val="24"/>
          <w:szCs w:val="24"/>
          <w:lang w:val="en-GB"/>
        </w:rPr>
      </w:pPr>
    </w:p>
    <w:p w:rsidR="00CC20FD" w:rsidRPr="00CC20FD" w:rsidRDefault="00CC20FD" w:rsidP="00CC20FD">
      <w:pPr>
        <w:tabs>
          <w:tab w:val="left" w:pos="851"/>
        </w:tabs>
        <w:ind w:left="851"/>
        <w:rPr>
          <w:sz w:val="24"/>
          <w:szCs w:val="24"/>
          <w:lang w:val="en-GB"/>
        </w:rPr>
      </w:pPr>
      <w:r w:rsidRPr="00CC20FD">
        <w:rPr>
          <w:sz w:val="24"/>
          <w:szCs w:val="24"/>
          <w:lang w:val="en-GB"/>
        </w:rPr>
        <w:t>For patients who have successfully stopped smoking at the end of 12 weeks, an additional course of 12 weeks treatment with Vareniclin "Stada" at 1 mg twice daily may be considered for the maintenance of abstinence (see section 5.1).</w:t>
      </w:r>
    </w:p>
    <w:p w:rsidR="00CC20FD" w:rsidRPr="00CC20FD" w:rsidRDefault="00CC20FD" w:rsidP="00CC20FD">
      <w:pPr>
        <w:tabs>
          <w:tab w:val="left" w:pos="851"/>
        </w:tabs>
        <w:ind w:left="851"/>
        <w:rPr>
          <w:sz w:val="24"/>
          <w:szCs w:val="24"/>
          <w:lang w:val="en-GB"/>
        </w:rPr>
      </w:pPr>
    </w:p>
    <w:p w:rsidR="00CC20FD" w:rsidRPr="00CC20FD" w:rsidRDefault="00CC20FD" w:rsidP="00CC20FD">
      <w:pPr>
        <w:tabs>
          <w:tab w:val="left" w:pos="851"/>
        </w:tabs>
        <w:ind w:left="851"/>
        <w:rPr>
          <w:sz w:val="24"/>
          <w:szCs w:val="24"/>
          <w:lang w:val="en-GB"/>
        </w:rPr>
      </w:pPr>
      <w:r w:rsidRPr="00CC20FD">
        <w:rPr>
          <w:sz w:val="24"/>
          <w:szCs w:val="24"/>
          <w:lang w:val="en-GB"/>
        </w:rPr>
        <w:t>A gradual approach to quitting smoking with Vareniclin "Stada" should be considered for patients who are not able or willing to quit abruptly. Patients should reduce smoking during the first 12 weeks of treatment and quit by the end of that treatment period. Patients should then continue taking Vareniclin "Stada" for an additional 12 weeks for a total of 24 weeks of treatment (see section 5.1).</w:t>
      </w:r>
    </w:p>
    <w:p w:rsidR="00CC20FD" w:rsidRPr="00CC20FD" w:rsidRDefault="00CC20FD" w:rsidP="00CC20FD">
      <w:pPr>
        <w:tabs>
          <w:tab w:val="left" w:pos="851"/>
        </w:tabs>
        <w:ind w:left="851"/>
        <w:rPr>
          <w:sz w:val="24"/>
          <w:szCs w:val="24"/>
          <w:lang w:val="en-GB"/>
        </w:rPr>
      </w:pPr>
    </w:p>
    <w:p w:rsidR="00CC20FD" w:rsidRPr="00CC20FD" w:rsidRDefault="00CC20FD" w:rsidP="00CC20FD">
      <w:pPr>
        <w:tabs>
          <w:tab w:val="left" w:pos="851"/>
        </w:tabs>
        <w:ind w:left="851"/>
        <w:rPr>
          <w:sz w:val="24"/>
          <w:szCs w:val="24"/>
          <w:lang w:val="en-GB"/>
        </w:rPr>
      </w:pPr>
      <w:r w:rsidRPr="00CC20FD">
        <w:rPr>
          <w:sz w:val="24"/>
          <w:szCs w:val="24"/>
          <w:lang w:val="en-GB"/>
        </w:rPr>
        <w:t>Patients who are motivated to quit and who did not succeed in stopping smoking during prior Vareniclin "Stada" therapy, or who relapsed after treatment, may benefit from another quit attempt with Vareniclin "Stada" (see section 5.1).</w:t>
      </w:r>
    </w:p>
    <w:p w:rsidR="00CC20FD" w:rsidRPr="00CC20FD" w:rsidRDefault="00CC20FD" w:rsidP="00CC20FD">
      <w:pPr>
        <w:tabs>
          <w:tab w:val="left" w:pos="851"/>
        </w:tabs>
        <w:ind w:left="851"/>
        <w:rPr>
          <w:sz w:val="24"/>
          <w:szCs w:val="24"/>
          <w:lang w:val="en-GB"/>
        </w:rPr>
      </w:pPr>
    </w:p>
    <w:p w:rsidR="00CC20FD" w:rsidRPr="00CC20FD" w:rsidRDefault="00CC20FD" w:rsidP="00CC20FD">
      <w:pPr>
        <w:tabs>
          <w:tab w:val="left" w:pos="851"/>
        </w:tabs>
        <w:ind w:left="851"/>
        <w:rPr>
          <w:sz w:val="24"/>
          <w:szCs w:val="24"/>
          <w:lang w:val="en-GB"/>
        </w:rPr>
      </w:pPr>
      <w:r w:rsidRPr="00CC20FD">
        <w:rPr>
          <w:sz w:val="24"/>
          <w:szCs w:val="24"/>
          <w:lang w:val="en-GB"/>
        </w:rPr>
        <w:t>Patients who cannot tolerate adverse reactions of Vareniclin "Stada" may have the dose lowered temporarily or permanently to 0.5 mg twice daily.</w:t>
      </w:r>
    </w:p>
    <w:p w:rsidR="00CC20FD" w:rsidRPr="00CC20FD" w:rsidRDefault="00CC20FD" w:rsidP="00CC20FD">
      <w:pPr>
        <w:tabs>
          <w:tab w:val="left" w:pos="851"/>
        </w:tabs>
        <w:ind w:left="851"/>
        <w:rPr>
          <w:sz w:val="24"/>
          <w:szCs w:val="24"/>
          <w:lang w:val="en-GB"/>
        </w:rPr>
      </w:pPr>
    </w:p>
    <w:p w:rsidR="00CC20FD" w:rsidRPr="00CC20FD" w:rsidRDefault="00CC20FD" w:rsidP="00CC20FD">
      <w:pPr>
        <w:tabs>
          <w:tab w:val="left" w:pos="851"/>
        </w:tabs>
        <w:ind w:left="851"/>
        <w:rPr>
          <w:sz w:val="24"/>
          <w:szCs w:val="24"/>
          <w:lang w:val="en-GB"/>
        </w:rPr>
      </w:pPr>
      <w:r w:rsidRPr="00CC20FD">
        <w:rPr>
          <w:sz w:val="24"/>
          <w:szCs w:val="24"/>
          <w:lang w:val="en-GB"/>
        </w:rPr>
        <w:t>In smoking cessation therapy, risk for relapse to smoking is elevated in the period immediately following the end of treatment. In patients with a high risk of relapse, dose tapering may be considered (see section 4.4).</w:t>
      </w:r>
    </w:p>
    <w:p w:rsidR="00CC20FD" w:rsidRPr="00CC20FD" w:rsidRDefault="00CC20FD" w:rsidP="00CC20FD">
      <w:pPr>
        <w:tabs>
          <w:tab w:val="left" w:pos="851"/>
        </w:tabs>
        <w:ind w:left="851"/>
        <w:rPr>
          <w:sz w:val="24"/>
          <w:szCs w:val="24"/>
          <w:lang w:val="en-GB"/>
        </w:rPr>
      </w:pPr>
    </w:p>
    <w:p w:rsidR="00CC20FD" w:rsidRPr="00CC20FD" w:rsidRDefault="00CC20FD" w:rsidP="00CC20FD">
      <w:pPr>
        <w:tabs>
          <w:tab w:val="left" w:pos="851"/>
        </w:tabs>
        <w:ind w:left="851"/>
        <w:rPr>
          <w:i/>
          <w:sz w:val="24"/>
          <w:szCs w:val="24"/>
          <w:lang w:val="en-GB"/>
        </w:rPr>
      </w:pPr>
      <w:r w:rsidRPr="00CC20FD">
        <w:rPr>
          <w:i/>
          <w:sz w:val="24"/>
          <w:szCs w:val="24"/>
          <w:lang w:val="en-GB"/>
        </w:rPr>
        <w:lastRenderedPageBreak/>
        <w:t>Elderly</w:t>
      </w:r>
    </w:p>
    <w:p w:rsidR="00CC20FD" w:rsidRPr="00CC20FD" w:rsidRDefault="00CC20FD" w:rsidP="00CC20FD">
      <w:pPr>
        <w:tabs>
          <w:tab w:val="left" w:pos="851"/>
        </w:tabs>
        <w:ind w:left="851"/>
        <w:rPr>
          <w:sz w:val="24"/>
          <w:szCs w:val="24"/>
          <w:lang w:val="en-GB"/>
        </w:rPr>
      </w:pPr>
      <w:r w:rsidRPr="00CC20FD">
        <w:rPr>
          <w:sz w:val="24"/>
          <w:szCs w:val="24"/>
          <w:lang w:val="en-GB"/>
        </w:rPr>
        <w:t>No dosage adjustment is necessary for elderly patients (see section 5.2). Because elderly patients are more likely to have decreased renal function, prescribers should consider the renal status of an elderly patient.</w:t>
      </w:r>
    </w:p>
    <w:p w:rsidR="00CC20FD" w:rsidRPr="00CC20FD" w:rsidRDefault="00CC20FD" w:rsidP="00CC20FD">
      <w:pPr>
        <w:tabs>
          <w:tab w:val="left" w:pos="851"/>
        </w:tabs>
        <w:ind w:left="851"/>
        <w:rPr>
          <w:sz w:val="24"/>
          <w:szCs w:val="24"/>
          <w:lang w:val="en-GB"/>
        </w:rPr>
      </w:pPr>
    </w:p>
    <w:p w:rsidR="00CC20FD" w:rsidRPr="00CC20FD" w:rsidRDefault="00CC20FD" w:rsidP="00CC20FD">
      <w:pPr>
        <w:tabs>
          <w:tab w:val="left" w:pos="851"/>
        </w:tabs>
        <w:ind w:left="851"/>
        <w:rPr>
          <w:i/>
          <w:sz w:val="24"/>
          <w:szCs w:val="24"/>
          <w:lang w:val="en-GB"/>
        </w:rPr>
      </w:pPr>
      <w:r w:rsidRPr="00CC20FD">
        <w:rPr>
          <w:i/>
          <w:sz w:val="24"/>
          <w:szCs w:val="24"/>
          <w:lang w:val="en-GB"/>
        </w:rPr>
        <w:t>Renal impairment</w:t>
      </w:r>
    </w:p>
    <w:p w:rsidR="00CC20FD" w:rsidRPr="00CC20FD" w:rsidRDefault="00CC20FD" w:rsidP="00CC20FD">
      <w:pPr>
        <w:tabs>
          <w:tab w:val="left" w:pos="851"/>
        </w:tabs>
        <w:ind w:left="851"/>
        <w:rPr>
          <w:sz w:val="24"/>
          <w:szCs w:val="24"/>
          <w:lang w:val="en-GB"/>
        </w:rPr>
      </w:pPr>
      <w:r w:rsidRPr="00CC20FD">
        <w:rPr>
          <w:sz w:val="24"/>
          <w:szCs w:val="24"/>
          <w:lang w:val="en-GB"/>
        </w:rPr>
        <w:t>No dosage adjustment is necessary for patients with mild (estimated creatinine clearance &gt; 50 ml/min and ≤ 80 ml/min) to moderate (estimated creatinine clearance ≥ 30 ml/min and ≤ 50 ml/min) renal impairment.</w:t>
      </w:r>
    </w:p>
    <w:p w:rsidR="00CC20FD" w:rsidRPr="00CC20FD" w:rsidRDefault="00CC20FD" w:rsidP="00CC20FD">
      <w:pPr>
        <w:tabs>
          <w:tab w:val="left" w:pos="851"/>
        </w:tabs>
        <w:ind w:left="851"/>
        <w:rPr>
          <w:sz w:val="24"/>
          <w:szCs w:val="24"/>
          <w:lang w:val="en-GB"/>
        </w:rPr>
      </w:pPr>
    </w:p>
    <w:p w:rsidR="00CC20FD" w:rsidRPr="00CC20FD" w:rsidRDefault="00CC20FD" w:rsidP="00CC20FD">
      <w:pPr>
        <w:tabs>
          <w:tab w:val="left" w:pos="851"/>
        </w:tabs>
        <w:ind w:left="851"/>
        <w:rPr>
          <w:sz w:val="24"/>
          <w:szCs w:val="24"/>
          <w:lang w:val="en-GB"/>
        </w:rPr>
      </w:pPr>
      <w:r w:rsidRPr="00CC20FD">
        <w:rPr>
          <w:sz w:val="24"/>
          <w:szCs w:val="24"/>
          <w:lang w:val="en-GB"/>
        </w:rPr>
        <w:t>For patients with moderate renal impairment who experience adverse reactions that are not tolerable, dosing may be reduced to 1 mg once daily.</w:t>
      </w:r>
    </w:p>
    <w:p w:rsidR="00CC20FD" w:rsidRPr="00CC20FD" w:rsidRDefault="00CC20FD" w:rsidP="00CC20FD">
      <w:pPr>
        <w:tabs>
          <w:tab w:val="left" w:pos="851"/>
        </w:tabs>
        <w:ind w:left="851"/>
        <w:rPr>
          <w:sz w:val="24"/>
          <w:szCs w:val="24"/>
          <w:lang w:val="en-GB"/>
        </w:rPr>
      </w:pPr>
    </w:p>
    <w:p w:rsidR="00CC20FD" w:rsidRPr="00CC20FD" w:rsidRDefault="00CC20FD" w:rsidP="00CC20FD">
      <w:pPr>
        <w:tabs>
          <w:tab w:val="left" w:pos="851"/>
        </w:tabs>
        <w:ind w:left="851"/>
        <w:rPr>
          <w:sz w:val="24"/>
          <w:szCs w:val="24"/>
          <w:lang w:val="en-GB"/>
        </w:rPr>
      </w:pPr>
      <w:r w:rsidRPr="00CC20FD">
        <w:rPr>
          <w:sz w:val="24"/>
          <w:szCs w:val="24"/>
          <w:lang w:val="en-GB"/>
        </w:rPr>
        <w:t>For patients with severe renal impairment (estimated creatinine clearance &lt; 30 ml/min), the recommended dose of Vareniclin "Stada" is 1 mg once daily. Dosing should begin at 0.5 mg once daily for the first 3 days then increased to 1 mg once daily. Based on insufficient clinical experience with varenicline in patients with end stage renal disease, treatment is not recommended in this patient population (see section 5.2).</w:t>
      </w:r>
    </w:p>
    <w:p w:rsidR="00CC20FD" w:rsidRPr="00CC20FD" w:rsidRDefault="00CC20FD" w:rsidP="00CC20FD">
      <w:pPr>
        <w:tabs>
          <w:tab w:val="left" w:pos="851"/>
        </w:tabs>
        <w:ind w:left="851"/>
        <w:rPr>
          <w:sz w:val="24"/>
          <w:szCs w:val="24"/>
          <w:lang w:val="en-GB"/>
        </w:rPr>
      </w:pPr>
    </w:p>
    <w:p w:rsidR="00CC20FD" w:rsidRPr="00CC20FD" w:rsidRDefault="00CC20FD" w:rsidP="00CC20FD">
      <w:pPr>
        <w:tabs>
          <w:tab w:val="left" w:pos="851"/>
        </w:tabs>
        <w:ind w:left="851"/>
        <w:rPr>
          <w:i/>
          <w:sz w:val="24"/>
          <w:szCs w:val="24"/>
          <w:lang w:val="en-GB"/>
        </w:rPr>
      </w:pPr>
      <w:r w:rsidRPr="00CC20FD">
        <w:rPr>
          <w:i/>
          <w:sz w:val="24"/>
          <w:szCs w:val="24"/>
          <w:lang w:val="en-GB"/>
        </w:rPr>
        <w:t>Hepatic impairment</w:t>
      </w:r>
    </w:p>
    <w:p w:rsidR="00CC20FD" w:rsidRPr="00CC20FD" w:rsidRDefault="00CC20FD" w:rsidP="00CC20FD">
      <w:pPr>
        <w:tabs>
          <w:tab w:val="left" w:pos="851"/>
        </w:tabs>
        <w:ind w:left="851"/>
        <w:rPr>
          <w:sz w:val="24"/>
          <w:szCs w:val="24"/>
          <w:lang w:val="en-GB"/>
        </w:rPr>
      </w:pPr>
      <w:r w:rsidRPr="00CC20FD">
        <w:rPr>
          <w:sz w:val="24"/>
          <w:szCs w:val="24"/>
          <w:lang w:val="en-GB"/>
        </w:rPr>
        <w:t>No dosage adjustment is necessary for patients with hepatic impairment (see section 5.2).</w:t>
      </w:r>
    </w:p>
    <w:p w:rsidR="00CC20FD" w:rsidRPr="00CC20FD" w:rsidRDefault="00CC20FD" w:rsidP="00CC20FD">
      <w:pPr>
        <w:tabs>
          <w:tab w:val="left" w:pos="851"/>
        </w:tabs>
        <w:ind w:left="851"/>
        <w:rPr>
          <w:sz w:val="24"/>
          <w:szCs w:val="24"/>
          <w:lang w:val="en-GB"/>
        </w:rPr>
      </w:pPr>
    </w:p>
    <w:p w:rsidR="00CC20FD" w:rsidRPr="00CC20FD" w:rsidRDefault="00CC20FD" w:rsidP="00CC20FD">
      <w:pPr>
        <w:tabs>
          <w:tab w:val="left" w:pos="851"/>
        </w:tabs>
        <w:ind w:left="851"/>
        <w:rPr>
          <w:i/>
          <w:sz w:val="24"/>
          <w:szCs w:val="24"/>
          <w:lang w:val="en-GB"/>
        </w:rPr>
      </w:pPr>
      <w:r w:rsidRPr="00CC20FD">
        <w:rPr>
          <w:i/>
          <w:sz w:val="24"/>
          <w:szCs w:val="24"/>
          <w:lang w:val="en-GB"/>
        </w:rPr>
        <w:t>Paediatric population</w:t>
      </w:r>
    </w:p>
    <w:p w:rsidR="00CC20FD" w:rsidRPr="00CC20FD" w:rsidRDefault="00CC20FD" w:rsidP="00CC20FD">
      <w:pPr>
        <w:tabs>
          <w:tab w:val="left" w:pos="851"/>
        </w:tabs>
        <w:ind w:left="851"/>
        <w:rPr>
          <w:sz w:val="24"/>
          <w:szCs w:val="24"/>
          <w:lang w:val="en-GB"/>
        </w:rPr>
      </w:pPr>
      <w:r w:rsidRPr="00CC20FD">
        <w:rPr>
          <w:sz w:val="24"/>
          <w:szCs w:val="24"/>
          <w:lang w:val="en-GB"/>
        </w:rPr>
        <w:t>Varenicline is not recommended for use in paediatric patients because its efficacy in this population was not demonstrated (see sections 5.1 and 5.2).</w:t>
      </w:r>
    </w:p>
    <w:p w:rsidR="00CC20FD" w:rsidRPr="00CC20FD" w:rsidRDefault="00CC20FD" w:rsidP="00CC20FD">
      <w:pPr>
        <w:tabs>
          <w:tab w:val="left" w:pos="851"/>
        </w:tabs>
        <w:ind w:left="851"/>
        <w:rPr>
          <w:sz w:val="24"/>
          <w:szCs w:val="24"/>
          <w:lang w:val="en-GB"/>
        </w:rPr>
      </w:pPr>
    </w:p>
    <w:p w:rsidR="00CC20FD" w:rsidRPr="00CC20FD" w:rsidRDefault="00CC20FD" w:rsidP="00CC20FD">
      <w:pPr>
        <w:tabs>
          <w:tab w:val="left" w:pos="851"/>
        </w:tabs>
        <w:ind w:left="851"/>
        <w:rPr>
          <w:sz w:val="24"/>
          <w:szCs w:val="24"/>
          <w:u w:val="single"/>
          <w:lang w:val="en-GB"/>
        </w:rPr>
      </w:pPr>
      <w:r w:rsidRPr="00CC20FD">
        <w:rPr>
          <w:sz w:val="24"/>
          <w:szCs w:val="24"/>
          <w:u w:val="single"/>
          <w:lang w:val="en-GB"/>
        </w:rPr>
        <w:t>Method of administration</w:t>
      </w:r>
    </w:p>
    <w:p w:rsidR="00CC20FD" w:rsidRPr="00CC20FD" w:rsidRDefault="00CC20FD" w:rsidP="00CC20FD">
      <w:pPr>
        <w:tabs>
          <w:tab w:val="left" w:pos="851"/>
        </w:tabs>
        <w:ind w:left="851"/>
        <w:rPr>
          <w:sz w:val="24"/>
          <w:szCs w:val="24"/>
          <w:lang w:val="en-GB"/>
        </w:rPr>
      </w:pPr>
      <w:r w:rsidRPr="00CC20FD">
        <w:rPr>
          <w:sz w:val="24"/>
          <w:szCs w:val="24"/>
          <w:lang w:val="en-GB"/>
        </w:rPr>
        <w:t>Vareniclin "Stada" is for oral use and the tablets should be swallowed whole with water. Vareniclin "Stada" can be taken with or without food.</w:t>
      </w:r>
    </w:p>
    <w:p w:rsidR="007C5D2A" w:rsidRPr="00303008" w:rsidRDefault="007C5D2A" w:rsidP="00A85D26">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8C3042" w:rsidRPr="008C3042" w:rsidRDefault="008C3042" w:rsidP="008C3042">
      <w:pPr>
        <w:tabs>
          <w:tab w:val="left" w:pos="851"/>
        </w:tabs>
        <w:ind w:left="851"/>
        <w:rPr>
          <w:sz w:val="24"/>
          <w:szCs w:val="24"/>
          <w:lang w:val="en-GB"/>
        </w:rPr>
      </w:pPr>
      <w:r w:rsidRPr="008C3042">
        <w:rPr>
          <w:sz w:val="24"/>
          <w:szCs w:val="24"/>
          <w:lang w:val="en-GB"/>
        </w:rPr>
        <w:t>Hypersensitivity to the active substance or to any of the excipients listed in section 6.1.</w:t>
      </w:r>
    </w:p>
    <w:p w:rsidR="007C5D2A" w:rsidRPr="008C3042" w:rsidRDefault="007C5D2A"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u w:val="single"/>
          <w:lang w:val="en-GB"/>
        </w:rPr>
      </w:pPr>
      <w:r w:rsidRPr="008C3042">
        <w:rPr>
          <w:sz w:val="24"/>
          <w:szCs w:val="24"/>
          <w:u w:val="single"/>
          <w:lang w:val="en-GB"/>
        </w:rPr>
        <w:t>Effect of smoking cessation</w:t>
      </w:r>
    </w:p>
    <w:p w:rsidR="008C3042" w:rsidRPr="008C3042" w:rsidRDefault="008C3042" w:rsidP="008C3042">
      <w:pPr>
        <w:tabs>
          <w:tab w:val="left" w:pos="851"/>
        </w:tabs>
        <w:ind w:left="851"/>
        <w:rPr>
          <w:sz w:val="24"/>
          <w:szCs w:val="24"/>
          <w:lang w:val="en-GB"/>
        </w:rPr>
      </w:pPr>
      <w:r w:rsidRPr="008C3042">
        <w:rPr>
          <w:sz w:val="24"/>
          <w:szCs w:val="24"/>
          <w:lang w:val="en-GB"/>
        </w:rPr>
        <w:t>Physiological changes resulting from smoking cessation, with or without treatment with varenicline, may alter the pharmacokinetics or pharmacodynamics of some medicinal products, for which dosage adjustment may be necessary (examples include theophylline, warfarin and insulin). As smoking induces CYP1A2, smoking cessation may result in an increase of plasma levels of CYP1A2 substrates.</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u w:val="single"/>
          <w:lang w:val="en-GB"/>
        </w:rPr>
      </w:pPr>
      <w:r w:rsidRPr="008C3042">
        <w:rPr>
          <w:sz w:val="24"/>
          <w:szCs w:val="24"/>
          <w:u w:val="single"/>
          <w:lang w:val="en-GB"/>
        </w:rPr>
        <w:t>Neuropsychiatric symptoms</w:t>
      </w:r>
    </w:p>
    <w:p w:rsidR="008C3042" w:rsidRPr="008C3042" w:rsidRDefault="008C3042" w:rsidP="008C3042">
      <w:pPr>
        <w:tabs>
          <w:tab w:val="left" w:pos="851"/>
        </w:tabs>
        <w:ind w:left="851"/>
        <w:rPr>
          <w:sz w:val="24"/>
          <w:szCs w:val="24"/>
          <w:lang w:val="en-GB"/>
        </w:rPr>
      </w:pPr>
      <w:r w:rsidRPr="008C3042">
        <w:rPr>
          <w:sz w:val="24"/>
          <w:szCs w:val="24"/>
          <w:lang w:val="en-GB"/>
        </w:rPr>
        <w:t>Changes in behaviour or thinking, anxiety, psychosis, mood swings, aggressive behaviour, depression, suicidal ideation and behaviour and suicide attempts have been reported in patients attempting to quit smoking with varenicline in the post-marketing experience.</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lang w:val="en-GB"/>
        </w:rPr>
      </w:pPr>
      <w:r w:rsidRPr="008C3042">
        <w:rPr>
          <w:sz w:val="24"/>
          <w:szCs w:val="24"/>
          <w:lang w:val="en-GB"/>
        </w:rPr>
        <w:t xml:space="preserve">A large randomised, double-blind, active and placebo-controlled study was conducted to compare the risk of serious neuropsychiatric events in patients with and without a history of psychiatric disorder treated for smoking cessation with varenicline, bupropion, nicotine replacement therapy patch (NRT) or placebo. The primary safety endpoint was a </w:t>
      </w:r>
      <w:r w:rsidRPr="008C3042">
        <w:rPr>
          <w:sz w:val="24"/>
          <w:szCs w:val="24"/>
          <w:lang w:val="en-GB"/>
        </w:rPr>
        <w:lastRenderedPageBreak/>
        <w:t>composite of neuropsychiatric adverse events that have been reported in post-marketing experience.</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lang w:val="en-GB"/>
        </w:rPr>
      </w:pPr>
      <w:r w:rsidRPr="008C3042">
        <w:rPr>
          <w:sz w:val="24"/>
          <w:szCs w:val="24"/>
          <w:lang w:val="en-GB"/>
        </w:rPr>
        <w:t>The use of varenicline in patients with or without a history of psychiatric disorder was not associated with an increased risk of serious neuropsychiatric adverse events in the composite primary endpoint compared with placebo (see section 5.1 Pharmacodynamic properties - Study in Subjects with and without a History of Psychiatric Disorder).</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lang w:val="en-GB"/>
        </w:rPr>
      </w:pPr>
      <w:r w:rsidRPr="008C3042">
        <w:rPr>
          <w:sz w:val="24"/>
          <w:szCs w:val="24"/>
          <w:lang w:val="en-GB"/>
        </w:rPr>
        <w:t>Depressed mood, rarely including suicidal ideation and suicide attempt, may be a symptom of nicotine withdrawal.</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lang w:val="en-GB"/>
        </w:rPr>
      </w:pPr>
      <w:r w:rsidRPr="008C3042">
        <w:rPr>
          <w:sz w:val="24"/>
          <w:szCs w:val="24"/>
          <w:lang w:val="en-GB"/>
        </w:rPr>
        <w:t>Clinicians should be aware of the possible emergence of serious neuropsychiatric symptoms in patients attempting to quit smoking with or without treatment. If serious neuropsychiatric symptoms occur whilst on varenicline treatment, patients should discontinue varenicline immediately and contact a healthcare professional for re-evaluation of treatment.</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u w:val="single"/>
          <w:lang w:val="en-GB"/>
        </w:rPr>
      </w:pPr>
      <w:r w:rsidRPr="008C3042">
        <w:rPr>
          <w:sz w:val="24"/>
          <w:szCs w:val="24"/>
          <w:u w:val="single"/>
          <w:lang w:val="en-GB"/>
        </w:rPr>
        <w:t>History of psychiatric disorders</w:t>
      </w:r>
    </w:p>
    <w:p w:rsidR="008C3042" w:rsidRPr="008C3042" w:rsidRDefault="008C3042" w:rsidP="008C3042">
      <w:pPr>
        <w:tabs>
          <w:tab w:val="left" w:pos="851"/>
        </w:tabs>
        <w:ind w:left="851"/>
        <w:rPr>
          <w:sz w:val="24"/>
          <w:szCs w:val="24"/>
          <w:lang w:val="en-GB"/>
        </w:rPr>
      </w:pPr>
      <w:r w:rsidRPr="008C3042">
        <w:rPr>
          <w:sz w:val="24"/>
          <w:szCs w:val="24"/>
          <w:lang w:val="en-GB"/>
        </w:rPr>
        <w:t>Smoking cessation, with or without pharmacotherapy, has been associated with exacerbation of underlying psychiatric illness (e.g. depression).</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lang w:val="en-GB"/>
        </w:rPr>
      </w:pPr>
      <w:r w:rsidRPr="008C3042">
        <w:rPr>
          <w:sz w:val="24"/>
          <w:szCs w:val="24"/>
          <w:lang w:val="en-GB"/>
        </w:rPr>
        <w:t>Varenicline smoking cessation studies have provided data in patients with a history of psychiatric disorders (see section 5.1).</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lang w:val="en-GB"/>
        </w:rPr>
      </w:pPr>
      <w:r w:rsidRPr="008C3042">
        <w:rPr>
          <w:sz w:val="24"/>
          <w:szCs w:val="24"/>
          <w:lang w:val="en-GB"/>
        </w:rPr>
        <w:t>In a smoking cessation clinical trial, neuropsychiatric adverse events were reported more frequently in patients with a history of psychiatric disorders compared to those without a history of psychiatric disorders, regardless of treatment (see section 5.1).</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lang w:val="en-GB"/>
        </w:rPr>
      </w:pPr>
      <w:r w:rsidRPr="008C3042">
        <w:rPr>
          <w:sz w:val="24"/>
          <w:szCs w:val="24"/>
          <w:lang w:val="en-GB"/>
        </w:rPr>
        <w:t>Care should be taken with patients with a history of psychiatric illness and patients should be advised accordingly.</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u w:val="single"/>
          <w:lang w:val="en-GB"/>
        </w:rPr>
      </w:pPr>
      <w:r w:rsidRPr="008C3042">
        <w:rPr>
          <w:sz w:val="24"/>
          <w:szCs w:val="24"/>
          <w:u w:val="single"/>
          <w:lang w:val="en-GB"/>
        </w:rPr>
        <w:t>Seizures</w:t>
      </w:r>
    </w:p>
    <w:p w:rsidR="008C3042" w:rsidRPr="008C3042" w:rsidRDefault="008C3042" w:rsidP="008C3042">
      <w:pPr>
        <w:tabs>
          <w:tab w:val="left" w:pos="851"/>
        </w:tabs>
        <w:ind w:left="851"/>
        <w:rPr>
          <w:sz w:val="24"/>
          <w:szCs w:val="24"/>
          <w:lang w:val="en-GB"/>
        </w:rPr>
      </w:pPr>
      <w:r w:rsidRPr="008C3042">
        <w:rPr>
          <w:sz w:val="24"/>
          <w:szCs w:val="24"/>
          <w:lang w:val="en-GB"/>
        </w:rPr>
        <w:t>In clinical trials and post-marketing experience there have been reports of seizures in patients with or without a history of seizures, treated with varenicline. Varenicline should be used cautiously in patients with a history of seizures or other conditions that potentially lower the seizure threshold.</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u w:val="single"/>
          <w:lang w:val="en-GB"/>
        </w:rPr>
      </w:pPr>
      <w:r w:rsidRPr="008C3042">
        <w:rPr>
          <w:sz w:val="24"/>
          <w:szCs w:val="24"/>
          <w:u w:val="single"/>
          <w:lang w:val="en-GB"/>
        </w:rPr>
        <w:t>Treatment discontinuation</w:t>
      </w:r>
    </w:p>
    <w:p w:rsidR="008C3042" w:rsidRPr="008C3042" w:rsidRDefault="008C3042" w:rsidP="008C3042">
      <w:pPr>
        <w:tabs>
          <w:tab w:val="left" w:pos="851"/>
        </w:tabs>
        <w:ind w:left="851"/>
        <w:rPr>
          <w:sz w:val="24"/>
          <w:szCs w:val="24"/>
          <w:lang w:val="en-GB"/>
        </w:rPr>
      </w:pPr>
      <w:r w:rsidRPr="008C3042">
        <w:rPr>
          <w:sz w:val="24"/>
          <w:szCs w:val="24"/>
          <w:lang w:val="en-GB"/>
        </w:rPr>
        <w:t>At the end of treatment, discontinuation of varenicline was associated with an increase in irritability, urge to smoke, depression, and/or insomnia in up to 3 % of patients. The prescriber should inform the patient accordingly and discuss or consider the need for dose tapering.</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u w:val="single"/>
          <w:lang w:val="en-GB"/>
        </w:rPr>
      </w:pPr>
      <w:r w:rsidRPr="008C3042">
        <w:rPr>
          <w:sz w:val="24"/>
          <w:szCs w:val="24"/>
          <w:u w:val="single"/>
          <w:lang w:val="en-GB"/>
        </w:rPr>
        <w:t>Cardiovascular events</w:t>
      </w:r>
    </w:p>
    <w:p w:rsidR="008C3042" w:rsidRPr="008C3042" w:rsidRDefault="008C3042" w:rsidP="008C3042">
      <w:pPr>
        <w:tabs>
          <w:tab w:val="left" w:pos="851"/>
        </w:tabs>
        <w:ind w:left="851"/>
        <w:rPr>
          <w:sz w:val="24"/>
          <w:szCs w:val="24"/>
          <w:lang w:val="en-GB"/>
        </w:rPr>
      </w:pPr>
      <w:r w:rsidRPr="008C3042">
        <w:rPr>
          <w:sz w:val="24"/>
          <w:szCs w:val="24"/>
          <w:lang w:val="en-GB"/>
        </w:rPr>
        <w:t>Patients taking varenicline should be instructed to notify their doctor of new or worsening cardiovascular symptoms and to seek immediate medical attention if they experience signs and symptoms of myocardial infarction or stroke (see section 5.1).</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u w:val="single"/>
          <w:lang w:val="en-GB"/>
        </w:rPr>
      </w:pPr>
      <w:r w:rsidRPr="008C3042">
        <w:rPr>
          <w:sz w:val="24"/>
          <w:szCs w:val="24"/>
          <w:u w:val="single"/>
          <w:lang w:val="en-GB"/>
        </w:rPr>
        <w:t>Hypersensitivity reactions</w:t>
      </w:r>
    </w:p>
    <w:p w:rsidR="008C3042" w:rsidRPr="008C3042" w:rsidRDefault="008C3042" w:rsidP="008C3042">
      <w:pPr>
        <w:tabs>
          <w:tab w:val="left" w:pos="851"/>
        </w:tabs>
        <w:ind w:left="851"/>
        <w:rPr>
          <w:sz w:val="24"/>
          <w:szCs w:val="24"/>
          <w:lang w:val="en-GB"/>
        </w:rPr>
      </w:pPr>
      <w:r w:rsidRPr="008C3042">
        <w:rPr>
          <w:sz w:val="24"/>
          <w:szCs w:val="24"/>
          <w:lang w:val="en-GB"/>
        </w:rPr>
        <w:t xml:space="preserve">There have been post-marketing reports of hypersensitivity reactions including angioedema in patients treated with varenicline. Clinical signs included swelling of the </w:t>
      </w:r>
      <w:r w:rsidRPr="008C3042">
        <w:rPr>
          <w:sz w:val="24"/>
          <w:szCs w:val="24"/>
          <w:lang w:val="en-GB"/>
        </w:rPr>
        <w:lastRenderedPageBreak/>
        <w:t>face, mouth (tongue, lips, and gums), neck (throat and larynx) and extremities. There were rare reports of life-threatening angioedema requiring urgent medical attention due to respiratory compromise. Patients experiencing these symptoms should discontinue treatment with varenicline and contact a health care provider immediately.</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u w:val="single"/>
          <w:lang w:val="en-GB"/>
        </w:rPr>
      </w:pPr>
      <w:r w:rsidRPr="008C3042">
        <w:rPr>
          <w:sz w:val="24"/>
          <w:szCs w:val="24"/>
          <w:u w:val="single"/>
          <w:lang w:val="en-GB"/>
        </w:rPr>
        <w:t>Cutaneous reactions</w:t>
      </w:r>
    </w:p>
    <w:p w:rsidR="008C3042" w:rsidRPr="008C3042" w:rsidRDefault="008C3042" w:rsidP="008C3042">
      <w:pPr>
        <w:tabs>
          <w:tab w:val="left" w:pos="851"/>
        </w:tabs>
        <w:ind w:left="851"/>
        <w:rPr>
          <w:sz w:val="24"/>
          <w:szCs w:val="24"/>
          <w:lang w:val="en-GB"/>
        </w:rPr>
      </w:pPr>
      <w:r w:rsidRPr="008C3042">
        <w:rPr>
          <w:sz w:val="24"/>
          <w:szCs w:val="24"/>
          <w:lang w:val="en-GB"/>
        </w:rPr>
        <w:t>There have also been post-marketing reports of rare but severe cutaneous reactions, including Stevens-Johnson Syndrome and Erythema Multiforme in patients using varenicline. As these skin reactions can be life threatening, patients should discontinue treatment at the first sign of rash or skin reaction and contact a healthcare provider immediately.</w:t>
      </w:r>
    </w:p>
    <w:p w:rsidR="008C3042" w:rsidRPr="008C3042" w:rsidRDefault="008C3042" w:rsidP="008C3042">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8C3042" w:rsidRPr="008C3042" w:rsidRDefault="008C3042" w:rsidP="008C3042">
      <w:pPr>
        <w:tabs>
          <w:tab w:val="left" w:pos="851"/>
        </w:tabs>
        <w:ind w:left="851"/>
        <w:rPr>
          <w:sz w:val="24"/>
          <w:szCs w:val="24"/>
          <w:lang w:val="en-GB"/>
        </w:rPr>
      </w:pPr>
      <w:r w:rsidRPr="008C3042">
        <w:rPr>
          <w:sz w:val="24"/>
          <w:szCs w:val="24"/>
          <w:lang w:val="en-GB"/>
        </w:rPr>
        <w:t>Based on varenicline characteristics and clinical experience to date, varenicline has no clinically meaningful drug interactions. No dosage adjustment of varenicline or co-administered medicinal products listed below is recommended.</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lang w:val="en-GB"/>
        </w:rPr>
      </w:pPr>
      <w:r w:rsidRPr="008C3042">
        <w:rPr>
          <w:i/>
          <w:sz w:val="24"/>
          <w:szCs w:val="24"/>
          <w:lang w:val="en-GB"/>
        </w:rPr>
        <w:t>In vitro</w:t>
      </w:r>
      <w:r w:rsidRPr="008C3042">
        <w:rPr>
          <w:sz w:val="24"/>
          <w:szCs w:val="24"/>
          <w:lang w:val="en-GB"/>
        </w:rPr>
        <w:t xml:space="preserve"> studies indicate that varenicline is unlikely to alter the pharmacokinetics of compounds that are primarily metabolised by cytochrome P450 enzymes.</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lang w:val="en-GB"/>
        </w:rPr>
      </w:pPr>
      <w:r w:rsidRPr="008C3042">
        <w:rPr>
          <w:sz w:val="24"/>
          <w:szCs w:val="24"/>
          <w:lang w:val="en-GB"/>
        </w:rPr>
        <w:t>Furthermore, since metabolism of varenicline represents less than 10 % of its clearance, active substances known to affect the cytochrome P450 system are unlikely to alter the pharmacokinetics of varenicline (see section 5.2) and therefore a dose adjustment of varenicline would not be required.</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lang w:val="en-GB"/>
        </w:rPr>
      </w:pPr>
      <w:r w:rsidRPr="008C3042">
        <w:rPr>
          <w:i/>
          <w:sz w:val="24"/>
          <w:szCs w:val="24"/>
          <w:lang w:val="en-GB"/>
        </w:rPr>
        <w:t>In vitro</w:t>
      </w:r>
      <w:r w:rsidRPr="008C3042">
        <w:rPr>
          <w:sz w:val="24"/>
          <w:szCs w:val="24"/>
          <w:lang w:val="en-GB"/>
        </w:rPr>
        <w:t xml:space="preserve"> studies demonstrate that varenicline does not inhibit human renal transport proteins at therapeutic concentrations. Therefore, active substances that are cleared by renal secretion (e.g., metformin - see below) are unlikely to be affected by varenicline.</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u w:val="single"/>
          <w:lang w:val="en-GB"/>
        </w:rPr>
      </w:pPr>
      <w:r w:rsidRPr="008C3042">
        <w:rPr>
          <w:sz w:val="24"/>
          <w:szCs w:val="24"/>
          <w:u w:val="single"/>
          <w:lang w:val="en-GB"/>
        </w:rPr>
        <w:t>Metformin</w:t>
      </w:r>
    </w:p>
    <w:p w:rsidR="008C3042" w:rsidRPr="008C3042" w:rsidRDefault="008C3042" w:rsidP="008C3042">
      <w:pPr>
        <w:tabs>
          <w:tab w:val="left" w:pos="851"/>
        </w:tabs>
        <w:ind w:left="851"/>
        <w:rPr>
          <w:sz w:val="24"/>
          <w:szCs w:val="24"/>
          <w:lang w:val="en-GB"/>
        </w:rPr>
      </w:pPr>
      <w:r w:rsidRPr="008C3042">
        <w:rPr>
          <w:sz w:val="24"/>
          <w:szCs w:val="24"/>
          <w:lang w:val="en-GB"/>
        </w:rPr>
        <w:t>Varenicline did not affect the pharmacokinetics of metformin. Metformin had no effect on varenicline pharmacokinetics.</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u w:val="single"/>
          <w:lang w:val="en-GB"/>
        </w:rPr>
      </w:pPr>
      <w:r w:rsidRPr="008C3042">
        <w:rPr>
          <w:sz w:val="24"/>
          <w:szCs w:val="24"/>
          <w:u w:val="single"/>
          <w:lang w:val="en-GB"/>
        </w:rPr>
        <w:t>Cimetidine</w:t>
      </w:r>
    </w:p>
    <w:p w:rsidR="008C3042" w:rsidRPr="008C3042" w:rsidRDefault="008C3042" w:rsidP="008C3042">
      <w:pPr>
        <w:tabs>
          <w:tab w:val="left" w:pos="851"/>
        </w:tabs>
        <w:ind w:left="851"/>
        <w:rPr>
          <w:sz w:val="24"/>
          <w:szCs w:val="24"/>
          <w:lang w:val="en-GB"/>
        </w:rPr>
      </w:pPr>
      <w:r w:rsidRPr="008C3042">
        <w:rPr>
          <w:sz w:val="24"/>
          <w:szCs w:val="24"/>
          <w:lang w:val="en-GB"/>
        </w:rPr>
        <w:t>Co-administration of cimetidine, with varenicline increased the systemic exposure of varenicline by 29 % due to a reduction in varenicline renal clearance. No dosage adjustment is recommended based on concomitant cimetidine administration in subjects with normal renal function or in patients with mild to moderate renal impairment. In patients with severe renal impairment, the concomitant use of cimetidine and varenicline should be avoided.</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u w:val="single"/>
          <w:lang w:val="en-GB"/>
        </w:rPr>
      </w:pPr>
      <w:r w:rsidRPr="008C3042">
        <w:rPr>
          <w:sz w:val="24"/>
          <w:szCs w:val="24"/>
          <w:u w:val="single"/>
          <w:lang w:val="en-GB"/>
        </w:rPr>
        <w:t>Digoxin</w:t>
      </w:r>
    </w:p>
    <w:p w:rsidR="008C3042" w:rsidRPr="008C3042" w:rsidRDefault="008C3042" w:rsidP="008C3042">
      <w:pPr>
        <w:tabs>
          <w:tab w:val="left" w:pos="851"/>
        </w:tabs>
        <w:ind w:left="851"/>
        <w:rPr>
          <w:sz w:val="24"/>
          <w:szCs w:val="24"/>
          <w:lang w:val="en-GB"/>
        </w:rPr>
      </w:pPr>
      <w:r w:rsidRPr="008C3042">
        <w:rPr>
          <w:sz w:val="24"/>
          <w:szCs w:val="24"/>
          <w:lang w:val="en-GB"/>
        </w:rPr>
        <w:t>Varenicline did not alter the steady-state pharmacokinetics of digoxin.</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u w:val="single"/>
          <w:lang w:val="en-GB"/>
        </w:rPr>
      </w:pPr>
      <w:r w:rsidRPr="008C3042">
        <w:rPr>
          <w:sz w:val="24"/>
          <w:szCs w:val="24"/>
          <w:u w:val="single"/>
          <w:lang w:val="en-GB"/>
        </w:rPr>
        <w:t>Warfarin</w:t>
      </w:r>
    </w:p>
    <w:p w:rsidR="008C3042" w:rsidRPr="008C3042" w:rsidRDefault="008C3042" w:rsidP="008C3042">
      <w:pPr>
        <w:tabs>
          <w:tab w:val="left" w:pos="851"/>
        </w:tabs>
        <w:ind w:left="851"/>
        <w:rPr>
          <w:sz w:val="24"/>
          <w:szCs w:val="24"/>
          <w:lang w:val="en-GB"/>
        </w:rPr>
      </w:pPr>
      <w:r w:rsidRPr="008C3042">
        <w:rPr>
          <w:sz w:val="24"/>
          <w:szCs w:val="24"/>
          <w:lang w:val="en-GB"/>
        </w:rPr>
        <w:t>Varenicline did not alter the pharmacokinetics of warfarin. Prothrombin time (INR) was not affected by varenicline. Smoking cessation itself may result in changes to warfarin pharmacokinetics (see section 4.4).</w:t>
      </w:r>
    </w:p>
    <w:p w:rsidR="008E6629" w:rsidRDefault="008E6629">
      <w:pPr>
        <w:rPr>
          <w:sz w:val="24"/>
          <w:szCs w:val="24"/>
          <w:lang w:val="en-GB"/>
        </w:rPr>
      </w:pPr>
      <w:r>
        <w:rPr>
          <w:sz w:val="24"/>
          <w:szCs w:val="24"/>
          <w:lang w:val="en-GB"/>
        </w:rPr>
        <w:br w:type="page"/>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u w:val="single"/>
          <w:lang w:val="en-GB"/>
        </w:rPr>
      </w:pPr>
      <w:r w:rsidRPr="008C3042">
        <w:rPr>
          <w:sz w:val="24"/>
          <w:szCs w:val="24"/>
          <w:u w:val="single"/>
          <w:lang w:val="en-GB"/>
        </w:rPr>
        <w:t>Alcohol</w:t>
      </w:r>
    </w:p>
    <w:p w:rsidR="008C3042" w:rsidRPr="008C3042" w:rsidRDefault="008C3042" w:rsidP="008C3042">
      <w:pPr>
        <w:tabs>
          <w:tab w:val="left" w:pos="851"/>
        </w:tabs>
        <w:ind w:left="851"/>
        <w:rPr>
          <w:sz w:val="24"/>
          <w:szCs w:val="24"/>
          <w:lang w:val="en-GB"/>
        </w:rPr>
      </w:pPr>
      <w:r w:rsidRPr="008C3042">
        <w:rPr>
          <w:sz w:val="24"/>
          <w:szCs w:val="24"/>
          <w:lang w:val="en-GB"/>
        </w:rPr>
        <w:t>There are limited clinical data on any potential interaction between alcohol and varenicline. There have been post-marketing reports of increased intoxicating effects of alcohol in patients treated with varenicline. A causal relationship between these events and varenicline use has not been established.</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u w:val="single"/>
          <w:lang w:val="en-GB"/>
        </w:rPr>
      </w:pPr>
      <w:r w:rsidRPr="008C3042">
        <w:rPr>
          <w:sz w:val="24"/>
          <w:szCs w:val="24"/>
          <w:u w:val="single"/>
          <w:lang w:val="en-GB"/>
        </w:rPr>
        <w:t>Use with other therapies for smoking cessation</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i/>
          <w:sz w:val="24"/>
          <w:szCs w:val="24"/>
          <w:lang w:val="en-GB"/>
        </w:rPr>
      </w:pPr>
      <w:r w:rsidRPr="008C3042">
        <w:rPr>
          <w:i/>
          <w:sz w:val="24"/>
          <w:szCs w:val="24"/>
          <w:lang w:val="en-GB"/>
        </w:rPr>
        <w:t>Bupropion</w:t>
      </w:r>
    </w:p>
    <w:p w:rsidR="008C3042" w:rsidRPr="008C3042" w:rsidRDefault="008C3042" w:rsidP="008C3042">
      <w:pPr>
        <w:tabs>
          <w:tab w:val="left" w:pos="851"/>
        </w:tabs>
        <w:ind w:left="851"/>
        <w:rPr>
          <w:sz w:val="24"/>
          <w:szCs w:val="24"/>
          <w:lang w:val="en-GB"/>
        </w:rPr>
      </w:pPr>
      <w:r w:rsidRPr="008C3042">
        <w:rPr>
          <w:sz w:val="24"/>
          <w:szCs w:val="24"/>
          <w:lang w:val="en-GB"/>
        </w:rPr>
        <w:t>Varenicline did not alter the steady-state pharmacokinetics of bupropion.</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i/>
          <w:sz w:val="24"/>
          <w:szCs w:val="24"/>
          <w:lang w:val="en-GB"/>
        </w:rPr>
      </w:pPr>
      <w:r w:rsidRPr="008C3042">
        <w:rPr>
          <w:i/>
          <w:sz w:val="24"/>
          <w:szCs w:val="24"/>
          <w:lang w:val="en-GB"/>
        </w:rPr>
        <w:t>Nicotine replacement therapy (NRT)</w:t>
      </w:r>
    </w:p>
    <w:p w:rsidR="008C3042" w:rsidRPr="008C3042" w:rsidRDefault="008C3042" w:rsidP="008C3042">
      <w:pPr>
        <w:tabs>
          <w:tab w:val="left" w:pos="851"/>
        </w:tabs>
        <w:ind w:left="851"/>
        <w:rPr>
          <w:sz w:val="24"/>
          <w:szCs w:val="24"/>
          <w:lang w:val="en-GB"/>
        </w:rPr>
      </w:pPr>
      <w:r w:rsidRPr="008C3042">
        <w:rPr>
          <w:sz w:val="24"/>
          <w:szCs w:val="24"/>
          <w:lang w:val="en-GB"/>
        </w:rPr>
        <w:t>When varenicline and transdermal NRT were co-administered to smokers for 12 days, there was a statistically significant decrease in average systolic blood pressure (mean 2.6 mmHg) measured on the final day of the study. In this study, the incidence of nausea, headache, vomiting, dizziness, dyspepsia, and fatigue was greater for the combination than for NRT alone.</w:t>
      </w:r>
    </w:p>
    <w:p w:rsidR="008C3042" w:rsidRPr="008C3042" w:rsidRDefault="008C3042" w:rsidP="008C3042">
      <w:pPr>
        <w:tabs>
          <w:tab w:val="left" w:pos="851"/>
        </w:tabs>
        <w:ind w:left="851"/>
        <w:rPr>
          <w:sz w:val="24"/>
          <w:szCs w:val="24"/>
          <w:lang w:val="en-GB"/>
        </w:rPr>
      </w:pPr>
    </w:p>
    <w:p w:rsidR="008C3042" w:rsidRPr="008C3042" w:rsidRDefault="008C3042" w:rsidP="008C3042">
      <w:pPr>
        <w:tabs>
          <w:tab w:val="left" w:pos="851"/>
        </w:tabs>
        <w:ind w:left="851"/>
        <w:rPr>
          <w:sz w:val="24"/>
          <w:szCs w:val="24"/>
          <w:lang w:val="en-GB"/>
        </w:rPr>
      </w:pPr>
      <w:r w:rsidRPr="008C3042">
        <w:rPr>
          <w:sz w:val="24"/>
          <w:szCs w:val="24"/>
          <w:lang w:val="en-GB"/>
        </w:rPr>
        <w:t>Safety and efficacy of varenicline in combination with other smoking cessation therapies have not been studied.</w:t>
      </w:r>
    </w:p>
    <w:p w:rsidR="007C5D2A" w:rsidRPr="008C3042"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8E6629" w:rsidRDefault="008E6629" w:rsidP="008E6629">
      <w:pPr>
        <w:tabs>
          <w:tab w:val="left" w:pos="851"/>
        </w:tabs>
        <w:ind w:left="851"/>
        <w:rPr>
          <w:sz w:val="24"/>
          <w:szCs w:val="24"/>
          <w:u w:val="single"/>
          <w:lang w:val="en-GB"/>
        </w:rPr>
      </w:pPr>
    </w:p>
    <w:p w:rsidR="008E6629" w:rsidRPr="008E6629" w:rsidRDefault="008E6629" w:rsidP="008E6629">
      <w:pPr>
        <w:tabs>
          <w:tab w:val="left" w:pos="851"/>
        </w:tabs>
        <w:ind w:left="851"/>
        <w:rPr>
          <w:sz w:val="24"/>
          <w:szCs w:val="24"/>
          <w:u w:val="single"/>
          <w:lang w:val="en-GB"/>
        </w:rPr>
      </w:pPr>
      <w:r w:rsidRPr="008E6629">
        <w:rPr>
          <w:sz w:val="24"/>
          <w:szCs w:val="24"/>
          <w:u w:val="single"/>
          <w:lang w:val="en-GB"/>
        </w:rPr>
        <w:t>Pregnancy</w:t>
      </w:r>
    </w:p>
    <w:p w:rsidR="008E6629" w:rsidRPr="008E6629" w:rsidRDefault="008E6629" w:rsidP="008E6629">
      <w:pPr>
        <w:tabs>
          <w:tab w:val="left" w:pos="851"/>
        </w:tabs>
        <w:ind w:left="851"/>
        <w:rPr>
          <w:sz w:val="24"/>
          <w:szCs w:val="24"/>
          <w:lang w:val="en-GB"/>
        </w:rPr>
      </w:pPr>
      <w:r w:rsidRPr="008E6629">
        <w:rPr>
          <w:sz w:val="24"/>
          <w:szCs w:val="24"/>
          <w:lang w:val="en-GB"/>
        </w:rPr>
        <w:t>A moderate amount of data on pregnant women indicated no malformative or foetal/neonatal toxicity of varenicline (see section 5.1).</w:t>
      </w:r>
    </w:p>
    <w:p w:rsidR="008E6629" w:rsidRPr="008E6629" w:rsidRDefault="008E6629" w:rsidP="008E6629">
      <w:pPr>
        <w:tabs>
          <w:tab w:val="left" w:pos="851"/>
        </w:tabs>
        <w:ind w:left="851"/>
        <w:rPr>
          <w:sz w:val="24"/>
          <w:szCs w:val="24"/>
          <w:lang w:val="en-GB"/>
        </w:rPr>
      </w:pPr>
    </w:p>
    <w:p w:rsidR="008E6629" w:rsidRPr="008E6629" w:rsidRDefault="008E6629" w:rsidP="008E6629">
      <w:pPr>
        <w:tabs>
          <w:tab w:val="left" w:pos="851"/>
        </w:tabs>
        <w:ind w:left="851"/>
        <w:rPr>
          <w:sz w:val="24"/>
          <w:szCs w:val="24"/>
          <w:lang w:val="en-GB"/>
        </w:rPr>
      </w:pPr>
      <w:r w:rsidRPr="008E6629">
        <w:rPr>
          <w:sz w:val="24"/>
          <w:szCs w:val="24"/>
          <w:lang w:val="en-GB"/>
        </w:rPr>
        <w:t>Animal studies have shown reproductive toxicity (see section 5.3). As a precautionary measure, it is preferable to avoid the use of varenicline during pregnancy (see section 5.1).</w:t>
      </w:r>
    </w:p>
    <w:p w:rsidR="008E6629" w:rsidRPr="008E6629" w:rsidRDefault="008E6629" w:rsidP="008E6629">
      <w:pPr>
        <w:tabs>
          <w:tab w:val="left" w:pos="851"/>
        </w:tabs>
        <w:ind w:left="851"/>
        <w:rPr>
          <w:sz w:val="24"/>
          <w:szCs w:val="24"/>
          <w:lang w:val="en-GB"/>
        </w:rPr>
      </w:pPr>
    </w:p>
    <w:p w:rsidR="008E6629" w:rsidRPr="008E6629" w:rsidRDefault="008E6629" w:rsidP="008E6629">
      <w:pPr>
        <w:tabs>
          <w:tab w:val="left" w:pos="851"/>
        </w:tabs>
        <w:ind w:left="851"/>
        <w:rPr>
          <w:sz w:val="24"/>
          <w:szCs w:val="24"/>
          <w:u w:val="single"/>
          <w:lang w:val="en-GB"/>
        </w:rPr>
      </w:pPr>
      <w:r w:rsidRPr="008E6629">
        <w:rPr>
          <w:sz w:val="24"/>
          <w:szCs w:val="24"/>
          <w:u w:val="single"/>
          <w:lang w:val="en-GB"/>
        </w:rPr>
        <w:t>Breast-feeding</w:t>
      </w:r>
    </w:p>
    <w:p w:rsidR="008E6629" w:rsidRPr="008E6629" w:rsidRDefault="008E6629" w:rsidP="008E6629">
      <w:pPr>
        <w:tabs>
          <w:tab w:val="left" w:pos="851"/>
        </w:tabs>
        <w:ind w:left="851"/>
        <w:rPr>
          <w:sz w:val="24"/>
          <w:szCs w:val="24"/>
          <w:lang w:val="en-GB"/>
        </w:rPr>
      </w:pPr>
      <w:r w:rsidRPr="008E6629">
        <w:rPr>
          <w:sz w:val="24"/>
          <w:szCs w:val="24"/>
          <w:lang w:val="en-GB"/>
        </w:rPr>
        <w:t>It is unknown whether varenicline is excreted in human breast milk. Animal studies suggest that varenicline is excreted in breast milk. A decision on whether to continue/discontinue breast-feeding or to continue/discontinue therapy with varenicline should be made taking into account the benefit of breast-feeding to the child and the benefit of varenicline therapy to the woman.</w:t>
      </w:r>
    </w:p>
    <w:p w:rsidR="008E6629" w:rsidRPr="008E6629" w:rsidRDefault="008E6629" w:rsidP="008E6629">
      <w:pPr>
        <w:tabs>
          <w:tab w:val="left" w:pos="851"/>
        </w:tabs>
        <w:ind w:left="851"/>
        <w:rPr>
          <w:sz w:val="24"/>
          <w:szCs w:val="24"/>
          <w:lang w:val="en-GB"/>
        </w:rPr>
      </w:pPr>
    </w:p>
    <w:p w:rsidR="008E6629" w:rsidRPr="008E6629" w:rsidRDefault="008E6629" w:rsidP="008E6629">
      <w:pPr>
        <w:tabs>
          <w:tab w:val="left" w:pos="851"/>
        </w:tabs>
        <w:ind w:left="851"/>
        <w:rPr>
          <w:sz w:val="24"/>
          <w:szCs w:val="24"/>
          <w:u w:val="single"/>
          <w:lang w:val="en-GB"/>
        </w:rPr>
      </w:pPr>
      <w:r w:rsidRPr="008E6629">
        <w:rPr>
          <w:sz w:val="24"/>
          <w:szCs w:val="24"/>
          <w:u w:val="single"/>
          <w:lang w:val="en-GB"/>
        </w:rPr>
        <w:t>Fertility</w:t>
      </w:r>
    </w:p>
    <w:p w:rsidR="008E6629" w:rsidRPr="008E6629" w:rsidRDefault="008E6629" w:rsidP="008E6629">
      <w:pPr>
        <w:tabs>
          <w:tab w:val="left" w:pos="851"/>
        </w:tabs>
        <w:ind w:left="851"/>
        <w:rPr>
          <w:sz w:val="24"/>
          <w:szCs w:val="24"/>
          <w:lang w:val="en-GB"/>
        </w:rPr>
      </w:pPr>
      <w:r w:rsidRPr="008E6629">
        <w:rPr>
          <w:sz w:val="24"/>
          <w:szCs w:val="24"/>
          <w:lang w:val="en-GB"/>
        </w:rPr>
        <w:t>There are no clinical data on the effects of varenicline on fertility.</w:t>
      </w:r>
    </w:p>
    <w:p w:rsidR="008E6629" w:rsidRPr="008E6629" w:rsidRDefault="008E6629" w:rsidP="008E6629">
      <w:pPr>
        <w:tabs>
          <w:tab w:val="left" w:pos="851"/>
        </w:tabs>
        <w:ind w:left="851"/>
        <w:rPr>
          <w:sz w:val="24"/>
          <w:szCs w:val="24"/>
          <w:lang w:val="en-GB"/>
        </w:rPr>
      </w:pPr>
    </w:p>
    <w:p w:rsidR="008E6629" w:rsidRPr="008E6629" w:rsidRDefault="008E6629" w:rsidP="008E6629">
      <w:pPr>
        <w:tabs>
          <w:tab w:val="left" w:pos="851"/>
        </w:tabs>
        <w:ind w:left="851"/>
        <w:rPr>
          <w:sz w:val="24"/>
          <w:szCs w:val="24"/>
          <w:lang w:val="en-GB"/>
        </w:rPr>
      </w:pPr>
      <w:r w:rsidRPr="008E6629">
        <w:rPr>
          <w:sz w:val="24"/>
          <w:szCs w:val="24"/>
          <w:lang w:val="en-GB"/>
        </w:rPr>
        <w:t>Non-clinical data revealed no hazard for humans based on standard male and female fertility studies in the rat (see section 5.3).</w:t>
      </w:r>
    </w:p>
    <w:p w:rsidR="007C5D2A" w:rsidRPr="008E6629"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CB6005" w:rsidRPr="00CB6005" w:rsidRDefault="00CB6005" w:rsidP="00CB6005">
      <w:pPr>
        <w:tabs>
          <w:tab w:val="left" w:pos="851"/>
        </w:tabs>
        <w:ind w:left="851"/>
        <w:rPr>
          <w:sz w:val="24"/>
          <w:szCs w:val="24"/>
          <w:lang w:val="en-GB"/>
        </w:rPr>
      </w:pPr>
      <w:r w:rsidRPr="00CB6005">
        <w:rPr>
          <w:sz w:val="24"/>
          <w:szCs w:val="24"/>
          <w:lang w:val="en-GB"/>
        </w:rPr>
        <w:t>Varenicline may have minor or moderate influence on the ability to drive and use machines. varenicline may cause dizziness, somnolence and transient loss of consciousness, and therefore may influence the ability to drive and use machines. Patients are advised not to drive, operate complex machinery or engage in other potentially hazardous activities until it is known whether this medicinal product affects their ability to perform these activities.</w:t>
      </w:r>
    </w:p>
    <w:p w:rsidR="007C5D2A" w:rsidRPr="00CB6005"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CB6005" w:rsidRDefault="00CB6005" w:rsidP="00CB6005">
      <w:pPr>
        <w:ind w:left="851"/>
        <w:rPr>
          <w:sz w:val="24"/>
          <w:szCs w:val="24"/>
          <w:u w:val="single"/>
          <w:lang w:val="en-US"/>
        </w:rPr>
      </w:pPr>
    </w:p>
    <w:p w:rsidR="00CB6005" w:rsidRPr="00CB6005" w:rsidRDefault="00CB6005" w:rsidP="00CB6005">
      <w:pPr>
        <w:ind w:left="851"/>
        <w:rPr>
          <w:sz w:val="24"/>
          <w:szCs w:val="24"/>
          <w:u w:val="single"/>
          <w:lang w:val="en-US"/>
        </w:rPr>
      </w:pPr>
      <w:r w:rsidRPr="00CB6005">
        <w:rPr>
          <w:sz w:val="24"/>
          <w:szCs w:val="24"/>
          <w:u w:val="single"/>
          <w:lang w:val="en-US"/>
        </w:rPr>
        <w:t>Summary of the safety profile</w:t>
      </w:r>
    </w:p>
    <w:p w:rsidR="00CB6005" w:rsidRPr="00CB6005" w:rsidRDefault="00CB6005" w:rsidP="00CB6005">
      <w:pPr>
        <w:ind w:left="851"/>
        <w:rPr>
          <w:sz w:val="24"/>
          <w:szCs w:val="24"/>
          <w:lang w:val="en-US"/>
        </w:rPr>
      </w:pPr>
      <w:r w:rsidRPr="00CB6005">
        <w:rPr>
          <w:sz w:val="24"/>
          <w:szCs w:val="24"/>
          <w:lang w:val="en-US"/>
        </w:rPr>
        <w:t>Smoking cessation with or without treatment is associated with various symptoms. For example, dysphoric or depressed mood; insomnia, irritability, frustration or anger; anxiety; difficulty concentrating; restlessness; decreased heart rate; increased appetite or weight gain have been reported in patients attempting to stop smoking. No attempt has been made in either the design or the analysis of the varenicline studies to distinguish between adverse reactions associated with study drug treatment or those possibly associated with nicotine withdrawal. Adverse drug reactions are based on evaluation of data from pre-marketing phase 2-3 studies and updated based on pooled data from 18 placebo-controlled pre- and post-marketing studies, including approximately 5,000 patients treated with varenicline.</w:t>
      </w:r>
    </w:p>
    <w:p w:rsidR="00CB6005" w:rsidRPr="00CB6005" w:rsidRDefault="00CB6005" w:rsidP="00CB6005">
      <w:pPr>
        <w:ind w:left="851"/>
        <w:rPr>
          <w:sz w:val="24"/>
          <w:szCs w:val="24"/>
          <w:lang w:val="en-US"/>
        </w:rPr>
      </w:pPr>
    </w:p>
    <w:p w:rsidR="00CB6005" w:rsidRPr="00CB6005" w:rsidRDefault="00CB6005" w:rsidP="00CB6005">
      <w:pPr>
        <w:ind w:left="851"/>
        <w:rPr>
          <w:sz w:val="24"/>
          <w:szCs w:val="24"/>
          <w:lang w:val="en-US"/>
        </w:rPr>
      </w:pPr>
      <w:r w:rsidRPr="00CB6005">
        <w:rPr>
          <w:sz w:val="24"/>
          <w:szCs w:val="24"/>
          <w:lang w:val="en-US"/>
        </w:rPr>
        <w:t>In patients treated with the recommended dose of 1 mg twice daily following an initial titration period the adverse event most commonly reported was nausea (28.6 %). In the majority of cases, nausea occurred early in the treatment period, was mild to moderate in severity and seldom resulted in discontinuation.</w:t>
      </w:r>
    </w:p>
    <w:p w:rsidR="00CB6005" w:rsidRPr="00CB6005" w:rsidRDefault="00CB6005" w:rsidP="00CB6005">
      <w:pPr>
        <w:ind w:left="851"/>
        <w:rPr>
          <w:sz w:val="24"/>
          <w:szCs w:val="24"/>
          <w:lang w:val="en-US"/>
        </w:rPr>
      </w:pPr>
    </w:p>
    <w:p w:rsidR="00CB6005" w:rsidRPr="00CB6005" w:rsidRDefault="00CB6005" w:rsidP="00CB6005">
      <w:pPr>
        <w:ind w:left="851"/>
        <w:rPr>
          <w:sz w:val="24"/>
          <w:szCs w:val="24"/>
          <w:u w:val="single"/>
          <w:lang w:val="en-US"/>
        </w:rPr>
      </w:pPr>
      <w:r w:rsidRPr="00CB6005">
        <w:rPr>
          <w:sz w:val="24"/>
          <w:szCs w:val="24"/>
          <w:u w:val="single"/>
          <w:lang w:val="en-US"/>
        </w:rPr>
        <w:t>Tabulated summary of adverse reactions</w:t>
      </w:r>
    </w:p>
    <w:p w:rsidR="00CB6005" w:rsidRPr="00CB6005" w:rsidRDefault="00CB6005" w:rsidP="00CB6005">
      <w:pPr>
        <w:ind w:left="851"/>
        <w:rPr>
          <w:sz w:val="24"/>
          <w:szCs w:val="24"/>
          <w:lang w:val="en-US"/>
        </w:rPr>
      </w:pPr>
      <w:r w:rsidRPr="00CB6005">
        <w:rPr>
          <w:sz w:val="24"/>
          <w:szCs w:val="24"/>
          <w:lang w:val="en-US"/>
        </w:rPr>
        <w:t>In the table below all adverse reactions, which occurred at an incidence greater than placebo are listed by system organ class and frequency (very common (≥ 1/10), common (≥ 1/100 to &lt; 1/10), uncommon (≥ 1/1,000 to &lt; 1/100) and rare (≥ 1/10,000 to &lt; 1/1,000)). Within each frequency grouping, undesirable effects are presented in order of decreasing seriousness.</w:t>
      </w:r>
    </w:p>
    <w:p w:rsidR="00CB6005" w:rsidRPr="00CB6005" w:rsidRDefault="00CB6005" w:rsidP="00CB6005">
      <w:pPr>
        <w:ind w:left="851"/>
        <w:rPr>
          <w:sz w:val="24"/>
          <w:szCs w:val="24"/>
          <w:lang w:val="en-US"/>
        </w:rPr>
      </w:pPr>
    </w:p>
    <w:tbl>
      <w:tblPr>
        <w:tblStyle w:val="Tabel-Gitter"/>
        <w:tblW w:w="9060" w:type="dxa"/>
        <w:tblInd w:w="846" w:type="dxa"/>
        <w:tblLook w:val="04A0" w:firstRow="1" w:lastRow="0" w:firstColumn="1" w:lastColumn="0" w:noHBand="0" w:noVBand="1"/>
      </w:tblPr>
      <w:tblGrid>
        <w:gridCol w:w="3114"/>
        <w:gridCol w:w="5946"/>
      </w:tblGrid>
      <w:tr w:rsidR="00CB6005" w:rsidRPr="00CB6005" w:rsidTr="00CB6005">
        <w:tc>
          <w:tcPr>
            <w:tcW w:w="3114" w:type="dxa"/>
          </w:tcPr>
          <w:p w:rsidR="00CB6005" w:rsidRPr="00CB6005" w:rsidRDefault="00CB6005" w:rsidP="00002931">
            <w:pPr>
              <w:spacing w:before="60" w:after="60"/>
              <w:rPr>
                <w:rFonts w:ascii="Arial" w:hAnsi="Arial" w:cs="Arial"/>
                <w:b/>
                <w:sz w:val="20"/>
              </w:rPr>
            </w:pPr>
            <w:r w:rsidRPr="00CB6005">
              <w:rPr>
                <w:rFonts w:ascii="Arial" w:hAnsi="Arial" w:cs="Arial"/>
                <w:b/>
                <w:sz w:val="20"/>
              </w:rPr>
              <w:t>System Organ Class</w:t>
            </w:r>
          </w:p>
        </w:tc>
        <w:tc>
          <w:tcPr>
            <w:tcW w:w="5946" w:type="dxa"/>
          </w:tcPr>
          <w:p w:rsidR="00CB6005" w:rsidRPr="00CB6005" w:rsidRDefault="00CB6005" w:rsidP="00002931">
            <w:pPr>
              <w:spacing w:before="60" w:after="60"/>
              <w:rPr>
                <w:rFonts w:ascii="Arial" w:hAnsi="Arial" w:cs="Arial"/>
                <w:b/>
                <w:sz w:val="20"/>
              </w:rPr>
            </w:pPr>
            <w:r w:rsidRPr="00CB6005">
              <w:rPr>
                <w:rFonts w:ascii="Arial" w:hAnsi="Arial" w:cs="Arial"/>
                <w:b/>
                <w:sz w:val="20"/>
              </w:rPr>
              <w:t>Adverse Drug Reactions</w:t>
            </w:r>
          </w:p>
        </w:tc>
      </w:tr>
      <w:tr w:rsidR="00CB6005" w:rsidRPr="00CB6005" w:rsidTr="00CB6005">
        <w:tc>
          <w:tcPr>
            <w:tcW w:w="9060" w:type="dxa"/>
            <w:gridSpan w:val="2"/>
          </w:tcPr>
          <w:p w:rsidR="00CB6005" w:rsidRPr="00CB6005" w:rsidRDefault="00CB6005" w:rsidP="00002931">
            <w:pPr>
              <w:spacing w:before="60" w:after="60"/>
              <w:rPr>
                <w:rFonts w:ascii="Arial" w:hAnsi="Arial" w:cs="Arial"/>
                <w:b/>
                <w:i/>
                <w:sz w:val="20"/>
              </w:rPr>
            </w:pPr>
            <w:r w:rsidRPr="00CB6005">
              <w:rPr>
                <w:rFonts w:ascii="Arial" w:hAnsi="Arial" w:cs="Arial"/>
                <w:b/>
                <w:i/>
                <w:sz w:val="20"/>
              </w:rPr>
              <w:t>Infections and infestations</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Very common</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Nasopharyngitis.</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Common</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Bronchitis, sinusitis.</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Uncommon</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Fungal infection, viral infection.</w:t>
            </w:r>
          </w:p>
        </w:tc>
      </w:tr>
      <w:tr w:rsidR="00CB6005" w:rsidRPr="00795FCE" w:rsidTr="00CB6005">
        <w:tc>
          <w:tcPr>
            <w:tcW w:w="9060" w:type="dxa"/>
            <w:gridSpan w:val="2"/>
          </w:tcPr>
          <w:p w:rsidR="00CB6005" w:rsidRPr="00CB6005" w:rsidRDefault="00CB6005" w:rsidP="00002931">
            <w:pPr>
              <w:spacing w:before="60" w:after="60"/>
              <w:rPr>
                <w:rFonts w:ascii="Arial" w:hAnsi="Arial" w:cs="Arial"/>
                <w:sz w:val="20"/>
                <w:lang w:val="en-US"/>
              </w:rPr>
            </w:pPr>
            <w:r w:rsidRPr="00CB6005">
              <w:rPr>
                <w:rFonts w:ascii="Arial" w:hAnsi="Arial" w:cs="Arial"/>
                <w:b/>
                <w:i/>
                <w:sz w:val="20"/>
                <w:lang w:val="en-US"/>
              </w:rPr>
              <w:t>Blood and</w:t>
            </w:r>
            <w:r w:rsidRPr="00CB6005">
              <w:rPr>
                <w:rFonts w:ascii="Arial" w:hAnsi="Arial" w:cs="Arial"/>
                <w:sz w:val="20"/>
                <w:lang w:val="en-US"/>
              </w:rPr>
              <w:t xml:space="preserve"> </w:t>
            </w:r>
            <w:r w:rsidRPr="00CB6005">
              <w:rPr>
                <w:rFonts w:ascii="Arial" w:hAnsi="Arial" w:cs="Arial"/>
                <w:b/>
                <w:i/>
                <w:sz w:val="20"/>
                <w:lang w:val="en-US"/>
              </w:rPr>
              <w:t>lymphatic system disorders</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Rare</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Platelet count decreased.</w:t>
            </w:r>
          </w:p>
        </w:tc>
      </w:tr>
      <w:tr w:rsidR="00CB6005" w:rsidRPr="00CB6005" w:rsidTr="00CB6005">
        <w:tc>
          <w:tcPr>
            <w:tcW w:w="9060" w:type="dxa"/>
            <w:gridSpan w:val="2"/>
          </w:tcPr>
          <w:p w:rsidR="00CB6005" w:rsidRPr="00CB6005" w:rsidRDefault="00CB6005" w:rsidP="00002931">
            <w:pPr>
              <w:spacing w:before="60" w:after="60"/>
              <w:rPr>
                <w:rFonts w:ascii="Arial" w:hAnsi="Arial" w:cs="Arial"/>
                <w:sz w:val="20"/>
              </w:rPr>
            </w:pPr>
            <w:r w:rsidRPr="00CB6005">
              <w:rPr>
                <w:rFonts w:ascii="Arial" w:hAnsi="Arial" w:cs="Arial"/>
                <w:b/>
                <w:i/>
                <w:sz w:val="20"/>
              </w:rPr>
              <w:t>Metabolism and nutrition disorders</w:t>
            </w:r>
          </w:p>
        </w:tc>
      </w:tr>
      <w:tr w:rsidR="00CB6005" w:rsidRPr="00795FCE"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Common</w:t>
            </w:r>
          </w:p>
        </w:tc>
        <w:tc>
          <w:tcPr>
            <w:tcW w:w="5946" w:type="dxa"/>
          </w:tcPr>
          <w:p w:rsidR="00CB6005" w:rsidRPr="00CB6005" w:rsidRDefault="00CB6005" w:rsidP="00002931">
            <w:pPr>
              <w:spacing w:before="60" w:after="60"/>
              <w:rPr>
                <w:rFonts w:ascii="Arial" w:hAnsi="Arial" w:cs="Arial"/>
                <w:sz w:val="20"/>
                <w:lang w:val="en-US"/>
              </w:rPr>
            </w:pPr>
            <w:r w:rsidRPr="00CB6005">
              <w:rPr>
                <w:rFonts w:ascii="Arial" w:hAnsi="Arial" w:cs="Arial"/>
                <w:sz w:val="20"/>
                <w:lang w:val="en-US"/>
              </w:rPr>
              <w:t>Weight increased, decreased appetite, increased appetite.</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Uncommon</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Hyperglycaemia.</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Rare</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Diabetes mellitus, polydipsia.</w:t>
            </w:r>
          </w:p>
        </w:tc>
      </w:tr>
      <w:tr w:rsidR="00CB6005" w:rsidRPr="00CB6005" w:rsidTr="00CB6005">
        <w:tc>
          <w:tcPr>
            <w:tcW w:w="9060" w:type="dxa"/>
            <w:gridSpan w:val="2"/>
          </w:tcPr>
          <w:p w:rsidR="00CB6005" w:rsidRPr="00CB6005" w:rsidRDefault="00CB6005" w:rsidP="00002931">
            <w:pPr>
              <w:spacing w:before="60" w:after="60"/>
              <w:rPr>
                <w:rFonts w:ascii="Arial" w:hAnsi="Arial" w:cs="Arial"/>
                <w:sz w:val="20"/>
              </w:rPr>
            </w:pPr>
            <w:r w:rsidRPr="00CB6005">
              <w:rPr>
                <w:rFonts w:ascii="Arial" w:hAnsi="Arial" w:cs="Arial"/>
                <w:b/>
                <w:i/>
                <w:sz w:val="20"/>
              </w:rPr>
              <w:t>Psychiatric disorders</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Very common</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Abnormal dreams, insomnia.</w:t>
            </w:r>
          </w:p>
        </w:tc>
      </w:tr>
      <w:tr w:rsidR="00CB6005" w:rsidRPr="00795FCE"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Uncommon</w:t>
            </w:r>
          </w:p>
        </w:tc>
        <w:tc>
          <w:tcPr>
            <w:tcW w:w="5946" w:type="dxa"/>
          </w:tcPr>
          <w:p w:rsidR="00CB6005" w:rsidRPr="00CB6005" w:rsidRDefault="00CB6005" w:rsidP="00002931">
            <w:pPr>
              <w:spacing w:before="60" w:after="60"/>
              <w:rPr>
                <w:rFonts w:ascii="Arial" w:hAnsi="Arial" w:cs="Arial"/>
                <w:sz w:val="20"/>
                <w:lang w:val="en-US"/>
              </w:rPr>
            </w:pPr>
            <w:r w:rsidRPr="00CB6005">
              <w:rPr>
                <w:rFonts w:ascii="Arial" w:hAnsi="Arial" w:cs="Arial"/>
                <w:sz w:val="20"/>
                <w:lang w:val="en-US"/>
              </w:rPr>
              <w:t>Suicidal ideation, aggression, panic reaction, thinking abnormal, restlessness, mood swings, depression *, anxiety *, hallucinations *, libido increased, libido decreased.</w:t>
            </w:r>
          </w:p>
        </w:tc>
      </w:tr>
      <w:tr w:rsidR="00CB6005" w:rsidRPr="00795FCE"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Rare</w:t>
            </w:r>
          </w:p>
        </w:tc>
        <w:tc>
          <w:tcPr>
            <w:tcW w:w="5946" w:type="dxa"/>
          </w:tcPr>
          <w:p w:rsidR="00CB6005" w:rsidRPr="00CB6005" w:rsidRDefault="00CB6005" w:rsidP="00002931">
            <w:pPr>
              <w:spacing w:before="60" w:after="60"/>
              <w:rPr>
                <w:rFonts w:ascii="Arial" w:hAnsi="Arial" w:cs="Arial"/>
                <w:sz w:val="20"/>
                <w:lang w:val="en-US"/>
              </w:rPr>
            </w:pPr>
            <w:r w:rsidRPr="00CB6005">
              <w:rPr>
                <w:rFonts w:ascii="Arial" w:hAnsi="Arial" w:cs="Arial"/>
                <w:sz w:val="20"/>
                <w:lang w:val="en-US"/>
              </w:rPr>
              <w:t>Psychosis, somnambulism, abnormal behaviour, dysphoria, bradyphrenia.</w:t>
            </w:r>
          </w:p>
        </w:tc>
      </w:tr>
      <w:tr w:rsidR="00CB6005" w:rsidRPr="00CB6005" w:rsidTr="00CB6005">
        <w:tc>
          <w:tcPr>
            <w:tcW w:w="9060" w:type="dxa"/>
            <w:gridSpan w:val="2"/>
          </w:tcPr>
          <w:p w:rsidR="00CB6005" w:rsidRPr="00CB6005" w:rsidRDefault="00CB6005" w:rsidP="00002931">
            <w:pPr>
              <w:spacing w:before="60" w:after="60"/>
              <w:rPr>
                <w:rFonts w:ascii="Arial" w:hAnsi="Arial" w:cs="Arial"/>
                <w:sz w:val="20"/>
              </w:rPr>
            </w:pPr>
            <w:r w:rsidRPr="00CB6005">
              <w:rPr>
                <w:rFonts w:ascii="Arial" w:hAnsi="Arial" w:cs="Arial"/>
                <w:b/>
                <w:i/>
                <w:sz w:val="20"/>
              </w:rPr>
              <w:t>Nervous system disorders</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Very common</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Headache.</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lastRenderedPageBreak/>
              <w:t>Common</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Somnolence, dizziness, dysgeusia.</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Uncommon</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Seizure, tremor, lethargy, hypoaesthesia.</w:t>
            </w:r>
          </w:p>
        </w:tc>
      </w:tr>
      <w:tr w:rsidR="00CB6005" w:rsidRPr="00795FCE"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Rare</w:t>
            </w:r>
          </w:p>
        </w:tc>
        <w:tc>
          <w:tcPr>
            <w:tcW w:w="5946" w:type="dxa"/>
          </w:tcPr>
          <w:p w:rsidR="00CB6005" w:rsidRPr="00CB6005" w:rsidRDefault="00CB6005" w:rsidP="00002931">
            <w:pPr>
              <w:spacing w:before="60" w:after="60"/>
              <w:rPr>
                <w:rFonts w:ascii="Arial" w:hAnsi="Arial" w:cs="Arial"/>
                <w:sz w:val="20"/>
                <w:lang w:val="en-US"/>
              </w:rPr>
            </w:pPr>
            <w:r w:rsidRPr="00CB6005">
              <w:rPr>
                <w:rFonts w:ascii="Arial" w:hAnsi="Arial" w:cs="Arial"/>
                <w:sz w:val="20"/>
                <w:lang w:val="en-US"/>
              </w:rPr>
              <w:t>Cerebrovascular accident, hypertonia, dysarthria, coordination abnormal, hypogeusia, circadian rhythm sleep disorder.</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Not known</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Transient loss of consciousness.</w:t>
            </w:r>
          </w:p>
        </w:tc>
      </w:tr>
      <w:tr w:rsidR="00CB6005" w:rsidRPr="00CB6005" w:rsidTr="00CB6005">
        <w:tc>
          <w:tcPr>
            <w:tcW w:w="9060" w:type="dxa"/>
            <w:gridSpan w:val="2"/>
          </w:tcPr>
          <w:p w:rsidR="00CB6005" w:rsidRPr="00CB6005" w:rsidRDefault="00CB6005" w:rsidP="00002931">
            <w:pPr>
              <w:spacing w:before="60" w:after="60"/>
              <w:rPr>
                <w:rFonts w:ascii="Arial" w:hAnsi="Arial" w:cs="Arial"/>
                <w:sz w:val="20"/>
              </w:rPr>
            </w:pPr>
            <w:r w:rsidRPr="00CB6005">
              <w:rPr>
                <w:rFonts w:ascii="Arial" w:hAnsi="Arial" w:cs="Arial"/>
                <w:b/>
                <w:i/>
                <w:sz w:val="20"/>
              </w:rPr>
              <w:t>Eye disorders</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Uncommon</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Conjunctivitis, eye pain.</w:t>
            </w:r>
          </w:p>
        </w:tc>
      </w:tr>
      <w:tr w:rsidR="00CB6005" w:rsidRPr="00795FCE"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Rare</w:t>
            </w:r>
          </w:p>
        </w:tc>
        <w:tc>
          <w:tcPr>
            <w:tcW w:w="5946" w:type="dxa"/>
          </w:tcPr>
          <w:p w:rsidR="00CB6005" w:rsidRPr="00CB6005" w:rsidRDefault="00CB6005" w:rsidP="00002931">
            <w:pPr>
              <w:spacing w:before="60" w:after="60"/>
              <w:rPr>
                <w:rFonts w:ascii="Arial" w:hAnsi="Arial" w:cs="Arial"/>
                <w:sz w:val="20"/>
                <w:lang w:val="en-US"/>
              </w:rPr>
            </w:pPr>
            <w:r w:rsidRPr="00CB6005">
              <w:rPr>
                <w:rFonts w:ascii="Arial" w:hAnsi="Arial" w:cs="Arial"/>
                <w:sz w:val="20"/>
                <w:lang w:val="en-US"/>
              </w:rPr>
              <w:t>Scotoma, scleral discolouration, mydriasis, photophobia, myopia, lacrimation increased.</w:t>
            </w:r>
          </w:p>
        </w:tc>
      </w:tr>
      <w:tr w:rsidR="00CB6005" w:rsidRPr="00CB6005" w:rsidTr="00CB6005">
        <w:tc>
          <w:tcPr>
            <w:tcW w:w="9060" w:type="dxa"/>
            <w:gridSpan w:val="2"/>
          </w:tcPr>
          <w:p w:rsidR="00CB6005" w:rsidRPr="00CB6005" w:rsidRDefault="00CB6005" w:rsidP="00002931">
            <w:pPr>
              <w:spacing w:before="60" w:after="60"/>
              <w:rPr>
                <w:rFonts w:ascii="Arial" w:hAnsi="Arial" w:cs="Arial"/>
                <w:sz w:val="20"/>
              </w:rPr>
            </w:pPr>
            <w:r w:rsidRPr="00CB6005">
              <w:rPr>
                <w:rFonts w:ascii="Arial" w:hAnsi="Arial" w:cs="Arial"/>
                <w:b/>
                <w:i/>
                <w:sz w:val="20"/>
              </w:rPr>
              <w:t>Ear and labyrinth disorders</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Uncommon</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Tinnitus.</w:t>
            </w:r>
          </w:p>
        </w:tc>
      </w:tr>
      <w:tr w:rsidR="00CB6005" w:rsidRPr="00CB6005" w:rsidTr="00CB6005">
        <w:tc>
          <w:tcPr>
            <w:tcW w:w="9060" w:type="dxa"/>
            <w:gridSpan w:val="2"/>
          </w:tcPr>
          <w:p w:rsidR="00CB6005" w:rsidRPr="00CB6005" w:rsidRDefault="00CB6005" w:rsidP="00002931">
            <w:pPr>
              <w:spacing w:before="60" w:after="60"/>
              <w:rPr>
                <w:rFonts w:ascii="Arial" w:hAnsi="Arial" w:cs="Arial"/>
                <w:sz w:val="20"/>
              </w:rPr>
            </w:pPr>
            <w:r w:rsidRPr="00CB6005">
              <w:rPr>
                <w:rFonts w:ascii="Arial" w:hAnsi="Arial" w:cs="Arial"/>
                <w:b/>
                <w:i/>
                <w:sz w:val="20"/>
              </w:rPr>
              <w:t>Cardiac disorders</w:t>
            </w:r>
          </w:p>
        </w:tc>
      </w:tr>
      <w:tr w:rsidR="00CB6005" w:rsidRPr="00795FCE"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Uncommon</w:t>
            </w:r>
          </w:p>
        </w:tc>
        <w:tc>
          <w:tcPr>
            <w:tcW w:w="5946" w:type="dxa"/>
          </w:tcPr>
          <w:p w:rsidR="00CB6005" w:rsidRPr="00CB6005" w:rsidRDefault="00CB6005" w:rsidP="00002931">
            <w:pPr>
              <w:spacing w:before="60" w:after="60"/>
              <w:rPr>
                <w:rFonts w:ascii="Arial" w:hAnsi="Arial" w:cs="Arial"/>
                <w:sz w:val="20"/>
                <w:lang w:val="en-US"/>
              </w:rPr>
            </w:pPr>
            <w:r w:rsidRPr="00CB6005">
              <w:rPr>
                <w:rFonts w:ascii="Arial" w:hAnsi="Arial" w:cs="Arial"/>
                <w:sz w:val="20"/>
                <w:lang w:val="en-US"/>
              </w:rPr>
              <w:t>Myocardial infarction, angina pectoris, tachycardia, palpitations, heart rate increased.</w:t>
            </w:r>
          </w:p>
        </w:tc>
      </w:tr>
      <w:tr w:rsidR="00CB6005" w:rsidRPr="00795FCE"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Rare</w:t>
            </w:r>
          </w:p>
        </w:tc>
        <w:tc>
          <w:tcPr>
            <w:tcW w:w="5946" w:type="dxa"/>
          </w:tcPr>
          <w:p w:rsidR="00CB6005" w:rsidRPr="00CB6005" w:rsidRDefault="00CB6005" w:rsidP="00002931">
            <w:pPr>
              <w:spacing w:before="60" w:after="60"/>
              <w:rPr>
                <w:rFonts w:ascii="Arial" w:hAnsi="Arial" w:cs="Arial"/>
                <w:sz w:val="20"/>
                <w:lang w:val="en-US"/>
              </w:rPr>
            </w:pPr>
            <w:r w:rsidRPr="00CB6005">
              <w:rPr>
                <w:rFonts w:ascii="Arial" w:hAnsi="Arial" w:cs="Arial"/>
                <w:sz w:val="20"/>
                <w:lang w:val="en-US"/>
              </w:rPr>
              <w:t>Atrial fibrillation, electrocardiogram ST segment depression, electrocardiogram T wave amplitude decreased.</w:t>
            </w:r>
          </w:p>
        </w:tc>
      </w:tr>
      <w:tr w:rsidR="00CB6005" w:rsidRPr="00CB6005" w:rsidTr="00CB6005">
        <w:tc>
          <w:tcPr>
            <w:tcW w:w="9060" w:type="dxa"/>
            <w:gridSpan w:val="2"/>
          </w:tcPr>
          <w:p w:rsidR="00CB6005" w:rsidRPr="00CB6005" w:rsidRDefault="00CB6005" w:rsidP="00002931">
            <w:pPr>
              <w:spacing w:before="60" w:after="60"/>
              <w:rPr>
                <w:rFonts w:ascii="Arial" w:hAnsi="Arial" w:cs="Arial"/>
                <w:b/>
                <w:i/>
                <w:sz w:val="20"/>
              </w:rPr>
            </w:pPr>
            <w:r w:rsidRPr="00CB6005">
              <w:rPr>
                <w:rFonts w:ascii="Arial" w:hAnsi="Arial" w:cs="Arial"/>
                <w:b/>
                <w:i/>
                <w:sz w:val="20"/>
              </w:rPr>
              <w:t>Vascular disorders</w:t>
            </w:r>
          </w:p>
        </w:tc>
      </w:tr>
      <w:tr w:rsidR="00CB6005" w:rsidRPr="00795FCE"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Uncommon</w:t>
            </w:r>
          </w:p>
        </w:tc>
        <w:tc>
          <w:tcPr>
            <w:tcW w:w="5946" w:type="dxa"/>
          </w:tcPr>
          <w:p w:rsidR="00CB6005" w:rsidRPr="00CB6005" w:rsidRDefault="00CB6005" w:rsidP="00002931">
            <w:pPr>
              <w:spacing w:before="60" w:after="60"/>
              <w:rPr>
                <w:rFonts w:ascii="Arial" w:hAnsi="Arial" w:cs="Arial"/>
                <w:sz w:val="20"/>
                <w:lang w:val="en-US"/>
              </w:rPr>
            </w:pPr>
            <w:r w:rsidRPr="00CB6005">
              <w:rPr>
                <w:rFonts w:ascii="Arial" w:hAnsi="Arial" w:cs="Arial"/>
                <w:sz w:val="20"/>
                <w:lang w:val="en-US"/>
              </w:rPr>
              <w:t>Blood pressure increased, hot flush.</w:t>
            </w:r>
          </w:p>
        </w:tc>
      </w:tr>
      <w:tr w:rsidR="00CB6005" w:rsidRPr="00795FCE" w:rsidTr="00CB6005">
        <w:tc>
          <w:tcPr>
            <w:tcW w:w="9060" w:type="dxa"/>
            <w:gridSpan w:val="2"/>
          </w:tcPr>
          <w:p w:rsidR="00CB6005" w:rsidRPr="00CB6005" w:rsidRDefault="00CB6005" w:rsidP="00002931">
            <w:pPr>
              <w:spacing w:before="60" w:after="60"/>
              <w:rPr>
                <w:rFonts w:ascii="Arial" w:hAnsi="Arial" w:cs="Arial"/>
                <w:b/>
                <w:i/>
                <w:sz w:val="20"/>
                <w:lang w:val="en-US"/>
              </w:rPr>
            </w:pPr>
            <w:r w:rsidRPr="00CB6005">
              <w:rPr>
                <w:rFonts w:ascii="Arial" w:hAnsi="Arial" w:cs="Arial"/>
                <w:b/>
                <w:i/>
                <w:sz w:val="20"/>
                <w:lang w:val="en-US"/>
              </w:rPr>
              <w:t>Respiratory, thoracic and mediastinal disorders</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Common</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Dyspnoea, cough.</w:t>
            </w:r>
          </w:p>
        </w:tc>
      </w:tr>
      <w:tr w:rsidR="00CB6005" w:rsidRPr="00795FCE"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Uncommon</w:t>
            </w:r>
          </w:p>
        </w:tc>
        <w:tc>
          <w:tcPr>
            <w:tcW w:w="5946" w:type="dxa"/>
          </w:tcPr>
          <w:p w:rsidR="00CB6005" w:rsidRPr="00CB6005" w:rsidRDefault="00CB6005" w:rsidP="00002931">
            <w:pPr>
              <w:spacing w:before="60" w:after="60"/>
              <w:rPr>
                <w:rFonts w:ascii="Arial" w:hAnsi="Arial" w:cs="Arial"/>
                <w:sz w:val="20"/>
                <w:lang w:val="en-US"/>
              </w:rPr>
            </w:pPr>
            <w:r w:rsidRPr="00CB6005">
              <w:rPr>
                <w:rFonts w:ascii="Arial" w:hAnsi="Arial" w:cs="Arial"/>
                <w:sz w:val="20"/>
                <w:lang w:val="en-US"/>
              </w:rPr>
              <w:t>Upper respiratory tract inflammation, respiratory tract congestion, dysphonia, rhinitis allergic, throat irritation, sinus congestion, upper- airway cough syndrome, rhinorrhea.</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Rare</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Laryngeal pain, snoring.</w:t>
            </w:r>
          </w:p>
        </w:tc>
      </w:tr>
      <w:tr w:rsidR="00CB6005" w:rsidRPr="00CB6005" w:rsidTr="00CB6005">
        <w:tc>
          <w:tcPr>
            <w:tcW w:w="9060" w:type="dxa"/>
            <w:gridSpan w:val="2"/>
          </w:tcPr>
          <w:p w:rsidR="00CB6005" w:rsidRPr="00CB6005" w:rsidRDefault="00CB6005" w:rsidP="00002931">
            <w:pPr>
              <w:spacing w:before="60" w:after="60"/>
              <w:rPr>
                <w:rFonts w:ascii="Arial" w:hAnsi="Arial" w:cs="Arial"/>
                <w:b/>
                <w:i/>
                <w:sz w:val="20"/>
              </w:rPr>
            </w:pPr>
            <w:r w:rsidRPr="00CB6005">
              <w:rPr>
                <w:rFonts w:ascii="Arial" w:hAnsi="Arial" w:cs="Arial"/>
                <w:b/>
                <w:i/>
                <w:sz w:val="20"/>
              </w:rPr>
              <w:t>Gastrointestinal disorders</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Very common</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Nausea.</w:t>
            </w:r>
          </w:p>
        </w:tc>
      </w:tr>
      <w:tr w:rsidR="00CB6005" w:rsidRPr="00795FCE"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Common</w:t>
            </w:r>
          </w:p>
        </w:tc>
        <w:tc>
          <w:tcPr>
            <w:tcW w:w="5946" w:type="dxa"/>
          </w:tcPr>
          <w:p w:rsidR="00CB6005" w:rsidRPr="00CB6005" w:rsidRDefault="00CB6005" w:rsidP="00002931">
            <w:pPr>
              <w:spacing w:before="60" w:after="60"/>
              <w:rPr>
                <w:rFonts w:ascii="Arial" w:hAnsi="Arial" w:cs="Arial"/>
                <w:sz w:val="20"/>
                <w:lang w:val="en-US"/>
              </w:rPr>
            </w:pPr>
            <w:r w:rsidRPr="00CB6005">
              <w:rPr>
                <w:rFonts w:ascii="Arial" w:hAnsi="Arial" w:cs="Arial"/>
                <w:sz w:val="20"/>
                <w:lang w:val="en-US"/>
              </w:rPr>
              <w:t>Gastrooesophageal reflux disease, vomiting, constipation, diarrhoea, abdominal distension, abdominal pain, toothache, dyspepsia, flatulence, dry mouth.</w:t>
            </w:r>
          </w:p>
        </w:tc>
      </w:tr>
      <w:tr w:rsidR="00CB6005" w:rsidRPr="00795FCE"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Uncommon</w:t>
            </w:r>
          </w:p>
        </w:tc>
        <w:tc>
          <w:tcPr>
            <w:tcW w:w="5946" w:type="dxa"/>
          </w:tcPr>
          <w:p w:rsidR="00CB6005" w:rsidRPr="00CB6005" w:rsidRDefault="00CB6005" w:rsidP="00002931">
            <w:pPr>
              <w:spacing w:before="60" w:after="60"/>
              <w:rPr>
                <w:rFonts w:ascii="Arial" w:hAnsi="Arial" w:cs="Arial"/>
                <w:sz w:val="20"/>
                <w:lang w:val="en-US"/>
              </w:rPr>
            </w:pPr>
            <w:r w:rsidRPr="00CB6005">
              <w:rPr>
                <w:rFonts w:ascii="Arial" w:hAnsi="Arial" w:cs="Arial"/>
                <w:sz w:val="20"/>
                <w:lang w:val="en-US"/>
              </w:rPr>
              <w:t>Haematochezia, gastritis, change of bowel habit, eructation, aphthous stomatitis, gingival pain.</w:t>
            </w:r>
          </w:p>
        </w:tc>
      </w:tr>
      <w:tr w:rsidR="00CB6005" w:rsidRPr="00795FCE"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Rare</w:t>
            </w:r>
          </w:p>
        </w:tc>
        <w:tc>
          <w:tcPr>
            <w:tcW w:w="5946" w:type="dxa"/>
          </w:tcPr>
          <w:p w:rsidR="00CB6005" w:rsidRPr="00CB6005" w:rsidRDefault="00CB6005" w:rsidP="00002931">
            <w:pPr>
              <w:spacing w:before="60" w:after="60"/>
              <w:rPr>
                <w:rFonts w:ascii="Arial" w:hAnsi="Arial" w:cs="Arial"/>
                <w:sz w:val="20"/>
                <w:lang w:val="en-US"/>
              </w:rPr>
            </w:pPr>
            <w:r w:rsidRPr="00CB6005">
              <w:rPr>
                <w:rFonts w:ascii="Arial" w:hAnsi="Arial" w:cs="Arial"/>
                <w:sz w:val="20"/>
                <w:lang w:val="en-US"/>
              </w:rPr>
              <w:t>Haematemesis, abnormal faeces, tongue coated.</w:t>
            </w:r>
          </w:p>
        </w:tc>
      </w:tr>
      <w:tr w:rsidR="00CB6005" w:rsidRPr="00795FCE" w:rsidTr="00CB6005">
        <w:tc>
          <w:tcPr>
            <w:tcW w:w="9060" w:type="dxa"/>
            <w:gridSpan w:val="2"/>
          </w:tcPr>
          <w:p w:rsidR="00CB6005" w:rsidRPr="00CB6005" w:rsidRDefault="00CB6005" w:rsidP="00002931">
            <w:pPr>
              <w:spacing w:before="60" w:after="60"/>
              <w:rPr>
                <w:rFonts w:ascii="Arial" w:hAnsi="Arial" w:cs="Arial"/>
                <w:b/>
                <w:i/>
                <w:sz w:val="20"/>
                <w:lang w:val="en-US"/>
              </w:rPr>
            </w:pPr>
            <w:r w:rsidRPr="00CB6005">
              <w:rPr>
                <w:rFonts w:ascii="Arial" w:hAnsi="Arial" w:cs="Arial"/>
                <w:b/>
                <w:i/>
                <w:sz w:val="20"/>
                <w:lang w:val="en-US"/>
              </w:rPr>
              <w:t>Skin and subcutaneous tissue disorders</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Common</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Rash, pruritus.</w:t>
            </w:r>
          </w:p>
        </w:tc>
      </w:tr>
      <w:tr w:rsidR="00CB6005" w:rsidRPr="00795FCE"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Uncommon</w:t>
            </w:r>
          </w:p>
        </w:tc>
        <w:tc>
          <w:tcPr>
            <w:tcW w:w="5946" w:type="dxa"/>
          </w:tcPr>
          <w:p w:rsidR="00CB6005" w:rsidRPr="00CB6005" w:rsidRDefault="00CB6005" w:rsidP="00002931">
            <w:pPr>
              <w:spacing w:before="60" w:after="60"/>
              <w:rPr>
                <w:rFonts w:ascii="Arial" w:hAnsi="Arial" w:cs="Arial"/>
                <w:sz w:val="20"/>
                <w:lang w:val="en-US"/>
              </w:rPr>
            </w:pPr>
            <w:r w:rsidRPr="00CB6005">
              <w:rPr>
                <w:rFonts w:ascii="Arial" w:hAnsi="Arial" w:cs="Arial"/>
                <w:sz w:val="20"/>
                <w:lang w:val="en-US"/>
              </w:rPr>
              <w:t>Erythema, acne, hyperhidrosis, night sweats.</w:t>
            </w:r>
          </w:p>
        </w:tc>
      </w:tr>
      <w:tr w:rsidR="00CB6005" w:rsidRPr="00795FCE"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Rare</w:t>
            </w:r>
          </w:p>
        </w:tc>
        <w:tc>
          <w:tcPr>
            <w:tcW w:w="5946" w:type="dxa"/>
          </w:tcPr>
          <w:p w:rsidR="00CB6005" w:rsidRPr="00CB6005" w:rsidRDefault="00CB6005" w:rsidP="00002931">
            <w:pPr>
              <w:spacing w:before="60" w:after="60"/>
              <w:rPr>
                <w:rFonts w:ascii="Arial" w:hAnsi="Arial" w:cs="Arial"/>
                <w:sz w:val="20"/>
                <w:lang w:val="en-US"/>
              </w:rPr>
            </w:pPr>
            <w:r w:rsidRPr="00CB6005">
              <w:rPr>
                <w:rFonts w:ascii="Arial" w:hAnsi="Arial" w:cs="Arial"/>
                <w:sz w:val="20"/>
                <w:lang w:val="en-US"/>
              </w:rPr>
              <w:t>Severe cutaneous reactions, including Stevens Johnson Syndrome and Erythema Multiforme, angioedema.</w:t>
            </w:r>
          </w:p>
        </w:tc>
      </w:tr>
      <w:tr w:rsidR="00CB6005" w:rsidRPr="00795FCE" w:rsidTr="00CB6005">
        <w:tc>
          <w:tcPr>
            <w:tcW w:w="9060" w:type="dxa"/>
            <w:gridSpan w:val="2"/>
          </w:tcPr>
          <w:p w:rsidR="00CB6005" w:rsidRPr="00CB6005" w:rsidRDefault="00CB6005" w:rsidP="00002931">
            <w:pPr>
              <w:spacing w:before="60" w:after="60"/>
              <w:rPr>
                <w:rFonts w:ascii="Arial" w:hAnsi="Arial" w:cs="Arial"/>
                <w:b/>
                <w:i/>
                <w:sz w:val="20"/>
                <w:lang w:val="en-US"/>
              </w:rPr>
            </w:pPr>
            <w:r w:rsidRPr="00CB6005">
              <w:rPr>
                <w:rFonts w:ascii="Arial" w:hAnsi="Arial" w:cs="Arial"/>
                <w:b/>
                <w:i/>
                <w:sz w:val="20"/>
                <w:lang w:val="en-US"/>
              </w:rPr>
              <w:t>Musculoskeletal and connective tissue disorders</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Common</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Arthralgia, myalgia, back pain.</w:t>
            </w:r>
          </w:p>
        </w:tc>
      </w:tr>
      <w:tr w:rsidR="00CB6005" w:rsidRPr="00795FCE"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Uncommon</w:t>
            </w:r>
          </w:p>
        </w:tc>
        <w:tc>
          <w:tcPr>
            <w:tcW w:w="5946" w:type="dxa"/>
          </w:tcPr>
          <w:p w:rsidR="00CB6005" w:rsidRPr="00CB6005" w:rsidRDefault="00CB6005" w:rsidP="00002931">
            <w:pPr>
              <w:spacing w:before="60" w:after="60"/>
              <w:rPr>
                <w:rFonts w:ascii="Arial" w:hAnsi="Arial" w:cs="Arial"/>
                <w:sz w:val="20"/>
                <w:lang w:val="en-US"/>
              </w:rPr>
            </w:pPr>
            <w:r w:rsidRPr="00CB6005">
              <w:rPr>
                <w:rFonts w:ascii="Arial" w:hAnsi="Arial" w:cs="Arial"/>
                <w:sz w:val="20"/>
                <w:lang w:val="en-US"/>
              </w:rPr>
              <w:t>Muscle spasms, musculoskeletal chest pain.</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Rare</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Joint stiffness, costochondritis.</w:t>
            </w:r>
          </w:p>
        </w:tc>
      </w:tr>
      <w:tr w:rsidR="00CB6005" w:rsidRPr="00CB6005" w:rsidTr="00CB6005">
        <w:tc>
          <w:tcPr>
            <w:tcW w:w="9060" w:type="dxa"/>
            <w:gridSpan w:val="2"/>
          </w:tcPr>
          <w:p w:rsidR="00CB6005" w:rsidRPr="00CB6005" w:rsidRDefault="00CB6005" w:rsidP="00002931">
            <w:pPr>
              <w:spacing w:before="60" w:after="60"/>
              <w:rPr>
                <w:rFonts w:ascii="Arial" w:hAnsi="Arial" w:cs="Arial"/>
                <w:b/>
                <w:i/>
                <w:sz w:val="20"/>
              </w:rPr>
            </w:pPr>
            <w:r w:rsidRPr="00CB6005">
              <w:rPr>
                <w:rFonts w:ascii="Arial" w:hAnsi="Arial" w:cs="Arial"/>
                <w:b/>
                <w:i/>
                <w:sz w:val="20"/>
              </w:rPr>
              <w:t>Renal and urinary disorders</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lastRenderedPageBreak/>
              <w:t>Uncommon</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Pollakiuria, nocturia.</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Rare</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Glycosuria, polyuria.</w:t>
            </w:r>
          </w:p>
        </w:tc>
      </w:tr>
      <w:tr w:rsidR="00CB6005" w:rsidRPr="00795FCE" w:rsidTr="00CB6005">
        <w:tc>
          <w:tcPr>
            <w:tcW w:w="9060" w:type="dxa"/>
            <w:gridSpan w:val="2"/>
          </w:tcPr>
          <w:p w:rsidR="00CB6005" w:rsidRPr="00CB6005" w:rsidRDefault="00CB6005" w:rsidP="00002931">
            <w:pPr>
              <w:spacing w:before="60" w:after="60"/>
              <w:rPr>
                <w:rFonts w:ascii="Arial" w:hAnsi="Arial" w:cs="Arial"/>
                <w:b/>
                <w:i/>
                <w:sz w:val="20"/>
                <w:lang w:val="en-US"/>
              </w:rPr>
            </w:pPr>
            <w:r w:rsidRPr="00CB6005">
              <w:rPr>
                <w:rFonts w:ascii="Arial" w:hAnsi="Arial" w:cs="Arial"/>
                <w:b/>
                <w:i/>
                <w:sz w:val="20"/>
                <w:lang w:val="en-US"/>
              </w:rPr>
              <w:t>Reproductive system and breast disorders</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Uncommon</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Menorrhagia.</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Rare</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Vaginal discharge, sexual dysfunction.</w:t>
            </w:r>
          </w:p>
        </w:tc>
      </w:tr>
      <w:tr w:rsidR="00CB6005" w:rsidRPr="00795FCE" w:rsidTr="00CB6005">
        <w:tc>
          <w:tcPr>
            <w:tcW w:w="9060" w:type="dxa"/>
            <w:gridSpan w:val="2"/>
          </w:tcPr>
          <w:p w:rsidR="00CB6005" w:rsidRPr="00CB6005" w:rsidRDefault="00CB6005" w:rsidP="00002931">
            <w:pPr>
              <w:spacing w:before="60" w:after="60"/>
              <w:rPr>
                <w:rFonts w:ascii="Arial" w:hAnsi="Arial" w:cs="Arial"/>
                <w:b/>
                <w:i/>
                <w:sz w:val="20"/>
                <w:lang w:val="en-US"/>
              </w:rPr>
            </w:pPr>
            <w:r w:rsidRPr="00CB6005">
              <w:rPr>
                <w:rFonts w:ascii="Arial" w:hAnsi="Arial" w:cs="Arial"/>
                <w:b/>
                <w:i/>
                <w:sz w:val="20"/>
                <w:lang w:val="en-US"/>
              </w:rPr>
              <w:t>General disorders and administration site conditions</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Common</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Chest pain, fatigue.</w:t>
            </w:r>
          </w:p>
        </w:tc>
      </w:tr>
      <w:tr w:rsidR="00CB6005" w:rsidRPr="00795FCE"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Uncommon</w:t>
            </w:r>
          </w:p>
        </w:tc>
        <w:tc>
          <w:tcPr>
            <w:tcW w:w="5946" w:type="dxa"/>
          </w:tcPr>
          <w:p w:rsidR="00CB6005" w:rsidRPr="00CB6005" w:rsidRDefault="00CB6005" w:rsidP="00002931">
            <w:pPr>
              <w:spacing w:before="60" w:after="60"/>
              <w:rPr>
                <w:rFonts w:ascii="Arial" w:hAnsi="Arial" w:cs="Arial"/>
                <w:sz w:val="20"/>
                <w:lang w:val="en-US"/>
              </w:rPr>
            </w:pPr>
            <w:r w:rsidRPr="00CB6005">
              <w:rPr>
                <w:rFonts w:ascii="Arial" w:hAnsi="Arial" w:cs="Arial"/>
                <w:sz w:val="20"/>
                <w:lang w:val="en-US"/>
              </w:rPr>
              <w:t>Chest discomfort, influenza like illness, pyrexia, asthenia, malaise.</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Rare</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Feeling cold, cyst.</w:t>
            </w:r>
          </w:p>
        </w:tc>
      </w:tr>
      <w:tr w:rsidR="00CB6005" w:rsidRPr="00CB6005" w:rsidTr="00CB6005">
        <w:tc>
          <w:tcPr>
            <w:tcW w:w="9060" w:type="dxa"/>
            <w:gridSpan w:val="2"/>
          </w:tcPr>
          <w:p w:rsidR="00CB6005" w:rsidRPr="00CB6005" w:rsidRDefault="00CB6005" w:rsidP="00002931">
            <w:pPr>
              <w:spacing w:before="60" w:after="60"/>
              <w:rPr>
                <w:rFonts w:ascii="Arial" w:hAnsi="Arial" w:cs="Arial"/>
                <w:b/>
                <w:i/>
                <w:sz w:val="20"/>
              </w:rPr>
            </w:pPr>
            <w:r w:rsidRPr="00CB6005">
              <w:rPr>
                <w:rFonts w:ascii="Arial" w:hAnsi="Arial" w:cs="Arial"/>
                <w:b/>
                <w:i/>
                <w:sz w:val="20"/>
              </w:rPr>
              <w:t>Investigations</w:t>
            </w:r>
          </w:p>
        </w:tc>
      </w:tr>
      <w:tr w:rsidR="00CB6005" w:rsidRPr="00CB6005"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Common</w:t>
            </w:r>
          </w:p>
        </w:tc>
        <w:tc>
          <w:tcPr>
            <w:tcW w:w="5946" w:type="dxa"/>
          </w:tcPr>
          <w:p w:rsidR="00CB6005" w:rsidRPr="00CB6005" w:rsidRDefault="00CB6005" w:rsidP="00002931">
            <w:pPr>
              <w:spacing w:before="60" w:after="60"/>
              <w:rPr>
                <w:rFonts w:ascii="Arial" w:hAnsi="Arial" w:cs="Arial"/>
                <w:sz w:val="20"/>
              </w:rPr>
            </w:pPr>
            <w:r w:rsidRPr="00CB6005">
              <w:rPr>
                <w:rFonts w:ascii="Arial" w:hAnsi="Arial" w:cs="Arial"/>
                <w:sz w:val="20"/>
              </w:rPr>
              <w:t>Liver function test abnormal.</w:t>
            </w:r>
          </w:p>
        </w:tc>
      </w:tr>
      <w:tr w:rsidR="00CB6005" w:rsidRPr="00795FCE" w:rsidTr="00CB6005">
        <w:tc>
          <w:tcPr>
            <w:tcW w:w="3114" w:type="dxa"/>
          </w:tcPr>
          <w:p w:rsidR="00CB6005" w:rsidRPr="00CB6005" w:rsidRDefault="00CB6005" w:rsidP="00002931">
            <w:pPr>
              <w:spacing w:before="60" w:after="60"/>
              <w:rPr>
                <w:rFonts w:ascii="Arial" w:hAnsi="Arial" w:cs="Arial"/>
                <w:sz w:val="20"/>
              </w:rPr>
            </w:pPr>
            <w:r w:rsidRPr="00CB6005">
              <w:rPr>
                <w:rFonts w:ascii="Arial" w:hAnsi="Arial" w:cs="Arial"/>
                <w:sz w:val="20"/>
              </w:rPr>
              <w:t>Rare</w:t>
            </w:r>
          </w:p>
        </w:tc>
        <w:tc>
          <w:tcPr>
            <w:tcW w:w="5946" w:type="dxa"/>
          </w:tcPr>
          <w:p w:rsidR="00CB6005" w:rsidRPr="00CB6005" w:rsidRDefault="00CB6005" w:rsidP="00002931">
            <w:pPr>
              <w:spacing w:before="60" w:after="60"/>
              <w:rPr>
                <w:rFonts w:ascii="Arial" w:hAnsi="Arial" w:cs="Arial"/>
                <w:sz w:val="20"/>
                <w:lang w:val="en-US"/>
              </w:rPr>
            </w:pPr>
            <w:r w:rsidRPr="00CB6005">
              <w:rPr>
                <w:rFonts w:ascii="Arial" w:hAnsi="Arial" w:cs="Arial"/>
                <w:sz w:val="20"/>
                <w:lang w:val="en-US"/>
              </w:rPr>
              <w:t>Semen analysis abnormal, C-reactive protein increased, blood calcium decreased.</w:t>
            </w:r>
          </w:p>
        </w:tc>
      </w:tr>
      <w:tr w:rsidR="00CB6005" w:rsidRPr="00795FCE" w:rsidTr="00CB6005">
        <w:tc>
          <w:tcPr>
            <w:tcW w:w="9060" w:type="dxa"/>
            <w:gridSpan w:val="2"/>
          </w:tcPr>
          <w:p w:rsidR="00CB6005" w:rsidRPr="00CB6005" w:rsidRDefault="00CB6005" w:rsidP="00002931">
            <w:pPr>
              <w:spacing w:before="60" w:after="60"/>
              <w:rPr>
                <w:rFonts w:ascii="Arial" w:hAnsi="Arial" w:cs="Arial"/>
                <w:sz w:val="20"/>
                <w:lang w:val="en-US"/>
              </w:rPr>
            </w:pPr>
            <w:r w:rsidRPr="00CB6005">
              <w:rPr>
                <w:rFonts w:ascii="Arial" w:hAnsi="Arial" w:cs="Arial"/>
                <w:sz w:val="20"/>
                <w:lang w:val="en-US"/>
              </w:rPr>
              <w:t>* Frequencies are estimated from a post-marketing, observational cohort study</w:t>
            </w:r>
          </w:p>
        </w:tc>
      </w:tr>
    </w:tbl>
    <w:p w:rsidR="00CB6005" w:rsidRPr="00CB6005" w:rsidRDefault="00CB6005" w:rsidP="00CB6005">
      <w:pPr>
        <w:ind w:left="851"/>
        <w:rPr>
          <w:sz w:val="24"/>
          <w:szCs w:val="24"/>
          <w:lang w:val="en-US"/>
        </w:rPr>
      </w:pPr>
    </w:p>
    <w:p w:rsidR="00CB6005" w:rsidRPr="00CB6005" w:rsidRDefault="00CB6005" w:rsidP="00CB6005">
      <w:pPr>
        <w:ind w:left="851"/>
        <w:rPr>
          <w:sz w:val="24"/>
          <w:szCs w:val="24"/>
          <w:u w:val="single"/>
          <w:lang w:val="en-US"/>
        </w:rPr>
      </w:pPr>
      <w:r w:rsidRPr="00CB6005">
        <w:rPr>
          <w:sz w:val="24"/>
          <w:szCs w:val="24"/>
          <w:u w:val="single"/>
          <w:lang w:val="en-US"/>
        </w:rPr>
        <w:t>Reporting of suspected adverse reactions</w:t>
      </w:r>
    </w:p>
    <w:p w:rsidR="00CB6005" w:rsidRDefault="00CB6005" w:rsidP="00CB6005">
      <w:pPr>
        <w:ind w:left="851"/>
        <w:rPr>
          <w:sz w:val="24"/>
          <w:szCs w:val="24"/>
          <w:lang w:val="en-US"/>
        </w:rPr>
      </w:pPr>
      <w:r w:rsidRPr="00CB6005">
        <w:rPr>
          <w:sz w:val="24"/>
          <w:szCs w:val="24"/>
          <w:lang w:val="en-US"/>
        </w:rPr>
        <w:t>Reporting suspected adverse reactions after authorisation of the medicinal product is important. It allows continued monitoring of the benefit/risk balance of the medicinal product. Healthcare professionals are asked to report any suspected adverse reactions via</w:t>
      </w:r>
      <w:r>
        <w:rPr>
          <w:sz w:val="24"/>
          <w:szCs w:val="24"/>
          <w:lang w:val="en-US"/>
        </w:rPr>
        <w:t>:</w:t>
      </w:r>
    </w:p>
    <w:p w:rsidR="00CB6005" w:rsidRDefault="00CB6005" w:rsidP="00CB6005">
      <w:pPr>
        <w:ind w:left="851"/>
        <w:rPr>
          <w:sz w:val="24"/>
          <w:szCs w:val="24"/>
          <w:highlight w:val="lightGray"/>
          <w:lang w:val="en-US"/>
        </w:rPr>
      </w:pPr>
    </w:p>
    <w:p w:rsidR="00CB6005" w:rsidRPr="00274837" w:rsidRDefault="00CB6005" w:rsidP="00CB6005">
      <w:pPr>
        <w:ind w:left="851"/>
        <w:rPr>
          <w:sz w:val="24"/>
          <w:szCs w:val="24"/>
        </w:rPr>
      </w:pPr>
      <w:bookmarkStart w:id="1" w:name="_Hlk117501544"/>
      <w:bookmarkStart w:id="2" w:name="_Hlk112664459"/>
      <w:r w:rsidRPr="00274837">
        <w:rPr>
          <w:sz w:val="24"/>
          <w:szCs w:val="24"/>
        </w:rPr>
        <w:t>Lægemiddelstyrelsen</w:t>
      </w:r>
    </w:p>
    <w:p w:rsidR="00CB6005" w:rsidRPr="00274837" w:rsidRDefault="00CB6005" w:rsidP="00CB6005">
      <w:pPr>
        <w:ind w:left="851"/>
        <w:rPr>
          <w:sz w:val="24"/>
          <w:szCs w:val="24"/>
        </w:rPr>
      </w:pPr>
      <w:bookmarkStart w:id="3" w:name="_Hlk117501524"/>
      <w:bookmarkEnd w:id="1"/>
      <w:r w:rsidRPr="00274837">
        <w:rPr>
          <w:sz w:val="24"/>
          <w:szCs w:val="24"/>
        </w:rPr>
        <w:t>Axel Heides Gade 1</w:t>
      </w:r>
    </w:p>
    <w:p w:rsidR="00CB6005" w:rsidRPr="00274837" w:rsidRDefault="00CB6005" w:rsidP="00CB6005">
      <w:pPr>
        <w:ind w:left="851"/>
        <w:rPr>
          <w:sz w:val="24"/>
          <w:szCs w:val="24"/>
        </w:rPr>
      </w:pPr>
      <w:r w:rsidRPr="00274837">
        <w:rPr>
          <w:sz w:val="24"/>
          <w:szCs w:val="24"/>
        </w:rPr>
        <w:t>DK-2300 København S</w:t>
      </w:r>
    </w:p>
    <w:p w:rsidR="00CB6005" w:rsidRPr="00CB6005" w:rsidRDefault="00CB6005" w:rsidP="00CB6005">
      <w:pPr>
        <w:ind w:left="851"/>
        <w:rPr>
          <w:sz w:val="24"/>
          <w:szCs w:val="24"/>
          <w:lang w:val="en-US"/>
        </w:rPr>
      </w:pPr>
      <w:r w:rsidRPr="00CB6005">
        <w:rPr>
          <w:sz w:val="24"/>
          <w:szCs w:val="24"/>
          <w:lang w:val="en-US"/>
        </w:rPr>
        <w:t>Webs</w:t>
      </w:r>
      <w:r>
        <w:rPr>
          <w:sz w:val="24"/>
          <w:szCs w:val="24"/>
          <w:lang w:val="en-US"/>
        </w:rPr>
        <w:t>ite</w:t>
      </w:r>
      <w:r w:rsidRPr="00CB6005">
        <w:rPr>
          <w:sz w:val="24"/>
          <w:szCs w:val="24"/>
          <w:lang w:val="en-US"/>
        </w:rPr>
        <w:t>: www.meldenbivirkning.dk</w:t>
      </w:r>
    </w:p>
    <w:bookmarkEnd w:id="2"/>
    <w:bookmarkEnd w:id="3"/>
    <w:p w:rsidR="007C5D2A" w:rsidRPr="00CB6005" w:rsidRDefault="007C5D2A" w:rsidP="00CB6005">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D21521" w:rsidRPr="00D21521" w:rsidRDefault="00D21521" w:rsidP="00D21521">
      <w:pPr>
        <w:tabs>
          <w:tab w:val="left" w:pos="851"/>
        </w:tabs>
        <w:ind w:left="851"/>
        <w:rPr>
          <w:sz w:val="24"/>
          <w:szCs w:val="24"/>
          <w:lang w:val="en-GB"/>
        </w:rPr>
      </w:pPr>
      <w:r w:rsidRPr="00D21521">
        <w:rPr>
          <w:sz w:val="24"/>
          <w:szCs w:val="24"/>
          <w:lang w:val="en-GB"/>
        </w:rPr>
        <w:t>No cases of overdose were reported in pre-marketing clinical trials.</w:t>
      </w:r>
    </w:p>
    <w:p w:rsidR="00D21521" w:rsidRPr="00D21521" w:rsidRDefault="00D21521" w:rsidP="00D21521">
      <w:pPr>
        <w:tabs>
          <w:tab w:val="left" w:pos="851"/>
        </w:tabs>
        <w:ind w:left="851"/>
        <w:rPr>
          <w:sz w:val="24"/>
          <w:szCs w:val="24"/>
          <w:lang w:val="en-GB"/>
        </w:rPr>
      </w:pPr>
    </w:p>
    <w:p w:rsidR="00D21521" w:rsidRPr="00D21521" w:rsidRDefault="00D21521" w:rsidP="00D21521">
      <w:pPr>
        <w:tabs>
          <w:tab w:val="left" w:pos="851"/>
        </w:tabs>
        <w:ind w:left="851"/>
        <w:rPr>
          <w:sz w:val="24"/>
          <w:szCs w:val="24"/>
          <w:lang w:val="en-GB"/>
        </w:rPr>
      </w:pPr>
      <w:r w:rsidRPr="00D21521">
        <w:rPr>
          <w:sz w:val="24"/>
          <w:szCs w:val="24"/>
          <w:lang w:val="en-GB"/>
        </w:rPr>
        <w:t>In case of overdose, standard supportive measures should be instituted as required.</w:t>
      </w:r>
    </w:p>
    <w:p w:rsidR="00D21521" w:rsidRPr="00D21521" w:rsidRDefault="00D21521" w:rsidP="00D21521">
      <w:pPr>
        <w:tabs>
          <w:tab w:val="left" w:pos="851"/>
        </w:tabs>
        <w:ind w:left="851"/>
        <w:rPr>
          <w:sz w:val="24"/>
          <w:szCs w:val="24"/>
          <w:lang w:val="en-GB"/>
        </w:rPr>
      </w:pPr>
    </w:p>
    <w:p w:rsidR="00D21521" w:rsidRPr="00D21521" w:rsidRDefault="00D21521" w:rsidP="00D21521">
      <w:pPr>
        <w:tabs>
          <w:tab w:val="left" w:pos="851"/>
        </w:tabs>
        <w:ind w:left="851"/>
        <w:rPr>
          <w:sz w:val="24"/>
          <w:szCs w:val="24"/>
          <w:lang w:val="en-GB"/>
        </w:rPr>
      </w:pPr>
      <w:r w:rsidRPr="00D21521">
        <w:rPr>
          <w:sz w:val="24"/>
          <w:szCs w:val="24"/>
          <w:lang w:val="en-GB"/>
        </w:rPr>
        <w:t>Varenicline has been shown to be dialysed in patients with end stage renal disease (see section 5.2), however, there is no experience in dialysis following overdose.</w:t>
      </w:r>
    </w:p>
    <w:p w:rsidR="007C5D2A" w:rsidRPr="00D21521" w:rsidRDefault="007C5D2A" w:rsidP="003E0341">
      <w:pPr>
        <w:tabs>
          <w:tab w:val="left" w:pos="851"/>
        </w:tabs>
        <w:ind w:left="851"/>
        <w:rPr>
          <w:sz w:val="24"/>
          <w:szCs w:val="24"/>
          <w:lang w:val="en-GB"/>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6A6E95" w:rsidP="00AD2E36">
      <w:pPr>
        <w:tabs>
          <w:tab w:val="left" w:pos="851"/>
        </w:tabs>
        <w:ind w:left="851"/>
        <w:rPr>
          <w:sz w:val="24"/>
          <w:szCs w:val="24"/>
          <w:lang w:val="en-GB"/>
        </w:rPr>
      </w:pPr>
      <w:r>
        <w:rPr>
          <w:sz w:val="24"/>
          <w:szCs w:val="24"/>
          <w:lang w:val="en-GB"/>
        </w:rPr>
        <w:t>B</w:t>
      </w:r>
    </w:p>
    <w:p w:rsidR="007C5D2A" w:rsidRPr="00303008" w:rsidRDefault="007C5D2A" w:rsidP="003E0341">
      <w:pPr>
        <w:tabs>
          <w:tab w:val="left" w:pos="851"/>
        </w:tabs>
        <w:ind w:left="851"/>
        <w:rPr>
          <w:sz w:val="24"/>
          <w:szCs w:val="24"/>
          <w:lang w:val="en-GB"/>
        </w:rPr>
      </w:pP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D21521" w:rsidRPr="00D21521" w:rsidRDefault="00D21521" w:rsidP="00D21521">
      <w:pPr>
        <w:ind w:left="851"/>
        <w:rPr>
          <w:sz w:val="24"/>
          <w:szCs w:val="24"/>
          <w:lang w:val="en-US"/>
        </w:rPr>
      </w:pPr>
      <w:r w:rsidRPr="00D21521">
        <w:rPr>
          <w:sz w:val="24"/>
          <w:szCs w:val="24"/>
          <w:lang w:val="en-US"/>
        </w:rPr>
        <w:t xml:space="preserve">Pharmacotherapeutic group: Other nervous system drugs; </w:t>
      </w:r>
      <w:r w:rsidR="006A6E95">
        <w:rPr>
          <w:sz w:val="24"/>
          <w:szCs w:val="24"/>
          <w:lang w:val="en-US"/>
        </w:rPr>
        <w:t>d</w:t>
      </w:r>
      <w:r w:rsidRPr="00D21521">
        <w:rPr>
          <w:sz w:val="24"/>
          <w:szCs w:val="24"/>
          <w:lang w:val="en-US"/>
        </w:rPr>
        <w:t xml:space="preserve">rugs used in addictive disorders; </w:t>
      </w:r>
      <w:r w:rsidR="006A6E95">
        <w:rPr>
          <w:sz w:val="24"/>
          <w:szCs w:val="24"/>
          <w:lang w:val="en-US"/>
        </w:rPr>
        <w:t>d</w:t>
      </w:r>
      <w:r w:rsidRPr="00D21521">
        <w:rPr>
          <w:sz w:val="24"/>
          <w:szCs w:val="24"/>
          <w:lang w:val="en-US"/>
        </w:rPr>
        <w:t>rugs used in nicotine dependence, ATC code: N07BA03</w:t>
      </w:r>
      <w:r w:rsidR="006A6E95">
        <w:rPr>
          <w:sz w:val="24"/>
          <w:szCs w:val="24"/>
          <w:lang w:val="en-US"/>
        </w:rPr>
        <w:t>.</w:t>
      </w:r>
    </w:p>
    <w:p w:rsidR="00D21521" w:rsidRPr="00D21521" w:rsidRDefault="00D21521" w:rsidP="00D21521">
      <w:pPr>
        <w:ind w:left="851"/>
        <w:rPr>
          <w:sz w:val="24"/>
          <w:szCs w:val="24"/>
          <w:lang w:val="en-US"/>
        </w:rPr>
      </w:pPr>
    </w:p>
    <w:p w:rsidR="00D21521" w:rsidRPr="00D21521" w:rsidRDefault="00D21521" w:rsidP="00D21521">
      <w:pPr>
        <w:ind w:left="851"/>
        <w:rPr>
          <w:sz w:val="24"/>
          <w:szCs w:val="24"/>
          <w:u w:val="single"/>
          <w:lang w:val="en-US"/>
        </w:rPr>
      </w:pPr>
      <w:r w:rsidRPr="00D21521">
        <w:rPr>
          <w:sz w:val="24"/>
          <w:szCs w:val="24"/>
          <w:u w:val="single"/>
          <w:lang w:val="en-US"/>
        </w:rPr>
        <w:t>Mechanism of action</w:t>
      </w:r>
    </w:p>
    <w:p w:rsidR="00D21521" w:rsidRPr="00D21521" w:rsidRDefault="00D21521" w:rsidP="00D21521">
      <w:pPr>
        <w:ind w:left="851"/>
        <w:rPr>
          <w:sz w:val="24"/>
          <w:szCs w:val="24"/>
          <w:lang w:val="en-US"/>
        </w:rPr>
      </w:pPr>
      <w:r w:rsidRPr="00D21521">
        <w:rPr>
          <w:sz w:val="24"/>
          <w:szCs w:val="24"/>
          <w:lang w:val="en-US"/>
        </w:rPr>
        <w:t xml:space="preserve">Varenicline binds with high affinity and selectivity at the </w:t>
      </w:r>
      <w:r w:rsidRPr="00D21521">
        <w:rPr>
          <w:sz w:val="24"/>
          <w:szCs w:val="24"/>
        </w:rPr>
        <w:t>α</w:t>
      </w:r>
      <w:r w:rsidRPr="00D21521">
        <w:rPr>
          <w:sz w:val="24"/>
          <w:szCs w:val="24"/>
          <w:lang w:val="en-US"/>
        </w:rPr>
        <w:t>4</w:t>
      </w:r>
      <w:r w:rsidRPr="00D21521">
        <w:rPr>
          <w:sz w:val="24"/>
          <w:szCs w:val="24"/>
        </w:rPr>
        <w:t>β</w:t>
      </w:r>
      <w:r w:rsidRPr="00D21521">
        <w:rPr>
          <w:sz w:val="24"/>
          <w:szCs w:val="24"/>
          <w:lang w:val="en-US"/>
        </w:rPr>
        <w:t xml:space="preserve">2 neuronal nicotinic acetylcholine receptors, where it acts as a partial agonist - a compound that has both </w:t>
      </w:r>
      <w:r w:rsidRPr="00D21521">
        <w:rPr>
          <w:sz w:val="24"/>
          <w:szCs w:val="24"/>
          <w:lang w:val="en-US"/>
        </w:rPr>
        <w:lastRenderedPageBreak/>
        <w:t>agonist activity, with lower intrinsic efficacy than nicotine, and antagonist activities in the presence of nicotine.</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 xml:space="preserve">Electrophysiology studies </w:t>
      </w:r>
      <w:r w:rsidRPr="00D21521">
        <w:rPr>
          <w:i/>
          <w:sz w:val="24"/>
          <w:szCs w:val="24"/>
          <w:lang w:val="en-US"/>
        </w:rPr>
        <w:t>in vitro</w:t>
      </w:r>
      <w:r w:rsidRPr="00D21521">
        <w:rPr>
          <w:sz w:val="24"/>
          <w:szCs w:val="24"/>
          <w:lang w:val="en-US"/>
        </w:rPr>
        <w:t xml:space="preserve"> and neurochemical studies </w:t>
      </w:r>
      <w:r w:rsidRPr="00D21521">
        <w:rPr>
          <w:i/>
          <w:sz w:val="24"/>
          <w:szCs w:val="24"/>
          <w:lang w:val="en-US"/>
        </w:rPr>
        <w:t>in vivo</w:t>
      </w:r>
      <w:r w:rsidRPr="00D21521">
        <w:rPr>
          <w:sz w:val="24"/>
          <w:szCs w:val="24"/>
          <w:lang w:val="en-US"/>
        </w:rPr>
        <w:t xml:space="preserve"> have shown that varenicline binds to the </w:t>
      </w:r>
      <w:r w:rsidRPr="00D21521">
        <w:rPr>
          <w:sz w:val="24"/>
          <w:szCs w:val="24"/>
        </w:rPr>
        <w:t>α</w:t>
      </w:r>
      <w:r w:rsidRPr="00D21521">
        <w:rPr>
          <w:sz w:val="24"/>
          <w:szCs w:val="24"/>
          <w:lang w:val="en-US"/>
        </w:rPr>
        <w:t>4</w:t>
      </w:r>
      <w:r w:rsidRPr="00D21521">
        <w:rPr>
          <w:sz w:val="24"/>
          <w:szCs w:val="24"/>
        </w:rPr>
        <w:t>β</w:t>
      </w:r>
      <w:r w:rsidRPr="00D21521">
        <w:rPr>
          <w:sz w:val="24"/>
          <w:szCs w:val="24"/>
          <w:lang w:val="en-US"/>
        </w:rPr>
        <w:t xml:space="preserve">2 neuronal nicotinic acetylcholine receptors and stimulates receptor-mediated activity, but at a significantly lower level than nicotine. Nicotine competes for the same human </w:t>
      </w:r>
      <w:r w:rsidRPr="00D21521">
        <w:rPr>
          <w:sz w:val="24"/>
          <w:szCs w:val="24"/>
        </w:rPr>
        <w:t>α</w:t>
      </w:r>
      <w:r w:rsidRPr="00D21521">
        <w:rPr>
          <w:sz w:val="24"/>
          <w:szCs w:val="24"/>
          <w:lang w:val="en-US"/>
        </w:rPr>
        <w:t>4</w:t>
      </w:r>
      <w:r w:rsidRPr="00D21521">
        <w:rPr>
          <w:sz w:val="24"/>
          <w:szCs w:val="24"/>
        </w:rPr>
        <w:t>β</w:t>
      </w:r>
      <w:r w:rsidRPr="00D21521">
        <w:rPr>
          <w:sz w:val="24"/>
          <w:szCs w:val="24"/>
          <w:lang w:val="en-US"/>
        </w:rPr>
        <w:t xml:space="preserve">2 nAChR binding site for which varenicline has higher affinity. Therefore, varenicline can effectively block nicotine's ability to fully activate </w:t>
      </w:r>
      <w:r w:rsidRPr="00D21521">
        <w:rPr>
          <w:sz w:val="24"/>
          <w:szCs w:val="24"/>
        </w:rPr>
        <w:t>α</w:t>
      </w:r>
      <w:r w:rsidRPr="00D21521">
        <w:rPr>
          <w:sz w:val="24"/>
          <w:szCs w:val="24"/>
          <w:lang w:val="en-US"/>
        </w:rPr>
        <w:t>4</w:t>
      </w:r>
      <w:r w:rsidRPr="00D21521">
        <w:rPr>
          <w:sz w:val="24"/>
          <w:szCs w:val="24"/>
        </w:rPr>
        <w:t>β</w:t>
      </w:r>
      <w:r w:rsidRPr="00D21521">
        <w:rPr>
          <w:sz w:val="24"/>
          <w:szCs w:val="24"/>
          <w:lang w:val="en-US"/>
        </w:rPr>
        <w:t xml:space="preserve">2 receptors and the mesolimbic dopamine system, the neuronal mechanism underlying reinforcement and reward experienced upon smoking. Varenicline is highly selective and binds more potently to the </w:t>
      </w:r>
      <w:r w:rsidRPr="00D21521">
        <w:rPr>
          <w:sz w:val="24"/>
          <w:szCs w:val="24"/>
        </w:rPr>
        <w:t>α</w:t>
      </w:r>
      <w:r w:rsidRPr="00D21521">
        <w:rPr>
          <w:sz w:val="24"/>
          <w:szCs w:val="24"/>
          <w:lang w:val="en-US"/>
        </w:rPr>
        <w:t>4</w:t>
      </w:r>
      <w:r w:rsidRPr="00D21521">
        <w:rPr>
          <w:sz w:val="24"/>
          <w:szCs w:val="24"/>
        </w:rPr>
        <w:t>β</w:t>
      </w:r>
      <w:r w:rsidRPr="00D21521">
        <w:rPr>
          <w:sz w:val="24"/>
          <w:szCs w:val="24"/>
          <w:lang w:val="en-US"/>
        </w:rPr>
        <w:t>2 receptor subtype (Ki=0.15 nM) than to other common nicotinic receptors (</w:t>
      </w:r>
      <w:r w:rsidRPr="00D21521">
        <w:rPr>
          <w:sz w:val="24"/>
          <w:szCs w:val="24"/>
        </w:rPr>
        <w:t>α</w:t>
      </w:r>
      <w:r w:rsidRPr="00D21521">
        <w:rPr>
          <w:sz w:val="24"/>
          <w:szCs w:val="24"/>
          <w:lang w:val="en-US"/>
        </w:rPr>
        <w:t>3</w:t>
      </w:r>
      <w:r w:rsidRPr="00D21521">
        <w:rPr>
          <w:sz w:val="24"/>
          <w:szCs w:val="24"/>
        </w:rPr>
        <w:t>β</w:t>
      </w:r>
      <w:r w:rsidRPr="00D21521">
        <w:rPr>
          <w:sz w:val="24"/>
          <w:szCs w:val="24"/>
          <w:lang w:val="en-US"/>
        </w:rPr>
        <w:t xml:space="preserve">4 Ki=84 nM, </w:t>
      </w:r>
      <w:r w:rsidRPr="00D21521">
        <w:rPr>
          <w:sz w:val="24"/>
          <w:szCs w:val="24"/>
        </w:rPr>
        <w:t>α</w:t>
      </w:r>
      <w:r w:rsidRPr="00D21521">
        <w:rPr>
          <w:sz w:val="24"/>
          <w:szCs w:val="24"/>
          <w:lang w:val="en-US"/>
        </w:rPr>
        <w:t xml:space="preserve">7 Ki= 620 nM, </w:t>
      </w:r>
      <w:r w:rsidRPr="00D21521">
        <w:rPr>
          <w:sz w:val="24"/>
          <w:szCs w:val="24"/>
        </w:rPr>
        <w:t>α</w:t>
      </w:r>
      <w:r w:rsidRPr="00D21521">
        <w:rPr>
          <w:sz w:val="24"/>
          <w:szCs w:val="24"/>
          <w:lang w:val="en-US"/>
        </w:rPr>
        <w:t>1</w:t>
      </w:r>
      <w:r w:rsidRPr="00D21521">
        <w:rPr>
          <w:sz w:val="24"/>
          <w:szCs w:val="24"/>
        </w:rPr>
        <w:t>βγδ</w:t>
      </w:r>
      <w:r w:rsidRPr="00D21521">
        <w:rPr>
          <w:sz w:val="24"/>
          <w:szCs w:val="24"/>
          <w:lang w:val="en-US"/>
        </w:rPr>
        <w:t xml:space="preserve"> Ki= 3,400 nM), or to non-nicotinic receptors and transporters (Ki &gt; 1 µM, except to 5-HT3 receptors: Ki=350 nM).</w:t>
      </w:r>
    </w:p>
    <w:p w:rsidR="00D21521" w:rsidRPr="00D21521" w:rsidRDefault="00D21521" w:rsidP="00D21521">
      <w:pPr>
        <w:ind w:left="851"/>
        <w:rPr>
          <w:sz w:val="24"/>
          <w:szCs w:val="24"/>
          <w:lang w:val="en-US"/>
        </w:rPr>
      </w:pPr>
    </w:p>
    <w:p w:rsidR="00D21521" w:rsidRPr="00D21521" w:rsidRDefault="00D21521" w:rsidP="00D21521">
      <w:pPr>
        <w:ind w:left="851"/>
        <w:rPr>
          <w:sz w:val="24"/>
          <w:szCs w:val="24"/>
          <w:u w:val="single"/>
          <w:lang w:val="en-US"/>
        </w:rPr>
      </w:pPr>
      <w:r w:rsidRPr="00D21521">
        <w:rPr>
          <w:sz w:val="24"/>
          <w:szCs w:val="24"/>
          <w:u w:val="single"/>
          <w:lang w:val="en-US"/>
        </w:rPr>
        <w:t>Pharmacodynamic effects</w:t>
      </w:r>
    </w:p>
    <w:p w:rsidR="00D21521" w:rsidRPr="00D21521" w:rsidRDefault="00D21521" w:rsidP="00D21521">
      <w:pPr>
        <w:ind w:left="851"/>
        <w:rPr>
          <w:sz w:val="24"/>
          <w:szCs w:val="24"/>
          <w:lang w:val="en-US"/>
        </w:rPr>
      </w:pPr>
      <w:r w:rsidRPr="00D21521">
        <w:rPr>
          <w:sz w:val="24"/>
          <w:szCs w:val="24"/>
          <w:lang w:val="en-US"/>
        </w:rPr>
        <w:t xml:space="preserve">The efficacy of varenicline in smoking cessation is a result of varenicline's partial agonist activity at the </w:t>
      </w:r>
      <w:r w:rsidRPr="00D21521">
        <w:rPr>
          <w:sz w:val="24"/>
          <w:szCs w:val="24"/>
        </w:rPr>
        <w:t>α</w:t>
      </w:r>
      <w:r w:rsidRPr="00D21521">
        <w:rPr>
          <w:sz w:val="24"/>
          <w:szCs w:val="24"/>
          <w:lang w:val="en-US"/>
        </w:rPr>
        <w:t>4</w:t>
      </w:r>
      <w:r w:rsidRPr="00D21521">
        <w:rPr>
          <w:sz w:val="24"/>
          <w:szCs w:val="24"/>
        </w:rPr>
        <w:t>β</w:t>
      </w:r>
      <w:r w:rsidRPr="00D21521">
        <w:rPr>
          <w:sz w:val="24"/>
          <w:szCs w:val="24"/>
          <w:lang w:val="en-US"/>
        </w:rPr>
        <w:t xml:space="preserve">2 nicotinic receptor where its binding produces an effect sufficient to alleviate symptoms of craving and withdrawal (agonist activity), while simultaneously resulting in a reduction of the rewarding and reinforcing effects of smoking by preventing nicotine binding to </w:t>
      </w:r>
      <w:r w:rsidRPr="00D21521">
        <w:rPr>
          <w:sz w:val="24"/>
          <w:szCs w:val="24"/>
        </w:rPr>
        <w:t>α</w:t>
      </w:r>
      <w:r w:rsidRPr="00D21521">
        <w:rPr>
          <w:sz w:val="24"/>
          <w:szCs w:val="24"/>
          <w:lang w:val="en-US"/>
        </w:rPr>
        <w:t>4</w:t>
      </w:r>
      <w:r w:rsidRPr="00D21521">
        <w:rPr>
          <w:sz w:val="24"/>
          <w:szCs w:val="24"/>
        </w:rPr>
        <w:t>β</w:t>
      </w:r>
      <w:r w:rsidRPr="00D21521">
        <w:rPr>
          <w:sz w:val="24"/>
          <w:szCs w:val="24"/>
          <w:lang w:val="en-US"/>
        </w:rPr>
        <w:t>2 receptors (antagonist activity).</w:t>
      </w:r>
    </w:p>
    <w:p w:rsidR="00D21521" w:rsidRPr="00D21521" w:rsidRDefault="00D21521" w:rsidP="00D21521">
      <w:pPr>
        <w:ind w:left="851"/>
        <w:rPr>
          <w:sz w:val="24"/>
          <w:szCs w:val="24"/>
          <w:lang w:val="en-US"/>
        </w:rPr>
      </w:pPr>
    </w:p>
    <w:p w:rsidR="00D21521" w:rsidRPr="00D21521" w:rsidRDefault="00D21521" w:rsidP="00D21521">
      <w:pPr>
        <w:ind w:left="851"/>
        <w:rPr>
          <w:sz w:val="24"/>
          <w:szCs w:val="24"/>
          <w:u w:val="single"/>
          <w:lang w:val="en-US"/>
        </w:rPr>
      </w:pPr>
      <w:r w:rsidRPr="00D21521">
        <w:rPr>
          <w:sz w:val="24"/>
          <w:szCs w:val="24"/>
          <w:u w:val="single"/>
          <w:lang w:val="en-US"/>
        </w:rPr>
        <w:t>Clinical efficacy and safety</w:t>
      </w:r>
    </w:p>
    <w:p w:rsidR="00D21521" w:rsidRPr="00D21521" w:rsidRDefault="00D21521" w:rsidP="00D21521">
      <w:pPr>
        <w:ind w:left="851"/>
        <w:rPr>
          <w:sz w:val="24"/>
          <w:szCs w:val="24"/>
          <w:lang w:val="en-US"/>
        </w:rPr>
      </w:pPr>
      <w:r w:rsidRPr="00D21521">
        <w:rPr>
          <w:sz w:val="24"/>
          <w:szCs w:val="24"/>
          <w:lang w:val="en-US"/>
        </w:rPr>
        <w:t>Smoking cessation therapies are more likely to succeed for patients who are motivated to stop smoking and who are provided with additional advice and support.</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The efficacy of varenicline in smoking cessation was demonstrated in 3 clinical trials involving chronic cigarette smokers (≥ 10 cigarettes per day). Two thousand six hundred nineteen (2,619) patients received varenicline 1 mg BID (titrated during the first week), 669 patients received bupropion 150 mg BID (also titrated) and 684 patients received placebo.</w:t>
      </w:r>
    </w:p>
    <w:p w:rsidR="00D21521" w:rsidRPr="00D21521" w:rsidRDefault="00D21521" w:rsidP="00D21521">
      <w:pPr>
        <w:ind w:left="851"/>
        <w:rPr>
          <w:sz w:val="24"/>
          <w:szCs w:val="24"/>
          <w:lang w:val="en-US"/>
        </w:rPr>
      </w:pPr>
    </w:p>
    <w:p w:rsidR="00D21521" w:rsidRPr="00D21521" w:rsidRDefault="00D21521" w:rsidP="00D21521">
      <w:pPr>
        <w:ind w:left="851"/>
        <w:rPr>
          <w:i/>
          <w:sz w:val="24"/>
          <w:szCs w:val="24"/>
          <w:lang w:val="en-US"/>
        </w:rPr>
      </w:pPr>
      <w:r w:rsidRPr="00D21521">
        <w:rPr>
          <w:i/>
          <w:sz w:val="24"/>
          <w:szCs w:val="24"/>
          <w:lang w:val="en-US"/>
        </w:rPr>
        <w:t>Comparative clinical studies</w:t>
      </w:r>
    </w:p>
    <w:p w:rsidR="00D21521" w:rsidRPr="00D21521" w:rsidRDefault="00D21521" w:rsidP="00D21521">
      <w:pPr>
        <w:ind w:left="851"/>
        <w:rPr>
          <w:sz w:val="24"/>
          <w:szCs w:val="24"/>
          <w:lang w:val="en-US"/>
        </w:rPr>
      </w:pPr>
      <w:r w:rsidRPr="00D21521">
        <w:rPr>
          <w:sz w:val="24"/>
          <w:szCs w:val="24"/>
          <w:lang w:val="en-US"/>
        </w:rPr>
        <w:t>Two identical double-blind clinical trials prospectively compared the efficacy of varenicline (1 mg twice daily), sustained release bupropion (150 mg twice daily) and placebo in smoking cessation. In these 52-week duration studies, patients received treatment for 12 weeks, followed by a 40-week non-treatment phase.</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The primary endpoint of the two studies was the carbon monoxide (CO) confirmed, 4-week continuous quit rate (4W-CQR) from week 9 through week 12. The primary endpoint for varenicline demonstrated statistical superiority to bupropion and placebo.</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After the 40-week non-treatment phase, a key secondary endpoint for both studies was the Continuous Abstinence Rate (CA) at week 52. CA was defined as the proportion of all subjects treated who did not smoke (not even a puff of a cigarette) from week 9 through week 52 and did not have an exhaled CO measurement of &gt; 10 ppm.</w:t>
      </w:r>
    </w:p>
    <w:p w:rsidR="00D21521" w:rsidRPr="00D21521" w:rsidRDefault="00D21521" w:rsidP="00D21521">
      <w:pPr>
        <w:ind w:left="851"/>
        <w:rPr>
          <w:sz w:val="24"/>
          <w:szCs w:val="24"/>
          <w:lang w:val="en-US"/>
        </w:rPr>
      </w:pPr>
      <w:r w:rsidRPr="00D21521">
        <w:rPr>
          <w:sz w:val="24"/>
          <w:szCs w:val="24"/>
          <w:lang w:val="en-US"/>
        </w:rPr>
        <w:t>The 4W-CQR (weeks 9 through 12) and CA rate (weeks 9 through 52) from studies 1 and 2 are included in the following table:</w:t>
      </w:r>
    </w:p>
    <w:p w:rsidR="00002931" w:rsidRDefault="00002931">
      <w:pPr>
        <w:rPr>
          <w:sz w:val="24"/>
          <w:szCs w:val="24"/>
          <w:lang w:val="en-US"/>
        </w:rPr>
      </w:pPr>
      <w:r>
        <w:rPr>
          <w:sz w:val="24"/>
          <w:szCs w:val="24"/>
          <w:lang w:val="en-US"/>
        </w:rPr>
        <w:br w:type="page"/>
      </w:r>
    </w:p>
    <w:p w:rsidR="00D21521" w:rsidRPr="00D21521" w:rsidRDefault="00D21521" w:rsidP="00D21521">
      <w:pPr>
        <w:ind w:left="851"/>
        <w:rPr>
          <w:sz w:val="24"/>
          <w:szCs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353"/>
        <w:gridCol w:w="1523"/>
        <w:gridCol w:w="1353"/>
        <w:gridCol w:w="1521"/>
      </w:tblGrid>
      <w:tr w:rsidR="00D21521" w:rsidRPr="00EE4F6E" w:rsidTr="00002931">
        <w:trPr>
          <w:trHeight w:val="243"/>
          <w:jc w:val="center"/>
        </w:trPr>
        <w:tc>
          <w:tcPr>
            <w:tcW w:w="2977" w:type="dxa"/>
            <w:vMerge w:val="restart"/>
          </w:tcPr>
          <w:p w:rsidR="00D21521" w:rsidRPr="00D21521" w:rsidRDefault="00D21521" w:rsidP="00002931">
            <w:pPr>
              <w:spacing w:beforeLines="60" w:before="144" w:afterLines="60" w:after="144"/>
              <w:rPr>
                <w:sz w:val="20"/>
                <w:lang w:val="en-US"/>
              </w:rPr>
            </w:pPr>
          </w:p>
        </w:tc>
        <w:tc>
          <w:tcPr>
            <w:tcW w:w="2876" w:type="dxa"/>
            <w:gridSpan w:val="2"/>
          </w:tcPr>
          <w:p w:rsidR="00D21521" w:rsidRPr="00EE4F6E" w:rsidRDefault="00D21521" w:rsidP="00002931">
            <w:pPr>
              <w:spacing w:beforeLines="60" w:before="144" w:afterLines="60" w:after="144"/>
              <w:jc w:val="center"/>
              <w:rPr>
                <w:sz w:val="20"/>
              </w:rPr>
            </w:pPr>
            <w:r w:rsidRPr="00EE4F6E">
              <w:rPr>
                <w:sz w:val="20"/>
              </w:rPr>
              <w:t>Study 1 (n=1</w:t>
            </w:r>
            <w:r>
              <w:rPr>
                <w:sz w:val="20"/>
              </w:rPr>
              <w:t>,</w:t>
            </w:r>
            <w:r w:rsidRPr="00EE4F6E">
              <w:rPr>
                <w:sz w:val="20"/>
              </w:rPr>
              <w:t>022)</w:t>
            </w:r>
          </w:p>
        </w:tc>
        <w:tc>
          <w:tcPr>
            <w:tcW w:w="2874" w:type="dxa"/>
            <w:gridSpan w:val="2"/>
          </w:tcPr>
          <w:p w:rsidR="00D21521" w:rsidRPr="00EE4F6E" w:rsidRDefault="00D21521" w:rsidP="00002931">
            <w:pPr>
              <w:spacing w:beforeLines="60" w:before="144" w:afterLines="60" w:after="144"/>
              <w:jc w:val="center"/>
              <w:rPr>
                <w:sz w:val="20"/>
              </w:rPr>
            </w:pPr>
            <w:r w:rsidRPr="00EE4F6E">
              <w:rPr>
                <w:sz w:val="20"/>
              </w:rPr>
              <w:t>Study 2 (n=1</w:t>
            </w:r>
            <w:r>
              <w:rPr>
                <w:sz w:val="20"/>
              </w:rPr>
              <w:t>,</w:t>
            </w:r>
            <w:r w:rsidRPr="00EE4F6E">
              <w:rPr>
                <w:sz w:val="20"/>
              </w:rPr>
              <w:t>023)</w:t>
            </w:r>
          </w:p>
        </w:tc>
      </w:tr>
      <w:tr w:rsidR="00D21521" w:rsidRPr="00EE4F6E" w:rsidTr="00002931">
        <w:trPr>
          <w:trHeight w:val="244"/>
          <w:jc w:val="center"/>
        </w:trPr>
        <w:tc>
          <w:tcPr>
            <w:tcW w:w="2977" w:type="dxa"/>
            <w:vMerge/>
            <w:tcBorders>
              <w:top w:val="nil"/>
            </w:tcBorders>
          </w:tcPr>
          <w:p w:rsidR="00D21521" w:rsidRPr="00EE4F6E" w:rsidRDefault="00D21521" w:rsidP="00002931">
            <w:pPr>
              <w:spacing w:beforeLines="60" w:before="144" w:afterLines="60" w:after="144"/>
              <w:rPr>
                <w:sz w:val="20"/>
              </w:rPr>
            </w:pPr>
          </w:p>
        </w:tc>
        <w:tc>
          <w:tcPr>
            <w:tcW w:w="1353" w:type="dxa"/>
          </w:tcPr>
          <w:p w:rsidR="00D21521" w:rsidRPr="00EE4F6E" w:rsidRDefault="00D21521" w:rsidP="00002931">
            <w:pPr>
              <w:spacing w:beforeLines="60" w:before="144" w:afterLines="60" w:after="144"/>
              <w:jc w:val="center"/>
              <w:rPr>
                <w:sz w:val="20"/>
              </w:rPr>
            </w:pPr>
            <w:r w:rsidRPr="00EE4F6E">
              <w:rPr>
                <w:sz w:val="20"/>
              </w:rPr>
              <w:t>4W CQR</w:t>
            </w:r>
          </w:p>
        </w:tc>
        <w:tc>
          <w:tcPr>
            <w:tcW w:w="1523" w:type="dxa"/>
          </w:tcPr>
          <w:p w:rsidR="00D21521" w:rsidRPr="00EE4F6E" w:rsidRDefault="00D21521" w:rsidP="00002931">
            <w:pPr>
              <w:spacing w:beforeLines="60" w:before="144" w:afterLines="60" w:after="144"/>
              <w:jc w:val="center"/>
              <w:rPr>
                <w:sz w:val="20"/>
              </w:rPr>
            </w:pPr>
            <w:r w:rsidRPr="00EE4F6E">
              <w:rPr>
                <w:sz w:val="20"/>
              </w:rPr>
              <w:t>CA Wk 9-52</w:t>
            </w:r>
          </w:p>
        </w:tc>
        <w:tc>
          <w:tcPr>
            <w:tcW w:w="1353" w:type="dxa"/>
          </w:tcPr>
          <w:p w:rsidR="00D21521" w:rsidRPr="00EE4F6E" w:rsidRDefault="00D21521" w:rsidP="00002931">
            <w:pPr>
              <w:spacing w:beforeLines="60" w:before="144" w:afterLines="60" w:after="144"/>
              <w:jc w:val="center"/>
              <w:rPr>
                <w:sz w:val="20"/>
              </w:rPr>
            </w:pPr>
            <w:r w:rsidRPr="00EE4F6E">
              <w:rPr>
                <w:sz w:val="20"/>
              </w:rPr>
              <w:t>4W CQR</w:t>
            </w:r>
          </w:p>
        </w:tc>
        <w:tc>
          <w:tcPr>
            <w:tcW w:w="1521" w:type="dxa"/>
          </w:tcPr>
          <w:p w:rsidR="00D21521" w:rsidRPr="00EE4F6E" w:rsidRDefault="00D21521" w:rsidP="00002931">
            <w:pPr>
              <w:spacing w:beforeLines="60" w:before="144" w:afterLines="60" w:after="144"/>
              <w:jc w:val="center"/>
              <w:rPr>
                <w:sz w:val="20"/>
              </w:rPr>
            </w:pPr>
            <w:r w:rsidRPr="00EE4F6E">
              <w:rPr>
                <w:sz w:val="20"/>
              </w:rPr>
              <w:t>CA Wk 9-52</w:t>
            </w:r>
          </w:p>
        </w:tc>
      </w:tr>
      <w:tr w:rsidR="00D21521" w:rsidRPr="00EE4F6E" w:rsidTr="00002931">
        <w:trPr>
          <w:trHeight w:val="242"/>
          <w:jc w:val="center"/>
        </w:trPr>
        <w:tc>
          <w:tcPr>
            <w:tcW w:w="2977" w:type="dxa"/>
          </w:tcPr>
          <w:p w:rsidR="00D21521" w:rsidRPr="00EE4F6E" w:rsidRDefault="00D21521" w:rsidP="00002931">
            <w:pPr>
              <w:spacing w:beforeLines="60" w:before="144" w:afterLines="60" w:after="144"/>
              <w:rPr>
                <w:sz w:val="20"/>
              </w:rPr>
            </w:pPr>
            <w:r>
              <w:rPr>
                <w:sz w:val="20"/>
              </w:rPr>
              <w:t>V</w:t>
            </w:r>
            <w:r w:rsidRPr="006D1E3E">
              <w:rPr>
                <w:sz w:val="20"/>
              </w:rPr>
              <w:t>arenicline</w:t>
            </w:r>
          </w:p>
        </w:tc>
        <w:tc>
          <w:tcPr>
            <w:tcW w:w="1353" w:type="dxa"/>
          </w:tcPr>
          <w:p w:rsidR="00D21521" w:rsidRPr="00EE4F6E" w:rsidRDefault="00D21521" w:rsidP="00002931">
            <w:pPr>
              <w:spacing w:beforeLines="60" w:before="144" w:afterLines="60" w:after="144"/>
              <w:jc w:val="center"/>
              <w:rPr>
                <w:sz w:val="20"/>
              </w:rPr>
            </w:pPr>
            <w:r w:rsidRPr="00EE4F6E">
              <w:rPr>
                <w:sz w:val="20"/>
              </w:rPr>
              <w:t>44.4</w:t>
            </w:r>
            <w:r>
              <w:rPr>
                <w:sz w:val="20"/>
              </w:rPr>
              <w:t> </w:t>
            </w:r>
            <w:r w:rsidRPr="00EE4F6E">
              <w:rPr>
                <w:sz w:val="20"/>
              </w:rPr>
              <w:t>%</w:t>
            </w:r>
          </w:p>
        </w:tc>
        <w:tc>
          <w:tcPr>
            <w:tcW w:w="1523" w:type="dxa"/>
          </w:tcPr>
          <w:p w:rsidR="00D21521" w:rsidRPr="00EE4F6E" w:rsidRDefault="00D21521" w:rsidP="00002931">
            <w:pPr>
              <w:spacing w:beforeLines="60" w:before="144" w:afterLines="60" w:after="144"/>
              <w:jc w:val="center"/>
              <w:rPr>
                <w:sz w:val="20"/>
              </w:rPr>
            </w:pPr>
            <w:r w:rsidRPr="00EE4F6E">
              <w:rPr>
                <w:sz w:val="20"/>
              </w:rPr>
              <w:t>22.1</w:t>
            </w:r>
            <w:r>
              <w:rPr>
                <w:sz w:val="20"/>
              </w:rPr>
              <w:t> </w:t>
            </w:r>
            <w:r w:rsidRPr="00EE4F6E">
              <w:rPr>
                <w:sz w:val="20"/>
              </w:rPr>
              <w:t>%</w:t>
            </w:r>
          </w:p>
        </w:tc>
        <w:tc>
          <w:tcPr>
            <w:tcW w:w="1353" w:type="dxa"/>
          </w:tcPr>
          <w:p w:rsidR="00D21521" w:rsidRPr="00EE4F6E" w:rsidRDefault="00D21521" w:rsidP="00002931">
            <w:pPr>
              <w:spacing w:beforeLines="60" w:before="144" w:afterLines="60" w:after="144"/>
              <w:jc w:val="center"/>
              <w:rPr>
                <w:sz w:val="20"/>
              </w:rPr>
            </w:pPr>
            <w:r w:rsidRPr="00EE4F6E">
              <w:rPr>
                <w:sz w:val="20"/>
              </w:rPr>
              <w:t>44.0</w:t>
            </w:r>
            <w:r>
              <w:rPr>
                <w:sz w:val="20"/>
              </w:rPr>
              <w:t> </w:t>
            </w:r>
            <w:r w:rsidRPr="00EE4F6E">
              <w:rPr>
                <w:sz w:val="20"/>
              </w:rPr>
              <w:t>%</w:t>
            </w:r>
          </w:p>
        </w:tc>
        <w:tc>
          <w:tcPr>
            <w:tcW w:w="1521" w:type="dxa"/>
          </w:tcPr>
          <w:p w:rsidR="00D21521" w:rsidRPr="00EE4F6E" w:rsidRDefault="00D21521" w:rsidP="00002931">
            <w:pPr>
              <w:spacing w:beforeLines="60" w:before="144" w:afterLines="60" w:after="144"/>
              <w:jc w:val="center"/>
              <w:rPr>
                <w:sz w:val="20"/>
              </w:rPr>
            </w:pPr>
            <w:r w:rsidRPr="00EE4F6E">
              <w:rPr>
                <w:sz w:val="20"/>
              </w:rPr>
              <w:t>23.0</w:t>
            </w:r>
            <w:r>
              <w:rPr>
                <w:sz w:val="20"/>
              </w:rPr>
              <w:t> </w:t>
            </w:r>
            <w:r w:rsidRPr="00EE4F6E">
              <w:rPr>
                <w:sz w:val="20"/>
              </w:rPr>
              <w:t>%</w:t>
            </w:r>
          </w:p>
        </w:tc>
      </w:tr>
      <w:tr w:rsidR="00D21521" w:rsidRPr="00EE4F6E" w:rsidTr="00002931">
        <w:trPr>
          <w:trHeight w:val="245"/>
          <w:jc w:val="center"/>
        </w:trPr>
        <w:tc>
          <w:tcPr>
            <w:tcW w:w="2977" w:type="dxa"/>
          </w:tcPr>
          <w:p w:rsidR="00D21521" w:rsidRPr="00EE4F6E" w:rsidRDefault="00D21521" w:rsidP="00002931">
            <w:pPr>
              <w:spacing w:beforeLines="60" w:before="144" w:afterLines="60" w:after="144"/>
              <w:rPr>
                <w:sz w:val="20"/>
              </w:rPr>
            </w:pPr>
            <w:r w:rsidRPr="00EE4F6E">
              <w:rPr>
                <w:sz w:val="20"/>
              </w:rPr>
              <w:t>Bupropion</w:t>
            </w:r>
          </w:p>
        </w:tc>
        <w:tc>
          <w:tcPr>
            <w:tcW w:w="1353" w:type="dxa"/>
          </w:tcPr>
          <w:p w:rsidR="00D21521" w:rsidRPr="00EE4F6E" w:rsidRDefault="00D21521" w:rsidP="00002931">
            <w:pPr>
              <w:spacing w:beforeLines="60" w:before="144" w:afterLines="60" w:after="144"/>
              <w:jc w:val="center"/>
              <w:rPr>
                <w:sz w:val="20"/>
              </w:rPr>
            </w:pPr>
            <w:r w:rsidRPr="00EE4F6E">
              <w:rPr>
                <w:sz w:val="20"/>
              </w:rPr>
              <w:t>29.5</w:t>
            </w:r>
            <w:r>
              <w:rPr>
                <w:sz w:val="20"/>
              </w:rPr>
              <w:t> </w:t>
            </w:r>
            <w:r w:rsidRPr="00EE4F6E">
              <w:rPr>
                <w:sz w:val="20"/>
              </w:rPr>
              <w:t>%</w:t>
            </w:r>
          </w:p>
        </w:tc>
        <w:tc>
          <w:tcPr>
            <w:tcW w:w="1523" w:type="dxa"/>
          </w:tcPr>
          <w:p w:rsidR="00D21521" w:rsidRPr="00EE4F6E" w:rsidRDefault="00D21521" w:rsidP="00002931">
            <w:pPr>
              <w:spacing w:beforeLines="60" w:before="144" w:afterLines="60" w:after="144"/>
              <w:jc w:val="center"/>
              <w:rPr>
                <w:sz w:val="20"/>
              </w:rPr>
            </w:pPr>
            <w:r w:rsidRPr="00EE4F6E">
              <w:rPr>
                <w:sz w:val="20"/>
              </w:rPr>
              <w:t>16.4</w:t>
            </w:r>
            <w:r>
              <w:rPr>
                <w:sz w:val="20"/>
              </w:rPr>
              <w:t> </w:t>
            </w:r>
            <w:r w:rsidRPr="00EE4F6E">
              <w:rPr>
                <w:sz w:val="20"/>
              </w:rPr>
              <w:t>%</w:t>
            </w:r>
          </w:p>
        </w:tc>
        <w:tc>
          <w:tcPr>
            <w:tcW w:w="1353" w:type="dxa"/>
          </w:tcPr>
          <w:p w:rsidR="00D21521" w:rsidRPr="00EE4F6E" w:rsidRDefault="00D21521" w:rsidP="00002931">
            <w:pPr>
              <w:spacing w:beforeLines="60" w:before="144" w:afterLines="60" w:after="144"/>
              <w:jc w:val="center"/>
              <w:rPr>
                <w:sz w:val="20"/>
              </w:rPr>
            </w:pPr>
            <w:r w:rsidRPr="00EE4F6E">
              <w:rPr>
                <w:sz w:val="20"/>
              </w:rPr>
              <w:t>30.0</w:t>
            </w:r>
            <w:r>
              <w:rPr>
                <w:sz w:val="20"/>
              </w:rPr>
              <w:t> </w:t>
            </w:r>
            <w:r w:rsidRPr="00EE4F6E">
              <w:rPr>
                <w:sz w:val="20"/>
              </w:rPr>
              <w:t>%</w:t>
            </w:r>
          </w:p>
        </w:tc>
        <w:tc>
          <w:tcPr>
            <w:tcW w:w="1521" w:type="dxa"/>
          </w:tcPr>
          <w:p w:rsidR="00D21521" w:rsidRPr="00EE4F6E" w:rsidRDefault="00D21521" w:rsidP="00002931">
            <w:pPr>
              <w:spacing w:beforeLines="60" w:before="144" w:afterLines="60" w:after="144"/>
              <w:jc w:val="center"/>
              <w:rPr>
                <w:sz w:val="20"/>
              </w:rPr>
            </w:pPr>
            <w:r w:rsidRPr="00EE4F6E">
              <w:rPr>
                <w:sz w:val="20"/>
              </w:rPr>
              <w:t>15.0</w:t>
            </w:r>
            <w:r>
              <w:rPr>
                <w:sz w:val="20"/>
              </w:rPr>
              <w:t> </w:t>
            </w:r>
            <w:r w:rsidRPr="00EE4F6E">
              <w:rPr>
                <w:sz w:val="20"/>
              </w:rPr>
              <w:t>%</w:t>
            </w:r>
          </w:p>
        </w:tc>
      </w:tr>
      <w:tr w:rsidR="00D21521" w:rsidRPr="00EE4F6E" w:rsidTr="00002931">
        <w:trPr>
          <w:trHeight w:val="243"/>
          <w:jc w:val="center"/>
        </w:trPr>
        <w:tc>
          <w:tcPr>
            <w:tcW w:w="2977" w:type="dxa"/>
          </w:tcPr>
          <w:p w:rsidR="00D21521" w:rsidRPr="00EE4F6E" w:rsidRDefault="00D21521" w:rsidP="00002931">
            <w:pPr>
              <w:spacing w:beforeLines="60" w:before="144" w:afterLines="60" w:after="144"/>
              <w:rPr>
                <w:sz w:val="20"/>
              </w:rPr>
            </w:pPr>
            <w:r w:rsidRPr="00EE4F6E">
              <w:rPr>
                <w:sz w:val="20"/>
              </w:rPr>
              <w:t>Placebo</w:t>
            </w:r>
          </w:p>
        </w:tc>
        <w:tc>
          <w:tcPr>
            <w:tcW w:w="1353" w:type="dxa"/>
          </w:tcPr>
          <w:p w:rsidR="00D21521" w:rsidRPr="00EE4F6E" w:rsidRDefault="00D21521" w:rsidP="00002931">
            <w:pPr>
              <w:spacing w:beforeLines="60" w:before="144" w:afterLines="60" w:after="144"/>
              <w:jc w:val="center"/>
              <w:rPr>
                <w:sz w:val="20"/>
              </w:rPr>
            </w:pPr>
            <w:r w:rsidRPr="00EE4F6E">
              <w:rPr>
                <w:sz w:val="20"/>
              </w:rPr>
              <w:t>17.7</w:t>
            </w:r>
            <w:r>
              <w:rPr>
                <w:sz w:val="20"/>
              </w:rPr>
              <w:t> </w:t>
            </w:r>
            <w:r w:rsidRPr="00EE4F6E">
              <w:rPr>
                <w:sz w:val="20"/>
              </w:rPr>
              <w:t>%</w:t>
            </w:r>
          </w:p>
        </w:tc>
        <w:tc>
          <w:tcPr>
            <w:tcW w:w="1523" w:type="dxa"/>
          </w:tcPr>
          <w:p w:rsidR="00D21521" w:rsidRPr="00EE4F6E" w:rsidRDefault="00D21521" w:rsidP="00002931">
            <w:pPr>
              <w:spacing w:beforeLines="60" w:before="144" w:afterLines="60" w:after="144"/>
              <w:jc w:val="center"/>
              <w:rPr>
                <w:sz w:val="20"/>
              </w:rPr>
            </w:pPr>
            <w:r w:rsidRPr="00EE4F6E">
              <w:rPr>
                <w:sz w:val="20"/>
              </w:rPr>
              <w:t>8.4</w:t>
            </w:r>
            <w:r>
              <w:rPr>
                <w:sz w:val="20"/>
              </w:rPr>
              <w:t> </w:t>
            </w:r>
            <w:r w:rsidRPr="00EE4F6E">
              <w:rPr>
                <w:sz w:val="20"/>
              </w:rPr>
              <w:t>%</w:t>
            </w:r>
          </w:p>
        </w:tc>
        <w:tc>
          <w:tcPr>
            <w:tcW w:w="1353" w:type="dxa"/>
          </w:tcPr>
          <w:p w:rsidR="00D21521" w:rsidRPr="00EE4F6E" w:rsidRDefault="00D21521" w:rsidP="00002931">
            <w:pPr>
              <w:spacing w:beforeLines="60" w:before="144" w:afterLines="60" w:after="144"/>
              <w:jc w:val="center"/>
              <w:rPr>
                <w:sz w:val="20"/>
              </w:rPr>
            </w:pPr>
            <w:r w:rsidRPr="00EE4F6E">
              <w:rPr>
                <w:sz w:val="20"/>
              </w:rPr>
              <w:t>17.7</w:t>
            </w:r>
            <w:r>
              <w:rPr>
                <w:sz w:val="20"/>
              </w:rPr>
              <w:t> </w:t>
            </w:r>
            <w:r w:rsidRPr="00EE4F6E">
              <w:rPr>
                <w:sz w:val="20"/>
              </w:rPr>
              <w:t>%</w:t>
            </w:r>
          </w:p>
        </w:tc>
        <w:tc>
          <w:tcPr>
            <w:tcW w:w="1521" w:type="dxa"/>
          </w:tcPr>
          <w:p w:rsidR="00D21521" w:rsidRPr="00EE4F6E" w:rsidRDefault="00D21521" w:rsidP="00002931">
            <w:pPr>
              <w:spacing w:beforeLines="60" w:before="144" w:afterLines="60" w:after="144"/>
              <w:jc w:val="center"/>
              <w:rPr>
                <w:sz w:val="20"/>
              </w:rPr>
            </w:pPr>
            <w:r w:rsidRPr="00EE4F6E">
              <w:rPr>
                <w:sz w:val="20"/>
              </w:rPr>
              <w:t>10.3</w:t>
            </w:r>
            <w:r>
              <w:rPr>
                <w:sz w:val="20"/>
              </w:rPr>
              <w:t> </w:t>
            </w:r>
            <w:r w:rsidRPr="00EE4F6E">
              <w:rPr>
                <w:sz w:val="20"/>
              </w:rPr>
              <w:t>%</w:t>
            </w:r>
          </w:p>
        </w:tc>
      </w:tr>
      <w:tr w:rsidR="00D21521" w:rsidRPr="00EE4F6E" w:rsidTr="00002931">
        <w:trPr>
          <w:trHeight w:val="487"/>
          <w:jc w:val="center"/>
        </w:trPr>
        <w:tc>
          <w:tcPr>
            <w:tcW w:w="2977" w:type="dxa"/>
          </w:tcPr>
          <w:p w:rsidR="00D21521" w:rsidRPr="00EE4F6E" w:rsidRDefault="00D21521" w:rsidP="00002931">
            <w:pPr>
              <w:spacing w:beforeLines="60" w:before="144" w:afterLines="60" w:after="144"/>
              <w:rPr>
                <w:sz w:val="20"/>
              </w:rPr>
            </w:pPr>
            <w:r w:rsidRPr="00EE4F6E">
              <w:rPr>
                <w:sz w:val="20"/>
              </w:rPr>
              <w:t>Odds ratio</w:t>
            </w:r>
          </w:p>
          <w:p w:rsidR="00D21521" w:rsidRPr="00EE4F6E" w:rsidRDefault="00D21521" w:rsidP="00002931">
            <w:pPr>
              <w:spacing w:beforeLines="60" w:before="144" w:afterLines="60" w:after="144"/>
              <w:rPr>
                <w:sz w:val="20"/>
              </w:rPr>
            </w:pPr>
            <w:r>
              <w:rPr>
                <w:sz w:val="20"/>
              </w:rPr>
              <w:t>V</w:t>
            </w:r>
            <w:r w:rsidRPr="006D1E3E">
              <w:rPr>
                <w:sz w:val="20"/>
              </w:rPr>
              <w:t xml:space="preserve">arenicline </w:t>
            </w:r>
            <w:r w:rsidRPr="00EE4F6E">
              <w:rPr>
                <w:sz w:val="20"/>
              </w:rPr>
              <w:t>vs. placebo</w:t>
            </w:r>
          </w:p>
        </w:tc>
        <w:tc>
          <w:tcPr>
            <w:tcW w:w="1353" w:type="dxa"/>
          </w:tcPr>
          <w:p w:rsidR="00D21521" w:rsidRPr="00EE4F6E" w:rsidRDefault="00D21521" w:rsidP="00002931">
            <w:pPr>
              <w:spacing w:beforeLines="60" w:before="144" w:afterLines="60" w:after="144"/>
              <w:jc w:val="center"/>
              <w:rPr>
                <w:sz w:val="20"/>
              </w:rPr>
            </w:pPr>
            <w:r w:rsidRPr="00EE4F6E">
              <w:rPr>
                <w:sz w:val="20"/>
              </w:rPr>
              <w:t>3.91</w:t>
            </w:r>
          </w:p>
          <w:p w:rsidR="00D21521" w:rsidRPr="00EE4F6E" w:rsidRDefault="00D21521" w:rsidP="00002931">
            <w:pPr>
              <w:spacing w:beforeLines="60" w:before="144" w:afterLines="60" w:after="144"/>
              <w:jc w:val="center"/>
              <w:rPr>
                <w:sz w:val="20"/>
              </w:rPr>
            </w:pPr>
            <w:r w:rsidRPr="00EE4F6E">
              <w:rPr>
                <w:sz w:val="20"/>
              </w:rPr>
              <w:t>p&lt;0.0001</w:t>
            </w:r>
          </w:p>
        </w:tc>
        <w:tc>
          <w:tcPr>
            <w:tcW w:w="1523" w:type="dxa"/>
          </w:tcPr>
          <w:p w:rsidR="00D21521" w:rsidRPr="00EE4F6E" w:rsidRDefault="00D21521" w:rsidP="00002931">
            <w:pPr>
              <w:spacing w:beforeLines="60" w:before="144" w:afterLines="60" w:after="144"/>
              <w:jc w:val="center"/>
              <w:rPr>
                <w:sz w:val="20"/>
              </w:rPr>
            </w:pPr>
            <w:r w:rsidRPr="00EE4F6E">
              <w:rPr>
                <w:sz w:val="20"/>
              </w:rPr>
              <w:t>3.13</w:t>
            </w:r>
          </w:p>
          <w:p w:rsidR="00D21521" w:rsidRPr="00EE4F6E" w:rsidRDefault="00D21521" w:rsidP="00002931">
            <w:pPr>
              <w:spacing w:beforeLines="60" w:before="144" w:afterLines="60" w:after="144"/>
              <w:jc w:val="center"/>
              <w:rPr>
                <w:sz w:val="20"/>
              </w:rPr>
            </w:pPr>
            <w:r w:rsidRPr="00EE4F6E">
              <w:rPr>
                <w:sz w:val="20"/>
              </w:rPr>
              <w:t>p&lt;0.0001</w:t>
            </w:r>
          </w:p>
        </w:tc>
        <w:tc>
          <w:tcPr>
            <w:tcW w:w="1353" w:type="dxa"/>
          </w:tcPr>
          <w:p w:rsidR="00D21521" w:rsidRPr="00EE4F6E" w:rsidRDefault="00D21521" w:rsidP="00002931">
            <w:pPr>
              <w:spacing w:beforeLines="60" w:before="144" w:afterLines="60" w:after="144"/>
              <w:jc w:val="center"/>
              <w:rPr>
                <w:sz w:val="20"/>
              </w:rPr>
            </w:pPr>
            <w:r w:rsidRPr="00EE4F6E">
              <w:rPr>
                <w:sz w:val="20"/>
              </w:rPr>
              <w:t>3.85</w:t>
            </w:r>
          </w:p>
          <w:p w:rsidR="00D21521" w:rsidRPr="00EE4F6E" w:rsidRDefault="00D21521" w:rsidP="00002931">
            <w:pPr>
              <w:spacing w:beforeLines="60" w:before="144" w:afterLines="60" w:after="144"/>
              <w:jc w:val="center"/>
              <w:rPr>
                <w:sz w:val="20"/>
              </w:rPr>
            </w:pPr>
            <w:r w:rsidRPr="00EE4F6E">
              <w:rPr>
                <w:sz w:val="20"/>
              </w:rPr>
              <w:t>p&lt;0.0001</w:t>
            </w:r>
          </w:p>
        </w:tc>
        <w:tc>
          <w:tcPr>
            <w:tcW w:w="1521" w:type="dxa"/>
          </w:tcPr>
          <w:p w:rsidR="00D21521" w:rsidRPr="00EE4F6E" w:rsidRDefault="00D21521" w:rsidP="00002931">
            <w:pPr>
              <w:spacing w:beforeLines="60" w:before="144" w:afterLines="60" w:after="144"/>
              <w:jc w:val="center"/>
              <w:rPr>
                <w:sz w:val="20"/>
              </w:rPr>
            </w:pPr>
            <w:r w:rsidRPr="00EE4F6E">
              <w:rPr>
                <w:sz w:val="20"/>
              </w:rPr>
              <w:t>2.66</w:t>
            </w:r>
          </w:p>
          <w:p w:rsidR="00D21521" w:rsidRPr="00EE4F6E" w:rsidRDefault="00D21521" w:rsidP="00002931">
            <w:pPr>
              <w:spacing w:beforeLines="60" w:before="144" w:afterLines="60" w:after="144"/>
              <w:jc w:val="center"/>
              <w:rPr>
                <w:sz w:val="20"/>
              </w:rPr>
            </w:pPr>
            <w:r w:rsidRPr="00EE4F6E">
              <w:rPr>
                <w:sz w:val="20"/>
              </w:rPr>
              <w:t>p&lt;0.0001</w:t>
            </w:r>
          </w:p>
        </w:tc>
      </w:tr>
      <w:tr w:rsidR="00D21521" w:rsidRPr="00EE4F6E" w:rsidTr="00002931">
        <w:trPr>
          <w:trHeight w:val="488"/>
          <w:jc w:val="center"/>
        </w:trPr>
        <w:tc>
          <w:tcPr>
            <w:tcW w:w="2977" w:type="dxa"/>
          </w:tcPr>
          <w:p w:rsidR="00D21521" w:rsidRPr="00D21521" w:rsidRDefault="00D21521" w:rsidP="00002931">
            <w:pPr>
              <w:spacing w:beforeLines="60" w:before="144" w:afterLines="60" w:after="144"/>
              <w:rPr>
                <w:sz w:val="20"/>
                <w:lang w:val="en-US"/>
              </w:rPr>
            </w:pPr>
            <w:r w:rsidRPr="00D21521">
              <w:rPr>
                <w:sz w:val="20"/>
                <w:lang w:val="en-US"/>
              </w:rPr>
              <w:t>Odds ratio</w:t>
            </w:r>
          </w:p>
          <w:p w:rsidR="00D21521" w:rsidRPr="00D21521" w:rsidRDefault="00D21521" w:rsidP="00002931">
            <w:pPr>
              <w:spacing w:beforeLines="60" w:before="144" w:afterLines="60" w:after="144"/>
              <w:rPr>
                <w:sz w:val="20"/>
                <w:lang w:val="en-US"/>
              </w:rPr>
            </w:pPr>
            <w:r w:rsidRPr="00D21521">
              <w:rPr>
                <w:sz w:val="20"/>
                <w:lang w:val="en-US"/>
              </w:rPr>
              <w:t>Varenicline vs. bupropion</w:t>
            </w:r>
          </w:p>
        </w:tc>
        <w:tc>
          <w:tcPr>
            <w:tcW w:w="1353" w:type="dxa"/>
          </w:tcPr>
          <w:p w:rsidR="00D21521" w:rsidRPr="00EE4F6E" w:rsidRDefault="00D21521" w:rsidP="00002931">
            <w:pPr>
              <w:spacing w:beforeLines="60" w:before="144" w:afterLines="60" w:after="144"/>
              <w:jc w:val="center"/>
              <w:rPr>
                <w:sz w:val="20"/>
              </w:rPr>
            </w:pPr>
            <w:r w:rsidRPr="00EE4F6E">
              <w:rPr>
                <w:sz w:val="20"/>
              </w:rPr>
              <w:t>1.96</w:t>
            </w:r>
          </w:p>
          <w:p w:rsidR="00D21521" w:rsidRPr="00EE4F6E" w:rsidRDefault="00D21521" w:rsidP="00002931">
            <w:r w:rsidRPr="00EE4F6E">
              <w:t>p&lt;0.0001</w:t>
            </w:r>
          </w:p>
        </w:tc>
        <w:tc>
          <w:tcPr>
            <w:tcW w:w="1523" w:type="dxa"/>
          </w:tcPr>
          <w:p w:rsidR="00D21521" w:rsidRPr="00EE4F6E" w:rsidRDefault="00D21521" w:rsidP="00002931">
            <w:pPr>
              <w:spacing w:beforeLines="60" w:before="144" w:afterLines="60" w:after="144"/>
              <w:jc w:val="center"/>
              <w:rPr>
                <w:sz w:val="20"/>
              </w:rPr>
            </w:pPr>
            <w:r w:rsidRPr="00EE4F6E">
              <w:rPr>
                <w:sz w:val="20"/>
              </w:rPr>
              <w:t>1.45</w:t>
            </w:r>
          </w:p>
          <w:p w:rsidR="00D21521" w:rsidRPr="00EE4F6E" w:rsidRDefault="00D21521" w:rsidP="00002931">
            <w:pPr>
              <w:spacing w:beforeLines="60" w:before="144" w:afterLines="60" w:after="144"/>
              <w:jc w:val="center"/>
              <w:rPr>
                <w:sz w:val="20"/>
              </w:rPr>
            </w:pPr>
            <w:r w:rsidRPr="00EE4F6E">
              <w:rPr>
                <w:sz w:val="20"/>
              </w:rPr>
              <w:t>p=0.0640</w:t>
            </w:r>
          </w:p>
        </w:tc>
        <w:tc>
          <w:tcPr>
            <w:tcW w:w="1353" w:type="dxa"/>
          </w:tcPr>
          <w:p w:rsidR="00D21521" w:rsidRPr="00EE4F6E" w:rsidRDefault="00D21521" w:rsidP="00002931">
            <w:pPr>
              <w:spacing w:beforeLines="60" w:before="144" w:afterLines="60" w:after="144"/>
              <w:jc w:val="center"/>
              <w:rPr>
                <w:sz w:val="20"/>
              </w:rPr>
            </w:pPr>
            <w:r w:rsidRPr="00EE4F6E">
              <w:rPr>
                <w:sz w:val="20"/>
              </w:rPr>
              <w:t>1.89</w:t>
            </w:r>
          </w:p>
          <w:p w:rsidR="00D21521" w:rsidRPr="00EE4F6E" w:rsidRDefault="00D21521" w:rsidP="00002931">
            <w:pPr>
              <w:spacing w:beforeLines="60" w:before="144" w:afterLines="60" w:after="144"/>
              <w:jc w:val="center"/>
              <w:rPr>
                <w:sz w:val="20"/>
              </w:rPr>
            </w:pPr>
            <w:r w:rsidRPr="00EE4F6E">
              <w:rPr>
                <w:sz w:val="20"/>
              </w:rPr>
              <w:t>p&lt;0.0001</w:t>
            </w:r>
          </w:p>
        </w:tc>
        <w:tc>
          <w:tcPr>
            <w:tcW w:w="1521" w:type="dxa"/>
          </w:tcPr>
          <w:p w:rsidR="00D21521" w:rsidRPr="00EE4F6E" w:rsidRDefault="00D21521" w:rsidP="00002931">
            <w:pPr>
              <w:spacing w:beforeLines="60" w:before="144" w:afterLines="60" w:after="144"/>
              <w:jc w:val="center"/>
              <w:rPr>
                <w:sz w:val="20"/>
              </w:rPr>
            </w:pPr>
            <w:r w:rsidRPr="00EE4F6E">
              <w:rPr>
                <w:sz w:val="20"/>
              </w:rPr>
              <w:t>1.72</w:t>
            </w:r>
          </w:p>
          <w:p w:rsidR="00D21521" w:rsidRPr="00EE4F6E" w:rsidRDefault="00D21521" w:rsidP="00002931">
            <w:pPr>
              <w:spacing w:beforeLines="60" w:before="144" w:afterLines="60" w:after="144"/>
              <w:jc w:val="center"/>
              <w:rPr>
                <w:sz w:val="20"/>
              </w:rPr>
            </w:pPr>
            <w:r w:rsidRPr="00EE4F6E">
              <w:rPr>
                <w:sz w:val="20"/>
              </w:rPr>
              <w:t>p=0.0062</w:t>
            </w:r>
          </w:p>
        </w:tc>
      </w:tr>
    </w:tbl>
    <w:p w:rsidR="00D21521" w:rsidRPr="00EE4F6E" w:rsidRDefault="00D21521" w:rsidP="00D21521"/>
    <w:p w:rsidR="00D21521" w:rsidRPr="00D21521" w:rsidRDefault="00D21521" w:rsidP="00D21521">
      <w:pPr>
        <w:ind w:left="851"/>
        <w:rPr>
          <w:i/>
          <w:sz w:val="24"/>
          <w:szCs w:val="24"/>
          <w:lang w:val="en-US"/>
        </w:rPr>
      </w:pPr>
      <w:r w:rsidRPr="00D21521">
        <w:rPr>
          <w:i/>
          <w:sz w:val="24"/>
          <w:szCs w:val="24"/>
          <w:lang w:val="en-US"/>
        </w:rPr>
        <w:t>Patient reported craving, withdrawal and reinforcing effects of smoking</w:t>
      </w:r>
    </w:p>
    <w:p w:rsidR="00D21521" w:rsidRPr="00D21521" w:rsidRDefault="00D21521" w:rsidP="00D21521">
      <w:pPr>
        <w:ind w:left="851"/>
        <w:rPr>
          <w:sz w:val="24"/>
          <w:szCs w:val="24"/>
          <w:lang w:val="en-US"/>
        </w:rPr>
      </w:pPr>
      <w:r w:rsidRPr="00D21521">
        <w:rPr>
          <w:sz w:val="24"/>
          <w:szCs w:val="24"/>
          <w:lang w:val="en-US"/>
        </w:rPr>
        <w:t>Across both Studies 1 and 2 during active treatment, craving and withdrawal were significantly reduced in patients randomised to varenicline in comparison with placebo. Varenicline also significantly reduced reinforcing effects of smoking that can perpetuate smoking behaviour in patients who smoke during treatment compared with placebo. The effect of varenicline on craving, withdrawal and reinforcing effects of smoking were not measured during the non-treatment long-term follow-up phase.</w:t>
      </w:r>
    </w:p>
    <w:p w:rsidR="00D21521" w:rsidRPr="00D21521" w:rsidRDefault="00D21521" w:rsidP="00D21521">
      <w:pPr>
        <w:ind w:left="851"/>
        <w:rPr>
          <w:sz w:val="24"/>
          <w:szCs w:val="24"/>
          <w:lang w:val="en-US"/>
        </w:rPr>
      </w:pPr>
    </w:p>
    <w:p w:rsidR="00D21521" w:rsidRPr="00D21521" w:rsidRDefault="00D21521" w:rsidP="00D21521">
      <w:pPr>
        <w:ind w:left="851"/>
        <w:rPr>
          <w:i/>
          <w:sz w:val="24"/>
          <w:szCs w:val="24"/>
          <w:lang w:val="en-US"/>
        </w:rPr>
      </w:pPr>
      <w:r w:rsidRPr="00D21521">
        <w:rPr>
          <w:i/>
          <w:sz w:val="24"/>
          <w:szCs w:val="24"/>
          <w:lang w:val="en-US"/>
        </w:rPr>
        <w:t>Maintenance of abstinence study</w:t>
      </w:r>
    </w:p>
    <w:p w:rsidR="00D21521" w:rsidRPr="00D21521" w:rsidRDefault="00D21521" w:rsidP="00D21521">
      <w:pPr>
        <w:ind w:left="851"/>
        <w:rPr>
          <w:sz w:val="24"/>
          <w:szCs w:val="24"/>
          <w:lang w:val="en-US"/>
        </w:rPr>
      </w:pPr>
      <w:r w:rsidRPr="00D21521">
        <w:rPr>
          <w:sz w:val="24"/>
          <w:szCs w:val="24"/>
          <w:lang w:val="en-US"/>
        </w:rPr>
        <w:t>The third study assessed the benefit of an additional 12 weeks of varenicline therapy on the maintenance of abstinence. Patients in this study (n=1,927) received open-label varenicline 1 mg twice daily for 12 weeks. Patients who stopped smoking by week 12 were then randomised to receive either varenicline (1 mg twice daily) or placebo for an additional 12 weeks for a total study duration of 52 weeks.</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The primary study endpoint was the CO-confirmed continuous abstinence rate from week 13 through week 24 in the double-blind treatment phase. A key secondary endpoint was the continuous abstinence (CA) rate for week 13 through week 52.</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This study showed the benefit of an additional 12-week treatment with varenicline 1 mg twice daily for the maintenance of smoking cessation compared to placebo; superiority to placebo for CA was maintained through week 52. The key results are summarised in the following table:</w:t>
      </w:r>
    </w:p>
    <w:p w:rsidR="00D21521" w:rsidRPr="00D21521" w:rsidRDefault="00D21521" w:rsidP="00D21521">
      <w:pPr>
        <w:ind w:left="851"/>
        <w:rPr>
          <w:sz w:val="24"/>
          <w:szCs w:val="24"/>
          <w:lang w:val="en-US"/>
        </w:rPr>
      </w:pPr>
    </w:p>
    <w:p w:rsidR="00D21521" w:rsidRPr="00D21521" w:rsidRDefault="00D21521" w:rsidP="00D21521">
      <w:pPr>
        <w:rPr>
          <w:b/>
          <w:lang w:val="en-US"/>
        </w:rPr>
      </w:pPr>
      <w:r w:rsidRPr="00D21521">
        <w:rPr>
          <w:b/>
          <w:lang w:val="en-US"/>
        </w:rPr>
        <w:t>Continuous Abstinence Rates in Subjects Treated with varenicline versus placebo</w:t>
      </w:r>
    </w:p>
    <w:p w:rsidR="00D21521" w:rsidRPr="00045DD6" w:rsidRDefault="00D21521" w:rsidP="00D21521">
      <w:pPr>
        <w:widowControl w:val="0"/>
        <w:autoSpaceDE w:val="0"/>
        <w:autoSpaceDN w:val="0"/>
        <w:spacing w:before="1" w:after="1"/>
        <w:rPr>
          <w:lang w:val="en-US"/>
        </w:rPr>
      </w:pPr>
    </w:p>
    <w:tbl>
      <w:tblPr>
        <w:tblStyle w:val="TableNormal"/>
        <w:tblW w:w="9072" w:type="dxa"/>
        <w:jc w:val="center"/>
        <w:tblLayout w:type="fixed"/>
        <w:tblLook w:val="01E0" w:firstRow="1" w:lastRow="1" w:firstColumn="1" w:lastColumn="1" w:noHBand="0" w:noVBand="0"/>
      </w:tblPr>
      <w:tblGrid>
        <w:gridCol w:w="1979"/>
        <w:gridCol w:w="1849"/>
        <w:gridCol w:w="1494"/>
        <w:gridCol w:w="2181"/>
        <w:gridCol w:w="1569"/>
      </w:tblGrid>
      <w:tr w:rsidR="00D21521" w:rsidRPr="00045DD6" w:rsidTr="00002931">
        <w:trPr>
          <w:trHeight w:val="242"/>
          <w:jc w:val="center"/>
        </w:trPr>
        <w:tc>
          <w:tcPr>
            <w:tcW w:w="1597" w:type="dxa"/>
            <w:vMerge w:val="restart"/>
            <w:tcBorders>
              <w:top w:val="single" w:sz="4" w:space="0" w:color="000000"/>
              <w:bottom w:val="single" w:sz="4" w:space="0" w:color="000000"/>
            </w:tcBorders>
          </w:tcPr>
          <w:p w:rsidR="00D21521" w:rsidRPr="00045DD6" w:rsidRDefault="00D21521" w:rsidP="00002931">
            <w:pPr>
              <w:spacing w:beforeLines="60" w:before="144" w:after="60"/>
              <w:rPr>
                <w:rFonts w:ascii="Arial" w:eastAsia="Times New Roman" w:hAnsi="Arial" w:cs="Arial"/>
                <w:sz w:val="20"/>
              </w:rPr>
            </w:pPr>
          </w:p>
        </w:tc>
        <w:tc>
          <w:tcPr>
            <w:tcW w:w="1493" w:type="dxa"/>
            <w:tcBorders>
              <w:top w:val="single" w:sz="4" w:space="0" w:color="000000"/>
            </w:tcBorders>
          </w:tcPr>
          <w:p w:rsidR="00D21521" w:rsidRPr="00045DD6" w:rsidRDefault="00D21521" w:rsidP="00002931">
            <w:pPr>
              <w:spacing w:line="213" w:lineRule="exact"/>
              <w:ind w:left="242" w:right="241"/>
              <w:jc w:val="center"/>
              <w:rPr>
                <w:rFonts w:ascii="Arial" w:eastAsia="Times New Roman" w:hAnsi="Arial" w:cs="Arial"/>
                <w:sz w:val="20"/>
              </w:rPr>
            </w:pPr>
            <w:r w:rsidRPr="006D1E3E">
              <w:rPr>
                <w:rFonts w:ascii="Arial" w:eastAsia="Times New Roman" w:hAnsi="Arial" w:cs="Arial"/>
                <w:w w:val="105"/>
                <w:sz w:val="20"/>
              </w:rPr>
              <w:t>Varenicline</w:t>
            </w:r>
          </w:p>
        </w:tc>
        <w:tc>
          <w:tcPr>
            <w:tcW w:w="1206" w:type="dxa"/>
            <w:tcBorders>
              <w:top w:val="single" w:sz="4" w:space="0" w:color="000000"/>
            </w:tcBorders>
          </w:tcPr>
          <w:p w:rsidR="00D21521" w:rsidRPr="00045DD6" w:rsidRDefault="00D21521" w:rsidP="00002931">
            <w:pPr>
              <w:spacing w:line="213" w:lineRule="exact"/>
              <w:ind w:left="269"/>
              <w:rPr>
                <w:rFonts w:ascii="Arial" w:eastAsia="Times New Roman" w:hAnsi="Arial" w:cs="Arial"/>
                <w:sz w:val="20"/>
              </w:rPr>
            </w:pPr>
            <w:r w:rsidRPr="00045DD6">
              <w:rPr>
                <w:rFonts w:ascii="Arial" w:eastAsia="Times New Roman" w:hAnsi="Arial" w:cs="Arial"/>
                <w:w w:val="105"/>
                <w:sz w:val="20"/>
              </w:rPr>
              <w:t>Placebo</w:t>
            </w:r>
          </w:p>
        </w:tc>
        <w:tc>
          <w:tcPr>
            <w:tcW w:w="1761" w:type="dxa"/>
            <w:tcBorders>
              <w:top w:val="single" w:sz="4" w:space="0" w:color="000000"/>
            </w:tcBorders>
          </w:tcPr>
          <w:p w:rsidR="00D21521" w:rsidRPr="00045DD6" w:rsidRDefault="00D21521" w:rsidP="00002931">
            <w:pPr>
              <w:spacing w:line="213" w:lineRule="exact"/>
              <w:ind w:left="245" w:right="140"/>
              <w:jc w:val="center"/>
              <w:rPr>
                <w:rFonts w:ascii="Arial" w:eastAsia="Times New Roman" w:hAnsi="Arial" w:cs="Arial"/>
                <w:sz w:val="20"/>
              </w:rPr>
            </w:pPr>
            <w:r w:rsidRPr="00045DD6">
              <w:rPr>
                <w:rFonts w:ascii="Arial" w:eastAsia="Times New Roman" w:hAnsi="Arial" w:cs="Arial"/>
                <w:w w:val="105"/>
                <w:sz w:val="20"/>
              </w:rPr>
              <w:t>Difference</w:t>
            </w:r>
          </w:p>
        </w:tc>
        <w:tc>
          <w:tcPr>
            <w:tcW w:w="1267" w:type="dxa"/>
            <w:tcBorders>
              <w:top w:val="single" w:sz="4" w:space="0" w:color="000000"/>
            </w:tcBorders>
          </w:tcPr>
          <w:p w:rsidR="00D21521" w:rsidRPr="00045DD6" w:rsidRDefault="00D21521" w:rsidP="00002931">
            <w:pPr>
              <w:spacing w:line="213" w:lineRule="exact"/>
              <w:ind w:left="144" w:right="102"/>
              <w:jc w:val="center"/>
              <w:rPr>
                <w:rFonts w:ascii="Arial" w:eastAsia="Times New Roman" w:hAnsi="Arial" w:cs="Arial"/>
                <w:sz w:val="20"/>
              </w:rPr>
            </w:pPr>
            <w:r w:rsidRPr="00045DD6">
              <w:rPr>
                <w:rFonts w:ascii="Arial" w:eastAsia="Times New Roman" w:hAnsi="Arial" w:cs="Arial"/>
                <w:w w:val="105"/>
                <w:sz w:val="20"/>
              </w:rPr>
              <w:t>Odds ratio</w:t>
            </w:r>
          </w:p>
        </w:tc>
      </w:tr>
      <w:tr w:rsidR="00D21521" w:rsidRPr="00045DD6" w:rsidTr="00002931">
        <w:trPr>
          <w:trHeight w:val="236"/>
          <w:jc w:val="center"/>
        </w:trPr>
        <w:tc>
          <w:tcPr>
            <w:tcW w:w="1597" w:type="dxa"/>
            <w:vMerge/>
            <w:tcBorders>
              <w:top w:val="nil"/>
              <w:bottom w:val="single" w:sz="4" w:space="0" w:color="000000"/>
            </w:tcBorders>
          </w:tcPr>
          <w:p w:rsidR="00D21521" w:rsidRPr="00045DD6" w:rsidRDefault="00D21521" w:rsidP="00002931">
            <w:pPr>
              <w:spacing w:beforeLines="60" w:before="144" w:after="60"/>
              <w:rPr>
                <w:rFonts w:ascii="Arial" w:eastAsia="Times New Roman" w:hAnsi="Arial" w:cs="Arial"/>
                <w:sz w:val="2"/>
                <w:szCs w:val="2"/>
              </w:rPr>
            </w:pPr>
          </w:p>
        </w:tc>
        <w:tc>
          <w:tcPr>
            <w:tcW w:w="1493" w:type="dxa"/>
            <w:tcBorders>
              <w:bottom w:val="single" w:sz="4" w:space="0" w:color="000000"/>
            </w:tcBorders>
          </w:tcPr>
          <w:p w:rsidR="00D21521" w:rsidRPr="00045DD6" w:rsidRDefault="00D21521" w:rsidP="00002931">
            <w:pPr>
              <w:spacing w:line="216" w:lineRule="exact"/>
              <w:ind w:left="242" w:right="240"/>
              <w:jc w:val="center"/>
              <w:rPr>
                <w:rFonts w:ascii="Arial" w:eastAsia="Times New Roman" w:hAnsi="Arial" w:cs="Arial"/>
                <w:sz w:val="20"/>
              </w:rPr>
            </w:pPr>
            <w:r w:rsidRPr="00045DD6">
              <w:rPr>
                <w:rFonts w:ascii="Arial" w:eastAsia="Times New Roman" w:hAnsi="Arial" w:cs="Arial"/>
                <w:w w:val="105"/>
                <w:sz w:val="20"/>
              </w:rPr>
              <w:t>n=602</w:t>
            </w:r>
          </w:p>
        </w:tc>
        <w:tc>
          <w:tcPr>
            <w:tcW w:w="1206" w:type="dxa"/>
            <w:tcBorders>
              <w:bottom w:val="single" w:sz="4" w:space="0" w:color="000000"/>
            </w:tcBorders>
          </w:tcPr>
          <w:p w:rsidR="00D21521" w:rsidRPr="00045DD6" w:rsidRDefault="00D21521" w:rsidP="00002931">
            <w:pPr>
              <w:spacing w:line="216" w:lineRule="exact"/>
              <w:ind w:left="332"/>
              <w:rPr>
                <w:rFonts w:ascii="Arial" w:eastAsia="Times New Roman" w:hAnsi="Arial" w:cs="Arial"/>
                <w:sz w:val="20"/>
              </w:rPr>
            </w:pPr>
            <w:r w:rsidRPr="00045DD6">
              <w:rPr>
                <w:rFonts w:ascii="Arial" w:eastAsia="Times New Roman" w:hAnsi="Arial" w:cs="Arial"/>
                <w:w w:val="105"/>
                <w:sz w:val="20"/>
              </w:rPr>
              <w:t>n=604</w:t>
            </w:r>
          </w:p>
        </w:tc>
        <w:tc>
          <w:tcPr>
            <w:tcW w:w="1761" w:type="dxa"/>
            <w:tcBorders>
              <w:bottom w:val="single" w:sz="4" w:space="0" w:color="000000"/>
            </w:tcBorders>
          </w:tcPr>
          <w:p w:rsidR="00D21521" w:rsidRPr="00045DD6" w:rsidRDefault="00D21521" w:rsidP="00002931">
            <w:pPr>
              <w:spacing w:line="216" w:lineRule="exact"/>
              <w:ind w:left="248" w:right="140"/>
              <w:jc w:val="center"/>
              <w:rPr>
                <w:rFonts w:ascii="Arial" w:eastAsia="Times New Roman" w:hAnsi="Arial" w:cs="Arial"/>
                <w:sz w:val="20"/>
              </w:rPr>
            </w:pPr>
            <w:r w:rsidRPr="00045DD6">
              <w:rPr>
                <w:rFonts w:ascii="Arial" w:eastAsia="Times New Roman" w:hAnsi="Arial" w:cs="Arial"/>
                <w:w w:val="105"/>
                <w:sz w:val="20"/>
              </w:rPr>
              <w:t>(95</w:t>
            </w:r>
            <w:r>
              <w:rPr>
                <w:rFonts w:ascii="Arial" w:eastAsia="Times New Roman" w:hAnsi="Arial" w:cs="Arial"/>
                <w:w w:val="105"/>
                <w:sz w:val="20"/>
              </w:rPr>
              <w:t> %</w:t>
            </w:r>
            <w:r w:rsidRPr="00045DD6">
              <w:rPr>
                <w:rFonts w:ascii="Arial" w:eastAsia="Times New Roman" w:hAnsi="Arial" w:cs="Arial"/>
                <w:w w:val="105"/>
                <w:sz w:val="20"/>
              </w:rPr>
              <w:t xml:space="preserve"> CI)</w:t>
            </w:r>
          </w:p>
        </w:tc>
        <w:tc>
          <w:tcPr>
            <w:tcW w:w="1267" w:type="dxa"/>
            <w:tcBorders>
              <w:bottom w:val="single" w:sz="4" w:space="0" w:color="000000"/>
            </w:tcBorders>
          </w:tcPr>
          <w:p w:rsidR="00D21521" w:rsidRPr="00045DD6" w:rsidRDefault="00D21521" w:rsidP="00002931">
            <w:pPr>
              <w:spacing w:line="216" w:lineRule="exact"/>
              <w:ind w:left="141" w:right="103"/>
              <w:jc w:val="center"/>
              <w:rPr>
                <w:rFonts w:ascii="Arial" w:eastAsia="Times New Roman" w:hAnsi="Arial" w:cs="Arial"/>
                <w:sz w:val="20"/>
              </w:rPr>
            </w:pPr>
            <w:r w:rsidRPr="00045DD6">
              <w:rPr>
                <w:rFonts w:ascii="Arial" w:eastAsia="Times New Roman" w:hAnsi="Arial" w:cs="Arial"/>
                <w:w w:val="105"/>
                <w:sz w:val="20"/>
              </w:rPr>
              <w:t>(95</w:t>
            </w:r>
            <w:r>
              <w:rPr>
                <w:rFonts w:ascii="Arial" w:eastAsia="Times New Roman" w:hAnsi="Arial" w:cs="Arial"/>
                <w:w w:val="105"/>
                <w:sz w:val="20"/>
              </w:rPr>
              <w:t> %</w:t>
            </w:r>
            <w:r w:rsidRPr="00045DD6">
              <w:rPr>
                <w:rFonts w:ascii="Arial" w:eastAsia="Times New Roman" w:hAnsi="Arial" w:cs="Arial"/>
                <w:w w:val="105"/>
                <w:sz w:val="20"/>
              </w:rPr>
              <w:t xml:space="preserve"> CI)</w:t>
            </w:r>
          </w:p>
        </w:tc>
      </w:tr>
      <w:tr w:rsidR="00D21521" w:rsidRPr="00045DD6" w:rsidTr="00002931">
        <w:trPr>
          <w:trHeight w:val="246"/>
          <w:jc w:val="center"/>
        </w:trPr>
        <w:tc>
          <w:tcPr>
            <w:tcW w:w="1597" w:type="dxa"/>
            <w:tcBorders>
              <w:top w:val="single" w:sz="4" w:space="0" w:color="000000"/>
            </w:tcBorders>
          </w:tcPr>
          <w:p w:rsidR="00D21521" w:rsidRPr="00045DD6" w:rsidRDefault="00D21521" w:rsidP="00002931">
            <w:pPr>
              <w:spacing w:beforeLines="60" w:before="144" w:after="60" w:line="219" w:lineRule="exact"/>
              <w:ind w:left="100"/>
              <w:rPr>
                <w:rFonts w:ascii="Arial" w:eastAsia="Times New Roman" w:hAnsi="Arial" w:cs="Arial"/>
                <w:sz w:val="20"/>
              </w:rPr>
            </w:pPr>
            <w:r w:rsidRPr="00045DD6">
              <w:rPr>
                <w:rFonts w:ascii="Arial" w:eastAsia="Times New Roman" w:hAnsi="Arial" w:cs="Arial"/>
                <w:w w:val="105"/>
                <w:sz w:val="20"/>
              </w:rPr>
              <w:t>CA</w:t>
            </w:r>
            <w:r>
              <w:rPr>
                <w:rFonts w:ascii="Arial" w:eastAsia="Times New Roman" w:hAnsi="Arial" w:cs="Arial"/>
                <w:w w:val="105"/>
                <w:sz w:val="20"/>
              </w:rPr>
              <w:t> </w:t>
            </w:r>
            <w:r w:rsidRPr="00045DD6">
              <w:rPr>
                <w:rFonts w:ascii="Arial" w:eastAsia="Times New Roman" w:hAnsi="Arial" w:cs="Arial"/>
                <w:w w:val="105"/>
                <w:sz w:val="20"/>
              </w:rPr>
              <w:t>* wk 13-24</w:t>
            </w:r>
          </w:p>
        </w:tc>
        <w:tc>
          <w:tcPr>
            <w:tcW w:w="1493" w:type="dxa"/>
            <w:tcBorders>
              <w:top w:val="single" w:sz="4" w:space="0" w:color="000000"/>
            </w:tcBorders>
          </w:tcPr>
          <w:p w:rsidR="00D21521" w:rsidRPr="00045DD6" w:rsidRDefault="00D21521" w:rsidP="00002931">
            <w:pPr>
              <w:spacing w:beforeLines="60" w:before="144" w:after="60" w:line="219" w:lineRule="exact"/>
              <w:ind w:left="242" w:right="240"/>
              <w:jc w:val="center"/>
              <w:rPr>
                <w:rFonts w:ascii="Arial" w:eastAsia="Times New Roman" w:hAnsi="Arial" w:cs="Arial"/>
                <w:sz w:val="20"/>
              </w:rPr>
            </w:pPr>
            <w:r w:rsidRPr="00045DD6">
              <w:rPr>
                <w:rFonts w:ascii="Arial" w:eastAsia="Times New Roman" w:hAnsi="Arial" w:cs="Arial"/>
                <w:w w:val="105"/>
                <w:sz w:val="20"/>
              </w:rPr>
              <w:t>70.6</w:t>
            </w:r>
            <w:r>
              <w:rPr>
                <w:rFonts w:ascii="Arial" w:eastAsia="Times New Roman" w:hAnsi="Arial" w:cs="Arial"/>
                <w:w w:val="105"/>
                <w:sz w:val="20"/>
              </w:rPr>
              <w:t> %</w:t>
            </w:r>
          </w:p>
        </w:tc>
        <w:tc>
          <w:tcPr>
            <w:tcW w:w="1206" w:type="dxa"/>
            <w:tcBorders>
              <w:top w:val="single" w:sz="4" w:space="0" w:color="000000"/>
            </w:tcBorders>
          </w:tcPr>
          <w:p w:rsidR="00D21521" w:rsidRPr="00045DD6" w:rsidRDefault="00D21521" w:rsidP="00002931">
            <w:pPr>
              <w:spacing w:beforeLines="60" w:before="144" w:after="60" w:line="219" w:lineRule="exact"/>
              <w:ind w:left="330"/>
              <w:rPr>
                <w:rFonts w:ascii="Arial" w:eastAsia="Times New Roman" w:hAnsi="Arial" w:cs="Arial"/>
                <w:sz w:val="20"/>
              </w:rPr>
            </w:pPr>
            <w:r w:rsidRPr="00045DD6">
              <w:rPr>
                <w:rFonts w:ascii="Arial" w:eastAsia="Times New Roman" w:hAnsi="Arial" w:cs="Arial"/>
                <w:w w:val="105"/>
                <w:sz w:val="20"/>
              </w:rPr>
              <w:t>49.8</w:t>
            </w:r>
            <w:r>
              <w:rPr>
                <w:rFonts w:ascii="Arial" w:eastAsia="Times New Roman" w:hAnsi="Arial" w:cs="Arial"/>
                <w:w w:val="105"/>
                <w:sz w:val="20"/>
              </w:rPr>
              <w:t> %</w:t>
            </w:r>
          </w:p>
        </w:tc>
        <w:tc>
          <w:tcPr>
            <w:tcW w:w="1761" w:type="dxa"/>
            <w:tcBorders>
              <w:top w:val="single" w:sz="4" w:space="0" w:color="000000"/>
            </w:tcBorders>
          </w:tcPr>
          <w:p w:rsidR="00D21521" w:rsidRPr="00045DD6" w:rsidRDefault="00D21521" w:rsidP="00002931">
            <w:pPr>
              <w:spacing w:beforeLines="60" w:before="144" w:after="60" w:line="219" w:lineRule="exact"/>
              <w:ind w:left="245" w:right="140"/>
              <w:jc w:val="center"/>
              <w:rPr>
                <w:rFonts w:ascii="Arial" w:eastAsia="Times New Roman" w:hAnsi="Arial" w:cs="Arial"/>
                <w:sz w:val="20"/>
              </w:rPr>
            </w:pPr>
            <w:r w:rsidRPr="00045DD6">
              <w:rPr>
                <w:rFonts w:ascii="Arial" w:eastAsia="Times New Roman" w:hAnsi="Arial" w:cs="Arial"/>
                <w:w w:val="105"/>
                <w:sz w:val="20"/>
              </w:rPr>
              <w:t>20.8</w:t>
            </w:r>
            <w:r>
              <w:rPr>
                <w:rFonts w:ascii="Arial" w:eastAsia="Times New Roman" w:hAnsi="Arial" w:cs="Arial"/>
                <w:w w:val="105"/>
                <w:sz w:val="20"/>
              </w:rPr>
              <w:t> %</w:t>
            </w:r>
          </w:p>
        </w:tc>
        <w:tc>
          <w:tcPr>
            <w:tcW w:w="1267" w:type="dxa"/>
            <w:tcBorders>
              <w:top w:val="single" w:sz="4" w:space="0" w:color="000000"/>
            </w:tcBorders>
          </w:tcPr>
          <w:p w:rsidR="00D21521" w:rsidRPr="00045DD6" w:rsidRDefault="00D21521" w:rsidP="00002931">
            <w:pPr>
              <w:spacing w:beforeLines="60" w:before="144" w:after="60" w:line="219" w:lineRule="exact"/>
              <w:ind w:left="144" w:right="102"/>
              <w:jc w:val="center"/>
              <w:rPr>
                <w:rFonts w:ascii="Arial" w:eastAsia="Times New Roman" w:hAnsi="Arial" w:cs="Arial"/>
                <w:sz w:val="20"/>
              </w:rPr>
            </w:pPr>
            <w:r w:rsidRPr="00045DD6">
              <w:rPr>
                <w:rFonts w:ascii="Arial" w:eastAsia="Times New Roman" w:hAnsi="Arial" w:cs="Arial"/>
                <w:w w:val="105"/>
                <w:sz w:val="20"/>
              </w:rPr>
              <w:t>2.47</w:t>
            </w:r>
          </w:p>
        </w:tc>
      </w:tr>
      <w:tr w:rsidR="00D21521" w:rsidRPr="00045DD6" w:rsidTr="00002931">
        <w:trPr>
          <w:trHeight w:val="244"/>
          <w:jc w:val="center"/>
        </w:trPr>
        <w:tc>
          <w:tcPr>
            <w:tcW w:w="1597" w:type="dxa"/>
            <w:tcBorders>
              <w:bottom w:val="single" w:sz="4" w:space="0" w:color="auto"/>
            </w:tcBorders>
          </w:tcPr>
          <w:p w:rsidR="00D21521" w:rsidRPr="00045DD6" w:rsidRDefault="00D21521" w:rsidP="00002931">
            <w:pPr>
              <w:spacing w:beforeLines="60" w:before="144" w:after="60"/>
              <w:rPr>
                <w:rFonts w:ascii="Arial" w:eastAsia="Times New Roman" w:hAnsi="Arial" w:cs="Arial"/>
                <w:sz w:val="16"/>
              </w:rPr>
            </w:pPr>
          </w:p>
        </w:tc>
        <w:tc>
          <w:tcPr>
            <w:tcW w:w="1493" w:type="dxa"/>
            <w:tcBorders>
              <w:bottom w:val="single" w:sz="4" w:space="0" w:color="auto"/>
            </w:tcBorders>
          </w:tcPr>
          <w:p w:rsidR="00D21521" w:rsidRPr="00045DD6" w:rsidRDefault="00D21521" w:rsidP="00002931">
            <w:pPr>
              <w:spacing w:beforeLines="60" w:before="144" w:after="60"/>
              <w:rPr>
                <w:rFonts w:ascii="Arial" w:eastAsia="Times New Roman" w:hAnsi="Arial" w:cs="Arial"/>
                <w:sz w:val="16"/>
              </w:rPr>
            </w:pPr>
          </w:p>
        </w:tc>
        <w:tc>
          <w:tcPr>
            <w:tcW w:w="1206" w:type="dxa"/>
            <w:tcBorders>
              <w:bottom w:val="single" w:sz="4" w:space="0" w:color="auto"/>
            </w:tcBorders>
          </w:tcPr>
          <w:p w:rsidR="00D21521" w:rsidRPr="00045DD6" w:rsidRDefault="00D21521" w:rsidP="00002931">
            <w:pPr>
              <w:spacing w:beforeLines="60" w:before="144" w:after="60"/>
              <w:rPr>
                <w:rFonts w:ascii="Arial" w:eastAsia="Times New Roman" w:hAnsi="Arial" w:cs="Arial"/>
                <w:sz w:val="16"/>
              </w:rPr>
            </w:pPr>
          </w:p>
        </w:tc>
        <w:tc>
          <w:tcPr>
            <w:tcW w:w="1761" w:type="dxa"/>
            <w:tcBorders>
              <w:bottom w:val="single" w:sz="4" w:space="0" w:color="auto"/>
            </w:tcBorders>
          </w:tcPr>
          <w:p w:rsidR="00D21521" w:rsidRPr="00045DD6" w:rsidRDefault="00D21521" w:rsidP="00002931">
            <w:pPr>
              <w:spacing w:beforeLines="60" w:before="144" w:after="60" w:line="219" w:lineRule="exact"/>
              <w:ind w:left="250" w:right="140"/>
              <w:jc w:val="center"/>
              <w:rPr>
                <w:rFonts w:ascii="Arial" w:eastAsia="Times New Roman" w:hAnsi="Arial" w:cs="Arial"/>
                <w:sz w:val="20"/>
              </w:rPr>
            </w:pPr>
            <w:r w:rsidRPr="00045DD6">
              <w:rPr>
                <w:rFonts w:ascii="Arial" w:eastAsia="Times New Roman" w:hAnsi="Arial" w:cs="Arial"/>
                <w:w w:val="105"/>
                <w:sz w:val="20"/>
              </w:rPr>
              <w:t>(15.4</w:t>
            </w:r>
            <w:r>
              <w:rPr>
                <w:rFonts w:ascii="Arial" w:eastAsia="Times New Roman" w:hAnsi="Arial" w:cs="Arial"/>
                <w:w w:val="105"/>
                <w:sz w:val="20"/>
              </w:rPr>
              <w:t> %</w:t>
            </w:r>
            <w:r w:rsidRPr="00045DD6">
              <w:rPr>
                <w:rFonts w:ascii="Arial" w:eastAsia="Times New Roman" w:hAnsi="Arial" w:cs="Arial"/>
                <w:w w:val="105"/>
                <w:sz w:val="20"/>
              </w:rPr>
              <w:t>, 26.2</w:t>
            </w:r>
            <w:r>
              <w:rPr>
                <w:rFonts w:ascii="Arial" w:eastAsia="Times New Roman" w:hAnsi="Arial" w:cs="Arial"/>
                <w:w w:val="105"/>
                <w:sz w:val="20"/>
              </w:rPr>
              <w:t> %</w:t>
            </w:r>
            <w:r w:rsidRPr="00045DD6">
              <w:rPr>
                <w:rFonts w:ascii="Arial" w:eastAsia="Times New Roman" w:hAnsi="Arial" w:cs="Arial"/>
                <w:w w:val="105"/>
                <w:sz w:val="20"/>
              </w:rPr>
              <w:t>)</w:t>
            </w:r>
          </w:p>
        </w:tc>
        <w:tc>
          <w:tcPr>
            <w:tcW w:w="1267" w:type="dxa"/>
            <w:tcBorders>
              <w:bottom w:val="single" w:sz="4" w:space="0" w:color="auto"/>
            </w:tcBorders>
          </w:tcPr>
          <w:p w:rsidR="00D21521" w:rsidRPr="00045DD6" w:rsidRDefault="00D21521" w:rsidP="00002931">
            <w:pPr>
              <w:spacing w:beforeLines="60" w:before="144" w:after="60" w:line="219" w:lineRule="exact"/>
              <w:ind w:left="144" w:right="103"/>
              <w:jc w:val="center"/>
              <w:rPr>
                <w:rFonts w:ascii="Arial" w:eastAsia="Times New Roman" w:hAnsi="Arial" w:cs="Arial"/>
                <w:sz w:val="20"/>
              </w:rPr>
            </w:pPr>
            <w:r w:rsidRPr="00045DD6">
              <w:rPr>
                <w:rFonts w:ascii="Arial" w:eastAsia="Times New Roman" w:hAnsi="Arial" w:cs="Arial"/>
                <w:w w:val="105"/>
                <w:sz w:val="20"/>
              </w:rPr>
              <w:t>(1.95, 3.15)</w:t>
            </w:r>
          </w:p>
        </w:tc>
      </w:tr>
      <w:tr w:rsidR="00D21521" w:rsidRPr="00045DD6" w:rsidTr="00002931">
        <w:trPr>
          <w:trHeight w:val="237"/>
          <w:jc w:val="center"/>
        </w:trPr>
        <w:tc>
          <w:tcPr>
            <w:tcW w:w="1597" w:type="dxa"/>
            <w:tcBorders>
              <w:top w:val="single" w:sz="4" w:space="0" w:color="auto"/>
              <w:bottom w:val="single" w:sz="4" w:space="0" w:color="auto"/>
            </w:tcBorders>
          </w:tcPr>
          <w:p w:rsidR="00D21521" w:rsidRPr="00045DD6" w:rsidRDefault="00D21521" w:rsidP="00002931">
            <w:pPr>
              <w:spacing w:beforeLines="60" w:before="144" w:after="60" w:line="212" w:lineRule="exact"/>
              <w:ind w:left="100"/>
              <w:rPr>
                <w:rFonts w:ascii="Arial" w:eastAsia="Times New Roman" w:hAnsi="Arial" w:cs="Arial"/>
                <w:sz w:val="20"/>
              </w:rPr>
            </w:pPr>
            <w:r w:rsidRPr="00045DD6">
              <w:rPr>
                <w:rFonts w:ascii="Arial" w:eastAsia="Times New Roman" w:hAnsi="Arial" w:cs="Arial"/>
                <w:w w:val="105"/>
                <w:sz w:val="20"/>
              </w:rPr>
              <w:t>CA</w:t>
            </w:r>
            <w:r>
              <w:rPr>
                <w:rFonts w:ascii="Arial" w:eastAsia="Times New Roman" w:hAnsi="Arial" w:cs="Arial"/>
                <w:w w:val="105"/>
                <w:sz w:val="20"/>
              </w:rPr>
              <w:t> </w:t>
            </w:r>
            <w:r w:rsidRPr="00045DD6">
              <w:rPr>
                <w:rFonts w:ascii="Arial" w:eastAsia="Times New Roman" w:hAnsi="Arial" w:cs="Arial"/>
                <w:w w:val="105"/>
                <w:sz w:val="20"/>
              </w:rPr>
              <w:t>* wk 13-52</w:t>
            </w:r>
          </w:p>
        </w:tc>
        <w:tc>
          <w:tcPr>
            <w:tcW w:w="1493" w:type="dxa"/>
            <w:tcBorders>
              <w:top w:val="single" w:sz="4" w:space="0" w:color="auto"/>
              <w:bottom w:val="single" w:sz="4" w:space="0" w:color="auto"/>
            </w:tcBorders>
          </w:tcPr>
          <w:p w:rsidR="00D21521" w:rsidRPr="00045DD6" w:rsidRDefault="00D21521" w:rsidP="00002931">
            <w:pPr>
              <w:spacing w:beforeLines="60" w:before="144" w:after="60" w:line="212" w:lineRule="exact"/>
              <w:ind w:left="242" w:right="240"/>
              <w:jc w:val="center"/>
              <w:rPr>
                <w:rFonts w:ascii="Arial" w:eastAsia="Times New Roman" w:hAnsi="Arial" w:cs="Arial"/>
                <w:sz w:val="20"/>
              </w:rPr>
            </w:pPr>
            <w:r w:rsidRPr="00045DD6">
              <w:rPr>
                <w:rFonts w:ascii="Arial" w:eastAsia="Times New Roman" w:hAnsi="Arial" w:cs="Arial"/>
                <w:w w:val="105"/>
                <w:sz w:val="20"/>
              </w:rPr>
              <w:t>44.0</w:t>
            </w:r>
            <w:r>
              <w:rPr>
                <w:rFonts w:ascii="Arial" w:eastAsia="Times New Roman" w:hAnsi="Arial" w:cs="Arial"/>
                <w:w w:val="105"/>
                <w:sz w:val="20"/>
              </w:rPr>
              <w:t> %</w:t>
            </w:r>
          </w:p>
        </w:tc>
        <w:tc>
          <w:tcPr>
            <w:tcW w:w="1206" w:type="dxa"/>
            <w:tcBorders>
              <w:top w:val="single" w:sz="4" w:space="0" w:color="auto"/>
              <w:bottom w:val="single" w:sz="4" w:space="0" w:color="auto"/>
            </w:tcBorders>
          </w:tcPr>
          <w:p w:rsidR="00D21521" w:rsidRPr="00045DD6" w:rsidRDefault="00D21521" w:rsidP="00002931">
            <w:pPr>
              <w:spacing w:beforeLines="60" w:before="144" w:after="60" w:line="212" w:lineRule="exact"/>
              <w:ind w:left="330"/>
              <w:rPr>
                <w:rFonts w:ascii="Arial" w:eastAsia="Times New Roman" w:hAnsi="Arial" w:cs="Arial"/>
                <w:sz w:val="20"/>
              </w:rPr>
            </w:pPr>
            <w:r w:rsidRPr="00045DD6">
              <w:rPr>
                <w:rFonts w:ascii="Arial" w:eastAsia="Times New Roman" w:hAnsi="Arial" w:cs="Arial"/>
                <w:w w:val="105"/>
                <w:sz w:val="20"/>
              </w:rPr>
              <w:t>37.1</w:t>
            </w:r>
            <w:r>
              <w:rPr>
                <w:rFonts w:ascii="Arial" w:eastAsia="Times New Roman" w:hAnsi="Arial" w:cs="Arial"/>
                <w:w w:val="105"/>
                <w:sz w:val="20"/>
              </w:rPr>
              <w:t> %</w:t>
            </w:r>
          </w:p>
        </w:tc>
        <w:tc>
          <w:tcPr>
            <w:tcW w:w="1761" w:type="dxa"/>
            <w:tcBorders>
              <w:top w:val="single" w:sz="4" w:space="0" w:color="auto"/>
              <w:bottom w:val="single" w:sz="4" w:space="0" w:color="auto"/>
            </w:tcBorders>
          </w:tcPr>
          <w:p w:rsidR="00D21521" w:rsidRPr="00045DD6" w:rsidRDefault="00D21521" w:rsidP="00002931">
            <w:pPr>
              <w:spacing w:beforeLines="60" w:before="144" w:after="60" w:line="212" w:lineRule="exact"/>
              <w:ind w:left="241" w:right="140"/>
              <w:jc w:val="center"/>
              <w:rPr>
                <w:rFonts w:ascii="Arial" w:eastAsia="Times New Roman" w:hAnsi="Arial" w:cs="Arial"/>
                <w:w w:val="105"/>
                <w:sz w:val="20"/>
              </w:rPr>
            </w:pPr>
            <w:r w:rsidRPr="00045DD6">
              <w:rPr>
                <w:rFonts w:ascii="Arial" w:eastAsia="Times New Roman" w:hAnsi="Arial" w:cs="Arial"/>
                <w:w w:val="105"/>
                <w:sz w:val="20"/>
              </w:rPr>
              <w:t>6.9</w:t>
            </w:r>
            <w:r>
              <w:rPr>
                <w:rFonts w:ascii="Arial" w:eastAsia="Times New Roman" w:hAnsi="Arial" w:cs="Arial"/>
                <w:w w:val="105"/>
                <w:sz w:val="20"/>
              </w:rPr>
              <w:t> %</w:t>
            </w:r>
          </w:p>
          <w:p w:rsidR="00D21521" w:rsidRPr="00045DD6" w:rsidRDefault="00D21521" w:rsidP="00002931">
            <w:pPr>
              <w:spacing w:beforeLines="60" w:before="144" w:after="60" w:line="212" w:lineRule="exact"/>
              <w:ind w:left="241" w:right="140"/>
              <w:jc w:val="center"/>
              <w:rPr>
                <w:rFonts w:ascii="Arial" w:eastAsia="Times New Roman" w:hAnsi="Arial" w:cs="Arial"/>
                <w:sz w:val="20"/>
              </w:rPr>
            </w:pPr>
            <w:r w:rsidRPr="00045DD6">
              <w:rPr>
                <w:rFonts w:ascii="Arial" w:eastAsia="Times New Roman" w:hAnsi="Arial" w:cs="Arial"/>
                <w:w w:val="105"/>
                <w:sz w:val="20"/>
              </w:rPr>
              <w:lastRenderedPageBreak/>
              <w:t>(1,4</w:t>
            </w:r>
            <w:r>
              <w:rPr>
                <w:rFonts w:ascii="Arial" w:eastAsia="Times New Roman" w:hAnsi="Arial" w:cs="Arial"/>
                <w:w w:val="105"/>
                <w:sz w:val="20"/>
              </w:rPr>
              <w:t> %</w:t>
            </w:r>
            <w:r w:rsidRPr="00045DD6">
              <w:rPr>
                <w:rFonts w:ascii="Arial" w:eastAsia="Times New Roman" w:hAnsi="Arial" w:cs="Arial"/>
                <w:w w:val="105"/>
                <w:sz w:val="20"/>
              </w:rPr>
              <w:t>, 12.5</w:t>
            </w:r>
            <w:r>
              <w:rPr>
                <w:rFonts w:ascii="Arial" w:eastAsia="Times New Roman" w:hAnsi="Arial" w:cs="Arial"/>
                <w:w w:val="105"/>
                <w:sz w:val="20"/>
              </w:rPr>
              <w:t> %</w:t>
            </w:r>
            <w:r w:rsidRPr="00045DD6">
              <w:rPr>
                <w:rFonts w:ascii="Arial" w:eastAsia="Times New Roman" w:hAnsi="Arial" w:cs="Arial"/>
                <w:w w:val="105"/>
                <w:sz w:val="20"/>
              </w:rPr>
              <w:t>)</w:t>
            </w:r>
          </w:p>
        </w:tc>
        <w:tc>
          <w:tcPr>
            <w:tcW w:w="1267" w:type="dxa"/>
            <w:tcBorders>
              <w:top w:val="single" w:sz="4" w:space="0" w:color="auto"/>
              <w:bottom w:val="single" w:sz="4" w:space="0" w:color="auto"/>
            </w:tcBorders>
          </w:tcPr>
          <w:p w:rsidR="00D21521" w:rsidRPr="00045DD6" w:rsidRDefault="00D21521" w:rsidP="00002931">
            <w:pPr>
              <w:spacing w:beforeLines="60" w:before="144" w:after="60" w:line="212" w:lineRule="exact"/>
              <w:ind w:left="144" w:right="102"/>
              <w:jc w:val="center"/>
              <w:rPr>
                <w:rFonts w:ascii="Arial" w:eastAsia="Times New Roman" w:hAnsi="Arial" w:cs="Arial"/>
                <w:w w:val="105"/>
                <w:sz w:val="20"/>
              </w:rPr>
            </w:pPr>
            <w:r w:rsidRPr="00045DD6">
              <w:rPr>
                <w:rFonts w:ascii="Arial" w:eastAsia="Times New Roman" w:hAnsi="Arial" w:cs="Arial"/>
                <w:w w:val="105"/>
                <w:sz w:val="20"/>
              </w:rPr>
              <w:lastRenderedPageBreak/>
              <w:t>1.35</w:t>
            </w:r>
          </w:p>
          <w:p w:rsidR="00D21521" w:rsidRPr="00045DD6" w:rsidRDefault="00D21521" w:rsidP="00002931">
            <w:pPr>
              <w:spacing w:beforeLines="60" w:before="144" w:after="60" w:line="212" w:lineRule="exact"/>
              <w:ind w:left="144" w:right="102"/>
              <w:jc w:val="center"/>
              <w:rPr>
                <w:rFonts w:ascii="Arial" w:eastAsia="Times New Roman" w:hAnsi="Arial" w:cs="Arial"/>
                <w:sz w:val="20"/>
              </w:rPr>
            </w:pPr>
            <w:r w:rsidRPr="00045DD6">
              <w:rPr>
                <w:rFonts w:ascii="Arial" w:eastAsia="Times New Roman" w:hAnsi="Arial" w:cs="Arial"/>
                <w:w w:val="105"/>
                <w:sz w:val="20"/>
              </w:rPr>
              <w:lastRenderedPageBreak/>
              <w:t>(1.07, 1.70)</w:t>
            </w:r>
          </w:p>
        </w:tc>
      </w:tr>
    </w:tbl>
    <w:p w:rsidR="00D21521" w:rsidRPr="00045DD6" w:rsidRDefault="00D21521" w:rsidP="00D21521">
      <w:pPr>
        <w:rPr>
          <w:sz w:val="16"/>
          <w:szCs w:val="16"/>
        </w:rPr>
      </w:pPr>
      <w:r w:rsidRPr="00045DD6">
        <w:rPr>
          <w:sz w:val="16"/>
          <w:szCs w:val="16"/>
        </w:rPr>
        <w:lastRenderedPageBreak/>
        <w:t>* CA: Continuous Abstinence Rate</w:t>
      </w:r>
    </w:p>
    <w:p w:rsidR="00D21521" w:rsidRPr="00EE4F6E" w:rsidRDefault="00D21521" w:rsidP="00D21521"/>
    <w:p w:rsidR="00D21521" w:rsidRPr="00D21521" w:rsidRDefault="00D21521" w:rsidP="00D21521">
      <w:pPr>
        <w:ind w:left="851"/>
        <w:rPr>
          <w:sz w:val="24"/>
          <w:szCs w:val="24"/>
          <w:lang w:val="en-US"/>
        </w:rPr>
      </w:pPr>
      <w:r w:rsidRPr="00D21521">
        <w:rPr>
          <w:sz w:val="24"/>
          <w:szCs w:val="24"/>
          <w:lang w:val="en-US"/>
        </w:rPr>
        <w:t>There is currently limited clinical experience with the use of varenicline among black people to determine clinical efficacy.</w:t>
      </w:r>
    </w:p>
    <w:p w:rsidR="00D21521" w:rsidRPr="00D21521" w:rsidRDefault="00D21521" w:rsidP="00D21521">
      <w:pPr>
        <w:ind w:left="851"/>
        <w:rPr>
          <w:sz w:val="24"/>
          <w:szCs w:val="24"/>
          <w:lang w:val="en-US"/>
        </w:rPr>
      </w:pPr>
    </w:p>
    <w:p w:rsidR="00D21521" w:rsidRPr="00D21521" w:rsidRDefault="00D21521" w:rsidP="00D21521">
      <w:pPr>
        <w:ind w:left="851"/>
        <w:rPr>
          <w:i/>
          <w:sz w:val="24"/>
          <w:szCs w:val="24"/>
          <w:lang w:val="en-US"/>
        </w:rPr>
      </w:pPr>
      <w:r w:rsidRPr="00D21521">
        <w:rPr>
          <w:i/>
          <w:sz w:val="24"/>
          <w:szCs w:val="24"/>
          <w:lang w:val="en-US"/>
        </w:rPr>
        <w:t>Flexible quit date between weeks 1 and 5</w:t>
      </w:r>
    </w:p>
    <w:p w:rsidR="00D21521" w:rsidRPr="00D21521" w:rsidRDefault="00D21521" w:rsidP="00D21521">
      <w:pPr>
        <w:ind w:left="851"/>
        <w:rPr>
          <w:sz w:val="24"/>
          <w:szCs w:val="24"/>
          <w:lang w:val="en-US"/>
        </w:rPr>
      </w:pPr>
      <w:r w:rsidRPr="00D21521">
        <w:rPr>
          <w:sz w:val="24"/>
          <w:szCs w:val="24"/>
          <w:lang w:val="en-US"/>
        </w:rPr>
        <w:t>The efficacy and safety of varenicline has been evaluated in smokers who had the flexibility of quitting between weeks 1 and 5 of treatment. In this 24-week study, patients received treatment for 12 weeks followed by a 12-week non-treatment follow up phase. The 4 week (week 9-12) CQR for varenicline and placebo was 53.9 % and 19.4 %, respectively (difference=34.5 %, 95 % CI: 27.0 % -42.0 %) and the CA week 9-24 was 35.2 % (varenicline) vs. 12.7 % (placebo) (difference=22.5 %, 95 % CI: 15.8 % - 29.1 %). Patients who are not willing or able to set the target quit date within 1-2 weeks, could be offered to start treatment and then choose their own quit date within 5 weeks.</w:t>
      </w:r>
    </w:p>
    <w:p w:rsidR="00D21521" w:rsidRPr="00D21521" w:rsidRDefault="00D21521" w:rsidP="00D21521">
      <w:pPr>
        <w:ind w:left="851"/>
        <w:rPr>
          <w:sz w:val="24"/>
          <w:szCs w:val="24"/>
          <w:lang w:val="en-US"/>
        </w:rPr>
      </w:pPr>
    </w:p>
    <w:p w:rsidR="00D21521" w:rsidRPr="00D21521" w:rsidRDefault="00D21521" w:rsidP="00D21521">
      <w:pPr>
        <w:ind w:left="851"/>
        <w:rPr>
          <w:i/>
          <w:sz w:val="24"/>
          <w:szCs w:val="24"/>
          <w:lang w:val="en-US"/>
        </w:rPr>
      </w:pPr>
      <w:r w:rsidRPr="00D21521">
        <w:rPr>
          <w:i/>
          <w:sz w:val="24"/>
          <w:szCs w:val="24"/>
          <w:lang w:val="en-US"/>
        </w:rPr>
        <w:t>Study in subjects re-treated with varenicline</w:t>
      </w:r>
    </w:p>
    <w:p w:rsidR="00D21521" w:rsidRPr="00D21521" w:rsidRDefault="00D21521" w:rsidP="00D21521">
      <w:pPr>
        <w:ind w:left="851"/>
        <w:rPr>
          <w:sz w:val="24"/>
          <w:szCs w:val="24"/>
          <w:lang w:val="en-US"/>
        </w:rPr>
      </w:pPr>
      <w:r w:rsidRPr="00D21521">
        <w:rPr>
          <w:sz w:val="24"/>
          <w:szCs w:val="24"/>
          <w:lang w:val="en-US"/>
        </w:rPr>
        <w:t>Varenicline was evaluated in a double-blind, placebo-controlled trial of 494 patients who had made a previous attempt to quit smoking with varenicline, and either did not succeed in quitting or relapsed after treatment. Subjects who experienced an adverse event of a concern during previous treatment were excluded. Subjects were randomised 1:1 to varenicline 1 mg twice daily (N=249) or placebo (N=245) for 12 weeks of treatment and followed for up to 40 weeks post-treatment. Patients included in this study had taken varenicline for a smoking-cessation attempt in the past (for a total treatment duration of a minimum of two weeks), at least three months prior to study entry, and had been smoking for at least four weeks.</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Patients treated with varenicline had a superior rate of CO-confirmed abstinence during weeks 9 through 12 and from weeks 9 through 52 compared to subjects treated with placebo. The key results are summarised in the following table:</w:t>
      </w:r>
    </w:p>
    <w:p w:rsidR="00D21521" w:rsidRPr="00D21521" w:rsidRDefault="00D21521" w:rsidP="00D21521">
      <w:pPr>
        <w:rPr>
          <w:lang w:val="en-US"/>
        </w:rPr>
      </w:pPr>
    </w:p>
    <w:p w:rsidR="00D21521" w:rsidRPr="00D21521" w:rsidRDefault="00D21521" w:rsidP="00D21521">
      <w:pPr>
        <w:rPr>
          <w:b/>
          <w:lang w:val="en-US"/>
        </w:rPr>
      </w:pPr>
      <w:r w:rsidRPr="00D21521">
        <w:rPr>
          <w:b/>
          <w:lang w:val="en-US"/>
        </w:rPr>
        <w:t>Continuous Abstinence Rates in Subjects Treated with varenicline versus placebo</w:t>
      </w:r>
    </w:p>
    <w:p w:rsidR="00D21521" w:rsidRPr="00D21521" w:rsidRDefault="00D21521" w:rsidP="00D21521">
      <w:pPr>
        <w:rPr>
          <w:i/>
          <w:lang w:val="en-US"/>
        </w:rPr>
      </w:pPr>
    </w:p>
    <w:tbl>
      <w:tblPr>
        <w:tblW w:w="0" w:type="auto"/>
        <w:tblInd w:w="140" w:type="dxa"/>
        <w:tblLayout w:type="fixed"/>
        <w:tblLook w:val="01E0" w:firstRow="1" w:lastRow="1" w:firstColumn="1" w:lastColumn="1" w:noHBand="0" w:noVBand="0"/>
      </w:tblPr>
      <w:tblGrid>
        <w:gridCol w:w="1933"/>
        <w:gridCol w:w="2079"/>
        <w:gridCol w:w="1704"/>
        <w:gridCol w:w="2809"/>
      </w:tblGrid>
      <w:tr w:rsidR="00D21521" w:rsidRPr="00795FCE" w:rsidTr="00002931">
        <w:trPr>
          <w:trHeight w:val="489"/>
        </w:trPr>
        <w:tc>
          <w:tcPr>
            <w:tcW w:w="1933" w:type="dxa"/>
            <w:tcBorders>
              <w:top w:val="single" w:sz="4" w:space="0" w:color="000000"/>
              <w:bottom w:val="single" w:sz="4" w:space="0" w:color="000000"/>
            </w:tcBorders>
          </w:tcPr>
          <w:p w:rsidR="00D21521" w:rsidRPr="00362039" w:rsidRDefault="00D21521" w:rsidP="00002931">
            <w:pPr>
              <w:spacing w:before="60" w:after="60"/>
              <w:rPr>
                <w:sz w:val="20"/>
                <w:lang w:val="en-US"/>
              </w:rPr>
            </w:pPr>
          </w:p>
        </w:tc>
        <w:tc>
          <w:tcPr>
            <w:tcW w:w="2079" w:type="dxa"/>
            <w:tcBorders>
              <w:top w:val="single" w:sz="4" w:space="0" w:color="000000"/>
              <w:bottom w:val="single" w:sz="4" w:space="0" w:color="000000"/>
            </w:tcBorders>
          </w:tcPr>
          <w:p w:rsidR="00D21521" w:rsidRDefault="00D21521" w:rsidP="00002931">
            <w:pPr>
              <w:spacing w:before="60" w:after="60"/>
              <w:jc w:val="center"/>
              <w:rPr>
                <w:sz w:val="20"/>
                <w:lang w:val="en-US"/>
              </w:rPr>
            </w:pPr>
            <w:r>
              <w:rPr>
                <w:sz w:val="20"/>
                <w:lang w:val="en-US"/>
              </w:rPr>
              <w:t>Varenicline</w:t>
            </w:r>
          </w:p>
          <w:p w:rsidR="00D21521" w:rsidRPr="00362039" w:rsidRDefault="00D21521" w:rsidP="00002931">
            <w:pPr>
              <w:spacing w:before="60" w:after="60"/>
              <w:jc w:val="center"/>
              <w:rPr>
                <w:sz w:val="20"/>
                <w:lang w:val="en-US"/>
              </w:rPr>
            </w:pPr>
            <w:r w:rsidRPr="00362039">
              <w:rPr>
                <w:sz w:val="20"/>
                <w:lang w:val="en-US"/>
              </w:rPr>
              <w:t>n=249</w:t>
            </w:r>
          </w:p>
        </w:tc>
        <w:tc>
          <w:tcPr>
            <w:tcW w:w="1704" w:type="dxa"/>
            <w:tcBorders>
              <w:top w:val="single" w:sz="4" w:space="0" w:color="000000"/>
              <w:bottom w:val="single" w:sz="4" w:space="0" w:color="000000"/>
            </w:tcBorders>
          </w:tcPr>
          <w:p w:rsidR="00D21521" w:rsidRDefault="00D21521" w:rsidP="00002931">
            <w:pPr>
              <w:spacing w:before="60" w:after="60"/>
              <w:jc w:val="center"/>
              <w:rPr>
                <w:sz w:val="20"/>
                <w:lang w:val="en-US"/>
              </w:rPr>
            </w:pPr>
            <w:r>
              <w:rPr>
                <w:sz w:val="20"/>
                <w:lang w:val="en-US"/>
              </w:rPr>
              <w:t>Placebo</w:t>
            </w:r>
          </w:p>
          <w:p w:rsidR="00D21521" w:rsidRPr="00362039" w:rsidRDefault="00D21521" w:rsidP="00002931">
            <w:pPr>
              <w:spacing w:before="60" w:after="60"/>
              <w:jc w:val="center"/>
              <w:rPr>
                <w:sz w:val="20"/>
                <w:lang w:val="en-US"/>
              </w:rPr>
            </w:pPr>
            <w:r w:rsidRPr="00362039">
              <w:rPr>
                <w:sz w:val="20"/>
                <w:lang w:val="en-US"/>
              </w:rPr>
              <w:t>n=245</w:t>
            </w:r>
          </w:p>
        </w:tc>
        <w:tc>
          <w:tcPr>
            <w:tcW w:w="2809" w:type="dxa"/>
            <w:tcBorders>
              <w:top w:val="single" w:sz="4" w:space="0" w:color="000000"/>
              <w:bottom w:val="single" w:sz="4" w:space="0" w:color="000000"/>
            </w:tcBorders>
          </w:tcPr>
          <w:p w:rsidR="00D21521" w:rsidRDefault="00D21521" w:rsidP="00002931">
            <w:pPr>
              <w:spacing w:before="60" w:after="60"/>
              <w:jc w:val="center"/>
              <w:rPr>
                <w:sz w:val="20"/>
                <w:lang w:val="en-US"/>
              </w:rPr>
            </w:pPr>
            <w:r w:rsidRPr="00362039">
              <w:rPr>
                <w:sz w:val="20"/>
                <w:lang w:val="en-US"/>
              </w:rPr>
              <w:t>Odds ratio (95</w:t>
            </w:r>
            <w:r>
              <w:rPr>
                <w:sz w:val="20"/>
                <w:lang w:val="en-US"/>
              </w:rPr>
              <w:t> % CI),</w:t>
            </w:r>
          </w:p>
          <w:p w:rsidR="00D21521" w:rsidRPr="00362039" w:rsidRDefault="00D21521" w:rsidP="00002931">
            <w:pPr>
              <w:spacing w:before="60" w:after="60"/>
              <w:jc w:val="center"/>
              <w:rPr>
                <w:sz w:val="20"/>
                <w:lang w:val="en-US"/>
              </w:rPr>
            </w:pPr>
            <w:r w:rsidRPr="00362039">
              <w:rPr>
                <w:sz w:val="20"/>
                <w:lang w:val="en-US"/>
              </w:rPr>
              <w:t>p value</w:t>
            </w:r>
          </w:p>
        </w:tc>
      </w:tr>
      <w:tr w:rsidR="00D21521" w:rsidRPr="00362039" w:rsidTr="00002931">
        <w:trPr>
          <w:trHeight w:val="487"/>
        </w:trPr>
        <w:tc>
          <w:tcPr>
            <w:tcW w:w="1933" w:type="dxa"/>
            <w:tcBorders>
              <w:top w:val="single" w:sz="4" w:space="0" w:color="000000"/>
              <w:bottom w:val="single" w:sz="4" w:space="0" w:color="000000"/>
            </w:tcBorders>
          </w:tcPr>
          <w:p w:rsidR="00D21521" w:rsidRPr="00362039" w:rsidRDefault="00D21521" w:rsidP="00002931">
            <w:pPr>
              <w:spacing w:before="60" w:after="60"/>
              <w:rPr>
                <w:sz w:val="20"/>
                <w:lang w:val="en-US"/>
              </w:rPr>
            </w:pPr>
            <w:r w:rsidRPr="00362039">
              <w:rPr>
                <w:sz w:val="20"/>
                <w:lang w:val="en-US"/>
              </w:rPr>
              <w:t>CA</w:t>
            </w:r>
            <w:r>
              <w:rPr>
                <w:sz w:val="20"/>
                <w:lang w:val="en-US"/>
              </w:rPr>
              <w:t> </w:t>
            </w:r>
            <w:r w:rsidRPr="00362039">
              <w:rPr>
                <w:sz w:val="20"/>
                <w:lang w:val="en-US"/>
              </w:rPr>
              <w:t>* wk 9-12</w:t>
            </w:r>
          </w:p>
        </w:tc>
        <w:tc>
          <w:tcPr>
            <w:tcW w:w="2079" w:type="dxa"/>
            <w:tcBorders>
              <w:top w:val="single" w:sz="4" w:space="0" w:color="000000"/>
              <w:bottom w:val="single" w:sz="4" w:space="0" w:color="000000"/>
            </w:tcBorders>
          </w:tcPr>
          <w:p w:rsidR="00D21521" w:rsidRPr="00362039" w:rsidRDefault="00D21521" w:rsidP="00002931">
            <w:pPr>
              <w:spacing w:before="60" w:after="60"/>
              <w:jc w:val="center"/>
              <w:rPr>
                <w:sz w:val="20"/>
                <w:lang w:val="en-US"/>
              </w:rPr>
            </w:pPr>
            <w:r w:rsidRPr="00362039">
              <w:rPr>
                <w:sz w:val="20"/>
                <w:lang w:val="en-US"/>
              </w:rPr>
              <w:t>45.0</w:t>
            </w:r>
            <w:r>
              <w:rPr>
                <w:sz w:val="20"/>
                <w:lang w:val="en-US"/>
              </w:rPr>
              <w:t> </w:t>
            </w:r>
            <w:r w:rsidRPr="00362039">
              <w:rPr>
                <w:sz w:val="20"/>
                <w:lang w:val="en-US"/>
              </w:rPr>
              <w:t>%</w:t>
            </w:r>
          </w:p>
        </w:tc>
        <w:tc>
          <w:tcPr>
            <w:tcW w:w="1704" w:type="dxa"/>
            <w:tcBorders>
              <w:top w:val="single" w:sz="4" w:space="0" w:color="000000"/>
              <w:bottom w:val="single" w:sz="4" w:space="0" w:color="000000"/>
            </w:tcBorders>
          </w:tcPr>
          <w:p w:rsidR="00D21521" w:rsidRPr="00362039" w:rsidRDefault="00D21521" w:rsidP="00002931">
            <w:pPr>
              <w:spacing w:before="60" w:after="60"/>
              <w:jc w:val="center"/>
              <w:rPr>
                <w:sz w:val="20"/>
                <w:lang w:val="en-US"/>
              </w:rPr>
            </w:pPr>
            <w:r w:rsidRPr="00362039">
              <w:rPr>
                <w:sz w:val="20"/>
                <w:lang w:val="en-US"/>
              </w:rPr>
              <w:t>11.8</w:t>
            </w:r>
            <w:r>
              <w:rPr>
                <w:sz w:val="20"/>
                <w:lang w:val="en-US"/>
              </w:rPr>
              <w:t> </w:t>
            </w:r>
            <w:r w:rsidRPr="00362039">
              <w:rPr>
                <w:sz w:val="20"/>
                <w:lang w:val="en-US"/>
              </w:rPr>
              <w:t>%</w:t>
            </w:r>
          </w:p>
        </w:tc>
        <w:tc>
          <w:tcPr>
            <w:tcW w:w="2809" w:type="dxa"/>
            <w:tcBorders>
              <w:top w:val="single" w:sz="4" w:space="0" w:color="000000"/>
              <w:bottom w:val="single" w:sz="4" w:space="0" w:color="000000"/>
            </w:tcBorders>
          </w:tcPr>
          <w:p w:rsidR="00D21521" w:rsidRPr="00362039" w:rsidRDefault="00D21521" w:rsidP="00002931">
            <w:pPr>
              <w:spacing w:before="60" w:after="60"/>
              <w:jc w:val="center"/>
              <w:rPr>
                <w:sz w:val="20"/>
                <w:lang w:val="en-US"/>
              </w:rPr>
            </w:pPr>
            <w:r w:rsidRPr="00362039">
              <w:rPr>
                <w:sz w:val="20"/>
                <w:lang w:val="en-US"/>
              </w:rPr>
              <w:t>7.08 (4.34, 11.55),</w:t>
            </w:r>
          </w:p>
          <w:p w:rsidR="00D21521" w:rsidRPr="00362039" w:rsidRDefault="00D21521" w:rsidP="00002931">
            <w:pPr>
              <w:spacing w:before="60" w:after="60"/>
              <w:jc w:val="center"/>
              <w:rPr>
                <w:sz w:val="20"/>
                <w:lang w:val="en-US"/>
              </w:rPr>
            </w:pPr>
            <w:r w:rsidRPr="00362039">
              <w:rPr>
                <w:sz w:val="20"/>
                <w:lang w:val="en-US"/>
              </w:rPr>
              <w:t>p&lt;0.0001</w:t>
            </w:r>
          </w:p>
        </w:tc>
      </w:tr>
      <w:tr w:rsidR="00D21521" w:rsidRPr="00362039" w:rsidTr="00002931">
        <w:trPr>
          <w:trHeight w:val="240"/>
        </w:trPr>
        <w:tc>
          <w:tcPr>
            <w:tcW w:w="1933" w:type="dxa"/>
            <w:tcBorders>
              <w:top w:val="single" w:sz="4" w:space="0" w:color="000000"/>
              <w:bottom w:val="single" w:sz="4" w:space="0" w:color="auto"/>
            </w:tcBorders>
          </w:tcPr>
          <w:p w:rsidR="00D21521" w:rsidRPr="00362039" w:rsidRDefault="00D21521" w:rsidP="00002931">
            <w:pPr>
              <w:spacing w:before="60" w:after="60"/>
              <w:rPr>
                <w:sz w:val="20"/>
                <w:lang w:val="en-US"/>
              </w:rPr>
            </w:pPr>
            <w:r w:rsidRPr="00362039">
              <w:rPr>
                <w:sz w:val="20"/>
                <w:lang w:val="en-US"/>
              </w:rPr>
              <w:t>CA</w:t>
            </w:r>
            <w:r>
              <w:rPr>
                <w:sz w:val="20"/>
                <w:lang w:val="en-US"/>
              </w:rPr>
              <w:t> </w:t>
            </w:r>
            <w:r w:rsidRPr="00362039">
              <w:rPr>
                <w:sz w:val="20"/>
                <w:lang w:val="en-US"/>
              </w:rPr>
              <w:t>* wk 9-52</w:t>
            </w:r>
          </w:p>
        </w:tc>
        <w:tc>
          <w:tcPr>
            <w:tcW w:w="2079" w:type="dxa"/>
            <w:tcBorders>
              <w:top w:val="single" w:sz="4" w:space="0" w:color="000000"/>
              <w:bottom w:val="single" w:sz="4" w:space="0" w:color="auto"/>
            </w:tcBorders>
          </w:tcPr>
          <w:p w:rsidR="00D21521" w:rsidRPr="00362039" w:rsidRDefault="00D21521" w:rsidP="00002931">
            <w:pPr>
              <w:spacing w:before="60" w:after="60"/>
              <w:jc w:val="center"/>
              <w:rPr>
                <w:sz w:val="20"/>
                <w:lang w:val="en-US"/>
              </w:rPr>
            </w:pPr>
            <w:r w:rsidRPr="00362039">
              <w:rPr>
                <w:sz w:val="20"/>
                <w:lang w:val="en-US"/>
              </w:rPr>
              <w:t>20.1</w:t>
            </w:r>
            <w:r>
              <w:rPr>
                <w:sz w:val="20"/>
                <w:lang w:val="en-US"/>
              </w:rPr>
              <w:t> </w:t>
            </w:r>
            <w:r w:rsidRPr="00362039">
              <w:rPr>
                <w:sz w:val="20"/>
                <w:lang w:val="en-US"/>
              </w:rPr>
              <w:t>%</w:t>
            </w:r>
          </w:p>
        </w:tc>
        <w:tc>
          <w:tcPr>
            <w:tcW w:w="1704" w:type="dxa"/>
            <w:tcBorders>
              <w:top w:val="single" w:sz="4" w:space="0" w:color="000000"/>
              <w:bottom w:val="single" w:sz="4" w:space="0" w:color="auto"/>
            </w:tcBorders>
          </w:tcPr>
          <w:p w:rsidR="00D21521" w:rsidRPr="00362039" w:rsidRDefault="00D21521" w:rsidP="00002931">
            <w:pPr>
              <w:spacing w:before="60" w:after="60"/>
              <w:jc w:val="center"/>
              <w:rPr>
                <w:sz w:val="20"/>
                <w:lang w:val="en-US"/>
              </w:rPr>
            </w:pPr>
            <w:r w:rsidRPr="00362039">
              <w:rPr>
                <w:sz w:val="20"/>
                <w:lang w:val="en-US"/>
              </w:rPr>
              <w:t>3.3</w:t>
            </w:r>
            <w:r>
              <w:rPr>
                <w:sz w:val="20"/>
                <w:lang w:val="en-US"/>
              </w:rPr>
              <w:t> </w:t>
            </w:r>
            <w:r w:rsidRPr="00362039">
              <w:rPr>
                <w:sz w:val="20"/>
                <w:lang w:val="en-US"/>
              </w:rPr>
              <w:t>%</w:t>
            </w:r>
          </w:p>
        </w:tc>
        <w:tc>
          <w:tcPr>
            <w:tcW w:w="2809" w:type="dxa"/>
            <w:tcBorders>
              <w:top w:val="single" w:sz="4" w:space="0" w:color="000000"/>
              <w:bottom w:val="single" w:sz="4" w:space="0" w:color="auto"/>
            </w:tcBorders>
          </w:tcPr>
          <w:p w:rsidR="00D21521" w:rsidRDefault="00D21521" w:rsidP="00002931">
            <w:pPr>
              <w:spacing w:before="60" w:after="60"/>
              <w:jc w:val="center"/>
              <w:rPr>
                <w:sz w:val="20"/>
                <w:lang w:val="en-US"/>
              </w:rPr>
            </w:pPr>
            <w:r w:rsidRPr="00362039">
              <w:rPr>
                <w:sz w:val="20"/>
                <w:lang w:val="en-US"/>
              </w:rPr>
              <w:t>9.00 (3.97, 20.41),</w:t>
            </w:r>
          </w:p>
          <w:p w:rsidR="00D21521" w:rsidRPr="00362039" w:rsidRDefault="00D21521" w:rsidP="00002931">
            <w:pPr>
              <w:spacing w:before="60" w:after="60"/>
              <w:jc w:val="center"/>
              <w:rPr>
                <w:sz w:val="20"/>
                <w:lang w:val="en-US"/>
              </w:rPr>
            </w:pPr>
            <w:r>
              <w:rPr>
                <w:sz w:val="20"/>
                <w:lang w:val="en-US"/>
              </w:rPr>
              <w:t>p&lt;0.0001</w:t>
            </w:r>
          </w:p>
        </w:tc>
      </w:tr>
    </w:tbl>
    <w:p w:rsidR="00D21521" w:rsidRPr="00362039" w:rsidRDefault="00D21521" w:rsidP="00D21521">
      <w:pPr>
        <w:rPr>
          <w:sz w:val="16"/>
          <w:szCs w:val="16"/>
        </w:rPr>
      </w:pPr>
      <w:r w:rsidRPr="00362039">
        <w:rPr>
          <w:sz w:val="16"/>
          <w:szCs w:val="16"/>
        </w:rPr>
        <w:t>*</w:t>
      </w:r>
      <w:r>
        <w:rPr>
          <w:sz w:val="16"/>
          <w:szCs w:val="16"/>
        </w:rPr>
        <w:t> </w:t>
      </w:r>
      <w:r w:rsidRPr="00362039">
        <w:rPr>
          <w:sz w:val="16"/>
          <w:szCs w:val="16"/>
        </w:rPr>
        <w:t>CA: Continuous Abstinence Rate</w:t>
      </w:r>
    </w:p>
    <w:p w:rsidR="00D21521" w:rsidRPr="00D21521" w:rsidRDefault="00D21521" w:rsidP="00D21521">
      <w:pPr>
        <w:ind w:left="851"/>
        <w:rPr>
          <w:sz w:val="24"/>
          <w:szCs w:val="24"/>
        </w:rPr>
      </w:pPr>
    </w:p>
    <w:p w:rsidR="00D21521" w:rsidRPr="00D21521" w:rsidRDefault="00D21521" w:rsidP="00D21521">
      <w:pPr>
        <w:ind w:left="851"/>
        <w:rPr>
          <w:i/>
          <w:sz w:val="24"/>
          <w:szCs w:val="24"/>
        </w:rPr>
      </w:pPr>
      <w:r w:rsidRPr="00D21521">
        <w:rPr>
          <w:i/>
          <w:sz w:val="24"/>
          <w:szCs w:val="24"/>
        </w:rPr>
        <w:t>Gradual approach to quitting smoking</w:t>
      </w:r>
    </w:p>
    <w:p w:rsidR="00D21521" w:rsidRPr="00D21521" w:rsidRDefault="00D21521" w:rsidP="00D21521">
      <w:pPr>
        <w:ind w:left="851"/>
        <w:rPr>
          <w:sz w:val="24"/>
          <w:szCs w:val="24"/>
          <w:lang w:val="en-US"/>
        </w:rPr>
      </w:pPr>
      <w:r w:rsidRPr="00D21521">
        <w:rPr>
          <w:sz w:val="24"/>
          <w:szCs w:val="24"/>
          <w:lang w:val="en-US"/>
        </w:rPr>
        <w:t xml:space="preserve">Varenicline was evaluated in a 52-week double-blind placebo-controlled study of 1,510 subjects who were not able or willing to quit smoking within four weeks, but were willing to gradually reduce their smoking over a 12-week period before quitting. Subjects were randomised to either varenicline 1 mg twice daily (n=760) or placebo (n=750) for 24 weeks and followed up post-treatment through week 52. Subjects were instructed to reduce the number of cigarettes smoked by at least 50 percent by the end of the first four weeks of treatment, followed by a further 50 percent reduction from week four to week eight of treatment, with the goal of reaching complete abstinence by 12 weeks. After the </w:t>
      </w:r>
      <w:r w:rsidRPr="00D21521">
        <w:rPr>
          <w:sz w:val="24"/>
          <w:szCs w:val="24"/>
          <w:lang w:val="en-US"/>
        </w:rPr>
        <w:lastRenderedPageBreak/>
        <w:t>initial 12-week reduction phase, subjects continued treatment for another 12 weeks. Subjects treated with varenicline had a significantly higher Continuous Abstinence Rate compared with placebo; the key results are summarised in the following table:</w:t>
      </w:r>
    </w:p>
    <w:p w:rsidR="00D21521" w:rsidRPr="00D21521" w:rsidRDefault="00D21521" w:rsidP="00D21521">
      <w:pPr>
        <w:ind w:left="851"/>
        <w:rPr>
          <w:sz w:val="24"/>
          <w:szCs w:val="24"/>
          <w:lang w:val="en-US"/>
        </w:rPr>
      </w:pPr>
    </w:p>
    <w:p w:rsidR="00D21521" w:rsidRPr="00D21521" w:rsidRDefault="00D21521" w:rsidP="00D21521">
      <w:pPr>
        <w:rPr>
          <w:b/>
          <w:lang w:val="en-US"/>
        </w:rPr>
      </w:pPr>
      <w:r w:rsidRPr="00D21521">
        <w:rPr>
          <w:b/>
          <w:lang w:val="en-US"/>
        </w:rPr>
        <w:t>Continuous Abstinence Rates in Subjects Treated with varenicline versus placebo</w:t>
      </w:r>
    </w:p>
    <w:p w:rsidR="00D21521" w:rsidRPr="00D21521" w:rsidRDefault="00D21521" w:rsidP="00D21521">
      <w:pPr>
        <w:rPr>
          <w:lang w:val="en-US"/>
        </w:rPr>
      </w:pPr>
    </w:p>
    <w:tbl>
      <w:tblPr>
        <w:tblW w:w="0" w:type="auto"/>
        <w:tblInd w:w="140" w:type="dxa"/>
        <w:tblLayout w:type="fixed"/>
        <w:tblLook w:val="01E0" w:firstRow="1" w:lastRow="1" w:firstColumn="1" w:lastColumn="1" w:noHBand="0" w:noVBand="0"/>
      </w:tblPr>
      <w:tblGrid>
        <w:gridCol w:w="1903"/>
        <w:gridCol w:w="2110"/>
        <w:gridCol w:w="1705"/>
        <w:gridCol w:w="2810"/>
      </w:tblGrid>
      <w:tr w:rsidR="00D21521" w:rsidRPr="00795FCE" w:rsidTr="00002931">
        <w:trPr>
          <w:trHeight w:val="489"/>
        </w:trPr>
        <w:tc>
          <w:tcPr>
            <w:tcW w:w="1903" w:type="dxa"/>
            <w:tcBorders>
              <w:top w:val="single" w:sz="4" w:space="0" w:color="000000"/>
              <w:bottom w:val="single" w:sz="4" w:space="0" w:color="000000"/>
            </w:tcBorders>
          </w:tcPr>
          <w:p w:rsidR="00D21521" w:rsidRPr="00362039" w:rsidRDefault="00D21521" w:rsidP="00002931">
            <w:pPr>
              <w:spacing w:before="60" w:after="60"/>
              <w:rPr>
                <w:sz w:val="20"/>
                <w:lang w:val="en-US"/>
              </w:rPr>
            </w:pPr>
          </w:p>
        </w:tc>
        <w:tc>
          <w:tcPr>
            <w:tcW w:w="2110" w:type="dxa"/>
            <w:tcBorders>
              <w:top w:val="single" w:sz="4" w:space="0" w:color="000000"/>
              <w:bottom w:val="single" w:sz="4" w:space="0" w:color="000000"/>
            </w:tcBorders>
          </w:tcPr>
          <w:p w:rsidR="00D21521" w:rsidRDefault="00D21521" w:rsidP="00002931">
            <w:pPr>
              <w:spacing w:before="60" w:after="60"/>
              <w:jc w:val="center"/>
              <w:rPr>
                <w:sz w:val="20"/>
                <w:lang w:val="en-US"/>
              </w:rPr>
            </w:pPr>
            <w:r w:rsidRPr="00362039">
              <w:rPr>
                <w:sz w:val="20"/>
                <w:lang w:val="en-US"/>
              </w:rPr>
              <w:t>Varenicline</w:t>
            </w:r>
          </w:p>
          <w:p w:rsidR="00D21521" w:rsidRPr="00362039" w:rsidRDefault="00D21521" w:rsidP="00002931">
            <w:pPr>
              <w:spacing w:before="60" w:after="60"/>
              <w:jc w:val="center"/>
              <w:rPr>
                <w:sz w:val="20"/>
                <w:lang w:val="en-US"/>
              </w:rPr>
            </w:pPr>
            <w:r w:rsidRPr="00362039">
              <w:rPr>
                <w:sz w:val="20"/>
                <w:lang w:val="en-US"/>
              </w:rPr>
              <w:t>n=760</w:t>
            </w:r>
          </w:p>
        </w:tc>
        <w:tc>
          <w:tcPr>
            <w:tcW w:w="1705" w:type="dxa"/>
            <w:tcBorders>
              <w:top w:val="single" w:sz="4" w:space="0" w:color="000000"/>
              <w:bottom w:val="single" w:sz="4" w:space="0" w:color="000000"/>
            </w:tcBorders>
          </w:tcPr>
          <w:p w:rsidR="00D21521" w:rsidRDefault="00D21521" w:rsidP="00002931">
            <w:pPr>
              <w:spacing w:before="60" w:after="60"/>
              <w:jc w:val="center"/>
              <w:rPr>
                <w:sz w:val="20"/>
                <w:lang w:val="en-US"/>
              </w:rPr>
            </w:pPr>
            <w:r>
              <w:rPr>
                <w:sz w:val="20"/>
                <w:lang w:val="en-US"/>
              </w:rPr>
              <w:t>Placebo</w:t>
            </w:r>
          </w:p>
          <w:p w:rsidR="00D21521" w:rsidRPr="00362039" w:rsidRDefault="00D21521" w:rsidP="00002931">
            <w:pPr>
              <w:spacing w:before="60" w:after="60"/>
              <w:jc w:val="center"/>
              <w:rPr>
                <w:sz w:val="20"/>
                <w:lang w:val="en-US"/>
              </w:rPr>
            </w:pPr>
            <w:r w:rsidRPr="00362039">
              <w:rPr>
                <w:sz w:val="20"/>
                <w:lang w:val="en-US"/>
              </w:rPr>
              <w:t>n=750</w:t>
            </w:r>
          </w:p>
        </w:tc>
        <w:tc>
          <w:tcPr>
            <w:tcW w:w="2810" w:type="dxa"/>
            <w:tcBorders>
              <w:top w:val="single" w:sz="4" w:space="0" w:color="000000"/>
              <w:bottom w:val="single" w:sz="4" w:space="0" w:color="000000"/>
            </w:tcBorders>
          </w:tcPr>
          <w:p w:rsidR="00D21521" w:rsidRDefault="00D21521" w:rsidP="00002931">
            <w:pPr>
              <w:spacing w:before="60" w:after="60"/>
              <w:jc w:val="center"/>
              <w:rPr>
                <w:sz w:val="20"/>
                <w:lang w:val="en-US"/>
              </w:rPr>
            </w:pPr>
            <w:r>
              <w:rPr>
                <w:sz w:val="20"/>
                <w:lang w:val="en-US"/>
              </w:rPr>
              <w:t>Odds ratio (95 % CI),</w:t>
            </w:r>
          </w:p>
          <w:p w:rsidR="00D21521" w:rsidRPr="00362039" w:rsidRDefault="00D21521" w:rsidP="00002931">
            <w:pPr>
              <w:spacing w:before="60" w:after="60"/>
              <w:jc w:val="center"/>
              <w:rPr>
                <w:sz w:val="20"/>
                <w:lang w:val="en-US"/>
              </w:rPr>
            </w:pPr>
            <w:r w:rsidRPr="00362039">
              <w:rPr>
                <w:sz w:val="20"/>
                <w:lang w:val="en-US"/>
              </w:rPr>
              <w:t>p value</w:t>
            </w:r>
          </w:p>
        </w:tc>
      </w:tr>
      <w:tr w:rsidR="00D21521" w:rsidRPr="00362039" w:rsidTr="00002931">
        <w:trPr>
          <w:trHeight w:val="489"/>
        </w:trPr>
        <w:tc>
          <w:tcPr>
            <w:tcW w:w="1903" w:type="dxa"/>
            <w:tcBorders>
              <w:top w:val="single" w:sz="4" w:space="0" w:color="000000"/>
              <w:bottom w:val="single" w:sz="4" w:space="0" w:color="000000"/>
            </w:tcBorders>
          </w:tcPr>
          <w:p w:rsidR="00D21521" w:rsidRPr="00362039" w:rsidRDefault="00D21521" w:rsidP="00002931">
            <w:pPr>
              <w:spacing w:before="60" w:after="60"/>
              <w:rPr>
                <w:sz w:val="20"/>
                <w:lang w:val="en-US"/>
              </w:rPr>
            </w:pPr>
            <w:r w:rsidRPr="00362039">
              <w:rPr>
                <w:sz w:val="20"/>
                <w:lang w:val="en-US"/>
              </w:rPr>
              <w:t>CA</w:t>
            </w:r>
            <w:r>
              <w:rPr>
                <w:sz w:val="20"/>
                <w:lang w:val="en-US"/>
              </w:rPr>
              <w:t> </w:t>
            </w:r>
            <w:r w:rsidRPr="00362039">
              <w:rPr>
                <w:sz w:val="20"/>
                <w:lang w:val="en-US"/>
              </w:rPr>
              <w:t>* wk 15-24</w:t>
            </w:r>
          </w:p>
        </w:tc>
        <w:tc>
          <w:tcPr>
            <w:tcW w:w="2110" w:type="dxa"/>
            <w:tcBorders>
              <w:top w:val="single" w:sz="4" w:space="0" w:color="000000"/>
              <w:bottom w:val="single" w:sz="4" w:space="0" w:color="000000"/>
            </w:tcBorders>
          </w:tcPr>
          <w:p w:rsidR="00D21521" w:rsidRPr="00362039" w:rsidRDefault="00D21521" w:rsidP="00002931">
            <w:pPr>
              <w:spacing w:before="60" w:after="60"/>
              <w:jc w:val="center"/>
              <w:rPr>
                <w:sz w:val="20"/>
                <w:lang w:val="en-US"/>
              </w:rPr>
            </w:pPr>
            <w:r w:rsidRPr="00362039">
              <w:rPr>
                <w:sz w:val="20"/>
                <w:lang w:val="en-US"/>
              </w:rPr>
              <w:t>32.1</w:t>
            </w:r>
            <w:r>
              <w:rPr>
                <w:sz w:val="20"/>
                <w:lang w:val="en-US"/>
              </w:rPr>
              <w:t> </w:t>
            </w:r>
            <w:r w:rsidRPr="00362039">
              <w:rPr>
                <w:sz w:val="20"/>
                <w:lang w:val="en-US"/>
              </w:rPr>
              <w:t>%</w:t>
            </w:r>
          </w:p>
        </w:tc>
        <w:tc>
          <w:tcPr>
            <w:tcW w:w="1705" w:type="dxa"/>
            <w:tcBorders>
              <w:top w:val="single" w:sz="4" w:space="0" w:color="000000"/>
              <w:bottom w:val="single" w:sz="4" w:space="0" w:color="000000"/>
            </w:tcBorders>
          </w:tcPr>
          <w:p w:rsidR="00D21521" w:rsidRPr="00362039" w:rsidRDefault="00D21521" w:rsidP="00002931">
            <w:pPr>
              <w:spacing w:before="60" w:after="60"/>
              <w:jc w:val="center"/>
              <w:rPr>
                <w:sz w:val="20"/>
                <w:lang w:val="en-US"/>
              </w:rPr>
            </w:pPr>
            <w:r w:rsidRPr="00362039">
              <w:rPr>
                <w:sz w:val="20"/>
                <w:lang w:val="en-US"/>
              </w:rPr>
              <w:t>6.9</w:t>
            </w:r>
            <w:r>
              <w:rPr>
                <w:sz w:val="20"/>
                <w:lang w:val="en-US"/>
              </w:rPr>
              <w:t> </w:t>
            </w:r>
            <w:r w:rsidRPr="00362039">
              <w:rPr>
                <w:sz w:val="20"/>
                <w:lang w:val="en-US"/>
              </w:rPr>
              <w:t>%</w:t>
            </w:r>
          </w:p>
        </w:tc>
        <w:tc>
          <w:tcPr>
            <w:tcW w:w="2810" w:type="dxa"/>
            <w:tcBorders>
              <w:top w:val="single" w:sz="4" w:space="0" w:color="000000"/>
              <w:bottom w:val="single" w:sz="4" w:space="0" w:color="000000"/>
            </w:tcBorders>
          </w:tcPr>
          <w:p w:rsidR="00D21521" w:rsidRDefault="00D21521" w:rsidP="00002931">
            <w:pPr>
              <w:spacing w:before="60" w:after="60"/>
              <w:jc w:val="center"/>
              <w:rPr>
                <w:sz w:val="20"/>
                <w:lang w:val="en-US"/>
              </w:rPr>
            </w:pPr>
            <w:r>
              <w:rPr>
                <w:sz w:val="20"/>
                <w:lang w:val="en-US"/>
              </w:rPr>
              <w:t>8.74 (6.09, 12.53),</w:t>
            </w:r>
          </w:p>
          <w:p w:rsidR="00D21521" w:rsidRPr="00362039" w:rsidRDefault="00D21521" w:rsidP="00002931">
            <w:pPr>
              <w:spacing w:before="60" w:after="60"/>
              <w:jc w:val="center"/>
              <w:rPr>
                <w:sz w:val="20"/>
                <w:lang w:val="en-US"/>
              </w:rPr>
            </w:pPr>
            <w:r w:rsidRPr="00362039">
              <w:rPr>
                <w:sz w:val="20"/>
                <w:lang w:val="en-US"/>
              </w:rPr>
              <w:t>p&lt;0.0001</w:t>
            </w:r>
          </w:p>
        </w:tc>
      </w:tr>
      <w:tr w:rsidR="00D21521" w:rsidRPr="00362039" w:rsidTr="00002931">
        <w:trPr>
          <w:trHeight w:val="241"/>
        </w:trPr>
        <w:tc>
          <w:tcPr>
            <w:tcW w:w="1903" w:type="dxa"/>
            <w:tcBorders>
              <w:top w:val="single" w:sz="4" w:space="0" w:color="000000"/>
              <w:bottom w:val="single" w:sz="4" w:space="0" w:color="auto"/>
            </w:tcBorders>
          </w:tcPr>
          <w:p w:rsidR="00D21521" w:rsidRPr="00362039" w:rsidRDefault="00D21521" w:rsidP="00002931">
            <w:pPr>
              <w:spacing w:before="60" w:after="60"/>
              <w:rPr>
                <w:sz w:val="20"/>
                <w:lang w:val="en-US"/>
              </w:rPr>
            </w:pPr>
            <w:r w:rsidRPr="00362039">
              <w:rPr>
                <w:sz w:val="20"/>
                <w:lang w:val="en-US"/>
              </w:rPr>
              <w:t>CA</w:t>
            </w:r>
            <w:r>
              <w:rPr>
                <w:sz w:val="20"/>
                <w:lang w:val="en-US"/>
              </w:rPr>
              <w:t> </w:t>
            </w:r>
            <w:r w:rsidRPr="00362039">
              <w:rPr>
                <w:sz w:val="20"/>
                <w:lang w:val="en-US"/>
              </w:rPr>
              <w:t>* wk 21-52</w:t>
            </w:r>
          </w:p>
        </w:tc>
        <w:tc>
          <w:tcPr>
            <w:tcW w:w="2110" w:type="dxa"/>
            <w:tcBorders>
              <w:top w:val="single" w:sz="4" w:space="0" w:color="000000"/>
              <w:bottom w:val="single" w:sz="4" w:space="0" w:color="auto"/>
            </w:tcBorders>
          </w:tcPr>
          <w:p w:rsidR="00D21521" w:rsidRPr="00362039" w:rsidRDefault="00D21521" w:rsidP="00002931">
            <w:pPr>
              <w:spacing w:before="60" w:after="60"/>
              <w:jc w:val="center"/>
              <w:rPr>
                <w:sz w:val="20"/>
                <w:lang w:val="en-US"/>
              </w:rPr>
            </w:pPr>
            <w:r w:rsidRPr="00362039">
              <w:rPr>
                <w:sz w:val="20"/>
                <w:lang w:val="en-US"/>
              </w:rPr>
              <w:t>27.0</w:t>
            </w:r>
            <w:r>
              <w:rPr>
                <w:sz w:val="20"/>
                <w:lang w:val="en-US"/>
              </w:rPr>
              <w:t> </w:t>
            </w:r>
            <w:r w:rsidRPr="00362039">
              <w:rPr>
                <w:sz w:val="20"/>
                <w:lang w:val="en-US"/>
              </w:rPr>
              <w:t>%</w:t>
            </w:r>
          </w:p>
        </w:tc>
        <w:tc>
          <w:tcPr>
            <w:tcW w:w="1705" w:type="dxa"/>
            <w:tcBorders>
              <w:top w:val="single" w:sz="4" w:space="0" w:color="000000"/>
              <w:bottom w:val="single" w:sz="4" w:space="0" w:color="auto"/>
            </w:tcBorders>
          </w:tcPr>
          <w:p w:rsidR="00D21521" w:rsidRPr="00362039" w:rsidRDefault="00D21521" w:rsidP="00002931">
            <w:pPr>
              <w:spacing w:before="60" w:after="60"/>
              <w:jc w:val="center"/>
              <w:rPr>
                <w:sz w:val="20"/>
                <w:lang w:val="en-US"/>
              </w:rPr>
            </w:pPr>
            <w:r w:rsidRPr="00362039">
              <w:rPr>
                <w:sz w:val="20"/>
                <w:lang w:val="en-US"/>
              </w:rPr>
              <w:t>9.9</w:t>
            </w:r>
            <w:r>
              <w:rPr>
                <w:sz w:val="20"/>
                <w:lang w:val="en-US"/>
              </w:rPr>
              <w:t> </w:t>
            </w:r>
            <w:r w:rsidRPr="00362039">
              <w:rPr>
                <w:sz w:val="20"/>
                <w:lang w:val="en-US"/>
              </w:rPr>
              <w:t>%</w:t>
            </w:r>
          </w:p>
        </w:tc>
        <w:tc>
          <w:tcPr>
            <w:tcW w:w="2810" w:type="dxa"/>
            <w:tcBorders>
              <w:top w:val="single" w:sz="4" w:space="0" w:color="000000"/>
              <w:bottom w:val="single" w:sz="4" w:space="0" w:color="auto"/>
            </w:tcBorders>
          </w:tcPr>
          <w:p w:rsidR="00D21521" w:rsidRDefault="00D21521" w:rsidP="00002931">
            <w:pPr>
              <w:spacing w:before="60" w:after="60"/>
              <w:jc w:val="center"/>
              <w:rPr>
                <w:sz w:val="20"/>
                <w:lang w:val="en-US"/>
              </w:rPr>
            </w:pPr>
            <w:r w:rsidRPr="00362039">
              <w:rPr>
                <w:sz w:val="20"/>
                <w:lang w:val="en-US"/>
              </w:rPr>
              <w:t>4.02 (2.94, 5.50),</w:t>
            </w:r>
          </w:p>
          <w:p w:rsidR="00D21521" w:rsidRPr="00362039" w:rsidRDefault="00D21521" w:rsidP="00002931">
            <w:pPr>
              <w:spacing w:before="60" w:after="60"/>
              <w:jc w:val="center"/>
              <w:rPr>
                <w:sz w:val="20"/>
                <w:lang w:val="en-US"/>
              </w:rPr>
            </w:pPr>
            <w:r w:rsidRPr="00362039">
              <w:rPr>
                <w:sz w:val="20"/>
                <w:lang w:val="en-US"/>
              </w:rPr>
              <w:t>p&lt;0.0001</w:t>
            </w:r>
          </w:p>
        </w:tc>
      </w:tr>
    </w:tbl>
    <w:p w:rsidR="00D21521" w:rsidRPr="00362039" w:rsidRDefault="00D21521" w:rsidP="00D21521">
      <w:pPr>
        <w:rPr>
          <w:sz w:val="16"/>
          <w:szCs w:val="16"/>
        </w:rPr>
      </w:pPr>
      <w:r w:rsidRPr="00362039">
        <w:rPr>
          <w:sz w:val="16"/>
          <w:szCs w:val="16"/>
        </w:rPr>
        <w:t>*</w:t>
      </w:r>
      <w:r>
        <w:rPr>
          <w:sz w:val="16"/>
          <w:szCs w:val="16"/>
        </w:rPr>
        <w:t> </w:t>
      </w:r>
      <w:r w:rsidRPr="00362039">
        <w:rPr>
          <w:sz w:val="16"/>
          <w:szCs w:val="16"/>
        </w:rPr>
        <w:t>CA: Continuous Abstinence Rate</w:t>
      </w:r>
    </w:p>
    <w:p w:rsidR="00D21521" w:rsidRPr="00EE4F6E" w:rsidRDefault="00D21521" w:rsidP="00D21521"/>
    <w:p w:rsidR="00D21521" w:rsidRPr="00D21521" w:rsidRDefault="00D21521" w:rsidP="00D21521">
      <w:pPr>
        <w:ind w:left="851"/>
        <w:rPr>
          <w:sz w:val="24"/>
          <w:szCs w:val="24"/>
          <w:lang w:val="en-US"/>
        </w:rPr>
      </w:pPr>
      <w:r w:rsidRPr="00D21521">
        <w:rPr>
          <w:sz w:val="24"/>
          <w:szCs w:val="24"/>
          <w:lang w:val="en-US"/>
        </w:rPr>
        <w:t>The varenicline safety profile in this study was consistent with that of pre-marketing studies.</w:t>
      </w:r>
    </w:p>
    <w:p w:rsidR="00D21521" w:rsidRPr="00D21521" w:rsidRDefault="00D21521" w:rsidP="00D21521">
      <w:pPr>
        <w:ind w:left="851"/>
        <w:rPr>
          <w:sz w:val="24"/>
          <w:szCs w:val="24"/>
          <w:lang w:val="en-US"/>
        </w:rPr>
      </w:pPr>
    </w:p>
    <w:p w:rsidR="00D21521" w:rsidRPr="00D21521" w:rsidRDefault="00D21521" w:rsidP="00D21521">
      <w:pPr>
        <w:ind w:left="851"/>
        <w:rPr>
          <w:i/>
          <w:sz w:val="24"/>
          <w:szCs w:val="24"/>
          <w:lang w:val="en-US"/>
        </w:rPr>
      </w:pPr>
      <w:r w:rsidRPr="00D21521">
        <w:rPr>
          <w:i/>
          <w:sz w:val="24"/>
          <w:szCs w:val="24"/>
          <w:lang w:val="en-US"/>
        </w:rPr>
        <w:t>Subjects with cardiovascular disease</w:t>
      </w:r>
    </w:p>
    <w:p w:rsidR="00D21521" w:rsidRPr="00D21521" w:rsidRDefault="00D21521" w:rsidP="00D21521">
      <w:pPr>
        <w:ind w:left="851"/>
        <w:rPr>
          <w:sz w:val="24"/>
          <w:szCs w:val="24"/>
          <w:lang w:val="en-US"/>
        </w:rPr>
      </w:pPr>
      <w:r w:rsidRPr="00D21521">
        <w:rPr>
          <w:sz w:val="24"/>
          <w:szCs w:val="24"/>
          <w:lang w:val="en-US"/>
        </w:rPr>
        <w:t>Varenicline was evaluated in a randomised, double blind, placebo-controlled study of subjects with stable, cardiovascular disease (other than, or in addition to, hypertension) that had been diagnosed for more than 2 months. Subjects were randomised to varenicline 1 mg twice daily (n=353) or placebo (n=350) for 12 weeks and then were followed for 40 weeks post-treatment. The 4-week CQR for varenicline and placebo was 47.3 % and 14.3 %, respectively and the CA week 9-52 was 19.8 % (varenicline) vs. 7.4 % (placebo).</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Deaths and serious cardiovascular events were adjudicated by a blinded, committee. The following adjudicated events occurred with a frequency ≥ 1 % in either treatment group during treatment (or in the 30-day period after treatment): nonfatal myocardial infarction (1.1 % vs. 0.3 % for varenicline and placebo, respectively), and hospitalisation for angina pectoris (0.6 % vs. 1.1 %). During non-treatment follow up to 52 weeks, the adjudicated events included need for coronary revascularisation (2.0 % vs. 0.6 %), hospitalisation for angina pectoris (1.7 % vs. 1.1 %), and new diagnosis of peripheral vascular disease (PVD) or admission for a PVD procedure (1.4 % vs. 0.6 %). Some of the patients requiring coronary revascularisation underwent the procedure as part of management of nonfatal MI and hospitalisation for angina. Cardiovascular death occurred in 0.3 % of patients in the varenicline arm and 0.6 % of patients in the placebo arm over the course of the 52-week study.</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A meta-analysis of 15 clinical trials of ≥ 12 weeks treatment duration, including 7,002 patients (4,190 varenicline, 2,812 placebo), was conducted to systematically assess the cardiovascular safety of varenicline. The study in patients with stable cardiovascular disease described above was included in the meta-analysis.</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The key cardiovascular safety analysis included occurrence and timing of a composite endpoint of Major Adverse Cardiovascular Events (MACE), defined as cardiovascular death, nonfatal MI, and nonfatal stroke. These events included in the endpoint were adjudicated by a blinded, independent committee. Overall, a small number of MACE occurred during treatment in the trials included in the meta-analysis (varenicline 7 [0.17 %]; placebo 2 [0.07 %]). Additionally, a small number of MACE occurred up to 30 days after treatment (varenicline 13 [0.31 %]; placebo 6 [0.21 %]).</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The meta-analysis showed that exposure to varenicline resulted in a hazard ratio for MACE of 2.83 (95 % confidence interval from 0.76 to 10.55, p=0.12) for patients during treatment and 1.95 (95 % confidence interval from 0.79 to 4.82, p=0.15) for patients up to 30 days after treatment. These are equivalent to an estimated increase of 6.5 MACE events and 6.3 MACE events per 1,000 patient-years, respectively of exposure. The hazard ratio for MACE was higher in patients with cardiovascular risk factors in addition to smoking compared with that in patients without cardiovascular risk factors other than smoking. There were similar rates of all-cause mortality (varenicline 6 [0.14 %]; placebo 7 [0.25 %]) and cardiovascular mortality (varenicline 2 [0.05 %]; placebo 2 [0.07%]) in the varenicline arms compared with the placebo arms in the meta-analysis.</w:t>
      </w:r>
    </w:p>
    <w:p w:rsidR="00D21521" w:rsidRPr="00D21521" w:rsidRDefault="00D21521" w:rsidP="00D21521">
      <w:pPr>
        <w:ind w:left="851"/>
        <w:rPr>
          <w:sz w:val="24"/>
          <w:szCs w:val="24"/>
          <w:lang w:val="en-US"/>
        </w:rPr>
      </w:pPr>
    </w:p>
    <w:p w:rsidR="00D21521" w:rsidRPr="00D21521" w:rsidRDefault="00D21521" w:rsidP="00D21521">
      <w:pPr>
        <w:ind w:left="851"/>
        <w:rPr>
          <w:i/>
          <w:sz w:val="24"/>
          <w:szCs w:val="24"/>
          <w:lang w:val="en-US"/>
        </w:rPr>
      </w:pPr>
      <w:r w:rsidRPr="00D21521">
        <w:rPr>
          <w:i/>
          <w:sz w:val="24"/>
          <w:szCs w:val="24"/>
          <w:lang w:val="en-US"/>
        </w:rPr>
        <w:t>Cardiovascular safety assessment study in subjects with and without a history of psychiatric disorder</w:t>
      </w:r>
    </w:p>
    <w:p w:rsidR="00D21521" w:rsidRPr="00D21521" w:rsidRDefault="00D21521" w:rsidP="00D21521">
      <w:pPr>
        <w:ind w:left="851"/>
        <w:rPr>
          <w:sz w:val="24"/>
          <w:szCs w:val="24"/>
          <w:lang w:val="en-US"/>
        </w:rPr>
      </w:pPr>
      <w:r w:rsidRPr="00D21521">
        <w:rPr>
          <w:sz w:val="24"/>
          <w:szCs w:val="24"/>
          <w:lang w:val="en-US"/>
        </w:rPr>
        <w:t>The cardiovascular (CV) safety of varenicline was evaluated in the Study in Subjects with and without a History of Psychiatric Disorder (parent study; see section 5.1 - Neuropsychiatric safety) and its non- treatment extension, the Cardiovascular Safety Assessment Study, which enrolled 4,595 of the 6,293 subjects who completed the parent study (N=8,058) and followed them through week 52. Of all subjects treated in the parent study, 1,749 (21.7 %) had a medium CV risk and 644 (8.0 %) had a high CV risk, as defined by Framingham score.</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The primary CV endpoint was the time to major adverse cardiovascular events (MACE), defined as cardiovascular death, non-fatal myocardial infarction or non-fatal stroke during treatment. Deaths and cardiovascular events were adjudicated by a blinded, independent committee.</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The following table shows the incidence of MACE and Hazard Ratios vs placebo for all treatment groups during treatment, and cumulative for treatment plus 30 days and through end of study.</w:t>
      </w:r>
    </w:p>
    <w:p w:rsidR="00D21521" w:rsidRPr="00D21521" w:rsidRDefault="00D21521" w:rsidP="00D21521">
      <w:pPr>
        <w:rPr>
          <w:lang w:val="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1"/>
        <w:gridCol w:w="1883"/>
        <w:gridCol w:w="1883"/>
        <w:gridCol w:w="1792"/>
        <w:gridCol w:w="1523"/>
      </w:tblGrid>
      <w:tr w:rsidR="00D21521" w:rsidRPr="00E0041D" w:rsidTr="00002931">
        <w:trPr>
          <w:trHeight w:val="490"/>
          <w:jc w:val="center"/>
        </w:trPr>
        <w:tc>
          <w:tcPr>
            <w:tcW w:w="1868" w:type="dxa"/>
          </w:tcPr>
          <w:p w:rsidR="00D21521" w:rsidRPr="00E0041D" w:rsidRDefault="00D21521" w:rsidP="00002931">
            <w:pPr>
              <w:spacing w:before="60" w:after="60"/>
              <w:rPr>
                <w:sz w:val="20"/>
                <w:lang w:val="en-US"/>
              </w:rPr>
            </w:pPr>
          </w:p>
        </w:tc>
        <w:tc>
          <w:tcPr>
            <w:tcW w:w="1768" w:type="dxa"/>
            <w:vAlign w:val="center"/>
          </w:tcPr>
          <w:p w:rsidR="00D21521" w:rsidRPr="00303937" w:rsidRDefault="00D21521" w:rsidP="00002931">
            <w:pPr>
              <w:spacing w:before="60" w:after="60"/>
              <w:jc w:val="center"/>
              <w:rPr>
                <w:b/>
                <w:sz w:val="20"/>
              </w:rPr>
            </w:pPr>
            <w:r w:rsidRPr="00303937">
              <w:rPr>
                <w:b/>
                <w:sz w:val="20"/>
              </w:rPr>
              <w:t>Varenicline</w:t>
            </w:r>
          </w:p>
          <w:p w:rsidR="00D21521" w:rsidRPr="00303937" w:rsidRDefault="00D21521" w:rsidP="00002931">
            <w:pPr>
              <w:spacing w:before="60" w:after="60"/>
              <w:jc w:val="center"/>
              <w:rPr>
                <w:b/>
                <w:sz w:val="20"/>
                <w:lang w:val="en-US"/>
              </w:rPr>
            </w:pPr>
            <w:r w:rsidRPr="00303937">
              <w:rPr>
                <w:b/>
                <w:sz w:val="20"/>
                <w:lang w:val="en-US"/>
              </w:rPr>
              <w:t>N=2,016</w:t>
            </w:r>
          </w:p>
        </w:tc>
        <w:tc>
          <w:tcPr>
            <w:tcW w:w="1768" w:type="dxa"/>
            <w:vAlign w:val="center"/>
          </w:tcPr>
          <w:p w:rsidR="00D21521" w:rsidRPr="00303937" w:rsidRDefault="00D21521" w:rsidP="00002931">
            <w:pPr>
              <w:spacing w:before="60" w:after="60"/>
              <w:jc w:val="center"/>
              <w:rPr>
                <w:b/>
                <w:sz w:val="20"/>
                <w:lang w:val="en-US"/>
              </w:rPr>
            </w:pPr>
            <w:r w:rsidRPr="00303937">
              <w:rPr>
                <w:b/>
                <w:sz w:val="20"/>
                <w:lang w:val="en-US"/>
              </w:rPr>
              <w:t>Bupropion</w:t>
            </w:r>
          </w:p>
          <w:p w:rsidR="00D21521" w:rsidRPr="00303937" w:rsidRDefault="00D21521" w:rsidP="00002931">
            <w:pPr>
              <w:spacing w:before="60" w:after="60"/>
              <w:jc w:val="center"/>
              <w:rPr>
                <w:b/>
                <w:sz w:val="20"/>
                <w:lang w:val="en-US"/>
              </w:rPr>
            </w:pPr>
            <w:r w:rsidRPr="00303937">
              <w:rPr>
                <w:b/>
                <w:sz w:val="20"/>
                <w:lang w:val="en-US"/>
              </w:rPr>
              <w:t>N=2,006</w:t>
            </w:r>
          </w:p>
        </w:tc>
        <w:tc>
          <w:tcPr>
            <w:tcW w:w="1682" w:type="dxa"/>
            <w:vAlign w:val="center"/>
          </w:tcPr>
          <w:p w:rsidR="00D21521" w:rsidRPr="00303937" w:rsidRDefault="00D21521" w:rsidP="00002931">
            <w:pPr>
              <w:spacing w:before="60" w:after="60"/>
              <w:jc w:val="center"/>
              <w:rPr>
                <w:b/>
                <w:sz w:val="20"/>
                <w:lang w:val="en-US"/>
              </w:rPr>
            </w:pPr>
            <w:r w:rsidRPr="00303937">
              <w:rPr>
                <w:b/>
                <w:sz w:val="20"/>
                <w:lang w:val="en-US"/>
              </w:rPr>
              <w:t>NRT</w:t>
            </w:r>
          </w:p>
          <w:p w:rsidR="00D21521" w:rsidRPr="00303937" w:rsidRDefault="00D21521" w:rsidP="00002931">
            <w:pPr>
              <w:spacing w:before="60" w:after="60"/>
              <w:jc w:val="center"/>
              <w:rPr>
                <w:b/>
                <w:sz w:val="20"/>
                <w:lang w:val="en-US"/>
              </w:rPr>
            </w:pPr>
            <w:r w:rsidRPr="00303937">
              <w:rPr>
                <w:b/>
                <w:sz w:val="20"/>
                <w:lang w:val="en-US"/>
              </w:rPr>
              <w:t>N=2,022</w:t>
            </w:r>
          </w:p>
        </w:tc>
        <w:tc>
          <w:tcPr>
            <w:tcW w:w="1430" w:type="dxa"/>
            <w:vAlign w:val="center"/>
          </w:tcPr>
          <w:p w:rsidR="00D21521" w:rsidRPr="00303937" w:rsidRDefault="00D21521" w:rsidP="00002931">
            <w:pPr>
              <w:spacing w:before="60" w:after="60"/>
              <w:jc w:val="center"/>
              <w:rPr>
                <w:b/>
                <w:sz w:val="20"/>
                <w:lang w:val="en-US"/>
              </w:rPr>
            </w:pPr>
            <w:r w:rsidRPr="00303937">
              <w:rPr>
                <w:b/>
                <w:sz w:val="20"/>
                <w:lang w:val="en-US"/>
              </w:rPr>
              <w:t>Placebo</w:t>
            </w:r>
          </w:p>
          <w:p w:rsidR="00D21521" w:rsidRPr="00303937" w:rsidRDefault="00D21521" w:rsidP="00002931">
            <w:pPr>
              <w:spacing w:before="60" w:after="60"/>
              <w:jc w:val="center"/>
              <w:rPr>
                <w:b/>
                <w:sz w:val="20"/>
                <w:lang w:val="en-US"/>
              </w:rPr>
            </w:pPr>
            <w:r w:rsidRPr="00303937">
              <w:rPr>
                <w:b/>
                <w:sz w:val="20"/>
                <w:lang w:val="en-US"/>
              </w:rPr>
              <w:t>N=2,014</w:t>
            </w:r>
          </w:p>
        </w:tc>
      </w:tr>
      <w:tr w:rsidR="00D21521" w:rsidRPr="00E0041D" w:rsidTr="00002931">
        <w:trPr>
          <w:trHeight w:val="353"/>
          <w:jc w:val="center"/>
        </w:trPr>
        <w:tc>
          <w:tcPr>
            <w:tcW w:w="8516" w:type="dxa"/>
            <w:gridSpan w:val="5"/>
          </w:tcPr>
          <w:p w:rsidR="00D21521" w:rsidRPr="00303937" w:rsidRDefault="00D21521" w:rsidP="00002931">
            <w:pPr>
              <w:spacing w:before="60" w:after="60"/>
              <w:rPr>
                <w:b/>
                <w:sz w:val="20"/>
                <w:lang w:val="en-US"/>
              </w:rPr>
            </w:pPr>
            <w:r w:rsidRPr="00303937">
              <w:rPr>
                <w:b/>
                <w:sz w:val="20"/>
                <w:lang w:val="en-US"/>
              </w:rPr>
              <w:t>During treatment</w:t>
            </w:r>
          </w:p>
        </w:tc>
      </w:tr>
      <w:tr w:rsidR="00D21521" w:rsidRPr="00E0041D" w:rsidTr="00002931">
        <w:trPr>
          <w:trHeight w:val="238"/>
          <w:jc w:val="center"/>
        </w:trPr>
        <w:tc>
          <w:tcPr>
            <w:tcW w:w="1868" w:type="dxa"/>
          </w:tcPr>
          <w:p w:rsidR="00D21521" w:rsidRPr="00E0041D" w:rsidRDefault="00D21521" w:rsidP="00002931">
            <w:pPr>
              <w:spacing w:before="60" w:after="60"/>
              <w:rPr>
                <w:sz w:val="20"/>
                <w:lang w:val="en-US"/>
              </w:rPr>
            </w:pPr>
            <w:r w:rsidRPr="00E0041D">
              <w:rPr>
                <w:sz w:val="20"/>
                <w:lang w:val="en-US"/>
              </w:rPr>
              <w:t>MACE, n (%)</w:t>
            </w:r>
          </w:p>
        </w:tc>
        <w:tc>
          <w:tcPr>
            <w:tcW w:w="1768" w:type="dxa"/>
            <w:vAlign w:val="center"/>
          </w:tcPr>
          <w:p w:rsidR="00D21521" w:rsidRPr="00E0041D" w:rsidRDefault="00D21521" w:rsidP="00002931">
            <w:pPr>
              <w:spacing w:before="60" w:after="60"/>
              <w:jc w:val="center"/>
              <w:rPr>
                <w:sz w:val="20"/>
                <w:lang w:val="en-US"/>
              </w:rPr>
            </w:pPr>
            <w:r w:rsidRPr="00E0041D">
              <w:rPr>
                <w:sz w:val="20"/>
                <w:lang w:val="en-US"/>
              </w:rPr>
              <w:t>1 (0.05)</w:t>
            </w:r>
          </w:p>
        </w:tc>
        <w:tc>
          <w:tcPr>
            <w:tcW w:w="1768" w:type="dxa"/>
            <w:vAlign w:val="center"/>
          </w:tcPr>
          <w:p w:rsidR="00D21521" w:rsidRPr="00E0041D" w:rsidRDefault="00D21521" w:rsidP="00002931">
            <w:pPr>
              <w:spacing w:before="60" w:after="60"/>
              <w:jc w:val="center"/>
              <w:rPr>
                <w:sz w:val="20"/>
                <w:lang w:val="en-US"/>
              </w:rPr>
            </w:pPr>
            <w:r w:rsidRPr="00E0041D">
              <w:rPr>
                <w:sz w:val="20"/>
                <w:lang w:val="en-US"/>
              </w:rPr>
              <w:t>2 (0.10)</w:t>
            </w:r>
          </w:p>
        </w:tc>
        <w:tc>
          <w:tcPr>
            <w:tcW w:w="1682" w:type="dxa"/>
            <w:vAlign w:val="center"/>
          </w:tcPr>
          <w:p w:rsidR="00D21521" w:rsidRPr="00E0041D" w:rsidRDefault="00D21521" w:rsidP="00002931">
            <w:pPr>
              <w:spacing w:before="60" w:after="60"/>
              <w:jc w:val="center"/>
              <w:rPr>
                <w:sz w:val="20"/>
                <w:lang w:val="en-US"/>
              </w:rPr>
            </w:pPr>
            <w:r w:rsidRPr="00E0041D">
              <w:rPr>
                <w:sz w:val="20"/>
                <w:lang w:val="en-US"/>
              </w:rPr>
              <w:t>1 (0.05)</w:t>
            </w:r>
          </w:p>
        </w:tc>
        <w:tc>
          <w:tcPr>
            <w:tcW w:w="1430" w:type="dxa"/>
            <w:vAlign w:val="center"/>
          </w:tcPr>
          <w:p w:rsidR="00D21521" w:rsidRPr="00E0041D" w:rsidRDefault="00D21521" w:rsidP="00002931">
            <w:pPr>
              <w:spacing w:before="60" w:after="60"/>
              <w:jc w:val="center"/>
              <w:rPr>
                <w:sz w:val="20"/>
                <w:lang w:val="en-US"/>
              </w:rPr>
            </w:pPr>
            <w:r w:rsidRPr="00E0041D">
              <w:rPr>
                <w:sz w:val="20"/>
                <w:lang w:val="en-US"/>
              </w:rPr>
              <w:t>4 (0.20)</w:t>
            </w:r>
          </w:p>
        </w:tc>
      </w:tr>
      <w:tr w:rsidR="00D21521" w:rsidRPr="00E0041D" w:rsidTr="00002931">
        <w:trPr>
          <w:trHeight w:val="712"/>
          <w:jc w:val="center"/>
        </w:trPr>
        <w:tc>
          <w:tcPr>
            <w:tcW w:w="1868" w:type="dxa"/>
          </w:tcPr>
          <w:p w:rsidR="00D21521" w:rsidRPr="00303937" w:rsidRDefault="00D21521" w:rsidP="00002931">
            <w:pPr>
              <w:spacing w:before="60" w:after="60"/>
              <w:rPr>
                <w:i/>
                <w:sz w:val="20"/>
                <w:lang w:val="en-US"/>
              </w:rPr>
            </w:pPr>
            <w:r w:rsidRPr="00303937">
              <w:rPr>
                <w:i/>
                <w:sz w:val="20"/>
                <w:lang w:val="en-US"/>
              </w:rPr>
              <w:t>Hazard Ratio (95 % CI) vs placebo</w:t>
            </w:r>
          </w:p>
        </w:tc>
        <w:tc>
          <w:tcPr>
            <w:tcW w:w="1768" w:type="dxa"/>
            <w:vAlign w:val="center"/>
          </w:tcPr>
          <w:p w:rsidR="00D21521" w:rsidRPr="00E0041D" w:rsidRDefault="00D21521" w:rsidP="00002931">
            <w:pPr>
              <w:spacing w:before="60" w:after="60"/>
              <w:jc w:val="center"/>
              <w:rPr>
                <w:sz w:val="20"/>
                <w:lang w:val="en-US"/>
              </w:rPr>
            </w:pPr>
            <w:r w:rsidRPr="00E0041D">
              <w:rPr>
                <w:sz w:val="20"/>
                <w:lang w:val="en-US"/>
              </w:rPr>
              <w:t>0.29 (0.05, 1.68)</w:t>
            </w:r>
          </w:p>
        </w:tc>
        <w:tc>
          <w:tcPr>
            <w:tcW w:w="1768" w:type="dxa"/>
            <w:vAlign w:val="center"/>
          </w:tcPr>
          <w:p w:rsidR="00D21521" w:rsidRPr="00E0041D" w:rsidRDefault="00D21521" w:rsidP="00002931">
            <w:pPr>
              <w:spacing w:before="60" w:after="60"/>
              <w:jc w:val="center"/>
              <w:rPr>
                <w:sz w:val="20"/>
                <w:lang w:val="en-US"/>
              </w:rPr>
            </w:pPr>
            <w:r w:rsidRPr="00E0041D">
              <w:rPr>
                <w:sz w:val="20"/>
                <w:lang w:val="en-US"/>
              </w:rPr>
              <w:t>0.50 (0.10, 2.50)</w:t>
            </w:r>
          </w:p>
        </w:tc>
        <w:tc>
          <w:tcPr>
            <w:tcW w:w="1682" w:type="dxa"/>
            <w:vAlign w:val="center"/>
          </w:tcPr>
          <w:p w:rsidR="00D21521" w:rsidRPr="00E0041D" w:rsidRDefault="00D21521" w:rsidP="00002931">
            <w:pPr>
              <w:spacing w:before="60" w:after="60"/>
              <w:jc w:val="center"/>
              <w:rPr>
                <w:sz w:val="20"/>
                <w:lang w:val="en-US"/>
              </w:rPr>
            </w:pPr>
            <w:r w:rsidRPr="00E0041D">
              <w:rPr>
                <w:sz w:val="20"/>
                <w:lang w:val="en-US"/>
              </w:rPr>
              <w:t>0.29 (0.05, 1.70)</w:t>
            </w:r>
          </w:p>
        </w:tc>
        <w:tc>
          <w:tcPr>
            <w:tcW w:w="1430" w:type="dxa"/>
            <w:vAlign w:val="center"/>
          </w:tcPr>
          <w:p w:rsidR="00D21521" w:rsidRPr="00E0041D" w:rsidRDefault="00D21521" w:rsidP="00002931">
            <w:pPr>
              <w:spacing w:before="60" w:after="60"/>
              <w:jc w:val="center"/>
              <w:rPr>
                <w:sz w:val="20"/>
                <w:lang w:val="en-US"/>
              </w:rPr>
            </w:pPr>
          </w:p>
        </w:tc>
      </w:tr>
      <w:tr w:rsidR="00D21521" w:rsidRPr="00E0041D" w:rsidTr="00002931">
        <w:trPr>
          <w:trHeight w:val="237"/>
          <w:jc w:val="center"/>
        </w:trPr>
        <w:tc>
          <w:tcPr>
            <w:tcW w:w="8516" w:type="dxa"/>
            <w:gridSpan w:val="5"/>
          </w:tcPr>
          <w:p w:rsidR="00D21521" w:rsidRPr="00303937" w:rsidRDefault="00D21521" w:rsidP="00002931">
            <w:pPr>
              <w:spacing w:before="60" w:after="60"/>
              <w:rPr>
                <w:b/>
                <w:sz w:val="20"/>
                <w:lang w:val="en-US"/>
              </w:rPr>
            </w:pPr>
            <w:r w:rsidRPr="00303937">
              <w:rPr>
                <w:b/>
                <w:sz w:val="20"/>
                <w:lang w:val="en-US"/>
              </w:rPr>
              <w:t>During treatment plus 30 days</w:t>
            </w:r>
          </w:p>
        </w:tc>
      </w:tr>
      <w:tr w:rsidR="00D21521" w:rsidRPr="00E0041D" w:rsidTr="00002931">
        <w:trPr>
          <w:trHeight w:val="237"/>
          <w:jc w:val="center"/>
        </w:trPr>
        <w:tc>
          <w:tcPr>
            <w:tcW w:w="1868" w:type="dxa"/>
          </w:tcPr>
          <w:p w:rsidR="00D21521" w:rsidRPr="00E0041D" w:rsidRDefault="00D21521" w:rsidP="00002931">
            <w:pPr>
              <w:spacing w:before="60" w:after="60"/>
              <w:rPr>
                <w:sz w:val="20"/>
                <w:lang w:val="en-US"/>
              </w:rPr>
            </w:pPr>
            <w:r w:rsidRPr="00E0041D">
              <w:rPr>
                <w:sz w:val="20"/>
                <w:lang w:val="en-US"/>
              </w:rPr>
              <w:t>MACE, n (%)</w:t>
            </w:r>
          </w:p>
        </w:tc>
        <w:tc>
          <w:tcPr>
            <w:tcW w:w="1768" w:type="dxa"/>
            <w:vAlign w:val="center"/>
          </w:tcPr>
          <w:p w:rsidR="00D21521" w:rsidRPr="00E0041D" w:rsidRDefault="00D21521" w:rsidP="00002931">
            <w:pPr>
              <w:spacing w:before="60" w:after="60"/>
              <w:jc w:val="center"/>
              <w:rPr>
                <w:sz w:val="20"/>
                <w:lang w:val="en-US"/>
              </w:rPr>
            </w:pPr>
            <w:r w:rsidRPr="00E0041D">
              <w:rPr>
                <w:sz w:val="20"/>
                <w:lang w:val="en-US"/>
              </w:rPr>
              <w:t>1 (0.05)</w:t>
            </w:r>
          </w:p>
        </w:tc>
        <w:tc>
          <w:tcPr>
            <w:tcW w:w="1768" w:type="dxa"/>
            <w:vAlign w:val="center"/>
          </w:tcPr>
          <w:p w:rsidR="00D21521" w:rsidRPr="00E0041D" w:rsidRDefault="00D21521" w:rsidP="00002931">
            <w:pPr>
              <w:spacing w:before="60" w:after="60"/>
              <w:jc w:val="center"/>
              <w:rPr>
                <w:sz w:val="20"/>
                <w:lang w:val="en-US"/>
              </w:rPr>
            </w:pPr>
            <w:r w:rsidRPr="00E0041D">
              <w:rPr>
                <w:sz w:val="20"/>
                <w:lang w:val="en-US"/>
              </w:rPr>
              <w:t>2 (0.10)</w:t>
            </w:r>
          </w:p>
        </w:tc>
        <w:tc>
          <w:tcPr>
            <w:tcW w:w="1682" w:type="dxa"/>
            <w:vAlign w:val="center"/>
          </w:tcPr>
          <w:p w:rsidR="00D21521" w:rsidRPr="00E0041D" w:rsidRDefault="00D21521" w:rsidP="00002931">
            <w:pPr>
              <w:spacing w:before="60" w:after="60"/>
              <w:jc w:val="center"/>
              <w:rPr>
                <w:sz w:val="20"/>
                <w:lang w:val="en-US"/>
              </w:rPr>
            </w:pPr>
            <w:r w:rsidRPr="00E0041D">
              <w:rPr>
                <w:sz w:val="20"/>
                <w:lang w:val="en-US"/>
              </w:rPr>
              <w:t>2 (0.10)</w:t>
            </w:r>
          </w:p>
        </w:tc>
        <w:tc>
          <w:tcPr>
            <w:tcW w:w="1430" w:type="dxa"/>
            <w:vAlign w:val="center"/>
          </w:tcPr>
          <w:p w:rsidR="00D21521" w:rsidRPr="00E0041D" w:rsidRDefault="00D21521" w:rsidP="00002931">
            <w:pPr>
              <w:spacing w:before="60" w:after="60"/>
              <w:jc w:val="center"/>
              <w:rPr>
                <w:sz w:val="20"/>
                <w:lang w:val="en-US"/>
              </w:rPr>
            </w:pPr>
            <w:r w:rsidRPr="00E0041D">
              <w:rPr>
                <w:sz w:val="20"/>
                <w:lang w:val="en-US"/>
              </w:rPr>
              <w:t>4 (0.20)</w:t>
            </w:r>
          </w:p>
        </w:tc>
      </w:tr>
      <w:tr w:rsidR="00D21521" w:rsidRPr="00E0041D" w:rsidTr="00002931">
        <w:trPr>
          <w:trHeight w:val="713"/>
          <w:jc w:val="center"/>
        </w:trPr>
        <w:tc>
          <w:tcPr>
            <w:tcW w:w="1868" w:type="dxa"/>
          </w:tcPr>
          <w:p w:rsidR="00D21521" w:rsidRPr="00303937" w:rsidRDefault="00D21521" w:rsidP="00002931">
            <w:pPr>
              <w:spacing w:before="60" w:after="60"/>
              <w:rPr>
                <w:i/>
                <w:sz w:val="20"/>
                <w:lang w:val="en-US"/>
              </w:rPr>
            </w:pPr>
            <w:r w:rsidRPr="00303937">
              <w:rPr>
                <w:i/>
                <w:sz w:val="20"/>
                <w:lang w:val="en-US"/>
              </w:rPr>
              <w:t>Hazard Ratio (95 % CI) vs placebo</w:t>
            </w:r>
          </w:p>
        </w:tc>
        <w:tc>
          <w:tcPr>
            <w:tcW w:w="1768" w:type="dxa"/>
            <w:vAlign w:val="center"/>
          </w:tcPr>
          <w:p w:rsidR="00D21521" w:rsidRPr="00E0041D" w:rsidRDefault="00D21521" w:rsidP="00002931">
            <w:pPr>
              <w:spacing w:before="60" w:after="60"/>
              <w:jc w:val="center"/>
              <w:rPr>
                <w:sz w:val="20"/>
                <w:lang w:val="en-US"/>
              </w:rPr>
            </w:pPr>
            <w:r w:rsidRPr="00E0041D">
              <w:rPr>
                <w:sz w:val="20"/>
                <w:lang w:val="en-US"/>
              </w:rPr>
              <w:t>0.29 (0.05, 1.70)</w:t>
            </w:r>
          </w:p>
        </w:tc>
        <w:tc>
          <w:tcPr>
            <w:tcW w:w="1768" w:type="dxa"/>
            <w:vAlign w:val="center"/>
          </w:tcPr>
          <w:p w:rsidR="00D21521" w:rsidRPr="00E0041D" w:rsidRDefault="00D21521" w:rsidP="00002931">
            <w:pPr>
              <w:spacing w:before="60" w:after="60"/>
              <w:jc w:val="center"/>
              <w:rPr>
                <w:sz w:val="20"/>
                <w:lang w:val="en-US"/>
              </w:rPr>
            </w:pPr>
            <w:r w:rsidRPr="00E0041D">
              <w:rPr>
                <w:sz w:val="20"/>
                <w:lang w:val="en-US"/>
              </w:rPr>
              <w:t>0.51 (0.10, 2.51)</w:t>
            </w:r>
          </w:p>
        </w:tc>
        <w:tc>
          <w:tcPr>
            <w:tcW w:w="1682" w:type="dxa"/>
            <w:vAlign w:val="center"/>
          </w:tcPr>
          <w:p w:rsidR="00D21521" w:rsidRPr="00E0041D" w:rsidRDefault="00D21521" w:rsidP="00002931">
            <w:pPr>
              <w:spacing w:before="60" w:after="60"/>
              <w:jc w:val="center"/>
              <w:rPr>
                <w:sz w:val="20"/>
                <w:lang w:val="en-US"/>
              </w:rPr>
            </w:pPr>
            <w:r w:rsidRPr="00E0041D">
              <w:rPr>
                <w:sz w:val="20"/>
                <w:lang w:val="en-US"/>
              </w:rPr>
              <w:t>0.50 (0.10, 2.48)</w:t>
            </w:r>
          </w:p>
        </w:tc>
        <w:tc>
          <w:tcPr>
            <w:tcW w:w="1430" w:type="dxa"/>
            <w:vAlign w:val="center"/>
          </w:tcPr>
          <w:p w:rsidR="00D21521" w:rsidRPr="00E0041D" w:rsidRDefault="00D21521" w:rsidP="00002931">
            <w:pPr>
              <w:spacing w:before="60" w:after="60"/>
              <w:jc w:val="center"/>
              <w:rPr>
                <w:sz w:val="20"/>
                <w:lang w:val="en-US"/>
              </w:rPr>
            </w:pPr>
          </w:p>
        </w:tc>
      </w:tr>
      <w:tr w:rsidR="00D21521" w:rsidRPr="00E0041D" w:rsidTr="00002931">
        <w:trPr>
          <w:trHeight w:val="236"/>
          <w:jc w:val="center"/>
        </w:trPr>
        <w:tc>
          <w:tcPr>
            <w:tcW w:w="8516" w:type="dxa"/>
            <w:gridSpan w:val="5"/>
          </w:tcPr>
          <w:p w:rsidR="00D21521" w:rsidRPr="00303937" w:rsidRDefault="00D21521" w:rsidP="00002931">
            <w:pPr>
              <w:spacing w:before="60" w:after="60"/>
              <w:rPr>
                <w:b/>
                <w:sz w:val="20"/>
                <w:lang w:val="en-US"/>
              </w:rPr>
            </w:pPr>
            <w:r w:rsidRPr="00303937">
              <w:rPr>
                <w:b/>
                <w:sz w:val="20"/>
                <w:lang w:val="en-US"/>
              </w:rPr>
              <w:t>Through end of study</w:t>
            </w:r>
          </w:p>
        </w:tc>
      </w:tr>
      <w:tr w:rsidR="00D21521" w:rsidRPr="00E0041D" w:rsidTr="00002931">
        <w:trPr>
          <w:trHeight w:val="237"/>
          <w:jc w:val="center"/>
        </w:trPr>
        <w:tc>
          <w:tcPr>
            <w:tcW w:w="1868" w:type="dxa"/>
          </w:tcPr>
          <w:p w:rsidR="00D21521" w:rsidRPr="00E0041D" w:rsidRDefault="00D21521" w:rsidP="00002931">
            <w:pPr>
              <w:spacing w:before="60" w:after="60"/>
              <w:rPr>
                <w:sz w:val="20"/>
                <w:lang w:val="en-US"/>
              </w:rPr>
            </w:pPr>
            <w:r w:rsidRPr="00E0041D">
              <w:rPr>
                <w:sz w:val="20"/>
                <w:lang w:val="en-US"/>
              </w:rPr>
              <w:t>MACE, n (%)</w:t>
            </w:r>
          </w:p>
        </w:tc>
        <w:tc>
          <w:tcPr>
            <w:tcW w:w="1768" w:type="dxa"/>
            <w:vAlign w:val="center"/>
          </w:tcPr>
          <w:p w:rsidR="00D21521" w:rsidRPr="00E0041D" w:rsidRDefault="00D21521" w:rsidP="00002931">
            <w:pPr>
              <w:spacing w:before="60" w:after="60"/>
              <w:jc w:val="center"/>
              <w:rPr>
                <w:sz w:val="20"/>
                <w:lang w:val="en-US"/>
              </w:rPr>
            </w:pPr>
            <w:r w:rsidRPr="00E0041D">
              <w:rPr>
                <w:sz w:val="20"/>
                <w:lang w:val="en-US"/>
              </w:rPr>
              <w:t>3 (0.15)</w:t>
            </w:r>
          </w:p>
        </w:tc>
        <w:tc>
          <w:tcPr>
            <w:tcW w:w="1768" w:type="dxa"/>
            <w:vAlign w:val="center"/>
          </w:tcPr>
          <w:p w:rsidR="00D21521" w:rsidRPr="00E0041D" w:rsidRDefault="00D21521" w:rsidP="00002931">
            <w:pPr>
              <w:spacing w:before="60" w:after="60"/>
              <w:jc w:val="center"/>
              <w:rPr>
                <w:sz w:val="20"/>
                <w:lang w:val="en-US"/>
              </w:rPr>
            </w:pPr>
            <w:r w:rsidRPr="00E0041D">
              <w:rPr>
                <w:sz w:val="20"/>
                <w:lang w:val="en-US"/>
              </w:rPr>
              <w:t>9 (0.45)</w:t>
            </w:r>
          </w:p>
        </w:tc>
        <w:tc>
          <w:tcPr>
            <w:tcW w:w="1682" w:type="dxa"/>
            <w:vAlign w:val="center"/>
          </w:tcPr>
          <w:p w:rsidR="00D21521" w:rsidRPr="00E0041D" w:rsidRDefault="00D21521" w:rsidP="00002931">
            <w:pPr>
              <w:spacing w:before="60" w:after="60"/>
              <w:jc w:val="center"/>
              <w:rPr>
                <w:sz w:val="20"/>
                <w:lang w:val="en-US"/>
              </w:rPr>
            </w:pPr>
            <w:r w:rsidRPr="00E0041D">
              <w:rPr>
                <w:sz w:val="20"/>
                <w:lang w:val="en-US"/>
              </w:rPr>
              <w:t>6 (0.30)</w:t>
            </w:r>
          </w:p>
        </w:tc>
        <w:tc>
          <w:tcPr>
            <w:tcW w:w="1430" w:type="dxa"/>
            <w:vAlign w:val="center"/>
          </w:tcPr>
          <w:p w:rsidR="00D21521" w:rsidRPr="00E0041D" w:rsidRDefault="00D21521" w:rsidP="00002931">
            <w:pPr>
              <w:spacing w:before="60" w:after="60"/>
              <w:jc w:val="center"/>
              <w:rPr>
                <w:sz w:val="20"/>
                <w:lang w:val="en-US"/>
              </w:rPr>
            </w:pPr>
            <w:r w:rsidRPr="00E0041D">
              <w:rPr>
                <w:sz w:val="20"/>
                <w:lang w:val="en-US"/>
              </w:rPr>
              <w:t>8 (0.40)</w:t>
            </w:r>
          </w:p>
        </w:tc>
      </w:tr>
      <w:tr w:rsidR="00D21521" w:rsidRPr="00E0041D" w:rsidTr="00002931">
        <w:trPr>
          <w:trHeight w:val="712"/>
          <w:jc w:val="center"/>
        </w:trPr>
        <w:tc>
          <w:tcPr>
            <w:tcW w:w="1868" w:type="dxa"/>
          </w:tcPr>
          <w:p w:rsidR="00D21521" w:rsidRPr="00303937" w:rsidRDefault="00D21521" w:rsidP="00002931">
            <w:pPr>
              <w:spacing w:before="60" w:after="60"/>
              <w:rPr>
                <w:i/>
                <w:sz w:val="20"/>
                <w:lang w:val="en-US"/>
              </w:rPr>
            </w:pPr>
            <w:r w:rsidRPr="00303937">
              <w:rPr>
                <w:i/>
                <w:sz w:val="20"/>
                <w:lang w:val="en-US"/>
              </w:rPr>
              <w:t>Hazard Ratio (95 % CI) vs placebo</w:t>
            </w:r>
          </w:p>
        </w:tc>
        <w:tc>
          <w:tcPr>
            <w:tcW w:w="1768" w:type="dxa"/>
            <w:vAlign w:val="center"/>
          </w:tcPr>
          <w:p w:rsidR="00D21521" w:rsidRPr="00E0041D" w:rsidRDefault="00D21521" w:rsidP="00002931">
            <w:pPr>
              <w:spacing w:before="60" w:after="60"/>
              <w:jc w:val="center"/>
              <w:rPr>
                <w:sz w:val="20"/>
                <w:lang w:val="en-US"/>
              </w:rPr>
            </w:pPr>
            <w:r w:rsidRPr="00E0041D">
              <w:rPr>
                <w:sz w:val="20"/>
                <w:lang w:val="en-US"/>
              </w:rPr>
              <w:t>0.39 (0.12, 1.27)</w:t>
            </w:r>
          </w:p>
        </w:tc>
        <w:tc>
          <w:tcPr>
            <w:tcW w:w="1768" w:type="dxa"/>
            <w:vAlign w:val="center"/>
          </w:tcPr>
          <w:p w:rsidR="00D21521" w:rsidRPr="00E0041D" w:rsidRDefault="00D21521" w:rsidP="00002931">
            <w:pPr>
              <w:spacing w:before="60" w:after="60"/>
              <w:jc w:val="center"/>
              <w:rPr>
                <w:sz w:val="20"/>
                <w:lang w:val="en-US"/>
              </w:rPr>
            </w:pPr>
            <w:r w:rsidRPr="00E0041D">
              <w:rPr>
                <w:sz w:val="20"/>
                <w:lang w:val="en-US"/>
              </w:rPr>
              <w:t>1.09 (0.42, 2.83)</w:t>
            </w:r>
          </w:p>
        </w:tc>
        <w:tc>
          <w:tcPr>
            <w:tcW w:w="1682" w:type="dxa"/>
            <w:vAlign w:val="center"/>
          </w:tcPr>
          <w:p w:rsidR="00D21521" w:rsidRPr="00E0041D" w:rsidRDefault="00D21521" w:rsidP="00002931">
            <w:pPr>
              <w:spacing w:before="60" w:after="60"/>
              <w:jc w:val="center"/>
              <w:rPr>
                <w:sz w:val="20"/>
                <w:lang w:val="en-US"/>
              </w:rPr>
            </w:pPr>
            <w:r w:rsidRPr="00E0041D">
              <w:rPr>
                <w:sz w:val="20"/>
                <w:lang w:val="en-US"/>
              </w:rPr>
              <w:t>0.75 (0.26, 2.13)</w:t>
            </w:r>
          </w:p>
        </w:tc>
        <w:tc>
          <w:tcPr>
            <w:tcW w:w="1430" w:type="dxa"/>
            <w:vAlign w:val="center"/>
          </w:tcPr>
          <w:p w:rsidR="00D21521" w:rsidRPr="00E0041D" w:rsidRDefault="00D21521" w:rsidP="00002931">
            <w:pPr>
              <w:spacing w:before="60" w:after="60"/>
              <w:jc w:val="center"/>
              <w:rPr>
                <w:sz w:val="20"/>
                <w:lang w:val="en-US"/>
              </w:rPr>
            </w:pPr>
          </w:p>
        </w:tc>
      </w:tr>
    </w:tbl>
    <w:p w:rsidR="00D21521" w:rsidRPr="00D21521" w:rsidRDefault="00D21521" w:rsidP="00D21521">
      <w:pPr>
        <w:ind w:left="851"/>
        <w:rPr>
          <w:sz w:val="24"/>
          <w:szCs w:val="24"/>
        </w:rPr>
      </w:pPr>
    </w:p>
    <w:p w:rsidR="00D21521" w:rsidRPr="00D21521" w:rsidRDefault="00D21521" w:rsidP="00D21521">
      <w:pPr>
        <w:ind w:left="851"/>
        <w:rPr>
          <w:sz w:val="24"/>
          <w:szCs w:val="24"/>
          <w:lang w:val="en-US"/>
        </w:rPr>
      </w:pPr>
      <w:r w:rsidRPr="00D21521">
        <w:rPr>
          <w:sz w:val="24"/>
          <w:szCs w:val="24"/>
          <w:lang w:val="en-US"/>
        </w:rPr>
        <w:lastRenderedPageBreak/>
        <w:t>The use of varenicline, bupropion, and NRT was not associated with an increased risk of CV AEs in smokers treated for up to 12 weeks and followed for up to 1 year compared to placebo, although because of the relatively low number of events overall, an association cannot be entirely ruled out.</w:t>
      </w:r>
    </w:p>
    <w:p w:rsidR="00D21521" w:rsidRPr="00D21521" w:rsidRDefault="00D21521" w:rsidP="00D21521">
      <w:pPr>
        <w:ind w:left="851"/>
        <w:rPr>
          <w:sz w:val="24"/>
          <w:szCs w:val="24"/>
          <w:lang w:val="en-US"/>
        </w:rPr>
      </w:pPr>
    </w:p>
    <w:p w:rsidR="00D21521" w:rsidRPr="00D21521" w:rsidRDefault="00D21521" w:rsidP="00D21521">
      <w:pPr>
        <w:ind w:left="851"/>
        <w:rPr>
          <w:i/>
          <w:sz w:val="24"/>
          <w:szCs w:val="24"/>
          <w:lang w:val="en-US"/>
        </w:rPr>
      </w:pPr>
      <w:r w:rsidRPr="00D21521">
        <w:rPr>
          <w:i/>
          <w:sz w:val="24"/>
          <w:szCs w:val="24"/>
          <w:lang w:val="en-US"/>
        </w:rPr>
        <w:t>Subjects with mild-moderate chronic obstructive pulmonary disease (COPD)</w:t>
      </w:r>
    </w:p>
    <w:p w:rsidR="00D21521" w:rsidRPr="00D21521" w:rsidRDefault="00D21521" w:rsidP="00D21521">
      <w:pPr>
        <w:ind w:left="851"/>
        <w:rPr>
          <w:sz w:val="24"/>
          <w:szCs w:val="24"/>
          <w:lang w:val="en-US"/>
        </w:rPr>
      </w:pPr>
      <w:r w:rsidRPr="00D21521">
        <w:rPr>
          <w:sz w:val="24"/>
          <w:szCs w:val="24"/>
          <w:lang w:val="en-US"/>
        </w:rPr>
        <w:t>The efficacy and safety of varenicline (1 mg twice daily) for smoking cessation in subjects with mild-moderate COPD was demonstrated in a randomised double-blind placebo-controlled clinical trial. In this 52-week duration study, patients received treatment for 12 weeks, followed by a 40-week non-treatment follow-up phase. The primary endpoint of the study was the CO-confirmed, 4-week Continuous Quit Rate (4W CQR) from week 9 through week 12 and a key secondary endpoint was the Continuous Abstinence (CA) from week 9 through week 52. The safety profile of varenicline was comparable to what was reported in other trials in the general population, including pulmonary safety. The results for the 4W CQR (weeks 9 through 12) and CA rate (weeks 9 through 52) are shown in the following table:</w:t>
      </w:r>
    </w:p>
    <w:p w:rsidR="00D21521" w:rsidRPr="00D21521" w:rsidRDefault="00D21521" w:rsidP="00D21521">
      <w:pPr>
        <w:rPr>
          <w:lang w:val="en-US"/>
        </w:rPr>
      </w:pP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22"/>
        <w:gridCol w:w="3025"/>
        <w:gridCol w:w="3025"/>
      </w:tblGrid>
      <w:tr w:rsidR="00D21521" w:rsidRPr="00E0041D" w:rsidTr="00002931">
        <w:trPr>
          <w:trHeight w:val="403"/>
          <w:jc w:val="center"/>
        </w:trPr>
        <w:tc>
          <w:tcPr>
            <w:tcW w:w="2344" w:type="dxa"/>
          </w:tcPr>
          <w:p w:rsidR="00D21521" w:rsidRPr="00E0041D" w:rsidRDefault="00D21521" w:rsidP="00002931">
            <w:pPr>
              <w:spacing w:before="60" w:after="60"/>
              <w:rPr>
                <w:sz w:val="20"/>
                <w:lang w:val="en-US"/>
              </w:rPr>
            </w:pPr>
          </w:p>
        </w:tc>
        <w:tc>
          <w:tcPr>
            <w:tcW w:w="2346" w:type="dxa"/>
          </w:tcPr>
          <w:p w:rsidR="00D21521" w:rsidRPr="00303937" w:rsidRDefault="00D21521" w:rsidP="00002931">
            <w:pPr>
              <w:spacing w:before="60" w:after="60"/>
              <w:jc w:val="center"/>
              <w:rPr>
                <w:b/>
                <w:sz w:val="20"/>
                <w:lang w:val="en-US"/>
              </w:rPr>
            </w:pPr>
            <w:r w:rsidRPr="00303937">
              <w:rPr>
                <w:b/>
                <w:sz w:val="20"/>
                <w:lang w:val="en-US"/>
              </w:rPr>
              <w:t>4W CQR</w:t>
            </w:r>
          </w:p>
        </w:tc>
        <w:tc>
          <w:tcPr>
            <w:tcW w:w="2346" w:type="dxa"/>
          </w:tcPr>
          <w:p w:rsidR="00D21521" w:rsidRPr="00303937" w:rsidRDefault="00D21521" w:rsidP="00002931">
            <w:pPr>
              <w:spacing w:before="60" w:after="60"/>
              <w:jc w:val="center"/>
              <w:rPr>
                <w:b/>
                <w:sz w:val="20"/>
                <w:lang w:val="en-US"/>
              </w:rPr>
            </w:pPr>
            <w:r w:rsidRPr="00303937">
              <w:rPr>
                <w:b/>
                <w:sz w:val="20"/>
                <w:lang w:val="en-US"/>
              </w:rPr>
              <w:t>CA Wk 9-52</w:t>
            </w:r>
          </w:p>
        </w:tc>
      </w:tr>
      <w:tr w:rsidR="00D21521" w:rsidRPr="00E0041D" w:rsidTr="00002931">
        <w:trPr>
          <w:trHeight w:val="291"/>
          <w:jc w:val="center"/>
        </w:trPr>
        <w:tc>
          <w:tcPr>
            <w:tcW w:w="2344" w:type="dxa"/>
          </w:tcPr>
          <w:p w:rsidR="00D21521" w:rsidRPr="00E0041D" w:rsidRDefault="00D21521" w:rsidP="00002931">
            <w:pPr>
              <w:spacing w:before="60" w:after="60"/>
              <w:rPr>
                <w:sz w:val="20"/>
                <w:lang w:val="en-US"/>
              </w:rPr>
            </w:pPr>
            <w:r w:rsidRPr="00E0041D">
              <w:rPr>
                <w:sz w:val="20"/>
              </w:rPr>
              <w:t>Varenicline</w:t>
            </w:r>
            <w:r w:rsidRPr="00E0041D">
              <w:rPr>
                <w:sz w:val="20"/>
                <w:lang w:val="en-US"/>
              </w:rPr>
              <w:t>, (n=248)</w:t>
            </w:r>
          </w:p>
        </w:tc>
        <w:tc>
          <w:tcPr>
            <w:tcW w:w="2346" w:type="dxa"/>
          </w:tcPr>
          <w:p w:rsidR="00D21521" w:rsidRPr="00E0041D" w:rsidRDefault="00D21521" w:rsidP="00002931">
            <w:pPr>
              <w:spacing w:before="60" w:after="60"/>
              <w:jc w:val="center"/>
              <w:rPr>
                <w:sz w:val="20"/>
                <w:lang w:val="en-US"/>
              </w:rPr>
            </w:pPr>
            <w:r w:rsidRPr="00E0041D">
              <w:rPr>
                <w:sz w:val="20"/>
                <w:lang w:val="en-US"/>
              </w:rPr>
              <w:t>42.3 %</w:t>
            </w:r>
          </w:p>
        </w:tc>
        <w:tc>
          <w:tcPr>
            <w:tcW w:w="2346" w:type="dxa"/>
          </w:tcPr>
          <w:p w:rsidR="00D21521" w:rsidRPr="00E0041D" w:rsidRDefault="00D21521" w:rsidP="00002931">
            <w:pPr>
              <w:spacing w:before="60" w:after="60"/>
              <w:jc w:val="center"/>
              <w:rPr>
                <w:sz w:val="20"/>
                <w:lang w:val="en-US"/>
              </w:rPr>
            </w:pPr>
            <w:r w:rsidRPr="00E0041D">
              <w:rPr>
                <w:sz w:val="20"/>
                <w:lang w:val="en-US"/>
              </w:rPr>
              <w:t>18.5 %</w:t>
            </w:r>
          </w:p>
        </w:tc>
      </w:tr>
      <w:tr w:rsidR="00D21521" w:rsidRPr="00E0041D" w:rsidTr="00002931">
        <w:trPr>
          <w:trHeight w:val="311"/>
          <w:jc w:val="center"/>
        </w:trPr>
        <w:tc>
          <w:tcPr>
            <w:tcW w:w="2344" w:type="dxa"/>
            <w:tcBorders>
              <w:bottom w:val="single" w:sz="8" w:space="0" w:color="000000"/>
            </w:tcBorders>
          </w:tcPr>
          <w:p w:rsidR="00D21521" w:rsidRPr="00E0041D" w:rsidRDefault="00D21521" w:rsidP="00002931">
            <w:pPr>
              <w:spacing w:before="60" w:after="60"/>
              <w:rPr>
                <w:sz w:val="20"/>
                <w:lang w:val="en-US"/>
              </w:rPr>
            </w:pPr>
            <w:r w:rsidRPr="00E0041D">
              <w:rPr>
                <w:sz w:val="20"/>
                <w:lang w:val="en-US"/>
              </w:rPr>
              <w:t>Placebo, (n=251)</w:t>
            </w:r>
          </w:p>
        </w:tc>
        <w:tc>
          <w:tcPr>
            <w:tcW w:w="2346" w:type="dxa"/>
            <w:tcBorders>
              <w:bottom w:val="single" w:sz="8" w:space="0" w:color="000000"/>
            </w:tcBorders>
          </w:tcPr>
          <w:p w:rsidR="00D21521" w:rsidRPr="00E0041D" w:rsidRDefault="00D21521" w:rsidP="00002931">
            <w:pPr>
              <w:spacing w:before="60" w:after="60"/>
              <w:jc w:val="center"/>
              <w:rPr>
                <w:sz w:val="20"/>
                <w:lang w:val="en-US"/>
              </w:rPr>
            </w:pPr>
            <w:r w:rsidRPr="00E0041D">
              <w:rPr>
                <w:sz w:val="20"/>
                <w:lang w:val="en-US"/>
              </w:rPr>
              <w:t>8.8 %</w:t>
            </w:r>
          </w:p>
        </w:tc>
        <w:tc>
          <w:tcPr>
            <w:tcW w:w="2346" w:type="dxa"/>
            <w:tcBorders>
              <w:bottom w:val="single" w:sz="8" w:space="0" w:color="000000"/>
            </w:tcBorders>
          </w:tcPr>
          <w:p w:rsidR="00D21521" w:rsidRPr="00E0041D" w:rsidRDefault="00D21521" w:rsidP="00002931">
            <w:pPr>
              <w:spacing w:before="60" w:after="60"/>
              <w:jc w:val="center"/>
              <w:rPr>
                <w:sz w:val="20"/>
                <w:lang w:val="en-US"/>
              </w:rPr>
            </w:pPr>
            <w:r w:rsidRPr="00E0041D">
              <w:rPr>
                <w:sz w:val="20"/>
                <w:lang w:val="en-US"/>
              </w:rPr>
              <w:t>5.6 %</w:t>
            </w:r>
          </w:p>
        </w:tc>
      </w:tr>
      <w:tr w:rsidR="00D21521" w:rsidRPr="00E0041D" w:rsidTr="00002931">
        <w:trPr>
          <w:trHeight w:val="476"/>
          <w:jc w:val="center"/>
        </w:trPr>
        <w:tc>
          <w:tcPr>
            <w:tcW w:w="2344" w:type="dxa"/>
            <w:tcBorders>
              <w:bottom w:val="single" w:sz="4" w:space="0" w:color="auto"/>
            </w:tcBorders>
          </w:tcPr>
          <w:p w:rsidR="00D21521" w:rsidRPr="00E0041D" w:rsidRDefault="00D21521" w:rsidP="00002931">
            <w:pPr>
              <w:spacing w:before="60" w:after="60"/>
              <w:rPr>
                <w:sz w:val="20"/>
                <w:lang w:val="en-US"/>
              </w:rPr>
            </w:pPr>
            <w:r w:rsidRPr="00E0041D">
              <w:rPr>
                <w:sz w:val="20"/>
                <w:lang w:val="en-US"/>
              </w:rPr>
              <w:t>Odds ratio</w:t>
            </w:r>
          </w:p>
          <w:p w:rsidR="00D21521" w:rsidRPr="00E0041D" w:rsidRDefault="00D21521" w:rsidP="00002931">
            <w:pPr>
              <w:spacing w:before="60" w:after="60"/>
              <w:rPr>
                <w:sz w:val="20"/>
                <w:lang w:val="en-US"/>
              </w:rPr>
            </w:pPr>
            <w:r w:rsidRPr="00E0041D">
              <w:rPr>
                <w:sz w:val="20"/>
                <w:lang w:val="en-US"/>
              </w:rPr>
              <w:t>(</w:t>
            </w:r>
            <w:r w:rsidRPr="00E0041D">
              <w:rPr>
                <w:sz w:val="20"/>
              </w:rPr>
              <w:t xml:space="preserve">Varenicline </w:t>
            </w:r>
            <w:r w:rsidRPr="00E0041D">
              <w:rPr>
                <w:sz w:val="20"/>
                <w:lang w:val="en-US"/>
              </w:rPr>
              <w:t>vs. Placebo)</w:t>
            </w:r>
          </w:p>
        </w:tc>
        <w:tc>
          <w:tcPr>
            <w:tcW w:w="2346" w:type="dxa"/>
            <w:tcBorders>
              <w:bottom w:val="single" w:sz="4" w:space="0" w:color="auto"/>
            </w:tcBorders>
          </w:tcPr>
          <w:p w:rsidR="00D21521" w:rsidRPr="00E0041D" w:rsidRDefault="00D21521" w:rsidP="00002931">
            <w:pPr>
              <w:spacing w:before="60" w:after="60"/>
              <w:jc w:val="center"/>
              <w:rPr>
                <w:sz w:val="20"/>
                <w:lang w:val="en-US"/>
              </w:rPr>
            </w:pPr>
            <w:r w:rsidRPr="00E0041D">
              <w:rPr>
                <w:sz w:val="20"/>
                <w:lang w:val="en-US"/>
              </w:rPr>
              <w:t>8.40</w:t>
            </w:r>
          </w:p>
          <w:p w:rsidR="00D21521" w:rsidRPr="00E0041D" w:rsidRDefault="00D21521" w:rsidP="00002931">
            <w:pPr>
              <w:spacing w:before="60" w:after="60"/>
              <w:jc w:val="center"/>
              <w:rPr>
                <w:sz w:val="20"/>
                <w:lang w:val="en-US"/>
              </w:rPr>
            </w:pPr>
            <w:r w:rsidRPr="00E0041D">
              <w:rPr>
                <w:sz w:val="20"/>
                <w:lang w:val="en-US"/>
              </w:rPr>
              <w:t>p&lt;0.0001</w:t>
            </w:r>
          </w:p>
        </w:tc>
        <w:tc>
          <w:tcPr>
            <w:tcW w:w="2346" w:type="dxa"/>
            <w:tcBorders>
              <w:bottom w:val="single" w:sz="4" w:space="0" w:color="auto"/>
            </w:tcBorders>
          </w:tcPr>
          <w:p w:rsidR="00D21521" w:rsidRPr="00E0041D" w:rsidRDefault="00D21521" w:rsidP="00002931">
            <w:pPr>
              <w:spacing w:before="60" w:after="60"/>
              <w:jc w:val="center"/>
              <w:rPr>
                <w:sz w:val="20"/>
                <w:lang w:val="en-US"/>
              </w:rPr>
            </w:pPr>
            <w:r w:rsidRPr="00E0041D">
              <w:rPr>
                <w:sz w:val="20"/>
                <w:lang w:val="en-US"/>
              </w:rPr>
              <w:t>4.04</w:t>
            </w:r>
          </w:p>
          <w:p w:rsidR="00D21521" w:rsidRPr="00E0041D" w:rsidRDefault="00D21521" w:rsidP="00002931">
            <w:pPr>
              <w:spacing w:before="60" w:after="60"/>
              <w:jc w:val="center"/>
              <w:rPr>
                <w:sz w:val="20"/>
                <w:lang w:val="en-US"/>
              </w:rPr>
            </w:pPr>
            <w:r w:rsidRPr="00E0041D">
              <w:rPr>
                <w:sz w:val="20"/>
                <w:lang w:val="en-US"/>
              </w:rPr>
              <w:t>p&lt;0.0001</w:t>
            </w:r>
          </w:p>
        </w:tc>
      </w:tr>
    </w:tbl>
    <w:p w:rsidR="00D21521" w:rsidRPr="00D21521" w:rsidRDefault="00D21521" w:rsidP="00D21521">
      <w:pPr>
        <w:ind w:left="851"/>
        <w:rPr>
          <w:sz w:val="24"/>
          <w:szCs w:val="24"/>
        </w:rPr>
      </w:pPr>
    </w:p>
    <w:p w:rsidR="00D21521" w:rsidRPr="00D21521" w:rsidRDefault="00D21521" w:rsidP="00D21521">
      <w:pPr>
        <w:ind w:left="851"/>
        <w:rPr>
          <w:i/>
          <w:sz w:val="24"/>
          <w:szCs w:val="24"/>
          <w:lang w:val="en-US"/>
        </w:rPr>
      </w:pPr>
      <w:r w:rsidRPr="00D21521">
        <w:rPr>
          <w:i/>
          <w:sz w:val="24"/>
          <w:szCs w:val="24"/>
          <w:lang w:val="en-US"/>
        </w:rPr>
        <w:t>Study in subjects with a history of major depressive disorder</w:t>
      </w:r>
    </w:p>
    <w:p w:rsidR="00D21521" w:rsidRPr="00D21521" w:rsidRDefault="00D21521" w:rsidP="00D21521">
      <w:pPr>
        <w:ind w:left="851"/>
        <w:rPr>
          <w:sz w:val="24"/>
          <w:szCs w:val="24"/>
          <w:lang w:val="en-US"/>
        </w:rPr>
      </w:pPr>
      <w:r w:rsidRPr="00D21521">
        <w:rPr>
          <w:sz w:val="24"/>
          <w:szCs w:val="24"/>
          <w:lang w:val="en-US"/>
        </w:rPr>
        <w:t>The efficacy of varenicline was confirmed in a randomised placebo-controlled trial in 525 subjects with a history of major depression in the past two years or under current stable treatment. The cessation rates in this population were similar to those reported in the general population. Continuous abstinence rate between weeks 9-12 was 35.9 % in the varenicline treatment group versus 15.6 % in the placebo group (OR 3.35 (95 % CI 2.16-5.21)) and between weeks 9-52 was 20.3 % versus 10.4% respectively (OR 2.36 (95 % CI 1.40-3.98)). The most common adverse events (≥ 10 %) in subjects taking varenicline were nausea (27.0 % vs. 10.4 % on placebo), headache (16.8 % vs. 11.2 %), abnormal dreams (11.3 % vs. 8.2 %), insomnia (10.9 % vs. 4.8 %) and irritability (10.9 % vs. 8.2 %). Psychiatric scales showed no differences between the varenicline and placebo groups and no overall worsening of depression, or other psychiatric symptoms, during the study in either treatment group.</w:t>
      </w:r>
    </w:p>
    <w:p w:rsidR="00D21521" w:rsidRPr="00D21521" w:rsidRDefault="00D21521" w:rsidP="00D21521">
      <w:pPr>
        <w:ind w:left="851"/>
        <w:rPr>
          <w:sz w:val="24"/>
          <w:szCs w:val="24"/>
          <w:lang w:val="en-US"/>
        </w:rPr>
      </w:pPr>
    </w:p>
    <w:p w:rsidR="00D21521" w:rsidRPr="00D21521" w:rsidRDefault="00D21521" w:rsidP="00D21521">
      <w:pPr>
        <w:ind w:left="851"/>
        <w:rPr>
          <w:i/>
          <w:sz w:val="24"/>
          <w:szCs w:val="24"/>
          <w:lang w:val="en-US"/>
        </w:rPr>
      </w:pPr>
      <w:r w:rsidRPr="00D21521">
        <w:rPr>
          <w:i/>
          <w:sz w:val="24"/>
          <w:szCs w:val="24"/>
          <w:lang w:val="en-US"/>
        </w:rPr>
        <w:t>Study in subjects with stable schizophrenia or schizoaffective disorder</w:t>
      </w:r>
    </w:p>
    <w:p w:rsidR="00D21521" w:rsidRPr="00D21521" w:rsidRDefault="00D21521" w:rsidP="00D21521">
      <w:pPr>
        <w:ind w:left="851"/>
        <w:rPr>
          <w:sz w:val="24"/>
          <w:szCs w:val="24"/>
          <w:lang w:val="en-US"/>
        </w:rPr>
      </w:pPr>
      <w:r w:rsidRPr="00D21521">
        <w:rPr>
          <w:sz w:val="24"/>
          <w:szCs w:val="24"/>
          <w:lang w:val="en-US"/>
        </w:rPr>
        <w:t>Varenicline safety and tolerability was assessed in a double-blind study of 128 smokers with stable schizophrenia or schizoaffective disorder, on antipsychotic medication, randomised 2:1 to varenicline (1 mg twice daily) or placebo for 12 weeks with 12-week non-drug follow-up.</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The most common adverse events in subjects taking varenicline were nausea (23.8 % vs. 14.0 % on placebo), headache (10.7 % vs. 18.6 % on placebo) and vomiting (10.7 % vs. 9.3 % on placebo). Among reported neuropsychiatric adverse events, insomnia was the only event reported in either treatment group in ≥ 5 % of subjects at a rate higher in the varenicline group than in placebo (9.5 % vs. 4.7 %).</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lastRenderedPageBreak/>
        <w:t>Overall, there was no worsening of schizophrenia in either treatment group as measured by psychiatric scales and there were no overall changes in extra-pyramidal signs. In the varenicline group compared to placebo, a higher proportion of subjects reported suicidal ideation or behaviour prior to enrolment (lifetime history) and after the end of active treatment period (on Days 33 to 85 after the last dose of treatment). During the active treatment period, the incidence of suicide-related events was similar between the varenicline-treated and the placebo-treated subjects (11 vs. 9.3 %, respectively). The percentage of subjects with suicide-related events in the active treatment phase compared to post-treatment phase was unchanged in the varenicline group; in the placebo group, this percentage was lower in the post-treatment phase. Although there were no completed suicides, there was one suicidal attempt in a varenicline-treated subject whose lifetime history included several similar attempts. The limited data available from this single smoking cessation study are not sufficient to allow for definitive conclusions to be drawn about the safety in patients with schizophrenia or schizoaffective disorder.</w:t>
      </w:r>
    </w:p>
    <w:p w:rsidR="00D21521" w:rsidRPr="00D21521" w:rsidRDefault="00D21521" w:rsidP="00D21521">
      <w:pPr>
        <w:ind w:left="851"/>
        <w:rPr>
          <w:sz w:val="24"/>
          <w:szCs w:val="24"/>
          <w:lang w:val="en-US"/>
        </w:rPr>
      </w:pPr>
    </w:p>
    <w:p w:rsidR="00D21521" w:rsidRPr="00D21521" w:rsidRDefault="00D21521" w:rsidP="00D21521">
      <w:pPr>
        <w:ind w:left="851"/>
        <w:rPr>
          <w:i/>
          <w:sz w:val="24"/>
          <w:szCs w:val="24"/>
          <w:lang w:val="en-US"/>
        </w:rPr>
      </w:pPr>
      <w:r w:rsidRPr="00D21521">
        <w:rPr>
          <w:i/>
          <w:sz w:val="24"/>
          <w:szCs w:val="24"/>
          <w:lang w:val="en-US"/>
        </w:rPr>
        <w:t>Neuropsychiatric safety</w:t>
      </w:r>
    </w:p>
    <w:p w:rsidR="00D21521" w:rsidRPr="00D21521" w:rsidRDefault="00D21521" w:rsidP="00D21521">
      <w:pPr>
        <w:ind w:left="851"/>
        <w:rPr>
          <w:sz w:val="24"/>
          <w:szCs w:val="24"/>
          <w:lang w:val="en-US"/>
        </w:rPr>
      </w:pPr>
      <w:r w:rsidRPr="00D21521">
        <w:rPr>
          <w:i/>
          <w:sz w:val="24"/>
          <w:szCs w:val="24"/>
          <w:lang w:val="en-US"/>
        </w:rPr>
        <w:t>Study in Subjects with and without a History of Psychiatric Disorder</w:t>
      </w:r>
      <w:r w:rsidRPr="00D21521">
        <w:rPr>
          <w:sz w:val="24"/>
          <w:szCs w:val="24"/>
          <w:lang w:val="en-US"/>
        </w:rPr>
        <w:t>: Varenicline was evaluated in a randomised, double blind, active and placebo-controlled study that included subjects with a history of psychiatric disorder (psychiatric cohort, N=4,074) and subjects without a history of psychiatric disorder (non-psychiatric cohort, N=3,984). Subjects aged 18-75 years, smoking 10 or more cigarettes per day were randomised 1:1:1:1 to varenicline 1 mg BID, bupropion SR 150 mg BID, nicotine replacement therapy patch (NRT) 21 mg/day with taper or placebo for a treatment period of 12 weeks; they were then followed for another 12 weeks post-treatment.</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The primary safety endpoint was a composite of the following neuropsychiatric (NPS) adverse events: severe events of anxiety, depression, feeling abnormal, or hostility, and/or moderate or severe events of agitation, aggression, delusions, hallucinations, homicidal ideation, mania, panic, paranoia, psychosis, suicidal ideation, suicidal behaviour or completed suicide.</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 xml:space="preserve">The following table shows the rates of the composite NPS adverse event primary endpoint by treatment group and the risk differences (RDs) (95 % CI) vs placebo in the </w:t>
      </w:r>
      <w:r w:rsidRPr="00D21521">
        <w:rPr>
          <w:b/>
          <w:sz w:val="24"/>
          <w:szCs w:val="24"/>
          <w:lang w:val="en-US"/>
        </w:rPr>
        <w:t>non-psychiatric cohort</w:t>
      </w:r>
      <w:r w:rsidRPr="00D21521">
        <w:rPr>
          <w:sz w:val="24"/>
          <w:szCs w:val="24"/>
          <w:lang w:val="en-US"/>
        </w:rPr>
        <w:t>.</w:t>
      </w:r>
    </w:p>
    <w:p w:rsidR="00D21521" w:rsidRPr="00D21521" w:rsidRDefault="00D21521" w:rsidP="00D21521">
      <w:pPr>
        <w:ind w:left="851"/>
        <w:rPr>
          <w:sz w:val="24"/>
          <w:szCs w:val="24"/>
          <w:lang w:val="en-US"/>
        </w:rPr>
      </w:pPr>
    </w:p>
    <w:p w:rsidR="00D21521" w:rsidRPr="00D21521" w:rsidRDefault="00D21521" w:rsidP="00D21521">
      <w:pPr>
        <w:rPr>
          <w:lang w:val="en-US"/>
        </w:rPr>
      </w:pPr>
      <w:r w:rsidRPr="00D21521">
        <w:rPr>
          <w:lang w:val="en-US"/>
        </w:rPr>
        <w:t>In addition, the table shows the subset of the composite NPS AE endpoint of severe intensity:</w:t>
      </w:r>
    </w:p>
    <w:p w:rsidR="00D21521" w:rsidRPr="00D21521" w:rsidRDefault="00D21521" w:rsidP="00D21521">
      <w:pPr>
        <w:rPr>
          <w:lang w:val="en-US"/>
        </w:rPr>
      </w:pP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85"/>
        <w:gridCol w:w="1686"/>
        <w:gridCol w:w="1685"/>
        <w:gridCol w:w="1533"/>
        <w:gridCol w:w="1383"/>
      </w:tblGrid>
      <w:tr w:rsidR="00D21521" w:rsidRPr="00E0041D" w:rsidTr="00002931">
        <w:trPr>
          <w:trHeight w:val="503"/>
          <w:jc w:val="center"/>
        </w:trPr>
        <w:tc>
          <w:tcPr>
            <w:tcW w:w="2785" w:type="dxa"/>
            <w:vMerge w:val="restart"/>
          </w:tcPr>
          <w:p w:rsidR="00D21521" w:rsidRPr="00E0041D" w:rsidRDefault="00D21521" w:rsidP="00002931">
            <w:pPr>
              <w:spacing w:before="60" w:after="60"/>
              <w:rPr>
                <w:sz w:val="20"/>
                <w:lang w:val="en-US"/>
              </w:rPr>
            </w:pPr>
          </w:p>
        </w:tc>
        <w:tc>
          <w:tcPr>
            <w:tcW w:w="6287" w:type="dxa"/>
            <w:gridSpan w:val="4"/>
          </w:tcPr>
          <w:p w:rsidR="00D21521" w:rsidRPr="00303937" w:rsidRDefault="00D21521" w:rsidP="00002931">
            <w:pPr>
              <w:spacing w:before="60" w:after="60"/>
              <w:jc w:val="center"/>
              <w:rPr>
                <w:b/>
                <w:sz w:val="20"/>
                <w:lang w:val="en-US"/>
              </w:rPr>
            </w:pPr>
            <w:r w:rsidRPr="00303937">
              <w:rPr>
                <w:b/>
                <w:sz w:val="20"/>
                <w:lang w:val="en-US"/>
              </w:rPr>
              <w:t>Non-psychiatric Cohort</w:t>
            </w:r>
          </w:p>
          <w:p w:rsidR="00D21521" w:rsidRPr="00303937" w:rsidRDefault="00D21521" w:rsidP="00002931">
            <w:pPr>
              <w:spacing w:before="60" w:after="60"/>
              <w:jc w:val="center"/>
              <w:rPr>
                <w:b/>
                <w:sz w:val="20"/>
                <w:lang w:val="en-US"/>
              </w:rPr>
            </w:pPr>
            <w:r w:rsidRPr="00303937">
              <w:rPr>
                <w:b/>
                <w:sz w:val="20"/>
                <w:lang w:val="en-US"/>
              </w:rPr>
              <w:t>N=3,984</w:t>
            </w:r>
          </w:p>
        </w:tc>
      </w:tr>
      <w:tr w:rsidR="00D21521" w:rsidRPr="00E0041D" w:rsidTr="00002931">
        <w:trPr>
          <w:trHeight w:val="257"/>
          <w:jc w:val="center"/>
        </w:trPr>
        <w:tc>
          <w:tcPr>
            <w:tcW w:w="2785" w:type="dxa"/>
            <w:vMerge/>
            <w:tcBorders>
              <w:top w:val="nil"/>
            </w:tcBorders>
          </w:tcPr>
          <w:p w:rsidR="00D21521" w:rsidRPr="00E0041D" w:rsidRDefault="00D21521" w:rsidP="00002931">
            <w:pPr>
              <w:spacing w:before="60" w:after="60"/>
              <w:rPr>
                <w:sz w:val="20"/>
                <w:lang w:val="en-US"/>
              </w:rPr>
            </w:pPr>
          </w:p>
        </w:tc>
        <w:tc>
          <w:tcPr>
            <w:tcW w:w="1686" w:type="dxa"/>
          </w:tcPr>
          <w:p w:rsidR="00D21521" w:rsidRPr="00303937" w:rsidRDefault="00D21521" w:rsidP="00002931">
            <w:pPr>
              <w:spacing w:before="60" w:after="60"/>
              <w:jc w:val="center"/>
              <w:rPr>
                <w:b/>
                <w:sz w:val="20"/>
                <w:lang w:val="en-US"/>
              </w:rPr>
            </w:pPr>
            <w:r w:rsidRPr="00303937">
              <w:rPr>
                <w:b/>
                <w:sz w:val="20"/>
                <w:lang w:val="en-US"/>
              </w:rPr>
              <w:t>Varenicline</w:t>
            </w:r>
          </w:p>
        </w:tc>
        <w:tc>
          <w:tcPr>
            <w:tcW w:w="1685" w:type="dxa"/>
          </w:tcPr>
          <w:p w:rsidR="00D21521" w:rsidRPr="00303937" w:rsidRDefault="00D21521" w:rsidP="00002931">
            <w:pPr>
              <w:spacing w:before="60" w:after="60"/>
              <w:jc w:val="center"/>
              <w:rPr>
                <w:b/>
                <w:sz w:val="20"/>
                <w:lang w:val="en-US"/>
              </w:rPr>
            </w:pPr>
            <w:r w:rsidRPr="00303937">
              <w:rPr>
                <w:b/>
                <w:sz w:val="20"/>
                <w:lang w:val="en-US"/>
              </w:rPr>
              <w:t>Bupropion</w:t>
            </w:r>
          </w:p>
        </w:tc>
        <w:tc>
          <w:tcPr>
            <w:tcW w:w="1533" w:type="dxa"/>
          </w:tcPr>
          <w:p w:rsidR="00D21521" w:rsidRPr="00303937" w:rsidRDefault="00D21521" w:rsidP="00002931">
            <w:pPr>
              <w:spacing w:before="60" w:after="60"/>
              <w:jc w:val="center"/>
              <w:rPr>
                <w:b/>
                <w:sz w:val="20"/>
                <w:lang w:val="en-US"/>
              </w:rPr>
            </w:pPr>
            <w:r w:rsidRPr="00303937">
              <w:rPr>
                <w:b/>
                <w:sz w:val="20"/>
                <w:lang w:val="en-US"/>
              </w:rPr>
              <w:t>NRT</w:t>
            </w:r>
          </w:p>
        </w:tc>
        <w:tc>
          <w:tcPr>
            <w:tcW w:w="1383" w:type="dxa"/>
          </w:tcPr>
          <w:p w:rsidR="00D21521" w:rsidRPr="00303937" w:rsidRDefault="00D21521" w:rsidP="00002931">
            <w:pPr>
              <w:spacing w:before="60" w:after="60"/>
              <w:jc w:val="center"/>
              <w:rPr>
                <w:b/>
                <w:sz w:val="20"/>
                <w:lang w:val="en-US"/>
              </w:rPr>
            </w:pPr>
            <w:r w:rsidRPr="00303937">
              <w:rPr>
                <w:b/>
                <w:sz w:val="20"/>
                <w:lang w:val="en-US"/>
              </w:rPr>
              <w:t>Placebo</w:t>
            </w:r>
          </w:p>
        </w:tc>
      </w:tr>
      <w:tr w:rsidR="00D21521" w:rsidRPr="00E0041D" w:rsidTr="00002931">
        <w:trPr>
          <w:trHeight w:val="243"/>
          <w:jc w:val="center"/>
        </w:trPr>
        <w:tc>
          <w:tcPr>
            <w:tcW w:w="2785" w:type="dxa"/>
            <w:vAlign w:val="center"/>
          </w:tcPr>
          <w:p w:rsidR="00D21521" w:rsidRPr="00303937" w:rsidRDefault="00D21521" w:rsidP="00002931">
            <w:pPr>
              <w:spacing w:before="60" w:after="60"/>
              <w:rPr>
                <w:b/>
                <w:sz w:val="20"/>
                <w:lang w:val="en-US"/>
              </w:rPr>
            </w:pPr>
            <w:r w:rsidRPr="00303937">
              <w:rPr>
                <w:b/>
                <w:sz w:val="20"/>
                <w:lang w:val="en-US"/>
              </w:rPr>
              <w:t>Number of Patients Treated</w:t>
            </w:r>
          </w:p>
        </w:tc>
        <w:tc>
          <w:tcPr>
            <w:tcW w:w="1686" w:type="dxa"/>
          </w:tcPr>
          <w:p w:rsidR="00D21521" w:rsidRPr="00E0041D" w:rsidRDefault="00D21521" w:rsidP="00002931">
            <w:pPr>
              <w:spacing w:before="60" w:after="60"/>
              <w:jc w:val="center"/>
              <w:rPr>
                <w:sz w:val="20"/>
                <w:lang w:val="en-US"/>
              </w:rPr>
            </w:pPr>
            <w:r w:rsidRPr="00E0041D">
              <w:rPr>
                <w:sz w:val="20"/>
                <w:lang w:val="en-US"/>
              </w:rPr>
              <w:t>990</w:t>
            </w:r>
          </w:p>
        </w:tc>
        <w:tc>
          <w:tcPr>
            <w:tcW w:w="1685" w:type="dxa"/>
          </w:tcPr>
          <w:p w:rsidR="00D21521" w:rsidRPr="00E0041D" w:rsidRDefault="00D21521" w:rsidP="00002931">
            <w:pPr>
              <w:spacing w:before="60" w:after="60"/>
              <w:jc w:val="center"/>
              <w:rPr>
                <w:sz w:val="20"/>
                <w:lang w:val="en-US"/>
              </w:rPr>
            </w:pPr>
            <w:r w:rsidRPr="00E0041D">
              <w:rPr>
                <w:sz w:val="20"/>
                <w:lang w:val="en-US"/>
              </w:rPr>
              <w:t>989</w:t>
            </w:r>
          </w:p>
        </w:tc>
        <w:tc>
          <w:tcPr>
            <w:tcW w:w="1533" w:type="dxa"/>
          </w:tcPr>
          <w:p w:rsidR="00D21521" w:rsidRPr="00E0041D" w:rsidRDefault="00D21521" w:rsidP="00002931">
            <w:pPr>
              <w:spacing w:before="60" w:after="60"/>
              <w:jc w:val="center"/>
              <w:rPr>
                <w:sz w:val="20"/>
                <w:lang w:val="en-US"/>
              </w:rPr>
            </w:pPr>
            <w:r w:rsidRPr="00E0041D">
              <w:rPr>
                <w:sz w:val="20"/>
                <w:lang w:val="en-US"/>
              </w:rPr>
              <w:t>1,006</w:t>
            </w:r>
          </w:p>
        </w:tc>
        <w:tc>
          <w:tcPr>
            <w:tcW w:w="1383" w:type="dxa"/>
          </w:tcPr>
          <w:p w:rsidR="00D21521" w:rsidRPr="00E0041D" w:rsidRDefault="00D21521" w:rsidP="00002931">
            <w:pPr>
              <w:spacing w:before="60" w:after="60"/>
              <w:jc w:val="center"/>
              <w:rPr>
                <w:sz w:val="20"/>
                <w:lang w:val="en-US"/>
              </w:rPr>
            </w:pPr>
            <w:r w:rsidRPr="00E0041D">
              <w:rPr>
                <w:sz w:val="20"/>
                <w:lang w:val="en-US"/>
              </w:rPr>
              <w:t>999</w:t>
            </w:r>
          </w:p>
        </w:tc>
      </w:tr>
      <w:tr w:rsidR="00D21521" w:rsidRPr="00E0041D" w:rsidTr="00002931">
        <w:trPr>
          <w:trHeight w:val="731"/>
          <w:jc w:val="center"/>
        </w:trPr>
        <w:tc>
          <w:tcPr>
            <w:tcW w:w="2785" w:type="dxa"/>
            <w:vAlign w:val="center"/>
          </w:tcPr>
          <w:p w:rsidR="00D21521" w:rsidRPr="00303937" w:rsidRDefault="00D21521" w:rsidP="00002931">
            <w:pPr>
              <w:spacing w:before="60" w:after="60"/>
              <w:rPr>
                <w:b/>
                <w:sz w:val="20"/>
                <w:lang w:val="en-US"/>
              </w:rPr>
            </w:pPr>
            <w:r w:rsidRPr="00303937">
              <w:rPr>
                <w:b/>
                <w:sz w:val="20"/>
                <w:lang w:val="en-US"/>
              </w:rPr>
              <w:t>Composite NPS AE Primary Endpoint, n (%)</w:t>
            </w:r>
          </w:p>
        </w:tc>
        <w:tc>
          <w:tcPr>
            <w:tcW w:w="1686" w:type="dxa"/>
            <w:vAlign w:val="center"/>
          </w:tcPr>
          <w:p w:rsidR="00D21521" w:rsidRPr="00E0041D" w:rsidRDefault="00D21521" w:rsidP="00002931">
            <w:pPr>
              <w:spacing w:before="60" w:after="60"/>
              <w:jc w:val="center"/>
              <w:rPr>
                <w:sz w:val="20"/>
                <w:lang w:val="en-US"/>
              </w:rPr>
            </w:pPr>
            <w:r w:rsidRPr="00E0041D">
              <w:rPr>
                <w:sz w:val="20"/>
                <w:lang w:val="en-US"/>
              </w:rPr>
              <w:t>13 (1.3)</w:t>
            </w:r>
          </w:p>
        </w:tc>
        <w:tc>
          <w:tcPr>
            <w:tcW w:w="1685" w:type="dxa"/>
            <w:vAlign w:val="center"/>
          </w:tcPr>
          <w:p w:rsidR="00D21521" w:rsidRPr="00E0041D" w:rsidRDefault="00D21521" w:rsidP="00002931">
            <w:pPr>
              <w:spacing w:before="60" w:after="60"/>
              <w:jc w:val="center"/>
              <w:rPr>
                <w:sz w:val="20"/>
                <w:lang w:val="en-US"/>
              </w:rPr>
            </w:pPr>
            <w:r w:rsidRPr="00E0041D">
              <w:rPr>
                <w:sz w:val="20"/>
                <w:lang w:val="en-US"/>
              </w:rPr>
              <w:t>22 (2.2)</w:t>
            </w:r>
          </w:p>
        </w:tc>
        <w:tc>
          <w:tcPr>
            <w:tcW w:w="1533" w:type="dxa"/>
            <w:vAlign w:val="center"/>
          </w:tcPr>
          <w:p w:rsidR="00D21521" w:rsidRPr="00E0041D" w:rsidRDefault="00D21521" w:rsidP="00002931">
            <w:pPr>
              <w:spacing w:before="60" w:after="60"/>
              <w:jc w:val="center"/>
              <w:rPr>
                <w:sz w:val="20"/>
                <w:lang w:val="en-US"/>
              </w:rPr>
            </w:pPr>
            <w:r w:rsidRPr="00E0041D">
              <w:rPr>
                <w:sz w:val="20"/>
                <w:lang w:val="en-US"/>
              </w:rPr>
              <w:t>25 (2.5)</w:t>
            </w:r>
          </w:p>
        </w:tc>
        <w:tc>
          <w:tcPr>
            <w:tcW w:w="1383" w:type="dxa"/>
            <w:vAlign w:val="center"/>
          </w:tcPr>
          <w:p w:rsidR="00D21521" w:rsidRPr="00E0041D" w:rsidRDefault="00D21521" w:rsidP="00002931">
            <w:pPr>
              <w:spacing w:before="60" w:after="60"/>
              <w:jc w:val="center"/>
              <w:rPr>
                <w:sz w:val="20"/>
                <w:lang w:val="en-US"/>
              </w:rPr>
            </w:pPr>
            <w:r w:rsidRPr="00E0041D">
              <w:rPr>
                <w:sz w:val="20"/>
                <w:lang w:val="en-US"/>
              </w:rPr>
              <w:t>24 (2.4)</w:t>
            </w:r>
          </w:p>
        </w:tc>
      </w:tr>
      <w:tr w:rsidR="00D21521" w:rsidRPr="00E0041D" w:rsidTr="00002931">
        <w:trPr>
          <w:trHeight w:val="487"/>
          <w:jc w:val="center"/>
        </w:trPr>
        <w:tc>
          <w:tcPr>
            <w:tcW w:w="2785" w:type="dxa"/>
            <w:vAlign w:val="center"/>
          </w:tcPr>
          <w:p w:rsidR="00D21521" w:rsidRPr="00303937" w:rsidRDefault="00D21521" w:rsidP="00002931">
            <w:pPr>
              <w:spacing w:before="60" w:after="60"/>
              <w:rPr>
                <w:b/>
                <w:sz w:val="20"/>
                <w:lang w:val="en-US"/>
              </w:rPr>
            </w:pPr>
            <w:r w:rsidRPr="00303937">
              <w:rPr>
                <w:b/>
                <w:sz w:val="20"/>
                <w:lang w:val="en-US"/>
              </w:rPr>
              <w:t>RD (95 % CI) vs Placebo</w:t>
            </w:r>
          </w:p>
        </w:tc>
        <w:tc>
          <w:tcPr>
            <w:tcW w:w="1686" w:type="dxa"/>
            <w:vAlign w:val="center"/>
          </w:tcPr>
          <w:p w:rsidR="00D21521" w:rsidRPr="00E0041D" w:rsidRDefault="00D21521" w:rsidP="00002931">
            <w:pPr>
              <w:spacing w:before="60" w:after="60"/>
              <w:jc w:val="center"/>
              <w:rPr>
                <w:sz w:val="20"/>
                <w:lang w:val="en-US"/>
              </w:rPr>
            </w:pPr>
            <w:r w:rsidRPr="00E0041D">
              <w:rPr>
                <w:sz w:val="20"/>
                <w:lang w:val="en-US"/>
              </w:rPr>
              <w:t>-1.28</w:t>
            </w:r>
          </w:p>
          <w:p w:rsidR="00D21521" w:rsidRPr="00E0041D" w:rsidRDefault="00D21521" w:rsidP="00002931">
            <w:pPr>
              <w:spacing w:before="60" w:after="60"/>
              <w:jc w:val="center"/>
              <w:rPr>
                <w:sz w:val="20"/>
                <w:lang w:val="en-US"/>
              </w:rPr>
            </w:pPr>
            <w:r w:rsidRPr="00E0041D">
              <w:rPr>
                <w:sz w:val="20"/>
                <w:lang w:val="en-US"/>
              </w:rPr>
              <w:t>(-2.40, -0.15)</w:t>
            </w:r>
          </w:p>
        </w:tc>
        <w:tc>
          <w:tcPr>
            <w:tcW w:w="1685" w:type="dxa"/>
            <w:vAlign w:val="center"/>
          </w:tcPr>
          <w:p w:rsidR="00D21521" w:rsidRPr="00E0041D" w:rsidRDefault="00D21521" w:rsidP="00002931">
            <w:pPr>
              <w:spacing w:before="60" w:after="60"/>
              <w:jc w:val="center"/>
              <w:rPr>
                <w:sz w:val="20"/>
                <w:lang w:val="en-US"/>
              </w:rPr>
            </w:pPr>
            <w:r w:rsidRPr="00E0041D">
              <w:rPr>
                <w:sz w:val="20"/>
                <w:lang w:val="en-US"/>
              </w:rPr>
              <w:t>-0.08</w:t>
            </w:r>
          </w:p>
          <w:p w:rsidR="00D21521" w:rsidRPr="00E0041D" w:rsidRDefault="00D21521" w:rsidP="00002931">
            <w:pPr>
              <w:spacing w:before="60" w:after="60"/>
              <w:jc w:val="center"/>
              <w:rPr>
                <w:sz w:val="20"/>
                <w:lang w:val="en-US"/>
              </w:rPr>
            </w:pPr>
            <w:r w:rsidRPr="00E0041D">
              <w:rPr>
                <w:sz w:val="20"/>
                <w:lang w:val="en-US"/>
              </w:rPr>
              <w:t>(-1.37, 1.21)</w:t>
            </w:r>
          </w:p>
        </w:tc>
        <w:tc>
          <w:tcPr>
            <w:tcW w:w="1533" w:type="dxa"/>
            <w:vAlign w:val="center"/>
          </w:tcPr>
          <w:p w:rsidR="00D21521" w:rsidRPr="00E0041D" w:rsidRDefault="00D21521" w:rsidP="00002931">
            <w:pPr>
              <w:spacing w:before="60" w:after="60"/>
              <w:jc w:val="center"/>
              <w:rPr>
                <w:sz w:val="20"/>
                <w:lang w:val="en-US"/>
              </w:rPr>
            </w:pPr>
            <w:r w:rsidRPr="00E0041D">
              <w:rPr>
                <w:sz w:val="20"/>
                <w:lang w:val="en-US"/>
              </w:rPr>
              <w:t>-0.21</w:t>
            </w:r>
          </w:p>
          <w:p w:rsidR="00D21521" w:rsidRPr="00E0041D" w:rsidRDefault="00D21521" w:rsidP="00002931">
            <w:pPr>
              <w:spacing w:before="60" w:after="60"/>
              <w:jc w:val="center"/>
              <w:rPr>
                <w:sz w:val="20"/>
                <w:lang w:val="en-US"/>
              </w:rPr>
            </w:pPr>
            <w:r w:rsidRPr="00E0041D">
              <w:rPr>
                <w:sz w:val="20"/>
                <w:lang w:val="en-US"/>
              </w:rPr>
              <w:t>(-1.54,1.12)</w:t>
            </w:r>
          </w:p>
        </w:tc>
        <w:tc>
          <w:tcPr>
            <w:tcW w:w="1383" w:type="dxa"/>
            <w:vAlign w:val="center"/>
          </w:tcPr>
          <w:p w:rsidR="00D21521" w:rsidRPr="00E0041D" w:rsidRDefault="00D21521" w:rsidP="00002931">
            <w:pPr>
              <w:spacing w:before="60" w:after="60"/>
              <w:jc w:val="center"/>
              <w:rPr>
                <w:sz w:val="20"/>
                <w:lang w:val="en-US"/>
              </w:rPr>
            </w:pPr>
          </w:p>
        </w:tc>
      </w:tr>
      <w:tr w:rsidR="00D21521" w:rsidRPr="00E0041D" w:rsidTr="00002931">
        <w:trPr>
          <w:trHeight w:val="733"/>
          <w:jc w:val="center"/>
        </w:trPr>
        <w:tc>
          <w:tcPr>
            <w:tcW w:w="2785" w:type="dxa"/>
            <w:vAlign w:val="center"/>
          </w:tcPr>
          <w:p w:rsidR="00D21521" w:rsidRPr="00303937" w:rsidRDefault="00D21521" w:rsidP="00002931">
            <w:pPr>
              <w:spacing w:before="60" w:after="60"/>
              <w:rPr>
                <w:b/>
                <w:sz w:val="20"/>
                <w:lang w:val="en-US"/>
              </w:rPr>
            </w:pPr>
            <w:r w:rsidRPr="00303937">
              <w:rPr>
                <w:b/>
                <w:sz w:val="20"/>
                <w:lang w:val="en-US"/>
              </w:rPr>
              <w:t>Composite NPS AE Endpoint of severe intensity n (%)</w:t>
            </w:r>
          </w:p>
        </w:tc>
        <w:tc>
          <w:tcPr>
            <w:tcW w:w="1686" w:type="dxa"/>
            <w:vAlign w:val="center"/>
          </w:tcPr>
          <w:p w:rsidR="00D21521" w:rsidRPr="00E0041D" w:rsidRDefault="00D21521" w:rsidP="00002931">
            <w:pPr>
              <w:spacing w:before="60" w:after="60"/>
              <w:jc w:val="center"/>
              <w:rPr>
                <w:sz w:val="20"/>
                <w:lang w:val="en-US"/>
              </w:rPr>
            </w:pPr>
            <w:r w:rsidRPr="00E0041D">
              <w:rPr>
                <w:sz w:val="20"/>
                <w:lang w:val="en-US"/>
              </w:rPr>
              <w:t>1 (0.1)</w:t>
            </w:r>
          </w:p>
        </w:tc>
        <w:tc>
          <w:tcPr>
            <w:tcW w:w="1685" w:type="dxa"/>
            <w:vAlign w:val="center"/>
          </w:tcPr>
          <w:p w:rsidR="00D21521" w:rsidRPr="00E0041D" w:rsidRDefault="00D21521" w:rsidP="00002931">
            <w:pPr>
              <w:spacing w:before="60" w:after="60"/>
              <w:jc w:val="center"/>
              <w:rPr>
                <w:sz w:val="20"/>
                <w:lang w:val="en-US"/>
              </w:rPr>
            </w:pPr>
            <w:r w:rsidRPr="00E0041D">
              <w:rPr>
                <w:sz w:val="20"/>
                <w:lang w:val="en-US"/>
              </w:rPr>
              <w:t>4 (0.4)</w:t>
            </w:r>
          </w:p>
        </w:tc>
        <w:tc>
          <w:tcPr>
            <w:tcW w:w="1533" w:type="dxa"/>
            <w:vAlign w:val="center"/>
          </w:tcPr>
          <w:p w:rsidR="00D21521" w:rsidRPr="00E0041D" w:rsidRDefault="00D21521" w:rsidP="00002931">
            <w:pPr>
              <w:spacing w:before="60" w:after="60"/>
              <w:jc w:val="center"/>
              <w:rPr>
                <w:sz w:val="20"/>
                <w:lang w:val="en-US"/>
              </w:rPr>
            </w:pPr>
            <w:r w:rsidRPr="00E0041D">
              <w:rPr>
                <w:sz w:val="20"/>
                <w:lang w:val="en-US"/>
              </w:rPr>
              <w:t>3 (0.3)</w:t>
            </w:r>
          </w:p>
        </w:tc>
        <w:tc>
          <w:tcPr>
            <w:tcW w:w="1383" w:type="dxa"/>
            <w:vAlign w:val="center"/>
          </w:tcPr>
          <w:p w:rsidR="00D21521" w:rsidRPr="00E0041D" w:rsidRDefault="00D21521" w:rsidP="00002931">
            <w:pPr>
              <w:spacing w:before="60" w:after="60"/>
              <w:jc w:val="center"/>
              <w:rPr>
                <w:sz w:val="20"/>
                <w:lang w:val="en-US"/>
              </w:rPr>
            </w:pPr>
            <w:r w:rsidRPr="00E0041D">
              <w:rPr>
                <w:sz w:val="20"/>
                <w:lang w:val="en-US"/>
              </w:rPr>
              <w:t>5 (0.5)</w:t>
            </w:r>
          </w:p>
        </w:tc>
      </w:tr>
    </w:tbl>
    <w:p w:rsidR="00D21521" w:rsidRPr="00D21521" w:rsidRDefault="00D21521" w:rsidP="00DA0717">
      <w:pPr>
        <w:ind w:left="284"/>
        <w:rPr>
          <w:sz w:val="16"/>
          <w:szCs w:val="16"/>
          <w:lang w:val="en-US"/>
        </w:rPr>
      </w:pPr>
      <w:r w:rsidRPr="00D21521">
        <w:rPr>
          <w:sz w:val="16"/>
          <w:szCs w:val="16"/>
          <w:lang w:val="en-US"/>
        </w:rPr>
        <w:t>AE, adverse event; NRT=Nicotine replacement therapy patch</w:t>
      </w:r>
    </w:p>
    <w:p w:rsidR="00D21521" w:rsidRPr="00D21521" w:rsidRDefault="00D21521" w:rsidP="00D21521">
      <w:pPr>
        <w:rPr>
          <w:lang w:val="en-US"/>
        </w:rPr>
      </w:pPr>
    </w:p>
    <w:p w:rsidR="00D21521" w:rsidRPr="00D21521" w:rsidRDefault="00D21521" w:rsidP="00D21521">
      <w:pPr>
        <w:ind w:left="851"/>
        <w:rPr>
          <w:sz w:val="24"/>
          <w:szCs w:val="24"/>
          <w:lang w:val="en-US"/>
        </w:rPr>
      </w:pPr>
      <w:r w:rsidRPr="00D21521">
        <w:rPr>
          <w:sz w:val="24"/>
          <w:szCs w:val="24"/>
          <w:lang w:val="en-US"/>
        </w:rPr>
        <w:t>The rates of events in the composite endpoint were low across all treatment groups and were similar or lower for each of the active treatments compared to placebo. The use of varenicline, bupropion and NRT in the non-psychiatric cohort was not associated with a significantly increased risk of NPS adverse events in the composite primary endpoint compared with placebo (95 % CIs were lower than or included zero).</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The percentage of subjects with suicidal ideation and/or behaviour based on the Columbia-Suicide Severity Rating Scale (C-SSRS) was similar between the varenicline and placebo groups during treatment and in the non- treatment follow-up, as shown in the following table:</w:t>
      </w:r>
    </w:p>
    <w:p w:rsidR="00D21521" w:rsidRPr="00D21521" w:rsidRDefault="00D21521" w:rsidP="00D21521">
      <w:pPr>
        <w:rPr>
          <w:lang w:val="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1"/>
        <w:gridCol w:w="1822"/>
        <w:gridCol w:w="1817"/>
        <w:gridCol w:w="1806"/>
        <w:gridCol w:w="1806"/>
      </w:tblGrid>
      <w:tr w:rsidR="00D21521" w:rsidRPr="00E0041D" w:rsidTr="00002931">
        <w:trPr>
          <w:trHeight w:val="487"/>
          <w:jc w:val="center"/>
        </w:trPr>
        <w:tc>
          <w:tcPr>
            <w:tcW w:w="1821" w:type="dxa"/>
            <w:vMerge w:val="restart"/>
          </w:tcPr>
          <w:p w:rsidR="00D21521" w:rsidRPr="00E0041D" w:rsidRDefault="00D21521" w:rsidP="00002931">
            <w:pPr>
              <w:spacing w:before="60" w:after="60"/>
              <w:rPr>
                <w:sz w:val="20"/>
                <w:lang w:val="en-US"/>
              </w:rPr>
            </w:pPr>
          </w:p>
        </w:tc>
        <w:tc>
          <w:tcPr>
            <w:tcW w:w="7251" w:type="dxa"/>
            <w:gridSpan w:val="4"/>
          </w:tcPr>
          <w:p w:rsidR="00D21521" w:rsidRPr="00303937" w:rsidRDefault="00D21521" w:rsidP="00002931">
            <w:pPr>
              <w:spacing w:before="60" w:after="60"/>
              <w:jc w:val="center"/>
              <w:rPr>
                <w:b/>
                <w:sz w:val="20"/>
                <w:lang w:val="en-US"/>
              </w:rPr>
            </w:pPr>
            <w:r w:rsidRPr="00303937">
              <w:rPr>
                <w:b/>
                <w:sz w:val="20"/>
                <w:lang w:val="en-US"/>
              </w:rPr>
              <w:t>Non-psychiatric Cohort</w:t>
            </w:r>
          </w:p>
          <w:p w:rsidR="00D21521" w:rsidRPr="00303937" w:rsidRDefault="00D21521" w:rsidP="00002931">
            <w:pPr>
              <w:spacing w:before="60" w:after="60"/>
              <w:jc w:val="center"/>
              <w:rPr>
                <w:b/>
                <w:sz w:val="20"/>
                <w:lang w:val="en-US"/>
              </w:rPr>
            </w:pPr>
            <w:r w:rsidRPr="00303937">
              <w:rPr>
                <w:b/>
                <w:sz w:val="20"/>
                <w:lang w:val="en-US"/>
              </w:rPr>
              <w:t>N=3,984</w:t>
            </w:r>
          </w:p>
        </w:tc>
      </w:tr>
      <w:tr w:rsidR="00D21521" w:rsidRPr="00E0041D" w:rsidTr="00002931">
        <w:trPr>
          <w:trHeight w:val="975"/>
          <w:jc w:val="center"/>
        </w:trPr>
        <w:tc>
          <w:tcPr>
            <w:tcW w:w="1821" w:type="dxa"/>
            <w:vMerge/>
            <w:tcBorders>
              <w:top w:val="nil"/>
            </w:tcBorders>
          </w:tcPr>
          <w:p w:rsidR="00D21521" w:rsidRPr="00E0041D" w:rsidRDefault="00D21521" w:rsidP="00002931">
            <w:pPr>
              <w:spacing w:before="60" w:after="60"/>
              <w:rPr>
                <w:sz w:val="20"/>
                <w:lang w:val="en-US"/>
              </w:rPr>
            </w:pPr>
          </w:p>
        </w:tc>
        <w:tc>
          <w:tcPr>
            <w:tcW w:w="1822" w:type="dxa"/>
          </w:tcPr>
          <w:p w:rsidR="00D21521" w:rsidRPr="00303937" w:rsidRDefault="00D21521" w:rsidP="00002931">
            <w:pPr>
              <w:spacing w:before="60" w:after="60"/>
              <w:jc w:val="center"/>
              <w:rPr>
                <w:b/>
                <w:sz w:val="20"/>
                <w:lang w:val="en-US"/>
              </w:rPr>
            </w:pPr>
            <w:r w:rsidRPr="00303937">
              <w:rPr>
                <w:b/>
                <w:sz w:val="20"/>
                <w:lang w:val="en-US"/>
              </w:rPr>
              <w:t>Varenicline</w:t>
            </w:r>
          </w:p>
          <w:p w:rsidR="00D21521" w:rsidRPr="00303937" w:rsidRDefault="00D21521" w:rsidP="00002931">
            <w:pPr>
              <w:spacing w:before="60" w:after="60"/>
              <w:jc w:val="center"/>
              <w:rPr>
                <w:b/>
                <w:sz w:val="20"/>
                <w:lang w:val="en-US"/>
              </w:rPr>
            </w:pPr>
            <w:r w:rsidRPr="00303937">
              <w:rPr>
                <w:b/>
                <w:sz w:val="20"/>
                <w:lang w:val="en-US"/>
              </w:rPr>
              <w:t>N=990</w:t>
            </w:r>
          </w:p>
          <w:p w:rsidR="00D21521" w:rsidRPr="00303937" w:rsidRDefault="00D21521" w:rsidP="00002931">
            <w:pPr>
              <w:spacing w:before="60" w:after="60"/>
              <w:jc w:val="center"/>
              <w:rPr>
                <w:b/>
                <w:sz w:val="20"/>
                <w:lang w:val="en-US"/>
              </w:rPr>
            </w:pPr>
            <w:r w:rsidRPr="00303937">
              <w:rPr>
                <w:b/>
                <w:sz w:val="20"/>
                <w:lang w:val="en-US"/>
              </w:rPr>
              <w:t>n (%)</w:t>
            </w:r>
          </w:p>
        </w:tc>
        <w:tc>
          <w:tcPr>
            <w:tcW w:w="1817" w:type="dxa"/>
          </w:tcPr>
          <w:p w:rsidR="00D21521" w:rsidRPr="00303937" w:rsidRDefault="00D21521" w:rsidP="00002931">
            <w:pPr>
              <w:spacing w:before="60" w:after="60"/>
              <w:jc w:val="center"/>
              <w:rPr>
                <w:b/>
                <w:sz w:val="20"/>
                <w:lang w:val="en-US"/>
              </w:rPr>
            </w:pPr>
            <w:r w:rsidRPr="00303937">
              <w:rPr>
                <w:b/>
                <w:sz w:val="20"/>
                <w:lang w:val="en-US"/>
              </w:rPr>
              <w:t>Bupropion</w:t>
            </w:r>
          </w:p>
          <w:p w:rsidR="00D21521" w:rsidRPr="00303937" w:rsidRDefault="00D21521" w:rsidP="00002931">
            <w:pPr>
              <w:spacing w:before="60" w:after="60"/>
              <w:jc w:val="center"/>
              <w:rPr>
                <w:b/>
                <w:sz w:val="20"/>
                <w:lang w:val="en-US"/>
              </w:rPr>
            </w:pPr>
            <w:r w:rsidRPr="00303937">
              <w:rPr>
                <w:b/>
                <w:sz w:val="20"/>
                <w:lang w:val="en-US"/>
              </w:rPr>
              <w:t>N=989</w:t>
            </w:r>
          </w:p>
          <w:p w:rsidR="00D21521" w:rsidRPr="00303937" w:rsidRDefault="00D21521" w:rsidP="00002931">
            <w:pPr>
              <w:spacing w:before="60" w:after="60"/>
              <w:jc w:val="center"/>
              <w:rPr>
                <w:b/>
                <w:sz w:val="20"/>
                <w:lang w:val="en-US"/>
              </w:rPr>
            </w:pPr>
            <w:r w:rsidRPr="00303937">
              <w:rPr>
                <w:b/>
                <w:sz w:val="20"/>
                <w:lang w:val="en-US"/>
              </w:rPr>
              <w:t>n (%)</w:t>
            </w:r>
          </w:p>
        </w:tc>
        <w:tc>
          <w:tcPr>
            <w:tcW w:w="1806" w:type="dxa"/>
          </w:tcPr>
          <w:p w:rsidR="00D21521" w:rsidRPr="00303937" w:rsidRDefault="00D21521" w:rsidP="00002931">
            <w:pPr>
              <w:spacing w:before="60" w:after="60"/>
              <w:jc w:val="center"/>
              <w:rPr>
                <w:b/>
                <w:sz w:val="20"/>
                <w:lang w:val="en-US"/>
              </w:rPr>
            </w:pPr>
            <w:r w:rsidRPr="00303937">
              <w:rPr>
                <w:b/>
                <w:sz w:val="20"/>
                <w:lang w:val="en-US"/>
              </w:rPr>
              <w:t>NRT</w:t>
            </w:r>
          </w:p>
          <w:p w:rsidR="00D21521" w:rsidRPr="00303937" w:rsidRDefault="00D21521" w:rsidP="00002931">
            <w:pPr>
              <w:spacing w:before="60" w:after="60"/>
              <w:jc w:val="center"/>
              <w:rPr>
                <w:b/>
                <w:sz w:val="20"/>
                <w:lang w:val="en-US"/>
              </w:rPr>
            </w:pPr>
            <w:r w:rsidRPr="00303937">
              <w:rPr>
                <w:b/>
                <w:sz w:val="20"/>
                <w:lang w:val="en-US"/>
              </w:rPr>
              <w:t>N=1,006</w:t>
            </w:r>
          </w:p>
          <w:p w:rsidR="00D21521" w:rsidRPr="00303937" w:rsidRDefault="00D21521" w:rsidP="00002931">
            <w:pPr>
              <w:spacing w:before="60" w:after="60"/>
              <w:jc w:val="center"/>
              <w:rPr>
                <w:b/>
                <w:sz w:val="20"/>
                <w:lang w:val="en-US"/>
              </w:rPr>
            </w:pPr>
            <w:r w:rsidRPr="00303937">
              <w:rPr>
                <w:b/>
                <w:sz w:val="20"/>
                <w:lang w:val="en-US"/>
              </w:rPr>
              <w:t>n (%)</w:t>
            </w:r>
          </w:p>
        </w:tc>
        <w:tc>
          <w:tcPr>
            <w:tcW w:w="1806" w:type="dxa"/>
          </w:tcPr>
          <w:p w:rsidR="00D21521" w:rsidRPr="00303937" w:rsidRDefault="00D21521" w:rsidP="00002931">
            <w:pPr>
              <w:spacing w:before="60" w:after="60"/>
              <w:jc w:val="center"/>
              <w:rPr>
                <w:b/>
                <w:sz w:val="20"/>
                <w:lang w:val="en-US"/>
              </w:rPr>
            </w:pPr>
            <w:r w:rsidRPr="00303937">
              <w:rPr>
                <w:b/>
                <w:sz w:val="20"/>
                <w:lang w:val="en-US"/>
              </w:rPr>
              <w:t>Placebo</w:t>
            </w:r>
          </w:p>
          <w:p w:rsidR="00D21521" w:rsidRPr="00303937" w:rsidRDefault="00D21521" w:rsidP="00002931">
            <w:pPr>
              <w:spacing w:before="60" w:after="60"/>
              <w:jc w:val="center"/>
              <w:rPr>
                <w:b/>
                <w:sz w:val="20"/>
                <w:lang w:val="en-US"/>
              </w:rPr>
            </w:pPr>
            <w:r w:rsidRPr="00303937">
              <w:rPr>
                <w:b/>
                <w:sz w:val="20"/>
                <w:lang w:val="en-US"/>
              </w:rPr>
              <w:t>N=999</w:t>
            </w:r>
          </w:p>
          <w:p w:rsidR="00D21521" w:rsidRPr="00303937" w:rsidRDefault="00D21521" w:rsidP="00002931">
            <w:pPr>
              <w:spacing w:before="60" w:after="60"/>
              <w:jc w:val="center"/>
              <w:rPr>
                <w:b/>
                <w:sz w:val="20"/>
                <w:lang w:val="en-US"/>
              </w:rPr>
            </w:pPr>
            <w:r w:rsidRPr="00303937">
              <w:rPr>
                <w:b/>
                <w:sz w:val="20"/>
                <w:lang w:val="en-US"/>
              </w:rPr>
              <w:t>n (%)</w:t>
            </w:r>
          </w:p>
        </w:tc>
      </w:tr>
      <w:tr w:rsidR="00D21521" w:rsidRPr="00E0041D" w:rsidTr="00002931">
        <w:trPr>
          <w:trHeight w:val="245"/>
          <w:jc w:val="center"/>
        </w:trPr>
        <w:tc>
          <w:tcPr>
            <w:tcW w:w="9072" w:type="dxa"/>
            <w:gridSpan w:val="5"/>
            <w:vAlign w:val="center"/>
          </w:tcPr>
          <w:p w:rsidR="00D21521" w:rsidRPr="00303937" w:rsidRDefault="00D21521" w:rsidP="00002931">
            <w:pPr>
              <w:spacing w:before="60" w:after="60"/>
              <w:rPr>
                <w:b/>
                <w:sz w:val="20"/>
                <w:lang w:val="en-US"/>
              </w:rPr>
            </w:pPr>
            <w:r w:rsidRPr="00303937">
              <w:rPr>
                <w:b/>
                <w:sz w:val="20"/>
                <w:lang w:val="en-US"/>
              </w:rPr>
              <w:t>During treatment</w:t>
            </w:r>
          </w:p>
        </w:tc>
      </w:tr>
      <w:tr w:rsidR="00D21521" w:rsidRPr="00E0041D" w:rsidTr="00002931">
        <w:trPr>
          <w:trHeight w:val="243"/>
          <w:jc w:val="center"/>
        </w:trPr>
        <w:tc>
          <w:tcPr>
            <w:tcW w:w="1821" w:type="dxa"/>
            <w:vAlign w:val="center"/>
          </w:tcPr>
          <w:p w:rsidR="00D21521" w:rsidRPr="00E0041D" w:rsidRDefault="00D21521" w:rsidP="00002931">
            <w:pPr>
              <w:spacing w:before="60" w:after="60"/>
              <w:rPr>
                <w:sz w:val="20"/>
                <w:lang w:val="en-US"/>
              </w:rPr>
            </w:pPr>
            <w:r w:rsidRPr="00E0041D">
              <w:rPr>
                <w:sz w:val="20"/>
                <w:lang w:val="en-US"/>
              </w:rPr>
              <w:t>Number assessed</w:t>
            </w:r>
          </w:p>
        </w:tc>
        <w:tc>
          <w:tcPr>
            <w:tcW w:w="1822" w:type="dxa"/>
            <w:vAlign w:val="center"/>
          </w:tcPr>
          <w:p w:rsidR="00D21521" w:rsidRPr="00E0041D" w:rsidRDefault="00D21521" w:rsidP="00002931">
            <w:pPr>
              <w:spacing w:before="60" w:after="60"/>
              <w:jc w:val="center"/>
              <w:rPr>
                <w:sz w:val="20"/>
                <w:lang w:val="en-US"/>
              </w:rPr>
            </w:pPr>
            <w:r w:rsidRPr="00E0041D">
              <w:rPr>
                <w:sz w:val="20"/>
                <w:lang w:val="en-US"/>
              </w:rPr>
              <w:t>988</w:t>
            </w:r>
          </w:p>
        </w:tc>
        <w:tc>
          <w:tcPr>
            <w:tcW w:w="1817" w:type="dxa"/>
            <w:vAlign w:val="center"/>
          </w:tcPr>
          <w:p w:rsidR="00D21521" w:rsidRPr="00E0041D" w:rsidRDefault="00D21521" w:rsidP="00002931">
            <w:pPr>
              <w:spacing w:before="60" w:after="60"/>
              <w:jc w:val="center"/>
              <w:rPr>
                <w:sz w:val="20"/>
                <w:lang w:val="en-US"/>
              </w:rPr>
            </w:pPr>
            <w:r w:rsidRPr="00E0041D">
              <w:rPr>
                <w:sz w:val="20"/>
                <w:lang w:val="en-US"/>
              </w:rPr>
              <w:t>983</w:t>
            </w:r>
          </w:p>
        </w:tc>
        <w:tc>
          <w:tcPr>
            <w:tcW w:w="1806" w:type="dxa"/>
            <w:vAlign w:val="center"/>
          </w:tcPr>
          <w:p w:rsidR="00D21521" w:rsidRPr="00E0041D" w:rsidRDefault="00D21521" w:rsidP="00002931">
            <w:pPr>
              <w:spacing w:before="60" w:after="60"/>
              <w:jc w:val="center"/>
              <w:rPr>
                <w:sz w:val="20"/>
                <w:lang w:val="en-US"/>
              </w:rPr>
            </w:pPr>
            <w:r w:rsidRPr="00E0041D">
              <w:rPr>
                <w:sz w:val="20"/>
                <w:lang w:val="en-US"/>
              </w:rPr>
              <w:t>996</w:t>
            </w:r>
          </w:p>
        </w:tc>
        <w:tc>
          <w:tcPr>
            <w:tcW w:w="1806" w:type="dxa"/>
            <w:vAlign w:val="center"/>
          </w:tcPr>
          <w:p w:rsidR="00D21521" w:rsidRPr="00E0041D" w:rsidRDefault="00D21521" w:rsidP="00002931">
            <w:pPr>
              <w:spacing w:before="60" w:after="60"/>
              <w:jc w:val="center"/>
              <w:rPr>
                <w:sz w:val="20"/>
                <w:lang w:val="en-US"/>
              </w:rPr>
            </w:pPr>
            <w:r w:rsidRPr="00E0041D">
              <w:rPr>
                <w:sz w:val="20"/>
                <w:lang w:val="en-US"/>
              </w:rPr>
              <w:t>995</w:t>
            </w:r>
          </w:p>
        </w:tc>
      </w:tr>
      <w:tr w:rsidR="00D21521" w:rsidRPr="00E0041D" w:rsidTr="00002931">
        <w:trPr>
          <w:trHeight w:val="731"/>
          <w:jc w:val="center"/>
        </w:trPr>
        <w:tc>
          <w:tcPr>
            <w:tcW w:w="1821" w:type="dxa"/>
            <w:vAlign w:val="center"/>
          </w:tcPr>
          <w:p w:rsidR="00D21521" w:rsidRPr="00E0041D" w:rsidRDefault="00D21521" w:rsidP="00002931">
            <w:pPr>
              <w:spacing w:before="60" w:after="60"/>
              <w:rPr>
                <w:sz w:val="20"/>
                <w:lang w:val="en-US"/>
              </w:rPr>
            </w:pPr>
            <w:r w:rsidRPr="00E0041D">
              <w:rPr>
                <w:sz w:val="20"/>
                <w:lang w:val="en-US"/>
              </w:rPr>
              <w:t>Suicidal</w:t>
            </w:r>
            <w:r>
              <w:rPr>
                <w:sz w:val="20"/>
                <w:lang w:val="en-US"/>
              </w:rPr>
              <w:t xml:space="preserve"> </w:t>
            </w:r>
            <w:r w:rsidRPr="00E0041D">
              <w:rPr>
                <w:sz w:val="20"/>
                <w:lang w:val="en-US"/>
              </w:rPr>
              <w:t>behaviour and/or ideation</w:t>
            </w:r>
          </w:p>
        </w:tc>
        <w:tc>
          <w:tcPr>
            <w:tcW w:w="1822" w:type="dxa"/>
            <w:vAlign w:val="center"/>
          </w:tcPr>
          <w:p w:rsidR="00D21521" w:rsidRPr="00E0041D" w:rsidRDefault="00D21521" w:rsidP="00002931">
            <w:pPr>
              <w:spacing w:before="60" w:after="60"/>
              <w:jc w:val="center"/>
              <w:rPr>
                <w:sz w:val="20"/>
                <w:lang w:val="en-US"/>
              </w:rPr>
            </w:pPr>
            <w:r w:rsidRPr="00E0041D">
              <w:rPr>
                <w:sz w:val="20"/>
                <w:lang w:val="en-US"/>
              </w:rPr>
              <w:t>7 (0.7)</w:t>
            </w:r>
          </w:p>
        </w:tc>
        <w:tc>
          <w:tcPr>
            <w:tcW w:w="1817" w:type="dxa"/>
            <w:vAlign w:val="center"/>
          </w:tcPr>
          <w:p w:rsidR="00D21521" w:rsidRPr="00E0041D" w:rsidRDefault="00D21521" w:rsidP="00002931">
            <w:pPr>
              <w:spacing w:before="60" w:after="60"/>
              <w:jc w:val="center"/>
              <w:rPr>
                <w:sz w:val="20"/>
                <w:lang w:val="en-US"/>
              </w:rPr>
            </w:pPr>
            <w:r w:rsidRPr="00E0041D">
              <w:rPr>
                <w:sz w:val="20"/>
                <w:lang w:val="en-US"/>
              </w:rPr>
              <w:t>4 (0.4)</w:t>
            </w:r>
          </w:p>
        </w:tc>
        <w:tc>
          <w:tcPr>
            <w:tcW w:w="1806" w:type="dxa"/>
            <w:vAlign w:val="center"/>
          </w:tcPr>
          <w:p w:rsidR="00D21521" w:rsidRPr="00E0041D" w:rsidRDefault="00D21521" w:rsidP="00002931">
            <w:pPr>
              <w:spacing w:before="60" w:after="60"/>
              <w:jc w:val="center"/>
              <w:rPr>
                <w:sz w:val="20"/>
                <w:lang w:val="en-US"/>
              </w:rPr>
            </w:pPr>
            <w:r w:rsidRPr="00E0041D">
              <w:rPr>
                <w:sz w:val="20"/>
                <w:lang w:val="en-US"/>
              </w:rPr>
              <w:t>3 (0.3)</w:t>
            </w:r>
          </w:p>
        </w:tc>
        <w:tc>
          <w:tcPr>
            <w:tcW w:w="1806" w:type="dxa"/>
            <w:vAlign w:val="center"/>
          </w:tcPr>
          <w:p w:rsidR="00D21521" w:rsidRPr="00E0041D" w:rsidRDefault="00D21521" w:rsidP="00002931">
            <w:pPr>
              <w:spacing w:before="60" w:after="60"/>
              <w:jc w:val="center"/>
              <w:rPr>
                <w:sz w:val="20"/>
                <w:lang w:val="en-US"/>
              </w:rPr>
            </w:pPr>
            <w:r w:rsidRPr="00E0041D">
              <w:rPr>
                <w:sz w:val="20"/>
                <w:lang w:val="en-US"/>
              </w:rPr>
              <w:t>7 (0.7)</w:t>
            </w:r>
          </w:p>
        </w:tc>
      </w:tr>
      <w:tr w:rsidR="00D21521" w:rsidRPr="00E0041D" w:rsidTr="00002931">
        <w:trPr>
          <w:trHeight w:val="489"/>
          <w:jc w:val="center"/>
        </w:trPr>
        <w:tc>
          <w:tcPr>
            <w:tcW w:w="1821" w:type="dxa"/>
            <w:vAlign w:val="center"/>
          </w:tcPr>
          <w:p w:rsidR="00D21521" w:rsidRPr="00E0041D" w:rsidRDefault="00D21521" w:rsidP="00002931">
            <w:pPr>
              <w:spacing w:before="60" w:after="60"/>
              <w:rPr>
                <w:sz w:val="20"/>
                <w:lang w:val="en-US"/>
              </w:rPr>
            </w:pPr>
            <w:r w:rsidRPr="00E0041D">
              <w:rPr>
                <w:sz w:val="20"/>
                <w:lang w:val="en-US"/>
              </w:rPr>
              <w:t>Suicidal behaviour</w:t>
            </w:r>
          </w:p>
        </w:tc>
        <w:tc>
          <w:tcPr>
            <w:tcW w:w="1822" w:type="dxa"/>
            <w:vAlign w:val="center"/>
          </w:tcPr>
          <w:p w:rsidR="00D21521" w:rsidRPr="00E0041D" w:rsidRDefault="00D21521" w:rsidP="00002931">
            <w:pPr>
              <w:spacing w:before="60" w:after="60"/>
              <w:jc w:val="center"/>
              <w:rPr>
                <w:sz w:val="20"/>
                <w:lang w:val="en-US"/>
              </w:rPr>
            </w:pPr>
            <w:r w:rsidRPr="00E0041D">
              <w:rPr>
                <w:sz w:val="20"/>
                <w:lang w:val="en-US"/>
              </w:rPr>
              <w:t>0</w:t>
            </w:r>
          </w:p>
        </w:tc>
        <w:tc>
          <w:tcPr>
            <w:tcW w:w="1817" w:type="dxa"/>
            <w:vAlign w:val="center"/>
          </w:tcPr>
          <w:p w:rsidR="00D21521" w:rsidRPr="00E0041D" w:rsidRDefault="00D21521" w:rsidP="00002931">
            <w:pPr>
              <w:spacing w:before="60" w:after="60"/>
              <w:jc w:val="center"/>
              <w:rPr>
                <w:sz w:val="20"/>
                <w:lang w:val="en-US"/>
              </w:rPr>
            </w:pPr>
            <w:r w:rsidRPr="00E0041D">
              <w:rPr>
                <w:sz w:val="20"/>
                <w:lang w:val="en-US"/>
              </w:rPr>
              <w:t>0</w:t>
            </w:r>
          </w:p>
        </w:tc>
        <w:tc>
          <w:tcPr>
            <w:tcW w:w="1806" w:type="dxa"/>
            <w:vAlign w:val="center"/>
          </w:tcPr>
          <w:p w:rsidR="00D21521" w:rsidRPr="00E0041D" w:rsidRDefault="00D21521" w:rsidP="00002931">
            <w:pPr>
              <w:spacing w:before="60" w:after="60"/>
              <w:jc w:val="center"/>
              <w:rPr>
                <w:sz w:val="20"/>
                <w:lang w:val="en-US"/>
              </w:rPr>
            </w:pPr>
            <w:r w:rsidRPr="00E0041D">
              <w:rPr>
                <w:sz w:val="20"/>
                <w:lang w:val="en-US"/>
              </w:rPr>
              <w:t>1 (0.1)</w:t>
            </w:r>
          </w:p>
        </w:tc>
        <w:tc>
          <w:tcPr>
            <w:tcW w:w="1806" w:type="dxa"/>
            <w:vAlign w:val="center"/>
          </w:tcPr>
          <w:p w:rsidR="00D21521" w:rsidRPr="00E0041D" w:rsidRDefault="00D21521" w:rsidP="00002931">
            <w:pPr>
              <w:spacing w:before="60" w:after="60"/>
              <w:jc w:val="center"/>
              <w:rPr>
                <w:sz w:val="20"/>
                <w:lang w:val="en-US"/>
              </w:rPr>
            </w:pPr>
            <w:r w:rsidRPr="00E0041D">
              <w:rPr>
                <w:sz w:val="20"/>
                <w:lang w:val="en-US"/>
              </w:rPr>
              <w:t>1 (0.1)</w:t>
            </w:r>
          </w:p>
        </w:tc>
      </w:tr>
      <w:tr w:rsidR="00D21521" w:rsidRPr="00E0041D" w:rsidTr="00002931">
        <w:trPr>
          <w:trHeight w:val="487"/>
          <w:jc w:val="center"/>
        </w:trPr>
        <w:tc>
          <w:tcPr>
            <w:tcW w:w="1821" w:type="dxa"/>
            <w:vAlign w:val="center"/>
          </w:tcPr>
          <w:p w:rsidR="00D21521" w:rsidRPr="00E0041D" w:rsidRDefault="00D21521" w:rsidP="00002931">
            <w:pPr>
              <w:spacing w:before="60" w:after="60"/>
              <w:rPr>
                <w:sz w:val="20"/>
                <w:lang w:val="en-US"/>
              </w:rPr>
            </w:pPr>
            <w:r w:rsidRPr="00E0041D">
              <w:rPr>
                <w:sz w:val="20"/>
                <w:lang w:val="en-US"/>
              </w:rPr>
              <w:t>Suicidal</w:t>
            </w:r>
            <w:r>
              <w:rPr>
                <w:sz w:val="20"/>
                <w:lang w:val="en-US"/>
              </w:rPr>
              <w:t xml:space="preserve"> </w:t>
            </w:r>
            <w:r w:rsidRPr="00E0041D">
              <w:rPr>
                <w:sz w:val="20"/>
                <w:lang w:val="en-US"/>
              </w:rPr>
              <w:t>ideation</w:t>
            </w:r>
          </w:p>
        </w:tc>
        <w:tc>
          <w:tcPr>
            <w:tcW w:w="1822" w:type="dxa"/>
            <w:vAlign w:val="center"/>
          </w:tcPr>
          <w:p w:rsidR="00D21521" w:rsidRPr="00E0041D" w:rsidRDefault="00D21521" w:rsidP="00002931">
            <w:pPr>
              <w:spacing w:before="60" w:after="60"/>
              <w:jc w:val="center"/>
              <w:rPr>
                <w:sz w:val="20"/>
                <w:lang w:val="en-US"/>
              </w:rPr>
            </w:pPr>
            <w:r w:rsidRPr="00E0041D">
              <w:rPr>
                <w:sz w:val="20"/>
                <w:lang w:val="en-US"/>
              </w:rPr>
              <w:t>7 (0.7)</w:t>
            </w:r>
          </w:p>
        </w:tc>
        <w:tc>
          <w:tcPr>
            <w:tcW w:w="1817" w:type="dxa"/>
            <w:vAlign w:val="center"/>
          </w:tcPr>
          <w:p w:rsidR="00D21521" w:rsidRPr="00E0041D" w:rsidRDefault="00D21521" w:rsidP="00002931">
            <w:pPr>
              <w:spacing w:before="60" w:after="60"/>
              <w:jc w:val="center"/>
              <w:rPr>
                <w:sz w:val="20"/>
                <w:lang w:val="en-US"/>
              </w:rPr>
            </w:pPr>
            <w:r w:rsidRPr="00E0041D">
              <w:rPr>
                <w:sz w:val="20"/>
                <w:lang w:val="en-US"/>
              </w:rPr>
              <w:t>4 (0.4)</w:t>
            </w:r>
          </w:p>
        </w:tc>
        <w:tc>
          <w:tcPr>
            <w:tcW w:w="1806" w:type="dxa"/>
            <w:vAlign w:val="center"/>
          </w:tcPr>
          <w:p w:rsidR="00D21521" w:rsidRPr="00E0041D" w:rsidRDefault="00D21521" w:rsidP="00002931">
            <w:pPr>
              <w:spacing w:before="60" w:after="60"/>
              <w:jc w:val="center"/>
              <w:rPr>
                <w:sz w:val="20"/>
                <w:lang w:val="en-US"/>
              </w:rPr>
            </w:pPr>
            <w:r w:rsidRPr="00E0041D">
              <w:rPr>
                <w:sz w:val="20"/>
                <w:lang w:val="en-US"/>
              </w:rPr>
              <w:t>3 (0.3)</w:t>
            </w:r>
          </w:p>
        </w:tc>
        <w:tc>
          <w:tcPr>
            <w:tcW w:w="1806" w:type="dxa"/>
            <w:vAlign w:val="center"/>
          </w:tcPr>
          <w:p w:rsidR="00D21521" w:rsidRPr="00E0041D" w:rsidRDefault="00D21521" w:rsidP="00002931">
            <w:pPr>
              <w:spacing w:before="60" w:after="60"/>
              <w:jc w:val="center"/>
              <w:rPr>
                <w:sz w:val="20"/>
                <w:lang w:val="en-US"/>
              </w:rPr>
            </w:pPr>
            <w:r w:rsidRPr="00E0041D">
              <w:rPr>
                <w:sz w:val="20"/>
                <w:lang w:val="en-US"/>
              </w:rPr>
              <w:t>6 (0.6)</w:t>
            </w:r>
          </w:p>
        </w:tc>
      </w:tr>
      <w:tr w:rsidR="00D21521" w:rsidRPr="00E0041D" w:rsidTr="00002931">
        <w:trPr>
          <w:trHeight w:val="243"/>
          <w:jc w:val="center"/>
        </w:trPr>
        <w:tc>
          <w:tcPr>
            <w:tcW w:w="9072" w:type="dxa"/>
            <w:gridSpan w:val="5"/>
            <w:vAlign w:val="center"/>
          </w:tcPr>
          <w:p w:rsidR="00D21521" w:rsidRPr="00303937" w:rsidRDefault="00D21521" w:rsidP="00002931">
            <w:pPr>
              <w:spacing w:before="60" w:after="60"/>
              <w:rPr>
                <w:b/>
                <w:sz w:val="20"/>
                <w:lang w:val="en-US"/>
              </w:rPr>
            </w:pPr>
            <w:r w:rsidRPr="00303937">
              <w:rPr>
                <w:b/>
                <w:sz w:val="20"/>
                <w:lang w:val="en-US"/>
              </w:rPr>
              <w:t>During follow up</w:t>
            </w:r>
          </w:p>
        </w:tc>
      </w:tr>
      <w:tr w:rsidR="00D21521" w:rsidRPr="00E0041D" w:rsidTr="00002931">
        <w:trPr>
          <w:trHeight w:val="244"/>
          <w:jc w:val="center"/>
        </w:trPr>
        <w:tc>
          <w:tcPr>
            <w:tcW w:w="1821" w:type="dxa"/>
            <w:vAlign w:val="center"/>
          </w:tcPr>
          <w:p w:rsidR="00D21521" w:rsidRPr="00E0041D" w:rsidRDefault="00D21521" w:rsidP="00002931">
            <w:pPr>
              <w:spacing w:before="60" w:after="60"/>
              <w:rPr>
                <w:sz w:val="20"/>
                <w:lang w:val="en-US"/>
              </w:rPr>
            </w:pPr>
            <w:r w:rsidRPr="00E0041D">
              <w:rPr>
                <w:sz w:val="20"/>
                <w:lang w:val="en-US"/>
              </w:rPr>
              <w:t>Number assessed</w:t>
            </w:r>
          </w:p>
        </w:tc>
        <w:tc>
          <w:tcPr>
            <w:tcW w:w="1822" w:type="dxa"/>
            <w:vAlign w:val="center"/>
          </w:tcPr>
          <w:p w:rsidR="00D21521" w:rsidRPr="00E0041D" w:rsidRDefault="00D21521" w:rsidP="00002931">
            <w:pPr>
              <w:spacing w:before="60" w:after="60"/>
              <w:jc w:val="center"/>
              <w:rPr>
                <w:sz w:val="20"/>
                <w:lang w:val="en-US"/>
              </w:rPr>
            </w:pPr>
            <w:r w:rsidRPr="00E0041D">
              <w:rPr>
                <w:sz w:val="20"/>
                <w:lang w:val="en-US"/>
              </w:rPr>
              <w:t>807</w:t>
            </w:r>
          </w:p>
        </w:tc>
        <w:tc>
          <w:tcPr>
            <w:tcW w:w="1817" w:type="dxa"/>
            <w:vAlign w:val="center"/>
          </w:tcPr>
          <w:p w:rsidR="00D21521" w:rsidRPr="00E0041D" w:rsidRDefault="00D21521" w:rsidP="00002931">
            <w:pPr>
              <w:spacing w:before="60" w:after="60"/>
              <w:jc w:val="center"/>
              <w:rPr>
                <w:sz w:val="20"/>
                <w:lang w:val="en-US"/>
              </w:rPr>
            </w:pPr>
            <w:r w:rsidRPr="00E0041D">
              <w:rPr>
                <w:sz w:val="20"/>
                <w:lang w:val="en-US"/>
              </w:rPr>
              <w:t>816</w:t>
            </w:r>
          </w:p>
        </w:tc>
        <w:tc>
          <w:tcPr>
            <w:tcW w:w="1806" w:type="dxa"/>
            <w:vAlign w:val="center"/>
          </w:tcPr>
          <w:p w:rsidR="00D21521" w:rsidRPr="00E0041D" w:rsidRDefault="00D21521" w:rsidP="00002931">
            <w:pPr>
              <w:spacing w:before="60" w:after="60"/>
              <w:jc w:val="center"/>
              <w:rPr>
                <w:sz w:val="20"/>
                <w:lang w:val="en-US"/>
              </w:rPr>
            </w:pPr>
            <w:r w:rsidRPr="00E0041D">
              <w:rPr>
                <w:sz w:val="20"/>
                <w:lang w:val="en-US"/>
              </w:rPr>
              <w:t>800</w:t>
            </w:r>
          </w:p>
        </w:tc>
        <w:tc>
          <w:tcPr>
            <w:tcW w:w="1806" w:type="dxa"/>
            <w:vAlign w:val="center"/>
          </w:tcPr>
          <w:p w:rsidR="00D21521" w:rsidRPr="00E0041D" w:rsidRDefault="00D21521" w:rsidP="00002931">
            <w:pPr>
              <w:spacing w:before="60" w:after="60"/>
              <w:jc w:val="center"/>
              <w:rPr>
                <w:sz w:val="20"/>
                <w:lang w:val="en-US"/>
              </w:rPr>
            </w:pPr>
            <w:r w:rsidRPr="00E0041D">
              <w:rPr>
                <w:sz w:val="20"/>
                <w:lang w:val="en-US"/>
              </w:rPr>
              <w:t>805</w:t>
            </w:r>
          </w:p>
        </w:tc>
      </w:tr>
      <w:tr w:rsidR="00D21521" w:rsidRPr="00E0041D" w:rsidTr="00002931">
        <w:trPr>
          <w:trHeight w:val="731"/>
          <w:jc w:val="center"/>
        </w:trPr>
        <w:tc>
          <w:tcPr>
            <w:tcW w:w="1821" w:type="dxa"/>
            <w:vAlign w:val="center"/>
          </w:tcPr>
          <w:p w:rsidR="00D21521" w:rsidRPr="00E0041D" w:rsidRDefault="00D21521" w:rsidP="00002931">
            <w:pPr>
              <w:spacing w:before="60" w:after="60"/>
              <w:rPr>
                <w:sz w:val="20"/>
                <w:lang w:val="en-US"/>
              </w:rPr>
            </w:pPr>
            <w:r w:rsidRPr="00E0041D">
              <w:rPr>
                <w:sz w:val="20"/>
                <w:lang w:val="en-US"/>
              </w:rPr>
              <w:t>Suicidal behaviour and/or</w:t>
            </w:r>
            <w:r>
              <w:rPr>
                <w:sz w:val="20"/>
                <w:lang w:val="en-US"/>
              </w:rPr>
              <w:t xml:space="preserve"> </w:t>
            </w:r>
            <w:r w:rsidRPr="00E0041D">
              <w:rPr>
                <w:sz w:val="20"/>
                <w:lang w:val="en-US"/>
              </w:rPr>
              <w:t>ideation</w:t>
            </w:r>
          </w:p>
        </w:tc>
        <w:tc>
          <w:tcPr>
            <w:tcW w:w="1822" w:type="dxa"/>
            <w:vAlign w:val="center"/>
          </w:tcPr>
          <w:p w:rsidR="00D21521" w:rsidRPr="00E0041D" w:rsidRDefault="00D21521" w:rsidP="00002931">
            <w:pPr>
              <w:spacing w:before="60" w:after="60"/>
              <w:jc w:val="center"/>
              <w:rPr>
                <w:sz w:val="20"/>
                <w:lang w:val="en-US"/>
              </w:rPr>
            </w:pPr>
            <w:r w:rsidRPr="00E0041D">
              <w:rPr>
                <w:sz w:val="20"/>
                <w:lang w:val="en-US"/>
              </w:rPr>
              <w:t>3 (0.4)</w:t>
            </w:r>
          </w:p>
        </w:tc>
        <w:tc>
          <w:tcPr>
            <w:tcW w:w="1817" w:type="dxa"/>
            <w:vAlign w:val="center"/>
          </w:tcPr>
          <w:p w:rsidR="00D21521" w:rsidRPr="00E0041D" w:rsidRDefault="00D21521" w:rsidP="00002931">
            <w:pPr>
              <w:spacing w:before="60" w:after="60"/>
              <w:jc w:val="center"/>
              <w:rPr>
                <w:sz w:val="20"/>
                <w:lang w:val="en-US"/>
              </w:rPr>
            </w:pPr>
            <w:r w:rsidRPr="00E0041D">
              <w:rPr>
                <w:sz w:val="20"/>
                <w:lang w:val="en-US"/>
              </w:rPr>
              <w:t>2 (0.2)</w:t>
            </w:r>
          </w:p>
        </w:tc>
        <w:tc>
          <w:tcPr>
            <w:tcW w:w="1806" w:type="dxa"/>
            <w:vAlign w:val="center"/>
          </w:tcPr>
          <w:p w:rsidR="00D21521" w:rsidRPr="00E0041D" w:rsidRDefault="00D21521" w:rsidP="00002931">
            <w:pPr>
              <w:spacing w:before="60" w:after="60"/>
              <w:jc w:val="center"/>
              <w:rPr>
                <w:sz w:val="20"/>
                <w:lang w:val="en-US"/>
              </w:rPr>
            </w:pPr>
            <w:r w:rsidRPr="00E0041D">
              <w:rPr>
                <w:sz w:val="20"/>
                <w:lang w:val="en-US"/>
              </w:rPr>
              <w:t>3 (0.4)</w:t>
            </w:r>
          </w:p>
        </w:tc>
        <w:tc>
          <w:tcPr>
            <w:tcW w:w="1806" w:type="dxa"/>
            <w:vAlign w:val="center"/>
          </w:tcPr>
          <w:p w:rsidR="00D21521" w:rsidRPr="00E0041D" w:rsidRDefault="00D21521" w:rsidP="00002931">
            <w:pPr>
              <w:spacing w:before="60" w:after="60"/>
              <w:jc w:val="center"/>
              <w:rPr>
                <w:sz w:val="20"/>
                <w:lang w:val="en-US"/>
              </w:rPr>
            </w:pPr>
            <w:r w:rsidRPr="00E0041D">
              <w:rPr>
                <w:sz w:val="20"/>
                <w:lang w:val="en-US"/>
              </w:rPr>
              <w:t>4 (0.5)</w:t>
            </w:r>
          </w:p>
        </w:tc>
      </w:tr>
      <w:tr w:rsidR="00D21521" w:rsidRPr="00E0041D" w:rsidTr="00002931">
        <w:trPr>
          <w:trHeight w:val="489"/>
          <w:jc w:val="center"/>
        </w:trPr>
        <w:tc>
          <w:tcPr>
            <w:tcW w:w="1821" w:type="dxa"/>
            <w:tcBorders>
              <w:bottom w:val="single" w:sz="4" w:space="0" w:color="000000"/>
            </w:tcBorders>
            <w:vAlign w:val="center"/>
          </w:tcPr>
          <w:p w:rsidR="00D21521" w:rsidRPr="00E0041D" w:rsidRDefault="00D21521" w:rsidP="00002931">
            <w:pPr>
              <w:spacing w:before="60" w:after="60"/>
              <w:rPr>
                <w:sz w:val="20"/>
                <w:lang w:val="en-US"/>
              </w:rPr>
            </w:pPr>
            <w:r w:rsidRPr="00E0041D">
              <w:rPr>
                <w:sz w:val="20"/>
                <w:lang w:val="en-US"/>
              </w:rPr>
              <w:t>Suicidal behaviour</w:t>
            </w:r>
          </w:p>
        </w:tc>
        <w:tc>
          <w:tcPr>
            <w:tcW w:w="1822" w:type="dxa"/>
            <w:tcBorders>
              <w:bottom w:val="single" w:sz="4" w:space="0" w:color="000000"/>
            </w:tcBorders>
            <w:vAlign w:val="center"/>
          </w:tcPr>
          <w:p w:rsidR="00D21521" w:rsidRPr="00E0041D" w:rsidRDefault="00D21521" w:rsidP="00002931">
            <w:pPr>
              <w:spacing w:before="60" w:after="60"/>
              <w:jc w:val="center"/>
              <w:rPr>
                <w:sz w:val="20"/>
                <w:lang w:val="en-US"/>
              </w:rPr>
            </w:pPr>
            <w:r w:rsidRPr="00E0041D">
              <w:rPr>
                <w:sz w:val="20"/>
                <w:lang w:val="en-US"/>
              </w:rPr>
              <w:t>0</w:t>
            </w:r>
          </w:p>
        </w:tc>
        <w:tc>
          <w:tcPr>
            <w:tcW w:w="1817" w:type="dxa"/>
            <w:tcBorders>
              <w:bottom w:val="single" w:sz="4" w:space="0" w:color="000000"/>
            </w:tcBorders>
            <w:vAlign w:val="center"/>
          </w:tcPr>
          <w:p w:rsidR="00D21521" w:rsidRPr="00E0041D" w:rsidRDefault="00D21521" w:rsidP="00002931">
            <w:pPr>
              <w:spacing w:before="60" w:after="60"/>
              <w:jc w:val="center"/>
              <w:rPr>
                <w:sz w:val="20"/>
                <w:lang w:val="en-US"/>
              </w:rPr>
            </w:pPr>
            <w:r w:rsidRPr="00E0041D">
              <w:rPr>
                <w:sz w:val="20"/>
                <w:lang w:val="en-US"/>
              </w:rPr>
              <w:t>1 (0.1)</w:t>
            </w:r>
          </w:p>
        </w:tc>
        <w:tc>
          <w:tcPr>
            <w:tcW w:w="1806" w:type="dxa"/>
            <w:tcBorders>
              <w:bottom w:val="single" w:sz="4" w:space="0" w:color="000000"/>
            </w:tcBorders>
            <w:vAlign w:val="center"/>
          </w:tcPr>
          <w:p w:rsidR="00D21521" w:rsidRPr="00E0041D" w:rsidRDefault="00D21521" w:rsidP="00002931">
            <w:pPr>
              <w:spacing w:before="60" w:after="60"/>
              <w:jc w:val="center"/>
              <w:rPr>
                <w:sz w:val="20"/>
                <w:lang w:val="en-US"/>
              </w:rPr>
            </w:pPr>
            <w:r w:rsidRPr="00E0041D">
              <w:rPr>
                <w:sz w:val="20"/>
                <w:lang w:val="en-US"/>
              </w:rPr>
              <w:t>0</w:t>
            </w:r>
          </w:p>
        </w:tc>
        <w:tc>
          <w:tcPr>
            <w:tcW w:w="1806" w:type="dxa"/>
            <w:tcBorders>
              <w:bottom w:val="single" w:sz="4" w:space="0" w:color="000000"/>
            </w:tcBorders>
            <w:vAlign w:val="center"/>
          </w:tcPr>
          <w:p w:rsidR="00D21521" w:rsidRPr="00E0041D" w:rsidRDefault="00D21521" w:rsidP="00002931">
            <w:pPr>
              <w:spacing w:before="60" w:after="60"/>
              <w:jc w:val="center"/>
              <w:rPr>
                <w:sz w:val="20"/>
                <w:lang w:val="en-US"/>
              </w:rPr>
            </w:pPr>
            <w:r w:rsidRPr="00E0041D">
              <w:rPr>
                <w:sz w:val="20"/>
                <w:lang w:val="en-US"/>
              </w:rPr>
              <w:t>0</w:t>
            </w:r>
          </w:p>
        </w:tc>
      </w:tr>
      <w:tr w:rsidR="00D21521" w:rsidRPr="00E0041D" w:rsidTr="00002931">
        <w:trPr>
          <w:trHeight w:val="489"/>
          <w:jc w:val="center"/>
        </w:trPr>
        <w:tc>
          <w:tcPr>
            <w:tcW w:w="1821" w:type="dxa"/>
            <w:tcBorders>
              <w:bottom w:val="single" w:sz="4" w:space="0" w:color="auto"/>
            </w:tcBorders>
            <w:vAlign w:val="center"/>
          </w:tcPr>
          <w:p w:rsidR="00D21521" w:rsidRPr="00E0041D" w:rsidRDefault="00D21521" w:rsidP="00002931">
            <w:pPr>
              <w:spacing w:before="60" w:after="60"/>
              <w:rPr>
                <w:sz w:val="20"/>
                <w:lang w:val="en-US"/>
              </w:rPr>
            </w:pPr>
            <w:r w:rsidRPr="00E0041D">
              <w:rPr>
                <w:sz w:val="20"/>
                <w:lang w:val="en-US"/>
              </w:rPr>
              <w:t>Suicidal ideation</w:t>
            </w:r>
          </w:p>
        </w:tc>
        <w:tc>
          <w:tcPr>
            <w:tcW w:w="1822" w:type="dxa"/>
            <w:tcBorders>
              <w:bottom w:val="single" w:sz="4" w:space="0" w:color="auto"/>
            </w:tcBorders>
            <w:vAlign w:val="center"/>
          </w:tcPr>
          <w:p w:rsidR="00D21521" w:rsidRPr="00E0041D" w:rsidRDefault="00D21521" w:rsidP="00002931">
            <w:pPr>
              <w:spacing w:before="60" w:after="60"/>
              <w:jc w:val="center"/>
              <w:rPr>
                <w:sz w:val="20"/>
                <w:lang w:val="en-US"/>
              </w:rPr>
            </w:pPr>
            <w:r w:rsidRPr="00E0041D">
              <w:rPr>
                <w:sz w:val="20"/>
                <w:lang w:val="en-US"/>
              </w:rPr>
              <w:t>3 (0.4)</w:t>
            </w:r>
          </w:p>
        </w:tc>
        <w:tc>
          <w:tcPr>
            <w:tcW w:w="1817" w:type="dxa"/>
            <w:tcBorders>
              <w:bottom w:val="single" w:sz="4" w:space="0" w:color="auto"/>
            </w:tcBorders>
            <w:vAlign w:val="center"/>
          </w:tcPr>
          <w:p w:rsidR="00D21521" w:rsidRPr="00E0041D" w:rsidRDefault="00D21521" w:rsidP="00002931">
            <w:pPr>
              <w:spacing w:before="60" w:after="60"/>
              <w:jc w:val="center"/>
              <w:rPr>
                <w:sz w:val="20"/>
                <w:lang w:val="en-US"/>
              </w:rPr>
            </w:pPr>
            <w:r w:rsidRPr="00E0041D">
              <w:rPr>
                <w:sz w:val="20"/>
                <w:lang w:val="en-US"/>
              </w:rPr>
              <w:t>2 (0.2)</w:t>
            </w:r>
          </w:p>
        </w:tc>
        <w:tc>
          <w:tcPr>
            <w:tcW w:w="1806" w:type="dxa"/>
            <w:tcBorders>
              <w:bottom w:val="single" w:sz="4" w:space="0" w:color="auto"/>
            </w:tcBorders>
            <w:vAlign w:val="center"/>
          </w:tcPr>
          <w:p w:rsidR="00D21521" w:rsidRPr="00E0041D" w:rsidRDefault="00D21521" w:rsidP="00002931">
            <w:pPr>
              <w:spacing w:before="60" w:after="60"/>
              <w:jc w:val="center"/>
              <w:rPr>
                <w:sz w:val="20"/>
                <w:lang w:val="en-US"/>
              </w:rPr>
            </w:pPr>
            <w:r w:rsidRPr="00E0041D">
              <w:rPr>
                <w:sz w:val="20"/>
                <w:lang w:val="en-US"/>
              </w:rPr>
              <w:t>3 (0.4)</w:t>
            </w:r>
          </w:p>
        </w:tc>
        <w:tc>
          <w:tcPr>
            <w:tcW w:w="1806" w:type="dxa"/>
            <w:tcBorders>
              <w:bottom w:val="single" w:sz="4" w:space="0" w:color="auto"/>
            </w:tcBorders>
            <w:vAlign w:val="center"/>
          </w:tcPr>
          <w:p w:rsidR="00D21521" w:rsidRPr="00E0041D" w:rsidRDefault="00D21521" w:rsidP="00002931">
            <w:pPr>
              <w:spacing w:before="60" w:after="60"/>
              <w:jc w:val="center"/>
              <w:rPr>
                <w:sz w:val="20"/>
                <w:lang w:val="en-US"/>
              </w:rPr>
            </w:pPr>
            <w:r w:rsidRPr="00E0041D">
              <w:rPr>
                <w:sz w:val="20"/>
                <w:lang w:val="en-US"/>
              </w:rPr>
              <w:t>4 (0.5)</w:t>
            </w:r>
          </w:p>
        </w:tc>
      </w:tr>
    </w:tbl>
    <w:p w:rsidR="00D21521" w:rsidRPr="00B37BCC" w:rsidRDefault="00D21521" w:rsidP="00DA0717">
      <w:pPr>
        <w:ind w:left="284"/>
        <w:rPr>
          <w:sz w:val="16"/>
          <w:szCs w:val="16"/>
        </w:rPr>
      </w:pPr>
      <w:r w:rsidRPr="00B37BCC">
        <w:rPr>
          <w:sz w:val="16"/>
          <w:szCs w:val="16"/>
        </w:rPr>
        <w:t>NRT=Nicotine replacement therapy patch</w:t>
      </w:r>
    </w:p>
    <w:p w:rsidR="00D21521" w:rsidRPr="00D21521" w:rsidRDefault="00D21521" w:rsidP="00D21521">
      <w:pPr>
        <w:ind w:left="851"/>
        <w:rPr>
          <w:sz w:val="24"/>
          <w:szCs w:val="24"/>
        </w:rPr>
      </w:pPr>
    </w:p>
    <w:p w:rsidR="00D21521" w:rsidRPr="00D21521" w:rsidRDefault="00D21521" w:rsidP="00D21521">
      <w:pPr>
        <w:ind w:left="851"/>
        <w:rPr>
          <w:sz w:val="24"/>
          <w:szCs w:val="24"/>
          <w:lang w:val="en-US"/>
        </w:rPr>
      </w:pPr>
      <w:r w:rsidRPr="00D21521">
        <w:rPr>
          <w:sz w:val="24"/>
          <w:szCs w:val="24"/>
          <w:lang w:val="en-US"/>
        </w:rPr>
        <w:t>There was one completed suicide, which occurred during treatment in a subject treated with placebo in the non-psychiatric cohort.</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 xml:space="preserve">The following table shows the rates of the composite NPS adverse event primary endpoint by treatment group and the RDs (95 % CI) vs placebo in the </w:t>
      </w:r>
      <w:r w:rsidRPr="00D21521">
        <w:rPr>
          <w:b/>
          <w:sz w:val="24"/>
          <w:szCs w:val="24"/>
          <w:lang w:val="en-US"/>
        </w:rPr>
        <w:t>psychiatric cohort</w:t>
      </w:r>
      <w:r w:rsidRPr="00D21521">
        <w:rPr>
          <w:sz w:val="24"/>
          <w:szCs w:val="24"/>
          <w:lang w:val="en-US"/>
        </w:rPr>
        <w:t>. The individual components of the endpoint are also shown.</w:t>
      </w:r>
    </w:p>
    <w:p w:rsidR="00DA0717" w:rsidRDefault="00DA0717">
      <w:pPr>
        <w:rPr>
          <w:sz w:val="24"/>
          <w:szCs w:val="24"/>
          <w:lang w:val="en-US"/>
        </w:rPr>
      </w:pPr>
      <w:r>
        <w:rPr>
          <w:sz w:val="24"/>
          <w:szCs w:val="24"/>
          <w:lang w:val="en-US"/>
        </w:rPr>
        <w:br w:type="page"/>
      </w:r>
    </w:p>
    <w:p w:rsidR="00D21521" w:rsidRPr="00D21521" w:rsidRDefault="00D21521" w:rsidP="00D21521">
      <w:pPr>
        <w:ind w:left="851"/>
        <w:rPr>
          <w:sz w:val="24"/>
          <w:szCs w:val="24"/>
          <w:lang w:val="en-US"/>
        </w:rPr>
      </w:pPr>
    </w:p>
    <w:p w:rsidR="00D21521" w:rsidRPr="00D21521" w:rsidRDefault="00D21521" w:rsidP="00D21521">
      <w:pPr>
        <w:rPr>
          <w:lang w:val="en-US"/>
        </w:rPr>
      </w:pPr>
      <w:r w:rsidRPr="00D21521">
        <w:rPr>
          <w:lang w:val="en-US"/>
        </w:rPr>
        <w:t>In addition, the table shows the subset of the composite NPS AE endpoint of severe intensity:</w:t>
      </w:r>
    </w:p>
    <w:p w:rsidR="00D21521" w:rsidRPr="00D21521" w:rsidRDefault="00D21521" w:rsidP="00D21521">
      <w:pPr>
        <w:rPr>
          <w:lang w:val="en-US"/>
        </w:rPr>
      </w:pP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10"/>
        <w:gridCol w:w="1722"/>
        <w:gridCol w:w="1723"/>
        <w:gridCol w:w="1437"/>
        <w:gridCol w:w="1580"/>
      </w:tblGrid>
      <w:tr w:rsidR="00D21521" w:rsidRPr="003E11BB" w:rsidTr="00002931">
        <w:trPr>
          <w:trHeight w:val="500"/>
          <w:jc w:val="center"/>
        </w:trPr>
        <w:tc>
          <w:tcPr>
            <w:tcW w:w="2428" w:type="dxa"/>
            <w:vMerge w:val="restart"/>
          </w:tcPr>
          <w:p w:rsidR="00D21521" w:rsidRPr="003E11BB" w:rsidRDefault="00D21521" w:rsidP="00002931">
            <w:pPr>
              <w:spacing w:beforeLines="60" w:before="144" w:afterLines="60" w:after="144"/>
              <w:rPr>
                <w:sz w:val="20"/>
                <w:lang w:val="en-US"/>
              </w:rPr>
            </w:pPr>
          </w:p>
        </w:tc>
        <w:tc>
          <w:tcPr>
            <w:tcW w:w="6008" w:type="dxa"/>
            <w:gridSpan w:val="4"/>
          </w:tcPr>
          <w:p w:rsidR="00D21521" w:rsidRPr="00303937" w:rsidRDefault="00D21521" w:rsidP="00002931">
            <w:pPr>
              <w:spacing w:beforeLines="60" w:before="144" w:afterLines="60" w:after="144"/>
              <w:jc w:val="center"/>
              <w:rPr>
                <w:b/>
                <w:sz w:val="20"/>
                <w:lang w:val="en-US"/>
              </w:rPr>
            </w:pPr>
            <w:r w:rsidRPr="00303937">
              <w:rPr>
                <w:b/>
                <w:sz w:val="20"/>
                <w:lang w:val="en-US"/>
              </w:rPr>
              <w:t>Psychiatric Cohort</w:t>
            </w:r>
          </w:p>
          <w:p w:rsidR="00D21521" w:rsidRPr="003E11BB" w:rsidRDefault="00D21521" w:rsidP="00002931">
            <w:pPr>
              <w:spacing w:beforeLines="60" w:before="144" w:afterLines="60" w:after="144"/>
              <w:jc w:val="center"/>
              <w:rPr>
                <w:sz w:val="20"/>
                <w:lang w:val="en-US"/>
              </w:rPr>
            </w:pPr>
            <w:r w:rsidRPr="00303937">
              <w:rPr>
                <w:b/>
                <w:sz w:val="20"/>
                <w:lang w:val="en-US"/>
              </w:rPr>
              <w:t>N=4,074</w:t>
            </w:r>
          </w:p>
        </w:tc>
      </w:tr>
      <w:tr w:rsidR="00D21521" w:rsidRPr="003E11BB" w:rsidTr="00002931">
        <w:trPr>
          <w:trHeight w:val="241"/>
          <w:jc w:val="center"/>
        </w:trPr>
        <w:tc>
          <w:tcPr>
            <w:tcW w:w="2428" w:type="dxa"/>
            <w:vMerge/>
            <w:tcBorders>
              <w:top w:val="nil"/>
            </w:tcBorders>
          </w:tcPr>
          <w:p w:rsidR="00D21521" w:rsidRPr="003E11BB" w:rsidRDefault="00D21521" w:rsidP="00002931">
            <w:pPr>
              <w:spacing w:beforeLines="60" w:before="144" w:afterLines="60" w:after="144"/>
              <w:rPr>
                <w:sz w:val="20"/>
                <w:lang w:val="en-US"/>
              </w:rPr>
            </w:pPr>
          </w:p>
        </w:tc>
        <w:tc>
          <w:tcPr>
            <w:tcW w:w="1601" w:type="dxa"/>
          </w:tcPr>
          <w:p w:rsidR="00D21521" w:rsidRPr="00303937" w:rsidRDefault="00D21521" w:rsidP="00002931">
            <w:pPr>
              <w:spacing w:beforeLines="60" w:before="144" w:afterLines="60" w:after="144"/>
              <w:jc w:val="center"/>
              <w:rPr>
                <w:b/>
                <w:sz w:val="20"/>
                <w:lang w:val="en-US"/>
              </w:rPr>
            </w:pPr>
            <w:r w:rsidRPr="00303937">
              <w:rPr>
                <w:b/>
                <w:sz w:val="20"/>
                <w:lang w:val="en-US"/>
              </w:rPr>
              <w:t>Varenicline</w:t>
            </w:r>
          </w:p>
        </w:tc>
        <w:tc>
          <w:tcPr>
            <w:tcW w:w="1602" w:type="dxa"/>
          </w:tcPr>
          <w:p w:rsidR="00D21521" w:rsidRPr="00303937" w:rsidRDefault="00D21521" w:rsidP="00002931">
            <w:pPr>
              <w:spacing w:beforeLines="60" w:before="144" w:afterLines="60" w:after="144"/>
              <w:jc w:val="center"/>
              <w:rPr>
                <w:b/>
                <w:sz w:val="20"/>
                <w:lang w:val="en-US"/>
              </w:rPr>
            </w:pPr>
            <w:r w:rsidRPr="00303937">
              <w:rPr>
                <w:b/>
                <w:sz w:val="20"/>
                <w:lang w:val="en-US"/>
              </w:rPr>
              <w:t>Bupropion</w:t>
            </w:r>
          </w:p>
        </w:tc>
        <w:tc>
          <w:tcPr>
            <w:tcW w:w="1336" w:type="dxa"/>
          </w:tcPr>
          <w:p w:rsidR="00D21521" w:rsidRPr="00303937" w:rsidRDefault="00D21521" w:rsidP="00002931">
            <w:pPr>
              <w:spacing w:beforeLines="60" w:before="144" w:afterLines="60" w:after="144"/>
              <w:jc w:val="center"/>
              <w:rPr>
                <w:b/>
                <w:sz w:val="20"/>
                <w:lang w:val="en-US"/>
              </w:rPr>
            </w:pPr>
            <w:r w:rsidRPr="00303937">
              <w:rPr>
                <w:b/>
                <w:sz w:val="20"/>
                <w:lang w:val="en-US"/>
              </w:rPr>
              <w:t>NRT</w:t>
            </w:r>
          </w:p>
        </w:tc>
        <w:tc>
          <w:tcPr>
            <w:tcW w:w="1469" w:type="dxa"/>
          </w:tcPr>
          <w:p w:rsidR="00D21521" w:rsidRPr="00303937" w:rsidRDefault="00D21521" w:rsidP="00002931">
            <w:pPr>
              <w:spacing w:beforeLines="60" w:before="144" w:afterLines="60" w:after="144"/>
              <w:jc w:val="center"/>
              <w:rPr>
                <w:b/>
                <w:sz w:val="20"/>
                <w:lang w:val="en-US"/>
              </w:rPr>
            </w:pPr>
            <w:r w:rsidRPr="00303937">
              <w:rPr>
                <w:b/>
                <w:sz w:val="20"/>
                <w:lang w:val="en-US"/>
              </w:rPr>
              <w:t>Placebo</w:t>
            </w:r>
          </w:p>
        </w:tc>
      </w:tr>
      <w:tr w:rsidR="00D21521" w:rsidRPr="003E11BB" w:rsidTr="00002931">
        <w:trPr>
          <w:trHeight w:val="487"/>
          <w:jc w:val="center"/>
        </w:trPr>
        <w:tc>
          <w:tcPr>
            <w:tcW w:w="2428" w:type="dxa"/>
            <w:vAlign w:val="center"/>
          </w:tcPr>
          <w:p w:rsidR="00D21521" w:rsidRPr="00303937" w:rsidRDefault="00D21521" w:rsidP="00002931">
            <w:pPr>
              <w:spacing w:beforeLines="60" w:before="144" w:afterLines="60" w:after="144"/>
              <w:rPr>
                <w:b/>
                <w:sz w:val="20"/>
                <w:lang w:val="en-US"/>
              </w:rPr>
            </w:pPr>
            <w:r w:rsidRPr="00303937">
              <w:rPr>
                <w:b/>
                <w:sz w:val="20"/>
                <w:lang w:val="en-US"/>
              </w:rPr>
              <w:t>Number of Patients Treated</w:t>
            </w:r>
          </w:p>
        </w:tc>
        <w:tc>
          <w:tcPr>
            <w:tcW w:w="1601"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1</w:t>
            </w:r>
            <w:r>
              <w:rPr>
                <w:sz w:val="20"/>
                <w:lang w:val="en-US"/>
              </w:rPr>
              <w:t>,</w:t>
            </w:r>
            <w:r w:rsidRPr="003E11BB">
              <w:rPr>
                <w:sz w:val="20"/>
                <w:lang w:val="en-US"/>
              </w:rPr>
              <w:t>026</w:t>
            </w:r>
          </w:p>
        </w:tc>
        <w:tc>
          <w:tcPr>
            <w:tcW w:w="160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1</w:t>
            </w:r>
            <w:r>
              <w:rPr>
                <w:sz w:val="20"/>
                <w:lang w:val="en-US"/>
              </w:rPr>
              <w:t>,</w:t>
            </w:r>
            <w:r w:rsidRPr="003E11BB">
              <w:rPr>
                <w:sz w:val="20"/>
                <w:lang w:val="en-US"/>
              </w:rPr>
              <w:t>017</w:t>
            </w:r>
          </w:p>
        </w:tc>
        <w:tc>
          <w:tcPr>
            <w:tcW w:w="1336"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1</w:t>
            </w:r>
            <w:r>
              <w:rPr>
                <w:sz w:val="20"/>
                <w:lang w:val="en-US"/>
              </w:rPr>
              <w:t>,</w:t>
            </w:r>
            <w:r w:rsidRPr="003E11BB">
              <w:rPr>
                <w:sz w:val="20"/>
                <w:lang w:val="en-US"/>
              </w:rPr>
              <w:t>016</w:t>
            </w:r>
          </w:p>
        </w:tc>
        <w:tc>
          <w:tcPr>
            <w:tcW w:w="1469"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1</w:t>
            </w:r>
            <w:r>
              <w:rPr>
                <w:sz w:val="20"/>
                <w:lang w:val="en-US"/>
              </w:rPr>
              <w:t>,</w:t>
            </w:r>
            <w:r w:rsidRPr="003E11BB">
              <w:rPr>
                <w:sz w:val="20"/>
                <w:lang w:val="en-US"/>
              </w:rPr>
              <w:t>015</w:t>
            </w:r>
          </w:p>
        </w:tc>
      </w:tr>
      <w:tr w:rsidR="00D21521" w:rsidRPr="003E11BB" w:rsidTr="00002931">
        <w:trPr>
          <w:trHeight w:val="486"/>
          <w:jc w:val="center"/>
        </w:trPr>
        <w:tc>
          <w:tcPr>
            <w:tcW w:w="2428" w:type="dxa"/>
            <w:vAlign w:val="center"/>
          </w:tcPr>
          <w:p w:rsidR="00D21521" w:rsidRPr="00303937" w:rsidRDefault="00D21521" w:rsidP="00002931">
            <w:pPr>
              <w:spacing w:beforeLines="60" w:before="144" w:afterLines="60" w:after="144"/>
              <w:rPr>
                <w:b/>
                <w:sz w:val="20"/>
                <w:lang w:val="en-US"/>
              </w:rPr>
            </w:pPr>
            <w:r w:rsidRPr="00303937">
              <w:rPr>
                <w:b/>
                <w:sz w:val="20"/>
                <w:lang w:val="en-US"/>
              </w:rPr>
              <w:t>Composite NPS AE Primary Endpoint, n (%)</w:t>
            </w:r>
          </w:p>
        </w:tc>
        <w:tc>
          <w:tcPr>
            <w:tcW w:w="1601"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67 (6.5)</w:t>
            </w:r>
          </w:p>
        </w:tc>
        <w:tc>
          <w:tcPr>
            <w:tcW w:w="160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68 (6.7)</w:t>
            </w:r>
          </w:p>
        </w:tc>
        <w:tc>
          <w:tcPr>
            <w:tcW w:w="1336"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53 (5.2)</w:t>
            </w:r>
          </w:p>
        </w:tc>
        <w:tc>
          <w:tcPr>
            <w:tcW w:w="1469"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50 (4.9)</w:t>
            </w:r>
          </w:p>
        </w:tc>
      </w:tr>
      <w:tr w:rsidR="00D21521" w:rsidRPr="003E11BB" w:rsidTr="00002931">
        <w:trPr>
          <w:trHeight w:val="484"/>
          <w:jc w:val="center"/>
        </w:trPr>
        <w:tc>
          <w:tcPr>
            <w:tcW w:w="2428" w:type="dxa"/>
            <w:tcBorders>
              <w:bottom w:val="single" w:sz="8" w:space="0" w:color="000000"/>
            </w:tcBorders>
            <w:vAlign w:val="center"/>
          </w:tcPr>
          <w:p w:rsidR="00D21521" w:rsidRPr="00303937" w:rsidRDefault="00D21521" w:rsidP="00002931">
            <w:pPr>
              <w:spacing w:beforeLines="60" w:before="144" w:afterLines="60" w:after="144"/>
              <w:rPr>
                <w:b/>
                <w:sz w:val="20"/>
                <w:lang w:val="en-US"/>
              </w:rPr>
            </w:pPr>
            <w:r w:rsidRPr="00303937">
              <w:rPr>
                <w:b/>
                <w:sz w:val="20"/>
                <w:lang w:val="en-US"/>
              </w:rPr>
              <w:t>RD (95 % CI) vs Placebo</w:t>
            </w:r>
          </w:p>
        </w:tc>
        <w:tc>
          <w:tcPr>
            <w:tcW w:w="1601" w:type="dxa"/>
            <w:tcBorders>
              <w:bottom w:val="single" w:sz="8" w:space="0" w:color="000000"/>
            </w:tcBorders>
            <w:vAlign w:val="center"/>
          </w:tcPr>
          <w:p w:rsidR="00D21521" w:rsidRPr="003E11BB" w:rsidRDefault="00D21521" w:rsidP="00002931">
            <w:pPr>
              <w:spacing w:beforeLines="60" w:before="144" w:afterLines="60" w:after="144"/>
              <w:jc w:val="center"/>
              <w:rPr>
                <w:sz w:val="20"/>
                <w:lang w:val="en-US"/>
              </w:rPr>
            </w:pPr>
            <w:r w:rsidRPr="003E11BB">
              <w:rPr>
                <w:sz w:val="20"/>
                <w:lang w:val="en-US"/>
              </w:rPr>
              <w:t>1.59</w:t>
            </w:r>
          </w:p>
          <w:p w:rsidR="00D21521" w:rsidRPr="003E11BB" w:rsidRDefault="00D21521" w:rsidP="00002931">
            <w:pPr>
              <w:spacing w:beforeLines="60" w:before="144" w:afterLines="60" w:after="144"/>
              <w:jc w:val="center"/>
              <w:rPr>
                <w:sz w:val="20"/>
                <w:lang w:val="en-US"/>
              </w:rPr>
            </w:pPr>
            <w:r w:rsidRPr="003E11BB">
              <w:rPr>
                <w:sz w:val="20"/>
                <w:lang w:val="en-US"/>
              </w:rPr>
              <w:t>(-0.42, 3.59)</w:t>
            </w:r>
          </w:p>
        </w:tc>
        <w:tc>
          <w:tcPr>
            <w:tcW w:w="1602" w:type="dxa"/>
            <w:tcBorders>
              <w:bottom w:val="single" w:sz="8" w:space="0" w:color="000000"/>
            </w:tcBorders>
            <w:vAlign w:val="center"/>
          </w:tcPr>
          <w:p w:rsidR="00D21521" w:rsidRPr="003E11BB" w:rsidRDefault="00D21521" w:rsidP="00002931">
            <w:pPr>
              <w:spacing w:beforeLines="60" w:before="144" w:afterLines="60" w:after="144"/>
              <w:jc w:val="center"/>
              <w:rPr>
                <w:sz w:val="20"/>
                <w:lang w:val="en-US"/>
              </w:rPr>
            </w:pPr>
            <w:r w:rsidRPr="003E11BB">
              <w:rPr>
                <w:sz w:val="20"/>
                <w:lang w:val="en-US"/>
              </w:rPr>
              <w:t>1.78</w:t>
            </w:r>
          </w:p>
          <w:p w:rsidR="00D21521" w:rsidRPr="003E11BB" w:rsidRDefault="00D21521" w:rsidP="00002931">
            <w:pPr>
              <w:spacing w:beforeLines="60" w:before="144" w:afterLines="60" w:after="144"/>
              <w:jc w:val="center"/>
              <w:rPr>
                <w:sz w:val="20"/>
                <w:lang w:val="en-US"/>
              </w:rPr>
            </w:pPr>
            <w:r w:rsidRPr="003E11BB">
              <w:rPr>
                <w:sz w:val="20"/>
                <w:lang w:val="en-US"/>
              </w:rPr>
              <w:t>(-0.24, 3.81)</w:t>
            </w:r>
          </w:p>
        </w:tc>
        <w:tc>
          <w:tcPr>
            <w:tcW w:w="1336" w:type="dxa"/>
            <w:tcBorders>
              <w:bottom w:val="single" w:sz="8" w:space="0" w:color="000000"/>
            </w:tcBorders>
            <w:vAlign w:val="center"/>
          </w:tcPr>
          <w:p w:rsidR="00D21521" w:rsidRPr="003E11BB" w:rsidRDefault="00D21521" w:rsidP="00002931">
            <w:pPr>
              <w:spacing w:beforeLines="60" w:before="144" w:afterLines="60" w:after="144"/>
              <w:jc w:val="center"/>
              <w:rPr>
                <w:sz w:val="20"/>
                <w:lang w:val="en-US"/>
              </w:rPr>
            </w:pPr>
            <w:r w:rsidRPr="003E11BB">
              <w:rPr>
                <w:sz w:val="20"/>
                <w:lang w:val="en-US"/>
              </w:rPr>
              <w:t>0.37</w:t>
            </w:r>
          </w:p>
          <w:p w:rsidR="00D21521" w:rsidRPr="003E11BB" w:rsidRDefault="00D21521" w:rsidP="00002931">
            <w:pPr>
              <w:spacing w:beforeLines="60" w:before="144" w:afterLines="60" w:after="144"/>
              <w:jc w:val="center"/>
              <w:rPr>
                <w:sz w:val="20"/>
                <w:lang w:val="en-US"/>
              </w:rPr>
            </w:pPr>
            <w:r w:rsidRPr="003E11BB">
              <w:rPr>
                <w:sz w:val="20"/>
                <w:lang w:val="en-US"/>
              </w:rPr>
              <w:t>(-1.53, 2.26)</w:t>
            </w:r>
          </w:p>
        </w:tc>
        <w:tc>
          <w:tcPr>
            <w:tcW w:w="1469" w:type="dxa"/>
            <w:tcBorders>
              <w:bottom w:val="single" w:sz="8" w:space="0" w:color="000000"/>
            </w:tcBorders>
            <w:vAlign w:val="center"/>
          </w:tcPr>
          <w:p w:rsidR="00D21521" w:rsidRPr="003E11BB" w:rsidRDefault="00D21521" w:rsidP="00002931">
            <w:pPr>
              <w:spacing w:beforeLines="60" w:before="144" w:afterLines="60" w:after="144"/>
              <w:jc w:val="center"/>
              <w:rPr>
                <w:sz w:val="20"/>
                <w:lang w:val="en-US"/>
              </w:rPr>
            </w:pPr>
          </w:p>
        </w:tc>
      </w:tr>
      <w:tr w:rsidR="00D21521" w:rsidRPr="00795FCE" w:rsidTr="00002931">
        <w:trPr>
          <w:trHeight w:val="680"/>
          <w:jc w:val="center"/>
        </w:trPr>
        <w:tc>
          <w:tcPr>
            <w:tcW w:w="2428" w:type="dxa"/>
            <w:tcBorders>
              <w:bottom w:val="nil"/>
            </w:tcBorders>
            <w:vAlign w:val="center"/>
          </w:tcPr>
          <w:p w:rsidR="00D21521" w:rsidRPr="00303937" w:rsidRDefault="00D21521" w:rsidP="00002931">
            <w:pPr>
              <w:spacing w:beforeLines="60" w:before="144" w:afterLines="60" w:after="144"/>
              <w:rPr>
                <w:b/>
                <w:sz w:val="20"/>
                <w:lang w:val="en-US"/>
              </w:rPr>
            </w:pPr>
            <w:r w:rsidRPr="00303937">
              <w:rPr>
                <w:b/>
                <w:sz w:val="20"/>
                <w:lang w:val="en-US"/>
              </w:rPr>
              <w:t>NPS AE Primary Endpoint Components n (%):</w:t>
            </w:r>
          </w:p>
        </w:tc>
        <w:tc>
          <w:tcPr>
            <w:tcW w:w="1601" w:type="dxa"/>
            <w:tcBorders>
              <w:bottom w:val="nil"/>
            </w:tcBorders>
          </w:tcPr>
          <w:p w:rsidR="00D21521" w:rsidRPr="003E11BB" w:rsidRDefault="00D21521" w:rsidP="00002931">
            <w:pPr>
              <w:spacing w:beforeLines="60" w:before="144" w:afterLines="60" w:after="144"/>
              <w:jc w:val="right"/>
              <w:rPr>
                <w:sz w:val="20"/>
                <w:lang w:val="en-US"/>
              </w:rPr>
            </w:pPr>
          </w:p>
        </w:tc>
        <w:tc>
          <w:tcPr>
            <w:tcW w:w="1602" w:type="dxa"/>
            <w:tcBorders>
              <w:bottom w:val="nil"/>
            </w:tcBorders>
          </w:tcPr>
          <w:p w:rsidR="00D21521" w:rsidRPr="003E11BB" w:rsidRDefault="00D21521" w:rsidP="00002931">
            <w:pPr>
              <w:spacing w:beforeLines="60" w:before="144" w:afterLines="60" w:after="144"/>
              <w:jc w:val="right"/>
              <w:rPr>
                <w:sz w:val="20"/>
                <w:lang w:val="en-US"/>
              </w:rPr>
            </w:pPr>
          </w:p>
        </w:tc>
        <w:tc>
          <w:tcPr>
            <w:tcW w:w="1336" w:type="dxa"/>
            <w:tcBorders>
              <w:bottom w:val="nil"/>
            </w:tcBorders>
          </w:tcPr>
          <w:p w:rsidR="00D21521" w:rsidRPr="003E11BB" w:rsidRDefault="00D21521" w:rsidP="00002931">
            <w:pPr>
              <w:spacing w:beforeLines="60" w:before="144" w:afterLines="60" w:after="144"/>
              <w:jc w:val="right"/>
              <w:rPr>
                <w:sz w:val="20"/>
                <w:lang w:val="en-US"/>
              </w:rPr>
            </w:pPr>
          </w:p>
        </w:tc>
        <w:tc>
          <w:tcPr>
            <w:tcW w:w="1469" w:type="dxa"/>
            <w:tcBorders>
              <w:bottom w:val="nil"/>
            </w:tcBorders>
          </w:tcPr>
          <w:p w:rsidR="00D21521" w:rsidRPr="003E11BB" w:rsidRDefault="00D21521" w:rsidP="00002931">
            <w:pPr>
              <w:spacing w:beforeLines="60" w:before="144" w:afterLines="60" w:after="144"/>
              <w:jc w:val="right"/>
              <w:rPr>
                <w:sz w:val="20"/>
                <w:lang w:val="en-US"/>
              </w:rPr>
            </w:pPr>
          </w:p>
        </w:tc>
      </w:tr>
      <w:tr w:rsidR="00D21521" w:rsidRPr="003E11BB" w:rsidTr="00002931">
        <w:trPr>
          <w:trHeight w:val="4643"/>
          <w:jc w:val="center"/>
        </w:trPr>
        <w:tc>
          <w:tcPr>
            <w:tcW w:w="2428" w:type="dxa"/>
            <w:tcBorders>
              <w:top w:val="nil"/>
            </w:tcBorders>
          </w:tcPr>
          <w:p w:rsidR="00D21521" w:rsidRPr="003E11BB" w:rsidRDefault="00D21521" w:rsidP="00002931">
            <w:pPr>
              <w:spacing w:beforeLines="60" w:before="144" w:afterLines="60" w:after="144"/>
              <w:rPr>
                <w:sz w:val="20"/>
                <w:lang w:val="en-US"/>
              </w:rPr>
            </w:pPr>
            <w:r w:rsidRPr="003E11BB">
              <w:rPr>
                <w:sz w:val="20"/>
                <w:lang w:val="en-US"/>
              </w:rPr>
              <w:t>Anxiety</w:t>
            </w:r>
            <w:r>
              <w:rPr>
                <w:sz w:val="20"/>
                <w:lang w:val="en-US"/>
              </w:rPr>
              <w:t> </w:t>
            </w:r>
            <w:r w:rsidRPr="003E11BB">
              <w:rPr>
                <w:sz w:val="20"/>
                <w:vertAlign w:val="superscript"/>
                <w:lang w:val="en-US"/>
              </w:rPr>
              <w:t>a</w:t>
            </w:r>
          </w:p>
          <w:p w:rsidR="00D21521" w:rsidRPr="003E11BB" w:rsidRDefault="00D21521" w:rsidP="00002931">
            <w:pPr>
              <w:spacing w:beforeLines="60" w:before="144" w:afterLines="60" w:after="144"/>
              <w:rPr>
                <w:sz w:val="20"/>
                <w:lang w:val="en-US"/>
              </w:rPr>
            </w:pPr>
            <w:r w:rsidRPr="003E11BB">
              <w:rPr>
                <w:sz w:val="20"/>
                <w:lang w:val="en-US"/>
              </w:rPr>
              <w:t>Depression</w:t>
            </w:r>
            <w:r>
              <w:rPr>
                <w:sz w:val="20"/>
                <w:lang w:val="en-US"/>
              </w:rPr>
              <w:t> </w:t>
            </w:r>
            <w:r w:rsidRPr="003E11BB">
              <w:rPr>
                <w:sz w:val="20"/>
                <w:vertAlign w:val="superscript"/>
                <w:lang w:val="en-US"/>
              </w:rPr>
              <w:t>a</w:t>
            </w:r>
          </w:p>
          <w:p w:rsidR="00D21521" w:rsidRPr="003E11BB" w:rsidRDefault="00D21521" w:rsidP="00002931">
            <w:pPr>
              <w:spacing w:beforeLines="60" w:before="144" w:afterLines="60" w:after="144"/>
              <w:rPr>
                <w:sz w:val="20"/>
                <w:lang w:val="en-US"/>
              </w:rPr>
            </w:pPr>
            <w:r w:rsidRPr="003E11BB">
              <w:rPr>
                <w:sz w:val="20"/>
                <w:lang w:val="en-US"/>
              </w:rPr>
              <w:t>Feeling abnormal</w:t>
            </w:r>
            <w:r>
              <w:rPr>
                <w:sz w:val="20"/>
                <w:lang w:val="en-US"/>
              </w:rPr>
              <w:t> </w:t>
            </w:r>
            <w:r w:rsidRPr="003E11BB">
              <w:rPr>
                <w:sz w:val="20"/>
                <w:vertAlign w:val="superscript"/>
                <w:lang w:val="en-US"/>
              </w:rPr>
              <w:t>a</w:t>
            </w:r>
          </w:p>
          <w:p w:rsidR="00D21521" w:rsidRPr="003E11BB" w:rsidRDefault="00D21521" w:rsidP="00002931">
            <w:pPr>
              <w:spacing w:beforeLines="60" w:before="144" w:afterLines="60" w:after="144"/>
              <w:rPr>
                <w:sz w:val="20"/>
                <w:lang w:val="en-US"/>
              </w:rPr>
            </w:pPr>
            <w:r w:rsidRPr="003E11BB">
              <w:rPr>
                <w:sz w:val="20"/>
                <w:lang w:val="en-US"/>
              </w:rPr>
              <w:t>Hostility</w:t>
            </w:r>
            <w:r>
              <w:rPr>
                <w:sz w:val="20"/>
                <w:lang w:val="en-US"/>
              </w:rPr>
              <w:t> </w:t>
            </w:r>
            <w:r w:rsidRPr="003E11BB">
              <w:rPr>
                <w:sz w:val="20"/>
                <w:vertAlign w:val="superscript"/>
                <w:lang w:val="en-US"/>
              </w:rPr>
              <w:t>a</w:t>
            </w:r>
          </w:p>
          <w:p w:rsidR="00D21521" w:rsidRPr="003E11BB" w:rsidRDefault="00D21521" w:rsidP="00002931">
            <w:pPr>
              <w:spacing w:beforeLines="60" w:before="144" w:afterLines="60" w:after="144"/>
              <w:rPr>
                <w:sz w:val="20"/>
                <w:lang w:val="en-US"/>
              </w:rPr>
            </w:pPr>
            <w:r w:rsidRPr="003E11BB">
              <w:rPr>
                <w:sz w:val="20"/>
                <w:lang w:val="en-US"/>
              </w:rPr>
              <w:t>Agitation</w:t>
            </w:r>
            <w:r>
              <w:rPr>
                <w:sz w:val="20"/>
                <w:lang w:val="en-US"/>
              </w:rPr>
              <w:t> </w:t>
            </w:r>
            <w:r w:rsidRPr="003E11BB">
              <w:rPr>
                <w:sz w:val="20"/>
                <w:vertAlign w:val="superscript"/>
                <w:lang w:val="en-US"/>
              </w:rPr>
              <w:t>b</w:t>
            </w:r>
          </w:p>
          <w:p w:rsidR="00D21521" w:rsidRPr="003E11BB" w:rsidRDefault="00D21521" w:rsidP="00002931">
            <w:pPr>
              <w:spacing w:beforeLines="60" w:before="144" w:afterLines="60" w:after="144"/>
              <w:rPr>
                <w:sz w:val="20"/>
                <w:lang w:val="en-US"/>
              </w:rPr>
            </w:pPr>
            <w:r w:rsidRPr="003E11BB">
              <w:rPr>
                <w:sz w:val="20"/>
                <w:lang w:val="en-US"/>
              </w:rPr>
              <w:t>Aggression</w:t>
            </w:r>
            <w:r>
              <w:rPr>
                <w:sz w:val="20"/>
                <w:lang w:val="en-US"/>
              </w:rPr>
              <w:t> </w:t>
            </w:r>
            <w:r w:rsidRPr="003E11BB">
              <w:rPr>
                <w:sz w:val="20"/>
                <w:vertAlign w:val="superscript"/>
                <w:lang w:val="en-US"/>
              </w:rPr>
              <w:t>b</w:t>
            </w:r>
          </w:p>
          <w:p w:rsidR="00D21521" w:rsidRPr="003E11BB" w:rsidRDefault="00D21521" w:rsidP="00002931">
            <w:pPr>
              <w:spacing w:beforeLines="60" w:before="144" w:afterLines="60" w:after="144"/>
              <w:rPr>
                <w:sz w:val="20"/>
                <w:lang w:val="en-US"/>
              </w:rPr>
            </w:pPr>
            <w:r w:rsidRPr="003E11BB">
              <w:rPr>
                <w:sz w:val="20"/>
                <w:lang w:val="en-US"/>
              </w:rPr>
              <w:t>Delusions</w:t>
            </w:r>
            <w:r>
              <w:rPr>
                <w:sz w:val="20"/>
                <w:lang w:val="en-US"/>
              </w:rPr>
              <w:t> </w:t>
            </w:r>
            <w:r w:rsidRPr="003E11BB">
              <w:rPr>
                <w:sz w:val="20"/>
                <w:vertAlign w:val="superscript"/>
                <w:lang w:val="en-US"/>
              </w:rPr>
              <w:t>b</w:t>
            </w:r>
          </w:p>
          <w:p w:rsidR="00D21521" w:rsidRPr="003E11BB" w:rsidRDefault="00D21521" w:rsidP="00002931">
            <w:pPr>
              <w:spacing w:beforeLines="60" w:before="144" w:afterLines="60" w:after="144"/>
              <w:rPr>
                <w:sz w:val="20"/>
                <w:lang w:val="en-US"/>
              </w:rPr>
            </w:pPr>
            <w:r w:rsidRPr="003E11BB">
              <w:rPr>
                <w:sz w:val="20"/>
                <w:lang w:val="en-US"/>
              </w:rPr>
              <w:t>Hallucinations</w:t>
            </w:r>
            <w:r>
              <w:rPr>
                <w:sz w:val="20"/>
                <w:lang w:val="en-US"/>
              </w:rPr>
              <w:t> </w:t>
            </w:r>
            <w:r w:rsidRPr="003E11BB">
              <w:rPr>
                <w:sz w:val="20"/>
                <w:vertAlign w:val="superscript"/>
                <w:lang w:val="en-US"/>
              </w:rPr>
              <w:t>b</w:t>
            </w:r>
          </w:p>
          <w:p w:rsidR="00D21521" w:rsidRPr="003E11BB" w:rsidRDefault="00D21521" w:rsidP="00002931">
            <w:pPr>
              <w:spacing w:beforeLines="60" w:before="144" w:afterLines="60" w:after="144"/>
              <w:rPr>
                <w:sz w:val="20"/>
                <w:lang w:val="en-US"/>
              </w:rPr>
            </w:pPr>
            <w:r w:rsidRPr="003E11BB">
              <w:rPr>
                <w:sz w:val="20"/>
                <w:lang w:val="en-US"/>
              </w:rPr>
              <w:t>Homicidal ideation</w:t>
            </w:r>
            <w:r>
              <w:rPr>
                <w:sz w:val="20"/>
                <w:lang w:val="en-US"/>
              </w:rPr>
              <w:t> </w:t>
            </w:r>
            <w:r w:rsidRPr="003E11BB">
              <w:rPr>
                <w:sz w:val="20"/>
                <w:vertAlign w:val="superscript"/>
                <w:lang w:val="en-US"/>
              </w:rPr>
              <w:t>b</w:t>
            </w:r>
          </w:p>
          <w:p w:rsidR="00D21521" w:rsidRPr="00D21521" w:rsidRDefault="00D21521" w:rsidP="00002931">
            <w:pPr>
              <w:spacing w:beforeLines="60" w:before="144" w:afterLines="60" w:after="144"/>
              <w:rPr>
                <w:sz w:val="20"/>
                <w:lang w:val="en-US"/>
              </w:rPr>
            </w:pPr>
            <w:r w:rsidRPr="00D21521">
              <w:rPr>
                <w:sz w:val="20"/>
                <w:lang w:val="en-US"/>
              </w:rPr>
              <w:t>Mania </w:t>
            </w:r>
            <w:r w:rsidRPr="00D21521">
              <w:rPr>
                <w:sz w:val="20"/>
                <w:vertAlign w:val="superscript"/>
                <w:lang w:val="en-US"/>
              </w:rPr>
              <w:t>b</w:t>
            </w:r>
          </w:p>
          <w:p w:rsidR="00D21521" w:rsidRPr="00D21521" w:rsidRDefault="00D21521" w:rsidP="00002931">
            <w:pPr>
              <w:spacing w:beforeLines="60" w:before="144" w:afterLines="60" w:after="144"/>
              <w:rPr>
                <w:sz w:val="20"/>
                <w:vertAlign w:val="superscript"/>
                <w:lang w:val="en-US"/>
              </w:rPr>
            </w:pPr>
            <w:r w:rsidRPr="00D21521">
              <w:rPr>
                <w:sz w:val="20"/>
                <w:lang w:val="en-US"/>
              </w:rPr>
              <w:t>Panic </w:t>
            </w:r>
            <w:r w:rsidRPr="00D21521">
              <w:rPr>
                <w:sz w:val="20"/>
                <w:vertAlign w:val="superscript"/>
                <w:lang w:val="en-US"/>
              </w:rPr>
              <w:t>b</w:t>
            </w:r>
          </w:p>
          <w:p w:rsidR="00D21521" w:rsidRPr="00D21521" w:rsidRDefault="00D21521" w:rsidP="00002931">
            <w:pPr>
              <w:spacing w:beforeLines="60" w:before="144" w:afterLines="60" w:after="144"/>
              <w:rPr>
                <w:sz w:val="20"/>
                <w:lang w:val="en-US"/>
              </w:rPr>
            </w:pPr>
            <w:r w:rsidRPr="00D21521">
              <w:rPr>
                <w:sz w:val="20"/>
                <w:lang w:val="en-US"/>
              </w:rPr>
              <w:t>Paranoia </w:t>
            </w:r>
            <w:r w:rsidRPr="00D21521">
              <w:rPr>
                <w:sz w:val="20"/>
                <w:vertAlign w:val="superscript"/>
                <w:lang w:val="en-US"/>
              </w:rPr>
              <w:t>b</w:t>
            </w:r>
          </w:p>
          <w:p w:rsidR="00D21521" w:rsidRPr="00D21521" w:rsidRDefault="00D21521" w:rsidP="00002931">
            <w:pPr>
              <w:spacing w:beforeLines="60" w:before="144" w:afterLines="60" w:after="144"/>
              <w:rPr>
                <w:sz w:val="20"/>
                <w:lang w:val="en-US"/>
              </w:rPr>
            </w:pPr>
            <w:r w:rsidRPr="00D21521">
              <w:rPr>
                <w:sz w:val="20"/>
                <w:lang w:val="en-US"/>
              </w:rPr>
              <w:t>Psychosis </w:t>
            </w:r>
            <w:r w:rsidRPr="00D21521">
              <w:rPr>
                <w:sz w:val="20"/>
                <w:vertAlign w:val="superscript"/>
                <w:lang w:val="en-US"/>
              </w:rPr>
              <w:t>b</w:t>
            </w:r>
          </w:p>
          <w:p w:rsidR="00D21521" w:rsidRPr="003E11BB" w:rsidRDefault="00D21521" w:rsidP="00002931">
            <w:pPr>
              <w:spacing w:beforeLines="60" w:before="144" w:afterLines="60" w:after="144"/>
              <w:rPr>
                <w:sz w:val="20"/>
                <w:lang w:val="en-US"/>
              </w:rPr>
            </w:pPr>
            <w:r w:rsidRPr="003E11BB">
              <w:rPr>
                <w:sz w:val="20"/>
                <w:lang w:val="en-US"/>
              </w:rPr>
              <w:t xml:space="preserve">Suicidal </w:t>
            </w:r>
            <w:r>
              <w:rPr>
                <w:sz w:val="20"/>
                <w:lang w:val="en-US"/>
              </w:rPr>
              <w:t>behavior </w:t>
            </w:r>
            <w:r w:rsidRPr="003E11BB">
              <w:rPr>
                <w:sz w:val="20"/>
                <w:vertAlign w:val="superscript"/>
                <w:lang w:val="en-US"/>
              </w:rPr>
              <w:t>b</w:t>
            </w:r>
          </w:p>
          <w:p w:rsidR="00D21521" w:rsidRPr="003E11BB" w:rsidRDefault="00D21521" w:rsidP="00002931">
            <w:pPr>
              <w:spacing w:beforeLines="60" w:before="144" w:afterLines="60" w:after="144"/>
              <w:rPr>
                <w:sz w:val="20"/>
                <w:lang w:val="en-US"/>
              </w:rPr>
            </w:pPr>
            <w:r w:rsidRPr="003E11BB">
              <w:rPr>
                <w:sz w:val="20"/>
                <w:lang w:val="en-US"/>
              </w:rPr>
              <w:t>Suicidal ideation</w:t>
            </w:r>
            <w:r>
              <w:rPr>
                <w:sz w:val="20"/>
                <w:lang w:val="en-US"/>
              </w:rPr>
              <w:t> </w:t>
            </w:r>
            <w:r w:rsidRPr="003E11BB">
              <w:rPr>
                <w:sz w:val="20"/>
                <w:vertAlign w:val="superscript"/>
                <w:lang w:val="en-US"/>
              </w:rPr>
              <w:t>b</w:t>
            </w:r>
          </w:p>
          <w:p w:rsidR="00D21521" w:rsidRPr="003E11BB" w:rsidRDefault="00D21521" w:rsidP="00002931">
            <w:pPr>
              <w:spacing w:beforeLines="60" w:before="144" w:afterLines="60" w:after="144"/>
              <w:rPr>
                <w:sz w:val="20"/>
                <w:lang w:val="en-US"/>
              </w:rPr>
            </w:pPr>
            <w:r w:rsidRPr="003E11BB">
              <w:rPr>
                <w:sz w:val="20"/>
                <w:lang w:val="en-US"/>
              </w:rPr>
              <w:t>Completed suicide</w:t>
            </w:r>
            <w:r>
              <w:rPr>
                <w:sz w:val="20"/>
                <w:lang w:val="en-US"/>
              </w:rPr>
              <w:t> </w:t>
            </w:r>
            <w:r w:rsidRPr="003E11BB">
              <w:rPr>
                <w:sz w:val="20"/>
                <w:vertAlign w:val="superscript"/>
                <w:lang w:val="en-US"/>
              </w:rPr>
              <w:t>b</w:t>
            </w:r>
          </w:p>
        </w:tc>
        <w:tc>
          <w:tcPr>
            <w:tcW w:w="1601" w:type="dxa"/>
            <w:tcBorders>
              <w:top w:val="nil"/>
            </w:tcBorders>
          </w:tcPr>
          <w:p w:rsidR="00D21521" w:rsidRPr="003E11BB" w:rsidRDefault="00D21521" w:rsidP="00002931">
            <w:pPr>
              <w:spacing w:beforeLines="60" w:before="144" w:afterLines="60" w:after="144"/>
              <w:jc w:val="right"/>
              <w:rPr>
                <w:sz w:val="20"/>
                <w:lang w:val="en-US"/>
              </w:rPr>
            </w:pPr>
            <w:r w:rsidRPr="003E11BB">
              <w:rPr>
                <w:sz w:val="20"/>
                <w:lang w:val="en-US"/>
              </w:rPr>
              <w:t>5 (0.5)</w:t>
            </w:r>
          </w:p>
          <w:p w:rsidR="00D21521" w:rsidRPr="003E11BB" w:rsidRDefault="00D21521" w:rsidP="00002931">
            <w:pPr>
              <w:spacing w:beforeLines="60" w:before="144" w:afterLines="60" w:after="144"/>
              <w:jc w:val="right"/>
              <w:rPr>
                <w:sz w:val="20"/>
                <w:lang w:val="en-US"/>
              </w:rPr>
            </w:pPr>
            <w:r w:rsidRPr="003E11BB">
              <w:rPr>
                <w:sz w:val="20"/>
                <w:lang w:val="en-US"/>
              </w:rPr>
              <w:t>6 (0.6)</w:t>
            </w:r>
          </w:p>
          <w:p w:rsidR="00D21521" w:rsidRPr="003E11BB" w:rsidRDefault="00D21521" w:rsidP="00002931">
            <w:pPr>
              <w:spacing w:beforeLines="60" w:before="144" w:afterLines="60" w:after="144"/>
              <w:jc w:val="right"/>
              <w:rPr>
                <w:sz w:val="20"/>
                <w:lang w:val="en-US"/>
              </w:rPr>
            </w:pPr>
            <w:r w:rsidRPr="003E11BB">
              <w:rPr>
                <w:sz w:val="20"/>
                <w:lang w:val="en-US"/>
              </w:rPr>
              <w:t>0</w:t>
            </w:r>
          </w:p>
          <w:p w:rsidR="00D21521" w:rsidRPr="003E11BB" w:rsidRDefault="00D21521" w:rsidP="00002931">
            <w:pPr>
              <w:spacing w:beforeLines="60" w:before="144" w:afterLines="60" w:after="144"/>
              <w:jc w:val="right"/>
              <w:rPr>
                <w:sz w:val="20"/>
                <w:lang w:val="en-US"/>
              </w:rPr>
            </w:pPr>
            <w:r w:rsidRPr="003E11BB">
              <w:rPr>
                <w:sz w:val="20"/>
                <w:lang w:val="en-US"/>
              </w:rPr>
              <w:t>0</w:t>
            </w:r>
          </w:p>
          <w:p w:rsidR="00D21521" w:rsidRPr="003E11BB" w:rsidRDefault="00D21521" w:rsidP="00002931">
            <w:pPr>
              <w:spacing w:beforeLines="60" w:before="144" w:afterLines="60" w:after="144"/>
              <w:jc w:val="right"/>
              <w:rPr>
                <w:sz w:val="20"/>
                <w:lang w:val="en-US"/>
              </w:rPr>
            </w:pPr>
            <w:r w:rsidRPr="003E11BB">
              <w:rPr>
                <w:sz w:val="20"/>
                <w:lang w:val="en-US"/>
              </w:rPr>
              <w:t>25 (2.4)</w:t>
            </w:r>
          </w:p>
          <w:p w:rsidR="00D21521" w:rsidRPr="003E11BB" w:rsidRDefault="00D21521" w:rsidP="00002931">
            <w:pPr>
              <w:spacing w:beforeLines="60" w:before="144" w:afterLines="60" w:after="144"/>
              <w:jc w:val="right"/>
              <w:rPr>
                <w:sz w:val="20"/>
                <w:lang w:val="en-US"/>
              </w:rPr>
            </w:pPr>
            <w:r w:rsidRPr="003E11BB">
              <w:rPr>
                <w:sz w:val="20"/>
                <w:lang w:val="en-US"/>
              </w:rPr>
              <w:t>14 (1.4)</w:t>
            </w:r>
          </w:p>
          <w:p w:rsidR="00D21521" w:rsidRPr="003E11BB" w:rsidRDefault="00D21521" w:rsidP="00002931">
            <w:pPr>
              <w:spacing w:beforeLines="60" w:before="144" w:afterLines="60" w:after="144"/>
              <w:jc w:val="right"/>
              <w:rPr>
                <w:sz w:val="20"/>
                <w:lang w:val="en-US"/>
              </w:rPr>
            </w:pPr>
            <w:r w:rsidRPr="003E11BB">
              <w:rPr>
                <w:sz w:val="20"/>
                <w:lang w:val="en-US"/>
              </w:rPr>
              <w:t>1 (0.1)</w:t>
            </w:r>
          </w:p>
          <w:p w:rsidR="00D21521" w:rsidRPr="003E11BB" w:rsidRDefault="00D21521" w:rsidP="00002931">
            <w:pPr>
              <w:spacing w:beforeLines="60" w:before="144" w:afterLines="60" w:after="144"/>
              <w:jc w:val="right"/>
              <w:rPr>
                <w:sz w:val="20"/>
                <w:lang w:val="en-US"/>
              </w:rPr>
            </w:pPr>
            <w:r w:rsidRPr="003E11BB">
              <w:rPr>
                <w:sz w:val="20"/>
                <w:lang w:val="en-US"/>
              </w:rPr>
              <w:t>5 (0.5)</w:t>
            </w:r>
          </w:p>
          <w:p w:rsidR="00D21521" w:rsidRPr="003E11BB" w:rsidRDefault="00D21521" w:rsidP="00002931">
            <w:pPr>
              <w:spacing w:beforeLines="60" w:before="144" w:afterLines="60" w:after="144"/>
              <w:jc w:val="right"/>
              <w:rPr>
                <w:sz w:val="20"/>
                <w:lang w:val="en-US"/>
              </w:rPr>
            </w:pPr>
            <w:r w:rsidRPr="003E11BB">
              <w:rPr>
                <w:sz w:val="20"/>
                <w:lang w:val="en-US"/>
              </w:rPr>
              <w:t>0</w:t>
            </w:r>
          </w:p>
          <w:p w:rsidR="00D21521" w:rsidRPr="003E11BB" w:rsidRDefault="00D21521" w:rsidP="00002931">
            <w:pPr>
              <w:spacing w:beforeLines="60" w:before="144" w:afterLines="60" w:after="144"/>
              <w:jc w:val="right"/>
              <w:rPr>
                <w:sz w:val="20"/>
                <w:lang w:val="en-US"/>
              </w:rPr>
            </w:pPr>
            <w:r w:rsidRPr="003E11BB">
              <w:rPr>
                <w:sz w:val="20"/>
                <w:lang w:val="en-US"/>
              </w:rPr>
              <w:t>7 (0.7)</w:t>
            </w:r>
          </w:p>
          <w:p w:rsidR="00D21521" w:rsidRPr="003E11BB" w:rsidRDefault="00D21521" w:rsidP="00002931">
            <w:pPr>
              <w:spacing w:beforeLines="60" w:before="144" w:afterLines="60" w:after="144"/>
              <w:jc w:val="right"/>
              <w:rPr>
                <w:sz w:val="20"/>
                <w:lang w:val="en-US"/>
              </w:rPr>
            </w:pPr>
            <w:r w:rsidRPr="003E11BB">
              <w:rPr>
                <w:sz w:val="20"/>
                <w:lang w:val="en-US"/>
              </w:rPr>
              <w:t>7 (0.7)</w:t>
            </w:r>
          </w:p>
          <w:p w:rsidR="00D21521" w:rsidRPr="003E11BB" w:rsidRDefault="00D21521" w:rsidP="00002931">
            <w:pPr>
              <w:spacing w:beforeLines="60" w:before="144" w:afterLines="60" w:after="144"/>
              <w:jc w:val="right"/>
              <w:rPr>
                <w:sz w:val="20"/>
                <w:lang w:val="en-US"/>
              </w:rPr>
            </w:pPr>
            <w:r w:rsidRPr="003E11BB">
              <w:rPr>
                <w:sz w:val="20"/>
                <w:lang w:val="en-US"/>
              </w:rPr>
              <w:t>1 (0.1)</w:t>
            </w:r>
          </w:p>
          <w:p w:rsidR="00D21521" w:rsidRPr="003E11BB" w:rsidRDefault="00D21521" w:rsidP="00002931">
            <w:pPr>
              <w:spacing w:beforeLines="60" w:before="144" w:afterLines="60" w:after="144"/>
              <w:jc w:val="right"/>
              <w:rPr>
                <w:sz w:val="20"/>
                <w:lang w:val="en-US"/>
              </w:rPr>
            </w:pPr>
            <w:r w:rsidRPr="003E11BB">
              <w:rPr>
                <w:sz w:val="20"/>
                <w:lang w:val="en-US"/>
              </w:rPr>
              <w:t>4 (0.4)</w:t>
            </w:r>
          </w:p>
          <w:p w:rsidR="00D21521" w:rsidRPr="003E11BB" w:rsidRDefault="00D21521" w:rsidP="00002931">
            <w:pPr>
              <w:spacing w:beforeLines="60" w:before="144" w:afterLines="60" w:after="144"/>
              <w:jc w:val="right"/>
              <w:rPr>
                <w:sz w:val="20"/>
                <w:lang w:val="en-US"/>
              </w:rPr>
            </w:pPr>
            <w:r w:rsidRPr="003E11BB">
              <w:rPr>
                <w:sz w:val="20"/>
                <w:lang w:val="en-US"/>
              </w:rPr>
              <w:t>1 (0.1)</w:t>
            </w:r>
          </w:p>
          <w:p w:rsidR="00D21521" w:rsidRPr="003E11BB" w:rsidRDefault="00D21521" w:rsidP="00002931">
            <w:pPr>
              <w:spacing w:beforeLines="60" w:before="144" w:afterLines="60" w:after="144"/>
              <w:jc w:val="right"/>
              <w:rPr>
                <w:sz w:val="20"/>
                <w:lang w:val="en-US"/>
              </w:rPr>
            </w:pPr>
            <w:r w:rsidRPr="003E11BB">
              <w:rPr>
                <w:sz w:val="20"/>
                <w:lang w:val="en-US"/>
              </w:rPr>
              <w:t>5 (0.5)</w:t>
            </w:r>
          </w:p>
          <w:p w:rsidR="00D21521" w:rsidRPr="003E11BB" w:rsidRDefault="00D21521" w:rsidP="00002931">
            <w:pPr>
              <w:spacing w:beforeLines="60" w:before="144" w:afterLines="60" w:after="144"/>
              <w:jc w:val="right"/>
              <w:rPr>
                <w:sz w:val="20"/>
                <w:lang w:val="en-US"/>
              </w:rPr>
            </w:pPr>
            <w:r w:rsidRPr="003E11BB">
              <w:rPr>
                <w:sz w:val="20"/>
                <w:lang w:val="en-US"/>
              </w:rPr>
              <w:t>0</w:t>
            </w:r>
          </w:p>
        </w:tc>
        <w:tc>
          <w:tcPr>
            <w:tcW w:w="1602" w:type="dxa"/>
            <w:tcBorders>
              <w:top w:val="nil"/>
            </w:tcBorders>
          </w:tcPr>
          <w:p w:rsidR="00D21521" w:rsidRPr="003E11BB" w:rsidRDefault="00D21521" w:rsidP="00002931">
            <w:pPr>
              <w:spacing w:beforeLines="60" w:before="144" w:afterLines="60" w:after="144"/>
              <w:jc w:val="right"/>
              <w:rPr>
                <w:sz w:val="20"/>
                <w:lang w:val="en-US"/>
              </w:rPr>
            </w:pPr>
            <w:r w:rsidRPr="003E11BB">
              <w:rPr>
                <w:sz w:val="20"/>
                <w:lang w:val="en-US"/>
              </w:rPr>
              <w:t>4 (0.4)</w:t>
            </w:r>
          </w:p>
          <w:p w:rsidR="00D21521" w:rsidRPr="003E11BB" w:rsidRDefault="00D21521" w:rsidP="00002931">
            <w:pPr>
              <w:spacing w:beforeLines="60" w:before="144" w:afterLines="60" w:after="144"/>
              <w:jc w:val="right"/>
              <w:rPr>
                <w:sz w:val="20"/>
                <w:lang w:val="en-US"/>
              </w:rPr>
            </w:pPr>
            <w:r w:rsidRPr="003E11BB">
              <w:rPr>
                <w:sz w:val="20"/>
                <w:lang w:val="en-US"/>
              </w:rPr>
              <w:t>4 (0.4)</w:t>
            </w:r>
          </w:p>
          <w:p w:rsidR="00D21521" w:rsidRPr="003E11BB" w:rsidRDefault="00D21521" w:rsidP="00002931">
            <w:pPr>
              <w:spacing w:beforeLines="60" w:before="144" w:afterLines="60" w:after="144"/>
              <w:jc w:val="right"/>
              <w:rPr>
                <w:sz w:val="20"/>
                <w:lang w:val="en-US"/>
              </w:rPr>
            </w:pPr>
            <w:r w:rsidRPr="003E11BB">
              <w:rPr>
                <w:sz w:val="20"/>
                <w:lang w:val="en-US"/>
              </w:rPr>
              <w:t>1 (0.1)</w:t>
            </w:r>
          </w:p>
          <w:p w:rsidR="00D21521" w:rsidRPr="003E11BB" w:rsidRDefault="00D21521" w:rsidP="00002931">
            <w:pPr>
              <w:spacing w:beforeLines="60" w:before="144" w:afterLines="60" w:after="144"/>
              <w:jc w:val="right"/>
              <w:rPr>
                <w:sz w:val="20"/>
                <w:lang w:val="en-US"/>
              </w:rPr>
            </w:pPr>
            <w:r w:rsidRPr="003E11BB">
              <w:rPr>
                <w:sz w:val="20"/>
                <w:lang w:val="en-US"/>
              </w:rPr>
              <w:t>0</w:t>
            </w:r>
          </w:p>
          <w:p w:rsidR="00D21521" w:rsidRPr="003E11BB" w:rsidRDefault="00D21521" w:rsidP="00002931">
            <w:pPr>
              <w:spacing w:beforeLines="60" w:before="144" w:afterLines="60" w:after="144"/>
              <w:jc w:val="right"/>
              <w:rPr>
                <w:sz w:val="20"/>
                <w:lang w:val="en-US"/>
              </w:rPr>
            </w:pPr>
            <w:r w:rsidRPr="003E11BB">
              <w:rPr>
                <w:sz w:val="20"/>
                <w:lang w:val="en-US"/>
              </w:rPr>
              <w:t>29 (2.9)</w:t>
            </w:r>
          </w:p>
          <w:p w:rsidR="00D21521" w:rsidRPr="003E11BB" w:rsidRDefault="00D21521" w:rsidP="00002931">
            <w:pPr>
              <w:spacing w:beforeLines="60" w:before="144" w:afterLines="60" w:after="144"/>
              <w:jc w:val="right"/>
              <w:rPr>
                <w:sz w:val="20"/>
                <w:lang w:val="en-US"/>
              </w:rPr>
            </w:pPr>
            <w:r w:rsidRPr="003E11BB">
              <w:rPr>
                <w:sz w:val="20"/>
                <w:lang w:val="en-US"/>
              </w:rPr>
              <w:t>9 (0.9)</w:t>
            </w:r>
          </w:p>
          <w:p w:rsidR="00D21521" w:rsidRPr="003E11BB" w:rsidRDefault="00D21521" w:rsidP="00002931">
            <w:pPr>
              <w:spacing w:beforeLines="60" w:before="144" w:afterLines="60" w:after="144"/>
              <w:jc w:val="right"/>
              <w:rPr>
                <w:sz w:val="20"/>
                <w:lang w:val="en-US"/>
              </w:rPr>
            </w:pPr>
            <w:r w:rsidRPr="003E11BB">
              <w:rPr>
                <w:sz w:val="20"/>
                <w:lang w:val="en-US"/>
              </w:rPr>
              <w:t>1 (0.1)</w:t>
            </w:r>
          </w:p>
          <w:p w:rsidR="00D21521" w:rsidRPr="003E11BB" w:rsidRDefault="00D21521" w:rsidP="00002931">
            <w:pPr>
              <w:spacing w:beforeLines="60" w:before="144" w:afterLines="60" w:after="144"/>
              <w:jc w:val="right"/>
              <w:rPr>
                <w:sz w:val="20"/>
                <w:lang w:val="en-US"/>
              </w:rPr>
            </w:pPr>
            <w:r w:rsidRPr="003E11BB">
              <w:rPr>
                <w:sz w:val="20"/>
                <w:lang w:val="en-US"/>
              </w:rPr>
              <w:t>4 (0.4)</w:t>
            </w:r>
          </w:p>
          <w:p w:rsidR="00D21521" w:rsidRPr="003E11BB" w:rsidRDefault="00D21521" w:rsidP="00002931">
            <w:pPr>
              <w:spacing w:beforeLines="60" w:before="144" w:afterLines="60" w:after="144"/>
              <w:jc w:val="right"/>
              <w:rPr>
                <w:sz w:val="20"/>
                <w:lang w:val="en-US"/>
              </w:rPr>
            </w:pPr>
            <w:r w:rsidRPr="003E11BB">
              <w:rPr>
                <w:sz w:val="20"/>
                <w:lang w:val="en-US"/>
              </w:rPr>
              <w:t>0</w:t>
            </w:r>
          </w:p>
          <w:p w:rsidR="00D21521" w:rsidRPr="003E11BB" w:rsidRDefault="00D21521" w:rsidP="00002931">
            <w:pPr>
              <w:spacing w:beforeLines="60" w:before="144" w:afterLines="60" w:after="144"/>
              <w:jc w:val="right"/>
              <w:rPr>
                <w:sz w:val="20"/>
                <w:lang w:val="en-US"/>
              </w:rPr>
            </w:pPr>
            <w:r w:rsidRPr="003E11BB">
              <w:rPr>
                <w:sz w:val="20"/>
                <w:lang w:val="en-US"/>
              </w:rPr>
              <w:t>9 (0.9)</w:t>
            </w:r>
          </w:p>
          <w:p w:rsidR="00D21521" w:rsidRPr="003E11BB" w:rsidRDefault="00D21521" w:rsidP="00002931">
            <w:pPr>
              <w:spacing w:beforeLines="60" w:before="144" w:afterLines="60" w:after="144"/>
              <w:jc w:val="right"/>
              <w:rPr>
                <w:sz w:val="20"/>
                <w:lang w:val="en-US"/>
              </w:rPr>
            </w:pPr>
            <w:r w:rsidRPr="003E11BB">
              <w:rPr>
                <w:sz w:val="20"/>
                <w:lang w:val="en-US"/>
              </w:rPr>
              <w:t>16 (1.6)</w:t>
            </w:r>
          </w:p>
          <w:p w:rsidR="00D21521" w:rsidRPr="003E11BB" w:rsidRDefault="00D21521" w:rsidP="00002931">
            <w:pPr>
              <w:spacing w:beforeLines="60" w:before="144" w:afterLines="60" w:after="144"/>
              <w:jc w:val="right"/>
              <w:rPr>
                <w:sz w:val="20"/>
                <w:lang w:val="en-US"/>
              </w:rPr>
            </w:pPr>
            <w:r w:rsidRPr="003E11BB">
              <w:rPr>
                <w:sz w:val="20"/>
                <w:lang w:val="en-US"/>
              </w:rPr>
              <w:t>0</w:t>
            </w:r>
          </w:p>
          <w:p w:rsidR="00D21521" w:rsidRPr="003E11BB" w:rsidRDefault="00D21521" w:rsidP="00002931">
            <w:pPr>
              <w:spacing w:beforeLines="60" w:before="144" w:afterLines="60" w:after="144"/>
              <w:jc w:val="right"/>
              <w:rPr>
                <w:sz w:val="20"/>
                <w:lang w:val="en-US"/>
              </w:rPr>
            </w:pPr>
            <w:r w:rsidRPr="003E11BB">
              <w:rPr>
                <w:sz w:val="20"/>
                <w:lang w:val="en-US"/>
              </w:rPr>
              <w:t>2 (0.2)</w:t>
            </w:r>
          </w:p>
          <w:p w:rsidR="00D21521" w:rsidRPr="003E11BB" w:rsidRDefault="00D21521" w:rsidP="00002931">
            <w:pPr>
              <w:spacing w:beforeLines="60" w:before="144" w:afterLines="60" w:after="144"/>
              <w:jc w:val="right"/>
              <w:rPr>
                <w:sz w:val="20"/>
                <w:lang w:val="en-US"/>
              </w:rPr>
            </w:pPr>
            <w:r w:rsidRPr="003E11BB">
              <w:rPr>
                <w:sz w:val="20"/>
                <w:lang w:val="en-US"/>
              </w:rPr>
              <w:t>1 (0.1)</w:t>
            </w:r>
          </w:p>
          <w:p w:rsidR="00D21521" w:rsidRPr="003E11BB" w:rsidRDefault="00D21521" w:rsidP="00002931">
            <w:pPr>
              <w:spacing w:beforeLines="60" w:before="144" w:afterLines="60" w:after="144"/>
              <w:jc w:val="right"/>
              <w:rPr>
                <w:sz w:val="20"/>
                <w:lang w:val="en-US"/>
              </w:rPr>
            </w:pPr>
            <w:r w:rsidRPr="003E11BB">
              <w:rPr>
                <w:sz w:val="20"/>
                <w:lang w:val="en-US"/>
              </w:rPr>
              <w:t>2 (0.2)</w:t>
            </w:r>
          </w:p>
          <w:p w:rsidR="00D21521" w:rsidRPr="003E11BB" w:rsidRDefault="00D21521" w:rsidP="00002931">
            <w:pPr>
              <w:spacing w:beforeLines="60" w:before="144" w:afterLines="60" w:after="144"/>
              <w:jc w:val="right"/>
              <w:rPr>
                <w:sz w:val="20"/>
                <w:lang w:val="en-US"/>
              </w:rPr>
            </w:pPr>
            <w:r w:rsidRPr="003E11BB">
              <w:rPr>
                <w:sz w:val="20"/>
                <w:lang w:val="en-US"/>
              </w:rPr>
              <w:t>0</w:t>
            </w:r>
          </w:p>
        </w:tc>
        <w:tc>
          <w:tcPr>
            <w:tcW w:w="1336" w:type="dxa"/>
            <w:tcBorders>
              <w:top w:val="nil"/>
            </w:tcBorders>
          </w:tcPr>
          <w:p w:rsidR="00D21521" w:rsidRPr="003E11BB" w:rsidRDefault="00D21521" w:rsidP="00002931">
            <w:pPr>
              <w:spacing w:beforeLines="60" w:before="144" w:afterLines="60" w:after="144"/>
              <w:jc w:val="right"/>
              <w:rPr>
                <w:sz w:val="20"/>
                <w:lang w:val="en-US"/>
              </w:rPr>
            </w:pPr>
            <w:r w:rsidRPr="003E11BB">
              <w:rPr>
                <w:sz w:val="20"/>
                <w:lang w:val="en-US"/>
              </w:rPr>
              <w:t>6 (0.6)</w:t>
            </w:r>
          </w:p>
          <w:p w:rsidR="00D21521" w:rsidRPr="003E11BB" w:rsidRDefault="00D21521" w:rsidP="00002931">
            <w:pPr>
              <w:spacing w:beforeLines="60" w:before="144" w:afterLines="60" w:after="144"/>
              <w:jc w:val="right"/>
              <w:rPr>
                <w:sz w:val="20"/>
                <w:lang w:val="en-US"/>
              </w:rPr>
            </w:pPr>
            <w:r w:rsidRPr="003E11BB">
              <w:rPr>
                <w:sz w:val="20"/>
                <w:lang w:val="en-US"/>
              </w:rPr>
              <w:t>7 (0.7)</w:t>
            </w:r>
          </w:p>
          <w:p w:rsidR="00D21521" w:rsidRPr="003E11BB" w:rsidRDefault="00D21521" w:rsidP="00002931">
            <w:pPr>
              <w:spacing w:beforeLines="60" w:before="144" w:afterLines="60" w:after="144"/>
              <w:jc w:val="right"/>
              <w:rPr>
                <w:sz w:val="20"/>
                <w:lang w:val="en-US"/>
              </w:rPr>
            </w:pPr>
            <w:r w:rsidRPr="003E11BB">
              <w:rPr>
                <w:sz w:val="20"/>
                <w:lang w:val="en-US"/>
              </w:rPr>
              <w:t>0</w:t>
            </w:r>
          </w:p>
          <w:p w:rsidR="00D21521" w:rsidRPr="003E11BB" w:rsidRDefault="00D21521" w:rsidP="00002931">
            <w:pPr>
              <w:spacing w:beforeLines="60" w:before="144" w:afterLines="60" w:after="144"/>
              <w:jc w:val="right"/>
              <w:rPr>
                <w:sz w:val="20"/>
                <w:lang w:val="en-US"/>
              </w:rPr>
            </w:pPr>
            <w:r w:rsidRPr="003E11BB">
              <w:rPr>
                <w:sz w:val="20"/>
                <w:lang w:val="en-US"/>
              </w:rPr>
              <w:t>0</w:t>
            </w:r>
          </w:p>
          <w:p w:rsidR="00D21521" w:rsidRPr="003E11BB" w:rsidRDefault="00D21521" w:rsidP="00002931">
            <w:pPr>
              <w:spacing w:beforeLines="60" w:before="144" w:afterLines="60" w:after="144"/>
              <w:jc w:val="right"/>
              <w:rPr>
                <w:sz w:val="20"/>
                <w:lang w:val="en-US"/>
              </w:rPr>
            </w:pPr>
            <w:r w:rsidRPr="003E11BB">
              <w:rPr>
                <w:sz w:val="20"/>
                <w:lang w:val="en-US"/>
              </w:rPr>
              <w:t>21 (2.1)</w:t>
            </w:r>
          </w:p>
          <w:p w:rsidR="00D21521" w:rsidRPr="003E11BB" w:rsidRDefault="00D21521" w:rsidP="00002931">
            <w:pPr>
              <w:spacing w:beforeLines="60" w:before="144" w:afterLines="60" w:after="144"/>
              <w:jc w:val="right"/>
              <w:rPr>
                <w:sz w:val="20"/>
                <w:lang w:val="en-US"/>
              </w:rPr>
            </w:pPr>
            <w:r w:rsidRPr="003E11BB">
              <w:rPr>
                <w:sz w:val="20"/>
                <w:lang w:val="en-US"/>
              </w:rPr>
              <w:t>7 (0.7)</w:t>
            </w:r>
          </w:p>
          <w:p w:rsidR="00D21521" w:rsidRPr="003E11BB" w:rsidRDefault="00D21521" w:rsidP="00002931">
            <w:pPr>
              <w:spacing w:beforeLines="60" w:before="144" w:afterLines="60" w:after="144"/>
              <w:jc w:val="right"/>
              <w:rPr>
                <w:sz w:val="20"/>
                <w:lang w:val="en-US"/>
              </w:rPr>
            </w:pPr>
            <w:r w:rsidRPr="003E11BB">
              <w:rPr>
                <w:sz w:val="20"/>
                <w:lang w:val="en-US"/>
              </w:rPr>
              <w:t>1 (0.1)</w:t>
            </w:r>
          </w:p>
          <w:p w:rsidR="00D21521" w:rsidRPr="003E11BB" w:rsidRDefault="00D21521" w:rsidP="00002931">
            <w:pPr>
              <w:spacing w:beforeLines="60" w:before="144" w:afterLines="60" w:after="144"/>
              <w:jc w:val="right"/>
              <w:rPr>
                <w:sz w:val="20"/>
                <w:lang w:val="en-US"/>
              </w:rPr>
            </w:pPr>
            <w:r w:rsidRPr="003E11BB">
              <w:rPr>
                <w:sz w:val="20"/>
                <w:lang w:val="en-US"/>
              </w:rPr>
              <w:t>2 (0.2)</w:t>
            </w:r>
          </w:p>
          <w:p w:rsidR="00D21521" w:rsidRPr="003E11BB" w:rsidRDefault="00D21521" w:rsidP="00002931">
            <w:pPr>
              <w:spacing w:beforeLines="60" w:before="144" w:afterLines="60" w:after="144"/>
              <w:jc w:val="right"/>
              <w:rPr>
                <w:sz w:val="20"/>
                <w:lang w:val="en-US"/>
              </w:rPr>
            </w:pPr>
            <w:r w:rsidRPr="003E11BB">
              <w:rPr>
                <w:sz w:val="20"/>
                <w:lang w:val="en-US"/>
              </w:rPr>
              <w:t>0</w:t>
            </w:r>
          </w:p>
          <w:p w:rsidR="00D21521" w:rsidRPr="003E11BB" w:rsidRDefault="00D21521" w:rsidP="00002931">
            <w:pPr>
              <w:spacing w:beforeLines="60" w:before="144" w:afterLines="60" w:after="144"/>
              <w:jc w:val="right"/>
              <w:rPr>
                <w:sz w:val="20"/>
                <w:lang w:val="en-US"/>
              </w:rPr>
            </w:pPr>
            <w:r w:rsidRPr="003E11BB">
              <w:rPr>
                <w:sz w:val="20"/>
                <w:lang w:val="en-US"/>
              </w:rPr>
              <w:t>3 (0.3)</w:t>
            </w:r>
          </w:p>
          <w:p w:rsidR="00D21521" w:rsidRPr="003E11BB" w:rsidRDefault="00D21521" w:rsidP="00002931">
            <w:pPr>
              <w:spacing w:beforeLines="60" w:before="144" w:afterLines="60" w:after="144"/>
              <w:jc w:val="right"/>
              <w:rPr>
                <w:sz w:val="20"/>
                <w:lang w:val="en-US"/>
              </w:rPr>
            </w:pPr>
            <w:r w:rsidRPr="003E11BB">
              <w:rPr>
                <w:sz w:val="20"/>
                <w:lang w:val="en-US"/>
              </w:rPr>
              <w:t>13 (1.3)</w:t>
            </w:r>
          </w:p>
          <w:p w:rsidR="00D21521" w:rsidRPr="003E11BB" w:rsidRDefault="00D21521" w:rsidP="00002931">
            <w:pPr>
              <w:spacing w:beforeLines="60" w:before="144" w:afterLines="60" w:after="144"/>
              <w:jc w:val="right"/>
              <w:rPr>
                <w:sz w:val="20"/>
                <w:lang w:val="en-US"/>
              </w:rPr>
            </w:pPr>
            <w:r w:rsidRPr="003E11BB">
              <w:rPr>
                <w:sz w:val="20"/>
                <w:lang w:val="en-US"/>
              </w:rPr>
              <w:t>0</w:t>
            </w:r>
          </w:p>
          <w:p w:rsidR="00D21521" w:rsidRPr="003E11BB" w:rsidRDefault="00D21521" w:rsidP="00002931">
            <w:pPr>
              <w:spacing w:beforeLines="60" w:before="144" w:afterLines="60" w:after="144"/>
              <w:jc w:val="right"/>
              <w:rPr>
                <w:sz w:val="20"/>
                <w:lang w:val="en-US"/>
              </w:rPr>
            </w:pPr>
            <w:r w:rsidRPr="003E11BB">
              <w:rPr>
                <w:sz w:val="20"/>
                <w:lang w:val="en-US"/>
              </w:rPr>
              <w:t>3 (0.3)</w:t>
            </w:r>
          </w:p>
          <w:p w:rsidR="00D21521" w:rsidRPr="003E11BB" w:rsidRDefault="00D21521" w:rsidP="00002931">
            <w:pPr>
              <w:spacing w:beforeLines="60" w:before="144" w:afterLines="60" w:after="144"/>
              <w:jc w:val="right"/>
              <w:rPr>
                <w:sz w:val="20"/>
                <w:lang w:val="en-US"/>
              </w:rPr>
            </w:pPr>
            <w:r w:rsidRPr="003E11BB">
              <w:rPr>
                <w:sz w:val="20"/>
                <w:lang w:val="en-US"/>
              </w:rPr>
              <w:t>0</w:t>
            </w:r>
          </w:p>
          <w:p w:rsidR="00D21521" w:rsidRPr="003E11BB" w:rsidRDefault="00D21521" w:rsidP="00002931">
            <w:pPr>
              <w:spacing w:beforeLines="60" w:before="144" w:afterLines="60" w:after="144"/>
              <w:jc w:val="right"/>
              <w:rPr>
                <w:sz w:val="20"/>
                <w:lang w:val="en-US"/>
              </w:rPr>
            </w:pPr>
            <w:r w:rsidRPr="003E11BB">
              <w:rPr>
                <w:sz w:val="20"/>
                <w:lang w:val="en-US"/>
              </w:rPr>
              <w:t>3 (0.3)</w:t>
            </w:r>
          </w:p>
          <w:p w:rsidR="00D21521" w:rsidRPr="003E11BB" w:rsidRDefault="00D21521" w:rsidP="00002931">
            <w:pPr>
              <w:spacing w:beforeLines="60" w:before="144" w:afterLines="60" w:after="144"/>
              <w:jc w:val="right"/>
              <w:rPr>
                <w:sz w:val="20"/>
                <w:lang w:val="en-US"/>
              </w:rPr>
            </w:pPr>
            <w:r w:rsidRPr="003E11BB">
              <w:rPr>
                <w:sz w:val="20"/>
                <w:lang w:val="en-US"/>
              </w:rPr>
              <w:t>0</w:t>
            </w:r>
          </w:p>
        </w:tc>
        <w:tc>
          <w:tcPr>
            <w:tcW w:w="1469" w:type="dxa"/>
            <w:tcBorders>
              <w:top w:val="nil"/>
            </w:tcBorders>
          </w:tcPr>
          <w:p w:rsidR="00D21521" w:rsidRPr="003E11BB" w:rsidRDefault="00D21521" w:rsidP="00002931">
            <w:pPr>
              <w:spacing w:beforeLines="60" w:before="144" w:afterLines="60" w:after="144"/>
              <w:jc w:val="right"/>
              <w:rPr>
                <w:sz w:val="20"/>
                <w:lang w:val="en-US"/>
              </w:rPr>
            </w:pPr>
            <w:r w:rsidRPr="003E11BB">
              <w:rPr>
                <w:sz w:val="20"/>
                <w:lang w:val="en-US"/>
              </w:rPr>
              <w:t>2 (0.2)</w:t>
            </w:r>
          </w:p>
          <w:p w:rsidR="00D21521" w:rsidRPr="003E11BB" w:rsidRDefault="00D21521" w:rsidP="00002931">
            <w:pPr>
              <w:spacing w:beforeLines="60" w:before="144" w:afterLines="60" w:after="144"/>
              <w:jc w:val="right"/>
              <w:rPr>
                <w:sz w:val="20"/>
                <w:lang w:val="en-US"/>
              </w:rPr>
            </w:pPr>
            <w:r w:rsidRPr="003E11BB">
              <w:rPr>
                <w:sz w:val="20"/>
                <w:lang w:val="en-US"/>
              </w:rPr>
              <w:t>6 (0.6)</w:t>
            </w:r>
          </w:p>
          <w:p w:rsidR="00D21521" w:rsidRPr="003E11BB" w:rsidRDefault="00D21521" w:rsidP="00002931">
            <w:pPr>
              <w:spacing w:beforeLines="60" w:before="144" w:afterLines="60" w:after="144"/>
              <w:jc w:val="right"/>
              <w:rPr>
                <w:sz w:val="20"/>
                <w:lang w:val="en-US"/>
              </w:rPr>
            </w:pPr>
            <w:r w:rsidRPr="003E11BB">
              <w:rPr>
                <w:sz w:val="20"/>
                <w:lang w:val="en-US"/>
              </w:rPr>
              <w:t>0</w:t>
            </w:r>
          </w:p>
          <w:p w:rsidR="00D21521" w:rsidRPr="003E11BB" w:rsidRDefault="00D21521" w:rsidP="00002931">
            <w:pPr>
              <w:spacing w:beforeLines="60" w:before="144" w:afterLines="60" w:after="144"/>
              <w:jc w:val="right"/>
              <w:rPr>
                <w:sz w:val="20"/>
                <w:lang w:val="en-US"/>
              </w:rPr>
            </w:pPr>
            <w:r w:rsidRPr="003E11BB">
              <w:rPr>
                <w:sz w:val="20"/>
                <w:lang w:val="en-US"/>
              </w:rPr>
              <w:t>0</w:t>
            </w:r>
          </w:p>
          <w:p w:rsidR="00D21521" w:rsidRPr="003E11BB" w:rsidRDefault="00D21521" w:rsidP="00002931">
            <w:pPr>
              <w:spacing w:beforeLines="60" w:before="144" w:afterLines="60" w:after="144"/>
              <w:jc w:val="right"/>
              <w:rPr>
                <w:sz w:val="20"/>
                <w:lang w:val="en-US"/>
              </w:rPr>
            </w:pPr>
            <w:r w:rsidRPr="003E11BB">
              <w:rPr>
                <w:sz w:val="20"/>
                <w:lang w:val="en-US"/>
              </w:rPr>
              <w:t>22 (2.2)</w:t>
            </w:r>
          </w:p>
          <w:p w:rsidR="00D21521" w:rsidRPr="003E11BB" w:rsidRDefault="00D21521" w:rsidP="00002931">
            <w:pPr>
              <w:spacing w:beforeLines="60" w:before="144" w:afterLines="60" w:after="144"/>
              <w:jc w:val="right"/>
              <w:rPr>
                <w:sz w:val="20"/>
                <w:lang w:val="en-US"/>
              </w:rPr>
            </w:pPr>
            <w:r w:rsidRPr="003E11BB">
              <w:rPr>
                <w:sz w:val="20"/>
                <w:lang w:val="en-US"/>
              </w:rPr>
              <w:t>8 (0.8)</w:t>
            </w:r>
          </w:p>
          <w:p w:rsidR="00D21521" w:rsidRPr="003E11BB" w:rsidRDefault="00D21521" w:rsidP="00002931">
            <w:pPr>
              <w:spacing w:beforeLines="60" w:before="144" w:afterLines="60" w:after="144"/>
              <w:jc w:val="right"/>
              <w:rPr>
                <w:sz w:val="20"/>
                <w:lang w:val="en-US"/>
              </w:rPr>
            </w:pPr>
            <w:r w:rsidRPr="003E11BB">
              <w:rPr>
                <w:sz w:val="20"/>
                <w:lang w:val="en-US"/>
              </w:rPr>
              <w:t>0</w:t>
            </w:r>
          </w:p>
          <w:p w:rsidR="00D21521" w:rsidRPr="003E11BB" w:rsidRDefault="00D21521" w:rsidP="00002931">
            <w:pPr>
              <w:spacing w:beforeLines="60" w:before="144" w:afterLines="60" w:after="144"/>
              <w:jc w:val="right"/>
              <w:rPr>
                <w:sz w:val="20"/>
                <w:lang w:val="en-US"/>
              </w:rPr>
            </w:pPr>
            <w:r w:rsidRPr="003E11BB">
              <w:rPr>
                <w:sz w:val="20"/>
                <w:lang w:val="en-US"/>
              </w:rPr>
              <w:t>2 (0.2)</w:t>
            </w:r>
          </w:p>
          <w:p w:rsidR="00D21521" w:rsidRPr="003E11BB" w:rsidRDefault="00D21521" w:rsidP="00002931">
            <w:pPr>
              <w:spacing w:beforeLines="60" w:before="144" w:afterLines="60" w:after="144"/>
              <w:jc w:val="right"/>
              <w:rPr>
                <w:sz w:val="20"/>
                <w:lang w:val="en-US"/>
              </w:rPr>
            </w:pPr>
            <w:r w:rsidRPr="003E11BB">
              <w:rPr>
                <w:sz w:val="20"/>
                <w:lang w:val="en-US"/>
              </w:rPr>
              <w:t>0</w:t>
            </w:r>
          </w:p>
          <w:p w:rsidR="00D21521" w:rsidRPr="003E11BB" w:rsidRDefault="00D21521" w:rsidP="00002931">
            <w:pPr>
              <w:spacing w:beforeLines="60" w:before="144" w:afterLines="60" w:after="144"/>
              <w:jc w:val="right"/>
              <w:rPr>
                <w:sz w:val="20"/>
                <w:lang w:val="en-US"/>
              </w:rPr>
            </w:pPr>
            <w:r w:rsidRPr="003E11BB">
              <w:rPr>
                <w:sz w:val="20"/>
                <w:lang w:val="en-US"/>
              </w:rPr>
              <w:t>6 (0.6)</w:t>
            </w:r>
          </w:p>
          <w:p w:rsidR="00D21521" w:rsidRPr="003E11BB" w:rsidRDefault="00D21521" w:rsidP="00002931">
            <w:pPr>
              <w:spacing w:beforeLines="60" w:before="144" w:afterLines="60" w:after="144"/>
              <w:jc w:val="right"/>
              <w:rPr>
                <w:sz w:val="20"/>
                <w:lang w:val="en-US"/>
              </w:rPr>
            </w:pPr>
            <w:r w:rsidRPr="003E11BB">
              <w:rPr>
                <w:sz w:val="20"/>
                <w:lang w:val="en-US"/>
              </w:rPr>
              <w:t>7 (0.7)</w:t>
            </w:r>
          </w:p>
          <w:p w:rsidR="00D21521" w:rsidRPr="003E11BB" w:rsidRDefault="00D21521" w:rsidP="00002931">
            <w:pPr>
              <w:spacing w:beforeLines="60" w:before="144" w:afterLines="60" w:after="144"/>
              <w:jc w:val="right"/>
              <w:rPr>
                <w:sz w:val="20"/>
                <w:lang w:val="en-US"/>
              </w:rPr>
            </w:pPr>
            <w:r w:rsidRPr="003E11BB">
              <w:rPr>
                <w:sz w:val="20"/>
                <w:lang w:val="en-US"/>
              </w:rPr>
              <w:t>2 (0.2)</w:t>
            </w:r>
          </w:p>
          <w:p w:rsidR="00D21521" w:rsidRPr="003E11BB" w:rsidRDefault="00D21521" w:rsidP="00002931">
            <w:pPr>
              <w:spacing w:beforeLines="60" w:before="144" w:afterLines="60" w:after="144"/>
              <w:jc w:val="right"/>
              <w:rPr>
                <w:sz w:val="20"/>
                <w:lang w:val="en-US"/>
              </w:rPr>
            </w:pPr>
            <w:r w:rsidRPr="003E11BB">
              <w:rPr>
                <w:sz w:val="20"/>
                <w:lang w:val="en-US"/>
              </w:rPr>
              <w:t>1 (0.1)</w:t>
            </w:r>
          </w:p>
          <w:p w:rsidR="00D21521" w:rsidRPr="003E11BB" w:rsidRDefault="00D21521" w:rsidP="00002931">
            <w:pPr>
              <w:spacing w:beforeLines="60" w:before="144" w:afterLines="60" w:after="144"/>
              <w:jc w:val="right"/>
              <w:rPr>
                <w:sz w:val="20"/>
                <w:lang w:val="en-US"/>
              </w:rPr>
            </w:pPr>
            <w:r w:rsidRPr="003E11BB">
              <w:rPr>
                <w:sz w:val="20"/>
                <w:lang w:val="en-US"/>
              </w:rPr>
              <w:t>1 (0.1)</w:t>
            </w:r>
          </w:p>
          <w:p w:rsidR="00D21521" w:rsidRPr="003E11BB" w:rsidRDefault="00D21521" w:rsidP="00002931">
            <w:pPr>
              <w:spacing w:beforeLines="60" w:before="144" w:afterLines="60" w:after="144"/>
              <w:jc w:val="right"/>
              <w:rPr>
                <w:sz w:val="20"/>
                <w:lang w:val="en-US"/>
              </w:rPr>
            </w:pPr>
            <w:r w:rsidRPr="003E11BB">
              <w:rPr>
                <w:sz w:val="20"/>
                <w:lang w:val="en-US"/>
              </w:rPr>
              <w:t>2 (0.2)</w:t>
            </w:r>
          </w:p>
          <w:p w:rsidR="00D21521" w:rsidRPr="003E11BB" w:rsidRDefault="00D21521" w:rsidP="00002931">
            <w:pPr>
              <w:spacing w:beforeLines="60" w:before="144" w:afterLines="60" w:after="144"/>
              <w:jc w:val="right"/>
              <w:rPr>
                <w:sz w:val="20"/>
                <w:lang w:val="en-US"/>
              </w:rPr>
            </w:pPr>
            <w:r w:rsidRPr="003E11BB">
              <w:rPr>
                <w:sz w:val="20"/>
                <w:lang w:val="en-US"/>
              </w:rPr>
              <w:t>0</w:t>
            </w:r>
          </w:p>
        </w:tc>
      </w:tr>
      <w:tr w:rsidR="00D21521" w:rsidRPr="003E11BB" w:rsidTr="00002931">
        <w:trPr>
          <w:trHeight w:val="733"/>
          <w:jc w:val="center"/>
        </w:trPr>
        <w:tc>
          <w:tcPr>
            <w:tcW w:w="2428" w:type="dxa"/>
          </w:tcPr>
          <w:p w:rsidR="00D21521" w:rsidRPr="00303937" w:rsidRDefault="00D21521" w:rsidP="00002931">
            <w:pPr>
              <w:spacing w:beforeLines="60" w:before="144" w:afterLines="60" w:after="144"/>
              <w:rPr>
                <w:b/>
                <w:sz w:val="20"/>
                <w:lang w:val="en-US"/>
              </w:rPr>
            </w:pPr>
            <w:r w:rsidRPr="00303937">
              <w:rPr>
                <w:b/>
                <w:sz w:val="20"/>
                <w:lang w:val="en-US"/>
              </w:rPr>
              <w:t>Composite NPS AE Endpoint of severe intensity n (%)</w:t>
            </w:r>
          </w:p>
        </w:tc>
        <w:tc>
          <w:tcPr>
            <w:tcW w:w="1601"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14 (1.4)</w:t>
            </w:r>
          </w:p>
        </w:tc>
        <w:tc>
          <w:tcPr>
            <w:tcW w:w="160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14 (1.4)</w:t>
            </w:r>
          </w:p>
        </w:tc>
        <w:tc>
          <w:tcPr>
            <w:tcW w:w="1336"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14 (1.4)</w:t>
            </w:r>
          </w:p>
        </w:tc>
        <w:tc>
          <w:tcPr>
            <w:tcW w:w="1469"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13 (1.3)</w:t>
            </w:r>
          </w:p>
        </w:tc>
      </w:tr>
    </w:tbl>
    <w:p w:rsidR="00D21521" w:rsidRPr="00D21521" w:rsidRDefault="00D21521" w:rsidP="00DA0717">
      <w:pPr>
        <w:ind w:left="284"/>
        <w:rPr>
          <w:sz w:val="16"/>
          <w:szCs w:val="16"/>
          <w:lang w:val="en-US"/>
        </w:rPr>
      </w:pPr>
      <w:r w:rsidRPr="00D21521">
        <w:rPr>
          <w:sz w:val="16"/>
          <w:szCs w:val="16"/>
          <w:lang w:val="en-US"/>
        </w:rPr>
        <w:t xml:space="preserve">AE=adverse event; </w:t>
      </w:r>
      <w:r w:rsidRPr="00D21521">
        <w:rPr>
          <w:sz w:val="16"/>
          <w:szCs w:val="16"/>
          <w:vertAlign w:val="superscript"/>
          <w:lang w:val="en-US"/>
        </w:rPr>
        <w:t>a </w:t>
      </w:r>
      <w:r w:rsidRPr="00D21521">
        <w:rPr>
          <w:sz w:val="16"/>
          <w:szCs w:val="16"/>
          <w:lang w:val="en-US"/>
        </w:rPr>
        <w:t xml:space="preserve">Grade = severe intensity AE; </w:t>
      </w:r>
      <w:r w:rsidRPr="00D21521">
        <w:rPr>
          <w:sz w:val="16"/>
          <w:szCs w:val="16"/>
          <w:vertAlign w:val="superscript"/>
          <w:lang w:val="en-US"/>
        </w:rPr>
        <w:t>b </w:t>
      </w:r>
      <w:r w:rsidRPr="00D21521">
        <w:rPr>
          <w:sz w:val="16"/>
          <w:szCs w:val="16"/>
          <w:lang w:val="en-US"/>
        </w:rPr>
        <w:t>Grade = moderate and severe intensity AE; NRT=Nicotine replacement therapy patch</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 xml:space="preserve">There were more events reported in patients in the psychiatric cohort in each treatment group compared with the non-psychiatric cohort, and the incidence of events in the composite endpoint was higher for each of the active treatments compared to placebo. However, the use of varenicline, bupropion and NRT in the psychiatric cohort was not </w:t>
      </w:r>
      <w:r w:rsidRPr="00D21521">
        <w:rPr>
          <w:sz w:val="24"/>
          <w:szCs w:val="24"/>
          <w:lang w:val="en-US"/>
        </w:rPr>
        <w:lastRenderedPageBreak/>
        <w:t>associated with a significantly increased risk of NPS adverse events in the composite primary endpoint compared with placebo (95 % CIs included zero).</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In the psychiatric cohort, the percentage of subjects with suicidal ideation and/or behaviour based on the Columbia-Suicide Severity Rating Scale (C-SSRS) was similar between the varenicline and placebo groups during treatment and in the non- treatment follow-up, as shown in the following table:</w:t>
      </w:r>
    </w:p>
    <w:p w:rsidR="00D21521" w:rsidRPr="00D21521" w:rsidRDefault="00D21521" w:rsidP="00D21521">
      <w:pPr>
        <w:rPr>
          <w:lang w:val="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1832"/>
        <w:gridCol w:w="1833"/>
        <w:gridCol w:w="1833"/>
        <w:gridCol w:w="1742"/>
      </w:tblGrid>
      <w:tr w:rsidR="00D21521" w:rsidRPr="003E11BB" w:rsidTr="00002931">
        <w:trPr>
          <w:trHeight w:val="488"/>
          <w:jc w:val="center"/>
        </w:trPr>
        <w:tc>
          <w:tcPr>
            <w:tcW w:w="1692" w:type="dxa"/>
            <w:vMerge w:val="restart"/>
          </w:tcPr>
          <w:p w:rsidR="00D21521" w:rsidRPr="003E11BB" w:rsidRDefault="00D21521" w:rsidP="00002931">
            <w:pPr>
              <w:spacing w:beforeLines="60" w:before="144" w:afterLines="60" w:after="144"/>
              <w:rPr>
                <w:sz w:val="20"/>
                <w:lang w:val="en-US"/>
              </w:rPr>
            </w:pPr>
          </w:p>
        </w:tc>
        <w:tc>
          <w:tcPr>
            <w:tcW w:w="6684" w:type="dxa"/>
            <w:gridSpan w:val="4"/>
          </w:tcPr>
          <w:p w:rsidR="00D21521" w:rsidRPr="00303937" w:rsidRDefault="00D21521" w:rsidP="00002931">
            <w:pPr>
              <w:spacing w:beforeLines="60" w:before="144" w:afterLines="60" w:after="144"/>
              <w:jc w:val="center"/>
              <w:rPr>
                <w:b/>
                <w:sz w:val="20"/>
                <w:lang w:val="en-US"/>
              </w:rPr>
            </w:pPr>
            <w:r w:rsidRPr="00303937">
              <w:rPr>
                <w:b/>
                <w:sz w:val="20"/>
                <w:lang w:val="en-US"/>
              </w:rPr>
              <w:t>Psychiatric Cohort</w:t>
            </w:r>
          </w:p>
          <w:p w:rsidR="00D21521" w:rsidRPr="003E11BB" w:rsidRDefault="00D21521" w:rsidP="00002931">
            <w:pPr>
              <w:spacing w:beforeLines="60" w:before="144" w:afterLines="60" w:after="144"/>
              <w:jc w:val="center"/>
              <w:rPr>
                <w:sz w:val="20"/>
                <w:lang w:val="en-US"/>
              </w:rPr>
            </w:pPr>
            <w:r w:rsidRPr="00303937">
              <w:rPr>
                <w:b/>
                <w:sz w:val="20"/>
                <w:lang w:val="en-US"/>
              </w:rPr>
              <w:t>N=4,074</w:t>
            </w:r>
          </w:p>
        </w:tc>
      </w:tr>
      <w:tr w:rsidR="00D21521" w:rsidRPr="003E11BB" w:rsidTr="00002931">
        <w:trPr>
          <w:trHeight w:val="976"/>
          <w:jc w:val="center"/>
        </w:trPr>
        <w:tc>
          <w:tcPr>
            <w:tcW w:w="1692" w:type="dxa"/>
            <w:vMerge/>
            <w:tcBorders>
              <w:top w:val="nil"/>
            </w:tcBorders>
          </w:tcPr>
          <w:p w:rsidR="00D21521" w:rsidRPr="003E11BB" w:rsidRDefault="00D21521" w:rsidP="00002931">
            <w:pPr>
              <w:spacing w:beforeLines="60" w:before="144" w:afterLines="60" w:after="144"/>
              <w:rPr>
                <w:sz w:val="20"/>
                <w:lang w:val="en-US"/>
              </w:rPr>
            </w:pPr>
          </w:p>
        </w:tc>
        <w:tc>
          <w:tcPr>
            <w:tcW w:w="1692" w:type="dxa"/>
          </w:tcPr>
          <w:p w:rsidR="00D21521" w:rsidRPr="00303937" w:rsidRDefault="00D21521" w:rsidP="00002931">
            <w:pPr>
              <w:spacing w:beforeLines="60" w:before="144" w:afterLines="60" w:after="144"/>
              <w:jc w:val="center"/>
              <w:rPr>
                <w:b/>
                <w:sz w:val="20"/>
                <w:lang w:val="en-US"/>
              </w:rPr>
            </w:pPr>
            <w:r w:rsidRPr="00303937">
              <w:rPr>
                <w:b/>
                <w:sz w:val="20"/>
                <w:lang w:val="en-US"/>
              </w:rPr>
              <w:t>Varenicline</w:t>
            </w:r>
          </w:p>
          <w:p w:rsidR="00D21521" w:rsidRPr="00303937" w:rsidRDefault="00D21521" w:rsidP="00002931">
            <w:pPr>
              <w:spacing w:beforeLines="60" w:before="144" w:afterLines="60" w:after="144"/>
              <w:jc w:val="center"/>
              <w:rPr>
                <w:b/>
                <w:sz w:val="20"/>
                <w:lang w:val="en-US"/>
              </w:rPr>
            </w:pPr>
            <w:r w:rsidRPr="00303937">
              <w:rPr>
                <w:b/>
                <w:sz w:val="20"/>
                <w:lang w:val="en-US"/>
              </w:rPr>
              <w:t>N=1,026</w:t>
            </w:r>
          </w:p>
          <w:p w:rsidR="00D21521" w:rsidRPr="00303937" w:rsidRDefault="00D21521" w:rsidP="00002931">
            <w:pPr>
              <w:spacing w:beforeLines="60" w:before="144" w:afterLines="60" w:after="144"/>
              <w:jc w:val="center"/>
              <w:rPr>
                <w:b/>
                <w:sz w:val="20"/>
                <w:lang w:val="en-US"/>
              </w:rPr>
            </w:pPr>
            <w:r w:rsidRPr="00303937">
              <w:rPr>
                <w:b/>
                <w:sz w:val="20"/>
                <w:lang w:val="en-US"/>
              </w:rPr>
              <w:t>n (%)</w:t>
            </w:r>
          </w:p>
        </w:tc>
        <w:tc>
          <w:tcPr>
            <w:tcW w:w="1692" w:type="dxa"/>
          </w:tcPr>
          <w:p w:rsidR="00D21521" w:rsidRPr="00303937" w:rsidRDefault="00D21521" w:rsidP="00002931">
            <w:pPr>
              <w:spacing w:beforeLines="60" w:before="144" w:afterLines="60" w:after="144"/>
              <w:jc w:val="center"/>
              <w:rPr>
                <w:b/>
                <w:sz w:val="20"/>
                <w:lang w:val="en-US"/>
              </w:rPr>
            </w:pPr>
            <w:r w:rsidRPr="00303937">
              <w:rPr>
                <w:b/>
                <w:sz w:val="20"/>
                <w:lang w:val="en-US"/>
              </w:rPr>
              <w:t>Bupropion</w:t>
            </w:r>
          </w:p>
          <w:p w:rsidR="00D21521" w:rsidRPr="00303937" w:rsidRDefault="00D21521" w:rsidP="00002931">
            <w:pPr>
              <w:spacing w:beforeLines="60" w:before="144" w:afterLines="60" w:after="144"/>
              <w:jc w:val="center"/>
              <w:rPr>
                <w:b/>
                <w:sz w:val="20"/>
                <w:lang w:val="en-US"/>
              </w:rPr>
            </w:pPr>
            <w:r w:rsidRPr="00303937">
              <w:rPr>
                <w:b/>
                <w:sz w:val="20"/>
                <w:lang w:val="en-US"/>
              </w:rPr>
              <w:t>N=1,017</w:t>
            </w:r>
          </w:p>
          <w:p w:rsidR="00D21521" w:rsidRPr="00303937" w:rsidRDefault="00D21521" w:rsidP="00002931">
            <w:pPr>
              <w:spacing w:beforeLines="60" w:before="144" w:afterLines="60" w:after="144"/>
              <w:jc w:val="center"/>
              <w:rPr>
                <w:b/>
                <w:sz w:val="20"/>
                <w:lang w:val="en-US"/>
              </w:rPr>
            </w:pPr>
            <w:r w:rsidRPr="00303937">
              <w:rPr>
                <w:b/>
                <w:sz w:val="20"/>
                <w:lang w:val="en-US"/>
              </w:rPr>
              <w:t>n (%)</w:t>
            </w:r>
          </w:p>
        </w:tc>
        <w:tc>
          <w:tcPr>
            <w:tcW w:w="1692" w:type="dxa"/>
          </w:tcPr>
          <w:p w:rsidR="00D21521" w:rsidRPr="00303937" w:rsidRDefault="00D21521" w:rsidP="00002931">
            <w:pPr>
              <w:spacing w:beforeLines="60" w:before="144" w:afterLines="60" w:after="144"/>
              <w:jc w:val="center"/>
              <w:rPr>
                <w:b/>
                <w:sz w:val="20"/>
                <w:lang w:val="en-US"/>
              </w:rPr>
            </w:pPr>
            <w:r w:rsidRPr="00303937">
              <w:rPr>
                <w:b/>
                <w:sz w:val="20"/>
                <w:lang w:val="en-US"/>
              </w:rPr>
              <w:t>NRT</w:t>
            </w:r>
          </w:p>
          <w:p w:rsidR="00D21521" w:rsidRPr="00303937" w:rsidRDefault="00D21521" w:rsidP="00002931">
            <w:pPr>
              <w:spacing w:beforeLines="60" w:before="144" w:afterLines="60" w:after="144"/>
              <w:jc w:val="center"/>
              <w:rPr>
                <w:b/>
                <w:sz w:val="20"/>
                <w:lang w:val="en-US"/>
              </w:rPr>
            </w:pPr>
            <w:r w:rsidRPr="00303937">
              <w:rPr>
                <w:b/>
                <w:sz w:val="20"/>
                <w:lang w:val="en-US"/>
              </w:rPr>
              <w:t>N=1,016</w:t>
            </w:r>
          </w:p>
          <w:p w:rsidR="00D21521" w:rsidRPr="00303937" w:rsidRDefault="00D21521" w:rsidP="00002931">
            <w:pPr>
              <w:spacing w:beforeLines="60" w:before="144" w:afterLines="60" w:after="144"/>
              <w:jc w:val="center"/>
              <w:rPr>
                <w:b/>
                <w:sz w:val="20"/>
                <w:lang w:val="en-US"/>
              </w:rPr>
            </w:pPr>
            <w:r w:rsidRPr="00303937">
              <w:rPr>
                <w:b/>
                <w:sz w:val="20"/>
                <w:lang w:val="en-US"/>
              </w:rPr>
              <w:t>n (%)</w:t>
            </w:r>
          </w:p>
        </w:tc>
        <w:tc>
          <w:tcPr>
            <w:tcW w:w="1608" w:type="dxa"/>
          </w:tcPr>
          <w:p w:rsidR="00D21521" w:rsidRPr="00303937" w:rsidRDefault="00D21521" w:rsidP="00002931">
            <w:pPr>
              <w:spacing w:beforeLines="60" w:before="144" w:afterLines="60" w:after="144"/>
              <w:jc w:val="center"/>
              <w:rPr>
                <w:b/>
                <w:sz w:val="20"/>
                <w:lang w:val="en-US"/>
              </w:rPr>
            </w:pPr>
            <w:r w:rsidRPr="00303937">
              <w:rPr>
                <w:b/>
                <w:sz w:val="20"/>
                <w:lang w:val="en-US"/>
              </w:rPr>
              <w:t>Placebo</w:t>
            </w:r>
          </w:p>
          <w:p w:rsidR="00D21521" w:rsidRPr="00303937" w:rsidRDefault="00D21521" w:rsidP="00002931">
            <w:pPr>
              <w:spacing w:beforeLines="60" w:before="144" w:afterLines="60" w:after="144"/>
              <w:jc w:val="center"/>
              <w:rPr>
                <w:b/>
                <w:sz w:val="20"/>
                <w:lang w:val="en-US"/>
              </w:rPr>
            </w:pPr>
            <w:r w:rsidRPr="00303937">
              <w:rPr>
                <w:b/>
                <w:sz w:val="20"/>
                <w:lang w:val="en-US"/>
              </w:rPr>
              <w:t>N=1,015</w:t>
            </w:r>
          </w:p>
          <w:p w:rsidR="00D21521" w:rsidRPr="00303937" w:rsidRDefault="00D21521" w:rsidP="00002931">
            <w:pPr>
              <w:spacing w:beforeLines="60" w:before="144" w:afterLines="60" w:after="144"/>
              <w:jc w:val="center"/>
              <w:rPr>
                <w:b/>
                <w:sz w:val="20"/>
                <w:lang w:val="en-US"/>
              </w:rPr>
            </w:pPr>
            <w:r w:rsidRPr="00303937">
              <w:rPr>
                <w:b/>
                <w:sz w:val="20"/>
                <w:lang w:val="en-US"/>
              </w:rPr>
              <w:t>n (%)</w:t>
            </w:r>
          </w:p>
        </w:tc>
      </w:tr>
      <w:tr w:rsidR="00D21521" w:rsidRPr="003E11BB" w:rsidTr="00002931">
        <w:trPr>
          <w:trHeight w:val="242"/>
          <w:jc w:val="center"/>
        </w:trPr>
        <w:tc>
          <w:tcPr>
            <w:tcW w:w="8376" w:type="dxa"/>
            <w:gridSpan w:val="5"/>
          </w:tcPr>
          <w:p w:rsidR="00D21521" w:rsidRPr="00303937" w:rsidRDefault="00D21521" w:rsidP="00002931">
            <w:pPr>
              <w:spacing w:beforeLines="60" w:before="144" w:afterLines="60" w:after="144"/>
              <w:rPr>
                <w:b/>
                <w:sz w:val="20"/>
                <w:lang w:val="en-US"/>
              </w:rPr>
            </w:pPr>
            <w:r w:rsidRPr="00303937">
              <w:rPr>
                <w:b/>
                <w:sz w:val="20"/>
                <w:lang w:val="en-US"/>
              </w:rPr>
              <w:t>During treatment</w:t>
            </w:r>
          </w:p>
        </w:tc>
      </w:tr>
      <w:tr w:rsidR="00D21521" w:rsidRPr="003E11BB" w:rsidTr="00002931">
        <w:trPr>
          <w:trHeight w:val="245"/>
          <w:jc w:val="center"/>
        </w:trPr>
        <w:tc>
          <w:tcPr>
            <w:tcW w:w="1692" w:type="dxa"/>
          </w:tcPr>
          <w:p w:rsidR="00D21521" w:rsidRPr="003E11BB" w:rsidRDefault="00D21521" w:rsidP="00002931">
            <w:pPr>
              <w:spacing w:beforeLines="60" w:before="144" w:afterLines="60" w:after="144"/>
              <w:rPr>
                <w:sz w:val="20"/>
                <w:lang w:val="en-US"/>
              </w:rPr>
            </w:pPr>
            <w:r w:rsidRPr="003E11BB">
              <w:rPr>
                <w:sz w:val="20"/>
                <w:lang w:val="en-US"/>
              </w:rPr>
              <w:t>Number assessed</w:t>
            </w:r>
          </w:p>
        </w:tc>
        <w:tc>
          <w:tcPr>
            <w:tcW w:w="1692" w:type="dxa"/>
          </w:tcPr>
          <w:p w:rsidR="00D21521" w:rsidRPr="003E11BB" w:rsidRDefault="00D21521" w:rsidP="00002931">
            <w:pPr>
              <w:spacing w:beforeLines="60" w:before="144" w:afterLines="60" w:after="144"/>
              <w:jc w:val="center"/>
              <w:rPr>
                <w:sz w:val="20"/>
                <w:lang w:val="en-US"/>
              </w:rPr>
            </w:pPr>
            <w:r w:rsidRPr="003E11BB">
              <w:rPr>
                <w:sz w:val="20"/>
                <w:lang w:val="en-US"/>
              </w:rPr>
              <w:t>1,017</w:t>
            </w:r>
          </w:p>
        </w:tc>
        <w:tc>
          <w:tcPr>
            <w:tcW w:w="1692" w:type="dxa"/>
          </w:tcPr>
          <w:p w:rsidR="00D21521" w:rsidRPr="003E11BB" w:rsidRDefault="00D21521" w:rsidP="00002931">
            <w:pPr>
              <w:spacing w:beforeLines="60" w:before="144" w:afterLines="60" w:after="144"/>
              <w:jc w:val="center"/>
              <w:rPr>
                <w:sz w:val="20"/>
                <w:lang w:val="en-US"/>
              </w:rPr>
            </w:pPr>
            <w:r w:rsidRPr="003E11BB">
              <w:rPr>
                <w:sz w:val="20"/>
                <w:lang w:val="en-US"/>
              </w:rPr>
              <w:t>1,012</w:t>
            </w:r>
          </w:p>
        </w:tc>
        <w:tc>
          <w:tcPr>
            <w:tcW w:w="1692" w:type="dxa"/>
          </w:tcPr>
          <w:p w:rsidR="00D21521" w:rsidRPr="003E11BB" w:rsidRDefault="00D21521" w:rsidP="00002931">
            <w:pPr>
              <w:spacing w:beforeLines="60" w:before="144" w:afterLines="60" w:after="144"/>
              <w:jc w:val="center"/>
              <w:rPr>
                <w:sz w:val="20"/>
                <w:lang w:val="en-US"/>
              </w:rPr>
            </w:pPr>
            <w:r w:rsidRPr="003E11BB">
              <w:rPr>
                <w:sz w:val="20"/>
                <w:lang w:val="en-US"/>
              </w:rPr>
              <w:t>1,006</w:t>
            </w:r>
          </w:p>
        </w:tc>
        <w:tc>
          <w:tcPr>
            <w:tcW w:w="1608" w:type="dxa"/>
          </w:tcPr>
          <w:p w:rsidR="00D21521" w:rsidRPr="003E11BB" w:rsidRDefault="00D21521" w:rsidP="00002931">
            <w:pPr>
              <w:spacing w:beforeLines="60" w:before="144" w:afterLines="60" w:after="144"/>
              <w:jc w:val="center"/>
              <w:rPr>
                <w:sz w:val="20"/>
                <w:lang w:val="en-US"/>
              </w:rPr>
            </w:pPr>
            <w:r w:rsidRPr="003E11BB">
              <w:rPr>
                <w:sz w:val="20"/>
                <w:lang w:val="en-US"/>
              </w:rPr>
              <w:t>1,006</w:t>
            </w:r>
          </w:p>
        </w:tc>
      </w:tr>
      <w:tr w:rsidR="00D21521" w:rsidRPr="003E11BB" w:rsidTr="00002931">
        <w:trPr>
          <w:trHeight w:val="732"/>
          <w:jc w:val="center"/>
        </w:trPr>
        <w:tc>
          <w:tcPr>
            <w:tcW w:w="1692" w:type="dxa"/>
          </w:tcPr>
          <w:p w:rsidR="00D21521" w:rsidRPr="003E11BB" w:rsidRDefault="00D21521" w:rsidP="00002931">
            <w:pPr>
              <w:spacing w:beforeLines="60" w:before="144" w:afterLines="60" w:after="144"/>
              <w:rPr>
                <w:sz w:val="20"/>
                <w:lang w:val="en-US"/>
              </w:rPr>
            </w:pPr>
            <w:r w:rsidRPr="003E11BB">
              <w:rPr>
                <w:sz w:val="20"/>
                <w:lang w:val="en-US"/>
              </w:rPr>
              <w:t>Suicidal behaviour and/or ideation</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27 (2.7)</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15 (1.5)</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20 (2.0)</w:t>
            </w:r>
          </w:p>
        </w:tc>
        <w:tc>
          <w:tcPr>
            <w:tcW w:w="1608"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25 (2.5)</w:t>
            </w:r>
          </w:p>
        </w:tc>
      </w:tr>
      <w:tr w:rsidR="00D21521" w:rsidRPr="003E11BB" w:rsidTr="00002931">
        <w:trPr>
          <w:trHeight w:val="487"/>
          <w:jc w:val="center"/>
        </w:trPr>
        <w:tc>
          <w:tcPr>
            <w:tcW w:w="1692" w:type="dxa"/>
          </w:tcPr>
          <w:p w:rsidR="00D21521" w:rsidRPr="003E11BB" w:rsidRDefault="00D21521" w:rsidP="00002931">
            <w:pPr>
              <w:spacing w:beforeLines="60" w:before="144" w:afterLines="60" w:after="144"/>
              <w:rPr>
                <w:sz w:val="20"/>
                <w:lang w:val="en-US"/>
              </w:rPr>
            </w:pPr>
            <w:r w:rsidRPr="003E11BB">
              <w:rPr>
                <w:sz w:val="20"/>
                <w:lang w:val="en-US"/>
              </w:rPr>
              <w:t>Suicidal behaviour</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0</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1 (0.1)</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0</w:t>
            </w:r>
          </w:p>
        </w:tc>
        <w:tc>
          <w:tcPr>
            <w:tcW w:w="1608"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2 (0.2)</w:t>
            </w:r>
          </w:p>
        </w:tc>
      </w:tr>
      <w:tr w:rsidR="00D21521" w:rsidRPr="003E11BB" w:rsidTr="00002931">
        <w:trPr>
          <w:trHeight w:val="488"/>
          <w:jc w:val="center"/>
        </w:trPr>
        <w:tc>
          <w:tcPr>
            <w:tcW w:w="1692" w:type="dxa"/>
          </w:tcPr>
          <w:p w:rsidR="00D21521" w:rsidRPr="003E11BB" w:rsidRDefault="00D21521" w:rsidP="00002931">
            <w:pPr>
              <w:spacing w:beforeLines="60" w:before="144" w:afterLines="60" w:after="144"/>
              <w:rPr>
                <w:sz w:val="20"/>
                <w:lang w:val="en-US"/>
              </w:rPr>
            </w:pPr>
            <w:r w:rsidRPr="003E11BB">
              <w:rPr>
                <w:sz w:val="20"/>
                <w:lang w:val="en-US"/>
              </w:rPr>
              <w:t>Suicidal ideation</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27 (2.7)</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15 (1.5)</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20 (2.0)</w:t>
            </w:r>
          </w:p>
        </w:tc>
        <w:tc>
          <w:tcPr>
            <w:tcW w:w="1608"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25 (2.5)</w:t>
            </w:r>
          </w:p>
        </w:tc>
      </w:tr>
      <w:tr w:rsidR="00D21521" w:rsidRPr="003E11BB" w:rsidTr="00002931">
        <w:trPr>
          <w:trHeight w:val="243"/>
          <w:jc w:val="center"/>
        </w:trPr>
        <w:tc>
          <w:tcPr>
            <w:tcW w:w="8376" w:type="dxa"/>
            <w:gridSpan w:val="5"/>
          </w:tcPr>
          <w:p w:rsidR="00D21521" w:rsidRPr="00303937" w:rsidRDefault="00D21521" w:rsidP="00002931">
            <w:pPr>
              <w:spacing w:beforeLines="60" w:before="144" w:afterLines="60" w:after="144"/>
              <w:rPr>
                <w:b/>
                <w:sz w:val="20"/>
                <w:lang w:val="en-US"/>
              </w:rPr>
            </w:pPr>
            <w:r w:rsidRPr="00303937">
              <w:rPr>
                <w:b/>
                <w:sz w:val="20"/>
                <w:lang w:val="en-US"/>
              </w:rPr>
              <w:t>During follow up</w:t>
            </w:r>
          </w:p>
        </w:tc>
      </w:tr>
      <w:tr w:rsidR="00D21521" w:rsidRPr="003E11BB" w:rsidTr="00002931">
        <w:trPr>
          <w:trHeight w:val="245"/>
          <w:jc w:val="center"/>
        </w:trPr>
        <w:tc>
          <w:tcPr>
            <w:tcW w:w="1692" w:type="dxa"/>
          </w:tcPr>
          <w:p w:rsidR="00D21521" w:rsidRPr="003E11BB" w:rsidRDefault="00D21521" w:rsidP="00002931">
            <w:pPr>
              <w:spacing w:beforeLines="60" w:before="144" w:afterLines="60" w:after="144"/>
              <w:rPr>
                <w:sz w:val="20"/>
                <w:lang w:val="en-US"/>
              </w:rPr>
            </w:pPr>
            <w:r w:rsidRPr="003E11BB">
              <w:rPr>
                <w:sz w:val="20"/>
                <w:lang w:val="en-US"/>
              </w:rPr>
              <w:t>Number assessed</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833</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836</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824</w:t>
            </w:r>
          </w:p>
        </w:tc>
        <w:tc>
          <w:tcPr>
            <w:tcW w:w="1608"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791</w:t>
            </w:r>
          </w:p>
        </w:tc>
      </w:tr>
      <w:tr w:rsidR="00D21521" w:rsidRPr="003E11BB" w:rsidTr="00002931">
        <w:trPr>
          <w:trHeight w:val="731"/>
          <w:jc w:val="center"/>
        </w:trPr>
        <w:tc>
          <w:tcPr>
            <w:tcW w:w="1692" w:type="dxa"/>
          </w:tcPr>
          <w:p w:rsidR="00D21521" w:rsidRPr="003E11BB" w:rsidRDefault="00D21521" w:rsidP="00002931">
            <w:pPr>
              <w:spacing w:beforeLines="60" w:before="144" w:afterLines="60" w:after="144"/>
              <w:rPr>
                <w:sz w:val="20"/>
                <w:lang w:val="en-US"/>
              </w:rPr>
            </w:pPr>
            <w:r w:rsidRPr="003E11BB">
              <w:rPr>
                <w:sz w:val="20"/>
                <w:lang w:val="en-US"/>
              </w:rPr>
              <w:t>Suicidal behaviour and/or ideation</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14 (1.7)</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4 (0.5)</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9 (1.1)</w:t>
            </w:r>
          </w:p>
        </w:tc>
        <w:tc>
          <w:tcPr>
            <w:tcW w:w="1608"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11 (1.4)</w:t>
            </w:r>
          </w:p>
        </w:tc>
      </w:tr>
      <w:tr w:rsidR="00D21521" w:rsidRPr="003E11BB" w:rsidTr="00002931">
        <w:trPr>
          <w:trHeight w:val="489"/>
          <w:jc w:val="center"/>
        </w:trPr>
        <w:tc>
          <w:tcPr>
            <w:tcW w:w="1692" w:type="dxa"/>
          </w:tcPr>
          <w:p w:rsidR="00D21521" w:rsidRPr="003E11BB" w:rsidRDefault="00D21521" w:rsidP="00002931">
            <w:pPr>
              <w:spacing w:beforeLines="60" w:before="144" w:afterLines="60" w:after="144"/>
              <w:rPr>
                <w:sz w:val="20"/>
                <w:lang w:val="en-US"/>
              </w:rPr>
            </w:pPr>
            <w:r w:rsidRPr="003E11BB">
              <w:rPr>
                <w:sz w:val="20"/>
                <w:lang w:val="en-US"/>
              </w:rPr>
              <w:t>Suicidal behaviour</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1 (0.1)</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0</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1 (0.1)</w:t>
            </w:r>
          </w:p>
        </w:tc>
        <w:tc>
          <w:tcPr>
            <w:tcW w:w="1608"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1 (0.1)</w:t>
            </w:r>
          </w:p>
        </w:tc>
      </w:tr>
      <w:tr w:rsidR="00D21521" w:rsidRPr="003E11BB" w:rsidTr="00002931">
        <w:trPr>
          <w:trHeight w:val="487"/>
          <w:jc w:val="center"/>
        </w:trPr>
        <w:tc>
          <w:tcPr>
            <w:tcW w:w="1692" w:type="dxa"/>
          </w:tcPr>
          <w:p w:rsidR="00D21521" w:rsidRPr="003E11BB" w:rsidRDefault="00D21521" w:rsidP="00002931">
            <w:pPr>
              <w:spacing w:beforeLines="60" w:before="144" w:afterLines="60" w:after="144"/>
              <w:rPr>
                <w:sz w:val="20"/>
                <w:lang w:val="en-US"/>
              </w:rPr>
            </w:pPr>
            <w:r w:rsidRPr="003E11BB">
              <w:rPr>
                <w:sz w:val="20"/>
                <w:lang w:val="en-US"/>
              </w:rPr>
              <w:t>Suicidal ideation</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14 (1.7)</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4 (0.5)</w:t>
            </w:r>
          </w:p>
        </w:tc>
        <w:tc>
          <w:tcPr>
            <w:tcW w:w="1692"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9 (1.1)</w:t>
            </w:r>
          </w:p>
        </w:tc>
        <w:tc>
          <w:tcPr>
            <w:tcW w:w="1608" w:type="dxa"/>
            <w:vAlign w:val="center"/>
          </w:tcPr>
          <w:p w:rsidR="00D21521" w:rsidRPr="003E11BB" w:rsidRDefault="00D21521" w:rsidP="00002931">
            <w:pPr>
              <w:spacing w:beforeLines="60" w:before="144" w:afterLines="60" w:after="144"/>
              <w:jc w:val="center"/>
              <w:rPr>
                <w:sz w:val="20"/>
                <w:lang w:val="en-US"/>
              </w:rPr>
            </w:pPr>
            <w:r w:rsidRPr="003E11BB">
              <w:rPr>
                <w:sz w:val="20"/>
                <w:lang w:val="en-US"/>
              </w:rPr>
              <w:t>11 (1.4)</w:t>
            </w:r>
          </w:p>
        </w:tc>
      </w:tr>
    </w:tbl>
    <w:p w:rsidR="00D21521" w:rsidRPr="00B37BCC" w:rsidRDefault="00D21521" w:rsidP="00DA0717">
      <w:pPr>
        <w:ind w:left="284"/>
        <w:rPr>
          <w:sz w:val="16"/>
          <w:szCs w:val="16"/>
        </w:rPr>
      </w:pPr>
      <w:r w:rsidRPr="00B37BCC">
        <w:rPr>
          <w:sz w:val="16"/>
          <w:szCs w:val="16"/>
        </w:rPr>
        <w:t>NRT=Nicotine replacement therapy patch</w:t>
      </w:r>
    </w:p>
    <w:p w:rsidR="00D21521" w:rsidRPr="00D21521" w:rsidRDefault="00D21521" w:rsidP="00D21521">
      <w:pPr>
        <w:ind w:left="851"/>
        <w:rPr>
          <w:sz w:val="24"/>
          <w:szCs w:val="24"/>
        </w:rPr>
      </w:pPr>
    </w:p>
    <w:p w:rsidR="00D21521" w:rsidRPr="00D21521" w:rsidRDefault="00D21521" w:rsidP="00D21521">
      <w:pPr>
        <w:ind w:left="851"/>
        <w:rPr>
          <w:sz w:val="24"/>
          <w:szCs w:val="24"/>
          <w:lang w:val="en-US"/>
        </w:rPr>
      </w:pPr>
      <w:r w:rsidRPr="00D21521">
        <w:rPr>
          <w:sz w:val="24"/>
          <w:szCs w:val="24"/>
          <w:lang w:val="en-US"/>
        </w:rPr>
        <w:t>There were no completed suicides reported in the psychiatric cohort.</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The most commonly reported adverse events in subjects treated with varenicline in this study were similar to those observed in premarketing studies.</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In both cohorts, subjects treated with varenicline demonstrated statistical superiority of CO-confirmed abstinence during weeks 9 through 12 and 9 through 24 compared to subjects treated with bupropion, nicotine patch and placebo (please see table below).</w:t>
      </w:r>
    </w:p>
    <w:p w:rsidR="00DA0717" w:rsidRDefault="00DA0717">
      <w:pPr>
        <w:rPr>
          <w:sz w:val="24"/>
          <w:szCs w:val="24"/>
          <w:lang w:val="en-US"/>
        </w:rPr>
      </w:pPr>
      <w:r>
        <w:rPr>
          <w:sz w:val="24"/>
          <w:szCs w:val="24"/>
          <w:lang w:val="en-US"/>
        </w:rPr>
        <w:br w:type="page"/>
      </w:r>
    </w:p>
    <w:p w:rsidR="00D21521" w:rsidRPr="00D21521" w:rsidRDefault="00D21521" w:rsidP="00D21521">
      <w:pPr>
        <w:ind w:left="851"/>
        <w:rPr>
          <w:sz w:val="24"/>
          <w:szCs w:val="24"/>
          <w:lang w:val="en-US"/>
        </w:rPr>
      </w:pPr>
    </w:p>
    <w:p w:rsidR="00D21521" w:rsidRPr="00D21521" w:rsidRDefault="00D21521" w:rsidP="00D21521">
      <w:pPr>
        <w:ind w:left="284"/>
        <w:rPr>
          <w:sz w:val="24"/>
          <w:szCs w:val="24"/>
          <w:lang w:val="en-US"/>
        </w:rPr>
      </w:pPr>
      <w:r w:rsidRPr="00D21521">
        <w:rPr>
          <w:sz w:val="24"/>
          <w:szCs w:val="24"/>
          <w:lang w:val="en-US"/>
        </w:rPr>
        <w:t>The key efficacy results are summarised in the following table:</w:t>
      </w:r>
    </w:p>
    <w:p w:rsidR="00D21521" w:rsidRPr="00D21521" w:rsidRDefault="00D21521" w:rsidP="00D21521">
      <w:pPr>
        <w:ind w:left="284"/>
        <w:rPr>
          <w:sz w:val="24"/>
          <w:szCs w:val="24"/>
          <w:lang w:val="en-US"/>
        </w:rPr>
      </w:pPr>
    </w:p>
    <w:tbl>
      <w:tblPr>
        <w:tblW w:w="9072" w:type="dxa"/>
        <w:jc w:val="center"/>
        <w:tblLayout w:type="fixed"/>
        <w:tblLook w:val="01E0" w:firstRow="1" w:lastRow="1" w:firstColumn="1" w:lastColumn="1" w:noHBand="0" w:noVBand="0"/>
      </w:tblPr>
      <w:tblGrid>
        <w:gridCol w:w="2893"/>
        <w:gridCol w:w="3080"/>
        <w:gridCol w:w="3099"/>
      </w:tblGrid>
      <w:tr w:rsidR="00D21521" w:rsidRPr="00921FF3" w:rsidTr="00002931">
        <w:trPr>
          <w:trHeight w:val="240"/>
          <w:jc w:val="center"/>
        </w:trPr>
        <w:tc>
          <w:tcPr>
            <w:tcW w:w="2714" w:type="dxa"/>
            <w:tcBorders>
              <w:top w:val="single" w:sz="4" w:space="0" w:color="000000"/>
              <w:bottom w:val="single" w:sz="4" w:space="0" w:color="000000"/>
            </w:tcBorders>
          </w:tcPr>
          <w:p w:rsidR="00D21521" w:rsidRPr="00921FF3" w:rsidRDefault="00D21521" w:rsidP="00002931">
            <w:pPr>
              <w:spacing w:before="60" w:after="60"/>
              <w:rPr>
                <w:sz w:val="20"/>
                <w:lang w:val="en-US"/>
              </w:rPr>
            </w:pPr>
          </w:p>
        </w:tc>
        <w:tc>
          <w:tcPr>
            <w:tcW w:w="2889" w:type="dxa"/>
            <w:tcBorders>
              <w:top w:val="single" w:sz="4" w:space="0" w:color="000000"/>
              <w:bottom w:val="single" w:sz="4" w:space="0" w:color="000000"/>
            </w:tcBorders>
            <w:vAlign w:val="center"/>
          </w:tcPr>
          <w:p w:rsidR="00D21521" w:rsidRPr="00921FF3" w:rsidRDefault="00D21521" w:rsidP="00002931">
            <w:pPr>
              <w:spacing w:before="60" w:after="60"/>
              <w:jc w:val="center"/>
              <w:rPr>
                <w:sz w:val="20"/>
                <w:lang w:val="en-US"/>
              </w:rPr>
            </w:pPr>
            <w:r w:rsidRPr="00921FF3">
              <w:rPr>
                <w:sz w:val="20"/>
                <w:lang w:val="en-US"/>
              </w:rPr>
              <w:t>Non-psychiatric Cohort</w:t>
            </w:r>
          </w:p>
        </w:tc>
        <w:tc>
          <w:tcPr>
            <w:tcW w:w="2907" w:type="dxa"/>
            <w:tcBorders>
              <w:top w:val="single" w:sz="4" w:space="0" w:color="000000"/>
              <w:bottom w:val="single" w:sz="4" w:space="0" w:color="000000"/>
            </w:tcBorders>
            <w:vAlign w:val="center"/>
          </w:tcPr>
          <w:p w:rsidR="00D21521" w:rsidRPr="00921FF3" w:rsidRDefault="00D21521" w:rsidP="00002931">
            <w:pPr>
              <w:spacing w:before="60" w:after="60"/>
              <w:jc w:val="center"/>
              <w:rPr>
                <w:sz w:val="20"/>
                <w:lang w:val="en-US"/>
              </w:rPr>
            </w:pPr>
            <w:r w:rsidRPr="00921FF3">
              <w:rPr>
                <w:sz w:val="20"/>
                <w:lang w:val="en-US"/>
              </w:rPr>
              <w:t>Psychiatric Cohort</w:t>
            </w:r>
          </w:p>
        </w:tc>
      </w:tr>
      <w:tr w:rsidR="00D21521" w:rsidRPr="00921FF3" w:rsidTr="00002931">
        <w:trPr>
          <w:trHeight w:val="239"/>
          <w:jc w:val="center"/>
        </w:trPr>
        <w:tc>
          <w:tcPr>
            <w:tcW w:w="2714" w:type="dxa"/>
            <w:tcBorders>
              <w:top w:val="single" w:sz="4" w:space="0" w:color="000000"/>
              <w:bottom w:val="single" w:sz="4" w:space="0" w:color="000000"/>
            </w:tcBorders>
          </w:tcPr>
          <w:p w:rsidR="00D21521" w:rsidRPr="00921FF3" w:rsidRDefault="00D21521" w:rsidP="00002931">
            <w:pPr>
              <w:spacing w:before="60" w:after="60"/>
              <w:rPr>
                <w:sz w:val="20"/>
                <w:lang w:val="en-US"/>
              </w:rPr>
            </w:pPr>
            <w:r w:rsidRPr="00303937">
              <w:rPr>
                <w:b/>
                <w:sz w:val="20"/>
                <w:lang w:val="en-US"/>
              </w:rPr>
              <w:t>CA 9-12</w:t>
            </w:r>
            <w:r w:rsidRPr="00921FF3">
              <w:rPr>
                <w:sz w:val="20"/>
                <w:lang w:val="en-US"/>
              </w:rPr>
              <w:t xml:space="preserve"> n/N (%)</w:t>
            </w:r>
          </w:p>
        </w:tc>
        <w:tc>
          <w:tcPr>
            <w:tcW w:w="2889" w:type="dxa"/>
            <w:tcBorders>
              <w:top w:val="single" w:sz="4" w:space="0" w:color="000000"/>
              <w:bottom w:val="single" w:sz="4" w:space="0" w:color="000000"/>
            </w:tcBorders>
            <w:vAlign w:val="center"/>
          </w:tcPr>
          <w:p w:rsidR="00D21521" w:rsidRPr="00921FF3" w:rsidRDefault="00D21521" w:rsidP="00002931">
            <w:pPr>
              <w:spacing w:before="60" w:after="60"/>
              <w:jc w:val="center"/>
              <w:rPr>
                <w:sz w:val="20"/>
                <w:lang w:val="en-US"/>
              </w:rPr>
            </w:pPr>
          </w:p>
        </w:tc>
        <w:tc>
          <w:tcPr>
            <w:tcW w:w="2907" w:type="dxa"/>
            <w:tcBorders>
              <w:top w:val="single" w:sz="4" w:space="0" w:color="000000"/>
              <w:bottom w:val="single" w:sz="4" w:space="0" w:color="000000"/>
            </w:tcBorders>
            <w:vAlign w:val="center"/>
          </w:tcPr>
          <w:p w:rsidR="00D21521" w:rsidRPr="00921FF3" w:rsidRDefault="00D21521" w:rsidP="00002931">
            <w:pPr>
              <w:spacing w:before="60" w:after="60"/>
              <w:jc w:val="center"/>
              <w:rPr>
                <w:sz w:val="20"/>
                <w:lang w:val="en-US"/>
              </w:rPr>
            </w:pPr>
          </w:p>
        </w:tc>
      </w:tr>
      <w:tr w:rsidR="00D21521" w:rsidRPr="00921FF3" w:rsidTr="00002931">
        <w:trPr>
          <w:trHeight w:val="243"/>
          <w:jc w:val="center"/>
        </w:trPr>
        <w:tc>
          <w:tcPr>
            <w:tcW w:w="2714" w:type="dxa"/>
            <w:tcBorders>
              <w:top w:val="single" w:sz="4" w:space="0" w:color="000000"/>
            </w:tcBorders>
          </w:tcPr>
          <w:p w:rsidR="00D21521" w:rsidRPr="00921FF3" w:rsidRDefault="00D21521" w:rsidP="00002931">
            <w:pPr>
              <w:ind w:left="177"/>
              <w:rPr>
                <w:sz w:val="20"/>
                <w:lang w:val="en-US"/>
              </w:rPr>
            </w:pPr>
            <w:r w:rsidRPr="00921FF3">
              <w:rPr>
                <w:sz w:val="20"/>
                <w:lang w:val="en-US"/>
              </w:rPr>
              <w:t>Varenicline</w:t>
            </w:r>
          </w:p>
        </w:tc>
        <w:tc>
          <w:tcPr>
            <w:tcW w:w="2889" w:type="dxa"/>
            <w:tcBorders>
              <w:top w:val="single" w:sz="4" w:space="0" w:color="000000"/>
            </w:tcBorders>
            <w:vAlign w:val="center"/>
          </w:tcPr>
          <w:p w:rsidR="00D21521" w:rsidRPr="00921FF3" w:rsidRDefault="00D21521" w:rsidP="00002931">
            <w:pPr>
              <w:jc w:val="center"/>
              <w:rPr>
                <w:sz w:val="20"/>
                <w:lang w:val="en-US"/>
              </w:rPr>
            </w:pPr>
            <w:r w:rsidRPr="00921FF3">
              <w:rPr>
                <w:sz w:val="20"/>
                <w:lang w:val="en-US"/>
              </w:rPr>
              <w:t>382/1005 (38.0</w:t>
            </w:r>
            <w:r>
              <w:rPr>
                <w:sz w:val="20"/>
                <w:lang w:val="en-US"/>
              </w:rPr>
              <w:t> </w:t>
            </w:r>
            <w:r w:rsidRPr="00921FF3">
              <w:rPr>
                <w:sz w:val="20"/>
                <w:lang w:val="en-US"/>
              </w:rPr>
              <w:t>%)</w:t>
            </w:r>
          </w:p>
        </w:tc>
        <w:tc>
          <w:tcPr>
            <w:tcW w:w="2907" w:type="dxa"/>
            <w:tcBorders>
              <w:top w:val="single" w:sz="4" w:space="0" w:color="000000"/>
            </w:tcBorders>
            <w:vAlign w:val="center"/>
          </w:tcPr>
          <w:p w:rsidR="00D21521" w:rsidRPr="00921FF3" w:rsidRDefault="00D21521" w:rsidP="00002931">
            <w:pPr>
              <w:jc w:val="center"/>
              <w:rPr>
                <w:sz w:val="20"/>
                <w:lang w:val="en-US"/>
              </w:rPr>
            </w:pPr>
            <w:r w:rsidRPr="00921FF3">
              <w:rPr>
                <w:sz w:val="20"/>
                <w:lang w:val="en-US"/>
              </w:rPr>
              <w:t>301/1032 (29.2</w:t>
            </w:r>
            <w:r>
              <w:rPr>
                <w:sz w:val="20"/>
                <w:lang w:val="en-US"/>
              </w:rPr>
              <w:t> </w:t>
            </w:r>
            <w:r w:rsidRPr="00921FF3">
              <w:rPr>
                <w:sz w:val="20"/>
                <w:lang w:val="en-US"/>
              </w:rPr>
              <w:t>%)</w:t>
            </w:r>
          </w:p>
        </w:tc>
      </w:tr>
      <w:tr w:rsidR="00D21521" w:rsidRPr="00921FF3" w:rsidTr="00002931">
        <w:trPr>
          <w:trHeight w:val="241"/>
          <w:jc w:val="center"/>
        </w:trPr>
        <w:tc>
          <w:tcPr>
            <w:tcW w:w="2714" w:type="dxa"/>
          </w:tcPr>
          <w:p w:rsidR="00D21521" w:rsidRPr="00921FF3" w:rsidRDefault="00D21521" w:rsidP="00002931">
            <w:pPr>
              <w:ind w:left="177"/>
              <w:rPr>
                <w:sz w:val="20"/>
                <w:lang w:val="en-US"/>
              </w:rPr>
            </w:pPr>
            <w:r w:rsidRPr="00921FF3">
              <w:rPr>
                <w:sz w:val="20"/>
                <w:lang w:val="en-US"/>
              </w:rPr>
              <w:t>Bupropion</w:t>
            </w:r>
          </w:p>
        </w:tc>
        <w:tc>
          <w:tcPr>
            <w:tcW w:w="2889" w:type="dxa"/>
            <w:vAlign w:val="center"/>
          </w:tcPr>
          <w:p w:rsidR="00D21521" w:rsidRPr="00921FF3" w:rsidRDefault="00D21521" w:rsidP="00002931">
            <w:pPr>
              <w:jc w:val="center"/>
              <w:rPr>
                <w:sz w:val="20"/>
                <w:lang w:val="en-US"/>
              </w:rPr>
            </w:pPr>
            <w:r w:rsidRPr="00921FF3">
              <w:rPr>
                <w:sz w:val="20"/>
                <w:lang w:val="en-US"/>
              </w:rPr>
              <w:t>261/1001 (26.1</w:t>
            </w:r>
            <w:r>
              <w:rPr>
                <w:sz w:val="20"/>
                <w:lang w:val="en-US"/>
              </w:rPr>
              <w:t> </w:t>
            </w:r>
            <w:r w:rsidRPr="00921FF3">
              <w:rPr>
                <w:sz w:val="20"/>
                <w:lang w:val="en-US"/>
              </w:rPr>
              <w:t>%)</w:t>
            </w:r>
          </w:p>
        </w:tc>
        <w:tc>
          <w:tcPr>
            <w:tcW w:w="2907" w:type="dxa"/>
            <w:vAlign w:val="center"/>
          </w:tcPr>
          <w:p w:rsidR="00D21521" w:rsidRPr="00921FF3" w:rsidRDefault="00D21521" w:rsidP="00002931">
            <w:pPr>
              <w:jc w:val="center"/>
              <w:rPr>
                <w:sz w:val="20"/>
                <w:lang w:val="en-US"/>
              </w:rPr>
            </w:pPr>
            <w:r w:rsidRPr="00921FF3">
              <w:rPr>
                <w:sz w:val="20"/>
                <w:lang w:val="en-US"/>
              </w:rPr>
              <w:t>199/1033 (19.3</w:t>
            </w:r>
            <w:r>
              <w:rPr>
                <w:sz w:val="20"/>
                <w:lang w:val="en-US"/>
              </w:rPr>
              <w:t> </w:t>
            </w:r>
            <w:r w:rsidRPr="00921FF3">
              <w:rPr>
                <w:sz w:val="20"/>
                <w:lang w:val="en-US"/>
              </w:rPr>
              <w:t>%)</w:t>
            </w:r>
          </w:p>
        </w:tc>
      </w:tr>
      <w:tr w:rsidR="00D21521" w:rsidRPr="00921FF3" w:rsidTr="00002931">
        <w:trPr>
          <w:trHeight w:val="239"/>
          <w:jc w:val="center"/>
        </w:trPr>
        <w:tc>
          <w:tcPr>
            <w:tcW w:w="2714" w:type="dxa"/>
          </w:tcPr>
          <w:p w:rsidR="00D21521" w:rsidRPr="00921FF3" w:rsidRDefault="00D21521" w:rsidP="00002931">
            <w:pPr>
              <w:ind w:left="177"/>
              <w:rPr>
                <w:sz w:val="20"/>
                <w:lang w:val="en-US"/>
              </w:rPr>
            </w:pPr>
            <w:r w:rsidRPr="00921FF3">
              <w:rPr>
                <w:sz w:val="20"/>
                <w:lang w:val="en-US"/>
              </w:rPr>
              <w:t>NRT</w:t>
            </w:r>
          </w:p>
        </w:tc>
        <w:tc>
          <w:tcPr>
            <w:tcW w:w="2889" w:type="dxa"/>
            <w:vAlign w:val="center"/>
          </w:tcPr>
          <w:p w:rsidR="00D21521" w:rsidRPr="00921FF3" w:rsidRDefault="00D21521" w:rsidP="00002931">
            <w:pPr>
              <w:jc w:val="center"/>
              <w:rPr>
                <w:sz w:val="20"/>
                <w:lang w:val="en-US"/>
              </w:rPr>
            </w:pPr>
            <w:r w:rsidRPr="00921FF3">
              <w:rPr>
                <w:sz w:val="20"/>
                <w:lang w:val="en-US"/>
              </w:rPr>
              <w:t>267/1013 (26.4</w:t>
            </w:r>
            <w:r>
              <w:rPr>
                <w:sz w:val="20"/>
                <w:lang w:val="en-US"/>
              </w:rPr>
              <w:t> </w:t>
            </w:r>
            <w:r w:rsidRPr="00921FF3">
              <w:rPr>
                <w:sz w:val="20"/>
                <w:lang w:val="en-US"/>
              </w:rPr>
              <w:t>%)</w:t>
            </w:r>
          </w:p>
        </w:tc>
        <w:tc>
          <w:tcPr>
            <w:tcW w:w="2907" w:type="dxa"/>
            <w:vAlign w:val="center"/>
          </w:tcPr>
          <w:p w:rsidR="00D21521" w:rsidRPr="00921FF3" w:rsidRDefault="00D21521" w:rsidP="00002931">
            <w:pPr>
              <w:jc w:val="center"/>
              <w:rPr>
                <w:sz w:val="20"/>
                <w:lang w:val="en-US"/>
              </w:rPr>
            </w:pPr>
            <w:r w:rsidRPr="00921FF3">
              <w:rPr>
                <w:sz w:val="20"/>
                <w:lang w:val="en-US"/>
              </w:rPr>
              <w:t>209/1025 (20.4</w:t>
            </w:r>
            <w:r>
              <w:rPr>
                <w:sz w:val="20"/>
                <w:lang w:val="en-US"/>
              </w:rPr>
              <w:t> </w:t>
            </w:r>
            <w:r w:rsidRPr="00921FF3">
              <w:rPr>
                <w:sz w:val="20"/>
                <w:lang w:val="en-US"/>
              </w:rPr>
              <w:t>%)</w:t>
            </w:r>
          </w:p>
        </w:tc>
      </w:tr>
      <w:tr w:rsidR="00D21521" w:rsidRPr="00921FF3" w:rsidTr="00002931">
        <w:trPr>
          <w:trHeight w:val="238"/>
          <w:jc w:val="center"/>
        </w:trPr>
        <w:tc>
          <w:tcPr>
            <w:tcW w:w="2714" w:type="dxa"/>
            <w:tcBorders>
              <w:bottom w:val="single" w:sz="4" w:space="0" w:color="000000"/>
            </w:tcBorders>
          </w:tcPr>
          <w:p w:rsidR="00D21521" w:rsidRPr="00921FF3" w:rsidRDefault="00D21521" w:rsidP="00002931">
            <w:pPr>
              <w:ind w:left="177"/>
              <w:rPr>
                <w:sz w:val="20"/>
                <w:lang w:val="en-US"/>
              </w:rPr>
            </w:pPr>
            <w:r w:rsidRPr="00921FF3">
              <w:rPr>
                <w:sz w:val="20"/>
                <w:lang w:val="en-US"/>
              </w:rPr>
              <w:t>Placebo</w:t>
            </w:r>
          </w:p>
        </w:tc>
        <w:tc>
          <w:tcPr>
            <w:tcW w:w="2889" w:type="dxa"/>
            <w:tcBorders>
              <w:bottom w:val="single" w:sz="4" w:space="0" w:color="000000"/>
            </w:tcBorders>
            <w:vAlign w:val="center"/>
          </w:tcPr>
          <w:p w:rsidR="00D21521" w:rsidRPr="00921FF3" w:rsidRDefault="00D21521" w:rsidP="00002931">
            <w:pPr>
              <w:jc w:val="center"/>
              <w:rPr>
                <w:sz w:val="20"/>
                <w:lang w:val="en-US"/>
              </w:rPr>
            </w:pPr>
            <w:r w:rsidRPr="00921FF3">
              <w:rPr>
                <w:sz w:val="20"/>
                <w:lang w:val="en-US"/>
              </w:rPr>
              <w:t>138/1009 (13.7</w:t>
            </w:r>
            <w:r>
              <w:rPr>
                <w:sz w:val="20"/>
                <w:lang w:val="en-US"/>
              </w:rPr>
              <w:t> </w:t>
            </w:r>
            <w:r w:rsidRPr="00921FF3">
              <w:rPr>
                <w:sz w:val="20"/>
                <w:lang w:val="en-US"/>
              </w:rPr>
              <w:t>%)</w:t>
            </w:r>
          </w:p>
        </w:tc>
        <w:tc>
          <w:tcPr>
            <w:tcW w:w="2907" w:type="dxa"/>
            <w:tcBorders>
              <w:bottom w:val="single" w:sz="4" w:space="0" w:color="000000"/>
            </w:tcBorders>
            <w:vAlign w:val="center"/>
          </w:tcPr>
          <w:p w:rsidR="00D21521" w:rsidRPr="00921FF3" w:rsidRDefault="00D21521" w:rsidP="00002931">
            <w:pPr>
              <w:jc w:val="center"/>
              <w:rPr>
                <w:sz w:val="20"/>
                <w:lang w:val="en-US"/>
              </w:rPr>
            </w:pPr>
            <w:r w:rsidRPr="00921FF3">
              <w:rPr>
                <w:sz w:val="20"/>
                <w:lang w:val="en-US"/>
              </w:rPr>
              <w:t>117/1026 (11.4</w:t>
            </w:r>
            <w:r>
              <w:rPr>
                <w:sz w:val="20"/>
                <w:lang w:val="en-US"/>
              </w:rPr>
              <w:t> </w:t>
            </w:r>
            <w:r w:rsidRPr="00921FF3">
              <w:rPr>
                <w:sz w:val="20"/>
                <w:lang w:val="en-US"/>
              </w:rPr>
              <w:t>%)</w:t>
            </w:r>
          </w:p>
        </w:tc>
      </w:tr>
      <w:tr w:rsidR="00D21521" w:rsidRPr="00795FCE" w:rsidTr="00002931">
        <w:trPr>
          <w:trHeight w:val="230"/>
          <w:jc w:val="center"/>
        </w:trPr>
        <w:tc>
          <w:tcPr>
            <w:tcW w:w="8510" w:type="dxa"/>
            <w:gridSpan w:val="3"/>
          </w:tcPr>
          <w:p w:rsidR="00D21521" w:rsidRPr="00921FF3" w:rsidRDefault="00D21521" w:rsidP="00002931">
            <w:pPr>
              <w:spacing w:before="60" w:after="60"/>
              <w:rPr>
                <w:sz w:val="20"/>
                <w:lang w:val="en-US"/>
              </w:rPr>
            </w:pPr>
            <w:r w:rsidRPr="00303937">
              <w:rPr>
                <w:b/>
                <w:sz w:val="20"/>
                <w:lang w:val="en-US"/>
              </w:rPr>
              <w:t>Treatment Comparisons:</w:t>
            </w:r>
            <w:r w:rsidRPr="00921FF3">
              <w:rPr>
                <w:sz w:val="20"/>
                <w:lang w:val="en-US"/>
              </w:rPr>
              <w:t xml:space="preserve"> Odds ratio (95 % CI), p value</w:t>
            </w:r>
          </w:p>
        </w:tc>
      </w:tr>
      <w:tr w:rsidR="00D21521" w:rsidRPr="00921FF3" w:rsidTr="00002931">
        <w:trPr>
          <w:trHeight w:val="252"/>
          <w:jc w:val="center"/>
        </w:trPr>
        <w:tc>
          <w:tcPr>
            <w:tcW w:w="2714" w:type="dxa"/>
            <w:tcBorders>
              <w:top w:val="single" w:sz="4" w:space="0" w:color="000000"/>
            </w:tcBorders>
          </w:tcPr>
          <w:p w:rsidR="00D21521" w:rsidRPr="00921FF3" w:rsidRDefault="00D21521" w:rsidP="00002931">
            <w:pPr>
              <w:ind w:left="177"/>
              <w:rPr>
                <w:sz w:val="20"/>
                <w:lang w:val="en-US"/>
              </w:rPr>
            </w:pPr>
            <w:r w:rsidRPr="00921FF3">
              <w:rPr>
                <w:sz w:val="20"/>
                <w:lang w:val="en-US"/>
              </w:rPr>
              <w:t>Varenicline vs Placebo</w:t>
            </w:r>
          </w:p>
        </w:tc>
        <w:tc>
          <w:tcPr>
            <w:tcW w:w="2889" w:type="dxa"/>
            <w:tcBorders>
              <w:top w:val="single" w:sz="4" w:space="0" w:color="000000"/>
            </w:tcBorders>
          </w:tcPr>
          <w:p w:rsidR="00D21521" w:rsidRPr="00921FF3" w:rsidRDefault="00D21521" w:rsidP="00002931">
            <w:pPr>
              <w:jc w:val="center"/>
              <w:rPr>
                <w:sz w:val="20"/>
                <w:lang w:val="en-US"/>
              </w:rPr>
            </w:pPr>
            <w:r w:rsidRPr="00921FF3">
              <w:rPr>
                <w:sz w:val="20"/>
                <w:lang w:val="en-US"/>
              </w:rPr>
              <w:t>4.00 (3.20, 5.00), P&lt;0.0001</w:t>
            </w:r>
          </w:p>
        </w:tc>
        <w:tc>
          <w:tcPr>
            <w:tcW w:w="2907" w:type="dxa"/>
            <w:tcBorders>
              <w:top w:val="single" w:sz="4" w:space="0" w:color="000000"/>
            </w:tcBorders>
          </w:tcPr>
          <w:p w:rsidR="00D21521" w:rsidRPr="00921FF3" w:rsidRDefault="00D21521" w:rsidP="00002931">
            <w:pPr>
              <w:jc w:val="center"/>
              <w:rPr>
                <w:sz w:val="20"/>
                <w:lang w:val="en-US"/>
              </w:rPr>
            </w:pPr>
            <w:r w:rsidRPr="00921FF3">
              <w:rPr>
                <w:sz w:val="20"/>
                <w:lang w:val="en-US"/>
              </w:rPr>
              <w:t>3.24 (2.56, 4.11), P&lt;0.0001</w:t>
            </w:r>
          </w:p>
        </w:tc>
      </w:tr>
      <w:tr w:rsidR="00D21521" w:rsidRPr="00921FF3" w:rsidTr="00002931">
        <w:trPr>
          <w:trHeight w:val="249"/>
          <w:jc w:val="center"/>
        </w:trPr>
        <w:tc>
          <w:tcPr>
            <w:tcW w:w="2714" w:type="dxa"/>
            <w:tcBorders>
              <w:bottom w:val="single" w:sz="4" w:space="0" w:color="000000"/>
            </w:tcBorders>
          </w:tcPr>
          <w:p w:rsidR="00D21521" w:rsidRPr="00921FF3" w:rsidRDefault="00D21521" w:rsidP="00002931">
            <w:pPr>
              <w:ind w:left="177"/>
              <w:rPr>
                <w:sz w:val="20"/>
                <w:lang w:val="en-US"/>
              </w:rPr>
            </w:pPr>
            <w:r w:rsidRPr="00921FF3">
              <w:rPr>
                <w:sz w:val="20"/>
                <w:lang w:val="en-US"/>
              </w:rPr>
              <w:t>Bupropion vs Placebo</w:t>
            </w:r>
          </w:p>
        </w:tc>
        <w:tc>
          <w:tcPr>
            <w:tcW w:w="2889" w:type="dxa"/>
            <w:tcBorders>
              <w:bottom w:val="single" w:sz="4" w:space="0" w:color="000000"/>
            </w:tcBorders>
          </w:tcPr>
          <w:p w:rsidR="00D21521" w:rsidRPr="00921FF3" w:rsidRDefault="00D21521" w:rsidP="00002931">
            <w:pPr>
              <w:jc w:val="center"/>
              <w:rPr>
                <w:sz w:val="20"/>
                <w:lang w:val="en-US"/>
              </w:rPr>
            </w:pPr>
            <w:r w:rsidRPr="00921FF3">
              <w:rPr>
                <w:sz w:val="20"/>
                <w:lang w:val="en-US"/>
              </w:rPr>
              <w:t>2.26 (1.80, 2.85), P&lt;0.0001</w:t>
            </w:r>
          </w:p>
        </w:tc>
        <w:tc>
          <w:tcPr>
            <w:tcW w:w="2907" w:type="dxa"/>
            <w:tcBorders>
              <w:bottom w:val="single" w:sz="4" w:space="0" w:color="000000"/>
            </w:tcBorders>
          </w:tcPr>
          <w:p w:rsidR="00D21521" w:rsidRPr="00921FF3" w:rsidRDefault="00D21521" w:rsidP="00002931">
            <w:pPr>
              <w:jc w:val="center"/>
              <w:rPr>
                <w:sz w:val="20"/>
                <w:lang w:val="en-US"/>
              </w:rPr>
            </w:pPr>
            <w:r w:rsidRPr="00921FF3">
              <w:rPr>
                <w:sz w:val="20"/>
                <w:lang w:val="en-US"/>
              </w:rPr>
              <w:t>1.87 (1.46, 2.39), P&lt;0.0001</w:t>
            </w:r>
          </w:p>
        </w:tc>
      </w:tr>
      <w:tr w:rsidR="00D21521" w:rsidRPr="00921FF3" w:rsidTr="00002931">
        <w:trPr>
          <w:trHeight w:val="243"/>
          <w:jc w:val="center"/>
        </w:trPr>
        <w:tc>
          <w:tcPr>
            <w:tcW w:w="2714" w:type="dxa"/>
            <w:tcBorders>
              <w:top w:val="single" w:sz="4" w:space="0" w:color="000000"/>
            </w:tcBorders>
          </w:tcPr>
          <w:p w:rsidR="00D21521" w:rsidRPr="00921FF3" w:rsidRDefault="00D21521" w:rsidP="00002931">
            <w:pPr>
              <w:ind w:left="177"/>
              <w:rPr>
                <w:sz w:val="20"/>
                <w:lang w:val="en-US"/>
              </w:rPr>
            </w:pPr>
            <w:r w:rsidRPr="00921FF3">
              <w:rPr>
                <w:sz w:val="20"/>
                <w:lang w:val="en-US"/>
              </w:rPr>
              <w:t>NRT vs Placebo</w:t>
            </w:r>
          </w:p>
        </w:tc>
        <w:tc>
          <w:tcPr>
            <w:tcW w:w="2889" w:type="dxa"/>
            <w:tcBorders>
              <w:top w:val="single" w:sz="4" w:space="0" w:color="000000"/>
            </w:tcBorders>
          </w:tcPr>
          <w:p w:rsidR="00D21521" w:rsidRPr="00921FF3" w:rsidRDefault="00D21521" w:rsidP="00002931">
            <w:pPr>
              <w:jc w:val="center"/>
              <w:rPr>
                <w:sz w:val="20"/>
                <w:lang w:val="en-US"/>
              </w:rPr>
            </w:pPr>
            <w:r w:rsidRPr="00921FF3">
              <w:rPr>
                <w:sz w:val="20"/>
                <w:lang w:val="en-US"/>
              </w:rPr>
              <w:t>2.30 (1.83, 2.90), P&lt;0.0001</w:t>
            </w:r>
          </w:p>
        </w:tc>
        <w:tc>
          <w:tcPr>
            <w:tcW w:w="2907" w:type="dxa"/>
            <w:tcBorders>
              <w:top w:val="single" w:sz="4" w:space="0" w:color="000000"/>
            </w:tcBorders>
          </w:tcPr>
          <w:p w:rsidR="00D21521" w:rsidRPr="00921FF3" w:rsidRDefault="00D21521" w:rsidP="00002931">
            <w:pPr>
              <w:jc w:val="center"/>
              <w:rPr>
                <w:sz w:val="20"/>
                <w:lang w:val="en-US"/>
              </w:rPr>
            </w:pPr>
            <w:r w:rsidRPr="00921FF3">
              <w:rPr>
                <w:sz w:val="20"/>
                <w:lang w:val="en-US"/>
              </w:rPr>
              <w:t>2.00 (1.56, 2.55), P&lt;0.0001</w:t>
            </w:r>
          </w:p>
        </w:tc>
      </w:tr>
      <w:tr w:rsidR="00D21521" w:rsidRPr="00921FF3" w:rsidTr="00002931">
        <w:trPr>
          <w:trHeight w:val="241"/>
          <w:jc w:val="center"/>
        </w:trPr>
        <w:tc>
          <w:tcPr>
            <w:tcW w:w="2714" w:type="dxa"/>
          </w:tcPr>
          <w:p w:rsidR="00D21521" w:rsidRPr="00921FF3" w:rsidRDefault="00D21521" w:rsidP="00002931">
            <w:pPr>
              <w:ind w:left="177"/>
              <w:rPr>
                <w:sz w:val="20"/>
                <w:lang w:val="en-US"/>
              </w:rPr>
            </w:pPr>
            <w:r w:rsidRPr="00921FF3">
              <w:rPr>
                <w:sz w:val="20"/>
                <w:lang w:val="en-US"/>
              </w:rPr>
              <w:t>Varenicline vs Bupropion</w:t>
            </w:r>
          </w:p>
        </w:tc>
        <w:tc>
          <w:tcPr>
            <w:tcW w:w="2889" w:type="dxa"/>
          </w:tcPr>
          <w:p w:rsidR="00D21521" w:rsidRPr="00921FF3" w:rsidRDefault="00D21521" w:rsidP="00002931">
            <w:pPr>
              <w:jc w:val="center"/>
              <w:rPr>
                <w:sz w:val="20"/>
                <w:lang w:val="en-US"/>
              </w:rPr>
            </w:pPr>
            <w:r w:rsidRPr="00921FF3">
              <w:rPr>
                <w:sz w:val="20"/>
                <w:lang w:val="en-US"/>
              </w:rPr>
              <w:t>1.77 (1.46, 2.14), P&lt;0.0001</w:t>
            </w:r>
          </w:p>
        </w:tc>
        <w:tc>
          <w:tcPr>
            <w:tcW w:w="2907" w:type="dxa"/>
          </w:tcPr>
          <w:p w:rsidR="00D21521" w:rsidRPr="00921FF3" w:rsidRDefault="00D21521" w:rsidP="00002931">
            <w:pPr>
              <w:jc w:val="center"/>
              <w:rPr>
                <w:sz w:val="20"/>
                <w:lang w:val="en-US"/>
              </w:rPr>
            </w:pPr>
            <w:r w:rsidRPr="00921FF3">
              <w:rPr>
                <w:sz w:val="20"/>
                <w:lang w:val="en-US"/>
              </w:rPr>
              <w:t>1.74 (1.41, 2.14), P&lt;0.0001</w:t>
            </w:r>
          </w:p>
        </w:tc>
      </w:tr>
      <w:tr w:rsidR="00D21521" w:rsidRPr="00921FF3" w:rsidTr="00002931">
        <w:trPr>
          <w:trHeight w:val="237"/>
          <w:jc w:val="center"/>
        </w:trPr>
        <w:tc>
          <w:tcPr>
            <w:tcW w:w="2714" w:type="dxa"/>
            <w:tcBorders>
              <w:bottom w:val="single" w:sz="4" w:space="0" w:color="000000"/>
            </w:tcBorders>
          </w:tcPr>
          <w:p w:rsidR="00D21521" w:rsidRPr="00921FF3" w:rsidRDefault="00D21521" w:rsidP="00002931">
            <w:pPr>
              <w:ind w:left="177"/>
              <w:rPr>
                <w:sz w:val="20"/>
                <w:lang w:val="en-US"/>
              </w:rPr>
            </w:pPr>
            <w:r w:rsidRPr="00921FF3">
              <w:rPr>
                <w:sz w:val="20"/>
                <w:lang w:val="en-US"/>
              </w:rPr>
              <w:t>Varenicline vs NRT</w:t>
            </w:r>
          </w:p>
        </w:tc>
        <w:tc>
          <w:tcPr>
            <w:tcW w:w="2889" w:type="dxa"/>
            <w:tcBorders>
              <w:bottom w:val="single" w:sz="4" w:space="0" w:color="000000"/>
            </w:tcBorders>
          </w:tcPr>
          <w:p w:rsidR="00D21521" w:rsidRPr="00921FF3" w:rsidRDefault="00D21521" w:rsidP="00002931">
            <w:pPr>
              <w:jc w:val="center"/>
              <w:rPr>
                <w:sz w:val="20"/>
                <w:lang w:val="en-US"/>
              </w:rPr>
            </w:pPr>
            <w:r w:rsidRPr="00921FF3">
              <w:rPr>
                <w:sz w:val="20"/>
                <w:lang w:val="en-US"/>
              </w:rPr>
              <w:t>1.74 (1.43, 2.10), P&lt;0.0001</w:t>
            </w:r>
          </w:p>
        </w:tc>
        <w:tc>
          <w:tcPr>
            <w:tcW w:w="2907" w:type="dxa"/>
            <w:tcBorders>
              <w:bottom w:val="single" w:sz="4" w:space="0" w:color="000000"/>
            </w:tcBorders>
          </w:tcPr>
          <w:p w:rsidR="00D21521" w:rsidRPr="00921FF3" w:rsidRDefault="00D21521" w:rsidP="00002931">
            <w:pPr>
              <w:jc w:val="center"/>
              <w:rPr>
                <w:sz w:val="20"/>
                <w:lang w:val="en-US"/>
              </w:rPr>
            </w:pPr>
            <w:r w:rsidRPr="00921FF3">
              <w:rPr>
                <w:sz w:val="20"/>
                <w:lang w:val="en-US"/>
              </w:rPr>
              <w:t>1.62 (1.32, 1.99), P&lt;0.0001</w:t>
            </w:r>
          </w:p>
        </w:tc>
      </w:tr>
      <w:tr w:rsidR="00D21521" w:rsidRPr="00921FF3" w:rsidTr="00002931">
        <w:trPr>
          <w:trHeight w:val="239"/>
          <w:jc w:val="center"/>
        </w:trPr>
        <w:tc>
          <w:tcPr>
            <w:tcW w:w="2714" w:type="dxa"/>
            <w:tcBorders>
              <w:top w:val="single" w:sz="4" w:space="0" w:color="000000"/>
              <w:bottom w:val="single" w:sz="4" w:space="0" w:color="000000"/>
            </w:tcBorders>
          </w:tcPr>
          <w:p w:rsidR="00D21521" w:rsidRPr="00921FF3" w:rsidRDefault="00D21521" w:rsidP="00002931">
            <w:pPr>
              <w:spacing w:before="60" w:after="60"/>
              <w:rPr>
                <w:sz w:val="20"/>
                <w:lang w:val="en-US"/>
              </w:rPr>
            </w:pPr>
            <w:r w:rsidRPr="00303937">
              <w:rPr>
                <w:b/>
                <w:sz w:val="20"/>
                <w:lang w:val="en-US"/>
              </w:rPr>
              <w:t>CA 9-24</w:t>
            </w:r>
            <w:r w:rsidRPr="00921FF3">
              <w:rPr>
                <w:sz w:val="20"/>
                <w:lang w:val="en-US"/>
              </w:rPr>
              <w:t xml:space="preserve"> n/N (%)</w:t>
            </w:r>
          </w:p>
        </w:tc>
        <w:tc>
          <w:tcPr>
            <w:tcW w:w="2889" w:type="dxa"/>
            <w:tcBorders>
              <w:top w:val="single" w:sz="4" w:space="0" w:color="000000"/>
              <w:bottom w:val="single" w:sz="4" w:space="0" w:color="000000"/>
            </w:tcBorders>
          </w:tcPr>
          <w:p w:rsidR="00D21521" w:rsidRPr="00921FF3" w:rsidRDefault="00D21521" w:rsidP="00002931">
            <w:pPr>
              <w:spacing w:before="60" w:after="60"/>
              <w:rPr>
                <w:sz w:val="20"/>
                <w:lang w:val="en-US"/>
              </w:rPr>
            </w:pPr>
          </w:p>
        </w:tc>
        <w:tc>
          <w:tcPr>
            <w:tcW w:w="2907" w:type="dxa"/>
            <w:tcBorders>
              <w:top w:val="single" w:sz="4" w:space="0" w:color="000000"/>
              <w:bottom w:val="single" w:sz="4" w:space="0" w:color="000000"/>
            </w:tcBorders>
          </w:tcPr>
          <w:p w:rsidR="00D21521" w:rsidRPr="00921FF3" w:rsidRDefault="00D21521" w:rsidP="00002931">
            <w:pPr>
              <w:spacing w:before="60" w:after="60"/>
              <w:rPr>
                <w:sz w:val="20"/>
                <w:lang w:val="en-US"/>
              </w:rPr>
            </w:pPr>
          </w:p>
        </w:tc>
      </w:tr>
      <w:tr w:rsidR="00D21521" w:rsidRPr="00921FF3" w:rsidTr="00002931">
        <w:trPr>
          <w:trHeight w:val="243"/>
          <w:jc w:val="center"/>
        </w:trPr>
        <w:tc>
          <w:tcPr>
            <w:tcW w:w="2714" w:type="dxa"/>
            <w:tcBorders>
              <w:top w:val="single" w:sz="4" w:space="0" w:color="000000"/>
            </w:tcBorders>
          </w:tcPr>
          <w:p w:rsidR="00D21521" w:rsidRPr="00921FF3" w:rsidRDefault="00D21521" w:rsidP="00002931">
            <w:pPr>
              <w:ind w:left="177"/>
              <w:rPr>
                <w:sz w:val="20"/>
                <w:lang w:val="en-US"/>
              </w:rPr>
            </w:pPr>
            <w:r w:rsidRPr="00921FF3">
              <w:rPr>
                <w:sz w:val="20"/>
                <w:lang w:val="en-US"/>
              </w:rPr>
              <w:t>Varenicline</w:t>
            </w:r>
          </w:p>
        </w:tc>
        <w:tc>
          <w:tcPr>
            <w:tcW w:w="2889" w:type="dxa"/>
            <w:tcBorders>
              <w:top w:val="single" w:sz="4" w:space="0" w:color="000000"/>
            </w:tcBorders>
          </w:tcPr>
          <w:p w:rsidR="00D21521" w:rsidRPr="00921FF3" w:rsidRDefault="00D21521" w:rsidP="00002931">
            <w:pPr>
              <w:jc w:val="center"/>
              <w:rPr>
                <w:sz w:val="20"/>
                <w:lang w:val="en-US"/>
              </w:rPr>
            </w:pPr>
            <w:r w:rsidRPr="00921FF3">
              <w:rPr>
                <w:sz w:val="20"/>
                <w:lang w:val="en-US"/>
              </w:rPr>
              <w:t>256/1005 (25.5</w:t>
            </w:r>
            <w:r>
              <w:rPr>
                <w:sz w:val="20"/>
                <w:lang w:val="en-US"/>
              </w:rPr>
              <w:t> </w:t>
            </w:r>
            <w:r w:rsidRPr="00921FF3">
              <w:rPr>
                <w:sz w:val="20"/>
                <w:lang w:val="en-US"/>
              </w:rPr>
              <w:t>%)</w:t>
            </w:r>
          </w:p>
        </w:tc>
        <w:tc>
          <w:tcPr>
            <w:tcW w:w="2907" w:type="dxa"/>
            <w:tcBorders>
              <w:top w:val="single" w:sz="4" w:space="0" w:color="000000"/>
            </w:tcBorders>
          </w:tcPr>
          <w:p w:rsidR="00D21521" w:rsidRPr="00921FF3" w:rsidRDefault="00D21521" w:rsidP="00002931">
            <w:pPr>
              <w:jc w:val="center"/>
              <w:rPr>
                <w:sz w:val="20"/>
                <w:lang w:val="en-US"/>
              </w:rPr>
            </w:pPr>
            <w:r w:rsidRPr="00921FF3">
              <w:rPr>
                <w:sz w:val="20"/>
                <w:lang w:val="en-US"/>
              </w:rPr>
              <w:t>189/1032 (18.3</w:t>
            </w:r>
            <w:r>
              <w:rPr>
                <w:sz w:val="20"/>
                <w:lang w:val="en-US"/>
              </w:rPr>
              <w:t> </w:t>
            </w:r>
            <w:r w:rsidRPr="00921FF3">
              <w:rPr>
                <w:sz w:val="20"/>
                <w:lang w:val="en-US"/>
              </w:rPr>
              <w:t>%)</w:t>
            </w:r>
          </w:p>
        </w:tc>
      </w:tr>
      <w:tr w:rsidR="00D21521" w:rsidRPr="00921FF3" w:rsidTr="00002931">
        <w:trPr>
          <w:trHeight w:val="241"/>
          <w:jc w:val="center"/>
        </w:trPr>
        <w:tc>
          <w:tcPr>
            <w:tcW w:w="2714" w:type="dxa"/>
          </w:tcPr>
          <w:p w:rsidR="00D21521" w:rsidRPr="00921FF3" w:rsidRDefault="00D21521" w:rsidP="00002931">
            <w:pPr>
              <w:ind w:left="177"/>
              <w:rPr>
                <w:sz w:val="20"/>
                <w:lang w:val="en-US"/>
              </w:rPr>
            </w:pPr>
            <w:r w:rsidRPr="00921FF3">
              <w:rPr>
                <w:sz w:val="20"/>
                <w:lang w:val="en-US"/>
              </w:rPr>
              <w:t>Bupropion</w:t>
            </w:r>
          </w:p>
        </w:tc>
        <w:tc>
          <w:tcPr>
            <w:tcW w:w="2889" w:type="dxa"/>
          </w:tcPr>
          <w:p w:rsidR="00D21521" w:rsidRPr="00921FF3" w:rsidRDefault="00D21521" w:rsidP="00002931">
            <w:pPr>
              <w:jc w:val="center"/>
              <w:rPr>
                <w:sz w:val="20"/>
                <w:lang w:val="en-US"/>
              </w:rPr>
            </w:pPr>
            <w:r w:rsidRPr="00921FF3">
              <w:rPr>
                <w:sz w:val="20"/>
                <w:lang w:val="en-US"/>
              </w:rPr>
              <w:t>188/1001 (18.8</w:t>
            </w:r>
            <w:r>
              <w:rPr>
                <w:sz w:val="20"/>
                <w:lang w:val="en-US"/>
              </w:rPr>
              <w:t> </w:t>
            </w:r>
            <w:r w:rsidRPr="00921FF3">
              <w:rPr>
                <w:sz w:val="20"/>
                <w:lang w:val="en-US"/>
              </w:rPr>
              <w:t>%)</w:t>
            </w:r>
          </w:p>
        </w:tc>
        <w:tc>
          <w:tcPr>
            <w:tcW w:w="2907" w:type="dxa"/>
          </w:tcPr>
          <w:p w:rsidR="00D21521" w:rsidRPr="00921FF3" w:rsidRDefault="00D21521" w:rsidP="00002931">
            <w:pPr>
              <w:jc w:val="center"/>
              <w:rPr>
                <w:sz w:val="20"/>
                <w:lang w:val="en-US"/>
              </w:rPr>
            </w:pPr>
            <w:r w:rsidRPr="00921FF3">
              <w:rPr>
                <w:sz w:val="20"/>
                <w:lang w:val="en-US"/>
              </w:rPr>
              <w:t>142/1033 (13.7</w:t>
            </w:r>
            <w:r>
              <w:rPr>
                <w:sz w:val="20"/>
                <w:lang w:val="en-US"/>
              </w:rPr>
              <w:t> </w:t>
            </w:r>
            <w:r w:rsidRPr="00921FF3">
              <w:rPr>
                <w:sz w:val="20"/>
                <w:lang w:val="en-US"/>
              </w:rPr>
              <w:t>%)</w:t>
            </w:r>
          </w:p>
        </w:tc>
      </w:tr>
      <w:tr w:rsidR="00D21521" w:rsidRPr="00921FF3" w:rsidTr="00002931">
        <w:trPr>
          <w:trHeight w:val="239"/>
          <w:jc w:val="center"/>
        </w:trPr>
        <w:tc>
          <w:tcPr>
            <w:tcW w:w="2714" w:type="dxa"/>
          </w:tcPr>
          <w:p w:rsidR="00D21521" w:rsidRPr="00921FF3" w:rsidRDefault="00D21521" w:rsidP="00002931">
            <w:pPr>
              <w:ind w:left="177"/>
              <w:rPr>
                <w:sz w:val="20"/>
                <w:lang w:val="en-US"/>
              </w:rPr>
            </w:pPr>
            <w:r w:rsidRPr="00921FF3">
              <w:rPr>
                <w:sz w:val="20"/>
                <w:lang w:val="en-US"/>
              </w:rPr>
              <w:t>NRT</w:t>
            </w:r>
          </w:p>
        </w:tc>
        <w:tc>
          <w:tcPr>
            <w:tcW w:w="2889" w:type="dxa"/>
          </w:tcPr>
          <w:p w:rsidR="00D21521" w:rsidRPr="00921FF3" w:rsidRDefault="00D21521" w:rsidP="00002931">
            <w:pPr>
              <w:jc w:val="center"/>
              <w:rPr>
                <w:sz w:val="20"/>
                <w:lang w:val="en-US"/>
              </w:rPr>
            </w:pPr>
            <w:r w:rsidRPr="00921FF3">
              <w:rPr>
                <w:sz w:val="20"/>
                <w:lang w:val="en-US"/>
              </w:rPr>
              <w:t>187/1013 (18.5</w:t>
            </w:r>
            <w:r>
              <w:rPr>
                <w:sz w:val="20"/>
                <w:lang w:val="en-US"/>
              </w:rPr>
              <w:t> </w:t>
            </w:r>
            <w:r w:rsidRPr="00921FF3">
              <w:rPr>
                <w:sz w:val="20"/>
                <w:lang w:val="en-US"/>
              </w:rPr>
              <w:t>%)</w:t>
            </w:r>
          </w:p>
        </w:tc>
        <w:tc>
          <w:tcPr>
            <w:tcW w:w="2907" w:type="dxa"/>
          </w:tcPr>
          <w:p w:rsidR="00D21521" w:rsidRPr="00921FF3" w:rsidRDefault="00D21521" w:rsidP="00002931">
            <w:pPr>
              <w:jc w:val="center"/>
              <w:rPr>
                <w:sz w:val="20"/>
                <w:lang w:val="en-US"/>
              </w:rPr>
            </w:pPr>
            <w:r w:rsidRPr="00921FF3">
              <w:rPr>
                <w:sz w:val="20"/>
                <w:lang w:val="en-US"/>
              </w:rPr>
              <w:t>133/1025 (13.0</w:t>
            </w:r>
            <w:r>
              <w:rPr>
                <w:sz w:val="20"/>
                <w:lang w:val="en-US"/>
              </w:rPr>
              <w:t> </w:t>
            </w:r>
            <w:r w:rsidRPr="00921FF3">
              <w:rPr>
                <w:sz w:val="20"/>
                <w:lang w:val="en-US"/>
              </w:rPr>
              <w:t>%)</w:t>
            </w:r>
          </w:p>
        </w:tc>
      </w:tr>
      <w:tr w:rsidR="00D21521" w:rsidRPr="00921FF3" w:rsidTr="00002931">
        <w:trPr>
          <w:trHeight w:val="252"/>
          <w:jc w:val="center"/>
        </w:trPr>
        <w:tc>
          <w:tcPr>
            <w:tcW w:w="2714" w:type="dxa"/>
            <w:tcBorders>
              <w:bottom w:val="single" w:sz="4" w:space="0" w:color="000000"/>
            </w:tcBorders>
          </w:tcPr>
          <w:p w:rsidR="00D21521" w:rsidRPr="00921FF3" w:rsidRDefault="00D21521" w:rsidP="00002931">
            <w:pPr>
              <w:ind w:left="177"/>
              <w:rPr>
                <w:sz w:val="20"/>
                <w:lang w:val="en-US"/>
              </w:rPr>
            </w:pPr>
            <w:r w:rsidRPr="00921FF3">
              <w:rPr>
                <w:sz w:val="20"/>
                <w:lang w:val="en-US"/>
              </w:rPr>
              <w:t>Placebo</w:t>
            </w:r>
          </w:p>
        </w:tc>
        <w:tc>
          <w:tcPr>
            <w:tcW w:w="2889" w:type="dxa"/>
            <w:tcBorders>
              <w:bottom w:val="single" w:sz="4" w:space="0" w:color="000000"/>
            </w:tcBorders>
          </w:tcPr>
          <w:p w:rsidR="00D21521" w:rsidRPr="00921FF3" w:rsidRDefault="00D21521" w:rsidP="00002931">
            <w:pPr>
              <w:jc w:val="center"/>
              <w:rPr>
                <w:sz w:val="20"/>
                <w:lang w:val="en-US"/>
              </w:rPr>
            </w:pPr>
            <w:r w:rsidRPr="00921FF3">
              <w:rPr>
                <w:sz w:val="20"/>
                <w:lang w:val="en-US"/>
              </w:rPr>
              <w:t>106/1009 (10.5</w:t>
            </w:r>
            <w:r>
              <w:rPr>
                <w:sz w:val="20"/>
                <w:lang w:val="en-US"/>
              </w:rPr>
              <w:t> </w:t>
            </w:r>
            <w:r w:rsidRPr="00921FF3">
              <w:rPr>
                <w:sz w:val="20"/>
                <w:lang w:val="en-US"/>
              </w:rPr>
              <w:t>%)</w:t>
            </w:r>
          </w:p>
        </w:tc>
        <w:tc>
          <w:tcPr>
            <w:tcW w:w="2907" w:type="dxa"/>
            <w:tcBorders>
              <w:bottom w:val="single" w:sz="4" w:space="0" w:color="000000"/>
            </w:tcBorders>
          </w:tcPr>
          <w:p w:rsidR="00D21521" w:rsidRPr="00921FF3" w:rsidRDefault="00D21521" w:rsidP="00002931">
            <w:pPr>
              <w:jc w:val="center"/>
              <w:rPr>
                <w:sz w:val="20"/>
                <w:lang w:val="en-US"/>
              </w:rPr>
            </w:pPr>
            <w:r w:rsidRPr="00921FF3">
              <w:rPr>
                <w:sz w:val="20"/>
                <w:lang w:val="en-US"/>
              </w:rPr>
              <w:t>85/1026 (8.3</w:t>
            </w:r>
            <w:r>
              <w:rPr>
                <w:sz w:val="20"/>
                <w:lang w:val="en-US"/>
              </w:rPr>
              <w:t> </w:t>
            </w:r>
            <w:r w:rsidRPr="00921FF3">
              <w:rPr>
                <w:sz w:val="20"/>
                <w:lang w:val="en-US"/>
              </w:rPr>
              <w:t>%)</w:t>
            </w:r>
          </w:p>
        </w:tc>
      </w:tr>
      <w:tr w:rsidR="00D21521" w:rsidRPr="00795FCE" w:rsidTr="00002931">
        <w:trPr>
          <w:trHeight w:val="236"/>
          <w:jc w:val="center"/>
        </w:trPr>
        <w:tc>
          <w:tcPr>
            <w:tcW w:w="8510" w:type="dxa"/>
            <w:gridSpan w:val="3"/>
          </w:tcPr>
          <w:p w:rsidR="00D21521" w:rsidRPr="00921FF3" w:rsidRDefault="00D21521" w:rsidP="00002931">
            <w:pPr>
              <w:spacing w:before="60" w:after="60"/>
              <w:rPr>
                <w:sz w:val="20"/>
                <w:lang w:val="en-US"/>
              </w:rPr>
            </w:pPr>
            <w:r w:rsidRPr="00303937">
              <w:rPr>
                <w:b/>
                <w:sz w:val="20"/>
                <w:lang w:val="en-US"/>
              </w:rPr>
              <w:t>Treatment Comparisons:</w:t>
            </w:r>
            <w:r w:rsidRPr="00921FF3">
              <w:rPr>
                <w:sz w:val="20"/>
                <w:lang w:val="en-US"/>
              </w:rPr>
              <w:t xml:space="preserve"> Odds ratio (95</w:t>
            </w:r>
            <w:r>
              <w:rPr>
                <w:sz w:val="20"/>
                <w:lang w:val="en-US"/>
              </w:rPr>
              <w:t> </w:t>
            </w:r>
            <w:r w:rsidRPr="00921FF3">
              <w:rPr>
                <w:sz w:val="20"/>
                <w:lang w:val="en-US"/>
              </w:rPr>
              <w:t>% CI), p value</w:t>
            </w:r>
          </w:p>
        </w:tc>
      </w:tr>
      <w:tr w:rsidR="00D21521" w:rsidRPr="00921FF3" w:rsidTr="00002931">
        <w:trPr>
          <w:trHeight w:val="254"/>
          <w:jc w:val="center"/>
        </w:trPr>
        <w:tc>
          <w:tcPr>
            <w:tcW w:w="2714" w:type="dxa"/>
            <w:tcBorders>
              <w:top w:val="single" w:sz="4" w:space="0" w:color="000000"/>
            </w:tcBorders>
          </w:tcPr>
          <w:p w:rsidR="00D21521" w:rsidRPr="00921FF3" w:rsidRDefault="00D21521" w:rsidP="00002931">
            <w:pPr>
              <w:ind w:left="177"/>
              <w:rPr>
                <w:sz w:val="20"/>
                <w:lang w:val="en-US"/>
              </w:rPr>
            </w:pPr>
            <w:r w:rsidRPr="00921FF3">
              <w:rPr>
                <w:sz w:val="20"/>
                <w:lang w:val="en-US"/>
              </w:rPr>
              <w:t>Varenicline vs Placebo</w:t>
            </w:r>
          </w:p>
        </w:tc>
        <w:tc>
          <w:tcPr>
            <w:tcW w:w="2889" w:type="dxa"/>
            <w:tcBorders>
              <w:top w:val="single" w:sz="4" w:space="0" w:color="000000"/>
            </w:tcBorders>
          </w:tcPr>
          <w:p w:rsidR="00D21521" w:rsidRPr="00921FF3" w:rsidRDefault="00D21521" w:rsidP="00002931">
            <w:pPr>
              <w:jc w:val="center"/>
              <w:rPr>
                <w:sz w:val="20"/>
                <w:lang w:val="en-US"/>
              </w:rPr>
            </w:pPr>
            <w:r w:rsidRPr="00921FF3">
              <w:rPr>
                <w:sz w:val="20"/>
                <w:lang w:val="en-US"/>
              </w:rPr>
              <w:t>2.99 (2.33, 3.83), P&lt;0.0001</w:t>
            </w:r>
          </w:p>
        </w:tc>
        <w:tc>
          <w:tcPr>
            <w:tcW w:w="2907" w:type="dxa"/>
            <w:tcBorders>
              <w:top w:val="single" w:sz="4" w:space="0" w:color="000000"/>
            </w:tcBorders>
          </w:tcPr>
          <w:p w:rsidR="00D21521" w:rsidRPr="00921FF3" w:rsidRDefault="00D21521" w:rsidP="00002931">
            <w:pPr>
              <w:jc w:val="center"/>
              <w:rPr>
                <w:sz w:val="20"/>
                <w:lang w:val="en-US"/>
              </w:rPr>
            </w:pPr>
            <w:r w:rsidRPr="00921FF3">
              <w:rPr>
                <w:sz w:val="20"/>
                <w:lang w:val="en-US"/>
              </w:rPr>
              <w:t>2.50 (1.90, 3.29), P&lt;0.0001</w:t>
            </w:r>
          </w:p>
        </w:tc>
      </w:tr>
      <w:tr w:rsidR="00D21521" w:rsidRPr="00921FF3" w:rsidTr="00002931">
        <w:trPr>
          <w:trHeight w:val="240"/>
          <w:jc w:val="center"/>
        </w:trPr>
        <w:tc>
          <w:tcPr>
            <w:tcW w:w="2714" w:type="dxa"/>
            <w:tcBorders>
              <w:bottom w:val="single" w:sz="4" w:space="0" w:color="000000"/>
            </w:tcBorders>
          </w:tcPr>
          <w:p w:rsidR="00D21521" w:rsidRPr="00921FF3" w:rsidRDefault="00D21521" w:rsidP="00002931">
            <w:pPr>
              <w:ind w:left="177"/>
              <w:rPr>
                <w:sz w:val="20"/>
                <w:lang w:val="en-US"/>
              </w:rPr>
            </w:pPr>
            <w:r w:rsidRPr="00921FF3">
              <w:rPr>
                <w:sz w:val="20"/>
                <w:lang w:val="en-US"/>
              </w:rPr>
              <w:t>Bupropion vs Placebo</w:t>
            </w:r>
          </w:p>
        </w:tc>
        <w:tc>
          <w:tcPr>
            <w:tcW w:w="2889" w:type="dxa"/>
            <w:tcBorders>
              <w:bottom w:val="single" w:sz="4" w:space="0" w:color="000000"/>
            </w:tcBorders>
          </w:tcPr>
          <w:p w:rsidR="00D21521" w:rsidRPr="00921FF3" w:rsidRDefault="00D21521" w:rsidP="00002931">
            <w:pPr>
              <w:jc w:val="center"/>
              <w:rPr>
                <w:sz w:val="20"/>
                <w:lang w:val="en-US"/>
              </w:rPr>
            </w:pPr>
            <w:r w:rsidRPr="00921FF3">
              <w:rPr>
                <w:sz w:val="20"/>
                <w:lang w:val="en-US"/>
              </w:rPr>
              <w:t>2.00 (1.54, 2.59), P&lt;0.0001</w:t>
            </w:r>
          </w:p>
        </w:tc>
        <w:tc>
          <w:tcPr>
            <w:tcW w:w="2907" w:type="dxa"/>
            <w:tcBorders>
              <w:bottom w:val="single" w:sz="4" w:space="0" w:color="000000"/>
            </w:tcBorders>
          </w:tcPr>
          <w:p w:rsidR="00D21521" w:rsidRPr="00921FF3" w:rsidRDefault="00D21521" w:rsidP="00002931">
            <w:pPr>
              <w:jc w:val="center"/>
              <w:rPr>
                <w:sz w:val="20"/>
                <w:lang w:val="en-US"/>
              </w:rPr>
            </w:pPr>
            <w:r w:rsidRPr="00921FF3">
              <w:rPr>
                <w:sz w:val="20"/>
                <w:lang w:val="en-US"/>
              </w:rPr>
              <w:t>1.77 (1.33, 2.36), P&lt;0.0001</w:t>
            </w:r>
          </w:p>
        </w:tc>
      </w:tr>
      <w:tr w:rsidR="00D21521" w:rsidRPr="00921FF3" w:rsidTr="00002931">
        <w:trPr>
          <w:trHeight w:val="246"/>
          <w:jc w:val="center"/>
        </w:trPr>
        <w:tc>
          <w:tcPr>
            <w:tcW w:w="2714" w:type="dxa"/>
            <w:tcBorders>
              <w:top w:val="single" w:sz="4" w:space="0" w:color="000000"/>
            </w:tcBorders>
          </w:tcPr>
          <w:p w:rsidR="00D21521" w:rsidRPr="00921FF3" w:rsidRDefault="00D21521" w:rsidP="00002931">
            <w:pPr>
              <w:ind w:left="177"/>
              <w:rPr>
                <w:sz w:val="20"/>
                <w:lang w:val="en-US"/>
              </w:rPr>
            </w:pPr>
            <w:r w:rsidRPr="00921FF3">
              <w:rPr>
                <w:sz w:val="20"/>
                <w:lang w:val="en-US"/>
              </w:rPr>
              <w:t>NRT vs Placebo</w:t>
            </w:r>
          </w:p>
        </w:tc>
        <w:tc>
          <w:tcPr>
            <w:tcW w:w="2889" w:type="dxa"/>
            <w:tcBorders>
              <w:top w:val="single" w:sz="4" w:space="0" w:color="000000"/>
            </w:tcBorders>
          </w:tcPr>
          <w:p w:rsidR="00D21521" w:rsidRPr="00921FF3" w:rsidRDefault="00D21521" w:rsidP="00002931">
            <w:pPr>
              <w:jc w:val="center"/>
              <w:rPr>
                <w:sz w:val="20"/>
                <w:lang w:val="en-US"/>
              </w:rPr>
            </w:pPr>
            <w:r w:rsidRPr="00921FF3">
              <w:rPr>
                <w:sz w:val="20"/>
                <w:lang w:val="en-US"/>
              </w:rPr>
              <w:t>1.96 (1.51, 2.54), P&lt;0.0001</w:t>
            </w:r>
          </w:p>
        </w:tc>
        <w:tc>
          <w:tcPr>
            <w:tcW w:w="2907" w:type="dxa"/>
            <w:tcBorders>
              <w:top w:val="single" w:sz="4" w:space="0" w:color="000000"/>
            </w:tcBorders>
          </w:tcPr>
          <w:p w:rsidR="00D21521" w:rsidRPr="00921FF3" w:rsidRDefault="00D21521" w:rsidP="00002931">
            <w:pPr>
              <w:jc w:val="center"/>
              <w:rPr>
                <w:sz w:val="20"/>
                <w:lang w:val="en-US"/>
              </w:rPr>
            </w:pPr>
            <w:r w:rsidRPr="00921FF3">
              <w:rPr>
                <w:sz w:val="20"/>
                <w:lang w:val="en-US"/>
              </w:rPr>
              <w:t>1.65 (1.24, 2.20), P=0.0007</w:t>
            </w:r>
          </w:p>
        </w:tc>
      </w:tr>
      <w:tr w:rsidR="00D21521" w:rsidRPr="00921FF3" w:rsidTr="00002931">
        <w:trPr>
          <w:trHeight w:val="244"/>
          <w:jc w:val="center"/>
        </w:trPr>
        <w:tc>
          <w:tcPr>
            <w:tcW w:w="2714" w:type="dxa"/>
          </w:tcPr>
          <w:p w:rsidR="00D21521" w:rsidRPr="00921FF3" w:rsidRDefault="00D21521" w:rsidP="00002931">
            <w:pPr>
              <w:ind w:left="177"/>
              <w:rPr>
                <w:sz w:val="20"/>
                <w:lang w:val="en-US"/>
              </w:rPr>
            </w:pPr>
            <w:r w:rsidRPr="00921FF3">
              <w:rPr>
                <w:sz w:val="20"/>
                <w:lang w:val="en-US"/>
              </w:rPr>
              <w:t>Varenicline vs Bupropion</w:t>
            </w:r>
          </w:p>
        </w:tc>
        <w:tc>
          <w:tcPr>
            <w:tcW w:w="2889" w:type="dxa"/>
          </w:tcPr>
          <w:p w:rsidR="00D21521" w:rsidRPr="00921FF3" w:rsidRDefault="00D21521" w:rsidP="00002931">
            <w:pPr>
              <w:jc w:val="center"/>
              <w:rPr>
                <w:sz w:val="20"/>
                <w:lang w:val="en-US"/>
              </w:rPr>
            </w:pPr>
            <w:r w:rsidRPr="00921FF3">
              <w:rPr>
                <w:sz w:val="20"/>
                <w:lang w:val="en-US"/>
              </w:rPr>
              <w:t>1.49 (1.20, 1.85), P=0.0003</w:t>
            </w:r>
          </w:p>
        </w:tc>
        <w:tc>
          <w:tcPr>
            <w:tcW w:w="2907" w:type="dxa"/>
          </w:tcPr>
          <w:p w:rsidR="00D21521" w:rsidRPr="00921FF3" w:rsidRDefault="00D21521" w:rsidP="00002931">
            <w:pPr>
              <w:jc w:val="center"/>
              <w:rPr>
                <w:sz w:val="20"/>
                <w:lang w:val="en-US"/>
              </w:rPr>
            </w:pPr>
            <w:r w:rsidRPr="00921FF3">
              <w:rPr>
                <w:sz w:val="20"/>
                <w:lang w:val="en-US"/>
              </w:rPr>
              <w:t>1.41 (1.11, 1.79), P=0.0047</w:t>
            </w:r>
          </w:p>
        </w:tc>
      </w:tr>
      <w:tr w:rsidR="00D21521" w:rsidRPr="00921FF3" w:rsidTr="00002931">
        <w:trPr>
          <w:trHeight w:val="242"/>
          <w:jc w:val="center"/>
        </w:trPr>
        <w:tc>
          <w:tcPr>
            <w:tcW w:w="2714" w:type="dxa"/>
            <w:tcBorders>
              <w:bottom w:val="single" w:sz="4" w:space="0" w:color="000000"/>
            </w:tcBorders>
          </w:tcPr>
          <w:p w:rsidR="00D21521" w:rsidRPr="00921FF3" w:rsidRDefault="00D21521" w:rsidP="00002931">
            <w:pPr>
              <w:ind w:left="177"/>
              <w:rPr>
                <w:sz w:val="20"/>
                <w:lang w:val="en-US"/>
              </w:rPr>
            </w:pPr>
            <w:r w:rsidRPr="00921FF3">
              <w:rPr>
                <w:sz w:val="20"/>
                <w:lang w:val="en-US"/>
              </w:rPr>
              <w:t>Varenicline vs NRT</w:t>
            </w:r>
          </w:p>
        </w:tc>
        <w:tc>
          <w:tcPr>
            <w:tcW w:w="2889" w:type="dxa"/>
            <w:tcBorders>
              <w:bottom w:val="single" w:sz="4" w:space="0" w:color="000000"/>
            </w:tcBorders>
          </w:tcPr>
          <w:p w:rsidR="00D21521" w:rsidRPr="00921FF3" w:rsidRDefault="00D21521" w:rsidP="00002931">
            <w:pPr>
              <w:jc w:val="center"/>
              <w:rPr>
                <w:sz w:val="20"/>
                <w:lang w:val="en-US"/>
              </w:rPr>
            </w:pPr>
            <w:r w:rsidRPr="00921FF3">
              <w:rPr>
                <w:sz w:val="20"/>
                <w:lang w:val="en-US"/>
              </w:rPr>
              <w:t>1.52 (1.23, 1.89), P=0.0001</w:t>
            </w:r>
          </w:p>
        </w:tc>
        <w:tc>
          <w:tcPr>
            <w:tcW w:w="2907" w:type="dxa"/>
            <w:tcBorders>
              <w:bottom w:val="single" w:sz="4" w:space="0" w:color="000000"/>
            </w:tcBorders>
          </w:tcPr>
          <w:p w:rsidR="00D21521" w:rsidRPr="00921FF3" w:rsidRDefault="00D21521" w:rsidP="00002931">
            <w:pPr>
              <w:jc w:val="center"/>
              <w:rPr>
                <w:sz w:val="20"/>
                <w:lang w:val="en-US"/>
              </w:rPr>
            </w:pPr>
            <w:r w:rsidRPr="00921FF3">
              <w:rPr>
                <w:sz w:val="20"/>
                <w:lang w:val="en-US"/>
              </w:rPr>
              <w:t>1.51 (1.19, 1.93), P=0.0008</w:t>
            </w:r>
          </w:p>
        </w:tc>
      </w:tr>
    </w:tbl>
    <w:p w:rsidR="00D21521" w:rsidRPr="00D21521" w:rsidRDefault="00D21521" w:rsidP="00DA0717">
      <w:pPr>
        <w:ind w:left="284"/>
        <w:rPr>
          <w:sz w:val="16"/>
          <w:szCs w:val="16"/>
          <w:lang w:val="en-US"/>
        </w:rPr>
      </w:pPr>
      <w:r w:rsidRPr="00D21521">
        <w:rPr>
          <w:sz w:val="16"/>
          <w:szCs w:val="16"/>
          <w:lang w:val="en-US"/>
        </w:rPr>
        <w:t>CA = continuous abstinence rate; CI = confidence interval; NRT=Nicotine replacement therapy patch</w:t>
      </w:r>
    </w:p>
    <w:p w:rsidR="00D21521" w:rsidRPr="00D21521" w:rsidRDefault="00D21521" w:rsidP="00D21521">
      <w:pPr>
        <w:ind w:left="851"/>
        <w:rPr>
          <w:sz w:val="24"/>
          <w:szCs w:val="24"/>
          <w:lang w:val="en-US"/>
        </w:rPr>
      </w:pPr>
    </w:p>
    <w:p w:rsidR="00D21521" w:rsidRPr="00D21521" w:rsidRDefault="00D21521" w:rsidP="00D21521">
      <w:pPr>
        <w:ind w:left="851"/>
        <w:rPr>
          <w:i/>
          <w:sz w:val="24"/>
          <w:szCs w:val="24"/>
          <w:lang w:val="en-US"/>
        </w:rPr>
      </w:pPr>
      <w:r w:rsidRPr="00D21521">
        <w:rPr>
          <w:i/>
          <w:sz w:val="24"/>
          <w:szCs w:val="24"/>
          <w:lang w:val="en-US"/>
        </w:rPr>
        <w:t>Neuropsychiatric Safety Meta-analyses and Observational Studies</w:t>
      </w:r>
    </w:p>
    <w:p w:rsidR="00D21521" w:rsidRPr="00D21521" w:rsidRDefault="00D21521" w:rsidP="00D21521">
      <w:pPr>
        <w:ind w:left="851"/>
        <w:rPr>
          <w:sz w:val="24"/>
          <w:szCs w:val="24"/>
          <w:lang w:val="en-US"/>
        </w:rPr>
      </w:pPr>
      <w:r w:rsidRPr="00D21521">
        <w:rPr>
          <w:sz w:val="24"/>
          <w:szCs w:val="24"/>
          <w:lang w:val="en-US"/>
        </w:rPr>
        <w:t>Analyses of clinical trial data did not show evidence of an increased risk of serious neuropsychiatric events with varenicline compared to placebo. In addition, independent observational studies have not supported an increased risk of serious neuropsychiatric events in patients treated with varenicline compared to patients prescribed nicotine replacement therapy (NRT) or bupropion.</w:t>
      </w:r>
    </w:p>
    <w:p w:rsidR="00D21521" w:rsidRPr="00D21521" w:rsidRDefault="00D21521" w:rsidP="00D21521">
      <w:pPr>
        <w:ind w:left="851"/>
        <w:rPr>
          <w:sz w:val="24"/>
          <w:szCs w:val="24"/>
          <w:lang w:val="en-US"/>
        </w:rPr>
      </w:pPr>
    </w:p>
    <w:p w:rsidR="00D21521" w:rsidRPr="00D21521" w:rsidRDefault="00D21521" w:rsidP="00D21521">
      <w:pPr>
        <w:ind w:left="851"/>
        <w:rPr>
          <w:i/>
          <w:sz w:val="24"/>
          <w:szCs w:val="24"/>
          <w:lang w:val="en-US"/>
        </w:rPr>
      </w:pPr>
      <w:r w:rsidRPr="00D21521">
        <w:rPr>
          <w:i/>
          <w:sz w:val="24"/>
          <w:szCs w:val="24"/>
          <w:lang w:val="en-US"/>
        </w:rPr>
        <w:t>Treatment discontinuation</w:t>
      </w:r>
    </w:p>
    <w:p w:rsidR="00D21521" w:rsidRPr="00D21521" w:rsidRDefault="00D21521" w:rsidP="00D21521">
      <w:pPr>
        <w:ind w:left="851"/>
        <w:rPr>
          <w:sz w:val="24"/>
          <w:szCs w:val="24"/>
          <w:lang w:val="en-US"/>
        </w:rPr>
      </w:pPr>
      <w:r w:rsidRPr="00D21521">
        <w:rPr>
          <w:sz w:val="24"/>
          <w:szCs w:val="24"/>
          <w:lang w:val="en-US"/>
        </w:rPr>
        <w:t>The treatment discontinuation rate due to adverse reactions was 11.4 % for varenicline compared with 9.7 % for placebo. In this group, the discontinuation rates for the most common adverse reactions in varenicline treated patients were as follows: nausea (2.7 % vs. 0.6 % for placebo), headache (0.6 % vs. 1.0 % for placebo), insomnia (1.3 % vs. 1.2 % for placebo), and abnormal dreams (0.2 % vs. 0.2 % for placebo).</w:t>
      </w:r>
    </w:p>
    <w:p w:rsidR="00D21521" w:rsidRPr="00D21521" w:rsidRDefault="00D21521" w:rsidP="00D21521">
      <w:pPr>
        <w:ind w:left="851"/>
        <w:rPr>
          <w:sz w:val="24"/>
          <w:szCs w:val="24"/>
          <w:lang w:val="en-US"/>
        </w:rPr>
      </w:pPr>
    </w:p>
    <w:p w:rsidR="00D21521" w:rsidRPr="00D21521" w:rsidRDefault="00D21521" w:rsidP="00D21521">
      <w:pPr>
        <w:ind w:left="851"/>
        <w:rPr>
          <w:i/>
          <w:sz w:val="24"/>
          <w:szCs w:val="24"/>
          <w:lang w:val="en-US"/>
        </w:rPr>
      </w:pPr>
      <w:r w:rsidRPr="00D21521">
        <w:rPr>
          <w:i/>
          <w:sz w:val="24"/>
          <w:szCs w:val="24"/>
          <w:lang w:val="en-US"/>
        </w:rPr>
        <w:t>Analyses of Clinical Trials</w:t>
      </w:r>
    </w:p>
    <w:p w:rsidR="00D21521" w:rsidRPr="00D21521" w:rsidRDefault="00D21521" w:rsidP="00D21521">
      <w:pPr>
        <w:ind w:left="851"/>
        <w:rPr>
          <w:sz w:val="24"/>
          <w:szCs w:val="24"/>
          <w:lang w:val="en-US"/>
        </w:rPr>
      </w:pPr>
      <w:r w:rsidRPr="00D21521">
        <w:rPr>
          <w:sz w:val="24"/>
          <w:szCs w:val="24"/>
          <w:lang w:val="en-US"/>
        </w:rPr>
        <w:t xml:space="preserve">A meta-analysis of 5 randomised, double-blind, placebo controlled trials, including 1,907 patients (1,130 varenicline, 777 placebo), was conducted to assess suicidal ideation and behaviour as reported on the Columbia-Suicide Severity Rating Scale (C-SSRS). This meta-analysis included one trial (N=127) in patients with a history of schizophrenia or schizoaffective disorder and another trial (N=525) in patients with a history of depression. The results showed no increase in the incidence of suicidal ideation and/or behaviour in patients treated with varenicline compared to patients treated with placebo, as shown in the table below. Of the 55 patients who reported suicidal ideation or behaviour, 48 (24 </w:t>
      </w:r>
      <w:r w:rsidRPr="00D21521">
        <w:rPr>
          <w:sz w:val="24"/>
          <w:szCs w:val="24"/>
          <w:lang w:val="en-US"/>
        </w:rPr>
        <w:lastRenderedPageBreak/>
        <w:t>varenicline, 24 placebo) were from the two trials that enrolled patients with a history of schizophrenia/ schizoaffective disorder, or of depression. Few patients reported these events in the other three trials (4 varenicline, 3 placebo).</w:t>
      </w:r>
    </w:p>
    <w:p w:rsidR="00D21521" w:rsidRPr="00D21521" w:rsidRDefault="00D21521" w:rsidP="00D21521">
      <w:pPr>
        <w:ind w:left="851"/>
        <w:rPr>
          <w:sz w:val="24"/>
          <w:szCs w:val="24"/>
          <w:lang w:val="en-US"/>
        </w:rPr>
      </w:pPr>
    </w:p>
    <w:p w:rsidR="00D21521" w:rsidRPr="00D21521" w:rsidRDefault="00D21521" w:rsidP="00D21521">
      <w:pPr>
        <w:rPr>
          <w:b/>
          <w:lang w:val="en-US"/>
        </w:rPr>
      </w:pPr>
      <w:r w:rsidRPr="00D21521">
        <w:rPr>
          <w:b/>
          <w:lang w:val="en-US"/>
        </w:rPr>
        <w:t>Number of Patients and Risk Ratio for Suicidal Ideation and/or Behaviour Reported on C-SSRS from a Meta-Analysis of 5 Clinical Trials Comparing Varenicline to Placebo:</w:t>
      </w:r>
    </w:p>
    <w:p w:rsidR="00D21521" w:rsidRPr="00D21521" w:rsidRDefault="00D21521" w:rsidP="00D21521">
      <w:pPr>
        <w:rPr>
          <w:lang w:val="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3"/>
        <w:gridCol w:w="1547"/>
        <w:gridCol w:w="1222"/>
      </w:tblGrid>
      <w:tr w:rsidR="00D21521" w:rsidRPr="00921FF3" w:rsidTr="00002931">
        <w:trPr>
          <w:trHeight w:val="487"/>
          <w:jc w:val="center"/>
        </w:trPr>
        <w:tc>
          <w:tcPr>
            <w:tcW w:w="5915" w:type="dxa"/>
            <w:tcBorders>
              <w:left w:val="single" w:sz="8" w:space="0" w:color="000000"/>
            </w:tcBorders>
          </w:tcPr>
          <w:p w:rsidR="00D21521" w:rsidRPr="00921FF3" w:rsidRDefault="00D21521" w:rsidP="00002931">
            <w:pPr>
              <w:spacing w:before="60" w:after="60"/>
              <w:rPr>
                <w:sz w:val="20"/>
                <w:lang w:val="en-US"/>
              </w:rPr>
            </w:pPr>
          </w:p>
        </w:tc>
        <w:tc>
          <w:tcPr>
            <w:tcW w:w="1452" w:type="dxa"/>
          </w:tcPr>
          <w:p w:rsidR="00D21521" w:rsidRPr="00303937" w:rsidRDefault="00D21521" w:rsidP="00002931">
            <w:pPr>
              <w:spacing w:before="60" w:after="60"/>
              <w:jc w:val="center"/>
              <w:rPr>
                <w:b/>
                <w:sz w:val="20"/>
                <w:lang w:val="en-US"/>
              </w:rPr>
            </w:pPr>
            <w:r w:rsidRPr="00303937">
              <w:rPr>
                <w:b/>
                <w:sz w:val="20"/>
                <w:lang w:val="en-US"/>
              </w:rPr>
              <w:t>Varenicline</w:t>
            </w:r>
          </w:p>
          <w:p w:rsidR="00D21521" w:rsidRPr="00921FF3" w:rsidRDefault="00D21521" w:rsidP="00002931">
            <w:pPr>
              <w:spacing w:before="60" w:after="60"/>
              <w:jc w:val="center"/>
              <w:rPr>
                <w:sz w:val="20"/>
                <w:lang w:val="en-US"/>
              </w:rPr>
            </w:pPr>
            <w:r w:rsidRPr="00921FF3">
              <w:rPr>
                <w:sz w:val="20"/>
                <w:lang w:val="en-US"/>
              </w:rPr>
              <w:t>(N=1,130)</w:t>
            </w:r>
          </w:p>
        </w:tc>
        <w:tc>
          <w:tcPr>
            <w:tcW w:w="1147" w:type="dxa"/>
          </w:tcPr>
          <w:p w:rsidR="00D21521" w:rsidRPr="00303937" w:rsidRDefault="00D21521" w:rsidP="00002931">
            <w:pPr>
              <w:spacing w:before="60" w:after="60"/>
              <w:jc w:val="center"/>
              <w:rPr>
                <w:b/>
                <w:sz w:val="20"/>
                <w:lang w:val="en-US"/>
              </w:rPr>
            </w:pPr>
            <w:r w:rsidRPr="00303937">
              <w:rPr>
                <w:b/>
                <w:sz w:val="20"/>
                <w:lang w:val="en-US"/>
              </w:rPr>
              <w:t>Placebo</w:t>
            </w:r>
          </w:p>
          <w:p w:rsidR="00D21521" w:rsidRPr="00921FF3" w:rsidRDefault="00D21521" w:rsidP="00002931">
            <w:pPr>
              <w:spacing w:before="60" w:after="60"/>
              <w:jc w:val="center"/>
              <w:rPr>
                <w:sz w:val="20"/>
                <w:lang w:val="en-US"/>
              </w:rPr>
            </w:pPr>
            <w:r w:rsidRPr="00921FF3">
              <w:rPr>
                <w:sz w:val="20"/>
                <w:lang w:val="en-US"/>
              </w:rPr>
              <w:t>(N=777)</w:t>
            </w:r>
          </w:p>
        </w:tc>
      </w:tr>
      <w:tr w:rsidR="00D21521" w:rsidRPr="00921FF3" w:rsidTr="00002931">
        <w:trPr>
          <w:trHeight w:val="353"/>
          <w:jc w:val="center"/>
        </w:trPr>
        <w:tc>
          <w:tcPr>
            <w:tcW w:w="5915" w:type="dxa"/>
            <w:tcBorders>
              <w:left w:val="single" w:sz="8" w:space="0" w:color="000000"/>
            </w:tcBorders>
          </w:tcPr>
          <w:p w:rsidR="00D21521" w:rsidRPr="00921FF3" w:rsidRDefault="00D21521" w:rsidP="00002931">
            <w:pPr>
              <w:spacing w:before="60" w:after="60"/>
              <w:rPr>
                <w:sz w:val="20"/>
                <w:lang w:val="en-US"/>
              </w:rPr>
            </w:pPr>
            <w:r w:rsidRPr="00921FF3">
              <w:rPr>
                <w:sz w:val="20"/>
                <w:lang w:val="en-US"/>
              </w:rPr>
              <w:t>Patients with suicidal ideation and/or behavior * [n (%)]</w:t>
            </w:r>
            <w:r>
              <w:rPr>
                <w:sz w:val="20"/>
                <w:lang w:val="en-US"/>
              </w:rPr>
              <w:t> </w:t>
            </w:r>
            <w:r w:rsidRPr="00921FF3">
              <w:rPr>
                <w:sz w:val="20"/>
                <w:lang w:val="en-US"/>
              </w:rPr>
              <w:t>**</w:t>
            </w:r>
          </w:p>
        </w:tc>
        <w:tc>
          <w:tcPr>
            <w:tcW w:w="1452" w:type="dxa"/>
          </w:tcPr>
          <w:p w:rsidR="00D21521" w:rsidRPr="00921FF3" w:rsidRDefault="00D21521" w:rsidP="00002931">
            <w:pPr>
              <w:spacing w:before="60" w:after="60"/>
              <w:jc w:val="center"/>
              <w:rPr>
                <w:sz w:val="20"/>
                <w:lang w:val="en-US"/>
              </w:rPr>
            </w:pPr>
            <w:r w:rsidRPr="00921FF3">
              <w:rPr>
                <w:sz w:val="20"/>
                <w:lang w:val="en-US"/>
              </w:rPr>
              <w:t>28 (2.5)</w:t>
            </w:r>
          </w:p>
        </w:tc>
        <w:tc>
          <w:tcPr>
            <w:tcW w:w="1147" w:type="dxa"/>
          </w:tcPr>
          <w:p w:rsidR="00D21521" w:rsidRPr="00921FF3" w:rsidRDefault="00D21521" w:rsidP="00002931">
            <w:pPr>
              <w:spacing w:before="60" w:after="60"/>
              <w:jc w:val="center"/>
              <w:rPr>
                <w:sz w:val="20"/>
                <w:lang w:val="en-US"/>
              </w:rPr>
            </w:pPr>
            <w:r w:rsidRPr="00921FF3">
              <w:rPr>
                <w:sz w:val="20"/>
                <w:lang w:val="en-US"/>
              </w:rPr>
              <w:t>27 (3.5)</w:t>
            </w:r>
          </w:p>
        </w:tc>
      </w:tr>
      <w:tr w:rsidR="00D21521" w:rsidRPr="00921FF3" w:rsidTr="00002931">
        <w:trPr>
          <w:trHeight w:val="241"/>
          <w:jc w:val="center"/>
        </w:trPr>
        <w:tc>
          <w:tcPr>
            <w:tcW w:w="5915" w:type="dxa"/>
            <w:tcBorders>
              <w:left w:val="single" w:sz="8" w:space="0" w:color="000000"/>
            </w:tcBorders>
          </w:tcPr>
          <w:p w:rsidR="00D21521" w:rsidRPr="00921FF3" w:rsidRDefault="00D21521" w:rsidP="00002931">
            <w:pPr>
              <w:spacing w:before="60" w:after="60"/>
              <w:rPr>
                <w:sz w:val="20"/>
                <w:lang w:val="en-US"/>
              </w:rPr>
            </w:pPr>
            <w:r w:rsidRPr="00921FF3">
              <w:rPr>
                <w:sz w:val="20"/>
                <w:lang w:val="en-US"/>
              </w:rPr>
              <w:t>Patient-years of exposure</w:t>
            </w:r>
          </w:p>
        </w:tc>
        <w:tc>
          <w:tcPr>
            <w:tcW w:w="1452" w:type="dxa"/>
          </w:tcPr>
          <w:p w:rsidR="00D21521" w:rsidRPr="00921FF3" w:rsidRDefault="00D21521" w:rsidP="00002931">
            <w:pPr>
              <w:spacing w:before="60" w:after="60"/>
              <w:jc w:val="center"/>
              <w:rPr>
                <w:sz w:val="20"/>
                <w:lang w:val="en-US"/>
              </w:rPr>
            </w:pPr>
            <w:r w:rsidRPr="00921FF3">
              <w:rPr>
                <w:sz w:val="20"/>
                <w:lang w:val="en-US"/>
              </w:rPr>
              <w:t>325</w:t>
            </w:r>
          </w:p>
        </w:tc>
        <w:tc>
          <w:tcPr>
            <w:tcW w:w="1147" w:type="dxa"/>
          </w:tcPr>
          <w:p w:rsidR="00D21521" w:rsidRPr="00921FF3" w:rsidRDefault="00D21521" w:rsidP="00002931">
            <w:pPr>
              <w:spacing w:before="60" w:after="60"/>
              <w:jc w:val="center"/>
              <w:rPr>
                <w:sz w:val="20"/>
                <w:lang w:val="en-US"/>
              </w:rPr>
            </w:pPr>
            <w:r w:rsidRPr="00921FF3">
              <w:rPr>
                <w:sz w:val="20"/>
                <w:lang w:val="en-US"/>
              </w:rPr>
              <w:t>217</w:t>
            </w:r>
          </w:p>
        </w:tc>
      </w:tr>
      <w:tr w:rsidR="00D21521" w:rsidRPr="00921FF3" w:rsidTr="00002931">
        <w:trPr>
          <w:trHeight w:val="244"/>
          <w:jc w:val="center"/>
        </w:trPr>
        <w:tc>
          <w:tcPr>
            <w:tcW w:w="5915" w:type="dxa"/>
            <w:tcBorders>
              <w:left w:val="single" w:sz="8" w:space="0" w:color="000000"/>
            </w:tcBorders>
          </w:tcPr>
          <w:p w:rsidR="00D21521" w:rsidRPr="00921FF3" w:rsidRDefault="00D21521" w:rsidP="00002931">
            <w:pPr>
              <w:spacing w:before="60" w:after="60"/>
              <w:rPr>
                <w:sz w:val="20"/>
                <w:lang w:val="en-US"/>
              </w:rPr>
            </w:pPr>
            <w:r w:rsidRPr="00921FF3">
              <w:rPr>
                <w:sz w:val="20"/>
                <w:lang w:val="en-US"/>
              </w:rPr>
              <w:t>Risk Ratio </w:t>
            </w:r>
            <w:r w:rsidRPr="00921FF3">
              <w:rPr>
                <w:sz w:val="20"/>
                <w:vertAlign w:val="superscript"/>
                <w:lang w:val="en-US"/>
              </w:rPr>
              <w:t>#</w:t>
            </w:r>
            <w:r w:rsidRPr="00921FF3">
              <w:rPr>
                <w:sz w:val="20"/>
                <w:lang w:val="en-US"/>
              </w:rPr>
              <w:t xml:space="preserve"> (RR; 95 % CI)</w:t>
            </w:r>
          </w:p>
        </w:tc>
        <w:tc>
          <w:tcPr>
            <w:tcW w:w="2599" w:type="dxa"/>
            <w:gridSpan w:val="2"/>
          </w:tcPr>
          <w:p w:rsidR="00D21521" w:rsidRPr="00921FF3" w:rsidRDefault="00D21521" w:rsidP="00002931">
            <w:pPr>
              <w:spacing w:before="60" w:after="60"/>
              <w:jc w:val="center"/>
              <w:rPr>
                <w:sz w:val="20"/>
                <w:lang w:val="en-US"/>
              </w:rPr>
            </w:pPr>
            <w:r w:rsidRPr="00921FF3">
              <w:rPr>
                <w:sz w:val="20"/>
                <w:lang w:val="en-US"/>
              </w:rPr>
              <w:t>0.79 (0.46, 1.36)</w:t>
            </w:r>
          </w:p>
        </w:tc>
      </w:tr>
    </w:tbl>
    <w:p w:rsidR="00D21521" w:rsidRPr="00D21521" w:rsidRDefault="00D21521" w:rsidP="00DA0717">
      <w:pPr>
        <w:tabs>
          <w:tab w:val="left" w:pos="567"/>
        </w:tabs>
        <w:ind w:left="284"/>
        <w:rPr>
          <w:sz w:val="16"/>
          <w:szCs w:val="16"/>
          <w:lang w:val="en-US"/>
        </w:rPr>
      </w:pPr>
      <w:r w:rsidRPr="00D21521">
        <w:rPr>
          <w:sz w:val="16"/>
          <w:szCs w:val="16"/>
          <w:lang w:val="en-US"/>
        </w:rPr>
        <w:t>*</w:t>
      </w:r>
      <w:r w:rsidRPr="00D21521">
        <w:rPr>
          <w:sz w:val="16"/>
          <w:szCs w:val="16"/>
          <w:lang w:val="en-US"/>
        </w:rPr>
        <w:tab/>
        <w:t>Of these, one patient in each treatment arm reported suicidal behaviour</w:t>
      </w:r>
    </w:p>
    <w:p w:rsidR="00D21521" w:rsidRPr="00D21521" w:rsidRDefault="00D21521" w:rsidP="00DA0717">
      <w:pPr>
        <w:tabs>
          <w:tab w:val="left" w:pos="567"/>
        </w:tabs>
        <w:ind w:left="284"/>
        <w:rPr>
          <w:sz w:val="16"/>
          <w:szCs w:val="16"/>
          <w:lang w:val="en-US"/>
        </w:rPr>
      </w:pPr>
      <w:r w:rsidRPr="00D21521">
        <w:rPr>
          <w:sz w:val="16"/>
          <w:szCs w:val="16"/>
          <w:lang w:val="en-US"/>
        </w:rPr>
        <w:t>**</w:t>
      </w:r>
      <w:r w:rsidRPr="00D21521">
        <w:rPr>
          <w:sz w:val="16"/>
          <w:szCs w:val="16"/>
          <w:lang w:val="en-US"/>
        </w:rPr>
        <w:tab/>
        <w:t>Patients with events up to 30 days after treatment; % are not weighted by study</w:t>
      </w:r>
    </w:p>
    <w:p w:rsidR="00D21521" w:rsidRPr="00D21521" w:rsidRDefault="00D21521" w:rsidP="00DA0717">
      <w:pPr>
        <w:tabs>
          <w:tab w:val="left" w:pos="567"/>
        </w:tabs>
        <w:ind w:left="284"/>
        <w:rPr>
          <w:sz w:val="16"/>
          <w:szCs w:val="16"/>
          <w:lang w:val="en-US"/>
        </w:rPr>
      </w:pPr>
      <w:r w:rsidRPr="00D21521">
        <w:rPr>
          <w:sz w:val="16"/>
          <w:szCs w:val="16"/>
          <w:vertAlign w:val="superscript"/>
          <w:lang w:val="en-US"/>
        </w:rPr>
        <w:t>#</w:t>
      </w:r>
      <w:r w:rsidRPr="00D21521">
        <w:rPr>
          <w:sz w:val="16"/>
          <w:szCs w:val="16"/>
          <w:lang w:val="en-US"/>
        </w:rPr>
        <w:tab/>
        <w:t>RR of incidence rates per 100 patient years</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A meta-analysis of 18 double blind, randomised, placebo-controlled clinical trials was conducted to assess the neuropsychiatric safety of varenicline. These trials included the 5 trials described above that used the C-SSRS, and a total of 8,521 patients (5,072 varenicline, 3,449 placebo), some of which had psychiatric conditions. The results showed a similar incidence of combined neuropsychiatric adverse events, other than sleep disorders, in patients treated with varenicline compared to patients treated with placebo, with a risk ratio (RR) of 1.01 (95 % CI: 0.89-1.15). Pooled data from these 18 trials showed a similar incidence rate of individual categories of psychiatric events in patients treated with varenicline compared to patients treated with placebo. The table below describes the most frequently (≥ 1 %) reported categories of adverse events related to psychiatric safety other than sleep disorders and disturbances.</w:t>
      </w:r>
    </w:p>
    <w:p w:rsidR="00D21521" w:rsidRPr="00D21521" w:rsidRDefault="00D21521" w:rsidP="00D21521">
      <w:pPr>
        <w:ind w:left="851"/>
        <w:rPr>
          <w:sz w:val="24"/>
          <w:szCs w:val="24"/>
          <w:lang w:val="en-US"/>
        </w:rPr>
      </w:pPr>
    </w:p>
    <w:p w:rsidR="00D21521" w:rsidRPr="00D21521" w:rsidRDefault="00D21521" w:rsidP="00D21521">
      <w:pPr>
        <w:rPr>
          <w:b/>
          <w:lang w:val="en-US"/>
        </w:rPr>
      </w:pPr>
      <w:r w:rsidRPr="00D21521">
        <w:rPr>
          <w:b/>
          <w:lang w:val="en-US"/>
        </w:rPr>
        <w:t>Psychiatric Adverse Events Occurring in ≥ 1 % of Patients from Pooled Data from 18 Clinical Trials:</w:t>
      </w:r>
    </w:p>
    <w:p w:rsidR="00D21521" w:rsidRPr="00D21521" w:rsidRDefault="00D21521" w:rsidP="00D21521">
      <w:pPr>
        <w:rPr>
          <w:lang w:val="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3"/>
        <w:gridCol w:w="1745"/>
        <w:gridCol w:w="1524"/>
      </w:tblGrid>
      <w:tr w:rsidR="00D21521" w:rsidRPr="00921FF3" w:rsidTr="00002931">
        <w:trPr>
          <w:trHeight w:val="489"/>
          <w:jc w:val="center"/>
        </w:trPr>
        <w:tc>
          <w:tcPr>
            <w:tcW w:w="5446" w:type="dxa"/>
            <w:tcBorders>
              <w:left w:val="single" w:sz="8" w:space="0" w:color="000000"/>
            </w:tcBorders>
          </w:tcPr>
          <w:p w:rsidR="00D21521" w:rsidRPr="00921FF3" w:rsidRDefault="00D21521" w:rsidP="00002931">
            <w:pPr>
              <w:spacing w:before="60" w:after="60"/>
              <w:rPr>
                <w:sz w:val="20"/>
                <w:lang w:val="en-US"/>
              </w:rPr>
            </w:pPr>
          </w:p>
        </w:tc>
        <w:tc>
          <w:tcPr>
            <w:tcW w:w="1638" w:type="dxa"/>
          </w:tcPr>
          <w:p w:rsidR="00D21521" w:rsidRPr="00921FF3" w:rsidRDefault="00D21521" w:rsidP="00002931">
            <w:pPr>
              <w:spacing w:before="60" w:after="60"/>
              <w:jc w:val="center"/>
              <w:rPr>
                <w:sz w:val="20"/>
                <w:lang w:val="en-US"/>
              </w:rPr>
            </w:pPr>
            <w:r w:rsidRPr="00921FF3">
              <w:rPr>
                <w:sz w:val="20"/>
                <w:lang w:val="en-US"/>
              </w:rPr>
              <w:t>Varenicline</w:t>
            </w:r>
          </w:p>
          <w:p w:rsidR="00D21521" w:rsidRPr="00921FF3" w:rsidRDefault="00D21521" w:rsidP="00002931">
            <w:pPr>
              <w:spacing w:before="60" w:after="60"/>
              <w:jc w:val="center"/>
              <w:rPr>
                <w:sz w:val="20"/>
                <w:lang w:val="en-US"/>
              </w:rPr>
            </w:pPr>
            <w:r w:rsidRPr="00921FF3">
              <w:rPr>
                <w:sz w:val="20"/>
                <w:lang w:val="en-US"/>
              </w:rPr>
              <w:t>(N=5</w:t>
            </w:r>
            <w:r>
              <w:rPr>
                <w:sz w:val="20"/>
                <w:lang w:val="en-US"/>
              </w:rPr>
              <w:t>,</w:t>
            </w:r>
            <w:r w:rsidRPr="00921FF3">
              <w:rPr>
                <w:sz w:val="20"/>
                <w:lang w:val="en-US"/>
              </w:rPr>
              <w:t>072)</w:t>
            </w:r>
          </w:p>
        </w:tc>
        <w:tc>
          <w:tcPr>
            <w:tcW w:w="1430" w:type="dxa"/>
          </w:tcPr>
          <w:p w:rsidR="00D21521" w:rsidRPr="00921FF3" w:rsidRDefault="00D21521" w:rsidP="00002931">
            <w:pPr>
              <w:spacing w:before="60" w:after="60"/>
              <w:jc w:val="center"/>
              <w:rPr>
                <w:sz w:val="20"/>
                <w:lang w:val="en-US"/>
              </w:rPr>
            </w:pPr>
            <w:r w:rsidRPr="00921FF3">
              <w:rPr>
                <w:sz w:val="20"/>
                <w:lang w:val="en-US"/>
              </w:rPr>
              <w:t>Placebo</w:t>
            </w:r>
          </w:p>
          <w:p w:rsidR="00D21521" w:rsidRPr="00921FF3" w:rsidRDefault="00D21521" w:rsidP="00002931">
            <w:pPr>
              <w:spacing w:before="60" w:after="60"/>
              <w:jc w:val="center"/>
              <w:rPr>
                <w:sz w:val="20"/>
                <w:lang w:val="en-US"/>
              </w:rPr>
            </w:pPr>
            <w:r w:rsidRPr="00921FF3">
              <w:rPr>
                <w:sz w:val="20"/>
                <w:lang w:val="en-US"/>
              </w:rPr>
              <w:t>(N=3</w:t>
            </w:r>
            <w:r>
              <w:rPr>
                <w:sz w:val="20"/>
                <w:lang w:val="en-US"/>
              </w:rPr>
              <w:t>,</w:t>
            </w:r>
            <w:r w:rsidRPr="00921FF3">
              <w:rPr>
                <w:sz w:val="20"/>
                <w:lang w:val="en-US"/>
              </w:rPr>
              <w:t>449)</w:t>
            </w:r>
          </w:p>
        </w:tc>
      </w:tr>
      <w:tr w:rsidR="00D21521" w:rsidRPr="00921FF3" w:rsidTr="00002931">
        <w:trPr>
          <w:trHeight w:val="241"/>
          <w:jc w:val="center"/>
        </w:trPr>
        <w:tc>
          <w:tcPr>
            <w:tcW w:w="5446" w:type="dxa"/>
            <w:tcBorders>
              <w:left w:val="single" w:sz="8" w:space="0" w:color="000000"/>
            </w:tcBorders>
          </w:tcPr>
          <w:p w:rsidR="00D21521" w:rsidRPr="00921FF3" w:rsidRDefault="00D21521" w:rsidP="00002931">
            <w:pPr>
              <w:spacing w:before="60" w:after="60"/>
              <w:rPr>
                <w:sz w:val="20"/>
                <w:lang w:val="en-US"/>
              </w:rPr>
            </w:pPr>
            <w:r w:rsidRPr="00921FF3">
              <w:rPr>
                <w:sz w:val="20"/>
                <w:lang w:val="en-US"/>
              </w:rPr>
              <w:t>Anxiety disorders and symptoms</w:t>
            </w:r>
          </w:p>
        </w:tc>
        <w:tc>
          <w:tcPr>
            <w:tcW w:w="1638" w:type="dxa"/>
          </w:tcPr>
          <w:p w:rsidR="00D21521" w:rsidRPr="00921FF3" w:rsidRDefault="00D21521" w:rsidP="00002931">
            <w:pPr>
              <w:spacing w:before="60" w:after="60"/>
              <w:jc w:val="center"/>
              <w:rPr>
                <w:sz w:val="20"/>
                <w:lang w:val="en-US"/>
              </w:rPr>
            </w:pPr>
            <w:r w:rsidRPr="00921FF3">
              <w:rPr>
                <w:sz w:val="20"/>
                <w:lang w:val="en-US"/>
              </w:rPr>
              <w:t>253 (5.0)</w:t>
            </w:r>
          </w:p>
        </w:tc>
        <w:tc>
          <w:tcPr>
            <w:tcW w:w="1430" w:type="dxa"/>
          </w:tcPr>
          <w:p w:rsidR="00D21521" w:rsidRPr="00921FF3" w:rsidRDefault="00D21521" w:rsidP="00002931">
            <w:pPr>
              <w:spacing w:before="60" w:after="60"/>
              <w:jc w:val="center"/>
              <w:rPr>
                <w:sz w:val="20"/>
                <w:lang w:val="en-US"/>
              </w:rPr>
            </w:pPr>
            <w:r w:rsidRPr="00921FF3">
              <w:rPr>
                <w:sz w:val="20"/>
                <w:lang w:val="en-US"/>
              </w:rPr>
              <w:t>206 (6.0)</w:t>
            </w:r>
          </w:p>
        </w:tc>
      </w:tr>
      <w:tr w:rsidR="00D21521" w:rsidRPr="00921FF3" w:rsidTr="00002931">
        <w:trPr>
          <w:trHeight w:val="244"/>
          <w:jc w:val="center"/>
        </w:trPr>
        <w:tc>
          <w:tcPr>
            <w:tcW w:w="5446" w:type="dxa"/>
            <w:tcBorders>
              <w:left w:val="single" w:sz="8" w:space="0" w:color="000000"/>
            </w:tcBorders>
          </w:tcPr>
          <w:p w:rsidR="00D21521" w:rsidRPr="00921FF3" w:rsidRDefault="00D21521" w:rsidP="00002931">
            <w:pPr>
              <w:spacing w:before="60" w:after="60"/>
              <w:rPr>
                <w:sz w:val="20"/>
                <w:lang w:val="en-US"/>
              </w:rPr>
            </w:pPr>
            <w:r w:rsidRPr="00921FF3">
              <w:rPr>
                <w:sz w:val="20"/>
                <w:lang w:val="en-US"/>
              </w:rPr>
              <w:t>Depressed mood disorders and disturbances</w:t>
            </w:r>
          </w:p>
        </w:tc>
        <w:tc>
          <w:tcPr>
            <w:tcW w:w="1638" w:type="dxa"/>
          </w:tcPr>
          <w:p w:rsidR="00D21521" w:rsidRPr="00921FF3" w:rsidRDefault="00D21521" w:rsidP="00002931">
            <w:pPr>
              <w:spacing w:before="60" w:after="60"/>
              <w:jc w:val="center"/>
              <w:rPr>
                <w:sz w:val="20"/>
                <w:lang w:val="en-US"/>
              </w:rPr>
            </w:pPr>
            <w:r w:rsidRPr="00921FF3">
              <w:rPr>
                <w:sz w:val="20"/>
                <w:lang w:val="en-US"/>
              </w:rPr>
              <w:t>179 (3.5)</w:t>
            </w:r>
          </w:p>
        </w:tc>
        <w:tc>
          <w:tcPr>
            <w:tcW w:w="1430" w:type="dxa"/>
          </w:tcPr>
          <w:p w:rsidR="00D21521" w:rsidRPr="00921FF3" w:rsidRDefault="00D21521" w:rsidP="00002931">
            <w:pPr>
              <w:spacing w:before="60" w:after="60"/>
              <w:jc w:val="center"/>
              <w:rPr>
                <w:sz w:val="20"/>
                <w:lang w:val="en-US"/>
              </w:rPr>
            </w:pPr>
            <w:r w:rsidRPr="00921FF3">
              <w:rPr>
                <w:sz w:val="20"/>
                <w:lang w:val="en-US"/>
              </w:rPr>
              <w:t>108 (3.1)</w:t>
            </w:r>
          </w:p>
        </w:tc>
      </w:tr>
      <w:tr w:rsidR="00D21521" w:rsidRPr="00921FF3" w:rsidTr="00002931">
        <w:trPr>
          <w:trHeight w:val="243"/>
          <w:jc w:val="center"/>
        </w:trPr>
        <w:tc>
          <w:tcPr>
            <w:tcW w:w="5446" w:type="dxa"/>
            <w:tcBorders>
              <w:left w:val="single" w:sz="8" w:space="0" w:color="000000"/>
            </w:tcBorders>
          </w:tcPr>
          <w:p w:rsidR="00D21521" w:rsidRPr="00921FF3" w:rsidRDefault="00D21521" w:rsidP="00002931">
            <w:pPr>
              <w:spacing w:before="60" w:after="60"/>
              <w:rPr>
                <w:sz w:val="20"/>
                <w:lang w:val="en-US"/>
              </w:rPr>
            </w:pPr>
            <w:r w:rsidRPr="00921FF3">
              <w:rPr>
                <w:sz w:val="20"/>
                <w:lang w:val="en-US"/>
              </w:rPr>
              <w:t>Mood disorders and disturbances NEC</w:t>
            </w:r>
            <w:r>
              <w:rPr>
                <w:sz w:val="20"/>
                <w:lang w:val="en-US"/>
              </w:rPr>
              <w:t> </w:t>
            </w:r>
            <w:r w:rsidRPr="00921FF3">
              <w:rPr>
                <w:sz w:val="20"/>
                <w:lang w:val="en-US"/>
              </w:rPr>
              <w:t>*</w:t>
            </w:r>
          </w:p>
        </w:tc>
        <w:tc>
          <w:tcPr>
            <w:tcW w:w="1638" w:type="dxa"/>
          </w:tcPr>
          <w:p w:rsidR="00D21521" w:rsidRPr="00921FF3" w:rsidRDefault="00D21521" w:rsidP="00002931">
            <w:pPr>
              <w:spacing w:before="60" w:after="60"/>
              <w:jc w:val="center"/>
              <w:rPr>
                <w:sz w:val="20"/>
                <w:lang w:val="en-US"/>
              </w:rPr>
            </w:pPr>
            <w:r w:rsidRPr="00921FF3">
              <w:rPr>
                <w:sz w:val="20"/>
                <w:lang w:val="en-US"/>
              </w:rPr>
              <w:t>116 (2.3)</w:t>
            </w:r>
          </w:p>
        </w:tc>
        <w:tc>
          <w:tcPr>
            <w:tcW w:w="1430" w:type="dxa"/>
          </w:tcPr>
          <w:p w:rsidR="00D21521" w:rsidRPr="00921FF3" w:rsidRDefault="00D21521" w:rsidP="00002931">
            <w:pPr>
              <w:spacing w:before="60" w:after="60"/>
              <w:jc w:val="center"/>
              <w:rPr>
                <w:sz w:val="20"/>
                <w:lang w:val="en-US"/>
              </w:rPr>
            </w:pPr>
            <w:r w:rsidRPr="00921FF3">
              <w:rPr>
                <w:sz w:val="20"/>
                <w:lang w:val="en-US"/>
              </w:rPr>
              <w:t>53 (1.5)</w:t>
            </w:r>
          </w:p>
        </w:tc>
      </w:tr>
    </w:tbl>
    <w:p w:rsidR="00D21521" w:rsidRPr="00921FF3" w:rsidRDefault="00D21521" w:rsidP="00DA0717">
      <w:pPr>
        <w:ind w:left="284"/>
        <w:rPr>
          <w:sz w:val="16"/>
          <w:szCs w:val="16"/>
        </w:rPr>
      </w:pPr>
      <w:r w:rsidRPr="00921FF3">
        <w:rPr>
          <w:sz w:val="16"/>
          <w:szCs w:val="16"/>
        </w:rPr>
        <w:t>*</w:t>
      </w:r>
      <w:r w:rsidR="00DA0717">
        <w:rPr>
          <w:sz w:val="16"/>
          <w:szCs w:val="16"/>
        </w:rPr>
        <w:t xml:space="preserve"> </w:t>
      </w:r>
      <w:r w:rsidRPr="00921FF3">
        <w:rPr>
          <w:sz w:val="16"/>
          <w:szCs w:val="16"/>
        </w:rPr>
        <w:t>NEC = Not Elsewhere Classified</w:t>
      </w:r>
    </w:p>
    <w:p w:rsidR="00D21521" w:rsidRPr="00D21521" w:rsidRDefault="00D21521" w:rsidP="00DA0717">
      <w:pPr>
        <w:ind w:left="284"/>
        <w:rPr>
          <w:sz w:val="16"/>
          <w:szCs w:val="16"/>
          <w:lang w:val="en-US"/>
        </w:rPr>
      </w:pPr>
      <w:r w:rsidRPr="00D21521">
        <w:rPr>
          <w:sz w:val="16"/>
          <w:szCs w:val="16"/>
          <w:lang w:val="en-US"/>
        </w:rPr>
        <w:t>Counts (percentages) corresponds to the number of patients reporting the event</w:t>
      </w:r>
    </w:p>
    <w:p w:rsidR="00D21521" w:rsidRPr="00D21521" w:rsidRDefault="00D21521" w:rsidP="00D21521">
      <w:pPr>
        <w:ind w:left="851"/>
        <w:rPr>
          <w:sz w:val="24"/>
          <w:szCs w:val="24"/>
          <w:lang w:val="en-US"/>
        </w:rPr>
      </w:pPr>
    </w:p>
    <w:p w:rsidR="00D21521" w:rsidRPr="00D21521" w:rsidRDefault="00D21521" w:rsidP="00D21521">
      <w:pPr>
        <w:ind w:left="851"/>
        <w:rPr>
          <w:i/>
          <w:sz w:val="24"/>
          <w:szCs w:val="24"/>
          <w:lang w:val="en-US"/>
        </w:rPr>
      </w:pPr>
      <w:r w:rsidRPr="00D21521">
        <w:rPr>
          <w:i/>
          <w:sz w:val="24"/>
          <w:szCs w:val="24"/>
          <w:lang w:val="en-US"/>
        </w:rPr>
        <w:t>Observational Studies</w:t>
      </w:r>
    </w:p>
    <w:p w:rsidR="00D21521" w:rsidRPr="00D21521" w:rsidRDefault="00D21521" w:rsidP="00D21521">
      <w:pPr>
        <w:ind w:left="851"/>
        <w:rPr>
          <w:sz w:val="24"/>
          <w:szCs w:val="24"/>
          <w:lang w:val="en-US"/>
        </w:rPr>
      </w:pPr>
      <w:r w:rsidRPr="00D21521">
        <w:rPr>
          <w:sz w:val="24"/>
          <w:szCs w:val="24"/>
          <w:lang w:val="en-US"/>
        </w:rPr>
        <w:t>Four observational studies, each including 10,000 to 30,000 users of varenicline in the adjusted analyses, compared the risk of serious neuropsychiatric events, including neuropsychiatric hospitalizations and fatal and non-fatal self-harm, in patients treated with varenicline versus patients prescribed NRT or bupropion. All studies were retrospective cohort studies and included patients with and without a psychiatric history. All studies used statistical methods to control for confounding factors, including preferential prescribing of varenicline to healthier patients, although there is the possibility of residual confounding.</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 xml:space="preserve">Two of the studies found no difference in risk of neuropsychiatric hospitalisations between varenicline users and nicotine patch users (Hazard Ratio [HR] 1.14; 95 % Confidence </w:t>
      </w:r>
      <w:r w:rsidRPr="00D21521">
        <w:rPr>
          <w:sz w:val="24"/>
          <w:szCs w:val="24"/>
          <w:lang w:val="en-US"/>
        </w:rPr>
        <w:lastRenderedPageBreak/>
        <w:t>Interval [CI]: 0.56–2.34 in the first study, and 0.76; 95 % CI: 0.40-1.46 in the second study). The power to detect differences in these two studies was limited. The third study reported no difference in risk of psychiatric adverse events diagnosed during an emergency department visit or inpatient admission between varenicline users and bupropion users (HR 0.85; 95 % CI: 0.55-1.30). Based on post marketing reports, bupropion may be associated with neuropsychiatric adverse events.</w:t>
      </w:r>
    </w:p>
    <w:p w:rsidR="00D21521" w:rsidRPr="00D21521" w:rsidRDefault="00D21521" w:rsidP="00D21521">
      <w:pPr>
        <w:ind w:left="851"/>
        <w:rPr>
          <w:sz w:val="24"/>
          <w:szCs w:val="24"/>
          <w:lang w:val="en-US"/>
        </w:rPr>
      </w:pPr>
    </w:p>
    <w:p w:rsidR="00D21521" w:rsidRPr="00D21521" w:rsidRDefault="00D21521" w:rsidP="00D21521">
      <w:pPr>
        <w:ind w:left="851"/>
        <w:rPr>
          <w:sz w:val="24"/>
          <w:szCs w:val="24"/>
          <w:lang w:val="en-US"/>
        </w:rPr>
      </w:pPr>
      <w:r w:rsidRPr="00D21521">
        <w:rPr>
          <w:sz w:val="24"/>
          <w:szCs w:val="24"/>
          <w:lang w:val="en-US"/>
        </w:rPr>
        <w:t>The fourth study showed no evidence of a higher risk of fatal and non-fatal self- harm (HR of 0.88; 95 % CI: 0.52-1.49) in patients prescribed varenicline compared to patients prescribed NRT. The occurrence of detected suicide was rare during the three months after patients initiated any drug treatment (two cases in 31,260 varenicline users and six cases in 81,545 NRT users).</w:t>
      </w:r>
    </w:p>
    <w:p w:rsidR="00D21521" w:rsidRPr="00D21521" w:rsidRDefault="00D21521" w:rsidP="00D21521">
      <w:pPr>
        <w:ind w:left="851"/>
        <w:rPr>
          <w:sz w:val="24"/>
          <w:szCs w:val="24"/>
          <w:lang w:val="en-US"/>
        </w:rPr>
      </w:pPr>
    </w:p>
    <w:p w:rsidR="00D21521" w:rsidRPr="00D21521" w:rsidRDefault="00D21521" w:rsidP="00D21521">
      <w:pPr>
        <w:ind w:left="851"/>
        <w:rPr>
          <w:i/>
          <w:sz w:val="24"/>
          <w:szCs w:val="24"/>
          <w:lang w:val="en-US"/>
        </w:rPr>
      </w:pPr>
      <w:r w:rsidRPr="00D21521">
        <w:rPr>
          <w:i/>
          <w:sz w:val="24"/>
          <w:szCs w:val="24"/>
          <w:lang w:val="en-US"/>
        </w:rPr>
        <w:t>Pregnancy Cohort Study</w:t>
      </w:r>
    </w:p>
    <w:p w:rsidR="00D21521" w:rsidRPr="00D21521" w:rsidRDefault="00D21521" w:rsidP="00D21521">
      <w:pPr>
        <w:ind w:left="851"/>
        <w:rPr>
          <w:sz w:val="24"/>
          <w:szCs w:val="24"/>
          <w:lang w:val="en-US"/>
        </w:rPr>
      </w:pPr>
      <w:r w:rsidRPr="00D21521">
        <w:rPr>
          <w:sz w:val="24"/>
          <w:szCs w:val="24"/>
          <w:lang w:val="en-US"/>
        </w:rPr>
        <w:t>A population-based cohort study compared infants exposed to varenicline in utero (N=335) with infants born to mothers who smoked during pregnancy (N=78,412) and infants born to non-smoking mothers (N=806,438). In this study, infants exposed to varenicline in utero as compared to infants born to mothers who smoked during pregnancy had lower rates of congenital malformations (3.6 % vs 4.3 %), stillbirth (0.3 % vs 0.5 %), preterm birth (7.5 % vs 7.9 %), small for gestational age (12.5 % vs 17.1 %), and premature rupture of membrane (3.6 % vs 5.4 %).</w:t>
      </w:r>
    </w:p>
    <w:p w:rsidR="00D21521" w:rsidRPr="00D21521" w:rsidRDefault="00D21521" w:rsidP="00D21521">
      <w:pPr>
        <w:ind w:left="851"/>
        <w:rPr>
          <w:sz w:val="24"/>
          <w:szCs w:val="24"/>
          <w:lang w:val="en-US"/>
        </w:rPr>
      </w:pPr>
    </w:p>
    <w:p w:rsidR="00D21521" w:rsidRPr="00D21521" w:rsidRDefault="00D21521" w:rsidP="00D21521">
      <w:pPr>
        <w:ind w:left="851"/>
        <w:rPr>
          <w:i/>
          <w:sz w:val="24"/>
          <w:szCs w:val="24"/>
          <w:lang w:val="en-US"/>
        </w:rPr>
      </w:pPr>
      <w:r w:rsidRPr="00D21521">
        <w:rPr>
          <w:i/>
          <w:sz w:val="24"/>
          <w:szCs w:val="24"/>
          <w:lang w:val="en-US"/>
        </w:rPr>
        <w:t>Paediatric Population</w:t>
      </w:r>
    </w:p>
    <w:p w:rsidR="00D21521" w:rsidRPr="00D21521" w:rsidRDefault="00D21521" w:rsidP="00D21521">
      <w:pPr>
        <w:ind w:left="851"/>
        <w:rPr>
          <w:sz w:val="24"/>
          <w:szCs w:val="24"/>
          <w:lang w:val="en-US"/>
        </w:rPr>
      </w:pPr>
      <w:r w:rsidRPr="00D21521">
        <w:rPr>
          <w:sz w:val="24"/>
          <w:szCs w:val="24"/>
          <w:lang w:val="en-US"/>
        </w:rPr>
        <w:t>The efficacy and safety of varenicline was evaluated in a randomised, double-blind, placebo-controlled study of 312 patients aged 12 to 19 years, who smoked an average of at least 5 cigarettes per day during the 30 days prior to recruitment, and had a score of at least 4 on the Fagerstrom Test for Nicotine Dependence scale. Patients were stratified by age (12-16 years of age and 17-19 years of age) and by body weight (≤ 55 kg and &gt; 55 kg). Following two-week titration, patients randomised to varenicline with a body weight &gt; 55 kg received 1 mg twice daily (high dose group) or 0.5 mg twice daily (low dose group), while patients with a body weight ≤ 55 kg received 0.5 mg twice daily (high dose group) or 0.5 mg once daily (low dose group). Patients received treatment for 12 weeks, followed by a non-treatment period of 40 weeks, along with age-appropriate counselling throughout the study.</w:t>
      </w:r>
    </w:p>
    <w:p w:rsidR="00D21521" w:rsidRPr="00D21521" w:rsidRDefault="00D21521" w:rsidP="00D21521">
      <w:pPr>
        <w:ind w:left="851"/>
        <w:rPr>
          <w:sz w:val="24"/>
          <w:szCs w:val="24"/>
          <w:lang w:val="en-US"/>
        </w:rPr>
      </w:pPr>
    </w:p>
    <w:p w:rsidR="00D21521" w:rsidRPr="00D21521" w:rsidRDefault="00D21521" w:rsidP="00D21521">
      <w:pPr>
        <w:rPr>
          <w:lang w:val="en-US"/>
        </w:rPr>
      </w:pPr>
      <w:r w:rsidRPr="00D21521">
        <w:rPr>
          <w:lang w:val="en-US"/>
        </w:rPr>
        <w:t>The following table from the above paediatric study shows a comparison of continuous abstinence rates (CAR) from weeks 9-12, confirmed by urine cotinine test, for the full analysis set overall study population and the 12-17 year old population.</w:t>
      </w:r>
    </w:p>
    <w:p w:rsidR="00D21521" w:rsidRPr="00D21521" w:rsidRDefault="00D21521" w:rsidP="00D21521">
      <w:pPr>
        <w:rPr>
          <w:lang w:val="en-US"/>
        </w:rPr>
      </w:pPr>
    </w:p>
    <w:tbl>
      <w:tblPr>
        <w:tblW w:w="9072" w:type="dxa"/>
        <w:jc w:val="center"/>
        <w:tblLayout w:type="fixed"/>
        <w:tblLook w:val="01E0" w:firstRow="1" w:lastRow="1" w:firstColumn="1" w:lastColumn="1" w:noHBand="0" w:noVBand="0"/>
      </w:tblPr>
      <w:tblGrid>
        <w:gridCol w:w="3245"/>
        <w:gridCol w:w="3228"/>
        <w:gridCol w:w="2599"/>
      </w:tblGrid>
      <w:tr w:rsidR="00D21521" w:rsidRPr="00795FCE" w:rsidTr="00002931">
        <w:trPr>
          <w:trHeight w:val="474"/>
          <w:jc w:val="center"/>
        </w:trPr>
        <w:tc>
          <w:tcPr>
            <w:tcW w:w="3245" w:type="dxa"/>
            <w:tcBorders>
              <w:top w:val="single" w:sz="4" w:space="0" w:color="000000"/>
              <w:bottom w:val="single" w:sz="4" w:space="0" w:color="000000"/>
            </w:tcBorders>
          </w:tcPr>
          <w:p w:rsidR="00D21521" w:rsidRPr="00303937" w:rsidRDefault="00D21521" w:rsidP="00002931">
            <w:pPr>
              <w:spacing w:before="60" w:after="60"/>
              <w:rPr>
                <w:b/>
                <w:sz w:val="20"/>
                <w:lang w:val="en-US"/>
              </w:rPr>
            </w:pPr>
            <w:r w:rsidRPr="00303937">
              <w:rPr>
                <w:b/>
                <w:sz w:val="20"/>
                <w:lang w:val="en-US"/>
              </w:rPr>
              <w:t>CAR 9-12 (%)</w:t>
            </w:r>
          </w:p>
        </w:tc>
        <w:tc>
          <w:tcPr>
            <w:tcW w:w="3228" w:type="dxa"/>
            <w:tcBorders>
              <w:top w:val="single" w:sz="4" w:space="0" w:color="000000"/>
              <w:bottom w:val="single" w:sz="4" w:space="0" w:color="000000"/>
              <w:right w:val="single" w:sz="4" w:space="0" w:color="000000"/>
            </w:tcBorders>
          </w:tcPr>
          <w:p w:rsidR="00D21521" w:rsidRPr="00303937" w:rsidRDefault="00D21521" w:rsidP="00002931">
            <w:pPr>
              <w:spacing w:before="60" w:after="60"/>
              <w:jc w:val="center"/>
              <w:rPr>
                <w:b/>
                <w:sz w:val="20"/>
                <w:lang w:val="en-US"/>
              </w:rPr>
            </w:pPr>
            <w:r w:rsidRPr="00303937">
              <w:rPr>
                <w:b/>
                <w:sz w:val="20"/>
                <w:lang w:val="en-US"/>
              </w:rPr>
              <w:t>Overall</w:t>
            </w:r>
          </w:p>
          <w:p w:rsidR="00D21521" w:rsidRPr="005903E8" w:rsidRDefault="00D21521" w:rsidP="00002931">
            <w:pPr>
              <w:spacing w:before="60" w:after="60"/>
              <w:jc w:val="center"/>
              <w:rPr>
                <w:sz w:val="20"/>
                <w:lang w:val="en-US"/>
              </w:rPr>
            </w:pPr>
            <w:r w:rsidRPr="00303937">
              <w:rPr>
                <w:b/>
                <w:sz w:val="20"/>
                <w:lang w:val="en-US"/>
              </w:rPr>
              <w:t>n/N (%)</w:t>
            </w:r>
          </w:p>
        </w:tc>
        <w:tc>
          <w:tcPr>
            <w:tcW w:w="2599" w:type="dxa"/>
            <w:tcBorders>
              <w:top w:val="single" w:sz="4" w:space="0" w:color="000000"/>
              <w:left w:val="single" w:sz="4" w:space="0" w:color="000000"/>
              <w:bottom w:val="single" w:sz="4" w:space="0" w:color="000000"/>
            </w:tcBorders>
          </w:tcPr>
          <w:p w:rsidR="00D21521" w:rsidRPr="00303937" w:rsidRDefault="00D21521" w:rsidP="00002931">
            <w:pPr>
              <w:spacing w:before="60" w:after="60"/>
              <w:jc w:val="center"/>
              <w:rPr>
                <w:b/>
                <w:sz w:val="20"/>
                <w:lang w:val="en-US"/>
              </w:rPr>
            </w:pPr>
            <w:r w:rsidRPr="00303937">
              <w:rPr>
                <w:b/>
                <w:sz w:val="20"/>
                <w:lang w:val="en-US"/>
              </w:rPr>
              <w:t>12-to-17-Year Olds</w:t>
            </w:r>
          </w:p>
          <w:p w:rsidR="00D21521" w:rsidRPr="005903E8" w:rsidRDefault="00D21521" w:rsidP="00002931">
            <w:pPr>
              <w:spacing w:before="60" w:after="60"/>
              <w:jc w:val="center"/>
              <w:rPr>
                <w:sz w:val="20"/>
                <w:lang w:val="en-US"/>
              </w:rPr>
            </w:pPr>
            <w:r w:rsidRPr="00303937">
              <w:rPr>
                <w:b/>
                <w:sz w:val="20"/>
                <w:lang w:val="en-US"/>
              </w:rPr>
              <w:t>n/N (%)</w:t>
            </w:r>
          </w:p>
        </w:tc>
      </w:tr>
      <w:tr w:rsidR="00D21521" w:rsidRPr="005903E8" w:rsidTr="00002931">
        <w:trPr>
          <w:trHeight w:val="238"/>
          <w:jc w:val="center"/>
        </w:trPr>
        <w:tc>
          <w:tcPr>
            <w:tcW w:w="3245" w:type="dxa"/>
            <w:tcBorders>
              <w:top w:val="single" w:sz="4" w:space="0" w:color="000000"/>
            </w:tcBorders>
          </w:tcPr>
          <w:p w:rsidR="00D21521" w:rsidRPr="005903E8" w:rsidRDefault="00D21521" w:rsidP="00002931">
            <w:pPr>
              <w:spacing w:before="60" w:after="60"/>
              <w:rPr>
                <w:sz w:val="20"/>
                <w:lang w:val="en-US"/>
              </w:rPr>
            </w:pPr>
            <w:r w:rsidRPr="005903E8">
              <w:rPr>
                <w:sz w:val="20"/>
                <w:lang w:val="en-US"/>
              </w:rPr>
              <w:t>High-Dose Varenicline</w:t>
            </w:r>
          </w:p>
        </w:tc>
        <w:tc>
          <w:tcPr>
            <w:tcW w:w="3228" w:type="dxa"/>
            <w:tcBorders>
              <w:top w:val="single" w:sz="4" w:space="0" w:color="000000"/>
              <w:right w:val="single" w:sz="4" w:space="0" w:color="000000"/>
            </w:tcBorders>
          </w:tcPr>
          <w:p w:rsidR="00D21521" w:rsidRPr="005903E8" w:rsidRDefault="00D21521" w:rsidP="00002931">
            <w:pPr>
              <w:spacing w:before="60" w:after="60"/>
              <w:jc w:val="center"/>
              <w:rPr>
                <w:sz w:val="20"/>
                <w:lang w:val="en-US"/>
              </w:rPr>
            </w:pPr>
            <w:r w:rsidRPr="005903E8">
              <w:rPr>
                <w:sz w:val="20"/>
                <w:lang w:val="en-US"/>
              </w:rPr>
              <w:t>22/109 (20.2</w:t>
            </w:r>
            <w:r>
              <w:rPr>
                <w:sz w:val="20"/>
                <w:lang w:val="en-US"/>
              </w:rPr>
              <w:t> </w:t>
            </w:r>
            <w:r w:rsidRPr="005903E8">
              <w:rPr>
                <w:sz w:val="20"/>
                <w:lang w:val="en-US"/>
              </w:rPr>
              <w:t>%)</w:t>
            </w:r>
          </w:p>
        </w:tc>
        <w:tc>
          <w:tcPr>
            <w:tcW w:w="2599" w:type="dxa"/>
            <w:tcBorders>
              <w:top w:val="single" w:sz="4" w:space="0" w:color="000000"/>
              <w:left w:val="single" w:sz="4" w:space="0" w:color="000000"/>
            </w:tcBorders>
          </w:tcPr>
          <w:p w:rsidR="00D21521" w:rsidRPr="005903E8" w:rsidRDefault="00D21521" w:rsidP="00002931">
            <w:pPr>
              <w:spacing w:before="60" w:after="60"/>
              <w:jc w:val="center"/>
              <w:rPr>
                <w:sz w:val="20"/>
                <w:lang w:val="en-US"/>
              </w:rPr>
            </w:pPr>
            <w:r w:rsidRPr="005903E8">
              <w:rPr>
                <w:sz w:val="20"/>
                <w:lang w:val="en-US"/>
              </w:rPr>
              <w:t>15/80 (18.8</w:t>
            </w:r>
            <w:r>
              <w:rPr>
                <w:sz w:val="20"/>
                <w:lang w:val="en-US"/>
              </w:rPr>
              <w:t> </w:t>
            </w:r>
            <w:r w:rsidRPr="005903E8">
              <w:rPr>
                <w:sz w:val="20"/>
                <w:lang w:val="en-US"/>
              </w:rPr>
              <w:t>%)</w:t>
            </w:r>
          </w:p>
        </w:tc>
      </w:tr>
      <w:tr w:rsidR="00D21521" w:rsidRPr="005903E8" w:rsidTr="00002931">
        <w:trPr>
          <w:trHeight w:val="237"/>
          <w:jc w:val="center"/>
        </w:trPr>
        <w:tc>
          <w:tcPr>
            <w:tcW w:w="3245" w:type="dxa"/>
          </w:tcPr>
          <w:p w:rsidR="00D21521" w:rsidRPr="005903E8" w:rsidRDefault="00D21521" w:rsidP="00002931">
            <w:pPr>
              <w:spacing w:before="60" w:after="60"/>
              <w:rPr>
                <w:sz w:val="20"/>
                <w:lang w:val="en-US"/>
              </w:rPr>
            </w:pPr>
            <w:r w:rsidRPr="005903E8">
              <w:rPr>
                <w:sz w:val="20"/>
                <w:lang w:val="en-US"/>
              </w:rPr>
              <w:t>Low-Dose Varenicline</w:t>
            </w:r>
          </w:p>
        </w:tc>
        <w:tc>
          <w:tcPr>
            <w:tcW w:w="3228" w:type="dxa"/>
            <w:tcBorders>
              <w:right w:val="single" w:sz="4" w:space="0" w:color="000000"/>
            </w:tcBorders>
          </w:tcPr>
          <w:p w:rsidR="00D21521" w:rsidRPr="005903E8" w:rsidRDefault="00D21521" w:rsidP="00002931">
            <w:pPr>
              <w:spacing w:before="60" w:after="60"/>
              <w:jc w:val="center"/>
              <w:rPr>
                <w:sz w:val="20"/>
                <w:lang w:val="en-US"/>
              </w:rPr>
            </w:pPr>
            <w:r w:rsidRPr="005903E8">
              <w:rPr>
                <w:sz w:val="20"/>
                <w:lang w:val="en-US"/>
              </w:rPr>
              <w:t>28/103 (27.2</w:t>
            </w:r>
            <w:r>
              <w:rPr>
                <w:sz w:val="20"/>
                <w:lang w:val="en-US"/>
              </w:rPr>
              <w:t> </w:t>
            </w:r>
            <w:r w:rsidRPr="005903E8">
              <w:rPr>
                <w:sz w:val="20"/>
                <w:lang w:val="en-US"/>
              </w:rPr>
              <w:t>%)</w:t>
            </w:r>
          </w:p>
        </w:tc>
        <w:tc>
          <w:tcPr>
            <w:tcW w:w="2599" w:type="dxa"/>
            <w:tcBorders>
              <w:left w:val="single" w:sz="4" w:space="0" w:color="000000"/>
            </w:tcBorders>
          </w:tcPr>
          <w:p w:rsidR="00D21521" w:rsidRPr="005903E8" w:rsidRDefault="00D21521" w:rsidP="00002931">
            <w:pPr>
              <w:spacing w:before="60" w:after="60"/>
              <w:jc w:val="center"/>
              <w:rPr>
                <w:sz w:val="20"/>
                <w:lang w:val="en-US"/>
              </w:rPr>
            </w:pPr>
            <w:r w:rsidRPr="005903E8">
              <w:rPr>
                <w:sz w:val="20"/>
                <w:lang w:val="en-US"/>
              </w:rPr>
              <w:t>25/78 (32.1</w:t>
            </w:r>
            <w:r>
              <w:rPr>
                <w:sz w:val="20"/>
                <w:lang w:val="en-US"/>
              </w:rPr>
              <w:t> </w:t>
            </w:r>
            <w:r w:rsidRPr="005903E8">
              <w:rPr>
                <w:sz w:val="20"/>
                <w:lang w:val="en-US"/>
              </w:rPr>
              <w:t>%)</w:t>
            </w:r>
          </w:p>
        </w:tc>
      </w:tr>
      <w:tr w:rsidR="00D21521" w:rsidRPr="005903E8" w:rsidTr="00002931">
        <w:trPr>
          <w:trHeight w:val="236"/>
          <w:jc w:val="center"/>
        </w:trPr>
        <w:tc>
          <w:tcPr>
            <w:tcW w:w="3245" w:type="dxa"/>
            <w:tcBorders>
              <w:bottom w:val="single" w:sz="4" w:space="0" w:color="auto"/>
            </w:tcBorders>
          </w:tcPr>
          <w:p w:rsidR="00D21521" w:rsidRPr="005903E8" w:rsidRDefault="00D21521" w:rsidP="00002931">
            <w:pPr>
              <w:spacing w:before="60" w:after="60"/>
              <w:rPr>
                <w:sz w:val="20"/>
                <w:lang w:val="en-US"/>
              </w:rPr>
            </w:pPr>
            <w:r w:rsidRPr="005903E8">
              <w:rPr>
                <w:sz w:val="20"/>
                <w:lang w:val="en-US"/>
              </w:rPr>
              <w:t>Placebo</w:t>
            </w:r>
          </w:p>
        </w:tc>
        <w:tc>
          <w:tcPr>
            <w:tcW w:w="3228" w:type="dxa"/>
            <w:tcBorders>
              <w:bottom w:val="single" w:sz="4" w:space="0" w:color="auto"/>
              <w:right w:val="single" w:sz="4" w:space="0" w:color="000000"/>
            </w:tcBorders>
          </w:tcPr>
          <w:p w:rsidR="00D21521" w:rsidRPr="005903E8" w:rsidRDefault="00D21521" w:rsidP="00002931">
            <w:pPr>
              <w:spacing w:before="60" w:after="60"/>
              <w:jc w:val="center"/>
              <w:rPr>
                <w:sz w:val="20"/>
                <w:lang w:val="en-US"/>
              </w:rPr>
            </w:pPr>
            <w:r w:rsidRPr="005903E8">
              <w:rPr>
                <w:sz w:val="20"/>
                <w:lang w:val="en-US"/>
              </w:rPr>
              <w:t>18/100 (18.0</w:t>
            </w:r>
            <w:r>
              <w:rPr>
                <w:sz w:val="20"/>
                <w:lang w:val="en-US"/>
              </w:rPr>
              <w:t> </w:t>
            </w:r>
            <w:r w:rsidRPr="005903E8">
              <w:rPr>
                <w:sz w:val="20"/>
                <w:lang w:val="en-US"/>
              </w:rPr>
              <w:t>%)</w:t>
            </w:r>
          </w:p>
        </w:tc>
        <w:tc>
          <w:tcPr>
            <w:tcW w:w="2599" w:type="dxa"/>
            <w:tcBorders>
              <w:left w:val="single" w:sz="4" w:space="0" w:color="000000"/>
              <w:bottom w:val="single" w:sz="4" w:space="0" w:color="auto"/>
            </w:tcBorders>
          </w:tcPr>
          <w:p w:rsidR="00D21521" w:rsidRPr="005903E8" w:rsidRDefault="00D21521" w:rsidP="00002931">
            <w:pPr>
              <w:spacing w:before="60" w:after="60"/>
              <w:jc w:val="center"/>
              <w:rPr>
                <w:sz w:val="20"/>
                <w:lang w:val="en-US"/>
              </w:rPr>
            </w:pPr>
            <w:r w:rsidRPr="005903E8">
              <w:rPr>
                <w:sz w:val="20"/>
                <w:lang w:val="en-US"/>
              </w:rPr>
              <w:t>13/76 (17.1</w:t>
            </w:r>
            <w:r>
              <w:rPr>
                <w:sz w:val="20"/>
                <w:lang w:val="en-US"/>
              </w:rPr>
              <w:t> </w:t>
            </w:r>
            <w:r w:rsidRPr="005903E8">
              <w:rPr>
                <w:sz w:val="20"/>
                <w:lang w:val="en-US"/>
              </w:rPr>
              <w:t>%)</w:t>
            </w:r>
          </w:p>
        </w:tc>
      </w:tr>
      <w:tr w:rsidR="00D21521" w:rsidRPr="00795FCE" w:rsidTr="00002931">
        <w:trPr>
          <w:trHeight w:val="236"/>
          <w:jc w:val="center"/>
        </w:trPr>
        <w:tc>
          <w:tcPr>
            <w:tcW w:w="3245" w:type="dxa"/>
            <w:tcBorders>
              <w:top w:val="single" w:sz="4" w:space="0" w:color="auto"/>
              <w:bottom w:val="single" w:sz="4" w:space="0" w:color="auto"/>
            </w:tcBorders>
          </w:tcPr>
          <w:p w:rsidR="00D21521" w:rsidRPr="00303937" w:rsidRDefault="00D21521" w:rsidP="00002931">
            <w:pPr>
              <w:spacing w:before="60" w:after="60"/>
              <w:rPr>
                <w:b/>
                <w:sz w:val="20"/>
                <w:lang w:val="en-US"/>
              </w:rPr>
            </w:pPr>
            <w:r w:rsidRPr="00303937">
              <w:rPr>
                <w:b/>
                <w:sz w:val="20"/>
                <w:lang w:val="en-US"/>
              </w:rPr>
              <w:t>Treatment Comparisons</w:t>
            </w:r>
          </w:p>
        </w:tc>
        <w:tc>
          <w:tcPr>
            <w:tcW w:w="5827" w:type="dxa"/>
            <w:gridSpan w:val="2"/>
            <w:tcBorders>
              <w:top w:val="single" w:sz="4" w:space="0" w:color="auto"/>
              <w:bottom w:val="single" w:sz="4" w:space="0" w:color="auto"/>
            </w:tcBorders>
          </w:tcPr>
          <w:p w:rsidR="00D21521" w:rsidRPr="00303937" w:rsidRDefault="00D21521" w:rsidP="00002931">
            <w:pPr>
              <w:spacing w:before="60" w:after="60"/>
              <w:jc w:val="center"/>
              <w:rPr>
                <w:b/>
                <w:sz w:val="20"/>
                <w:lang w:val="en-US"/>
              </w:rPr>
            </w:pPr>
            <w:r w:rsidRPr="00303937">
              <w:rPr>
                <w:b/>
                <w:sz w:val="20"/>
                <w:lang w:val="en-US"/>
              </w:rPr>
              <w:t>Odds ratio in CAR 9-12 (95 % CI) [p-value]</w:t>
            </w:r>
          </w:p>
        </w:tc>
      </w:tr>
      <w:tr w:rsidR="00D21521" w:rsidRPr="005903E8" w:rsidTr="00002931">
        <w:trPr>
          <w:trHeight w:val="236"/>
          <w:jc w:val="center"/>
        </w:trPr>
        <w:tc>
          <w:tcPr>
            <w:tcW w:w="3245" w:type="dxa"/>
            <w:tcBorders>
              <w:top w:val="single" w:sz="4" w:space="0" w:color="auto"/>
            </w:tcBorders>
          </w:tcPr>
          <w:p w:rsidR="00D21521" w:rsidRPr="005903E8" w:rsidRDefault="00D21521" w:rsidP="00002931">
            <w:pPr>
              <w:spacing w:before="60" w:after="60"/>
              <w:rPr>
                <w:sz w:val="20"/>
                <w:lang w:val="en-US"/>
              </w:rPr>
            </w:pPr>
            <w:r w:rsidRPr="005903E8">
              <w:rPr>
                <w:sz w:val="20"/>
                <w:lang w:val="en-US"/>
              </w:rPr>
              <w:t>H</w:t>
            </w:r>
            <w:r>
              <w:rPr>
                <w:sz w:val="20"/>
                <w:lang w:val="en-US"/>
              </w:rPr>
              <w:t>igh-Dose Varenicline vs Placebo</w:t>
            </w:r>
          </w:p>
        </w:tc>
        <w:tc>
          <w:tcPr>
            <w:tcW w:w="3228" w:type="dxa"/>
            <w:tcBorders>
              <w:top w:val="single" w:sz="4" w:space="0" w:color="auto"/>
              <w:right w:val="single" w:sz="4" w:space="0" w:color="000000"/>
            </w:tcBorders>
          </w:tcPr>
          <w:p w:rsidR="00D21521" w:rsidRPr="005903E8" w:rsidRDefault="00D21521" w:rsidP="00002931">
            <w:pPr>
              <w:spacing w:before="60" w:after="60"/>
              <w:jc w:val="center"/>
              <w:rPr>
                <w:sz w:val="20"/>
                <w:lang w:val="en-US"/>
              </w:rPr>
            </w:pPr>
            <w:r w:rsidRPr="005903E8">
              <w:rPr>
                <w:sz w:val="20"/>
                <w:lang w:val="en-US"/>
              </w:rPr>
              <w:t>1.18 (0.59, 2.37) [0.6337]</w:t>
            </w:r>
          </w:p>
        </w:tc>
        <w:tc>
          <w:tcPr>
            <w:tcW w:w="2599" w:type="dxa"/>
            <w:tcBorders>
              <w:top w:val="single" w:sz="4" w:space="0" w:color="auto"/>
              <w:left w:val="single" w:sz="4" w:space="0" w:color="000000"/>
            </w:tcBorders>
          </w:tcPr>
          <w:p w:rsidR="00D21521" w:rsidRPr="005903E8" w:rsidRDefault="00D21521" w:rsidP="00002931">
            <w:pPr>
              <w:spacing w:before="60" w:after="60"/>
              <w:jc w:val="center"/>
              <w:rPr>
                <w:sz w:val="20"/>
                <w:lang w:val="en-US"/>
              </w:rPr>
            </w:pPr>
            <w:r w:rsidRPr="00C845CE">
              <w:rPr>
                <w:sz w:val="20"/>
                <w:lang w:val="en-US"/>
              </w:rPr>
              <w:t>1.13 (0.50, 2.56) [0.7753]</w:t>
            </w:r>
          </w:p>
        </w:tc>
      </w:tr>
      <w:tr w:rsidR="00D21521" w:rsidRPr="005903E8" w:rsidTr="00002931">
        <w:trPr>
          <w:trHeight w:val="236"/>
          <w:jc w:val="center"/>
        </w:trPr>
        <w:tc>
          <w:tcPr>
            <w:tcW w:w="3245" w:type="dxa"/>
            <w:tcBorders>
              <w:bottom w:val="single" w:sz="4" w:space="0" w:color="000000"/>
            </w:tcBorders>
          </w:tcPr>
          <w:p w:rsidR="00D21521" w:rsidRPr="005903E8" w:rsidRDefault="00D21521" w:rsidP="00002931">
            <w:pPr>
              <w:spacing w:before="60" w:after="60"/>
              <w:rPr>
                <w:sz w:val="20"/>
                <w:lang w:val="en-US"/>
              </w:rPr>
            </w:pPr>
            <w:r w:rsidRPr="005903E8">
              <w:rPr>
                <w:sz w:val="20"/>
                <w:lang w:val="en-US"/>
              </w:rPr>
              <w:t>Low-Dose Varenicline vs Placebo</w:t>
            </w:r>
          </w:p>
        </w:tc>
        <w:tc>
          <w:tcPr>
            <w:tcW w:w="3228" w:type="dxa"/>
            <w:tcBorders>
              <w:bottom w:val="single" w:sz="4" w:space="0" w:color="000000"/>
              <w:right w:val="single" w:sz="4" w:space="0" w:color="000000"/>
            </w:tcBorders>
          </w:tcPr>
          <w:p w:rsidR="00D21521" w:rsidRPr="005903E8" w:rsidRDefault="00D21521" w:rsidP="00002931">
            <w:pPr>
              <w:spacing w:before="60" w:after="60"/>
              <w:jc w:val="center"/>
              <w:rPr>
                <w:sz w:val="20"/>
                <w:lang w:val="en-US"/>
              </w:rPr>
            </w:pPr>
            <w:r>
              <w:rPr>
                <w:w w:val="105"/>
                <w:sz w:val="20"/>
              </w:rPr>
              <w:t>1.73 (0.88, 3.39) [0.1114]</w:t>
            </w:r>
          </w:p>
        </w:tc>
        <w:tc>
          <w:tcPr>
            <w:tcW w:w="2599" w:type="dxa"/>
            <w:tcBorders>
              <w:left w:val="single" w:sz="4" w:space="0" w:color="000000"/>
              <w:bottom w:val="single" w:sz="4" w:space="0" w:color="000000"/>
            </w:tcBorders>
          </w:tcPr>
          <w:p w:rsidR="00D21521" w:rsidRPr="005903E8" w:rsidRDefault="00D21521" w:rsidP="00002931">
            <w:pPr>
              <w:spacing w:before="60" w:after="60"/>
              <w:jc w:val="center"/>
              <w:rPr>
                <w:sz w:val="20"/>
                <w:lang w:val="en-US"/>
              </w:rPr>
            </w:pPr>
            <w:r w:rsidRPr="00C845CE">
              <w:rPr>
                <w:sz w:val="20"/>
                <w:lang w:val="en-US"/>
              </w:rPr>
              <w:t>2.28 (1.06, 4.89) [0.0347]</w:t>
            </w:r>
            <w:r>
              <w:rPr>
                <w:sz w:val="20"/>
                <w:lang w:val="en-US"/>
              </w:rPr>
              <w:t> </w:t>
            </w:r>
            <w:r w:rsidRPr="00C845CE">
              <w:rPr>
                <w:sz w:val="20"/>
                <w:lang w:val="en-US"/>
              </w:rPr>
              <w:t>*</w:t>
            </w:r>
          </w:p>
        </w:tc>
      </w:tr>
    </w:tbl>
    <w:p w:rsidR="00D21521" w:rsidRPr="00D21521" w:rsidRDefault="00D21521" w:rsidP="00DA0717">
      <w:pPr>
        <w:ind w:left="851" w:hanging="284"/>
        <w:rPr>
          <w:i/>
          <w:sz w:val="16"/>
          <w:szCs w:val="16"/>
          <w:lang w:val="en-US"/>
        </w:rPr>
      </w:pPr>
      <w:r w:rsidRPr="00D21521">
        <w:rPr>
          <w:i/>
          <w:sz w:val="16"/>
          <w:szCs w:val="16"/>
          <w:lang w:val="en-US"/>
        </w:rPr>
        <w:t>*</w:t>
      </w:r>
      <w:r w:rsidR="00DA0717">
        <w:rPr>
          <w:i/>
          <w:sz w:val="16"/>
          <w:szCs w:val="16"/>
          <w:lang w:val="en-US"/>
        </w:rPr>
        <w:tab/>
      </w:r>
      <w:r w:rsidRPr="00D21521">
        <w:rPr>
          <w:i/>
          <w:sz w:val="16"/>
          <w:szCs w:val="16"/>
          <w:lang w:val="en-US"/>
        </w:rPr>
        <w:t>This p value is not considered statistically significant. The prespecified statistical testing procedures stopped testing after the high-dose varenicline vs Placebo treatment comparison in the overall study did not achieve statistical significance.</w:t>
      </w:r>
    </w:p>
    <w:p w:rsidR="00D21521" w:rsidRPr="00D21521" w:rsidRDefault="00D21521" w:rsidP="00DA0717">
      <w:pPr>
        <w:ind w:left="709" w:hanging="425"/>
        <w:rPr>
          <w:sz w:val="16"/>
          <w:szCs w:val="16"/>
          <w:lang w:val="en-US"/>
        </w:rPr>
      </w:pPr>
    </w:p>
    <w:p w:rsidR="00D21521" w:rsidRPr="00D21521" w:rsidRDefault="00D21521" w:rsidP="00DA0717">
      <w:pPr>
        <w:ind w:left="567"/>
        <w:rPr>
          <w:sz w:val="16"/>
          <w:szCs w:val="16"/>
          <w:lang w:val="en-US"/>
        </w:rPr>
      </w:pPr>
      <w:r w:rsidRPr="00D21521">
        <w:rPr>
          <w:sz w:val="16"/>
          <w:szCs w:val="16"/>
          <w:lang w:val="en-US"/>
        </w:rPr>
        <w:lastRenderedPageBreak/>
        <w:t>CI=confidence interval; N=number of subjects randomised; n=the number of subjects who, at each visit from weeks 9 to 12 (inclusive), reported no smoking and no use of other nicotine-containing products since the last study visit/last contact (on the Nicotine Use Inventory) and at any of these visits were confirmed to have quit based on urine cotinine test.</w:t>
      </w:r>
    </w:p>
    <w:p w:rsidR="007C5D2A" w:rsidRPr="00D21521"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0B1220" w:rsidRPr="000B1220" w:rsidRDefault="000B1220" w:rsidP="000B1220">
      <w:pPr>
        <w:tabs>
          <w:tab w:val="left" w:pos="851"/>
        </w:tabs>
        <w:ind w:left="851"/>
        <w:rPr>
          <w:sz w:val="24"/>
          <w:szCs w:val="24"/>
          <w:lang w:val="en-GB"/>
        </w:rPr>
      </w:pPr>
    </w:p>
    <w:p w:rsidR="000B1220" w:rsidRPr="000B1220" w:rsidRDefault="000B1220" w:rsidP="000B1220">
      <w:pPr>
        <w:tabs>
          <w:tab w:val="left" w:pos="851"/>
        </w:tabs>
        <w:ind w:left="851"/>
        <w:rPr>
          <w:sz w:val="24"/>
          <w:szCs w:val="24"/>
          <w:u w:val="single"/>
          <w:lang w:val="en-GB"/>
        </w:rPr>
      </w:pPr>
      <w:r w:rsidRPr="000B1220">
        <w:rPr>
          <w:sz w:val="24"/>
          <w:szCs w:val="24"/>
          <w:u w:val="single"/>
          <w:lang w:val="en-GB"/>
        </w:rPr>
        <w:t>Absorption</w:t>
      </w:r>
    </w:p>
    <w:p w:rsidR="000B1220" w:rsidRPr="000B1220" w:rsidRDefault="000B1220" w:rsidP="000B1220">
      <w:pPr>
        <w:tabs>
          <w:tab w:val="left" w:pos="851"/>
        </w:tabs>
        <w:ind w:left="851"/>
        <w:rPr>
          <w:sz w:val="24"/>
          <w:szCs w:val="24"/>
          <w:lang w:val="en-GB"/>
        </w:rPr>
      </w:pPr>
      <w:r w:rsidRPr="000B1220">
        <w:rPr>
          <w:sz w:val="24"/>
          <w:szCs w:val="24"/>
          <w:lang w:val="en-GB"/>
        </w:rPr>
        <w:t>Maximum plasma concentrations of varenicline occur typically within 3-4 hours after oral administration. Following administration of multiple oral doses to healthy volunteers, steady-state conditions were reached within 4 days. Absorption is virtually complete after oral administration and systemic availability is high. Oral bioavailability of varenicline is unaffected by food or time-of-day dosing.</w:t>
      </w:r>
    </w:p>
    <w:p w:rsidR="000B1220" w:rsidRPr="000B1220" w:rsidRDefault="000B1220" w:rsidP="000B1220">
      <w:pPr>
        <w:tabs>
          <w:tab w:val="left" w:pos="851"/>
        </w:tabs>
        <w:ind w:left="851"/>
        <w:rPr>
          <w:sz w:val="24"/>
          <w:szCs w:val="24"/>
          <w:lang w:val="en-GB"/>
        </w:rPr>
      </w:pPr>
    </w:p>
    <w:p w:rsidR="000B1220" w:rsidRPr="000B1220" w:rsidRDefault="000B1220" w:rsidP="000B1220">
      <w:pPr>
        <w:tabs>
          <w:tab w:val="left" w:pos="851"/>
        </w:tabs>
        <w:ind w:left="851"/>
        <w:rPr>
          <w:sz w:val="24"/>
          <w:szCs w:val="24"/>
          <w:u w:val="single"/>
          <w:lang w:val="en-GB"/>
        </w:rPr>
      </w:pPr>
      <w:r w:rsidRPr="000B1220">
        <w:rPr>
          <w:sz w:val="24"/>
          <w:szCs w:val="24"/>
          <w:u w:val="single"/>
          <w:lang w:val="en-GB"/>
        </w:rPr>
        <w:t>Distribution</w:t>
      </w:r>
    </w:p>
    <w:p w:rsidR="000B1220" w:rsidRPr="000B1220" w:rsidRDefault="000B1220" w:rsidP="000B1220">
      <w:pPr>
        <w:tabs>
          <w:tab w:val="left" w:pos="851"/>
        </w:tabs>
        <w:ind w:left="851"/>
        <w:rPr>
          <w:sz w:val="24"/>
          <w:szCs w:val="24"/>
          <w:lang w:val="en-GB"/>
        </w:rPr>
      </w:pPr>
      <w:r w:rsidRPr="000B1220">
        <w:rPr>
          <w:sz w:val="24"/>
          <w:szCs w:val="24"/>
          <w:lang w:val="en-GB"/>
        </w:rPr>
        <w:t>Varenicline distributes into tissues, including the brain. Apparent volume of distribution averaged 415 litres (%CV= 50) at steady-state. Plasma protein binding of varenicline is low (&lt; 20 %) and independent of both age and renal function. In rodents, varenicline is transferred through the placenta and excreted in milk.</w:t>
      </w:r>
    </w:p>
    <w:p w:rsidR="000B1220" w:rsidRPr="000B1220" w:rsidRDefault="000B1220" w:rsidP="000B1220">
      <w:pPr>
        <w:tabs>
          <w:tab w:val="left" w:pos="851"/>
        </w:tabs>
        <w:ind w:left="851"/>
        <w:rPr>
          <w:sz w:val="24"/>
          <w:szCs w:val="24"/>
          <w:lang w:val="en-GB"/>
        </w:rPr>
      </w:pPr>
    </w:p>
    <w:p w:rsidR="000B1220" w:rsidRPr="000B1220" w:rsidRDefault="000B1220" w:rsidP="000B1220">
      <w:pPr>
        <w:tabs>
          <w:tab w:val="left" w:pos="851"/>
        </w:tabs>
        <w:ind w:left="851"/>
        <w:rPr>
          <w:sz w:val="24"/>
          <w:szCs w:val="24"/>
          <w:u w:val="single"/>
          <w:lang w:val="en-GB"/>
        </w:rPr>
      </w:pPr>
      <w:r w:rsidRPr="000B1220">
        <w:rPr>
          <w:sz w:val="24"/>
          <w:szCs w:val="24"/>
          <w:u w:val="single"/>
          <w:lang w:val="en-GB"/>
        </w:rPr>
        <w:t>Biotransformation</w:t>
      </w:r>
    </w:p>
    <w:p w:rsidR="000B1220" w:rsidRPr="000B1220" w:rsidRDefault="000B1220" w:rsidP="000B1220">
      <w:pPr>
        <w:tabs>
          <w:tab w:val="left" w:pos="851"/>
        </w:tabs>
        <w:ind w:left="851"/>
        <w:rPr>
          <w:sz w:val="24"/>
          <w:szCs w:val="24"/>
          <w:lang w:val="en-GB"/>
        </w:rPr>
      </w:pPr>
      <w:r w:rsidRPr="000B1220">
        <w:rPr>
          <w:sz w:val="24"/>
          <w:szCs w:val="24"/>
          <w:lang w:val="en-GB"/>
        </w:rPr>
        <w:t>Varenicline undergoes minimal metabolism with 92 % excreted unchanged in the urine and less than 10 % excreted as metabolites. Minor metabolites in urine include varenicline N-carbamoylglucuronide and hydroxyvarenicline. In circulation, varenicline comprises 91 % of drug-related material. Minor circulating metabolites include varenicline N-carbamoylglucuronide and N-glucosylvarenicline.</w:t>
      </w:r>
    </w:p>
    <w:p w:rsidR="000B1220" w:rsidRPr="000B1220" w:rsidRDefault="000B1220" w:rsidP="000B1220">
      <w:pPr>
        <w:tabs>
          <w:tab w:val="left" w:pos="851"/>
        </w:tabs>
        <w:ind w:left="851"/>
        <w:rPr>
          <w:sz w:val="24"/>
          <w:szCs w:val="24"/>
          <w:lang w:val="en-GB"/>
        </w:rPr>
      </w:pPr>
    </w:p>
    <w:p w:rsidR="000B1220" w:rsidRPr="000B1220" w:rsidRDefault="000B1220" w:rsidP="000B1220">
      <w:pPr>
        <w:tabs>
          <w:tab w:val="left" w:pos="851"/>
        </w:tabs>
        <w:ind w:left="851"/>
        <w:rPr>
          <w:sz w:val="24"/>
          <w:szCs w:val="24"/>
          <w:lang w:val="en-GB"/>
        </w:rPr>
      </w:pPr>
      <w:r w:rsidRPr="000B1220">
        <w:rPr>
          <w:i/>
          <w:sz w:val="24"/>
          <w:szCs w:val="24"/>
          <w:lang w:val="en-GB"/>
        </w:rPr>
        <w:t>In vitro</w:t>
      </w:r>
      <w:r w:rsidRPr="000B1220">
        <w:rPr>
          <w:sz w:val="24"/>
          <w:szCs w:val="24"/>
          <w:lang w:val="en-GB"/>
        </w:rPr>
        <w:t xml:space="preserve"> studies demonstrate that varenicline does not inhibit cytochrome P450 enzymes (IC50 &gt; 6,400 ng/ml). The P450 enzymes tested for inhibition were: 1A2, 2A6, 2B6, 2C8, 2C9, 2C19, 2D6, 2E1, and 3A4/5. Also in human hepatocytes </w:t>
      </w:r>
      <w:r w:rsidRPr="000B1220">
        <w:rPr>
          <w:i/>
          <w:sz w:val="24"/>
          <w:szCs w:val="24"/>
          <w:lang w:val="en-GB"/>
        </w:rPr>
        <w:t>in vitro</w:t>
      </w:r>
      <w:r w:rsidRPr="000B1220">
        <w:rPr>
          <w:sz w:val="24"/>
          <w:szCs w:val="24"/>
          <w:lang w:val="en-GB"/>
        </w:rPr>
        <w:t>, varenicline was shown to not induce the activity of cytochrome P450 enzymes 1A2 and 3A4. Therefore, varenicline is unlikely to alter the pharmacokinetics of compounds that are primarily metabolised by cytochrome P450 enzymes.</w:t>
      </w:r>
    </w:p>
    <w:p w:rsidR="000B1220" w:rsidRPr="000B1220" w:rsidRDefault="000B1220" w:rsidP="000B1220">
      <w:pPr>
        <w:tabs>
          <w:tab w:val="left" w:pos="851"/>
        </w:tabs>
        <w:ind w:left="851"/>
        <w:rPr>
          <w:sz w:val="24"/>
          <w:szCs w:val="24"/>
          <w:lang w:val="en-GB"/>
        </w:rPr>
      </w:pPr>
    </w:p>
    <w:p w:rsidR="000B1220" w:rsidRPr="000B1220" w:rsidRDefault="000B1220" w:rsidP="000B1220">
      <w:pPr>
        <w:tabs>
          <w:tab w:val="left" w:pos="851"/>
        </w:tabs>
        <w:ind w:left="851"/>
        <w:rPr>
          <w:sz w:val="24"/>
          <w:szCs w:val="24"/>
          <w:u w:val="single"/>
          <w:lang w:val="en-GB"/>
        </w:rPr>
      </w:pPr>
      <w:r w:rsidRPr="000B1220">
        <w:rPr>
          <w:sz w:val="24"/>
          <w:szCs w:val="24"/>
          <w:u w:val="single"/>
          <w:lang w:val="en-GB"/>
        </w:rPr>
        <w:t>Elimination</w:t>
      </w:r>
    </w:p>
    <w:p w:rsidR="000B1220" w:rsidRPr="000B1220" w:rsidRDefault="000B1220" w:rsidP="000B1220">
      <w:pPr>
        <w:tabs>
          <w:tab w:val="left" w:pos="851"/>
        </w:tabs>
        <w:ind w:left="851"/>
        <w:rPr>
          <w:sz w:val="24"/>
          <w:szCs w:val="24"/>
          <w:lang w:val="en-GB"/>
        </w:rPr>
      </w:pPr>
      <w:r w:rsidRPr="000B1220">
        <w:rPr>
          <w:sz w:val="24"/>
          <w:szCs w:val="24"/>
          <w:lang w:val="en-GB"/>
        </w:rPr>
        <w:t>The elimination half-life of varenicline is approximately 24 hours. Renal elimination of varenicline is primarily through glomerular filtration along with active tubular secretion via the organic cationic transporter, OCT2 (see section 4.5).</w:t>
      </w:r>
    </w:p>
    <w:p w:rsidR="000B1220" w:rsidRPr="000B1220" w:rsidRDefault="000B1220" w:rsidP="000B1220">
      <w:pPr>
        <w:tabs>
          <w:tab w:val="left" w:pos="851"/>
        </w:tabs>
        <w:ind w:left="851"/>
        <w:rPr>
          <w:sz w:val="24"/>
          <w:szCs w:val="24"/>
          <w:lang w:val="en-GB"/>
        </w:rPr>
      </w:pPr>
    </w:p>
    <w:p w:rsidR="000B1220" w:rsidRPr="000B1220" w:rsidRDefault="000B1220" w:rsidP="000B1220">
      <w:pPr>
        <w:tabs>
          <w:tab w:val="left" w:pos="851"/>
        </w:tabs>
        <w:ind w:left="851"/>
        <w:rPr>
          <w:sz w:val="24"/>
          <w:szCs w:val="24"/>
          <w:u w:val="single"/>
          <w:lang w:val="en-GB"/>
        </w:rPr>
      </w:pPr>
      <w:r w:rsidRPr="000B1220">
        <w:rPr>
          <w:sz w:val="24"/>
          <w:szCs w:val="24"/>
          <w:u w:val="single"/>
          <w:lang w:val="en-GB"/>
        </w:rPr>
        <w:t>Linearity/Non linearity</w:t>
      </w:r>
    </w:p>
    <w:p w:rsidR="000B1220" w:rsidRPr="000B1220" w:rsidRDefault="000B1220" w:rsidP="000B1220">
      <w:pPr>
        <w:tabs>
          <w:tab w:val="left" w:pos="851"/>
        </w:tabs>
        <w:ind w:left="851"/>
        <w:rPr>
          <w:sz w:val="24"/>
          <w:szCs w:val="24"/>
          <w:lang w:val="en-GB"/>
        </w:rPr>
      </w:pPr>
      <w:r w:rsidRPr="000B1220">
        <w:rPr>
          <w:sz w:val="24"/>
          <w:szCs w:val="24"/>
          <w:lang w:val="en-GB"/>
        </w:rPr>
        <w:t>Varenicline exhibits linear kinetics when given as single (0.1 to 3 mg) or repeated 1 to 3 mg/day doses.</w:t>
      </w:r>
    </w:p>
    <w:p w:rsidR="000B1220" w:rsidRPr="000B1220" w:rsidRDefault="000B1220" w:rsidP="000B1220">
      <w:pPr>
        <w:tabs>
          <w:tab w:val="left" w:pos="851"/>
        </w:tabs>
        <w:ind w:left="851"/>
        <w:rPr>
          <w:sz w:val="24"/>
          <w:szCs w:val="24"/>
          <w:lang w:val="en-GB"/>
        </w:rPr>
      </w:pPr>
    </w:p>
    <w:p w:rsidR="000B1220" w:rsidRPr="000B1220" w:rsidRDefault="000B1220" w:rsidP="000B1220">
      <w:pPr>
        <w:tabs>
          <w:tab w:val="left" w:pos="851"/>
        </w:tabs>
        <w:ind w:left="851"/>
        <w:rPr>
          <w:sz w:val="24"/>
          <w:szCs w:val="24"/>
          <w:u w:val="single"/>
          <w:lang w:val="en-GB"/>
        </w:rPr>
      </w:pPr>
      <w:r w:rsidRPr="000B1220">
        <w:rPr>
          <w:sz w:val="24"/>
          <w:szCs w:val="24"/>
          <w:u w:val="single"/>
          <w:lang w:val="en-GB"/>
        </w:rPr>
        <w:t>Pharmacokinetics in special patient populations</w:t>
      </w:r>
    </w:p>
    <w:p w:rsidR="000B1220" w:rsidRPr="000B1220" w:rsidRDefault="000B1220" w:rsidP="000B1220">
      <w:pPr>
        <w:tabs>
          <w:tab w:val="left" w:pos="851"/>
        </w:tabs>
        <w:ind w:left="851"/>
        <w:rPr>
          <w:sz w:val="24"/>
          <w:szCs w:val="24"/>
          <w:lang w:val="en-GB"/>
        </w:rPr>
      </w:pPr>
      <w:r w:rsidRPr="000B1220">
        <w:rPr>
          <w:sz w:val="24"/>
          <w:szCs w:val="24"/>
          <w:lang w:val="en-GB"/>
        </w:rPr>
        <w:t>There are no clinically meaningful differences in varenicline pharmacokinetics due to age, race, gender, smoking status, or use of concomitant medicinal products, as demonstrated in specific pharmacokinetic studies and in population pharmacokinetic analyses.</w:t>
      </w:r>
    </w:p>
    <w:p w:rsidR="000B1220" w:rsidRPr="000B1220" w:rsidRDefault="000B1220" w:rsidP="000B1220">
      <w:pPr>
        <w:tabs>
          <w:tab w:val="left" w:pos="851"/>
        </w:tabs>
        <w:ind w:left="851"/>
        <w:rPr>
          <w:sz w:val="24"/>
          <w:szCs w:val="24"/>
          <w:lang w:val="en-GB"/>
        </w:rPr>
      </w:pPr>
    </w:p>
    <w:p w:rsidR="000B1220" w:rsidRPr="000B1220" w:rsidRDefault="000B1220" w:rsidP="000B1220">
      <w:pPr>
        <w:tabs>
          <w:tab w:val="left" w:pos="851"/>
        </w:tabs>
        <w:ind w:left="851"/>
        <w:rPr>
          <w:i/>
          <w:sz w:val="24"/>
          <w:szCs w:val="24"/>
          <w:lang w:val="en-GB"/>
        </w:rPr>
      </w:pPr>
      <w:r w:rsidRPr="000B1220">
        <w:rPr>
          <w:i/>
          <w:sz w:val="24"/>
          <w:szCs w:val="24"/>
          <w:lang w:val="en-GB"/>
        </w:rPr>
        <w:t>Hepatic impairment</w:t>
      </w:r>
    </w:p>
    <w:p w:rsidR="000B1220" w:rsidRPr="000B1220" w:rsidRDefault="000B1220" w:rsidP="000B1220">
      <w:pPr>
        <w:tabs>
          <w:tab w:val="left" w:pos="851"/>
        </w:tabs>
        <w:ind w:left="851"/>
        <w:rPr>
          <w:sz w:val="24"/>
          <w:szCs w:val="24"/>
          <w:lang w:val="en-GB"/>
        </w:rPr>
      </w:pPr>
      <w:r w:rsidRPr="000B1220">
        <w:rPr>
          <w:sz w:val="24"/>
          <w:szCs w:val="24"/>
          <w:lang w:val="en-GB"/>
        </w:rPr>
        <w:t>Due to the absence of significant hepatic metabolism, varenicline pharmacokinetics should be unaffected in patients with hepatic impairment. (see section 4.2).</w:t>
      </w:r>
    </w:p>
    <w:p w:rsidR="000B1220" w:rsidRDefault="000B1220">
      <w:pPr>
        <w:rPr>
          <w:sz w:val="24"/>
          <w:szCs w:val="24"/>
          <w:lang w:val="en-GB"/>
        </w:rPr>
      </w:pPr>
      <w:r>
        <w:rPr>
          <w:sz w:val="24"/>
          <w:szCs w:val="24"/>
          <w:lang w:val="en-GB"/>
        </w:rPr>
        <w:br w:type="page"/>
      </w:r>
    </w:p>
    <w:p w:rsidR="000B1220" w:rsidRPr="000B1220" w:rsidRDefault="000B1220" w:rsidP="000B1220">
      <w:pPr>
        <w:tabs>
          <w:tab w:val="left" w:pos="851"/>
        </w:tabs>
        <w:ind w:left="851"/>
        <w:rPr>
          <w:sz w:val="24"/>
          <w:szCs w:val="24"/>
          <w:lang w:val="en-GB"/>
        </w:rPr>
      </w:pPr>
    </w:p>
    <w:p w:rsidR="000B1220" w:rsidRPr="000B1220" w:rsidRDefault="000B1220" w:rsidP="000B1220">
      <w:pPr>
        <w:tabs>
          <w:tab w:val="left" w:pos="851"/>
        </w:tabs>
        <w:ind w:left="851"/>
        <w:rPr>
          <w:i/>
          <w:sz w:val="24"/>
          <w:szCs w:val="24"/>
          <w:lang w:val="en-GB"/>
        </w:rPr>
      </w:pPr>
      <w:r w:rsidRPr="000B1220">
        <w:rPr>
          <w:i/>
          <w:sz w:val="24"/>
          <w:szCs w:val="24"/>
          <w:lang w:val="en-GB"/>
        </w:rPr>
        <w:t>Renal impairment</w:t>
      </w:r>
    </w:p>
    <w:p w:rsidR="000B1220" w:rsidRPr="000B1220" w:rsidRDefault="000B1220" w:rsidP="000B1220">
      <w:pPr>
        <w:tabs>
          <w:tab w:val="left" w:pos="851"/>
        </w:tabs>
        <w:ind w:left="851"/>
        <w:rPr>
          <w:sz w:val="24"/>
          <w:szCs w:val="24"/>
          <w:lang w:val="en-GB"/>
        </w:rPr>
      </w:pPr>
      <w:r w:rsidRPr="000B1220">
        <w:rPr>
          <w:sz w:val="24"/>
          <w:szCs w:val="24"/>
          <w:lang w:val="en-GB"/>
        </w:rPr>
        <w:t>Varenicline pharmacokinetics were unchanged in subjects with mild renal impairment (estimated creatinine clearance &gt; 50 ml/min and ≤ 80 ml/min). In patients with moderate renal impairment (estimated creatinine clearance ≥ 30 ml/min and ≤ 50 ml/min), varenicline exposure increased 1.5-fold compared with subjects with normal renal function (estimated creatinine clearance &gt; 80 ml/min). In subjects with severe renal impairment (estimated creatinine clearance &lt; 30 ml/min), varenicline exposure was increased 2.1-fold. In subjects with end-stage-renal disease (ESRD), varenicline was efficiently removed by haemodialysis (see section 4.2).</w:t>
      </w:r>
    </w:p>
    <w:p w:rsidR="000B1220" w:rsidRPr="000B1220" w:rsidRDefault="000B1220" w:rsidP="000B1220">
      <w:pPr>
        <w:tabs>
          <w:tab w:val="left" w:pos="851"/>
        </w:tabs>
        <w:ind w:left="851"/>
        <w:rPr>
          <w:sz w:val="24"/>
          <w:szCs w:val="24"/>
          <w:lang w:val="en-GB"/>
        </w:rPr>
      </w:pPr>
    </w:p>
    <w:p w:rsidR="000B1220" w:rsidRPr="000B1220" w:rsidRDefault="000B1220" w:rsidP="000B1220">
      <w:pPr>
        <w:tabs>
          <w:tab w:val="left" w:pos="851"/>
        </w:tabs>
        <w:ind w:left="851"/>
        <w:rPr>
          <w:i/>
          <w:sz w:val="24"/>
          <w:szCs w:val="24"/>
          <w:lang w:val="en-GB"/>
        </w:rPr>
      </w:pPr>
      <w:r w:rsidRPr="000B1220">
        <w:rPr>
          <w:i/>
          <w:sz w:val="24"/>
          <w:szCs w:val="24"/>
          <w:lang w:val="en-GB"/>
        </w:rPr>
        <w:t>Elderly</w:t>
      </w:r>
    </w:p>
    <w:p w:rsidR="000B1220" w:rsidRPr="000B1220" w:rsidRDefault="000B1220" w:rsidP="000B1220">
      <w:pPr>
        <w:tabs>
          <w:tab w:val="left" w:pos="851"/>
        </w:tabs>
        <w:ind w:left="851"/>
        <w:rPr>
          <w:sz w:val="24"/>
          <w:szCs w:val="24"/>
          <w:lang w:val="en-GB"/>
        </w:rPr>
      </w:pPr>
      <w:r w:rsidRPr="000B1220">
        <w:rPr>
          <w:sz w:val="24"/>
          <w:szCs w:val="24"/>
          <w:lang w:val="en-GB"/>
        </w:rPr>
        <w:t>The pharmacokinetics of varenicline in elderly patients with normal renal function (aged 65-75 years) is similar to that of younger adult subjects (see section 4.2). For elderly patients with reduced renal function please refer to section 4.2.</w:t>
      </w:r>
    </w:p>
    <w:p w:rsidR="000B1220" w:rsidRPr="000B1220" w:rsidRDefault="000B1220" w:rsidP="000B1220">
      <w:pPr>
        <w:tabs>
          <w:tab w:val="left" w:pos="851"/>
        </w:tabs>
        <w:ind w:left="851"/>
        <w:rPr>
          <w:sz w:val="24"/>
          <w:szCs w:val="24"/>
          <w:lang w:val="en-GB"/>
        </w:rPr>
      </w:pPr>
    </w:p>
    <w:p w:rsidR="000B1220" w:rsidRPr="000B1220" w:rsidRDefault="000B1220" w:rsidP="000B1220">
      <w:pPr>
        <w:tabs>
          <w:tab w:val="left" w:pos="851"/>
        </w:tabs>
        <w:ind w:left="851"/>
        <w:rPr>
          <w:i/>
          <w:sz w:val="24"/>
          <w:szCs w:val="24"/>
          <w:lang w:val="en-GB"/>
        </w:rPr>
      </w:pPr>
      <w:r w:rsidRPr="000B1220">
        <w:rPr>
          <w:i/>
          <w:sz w:val="24"/>
          <w:szCs w:val="24"/>
          <w:lang w:val="en-GB"/>
        </w:rPr>
        <w:t>Paediatric population</w:t>
      </w:r>
    </w:p>
    <w:p w:rsidR="000B1220" w:rsidRPr="000B1220" w:rsidRDefault="000B1220" w:rsidP="000B1220">
      <w:pPr>
        <w:tabs>
          <w:tab w:val="left" w:pos="851"/>
        </w:tabs>
        <w:ind w:left="851"/>
        <w:rPr>
          <w:sz w:val="24"/>
          <w:szCs w:val="24"/>
          <w:lang w:val="en-GB"/>
        </w:rPr>
      </w:pPr>
      <w:r w:rsidRPr="000B1220">
        <w:rPr>
          <w:sz w:val="24"/>
          <w:szCs w:val="24"/>
          <w:lang w:val="en-GB"/>
        </w:rPr>
        <w:t>Single and multiple-dose pharmacokinetics of varenicline have been investigated in paediatric patients aged 12 to 17 years old (inclusive) and were approximately dose-proportional over the 0.5 mg to 2 mg daily dose range studied. Steady-state systemic exposure in adolescent patients of bodyweight &gt; 55 kg, as assessed by AUC (0-24), was comparable to that noted for the same doses in the adult population. When 0.5 mg twice daily was given, steady-state daily exposure of varenicline was, on average, higher (by approximately 40 %) in adolescent patients with bodyweight ≤ 55 kg compared to that noted in the adult population. Varenicline is not recommended in paediatric patients because its efficacy in this population was not demonstrated (see sections 4.2 and 5.1).</w:t>
      </w:r>
    </w:p>
    <w:p w:rsidR="007C5D2A" w:rsidRPr="000B1220" w:rsidRDefault="007C5D2A" w:rsidP="003E0341">
      <w:pPr>
        <w:tabs>
          <w:tab w:val="left" w:pos="851"/>
        </w:tabs>
        <w:ind w:left="851"/>
        <w:rPr>
          <w:sz w:val="24"/>
          <w:szCs w:val="24"/>
          <w:lang w:val="en-GB"/>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602F21" w:rsidRPr="00602F21" w:rsidRDefault="00602F21" w:rsidP="00602F21">
      <w:pPr>
        <w:tabs>
          <w:tab w:val="left" w:pos="851"/>
        </w:tabs>
        <w:ind w:left="851"/>
        <w:rPr>
          <w:sz w:val="24"/>
          <w:szCs w:val="24"/>
          <w:lang w:val="en-GB"/>
        </w:rPr>
      </w:pPr>
      <w:r w:rsidRPr="00602F21">
        <w:rPr>
          <w:sz w:val="24"/>
          <w:szCs w:val="24"/>
          <w:lang w:val="en-GB"/>
        </w:rPr>
        <w:t>Non-clinical data reveal no special hazard for humans based on conventional studies of safety pharmacology, repeated dose toxicity, genotoxicity, fertility and embryo-foetal development. In male rats dosed for 2 years with varenicline, there was a dose-related increase in the incidence of hibernoma (tumour of the brown fat). In the offspring of pregnant rats treated with varenicline there were decreases in fertility and increases in the auditory startle response (see section 4.6). These effects were observed only at exposures considered sufficiently in excess of the maximum human exposure indicating little relevance to clinical use. Nonclinical data indicate varenicline has reinforcing properties albeit with lower potency than nicotine. In clinical studies in humans, varenicline showed low abuse potential.</w:t>
      </w:r>
    </w:p>
    <w:p w:rsidR="007C5D2A" w:rsidRPr="00602F21" w:rsidRDefault="007C5D2A" w:rsidP="003E0341">
      <w:pPr>
        <w:tabs>
          <w:tab w:val="left" w:pos="851"/>
        </w:tabs>
        <w:ind w:left="851"/>
        <w:rPr>
          <w:sz w:val="24"/>
          <w:szCs w:val="24"/>
          <w:lang w:val="en-GB"/>
        </w:rPr>
      </w:pP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6A3316" w:rsidRPr="006A3316" w:rsidRDefault="006A3316" w:rsidP="006A3316">
      <w:pPr>
        <w:tabs>
          <w:tab w:val="left" w:pos="851"/>
        </w:tabs>
        <w:ind w:left="851"/>
        <w:rPr>
          <w:sz w:val="24"/>
          <w:szCs w:val="24"/>
          <w:lang w:val="en-GB"/>
        </w:rPr>
      </w:pPr>
    </w:p>
    <w:p w:rsidR="006A3316" w:rsidRPr="006A3316" w:rsidRDefault="006A3316" w:rsidP="006A3316">
      <w:pPr>
        <w:tabs>
          <w:tab w:val="left" w:pos="851"/>
        </w:tabs>
        <w:ind w:left="851"/>
        <w:rPr>
          <w:sz w:val="24"/>
          <w:szCs w:val="24"/>
          <w:u w:val="single"/>
          <w:lang w:val="en-GB"/>
        </w:rPr>
      </w:pPr>
      <w:r w:rsidRPr="006A3316">
        <w:rPr>
          <w:sz w:val="24"/>
          <w:szCs w:val="24"/>
          <w:u w:val="single"/>
          <w:lang w:val="en-GB"/>
        </w:rPr>
        <w:t>Tablet core</w:t>
      </w:r>
    </w:p>
    <w:p w:rsidR="006A3316" w:rsidRPr="006A3316" w:rsidRDefault="006A3316" w:rsidP="006A3316">
      <w:pPr>
        <w:tabs>
          <w:tab w:val="left" w:pos="851"/>
        </w:tabs>
        <w:ind w:left="851"/>
        <w:rPr>
          <w:sz w:val="24"/>
          <w:szCs w:val="24"/>
          <w:lang w:val="it-IT"/>
        </w:rPr>
      </w:pPr>
      <w:r w:rsidRPr="006A3316">
        <w:rPr>
          <w:sz w:val="24"/>
          <w:szCs w:val="24"/>
          <w:lang w:val="it-IT"/>
        </w:rPr>
        <w:t>Cellulose microcrystalline (E468)</w:t>
      </w:r>
    </w:p>
    <w:p w:rsidR="006A3316" w:rsidRPr="006A3316" w:rsidRDefault="006A3316" w:rsidP="006A3316">
      <w:pPr>
        <w:tabs>
          <w:tab w:val="left" w:pos="851"/>
        </w:tabs>
        <w:ind w:left="851"/>
        <w:rPr>
          <w:sz w:val="24"/>
          <w:szCs w:val="24"/>
          <w:lang w:val="it-IT"/>
        </w:rPr>
      </w:pPr>
      <w:r w:rsidRPr="006A3316">
        <w:rPr>
          <w:sz w:val="24"/>
          <w:szCs w:val="24"/>
          <w:lang w:val="it-IT"/>
        </w:rPr>
        <w:t>Maltodextrin (E1400)</w:t>
      </w:r>
    </w:p>
    <w:p w:rsidR="006A3316" w:rsidRPr="006A3316" w:rsidRDefault="006A3316" w:rsidP="006A3316">
      <w:pPr>
        <w:tabs>
          <w:tab w:val="left" w:pos="851"/>
        </w:tabs>
        <w:ind w:left="851"/>
        <w:rPr>
          <w:sz w:val="24"/>
          <w:szCs w:val="24"/>
          <w:lang w:val="en-US"/>
        </w:rPr>
      </w:pPr>
      <w:r w:rsidRPr="006A3316">
        <w:rPr>
          <w:sz w:val="24"/>
          <w:szCs w:val="24"/>
          <w:lang w:val="en-US"/>
        </w:rPr>
        <w:t>Croscarmellose sodium (E468)</w:t>
      </w:r>
    </w:p>
    <w:p w:rsidR="006A3316" w:rsidRPr="006A3316" w:rsidRDefault="006A3316" w:rsidP="006A3316">
      <w:pPr>
        <w:tabs>
          <w:tab w:val="left" w:pos="851"/>
        </w:tabs>
        <w:ind w:left="851"/>
        <w:rPr>
          <w:sz w:val="24"/>
          <w:szCs w:val="24"/>
          <w:lang w:val="en-US"/>
        </w:rPr>
      </w:pPr>
      <w:r w:rsidRPr="006A3316">
        <w:rPr>
          <w:sz w:val="24"/>
          <w:szCs w:val="24"/>
          <w:lang w:val="en-US"/>
        </w:rPr>
        <w:t>Stearic Acid (E570)</w:t>
      </w:r>
    </w:p>
    <w:p w:rsidR="006A3316" w:rsidRDefault="006A3316">
      <w:pPr>
        <w:rPr>
          <w:sz w:val="24"/>
          <w:szCs w:val="24"/>
          <w:lang w:val="en-US"/>
        </w:rPr>
      </w:pPr>
      <w:r>
        <w:rPr>
          <w:sz w:val="24"/>
          <w:szCs w:val="24"/>
          <w:lang w:val="en-US"/>
        </w:rPr>
        <w:br w:type="page"/>
      </w:r>
    </w:p>
    <w:p w:rsidR="006A3316" w:rsidRPr="006A3316" w:rsidRDefault="006A3316" w:rsidP="006A3316">
      <w:pPr>
        <w:tabs>
          <w:tab w:val="left" w:pos="851"/>
        </w:tabs>
        <w:ind w:left="851"/>
        <w:rPr>
          <w:sz w:val="24"/>
          <w:szCs w:val="24"/>
          <w:lang w:val="en-US"/>
        </w:rPr>
      </w:pPr>
    </w:p>
    <w:p w:rsidR="006A3316" w:rsidRPr="006A3316" w:rsidRDefault="006A3316" w:rsidP="006A3316">
      <w:pPr>
        <w:tabs>
          <w:tab w:val="left" w:pos="851"/>
        </w:tabs>
        <w:ind w:left="851"/>
        <w:rPr>
          <w:sz w:val="24"/>
          <w:szCs w:val="24"/>
          <w:u w:val="single"/>
          <w:lang w:val="en-GB"/>
        </w:rPr>
      </w:pPr>
      <w:r w:rsidRPr="006A3316">
        <w:rPr>
          <w:sz w:val="24"/>
          <w:szCs w:val="24"/>
          <w:u w:val="single"/>
          <w:lang w:val="en-GB"/>
        </w:rPr>
        <w:t>Film coating</w:t>
      </w:r>
    </w:p>
    <w:p w:rsidR="00DA12C1" w:rsidRDefault="00DA12C1" w:rsidP="006A3316">
      <w:pPr>
        <w:tabs>
          <w:tab w:val="left" w:pos="851"/>
        </w:tabs>
        <w:ind w:left="851"/>
        <w:rPr>
          <w:sz w:val="24"/>
          <w:szCs w:val="24"/>
          <w:lang w:val="en-GB"/>
        </w:rPr>
      </w:pPr>
    </w:p>
    <w:p w:rsidR="006A3316" w:rsidRPr="00DA12C1" w:rsidRDefault="006A3316" w:rsidP="006A3316">
      <w:pPr>
        <w:tabs>
          <w:tab w:val="left" w:pos="851"/>
        </w:tabs>
        <w:ind w:left="851"/>
        <w:rPr>
          <w:i/>
          <w:sz w:val="24"/>
          <w:szCs w:val="24"/>
          <w:u w:val="single"/>
          <w:lang w:val="en-GB"/>
        </w:rPr>
      </w:pPr>
      <w:r w:rsidRPr="00DA12C1">
        <w:rPr>
          <w:i/>
          <w:sz w:val="24"/>
          <w:szCs w:val="24"/>
          <w:u w:val="single"/>
          <w:lang w:val="en-GB"/>
        </w:rPr>
        <w:t>Vareniclin "Stada" 0.5 mg film-coated tablets</w:t>
      </w:r>
    </w:p>
    <w:p w:rsidR="006A3316" w:rsidRPr="006A3316" w:rsidRDefault="006A3316" w:rsidP="006A3316">
      <w:pPr>
        <w:tabs>
          <w:tab w:val="left" w:pos="851"/>
        </w:tabs>
        <w:ind w:left="851"/>
        <w:rPr>
          <w:sz w:val="24"/>
          <w:szCs w:val="24"/>
          <w:lang w:val="it-IT"/>
        </w:rPr>
      </w:pPr>
      <w:r w:rsidRPr="006A3316">
        <w:rPr>
          <w:sz w:val="24"/>
          <w:szCs w:val="24"/>
          <w:lang w:val="it-IT"/>
        </w:rPr>
        <w:t>Hypromellose (E464)</w:t>
      </w:r>
    </w:p>
    <w:p w:rsidR="006A3316" w:rsidRPr="006A3316" w:rsidRDefault="006A3316" w:rsidP="006A3316">
      <w:pPr>
        <w:tabs>
          <w:tab w:val="left" w:pos="851"/>
        </w:tabs>
        <w:ind w:left="851"/>
        <w:rPr>
          <w:sz w:val="24"/>
          <w:szCs w:val="24"/>
          <w:lang w:val="it-IT"/>
        </w:rPr>
      </w:pPr>
      <w:r w:rsidRPr="006A3316">
        <w:rPr>
          <w:sz w:val="24"/>
          <w:szCs w:val="24"/>
          <w:lang w:val="it-IT"/>
        </w:rPr>
        <w:t>Hydroxypropyl cellulose (E463)</w:t>
      </w:r>
    </w:p>
    <w:p w:rsidR="006A3316" w:rsidRPr="006A3316" w:rsidRDefault="006A3316" w:rsidP="006A3316">
      <w:pPr>
        <w:tabs>
          <w:tab w:val="left" w:pos="851"/>
        </w:tabs>
        <w:ind w:left="851"/>
        <w:rPr>
          <w:sz w:val="24"/>
          <w:szCs w:val="24"/>
        </w:rPr>
      </w:pPr>
      <w:r w:rsidRPr="006A3316">
        <w:rPr>
          <w:sz w:val="24"/>
          <w:szCs w:val="24"/>
        </w:rPr>
        <w:t>Titanium dioxide (E171)</w:t>
      </w:r>
    </w:p>
    <w:p w:rsidR="006A3316" w:rsidRDefault="006A3316" w:rsidP="006A3316">
      <w:pPr>
        <w:tabs>
          <w:tab w:val="left" w:pos="851"/>
        </w:tabs>
        <w:ind w:left="851"/>
        <w:rPr>
          <w:sz w:val="24"/>
          <w:szCs w:val="24"/>
        </w:rPr>
      </w:pPr>
      <w:r w:rsidRPr="006A3316">
        <w:rPr>
          <w:sz w:val="24"/>
          <w:szCs w:val="24"/>
        </w:rPr>
        <w:t>Talc (E553b)</w:t>
      </w:r>
    </w:p>
    <w:p w:rsidR="00DA12C1" w:rsidRPr="006A3316" w:rsidRDefault="00DA12C1" w:rsidP="006A3316">
      <w:pPr>
        <w:tabs>
          <w:tab w:val="left" w:pos="851"/>
        </w:tabs>
        <w:ind w:left="851"/>
        <w:rPr>
          <w:sz w:val="24"/>
          <w:szCs w:val="24"/>
        </w:rPr>
      </w:pPr>
    </w:p>
    <w:p w:rsidR="006A3316" w:rsidRPr="00DA12C1" w:rsidRDefault="006A3316" w:rsidP="006A3316">
      <w:pPr>
        <w:tabs>
          <w:tab w:val="left" w:pos="851"/>
        </w:tabs>
        <w:ind w:left="851"/>
        <w:rPr>
          <w:i/>
          <w:sz w:val="24"/>
          <w:szCs w:val="24"/>
          <w:u w:val="single"/>
          <w:lang w:val="en-GB"/>
        </w:rPr>
      </w:pPr>
      <w:r w:rsidRPr="00DA12C1">
        <w:rPr>
          <w:i/>
          <w:sz w:val="24"/>
          <w:szCs w:val="24"/>
          <w:u w:val="single"/>
          <w:lang w:val="en-GB"/>
        </w:rPr>
        <w:t>Vareniclin "Stada" 1 mg film-coated tablets</w:t>
      </w:r>
    </w:p>
    <w:p w:rsidR="006A3316" w:rsidRPr="006A3316" w:rsidRDefault="006A3316" w:rsidP="006A3316">
      <w:pPr>
        <w:tabs>
          <w:tab w:val="left" w:pos="851"/>
        </w:tabs>
        <w:ind w:left="851"/>
        <w:rPr>
          <w:sz w:val="24"/>
          <w:szCs w:val="24"/>
          <w:lang w:val="it-IT"/>
        </w:rPr>
      </w:pPr>
      <w:r w:rsidRPr="006A3316">
        <w:rPr>
          <w:sz w:val="24"/>
          <w:szCs w:val="24"/>
          <w:lang w:val="it-IT"/>
        </w:rPr>
        <w:t>Hypromellose (E464)</w:t>
      </w:r>
    </w:p>
    <w:p w:rsidR="006A3316" w:rsidRPr="006A3316" w:rsidRDefault="006A3316" w:rsidP="006A3316">
      <w:pPr>
        <w:tabs>
          <w:tab w:val="left" w:pos="851"/>
        </w:tabs>
        <w:ind w:left="851"/>
        <w:rPr>
          <w:sz w:val="24"/>
          <w:szCs w:val="24"/>
          <w:lang w:val="it-IT"/>
        </w:rPr>
      </w:pPr>
      <w:r w:rsidRPr="006A3316">
        <w:rPr>
          <w:sz w:val="24"/>
          <w:szCs w:val="24"/>
          <w:lang w:val="it-IT"/>
        </w:rPr>
        <w:t>Hydroxypropyl cellulose (E463)</w:t>
      </w:r>
    </w:p>
    <w:p w:rsidR="006A3316" w:rsidRPr="006A3316" w:rsidRDefault="006A3316" w:rsidP="006A3316">
      <w:pPr>
        <w:tabs>
          <w:tab w:val="left" w:pos="851"/>
        </w:tabs>
        <w:ind w:left="851"/>
        <w:rPr>
          <w:sz w:val="24"/>
          <w:szCs w:val="24"/>
          <w:lang w:val="it-IT"/>
        </w:rPr>
      </w:pPr>
      <w:r w:rsidRPr="006A3316">
        <w:rPr>
          <w:sz w:val="24"/>
          <w:szCs w:val="24"/>
          <w:lang w:val="it-IT"/>
        </w:rPr>
        <w:t>Titanium dioxide  (E171)</w:t>
      </w:r>
    </w:p>
    <w:p w:rsidR="006A3316" w:rsidRPr="006A3316" w:rsidRDefault="006A3316" w:rsidP="006A3316">
      <w:pPr>
        <w:tabs>
          <w:tab w:val="left" w:pos="851"/>
        </w:tabs>
        <w:ind w:left="851"/>
        <w:rPr>
          <w:sz w:val="24"/>
          <w:szCs w:val="24"/>
          <w:lang w:val="it-IT"/>
        </w:rPr>
      </w:pPr>
      <w:r w:rsidRPr="006A3316">
        <w:rPr>
          <w:sz w:val="24"/>
          <w:szCs w:val="24"/>
          <w:lang w:val="it-IT"/>
        </w:rPr>
        <w:t>Talc (E553b)</w:t>
      </w:r>
    </w:p>
    <w:p w:rsidR="006A3316" w:rsidRDefault="006A3316" w:rsidP="006A3316">
      <w:pPr>
        <w:tabs>
          <w:tab w:val="left" w:pos="851"/>
        </w:tabs>
        <w:ind w:left="851"/>
        <w:rPr>
          <w:sz w:val="24"/>
          <w:szCs w:val="24"/>
          <w:lang w:val="it-IT"/>
        </w:rPr>
      </w:pPr>
      <w:r w:rsidRPr="006A3316">
        <w:rPr>
          <w:sz w:val="24"/>
          <w:szCs w:val="24"/>
          <w:lang w:val="it-IT"/>
        </w:rPr>
        <w:t>Blue indigo carmine (E132)</w:t>
      </w:r>
    </w:p>
    <w:p w:rsidR="006A3316" w:rsidRDefault="006A3316" w:rsidP="006A3316">
      <w:pPr>
        <w:tabs>
          <w:tab w:val="left" w:pos="851"/>
        </w:tabs>
        <w:ind w:left="851"/>
        <w:rPr>
          <w:sz w:val="24"/>
          <w:szCs w:val="24"/>
          <w:lang w:val="it-IT"/>
        </w:rPr>
      </w:pPr>
    </w:p>
    <w:p w:rsidR="00DA12C1" w:rsidRPr="00DA12C1" w:rsidRDefault="00DA12C1" w:rsidP="006A3316">
      <w:pPr>
        <w:tabs>
          <w:tab w:val="left" w:pos="851"/>
        </w:tabs>
        <w:ind w:left="851"/>
        <w:rPr>
          <w:i/>
          <w:sz w:val="24"/>
          <w:szCs w:val="24"/>
          <w:u w:val="single"/>
          <w:lang w:val="it-IT"/>
        </w:rPr>
      </w:pPr>
      <w:r w:rsidRPr="00DA12C1">
        <w:rPr>
          <w:i/>
          <w:sz w:val="24"/>
          <w:szCs w:val="24"/>
          <w:u w:val="single"/>
          <w:lang w:val="it-IT"/>
        </w:rPr>
        <w:t>Vareniclin "Stada" 0,5</w:t>
      </w:r>
      <w:r w:rsidR="00294FAB">
        <w:rPr>
          <w:i/>
          <w:sz w:val="24"/>
          <w:szCs w:val="24"/>
          <w:u w:val="single"/>
          <w:lang w:val="it-IT"/>
        </w:rPr>
        <w:t xml:space="preserve"> mg</w:t>
      </w:r>
      <w:r w:rsidRPr="00DA12C1">
        <w:rPr>
          <w:i/>
          <w:sz w:val="24"/>
          <w:szCs w:val="24"/>
          <w:u w:val="single"/>
          <w:lang w:val="it-IT"/>
        </w:rPr>
        <w:t>+1 mg film-coated tablets</w:t>
      </w:r>
    </w:p>
    <w:p w:rsidR="00DA12C1" w:rsidRDefault="00DA12C1" w:rsidP="006A3316">
      <w:pPr>
        <w:tabs>
          <w:tab w:val="left" w:pos="851"/>
        </w:tabs>
        <w:ind w:left="851"/>
        <w:rPr>
          <w:sz w:val="24"/>
          <w:szCs w:val="24"/>
          <w:lang w:val="en-US"/>
        </w:rPr>
      </w:pPr>
    </w:p>
    <w:p w:rsidR="006A3316" w:rsidRPr="00DA12C1" w:rsidRDefault="006A3316" w:rsidP="006A3316">
      <w:pPr>
        <w:tabs>
          <w:tab w:val="left" w:pos="851"/>
        </w:tabs>
        <w:ind w:left="851"/>
        <w:rPr>
          <w:i/>
          <w:sz w:val="24"/>
          <w:szCs w:val="24"/>
          <w:lang w:val="en-US"/>
        </w:rPr>
      </w:pPr>
      <w:r w:rsidRPr="00DA12C1">
        <w:rPr>
          <w:i/>
          <w:sz w:val="24"/>
          <w:szCs w:val="24"/>
          <w:lang w:val="en-US"/>
        </w:rPr>
        <w:t>0.5 mg film-coated tablets</w:t>
      </w:r>
    </w:p>
    <w:p w:rsidR="006A3316" w:rsidRPr="006A3316" w:rsidRDefault="006A3316" w:rsidP="006A3316">
      <w:pPr>
        <w:tabs>
          <w:tab w:val="left" w:pos="851"/>
        </w:tabs>
        <w:ind w:left="851"/>
        <w:rPr>
          <w:sz w:val="24"/>
          <w:szCs w:val="24"/>
          <w:lang w:val="it-IT"/>
        </w:rPr>
      </w:pPr>
      <w:r w:rsidRPr="006A3316">
        <w:rPr>
          <w:sz w:val="24"/>
          <w:szCs w:val="24"/>
          <w:lang w:val="it-IT"/>
        </w:rPr>
        <w:t>Hypromellose (E464)</w:t>
      </w:r>
    </w:p>
    <w:p w:rsidR="006A3316" w:rsidRPr="006A3316" w:rsidRDefault="006A3316" w:rsidP="006A3316">
      <w:pPr>
        <w:tabs>
          <w:tab w:val="left" w:pos="851"/>
        </w:tabs>
        <w:ind w:left="851"/>
        <w:rPr>
          <w:sz w:val="24"/>
          <w:szCs w:val="24"/>
          <w:lang w:val="it-IT"/>
        </w:rPr>
      </w:pPr>
      <w:r w:rsidRPr="006A3316">
        <w:rPr>
          <w:sz w:val="24"/>
          <w:szCs w:val="24"/>
          <w:lang w:val="it-IT"/>
        </w:rPr>
        <w:t>Hydroxypropyl cellulose (E463)</w:t>
      </w:r>
    </w:p>
    <w:p w:rsidR="006A3316" w:rsidRPr="00795FCE" w:rsidRDefault="006A3316" w:rsidP="006A3316">
      <w:pPr>
        <w:tabs>
          <w:tab w:val="left" w:pos="851"/>
        </w:tabs>
        <w:ind w:left="851"/>
        <w:rPr>
          <w:sz w:val="24"/>
          <w:szCs w:val="24"/>
          <w:lang w:val="en-US"/>
        </w:rPr>
      </w:pPr>
      <w:r w:rsidRPr="00795FCE">
        <w:rPr>
          <w:sz w:val="24"/>
          <w:szCs w:val="24"/>
          <w:lang w:val="en-US"/>
        </w:rPr>
        <w:t>Titanium dioxide (E171)</w:t>
      </w:r>
    </w:p>
    <w:p w:rsidR="006A3316" w:rsidRPr="00795FCE" w:rsidRDefault="006A3316" w:rsidP="006A3316">
      <w:pPr>
        <w:tabs>
          <w:tab w:val="left" w:pos="851"/>
        </w:tabs>
        <w:ind w:left="851"/>
        <w:rPr>
          <w:sz w:val="24"/>
          <w:szCs w:val="24"/>
          <w:lang w:val="en-US"/>
        </w:rPr>
      </w:pPr>
      <w:r w:rsidRPr="00795FCE">
        <w:rPr>
          <w:sz w:val="24"/>
          <w:szCs w:val="24"/>
          <w:lang w:val="en-US"/>
        </w:rPr>
        <w:t>Talc (E553b)</w:t>
      </w:r>
    </w:p>
    <w:p w:rsidR="00DA12C1" w:rsidRDefault="00DA12C1" w:rsidP="006A3316">
      <w:pPr>
        <w:tabs>
          <w:tab w:val="left" w:pos="851"/>
        </w:tabs>
        <w:ind w:left="851"/>
        <w:rPr>
          <w:sz w:val="24"/>
          <w:szCs w:val="24"/>
          <w:lang w:val="en-GB"/>
        </w:rPr>
      </w:pPr>
    </w:p>
    <w:p w:rsidR="006A3316" w:rsidRPr="00DA12C1" w:rsidRDefault="006A3316" w:rsidP="006A3316">
      <w:pPr>
        <w:tabs>
          <w:tab w:val="left" w:pos="851"/>
        </w:tabs>
        <w:ind w:left="851"/>
        <w:rPr>
          <w:i/>
          <w:sz w:val="24"/>
          <w:szCs w:val="24"/>
          <w:lang w:val="en-GB"/>
        </w:rPr>
      </w:pPr>
      <w:r w:rsidRPr="00DA12C1">
        <w:rPr>
          <w:i/>
          <w:sz w:val="24"/>
          <w:szCs w:val="24"/>
          <w:lang w:val="en-GB"/>
        </w:rPr>
        <w:t>1 mg film-coated tablets</w:t>
      </w:r>
    </w:p>
    <w:p w:rsidR="006A3316" w:rsidRPr="006A3316" w:rsidRDefault="006A3316" w:rsidP="006A3316">
      <w:pPr>
        <w:tabs>
          <w:tab w:val="left" w:pos="851"/>
        </w:tabs>
        <w:ind w:left="851"/>
        <w:rPr>
          <w:sz w:val="24"/>
          <w:szCs w:val="24"/>
          <w:lang w:val="it-IT"/>
        </w:rPr>
      </w:pPr>
      <w:r w:rsidRPr="006A3316">
        <w:rPr>
          <w:sz w:val="24"/>
          <w:szCs w:val="24"/>
          <w:lang w:val="it-IT"/>
        </w:rPr>
        <w:t>Hypromellose (E464)</w:t>
      </w:r>
    </w:p>
    <w:p w:rsidR="006A3316" w:rsidRPr="006A3316" w:rsidRDefault="006A3316" w:rsidP="006A3316">
      <w:pPr>
        <w:tabs>
          <w:tab w:val="left" w:pos="851"/>
        </w:tabs>
        <w:ind w:left="851"/>
        <w:rPr>
          <w:sz w:val="24"/>
          <w:szCs w:val="24"/>
          <w:lang w:val="it-IT"/>
        </w:rPr>
      </w:pPr>
      <w:r w:rsidRPr="006A3316">
        <w:rPr>
          <w:sz w:val="24"/>
          <w:szCs w:val="24"/>
          <w:lang w:val="it-IT"/>
        </w:rPr>
        <w:t>Hydroxypropyl cellulose (E463)</w:t>
      </w:r>
    </w:p>
    <w:p w:rsidR="006A3316" w:rsidRPr="006A3316" w:rsidRDefault="006A3316" w:rsidP="006A3316">
      <w:pPr>
        <w:tabs>
          <w:tab w:val="left" w:pos="851"/>
        </w:tabs>
        <w:ind w:left="851"/>
        <w:rPr>
          <w:sz w:val="24"/>
          <w:szCs w:val="24"/>
          <w:lang w:val="it-IT"/>
        </w:rPr>
      </w:pPr>
      <w:r w:rsidRPr="006A3316">
        <w:rPr>
          <w:sz w:val="24"/>
          <w:szCs w:val="24"/>
          <w:lang w:val="it-IT"/>
        </w:rPr>
        <w:t>Titanium dioxide (E171)</w:t>
      </w:r>
    </w:p>
    <w:p w:rsidR="006A3316" w:rsidRPr="006A3316" w:rsidRDefault="006A3316" w:rsidP="006A3316">
      <w:pPr>
        <w:tabs>
          <w:tab w:val="left" w:pos="851"/>
        </w:tabs>
        <w:ind w:left="851"/>
        <w:rPr>
          <w:sz w:val="24"/>
          <w:szCs w:val="24"/>
          <w:lang w:val="it-IT"/>
        </w:rPr>
      </w:pPr>
      <w:r w:rsidRPr="006A3316">
        <w:rPr>
          <w:sz w:val="24"/>
          <w:szCs w:val="24"/>
          <w:lang w:val="it-IT"/>
        </w:rPr>
        <w:t>Talc (E553b)</w:t>
      </w:r>
    </w:p>
    <w:p w:rsidR="006A3316" w:rsidRPr="006A3316" w:rsidRDefault="006A3316" w:rsidP="006A3316">
      <w:pPr>
        <w:tabs>
          <w:tab w:val="left" w:pos="851"/>
        </w:tabs>
        <w:ind w:left="851"/>
        <w:rPr>
          <w:sz w:val="24"/>
          <w:szCs w:val="24"/>
          <w:lang w:val="it-IT"/>
        </w:rPr>
      </w:pPr>
      <w:r w:rsidRPr="006A3316">
        <w:rPr>
          <w:sz w:val="24"/>
          <w:szCs w:val="24"/>
          <w:lang w:val="it-IT"/>
        </w:rPr>
        <w:t>Blue indigo carmine (E132)</w:t>
      </w:r>
    </w:p>
    <w:p w:rsidR="007C5D2A" w:rsidRPr="00303008" w:rsidRDefault="007C5D2A" w:rsidP="003D727E">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557359" w:rsidRPr="00557359" w:rsidRDefault="00557359" w:rsidP="00557359">
      <w:pPr>
        <w:tabs>
          <w:tab w:val="left" w:pos="851"/>
        </w:tabs>
        <w:ind w:left="851"/>
        <w:rPr>
          <w:sz w:val="24"/>
          <w:szCs w:val="24"/>
          <w:lang w:val="it-IT"/>
        </w:rPr>
      </w:pPr>
      <w:r w:rsidRPr="00557359">
        <w:rPr>
          <w:sz w:val="24"/>
          <w:szCs w:val="24"/>
          <w:lang w:val="it-IT"/>
        </w:rPr>
        <w:t>Not applicable.</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rsidR="00557359" w:rsidRPr="00557359" w:rsidRDefault="00557359" w:rsidP="00557359">
      <w:pPr>
        <w:tabs>
          <w:tab w:val="left" w:pos="851"/>
        </w:tabs>
        <w:ind w:left="851"/>
        <w:rPr>
          <w:sz w:val="24"/>
          <w:szCs w:val="24"/>
          <w:lang w:val="en-GB"/>
        </w:rPr>
      </w:pPr>
      <w:r w:rsidRPr="00557359">
        <w:rPr>
          <w:sz w:val="24"/>
          <w:szCs w:val="24"/>
          <w:lang w:val="en-GB"/>
        </w:rPr>
        <w:t>36 months</w:t>
      </w:r>
      <w:r>
        <w:rPr>
          <w:sz w:val="24"/>
          <w:szCs w:val="24"/>
          <w:lang w:val="en-GB"/>
        </w:rPr>
        <w:t>.</w:t>
      </w:r>
    </w:p>
    <w:p w:rsidR="007C5D2A" w:rsidRPr="00557359"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7C3132" w:rsidRPr="007C3132" w:rsidRDefault="007C3132" w:rsidP="007C3132">
      <w:pPr>
        <w:tabs>
          <w:tab w:val="left" w:pos="851"/>
        </w:tabs>
        <w:ind w:left="851"/>
        <w:rPr>
          <w:sz w:val="24"/>
          <w:szCs w:val="24"/>
          <w:lang w:val="en-US"/>
        </w:rPr>
      </w:pPr>
      <w:r w:rsidRPr="007C3132">
        <w:rPr>
          <w:sz w:val="24"/>
          <w:szCs w:val="24"/>
          <w:lang w:val="en-US"/>
        </w:rPr>
        <w:t>This medicinal product does not require any special storage condition.</w:t>
      </w:r>
    </w:p>
    <w:p w:rsidR="007C5D2A" w:rsidRPr="007C3132"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D44130" w:rsidRDefault="00D44130" w:rsidP="007C3132">
      <w:pPr>
        <w:tabs>
          <w:tab w:val="left" w:pos="851"/>
        </w:tabs>
        <w:ind w:left="851"/>
        <w:rPr>
          <w:sz w:val="24"/>
          <w:szCs w:val="24"/>
          <w:lang w:val="en-GB"/>
        </w:rPr>
      </w:pPr>
    </w:p>
    <w:p w:rsidR="007C3132" w:rsidRPr="00D44130" w:rsidRDefault="007C3132" w:rsidP="007C3132">
      <w:pPr>
        <w:tabs>
          <w:tab w:val="left" w:pos="851"/>
        </w:tabs>
        <w:ind w:left="851"/>
        <w:rPr>
          <w:sz w:val="24"/>
          <w:szCs w:val="24"/>
          <w:u w:val="single"/>
          <w:lang w:val="en-GB"/>
        </w:rPr>
      </w:pPr>
      <w:r w:rsidRPr="00D44130">
        <w:rPr>
          <w:sz w:val="24"/>
          <w:szCs w:val="24"/>
          <w:u w:val="single"/>
          <w:lang w:val="en-GB"/>
        </w:rPr>
        <w:t>PVdC/PVC/PE/PVdC aluminium blister pack</w:t>
      </w:r>
    </w:p>
    <w:p w:rsidR="007C3132" w:rsidRDefault="007C3132" w:rsidP="007C3132">
      <w:pPr>
        <w:tabs>
          <w:tab w:val="left" w:pos="851"/>
        </w:tabs>
        <w:ind w:left="851"/>
        <w:rPr>
          <w:sz w:val="24"/>
          <w:szCs w:val="24"/>
          <w:lang w:val="en-GB"/>
        </w:rPr>
      </w:pPr>
    </w:p>
    <w:p w:rsidR="007C2726" w:rsidRPr="00A72EE8" w:rsidRDefault="007C2726" w:rsidP="007C3132">
      <w:pPr>
        <w:tabs>
          <w:tab w:val="left" w:pos="851"/>
        </w:tabs>
        <w:ind w:left="851"/>
        <w:rPr>
          <w:i/>
          <w:sz w:val="24"/>
          <w:szCs w:val="24"/>
          <w:lang w:val="en-GB"/>
        </w:rPr>
      </w:pPr>
      <w:r w:rsidRPr="00A72EE8">
        <w:rPr>
          <w:i/>
          <w:sz w:val="24"/>
          <w:szCs w:val="24"/>
          <w:lang w:val="en-GB"/>
        </w:rPr>
        <w:t>0,5 mg</w:t>
      </w:r>
    </w:p>
    <w:p w:rsidR="007C3132" w:rsidRPr="007C3132" w:rsidRDefault="007C3132" w:rsidP="007C3132">
      <w:pPr>
        <w:tabs>
          <w:tab w:val="left" w:pos="851"/>
        </w:tabs>
        <w:ind w:left="851"/>
        <w:rPr>
          <w:sz w:val="24"/>
          <w:szCs w:val="24"/>
          <w:lang w:val="en-GB"/>
        </w:rPr>
      </w:pPr>
      <w:r w:rsidRPr="007C3132">
        <w:rPr>
          <w:sz w:val="24"/>
          <w:szCs w:val="24"/>
          <w:lang w:val="en-GB"/>
        </w:rPr>
        <w:t>Each pack contains 56 film-coated tablets in blisters or 56</w:t>
      </w:r>
      <w:r w:rsidR="00D44130">
        <w:rPr>
          <w:sz w:val="24"/>
          <w:szCs w:val="24"/>
          <w:lang w:val="en-GB"/>
        </w:rPr>
        <w:t>×</w:t>
      </w:r>
      <w:r w:rsidRPr="007C3132">
        <w:rPr>
          <w:sz w:val="24"/>
          <w:szCs w:val="24"/>
          <w:lang w:val="en-GB"/>
        </w:rPr>
        <w:t>1 film-coated tablets in unit dose blisters.</w:t>
      </w:r>
    </w:p>
    <w:p w:rsidR="00D44130" w:rsidRDefault="00D44130" w:rsidP="007C3132">
      <w:pPr>
        <w:tabs>
          <w:tab w:val="left" w:pos="851"/>
        </w:tabs>
        <w:ind w:left="851"/>
        <w:rPr>
          <w:sz w:val="24"/>
          <w:szCs w:val="24"/>
          <w:lang w:val="en-GB"/>
        </w:rPr>
      </w:pPr>
    </w:p>
    <w:p w:rsidR="007C2726" w:rsidRPr="00A72EE8" w:rsidRDefault="007C2726" w:rsidP="007C3132">
      <w:pPr>
        <w:tabs>
          <w:tab w:val="left" w:pos="851"/>
        </w:tabs>
        <w:ind w:left="851"/>
        <w:rPr>
          <w:i/>
          <w:sz w:val="24"/>
          <w:szCs w:val="24"/>
          <w:lang w:val="en-GB"/>
        </w:rPr>
      </w:pPr>
      <w:r w:rsidRPr="00A72EE8">
        <w:rPr>
          <w:i/>
          <w:sz w:val="24"/>
          <w:szCs w:val="24"/>
          <w:lang w:val="en-GB"/>
        </w:rPr>
        <w:t>1 mg</w:t>
      </w:r>
    </w:p>
    <w:p w:rsidR="007C3132" w:rsidRPr="007C3132" w:rsidRDefault="007C3132" w:rsidP="007C3132">
      <w:pPr>
        <w:tabs>
          <w:tab w:val="left" w:pos="851"/>
        </w:tabs>
        <w:ind w:left="851"/>
        <w:rPr>
          <w:sz w:val="24"/>
          <w:szCs w:val="24"/>
          <w:lang w:val="en-GB"/>
        </w:rPr>
      </w:pPr>
      <w:r w:rsidRPr="007C3132">
        <w:rPr>
          <w:sz w:val="24"/>
          <w:szCs w:val="24"/>
          <w:lang w:val="en-GB"/>
        </w:rPr>
        <w:t>Each pack contains 28, 56, 112 or 140 film-coated tablets in blisters or 28</w:t>
      </w:r>
      <w:r w:rsidR="00294FAB">
        <w:rPr>
          <w:sz w:val="24"/>
          <w:szCs w:val="24"/>
          <w:lang w:val="en-GB"/>
        </w:rPr>
        <w:t>×</w:t>
      </w:r>
      <w:r w:rsidRPr="007C3132">
        <w:rPr>
          <w:sz w:val="24"/>
          <w:szCs w:val="24"/>
          <w:lang w:val="en-GB"/>
        </w:rPr>
        <w:t>1, 56</w:t>
      </w:r>
      <w:r w:rsidR="00294FAB">
        <w:rPr>
          <w:sz w:val="24"/>
          <w:szCs w:val="24"/>
          <w:lang w:val="en-GB"/>
        </w:rPr>
        <w:t>×</w:t>
      </w:r>
      <w:r w:rsidRPr="007C3132">
        <w:rPr>
          <w:sz w:val="24"/>
          <w:szCs w:val="24"/>
          <w:lang w:val="en-GB"/>
        </w:rPr>
        <w:t>1, 112</w:t>
      </w:r>
      <w:r w:rsidR="00294FAB">
        <w:rPr>
          <w:sz w:val="24"/>
          <w:szCs w:val="24"/>
          <w:lang w:val="en-GB"/>
        </w:rPr>
        <w:t>×</w:t>
      </w:r>
      <w:r w:rsidRPr="007C3132">
        <w:rPr>
          <w:sz w:val="24"/>
          <w:szCs w:val="24"/>
          <w:lang w:val="en-GB"/>
        </w:rPr>
        <w:t>1 or 140</w:t>
      </w:r>
      <w:r w:rsidR="00294FAB">
        <w:rPr>
          <w:sz w:val="24"/>
          <w:szCs w:val="24"/>
          <w:lang w:val="en-GB"/>
        </w:rPr>
        <w:t>×</w:t>
      </w:r>
      <w:r w:rsidRPr="007C3132">
        <w:rPr>
          <w:sz w:val="24"/>
          <w:szCs w:val="24"/>
          <w:lang w:val="en-GB"/>
        </w:rPr>
        <w:t>1 film-coated tablets in unit dose blisters.</w:t>
      </w:r>
    </w:p>
    <w:p w:rsidR="00D44130" w:rsidRDefault="00D44130" w:rsidP="007C3132">
      <w:pPr>
        <w:tabs>
          <w:tab w:val="left" w:pos="851"/>
        </w:tabs>
        <w:ind w:left="851"/>
        <w:rPr>
          <w:sz w:val="24"/>
          <w:szCs w:val="24"/>
          <w:lang w:val="en-GB"/>
        </w:rPr>
      </w:pPr>
    </w:p>
    <w:p w:rsidR="00294FAB" w:rsidRPr="00A72EE8" w:rsidRDefault="00294FAB" w:rsidP="007C3132">
      <w:pPr>
        <w:tabs>
          <w:tab w:val="left" w:pos="851"/>
        </w:tabs>
        <w:ind w:left="851"/>
        <w:rPr>
          <w:i/>
          <w:sz w:val="24"/>
          <w:szCs w:val="24"/>
          <w:lang w:val="en-GB"/>
        </w:rPr>
      </w:pPr>
      <w:r w:rsidRPr="00A72EE8">
        <w:rPr>
          <w:i/>
          <w:sz w:val="24"/>
          <w:szCs w:val="24"/>
          <w:lang w:val="en-GB"/>
        </w:rPr>
        <w:t>0,5 mg+1 mg</w:t>
      </w:r>
    </w:p>
    <w:p w:rsidR="007C3132" w:rsidRPr="007C3132" w:rsidRDefault="007C3132" w:rsidP="007C3132">
      <w:pPr>
        <w:tabs>
          <w:tab w:val="left" w:pos="851"/>
        </w:tabs>
        <w:ind w:left="851"/>
        <w:rPr>
          <w:sz w:val="24"/>
          <w:szCs w:val="24"/>
          <w:lang w:val="en-GB"/>
        </w:rPr>
      </w:pPr>
      <w:r w:rsidRPr="007C3132">
        <w:rPr>
          <w:sz w:val="24"/>
          <w:szCs w:val="24"/>
          <w:lang w:val="en-GB"/>
        </w:rPr>
        <w:t>Each pack contains 11 film-coated tablets of 0.5 mg and 14 or 42 film-coated tablets of 1 mg in blisters or 11</w:t>
      </w:r>
      <w:r w:rsidR="005A6D03">
        <w:rPr>
          <w:sz w:val="24"/>
          <w:szCs w:val="24"/>
          <w:lang w:val="en-GB"/>
        </w:rPr>
        <w:t>×</w:t>
      </w:r>
      <w:r w:rsidRPr="007C3132">
        <w:rPr>
          <w:sz w:val="24"/>
          <w:szCs w:val="24"/>
          <w:lang w:val="en-GB"/>
        </w:rPr>
        <w:t>1 film-coated tablets of 0.5 mg and 14</w:t>
      </w:r>
      <w:r w:rsidR="005A6D03">
        <w:rPr>
          <w:sz w:val="24"/>
          <w:szCs w:val="24"/>
          <w:lang w:val="en-GB"/>
        </w:rPr>
        <w:t>×</w:t>
      </w:r>
      <w:r w:rsidRPr="007C3132">
        <w:rPr>
          <w:sz w:val="24"/>
          <w:szCs w:val="24"/>
          <w:lang w:val="en-GB"/>
        </w:rPr>
        <w:t>1 or 42</w:t>
      </w:r>
      <w:r w:rsidR="005A6D03">
        <w:rPr>
          <w:sz w:val="24"/>
          <w:szCs w:val="24"/>
          <w:lang w:val="en-GB"/>
        </w:rPr>
        <w:t>×</w:t>
      </w:r>
      <w:r w:rsidRPr="007C3132">
        <w:rPr>
          <w:sz w:val="24"/>
          <w:szCs w:val="24"/>
          <w:lang w:val="en-GB"/>
        </w:rPr>
        <w:t>1 film-coated tablets of 1 mg in unit dose blisters.</w:t>
      </w:r>
    </w:p>
    <w:p w:rsidR="007C3132" w:rsidRPr="007C3132" w:rsidRDefault="007C3132" w:rsidP="007C3132">
      <w:pPr>
        <w:tabs>
          <w:tab w:val="left" w:pos="851"/>
        </w:tabs>
        <w:ind w:left="851"/>
        <w:rPr>
          <w:sz w:val="24"/>
          <w:szCs w:val="24"/>
          <w:lang w:val="en-GB"/>
        </w:rPr>
      </w:pPr>
    </w:p>
    <w:p w:rsidR="007C3132" w:rsidRPr="00D44130" w:rsidRDefault="007C3132" w:rsidP="007C3132">
      <w:pPr>
        <w:tabs>
          <w:tab w:val="left" w:pos="851"/>
        </w:tabs>
        <w:ind w:left="851"/>
        <w:rPr>
          <w:sz w:val="24"/>
          <w:szCs w:val="24"/>
          <w:u w:val="single"/>
          <w:lang w:val="en-GB"/>
        </w:rPr>
      </w:pPr>
      <w:r w:rsidRPr="00D44130">
        <w:rPr>
          <w:sz w:val="24"/>
          <w:szCs w:val="24"/>
          <w:u w:val="single"/>
          <w:lang w:val="en-GB"/>
        </w:rPr>
        <w:t>High-density polyethylene (HDPE) bottle</w:t>
      </w:r>
    </w:p>
    <w:p w:rsidR="007C3132" w:rsidRPr="007C3132" w:rsidRDefault="007C3132" w:rsidP="007C3132">
      <w:pPr>
        <w:tabs>
          <w:tab w:val="left" w:pos="851"/>
        </w:tabs>
        <w:ind w:left="851"/>
        <w:rPr>
          <w:sz w:val="24"/>
          <w:szCs w:val="24"/>
          <w:lang w:val="en-GB"/>
        </w:rPr>
      </w:pPr>
    </w:p>
    <w:p w:rsidR="00A72EE8" w:rsidRPr="00A72EE8" w:rsidRDefault="00A72EE8" w:rsidP="007C3132">
      <w:pPr>
        <w:tabs>
          <w:tab w:val="left" w:pos="851"/>
        </w:tabs>
        <w:ind w:left="851"/>
        <w:rPr>
          <w:i/>
          <w:sz w:val="24"/>
          <w:szCs w:val="24"/>
          <w:lang w:val="en-GB"/>
        </w:rPr>
      </w:pPr>
      <w:r w:rsidRPr="00A72EE8">
        <w:rPr>
          <w:i/>
          <w:sz w:val="24"/>
          <w:szCs w:val="24"/>
          <w:lang w:val="en-GB"/>
        </w:rPr>
        <w:t>0,5 mg</w:t>
      </w:r>
    </w:p>
    <w:p w:rsidR="007C3132" w:rsidRPr="007C3132" w:rsidRDefault="007C3132" w:rsidP="007C3132">
      <w:pPr>
        <w:tabs>
          <w:tab w:val="left" w:pos="851"/>
        </w:tabs>
        <w:ind w:left="851"/>
        <w:rPr>
          <w:sz w:val="24"/>
          <w:szCs w:val="24"/>
          <w:lang w:val="en-GB"/>
        </w:rPr>
      </w:pPr>
      <w:r w:rsidRPr="007C3132">
        <w:rPr>
          <w:sz w:val="24"/>
          <w:szCs w:val="24"/>
          <w:lang w:val="en-GB"/>
        </w:rPr>
        <w:t>Each HDPE bottle with white opaque polypropylene fine ribbed 38 mm screw cap contains 56 film-coated tablets.</w:t>
      </w:r>
    </w:p>
    <w:p w:rsidR="00A72EE8" w:rsidRDefault="00A72EE8" w:rsidP="007C3132">
      <w:pPr>
        <w:tabs>
          <w:tab w:val="left" w:pos="851"/>
        </w:tabs>
        <w:ind w:left="851"/>
        <w:rPr>
          <w:sz w:val="24"/>
          <w:szCs w:val="24"/>
          <w:lang w:val="en-GB"/>
        </w:rPr>
      </w:pPr>
    </w:p>
    <w:p w:rsidR="00A72EE8" w:rsidRPr="00A72EE8" w:rsidRDefault="00A72EE8" w:rsidP="007C3132">
      <w:pPr>
        <w:tabs>
          <w:tab w:val="left" w:pos="851"/>
        </w:tabs>
        <w:ind w:left="851"/>
        <w:rPr>
          <w:i/>
          <w:sz w:val="24"/>
          <w:szCs w:val="24"/>
          <w:lang w:val="en-GB"/>
        </w:rPr>
      </w:pPr>
      <w:r w:rsidRPr="00A72EE8">
        <w:rPr>
          <w:i/>
          <w:sz w:val="24"/>
          <w:szCs w:val="24"/>
          <w:lang w:val="en-GB"/>
        </w:rPr>
        <w:t>1 mg</w:t>
      </w:r>
    </w:p>
    <w:p w:rsidR="007C3132" w:rsidRPr="007C3132" w:rsidRDefault="007C3132" w:rsidP="007C3132">
      <w:pPr>
        <w:tabs>
          <w:tab w:val="left" w:pos="851"/>
        </w:tabs>
        <w:ind w:left="851"/>
        <w:rPr>
          <w:sz w:val="24"/>
          <w:szCs w:val="24"/>
          <w:lang w:val="en-GB"/>
        </w:rPr>
      </w:pPr>
      <w:r w:rsidRPr="007C3132">
        <w:rPr>
          <w:sz w:val="24"/>
          <w:szCs w:val="24"/>
          <w:lang w:val="en-GB"/>
        </w:rPr>
        <w:t>Each HDPE bottle with white opaque polypropylene fine ribbed 38 mm screw cap contains 56 film-coated tablets.</w:t>
      </w:r>
    </w:p>
    <w:p w:rsidR="00A72EE8" w:rsidRDefault="00A72EE8" w:rsidP="007C3132">
      <w:pPr>
        <w:tabs>
          <w:tab w:val="left" w:pos="851"/>
        </w:tabs>
        <w:ind w:left="851"/>
        <w:rPr>
          <w:sz w:val="24"/>
          <w:szCs w:val="24"/>
          <w:lang w:val="en-GB"/>
        </w:rPr>
      </w:pPr>
    </w:p>
    <w:p w:rsidR="00A72EE8" w:rsidRPr="00A72EE8" w:rsidRDefault="00A72EE8" w:rsidP="007C3132">
      <w:pPr>
        <w:tabs>
          <w:tab w:val="left" w:pos="851"/>
        </w:tabs>
        <w:ind w:left="851"/>
        <w:rPr>
          <w:i/>
          <w:sz w:val="24"/>
          <w:szCs w:val="24"/>
          <w:lang w:val="en-GB"/>
        </w:rPr>
      </w:pPr>
      <w:r w:rsidRPr="00A72EE8">
        <w:rPr>
          <w:i/>
          <w:sz w:val="24"/>
          <w:szCs w:val="24"/>
          <w:lang w:val="en-GB"/>
        </w:rPr>
        <w:t>0,5 mg+1 mg</w:t>
      </w:r>
    </w:p>
    <w:p w:rsidR="007C3132" w:rsidRPr="007C3132" w:rsidRDefault="007C3132" w:rsidP="007C3132">
      <w:pPr>
        <w:tabs>
          <w:tab w:val="left" w:pos="851"/>
        </w:tabs>
        <w:ind w:left="851"/>
        <w:rPr>
          <w:sz w:val="24"/>
          <w:szCs w:val="24"/>
          <w:lang w:val="en-GB"/>
        </w:rPr>
      </w:pPr>
      <w:r w:rsidRPr="007C3132">
        <w:rPr>
          <w:sz w:val="24"/>
          <w:szCs w:val="24"/>
          <w:lang w:val="en-GB"/>
        </w:rPr>
        <w:t>Each HDPE bottle with white opaque polypropylene fine ribbed 38 mm screw cap contains 56 film-coated tablets.</w:t>
      </w:r>
    </w:p>
    <w:p w:rsidR="007C3132" w:rsidRPr="007C3132" w:rsidRDefault="007C3132" w:rsidP="007C3132">
      <w:pPr>
        <w:tabs>
          <w:tab w:val="left" w:pos="851"/>
        </w:tabs>
        <w:ind w:left="851"/>
        <w:rPr>
          <w:sz w:val="24"/>
          <w:szCs w:val="24"/>
          <w:lang w:val="en-GB"/>
        </w:rPr>
      </w:pPr>
    </w:p>
    <w:p w:rsidR="007C3132" w:rsidRPr="007C3132" w:rsidRDefault="007C3132" w:rsidP="007C3132">
      <w:pPr>
        <w:tabs>
          <w:tab w:val="left" w:pos="851"/>
        </w:tabs>
        <w:ind w:left="851"/>
        <w:rPr>
          <w:sz w:val="24"/>
          <w:szCs w:val="24"/>
          <w:lang w:val="en-GB"/>
        </w:rPr>
      </w:pPr>
      <w:r w:rsidRPr="007C3132">
        <w:rPr>
          <w:sz w:val="24"/>
          <w:szCs w:val="24"/>
          <w:lang w:val="en-GB"/>
        </w:rPr>
        <w:t>Not all pack sizes may be marketed.</w:t>
      </w:r>
    </w:p>
    <w:p w:rsidR="007C5D2A" w:rsidRPr="007C3132"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7C3132" w:rsidRPr="007C3132" w:rsidRDefault="007C3132" w:rsidP="007C3132">
      <w:pPr>
        <w:tabs>
          <w:tab w:val="left" w:pos="851"/>
        </w:tabs>
        <w:ind w:left="851"/>
        <w:rPr>
          <w:sz w:val="24"/>
          <w:szCs w:val="24"/>
          <w:lang w:val="en-GB"/>
        </w:rPr>
      </w:pPr>
      <w:r w:rsidRPr="007C3132">
        <w:rPr>
          <w:sz w:val="24"/>
          <w:szCs w:val="24"/>
          <w:lang w:val="en-GB"/>
        </w:rPr>
        <w:t>Any unused medicinal product or waste material should be disposed of in accordance with local requirements.</w:t>
      </w:r>
    </w:p>
    <w:p w:rsidR="007C5D2A" w:rsidRPr="007C3132" w:rsidRDefault="007C5D2A" w:rsidP="00AB4376">
      <w:pPr>
        <w:tabs>
          <w:tab w:val="left" w:pos="851"/>
        </w:tabs>
        <w:ind w:left="851"/>
        <w:rPr>
          <w:sz w:val="24"/>
          <w:szCs w:val="24"/>
          <w:lang w:val="en-GB"/>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A72EE8" w:rsidRPr="00A72EE8" w:rsidRDefault="00A72EE8" w:rsidP="00A72EE8">
      <w:pPr>
        <w:tabs>
          <w:tab w:val="left" w:pos="851"/>
        </w:tabs>
        <w:ind w:left="851"/>
        <w:jc w:val="both"/>
        <w:rPr>
          <w:sz w:val="24"/>
          <w:szCs w:val="24"/>
          <w:lang w:val="en-US"/>
        </w:rPr>
      </w:pPr>
      <w:bookmarkStart w:id="4" w:name="_Hlk188445286"/>
      <w:bookmarkStart w:id="5" w:name="_Hlk116394475"/>
      <w:bookmarkStart w:id="6" w:name="_Hlk117597164"/>
      <w:r w:rsidRPr="00A72EE8">
        <w:rPr>
          <w:sz w:val="24"/>
          <w:szCs w:val="24"/>
          <w:lang w:val="en-US"/>
        </w:rPr>
        <w:t>STADA Arzneimittel AG</w:t>
      </w:r>
    </w:p>
    <w:bookmarkEnd w:id="4"/>
    <w:p w:rsidR="00A72EE8" w:rsidRPr="00A72EE8" w:rsidRDefault="00A72EE8" w:rsidP="00A72EE8">
      <w:pPr>
        <w:tabs>
          <w:tab w:val="left" w:pos="851"/>
        </w:tabs>
        <w:ind w:left="851"/>
        <w:jc w:val="both"/>
        <w:rPr>
          <w:sz w:val="24"/>
          <w:szCs w:val="24"/>
          <w:lang w:val="en-US"/>
        </w:rPr>
      </w:pPr>
      <w:r w:rsidRPr="00A72EE8">
        <w:rPr>
          <w:sz w:val="24"/>
          <w:szCs w:val="24"/>
          <w:lang w:val="en-US"/>
        </w:rPr>
        <w:t>Stadastrasse 2-18</w:t>
      </w:r>
    </w:p>
    <w:p w:rsidR="00A72EE8" w:rsidRPr="00A72EE8" w:rsidRDefault="00A72EE8" w:rsidP="00A72EE8">
      <w:pPr>
        <w:tabs>
          <w:tab w:val="left" w:pos="851"/>
        </w:tabs>
        <w:ind w:left="851"/>
        <w:jc w:val="both"/>
        <w:rPr>
          <w:sz w:val="24"/>
          <w:szCs w:val="24"/>
          <w:lang w:val="en-US"/>
        </w:rPr>
      </w:pPr>
      <w:r w:rsidRPr="00A72EE8">
        <w:rPr>
          <w:sz w:val="24"/>
          <w:szCs w:val="24"/>
          <w:lang w:val="en-US"/>
        </w:rPr>
        <w:t>61118 Bad Vilbel</w:t>
      </w:r>
    </w:p>
    <w:p w:rsidR="00A72EE8" w:rsidRPr="00A72EE8" w:rsidRDefault="00A72EE8" w:rsidP="00A72EE8">
      <w:pPr>
        <w:tabs>
          <w:tab w:val="left" w:pos="851"/>
        </w:tabs>
        <w:ind w:left="851"/>
        <w:jc w:val="both"/>
        <w:rPr>
          <w:sz w:val="24"/>
          <w:szCs w:val="24"/>
          <w:lang w:val="en-US"/>
        </w:rPr>
      </w:pPr>
      <w:r w:rsidRPr="00A72EE8">
        <w:rPr>
          <w:sz w:val="24"/>
          <w:szCs w:val="24"/>
          <w:lang w:val="en-US"/>
        </w:rPr>
        <w:t>Germany</w:t>
      </w:r>
      <w:bookmarkEnd w:id="5"/>
    </w:p>
    <w:bookmarkEnd w:id="6"/>
    <w:p w:rsidR="007C5D2A" w:rsidRDefault="007C5D2A" w:rsidP="003E0341">
      <w:pPr>
        <w:tabs>
          <w:tab w:val="left" w:pos="851"/>
        </w:tabs>
        <w:ind w:left="851"/>
        <w:jc w:val="both"/>
        <w:rPr>
          <w:sz w:val="24"/>
          <w:szCs w:val="24"/>
          <w:lang w:val="en-GB"/>
        </w:rPr>
      </w:pPr>
    </w:p>
    <w:p w:rsidR="008A24F6" w:rsidRDefault="005A498B" w:rsidP="003E0341">
      <w:pPr>
        <w:tabs>
          <w:tab w:val="left" w:pos="851"/>
        </w:tabs>
        <w:ind w:left="851"/>
        <w:jc w:val="both"/>
        <w:rPr>
          <w:b/>
          <w:sz w:val="24"/>
          <w:szCs w:val="24"/>
          <w:lang w:val="en-GB"/>
        </w:rPr>
      </w:pPr>
      <w:r>
        <w:rPr>
          <w:b/>
          <w:sz w:val="24"/>
          <w:szCs w:val="24"/>
          <w:lang w:val="en-GB"/>
        </w:rPr>
        <w:t>Representative</w:t>
      </w:r>
    </w:p>
    <w:p w:rsidR="005A498B" w:rsidRDefault="00A72EE8" w:rsidP="005A498B">
      <w:pPr>
        <w:tabs>
          <w:tab w:val="left" w:pos="851"/>
        </w:tabs>
        <w:ind w:left="851"/>
        <w:jc w:val="both"/>
        <w:rPr>
          <w:sz w:val="24"/>
          <w:szCs w:val="24"/>
          <w:lang w:val="en-GB"/>
        </w:rPr>
      </w:pPr>
      <w:r>
        <w:rPr>
          <w:sz w:val="24"/>
          <w:szCs w:val="24"/>
          <w:lang w:val="en-GB"/>
        </w:rPr>
        <w:t>STADA Nordic ApS</w:t>
      </w:r>
    </w:p>
    <w:p w:rsidR="00A72EE8" w:rsidRDefault="008242D2" w:rsidP="005A498B">
      <w:pPr>
        <w:tabs>
          <w:tab w:val="left" w:pos="851"/>
        </w:tabs>
        <w:ind w:left="851"/>
        <w:jc w:val="both"/>
        <w:rPr>
          <w:sz w:val="24"/>
          <w:szCs w:val="24"/>
          <w:lang w:val="en-GB"/>
        </w:rPr>
      </w:pPr>
      <w:r>
        <w:rPr>
          <w:sz w:val="24"/>
          <w:szCs w:val="24"/>
          <w:lang w:val="en-GB"/>
        </w:rPr>
        <w:t>Marielundvej 46 A</w:t>
      </w:r>
    </w:p>
    <w:p w:rsidR="008242D2" w:rsidRPr="00303008" w:rsidRDefault="008242D2" w:rsidP="005A498B">
      <w:pPr>
        <w:tabs>
          <w:tab w:val="left" w:pos="851"/>
        </w:tabs>
        <w:ind w:left="851"/>
        <w:jc w:val="both"/>
        <w:rPr>
          <w:sz w:val="24"/>
          <w:szCs w:val="24"/>
          <w:lang w:val="en-GB"/>
        </w:rPr>
      </w:pPr>
      <w:r>
        <w:rPr>
          <w:sz w:val="24"/>
          <w:szCs w:val="24"/>
          <w:lang w:val="en-GB"/>
        </w:rPr>
        <w:t>2730 Herlev</w:t>
      </w:r>
    </w:p>
    <w:p w:rsidR="008A24F6" w:rsidRPr="00303008" w:rsidRDefault="008A24F6"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Default="008242D2" w:rsidP="008242D2">
      <w:pPr>
        <w:tabs>
          <w:tab w:val="left" w:pos="851"/>
          <w:tab w:val="left" w:pos="2268"/>
        </w:tabs>
        <w:ind w:left="851"/>
        <w:jc w:val="both"/>
        <w:rPr>
          <w:sz w:val="24"/>
          <w:szCs w:val="24"/>
          <w:lang w:val="en-GB"/>
        </w:rPr>
      </w:pPr>
      <w:r>
        <w:rPr>
          <w:sz w:val="24"/>
          <w:szCs w:val="24"/>
          <w:lang w:val="en-GB"/>
        </w:rPr>
        <w:t>0,5 mg:</w:t>
      </w:r>
      <w:r>
        <w:rPr>
          <w:sz w:val="24"/>
          <w:szCs w:val="24"/>
          <w:lang w:val="en-GB"/>
        </w:rPr>
        <w:tab/>
        <w:t>64531</w:t>
      </w:r>
    </w:p>
    <w:p w:rsidR="008242D2" w:rsidRDefault="008242D2" w:rsidP="008242D2">
      <w:pPr>
        <w:tabs>
          <w:tab w:val="left" w:pos="851"/>
          <w:tab w:val="left" w:pos="2268"/>
        </w:tabs>
        <w:ind w:left="851"/>
        <w:jc w:val="both"/>
        <w:rPr>
          <w:sz w:val="24"/>
          <w:szCs w:val="24"/>
          <w:lang w:val="en-GB"/>
        </w:rPr>
      </w:pPr>
      <w:r>
        <w:rPr>
          <w:sz w:val="24"/>
          <w:szCs w:val="24"/>
          <w:lang w:val="en-GB"/>
        </w:rPr>
        <w:t>1 mg:</w:t>
      </w:r>
      <w:r>
        <w:rPr>
          <w:sz w:val="24"/>
          <w:szCs w:val="24"/>
          <w:lang w:val="en-GB"/>
        </w:rPr>
        <w:tab/>
        <w:t>64532</w:t>
      </w:r>
    </w:p>
    <w:p w:rsidR="008242D2" w:rsidRPr="00303008" w:rsidRDefault="008242D2" w:rsidP="008242D2">
      <w:pPr>
        <w:tabs>
          <w:tab w:val="left" w:pos="851"/>
          <w:tab w:val="left" w:pos="2268"/>
        </w:tabs>
        <w:ind w:left="851"/>
        <w:jc w:val="both"/>
        <w:rPr>
          <w:sz w:val="24"/>
          <w:szCs w:val="24"/>
          <w:lang w:val="en-GB"/>
        </w:rPr>
      </w:pPr>
      <w:r>
        <w:rPr>
          <w:sz w:val="24"/>
          <w:szCs w:val="24"/>
          <w:lang w:val="en-GB"/>
        </w:rPr>
        <w:t>0,5 mg+1 mg:</w:t>
      </w:r>
      <w:r>
        <w:rPr>
          <w:sz w:val="24"/>
          <w:szCs w:val="24"/>
          <w:lang w:val="en-GB"/>
        </w:rPr>
        <w:tab/>
        <w:t>64533</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795FCE" w:rsidP="00A85D26">
      <w:pPr>
        <w:ind w:left="851"/>
        <w:jc w:val="both"/>
        <w:rPr>
          <w:sz w:val="24"/>
          <w:szCs w:val="24"/>
          <w:lang w:val="en-GB"/>
        </w:rPr>
      </w:pPr>
      <w:r>
        <w:rPr>
          <w:sz w:val="24"/>
          <w:szCs w:val="24"/>
          <w:lang w:val="en-GB"/>
        </w:rPr>
        <w:t>31 January 2025</w:t>
      </w:r>
      <w:bookmarkStart w:id="7" w:name="_GoBack"/>
      <w:bookmarkEnd w:id="7"/>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8242D2"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931" w:rsidRDefault="00002931">
      <w:r>
        <w:separator/>
      </w:r>
    </w:p>
  </w:endnote>
  <w:endnote w:type="continuationSeparator" w:id="0">
    <w:p w:rsidR="00002931" w:rsidRDefault="0000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931" w:rsidRDefault="0000293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931" w:rsidRDefault="00002931">
    <w:pPr>
      <w:pStyle w:val="Sidefod"/>
      <w:pBdr>
        <w:bottom w:val="single" w:sz="6" w:space="1" w:color="auto"/>
      </w:pBdr>
    </w:pPr>
  </w:p>
  <w:p w:rsidR="00002931" w:rsidRDefault="00002931">
    <w:pPr>
      <w:pStyle w:val="Sidefod"/>
      <w:tabs>
        <w:tab w:val="clear" w:pos="4819"/>
        <w:tab w:val="left" w:pos="8647"/>
      </w:tabs>
      <w:rPr>
        <w:i/>
        <w:snapToGrid w:val="0"/>
        <w:sz w:val="18"/>
      </w:rPr>
    </w:pPr>
  </w:p>
  <w:p w:rsidR="00002931" w:rsidRDefault="00002931"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Vareniclin Stada, filmovertrukne tabletter 0,5 mg, 1 mg og 0,5+1 mg (startpakke)</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931" w:rsidRDefault="00002931">
    <w:pPr>
      <w:pStyle w:val="Sidefod"/>
      <w:pBdr>
        <w:bottom w:val="single" w:sz="6" w:space="1" w:color="auto"/>
      </w:pBdr>
      <w:tabs>
        <w:tab w:val="clear" w:pos="4819"/>
        <w:tab w:val="left" w:pos="8789"/>
      </w:tabs>
      <w:rPr>
        <w:i/>
        <w:snapToGrid w:val="0"/>
        <w:sz w:val="18"/>
      </w:rPr>
    </w:pPr>
  </w:p>
  <w:p w:rsidR="00002931" w:rsidRDefault="00002931">
    <w:pPr>
      <w:pStyle w:val="Sidefod"/>
      <w:tabs>
        <w:tab w:val="clear" w:pos="4819"/>
        <w:tab w:val="left" w:pos="8789"/>
      </w:tabs>
      <w:rPr>
        <w:i/>
        <w:snapToGrid w:val="0"/>
        <w:sz w:val="18"/>
      </w:rPr>
    </w:pPr>
  </w:p>
  <w:p w:rsidR="00002931" w:rsidRDefault="00002931">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Vareniclin Stada, filmovertrukne tabletter 0,5 mg, 1 mg og 0,5+1 mg (startpakke)</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931" w:rsidRDefault="00002931">
      <w:r>
        <w:separator/>
      </w:r>
    </w:p>
  </w:footnote>
  <w:footnote w:type="continuationSeparator" w:id="0">
    <w:p w:rsidR="00002931" w:rsidRDefault="00002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931" w:rsidRDefault="0000293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931" w:rsidRDefault="00002931">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931" w:rsidRDefault="0000293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2F52209"/>
    <w:multiLevelType w:val="hybridMultilevel"/>
    <w:tmpl w:val="78B2B9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621613D"/>
    <w:multiLevelType w:val="hybridMultilevel"/>
    <w:tmpl w:val="821875AA"/>
    <w:lvl w:ilvl="0" w:tplc="4CE66B94">
      <w:start w:val="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2E0B97"/>
    <w:multiLevelType w:val="hybridMultilevel"/>
    <w:tmpl w:val="AB36D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FE1F20"/>
    <w:multiLevelType w:val="hybridMultilevel"/>
    <w:tmpl w:val="AD7625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98B5128"/>
    <w:multiLevelType w:val="hybridMultilevel"/>
    <w:tmpl w:val="99FE3EA6"/>
    <w:lvl w:ilvl="0" w:tplc="7CCE5D6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3D6C05"/>
    <w:multiLevelType w:val="hybridMultilevel"/>
    <w:tmpl w:val="92A2C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177F59"/>
    <w:multiLevelType w:val="hybridMultilevel"/>
    <w:tmpl w:val="76AE5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2F46AA"/>
    <w:multiLevelType w:val="hybridMultilevel"/>
    <w:tmpl w:val="40E26CD4"/>
    <w:lvl w:ilvl="0" w:tplc="7CB0E8B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05D60"/>
    <w:multiLevelType w:val="hybridMultilevel"/>
    <w:tmpl w:val="FB489F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3B647D8"/>
    <w:multiLevelType w:val="hybridMultilevel"/>
    <w:tmpl w:val="D51AD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067AEF"/>
    <w:multiLevelType w:val="hybridMultilevel"/>
    <w:tmpl w:val="1166B38A"/>
    <w:lvl w:ilvl="0" w:tplc="7CB0E8B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402B40"/>
    <w:multiLevelType w:val="hybridMultilevel"/>
    <w:tmpl w:val="E40054BE"/>
    <w:lvl w:ilvl="0" w:tplc="BAA86F22">
      <w:start w:val="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F41987"/>
    <w:multiLevelType w:val="hybridMultilevel"/>
    <w:tmpl w:val="0024A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1F04F4"/>
    <w:multiLevelType w:val="hybridMultilevel"/>
    <w:tmpl w:val="7DAA555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7" w15:restartNumberingAfterBreak="0">
    <w:nsid w:val="5AC20F2F"/>
    <w:multiLevelType w:val="hybridMultilevel"/>
    <w:tmpl w:val="81A8A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A02558"/>
    <w:multiLevelType w:val="hybridMultilevel"/>
    <w:tmpl w:val="C5FAA924"/>
    <w:lvl w:ilvl="0" w:tplc="276A71B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330F79"/>
    <w:multiLevelType w:val="hybridMultilevel"/>
    <w:tmpl w:val="39502DDA"/>
    <w:lvl w:ilvl="0" w:tplc="28EE9226">
      <w:start w:val="9"/>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4A3AD1"/>
    <w:multiLevelType w:val="hybridMultilevel"/>
    <w:tmpl w:val="6C965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2" w15:restartNumberingAfterBreak="0">
    <w:nsid w:val="6BE633F1"/>
    <w:multiLevelType w:val="hybridMultilevel"/>
    <w:tmpl w:val="CBDC7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EEE63B1"/>
    <w:multiLevelType w:val="hybridMultilevel"/>
    <w:tmpl w:val="BC9C53A0"/>
    <w:lvl w:ilvl="0" w:tplc="78F0180A">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1"/>
  </w:num>
  <w:num w:numId="4">
    <w:abstractNumId w:val="2"/>
  </w:num>
  <w:num w:numId="5">
    <w:abstractNumId w:val="11"/>
  </w:num>
  <w:num w:numId="6">
    <w:abstractNumId w:val="9"/>
  </w:num>
  <w:num w:numId="7">
    <w:abstractNumId w:val="20"/>
  </w:num>
  <w:num w:numId="8">
    <w:abstractNumId w:val="6"/>
  </w:num>
  <w:num w:numId="9">
    <w:abstractNumId w:val="7"/>
  </w:num>
  <w:num w:numId="10">
    <w:abstractNumId w:val="18"/>
  </w:num>
  <w:num w:numId="11">
    <w:abstractNumId w:val="5"/>
  </w:num>
  <w:num w:numId="12">
    <w:abstractNumId w:val="13"/>
  </w:num>
  <w:num w:numId="13">
    <w:abstractNumId w:val="12"/>
  </w:num>
  <w:num w:numId="14">
    <w:abstractNumId w:val="22"/>
  </w:num>
  <w:num w:numId="15">
    <w:abstractNumId w:val="15"/>
  </w:num>
  <w:num w:numId="16">
    <w:abstractNumId w:val="17"/>
  </w:num>
  <w:num w:numId="17">
    <w:abstractNumId w:val="4"/>
  </w:num>
  <w:num w:numId="18">
    <w:abstractNumId w:val="16"/>
  </w:num>
  <w:num w:numId="19">
    <w:abstractNumId w:val="8"/>
  </w:num>
  <w:num w:numId="20">
    <w:abstractNumId w:val="1"/>
  </w:num>
  <w:num w:numId="21">
    <w:abstractNumId w:val="14"/>
  </w:num>
  <w:num w:numId="22">
    <w:abstractNumId w:val="23"/>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F6"/>
    <w:rsid w:val="00002931"/>
    <w:rsid w:val="00037AC3"/>
    <w:rsid w:val="00056601"/>
    <w:rsid w:val="000B1220"/>
    <w:rsid w:val="000C3846"/>
    <w:rsid w:val="000C6218"/>
    <w:rsid w:val="000D3C9D"/>
    <w:rsid w:val="000F0D47"/>
    <w:rsid w:val="001242DE"/>
    <w:rsid w:val="00180A12"/>
    <w:rsid w:val="00214331"/>
    <w:rsid w:val="00214CF4"/>
    <w:rsid w:val="00281F03"/>
    <w:rsid w:val="0029458A"/>
    <w:rsid w:val="00294FAB"/>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57359"/>
    <w:rsid w:val="00560102"/>
    <w:rsid w:val="00562EA1"/>
    <w:rsid w:val="005A498B"/>
    <w:rsid w:val="005A6D03"/>
    <w:rsid w:val="00602F21"/>
    <w:rsid w:val="00617BB8"/>
    <w:rsid w:val="006207FF"/>
    <w:rsid w:val="00680052"/>
    <w:rsid w:val="00683267"/>
    <w:rsid w:val="006844E9"/>
    <w:rsid w:val="006A3316"/>
    <w:rsid w:val="006A6E95"/>
    <w:rsid w:val="006B3847"/>
    <w:rsid w:val="0075453D"/>
    <w:rsid w:val="00795FCE"/>
    <w:rsid w:val="007A4CC6"/>
    <w:rsid w:val="007C2726"/>
    <w:rsid w:val="007C3132"/>
    <w:rsid w:val="007C3623"/>
    <w:rsid w:val="007C5D2A"/>
    <w:rsid w:val="007F1E00"/>
    <w:rsid w:val="008242D2"/>
    <w:rsid w:val="00827444"/>
    <w:rsid w:val="008400E3"/>
    <w:rsid w:val="00864538"/>
    <w:rsid w:val="00873B4F"/>
    <w:rsid w:val="008A24F6"/>
    <w:rsid w:val="008C3042"/>
    <w:rsid w:val="008E51AE"/>
    <w:rsid w:val="008E6629"/>
    <w:rsid w:val="008F2F8C"/>
    <w:rsid w:val="009925C9"/>
    <w:rsid w:val="00A179D0"/>
    <w:rsid w:val="00A358A3"/>
    <w:rsid w:val="00A46747"/>
    <w:rsid w:val="00A72EE8"/>
    <w:rsid w:val="00A80446"/>
    <w:rsid w:val="00A85D26"/>
    <w:rsid w:val="00A9153A"/>
    <w:rsid w:val="00AB4376"/>
    <w:rsid w:val="00AC033C"/>
    <w:rsid w:val="00AD2E36"/>
    <w:rsid w:val="00B45DC5"/>
    <w:rsid w:val="00BD3490"/>
    <w:rsid w:val="00C26226"/>
    <w:rsid w:val="00C3571D"/>
    <w:rsid w:val="00C54F0B"/>
    <w:rsid w:val="00C82621"/>
    <w:rsid w:val="00CB1423"/>
    <w:rsid w:val="00CB6005"/>
    <w:rsid w:val="00CC20FD"/>
    <w:rsid w:val="00D02508"/>
    <w:rsid w:val="00D21521"/>
    <w:rsid w:val="00D44130"/>
    <w:rsid w:val="00D778CC"/>
    <w:rsid w:val="00D82FE9"/>
    <w:rsid w:val="00D97B77"/>
    <w:rsid w:val="00DA0717"/>
    <w:rsid w:val="00DA12C1"/>
    <w:rsid w:val="00DB6A85"/>
    <w:rsid w:val="00DF742D"/>
    <w:rsid w:val="00E06B32"/>
    <w:rsid w:val="00E1290F"/>
    <w:rsid w:val="00E36A80"/>
    <w:rsid w:val="00E964F6"/>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13786"/>
  <w15:chartTrackingRefBased/>
  <w15:docId w15:val="{6DFEACBE-C8F3-4A74-A551-175CD259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next w:val="Normal"/>
    <w:link w:val="Overskrift1Tegn"/>
    <w:uiPriority w:val="9"/>
    <w:rsid w:val="00D21521"/>
    <w:pPr>
      <w:keepNext/>
      <w:keepLines/>
      <w:jc w:val="both"/>
      <w:outlineLvl w:val="0"/>
    </w:pPr>
    <w:rPr>
      <w:rFonts w:ascii="Arial" w:eastAsiaTheme="majorEastAsia" w:hAnsi="Arial" w:cstheme="majorBidi"/>
      <w:b/>
      <w:bCs/>
      <w:sz w:val="22"/>
      <w:szCs w:val="28"/>
      <w:lang w:val="en-GB" w:eastAsia="en-US"/>
    </w:rPr>
  </w:style>
  <w:style w:type="paragraph" w:styleId="Overskrift2">
    <w:name w:val="heading 2"/>
    <w:basedOn w:val="Normal"/>
    <w:next w:val="Normal"/>
    <w:link w:val="Overskrift2Tegn"/>
    <w:uiPriority w:val="9"/>
    <w:semiHidden/>
    <w:qFormat/>
    <w:rsid w:val="00D21521"/>
    <w:pPr>
      <w:keepNext/>
      <w:keepLines/>
      <w:spacing w:before="40"/>
      <w:jc w:val="both"/>
      <w:outlineLvl w:val="1"/>
    </w:pPr>
    <w:rPr>
      <w:rFonts w:asciiTheme="majorHAnsi" w:eastAsiaTheme="majorEastAsia" w:hAnsiTheme="majorHAnsi" w:cstheme="majorBidi"/>
      <w:color w:val="2E74B5" w:themeColor="accent1" w:themeShade="BF"/>
      <w:sz w:val="26"/>
      <w:szCs w:val="26"/>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uiPriority w:val="99"/>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rsid w:val="00CC2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D21521"/>
    <w:rPr>
      <w:rFonts w:ascii="Arial" w:eastAsiaTheme="majorEastAsia" w:hAnsi="Arial" w:cstheme="majorBidi"/>
      <w:b/>
      <w:bCs/>
      <w:sz w:val="22"/>
      <w:szCs w:val="28"/>
      <w:lang w:val="en-GB" w:eastAsia="en-US"/>
    </w:rPr>
  </w:style>
  <w:style w:type="character" w:customStyle="1" w:styleId="Overskrift2Tegn">
    <w:name w:val="Overskrift 2 Tegn"/>
    <w:basedOn w:val="Standardskrifttypeiafsnit"/>
    <w:link w:val="Overskrift2"/>
    <w:uiPriority w:val="9"/>
    <w:semiHidden/>
    <w:rsid w:val="00D21521"/>
    <w:rPr>
      <w:rFonts w:asciiTheme="majorHAnsi" w:eastAsiaTheme="majorEastAsia" w:hAnsiTheme="majorHAnsi" w:cstheme="majorBidi"/>
      <w:color w:val="2E74B5" w:themeColor="accent1" w:themeShade="BF"/>
      <w:sz w:val="26"/>
      <w:szCs w:val="26"/>
      <w:lang w:val="en-GB" w:eastAsia="en-US"/>
    </w:rPr>
  </w:style>
  <w:style w:type="character" w:customStyle="1" w:styleId="SidehovedTegn">
    <w:name w:val="Sidehoved Tegn"/>
    <w:basedOn w:val="Standardskrifttypeiafsnit"/>
    <w:link w:val="Sidehoved"/>
    <w:uiPriority w:val="99"/>
    <w:rsid w:val="00D21521"/>
    <w:rPr>
      <w:sz w:val="24"/>
    </w:rPr>
  </w:style>
  <w:style w:type="character" w:customStyle="1" w:styleId="SidefodTegn">
    <w:name w:val="Sidefod Tegn"/>
    <w:basedOn w:val="Standardskrifttypeiafsnit"/>
    <w:link w:val="Sidefod"/>
    <w:uiPriority w:val="99"/>
    <w:rsid w:val="00D21521"/>
    <w:rPr>
      <w:sz w:val="24"/>
    </w:rPr>
  </w:style>
  <w:style w:type="paragraph" w:styleId="Listeafsnit">
    <w:name w:val="List Paragraph"/>
    <w:basedOn w:val="Normal"/>
    <w:uiPriority w:val="34"/>
    <w:rsid w:val="00D21521"/>
    <w:pPr>
      <w:ind w:left="720"/>
      <w:contextualSpacing/>
      <w:jc w:val="both"/>
    </w:pPr>
    <w:rPr>
      <w:rFonts w:ascii="Arial" w:eastAsiaTheme="minorHAnsi" w:hAnsi="Arial" w:cs="Arial"/>
      <w:sz w:val="22"/>
      <w:szCs w:val="22"/>
      <w:lang w:val="en-GB" w:eastAsia="en-US"/>
    </w:rPr>
  </w:style>
  <w:style w:type="paragraph" w:customStyle="1" w:styleId="HeadingFree">
    <w:name w:val="Heading Free"/>
    <w:basedOn w:val="Normal"/>
    <w:next w:val="Normal"/>
    <w:rsid w:val="00D21521"/>
    <w:pPr>
      <w:keepNext/>
      <w:spacing w:after="260" w:line="260" w:lineRule="exact"/>
      <w:ind w:left="1140" w:hanging="1140"/>
      <w:jc w:val="both"/>
    </w:pPr>
    <w:rPr>
      <w:b/>
      <w:caps/>
      <w:sz w:val="24"/>
      <w:szCs w:val="24"/>
      <w:lang w:val="en-GB" w:eastAsia="en-GB"/>
    </w:rPr>
  </w:style>
  <w:style w:type="paragraph" w:customStyle="1" w:styleId="Default">
    <w:name w:val="Default"/>
    <w:rsid w:val="00D21521"/>
    <w:pPr>
      <w:autoSpaceDE w:val="0"/>
      <w:autoSpaceDN w:val="0"/>
      <w:adjustRightInd w:val="0"/>
    </w:pPr>
    <w:rPr>
      <w:rFonts w:ascii="Verdana" w:hAnsi="Verdana" w:cs="Verdana"/>
      <w:color w:val="000000"/>
      <w:sz w:val="24"/>
      <w:szCs w:val="24"/>
      <w:lang w:val="nl-NL" w:eastAsia="nl-NL"/>
    </w:rPr>
  </w:style>
  <w:style w:type="paragraph" w:customStyle="1" w:styleId="StyleHeadingFreeBOLDNOCAPS">
    <w:name w:val="Style Heading Free + BOLD + NO CAPS"/>
    <w:basedOn w:val="HeadingFree"/>
    <w:rsid w:val="00D21521"/>
    <w:rPr>
      <w:caps w:val="0"/>
    </w:rPr>
  </w:style>
  <w:style w:type="character" w:styleId="Strk">
    <w:name w:val="Strong"/>
    <w:aliases w:val="Fließtext (2) + 9 pt"/>
    <w:basedOn w:val="Standardskrifttypeiafsnit"/>
    <w:uiPriority w:val="22"/>
    <w:rsid w:val="00D21521"/>
    <w:rPr>
      <w:b/>
      <w:bCs/>
    </w:rPr>
  </w:style>
  <w:style w:type="paragraph" w:styleId="Brdtekst">
    <w:name w:val="Body Text"/>
    <w:basedOn w:val="Normal"/>
    <w:link w:val="BrdtekstTegn"/>
    <w:uiPriority w:val="1"/>
    <w:rsid w:val="00D21521"/>
    <w:pPr>
      <w:widowControl w:val="0"/>
      <w:autoSpaceDE w:val="0"/>
      <w:autoSpaceDN w:val="0"/>
      <w:ind w:left="132"/>
    </w:pPr>
    <w:rPr>
      <w:sz w:val="20"/>
      <w:lang w:val="en-US" w:eastAsia="en-US"/>
    </w:rPr>
  </w:style>
  <w:style w:type="character" w:customStyle="1" w:styleId="BrdtekstTegn">
    <w:name w:val="Brødtekst Tegn"/>
    <w:basedOn w:val="Standardskrifttypeiafsnit"/>
    <w:link w:val="Brdtekst"/>
    <w:uiPriority w:val="1"/>
    <w:rsid w:val="00D21521"/>
    <w:rPr>
      <w:lang w:val="en-US" w:eastAsia="en-US"/>
    </w:rPr>
  </w:style>
  <w:style w:type="table" w:customStyle="1" w:styleId="TableNormal">
    <w:name w:val="Table Normal"/>
    <w:uiPriority w:val="2"/>
    <w:semiHidden/>
    <w:unhideWhenUsed/>
    <w:qFormat/>
    <w:rsid w:val="00D21521"/>
    <w:pPr>
      <w:widowControl w:val="0"/>
      <w:autoSpaceDE w:val="0"/>
      <w:autoSpaceDN w:val="0"/>
    </w:pPr>
    <w:rPr>
      <w:rFonts w:ascii="Calibri" w:eastAsiaTheme="minorHAns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D21521"/>
    <w:pPr>
      <w:widowControl w:val="0"/>
      <w:autoSpaceDE w:val="0"/>
      <w:autoSpaceDN w:val="0"/>
    </w:pPr>
    <w:rPr>
      <w:sz w:val="22"/>
      <w:szCs w:val="22"/>
      <w:lang w:val="en-US" w:eastAsia="en-US"/>
    </w:rPr>
  </w:style>
  <w:style w:type="paragraph" w:styleId="Korrektur">
    <w:name w:val="Revision"/>
    <w:hidden/>
    <w:uiPriority w:val="99"/>
    <w:semiHidden/>
    <w:rsid w:val="00D21521"/>
    <w:rPr>
      <w:rFonts w:ascii="Arial" w:eastAsiaTheme="minorHAnsi"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73810">
      <w:bodyDiv w:val="1"/>
      <w:marLeft w:val="0"/>
      <w:marRight w:val="0"/>
      <w:marTop w:val="0"/>
      <w:marBottom w:val="0"/>
      <w:divBdr>
        <w:top w:val="none" w:sz="0" w:space="0" w:color="auto"/>
        <w:left w:val="none" w:sz="0" w:space="0" w:color="auto"/>
        <w:bottom w:val="none" w:sz="0" w:space="0" w:color="auto"/>
        <w:right w:val="none" w:sz="0" w:space="0" w:color="auto"/>
      </w:divBdr>
    </w:div>
    <w:div w:id="82190212">
      <w:bodyDiv w:val="1"/>
      <w:marLeft w:val="0"/>
      <w:marRight w:val="0"/>
      <w:marTop w:val="0"/>
      <w:marBottom w:val="0"/>
      <w:divBdr>
        <w:top w:val="none" w:sz="0" w:space="0" w:color="auto"/>
        <w:left w:val="none" w:sz="0" w:space="0" w:color="auto"/>
        <w:bottom w:val="none" w:sz="0" w:space="0" w:color="auto"/>
        <w:right w:val="none" w:sz="0" w:space="0" w:color="auto"/>
      </w:divBdr>
    </w:div>
    <w:div w:id="550121444">
      <w:bodyDiv w:val="1"/>
      <w:marLeft w:val="0"/>
      <w:marRight w:val="0"/>
      <w:marTop w:val="0"/>
      <w:marBottom w:val="0"/>
      <w:divBdr>
        <w:top w:val="none" w:sz="0" w:space="0" w:color="auto"/>
        <w:left w:val="none" w:sz="0" w:space="0" w:color="auto"/>
        <w:bottom w:val="none" w:sz="0" w:space="0" w:color="auto"/>
        <w:right w:val="none" w:sz="0" w:space="0" w:color="auto"/>
      </w:divBdr>
    </w:div>
    <w:div w:id="1170828078">
      <w:bodyDiv w:val="1"/>
      <w:marLeft w:val="0"/>
      <w:marRight w:val="0"/>
      <w:marTop w:val="0"/>
      <w:marBottom w:val="0"/>
      <w:divBdr>
        <w:top w:val="none" w:sz="0" w:space="0" w:color="auto"/>
        <w:left w:val="none" w:sz="0" w:space="0" w:color="auto"/>
        <w:bottom w:val="none" w:sz="0" w:space="0" w:color="auto"/>
        <w:right w:val="none" w:sz="0" w:space="0" w:color="auto"/>
      </w:divBdr>
    </w:div>
    <w:div w:id="1402024977">
      <w:bodyDiv w:val="1"/>
      <w:marLeft w:val="0"/>
      <w:marRight w:val="0"/>
      <w:marTop w:val="0"/>
      <w:marBottom w:val="0"/>
      <w:divBdr>
        <w:top w:val="none" w:sz="0" w:space="0" w:color="auto"/>
        <w:left w:val="none" w:sz="0" w:space="0" w:color="auto"/>
        <w:bottom w:val="none" w:sz="0" w:space="0" w:color="auto"/>
        <w:right w:val="none" w:sz="0" w:space="0" w:color="auto"/>
      </w:divBdr>
    </w:div>
    <w:div w:id="193570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39</TotalTime>
  <Pages>26</Pages>
  <Words>9211</Words>
  <Characters>52395</Characters>
  <Application>Microsoft Office Word</Application>
  <DocSecurity>0</DocSecurity>
  <Lines>436</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2020060232 mt</dc:description>
  <cp:lastModifiedBy>Hanne Thy Iversen</cp:lastModifiedBy>
  <cp:revision>20</cp:revision>
  <cp:lastPrinted>2006-02-24T09:31:00Z</cp:lastPrinted>
  <dcterms:created xsi:type="dcterms:W3CDTF">2025-01-31T09:53:00Z</dcterms:created>
  <dcterms:modified xsi:type="dcterms:W3CDTF">2025-01-31T11:53:00Z</dcterms:modified>
</cp:coreProperties>
</file>