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71" w:rsidRPr="003A51C5" w:rsidRDefault="00662E1C" w:rsidP="008C6ED0">
      <w:pPr>
        <w:pStyle w:val="Titel"/>
        <w:tabs>
          <w:tab w:val="left" w:pos="7513"/>
        </w:tabs>
        <w:jc w:val="left"/>
        <w:rPr>
          <w:b w:val="0"/>
          <w:noProof/>
        </w:rPr>
      </w:pPr>
      <w:r>
        <w:rPr>
          <w:noProof/>
        </w:rPr>
        <w:drawing>
          <wp:inline distT="0" distB="0" distL="0" distR="0">
            <wp:extent cx="2465070" cy="687705"/>
            <wp:effectExtent l="0" t="0" r="0" b="0"/>
            <wp:docPr id="1" name="Billede 1"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070" cy="687705"/>
                    </a:xfrm>
                    <a:prstGeom prst="rect">
                      <a:avLst/>
                    </a:prstGeom>
                    <a:noFill/>
                    <a:ln>
                      <a:noFill/>
                    </a:ln>
                  </pic:spPr>
                </pic:pic>
              </a:graphicData>
            </a:graphic>
          </wp:inline>
        </w:drawing>
      </w:r>
    </w:p>
    <w:p w:rsidR="004A1D71" w:rsidRPr="003A51C5" w:rsidRDefault="004A1D71" w:rsidP="008C6ED0">
      <w:pPr>
        <w:pStyle w:val="Titel"/>
        <w:tabs>
          <w:tab w:val="left" w:pos="7513"/>
        </w:tabs>
        <w:jc w:val="left"/>
        <w:rPr>
          <w:b w:val="0"/>
          <w:noProof/>
        </w:rPr>
      </w:pPr>
    </w:p>
    <w:p w:rsidR="00F121BE" w:rsidRDefault="00857F11" w:rsidP="00F121BE">
      <w:pPr>
        <w:pStyle w:val="Titel"/>
        <w:tabs>
          <w:tab w:val="left" w:pos="7513"/>
        </w:tabs>
        <w:jc w:val="right"/>
        <w:rPr>
          <w:noProof/>
        </w:rPr>
      </w:pPr>
      <w:r>
        <w:rPr>
          <w:noProof/>
        </w:rPr>
        <w:t>2</w:t>
      </w:r>
      <w:r w:rsidR="0069039D">
        <w:rPr>
          <w:noProof/>
        </w:rPr>
        <w:t>5</w:t>
      </w:r>
      <w:r>
        <w:rPr>
          <w:noProof/>
        </w:rPr>
        <w:t xml:space="preserve">. </w:t>
      </w:r>
      <w:r w:rsidR="0069039D">
        <w:rPr>
          <w:noProof/>
        </w:rPr>
        <w:t>marts</w:t>
      </w:r>
      <w:r>
        <w:rPr>
          <w:noProof/>
        </w:rPr>
        <w:t xml:space="preserve"> </w:t>
      </w:r>
      <w:r w:rsidR="00AF54B4">
        <w:rPr>
          <w:noProof/>
        </w:rPr>
        <w:t>2025</w:t>
      </w:r>
    </w:p>
    <w:p w:rsidR="003A51C5" w:rsidRPr="00F121BE" w:rsidRDefault="003A51C5" w:rsidP="008C6ED0">
      <w:pPr>
        <w:pStyle w:val="Titel"/>
        <w:tabs>
          <w:tab w:val="left" w:pos="7513"/>
        </w:tabs>
        <w:jc w:val="left"/>
        <w:rPr>
          <w:b w:val="0"/>
          <w:noProof/>
        </w:rPr>
      </w:pPr>
    </w:p>
    <w:p w:rsidR="003B6F5F" w:rsidRDefault="003B6F5F" w:rsidP="003A51C5">
      <w:pPr>
        <w:jc w:val="center"/>
        <w:rPr>
          <w:b/>
        </w:rPr>
      </w:pPr>
    </w:p>
    <w:p w:rsidR="007A66C9" w:rsidRDefault="007A66C9" w:rsidP="003A51C5">
      <w:pPr>
        <w:jc w:val="center"/>
        <w:rPr>
          <w:b/>
        </w:rPr>
      </w:pPr>
      <w:r>
        <w:rPr>
          <w:b/>
        </w:rPr>
        <w:t>PRODUKTRESUMÉ</w:t>
      </w:r>
    </w:p>
    <w:p w:rsidR="007A66C9" w:rsidRDefault="007A66C9" w:rsidP="003A51C5">
      <w:pPr>
        <w:jc w:val="center"/>
        <w:rPr>
          <w:b/>
        </w:rPr>
      </w:pPr>
    </w:p>
    <w:p w:rsidR="007A66C9" w:rsidRDefault="007A66C9" w:rsidP="003A51C5">
      <w:pPr>
        <w:tabs>
          <w:tab w:val="center" w:pos="4819"/>
        </w:tabs>
        <w:jc w:val="center"/>
        <w:rPr>
          <w:b/>
        </w:rPr>
      </w:pPr>
      <w:r>
        <w:rPr>
          <w:b/>
        </w:rPr>
        <w:t>for</w:t>
      </w:r>
    </w:p>
    <w:p w:rsidR="007A66C9" w:rsidRDefault="007A66C9" w:rsidP="003A51C5">
      <w:pPr>
        <w:jc w:val="center"/>
        <w:rPr>
          <w:b/>
        </w:rPr>
      </w:pPr>
    </w:p>
    <w:p w:rsidR="007A66C9" w:rsidRDefault="007A66C9" w:rsidP="003A51C5">
      <w:pPr>
        <w:jc w:val="center"/>
        <w:rPr>
          <w:b/>
        </w:rPr>
      </w:pPr>
      <w:proofErr w:type="spellStart"/>
      <w:r>
        <w:rPr>
          <w:b/>
        </w:rPr>
        <w:t>V</w:t>
      </w:r>
      <w:r w:rsidR="00F121BE">
        <w:rPr>
          <w:b/>
        </w:rPr>
        <w:t>arivax</w:t>
      </w:r>
      <w:proofErr w:type="spellEnd"/>
      <w:r>
        <w:rPr>
          <w:b/>
        </w:rPr>
        <w:t>, pulver og solvens til injektionsvæske, suspension</w:t>
      </w:r>
    </w:p>
    <w:p w:rsidR="007A66C9" w:rsidRDefault="007A66C9"/>
    <w:p w:rsidR="007A66C9" w:rsidRDefault="007A66C9">
      <w:pPr>
        <w:jc w:val="both"/>
      </w:pPr>
    </w:p>
    <w:p w:rsidR="00A32C0B" w:rsidRPr="00C84483" w:rsidRDefault="00A32C0B" w:rsidP="00A32C0B">
      <w:pPr>
        <w:tabs>
          <w:tab w:val="left" w:pos="851"/>
        </w:tabs>
        <w:ind w:left="851" w:hanging="851"/>
        <w:rPr>
          <w:b/>
          <w:szCs w:val="24"/>
        </w:rPr>
      </w:pPr>
      <w:r w:rsidRPr="00C84483">
        <w:rPr>
          <w:b/>
          <w:szCs w:val="24"/>
        </w:rPr>
        <w:t>0.</w:t>
      </w:r>
      <w:r w:rsidRPr="00C84483">
        <w:rPr>
          <w:b/>
          <w:szCs w:val="24"/>
        </w:rPr>
        <w:tab/>
        <w:t>D.SP.NR.</w:t>
      </w:r>
    </w:p>
    <w:p w:rsidR="007A66C9" w:rsidRDefault="007A66C9">
      <w:pPr>
        <w:tabs>
          <w:tab w:val="left" w:pos="851"/>
        </w:tabs>
        <w:jc w:val="both"/>
      </w:pPr>
      <w:r>
        <w:tab/>
        <w:t>21864</w:t>
      </w:r>
    </w:p>
    <w:p w:rsidR="007A66C9" w:rsidRDefault="007A66C9">
      <w:pPr>
        <w:tabs>
          <w:tab w:val="left" w:pos="851"/>
        </w:tabs>
        <w:jc w:val="both"/>
      </w:pPr>
    </w:p>
    <w:p w:rsidR="009E3905" w:rsidRPr="00C84483" w:rsidRDefault="009E3905" w:rsidP="009E3905">
      <w:pPr>
        <w:tabs>
          <w:tab w:val="left" w:pos="851"/>
        </w:tabs>
        <w:ind w:left="851" w:hanging="851"/>
        <w:rPr>
          <w:b/>
          <w:szCs w:val="24"/>
        </w:rPr>
      </w:pPr>
      <w:r w:rsidRPr="00C84483">
        <w:rPr>
          <w:b/>
          <w:szCs w:val="24"/>
        </w:rPr>
        <w:t>1.</w:t>
      </w:r>
      <w:r w:rsidRPr="00C84483">
        <w:rPr>
          <w:b/>
          <w:szCs w:val="24"/>
        </w:rPr>
        <w:tab/>
        <w:t>LÆGEMIDLETS NAVN</w:t>
      </w:r>
    </w:p>
    <w:p w:rsidR="00F21C67" w:rsidRPr="00F21C67" w:rsidRDefault="00F121BE" w:rsidP="00F21C67">
      <w:pPr>
        <w:tabs>
          <w:tab w:val="left" w:pos="851"/>
        </w:tabs>
        <w:ind w:left="855"/>
        <w:jc w:val="both"/>
        <w:rPr>
          <w:szCs w:val="24"/>
        </w:rPr>
      </w:pPr>
      <w:proofErr w:type="spellStart"/>
      <w:r>
        <w:rPr>
          <w:szCs w:val="24"/>
        </w:rPr>
        <w:t>Varivax</w:t>
      </w:r>
      <w:proofErr w:type="spellEnd"/>
    </w:p>
    <w:p w:rsidR="007A66C9" w:rsidRDefault="007A66C9">
      <w:pPr>
        <w:tabs>
          <w:tab w:val="left" w:pos="851"/>
        </w:tabs>
        <w:jc w:val="both"/>
      </w:pPr>
      <w:r>
        <w:tab/>
      </w:r>
    </w:p>
    <w:p w:rsidR="009E3905" w:rsidRPr="00C84483" w:rsidRDefault="009E3905" w:rsidP="009E3905">
      <w:pPr>
        <w:tabs>
          <w:tab w:val="left" w:pos="851"/>
        </w:tabs>
        <w:ind w:left="851" w:hanging="851"/>
        <w:rPr>
          <w:b/>
          <w:szCs w:val="24"/>
        </w:rPr>
      </w:pPr>
      <w:r w:rsidRPr="00C84483">
        <w:rPr>
          <w:b/>
          <w:szCs w:val="24"/>
        </w:rPr>
        <w:t>2.</w:t>
      </w:r>
      <w:r w:rsidRPr="00C84483">
        <w:rPr>
          <w:b/>
          <w:szCs w:val="24"/>
        </w:rPr>
        <w:tab/>
        <w:t>KVALITATIV OG KVANTITATIV SAMMENSÆTNING</w:t>
      </w:r>
    </w:p>
    <w:p w:rsidR="00B8268C" w:rsidRPr="00A403DD" w:rsidRDefault="00B8268C" w:rsidP="00B8268C">
      <w:pPr>
        <w:ind w:left="851"/>
        <w:jc w:val="both"/>
        <w:rPr>
          <w:szCs w:val="24"/>
        </w:rPr>
      </w:pPr>
      <w:r w:rsidRPr="00FD1E46">
        <w:rPr>
          <w:szCs w:val="24"/>
        </w:rPr>
        <w:t xml:space="preserve">Vaccine mod skoldkopper </w:t>
      </w:r>
      <w:r w:rsidRPr="00A403DD">
        <w:rPr>
          <w:szCs w:val="24"/>
        </w:rPr>
        <w:t>(levende)</w:t>
      </w:r>
    </w:p>
    <w:p w:rsidR="00F121BE" w:rsidRPr="00A403DD" w:rsidRDefault="00F121BE" w:rsidP="00A403DD">
      <w:pPr>
        <w:suppressAutoHyphens/>
        <w:ind w:left="851"/>
        <w:rPr>
          <w:szCs w:val="24"/>
        </w:rPr>
      </w:pPr>
    </w:p>
    <w:p w:rsidR="007A66C9" w:rsidRPr="00A403DD" w:rsidRDefault="007A66C9" w:rsidP="00A403DD">
      <w:pPr>
        <w:suppressAutoHyphens/>
        <w:ind w:left="851"/>
        <w:rPr>
          <w:szCs w:val="24"/>
        </w:rPr>
      </w:pPr>
      <w:r w:rsidRPr="00A403DD">
        <w:rPr>
          <w:szCs w:val="24"/>
        </w:rPr>
        <w:t xml:space="preserve">Efter </w:t>
      </w:r>
      <w:proofErr w:type="spellStart"/>
      <w:r w:rsidRPr="00A403DD">
        <w:rPr>
          <w:szCs w:val="24"/>
        </w:rPr>
        <w:t>rekonstitution</w:t>
      </w:r>
      <w:proofErr w:type="spellEnd"/>
      <w:r w:rsidRPr="00A403DD">
        <w:rPr>
          <w:szCs w:val="24"/>
        </w:rPr>
        <w:t xml:space="preserve"> indeholder en dosis (0,5 ml):</w:t>
      </w:r>
    </w:p>
    <w:p w:rsidR="007A66C9" w:rsidRPr="00A403DD" w:rsidRDefault="007A66C9" w:rsidP="00A403DD">
      <w:pPr>
        <w:suppressAutoHyphens/>
        <w:ind w:left="851"/>
        <w:rPr>
          <w:szCs w:val="24"/>
        </w:rPr>
      </w:pPr>
    </w:p>
    <w:p w:rsidR="00406E6D" w:rsidRPr="00A403DD" w:rsidRDefault="00406E6D" w:rsidP="00A403DD">
      <w:pPr>
        <w:tabs>
          <w:tab w:val="left" w:pos="2552"/>
          <w:tab w:val="left" w:pos="7088"/>
        </w:tabs>
        <w:suppressAutoHyphens/>
        <w:ind w:left="851"/>
        <w:rPr>
          <w:szCs w:val="24"/>
        </w:rPr>
      </w:pPr>
      <w:proofErr w:type="spellStart"/>
      <w:r w:rsidRPr="00A403DD">
        <w:rPr>
          <w:szCs w:val="24"/>
        </w:rPr>
        <w:t>Varicellavirus</w:t>
      </w:r>
      <w:proofErr w:type="spellEnd"/>
      <w:r w:rsidRPr="00A403DD">
        <w:rPr>
          <w:szCs w:val="24"/>
        </w:rPr>
        <w:t xml:space="preserve"> *(</w:t>
      </w:r>
      <w:r w:rsidR="0057383C">
        <w:rPr>
          <w:szCs w:val="24"/>
        </w:rPr>
        <w:t>Oka/Merck-stamme</w:t>
      </w:r>
      <w:r w:rsidRPr="00A403DD">
        <w:rPr>
          <w:szCs w:val="24"/>
        </w:rPr>
        <w:t>) (levende, svækket)</w:t>
      </w:r>
      <w:r w:rsidRPr="00A403DD">
        <w:rPr>
          <w:szCs w:val="24"/>
        </w:rPr>
        <w:tab/>
      </w:r>
      <w:r w:rsidRPr="00A403DD">
        <w:rPr>
          <w:szCs w:val="24"/>
        </w:rPr>
        <w:sym w:font="Symbol" w:char="F0B3"/>
      </w:r>
      <w:r w:rsidRPr="00A403DD">
        <w:rPr>
          <w:szCs w:val="24"/>
        </w:rPr>
        <w:t xml:space="preserve"> 1350 PFU**</w:t>
      </w:r>
    </w:p>
    <w:p w:rsidR="00406E6D" w:rsidRPr="00A403DD" w:rsidRDefault="00406E6D" w:rsidP="00A403DD">
      <w:pPr>
        <w:suppressAutoHyphens/>
        <w:ind w:left="851"/>
        <w:rPr>
          <w:szCs w:val="24"/>
        </w:rPr>
      </w:pPr>
      <w:r w:rsidRPr="00A403DD">
        <w:rPr>
          <w:szCs w:val="24"/>
        </w:rPr>
        <w:t xml:space="preserve">* Fremstillet i humane </w:t>
      </w:r>
      <w:proofErr w:type="spellStart"/>
      <w:r w:rsidRPr="00A403DD">
        <w:rPr>
          <w:szCs w:val="24"/>
        </w:rPr>
        <w:t>diploide</w:t>
      </w:r>
      <w:proofErr w:type="spellEnd"/>
      <w:r w:rsidRPr="00A403DD">
        <w:rPr>
          <w:szCs w:val="24"/>
        </w:rPr>
        <w:t xml:space="preserve"> celler (MRC-5)</w:t>
      </w:r>
    </w:p>
    <w:p w:rsidR="00406E6D" w:rsidRPr="00A403DD" w:rsidRDefault="00406E6D" w:rsidP="00A403DD">
      <w:pPr>
        <w:suppressAutoHyphens/>
        <w:ind w:left="851"/>
        <w:rPr>
          <w:szCs w:val="24"/>
        </w:rPr>
      </w:pPr>
      <w:r w:rsidRPr="00A403DD">
        <w:rPr>
          <w:szCs w:val="24"/>
        </w:rPr>
        <w:t xml:space="preserve">**PFU = </w:t>
      </w:r>
      <w:proofErr w:type="spellStart"/>
      <w:r w:rsidR="004F4269">
        <w:rPr>
          <w:szCs w:val="24"/>
        </w:rPr>
        <w:t>Plaquedannende</w:t>
      </w:r>
      <w:proofErr w:type="spellEnd"/>
      <w:r w:rsidRPr="00A403DD">
        <w:rPr>
          <w:szCs w:val="24"/>
        </w:rPr>
        <w:t xml:space="preserve"> enheder</w:t>
      </w:r>
    </w:p>
    <w:p w:rsidR="005078A7" w:rsidRPr="00A403DD" w:rsidRDefault="005078A7" w:rsidP="00A403DD">
      <w:pPr>
        <w:suppressAutoHyphens/>
        <w:ind w:left="851"/>
        <w:rPr>
          <w:szCs w:val="24"/>
        </w:rPr>
      </w:pPr>
    </w:p>
    <w:p w:rsidR="00F21C67" w:rsidRPr="00A403DD" w:rsidRDefault="005078A7" w:rsidP="00A403DD">
      <w:pPr>
        <w:suppressAutoHyphens/>
        <w:ind w:left="851"/>
        <w:rPr>
          <w:szCs w:val="24"/>
        </w:rPr>
      </w:pPr>
      <w:r w:rsidRPr="00A403DD">
        <w:rPr>
          <w:szCs w:val="24"/>
        </w:rPr>
        <w:t xml:space="preserve">Denne vaccine kan indeholde spor af </w:t>
      </w:r>
      <w:proofErr w:type="spellStart"/>
      <w:r w:rsidRPr="00A403DD">
        <w:rPr>
          <w:szCs w:val="24"/>
        </w:rPr>
        <w:t>neomycin</w:t>
      </w:r>
      <w:proofErr w:type="spellEnd"/>
      <w:r w:rsidRPr="00A403DD">
        <w:rPr>
          <w:szCs w:val="24"/>
        </w:rPr>
        <w:t xml:space="preserve"> (se pkt. 4.3 og 4.4).</w:t>
      </w:r>
    </w:p>
    <w:p w:rsidR="005078A7" w:rsidRPr="00A403DD" w:rsidRDefault="005078A7" w:rsidP="00A403DD">
      <w:pPr>
        <w:suppressAutoHyphens/>
        <w:ind w:left="851"/>
        <w:rPr>
          <w:szCs w:val="24"/>
        </w:rPr>
      </w:pPr>
    </w:p>
    <w:p w:rsidR="00F21C67" w:rsidRPr="00A403DD" w:rsidRDefault="00F21C67" w:rsidP="00A403DD">
      <w:pPr>
        <w:ind w:left="851"/>
        <w:jc w:val="both"/>
        <w:rPr>
          <w:szCs w:val="24"/>
        </w:rPr>
      </w:pPr>
      <w:r w:rsidRPr="00A403DD">
        <w:rPr>
          <w:szCs w:val="24"/>
        </w:rPr>
        <w:t>Alle hjælpestoffer er anført under pkt. 6.1.</w:t>
      </w:r>
    </w:p>
    <w:p w:rsidR="007A66C9" w:rsidRDefault="007A66C9">
      <w:pPr>
        <w:tabs>
          <w:tab w:val="left" w:pos="851"/>
        </w:tabs>
        <w:jc w:val="both"/>
      </w:pPr>
    </w:p>
    <w:p w:rsidR="009E3905" w:rsidRPr="00C84483" w:rsidRDefault="009E3905" w:rsidP="009E3905">
      <w:pPr>
        <w:tabs>
          <w:tab w:val="left" w:pos="851"/>
        </w:tabs>
        <w:ind w:left="851" w:hanging="851"/>
        <w:rPr>
          <w:b/>
          <w:szCs w:val="24"/>
        </w:rPr>
      </w:pPr>
      <w:r w:rsidRPr="00C84483">
        <w:rPr>
          <w:b/>
          <w:szCs w:val="24"/>
        </w:rPr>
        <w:t>3.</w:t>
      </w:r>
      <w:r w:rsidRPr="00C84483">
        <w:rPr>
          <w:b/>
          <w:szCs w:val="24"/>
        </w:rPr>
        <w:tab/>
        <w:t>LÆGEMIDDELFORM</w:t>
      </w:r>
    </w:p>
    <w:p w:rsidR="007A66C9" w:rsidRDefault="007A66C9">
      <w:pPr>
        <w:suppressAutoHyphens/>
        <w:ind w:left="855"/>
      </w:pPr>
      <w:r>
        <w:t>Pulver og solvens til injektionsvæske, suspension</w:t>
      </w:r>
    </w:p>
    <w:p w:rsidR="007A66C9" w:rsidRDefault="007A66C9">
      <w:pPr>
        <w:suppressAutoHyphens/>
        <w:ind w:left="855"/>
      </w:pPr>
    </w:p>
    <w:p w:rsidR="008C6ED0" w:rsidRPr="00806BFF" w:rsidRDefault="008C6ED0" w:rsidP="008C6ED0">
      <w:pPr>
        <w:suppressAutoHyphens/>
        <w:ind w:left="855"/>
      </w:pPr>
      <w:r w:rsidRPr="00806BFF">
        <w:t xml:space="preserve">Hvidt til offwhite pulver og </w:t>
      </w:r>
      <w:r w:rsidRPr="00806BFF">
        <w:rPr>
          <w:szCs w:val="24"/>
        </w:rPr>
        <w:t>klar, farveløs, flydende</w:t>
      </w:r>
      <w:r w:rsidRPr="00806BFF">
        <w:t xml:space="preserve"> solvens. </w:t>
      </w:r>
    </w:p>
    <w:p w:rsidR="007A66C9" w:rsidRDefault="007A66C9">
      <w:pPr>
        <w:tabs>
          <w:tab w:val="left" w:pos="851"/>
        </w:tabs>
        <w:jc w:val="both"/>
      </w:pPr>
    </w:p>
    <w:p w:rsidR="007A66C9" w:rsidRDefault="007A66C9">
      <w:pPr>
        <w:tabs>
          <w:tab w:val="left" w:pos="851"/>
        </w:tabs>
        <w:jc w:val="both"/>
      </w:pPr>
    </w:p>
    <w:p w:rsidR="009E3905" w:rsidRPr="00C84483" w:rsidRDefault="009E3905" w:rsidP="009E3905">
      <w:pPr>
        <w:tabs>
          <w:tab w:val="left" w:pos="851"/>
        </w:tabs>
        <w:ind w:left="851" w:hanging="851"/>
        <w:rPr>
          <w:b/>
          <w:szCs w:val="24"/>
        </w:rPr>
      </w:pPr>
      <w:r w:rsidRPr="00C84483">
        <w:rPr>
          <w:b/>
          <w:szCs w:val="24"/>
        </w:rPr>
        <w:t>4.</w:t>
      </w:r>
      <w:r w:rsidRPr="00C84483">
        <w:rPr>
          <w:b/>
          <w:szCs w:val="24"/>
        </w:rPr>
        <w:tab/>
        <w:t>KLINISKE OPLYSNINGER</w:t>
      </w:r>
    </w:p>
    <w:p w:rsidR="007A66C9" w:rsidRDefault="007A66C9">
      <w:pPr>
        <w:tabs>
          <w:tab w:val="left" w:pos="851"/>
        </w:tabs>
        <w:jc w:val="both"/>
        <w:rPr>
          <w:b/>
        </w:rPr>
      </w:pPr>
    </w:p>
    <w:p w:rsidR="009E3905" w:rsidRPr="00C84483" w:rsidRDefault="009E3905" w:rsidP="009E3905">
      <w:pPr>
        <w:tabs>
          <w:tab w:val="left" w:pos="851"/>
        </w:tabs>
        <w:ind w:left="851" w:hanging="851"/>
        <w:rPr>
          <w:b/>
          <w:szCs w:val="24"/>
          <w:u w:val="single"/>
        </w:rPr>
      </w:pPr>
      <w:r w:rsidRPr="00C84483">
        <w:rPr>
          <w:b/>
          <w:szCs w:val="24"/>
        </w:rPr>
        <w:t>4.1</w:t>
      </w:r>
      <w:r w:rsidRPr="00C84483">
        <w:rPr>
          <w:b/>
          <w:szCs w:val="24"/>
        </w:rPr>
        <w:tab/>
        <w:t>Terapeutiske indikationer</w:t>
      </w:r>
    </w:p>
    <w:p w:rsidR="008C6ED0" w:rsidRPr="00806BFF" w:rsidRDefault="00F121BE" w:rsidP="00A403DD">
      <w:pPr>
        <w:suppressAutoHyphens/>
        <w:ind w:left="851"/>
      </w:pPr>
      <w:proofErr w:type="spellStart"/>
      <w:r w:rsidRPr="00F121BE">
        <w:t>Varivax</w:t>
      </w:r>
      <w:proofErr w:type="spellEnd"/>
      <w:r w:rsidR="008C6ED0" w:rsidRPr="00806BFF">
        <w:rPr>
          <w:szCs w:val="24"/>
        </w:rPr>
        <w:t xml:space="preserve"> er indiceret til vaccination imod </w:t>
      </w:r>
      <w:proofErr w:type="spellStart"/>
      <w:r w:rsidR="008C6ED0" w:rsidRPr="00806BFF">
        <w:rPr>
          <w:szCs w:val="24"/>
        </w:rPr>
        <w:t>varicella</w:t>
      </w:r>
      <w:proofErr w:type="spellEnd"/>
      <w:r w:rsidR="008C6ED0" w:rsidRPr="00806BFF">
        <w:rPr>
          <w:szCs w:val="24"/>
        </w:rPr>
        <w:t xml:space="preserve"> af personer</w:t>
      </w:r>
      <w:r w:rsidR="008C6ED0" w:rsidRPr="00806BFF">
        <w:t xml:space="preserve"> på 12 måneder eller ældre (se pkt. 4.2 og 5.1).</w:t>
      </w:r>
    </w:p>
    <w:p w:rsidR="008C6ED0" w:rsidRPr="000A52B5" w:rsidRDefault="008C6ED0" w:rsidP="00A403DD">
      <w:pPr>
        <w:suppressAutoHyphens/>
        <w:ind w:left="851"/>
      </w:pPr>
    </w:p>
    <w:p w:rsidR="008C6ED0" w:rsidRPr="00806BFF" w:rsidRDefault="00F121BE" w:rsidP="00A403DD">
      <w:pPr>
        <w:suppressAutoHyphens/>
        <w:ind w:left="851"/>
      </w:pPr>
      <w:proofErr w:type="spellStart"/>
      <w:r w:rsidRPr="00F121BE">
        <w:t>Varivax</w:t>
      </w:r>
      <w:proofErr w:type="spellEnd"/>
      <w:r w:rsidR="008C6ED0" w:rsidRPr="00806BFF">
        <w:t xml:space="preserve"> kan gives til spædbørn fra 9-måneders alderen under særlige omstændigheder</w:t>
      </w:r>
      <w:r w:rsidR="008C6ED0">
        <w:t xml:space="preserve"> som</w:t>
      </w:r>
      <w:r w:rsidR="008C6ED0" w:rsidRPr="00806BFF">
        <w:t xml:space="preserve"> for eksempel at tilpasse til et nationalt vaccinationsprogram eller i tilfælde af udbrud (se pkt. 4.2, 4.5 og 5.1).</w:t>
      </w:r>
    </w:p>
    <w:p w:rsidR="008C6ED0" w:rsidRPr="00806BFF" w:rsidRDefault="008C6ED0" w:rsidP="00A403DD">
      <w:pPr>
        <w:suppressAutoHyphens/>
        <w:ind w:left="851"/>
      </w:pPr>
    </w:p>
    <w:p w:rsidR="008C6ED0" w:rsidRPr="00806BFF" w:rsidRDefault="00F121BE" w:rsidP="00A403DD">
      <w:pPr>
        <w:pStyle w:val="Brdtekstindrykning"/>
        <w:jc w:val="left"/>
      </w:pPr>
      <w:proofErr w:type="spellStart"/>
      <w:r w:rsidRPr="00F121BE">
        <w:lastRenderedPageBreak/>
        <w:t>Varivax</w:t>
      </w:r>
      <w:proofErr w:type="spellEnd"/>
      <w:r w:rsidR="008C6ED0" w:rsidRPr="00806BFF">
        <w:t xml:space="preserve"> kan også gives til modtagelige personer som er blevet eksponeret for </w:t>
      </w:r>
      <w:proofErr w:type="spellStart"/>
      <w:r w:rsidR="008C6ED0" w:rsidRPr="00806BFF">
        <w:t>varicella</w:t>
      </w:r>
      <w:proofErr w:type="spellEnd"/>
      <w:r w:rsidR="008C6ED0" w:rsidRPr="00806BFF">
        <w:t>. Vaccination inden 3 dage efter eksponering kan hindre klinisk synlig infektion eller modificere infektionens forløb. Desuden er der begrænsede data der indikerer at vaccination i op til 5 dage efter eksponering kan modificere infektionens forløb (se pkt. 5.1).</w:t>
      </w:r>
    </w:p>
    <w:p w:rsidR="008C6ED0" w:rsidRPr="00806BFF" w:rsidRDefault="008C6ED0" w:rsidP="008C6ED0">
      <w:pPr>
        <w:pStyle w:val="Brdtekstindrykning"/>
      </w:pPr>
    </w:p>
    <w:p w:rsidR="00A32C0B" w:rsidRPr="00C84483" w:rsidRDefault="00A32C0B" w:rsidP="00A32C0B">
      <w:pPr>
        <w:tabs>
          <w:tab w:val="left" w:pos="851"/>
        </w:tabs>
        <w:ind w:left="851" w:hanging="851"/>
        <w:rPr>
          <w:b/>
          <w:szCs w:val="24"/>
        </w:rPr>
      </w:pPr>
      <w:r w:rsidRPr="00C84483">
        <w:rPr>
          <w:b/>
          <w:szCs w:val="24"/>
        </w:rPr>
        <w:t>4.2</w:t>
      </w:r>
      <w:r w:rsidRPr="00C84483">
        <w:rPr>
          <w:b/>
          <w:szCs w:val="24"/>
        </w:rPr>
        <w:tab/>
        <w:t xml:space="preserve">Dosering og </w:t>
      </w:r>
      <w:r>
        <w:rPr>
          <w:b/>
          <w:szCs w:val="24"/>
        </w:rPr>
        <w:t>administration</w:t>
      </w:r>
    </w:p>
    <w:p w:rsidR="00A403DD" w:rsidRDefault="00A403DD" w:rsidP="00A403DD">
      <w:pPr>
        <w:ind w:left="851"/>
      </w:pPr>
    </w:p>
    <w:p w:rsidR="00406E6D" w:rsidRPr="00A403DD" w:rsidRDefault="00406E6D" w:rsidP="00A403DD">
      <w:pPr>
        <w:ind w:left="851"/>
        <w:rPr>
          <w:u w:val="single"/>
        </w:rPr>
      </w:pPr>
      <w:r w:rsidRPr="00A403DD">
        <w:rPr>
          <w:u w:val="single"/>
        </w:rPr>
        <w:t>Dosering</w:t>
      </w:r>
    </w:p>
    <w:p w:rsidR="00406E6D" w:rsidRDefault="00406E6D" w:rsidP="00A403DD">
      <w:pPr>
        <w:ind w:left="851"/>
      </w:pPr>
    </w:p>
    <w:p w:rsidR="00406E6D" w:rsidRDefault="00F121BE" w:rsidP="00A403DD">
      <w:pPr>
        <w:ind w:left="851"/>
      </w:pPr>
      <w:proofErr w:type="spellStart"/>
      <w:r w:rsidRPr="00F121BE">
        <w:t>Varivax</w:t>
      </w:r>
      <w:proofErr w:type="spellEnd"/>
      <w:r w:rsidR="00406E6D">
        <w:t xml:space="preserve"> bør gives i overensstemmelse med officielle rekommandationer.</w:t>
      </w:r>
    </w:p>
    <w:p w:rsidR="00406E6D" w:rsidRDefault="00406E6D" w:rsidP="00A403DD">
      <w:pPr>
        <w:ind w:left="851"/>
      </w:pPr>
    </w:p>
    <w:p w:rsidR="00406E6D" w:rsidRPr="00A403DD" w:rsidRDefault="00406E6D" w:rsidP="00A403DD">
      <w:pPr>
        <w:ind w:left="851"/>
        <w:rPr>
          <w:u w:val="single"/>
        </w:rPr>
      </w:pPr>
      <w:r w:rsidRPr="00A403DD">
        <w:rPr>
          <w:bCs/>
          <w:iCs/>
          <w:u w:val="single"/>
        </w:rPr>
        <w:t>Børn under 9 måneder</w:t>
      </w:r>
    </w:p>
    <w:p w:rsidR="00406E6D" w:rsidRDefault="00F121BE" w:rsidP="00A403DD">
      <w:pPr>
        <w:ind w:left="851"/>
        <w:rPr>
          <w:bCs/>
          <w:iCs/>
        </w:rPr>
      </w:pPr>
      <w:proofErr w:type="spellStart"/>
      <w:r w:rsidRPr="00F121BE">
        <w:t>Varivax</w:t>
      </w:r>
      <w:proofErr w:type="spellEnd"/>
      <w:r w:rsidR="00406E6D">
        <w:rPr>
          <w:bCs/>
          <w:iCs/>
        </w:rPr>
        <w:t xml:space="preserve"> bør ikke gives til børn under 9 måneder.</w:t>
      </w:r>
    </w:p>
    <w:p w:rsidR="00406E6D" w:rsidRDefault="00406E6D" w:rsidP="00A403DD">
      <w:pPr>
        <w:ind w:left="851"/>
      </w:pPr>
    </w:p>
    <w:p w:rsidR="00406E6D" w:rsidRPr="00A403DD" w:rsidRDefault="00406E6D" w:rsidP="00A403DD">
      <w:pPr>
        <w:ind w:left="851"/>
        <w:rPr>
          <w:bCs/>
          <w:iCs/>
          <w:u w:val="single"/>
        </w:rPr>
      </w:pPr>
      <w:r w:rsidRPr="00A403DD">
        <w:rPr>
          <w:bCs/>
          <w:iCs/>
          <w:u w:val="single"/>
        </w:rPr>
        <w:t>Børn fra 9-måneders alderen</w:t>
      </w:r>
    </w:p>
    <w:p w:rsidR="00406E6D" w:rsidRDefault="00406E6D" w:rsidP="00A403DD">
      <w:pPr>
        <w:ind w:left="851"/>
        <w:rPr>
          <w:bCs/>
          <w:iCs/>
        </w:rPr>
      </w:pPr>
      <w:r>
        <w:rPr>
          <w:bCs/>
          <w:iCs/>
        </w:rPr>
        <w:t xml:space="preserve">Børn bør gives 2 doser </w:t>
      </w:r>
      <w:proofErr w:type="spellStart"/>
      <w:r w:rsidR="00F121BE" w:rsidRPr="00F121BE">
        <w:t>Varivax</w:t>
      </w:r>
      <w:proofErr w:type="spellEnd"/>
      <w:r>
        <w:rPr>
          <w:bCs/>
          <w:iCs/>
        </w:rPr>
        <w:t xml:space="preserve"> for at sikre optimal beskyttelse mod </w:t>
      </w:r>
      <w:proofErr w:type="spellStart"/>
      <w:r>
        <w:rPr>
          <w:bCs/>
          <w:iCs/>
        </w:rPr>
        <w:t>varicella</w:t>
      </w:r>
      <w:proofErr w:type="spellEnd"/>
      <w:r>
        <w:rPr>
          <w:bCs/>
          <w:iCs/>
        </w:rPr>
        <w:t xml:space="preserve"> (se pkt. 5.1) </w:t>
      </w:r>
    </w:p>
    <w:p w:rsidR="00406E6D" w:rsidRDefault="00406E6D" w:rsidP="00A403DD">
      <w:pPr>
        <w:ind w:left="851"/>
      </w:pPr>
    </w:p>
    <w:p w:rsidR="003B247C" w:rsidRDefault="003B247C" w:rsidP="003B247C">
      <w:pPr>
        <w:numPr>
          <w:ilvl w:val="0"/>
          <w:numId w:val="17"/>
        </w:numPr>
        <w:ind w:left="1276" w:hanging="425"/>
      </w:pPr>
      <w:r>
        <w:t>Børn i alderen fra 9 til 12 måneder</w:t>
      </w:r>
    </w:p>
    <w:p w:rsidR="003B247C" w:rsidRDefault="003B247C" w:rsidP="003B247C">
      <w:pPr>
        <w:ind w:left="1276"/>
        <w:rPr>
          <w:bCs/>
          <w:iCs/>
          <w:szCs w:val="24"/>
        </w:rPr>
      </w:pPr>
      <w:r>
        <w:t xml:space="preserve">I tilfælde, hvor vaccinationen indledes i alderen mellem 9 og 12 måneder, skal der gå mindst 3 måneder mellem den første og den anden dosis af </w:t>
      </w:r>
      <w:proofErr w:type="spellStart"/>
      <w:r>
        <w:t>Varivax</w:t>
      </w:r>
      <w:proofErr w:type="spellEnd"/>
      <w:r>
        <w:t xml:space="preserve"> (se pkt. 5.1)</w:t>
      </w:r>
    </w:p>
    <w:p w:rsidR="00406E6D" w:rsidRDefault="00406E6D" w:rsidP="00406E6D">
      <w:pPr>
        <w:numPr>
          <w:ilvl w:val="0"/>
          <w:numId w:val="17"/>
        </w:numPr>
        <w:ind w:left="1276" w:hanging="425"/>
      </w:pPr>
      <w:r>
        <w:t>Børn i alderen fra 12 måneder til 12 år</w:t>
      </w:r>
    </w:p>
    <w:p w:rsidR="00406E6D" w:rsidRDefault="00406E6D" w:rsidP="00406E6D">
      <w:pPr>
        <w:ind w:left="1276"/>
      </w:pPr>
      <w:r>
        <w:t xml:space="preserve">Hos børn i alderen fra 12 måneder til 12 år skal der gå mindst en måned mellem den første og den anden dosis af </w:t>
      </w:r>
      <w:proofErr w:type="spellStart"/>
      <w:r w:rsidR="00A403DD">
        <w:t>Varivax</w:t>
      </w:r>
      <w:proofErr w:type="spellEnd"/>
      <w:r>
        <w:t xml:space="preserve"> (se pkt. 5.1). </w:t>
      </w:r>
    </w:p>
    <w:p w:rsidR="00406E6D" w:rsidRDefault="00406E6D" w:rsidP="00406E6D">
      <w:pPr>
        <w:ind w:left="855"/>
        <w:rPr>
          <w:szCs w:val="24"/>
        </w:rPr>
      </w:pPr>
    </w:p>
    <w:p w:rsidR="00406E6D" w:rsidRDefault="00406E6D" w:rsidP="00406E6D">
      <w:pPr>
        <w:ind w:left="855"/>
        <w:rPr>
          <w:i/>
          <w:szCs w:val="24"/>
        </w:rPr>
      </w:pPr>
      <w:r>
        <w:rPr>
          <w:i/>
          <w:szCs w:val="24"/>
        </w:rPr>
        <w:t xml:space="preserve">Bemærk: Gældende officielle retningslinjer kan variere for så vidt angår behovet for en eller to doser og intervallet mellem vaccinationer med </w:t>
      </w:r>
      <w:proofErr w:type="spellStart"/>
      <w:r>
        <w:rPr>
          <w:i/>
          <w:szCs w:val="24"/>
        </w:rPr>
        <w:t>varicella</w:t>
      </w:r>
      <w:proofErr w:type="spellEnd"/>
      <w:r>
        <w:rPr>
          <w:i/>
          <w:szCs w:val="24"/>
        </w:rPr>
        <w:t>-indeholdende vacciner.</w:t>
      </w:r>
    </w:p>
    <w:p w:rsidR="00406E6D" w:rsidRDefault="00406E6D" w:rsidP="00406E6D">
      <w:pPr>
        <w:ind w:left="855"/>
        <w:rPr>
          <w:szCs w:val="24"/>
        </w:rPr>
      </w:pPr>
      <w:r>
        <w:rPr>
          <w:szCs w:val="24"/>
        </w:rPr>
        <w:t xml:space="preserve"> </w:t>
      </w:r>
    </w:p>
    <w:p w:rsidR="00406E6D" w:rsidRDefault="00406E6D" w:rsidP="00406E6D">
      <w:pPr>
        <w:ind w:left="855"/>
        <w:rPr>
          <w:szCs w:val="24"/>
        </w:rPr>
      </w:pPr>
      <w:r>
        <w:rPr>
          <w:szCs w:val="24"/>
        </w:rPr>
        <w:t>Børn i alderen 12 måneder til 12 år med symptomfri hiv-infektion [</w:t>
      </w:r>
      <w:r w:rsidR="007F364F" w:rsidRPr="00806BFF">
        <w:rPr>
          <w:szCs w:val="24"/>
        </w:rPr>
        <w:t>CDC</w:t>
      </w:r>
      <w:r w:rsidR="007F364F">
        <w:rPr>
          <w:szCs w:val="24"/>
        </w:rPr>
        <w:t>-</w:t>
      </w:r>
      <w:r>
        <w:rPr>
          <w:szCs w:val="24"/>
        </w:rPr>
        <w:t xml:space="preserve">klasse 1] med en aldersspecifik CD4+ T-lymfocyt procent </w:t>
      </w:r>
      <w:r>
        <w:rPr>
          <w:szCs w:val="24"/>
        </w:rPr>
        <w:sym w:font="Symbol" w:char="F0B3"/>
      </w:r>
      <w:r>
        <w:rPr>
          <w:szCs w:val="24"/>
        </w:rPr>
        <w:t xml:space="preserve"> 25</w:t>
      </w:r>
      <w:r w:rsidR="007620CE">
        <w:rPr>
          <w:szCs w:val="24"/>
        </w:rPr>
        <w:t xml:space="preserve"> %</w:t>
      </w:r>
      <w:r>
        <w:rPr>
          <w:szCs w:val="24"/>
        </w:rPr>
        <w:t xml:space="preserve"> skal gives to doser med 12 ugers mellemrum. </w:t>
      </w:r>
    </w:p>
    <w:p w:rsidR="00406E6D" w:rsidRDefault="00406E6D" w:rsidP="00406E6D">
      <w:pPr>
        <w:ind w:left="855"/>
        <w:rPr>
          <w:szCs w:val="24"/>
        </w:rPr>
      </w:pPr>
    </w:p>
    <w:p w:rsidR="00406E6D" w:rsidRDefault="00406E6D" w:rsidP="00406E6D">
      <w:pPr>
        <w:numPr>
          <w:ilvl w:val="0"/>
          <w:numId w:val="17"/>
        </w:numPr>
        <w:ind w:left="1276" w:hanging="425"/>
      </w:pPr>
      <w:r>
        <w:t>Personer fra 13 år og ældre</w:t>
      </w:r>
    </w:p>
    <w:p w:rsidR="00406E6D" w:rsidRDefault="00406E6D" w:rsidP="00406E6D">
      <w:pPr>
        <w:ind w:left="1276"/>
      </w:pPr>
      <w:r>
        <w:t xml:space="preserve">Personer fra 13 år og ældre skal gives to doser med 4-8 ugers mellemrum. Hvis intervallet mellem doserne overstiger 8 uger, skal den anden dosis gives så hurtigt som muligt (se pkt. 5.1). </w:t>
      </w:r>
    </w:p>
    <w:p w:rsidR="00406E6D" w:rsidRDefault="00406E6D" w:rsidP="00406E6D">
      <w:pPr>
        <w:ind w:left="1276"/>
      </w:pPr>
    </w:p>
    <w:p w:rsidR="00406E6D" w:rsidRDefault="00406E6D" w:rsidP="00406E6D">
      <w:pPr>
        <w:ind w:left="855"/>
        <w:rPr>
          <w:szCs w:val="24"/>
        </w:rPr>
      </w:pPr>
      <w:r>
        <w:rPr>
          <w:szCs w:val="24"/>
        </w:rPr>
        <w:t>Der er tilgængelige data for beskyttende effekt i op til 9 år efter vaccination (se pkt. 5.1).</w:t>
      </w:r>
    </w:p>
    <w:p w:rsidR="00406E6D" w:rsidRDefault="00406E6D" w:rsidP="00406E6D">
      <w:pPr>
        <w:ind w:left="855"/>
        <w:rPr>
          <w:szCs w:val="24"/>
        </w:rPr>
      </w:pPr>
      <w:r>
        <w:rPr>
          <w:szCs w:val="24"/>
        </w:rPr>
        <w:t>Behovet for booster vaccination er imidlertid endnu ikke fastsat.</w:t>
      </w:r>
    </w:p>
    <w:p w:rsidR="00406E6D" w:rsidRDefault="00406E6D" w:rsidP="00406E6D">
      <w:pPr>
        <w:ind w:left="855"/>
        <w:rPr>
          <w:szCs w:val="24"/>
          <w:u w:val="single"/>
        </w:rPr>
      </w:pPr>
    </w:p>
    <w:p w:rsidR="00406E6D" w:rsidRDefault="00406E6D" w:rsidP="00406E6D">
      <w:pPr>
        <w:ind w:left="855"/>
        <w:rPr>
          <w:szCs w:val="24"/>
        </w:rPr>
      </w:pPr>
      <w:r>
        <w:rPr>
          <w:szCs w:val="24"/>
        </w:rPr>
        <w:t xml:space="preserve">Hvis </w:t>
      </w:r>
      <w:proofErr w:type="spellStart"/>
      <w:r w:rsidR="00E664B3">
        <w:rPr>
          <w:szCs w:val="24"/>
        </w:rPr>
        <w:t>Varivax</w:t>
      </w:r>
      <w:proofErr w:type="spellEnd"/>
      <w:r>
        <w:rPr>
          <w:szCs w:val="24"/>
        </w:rPr>
        <w:t xml:space="preserve"> skal gives til </w:t>
      </w:r>
      <w:proofErr w:type="spellStart"/>
      <w:r>
        <w:rPr>
          <w:szCs w:val="24"/>
        </w:rPr>
        <w:t>seronegative</w:t>
      </w:r>
      <w:proofErr w:type="spellEnd"/>
      <w:r>
        <w:rPr>
          <w:szCs w:val="24"/>
        </w:rPr>
        <w:t xml:space="preserve"> personer før en planlagt eller fremtidig immunsupprimerende behandling (f.eks. personer der venter på organtransplantation og personer i remission efter en malign sygdom), skal der tages hensyn til tidspunktet for vaccinationen, da der først kan forventes maksimal beskyttelse efter anden dosis (se pkt. 4.3, 4.4 og 5.1).</w:t>
      </w:r>
    </w:p>
    <w:p w:rsidR="00406E6D" w:rsidRDefault="00406E6D" w:rsidP="00406E6D">
      <w:pPr>
        <w:ind w:left="855"/>
        <w:rPr>
          <w:szCs w:val="24"/>
        </w:rPr>
      </w:pPr>
    </w:p>
    <w:p w:rsidR="00406E6D" w:rsidRDefault="00406E6D" w:rsidP="00406E6D">
      <w:pPr>
        <w:ind w:left="855"/>
        <w:rPr>
          <w:szCs w:val="24"/>
        </w:rPr>
      </w:pPr>
      <w:r>
        <w:rPr>
          <w:szCs w:val="24"/>
        </w:rPr>
        <w:t xml:space="preserve">Der er ingen data for beskyttende effekt eller immunrespons for </w:t>
      </w:r>
      <w:proofErr w:type="spellStart"/>
      <w:r w:rsidR="004F4269">
        <w:rPr>
          <w:szCs w:val="24"/>
        </w:rPr>
        <w:t>Varivax</w:t>
      </w:r>
      <w:proofErr w:type="spellEnd"/>
      <w:r w:rsidR="004F4269">
        <w:rPr>
          <w:szCs w:val="24"/>
        </w:rPr>
        <w:t xml:space="preserve"> </w:t>
      </w:r>
      <w:r>
        <w:rPr>
          <w:szCs w:val="24"/>
        </w:rPr>
        <w:t xml:space="preserve">anvendt til </w:t>
      </w:r>
      <w:proofErr w:type="spellStart"/>
      <w:r>
        <w:rPr>
          <w:szCs w:val="24"/>
        </w:rPr>
        <w:t>seronegative</w:t>
      </w:r>
      <w:proofErr w:type="spellEnd"/>
      <w:r>
        <w:rPr>
          <w:szCs w:val="24"/>
        </w:rPr>
        <w:t xml:space="preserve"> personer over 65 år.</w:t>
      </w:r>
    </w:p>
    <w:p w:rsidR="00406E6D" w:rsidRDefault="00003DE5" w:rsidP="00406E6D">
      <w:pPr>
        <w:ind w:left="855"/>
        <w:rPr>
          <w:szCs w:val="24"/>
        </w:rPr>
      </w:pPr>
      <w:r>
        <w:rPr>
          <w:szCs w:val="24"/>
        </w:rPr>
        <w:br w:type="page"/>
      </w:r>
    </w:p>
    <w:p w:rsidR="003B247C" w:rsidRPr="00A32C0B" w:rsidRDefault="003B247C" w:rsidP="00A32C0B">
      <w:pPr>
        <w:ind w:left="851"/>
        <w:rPr>
          <w:u w:val="single"/>
        </w:rPr>
      </w:pPr>
      <w:r w:rsidRPr="00A32C0B">
        <w:rPr>
          <w:u w:val="single"/>
        </w:rPr>
        <w:lastRenderedPageBreak/>
        <w:t>Administration</w:t>
      </w:r>
    </w:p>
    <w:p w:rsidR="003B247C" w:rsidRDefault="003B247C" w:rsidP="00A32C0B">
      <w:pPr>
        <w:ind w:left="851"/>
      </w:pPr>
      <w:r>
        <w:t>Vaccinen skal injiceres intramuskulært (</w:t>
      </w:r>
      <w:proofErr w:type="spellStart"/>
      <w:r>
        <w:t>i.m</w:t>
      </w:r>
      <w:proofErr w:type="spellEnd"/>
      <w:r>
        <w:t>.) eller subkutant (</w:t>
      </w:r>
      <w:proofErr w:type="spellStart"/>
      <w:r>
        <w:t>s.c</w:t>
      </w:r>
      <w:proofErr w:type="spellEnd"/>
      <w:r>
        <w:t>.).</w:t>
      </w:r>
    </w:p>
    <w:p w:rsidR="003B247C" w:rsidRDefault="003B247C" w:rsidP="00A32C0B">
      <w:pPr>
        <w:ind w:left="851"/>
      </w:pPr>
      <w:r>
        <w:t xml:space="preserve">Det foretrukne injektionssted er det </w:t>
      </w:r>
      <w:proofErr w:type="spellStart"/>
      <w:r>
        <w:t>anterolaterale</w:t>
      </w:r>
      <w:proofErr w:type="spellEnd"/>
      <w:r>
        <w:t xml:space="preserve"> område af låret på små børn og </w:t>
      </w:r>
      <w:proofErr w:type="spellStart"/>
      <w:r>
        <w:t>deltoidområdet</w:t>
      </w:r>
      <w:proofErr w:type="spellEnd"/>
      <w:r>
        <w:t xml:space="preserve"> på større børn, unge og voksne.</w:t>
      </w:r>
    </w:p>
    <w:p w:rsidR="003B247C" w:rsidRDefault="003B247C" w:rsidP="00A32C0B">
      <w:pPr>
        <w:ind w:left="851"/>
      </w:pPr>
      <w:r>
        <w:t xml:space="preserve">Vaccinen skal injiceres subkutant i tilfælde af patienter med </w:t>
      </w:r>
      <w:proofErr w:type="spellStart"/>
      <w:r>
        <w:t>trombocytopeni</w:t>
      </w:r>
      <w:proofErr w:type="spellEnd"/>
      <w:r>
        <w:t xml:space="preserve"> eller andre koagulationsforstyrrelser.</w:t>
      </w:r>
    </w:p>
    <w:p w:rsidR="003B247C" w:rsidRDefault="003B247C" w:rsidP="003B247C">
      <w:pPr>
        <w:ind w:left="855"/>
        <w:rPr>
          <w:szCs w:val="24"/>
        </w:rPr>
      </w:pPr>
    </w:p>
    <w:p w:rsidR="003B247C" w:rsidRDefault="003B247C" w:rsidP="003B247C">
      <w:pPr>
        <w:tabs>
          <w:tab w:val="left" w:pos="851"/>
        </w:tabs>
        <w:ind w:left="1706" w:hanging="851"/>
        <w:jc w:val="both"/>
        <w:rPr>
          <w:szCs w:val="24"/>
        </w:rPr>
      </w:pPr>
      <w:r>
        <w:rPr>
          <w:b/>
          <w:szCs w:val="24"/>
        </w:rPr>
        <w:t>MÅ IKKE INJICERES INTRAVENØST.</w:t>
      </w:r>
    </w:p>
    <w:p w:rsidR="003B247C" w:rsidRDefault="003B247C" w:rsidP="003B247C">
      <w:pPr>
        <w:tabs>
          <w:tab w:val="left" w:pos="851"/>
        </w:tabs>
        <w:jc w:val="both"/>
        <w:rPr>
          <w:szCs w:val="24"/>
        </w:rPr>
      </w:pPr>
    </w:p>
    <w:p w:rsidR="003B247C" w:rsidRDefault="003B247C" w:rsidP="003B247C">
      <w:pPr>
        <w:ind w:left="855"/>
        <w:rPr>
          <w:szCs w:val="24"/>
        </w:rPr>
      </w:pPr>
      <w:r>
        <w:rPr>
          <w:rFonts w:cs="Arial"/>
          <w:iCs/>
          <w:szCs w:val="24"/>
        </w:rPr>
        <w:t>Forholdsregler, der skal træffes, før vaccinen håndteres eller injiceres: Se pkt. 6.6</w:t>
      </w:r>
    </w:p>
    <w:p w:rsidR="008C6ED0" w:rsidRPr="00806BFF" w:rsidRDefault="008C6ED0" w:rsidP="008C6ED0">
      <w:pPr>
        <w:tabs>
          <w:tab w:val="left" w:pos="851"/>
        </w:tabs>
        <w:jc w:val="both"/>
      </w:pPr>
    </w:p>
    <w:p w:rsidR="009E3905" w:rsidRPr="00C84483" w:rsidRDefault="009E3905" w:rsidP="009E3905">
      <w:pPr>
        <w:tabs>
          <w:tab w:val="left" w:pos="851"/>
        </w:tabs>
        <w:ind w:left="851" w:hanging="851"/>
        <w:rPr>
          <w:b/>
          <w:szCs w:val="24"/>
        </w:rPr>
      </w:pPr>
      <w:r w:rsidRPr="00C84483">
        <w:rPr>
          <w:b/>
          <w:szCs w:val="24"/>
        </w:rPr>
        <w:t>4.3</w:t>
      </w:r>
      <w:r w:rsidRPr="00C84483">
        <w:rPr>
          <w:b/>
          <w:szCs w:val="24"/>
        </w:rPr>
        <w:tab/>
        <w:t>Kontraindikationer</w:t>
      </w:r>
    </w:p>
    <w:p w:rsidR="003B247C" w:rsidRDefault="003B247C" w:rsidP="001B5F59">
      <w:pPr>
        <w:numPr>
          <w:ilvl w:val="0"/>
          <w:numId w:val="6"/>
        </w:numPr>
        <w:tabs>
          <w:tab w:val="clear" w:pos="720"/>
        </w:tabs>
        <w:ind w:left="1276" w:hanging="425"/>
      </w:pPr>
      <w:r>
        <w:t xml:space="preserve">Overfølsomhed overfor </w:t>
      </w:r>
      <w:proofErr w:type="spellStart"/>
      <w:r>
        <w:t>varicellavaccine</w:t>
      </w:r>
      <w:proofErr w:type="spellEnd"/>
      <w:r>
        <w:t xml:space="preserve">, over for et eller flere af hjælpestofferne anført i pkt. 6.1 eller over for </w:t>
      </w:r>
      <w:proofErr w:type="spellStart"/>
      <w:r>
        <w:t>neomycin</w:t>
      </w:r>
      <w:proofErr w:type="spellEnd"/>
      <w:r>
        <w:t xml:space="preserve"> (som kan være til</w:t>
      </w:r>
      <w:r w:rsidR="007F364F">
        <w:t xml:space="preserve"> </w:t>
      </w:r>
      <w:r>
        <w:t>stede som et reststof, se pkt. 2 og 4.4).</w:t>
      </w:r>
    </w:p>
    <w:p w:rsidR="00C4436E" w:rsidRPr="00806BFF" w:rsidRDefault="00C4436E" w:rsidP="00E664B3">
      <w:pPr>
        <w:numPr>
          <w:ilvl w:val="0"/>
          <w:numId w:val="6"/>
        </w:numPr>
        <w:tabs>
          <w:tab w:val="clear" w:pos="720"/>
        </w:tabs>
        <w:ind w:left="1276" w:hanging="425"/>
      </w:pPr>
      <w:proofErr w:type="spellStart"/>
      <w:r w:rsidRPr="00806BFF">
        <w:t>Bloddyskrasi</w:t>
      </w:r>
      <w:proofErr w:type="spellEnd"/>
      <w:r w:rsidRPr="00806BFF">
        <w:t xml:space="preserve">, leukæmi, </w:t>
      </w:r>
      <w:proofErr w:type="spellStart"/>
      <w:r w:rsidRPr="00806BFF">
        <w:t>lymfomer</w:t>
      </w:r>
      <w:proofErr w:type="spellEnd"/>
      <w:r w:rsidRPr="00806BFF">
        <w:t xml:space="preserve"> af enhver type eller andre maligne neoplasmer som påvirker blod- og lymfesystemet.</w:t>
      </w:r>
    </w:p>
    <w:p w:rsidR="00C4436E" w:rsidRPr="00806BFF" w:rsidRDefault="00406E6D" w:rsidP="00E664B3">
      <w:pPr>
        <w:numPr>
          <w:ilvl w:val="0"/>
          <w:numId w:val="6"/>
        </w:numPr>
        <w:tabs>
          <w:tab w:val="clear" w:pos="720"/>
        </w:tabs>
        <w:ind w:left="1276" w:hanging="425"/>
      </w:pPr>
      <w:r>
        <w:t>Personer</w:t>
      </w:r>
      <w:r w:rsidR="004F4269">
        <w:t>,</w:t>
      </w:r>
      <w:r>
        <w:t xml:space="preserve"> som gennemgår immun</w:t>
      </w:r>
      <w:r w:rsidR="00C4436E" w:rsidRPr="00806BFF">
        <w:t>suppressiv behandling (inklusiv</w:t>
      </w:r>
      <w:r>
        <w:t>e</w:t>
      </w:r>
      <w:r w:rsidR="00C4436E" w:rsidRPr="00806BFF">
        <w:t xml:space="preserve"> høje doser </w:t>
      </w:r>
      <w:proofErr w:type="spellStart"/>
      <w:r w:rsidR="00C4436E" w:rsidRPr="00806BFF">
        <w:t>kortikosteroider</w:t>
      </w:r>
      <w:proofErr w:type="spellEnd"/>
      <w:r w:rsidR="00C4436E" w:rsidRPr="00806BFF">
        <w:t>)</w:t>
      </w:r>
      <w:r w:rsidR="004F4269">
        <w:t xml:space="preserve"> (se pkt. 4.8)</w:t>
      </w:r>
      <w:r w:rsidR="00C4436E" w:rsidRPr="00806BFF">
        <w:t>.</w:t>
      </w:r>
    </w:p>
    <w:p w:rsidR="00C4436E" w:rsidRPr="00806BFF" w:rsidRDefault="00C4436E" w:rsidP="00E664B3">
      <w:pPr>
        <w:numPr>
          <w:ilvl w:val="0"/>
          <w:numId w:val="6"/>
        </w:numPr>
        <w:tabs>
          <w:tab w:val="clear" w:pos="720"/>
        </w:tabs>
        <w:ind w:left="1276" w:hanging="425"/>
      </w:pPr>
      <w:r>
        <w:t xml:space="preserve">Alvorlig </w:t>
      </w:r>
      <w:proofErr w:type="spellStart"/>
      <w:r>
        <w:t>humoral</w:t>
      </w:r>
      <w:proofErr w:type="spellEnd"/>
      <w:r>
        <w:t xml:space="preserve"> eller cellulær (primær eller erhvervet) immundefekt, f.eks</w:t>
      </w:r>
      <w:r w:rsidR="00407574">
        <w:t>.</w:t>
      </w:r>
      <w:r>
        <w:t xml:space="preserve"> alvorlig kombineret immundefekt, </w:t>
      </w:r>
      <w:proofErr w:type="spellStart"/>
      <w:r>
        <w:t>agammaglobulinæmi</w:t>
      </w:r>
      <w:proofErr w:type="spellEnd"/>
      <w:r>
        <w:t xml:space="preserve">, aids, symptomgivende hiv-infektion eller en aldersspecifik CD4+ T-lymfocytprocent hos børn under 12 måneder: CD4+ </w:t>
      </w:r>
      <w:r w:rsidRPr="00806BFF">
        <w:sym w:font="Symbol" w:char="F03C"/>
      </w:r>
      <w:r>
        <w:t>25</w:t>
      </w:r>
      <w:r w:rsidR="007620CE">
        <w:t xml:space="preserve"> %</w:t>
      </w:r>
      <w:r>
        <w:t>; hos børn i alderen 12-35 måneder: CD4+</w:t>
      </w:r>
      <w:r w:rsidRPr="00806BFF">
        <w:t xml:space="preserve"> </w:t>
      </w:r>
      <w:r w:rsidRPr="00806BFF">
        <w:sym w:font="Symbol" w:char="F03C"/>
      </w:r>
      <w:r>
        <w:t>20</w:t>
      </w:r>
      <w:r w:rsidR="007620CE">
        <w:t xml:space="preserve"> %</w:t>
      </w:r>
      <w:r>
        <w:t xml:space="preserve">; hos børn i alderen 36-59 måneder: CD4+ </w:t>
      </w:r>
      <w:r w:rsidRPr="00806BFF">
        <w:sym w:font="Symbol" w:char="F03C"/>
      </w:r>
      <w:r>
        <w:t>15</w:t>
      </w:r>
      <w:r w:rsidR="007620CE">
        <w:t xml:space="preserve"> %</w:t>
      </w:r>
      <w:r>
        <w:t xml:space="preserve"> (se pkt. 4.4</w:t>
      </w:r>
      <w:r w:rsidR="004F4269">
        <w:t xml:space="preserve"> og 4.8</w:t>
      </w:r>
      <w:r>
        <w:t xml:space="preserve">). </w:t>
      </w:r>
    </w:p>
    <w:p w:rsidR="00C4436E" w:rsidRPr="00806BFF" w:rsidRDefault="00C4436E" w:rsidP="00E664B3">
      <w:pPr>
        <w:numPr>
          <w:ilvl w:val="0"/>
          <w:numId w:val="6"/>
        </w:numPr>
        <w:tabs>
          <w:tab w:val="clear" w:pos="720"/>
        </w:tabs>
        <w:ind w:left="1276" w:hanging="425"/>
      </w:pPr>
      <w:r w:rsidRPr="000A52B5">
        <w:t>Personer</w:t>
      </w:r>
      <w:r w:rsidR="004F4269">
        <w:t>,</w:t>
      </w:r>
      <w:r w:rsidRPr="000A52B5">
        <w:t xml:space="preserve"> hvor der i familien er medfødt </w:t>
      </w:r>
      <w:r w:rsidRPr="00806BFF">
        <w:t>eller arvelig immundefekt, medmindre det kan påvises, at den potentielle modtager af vaccinen har et fungerende immunforsvar.</w:t>
      </w:r>
    </w:p>
    <w:p w:rsidR="00C4436E" w:rsidRPr="00806BFF" w:rsidRDefault="00C4436E" w:rsidP="00E664B3">
      <w:pPr>
        <w:numPr>
          <w:ilvl w:val="0"/>
          <w:numId w:val="6"/>
        </w:numPr>
        <w:tabs>
          <w:tab w:val="clear" w:pos="720"/>
        </w:tabs>
        <w:ind w:left="1276" w:hanging="425"/>
      </w:pPr>
      <w:r w:rsidRPr="00806BFF">
        <w:t>Aktiv, ubehandlet tuberkulose.</w:t>
      </w:r>
    </w:p>
    <w:p w:rsidR="00C4436E" w:rsidRPr="00806BFF" w:rsidRDefault="00C4436E" w:rsidP="00E664B3">
      <w:pPr>
        <w:numPr>
          <w:ilvl w:val="0"/>
          <w:numId w:val="6"/>
        </w:numPr>
        <w:tabs>
          <w:tab w:val="clear" w:pos="720"/>
        </w:tabs>
        <w:ind w:left="1276" w:hanging="425"/>
      </w:pPr>
      <w:r w:rsidRPr="00806BFF">
        <w:t>Sygdom med feber &gt;38,5</w:t>
      </w:r>
      <w:r w:rsidR="00407574">
        <w:t xml:space="preserve"> </w:t>
      </w:r>
      <w:r w:rsidRPr="00806BFF">
        <w:sym w:font="Symbol" w:char="F0B0"/>
      </w:r>
      <w:r w:rsidRPr="00806BFF">
        <w:t>C; lavere feber i sig selv er ikke en kontraindikation for vaccination.</w:t>
      </w:r>
    </w:p>
    <w:p w:rsidR="00C4436E" w:rsidRPr="00AE56D3" w:rsidRDefault="00C4436E" w:rsidP="00E664B3">
      <w:pPr>
        <w:numPr>
          <w:ilvl w:val="0"/>
          <w:numId w:val="6"/>
        </w:numPr>
        <w:tabs>
          <w:tab w:val="clear" w:pos="720"/>
        </w:tabs>
        <w:ind w:left="1276" w:hanging="425"/>
        <w:rPr>
          <w:b/>
        </w:rPr>
      </w:pPr>
      <w:r>
        <w:t>Graviditet. Endvidere skal graviditet undgås 1 måned efter vaccination (se pkt. 4.6).</w:t>
      </w:r>
    </w:p>
    <w:p w:rsidR="008C6ED0" w:rsidRPr="00806BFF" w:rsidRDefault="008C6ED0" w:rsidP="008C6ED0">
      <w:pPr>
        <w:tabs>
          <w:tab w:val="left" w:pos="851"/>
        </w:tabs>
        <w:jc w:val="both"/>
      </w:pPr>
    </w:p>
    <w:p w:rsidR="009E3905" w:rsidRPr="00C84483" w:rsidRDefault="009E3905" w:rsidP="009E3905">
      <w:pPr>
        <w:tabs>
          <w:tab w:val="left" w:pos="851"/>
        </w:tabs>
        <w:ind w:left="851" w:hanging="851"/>
        <w:rPr>
          <w:b/>
          <w:szCs w:val="24"/>
        </w:rPr>
      </w:pPr>
      <w:r w:rsidRPr="00C84483">
        <w:rPr>
          <w:b/>
          <w:szCs w:val="24"/>
        </w:rPr>
        <w:t>4.4</w:t>
      </w:r>
      <w:r w:rsidRPr="00C84483">
        <w:rPr>
          <w:b/>
          <w:szCs w:val="24"/>
        </w:rPr>
        <w:tab/>
        <w:t>Særlige advarsler og forsigtighedsregler vedrørende brugen</w:t>
      </w:r>
    </w:p>
    <w:p w:rsidR="00E0055C" w:rsidRDefault="00E0055C" w:rsidP="00E0055C">
      <w:pPr>
        <w:ind w:left="855"/>
        <w:rPr>
          <w:szCs w:val="24"/>
        </w:rPr>
      </w:pPr>
    </w:p>
    <w:p w:rsidR="00E0055C" w:rsidRDefault="00E0055C" w:rsidP="00E0055C">
      <w:pPr>
        <w:autoSpaceDE w:val="0"/>
        <w:autoSpaceDN w:val="0"/>
        <w:adjustRightInd w:val="0"/>
        <w:ind w:firstLine="855"/>
        <w:rPr>
          <w:rFonts w:ascii="TimesNewRomanPSMT" w:hAnsi="TimesNewRomanPSMT" w:cs="TimesNewRomanPSMT"/>
          <w:szCs w:val="22"/>
          <w:lang w:eastAsia="en-GB"/>
        </w:rPr>
      </w:pPr>
      <w:r>
        <w:rPr>
          <w:rFonts w:ascii="TimesNewRomanPSMT" w:hAnsi="TimesNewRomanPSMT" w:cs="TimesNewRomanPSMT"/>
          <w:szCs w:val="22"/>
          <w:lang w:eastAsia="en-GB"/>
        </w:rPr>
        <w:t>Sporbarhed</w:t>
      </w:r>
    </w:p>
    <w:p w:rsidR="00E0055C" w:rsidRDefault="00E0055C" w:rsidP="00E0055C">
      <w:pPr>
        <w:ind w:left="855"/>
        <w:rPr>
          <w:szCs w:val="24"/>
        </w:rPr>
      </w:pPr>
      <w:r>
        <w:rPr>
          <w:rFonts w:ascii="TimesNewRomanPSMT" w:hAnsi="TimesNewRomanPSMT" w:cs="TimesNewRomanPSMT"/>
          <w:szCs w:val="22"/>
          <w:lang w:eastAsia="en-GB"/>
        </w:rPr>
        <w:t>For at forbedre sporbarheden af biologiske lægemidler skal det administrerede produkts navn og batchnummer tydeligt registreres.</w:t>
      </w:r>
    </w:p>
    <w:p w:rsidR="00E0055C" w:rsidRDefault="00E0055C" w:rsidP="00E0055C">
      <w:pPr>
        <w:ind w:left="855"/>
        <w:rPr>
          <w:szCs w:val="24"/>
        </w:rPr>
      </w:pPr>
    </w:p>
    <w:p w:rsidR="00E0055C" w:rsidRDefault="00E0055C" w:rsidP="00E0055C">
      <w:pPr>
        <w:ind w:left="855"/>
        <w:rPr>
          <w:szCs w:val="24"/>
        </w:rPr>
      </w:pPr>
      <w:r>
        <w:rPr>
          <w:szCs w:val="24"/>
        </w:rPr>
        <w:t xml:space="preserve">Som ved alle injektionsvacciner skal egnet medicinsk behandling og overvågning være let tilgængelig i tilfælde af sjældne </w:t>
      </w:r>
      <w:proofErr w:type="spellStart"/>
      <w:r>
        <w:rPr>
          <w:szCs w:val="24"/>
        </w:rPr>
        <w:t>anafylaktiske</w:t>
      </w:r>
      <w:proofErr w:type="spellEnd"/>
      <w:r>
        <w:rPr>
          <w:szCs w:val="24"/>
        </w:rPr>
        <w:t xml:space="preserve"> reaktioner efter administration af vaccinen.</w:t>
      </w:r>
    </w:p>
    <w:p w:rsidR="00E0055C" w:rsidRDefault="00E0055C" w:rsidP="00E0055C">
      <w:pPr>
        <w:ind w:left="855"/>
        <w:rPr>
          <w:szCs w:val="24"/>
        </w:rPr>
      </w:pPr>
    </w:p>
    <w:p w:rsidR="00E0055C" w:rsidRDefault="00E0055C" w:rsidP="00E0055C">
      <w:pPr>
        <w:ind w:left="855"/>
        <w:rPr>
          <w:szCs w:val="24"/>
        </w:rPr>
      </w:pPr>
      <w:r>
        <w:rPr>
          <w:szCs w:val="24"/>
        </w:rPr>
        <w:t xml:space="preserve">Som med andre vacciner er der risiko for overfølsomhedsreaktioner ikke kun over for det aktive stof, men også over for et eller flere af de hjælpestoffer, der er anført i pkt. 6.1, eller </w:t>
      </w:r>
      <w:proofErr w:type="spellStart"/>
      <w:r>
        <w:rPr>
          <w:szCs w:val="24"/>
        </w:rPr>
        <w:t>neomycin</w:t>
      </w:r>
      <w:proofErr w:type="spellEnd"/>
      <w:r>
        <w:rPr>
          <w:szCs w:val="24"/>
        </w:rPr>
        <w:t xml:space="preserve"> (som kan være til stede som et reststof) (se pkt. 2 og 4.3).</w:t>
      </w:r>
    </w:p>
    <w:p w:rsidR="00E0055C" w:rsidRDefault="00E0055C" w:rsidP="00E0055C">
      <w:pPr>
        <w:ind w:left="855"/>
        <w:rPr>
          <w:szCs w:val="24"/>
        </w:rPr>
      </w:pPr>
    </w:p>
    <w:p w:rsidR="00E0055C" w:rsidRDefault="00E0055C" w:rsidP="00E0055C">
      <w:pPr>
        <w:ind w:left="855"/>
        <w:rPr>
          <w:szCs w:val="24"/>
        </w:rPr>
      </w:pPr>
      <w:r>
        <w:rPr>
          <w:szCs w:val="24"/>
        </w:rPr>
        <w:t xml:space="preserve">Som med andre vacciner giver </w:t>
      </w:r>
      <w:proofErr w:type="spellStart"/>
      <w:r>
        <w:t>Varivax</w:t>
      </w:r>
      <w:proofErr w:type="spellEnd"/>
      <w:r>
        <w:rPr>
          <w:szCs w:val="24"/>
        </w:rPr>
        <w:t xml:space="preserve"> ikke alle personer fuldstændig beskyttelse mod naturligt erhvervet </w:t>
      </w:r>
      <w:proofErr w:type="spellStart"/>
      <w:r>
        <w:rPr>
          <w:szCs w:val="24"/>
        </w:rPr>
        <w:t>varicella</w:t>
      </w:r>
      <w:proofErr w:type="spellEnd"/>
      <w:r>
        <w:rPr>
          <w:szCs w:val="24"/>
        </w:rPr>
        <w:t>. Kliniske studier har kun vist beskyttende effekt begyndende 6 uger efter den første dosis hos raske personer op til 12 år eller 6 uger efter den anden dosis hos ældre personer (se pkt. 5.1).</w:t>
      </w:r>
    </w:p>
    <w:p w:rsidR="00E0055C" w:rsidRDefault="00E0055C" w:rsidP="00E0055C">
      <w:pPr>
        <w:ind w:left="855"/>
        <w:rPr>
          <w:szCs w:val="24"/>
        </w:rPr>
      </w:pPr>
    </w:p>
    <w:p w:rsidR="00E0055C" w:rsidRDefault="00E0055C" w:rsidP="00E0055C">
      <w:pPr>
        <w:ind w:left="855"/>
        <w:rPr>
          <w:szCs w:val="24"/>
        </w:rPr>
      </w:pPr>
      <w:r>
        <w:rPr>
          <w:szCs w:val="24"/>
        </w:rPr>
        <w:t xml:space="preserve">Vaccination kan overvejes hos personer med udvalgte immundefekter, hvor fordelene vægtes højere end risici (f.eks. symptomfrie hiv-patienter og personer med </w:t>
      </w:r>
      <w:proofErr w:type="spellStart"/>
      <w:r>
        <w:rPr>
          <w:szCs w:val="24"/>
        </w:rPr>
        <w:t>IgG</w:t>
      </w:r>
      <w:proofErr w:type="spellEnd"/>
      <w:r>
        <w:rPr>
          <w:szCs w:val="24"/>
        </w:rPr>
        <w:t xml:space="preserve">- subklassedefekt, medfødt </w:t>
      </w:r>
      <w:proofErr w:type="spellStart"/>
      <w:r>
        <w:rPr>
          <w:szCs w:val="24"/>
        </w:rPr>
        <w:t>neutropeni</w:t>
      </w:r>
      <w:proofErr w:type="spellEnd"/>
      <w:r>
        <w:rPr>
          <w:szCs w:val="24"/>
        </w:rPr>
        <w:t xml:space="preserve">, kronisk </w:t>
      </w:r>
      <w:proofErr w:type="spellStart"/>
      <w:r>
        <w:rPr>
          <w:szCs w:val="24"/>
        </w:rPr>
        <w:t>granulomatøs</w:t>
      </w:r>
      <w:proofErr w:type="spellEnd"/>
      <w:r>
        <w:rPr>
          <w:szCs w:val="24"/>
        </w:rPr>
        <w:t xml:space="preserve"> sygdom eller personer med komplementfaktormangel). </w:t>
      </w:r>
    </w:p>
    <w:p w:rsidR="00E0055C" w:rsidRDefault="00E0055C" w:rsidP="00E0055C">
      <w:pPr>
        <w:ind w:left="855"/>
        <w:rPr>
          <w:szCs w:val="24"/>
        </w:rPr>
      </w:pPr>
    </w:p>
    <w:p w:rsidR="00E0055C" w:rsidRDefault="00E0055C" w:rsidP="00E0055C">
      <w:pPr>
        <w:ind w:left="855"/>
        <w:rPr>
          <w:szCs w:val="24"/>
        </w:rPr>
      </w:pPr>
      <w:r>
        <w:rPr>
          <w:szCs w:val="24"/>
        </w:rPr>
        <w:t>Immunkompromitterede personer, som ikke er kontraindiceret for denne vaccine (se pkt. 4.3), vil muligvis ikke respondere lige så godt som immunkompetente personer og kan således ved kontakt få skoldkopper på trods af korrekt vaccination. Disse personer skal overvåges nøje for symptomer på skoldkopper.</w:t>
      </w:r>
    </w:p>
    <w:p w:rsidR="00E0055C" w:rsidRDefault="00E0055C" w:rsidP="00E0055C">
      <w:pPr>
        <w:ind w:left="855"/>
        <w:rPr>
          <w:szCs w:val="24"/>
        </w:rPr>
      </w:pPr>
    </w:p>
    <w:p w:rsidR="00E0055C" w:rsidRDefault="00E0055C" w:rsidP="00E0055C">
      <w:pPr>
        <w:ind w:left="855"/>
        <w:rPr>
          <w:szCs w:val="24"/>
        </w:rPr>
      </w:pPr>
      <w:r>
        <w:rPr>
          <w:szCs w:val="24"/>
        </w:rPr>
        <w:t xml:space="preserve">Vaccinerede personer, bør undgå salicylsyrepræparater i 6 uger efter vaccination (se pkt. 4.5). </w:t>
      </w:r>
    </w:p>
    <w:p w:rsidR="00E0055C" w:rsidRDefault="00E0055C" w:rsidP="00E0055C">
      <w:pPr>
        <w:ind w:left="855"/>
        <w:rPr>
          <w:i/>
          <w:szCs w:val="24"/>
        </w:rPr>
      </w:pPr>
    </w:p>
    <w:p w:rsidR="00E0055C" w:rsidRPr="00A32C0B" w:rsidRDefault="00E0055C" w:rsidP="00A32C0B">
      <w:pPr>
        <w:ind w:left="851"/>
        <w:rPr>
          <w:u w:val="single"/>
        </w:rPr>
      </w:pPr>
      <w:r w:rsidRPr="00A32C0B">
        <w:rPr>
          <w:u w:val="single"/>
        </w:rPr>
        <w:t>Smitteoverførsel</w:t>
      </w:r>
    </w:p>
    <w:p w:rsidR="00E0055C" w:rsidRDefault="00E0055C" w:rsidP="00E0055C">
      <w:pPr>
        <w:pStyle w:val="Sidehoved"/>
        <w:tabs>
          <w:tab w:val="left" w:pos="1304"/>
        </w:tabs>
        <w:ind w:left="855"/>
        <w:rPr>
          <w:szCs w:val="24"/>
        </w:rPr>
      </w:pPr>
      <w:r>
        <w:rPr>
          <w:szCs w:val="24"/>
        </w:rPr>
        <w:t xml:space="preserve">Overførsel af </w:t>
      </w:r>
      <w:proofErr w:type="spellStart"/>
      <w:r>
        <w:rPr>
          <w:szCs w:val="24"/>
        </w:rPr>
        <w:t>varicella</w:t>
      </w:r>
      <w:proofErr w:type="spellEnd"/>
      <w:r>
        <w:rPr>
          <w:szCs w:val="24"/>
        </w:rPr>
        <w:t xml:space="preserve"> vaccinevirus (Oka/Merck-stamme), der medfører </w:t>
      </w:r>
      <w:proofErr w:type="spellStart"/>
      <w:r>
        <w:rPr>
          <w:szCs w:val="24"/>
        </w:rPr>
        <w:t>varicellainfektion</w:t>
      </w:r>
      <w:proofErr w:type="spellEnd"/>
      <w:r>
        <w:rPr>
          <w:szCs w:val="24"/>
        </w:rPr>
        <w:t xml:space="preserve">, herunder dissemineret sygdom, kan i sjældne tilfælde ske mellem vaccinerede personer (uanset om de udvikler et </w:t>
      </w:r>
      <w:proofErr w:type="spellStart"/>
      <w:r>
        <w:rPr>
          <w:szCs w:val="24"/>
        </w:rPr>
        <w:t>varicella</w:t>
      </w:r>
      <w:proofErr w:type="spellEnd"/>
      <w:r>
        <w:rPr>
          <w:szCs w:val="24"/>
        </w:rPr>
        <w:t xml:space="preserve">-lignende udslæt eller ej) og personer, der er modtagelige overfor </w:t>
      </w:r>
      <w:proofErr w:type="spellStart"/>
      <w:r>
        <w:rPr>
          <w:szCs w:val="24"/>
        </w:rPr>
        <w:t>varicella</w:t>
      </w:r>
      <w:proofErr w:type="spellEnd"/>
      <w:r>
        <w:rPr>
          <w:szCs w:val="24"/>
        </w:rPr>
        <w:t xml:space="preserve">, herunder raske personer samt personer i højrisikogruppen (se pkt. 4.8). </w:t>
      </w:r>
    </w:p>
    <w:p w:rsidR="00E0055C" w:rsidRDefault="00E0055C" w:rsidP="00E0055C">
      <w:pPr>
        <w:ind w:left="855"/>
        <w:rPr>
          <w:szCs w:val="24"/>
        </w:rPr>
      </w:pPr>
    </w:p>
    <w:p w:rsidR="00E0055C" w:rsidRDefault="00E0055C" w:rsidP="00E0055C">
      <w:pPr>
        <w:ind w:left="855"/>
        <w:rPr>
          <w:szCs w:val="24"/>
        </w:rPr>
      </w:pPr>
      <w:r>
        <w:rPr>
          <w:szCs w:val="24"/>
        </w:rPr>
        <w:t>Derfor skal vaccinemodtagere så vidt muligt forsøge at undgå tæt kontakt med modtagelige personer i højrisikogruppen i op til 6 uger efter vaccinationen.</w:t>
      </w:r>
    </w:p>
    <w:p w:rsidR="00E0055C" w:rsidRDefault="00E0055C" w:rsidP="00E0055C">
      <w:pPr>
        <w:ind w:left="855"/>
        <w:rPr>
          <w:szCs w:val="24"/>
        </w:rPr>
      </w:pPr>
    </w:p>
    <w:p w:rsidR="00E0055C" w:rsidRDefault="00E0055C" w:rsidP="00E0055C">
      <w:pPr>
        <w:ind w:left="855"/>
        <w:rPr>
          <w:szCs w:val="24"/>
        </w:rPr>
      </w:pPr>
      <w:r>
        <w:rPr>
          <w:szCs w:val="24"/>
        </w:rPr>
        <w:t xml:space="preserve">I situationer, hvor kontakt med personer i højrisikogruppen ikke kan undgås, skal den potentielle risiko for overførelse af vaccinevirus ved vaccinationen, nøje vejes op mod risikoen for at pådrage sig og overføre den naturlige </w:t>
      </w:r>
      <w:proofErr w:type="spellStart"/>
      <w:r>
        <w:rPr>
          <w:szCs w:val="24"/>
        </w:rPr>
        <w:t>varicellavirus</w:t>
      </w:r>
      <w:proofErr w:type="spellEnd"/>
      <w:r>
        <w:rPr>
          <w:szCs w:val="24"/>
        </w:rPr>
        <w:t xml:space="preserve"> (se pkt. 4.8).</w:t>
      </w:r>
    </w:p>
    <w:p w:rsidR="00E0055C" w:rsidRDefault="00E0055C" w:rsidP="00E0055C">
      <w:pPr>
        <w:ind w:left="855"/>
        <w:rPr>
          <w:szCs w:val="24"/>
        </w:rPr>
      </w:pPr>
    </w:p>
    <w:p w:rsidR="00E0055C" w:rsidRDefault="00E0055C" w:rsidP="00E0055C">
      <w:pPr>
        <w:ind w:left="855"/>
        <w:rPr>
          <w:szCs w:val="24"/>
        </w:rPr>
      </w:pPr>
      <w:r>
        <w:rPr>
          <w:szCs w:val="24"/>
        </w:rPr>
        <w:t>Modtagelige personer i højrisikogruppen omfatter:</w:t>
      </w:r>
    </w:p>
    <w:p w:rsidR="00E0055C" w:rsidRDefault="00E0055C" w:rsidP="00E0055C">
      <w:pPr>
        <w:rPr>
          <w:szCs w:val="24"/>
        </w:rPr>
      </w:pPr>
    </w:p>
    <w:p w:rsidR="00E0055C" w:rsidRDefault="00E0055C" w:rsidP="00E0055C">
      <w:pPr>
        <w:numPr>
          <w:ilvl w:val="0"/>
          <w:numId w:val="21"/>
        </w:numPr>
        <w:tabs>
          <w:tab w:val="clear" w:pos="720"/>
        </w:tabs>
        <w:ind w:left="1276" w:hanging="425"/>
        <w:rPr>
          <w:szCs w:val="24"/>
        </w:rPr>
      </w:pPr>
      <w:r>
        <w:rPr>
          <w:szCs w:val="24"/>
        </w:rPr>
        <w:t>Personer med immundefekt (se pkt. 4.3).</w:t>
      </w:r>
    </w:p>
    <w:p w:rsidR="00E0055C" w:rsidRDefault="00E0055C" w:rsidP="00E0055C">
      <w:pPr>
        <w:numPr>
          <w:ilvl w:val="0"/>
          <w:numId w:val="21"/>
        </w:numPr>
        <w:tabs>
          <w:tab w:val="clear" w:pos="720"/>
        </w:tabs>
        <w:ind w:left="1276" w:hanging="425"/>
        <w:rPr>
          <w:szCs w:val="24"/>
        </w:rPr>
      </w:pPr>
      <w:r>
        <w:rPr>
          <w:szCs w:val="24"/>
        </w:rPr>
        <w:t>Gravide kvinder, uden dokumenteret sygehistorie med skoldkopper eller laboratoriebekræftet tidligere infektion.</w:t>
      </w:r>
    </w:p>
    <w:p w:rsidR="00E0055C" w:rsidRDefault="00E0055C" w:rsidP="00E0055C">
      <w:pPr>
        <w:pStyle w:val="Brdtekstindrykning2"/>
        <w:numPr>
          <w:ilvl w:val="0"/>
          <w:numId w:val="21"/>
        </w:numPr>
        <w:tabs>
          <w:tab w:val="clear" w:pos="720"/>
          <w:tab w:val="clear" w:pos="851"/>
        </w:tabs>
        <w:ind w:left="1276" w:hanging="425"/>
        <w:jc w:val="left"/>
        <w:rPr>
          <w:szCs w:val="24"/>
        </w:rPr>
      </w:pPr>
      <w:r>
        <w:rPr>
          <w:szCs w:val="24"/>
        </w:rPr>
        <w:t>Nyfødte af mødre, som ikke har en dokumenteret sygehistorie med skoldkopper eller laboratoriebekræftet tidligere infektion.</w:t>
      </w:r>
    </w:p>
    <w:p w:rsidR="00E0055C" w:rsidRDefault="00E0055C" w:rsidP="00E0055C">
      <w:pPr>
        <w:tabs>
          <w:tab w:val="left" w:pos="851"/>
        </w:tabs>
        <w:ind w:left="851"/>
        <w:jc w:val="both"/>
      </w:pPr>
    </w:p>
    <w:p w:rsidR="00E0055C" w:rsidRDefault="00E0055C" w:rsidP="00E0055C">
      <w:pPr>
        <w:tabs>
          <w:tab w:val="left" w:pos="851"/>
        </w:tabs>
        <w:ind w:left="851"/>
        <w:jc w:val="both"/>
        <w:rPr>
          <w:u w:val="single"/>
        </w:rPr>
      </w:pPr>
      <w:r>
        <w:rPr>
          <w:u w:val="single"/>
        </w:rPr>
        <w:t>Natrium</w:t>
      </w:r>
    </w:p>
    <w:p w:rsidR="00E0055C" w:rsidRDefault="00E0055C" w:rsidP="00E0055C">
      <w:pPr>
        <w:tabs>
          <w:tab w:val="left" w:pos="851"/>
        </w:tabs>
        <w:ind w:left="851"/>
        <w:jc w:val="both"/>
      </w:pPr>
      <w:r>
        <w:t>Dette lægemiddel indeholder mindre end 1 mmol (23 mg) natrium pr. dosis og anses i det væsentlige for at være natriumfrit.</w:t>
      </w:r>
    </w:p>
    <w:p w:rsidR="00E0055C" w:rsidRDefault="00E0055C" w:rsidP="00E0055C">
      <w:pPr>
        <w:tabs>
          <w:tab w:val="left" w:pos="851"/>
        </w:tabs>
        <w:ind w:left="851"/>
        <w:jc w:val="both"/>
      </w:pPr>
    </w:p>
    <w:p w:rsidR="00E0055C" w:rsidRDefault="00E0055C" w:rsidP="00E0055C">
      <w:pPr>
        <w:tabs>
          <w:tab w:val="left" w:pos="851"/>
        </w:tabs>
        <w:ind w:left="851"/>
        <w:jc w:val="both"/>
        <w:rPr>
          <w:u w:val="single"/>
        </w:rPr>
      </w:pPr>
      <w:r>
        <w:rPr>
          <w:u w:val="single"/>
        </w:rPr>
        <w:t>Kalium</w:t>
      </w:r>
    </w:p>
    <w:p w:rsidR="00E0055C" w:rsidRDefault="00E0055C" w:rsidP="00E0055C">
      <w:pPr>
        <w:tabs>
          <w:tab w:val="left" w:pos="851"/>
        </w:tabs>
        <w:ind w:left="851"/>
        <w:jc w:val="both"/>
      </w:pPr>
      <w:r>
        <w:t>Dette lægemiddel indeholder mindre end 1 mmol (39 mg) kalium pr. dosis og anses i det væsentlige for at være kaliumfrit.</w:t>
      </w:r>
    </w:p>
    <w:p w:rsidR="008C6ED0" w:rsidRPr="00806BFF" w:rsidRDefault="008C6ED0" w:rsidP="008C6ED0">
      <w:pPr>
        <w:tabs>
          <w:tab w:val="left" w:pos="851"/>
        </w:tabs>
        <w:jc w:val="both"/>
      </w:pPr>
    </w:p>
    <w:p w:rsidR="009E3905" w:rsidRPr="00C84483" w:rsidRDefault="009E3905" w:rsidP="009E3905">
      <w:pPr>
        <w:tabs>
          <w:tab w:val="left" w:pos="851"/>
        </w:tabs>
        <w:ind w:left="851" w:hanging="851"/>
        <w:rPr>
          <w:b/>
          <w:szCs w:val="24"/>
        </w:rPr>
      </w:pPr>
      <w:r w:rsidRPr="00C84483">
        <w:rPr>
          <w:b/>
          <w:szCs w:val="24"/>
        </w:rPr>
        <w:t>4.5</w:t>
      </w:r>
      <w:r w:rsidRPr="00C84483">
        <w:rPr>
          <w:b/>
          <w:szCs w:val="24"/>
        </w:rPr>
        <w:tab/>
        <w:t>Interaktion med andre lægemidler og andre former for interaktion</w:t>
      </w:r>
    </w:p>
    <w:p w:rsidR="00A26901" w:rsidRDefault="00A26901" w:rsidP="00A26901">
      <w:pPr>
        <w:ind w:left="855"/>
      </w:pPr>
      <w:proofErr w:type="spellStart"/>
      <w:r>
        <w:t>Varivax</w:t>
      </w:r>
      <w:proofErr w:type="spellEnd"/>
      <w:r>
        <w:t xml:space="preserve"> må ikke blandes med andre vacciner eller andre lægemidler i den samme sprøjte. Andre injektionsvacciner eller andre lægemidler skal gives som separate injektioner på andre steder af kroppen.</w:t>
      </w:r>
    </w:p>
    <w:p w:rsidR="00A26901" w:rsidRDefault="00003DE5" w:rsidP="00A26901">
      <w:pPr>
        <w:ind w:left="855"/>
      </w:pPr>
      <w:r>
        <w:br w:type="page"/>
      </w:r>
    </w:p>
    <w:p w:rsidR="00A26901" w:rsidRPr="00A32C0B" w:rsidRDefault="00A26901" w:rsidP="00A32C0B">
      <w:pPr>
        <w:ind w:left="851"/>
        <w:rPr>
          <w:i/>
        </w:rPr>
      </w:pPr>
      <w:r w:rsidRPr="00A32C0B">
        <w:rPr>
          <w:i/>
        </w:rPr>
        <w:lastRenderedPageBreak/>
        <w:t>Samtidig administration af andre vacciner</w:t>
      </w:r>
    </w:p>
    <w:p w:rsidR="00A26901" w:rsidRDefault="00A26901" w:rsidP="00A26901">
      <w:pPr>
        <w:ind w:left="855"/>
      </w:pPr>
      <w:proofErr w:type="spellStart"/>
      <w:r>
        <w:t>Varivax</w:t>
      </w:r>
      <w:proofErr w:type="spellEnd"/>
      <w:r>
        <w:t xml:space="preserve"> har været givet til små børn på samme tid, men på andre injektionssteder, med en kombineret </w:t>
      </w:r>
      <w:proofErr w:type="spellStart"/>
      <w:r>
        <w:rPr>
          <w:szCs w:val="24"/>
        </w:rPr>
        <w:t>mæslinge</w:t>
      </w:r>
      <w:proofErr w:type="spellEnd"/>
      <w:r>
        <w:rPr>
          <w:szCs w:val="24"/>
        </w:rPr>
        <w:t xml:space="preserve">-, fåresyge- og </w:t>
      </w:r>
      <w:proofErr w:type="spellStart"/>
      <w:r>
        <w:rPr>
          <w:szCs w:val="24"/>
        </w:rPr>
        <w:t>rubella</w:t>
      </w:r>
      <w:proofErr w:type="spellEnd"/>
      <w:r>
        <w:rPr>
          <w:szCs w:val="24"/>
        </w:rPr>
        <w:t>-vaccine</w:t>
      </w:r>
      <w:r>
        <w:t xml:space="preserve">, </w:t>
      </w:r>
      <w:proofErr w:type="spellStart"/>
      <w:r>
        <w:rPr>
          <w:i/>
        </w:rPr>
        <w:t>Haemophilus</w:t>
      </w:r>
      <w:proofErr w:type="spellEnd"/>
      <w:r>
        <w:rPr>
          <w:i/>
        </w:rPr>
        <w:t xml:space="preserve"> </w:t>
      </w:r>
      <w:proofErr w:type="spellStart"/>
      <w:r>
        <w:rPr>
          <w:i/>
        </w:rPr>
        <w:t>influenzae</w:t>
      </w:r>
      <w:proofErr w:type="spellEnd"/>
      <w:r>
        <w:t xml:space="preserve"> type b konjugeret vaccine, hepatitis B vaccine, difteri/tetanus/helcelle kighoste vaccine og oral poliovirus vaccine. Der var ingen bevis på klinisk relevant forskel i immunresponset for antigener med samtidig injektion med </w:t>
      </w:r>
      <w:proofErr w:type="spellStart"/>
      <w:r>
        <w:t>Varivax</w:t>
      </w:r>
      <w:proofErr w:type="spellEnd"/>
      <w:r>
        <w:t xml:space="preserve">. Hvis </w:t>
      </w:r>
      <w:proofErr w:type="spellStart"/>
      <w:r>
        <w:t>varicellavaccine</w:t>
      </w:r>
      <w:proofErr w:type="spellEnd"/>
      <w:r>
        <w:t xml:space="preserve"> (levende) (Oka/Merck-stamme) ikke gives samtidigt med </w:t>
      </w:r>
      <w:proofErr w:type="spellStart"/>
      <w:r>
        <w:rPr>
          <w:szCs w:val="24"/>
        </w:rPr>
        <w:t>mæslinge</w:t>
      </w:r>
      <w:proofErr w:type="spellEnd"/>
      <w:r>
        <w:rPr>
          <w:szCs w:val="24"/>
        </w:rPr>
        <w:t xml:space="preserve">-, fåresyge- </w:t>
      </w:r>
      <w:r>
        <w:t xml:space="preserve">og </w:t>
      </w:r>
      <w:proofErr w:type="spellStart"/>
      <w:r>
        <w:t>rubella</w:t>
      </w:r>
      <w:proofErr w:type="spellEnd"/>
      <w:r>
        <w:t>-vaccine, bør der gå en måned mellem injektion af de to levende virusvacciner.</w:t>
      </w:r>
    </w:p>
    <w:p w:rsidR="004C54EE" w:rsidRDefault="004C54EE" w:rsidP="00A26901">
      <w:pPr>
        <w:ind w:left="855"/>
      </w:pPr>
    </w:p>
    <w:p w:rsidR="004C54EE" w:rsidRDefault="004C54EE" w:rsidP="004C54EE">
      <w:pPr>
        <w:ind w:left="855"/>
      </w:pPr>
      <w:bookmarkStart w:id="0" w:name="_Hlk181001543"/>
      <w:bookmarkStart w:id="1" w:name="_Hlk170225406"/>
      <w:proofErr w:type="spellStart"/>
      <w:r>
        <w:t>Varivax</w:t>
      </w:r>
      <w:proofErr w:type="spellEnd"/>
      <w:r>
        <w:t xml:space="preserve"> kan gives samtidig med en konjugeret </w:t>
      </w:r>
      <w:proofErr w:type="spellStart"/>
      <w:r>
        <w:t>pneumokokvaccine</w:t>
      </w:r>
      <w:proofErr w:type="spellEnd"/>
      <w:r>
        <w:t xml:space="preserve"> på et separat injektionssted.</w:t>
      </w:r>
      <w:bookmarkEnd w:id="0"/>
      <w:bookmarkEnd w:id="1"/>
    </w:p>
    <w:p w:rsidR="00A26901" w:rsidRDefault="00A26901" w:rsidP="00A26901">
      <w:pPr>
        <w:ind w:left="855"/>
      </w:pPr>
    </w:p>
    <w:p w:rsidR="00A26901" w:rsidRDefault="00A26901" w:rsidP="00A26901">
      <w:pPr>
        <w:ind w:left="855"/>
      </w:pPr>
      <w:r>
        <w:t xml:space="preserve">Samtidig injektion af </w:t>
      </w:r>
      <w:proofErr w:type="spellStart"/>
      <w:r>
        <w:t>Varivax</w:t>
      </w:r>
      <w:proofErr w:type="spellEnd"/>
      <w:r>
        <w:t xml:space="preserve"> og tetravalent, </w:t>
      </w:r>
      <w:proofErr w:type="spellStart"/>
      <w:r>
        <w:t>pentavalent</w:t>
      </w:r>
      <w:proofErr w:type="spellEnd"/>
      <w:r>
        <w:t xml:space="preserve"> og </w:t>
      </w:r>
      <w:proofErr w:type="spellStart"/>
      <w:r>
        <w:t>hexavalent</w:t>
      </w:r>
      <w:proofErr w:type="spellEnd"/>
      <w:r>
        <w:t xml:space="preserve"> (difteri, tetanus og </w:t>
      </w:r>
      <w:proofErr w:type="spellStart"/>
      <w:r>
        <w:t>acellulær</w:t>
      </w:r>
      <w:proofErr w:type="spellEnd"/>
      <w:r>
        <w:t xml:space="preserve"> kighoste [</w:t>
      </w:r>
      <w:proofErr w:type="spellStart"/>
      <w:r>
        <w:t>DTaP</w:t>
      </w:r>
      <w:proofErr w:type="spellEnd"/>
      <w:r>
        <w:t>]) baserede vacciner er ikke undersøgt.</w:t>
      </w:r>
    </w:p>
    <w:p w:rsidR="00A26901" w:rsidRDefault="00A26901" w:rsidP="00A26901">
      <w:pPr>
        <w:ind w:left="855"/>
      </w:pPr>
    </w:p>
    <w:p w:rsidR="00A26901" w:rsidRDefault="00A26901" w:rsidP="00A26901">
      <w:pPr>
        <w:ind w:left="855"/>
      </w:pPr>
      <w:r>
        <w:t xml:space="preserve">Vaccinationen skal udskydes i mindst 5 måneder efter blod- eller plasmatransfusioner eller efter administration af normalt humant </w:t>
      </w:r>
      <w:proofErr w:type="spellStart"/>
      <w:r>
        <w:t>immunglobulin</w:t>
      </w:r>
      <w:proofErr w:type="spellEnd"/>
      <w:r>
        <w:t xml:space="preserve"> eller </w:t>
      </w:r>
      <w:proofErr w:type="spellStart"/>
      <w:r>
        <w:t>varicella-zoster</w:t>
      </w:r>
      <w:proofErr w:type="spellEnd"/>
      <w:r>
        <w:t xml:space="preserve"> </w:t>
      </w:r>
      <w:proofErr w:type="spellStart"/>
      <w:r>
        <w:t>immunglobulin</w:t>
      </w:r>
      <w:proofErr w:type="spellEnd"/>
      <w:r>
        <w:t xml:space="preserve"> (VZIG).</w:t>
      </w:r>
    </w:p>
    <w:p w:rsidR="00A26901" w:rsidRDefault="00A26901" w:rsidP="00A26901">
      <w:pPr>
        <w:ind w:left="855"/>
      </w:pPr>
    </w:p>
    <w:p w:rsidR="00A26901" w:rsidRDefault="00A26901" w:rsidP="00A26901">
      <w:pPr>
        <w:ind w:left="855"/>
      </w:pPr>
      <w:r>
        <w:t xml:space="preserve">Injektion </w:t>
      </w:r>
      <w:r>
        <w:rPr>
          <w:sz w:val="22"/>
        </w:rPr>
        <w:t>a</w:t>
      </w:r>
      <w:r>
        <w:t xml:space="preserve">f blodprodukter med antistoffer mod </w:t>
      </w:r>
      <w:proofErr w:type="spellStart"/>
      <w:r>
        <w:t>varicella</w:t>
      </w:r>
      <w:proofErr w:type="spellEnd"/>
      <w:r>
        <w:t xml:space="preserve"> </w:t>
      </w:r>
      <w:proofErr w:type="spellStart"/>
      <w:r>
        <w:t>zoster</w:t>
      </w:r>
      <w:proofErr w:type="spellEnd"/>
      <w:r>
        <w:t xml:space="preserve">-virus, inklusive VZIG eller andre </w:t>
      </w:r>
      <w:proofErr w:type="spellStart"/>
      <w:r>
        <w:t>immunglobulin</w:t>
      </w:r>
      <w:proofErr w:type="spellEnd"/>
      <w:r>
        <w:t xml:space="preserve"> præparater sammen med en dosis </w:t>
      </w:r>
      <w:proofErr w:type="spellStart"/>
      <w:r>
        <w:t>Varivax</w:t>
      </w:r>
      <w:proofErr w:type="spellEnd"/>
      <w:r>
        <w:t xml:space="preserve"> indenfor 1 måned</w:t>
      </w:r>
      <w:r w:rsidR="007F364F">
        <w:t>,</w:t>
      </w:r>
      <w:r>
        <w:t xml:space="preserve"> kan reducere immunresponset for vaccinen og dermed reducere beskyttelsen. Anvendelse af disse produkter bør derfor undgås i 1 måned efter en dosis af </w:t>
      </w:r>
      <w:proofErr w:type="spellStart"/>
      <w:r>
        <w:t>Varivax</w:t>
      </w:r>
      <w:proofErr w:type="spellEnd"/>
      <w:r>
        <w:t>, medmindre brugen heraf vejer tungere end fordelene ved vaccinationen.</w:t>
      </w:r>
    </w:p>
    <w:p w:rsidR="00A26901" w:rsidRDefault="00A26901" w:rsidP="00A26901">
      <w:pPr>
        <w:ind w:left="851"/>
      </w:pPr>
    </w:p>
    <w:p w:rsidR="00A26901" w:rsidRDefault="00A26901" w:rsidP="00A26901">
      <w:pPr>
        <w:pStyle w:val="Brdtekstindrykning"/>
        <w:jc w:val="left"/>
      </w:pPr>
      <w:r>
        <w:t xml:space="preserve">Vaccinerede personer skal undgå brug af </w:t>
      </w:r>
      <w:proofErr w:type="spellStart"/>
      <w:r>
        <w:t>salicylater</w:t>
      </w:r>
      <w:proofErr w:type="spellEnd"/>
      <w:r>
        <w:t xml:space="preserve"> i 6 uger efter vaccination med </w:t>
      </w:r>
      <w:proofErr w:type="spellStart"/>
      <w:r>
        <w:t>Varivax</w:t>
      </w:r>
      <w:proofErr w:type="spellEnd"/>
      <w:r>
        <w:t xml:space="preserve">, da der er rapporteret tilfælde af </w:t>
      </w:r>
      <w:proofErr w:type="spellStart"/>
      <w:r>
        <w:t>Reye's</w:t>
      </w:r>
      <w:proofErr w:type="spellEnd"/>
      <w:r>
        <w:t xml:space="preserve"> syndrom ved brug af </w:t>
      </w:r>
      <w:proofErr w:type="spellStart"/>
      <w:r>
        <w:t>salicylater</w:t>
      </w:r>
      <w:proofErr w:type="spellEnd"/>
      <w:r>
        <w:t xml:space="preserve"> ved naturlig </w:t>
      </w:r>
      <w:proofErr w:type="spellStart"/>
      <w:r>
        <w:t>varicellainfektion</w:t>
      </w:r>
      <w:proofErr w:type="spellEnd"/>
      <w:r>
        <w:t xml:space="preserve"> (se pkt. 4.4).</w:t>
      </w:r>
    </w:p>
    <w:p w:rsidR="008C6ED0" w:rsidRPr="00806BFF" w:rsidRDefault="008C6ED0" w:rsidP="008C6ED0">
      <w:pPr>
        <w:pStyle w:val="Brdtekstindrykning"/>
        <w:jc w:val="left"/>
      </w:pPr>
    </w:p>
    <w:p w:rsidR="00DD4274" w:rsidRPr="00C84483" w:rsidRDefault="00DD4274" w:rsidP="00DD4274">
      <w:pPr>
        <w:tabs>
          <w:tab w:val="left" w:pos="851"/>
        </w:tabs>
        <w:ind w:left="851" w:hanging="851"/>
        <w:rPr>
          <w:b/>
          <w:szCs w:val="24"/>
        </w:rPr>
      </w:pPr>
      <w:r w:rsidRPr="00C84483">
        <w:rPr>
          <w:b/>
          <w:szCs w:val="24"/>
        </w:rPr>
        <w:t>4.6</w:t>
      </w:r>
      <w:r w:rsidRPr="00C84483">
        <w:rPr>
          <w:b/>
          <w:szCs w:val="24"/>
        </w:rPr>
        <w:tab/>
      </w:r>
      <w:r>
        <w:rPr>
          <w:b/>
          <w:szCs w:val="24"/>
        </w:rPr>
        <w:t>Fertilitet, g</w:t>
      </w:r>
      <w:r w:rsidRPr="00C84483">
        <w:rPr>
          <w:b/>
          <w:szCs w:val="24"/>
        </w:rPr>
        <w:t>raviditet og amning</w:t>
      </w:r>
    </w:p>
    <w:p w:rsidR="00DD4274" w:rsidRDefault="00DD4274" w:rsidP="00A26901">
      <w:pPr>
        <w:ind w:left="855"/>
        <w:rPr>
          <w:i/>
          <w:szCs w:val="24"/>
        </w:rPr>
      </w:pPr>
    </w:p>
    <w:p w:rsidR="00A26901" w:rsidRDefault="00A26901" w:rsidP="00A26901">
      <w:pPr>
        <w:ind w:left="855"/>
        <w:rPr>
          <w:i/>
          <w:szCs w:val="24"/>
        </w:rPr>
      </w:pPr>
      <w:r>
        <w:rPr>
          <w:i/>
          <w:szCs w:val="24"/>
        </w:rPr>
        <w:t>Graviditet</w:t>
      </w:r>
    </w:p>
    <w:p w:rsidR="00A26901" w:rsidRDefault="00A26901" w:rsidP="00A26901">
      <w:pPr>
        <w:ind w:left="855"/>
        <w:rPr>
          <w:szCs w:val="24"/>
        </w:rPr>
      </w:pPr>
      <w:r>
        <w:rPr>
          <w:szCs w:val="24"/>
        </w:rPr>
        <w:t xml:space="preserve">Gravide kvinder bør ikke vaccineres med </w:t>
      </w:r>
      <w:proofErr w:type="spellStart"/>
      <w:r>
        <w:t>Varivax</w:t>
      </w:r>
      <w:proofErr w:type="spellEnd"/>
      <w:r>
        <w:rPr>
          <w:szCs w:val="24"/>
        </w:rPr>
        <w:t>.</w:t>
      </w:r>
    </w:p>
    <w:p w:rsidR="00A26901" w:rsidRDefault="00A26901" w:rsidP="00A26901">
      <w:pPr>
        <w:ind w:left="855"/>
        <w:rPr>
          <w:szCs w:val="24"/>
        </w:rPr>
      </w:pPr>
    </w:p>
    <w:p w:rsidR="00A26901" w:rsidRDefault="00A26901" w:rsidP="00A26901">
      <w:pPr>
        <w:ind w:left="855"/>
        <w:rPr>
          <w:szCs w:val="24"/>
        </w:rPr>
      </w:pPr>
      <w:r>
        <w:rPr>
          <w:szCs w:val="24"/>
        </w:rPr>
        <w:t xml:space="preserve">Der er ikke gennemført studier med </w:t>
      </w:r>
      <w:proofErr w:type="spellStart"/>
      <w:r>
        <w:t>Varivax</w:t>
      </w:r>
      <w:proofErr w:type="spellEnd"/>
      <w:r>
        <w:rPr>
          <w:szCs w:val="24"/>
        </w:rPr>
        <w:t xml:space="preserve"> hos gravide kvinder.</w:t>
      </w:r>
    </w:p>
    <w:p w:rsidR="00A26901" w:rsidRDefault="00A26901" w:rsidP="00A26901">
      <w:pPr>
        <w:ind w:left="855"/>
        <w:rPr>
          <w:szCs w:val="24"/>
        </w:rPr>
      </w:pPr>
      <w:r>
        <w:rPr>
          <w:szCs w:val="24"/>
        </w:rPr>
        <w:t xml:space="preserve">Skadelige virkninger på fostret er dog ikke dokumenteret efter administration af skoldkoppevaccine til gravide kvinder. Det er ukendt, om </w:t>
      </w:r>
      <w:proofErr w:type="spellStart"/>
      <w:r>
        <w:t>Varivax</w:t>
      </w:r>
      <w:proofErr w:type="spellEnd"/>
      <w:r>
        <w:rPr>
          <w:szCs w:val="24"/>
        </w:rPr>
        <w:t xml:space="preserve"> kan medføre fosterskader ved administration til gravide kvinder, eller om det kan påvirke reproduktionsevnen.</w:t>
      </w:r>
    </w:p>
    <w:p w:rsidR="00A26901" w:rsidRDefault="00A26901" w:rsidP="00A26901">
      <w:pPr>
        <w:ind w:left="855"/>
        <w:rPr>
          <w:szCs w:val="24"/>
        </w:rPr>
      </w:pPr>
    </w:p>
    <w:p w:rsidR="00A26901" w:rsidRDefault="00A26901" w:rsidP="00A26901">
      <w:pPr>
        <w:ind w:left="855"/>
        <w:rPr>
          <w:szCs w:val="24"/>
        </w:rPr>
      </w:pPr>
      <w:r>
        <w:rPr>
          <w:szCs w:val="24"/>
        </w:rPr>
        <w:t>Graviditet skal undgås i 1 måned efter vaccination. Kvinder, der planlægger at blive gravide, skal rådes til at udsætte dette.</w:t>
      </w:r>
    </w:p>
    <w:p w:rsidR="00A26901" w:rsidRDefault="00A26901" w:rsidP="00A26901">
      <w:pPr>
        <w:tabs>
          <w:tab w:val="left" w:pos="851"/>
        </w:tabs>
        <w:ind w:left="851" w:firstLine="4"/>
        <w:jc w:val="both"/>
        <w:rPr>
          <w:szCs w:val="24"/>
        </w:rPr>
      </w:pPr>
    </w:p>
    <w:p w:rsidR="00A26901" w:rsidRPr="00DD4274" w:rsidRDefault="00A26901" w:rsidP="00DD4274">
      <w:pPr>
        <w:ind w:left="851"/>
        <w:rPr>
          <w:i/>
        </w:rPr>
      </w:pPr>
      <w:r w:rsidRPr="00DD4274">
        <w:rPr>
          <w:i/>
        </w:rPr>
        <w:t>Amning</w:t>
      </w:r>
    </w:p>
    <w:p w:rsidR="00A26901" w:rsidRDefault="00A26901" w:rsidP="00A26901">
      <w:pPr>
        <w:tabs>
          <w:tab w:val="left" w:pos="851"/>
        </w:tabs>
        <w:ind w:left="851" w:firstLine="4"/>
        <w:rPr>
          <w:szCs w:val="24"/>
        </w:rPr>
      </w:pPr>
      <w:r>
        <w:rPr>
          <w:szCs w:val="24"/>
        </w:rPr>
        <w:t xml:space="preserve">Som følge af den teoretiske risiko for overførelse af vaccinens virusstamme fra moder til barn bør </w:t>
      </w:r>
      <w:proofErr w:type="spellStart"/>
      <w:r>
        <w:t>Varivax</w:t>
      </w:r>
      <w:proofErr w:type="spellEnd"/>
      <w:r>
        <w:rPr>
          <w:szCs w:val="24"/>
        </w:rPr>
        <w:t xml:space="preserve"> generelt ikke anbefales til ammende (se også pkt. 4.4). Vaccination af eksponerede kvinder, der ikke tidligere har haft </w:t>
      </w:r>
      <w:proofErr w:type="spellStart"/>
      <w:r>
        <w:rPr>
          <w:szCs w:val="24"/>
        </w:rPr>
        <w:t>varicella</w:t>
      </w:r>
      <w:proofErr w:type="spellEnd"/>
      <w:r>
        <w:rPr>
          <w:szCs w:val="24"/>
        </w:rPr>
        <w:t xml:space="preserve"> eller som er </w:t>
      </w:r>
      <w:proofErr w:type="spellStart"/>
      <w:r>
        <w:rPr>
          <w:szCs w:val="24"/>
        </w:rPr>
        <w:t>seronegative</w:t>
      </w:r>
      <w:proofErr w:type="spellEnd"/>
      <w:r>
        <w:rPr>
          <w:szCs w:val="24"/>
        </w:rPr>
        <w:t xml:space="preserve"> over for </w:t>
      </w:r>
      <w:proofErr w:type="spellStart"/>
      <w:r>
        <w:rPr>
          <w:szCs w:val="24"/>
        </w:rPr>
        <w:t>varicellavirus</w:t>
      </w:r>
      <w:proofErr w:type="spellEnd"/>
      <w:r>
        <w:rPr>
          <w:szCs w:val="24"/>
        </w:rPr>
        <w:t>, bør vurderes individuelt.</w:t>
      </w:r>
    </w:p>
    <w:p w:rsidR="00A26901" w:rsidRDefault="00A26901" w:rsidP="00A26901">
      <w:pPr>
        <w:tabs>
          <w:tab w:val="left" w:pos="851"/>
        </w:tabs>
        <w:ind w:left="851" w:firstLine="4"/>
        <w:rPr>
          <w:szCs w:val="24"/>
        </w:rPr>
      </w:pPr>
    </w:p>
    <w:p w:rsidR="00A26901" w:rsidRDefault="00A26901" w:rsidP="00A26901">
      <w:pPr>
        <w:ind w:left="855"/>
        <w:rPr>
          <w:i/>
          <w:szCs w:val="24"/>
        </w:rPr>
      </w:pPr>
      <w:r>
        <w:rPr>
          <w:i/>
          <w:szCs w:val="24"/>
        </w:rPr>
        <w:t>Fertilitet</w:t>
      </w:r>
    </w:p>
    <w:p w:rsidR="008C6ED0" w:rsidRDefault="00A26901" w:rsidP="00A26901">
      <w:pPr>
        <w:tabs>
          <w:tab w:val="left" w:pos="851"/>
          <w:tab w:val="left" w:pos="4980"/>
        </w:tabs>
        <w:ind w:left="851"/>
        <w:jc w:val="both"/>
        <w:rPr>
          <w:szCs w:val="24"/>
        </w:rPr>
      </w:pPr>
      <w:r>
        <w:rPr>
          <w:szCs w:val="24"/>
        </w:rPr>
        <w:lastRenderedPageBreak/>
        <w:t xml:space="preserve">Der er ikke udført reproduktionsstudier hos dyr med </w:t>
      </w:r>
      <w:proofErr w:type="spellStart"/>
      <w:r>
        <w:t>Varivax</w:t>
      </w:r>
      <w:proofErr w:type="spellEnd"/>
      <w:r>
        <w:rPr>
          <w:szCs w:val="24"/>
        </w:rPr>
        <w:t xml:space="preserve">. </w:t>
      </w:r>
      <w:proofErr w:type="spellStart"/>
      <w:r>
        <w:t>Varivax’s</w:t>
      </w:r>
      <w:proofErr w:type="spellEnd"/>
      <w:r>
        <w:rPr>
          <w:szCs w:val="24"/>
        </w:rPr>
        <w:t xml:space="preserve"> potentiale for at skade fertiliteten er ikke undersøgt.</w:t>
      </w:r>
    </w:p>
    <w:p w:rsidR="00A26901" w:rsidRPr="000A52B5" w:rsidRDefault="00A26901" w:rsidP="00A26901">
      <w:pPr>
        <w:tabs>
          <w:tab w:val="left" w:pos="851"/>
          <w:tab w:val="left" w:pos="4980"/>
        </w:tabs>
        <w:jc w:val="both"/>
        <w:rPr>
          <w:szCs w:val="24"/>
        </w:rPr>
      </w:pPr>
    </w:p>
    <w:p w:rsidR="00DD4274" w:rsidRPr="00C84483" w:rsidRDefault="00DD4274" w:rsidP="00DD4274">
      <w:pPr>
        <w:tabs>
          <w:tab w:val="left" w:pos="851"/>
        </w:tabs>
        <w:ind w:left="851" w:hanging="851"/>
        <w:rPr>
          <w:b/>
          <w:szCs w:val="24"/>
        </w:rPr>
      </w:pPr>
      <w:r w:rsidRPr="00C84483">
        <w:rPr>
          <w:b/>
          <w:szCs w:val="24"/>
        </w:rPr>
        <w:t>4.7</w:t>
      </w:r>
      <w:r w:rsidRPr="00C84483">
        <w:rPr>
          <w:b/>
          <w:szCs w:val="24"/>
        </w:rPr>
        <w:tab/>
        <w:t xml:space="preserve">Virkning på evnen til at føre motorkøretøj </w:t>
      </w:r>
      <w:r>
        <w:rPr>
          <w:b/>
          <w:szCs w:val="24"/>
        </w:rPr>
        <w:t>og</w:t>
      </w:r>
      <w:r w:rsidRPr="00C84483">
        <w:rPr>
          <w:b/>
          <w:szCs w:val="24"/>
        </w:rPr>
        <w:t xml:space="preserve"> betjene maskiner</w:t>
      </w:r>
    </w:p>
    <w:p w:rsidR="00E664B3" w:rsidRDefault="00E664B3" w:rsidP="008C6ED0">
      <w:pPr>
        <w:ind w:left="855"/>
        <w:rPr>
          <w:noProof/>
          <w:szCs w:val="24"/>
        </w:rPr>
      </w:pPr>
      <w:r>
        <w:rPr>
          <w:noProof/>
          <w:szCs w:val="24"/>
        </w:rPr>
        <w:t>Ikke mærkning.</w:t>
      </w:r>
    </w:p>
    <w:p w:rsidR="008C6ED0" w:rsidRPr="00806BFF" w:rsidRDefault="008C6ED0" w:rsidP="008C6ED0">
      <w:pPr>
        <w:ind w:left="855"/>
        <w:rPr>
          <w:szCs w:val="24"/>
        </w:rPr>
      </w:pPr>
      <w:r w:rsidRPr="00806BFF">
        <w:rPr>
          <w:noProof/>
          <w:szCs w:val="24"/>
        </w:rPr>
        <w:t xml:space="preserve">Der er ikke foretaget </w:t>
      </w:r>
      <w:r w:rsidR="00E9569A">
        <w:rPr>
          <w:noProof/>
          <w:szCs w:val="24"/>
        </w:rPr>
        <w:t>studier</w:t>
      </w:r>
      <w:r w:rsidRPr="00806BFF">
        <w:rPr>
          <w:noProof/>
          <w:szCs w:val="24"/>
        </w:rPr>
        <w:t xml:space="preserve"> af </w:t>
      </w:r>
      <w:r w:rsidRPr="00806BFF">
        <w:rPr>
          <w:szCs w:val="24"/>
        </w:rPr>
        <w:t>virkningen</w:t>
      </w:r>
      <w:r w:rsidRPr="00806BFF">
        <w:rPr>
          <w:noProof/>
          <w:szCs w:val="24"/>
        </w:rPr>
        <w:t xml:space="preserve"> på evnen til at føre </w:t>
      </w:r>
      <w:r w:rsidRPr="00806BFF">
        <w:rPr>
          <w:szCs w:val="24"/>
        </w:rPr>
        <w:t>motorkøretøj</w:t>
      </w:r>
      <w:r w:rsidRPr="00806BFF">
        <w:rPr>
          <w:noProof/>
          <w:szCs w:val="24"/>
        </w:rPr>
        <w:t xml:space="preserve"> </w:t>
      </w:r>
      <w:r w:rsidR="00A26901">
        <w:rPr>
          <w:noProof/>
          <w:szCs w:val="24"/>
        </w:rPr>
        <w:t xml:space="preserve">og </w:t>
      </w:r>
      <w:r w:rsidRPr="00806BFF">
        <w:rPr>
          <w:noProof/>
          <w:szCs w:val="24"/>
        </w:rPr>
        <w:t>betjene maskiner.</w:t>
      </w:r>
    </w:p>
    <w:p w:rsidR="008C6ED0" w:rsidRPr="00806BFF" w:rsidRDefault="008C6ED0" w:rsidP="008C6ED0">
      <w:pPr>
        <w:tabs>
          <w:tab w:val="left" w:pos="851"/>
        </w:tabs>
        <w:jc w:val="both"/>
        <w:rPr>
          <w:szCs w:val="24"/>
        </w:rPr>
      </w:pPr>
    </w:p>
    <w:p w:rsidR="009E3905" w:rsidRPr="00C84483" w:rsidRDefault="009E3905" w:rsidP="009E3905">
      <w:pPr>
        <w:tabs>
          <w:tab w:val="left" w:pos="851"/>
        </w:tabs>
        <w:ind w:left="851" w:hanging="851"/>
        <w:rPr>
          <w:b/>
          <w:szCs w:val="24"/>
        </w:rPr>
      </w:pPr>
      <w:r w:rsidRPr="00C84483">
        <w:rPr>
          <w:b/>
          <w:szCs w:val="24"/>
        </w:rPr>
        <w:t>4.8</w:t>
      </w:r>
      <w:r w:rsidRPr="00C84483">
        <w:rPr>
          <w:b/>
          <w:szCs w:val="24"/>
        </w:rPr>
        <w:tab/>
        <w:t>Bivirkninger</w:t>
      </w:r>
    </w:p>
    <w:p w:rsidR="00B50242" w:rsidRPr="00806BFF" w:rsidRDefault="00B50242" w:rsidP="00B50242">
      <w:pPr>
        <w:ind w:left="855"/>
        <w:jc w:val="both"/>
        <w:rPr>
          <w:b/>
          <w:szCs w:val="24"/>
        </w:rPr>
      </w:pPr>
    </w:p>
    <w:p w:rsidR="008C6ED0" w:rsidRPr="00E664B3" w:rsidRDefault="008C6ED0" w:rsidP="00E664B3">
      <w:pPr>
        <w:ind w:left="851"/>
        <w:rPr>
          <w:b/>
        </w:rPr>
      </w:pPr>
      <w:r w:rsidRPr="00E664B3">
        <w:rPr>
          <w:b/>
        </w:rPr>
        <w:t>a. Oversigt over sikkerhedsprofilen</w:t>
      </w:r>
    </w:p>
    <w:p w:rsidR="008C6ED0" w:rsidRPr="00806BFF" w:rsidRDefault="008C6ED0" w:rsidP="008C6ED0">
      <w:pPr>
        <w:ind w:left="855"/>
        <w:rPr>
          <w:szCs w:val="24"/>
        </w:rPr>
      </w:pPr>
      <w:r w:rsidRPr="00806BFF">
        <w:rPr>
          <w:szCs w:val="24"/>
        </w:rPr>
        <w:t xml:space="preserve">I kliniske </w:t>
      </w:r>
      <w:r w:rsidR="00E9569A">
        <w:rPr>
          <w:szCs w:val="24"/>
        </w:rPr>
        <w:t>studier</w:t>
      </w:r>
      <w:r w:rsidRPr="00806BFF">
        <w:rPr>
          <w:szCs w:val="24"/>
        </w:rPr>
        <w:t xml:space="preserve"> er frosne og køleskabsstabile formuleringer af </w:t>
      </w:r>
      <w:proofErr w:type="spellStart"/>
      <w:r w:rsidRPr="00806BFF">
        <w:rPr>
          <w:szCs w:val="24"/>
        </w:rPr>
        <w:t>varicellavaccine</w:t>
      </w:r>
      <w:proofErr w:type="spellEnd"/>
      <w:r w:rsidRPr="00806BFF">
        <w:rPr>
          <w:szCs w:val="24"/>
        </w:rPr>
        <w:t xml:space="preserve"> (levende) (</w:t>
      </w:r>
      <w:r w:rsidR="0057383C">
        <w:rPr>
          <w:szCs w:val="24"/>
        </w:rPr>
        <w:t>Oka/Merck-stamme</w:t>
      </w:r>
      <w:r w:rsidRPr="00806BFF">
        <w:rPr>
          <w:szCs w:val="24"/>
        </w:rPr>
        <w:t xml:space="preserve">) givet til ca. 17.000 raske personer </w:t>
      </w:r>
      <w:r w:rsidRPr="00806BFF">
        <w:rPr>
          <w:szCs w:val="24"/>
        </w:rPr>
        <w:sym w:font="Symbol" w:char="F0B3"/>
      </w:r>
      <w:r w:rsidRPr="00806BFF">
        <w:rPr>
          <w:szCs w:val="24"/>
        </w:rPr>
        <w:t>12 måneder.</w:t>
      </w:r>
      <w:r w:rsidRPr="000A52B5">
        <w:rPr>
          <w:szCs w:val="24"/>
        </w:rPr>
        <w:t xml:space="preserve"> Forsøgspersonerne blev overvåget i op til 42 dage efter hver dosis. Der syntes ikke at være forhøjet risiko for bivirkninger ved brug af </w:t>
      </w:r>
      <w:proofErr w:type="spellStart"/>
      <w:r w:rsidR="00C4776E" w:rsidRPr="00F121BE">
        <w:t>Varivax</w:t>
      </w:r>
      <w:proofErr w:type="spellEnd"/>
      <w:r w:rsidRPr="000A52B5">
        <w:rPr>
          <w:szCs w:val="24"/>
        </w:rPr>
        <w:t xml:space="preserve"> til </w:t>
      </w:r>
      <w:proofErr w:type="spellStart"/>
      <w:r w:rsidRPr="000A52B5">
        <w:rPr>
          <w:szCs w:val="24"/>
        </w:rPr>
        <w:t>seropositive</w:t>
      </w:r>
      <w:proofErr w:type="spellEnd"/>
      <w:r w:rsidRPr="000A52B5">
        <w:rPr>
          <w:szCs w:val="24"/>
        </w:rPr>
        <w:t xml:space="preserve"> personer. Sikkerhedsprofilen for den køleskabsstabile </w:t>
      </w:r>
      <w:proofErr w:type="spellStart"/>
      <w:r w:rsidRPr="000A52B5">
        <w:rPr>
          <w:szCs w:val="24"/>
        </w:rPr>
        <w:t>varicellavaccine</w:t>
      </w:r>
      <w:proofErr w:type="spellEnd"/>
      <w:r w:rsidR="00A26901">
        <w:rPr>
          <w:szCs w:val="24"/>
        </w:rPr>
        <w:t xml:space="preserve"> </w:t>
      </w:r>
      <w:r w:rsidRPr="000A52B5">
        <w:rPr>
          <w:szCs w:val="24"/>
        </w:rPr>
        <w:t>(levende) (Oka/Mer</w:t>
      </w:r>
      <w:r w:rsidRPr="00806BFF">
        <w:rPr>
          <w:szCs w:val="24"/>
        </w:rPr>
        <w:t>ck</w:t>
      </w:r>
      <w:r w:rsidR="00E9569A">
        <w:rPr>
          <w:szCs w:val="24"/>
        </w:rPr>
        <w:t>-</w:t>
      </w:r>
      <w:r w:rsidRPr="00806BFF">
        <w:rPr>
          <w:szCs w:val="24"/>
        </w:rPr>
        <w:t>stamme) var generelt lig med sikkerhedsprofilen for tidligere formuleringer af vaccinen.</w:t>
      </w:r>
    </w:p>
    <w:p w:rsidR="008C6ED0" w:rsidRPr="00806BFF" w:rsidRDefault="008C6ED0" w:rsidP="008C6ED0">
      <w:pPr>
        <w:ind w:left="855"/>
        <w:rPr>
          <w:szCs w:val="24"/>
        </w:rPr>
      </w:pPr>
    </w:p>
    <w:p w:rsidR="00E9569A" w:rsidRPr="00806BFF" w:rsidRDefault="00E9569A" w:rsidP="00E9569A">
      <w:pPr>
        <w:ind w:left="855"/>
        <w:rPr>
          <w:szCs w:val="24"/>
        </w:rPr>
      </w:pPr>
      <w:r w:rsidRPr="00806BFF">
        <w:rPr>
          <w:szCs w:val="24"/>
        </w:rPr>
        <w:t>I et dobbeltblind</w:t>
      </w:r>
      <w:r>
        <w:rPr>
          <w:szCs w:val="24"/>
        </w:rPr>
        <w:t>e</w:t>
      </w:r>
      <w:r w:rsidRPr="00806BFF">
        <w:rPr>
          <w:szCs w:val="24"/>
        </w:rPr>
        <w:t xml:space="preserve">t, placebokontrolleret </w:t>
      </w:r>
      <w:r>
        <w:rPr>
          <w:szCs w:val="24"/>
        </w:rPr>
        <w:t>studie</w:t>
      </w:r>
      <w:r w:rsidRPr="00806BFF">
        <w:rPr>
          <w:szCs w:val="24"/>
        </w:rPr>
        <w:t xml:space="preserve"> med 956 raske personer på 12</w:t>
      </w:r>
      <w:r>
        <w:rPr>
          <w:szCs w:val="24"/>
        </w:rPr>
        <w:t> </w:t>
      </w:r>
      <w:r w:rsidRPr="00806BFF">
        <w:rPr>
          <w:szCs w:val="24"/>
        </w:rPr>
        <w:t xml:space="preserve">måneder op til 14 år, hvoraf 914 var bekræftet som serologisk modtagelige for </w:t>
      </w:r>
      <w:proofErr w:type="spellStart"/>
      <w:r w:rsidRPr="00806BFF">
        <w:rPr>
          <w:szCs w:val="24"/>
        </w:rPr>
        <w:t>varicella</w:t>
      </w:r>
      <w:proofErr w:type="spellEnd"/>
      <w:r w:rsidRPr="00806BFF">
        <w:rPr>
          <w:szCs w:val="24"/>
        </w:rPr>
        <w:t xml:space="preserve">, var de eneste bivirkninger, som optrådte med en væsentlig højere </w:t>
      </w:r>
      <w:proofErr w:type="spellStart"/>
      <w:r w:rsidRPr="00806BFF">
        <w:rPr>
          <w:szCs w:val="24"/>
        </w:rPr>
        <w:t>incidens</w:t>
      </w:r>
      <w:proofErr w:type="spellEnd"/>
      <w:r w:rsidRPr="00806BFF">
        <w:rPr>
          <w:szCs w:val="24"/>
        </w:rPr>
        <w:t xml:space="preserve"> hos vaccinemodtagere end hos placebomodtagere, smerter (26,7</w:t>
      </w:r>
      <w:r w:rsidR="007620CE">
        <w:rPr>
          <w:szCs w:val="24"/>
        </w:rPr>
        <w:t xml:space="preserve"> %</w:t>
      </w:r>
      <w:r w:rsidRPr="00806BFF">
        <w:rPr>
          <w:szCs w:val="24"/>
        </w:rPr>
        <w:t xml:space="preserve"> </w:t>
      </w:r>
      <w:r w:rsidRPr="00076AC0">
        <w:rPr>
          <w:i/>
          <w:szCs w:val="24"/>
        </w:rPr>
        <w:t>versus</w:t>
      </w:r>
      <w:r w:rsidRPr="00806BFF">
        <w:rPr>
          <w:szCs w:val="24"/>
        </w:rPr>
        <w:t xml:space="preserve"> 18,1</w:t>
      </w:r>
      <w:r w:rsidR="007620CE">
        <w:rPr>
          <w:szCs w:val="24"/>
        </w:rPr>
        <w:t xml:space="preserve"> %</w:t>
      </w:r>
      <w:r w:rsidRPr="00806BFF">
        <w:rPr>
          <w:szCs w:val="24"/>
        </w:rPr>
        <w:t>) og rødmen (5,7</w:t>
      </w:r>
      <w:r w:rsidR="007620CE">
        <w:rPr>
          <w:szCs w:val="24"/>
        </w:rPr>
        <w:t xml:space="preserve"> %</w:t>
      </w:r>
      <w:r w:rsidRPr="00806BFF">
        <w:rPr>
          <w:szCs w:val="24"/>
        </w:rPr>
        <w:t xml:space="preserve"> </w:t>
      </w:r>
      <w:r w:rsidRPr="00076AC0">
        <w:rPr>
          <w:i/>
          <w:szCs w:val="24"/>
        </w:rPr>
        <w:t>versus</w:t>
      </w:r>
      <w:r w:rsidRPr="00806BFF">
        <w:rPr>
          <w:szCs w:val="24"/>
        </w:rPr>
        <w:t xml:space="preserve"> 2,4</w:t>
      </w:r>
      <w:r w:rsidR="007620CE">
        <w:rPr>
          <w:szCs w:val="24"/>
        </w:rPr>
        <w:t xml:space="preserve"> %</w:t>
      </w:r>
      <w:r w:rsidRPr="00806BFF">
        <w:rPr>
          <w:szCs w:val="24"/>
        </w:rPr>
        <w:t xml:space="preserve">) ved injektionsstedet samt </w:t>
      </w:r>
      <w:proofErr w:type="spellStart"/>
      <w:r w:rsidRPr="00806BFF">
        <w:rPr>
          <w:szCs w:val="24"/>
        </w:rPr>
        <w:t>varicella</w:t>
      </w:r>
      <w:proofErr w:type="spellEnd"/>
      <w:r w:rsidRPr="00806BFF">
        <w:rPr>
          <w:szCs w:val="24"/>
        </w:rPr>
        <w:t>-lignende udslæt uden for injektionsstedet (2,2</w:t>
      </w:r>
      <w:r w:rsidR="007620CE">
        <w:rPr>
          <w:szCs w:val="24"/>
        </w:rPr>
        <w:t xml:space="preserve"> %</w:t>
      </w:r>
      <w:r w:rsidRPr="00806BFF">
        <w:rPr>
          <w:szCs w:val="24"/>
        </w:rPr>
        <w:t xml:space="preserve"> </w:t>
      </w:r>
      <w:r w:rsidRPr="00076AC0">
        <w:rPr>
          <w:i/>
          <w:szCs w:val="24"/>
        </w:rPr>
        <w:t>versus</w:t>
      </w:r>
      <w:r w:rsidRPr="00806BFF">
        <w:rPr>
          <w:szCs w:val="24"/>
        </w:rPr>
        <w:t xml:space="preserve"> 0,2</w:t>
      </w:r>
      <w:r w:rsidR="007620CE">
        <w:rPr>
          <w:szCs w:val="24"/>
        </w:rPr>
        <w:t xml:space="preserve"> %</w:t>
      </w:r>
      <w:r w:rsidRPr="00806BFF">
        <w:rPr>
          <w:szCs w:val="24"/>
        </w:rPr>
        <w:t>).</w:t>
      </w:r>
    </w:p>
    <w:p w:rsidR="00E9569A" w:rsidRPr="00806BFF" w:rsidRDefault="00E9569A" w:rsidP="00E9569A">
      <w:pPr>
        <w:ind w:left="855"/>
        <w:rPr>
          <w:szCs w:val="24"/>
        </w:rPr>
      </w:pPr>
    </w:p>
    <w:p w:rsidR="00E9569A" w:rsidRPr="00806BFF" w:rsidRDefault="00E9569A" w:rsidP="00E9569A">
      <w:pPr>
        <w:ind w:left="855"/>
        <w:rPr>
          <w:szCs w:val="24"/>
        </w:rPr>
      </w:pPr>
      <w:r w:rsidRPr="00806BFF">
        <w:rPr>
          <w:szCs w:val="24"/>
        </w:rPr>
        <w:t>752 børn fik i e</w:t>
      </w:r>
      <w:r>
        <w:rPr>
          <w:szCs w:val="24"/>
        </w:rPr>
        <w:t>t</w:t>
      </w:r>
      <w:r w:rsidRPr="00806BFF">
        <w:rPr>
          <w:szCs w:val="24"/>
        </w:rPr>
        <w:t xml:space="preserve"> klinisk </w:t>
      </w:r>
      <w:r>
        <w:rPr>
          <w:szCs w:val="24"/>
        </w:rPr>
        <w:t>studie</w:t>
      </w:r>
      <w:r w:rsidRPr="00806BFF">
        <w:rPr>
          <w:szCs w:val="24"/>
        </w:rPr>
        <w:t> </w:t>
      </w:r>
      <w:proofErr w:type="spellStart"/>
      <w:r>
        <w:rPr>
          <w:szCs w:val="24"/>
        </w:rPr>
        <w:t>V</w:t>
      </w:r>
      <w:r w:rsidR="00F000CE">
        <w:rPr>
          <w:szCs w:val="24"/>
        </w:rPr>
        <w:t>arivax</w:t>
      </w:r>
      <w:proofErr w:type="spellEnd"/>
      <w:r w:rsidR="00F000CE">
        <w:rPr>
          <w:szCs w:val="24"/>
        </w:rPr>
        <w:t xml:space="preserve"> </w:t>
      </w:r>
      <w:r w:rsidRPr="00806BFF">
        <w:rPr>
          <w:szCs w:val="24"/>
        </w:rPr>
        <w:t>intramuskulært (</w:t>
      </w:r>
      <w:proofErr w:type="spellStart"/>
      <w:r>
        <w:rPr>
          <w:szCs w:val="24"/>
        </w:rPr>
        <w:t>i.m</w:t>
      </w:r>
      <w:proofErr w:type="spellEnd"/>
      <w:r>
        <w:rPr>
          <w:szCs w:val="24"/>
        </w:rPr>
        <w:t>.</w:t>
      </w:r>
      <w:r w:rsidRPr="00806BFF">
        <w:rPr>
          <w:szCs w:val="24"/>
        </w:rPr>
        <w:t>) eller subkutant (</w:t>
      </w:r>
      <w:proofErr w:type="spellStart"/>
      <w:r>
        <w:rPr>
          <w:szCs w:val="24"/>
        </w:rPr>
        <w:t>s.c</w:t>
      </w:r>
      <w:proofErr w:type="spellEnd"/>
      <w:r>
        <w:rPr>
          <w:szCs w:val="24"/>
        </w:rPr>
        <w:t>.</w:t>
      </w:r>
      <w:r w:rsidRPr="00806BFF">
        <w:rPr>
          <w:szCs w:val="24"/>
        </w:rPr>
        <w:t xml:space="preserve">). Den generelle sikkerhedsprofil for begge administrationsveje blev sammenlignet, hvor forekomsten af reaktioner på administrationsstedet var mindre i </w:t>
      </w:r>
      <w:proofErr w:type="spellStart"/>
      <w:r>
        <w:rPr>
          <w:szCs w:val="24"/>
        </w:rPr>
        <w:t>i.m</w:t>
      </w:r>
      <w:proofErr w:type="spellEnd"/>
      <w:r>
        <w:rPr>
          <w:szCs w:val="24"/>
        </w:rPr>
        <w:t>.-</w:t>
      </w:r>
      <w:r w:rsidRPr="00806BFF">
        <w:rPr>
          <w:szCs w:val="24"/>
        </w:rPr>
        <w:t>gruppen (20,9</w:t>
      </w:r>
      <w:r w:rsidR="007620CE">
        <w:rPr>
          <w:szCs w:val="24"/>
        </w:rPr>
        <w:t xml:space="preserve"> %</w:t>
      </w:r>
      <w:r w:rsidRPr="00806BFF">
        <w:rPr>
          <w:szCs w:val="24"/>
        </w:rPr>
        <w:t xml:space="preserve">) sammenlignet med </w:t>
      </w:r>
      <w:proofErr w:type="spellStart"/>
      <w:r>
        <w:rPr>
          <w:szCs w:val="24"/>
        </w:rPr>
        <w:t>s.c</w:t>
      </w:r>
      <w:proofErr w:type="spellEnd"/>
      <w:r>
        <w:rPr>
          <w:szCs w:val="24"/>
        </w:rPr>
        <w:t>.-</w:t>
      </w:r>
      <w:r w:rsidRPr="00806BFF">
        <w:rPr>
          <w:szCs w:val="24"/>
        </w:rPr>
        <w:t>gruppen (34,3</w:t>
      </w:r>
      <w:r w:rsidR="007620CE">
        <w:rPr>
          <w:szCs w:val="24"/>
        </w:rPr>
        <w:t xml:space="preserve"> %</w:t>
      </w:r>
      <w:r w:rsidRPr="00806BFF">
        <w:rPr>
          <w:szCs w:val="24"/>
        </w:rPr>
        <w:t>).</w:t>
      </w:r>
    </w:p>
    <w:p w:rsidR="008C6ED0" w:rsidRPr="00806BFF" w:rsidRDefault="008C6ED0" w:rsidP="008C6ED0">
      <w:pPr>
        <w:ind w:left="855"/>
        <w:rPr>
          <w:szCs w:val="24"/>
        </w:rPr>
      </w:pPr>
    </w:p>
    <w:p w:rsidR="008C6ED0" w:rsidRPr="00806BFF" w:rsidRDefault="008C6ED0" w:rsidP="008C6ED0">
      <w:pPr>
        <w:ind w:left="855"/>
        <w:rPr>
          <w:szCs w:val="24"/>
        </w:rPr>
      </w:pPr>
      <w:r w:rsidRPr="00806BFF">
        <w:rPr>
          <w:szCs w:val="24"/>
        </w:rPr>
        <w:t xml:space="preserve">Efter markedsføring er der udført </w:t>
      </w:r>
      <w:r w:rsidR="00E9569A">
        <w:rPr>
          <w:szCs w:val="24"/>
        </w:rPr>
        <w:t>et studie</w:t>
      </w:r>
      <w:r w:rsidRPr="00806BFF">
        <w:rPr>
          <w:szCs w:val="24"/>
        </w:rPr>
        <w:t xml:space="preserve"> med </w:t>
      </w:r>
      <w:proofErr w:type="spellStart"/>
      <w:r w:rsidRPr="00806BFF">
        <w:rPr>
          <w:szCs w:val="24"/>
        </w:rPr>
        <w:t>varicellavaccine</w:t>
      </w:r>
      <w:proofErr w:type="spellEnd"/>
      <w:r w:rsidRPr="00806BFF">
        <w:rPr>
          <w:szCs w:val="24"/>
        </w:rPr>
        <w:t xml:space="preserve"> (levende) (</w:t>
      </w:r>
      <w:r w:rsidR="0057383C">
        <w:rPr>
          <w:szCs w:val="24"/>
        </w:rPr>
        <w:t>Oka/Merck-stamme</w:t>
      </w:r>
      <w:r w:rsidRPr="00806BFF">
        <w:rPr>
          <w:szCs w:val="24"/>
        </w:rPr>
        <w:t>) der evaluerede korttidssikkerheden (opfølgning efter 30 eller 60 dage) hos ca. 86.000 børn på 12 måneder og op til 12 år, samt med 3.600 personer på 13 år og ældre. Der blev ikke indberettet alvorlige vaccinerelaterede bivirkninger.</w:t>
      </w:r>
    </w:p>
    <w:p w:rsidR="008C6ED0" w:rsidRPr="00806BFF" w:rsidRDefault="008C6ED0" w:rsidP="008C6ED0">
      <w:pPr>
        <w:ind w:left="855"/>
        <w:rPr>
          <w:szCs w:val="24"/>
        </w:rPr>
      </w:pPr>
    </w:p>
    <w:p w:rsidR="008C6ED0" w:rsidRPr="00806BFF" w:rsidRDefault="008C6ED0" w:rsidP="008C6ED0">
      <w:pPr>
        <w:ind w:left="855"/>
        <w:rPr>
          <w:b/>
          <w:szCs w:val="24"/>
        </w:rPr>
      </w:pPr>
      <w:r w:rsidRPr="00806BFF">
        <w:rPr>
          <w:b/>
          <w:szCs w:val="24"/>
        </w:rPr>
        <w:t>b. Tabeloversigt over bivirkninger</w:t>
      </w:r>
    </w:p>
    <w:p w:rsidR="008C6ED0" w:rsidRPr="00806BFF" w:rsidRDefault="008C6ED0" w:rsidP="008C6ED0">
      <w:pPr>
        <w:ind w:left="855"/>
        <w:rPr>
          <w:szCs w:val="24"/>
        </w:rPr>
      </w:pPr>
    </w:p>
    <w:p w:rsidR="00406E6D" w:rsidRDefault="00406E6D" w:rsidP="00406E6D">
      <w:pPr>
        <w:ind w:left="855"/>
        <w:rPr>
          <w:szCs w:val="24"/>
          <w:u w:val="single"/>
        </w:rPr>
      </w:pPr>
      <w:r>
        <w:rPr>
          <w:szCs w:val="24"/>
          <w:u w:val="single"/>
        </w:rPr>
        <w:t xml:space="preserve">Kliniske </w:t>
      </w:r>
      <w:r w:rsidR="00E9569A">
        <w:rPr>
          <w:szCs w:val="24"/>
          <w:u w:val="single"/>
        </w:rPr>
        <w:t>studier</w:t>
      </w:r>
    </w:p>
    <w:p w:rsidR="00406E6D" w:rsidRDefault="00406E6D" w:rsidP="00406E6D">
      <w:pPr>
        <w:ind w:left="855"/>
        <w:rPr>
          <w:szCs w:val="24"/>
        </w:rPr>
      </w:pPr>
    </w:p>
    <w:p w:rsidR="00406E6D" w:rsidRDefault="00406E6D" w:rsidP="00406E6D">
      <w:pPr>
        <w:ind w:left="855"/>
        <w:rPr>
          <w:szCs w:val="24"/>
        </w:rPr>
      </w:pPr>
      <w:r>
        <w:rPr>
          <w:szCs w:val="24"/>
        </w:rPr>
        <w:t xml:space="preserve">I kliniske </w:t>
      </w:r>
      <w:r w:rsidR="00E9569A">
        <w:rPr>
          <w:szCs w:val="24"/>
        </w:rPr>
        <w:t>studier</w:t>
      </w:r>
      <w:r>
        <w:rPr>
          <w:szCs w:val="24"/>
        </w:rPr>
        <w:t>, hvor årsagssammenhængen mellem bivirkninger og vaccination blev vurderet (5.185 personer), blev følgende bivirkninger rapporteret:</w:t>
      </w:r>
    </w:p>
    <w:p w:rsidR="00406E6D" w:rsidRDefault="00406E6D" w:rsidP="00406E6D">
      <w:pPr>
        <w:ind w:left="855"/>
        <w:rPr>
          <w:szCs w:val="24"/>
        </w:rPr>
      </w:pPr>
    </w:p>
    <w:p w:rsidR="00406E6D" w:rsidRDefault="00406E6D" w:rsidP="00406E6D">
      <w:pPr>
        <w:ind w:left="855"/>
        <w:rPr>
          <w:szCs w:val="24"/>
        </w:rPr>
      </w:pPr>
      <w:r>
        <w:rPr>
          <w:szCs w:val="24"/>
        </w:rPr>
        <w:t xml:space="preserve">Bivirkningernes hyppighed er angivet i henhold til følgende konventioner: </w:t>
      </w:r>
    </w:p>
    <w:p w:rsidR="00B50242" w:rsidRDefault="00B50242" w:rsidP="00B50242">
      <w:pPr>
        <w:ind w:left="855"/>
        <w:rPr>
          <w:i/>
          <w:szCs w:val="24"/>
        </w:rPr>
      </w:pPr>
      <w:r>
        <w:rPr>
          <w:i/>
          <w:szCs w:val="24"/>
        </w:rPr>
        <w:t>Meget almindelig (≥1/10), Almindelig (≥1/100, &lt;1/10), Ikke almindelig (</w:t>
      </w:r>
      <w:r>
        <w:rPr>
          <w:i/>
          <w:szCs w:val="24"/>
        </w:rPr>
        <w:sym w:font="Symbol" w:char="F0B3"/>
      </w:r>
      <w:r>
        <w:rPr>
          <w:i/>
          <w:szCs w:val="24"/>
        </w:rPr>
        <w:t>1/1000, &lt;1/100), Sjælden (</w:t>
      </w:r>
      <w:r>
        <w:rPr>
          <w:i/>
          <w:szCs w:val="24"/>
        </w:rPr>
        <w:sym w:font="Symbol" w:char="F0B3"/>
      </w:r>
      <w:r>
        <w:rPr>
          <w:i/>
          <w:szCs w:val="24"/>
        </w:rPr>
        <w:t>1/10.000, &lt;1/1000)</w:t>
      </w:r>
    </w:p>
    <w:p w:rsidR="008C6ED0" w:rsidRPr="00E664B3" w:rsidRDefault="00003DE5" w:rsidP="00E664B3">
      <w:pPr>
        <w:ind w:left="851"/>
        <w:rPr>
          <w:i/>
        </w:rPr>
      </w:pPr>
      <w:r>
        <w:rPr>
          <w:i/>
        </w:rPr>
        <w:br w:type="page"/>
      </w:r>
    </w:p>
    <w:p w:rsidR="007F364F" w:rsidRPr="00DD4274" w:rsidRDefault="007F364F" w:rsidP="00DD4274">
      <w:pPr>
        <w:ind w:left="851"/>
        <w:rPr>
          <w:i/>
          <w:u w:val="single"/>
        </w:rPr>
      </w:pPr>
      <w:r w:rsidRPr="00DD4274">
        <w:rPr>
          <w:i/>
          <w:u w:val="single"/>
        </w:rPr>
        <w:lastRenderedPageBreak/>
        <w:t>Raske børn fra 12 måneder til 12 år (1 dosis)</w:t>
      </w:r>
    </w:p>
    <w:p w:rsidR="007F364F" w:rsidRPr="00DD4274" w:rsidRDefault="007F364F" w:rsidP="00DD4274">
      <w:pPr>
        <w:ind w:left="851"/>
        <w:rPr>
          <w:i/>
          <w:u w:val="single"/>
        </w:rPr>
      </w:pPr>
    </w:p>
    <w:tbl>
      <w:tblPr>
        <w:tblW w:w="672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736"/>
      </w:tblGrid>
      <w:tr w:rsidR="007F364F" w:rsidRPr="00806BFF" w:rsidTr="00284E6A">
        <w:tc>
          <w:tcPr>
            <w:tcW w:w="4991" w:type="dxa"/>
            <w:tcBorders>
              <w:bottom w:val="single" w:sz="4" w:space="0" w:color="auto"/>
            </w:tcBorders>
            <w:vAlign w:val="center"/>
          </w:tcPr>
          <w:p w:rsidR="007F364F" w:rsidRPr="00806BFF" w:rsidRDefault="007F364F" w:rsidP="00284E6A">
            <w:pPr>
              <w:autoSpaceDE w:val="0"/>
              <w:autoSpaceDN w:val="0"/>
              <w:adjustRightInd w:val="0"/>
              <w:jc w:val="center"/>
              <w:rPr>
                <w:b/>
                <w:iCs/>
                <w:szCs w:val="24"/>
              </w:rPr>
            </w:pPr>
            <w:r w:rsidRPr="00806BFF">
              <w:rPr>
                <w:b/>
                <w:iCs/>
                <w:szCs w:val="24"/>
              </w:rPr>
              <w:t>Bivirkninger</w:t>
            </w:r>
          </w:p>
        </w:tc>
        <w:tc>
          <w:tcPr>
            <w:tcW w:w="1736" w:type="dxa"/>
            <w:tcBorders>
              <w:bottom w:val="single" w:sz="4" w:space="0" w:color="auto"/>
            </w:tcBorders>
            <w:vAlign w:val="center"/>
          </w:tcPr>
          <w:p w:rsidR="007F364F" w:rsidRPr="00806BFF" w:rsidRDefault="007F364F" w:rsidP="00284E6A">
            <w:pPr>
              <w:autoSpaceDE w:val="0"/>
              <w:autoSpaceDN w:val="0"/>
              <w:adjustRightInd w:val="0"/>
              <w:jc w:val="center"/>
              <w:rPr>
                <w:b/>
                <w:iCs/>
                <w:szCs w:val="24"/>
              </w:rPr>
            </w:pPr>
            <w:r w:rsidRPr="00806BFF">
              <w:rPr>
                <w:b/>
                <w:iCs/>
                <w:szCs w:val="24"/>
              </w:rPr>
              <w:t>Hyppighed</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bCs/>
                <w:i/>
                <w:iCs/>
                <w:szCs w:val="24"/>
              </w:rPr>
            </w:pPr>
            <w:r w:rsidRPr="00806BFF">
              <w:rPr>
                <w:i/>
                <w:szCs w:val="24"/>
              </w:rPr>
              <w:t>Blod og lymfesystem</w:t>
            </w:r>
          </w:p>
        </w:tc>
      </w:tr>
      <w:tr w:rsidR="007F364F" w:rsidRPr="00806BFF" w:rsidTr="00284E6A">
        <w:tc>
          <w:tcPr>
            <w:tcW w:w="4991" w:type="dxa"/>
            <w:vAlign w:val="center"/>
          </w:tcPr>
          <w:p w:rsidR="007F364F" w:rsidRPr="00806BFF" w:rsidRDefault="007F364F" w:rsidP="00284E6A">
            <w:pPr>
              <w:autoSpaceDE w:val="0"/>
              <w:autoSpaceDN w:val="0"/>
              <w:adjustRightInd w:val="0"/>
              <w:rPr>
                <w:iCs/>
                <w:color w:val="0000FF"/>
                <w:szCs w:val="24"/>
              </w:rPr>
            </w:pPr>
            <w:r w:rsidRPr="00806BFF">
              <w:rPr>
                <w:szCs w:val="24"/>
              </w:rPr>
              <w:t xml:space="preserve">Lymfeknudesvulst, lymfekirtelbetændelse, </w:t>
            </w:r>
            <w:proofErr w:type="spellStart"/>
            <w:r w:rsidRPr="00806BFF">
              <w:rPr>
                <w:szCs w:val="24"/>
              </w:rPr>
              <w:t>trombocytopeni</w:t>
            </w:r>
            <w:proofErr w:type="spellEnd"/>
          </w:p>
        </w:tc>
        <w:tc>
          <w:tcPr>
            <w:tcW w:w="1736" w:type="dxa"/>
            <w:vAlign w:val="center"/>
          </w:tcPr>
          <w:p w:rsidR="007F364F" w:rsidRPr="00806BFF" w:rsidRDefault="007F364F" w:rsidP="00284E6A">
            <w:pPr>
              <w:autoSpaceDE w:val="0"/>
              <w:autoSpaceDN w:val="0"/>
              <w:adjustRightInd w:val="0"/>
              <w:jc w:val="center"/>
              <w:rPr>
                <w:bCs/>
                <w:iCs/>
                <w:color w:val="0000FF"/>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Nervesystem</w:t>
            </w:r>
          </w:p>
        </w:tc>
      </w:tr>
      <w:tr w:rsidR="007F364F" w:rsidRPr="00806BFF" w:rsidTr="00284E6A">
        <w:tc>
          <w:tcPr>
            <w:tcW w:w="4991" w:type="dxa"/>
            <w:tcBorders>
              <w:bottom w:val="single" w:sz="4" w:space="0" w:color="auto"/>
            </w:tcBorders>
            <w:vAlign w:val="center"/>
          </w:tcPr>
          <w:p w:rsidR="007F364F" w:rsidRPr="00806BFF" w:rsidRDefault="007F364F" w:rsidP="00284E6A">
            <w:pPr>
              <w:rPr>
                <w:color w:val="0000FF"/>
                <w:szCs w:val="24"/>
              </w:rPr>
            </w:pPr>
            <w:r w:rsidRPr="00806BFF">
              <w:rPr>
                <w:szCs w:val="24"/>
              </w:rPr>
              <w:t>Hovedpine, døsighed</w:t>
            </w:r>
          </w:p>
        </w:tc>
        <w:tc>
          <w:tcPr>
            <w:tcW w:w="1736" w:type="dxa"/>
            <w:tcBorders>
              <w:bottom w:val="single" w:sz="4" w:space="0" w:color="auto"/>
            </w:tcBorders>
            <w:vAlign w:val="center"/>
          </w:tcPr>
          <w:p w:rsidR="007F364F" w:rsidRPr="00806BFF" w:rsidRDefault="007F364F" w:rsidP="00284E6A">
            <w:pPr>
              <w:autoSpaceDE w:val="0"/>
              <w:autoSpaceDN w:val="0"/>
              <w:adjustRightInd w:val="0"/>
              <w:jc w:val="center"/>
              <w:rPr>
                <w:color w:val="0000FF"/>
                <w:szCs w:val="24"/>
              </w:rPr>
            </w:pPr>
            <w:r w:rsidRPr="00806BFF">
              <w:rPr>
                <w:szCs w:val="24"/>
              </w:rPr>
              <w:t>Ikke almindelig</w:t>
            </w:r>
          </w:p>
        </w:tc>
      </w:tr>
      <w:tr w:rsidR="007F364F" w:rsidRPr="00806BFF" w:rsidTr="00284E6A">
        <w:tc>
          <w:tcPr>
            <w:tcW w:w="4991" w:type="dxa"/>
            <w:tcBorders>
              <w:bottom w:val="single" w:sz="4" w:space="0" w:color="auto"/>
            </w:tcBorders>
            <w:vAlign w:val="center"/>
          </w:tcPr>
          <w:p w:rsidR="007F364F" w:rsidRPr="00806BFF" w:rsidRDefault="007F364F" w:rsidP="00284E6A">
            <w:pPr>
              <w:rPr>
                <w:color w:val="0000FF"/>
                <w:szCs w:val="24"/>
              </w:rPr>
            </w:pPr>
            <w:r w:rsidRPr="00806BFF">
              <w:rPr>
                <w:szCs w:val="24"/>
              </w:rPr>
              <w:t xml:space="preserve">Apati, ophidselse, </w:t>
            </w:r>
            <w:proofErr w:type="spellStart"/>
            <w:r w:rsidRPr="00806BFF">
              <w:rPr>
                <w:szCs w:val="24"/>
              </w:rPr>
              <w:t>hypersomni</w:t>
            </w:r>
            <w:proofErr w:type="spellEnd"/>
            <w:r w:rsidRPr="00806BFF">
              <w:rPr>
                <w:szCs w:val="24"/>
              </w:rPr>
              <w:t xml:space="preserve">, unormal gangart, feberkramper, </w:t>
            </w:r>
            <w:proofErr w:type="spellStart"/>
            <w:r w:rsidRPr="00806BFF">
              <w:rPr>
                <w:szCs w:val="24"/>
              </w:rPr>
              <w:t>tremor</w:t>
            </w:r>
            <w:proofErr w:type="spellEnd"/>
          </w:p>
        </w:tc>
        <w:tc>
          <w:tcPr>
            <w:tcW w:w="1736" w:type="dxa"/>
            <w:tcBorders>
              <w:bottom w:val="single" w:sz="4" w:space="0" w:color="auto"/>
            </w:tcBorders>
            <w:vAlign w:val="center"/>
          </w:tcPr>
          <w:p w:rsidR="007F364F" w:rsidRPr="00806BFF" w:rsidRDefault="007F364F" w:rsidP="00284E6A">
            <w:pPr>
              <w:autoSpaceDE w:val="0"/>
              <w:autoSpaceDN w:val="0"/>
              <w:adjustRightInd w:val="0"/>
              <w:jc w:val="center"/>
              <w:rPr>
                <w:color w:val="0000FF"/>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Øjne</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432"/>
                <w:tab w:val="left" w:pos="1296"/>
              </w:tabs>
              <w:rPr>
                <w:i w:val="0"/>
                <w:color w:val="0000FF"/>
                <w:sz w:val="24"/>
                <w:szCs w:val="24"/>
                <w:lang w:val="da-DK"/>
              </w:rPr>
            </w:pPr>
            <w:proofErr w:type="spellStart"/>
            <w:r w:rsidRPr="00806BFF">
              <w:rPr>
                <w:i w:val="0"/>
                <w:sz w:val="24"/>
                <w:szCs w:val="24"/>
                <w:lang w:val="da-DK"/>
              </w:rPr>
              <w:t>Conjunctivitis</w:t>
            </w:r>
            <w:proofErr w:type="spellEnd"/>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432"/>
                <w:tab w:val="left" w:pos="1296"/>
              </w:tabs>
              <w:rPr>
                <w:i w:val="0"/>
                <w:color w:val="0000FF"/>
                <w:sz w:val="24"/>
                <w:szCs w:val="24"/>
                <w:lang w:val="da-DK"/>
              </w:rPr>
            </w:pPr>
            <w:r w:rsidRPr="00806BFF">
              <w:rPr>
                <w:i w:val="0"/>
                <w:sz w:val="24"/>
                <w:szCs w:val="24"/>
                <w:lang w:val="da-DK"/>
              </w:rPr>
              <w:t xml:space="preserve">Akut </w:t>
            </w:r>
            <w:proofErr w:type="spellStart"/>
            <w:r w:rsidRPr="00806BFF">
              <w:rPr>
                <w:i w:val="0"/>
                <w:sz w:val="24"/>
                <w:szCs w:val="24"/>
                <w:lang w:val="da-DK"/>
              </w:rPr>
              <w:t>conjunctivitis</w:t>
            </w:r>
            <w:proofErr w:type="spellEnd"/>
            <w:r w:rsidRPr="00806BFF">
              <w:rPr>
                <w:i w:val="0"/>
                <w:sz w:val="24"/>
                <w:szCs w:val="24"/>
                <w:lang w:val="da-DK"/>
              </w:rPr>
              <w:t>, tåreflod, hævelser af øjenlåg, irritation</w:t>
            </w:r>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Øre og labyrint</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sidRPr="00806BFF">
              <w:rPr>
                <w:i w:val="0"/>
                <w:sz w:val="24"/>
                <w:szCs w:val="24"/>
                <w:lang w:val="da-DK"/>
              </w:rPr>
              <w:t>Smerter i øre</w:t>
            </w:r>
          </w:p>
        </w:tc>
        <w:tc>
          <w:tcPr>
            <w:tcW w:w="1736" w:type="dxa"/>
            <w:vAlign w:val="center"/>
          </w:tcPr>
          <w:p w:rsidR="007F364F" w:rsidRPr="00806BFF" w:rsidRDefault="007F364F" w:rsidP="00284E6A">
            <w:pPr>
              <w:autoSpaceDE w:val="0"/>
              <w:autoSpaceDN w:val="0"/>
              <w:adjustRightInd w:val="0"/>
              <w:jc w:val="center"/>
              <w:rPr>
                <w:color w:val="0000FF"/>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 xml:space="preserve">Luftveje, thorax og </w:t>
            </w:r>
            <w:proofErr w:type="spellStart"/>
            <w:r w:rsidRPr="00806BFF">
              <w:rPr>
                <w:i/>
                <w:szCs w:val="24"/>
              </w:rPr>
              <w:t>mediastinum</w:t>
            </w:r>
            <w:proofErr w:type="spellEnd"/>
          </w:p>
        </w:tc>
      </w:tr>
      <w:tr w:rsidR="007F364F" w:rsidRPr="00806BFF" w:rsidTr="00284E6A">
        <w:tc>
          <w:tcPr>
            <w:tcW w:w="4991" w:type="dxa"/>
            <w:vAlign w:val="center"/>
          </w:tcPr>
          <w:p w:rsidR="007F364F" w:rsidRPr="00806BFF" w:rsidRDefault="007F364F" w:rsidP="00284E6A">
            <w:pPr>
              <w:rPr>
                <w:color w:val="0000FF"/>
                <w:szCs w:val="24"/>
              </w:rPr>
            </w:pPr>
            <w:r w:rsidRPr="00806BFF">
              <w:rPr>
                <w:szCs w:val="24"/>
              </w:rPr>
              <w:t xml:space="preserve">Hoste, tilstoppet næse, respiratorisk kongestion, </w:t>
            </w:r>
            <w:proofErr w:type="spellStart"/>
            <w:r w:rsidRPr="00806BFF">
              <w:rPr>
                <w:szCs w:val="24"/>
              </w:rPr>
              <w:t>rhinorrhoea</w:t>
            </w:r>
            <w:proofErr w:type="spellEnd"/>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rPr>
                <w:szCs w:val="24"/>
              </w:rPr>
            </w:pPr>
            <w:r w:rsidRPr="00806BFF">
              <w:rPr>
                <w:szCs w:val="24"/>
              </w:rPr>
              <w:t xml:space="preserve">Bihulebetændelse, </w:t>
            </w:r>
            <w:proofErr w:type="spellStart"/>
            <w:r w:rsidRPr="00806BFF">
              <w:rPr>
                <w:szCs w:val="24"/>
              </w:rPr>
              <w:t>nysen</w:t>
            </w:r>
            <w:proofErr w:type="spellEnd"/>
            <w:r w:rsidRPr="00806BFF">
              <w:rPr>
                <w:szCs w:val="24"/>
              </w:rPr>
              <w:t xml:space="preserve">, </w:t>
            </w:r>
            <w:proofErr w:type="spellStart"/>
            <w:r w:rsidRPr="00806BFF">
              <w:rPr>
                <w:szCs w:val="24"/>
              </w:rPr>
              <w:t>pulmonal</w:t>
            </w:r>
            <w:proofErr w:type="spellEnd"/>
            <w:r w:rsidRPr="00806BFF">
              <w:rPr>
                <w:szCs w:val="24"/>
              </w:rPr>
              <w:t xml:space="preserve"> kongestion, næsekatar, </w:t>
            </w:r>
            <w:proofErr w:type="spellStart"/>
            <w:r w:rsidRPr="00806BFF">
              <w:rPr>
                <w:szCs w:val="24"/>
              </w:rPr>
              <w:t>hiven</w:t>
            </w:r>
            <w:proofErr w:type="spellEnd"/>
            <w:r w:rsidRPr="00806BFF">
              <w:rPr>
                <w:szCs w:val="24"/>
              </w:rPr>
              <w:t xml:space="preserve"> efter vejret, </w:t>
            </w:r>
            <w:proofErr w:type="spellStart"/>
            <w:r w:rsidRPr="00806BFF">
              <w:rPr>
                <w:szCs w:val="24"/>
              </w:rPr>
              <w:t>bronkititis</w:t>
            </w:r>
            <w:proofErr w:type="spellEnd"/>
            <w:r w:rsidRPr="00806BFF">
              <w:rPr>
                <w:szCs w:val="24"/>
              </w:rPr>
              <w:t>, respiratorisk infektion, lungebetændelse</w:t>
            </w:r>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Metabolis</w:t>
            </w:r>
            <w:r>
              <w:rPr>
                <w:i/>
                <w:szCs w:val="24"/>
              </w:rPr>
              <w:t>m</w:t>
            </w:r>
            <w:r w:rsidRPr="00806BFF">
              <w:rPr>
                <w:i/>
                <w:szCs w:val="24"/>
              </w:rPr>
              <w:t>e og ernæring</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sidRPr="00806BFF">
              <w:rPr>
                <w:i w:val="0"/>
                <w:sz w:val="24"/>
                <w:szCs w:val="24"/>
                <w:lang w:val="da-DK"/>
              </w:rPr>
              <w:t>Anoreksi</w:t>
            </w:r>
          </w:p>
        </w:tc>
        <w:tc>
          <w:tcPr>
            <w:tcW w:w="1736" w:type="dxa"/>
            <w:vAlign w:val="center"/>
          </w:tcPr>
          <w:p w:rsidR="007F364F" w:rsidRPr="00806BFF" w:rsidRDefault="007F364F" w:rsidP="00284E6A">
            <w:pPr>
              <w:autoSpaceDE w:val="0"/>
              <w:autoSpaceDN w:val="0"/>
              <w:adjustRightInd w:val="0"/>
              <w:jc w:val="center"/>
              <w:rPr>
                <w:color w:val="0000FF"/>
                <w:szCs w:val="24"/>
              </w:rPr>
            </w:pPr>
            <w:r w:rsidRPr="00806BFF">
              <w:rPr>
                <w:szCs w:val="24"/>
              </w:rPr>
              <w:t>Ikke almindelig</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Infektioner og par</w:t>
            </w:r>
            <w:r>
              <w:rPr>
                <w:i/>
                <w:szCs w:val="24"/>
              </w:rPr>
              <w:t>a</w:t>
            </w:r>
            <w:r w:rsidRPr="00806BFF">
              <w:rPr>
                <w:i/>
                <w:szCs w:val="24"/>
              </w:rPr>
              <w:t>sitære sygdomme</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sidRPr="00806BFF">
              <w:rPr>
                <w:i w:val="0"/>
                <w:sz w:val="24"/>
                <w:szCs w:val="24"/>
                <w:lang w:val="da-DK"/>
              </w:rPr>
              <w:t>Infektioner i de øvre åndedrætsorganer</w:t>
            </w:r>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Almindelig</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Pr>
                <w:i w:val="0"/>
                <w:sz w:val="24"/>
                <w:szCs w:val="24"/>
                <w:lang w:val="da-DK"/>
              </w:rPr>
              <w:t>M</w:t>
            </w:r>
            <w:r w:rsidRPr="00806BFF">
              <w:rPr>
                <w:i w:val="0"/>
                <w:sz w:val="24"/>
                <w:szCs w:val="24"/>
                <w:lang w:val="da-DK"/>
              </w:rPr>
              <w:t xml:space="preserve">avetarmkatar, ørebetændelse, mellemørebetændelse, </w:t>
            </w:r>
            <w:proofErr w:type="spellStart"/>
            <w:r w:rsidRPr="00806BFF">
              <w:rPr>
                <w:i w:val="0"/>
                <w:sz w:val="24"/>
                <w:szCs w:val="24"/>
                <w:lang w:val="da-DK"/>
              </w:rPr>
              <w:t>pharyngitis</w:t>
            </w:r>
            <w:proofErr w:type="spellEnd"/>
            <w:r w:rsidRPr="00806BFF">
              <w:rPr>
                <w:i w:val="0"/>
                <w:sz w:val="24"/>
                <w:szCs w:val="24"/>
                <w:lang w:val="da-DK"/>
              </w:rPr>
              <w:t xml:space="preserve">, </w:t>
            </w:r>
            <w:proofErr w:type="spellStart"/>
            <w:r w:rsidRPr="00806BFF">
              <w:rPr>
                <w:i w:val="0"/>
                <w:sz w:val="24"/>
                <w:szCs w:val="24"/>
                <w:lang w:val="da-DK"/>
              </w:rPr>
              <w:t>varicella</w:t>
            </w:r>
            <w:proofErr w:type="spellEnd"/>
            <w:r w:rsidRPr="00806BFF">
              <w:rPr>
                <w:i w:val="0"/>
                <w:sz w:val="24"/>
                <w:szCs w:val="24"/>
                <w:lang w:val="da-DK"/>
              </w:rPr>
              <w:t xml:space="preserve">, viralt </w:t>
            </w:r>
            <w:proofErr w:type="spellStart"/>
            <w:r w:rsidRPr="00806BFF">
              <w:rPr>
                <w:i w:val="0"/>
                <w:sz w:val="24"/>
                <w:szCs w:val="24"/>
                <w:lang w:val="da-DK"/>
              </w:rPr>
              <w:t>eksantem</w:t>
            </w:r>
            <w:proofErr w:type="spellEnd"/>
            <w:r w:rsidRPr="00806BFF">
              <w:rPr>
                <w:i w:val="0"/>
                <w:sz w:val="24"/>
                <w:szCs w:val="24"/>
                <w:lang w:val="da-DK"/>
              </w:rPr>
              <w:t>, virusinfektion</w:t>
            </w:r>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sidRPr="00806BFF">
              <w:rPr>
                <w:i w:val="0"/>
                <w:sz w:val="24"/>
                <w:szCs w:val="24"/>
                <w:lang w:val="da-DK"/>
              </w:rPr>
              <w:t>Infektion, influenza-lignende symptomer</w:t>
            </w:r>
          </w:p>
        </w:tc>
        <w:tc>
          <w:tcPr>
            <w:tcW w:w="1736" w:type="dxa"/>
            <w:vAlign w:val="center"/>
          </w:tcPr>
          <w:p w:rsidR="007F364F" w:rsidRPr="00806BFF" w:rsidRDefault="007F364F" w:rsidP="00284E6A">
            <w:pPr>
              <w:autoSpaceDE w:val="0"/>
              <w:autoSpaceDN w:val="0"/>
              <w:adjustRightInd w:val="0"/>
              <w:jc w:val="center"/>
              <w:rPr>
                <w:iCs/>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Mave-tarm</w:t>
            </w:r>
            <w:r>
              <w:rPr>
                <w:i/>
                <w:szCs w:val="24"/>
              </w:rPr>
              <w:t>-</w:t>
            </w:r>
            <w:r w:rsidRPr="00806BFF">
              <w:rPr>
                <w:i/>
                <w:szCs w:val="24"/>
              </w:rPr>
              <w:t>kanalen</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Diarré, opkastning</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Mavesmerter, kvalme, </w:t>
            </w:r>
            <w:proofErr w:type="spellStart"/>
            <w:r w:rsidRPr="00806BFF">
              <w:rPr>
                <w:szCs w:val="24"/>
              </w:rPr>
              <w:t>hæmatokeksi</w:t>
            </w:r>
            <w:proofErr w:type="spellEnd"/>
            <w:r w:rsidRPr="00806BFF">
              <w:rPr>
                <w:szCs w:val="24"/>
              </w:rPr>
              <w:t>, sår i munden</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rPr>
                <w:i/>
                <w:szCs w:val="24"/>
              </w:rPr>
            </w:pPr>
            <w:r w:rsidRPr="00806BFF">
              <w:rPr>
                <w:i/>
                <w:szCs w:val="24"/>
              </w:rPr>
              <w:t>Hud og subkutane væv</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Udslæt, </w:t>
            </w:r>
            <w:proofErr w:type="spellStart"/>
            <w:r w:rsidRPr="00F075E2">
              <w:rPr>
                <w:szCs w:val="24"/>
              </w:rPr>
              <w:t>ma</w:t>
            </w:r>
            <w:r>
              <w:rPr>
                <w:szCs w:val="24"/>
              </w:rPr>
              <w:t>k</w:t>
            </w:r>
            <w:r w:rsidRPr="00F075E2">
              <w:rPr>
                <w:szCs w:val="24"/>
              </w:rPr>
              <w:t>ulopapul</w:t>
            </w:r>
            <w:r>
              <w:rPr>
                <w:szCs w:val="24"/>
              </w:rPr>
              <w:t>øst</w:t>
            </w:r>
            <w:proofErr w:type="spellEnd"/>
            <w:r w:rsidRPr="00707E86">
              <w:rPr>
                <w:szCs w:val="24"/>
              </w:rPr>
              <w:t xml:space="preserve"> </w:t>
            </w:r>
            <w:r w:rsidRPr="00806BFF">
              <w:rPr>
                <w:szCs w:val="24"/>
              </w:rPr>
              <w:t xml:space="preserve">udslæt, </w:t>
            </w:r>
            <w:proofErr w:type="spellStart"/>
            <w:r w:rsidRPr="00806BFF">
              <w:rPr>
                <w:szCs w:val="24"/>
              </w:rPr>
              <w:t>varicella</w:t>
            </w:r>
            <w:proofErr w:type="spellEnd"/>
            <w:r w:rsidRPr="00806BFF">
              <w:rPr>
                <w:szCs w:val="24"/>
              </w:rPr>
              <w:t>-lignende udslæt (generelt gennemsnitligt 5</w:t>
            </w:r>
            <w:r>
              <w:rPr>
                <w:szCs w:val="24"/>
              </w:rPr>
              <w:t> </w:t>
            </w:r>
            <w:r w:rsidRPr="00806BFF">
              <w:rPr>
                <w:szCs w:val="24"/>
              </w:rPr>
              <w:t>læsioner)</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Kontakteksem, </w:t>
            </w:r>
            <w:proofErr w:type="spellStart"/>
            <w:r w:rsidRPr="00806BFF">
              <w:rPr>
                <w:szCs w:val="24"/>
              </w:rPr>
              <w:t>erytem</w:t>
            </w:r>
            <w:proofErr w:type="spellEnd"/>
            <w:r w:rsidRPr="00806BFF">
              <w:rPr>
                <w:szCs w:val="24"/>
              </w:rPr>
              <w:t>, kløe, nældefeber</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Rødmen, små blærer, </w:t>
            </w:r>
            <w:proofErr w:type="spellStart"/>
            <w:r w:rsidRPr="00806BFF">
              <w:rPr>
                <w:szCs w:val="24"/>
              </w:rPr>
              <w:t>atopisk</w:t>
            </w:r>
            <w:proofErr w:type="spellEnd"/>
            <w:r w:rsidRPr="00806BFF">
              <w:rPr>
                <w:szCs w:val="24"/>
              </w:rPr>
              <w:t xml:space="preserve"> eksem, nældefeber-</w:t>
            </w:r>
            <w:r>
              <w:rPr>
                <w:szCs w:val="24"/>
              </w:rPr>
              <w:t>lignende</w:t>
            </w:r>
            <w:r w:rsidRPr="00806BFF">
              <w:rPr>
                <w:szCs w:val="24"/>
              </w:rPr>
              <w:t xml:space="preserve"> udslæt, blå mærker, </w:t>
            </w:r>
            <w:proofErr w:type="spellStart"/>
            <w:r w:rsidRPr="00806BFF">
              <w:rPr>
                <w:szCs w:val="24"/>
              </w:rPr>
              <w:t>dermatitis</w:t>
            </w:r>
            <w:proofErr w:type="spellEnd"/>
            <w:r w:rsidRPr="00806BFF">
              <w:rPr>
                <w:szCs w:val="24"/>
              </w:rPr>
              <w:t>, medicinudslæt, hudinfektion</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Knogler, led</w:t>
            </w:r>
            <w:r>
              <w:rPr>
                <w:i/>
                <w:szCs w:val="24"/>
              </w:rPr>
              <w:t>, muskler</w:t>
            </w:r>
            <w:r w:rsidRPr="00806BFF">
              <w:rPr>
                <w:i/>
                <w:szCs w:val="24"/>
              </w:rPr>
              <w:t xml:space="preserve"> og bindevæv</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proofErr w:type="spellStart"/>
            <w:r w:rsidRPr="00806BFF">
              <w:rPr>
                <w:i w:val="0"/>
                <w:sz w:val="24"/>
                <w:szCs w:val="24"/>
                <w:lang w:val="da-DK"/>
              </w:rPr>
              <w:t>Muskuloskeletale</w:t>
            </w:r>
            <w:proofErr w:type="spellEnd"/>
            <w:r w:rsidRPr="00806BFF">
              <w:rPr>
                <w:i w:val="0"/>
                <w:sz w:val="24"/>
                <w:szCs w:val="24"/>
                <w:lang w:val="da-DK"/>
              </w:rPr>
              <w:t xml:space="preserve"> smerter, myalgi, stivhed </w:t>
            </w:r>
          </w:p>
        </w:tc>
        <w:tc>
          <w:tcPr>
            <w:tcW w:w="1736" w:type="dxa"/>
            <w:vAlign w:val="center"/>
          </w:tcPr>
          <w:p w:rsidR="007F364F" w:rsidRPr="00806BFF" w:rsidRDefault="007F364F" w:rsidP="00284E6A">
            <w:pPr>
              <w:autoSpaceDE w:val="0"/>
              <w:autoSpaceDN w:val="0"/>
              <w:adjustRightInd w:val="0"/>
              <w:jc w:val="center"/>
              <w:rPr>
                <w:color w:val="0000FF"/>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proofErr w:type="spellStart"/>
            <w:r w:rsidRPr="00806BFF">
              <w:rPr>
                <w:i/>
                <w:szCs w:val="24"/>
              </w:rPr>
              <w:t>Vaskulære</w:t>
            </w:r>
            <w:proofErr w:type="spellEnd"/>
            <w:r w:rsidRPr="00806BFF">
              <w:rPr>
                <w:i/>
                <w:szCs w:val="24"/>
              </w:rPr>
              <w:t xml:space="preserve"> sygdomme</w:t>
            </w:r>
          </w:p>
        </w:tc>
      </w:tr>
      <w:tr w:rsidR="007F364F" w:rsidRPr="00806BFF" w:rsidTr="00284E6A">
        <w:tc>
          <w:tcPr>
            <w:tcW w:w="4991" w:type="dxa"/>
            <w:vAlign w:val="center"/>
          </w:tcPr>
          <w:p w:rsidR="007F364F" w:rsidRPr="00806BFF" w:rsidRDefault="007F364F" w:rsidP="00284E6A">
            <w:pPr>
              <w:pStyle w:val="BodyText21"/>
              <w:widowControl/>
              <w:tabs>
                <w:tab w:val="clear" w:pos="-720"/>
                <w:tab w:val="clear" w:pos="4536"/>
                <w:tab w:val="left" w:pos="-284"/>
                <w:tab w:val="left" w:pos="252"/>
                <w:tab w:val="left" w:pos="1296"/>
              </w:tabs>
              <w:rPr>
                <w:i w:val="0"/>
                <w:color w:val="0000FF"/>
                <w:sz w:val="24"/>
                <w:szCs w:val="24"/>
                <w:lang w:val="da-DK"/>
              </w:rPr>
            </w:pPr>
            <w:r w:rsidRPr="00806BFF">
              <w:rPr>
                <w:i w:val="0"/>
                <w:sz w:val="24"/>
                <w:szCs w:val="24"/>
                <w:lang w:val="da-DK"/>
              </w:rPr>
              <w:t>Blodudtrædning</w:t>
            </w:r>
          </w:p>
        </w:tc>
        <w:tc>
          <w:tcPr>
            <w:tcW w:w="1736" w:type="dxa"/>
            <w:vAlign w:val="center"/>
          </w:tcPr>
          <w:p w:rsidR="007F364F" w:rsidRPr="00806BFF" w:rsidRDefault="007F364F" w:rsidP="00284E6A">
            <w:pPr>
              <w:autoSpaceDE w:val="0"/>
              <w:autoSpaceDN w:val="0"/>
              <w:adjustRightInd w:val="0"/>
              <w:jc w:val="center"/>
              <w:rPr>
                <w:color w:val="0000FF"/>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Almene symptomer og reaktioner på administrationsstedet</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Feber</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Meget 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proofErr w:type="spellStart"/>
            <w:r w:rsidRPr="00806BFF">
              <w:rPr>
                <w:szCs w:val="24"/>
              </w:rPr>
              <w:lastRenderedPageBreak/>
              <w:t>Erytem</w:t>
            </w:r>
            <w:proofErr w:type="spellEnd"/>
            <w:r w:rsidRPr="00806BFF">
              <w:rPr>
                <w:szCs w:val="24"/>
              </w:rPr>
              <w:t xml:space="preserve"> på injektionsstedet, udslæt, smerter/ømhed, hævelse og </w:t>
            </w:r>
            <w:proofErr w:type="spellStart"/>
            <w:r w:rsidRPr="00806BFF">
              <w:rPr>
                <w:szCs w:val="24"/>
              </w:rPr>
              <w:t>varicella</w:t>
            </w:r>
            <w:proofErr w:type="spellEnd"/>
            <w:r w:rsidRPr="00806BFF">
              <w:rPr>
                <w:szCs w:val="24"/>
              </w:rPr>
              <w:t>-lignende udslæt (gennemsnitligt 2 læsioner på injektionsstedet</w:t>
            </w:r>
            <w:r>
              <w:rPr>
                <w:szCs w:val="24"/>
              </w:rPr>
              <w:t>)</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Asteni/træthed, blodudtrædning ved injektionsstedet, </w:t>
            </w:r>
            <w:proofErr w:type="spellStart"/>
            <w:r w:rsidRPr="00806BFF">
              <w:rPr>
                <w:szCs w:val="24"/>
              </w:rPr>
              <w:t>hæmatom</w:t>
            </w:r>
            <w:proofErr w:type="spellEnd"/>
            <w:r w:rsidRPr="00806BFF">
              <w:rPr>
                <w:szCs w:val="24"/>
              </w:rPr>
              <w:t xml:space="preserve">, </w:t>
            </w:r>
            <w:proofErr w:type="spellStart"/>
            <w:r w:rsidRPr="00806BFF">
              <w:rPr>
                <w:szCs w:val="24"/>
              </w:rPr>
              <w:t>induration</w:t>
            </w:r>
            <w:proofErr w:type="spellEnd"/>
            <w:r w:rsidRPr="00806BFF">
              <w:rPr>
                <w:szCs w:val="24"/>
              </w:rPr>
              <w:t>, udslæt</w:t>
            </w:r>
            <w:r>
              <w:rPr>
                <w:szCs w:val="24"/>
              </w:rPr>
              <w:t>,</w:t>
            </w:r>
            <w:r w:rsidRPr="00806BFF">
              <w:rPr>
                <w:szCs w:val="24"/>
              </w:rPr>
              <w:t xml:space="preserve"> utilpashed</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Ikke 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Eksem ved injektionsstedet, knudedannelse, varme, nældefeber-</w:t>
            </w:r>
            <w:r>
              <w:rPr>
                <w:szCs w:val="24"/>
              </w:rPr>
              <w:t>lignende</w:t>
            </w:r>
            <w:r w:rsidRPr="00806BFF">
              <w:rPr>
                <w:szCs w:val="24"/>
              </w:rPr>
              <w:t xml:space="preserve"> udslæt, misfarvning, betændelse, stivhed, ødem/hævelse</w:t>
            </w:r>
            <w:r>
              <w:rPr>
                <w:szCs w:val="24"/>
              </w:rPr>
              <w:t>,</w:t>
            </w:r>
            <w:r w:rsidRPr="00806BFF">
              <w:rPr>
                <w:szCs w:val="24"/>
              </w:rPr>
              <w:t xml:space="preserve"> varmefølelse</w:t>
            </w:r>
            <w:r>
              <w:rPr>
                <w:szCs w:val="24"/>
              </w:rPr>
              <w:t>,</w:t>
            </w:r>
            <w:r w:rsidRPr="00806BFF">
              <w:rPr>
                <w:szCs w:val="24"/>
              </w:rPr>
              <w:t xml:space="preserve"> varm at røre</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Sjælden</w:t>
            </w:r>
          </w:p>
        </w:tc>
      </w:tr>
      <w:tr w:rsidR="007F364F" w:rsidRPr="00806BFF" w:rsidTr="00284E6A">
        <w:tc>
          <w:tcPr>
            <w:tcW w:w="6727" w:type="dxa"/>
            <w:gridSpan w:val="2"/>
            <w:shd w:val="clear" w:color="auto" w:fill="CCCCCC"/>
            <w:vAlign w:val="center"/>
          </w:tcPr>
          <w:p w:rsidR="007F364F" w:rsidRPr="00806BFF" w:rsidRDefault="007F364F" w:rsidP="00284E6A">
            <w:pPr>
              <w:autoSpaceDE w:val="0"/>
              <w:autoSpaceDN w:val="0"/>
              <w:adjustRightInd w:val="0"/>
              <w:rPr>
                <w:i/>
                <w:color w:val="0000FF"/>
                <w:szCs w:val="24"/>
              </w:rPr>
            </w:pPr>
            <w:r w:rsidRPr="00806BFF">
              <w:rPr>
                <w:i/>
                <w:szCs w:val="24"/>
              </w:rPr>
              <w:t>Psykiske forstyrrelser</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Irritabilitet</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Almindelig</w:t>
            </w:r>
          </w:p>
        </w:tc>
      </w:tr>
      <w:tr w:rsidR="007F364F" w:rsidRPr="00806BFF" w:rsidTr="00284E6A">
        <w:tc>
          <w:tcPr>
            <w:tcW w:w="4991" w:type="dxa"/>
            <w:vAlign w:val="center"/>
          </w:tcPr>
          <w:p w:rsidR="007F364F" w:rsidRPr="00806BFF" w:rsidRDefault="007F364F" w:rsidP="00284E6A">
            <w:pPr>
              <w:autoSpaceDE w:val="0"/>
              <w:autoSpaceDN w:val="0"/>
              <w:adjustRightInd w:val="0"/>
              <w:rPr>
                <w:i/>
                <w:szCs w:val="24"/>
              </w:rPr>
            </w:pPr>
            <w:r w:rsidRPr="00806BFF">
              <w:rPr>
                <w:szCs w:val="24"/>
              </w:rPr>
              <w:t xml:space="preserve">Gråd, </w:t>
            </w:r>
            <w:proofErr w:type="spellStart"/>
            <w:r w:rsidRPr="00806BFF">
              <w:rPr>
                <w:szCs w:val="24"/>
              </w:rPr>
              <w:t>insomni</w:t>
            </w:r>
            <w:proofErr w:type="spellEnd"/>
            <w:r w:rsidRPr="00806BFF">
              <w:rPr>
                <w:szCs w:val="24"/>
              </w:rPr>
              <w:t>, søvnproblemer</w:t>
            </w:r>
          </w:p>
        </w:tc>
        <w:tc>
          <w:tcPr>
            <w:tcW w:w="1736" w:type="dxa"/>
            <w:vAlign w:val="center"/>
          </w:tcPr>
          <w:p w:rsidR="007F364F" w:rsidRPr="00806BFF" w:rsidRDefault="007F364F" w:rsidP="00284E6A">
            <w:pPr>
              <w:autoSpaceDE w:val="0"/>
              <w:autoSpaceDN w:val="0"/>
              <w:adjustRightInd w:val="0"/>
              <w:jc w:val="center"/>
              <w:rPr>
                <w:szCs w:val="24"/>
              </w:rPr>
            </w:pPr>
            <w:r w:rsidRPr="00806BFF">
              <w:rPr>
                <w:szCs w:val="24"/>
              </w:rPr>
              <w:t>Ikke almindelig</w:t>
            </w:r>
          </w:p>
        </w:tc>
      </w:tr>
    </w:tbl>
    <w:p w:rsidR="007F364F" w:rsidRDefault="007F364F" w:rsidP="008C6ED0">
      <w:pPr>
        <w:ind w:left="855"/>
        <w:jc w:val="both"/>
        <w:rPr>
          <w:i/>
          <w:szCs w:val="24"/>
          <w:u w:val="single"/>
        </w:rPr>
      </w:pPr>
    </w:p>
    <w:p w:rsidR="008C6ED0" w:rsidRPr="00806BFF" w:rsidRDefault="008C6ED0" w:rsidP="008C6ED0">
      <w:pPr>
        <w:ind w:left="855"/>
        <w:jc w:val="both"/>
        <w:rPr>
          <w:i/>
          <w:szCs w:val="24"/>
          <w:u w:val="single"/>
        </w:rPr>
      </w:pPr>
      <w:r w:rsidRPr="00806BFF">
        <w:rPr>
          <w:i/>
          <w:szCs w:val="24"/>
          <w:u w:val="single"/>
        </w:rPr>
        <w:t>Raske personer fra 12 måneder til 12 år (2 doser med et mellemrum på ≥ 3 måneder)</w:t>
      </w:r>
    </w:p>
    <w:p w:rsidR="008C6ED0" w:rsidRPr="00806BFF" w:rsidRDefault="008C6ED0" w:rsidP="008C6ED0">
      <w:pPr>
        <w:ind w:left="855"/>
        <w:rPr>
          <w:szCs w:val="24"/>
        </w:rPr>
      </w:pPr>
    </w:p>
    <w:p w:rsidR="008C6ED0" w:rsidRPr="00806BFF" w:rsidRDefault="008C6ED0" w:rsidP="00493AD7">
      <w:pPr>
        <w:ind w:left="855"/>
        <w:rPr>
          <w:szCs w:val="24"/>
        </w:rPr>
      </w:pPr>
      <w:r w:rsidRPr="00806BFF">
        <w:rPr>
          <w:szCs w:val="24"/>
        </w:rPr>
        <w:t xml:space="preserve">Følgende alvorlige bivirkninger er rapporteret hos børn fra 12 måneder op til 12 år, i tilknytning til vaccination med </w:t>
      </w:r>
      <w:proofErr w:type="spellStart"/>
      <w:r w:rsidRPr="00806BFF">
        <w:rPr>
          <w:szCs w:val="24"/>
        </w:rPr>
        <w:t>varicellavaccine</w:t>
      </w:r>
      <w:proofErr w:type="spellEnd"/>
      <w:r w:rsidR="00272B6A">
        <w:rPr>
          <w:szCs w:val="24"/>
        </w:rPr>
        <w:t xml:space="preserve"> </w:t>
      </w:r>
      <w:r w:rsidRPr="00806BFF">
        <w:rPr>
          <w:szCs w:val="24"/>
        </w:rPr>
        <w:t>(levende) (Oka/Merck</w:t>
      </w:r>
      <w:r w:rsidR="0057383C">
        <w:rPr>
          <w:szCs w:val="24"/>
        </w:rPr>
        <w:t>-</w:t>
      </w:r>
      <w:r w:rsidRPr="00806BFF">
        <w:rPr>
          <w:szCs w:val="24"/>
        </w:rPr>
        <w:t xml:space="preserve">stamme): diarré, feberkrampe, feber, post-infektiøs </w:t>
      </w:r>
      <w:proofErr w:type="spellStart"/>
      <w:r w:rsidRPr="00806BFF">
        <w:rPr>
          <w:szCs w:val="24"/>
        </w:rPr>
        <w:t>arthritis</w:t>
      </w:r>
      <w:proofErr w:type="spellEnd"/>
      <w:r w:rsidRPr="00806BFF">
        <w:rPr>
          <w:szCs w:val="24"/>
        </w:rPr>
        <w:t xml:space="preserve">, opkastning. </w:t>
      </w:r>
    </w:p>
    <w:p w:rsidR="008C6ED0" w:rsidRPr="000A52B5" w:rsidRDefault="008C6ED0" w:rsidP="00493AD7">
      <w:pPr>
        <w:ind w:left="855"/>
        <w:rPr>
          <w:szCs w:val="24"/>
        </w:rPr>
      </w:pPr>
    </w:p>
    <w:p w:rsidR="008C6ED0" w:rsidRPr="00806BFF" w:rsidRDefault="008C6ED0" w:rsidP="00493AD7">
      <w:pPr>
        <w:ind w:left="855"/>
        <w:rPr>
          <w:szCs w:val="24"/>
        </w:rPr>
      </w:pPr>
      <w:r w:rsidRPr="000A52B5">
        <w:rPr>
          <w:szCs w:val="24"/>
        </w:rPr>
        <w:t xml:space="preserve">Hyppigheden af systemiske kliniske bivirkninger efter anden dosis af </w:t>
      </w:r>
      <w:proofErr w:type="spellStart"/>
      <w:r w:rsidR="00C4776E" w:rsidRPr="00F121BE">
        <w:t>Varivax</w:t>
      </w:r>
      <w:proofErr w:type="spellEnd"/>
      <w:r w:rsidRPr="000A52B5">
        <w:rPr>
          <w:szCs w:val="24"/>
        </w:rPr>
        <w:t xml:space="preserve"> var generelt svarende til eller lavere end, hvad der blev observeret ved den første dosis. Hyppigheden af reaktioner på administrationsstedet (primært </w:t>
      </w:r>
      <w:proofErr w:type="spellStart"/>
      <w:r w:rsidRPr="000A52B5">
        <w:rPr>
          <w:szCs w:val="24"/>
        </w:rPr>
        <w:t>erytem</w:t>
      </w:r>
      <w:proofErr w:type="spellEnd"/>
      <w:r w:rsidRPr="000A52B5">
        <w:rPr>
          <w:szCs w:val="24"/>
        </w:rPr>
        <w:t xml:space="preserve"> og hæv</w:t>
      </w:r>
      <w:r w:rsidRPr="00806BFF">
        <w:rPr>
          <w:szCs w:val="24"/>
        </w:rPr>
        <w:t xml:space="preserve">else) var højere efter anden dosis (se pkt. 5.1 for en beskrivelse af </w:t>
      </w:r>
      <w:r w:rsidR="00493AD7">
        <w:rPr>
          <w:szCs w:val="24"/>
        </w:rPr>
        <w:t>studiet</w:t>
      </w:r>
      <w:r w:rsidRPr="00806BFF">
        <w:rPr>
          <w:szCs w:val="24"/>
        </w:rPr>
        <w:t>).</w:t>
      </w:r>
    </w:p>
    <w:p w:rsidR="008C6ED0" w:rsidRPr="00806BFF" w:rsidRDefault="008C6ED0" w:rsidP="00493AD7">
      <w:pPr>
        <w:ind w:left="855"/>
        <w:rPr>
          <w:szCs w:val="24"/>
        </w:rPr>
      </w:pPr>
    </w:p>
    <w:p w:rsidR="008C6ED0" w:rsidRPr="00F17832" w:rsidRDefault="008C6ED0" w:rsidP="00F17832">
      <w:pPr>
        <w:ind w:left="851"/>
        <w:rPr>
          <w:i/>
          <w:u w:val="single"/>
        </w:rPr>
      </w:pPr>
      <w:r w:rsidRPr="00F17832">
        <w:rPr>
          <w:i/>
          <w:u w:val="single"/>
        </w:rPr>
        <w:t xml:space="preserve">Raske personer fra 13 år og ældre (størstedelen </w:t>
      </w:r>
      <w:r w:rsidR="00493AD7">
        <w:rPr>
          <w:i/>
          <w:u w:val="single"/>
        </w:rPr>
        <w:t>fik</w:t>
      </w:r>
      <w:r w:rsidRPr="00F17832">
        <w:rPr>
          <w:i/>
          <w:u w:val="single"/>
        </w:rPr>
        <w:t xml:space="preserve"> 2 doser med 4 til 8 ugers mellemrum)</w:t>
      </w:r>
    </w:p>
    <w:p w:rsidR="008C6ED0" w:rsidRPr="00806BFF" w:rsidRDefault="008C6ED0" w:rsidP="008C6ED0">
      <w:pPr>
        <w:ind w:left="855"/>
        <w:rPr>
          <w:szCs w:val="24"/>
        </w:rPr>
      </w:pPr>
    </w:p>
    <w:p w:rsidR="008C6ED0" w:rsidRPr="00806BFF" w:rsidRDefault="008C6ED0" w:rsidP="008C6ED0">
      <w:pPr>
        <w:ind w:left="855"/>
        <w:rPr>
          <w:szCs w:val="24"/>
        </w:rPr>
      </w:pPr>
      <w:r w:rsidRPr="00806BFF">
        <w:rPr>
          <w:szCs w:val="24"/>
        </w:rPr>
        <w:t>Årsagssammenhæng er ikke vurderet for personer fra 13 år og ældre med undtagelse af alvorlige bivirkninger. I kliniske studier (1</w:t>
      </w:r>
      <w:r w:rsidR="00493AD7">
        <w:rPr>
          <w:szCs w:val="24"/>
        </w:rPr>
        <w:t>.</w:t>
      </w:r>
      <w:r w:rsidRPr="00806BFF">
        <w:rPr>
          <w:szCs w:val="24"/>
        </w:rPr>
        <w:t>648 personer) blev følgende bivirkninger tidsmæssigt sat i forbindelse med vaccinationen:</w:t>
      </w:r>
    </w:p>
    <w:p w:rsidR="008C6ED0" w:rsidRPr="00806BFF" w:rsidRDefault="008C6ED0" w:rsidP="008C6ED0">
      <w:pPr>
        <w:ind w:left="855"/>
        <w:rPr>
          <w:szCs w:val="24"/>
        </w:rPr>
      </w:pPr>
    </w:p>
    <w:tbl>
      <w:tblPr>
        <w:tblW w:w="672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736"/>
      </w:tblGrid>
      <w:tr w:rsidR="008C6ED0" w:rsidRPr="00806BFF" w:rsidTr="00715D42">
        <w:tc>
          <w:tcPr>
            <w:tcW w:w="4991" w:type="dxa"/>
            <w:tcBorders>
              <w:bottom w:val="single" w:sz="4" w:space="0" w:color="auto"/>
            </w:tcBorders>
            <w:vAlign w:val="center"/>
          </w:tcPr>
          <w:p w:rsidR="008C6ED0" w:rsidRPr="00806BFF" w:rsidRDefault="008C6ED0" w:rsidP="00715D42">
            <w:pPr>
              <w:autoSpaceDE w:val="0"/>
              <w:autoSpaceDN w:val="0"/>
              <w:adjustRightInd w:val="0"/>
              <w:jc w:val="center"/>
              <w:rPr>
                <w:b/>
                <w:iCs/>
                <w:szCs w:val="24"/>
              </w:rPr>
            </w:pPr>
            <w:r w:rsidRPr="00806BFF">
              <w:rPr>
                <w:b/>
                <w:iCs/>
                <w:szCs w:val="24"/>
              </w:rPr>
              <w:t>Bivirkninger</w:t>
            </w:r>
          </w:p>
        </w:tc>
        <w:tc>
          <w:tcPr>
            <w:tcW w:w="1736" w:type="dxa"/>
            <w:tcBorders>
              <w:bottom w:val="single" w:sz="4" w:space="0" w:color="auto"/>
            </w:tcBorders>
            <w:vAlign w:val="center"/>
          </w:tcPr>
          <w:p w:rsidR="008C6ED0" w:rsidRPr="00806BFF" w:rsidRDefault="008C6ED0" w:rsidP="00715D42">
            <w:pPr>
              <w:autoSpaceDE w:val="0"/>
              <w:autoSpaceDN w:val="0"/>
              <w:adjustRightInd w:val="0"/>
              <w:jc w:val="center"/>
              <w:rPr>
                <w:b/>
                <w:iCs/>
                <w:szCs w:val="24"/>
              </w:rPr>
            </w:pPr>
            <w:r w:rsidRPr="00806BFF">
              <w:rPr>
                <w:b/>
                <w:iCs/>
                <w:szCs w:val="24"/>
              </w:rPr>
              <w:t>Hyppighed</w:t>
            </w:r>
          </w:p>
        </w:tc>
      </w:tr>
      <w:tr w:rsidR="008C6ED0" w:rsidRPr="00806BFF" w:rsidTr="00715D42">
        <w:tc>
          <w:tcPr>
            <w:tcW w:w="6727" w:type="dxa"/>
            <w:gridSpan w:val="2"/>
            <w:shd w:val="clear" w:color="auto" w:fill="CCCCCC"/>
            <w:vAlign w:val="center"/>
          </w:tcPr>
          <w:p w:rsidR="008C6ED0" w:rsidRPr="00806BFF" w:rsidRDefault="008C6ED0" w:rsidP="00715D42">
            <w:pPr>
              <w:autoSpaceDE w:val="0"/>
              <w:autoSpaceDN w:val="0"/>
              <w:adjustRightInd w:val="0"/>
              <w:rPr>
                <w:i/>
                <w:color w:val="0000FF"/>
                <w:szCs w:val="24"/>
              </w:rPr>
            </w:pPr>
            <w:r w:rsidRPr="00806BFF">
              <w:rPr>
                <w:i/>
                <w:szCs w:val="24"/>
              </w:rPr>
              <w:t>Hud og subkutane væv</w:t>
            </w:r>
          </w:p>
        </w:tc>
      </w:tr>
      <w:tr w:rsidR="008C6ED0" w:rsidRPr="00806BFF" w:rsidTr="00715D42">
        <w:tc>
          <w:tcPr>
            <w:tcW w:w="4991" w:type="dxa"/>
            <w:tcBorders>
              <w:bottom w:val="single" w:sz="4" w:space="0" w:color="auto"/>
            </w:tcBorders>
            <w:vAlign w:val="center"/>
          </w:tcPr>
          <w:p w:rsidR="008C6ED0" w:rsidRPr="00806BFF" w:rsidRDefault="00B50242" w:rsidP="00715D42">
            <w:pPr>
              <w:rPr>
                <w:color w:val="0000FF"/>
                <w:szCs w:val="24"/>
              </w:rPr>
            </w:pPr>
            <w:proofErr w:type="spellStart"/>
            <w:r>
              <w:rPr>
                <w:szCs w:val="24"/>
              </w:rPr>
              <w:t>Varicella</w:t>
            </w:r>
            <w:proofErr w:type="spellEnd"/>
            <w:r>
              <w:rPr>
                <w:szCs w:val="24"/>
              </w:rPr>
              <w:t>-lignende udslæt, (generaliseret, gennemsnitligt 5 læsioner)</w:t>
            </w:r>
          </w:p>
        </w:tc>
        <w:tc>
          <w:tcPr>
            <w:tcW w:w="1736" w:type="dxa"/>
            <w:tcBorders>
              <w:bottom w:val="single" w:sz="4" w:space="0" w:color="auto"/>
            </w:tcBorders>
            <w:vAlign w:val="center"/>
          </w:tcPr>
          <w:p w:rsidR="008C6ED0" w:rsidRPr="00806BFF" w:rsidRDefault="008C6ED0" w:rsidP="00715D42">
            <w:pPr>
              <w:autoSpaceDE w:val="0"/>
              <w:autoSpaceDN w:val="0"/>
              <w:adjustRightInd w:val="0"/>
              <w:jc w:val="center"/>
              <w:rPr>
                <w:color w:val="0000FF"/>
                <w:szCs w:val="24"/>
              </w:rPr>
            </w:pPr>
            <w:r w:rsidRPr="00806BFF">
              <w:rPr>
                <w:szCs w:val="24"/>
              </w:rPr>
              <w:t>Almindelig</w:t>
            </w:r>
          </w:p>
        </w:tc>
      </w:tr>
      <w:tr w:rsidR="008C6ED0" w:rsidRPr="00806BFF" w:rsidTr="00715D42">
        <w:tc>
          <w:tcPr>
            <w:tcW w:w="6727" w:type="dxa"/>
            <w:gridSpan w:val="2"/>
            <w:shd w:val="clear" w:color="auto" w:fill="CCCCCC"/>
            <w:vAlign w:val="center"/>
          </w:tcPr>
          <w:p w:rsidR="008C6ED0" w:rsidRPr="00806BFF" w:rsidRDefault="008C6ED0" w:rsidP="00715D42">
            <w:pPr>
              <w:autoSpaceDE w:val="0"/>
              <w:autoSpaceDN w:val="0"/>
              <w:adjustRightInd w:val="0"/>
              <w:rPr>
                <w:i/>
                <w:color w:val="0000FF"/>
                <w:szCs w:val="24"/>
              </w:rPr>
            </w:pPr>
            <w:r w:rsidRPr="00806BFF">
              <w:rPr>
                <w:i/>
                <w:szCs w:val="24"/>
              </w:rPr>
              <w:t>Almene symptomer og reaktioner på administrationsstedet</w:t>
            </w:r>
          </w:p>
        </w:tc>
      </w:tr>
      <w:tr w:rsidR="008C6ED0" w:rsidRPr="00806BFF" w:rsidTr="00715D42">
        <w:tc>
          <w:tcPr>
            <w:tcW w:w="4991" w:type="dxa"/>
            <w:vAlign w:val="center"/>
          </w:tcPr>
          <w:p w:rsidR="008C6ED0" w:rsidRPr="000A52B5" w:rsidRDefault="008C6ED0" w:rsidP="00715D42">
            <w:pPr>
              <w:autoSpaceDE w:val="0"/>
              <w:autoSpaceDN w:val="0"/>
              <w:adjustRightInd w:val="0"/>
              <w:rPr>
                <w:iCs/>
                <w:szCs w:val="24"/>
              </w:rPr>
            </w:pPr>
            <w:r w:rsidRPr="00806BFF">
              <w:rPr>
                <w:szCs w:val="24"/>
              </w:rPr>
              <w:t xml:space="preserve">Feber </w:t>
            </w:r>
            <w:r w:rsidRPr="00806BFF">
              <w:rPr>
                <w:szCs w:val="24"/>
              </w:rPr>
              <w:sym w:font="Symbol" w:char="F0B3"/>
            </w:r>
            <w:r w:rsidRPr="00806BFF">
              <w:rPr>
                <w:szCs w:val="24"/>
              </w:rPr>
              <w:t>3</w:t>
            </w:r>
            <w:r w:rsidR="007F364F">
              <w:rPr>
                <w:szCs w:val="24"/>
              </w:rPr>
              <w:t>7</w:t>
            </w:r>
            <w:r w:rsidRPr="00806BFF">
              <w:rPr>
                <w:szCs w:val="24"/>
              </w:rPr>
              <w:t>,7</w:t>
            </w:r>
            <w:r w:rsidR="007F364F">
              <w:rPr>
                <w:szCs w:val="24"/>
              </w:rPr>
              <w:t xml:space="preserve"> </w:t>
            </w:r>
            <w:r w:rsidRPr="00806BFF">
              <w:rPr>
                <w:szCs w:val="24"/>
              </w:rPr>
              <w:sym w:font="Symbol" w:char="F0B0"/>
            </w:r>
            <w:r w:rsidRPr="00806BFF">
              <w:rPr>
                <w:szCs w:val="24"/>
              </w:rPr>
              <w:t>C målt oralt;</w:t>
            </w:r>
            <w:r w:rsidRPr="00806BFF">
              <w:rPr>
                <w:i/>
                <w:szCs w:val="24"/>
              </w:rPr>
              <w:t xml:space="preserve"> </w:t>
            </w:r>
            <w:proofErr w:type="spellStart"/>
            <w:r w:rsidRPr="00806BFF">
              <w:rPr>
                <w:szCs w:val="24"/>
              </w:rPr>
              <w:t>erytem</w:t>
            </w:r>
            <w:proofErr w:type="spellEnd"/>
            <w:r w:rsidRPr="00806BFF">
              <w:rPr>
                <w:szCs w:val="24"/>
              </w:rPr>
              <w:t xml:space="preserve"> på injektionsstedet, ømhed og hævelse</w:t>
            </w:r>
          </w:p>
        </w:tc>
        <w:tc>
          <w:tcPr>
            <w:tcW w:w="1736" w:type="dxa"/>
            <w:vAlign w:val="center"/>
          </w:tcPr>
          <w:p w:rsidR="008C6ED0" w:rsidRPr="00806BFF" w:rsidRDefault="008C6ED0" w:rsidP="00715D42">
            <w:pPr>
              <w:autoSpaceDE w:val="0"/>
              <w:autoSpaceDN w:val="0"/>
              <w:adjustRightInd w:val="0"/>
              <w:jc w:val="center"/>
              <w:rPr>
                <w:iCs/>
                <w:szCs w:val="24"/>
              </w:rPr>
            </w:pPr>
            <w:r w:rsidRPr="00806BFF">
              <w:rPr>
                <w:szCs w:val="24"/>
              </w:rPr>
              <w:t>Meget almindelig</w:t>
            </w:r>
          </w:p>
        </w:tc>
      </w:tr>
      <w:tr w:rsidR="008C6ED0" w:rsidRPr="00806BFF" w:rsidTr="00715D42">
        <w:tc>
          <w:tcPr>
            <w:tcW w:w="4991" w:type="dxa"/>
            <w:vAlign w:val="center"/>
          </w:tcPr>
          <w:p w:rsidR="008C6ED0" w:rsidRPr="000A52B5" w:rsidRDefault="008C6ED0" w:rsidP="00715D42">
            <w:pPr>
              <w:autoSpaceDE w:val="0"/>
              <w:autoSpaceDN w:val="0"/>
              <w:adjustRightInd w:val="0"/>
              <w:rPr>
                <w:iCs/>
                <w:szCs w:val="24"/>
              </w:rPr>
            </w:pPr>
            <w:r w:rsidRPr="00806BFF">
              <w:rPr>
                <w:szCs w:val="24"/>
              </w:rPr>
              <w:t xml:space="preserve">Udslæt ved injektionsstedet, kløe og </w:t>
            </w:r>
            <w:proofErr w:type="spellStart"/>
            <w:r w:rsidRPr="00806BFF">
              <w:rPr>
                <w:szCs w:val="24"/>
              </w:rPr>
              <w:t>varicella</w:t>
            </w:r>
            <w:proofErr w:type="spellEnd"/>
            <w:r w:rsidRPr="00806BFF">
              <w:rPr>
                <w:szCs w:val="24"/>
              </w:rPr>
              <w:t>-lignende udslæt (gennemsnitligt 2 læsioner på injektionsstedet)</w:t>
            </w:r>
          </w:p>
        </w:tc>
        <w:tc>
          <w:tcPr>
            <w:tcW w:w="1736" w:type="dxa"/>
            <w:vAlign w:val="center"/>
          </w:tcPr>
          <w:p w:rsidR="008C6ED0" w:rsidRPr="00806BFF" w:rsidRDefault="008C6ED0" w:rsidP="00715D42">
            <w:pPr>
              <w:autoSpaceDE w:val="0"/>
              <w:autoSpaceDN w:val="0"/>
              <w:adjustRightInd w:val="0"/>
              <w:jc w:val="center"/>
              <w:rPr>
                <w:iCs/>
                <w:szCs w:val="24"/>
              </w:rPr>
            </w:pPr>
            <w:r w:rsidRPr="00806BFF">
              <w:rPr>
                <w:szCs w:val="24"/>
              </w:rPr>
              <w:t>Almindelig</w:t>
            </w:r>
          </w:p>
        </w:tc>
      </w:tr>
      <w:tr w:rsidR="008C6ED0" w:rsidRPr="00806BFF" w:rsidTr="00715D42">
        <w:tc>
          <w:tcPr>
            <w:tcW w:w="4991" w:type="dxa"/>
            <w:vAlign w:val="center"/>
          </w:tcPr>
          <w:p w:rsidR="008C6ED0" w:rsidRPr="00806BFF" w:rsidRDefault="008C6ED0" w:rsidP="00715D42">
            <w:pPr>
              <w:autoSpaceDE w:val="0"/>
              <w:autoSpaceDN w:val="0"/>
              <w:adjustRightInd w:val="0"/>
              <w:rPr>
                <w:iCs/>
                <w:szCs w:val="24"/>
              </w:rPr>
            </w:pPr>
            <w:r w:rsidRPr="00806BFF">
              <w:rPr>
                <w:szCs w:val="24"/>
              </w:rPr>
              <w:t xml:space="preserve">Blodudtrædning ved injektionsstedet, </w:t>
            </w:r>
            <w:proofErr w:type="spellStart"/>
            <w:r w:rsidRPr="00806BFF">
              <w:rPr>
                <w:szCs w:val="24"/>
              </w:rPr>
              <w:t>hæmatom</w:t>
            </w:r>
            <w:proofErr w:type="spellEnd"/>
            <w:r w:rsidRPr="00806BFF">
              <w:rPr>
                <w:szCs w:val="24"/>
              </w:rPr>
              <w:t xml:space="preserve">, </w:t>
            </w:r>
            <w:proofErr w:type="spellStart"/>
            <w:r w:rsidRPr="00806BFF">
              <w:rPr>
                <w:szCs w:val="24"/>
              </w:rPr>
              <w:t>induration</w:t>
            </w:r>
            <w:proofErr w:type="spellEnd"/>
            <w:r w:rsidRPr="00806BFF">
              <w:rPr>
                <w:szCs w:val="24"/>
              </w:rPr>
              <w:t>, følelsesløshed og varmefølelse</w:t>
            </w:r>
          </w:p>
        </w:tc>
        <w:tc>
          <w:tcPr>
            <w:tcW w:w="1736" w:type="dxa"/>
            <w:vAlign w:val="center"/>
          </w:tcPr>
          <w:p w:rsidR="008C6ED0" w:rsidRPr="00806BFF" w:rsidRDefault="008C6ED0" w:rsidP="00715D42">
            <w:pPr>
              <w:autoSpaceDE w:val="0"/>
              <w:autoSpaceDN w:val="0"/>
              <w:adjustRightInd w:val="0"/>
              <w:jc w:val="center"/>
              <w:rPr>
                <w:iCs/>
                <w:szCs w:val="24"/>
              </w:rPr>
            </w:pPr>
            <w:r w:rsidRPr="00806BFF">
              <w:rPr>
                <w:szCs w:val="24"/>
              </w:rPr>
              <w:t>Ikke almindelig</w:t>
            </w:r>
          </w:p>
        </w:tc>
      </w:tr>
      <w:tr w:rsidR="008C6ED0" w:rsidRPr="00806BFF" w:rsidTr="00715D42">
        <w:tc>
          <w:tcPr>
            <w:tcW w:w="4991" w:type="dxa"/>
            <w:vAlign w:val="center"/>
          </w:tcPr>
          <w:p w:rsidR="008C6ED0" w:rsidRPr="00806BFF" w:rsidRDefault="007F364F" w:rsidP="00715D42">
            <w:pPr>
              <w:autoSpaceDE w:val="0"/>
              <w:autoSpaceDN w:val="0"/>
              <w:adjustRightInd w:val="0"/>
              <w:rPr>
                <w:szCs w:val="24"/>
              </w:rPr>
            </w:pPr>
            <w:proofErr w:type="spellStart"/>
            <w:r>
              <w:rPr>
                <w:szCs w:val="24"/>
              </w:rPr>
              <w:t>H</w:t>
            </w:r>
            <w:r w:rsidR="008C6ED0" w:rsidRPr="00806BFF">
              <w:rPr>
                <w:szCs w:val="24"/>
              </w:rPr>
              <w:t>yperpigmentering</w:t>
            </w:r>
            <w:proofErr w:type="spellEnd"/>
            <w:r w:rsidR="008C6ED0" w:rsidRPr="00806BFF">
              <w:rPr>
                <w:szCs w:val="24"/>
              </w:rPr>
              <w:t>, stivhed</w:t>
            </w:r>
          </w:p>
        </w:tc>
        <w:tc>
          <w:tcPr>
            <w:tcW w:w="1736" w:type="dxa"/>
            <w:vAlign w:val="center"/>
          </w:tcPr>
          <w:p w:rsidR="008C6ED0" w:rsidRPr="00806BFF" w:rsidRDefault="008C6ED0" w:rsidP="00715D42">
            <w:pPr>
              <w:autoSpaceDE w:val="0"/>
              <w:autoSpaceDN w:val="0"/>
              <w:adjustRightInd w:val="0"/>
              <w:jc w:val="center"/>
              <w:rPr>
                <w:szCs w:val="24"/>
              </w:rPr>
            </w:pPr>
            <w:r w:rsidRPr="00806BFF">
              <w:rPr>
                <w:szCs w:val="24"/>
              </w:rPr>
              <w:t>Sjælden</w:t>
            </w:r>
          </w:p>
        </w:tc>
      </w:tr>
    </w:tbl>
    <w:p w:rsidR="00003DE5" w:rsidRDefault="00003DE5" w:rsidP="008C6ED0">
      <w:pPr>
        <w:ind w:left="855"/>
        <w:rPr>
          <w:szCs w:val="24"/>
        </w:rPr>
      </w:pPr>
    </w:p>
    <w:p w:rsidR="008C6ED0" w:rsidRPr="00806BFF" w:rsidRDefault="00003DE5" w:rsidP="008C6ED0">
      <w:pPr>
        <w:ind w:left="855"/>
        <w:rPr>
          <w:szCs w:val="24"/>
        </w:rPr>
      </w:pPr>
      <w:r>
        <w:rPr>
          <w:szCs w:val="24"/>
        </w:rPr>
        <w:br w:type="page"/>
      </w:r>
    </w:p>
    <w:p w:rsidR="003B6F5F" w:rsidRPr="00A03154" w:rsidRDefault="003B6F5F" w:rsidP="003B6F5F">
      <w:pPr>
        <w:pStyle w:val="Overskrift2"/>
        <w:ind w:left="855"/>
        <w:rPr>
          <w:szCs w:val="24"/>
          <w:u w:val="single"/>
        </w:rPr>
      </w:pPr>
      <w:r w:rsidRPr="00A03154">
        <w:rPr>
          <w:b/>
        </w:rPr>
        <w:lastRenderedPageBreak/>
        <w:t>Overvågning efter markedsføring</w:t>
      </w:r>
    </w:p>
    <w:p w:rsidR="003B6F5F" w:rsidRPr="00806BFF" w:rsidRDefault="003B6F5F" w:rsidP="003B6F5F">
      <w:pPr>
        <w:keepNext/>
        <w:ind w:left="855"/>
        <w:rPr>
          <w:szCs w:val="24"/>
        </w:rPr>
      </w:pPr>
    </w:p>
    <w:p w:rsidR="003B6F5F" w:rsidRPr="00806BFF" w:rsidRDefault="003B6F5F" w:rsidP="003B6F5F">
      <w:pPr>
        <w:keepNext/>
        <w:ind w:left="851"/>
        <w:rPr>
          <w:szCs w:val="24"/>
        </w:rPr>
      </w:pPr>
      <w:r w:rsidRPr="00806BFF">
        <w:rPr>
          <w:szCs w:val="24"/>
        </w:rPr>
        <w:t>Efter markedsføring</w:t>
      </w:r>
      <w:r w:rsidRPr="00591DE4">
        <w:rPr>
          <w:szCs w:val="24"/>
        </w:rPr>
        <w:t xml:space="preserve"> er f</w:t>
      </w:r>
      <w:r w:rsidRPr="006E23E1">
        <w:rPr>
          <w:szCs w:val="24"/>
        </w:rPr>
        <w:t>ølgende</w:t>
      </w:r>
      <w:r w:rsidRPr="00806BFF">
        <w:rPr>
          <w:szCs w:val="24"/>
        </w:rPr>
        <w:t xml:space="preserve"> bivirkninger spontant rapporteret i tilknytning til </w:t>
      </w:r>
      <w:proofErr w:type="spellStart"/>
      <w:r>
        <w:t>Varivax</w:t>
      </w:r>
      <w:proofErr w:type="spellEnd"/>
      <w:r w:rsidRPr="00806BFF">
        <w:rPr>
          <w:szCs w:val="24"/>
        </w:rPr>
        <w:t xml:space="preserve"> under global anvendelse:</w:t>
      </w:r>
    </w:p>
    <w:p w:rsidR="003B6F5F" w:rsidRPr="00806BFF" w:rsidRDefault="003B6F5F" w:rsidP="003B6F5F">
      <w:pPr>
        <w:rPr>
          <w:szCs w:val="24"/>
        </w:rPr>
      </w:pPr>
    </w:p>
    <w:tbl>
      <w:tblPr>
        <w:tblW w:w="672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7"/>
      </w:tblGrid>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jc w:val="center"/>
              <w:rPr>
                <w:b/>
                <w:iCs/>
                <w:szCs w:val="24"/>
              </w:rPr>
            </w:pPr>
            <w:r w:rsidRPr="00806BFF">
              <w:rPr>
                <w:b/>
                <w:iCs/>
                <w:szCs w:val="24"/>
              </w:rPr>
              <w:t>Bivirkninger</w:t>
            </w:r>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Blod og lymfesystem</w:t>
            </w:r>
          </w:p>
        </w:tc>
      </w:tr>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rPr>
                <w:color w:val="0000FF"/>
                <w:szCs w:val="24"/>
              </w:rPr>
            </w:pPr>
            <w:proofErr w:type="spellStart"/>
            <w:r w:rsidRPr="00806BFF">
              <w:rPr>
                <w:iCs/>
                <w:szCs w:val="24"/>
              </w:rPr>
              <w:t>Aplastisk</w:t>
            </w:r>
            <w:proofErr w:type="spellEnd"/>
            <w:r w:rsidRPr="00806BFF">
              <w:rPr>
                <w:iCs/>
                <w:szCs w:val="24"/>
              </w:rPr>
              <w:t xml:space="preserve"> anæmi, </w:t>
            </w:r>
            <w:proofErr w:type="spellStart"/>
            <w:r w:rsidRPr="00806BFF">
              <w:rPr>
                <w:iCs/>
                <w:szCs w:val="24"/>
              </w:rPr>
              <w:t>trombocytopeni</w:t>
            </w:r>
            <w:proofErr w:type="spellEnd"/>
            <w:r w:rsidRPr="00806BFF">
              <w:rPr>
                <w:iCs/>
                <w:szCs w:val="24"/>
              </w:rPr>
              <w:t xml:space="preserve"> (herunder idiopatisk </w:t>
            </w:r>
            <w:proofErr w:type="spellStart"/>
            <w:r w:rsidRPr="00806BFF">
              <w:rPr>
                <w:iCs/>
                <w:szCs w:val="24"/>
              </w:rPr>
              <w:t>trombocytopenisk</w:t>
            </w:r>
            <w:proofErr w:type="spellEnd"/>
            <w:r w:rsidRPr="00806BFF">
              <w:rPr>
                <w:iCs/>
                <w:szCs w:val="24"/>
              </w:rPr>
              <w:t xml:space="preserve"> </w:t>
            </w:r>
            <w:proofErr w:type="spellStart"/>
            <w:r w:rsidRPr="00806BFF">
              <w:rPr>
                <w:iCs/>
                <w:szCs w:val="24"/>
              </w:rPr>
              <w:t>purpura</w:t>
            </w:r>
            <w:proofErr w:type="spellEnd"/>
            <w:r w:rsidRPr="00806BFF">
              <w:rPr>
                <w:iCs/>
                <w:szCs w:val="24"/>
              </w:rPr>
              <w:t xml:space="preserve"> (ITP</w:t>
            </w:r>
            <w:r w:rsidRPr="00F7504B">
              <w:rPr>
                <w:szCs w:val="24"/>
              </w:rPr>
              <w:t xml:space="preserve">), </w:t>
            </w:r>
            <w:proofErr w:type="spellStart"/>
            <w:r w:rsidRPr="00806BFF">
              <w:rPr>
                <w:iCs/>
                <w:szCs w:val="24"/>
              </w:rPr>
              <w:t>lymfadenopati</w:t>
            </w:r>
            <w:proofErr w:type="spellEnd"/>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Nervesystemet</w:t>
            </w:r>
          </w:p>
        </w:tc>
      </w:tr>
      <w:tr w:rsidR="003B6F5F" w:rsidRPr="00806BFF" w:rsidTr="004C2A79">
        <w:tc>
          <w:tcPr>
            <w:tcW w:w="6727" w:type="dxa"/>
            <w:vAlign w:val="center"/>
          </w:tcPr>
          <w:p w:rsidR="003B6F5F" w:rsidRPr="00806BFF" w:rsidRDefault="003B6F5F" w:rsidP="004C2A79">
            <w:pPr>
              <w:autoSpaceDE w:val="0"/>
              <w:autoSpaceDN w:val="0"/>
              <w:adjustRightInd w:val="0"/>
              <w:rPr>
                <w:iCs/>
                <w:szCs w:val="24"/>
              </w:rPr>
            </w:pPr>
            <w:r w:rsidRPr="00806BFF">
              <w:rPr>
                <w:szCs w:val="24"/>
              </w:rPr>
              <w:t xml:space="preserve">Hjerneblødning, krampeanfald (med eller uden feber), </w:t>
            </w:r>
            <w:proofErr w:type="spellStart"/>
            <w:r w:rsidRPr="00806BFF">
              <w:rPr>
                <w:szCs w:val="24"/>
              </w:rPr>
              <w:t>Guillain</w:t>
            </w:r>
            <w:proofErr w:type="spellEnd"/>
            <w:r w:rsidRPr="00806BFF">
              <w:rPr>
                <w:szCs w:val="24"/>
              </w:rPr>
              <w:t xml:space="preserve"> </w:t>
            </w:r>
            <w:proofErr w:type="spellStart"/>
            <w:r w:rsidRPr="00806BFF">
              <w:rPr>
                <w:szCs w:val="24"/>
              </w:rPr>
              <w:t>Barré</w:t>
            </w:r>
            <w:r>
              <w:rPr>
                <w:szCs w:val="24"/>
              </w:rPr>
              <w:t>s</w:t>
            </w:r>
            <w:proofErr w:type="spellEnd"/>
            <w:r w:rsidRPr="00806BFF">
              <w:rPr>
                <w:szCs w:val="24"/>
              </w:rPr>
              <w:t xml:space="preserve"> syndrom, </w:t>
            </w:r>
            <w:proofErr w:type="spellStart"/>
            <w:r w:rsidRPr="00806BFF">
              <w:rPr>
                <w:szCs w:val="24"/>
              </w:rPr>
              <w:t>myelitis</w:t>
            </w:r>
            <w:proofErr w:type="spellEnd"/>
            <w:r w:rsidRPr="00806BFF">
              <w:rPr>
                <w:szCs w:val="24"/>
              </w:rPr>
              <w:t xml:space="preserve"> </w:t>
            </w:r>
            <w:proofErr w:type="spellStart"/>
            <w:r w:rsidRPr="00806BFF">
              <w:rPr>
                <w:szCs w:val="24"/>
              </w:rPr>
              <w:t>transversa</w:t>
            </w:r>
            <w:proofErr w:type="spellEnd"/>
            <w:r w:rsidRPr="00806BFF">
              <w:rPr>
                <w:szCs w:val="24"/>
              </w:rPr>
              <w:t xml:space="preserve">, </w:t>
            </w:r>
            <w:proofErr w:type="spellStart"/>
            <w:r w:rsidRPr="00806BFF">
              <w:rPr>
                <w:szCs w:val="24"/>
              </w:rPr>
              <w:t>Bell's</w:t>
            </w:r>
            <w:proofErr w:type="spellEnd"/>
            <w:r w:rsidRPr="00806BFF">
              <w:rPr>
                <w:szCs w:val="24"/>
              </w:rPr>
              <w:t xml:space="preserve"> parese, </w:t>
            </w:r>
            <w:proofErr w:type="spellStart"/>
            <w:r w:rsidRPr="00806BFF">
              <w:rPr>
                <w:szCs w:val="24"/>
              </w:rPr>
              <w:t>ataksi</w:t>
            </w:r>
            <w:proofErr w:type="spellEnd"/>
            <w:r w:rsidRPr="00806BFF">
              <w:rPr>
                <w:szCs w:val="24"/>
              </w:rPr>
              <w:t xml:space="preserve">*, </w:t>
            </w:r>
            <w:proofErr w:type="spellStart"/>
            <w:r w:rsidRPr="00806BFF">
              <w:rPr>
                <w:szCs w:val="24"/>
              </w:rPr>
              <w:t>vertigo</w:t>
            </w:r>
            <w:proofErr w:type="spellEnd"/>
            <w:r w:rsidRPr="00806BFF">
              <w:rPr>
                <w:szCs w:val="24"/>
              </w:rPr>
              <w:t xml:space="preserve">/svimmelhed, </w:t>
            </w:r>
            <w:proofErr w:type="spellStart"/>
            <w:r w:rsidRPr="00806BFF">
              <w:rPr>
                <w:szCs w:val="24"/>
              </w:rPr>
              <w:t>paræstesi</w:t>
            </w:r>
            <w:proofErr w:type="spellEnd"/>
            <w:r>
              <w:rPr>
                <w:szCs w:val="24"/>
              </w:rPr>
              <w:t>, synkope</w:t>
            </w:r>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 xml:space="preserve">Luftveje, thorax og </w:t>
            </w:r>
            <w:proofErr w:type="spellStart"/>
            <w:r w:rsidRPr="00806BFF">
              <w:rPr>
                <w:i/>
                <w:szCs w:val="24"/>
              </w:rPr>
              <w:t>mediastinum</w:t>
            </w:r>
            <w:proofErr w:type="spellEnd"/>
          </w:p>
        </w:tc>
      </w:tr>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rPr>
                <w:color w:val="0000FF"/>
                <w:szCs w:val="24"/>
              </w:rPr>
            </w:pPr>
            <w:r w:rsidRPr="00806BFF">
              <w:rPr>
                <w:szCs w:val="24"/>
              </w:rPr>
              <w:t>Pneumoni</w:t>
            </w:r>
          </w:p>
        </w:tc>
      </w:tr>
      <w:tr w:rsidR="003B6F5F" w:rsidRPr="00806BFF" w:rsidTr="004C2A79">
        <w:tc>
          <w:tcPr>
            <w:tcW w:w="6727" w:type="dxa"/>
            <w:shd w:val="clear" w:color="auto" w:fill="CCCCCC"/>
            <w:vAlign w:val="center"/>
          </w:tcPr>
          <w:p w:rsidR="003B6F5F" w:rsidRPr="00806BFF" w:rsidRDefault="003B6F5F" w:rsidP="004C2A79">
            <w:pPr>
              <w:keepNext/>
              <w:autoSpaceDE w:val="0"/>
              <w:autoSpaceDN w:val="0"/>
              <w:adjustRightInd w:val="0"/>
              <w:rPr>
                <w:i/>
                <w:color w:val="0000FF"/>
                <w:szCs w:val="24"/>
              </w:rPr>
            </w:pPr>
            <w:r w:rsidRPr="00806BFF">
              <w:rPr>
                <w:i/>
                <w:szCs w:val="24"/>
              </w:rPr>
              <w:t>Hud og subkutan</w:t>
            </w:r>
            <w:r>
              <w:rPr>
                <w:i/>
                <w:szCs w:val="24"/>
              </w:rPr>
              <w:t>e</w:t>
            </w:r>
            <w:r w:rsidRPr="00806BFF">
              <w:rPr>
                <w:i/>
                <w:szCs w:val="24"/>
              </w:rPr>
              <w:t xml:space="preserve"> væv</w:t>
            </w:r>
          </w:p>
        </w:tc>
      </w:tr>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rPr>
                <w:color w:val="0000FF"/>
                <w:szCs w:val="24"/>
              </w:rPr>
            </w:pPr>
            <w:r w:rsidRPr="00806BFF">
              <w:rPr>
                <w:szCs w:val="24"/>
              </w:rPr>
              <w:t xml:space="preserve">Stevens-Johnsons syndrom, </w:t>
            </w:r>
            <w:proofErr w:type="spellStart"/>
            <w:r w:rsidRPr="00806BFF">
              <w:rPr>
                <w:szCs w:val="24"/>
              </w:rPr>
              <w:t>erythema</w:t>
            </w:r>
            <w:proofErr w:type="spellEnd"/>
            <w:r w:rsidRPr="00806BFF">
              <w:rPr>
                <w:szCs w:val="24"/>
              </w:rPr>
              <w:t xml:space="preserve"> multiforme, </w:t>
            </w:r>
            <w:proofErr w:type="spellStart"/>
            <w:r w:rsidRPr="00806BFF">
              <w:rPr>
                <w:szCs w:val="24"/>
              </w:rPr>
              <w:t>Henoch</w:t>
            </w:r>
            <w:r>
              <w:rPr>
                <w:szCs w:val="24"/>
              </w:rPr>
              <w:t>-</w:t>
            </w:r>
            <w:r w:rsidRPr="00806BFF">
              <w:rPr>
                <w:szCs w:val="24"/>
              </w:rPr>
              <w:t>Schönleins</w:t>
            </w:r>
            <w:proofErr w:type="spellEnd"/>
            <w:r w:rsidRPr="00806BFF">
              <w:rPr>
                <w:szCs w:val="24"/>
              </w:rPr>
              <w:t xml:space="preserve"> </w:t>
            </w:r>
            <w:proofErr w:type="spellStart"/>
            <w:r w:rsidRPr="00806BFF">
              <w:rPr>
                <w:szCs w:val="24"/>
              </w:rPr>
              <w:t>purpura</w:t>
            </w:r>
            <w:proofErr w:type="spellEnd"/>
            <w:r w:rsidRPr="00806BFF">
              <w:rPr>
                <w:szCs w:val="24"/>
              </w:rPr>
              <w:t>, sekundære bakterielle infektioner i hud og bløddele herunder cellulitis</w:t>
            </w:r>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Infektioner og parasitære sygdomme</w:t>
            </w:r>
          </w:p>
        </w:tc>
      </w:tr>
      <w:tr w:rsidR="003B6F5F" w:rsidRPr="00806BFF" w:rsidTr="004C2A79">
        <w:tc>
          <w:tcPr>
            <w:tcW w:w="6727" w:type="dxa"/>
            <w:tcBorders>
              <w:bottom w:val="single" w:sz="4" w:space="0" w:color="auto"/>
            </w:tcBorders>
            <w:vAlign w:val="center"/>
          </w:tcPr>
          <w:p w:rsidR="003B6F5F" w:rsidRPr="00A86A1E" w:rsidRDefault="003B6F5F" w:rsidP="004C2A79">
            <w:pPr>
              <w:autoSpaceDE w:val="0"/>
              <w:autoSpaceDN w:val="0"/>
              <w:adjustRightInd w:val="0"/>
              <w:rPr>
                <w:color w:val="0000FF"/>
                <w:szCs w:val="24"/>
              </w:rPr>
            </w:pPr>
            <w:proofErr w:type="spellStart"/>
            <w:r w:rsidRPr="00806BFF">
              <w:rPr>
                <w:szCs w:val="24"/>
              </w:rPr>
              <w:t>Encephalitis</w:t>
            </w:r>
            <w:proofErr w:type="spellEnd"/>
            <w:r w:rsidRPr="00806BFF">
              <w:rPr>
                <w:szCs w:val="24"/>
              </w:rPr>
              <w:t>*</w:t>
            </w:r>
            <w:r w:rsidRPr="00806BFF">
              <w:rPr>
                <w:szCs w:val="24"/>
                <w:vertAlign w:val="superscript"/>
              </w:rPr>
              <w:t>‡</w:t>
            </w:r>
            <w:r>
              <w:rPr>
                <w:szCs w:val="24"/>
              </w:rPr>
              <w:t>,</w:t>
            </w:r>
            <w:r w:rsidRPr="00806BFF">
              <w:rPr>
                <w:szCs w:val="24"/>
              </w:rPr>
              <w:t xml:space="preserve"> </w:t>
            </w:r>
            <w:proofErr w:type="spellStart"/>
            <w:r w:rsidRPr="00806BFF">
              <w:rPr>
                <w:szCs w:val="24"/>
              </w:rPr>
              <w:t>pharyngitis</w:t>
            </w:r>
            <w:proofErr w:type="spellEnd"/>
            <w:r>
              <w:rPr>
                <w:szCs w:val="24"/>
              </w:rPr>
              <w:t>,</w:t>
            </w:r>
            <w:r w:rsidRPr="00806BFF">
              <w:rPr>
                <w:szCs w:val="24"/>
              </w:rPr>
              <w:t xml:space="preserve"> pneumoni*</w:t>
            </w:r>
            <w:r>
              <w:rPr>
                <w:szCs w:val="24"/>
              </w:rPr>
              <w:t>,</w:t>
            </w:r>
            <w:r w:rsidRPr="00806BFF">
              <w:rPr>
                <w:szCs w:val="24"/>
              </w:rPr>
              <w:t xml:space="preserve"> </w:t>
            </w:r>
            <w:proofErr w:type="spellStart"/>
            <w:r w:rsidRPr="00806BFF">
              <w:rPr>
                <w:szCs w:val="24"/>
              </w:rPr>
              <w:t>varicella</w:t>
            </w:r>
            <w:proofErr w:type="spellEnd"/>
            <w:r w:rsidRPr="00806BFF">
              <w:rPr>
                <w:szCs w:val="24"/>
              </w:rPr>
              <w:t xml:space="preserve"> (vaccinestamme), herpes </w:t>
            </w:r>
            <w:proofErr w:type="spellStart"/>
            <w:r w:rsidRPr="00806BFF">
              <w:rPr>
                <w:szCs w:val="24"/>
              </w:rPr>
              <w:t>zoster</w:t>
            </w:r>
            <w:proofErr w:type="spellEnd"/>
            <w:r w:rsidRPr="00806BFF">
              <w:rPr>
                <w:szCs w:val="24"/>
              </w:rPr>
              <w:t>*</w:t>
            </w:r>
            <w:r w:rsidRPr="00806BFF">
              <w:rPr>
                <w:szCs w:val="24"/>
                <w:vertAlign w:val="superscript"/>
              </w:rPr>
              <w:t>‡</w:t>
            </w:r>
            <w:r>
              <w:rPr>
                <w:szCs w:val="24"/>
              </w:rPr>
              <w:t>, aseptisk meningitis</w:t>
            </w:r>
            <w:r w:rsidRPr="00806BFF">
              <w:rPr>
                <w:szCs w:val="24"/>
                <w:vertAlign w:val="superscript"/>
              </w:rPr>
              <w:t>‡</w:t>
            </w:r>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Almene symptomer og reaktioner på administrationsstedet</w:t>
            </w:r>
          </w:p>
        </w:tc>
      </w:tr>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rPr>
                <w:color w:val="0000FF"/>
                <w:szCs w:val="24"/>
              </w:rPr>
            </w:pPr>
            <w:r w:rsidRPr="00806BFF">
              <w:rPr>
                <w:szCs w:val="24"/>
              </w:rPr>
              <w:t>Irritabilitet</w:t>
            </w:r>
          </w:p>
        </w:tc>
      </w:tr>
      <w:tr w:rsidR="003B6F5F" w:rsidRPr="00806BFF" w:rsidTr="004C2A79">
        <w:tc>
          <w:tcPr>
            <w:tcW w:w="6727" w:type="dxa"/>
            <w:shd w:val="clear" w:color="auto" w:fill="CCCCCC"/>
            <w:vAlign w:val="center"/>
          </w:tcPr>
          <w:p w:rsidR="003B6F5F" w:rsidRPr="00806BFF" w:rsidRDefault="003B6F5F" w:rsidP="004C2A79">
            <w:pPr>
              <w:autoSpaceDE w:val="0"/>
              <w:autoSpaceDN w:val="0"/>
              <w:adjustRightInd w:val="0"/>
              <w:rPr>
                <w:i/>
                <w:color w:val="0000FF"/>
                <w:szCs w:val="24"/>
              </w:rPr>
            </w:pPr>
            <w:r w:rsidRPr="00806BFF">
              <w:rPr>
                <w:i/>
                <w:szCs w:val="24"/>
              </w:rPr>
              <w:t>Immunsystemet</w:t>
            </w:r>
          </w:p>
        </w:tc>
      </w:tr>
      <w:tr w:rsidR="003B6F5F" w:rsidRPr="00806BFF" w:rsidTr="004C2A79">
        <w:tc>
          <w:tcPr>
            <w:tcW w:w="6727" w:type="dxa"/>
            <w:vAlign w:val="center"/>
          </w:tcPr>
          <w:p w:rsidR="003B6F5F" w:rsidRPr="000A52B5" w:rsidRDefault="003B6F5F" w:rsidP="004C2A79">
            <w:pPr>
              <w:autoSpaceDE w:val="0"/>
              <w:autoSpaceDN w:val="0"/>
              <w:adjustRightInd w:val="0"/>
              <w:rPr>
                <w:color w:val="0000FF"/>
                <w:szCs w:val="24"/>
              </w:rPr>
            </w:pPr>
            <w:r w:rsidRPr="00806BFF">
              <w:rPr>
                <w:szCs w:val="24"/>
              </w:rPr>
              <w:t xml:space="preserve">Anafylaksi (inklusive </w:t>
            </w:r>
            <w:proofErr w:type="spellStart"/>
            <w:r w:rsidRPr="00806BFF">
              <w:rPr>
                <w:szCs w:val="24"/>
              </w:rPr>
              <w:t>anafylaktisk</w:t>
            </w:r>
            <w:proofErr w:type="spellEnd"/>
            <w:r w:rsidRPr="00806BFF">
              <w:rPr>
                <w:szCs w:val="24"/>
              </w:rPr>
              <w:t xml:space="preserve"> chok) og relaterede fænomener som </w:t>
            </w:r>
            <w:proofErr w:type="spellStart"/>
            <w:r w:rsidRPr="00806BFF">
              <w:rPr>
                <w:szCs w:val="24"/>
              </w:rPr>
              <w:t>angioneurotisk</w:t>
            </w:r>
            <w:proofErr w:type="spellEnd"/>
            <w:r w:rsidRPr="00806BFF">
              <w:rPr>
                <w:szCs w:val="24"/>
              </w:rPr>
              <w:t xml:space="preserve"> ødem, ansigtsødem og perifert ødem; anafylaks</w:t>
            </w:r>
            <w:r>
              <w:rPr>
                <w:szCs w:val="24"/>
              </w:rPr>
              <w:t>i</w:t>
            </w:r>
            <w:r w:rsidRPr="00806BFF">
              <w:rPr>
                <w:szCs w:val="24"/>
              </w:rPr>
              <w:t xml:space="preserve"> hos personer med og uden kendt allergi</w:t>
            </w:r>
          </w:p>
        </w:tc>
      </w:tr>
      <w:tr w:rsidR="003B6F5F" w:rsidRPr="00806BFF" w:rsidTr="004C2A79">
        <w:tc>
          <w:tcPr>
            <w:tcW w:w="6727" w:type="dxa"/>
            <w:shd w:val="clear" w:color="auto" w:fill="D9D9D9"/>
            <w:vAlign w:val="center"/>
          </w:tcPr>
          <w:p w:rsidR="003B6F5F" w:rsidRPr="00806BFF" w:rsidRDefault="003B6F5F" w:rsidP="004C2A79">
            <w:pPr>
              <w:autoSpaceDE w:val="0"/>
              <w:autoSpaceDN w:val="0"/>
              <w:adjustRightInd w:val="0"/>
              <w:rPr>
                <w:color w:val="0000FF"/>
                <w:szCs w:val="24"/>
              </w:rPr>
            </w:pPr>
            <w:r w:rsidRPr="0031797F">
              <w:rPr>
                <w:i/>
                <w:szCs w:val="24"/>
              </w:rPr>
              <w:t>Mave-tarm-kanalen</w:t>
            </w:r>
          </w:p>
        </w:tc>
      </w:tr>
      <w:tr w:rsidR="003B6F5F" w:rsidRPr="00806BFF" w:rsidTr="004C2A79">
        <w:tc>
          <w:tcPr>
            <w:tcW w:w="6727" w:type="dxa"/>
            <w:tcBorders>
              <w:bottom w:val="single" w:sz="4" w:space="0" w:color="auto"/>
            </w:tcBorders>
            <w:vAlign w:val="center"/>
          </w:tcPr>
          <w:p w:rsidR="003B6F5F" w:rsidRPr="00806BFF" w:rsidRDefault="003B6F5F" w:rsidP="004C2A79">
            <w:pPr>
              <w:autoSpaceDE w:val="0"/>
              <w:autoSpaceDN w:val="0"/>
              <w:adjustRightInd w:val="0"/>
              <w:rPr>
                <w:color w:val="0000FF"/>
                <w:szCs w:val="24"/>
              </w:rPr>
            </w:pPr>
            <w:r w:rsidRPr="0031797F">
              <w:rPr>
                <w:szCs w:val="24"/>
              </w:rPr>
              <w:t>Kvalme, opkastning</w:t>
            </w:r>
          </w:p>
        </w:tc>
      </w:tr>
    </w:tbl>
    <w:p w:rsidR="003B6F5F" w:rsidRPr="00806BFF" w:rsidRDefault="003B6F5F" w:rsidP="003B6F5F">
      <w:pPr>
        <w:ind w:left="855"/>
        <w:rPr>
          <w:szCs w:val="24"/>
        </w:rPr>
      </w:pPr>
    </w:p>
    <w:p w:rsidR="003B6F5F" w:rsidRPr="00806BFF" w:rsidRDefault="003B6F5F" w:rsidP="003B6F5F">
      <w:pPr>
        <w:ind w:left="855"/>
        <w:rPr>
          <w:szCs w:val="24"/>
        </w:rPr>
      </w:pPr>
      <w:r w:rsidRPr="00806BFF">
        <w:rPr>
          <w:b/>
          <w:bCs/>
          <w:iCs/>
          <w:szCs w:val="24"/>
          <w:vertAlign w:val="superscript"/>
        </w:rPr>
        <w:t xml:space="preserve">+ </w:t>
      </w:r>
      <w:r w:rsidRPr="00806BFF">
        <w:rPr>
          <w:szCs w:val="24"/>
        </w:rPr>
        <w:t>Da disse bivirkninger blev indberettet frivilligt af en population af ukendt størrelse, er det ikke altid muligt at estimere en pålidelig hyppighed eller at etablere en årsagssammenhæng med vaccinen. Følgelig er hyppigheden af disse bivirkninger klassificeret som "</w:t>
      </w:r>
      <w:r>
        <w:rPr>
          <w:szCs w:val="24"/>
        </w:rPr>
        <w:t xml:space="preserve">ikke </w:t>
      </w:r>
      <w:r w:rsidRPr="00806BFF">
        <w:rPr>
          <w:szCs w:val="24"/>
        </w:rPr>
        <w:t>kendt".</w:t>
      </w:r>
    </w:p>
    <w:p w:rsidR="003B6F5F" w:rsidRPr="00806BFF" w:rsidRDefault="003B6F5F" w:rsidP="003B6F5F">
      <w:pPr>
        <w:ind w:left="855"/>
        <w:rPr>
          <w:szCs w:val="24"/>
        </w:rPr>
      </w:pPr>
      <w:r w:rsidRPr="00806BFF">
        <w:rPr>
          <w:szCs w:val="24"/>
        </w:rPr>
        <w:t xml:space="preserve">*Disse udvalgte bivirkninger, </w:t>
      </w:r>
      <w:r>
        <w:rPr>
          <w:szCs w:val="24"/>
        </w:rPr>
        <w:t xml:space="preserve">som er </w:t>
      </w:r>
      <w:r w:rsidRPr="00806BFF">
        <w:rPr>
          <w:szCs w:val="24"/>
        </w:rPr>
        <w:t xml:space="preserve">rapporteret med </w:t>
      </w:r>
      <w:proofErr w:type="spellStart"/>
      <w:r w:rsidRPr="00806BFF">
        <w:rPr>
          <w:szCs w:val="24"/>
        </w:rPr>
        <w:t>varicellavaccine</w:t>
      </w:r>
      <w:proofErr w:type="spellEnd"/>
      <w:r w:rsidRPr="00806BFF">
        <w:rPr>
          <w:szCs w:val="24"/>
        </w:rPr>
        <w:t xml:space="preserve"> (levende)</w:t>
      </w:r>
      <w:r>
        <w:rPr>
          <w:szCs w:val="24"/>
        </w:rPr>
        <w:t xml:space="preserve"> </w:t>
      </w:r>
      <w:r w:rsidRPr="00806BFF">
        <w:rPr>
          <w:szCs w:val="24"/>
        </w:rPr>
        <w:t>(Oka/Merck</w:t>
      </w:r>
      <w:r>
        <w:rPr>
          <w:szCs w:val="24"/>
        </w:rPr>
        <w:t>-</w:t>
      </w:r>
      <w:r w:rsidRPr="00806BFF">
        <w:rPr>
          <w:szCs w:val="24"/>
        </w:rPr>
        <w:t xml:space="preserve">stamme), er også en følge af den naturligt forekommende </w:t>
      </w:r>
      <w:proofErr w:type="spellStart"/>
      <w:r w:rsidRPr="00806BFF">
        <w:rPr>
          <w:szCs w:val="24"/>
        </w:rPr>
        <w:t>varicellainfektion</w:t>
      </w:r>
      <w:proofErr w:type="spellEnd"/>
      <w:r w:rsidRPr="00806BFF">
        <w:rPr>
          <w:szCs w:val="24"/>
        </w:rPr>
        <w:t>. Der er intet</w:t>
      </w:r>
      <w:r>
        <w:rPr>
          <w:szCs w:val="24"/>
        </w:rPr>
        <w:t>,</w:t>
      </w:r>
      <w:r w:rsidRPr="00806BFF">
        <w:rPr>
          <w:szCs w:val="24"/>
        </w:rPr>
        <w:t xml:space="preserve"> der indikerer, at risikoen for disse bivirkninger forøges ved vaccination sammenlignet med den naturligt forekommende sygdom, set ud fra den aktive overvågning efter markedsføring eller den passive overvågning efter markedsføring (se pkt. 5.1).</w:t>
      </w:r>
    </w:p>
    <w:p w:rsidR="003B6F5F" w:rsidRPr="00806BFF" w:rsidRDefault="003B6F5F" w:rsidP="003B6F5F">
      <w:pPr>
        <w:ind w:left="855"/>
        <w:rPr>
          <w:szCs w:val="24"/>
        </w:rPr>
      </w:pPr>
      <w:r w:rsidRPr="00806BFF">
        <w:rPr>
          <w:szCs w:val="24"/>
          <w:vertAlign w:val="superscript"/>
        </w:rPr>
        <w:t>‡</w:t>
      </w:r>
      <w:r w:rsidRPr="00806BFF">
        <w:rPr>
          <w:szCs w:val="24"/>
        </w:rPr>
        <w:t>Se afsnit c.</w:t>
      </w:r>
    </w:p>
    <w:p w:rsidR="003B6F5F" w:rsidRPr="00806BFF" w:rsidRDefault="003B6F5F" w:rsidP="003B6F5F">
      <w:pPr>
        <w:ind w:left="855"/>
        <w:rPr>
          <w:szCs w:val="24"/>
        </w:rPr>
      </w:pPr>
    </w:p>
    <w:p w:rsidR="003B6F5F" w:rsidRPr="00806BFF" w:rsidRDefault="003B6F5F" w:rsidP="003B6F5F">
      <w:pPr>
        <w:ind w:left="855"/>
        <w:rPr>
          <w:szCs w:val="24"/>
        </w:rPr>
      </w:pPr>
      <w:r w:rsidRPr="00806BFF">
        <w:rPr>
          <w:szCs w:val="24"/>
        </w:rPr>
        <w:t>Udslæt efter vaccination, hvor Oka/Merck</w:t>
      </w:r>
      <w:r>
        <w:rPr>
          <w:szCs w:val="24"/>
        </w:rPr>
        <w:t>-</w:t>
      </w:r>
      <w:r w:rsidRPr="00806BFF">
        <w:rPr>
          <w:szCs w:val="24"/>
        </w:rPr>
        <w:t>stamme var isoleret, var generelt milde (se pkt.</w:t>
      </w:r>
      <w:r>
        <w:rPr>
          <w:szCs w:val="24"/>
        </w:rPr>
        <w:t> </w:t>
      </w:r>
      <w:r w:rsidRPr="00806BFF">
        <w:rPr>
          <w:szCs w:val="24"/>
        </w:rPr>
        <w:t>5.1).</w:t>
      </w:r>
    </w:p>
    <w:p w:rsidR="007651B7" w:rsidRDefault="007651B7" w:rsidP="007651B7">
      <w:pPr>
        <w:ind w:left="855"/>
        <w:rPr>
          <w:szCs w:val="24"/>
        </w:rPr>
      </w:pPr>
    </w:p>
    <w:p w:rsidR="003B6F5F" w:rsidRDefault="003B6F5F" w:rsidP="007651B7">
      <w:pPr>
        <w:ind w:left="855"/>
        <w:rPr>
          <w:szCs w:val="24"/>
        </w:rPr>
      </w:pPr>
    </w:p>
    <w:p w:rsidR="003B6F5F" w:rsidRDefault="003B6F5F" w:rsidP="007651B7">
      <w:pPr>
        <w:ind w:left="855"/>
        <w:rPr>
          <w:szCs w:val="24"/>
        </w:rPr>
      </w:pPr>
    </w:p>
    <w:p w:rsidR="003B6F5F" w:rsidRPr="000A52B5" w:rsidRDefault="003B6F5F" w:rsidP="007651B7">
      <w:pPr>
        <w:ind w:left="855"/>
        <w:rPr>
          <w:szCs w:val="24"/>
        </w:rPr>
      </w:pPr>
    </w:p>
    <w:p w:rsidR="007651B7" w:rsidRPr="00F17832" w:rsidRDefault="007651B7" w:rsidP="00F17832">
      <w:pPr>
        <w:ind w:left="851"/>
        <w:rPr>
          <w:b/>
        </w:rPr>
      </w:pPr>
      <w:r w:rsidRPr="00F17832">
        <w:rPr>
          <w:b/>
        </w:rPr>
        <w:t>c. Beskrivelse af udvalgte bivirkninger</w:t>
      </w:r>
    </w:p>
    <w:p w:rsidR="007651B7" w:rsidRPr="00806BFF" w:rsidRDefault="007651B7" w:rsidP="00F17832">
      <w:pPr>
        <w:ind w:left="851"/>
        <w:rPr>
          <w:u w:val="single"/>
        </w:rPr>
      </w:pPr>
    </w:p>
    <w:p w:rsidR="0012743D" w:rsidRPr="00DD4274" w:rsidRDefault="0012743D" w:rsidP="00DD4274">
      <w:pPr>
        <w:ind w:left="851"/>
        <w:rPr>
          <w:u w:val="single"/>
        </w:rPr>
      </w:pPr>
      <w:r w:rsidRPr="00DD4274">
        <w:rPr>
          <w:u w:val="single"/>
        </w:rPr>
        <w:t xml:space="preserve">Tilfælde med herpes </w:t>
      </w:r>
      <w:proofErr w:type="spellStart"/>
      <w:r w:rsidRPr="00DD4274">
        <w:rPr>
          <w:u w:val="single"/>
        </w:rPr>
        <w:t>zoster</w:t>
      </w:r>
      <w:proofErr w:type="spellEnd"/>
      <w:r w:rsidRPr="00DD4274">
        <w:rPr>
          <w:u w:val="single"/>
        </w:rPr>
        <w:t xml:space="preserve"> i kliniske studier </w:t>
      </w:r>
    </w:p>
    <w:p w:rsidR="0012743D" w:rsidRPr="00806BFF" w:rsidRDefault="0012743D" w:rsidP="0012743D">
      <w:pPr>
        <w:ind w:left="855"/>
        <w:rPr>
          <w:szCs w:val="24"/>
        </w:rPr>
      </w:pPr>
      <w:r w:rsidRPr="00806BFF">
        <w:rPr>
          <w:szCs w:val="24"/>
        </w:rPr>
        <w:t xml:space="preserve">I kliniske </w:t>
      </w:r>
      <w:r>
        <w:rPr>
          <w:szCs w:val="24"/>
        </w:rPr>
        <w:t>studier</w:t>
      </w:r>
      <w:r w:rsidRPr="00806BFF">
        <w:rPr>
          <w:szCs w:val="24"/>
        </w:rPr>
        <w:t xml:space="preserve"> med 9.543 vaccinerede børn fra 12 måneder op til 12 år er der indberettet 12 tilfælde af herpes </w:t>
      </w:r>
      <w:proofErr w:type="spellStart"/>
      <w:r w:rsidRPr="00806BFF">
        <w:rPr>
          <w:szCs w:val="24"/>
        </w:rPr>
        <w:t>zoster</w:t>
      </w:r>
      <w:proofErr w:type="spellEnd"/>
      <w:r w:rsidRPr="00806BFF">
        <w:rPr>
          <w:szCs w:val="24"/>
        </w:rPr>
        <w:t xml:space="preserve"> </w:t>
      </w:r>
      <w:r>
        <w:rPr>
          <w:szCs w:val="24"/>
        </w:rPr>
        <w:t>hen</w:t>
      </w:r>
      <w:r w:rsidR="007F364F">
        <w:rPr>
          <w:szCs w:val="24"/>
        </w:rPr>
        <w:t xml:space="preserve"> </w:t>
      </w:r>
      <w:r>
        <w:rPr>
          <w:szCs w:val="24"/>
        </w:rPr>
        <w:t>over en opfølgningsperiode på</w:t>
      </w:r>
      <w:r w:rsidRPr="00806BFF">
        <w:rPr>
          <w:szCs w:val="24"/>
        </w:rPr>
        <w:t xml:space="preserve"> 84.414</w:t>
      </w:r>
      <w:r>
        <w:rPr>
          <w:szCs w:val="24"/>
        </w:rPr>
        <w:t> </w:t>
      </w:r>
      <w:proofErr w:type="spellStart"/>
      <w:r w:rsidRPr="00806BFF">
        <w:rPr>
          <w:szCs w:val="24"/>
        </w:rPr>
        <w:t>personår</w:t>
      </w:r>
      <w:proofErr w:type="spellEnd"/>
      <w:r w:rsidRPr="00806BFF">
        <w:rPr>
          <w:szCs w:val="24"/>
        </w:rPr>
        <w:t>. Dette resultat giver en beregnet forekomst på mindst 14 tilfælde pr</w:t>
      </w:r>
      <w:r>
        <w:rPr>
          <w:szCs w:val="24"/>
        </w:rPr>
        <w:t>.</w:t>
      </w:r>
      <w:r w:rsidRPr="00806BFF">
        <w:rPr>
          <w:szCs w:val="24"/>
        </w:rPr>
        <w:t xml:space="preserve"> 100.000 </w:t>
      </w:r>
      <w:proofErr w:type="spellStart"/>
      <w:r w:rsidRPr="00806BFF">
        <w:rPr>
          <w:szCs w:val="24"/>
        </w:rPr>
        <w:t>personår</w:t>
      </w:r>
      <w:proofErr w:type="spellEnd"/>
      <w:r w:rsidRPr="00806BFF">
        <w:rPr>
          <w:szCs w:val="24"/>
        </w:rPr>
        <w:t>, sammenlignet med 77 tilfælde pr</w:t>
      </w:r>
      <w:r>
        <w:rPr>
          <w:szCs w:val="24"/>
        </w:rPr>
        <w:t>.</w:t>
      </w:r>
      <w:r w:rsidRPr="00806BFF">
        <w:rPr>
          <w:szCs w:val="24"/>
        </w:rPr>
        <w:t xml:space="preserve"> 100.000 </w:t>
      </w:r>
      <w:proofErr w:type="spellStart"/>
      <w:r w:rsidRPr="00806BFF">
        <w:rPr>
          <w:szCs w:val="24"/>
        </w:rPr>
        <w:t>personår</w:t>
      </w:r>
      <w:proofErr w:type="spellEnd"/>
      <w:r w:rsidRPr="00806BFF">
        <w:rPr>
          <w:szCs w:val="24"/>
        </w:rPr>
        <w:t xml:space="preserve"> som følge af den naturligt forekommende </w:t>
      </w:r>
      <w:proofErr w:type="spellStart"/>
      <w:r w:rsidRPr="00806BFF">
        <w:rPr>
          <w:szCs w:val="24"/>
        </w:rPr>
        <w:t>varicellainfektion</w:t>
      </w:r>
      <w:proofErr w:type="spellEnd"/>
      <w:r w:rsidRPr="00806BFF">
        <w:rPr>
          <w:szCs w:val="24"/>
        </w:rPr>
        <w:t xml:space="preserve">. Hos 1.652 vaccinerede personer fra 13 år og ældre er der rapporteret 2 tilfælde af herpes </w:t>
      </w:r>
      <w:proofErr w:type="spellStart"/>
      <w:r w:rsidRPr="00806BFF">
        <w:rPr>
          <w:szCs w:val="24"/>
        </w:rPr>
        <w:t>zoster</w:t>
      </w:r>
      <w:proofErr w:type="spellEnd"/>
      <w:r w:rsidRPr="00806BFF">
        <w:rPr>
          <w:szCs w:val="24"/>
        </w:rPr>
        <w:t xml:space="preserve">. Alle 14 tilfælde var milde og ingen følger blev rapporteret. </w:t>
      </w:r>
    </w:p>
    <w:p w:rsidR="0012743D" w:rsidRPr="00806BFF" w:rsidRDefault="0012743D" w:rsidP="0012743D">
      <w:pPr>
        <w:ind w:left="855"/>
        <w:rPr>
          <w:szCs w:val="24"/>
          <w:u w:val="single"/>
        </w:rPr>
      </w:pPr>
    </w:p>
    <w:p w:rsidR="0012743D" w:rsidRDefault="0012743D" w:rsidP="0012743D">
      <w:pPr>
        <w:ind w:left="851"/>
        <w:rPr>
          <w:szCs w:val="24"/>
        </w:rPr>
      </w:pPr>
      <w:r w:rsidRPr="00806BFF">
        <w:rPr>
          <w:szCs w:val="24"/>
        </w:rPr>
        <w:t>I e</w:t>
      </w:r>
      <w:r>
        <w:rPr>
          <w:szCs w:val="24"/>
        </w:rPr>
        <w:t>t</w:t>
      </w:r>
      <w:r w:rsidRPr="00806BFF">
        <w:rPr>
          <w:szCs w:val="24"/>
        </w:rPr>
        <w:t xml:space="preserve"> ande</w:t>
      </w:r>
      <w:r>
        <w:rPr>
          <w:szCs w:val="24"/>
        </w:rPr>
        <w:t>t</w:t>
      </w:r>
      <w:r w:rsidRPr="00806BFF">
        <w:rPr>
          <w:szCs w:val="24"/>
        </w:rPr>
        <w:t xml:space="preserve"> klinisk </w:t>
      </w:r>
      <w:r>
        <w:rPr>
          <w:szCs w:val="24"/>
        </w:rPr>
        <w:t>studie</w:t>
      </w:r>
      <w:r w:rsidRPr="00806BFF">
        <w:rPr>
          <w:szCs w:val="24"/>
        </w:rPr>
        <w:t xml:space="preserve"> med børn i alderen fra 12 måneder til 12 år blev der indberettet 2 tilfælde af herpes </w:t>
      </w:r>
      <w:proofErr w:type="spellStart"/>
      <w:r w:rsidRPr="00806BFF">
        <w:rPr>
          <w:szCs w:val="24"/>
        </w:rPr>
        <w:t>zoster</w:t>
      </w:r>
      <w:proofErr w:type="spellEnd"/>
      <w:r w:rsidRPr="00806BFF">
        <w:rPr>
          <w:szCs w:val="24"/>
        </w:rPr>
        <w:t xml:space="preserve"> i gruppen, der </w:t>
      </w:r>
      <w:r>
        <w:rPr>
          <w:szCs w:val="24"/>
        </w:rPr>
        <w:t>fik</w:t>
      </w:r>
      <w:r w:rsidRPr="00806BFF">
        <w:rPr>
          <w:szCs w:val="24"/>
        </w:rPr>
        <w:t xml:space="preserve"> en dosis af vaccinen, og ingen indberetninger i to-dosisgruppen. Forsøgspersonerne blev fulgt i 10 år efter vaccination.</w:t>
      </w:r>
    </w:p>
    <w:p w:rsidR="007651B7" w:rsidRDefault="007651B7" w:rsidP="00F17832">
      <w:pPr>
        <w:ind w:left="851"/>
        <w:rPr>
          <w:szCs w:val="24"/>
        </w:rPr>
      </w:pPr>
    </w:p>
    <w:p w:rsidR="007651B7" w:rsidRDefault="007651B7" w:rsidP="00F17832">
      <w:pPr>
        <w:ind w:left="851"/>
        <w:rPr>
          <w:szCs w:val="24"/>
        </w:rPr>
      </w:pPr>
      <w:r>
        <w:rPr>
          <w:szCs w:val="24"/>
        </w:rPr>
        <w:t>D</w:t>
      </w:r>
      <w:r w:rsidRPr="00C2326B">
        <w:rPr>
          <w:szCs w:val="24"/>
        </w:rPr>
        <w:t xml:space="preserve">ata fra aktiv overvågning af børn, der er blevet vaccineret med </w:t>
      </w:r>
      <w:proofErr w:type="spellStart"/>
      <w:r w:rsidRPr="00C2326B">
        <w:rPr>
          <w:szCs w:val="24"/>
        </w:rPr>
        <w:t>varicellavaccine</w:t>
      </w:r>
      <w:proofErr w:type="spellEnd"/>
      <w:r w:rsidRPr="00C2326B">
        <w:rPr>
          <w:szCs w:val="24"/>
        </w:rPr>
        <w:t xml:space="preserve"> (levende) (Oka/Merck-stamme) og fulgt i 14 år efter vaccinationen, </w:t>
      </w:r>
      <w:r>
        <w:rPr>
          <w:szCs w:val="24"/>
        </w:rPr>
        <w:t xml:space="preserve">viser, at </w:t>
      </w:r>
      <w:r w:rsidRPr="00C2326B">
        <w:rPr>
          <w:szCs w:val="24"/>
        </w:rPr>
        <w:t xml:space="preserve">herpes </w:t>
      </w:r>
      <w:proofErr w:type="spellStart"/>
      <w:r w:rsidRPr="00C2326B">
        <w:rPr>
          <w:szCs w:val="24"/>
        </w:rPr>
        <w:t>zoster</w:t>
      </w:r>
      <w:proofErr w:type="spellEnd"/>
      <w:r w:rsidRPr="00C2326B">
        <w:rPr>
          <w:szCs w:val="24"/>
        </w:rPr>
        <w:t xml:space="preserve"> </w:t>
      </w:r>
      <w:r>
        <w:rPr>
          <w:szCs w:val="24"/>
        </w:rPr>
        <w:t xml:space="preserve">ikke forekommer hyppigere </w:t>
      </w:r>
      <w:r w:rsidRPr="00C2326B">
        <w:rPr>
          <w:szCs w:val="24"/>
        </w:rPr>
        <w:t>end hos børn</w:t>
      </w:r>
      <w:r>
        <w:rPr>
          <w:szCs w:val="24"/>
        </w:rPr>
        <w:t>, der har haft</w:t>
      </w:r>
      <w:r w:rsidRPr="00C2326B">
        <w:rPr>
          <w:szCs w:val="24"/>
        </w:rPr>
        <w:t xml:space="preserve"> </w:t>
      </w:r>
      <w:proofErr w:type="spellStart"/>
      <w:r w:rsidRPr="00C2326B">
        <w:rPr>
          <w:szCs w:val="24"/>
        </w:rPr>
        <w:t>varicella</w:t>
      </w:r>
      <w:proofErr w:type="spellEnd"/>
      <w:r w:rsidRPr="00C2326B">
        <w:rPr>
          <w:szCs w:val="24"/>
        </w:rPr>
        <w:t xml:space="preserve"> af vildtypen </w:t>
      </w:r>
      <w:r>
        <w:rPr>
          <w:szCs w:val="24"/>
        </w:rPr>
        <w:t>i prævaccinationsperioden</w:t>
      </w:r>
      <w:r w:rsidRPr="00C2326B">
        <w:rPr>
          <w:szCs w:val="24"/>
        </w:rPr>
        <w:t xml:space="preserve">. </w:t>
      </w:r>
      <w:r>
        <w:rPr>
          <w:szCs w:val="24"/>
        </w:rPr>
        <w:t>På nuværende tidspunkt er d</w:t>
      </w:r>
      <w:r w:rsidRPr="00C2326B">
        <w:rPr>
          <w:szCs w:val="24"/>
        </w:rPr>
        <w:t xml:space="preserve">en langsigtede effekt af </w:t>
      </w:r>
      <w:proofErr w:type="spellStart"/>
      <w:r w:rsidRPr="00C2326B">
        <w:rPr>
          <w:szCs w:val="24"/>
        </w:rPr>
        <w:t>varicellavaccine</w:t>
      </w:r>
      <w:proofErr w:type="spellEnd"/>
      <w:r w:rsidRPr="00C2326B">
        <w:rPr>
          <w:szCs w:val="24"/>
        </w:rPr>
        <w:t xml:space="preserve"> (levende) (Oka/Merck-stamme) på forekomsten af herp</w:t>
      </w:r>
      <w:r>
        <w:rPr>
          <w:szCs w:val="24"/>
        </w:rPr>
        <w:t xml:space="preserve">es </w:t>
      </w:r>
      <w:proofErr w:type="spellStart"/>
      <w:r>
        <w:rPr>
          <w:szCs w:val="24"/>
        </w:rPr>
        <w:t>zoster</w:t>
      </w:r>
      <w:proofErr w:type="spellEnd"/>
      <w:r>
        <w:rPr>
          <w:szCs w:val="24"/>
        </w:rPr>
        <w:t xml:space="preserve"> </w:t>
      </w:r>
      <w:r w:rsidRPr="00C2326B">
        <w:rPr>
          <w:szCs w:val="24"/>
        </w:rPr>
        <w:t>d</w:t>
      </w:r>
      <w:r>
        <w:rPr>
          <w:szCs w:val="24"/>
        </w:rPr>
        <w:t>og ukendt</w:t>
      </w:r>
      <w:r w:rsidRPr="00C2326B">
        <w:rPr>
          <w:szCs w:val="24"/>
        </w:rPr>
        <w:t xml:space="preserve"> (se pkt. 5.1)</w:t>
      </w:r>
    </w:p>
    <w:p w:rsidR="00442990" w:rsidRDefault="00442990" w:rsidP="00F17832">
      <w:pPr>
        <w:ind w:left="851"/>
        <w:rPr>
          <w:szCs w:val="24"/>
        </w:rPr>
      </w:pPr>
    </w:p>
    <w:p w:rsidR="003B6F5F" w:rsidRPr="00E645E3" w:rsidRDefault="003B6F5F" w:rsidP="003B6F5F">
      <w:pPr>
        <w:ind w:left="851"/>
        <w:rPr>
          <w:szCs w:val="24"/>
          <w:u w:val="single"/>
        </w:rPr>
      </w:pPr>
      <w:r w:rsidRPr="00E645E3">
        <w:rPr>
          <w:szCs w:val="24"/>
          <w:u w:val="single"/>
        </w:rPr>
        <w:t xml:space="preserve">Komplikationer associeret med </w:t>
      </w:r>
      <w:proofErr w:type="spellStart"/>
      <w:r w:rsidRPr="00E645E3">
        <w:rPr>
          <w:szCs w:val="24"/>
          <w:u w:val="single"/>
        </w:rPr>
        <w:t>varicella</w:t>
      </w:r>
      <w:proofErr w:type="spellEnd"/>
    </w:p>
    <w:p w:rsidR="003B6F5F" w:rsidRPr="00C2326B" w:rsidRDefault="003B6F5F" w:rsidP="003B6F5F">
      <w:pPr>
        <w:ind w:left="851"/>
        <w:rPr>
          <w:szCs w:val="24"/>
        </w:rPr>
      </w:pPr>
      <w:r>
        <w:t xml:space="preserve">Der har været indberetninger om komplikationer med </w:t>
      </w:r>
      <w:proofErr w:type="spellStart"/>
      <w:r>
        <w:t>varicella</w:t>
      </w:r>
      <w:proofErr w:type="spellEnd"/>
      <w:r>
        <w:t xml:space="preserve"> forårsaget af vaccinestamme, herunder herpes </w:t>
      </w:r>
      <w:proofErr w:type="spellStart"/>
      <w:r>
        <w:t>zoster</w:t>
      </w:r>
      <w:proofErr w:type="spellEnd"/>
      <w:r>
        <w:t xml:space="preserve"> og dissemineret sygdom såsom aseptisk meningitis og </w:t>
      </w:r>
      <w:proofErr w:type="spellStart"/>
      <w:r>
        <w:t>encephalitis</w:t>
      </w:r>
      <w:proofErr w:type="spellEnd"/>
      <w:r>
        <w:t xml:space="preserve"> hos immunkompromitterede og immunkompetente personer.</w:t>
      </w:r>
    </w:p>
    <w:p w:rsidR="003B6F5F" w:rsidRPr="00806BFF" w:rsidRDefault="003B6F5F" w:rsidP="003B6F5F">
      <w:pPr>
        <w:ind w:left="855"/>
        <w:rPr>
          <w:szCs w:val="24"/>
          <w:u w:val="single"/>
        </w:rPr>
      </w:pPr>
    </w:p>
    <w:p w:rsidR="003B6F5F" w:rsidRPr="00806BFF" w:rsidRDefault="003B6F5F" w:rsidP="003B6F5F">
      <w:pPr>
        <w:pStyle w:val="Overskrift4"/>
        <w:ind w:left="855"/>
        <w:rPr>
          <w:i w:val="0"/>
          <w:szCs w:val="24"/>
        </w:rPr>
      </w:pPr>
      <w:r w:rsidRPr="00806BFF">
        <w:rPr>
          <w:i w:val="0"/>
          <w:szCs w:val="24"/>
        </w:rPr>
        <w:t>Smittespredning</w:t>
      </w:r>
    </w:p>
    <w:p w:rsidR="003B6F5F" w:rsidRPr="00806BFF" w:rsidRDefault="003B6F5F" w:rsidP="003B6F5F">
      <w:pPr>
        <w:pStyle w:val="Brdtekstindrykning3"/>
        <w:jc w:val="left"/>
        <w:rPr>
          <w:szCs w:val="24"/>
        </w:rPr>
      </w:pPr>
      <w:r w:rsidRPr="00806BFF">
        <w:rPr>
          <w:szCs w:val="24"/>
        </w:rPr>
        <w:t xml:space="preserve">Baseret på rapporter om isolerede tilfælde fra </w:t>
      </w:r>
      <w:r>
        <w:rPr>
          <w:szCs w:val="24"/>
        </w:rPr>
        <w:t>overvågningen efter markedsføring</w:t>
      </w:r>
      <w:r w:rsidRPr="00806BFF">
        <w:rPr>
          <w:szCs w:val="24"/>
        </w:rPr>
        <w:t xml:space="preserve"> kan vaccinevirus </w:t>
      </w:r>
      <w:r>
        <w:rPr>
          <w:szCs w:val="24"/>
        </w:rPr>
        <w:t xml:space="preserve">i </w:t>
      </w:r>
      <w:r w:rsidRPr="00806BFF">
        <w:rPr>
          <w:szCs w:val="24"/>
        </w:rPr>
        <w:t xml:space="preserve">sjældne </w:t>
      </w:r>
      <w:r>
        <w:rPr>
          <w:szCs w:val="24"/>
        </w:rPr>
        <w:t>tilfælde</w:t>
      </w:r>
      <w:r w:rsidRPr="00806BFF">
        <w:rPr>
          <w:szCs w:val="24"/>
        </w:rPr>
        <w:t xml:space="preserve"> overføres til personer</w:t>
      </w:r>
      <w:r>
        <w:rPr>
          <w:szCs w:val="24"/>
        </w:rPr>
        <w:t>,</w:t>
      </w:r>
      <w:r w:rsidRPr="00806BFF">
        <w:rPr>
          <w:szCs w:val="24"/>
        </w:rPr>
        <w:t xml:space="preserve"> som er i kontakt med vaccinerede personer, uanset om de har udviklet et </w:t>
      </w:r>
      <w:proofErr w:type="spellStart"/>
      <w:r w:rsidRPr="00806BFF">
        <w:rPr>
          <w:szCs w:val="24"/>
        </w:rPr>
        <w:t>varicella</w:t>
      </w:r>
      <w:proofErr w:type="spellEnd"/>
      <w:r>
        <w:rPr>
          <w:szCs w:val="24"/>
        </w:rPr>
        <w:t>-</w:t>
      </w:r>
      <w:r w:rsidRPr="00806BFF">
        <w:rPr>
          <w:szCs w:val="24"/>
        </w:rPr>
        <w:t xml:space="preserve">lignende udslæt eller ej (se pkt. 4.4). </w:t>
      </w:r>
    </w:p>
    <w:p w:rsidR="007651B7" w:rsidRPr="00806BFF" w:rsidRDefault="007651B7" w:rsidP="00F17832">
      <w:pPr>
        <w:pStyle w:val="Brdtekstindrykning3"/>
        <w:jc w:val="left"/>
        <w:rPr>
          <w:szCs w:val="24"/>
        </w:rPr>
      </w:pPr>
    </w:p>
    <w:p w:rsidR="00272B6A" w:rsidRDefault="00272B6A" w:rsidP="00272B6A">
      <w:pPr>
        <w:ind w:left="851"/>
        <w:rPr>
          <w:i/>
          <w:szCs w:val="24"/>
          <w:u w:val="single"/>
        </w:rPr>
      </w:pPr>
      <w:r>
        <w:rPr>
          <w:szCs w:val="24"/>
          <w:u w:val="single"/>
        </w:rPr>
        <w:t xml:space="preserve">Samtidig administration af </w:t>
      </w:r>
      <w:proofErr w:type="spellStart"/>
      <w:r>
        <w:rPr>
          <w:szCs w:val="24"/>
          <w:u w:val="single"/>
        </w:rPr>
        <w:t>varicellavaccine</w:t>
      </w:r>
      <w:proofErr w:type="spellEnd"/>
      <w:r>
        <w:rPr>
          <w:szCs w:val="24"/>
          <w:u w:val="single"/>
        </w:rPr>
        <w:t xml:space="preserve"> (levende) (Oka/Merck-stamme) med andre børnevacciner</w:t>
      </w:r>
    </w:p>
    <w:p w:rsidR="00272B6A" w:rsidRDefault="00272B6A" w:rsidP="00272B6A">
      <w:pPr>
        <w:ind w:left="851"/>
        <w:rPr>
          <w:szCs w:val="24"/>
        </w:rPr>
      </w:pPr>
      <w:r>
        <w:rPr>
          <w:szCs w:val="24"/>
        </w:rPr>
        <w:t xml:space="preserve">Når </w:t>
      </w:r>
      <w:proofErr w:type="spellStart"/>
      <w:r>
        <w:rPr>
          <w:szCs w:val="24"/>
        </w:rPr>
        <w:t>varicellavaccine</w:t>
      </w:r>
      <w:proofErr w:type="spellEnd"/>
      <w:r>
        <w:rPr>
          <w:szCs w:val="24"/>
        </w:rPr>
        <w:t xml:space="preserve"> (levende) (Oka/Merck-stamme) blev administreret samtidigt med </w:t>
      </w:r>
      <w:proofErr w:type="spellStart"/>
      <w:r>
        <w:rPr>
          <w:szCs w:val="24"/>
        </w:rPr>
        <w:t>mæslinge</w:t>
      </w:r>
      <w:proofErr w:type="spellEnd"/>
      <w:r>
        <w:rPr>
          <w:szCs w:val="24"/>
        </w:rPr>
        <w:t xml:space="preserve">-, fåresyge- og </w:t>
      </w:r>
      <w:proofErr w:type="spellStart"/>
      <w:r>
        <w:rPr>
          <w:szCs w:val="24"/>
        </w:rPr>
        <w:t>rubellavaccine</w:t>
      </w:r>
      <w:proofErr w:type="spellEnd"/>
      <w:r>
        <w:rPr>
          <w:szCs w:val="24"/>
        </w:rPr>
        <w:t xml:space="preserve"> (M-M-R II) til børn på 12- 23 måneder, blev feber (</w:t>
      </w:r>
      <w:r>
        <w:rPr>
          <w:szCs w:val="24"/>
        </w:rPr>
        <w:sym w:font="Symbol" w:char="F0B3"/>
      </w:r>
      <w:r>
        <w:rPr>
          <w:szCs w:val="24"/>
        </w:rPr>
        <w:t>38,9</w:t>
      </w:r>
      <w:r>
        <w:rPr>
          <w:szCs w:val="24"/>
        </w:rPr>
        <w:sym w:font="Symbol" w:char="F0B0"/>
      </w:r>
      <w:r>
        <w:rPr>
          <w:szCs w:val="24"/>
        </w:rPr>
        <w:t>C; målt oralt, fra dag 0 til 42 efter vaccination) rapporteret hos 26-40 % (se også pkt. 4.5).</w:t>
      </w:r>
    </w:p>
    <w:p w:rsidR="007651B7" w:rsidRPr="00806BFF" w:rsidRDefault="007651B7" w:rsidP="007651B7">
      <w:pPr>
        <w:ind w:left="851"/>
        <w:jc w:val="both"/>
        <w:rPr>
          <w:szCs w:val="24"/>
        </w:rPr>
      </w:pPr>
    </w:p>
    <w:p w:rsidR="00B50242" w:rsidRDefault="00B50242" w:rsidP="00B50242">
      <w:pPr>
        <w:pStyle w:val="Brdtekstindrykning3"/>
        <w:jc w:val="left"/>
        <w:rPr>
          <w:b/>
          <w:szCs w:val="24"/>
        </w:rPr>
      </w:pPr>
      <w:r>
        <w:rPr>
          <w:b/>
          <w:szCs w:val="24"/>
        </w:rPr>
        <w:t>d. Anden særlig population</w:t>
      </w:r>
    </w:p>
    <w:p w:rsidR="00B50242" w:rsidRDefault="00B50242" w:rsidP="00F17832">
      <w:pPr>
        <w:ind w:left="851"/>
      </w:pPr>
    </w:p>
    <w:p w:rsidR="00B50242" w:rsidRPr="00F17832" w:rsidRDefault="00B50242" w:rsidP="00F17832">
      <w:pPr>
        <w:ind w:left="851"/>
        <w:rPr>
          <w:u w:val="single"/>
        </w:rPr>
      </w:pPr>
      <w:r w:rsidRPr="00F17832">
        <w:rPr>
          <w:u w:val="single"/>
        </w:rPr>
        <w:t>Immunkompromitterede patienter (se pkt. 4.3)</w:t>
      </w:r>
    </w:p>
    <w:p w:rsidR="00B50242" w:rsidRDefault="00B50242" w:rsidP="00F17832">
      <w:pPr>
        <w:ind w:left="851"/>
      </w:pPr>
      <w:r>
        <w:t xml:space="preserve">Efter markedsføring er der rapporteret </w:t>
      </w:r>
      <w:proofErr w:type="spellStart"/>
      <w:r>
        <w:t>nekrotiserende</w:t>
      </w:r>
      <w:proofErr w:type="spellEnd"/>
      <w:r>
        <w:t xml:space="preserve"> </w:t>
      </w:r>
      <w:proofErr w:type="spellStart"/>
      <w:r>
        <w:t>retinitis</w:t>
      </w:r>
      <w:proofErr w:type="spellEnd"/>
      <w:r>
        <w:t xml:space="preserve"> hos immunkompromitterede patienter.</w:t>
      </w:r>
    </w:p>
    <w:p w:rsidR="00B50242" w:rsidRDefault="00B50242" w:rsidP="00F17832">
      <w:pPr>
        <w:ind w:left="851"/>
      </w:pPr>
    </w:p>
    <w:p w:rsidR="00B50242" w:rsidRPr="00DD4274" w:rsidRDefault="00B50242" w:rsidP="00DD4274">
      <w:pPr>
        <w:ind w:left="851"/>
        <w:rPr>
          <w:u w:val="single"/>
        </w:rPr>
      </w:pPr>
      <w:r w:rsidRPr="00DD4274">
        <w:rPr>
          <w:u w:val="single"/>
        </w:rPr>
        <w:t>Ældre</w:t>
      </w:r>
    </w:p>
    <w:p w:rsidR="0012743D" w:rsidRDefault="0012743D" w:rsidP="00DD4274">
      <w:pPr>
        <w:ind w:left="851"/>
        <w:rPr>
          <w:szCs w:val="24"/>
        </w:rPr>
      </w:pPr>
      <w:r w:rsidRPr="00806BFF">
        <w:rPr>
          <w:szCs w:val="24"/>
        </w:rPr>
        <w:t xml:space="preserve">Kliniske </w:t>
      </w:r>
      <w:r>
        <w:rPr>
          <w:szCs w:val="24"/>
        </w:rPr>
        <w:t>studier</w:t>
      </w:r>
      <w:r w:rsidRPr="00806BFF">
        <w:rPr>
          <w:szCs w:val="24"/>
        </w:rPr>
        <w:t xml:space="preserve"> har ikke vist forskel i sikkerhedsprofilen hos ældre (personer </w:t>
      </w:r>
      <w:r w:rsidRPr="00806BFF">
        <w:rPr>
          <w:szCs w:val="24"/>
        </w:rPr>
        <w:sym w:font="Symbol" w:char="F0B3"/>
      </w:r>
      <w:r w:rsidRPr="00806BFF">
        <w:rPr>
          <w:szCs w:val="24"/>
        </w:rPr>
        <w:t>65 år) og yngre personer.</w:t>
      </w:r>
    </w:p>
    <w:p w:rsidR="00B50242" w:rsidRDefault="00B50242" w:rsidP="00DD4274">
      <w:pPr>
        <w:ind w:left="851"/>
      </w:pPr>
    </w:p>
    <w:p w:rsidR="00B50242" w:rsidRPr="00B50242" w:rsidRDefault="00B50242" w:rsidP="00B50242">
      <w:pPr>
        <w:ind w:firstLine="851"/>
        <w:rPr>
          <w:rFonts w:ascii="Calibri" w:hAnsi="Calibri" w:cs="Calibri"/>
          <w:szCs w:val="23"/>
        </w:rPr>
      </w:pPr>
      <w:r w:rsidRPr="004779C2">
        <w:rPr>
          <w:szCs w:val="24"/>
          <w:u w:val="single"/>
        </w:rPr>
        <w:t>Indberetning af formodede bivirkninger</w:t>
      </w:r>
    </w:p>
    <w:p w:rsidR="00B50242" w:rsidRDefault="00B50242" w:rsidP="00B50242">
      <w:pPr>
        <w:ind w:left="851"/>
        <w:rPr>
          <w:szCs w:val="24"/>
        </w:rPr>
      </w:pPr>
      <w:r>
        <w:rPr>
          <w:szCs w:val="24"/>
        </w:rPr>
        <w:lastRenderedPageBreak/>
        <w:t>Når lægemidlet er godkendt, er indberetning af formodede bivirkninger vigtig. Det muliggør løbende overvågning af benefit/</w:t>
      </w:r>
      <w:proofErr w:type="spellStart"/>
      <w:r>
        <w:rPr>
          <w:szCs w:val="24"/>
        </w:rPr>
        <w:t>risk</w:t>
      </w:r>
      <w:proofErr w:type="spellEnd"/>
      <w:r>
        <w:rPr>
          <w:szCs w:val="24"/>
        </w:rPr>
        <w:t xml:space="preserve">-forholdet for lægemidlet. </w:t>
      </w:r>
      <w:r w:rsidR="00272B6A">
        <w:rPr>
          <w:szCs w:val="22"/>
        </w:rPr>
        <w:t>Sundhedspersoner</w:t>
      </w:r>
      <w:r w:rsidR="00272B6A">
        <w:rPr>
          <w:noProof/>
          <w:szCs w:val="22"/>
        </w:rPr>
        <w:t xml:space="preserve"> anmodes om at indberette alle formodede </w:t>
      </w:r>
      <w:r>
        <w:rPr>
          <w:szCs w:val="24"/>
        </w:rPr>
        <w:t>bivirkninger via:</w:t>
      </w:r>
    </w:p>
    <w:p w:rsidR="00B50242" w:rsidRDefault="00B50242" w:rsidP="00B50242">
      <w:pPr>
        <w:ind w:left="851"/>
        <w:rPr>
          <w:szCs w:val="24"/>
        </w:rPr>
      </w:pPr>
    </w:p>
    <w:p w:rsidR="00B50242" w:rsidRDefault="00B50242" w:rsidP="00B50242">
      <w:pPr>
        <w:ind w:left="851"/>
        <w:rPr>
          <w:szCs w:val="24"/>
        </w:rPr>
      </w:pPr>
      <w:r>
        <w:rPr>
          <w:szCs w:val="24"/>
        </w:rPr>
        <w:t>Lægemiddelstyrelsen</w:t>
      </w:r>
    </w:p>
    <w:p w:rsidR="00B50242" w:rsidRDefault="00B50242" w:rsidP="00B50242">
      <w:pPr>
        <w:ind w:left="851"/>
        <w:rPr>
          <w:szCs w:val="24"/>
        </w:rPr>
      </w:pPr>
      <w:r>
        <w:rPr>
          <w:szCs w:val="24"/>
        </w:rPr>
        <w:t>Axel Heides Gade 1</w:t>
      </w:r>
    </w:p>
    <w:p w:rsidR="00B50242" w:rsidRDefault="00B50242" w:rsidP="00B50242">
      <w:pPr>
        <w:ind w:left="851"/>
        <w:rPr>
          <w:szCs w:val="24"/>
        </w:rPr>
      </w:pPr>
      <w:r>
        <w:rPr>
          <w:szCs w:val="24"/>
        </w:rPr>
        <w:t>DK-2300 København S</w:t>
      </w:r>
    </w:p>
    <w:p w:rsidR="00B50242" w:rsidRPr="00662E1C" w:rsidRDefault="00B50242" w:rsidP="00B50242">
      <w:pPr>
        <w:ind w:left="851"/>
        <w:rPr>
          <w:szCs w:val="24"/>
        </w:rPr>
      </w:pPr>
      <w:r w:rsidRPr="00662E1C">
        <w:rPr>
          <w:szCs w:val="24"/>
        </w:rPr>
        <w:t xml:space="preserve">Websted: </w:t>
      </w:r>
      <w:hyperlink r:id="rId8" w:history="1">
        <w:r w:rsidRPr="00662E1C">
          <w:rPr>
            <w:rStyle w:val="Hyperlink"/>
            <w:szCs w:val="24"/>
          </w:rPr>
          <w:t>www.meldenbivirkning.dk</w:t>
        </w:r>
      </w:hyperlink>
    </w:p>
    <w:p w:rsidR="008C6ED0" w:rsidRPr="00662E1C" w:rsidRDefault="008C6ED0" w:rsidP="008C6ED0">
      <w:pPr>
        <w:pStyle w:val="Sidehoved"/>
        <w:tabs>
          <w:tab w:val="clear" w:pos="4819"/>
          <w:tab w:val="clear" w:pos="9638"/>
          <w:tab w:val="left" w:pos="851"/>
        </w:tabs>
        <w:jc w:val="both"/>
        <w:rPr>
          <w:szCs w:val="24"/>
        </w:rPr>
      </w:pPr>
    </w:p>
    <w:p w:rsidR="009E3905" w:rsidRPr="00C84483" w:rsidRDefault="009E3905" w:rsidP="009E3905">
      <w:pPr>
        <w:tabs>
          <w:tab w:val="left" w:pos="851"/>
        </w:tabs>
        <w:ind w:left="851" w:hanging="851"/>
        <w:rPr>
          <w:b/>
          <w:szCs w:val="24"/>
        </w:rPr>
      </w:pPr>
      <w:r w:rsidRPr="00C84483">
        <w:rPr>
          <w:b/>
          <w:szCs w:val="24"/>
        </w:rPr>
        <w:t>4.9</w:t>
      </w:r>
      <w:r w:rsidRPr="00C84483">
        <w:rPr>
          <w:b/>
          <w:szCs w:val="24"/>
        </w:rPr>
        <w:tab/>
        <w:t>Overdosering</w:t>
      </w:r>
    </w:p>
    <w:p w:rsidR="008C6ED0" w:rsidRDefault="008C6ED0" w:rsidP="008C6ED0">
      <w:pPr>
        <w:tabs>
          <w:tab w:val="left" w:pos="851"/>
        </w:tabs>
        <w:ind w:left="851" w:hanging="851"/>
        <w:rPr>
          <w:szCs w:val="24"/>
        </w:rPr>
      </w:pPr>
      <w:r w:rsidRPr="00806BFF">
        <w:rPr>
          <w:szCs w:val="24"/>
        </w:rPr>
        <w:tab/>
        <w:t xml:space="preserve">Utilsigtet </w:t>
      </w:r>
      <w:r w:rsidR="00272B6A">
        <w:rPr>
          <w:szCs w:val="24"/>
        </w:rPr>
        <w:t xml:space="preserve">administration </w:t>
      </w:r>
      <w:r w:rsidRPr="00806BFF">
        <w:rPr>
          <w:szCs w:val="24"/>
        </w:rPr>
        <w:t xml:space="preserve">med mere end den anbefalede dosis af </w:t>
      </w:r>
      <w:proofErr w:type="spellStart"/>
      <w:r w:rsidRPr="00806BFF">
        <w:rPr>
          <w:szCs w:val="24"/>
        </w:rPr>
        <w:t>varicella</w:t>
      </w:r>
      <w:proofErr w:type="spellEnd"/>
      <w:r w:rsidRPr="00806BFF">
        <w:rPr>
          <w:szCs w:val="24"/>
        </w:rPr>
        <w:t xml:space="preserve"> vaccine (levende) (Oka/Merck</w:t>
      </w:r>
      <w:r w:rsidR="0012743D">
        <w:rPr>
          <w:szCs w:val="24"/>
        </w:rPr>
        <w:t>-</w:t>
      </w:r>
      <w:r w:rsidRPr="00806BFF">
        <w:rPr>
          <w:szCs w:val="24"/>
        </w:rPr>
        <w:t xml:space="preserve">stamme) har været rapporteret (enten injektion med en større dosis end anbefalet, mere end én injektion givet, eller ved kortere interval mellem injektionerne end anbefalet). I disse tilfælde har følgende bivirkninger været rapporteret: rødme omkring injektionsstedet, ømhed, inflammation, irritation, </w:t>
      </w:r>
      <w:proofErr w:type="spellStart"/>
      <w:r w:rsidRPr="00806BFF">
        <w:rPr>
          <w:szCs w:val="24"/>
        </w:rPr>
        <w:t>gastrointestinale</w:t>
      </w:r>
      <w:proofErr w:type="spellEnd"/>
      <w:r w:rsidRPr="00806BFF">
        <w:rPr>
          <w:szCs w:val="24"/>
        </w:rPr>
        <w:t xml:space="preserve"> bivirkninger (f.eks. </w:t>
      </w:r>
      <w:proofErr w:type="spellStart"/>
      <w:r w:rsidRPr="00806BFF">
        <w:rPr>
          <w:szCs w:val="24"/>
        </w:rPr>
        <w:t>h</w:t>
      </w:r>
      <w:r w:rsidR="00E74F0A">
        <w:rPr>
          <w:szCs w:val="24"/>
        </w:rPr>
        <w:t>æ</w:t>
      </w:r>
      <w:r w:rsidRPr="00806BFF">
        <w:rPr>
          <w:szCs w:val="24"/>
        </w:rPr>
        <w:t>matemes</w:t>
      </w:r>
      <w:r w:rsidR="00E74F0A">
        <w:rPr>
          <w:szCs w:val="24"/>
        </w:rPr>
        <w:t>e</w:t>
      </w:r>
      <w:proofErr w:type="spellEnd"/>
      <w:r w:rsidRPr="00806BFF">
        <w:rPr>
          <w:szCs w:val="24"/>
        </w:rPr>
        <w:t xml:space="preserve">, fækal </w:t>
      </w:r>
      <w:proofErr w:type="spellStart"/>
      <w:r w:rsidRPr="00806BFF">
        <w:rPr>
          <w:szCs w:val="24"/>
        </w:rPr>
        <w:t>emesis</w:t>
      </w:r>
      <w:proofErr w:type="spellEnd"/>
      <w:r w:rsidRPr="00806BFF">
        <w:rPr>
          <w:szCs w:val="24"/>
        </w:rPr>
        <w:t>, mave-tarmkatar med opkastning og diarré), hoste og virusinfektion. Ingen af disse tilfælde havde langvarige følger.</w:t>
      </w:r>
    </w:p>
    <w:p w:rsidR="00442990" w:rsidRDefault="00442990" w:rsidP="008C6ED0">
      <w:pPr>
        <w:tabs>
          <w:tab w:val="left" w:pos="851"/>
        </w:tabs>
        <w:ind w:left="851" w:hanging="851"/>
        <w:rPr>
          <w:szCs w:val="24"/>
        </w:rPr>
      </w:pPr>
    </w:p>
    <w:p w:rsidR="009E3905" w:rsidRPr="00C84483" w:rsidRDefault="009E3905" w:rsidP="009E3905">
      <w:pPr>
        <w:tabs>
          <w:tab w:val="left" w:pos="851"/>
        </w:tabs>
        <w:ind w:left="851" w:hanging="851"/>
        <w:rPr>
          <w:b/>
          <w:szCs w:val="24"/>
        </w:rPr>
      </w:pPr>
      <w:r w:rsidRPr="00C84483">
        <w:rPr>
          <w:b/>
          <w:szCs w:val="24"/>
        </w:rPr>
        <w:t>4.10</w:t>
      </w:r>
      <w:r w:rsidRPr="00C84483">
        <w:rPr>
          <w:b/>
          <w:szCs w:val="24"/>
        </w:rPr>
        <w:tab/>
        <w:t>Udlevering</w:t>
      </w:r>
    </w:p>
    <w:p w:rsidR="009E3905" w:rsidRPr="00C84483" w:rsidRDefault="00F17832" w:rsidP="009E3905">
      <w:pPr>
        <w:tabs>
          <w:tab w:val="left" w:pos="851"/>
        </w:tabs>
        <w:ind w:left="851"/>
        <w:rPr>
          <w:szCs w:val="24"/>
        </w:rPr>
      </w:pPr>
      <w:r>
        <w:rPr>
          <w:szCs w:val="24"/>
        </w:rPr>
        <w:t>B</w:t>
      </w:r>
    </w:p>
    <w:p w:rsidR="009E3905" w:rsidRPr="00C84483" w:rsidRDefault="009E3905" w:rsidP="009E3905">
      <w:pPr>
        <w:tabs>
          <w:tab w:val="left" w:pos="851"/>
        </w:tabs>
        <w:ind w:left="851"/>
        <w:rPr>
          <w:szCs w:val="24"/>
        </w:rPr>
      </w:pPr>
    </w:p>
    <w:p w:rsidR="009E3905" w:rsidRPr="00C84483" w:rsidRDefault="009E3905" w:rsidP="009E3905">
      <w:pPr>
        <w:tabs>
          <w:tab w:val="left" w:pos="851"/>
        </w:tabs>
        <w:ind w:left="851"/>
        <w:rPr>
          <w:szCs w:val="24"/>
        </w:rPr>
      </w:pPr>
    </w:p>
    <w:p w:rsidR="00DD4274" w:rsidRPr="00C84483" w:rsidRDefault="00DD4274" w:rsidP="00DD4274">
      <w:pPr>
        <w:tabs>
          <w:tab w:val="left" w:pos="851"/>
        </w:tabs>
        <w:ind w:left="851" w:hanging="851"/>
        <w:rPr>
          <w:b/>
          <w:szCs w:val="24"/>
        </w:rPr>
      </w:pPr>
      <w:r w:rsidRPr="00C84483">
        <w:rPr>
          <w:b/>
          <w:szCs w:val="24"/>
        </w:rPr>
        <w:t>5.</w:t>
      </w:r>
      <w:r w:rsidRPr="00C84483">
        <w:rPr>
          <w:b/>
          <w:szCs w:val="24"/>
        </w:rPr>
        <w:tab/>
        <w:t>FARMAKOLOGISKE EGENSKABER</w:t>
      </w:r>
    </w:p>
    <w:p w:rsidR="00DD4274" w:rsidRPr="00C84483" w:rsidRDefault="00DD4274" w:rsidP="00DD4274">
      <w:pPr>
        <w:tabs>
          <w:tab w:val="left" w:pos="851"/>
        </w:tabs>
        <w:ind w:left="851"/>
        <w:rPr>
          <w:szCs w:val="24"/>
        </w:rPr>
      </w:pPr>
    </w:p>
    <w:p w:rsidR="00DD4274" w:rsidRPr="00C84483" w:rsidRDefault="00DD4274" w:rsidP="00DD4274">
      <w:pPr>
        <w:tabs>
          <w:tab w:val="num" w:pos="851"/>
        </w:tabs>
        <w:ind w:left="851" w:hanging="851"/>
        <w:rPr>
          <w:b/>
          <w:szCs w:val="24"/>
        </w:rPr>
      </w:pPr>
      <w:r w:rsidRPr="00C84483">
        <w:rPr>
          <w:b/>
          <w:szCs w:val="24"/>
        </w:rPr>
        <w:t>5.1</w:t>
      </w:r>
      <w:r w:rsidRPr="00C84483">
        <w:rPr>
          <w:b/>
          <w:szCs w:val="24"/>
        </w:rPr>
        <w:tab/>
      </w:r>
      <w:proofErr w:type="spellStart"/>
      <w:r w:rsidRPr="00C84483">
        <w:rPr>
          <w:b/>
          <w:szCs w:val="24"/>
        </w:rPr>
        <w:t>Farmakodynamiske</w:t>
      </w:r>
      <w:proofErr w:type="spellEnd"/>
      <w:r w:rsidRPr="00C84483">
        <w:rPr>
          <w:b/>
          <w:szCs w:val="24"/>
        </w:rPr>
        <w:t xml:space="preserve"> egenskaber</w:t>
      </w:r>
    </w:p>
    <w:p w:rsidR="00DD4274" w:rsidRDefault="00003DE5" w:rsidP="00DD4274">
      <w:pPr>
        <w:ind w:firstLine="851"/>
        <w:rPr>
          <w:szCs w:val="24"/>
        </w:rPr>
      </w:pPr>
      <w:proofErr w:type="spellStart"/>
      <w:r>
        <w:t>Farmakoterapeutisk</w:t>
      </w:r>
      <w:proofErr w:type="spellEnd"/>
      <w:r>
        <w:t xml:space="preserve"> klassifikation:</w:t>
      </w:r>
      <w:r w:rsidR="00DD4274" w:rsidRPr="00E74F0A">
        <w:t xml:space="preserve"> </w:t>
      </w:r>
      <w:r w:rsidR="00DD4274">
        <w:t>V</w:t>
      </w:r>
      <w:r w:rsidR="00DD4274" w:rsidRPr="00E74F0A">
        <w:rPr>
          <w:szCs w:val="24"/>
        </w:rPr>
        <w:t xml:space="preserve">irusvaccine, </w:t>
      </w:r>
      <w:proofErr w:type="spellStart"/>
      <w:r w:rsidR="00DD4274" w:rsidRPr="00E74F0A">
        <w:rPr>
          <w:szCs w:val="24"/>
        </w:rPr>
        <w:t>varicella</w:t>
      </w:r>
      <w:proofErr w:type="spellEnd"/>
      <w:r>
        <w:rPr>
          <w:szCs w:val="24"/>
        </w:rPr>
        <w:t xml:space="preserve">, </w:t>
      </w:r>
      <w:r w:rsidRPr="00806BFF">
        <w:t>ATC-kode: J07BK01.</w:t>
      </w:r>
    </w:p>
    <w:p w:rsidR="008C6ED0" w:rsidRPr="00806BFF" w:rsidRDefault="008C6ED0" w:rsidP="00F17832">
      <w:pPr>
        <w:ind w:left="851"/>
      </w:pPr>
    </w:p>
    <w:p w:rsidR="008C6ED0" w:rsidRPr="00F17832" w:rsidRDefault="008C6ED0" w:rsidP="00F17832">
      <w:pPr>
        <w:ind w:left="851"/>
        <w:rPr>
          <w:i/>
        </w:rPr>
      </w:pPr>
      <w:r w:rsidRPr="00F17832">
        <w:rPr>
          <w:i/>
        </w:rPr>
        <w:t>Evaluering af den kliniske effekt</w:t>
      </w:r>
    </w:p>
    <w:p w:rsidR="008C6ED0" w:rsidRPr="00806BFF" w:rsidRDefault="008C6ED0" w:rsidP="00F17832">
      <w:pPr>
        <w:ind w:left="851"/>
      </w:pPr>
    </w:p>
    <w:p w:rsidR="008C6ED0" w:rsidRPr="00F17832" w:rsidRDefault="008C6ED0" w:rsidP="00F17832">
      <w:pPr>
        <w:ind w:left="851"/>
        <w:rPr>
          <w:i/>
        </w:rPr>
      </w:pPr>
      <w:r w:rsidRPr="00F17832">
        <w:rPr>
          <w:i/>
        </w:rPr>
        <w:t>Effekt hos børn under 12 måneder</w:t>
      </w:r>
    </w:p>
    <w:p w:rsidR="008C6ED0" w:rsidRPr="00806BFF" w:rsidRDefault="008C6ED0" w:rsidP="00F17832">
      <w:pPr>
        <w:ind w:left="851"/>
      </w:pPr>
      <w:r w:rsidRPr="00806BFF">
        <w:t xml:space="preserve">Den kliniske effekt er ikke </w:t>
      </w:r>
      <w:r>
        <w:t>e</w:t>
      </w:r>
      <w:r w:rsidRPr="00806BFF">
        <w:t>v</w:t>
      </w:r>
      <w:r>
        <w:t>alueret</w:t>
      </w:r>
      <w:r w:rsidR="00C4436E">
        <w:t xml:space="preserve"> </w:t>
      </w:r>
      <w:r w:rsidRPr="00806BFF">
        <w:t>efter vaccination før 12-måneders alderen.</w:t>
      </w:r>
    </w:p>
    <w:p w:rsidR="008C6ED0" w:rsidRPr="000A52B5" w:rsidRDefault="008C6ED0" w:rsidP="00F17832">
      <w:pPr>
        <w:ind w:left="851"/>
      </w:pPr>
    </w:p>
    <w:p w:rsidR="00E74F0A" w:rsidRPr="00DD4274" w:rsidRDefault="00E74F0A" w:rsidP="00DD4274">
      <w:pPr>
        <w:ind w:left="851"/>
        <w:rPr>
          <w:i/>
        </w:rPr>
      </w:pPr>
      <w:r w:rsidRPr="00DD4274">
        <w:rPr>
          <w:i/>
        </w:rPr>
        <w:t>Enkeltdosisregime til raske børn fra 12 måneder op til 12 år</w:t>
      </w:r>
    </w:p>
    <w:p w:rsidR="00E74F0A" w:rsidRPr="00806BFF" w:rsidRDefault="00E74F0A" w:rsidP="00E74F0A">
      <w:pPr>
        <w:suppressAutoHyphens/>
        <w:ind w:left="851"/>
        <w:rPr>
          <w:szCs w:val="24"/>
        </w:rPr>
      </w:pPr>
      <w:r w:rsidRPr="00806BFF">
        <w:rPr>
          <w:szCs w:val="24"/>
        </w:rPr>
        <w:t xml:space="preserve">I kombinerede, kliniske </w:t>
      </w:r>
      <w:r>
        <w:rPr>
          <w:szCs w:val="24"/>
        </w:rPr>
        <w:t>studier</w:t>
      </w:r>
      <w:r w:rsidRPr="00806BFF">
        <w:rPr>
          <w:szCs w:val="24"/>
        </w:rPr>
        <w:t xml:space="preserve"> med tidligere formuleringer af </w:t>
      </w:r>
      <w:proofErr w:type="spellStart"/>
      <w:r w:rsidRPr="00806BFF">
        <w:rPr>
          <w:szCs w:val="24"/>
        </w:rPr>
        <w:t>varicellavaccine</w:t>
      </w:r>
      <w:proofErr w:type="spellEnd"/>
      <w:r w:rsidRPr="00806BFF">
        <w:rPr>
          <w:szCs w:val="24"/>
        </w:rPr>
        <w:t xml:space="preserve"> (levende) (Oka/Merck</w:t>
      </w:r>
      <w:r>
        <w:rPr>
          <w:szCs w:val="24"/>
        </w:rPr>
        <w:t>-stamme</w:t>
      </w:r>
      <w:r w:rsidRPr="00806BFF">
        <w:rPr>
          <w:szCs w:val="24"/>
        </w:rPr>
        <w:t xml:space="preserve">) i doser mellem ca. 1.000 og 17.000 PFU blev flertallet af personer, som </w:t>
      </w:r>
      <w:r>
        <w:rPr>
          <w:szCs w:val="24"/>
        </w:rPr>
        <w:t>fik</w:t>
      </w:r>
      <w:r w:rsidRPr="00806BFF">
        <w:rPr>
          <w:szCs w:val="24"/>
        </w:rPr>
        <w:t xml:space="preserve"> </w:t>
      </w:r>
      <w:proofErr w:type="spellStart"/>
      <w:r w:rsidRPr="00806BFF">
        <w:rPr>
          <w:szCs w:val="24"/>
        </w:rPr>
        <w:t>varicellavaccine</w:t>
      </w:r>
      <w:proofErr w:type="spellEnd"/>
      <w:r w:rsidRPr="00806BFF">
        <w:rPr>
          <w:szCs w:val="24"/>
        </w:rPr>
        <w:t xml:space="preserve"> (levende) (Oka/Merck</w:t>
      </w:r>
      <w:r>
        <w:rPr>
          <w:szCs w:val="24"/>
        </w:rPr>
        <w:t>-stamme</w:t>
      </w:r>
      <w:r w:rsidRPr="00806BFF">
        <w:rPr>
          <w:szCs w:val="24"/>
        </w:rPr>
        <w:t xml:space="preserve">), og som blev </w:t>
      </w:r>
      <w:r>
        <w:rPr>
          <w:szCs w:val="24"/>
        </w:rPr>
        <w:t>eksponeret</w:t>
      </w:r>
      <w:r w:rsidRPr="00806BFF">
        <w:rPr>
          <w:szCs w:val="24"/>
        </w:rPr>
        <w:t xml:space="preserve"> for den naturligt forekommende virus, enten fuldt ud beskyttet mod skoldkopper eller de udviklede en mildere form af sygdommen.</w:t>
      </w:r>
    </w:p>
    <w:p w:rsidR="008C6ED0" w:rsidRPr="000A52B5" w:rsidRDefault="008C6ED0" w:rsidP="008C6ED0">
      <w:pPr>
        <w:suppressAutoHyphens/>
        <w:rPr>
          <w:szCs w:val="24"/>
        </w:rPr>
      </w:pPr>
    </w:p>
    <w:p w:rsidR="008C6ED0" w:rsidRPr="00806BFF" w:rsidRDefault="008C6ED0" w:rsidP="008C6ED0">
      <w:pPr>
        <w:suppressAutoHyphens/>
        <w:ind w:left="851"/>
        <w:rPr>
          <w:szCs w:val="24"/>
        </w:rPr>
      </w:pPr>
      <w:r w:rsidRPr="00806BFF">
        <w:rPr>
          <w:szCs w:val="24"/>
        </w:rPr>
        <w:t xml:space="preserve">Især blev den beskyttende effekt af </w:t>
      </w:r>
      <w:proofErr w:type="spellStart"/>
      <w:r w:rsidRPr="00806BFF">
        <w:rPr>
          <w:szCs w:val="24"/>
        </w:rPr>
        <w:t>varicellavaccine</w:t>
      </w:r>
      <w:proofErr w:type="spellEnd"/>
      <w:r w:rsidRPr="00806BFF">
        <w:rPr>
          <w:szCs w:val="24"/>
        </w:rPr>
        <w:t xml:space="preserve"> (levende)</w:t>
      </w:r>
      <w:r w:rsidR="00272B6A">
        <w:rPr>
          <w:szCs w:val="24"/>
        </w:rPr>
        <w:t xml:space="preserve"> </w:t>
      </w:r>
      <w:r w:rsidRPr="00806BFF">
        <w:rPr>
          <w:szCs w:val="24"/>
        </w:rPr>
        <w:t>(Oka/Merck</w:t>
      </w:r>
      <w:r w:rsidR="00E74F0A">
        <w:rPr>
          <w:szCs w:val="24"/>
        </w:rPr>
        <w:t>-stamme</w:t>
      </w:r>
      <w:r w:rsidRPr="00806BFF">
        <w:rPr>
          <w:szCs w:val="24"/>
        </w:rPr>
        <w:t>) begyndende 42 dage efter vaccination vurderet på 3 forskellige måder:</w:t>
      </w:r>
    </w:p>
    <w:p w:rsidR="008C6ED0" w:rsidRPr="00806BFF" w:rsidRDefault="008C6ED0" w:rsidP="008C6ED0">
      <w:pPr>
        <w:suppressAutoHyphens/>
        <w:rPr>
          <w:szCs w:val="24"/>
        </w:rPr>
      </w:pPr>
    </w:p>
    <w:p w:rsidR="008C6ED0" w:rsidRPr="00806BFF" w:rsidRDefault="008C6ED0" w:rsidP="008C6ED0">
      <w:pPr>
        <w:numPr>
          <w:ilvl w:val="0"/>
          <w:numId w:val="14"/>
        </w:numPr>
        <w:tabs>
          <w:tab w:val="clear" w:pos="720"/>
          <w:tab w:val="num" w:pos="1211"/>
        </w:tabs>
        <w:suppressAutoHyphens/>
        <w:ind w:left="1211"/>
        <w:rPr>
          <w:szCs w:val="24"/>
        </w:rPr>
      </w:pPr>
      <w:r w:rsidRPr="00806BFF">
        <w:rPr>
          <w:szCs w:val="24"/>
        </w:rPr>
        <w:t xml:space="preserve">ved et dobbeltblindt, placebokontrolleret </w:t>
      </w:r>
      <w:r w:rsidR="00E74F0A">
        <w:rPr>
          <w:szCs w:val="24"/>
        </w:rPr>
        <w:t>studie</w:t>
      </w:r>
      <w:r w:rsidRPr="00806BFF">
        <w:rPr>
          <w:szCs w:val="24"/>
        </w:rPr>
        <w:t xml:space="preserve"> over 2 år (N=956, effektivitet 95 til 100</w:t>
      </w:r>
      <w:r w:rsidR="00003DE5">
        <w:rPr>
          <w:szCs w:val="24"/>
        </w:rPr>
        <w:t> </w:t>
      </w:r>
      <w:r w:rsidR="007620CE">
        <w:rPr>
          <w:szCs w:val="24"/>
        </w:rPr>
        <w:t>%</w:t>
      </w:r>
      <w:r w:rsidRPr="00806BFF">
        <w:rPr>
          <w:szCs w:val="24"/>
        </w:rPr>
        <w:t>, formulering indeholdende 17.430 PFU);</w:t>
      </w:r>
    </w:p>
    <w:p w:rsidR="008C6ED0" w:rsidRPr="00806BFF" w:rsidRDefault="008C6ED0" w:rsidP="008C6ED0">
      <w:pPr>
        <w:numPr>
          <w:ilvl w:val="0"/>
          <w:numId w:val="14"/>
        </w:numPr>
        <w:tabs>
          <w:tab w:val="clear" w:pos="720"/>
          <w:tab w:val="num" w:pos="1211"/>
        </w:tabs>
        <w:suppressAutoHyphens/>
        <w:ind w:left="1211"/>
        <w:rPr>
          <w:szCs w:val="24"/>
        </w:rPr>
      </w:pPr>
      <w:r w:rsidRPr="00806BFF">
        <w:rPr>
          <w:szCs w:val="24"/>
        </w:rPr>
        <w:t>ved en vurdering af beskyttelse mod sygdom efter eksponering i hjemmet observeret over en periode på 7 til 9 år (N=259, effektivitet 81 til 88</w:t>
      </w:r>
      <w:r w:rsidR="007620CE">
        <w:rPr>
          <w:szCs w:val="24"/>
        </w:rPr>
        <w:t xml:space="preserve"> %</w:t>
      </w:r>
      <w:r w:rsidRPr="00806BFF">
        <w:rPr>
          <w:szCs w:val="24"/>
        </w:rPr>
        <w:t xml:space="preserve">, formulering indeholdende 1000-9000 PFU); </w:t>
      </w:r>
    </w:p>
    <w:p w:rsidR="00E74F0A" w:rsidRPr="00806BFF" w:rsidRDefault="00E74F0A" w:rsidP="00E74F0A">
      <w:pPr>
        <w:numPr>
          <w:ilvl w:val="0"/>
          <w:numId w:val="14"/>
        </w:numPr>
        <w:tabs>
          <w:tab w:val="clear" w:pos="720"/>
          <w:tab w:val="num" w:pos="1211"/>
        </w:tabs>
        <w:suppressAutoHyphens/>
        <w:ind w:left="1211"/>
        <w:rPr>
          <w:szCs w:val="24"/>
        </w:rPr>
      </w:pPr>
      <w:r w:rsidRPr="00806BFF">
        <w:rPr>
          <w:szCs w:val="24"/>
        </w:rPr>
        <w:t xml:space="preserve">ved en sammenligning af forekomst af skoldkopper over 7 til 9 år hos vaccinerede personer </w:t>
      </w:r>
      <w:r w:rsidRPr="00076AC0">
        <w:rPr>
          <w:i/>
          <w:szCs w:val="24"/>
        </w:rPr>
        <w:t>versus</w:t>
      </w:r>
      <w:r w:rsidRPr="00806BFF">
        <w:rPr>
          <w:szCs w:val="24"/>
        </w:rPr>
        <w:t xml:space="preserve"> historiske data fra 1</w:t>
      </w:r>
      <w:r>
        <w:rPr>
          <w:szCs w:val="24"/>
        </w:rPr>
        <w:t>.</w:t>
      </w:r>
      <w:r w:rsidRPr="00806BFF">
        <w:rPr>
          <w:szCs w:val="24"/>
        </w:rPr>
        <w:t>972 til 1</w:t>
      </w:r>
      <w:r>
        <w:rPr>
          <w:szCs w:val="24"/>
        </w:rPr>
        <w:t>.</w:t>
      </w:r>
      <w:r w:rsidRPr="00806BFF">
        <w:rPr>
          <w:szCs w:val="24"/>
        </w:rPr>
        <w:t>978 (N=5</w:t>
      </w:r>
      <w:r>
        <w:rPr>
          <w:szCs w:val="24"/>
        </w:rPr>
        <w:t>.</w:t>
      </w:r>
      <w:r w:rsidRPr="00806BFF">
        <w:rPr>
          <w:szCs w:val="24"/>
        </w:rPr>
        <w:t>404, effektivitet på mellem 83</w:t>
      </w:r>
      <w:r w:rsidR="00003DE5">
        <w:rPr>
          <w:szCs w:val="24"/>
        </w:rPr>
        <w:t> </w:t>
      </w:r>
      <w:r w:rsidR="007620CE">
        <w:rPr>
          <w:szCs w:val="24"/>
        </w:rPr>
        <w:t>%</w:t>
      </w:r>
      <w:r w:rsidRPr="00806BFF">
        <w:rPr>
          <w:szCs w:val="24"/>
        </w:rPr>
        <w:t xml:space="preserve"> og 94</w:t>
      </w:r>
      <w:r w:rsidR="007620CE">
        <w:rPr>
          <w:szCs w:val="24"/>
        </w:rPr>
        <w:t xml:space="preserve"> %</w:t>
      </w:r>
      <w:r w:rsidRPr="00806BFF">
        <w:rPr>
          <w:szCs w:val="24"/>
        </w:rPr>
        <w:t>, formulering indeholdende 1</w:t>
      </w:r>
      <w:r>
        <w:rPr>
          <w:szCs w:val="24"/>
        </w:rPr>
        <w:t>.</w:t>
      </w:r>
      <w:r w:rsidRPr="00806BFF">
        <w:rPr>
          <w:szCs w:val="24"/>
        </w:rPr>
        <w:t>000-9</w:t>
      </w:r>
      <w:r>
        <w:rPr>
          <w:szCs w:val="24"/>
        </w:rPr>
        <w:t>.</w:t>
      </w:r>
      <w:r w:rsidRPr="00806BFF">
        <w:rPr>
          <w:szCs w:val="24"/>
        </w:rPr>
        <w:t>000 PFU).</w:t>
      </w:r>
    </w:p>
    <w:p w:rsidR="008C6ED0" w:rsidRPr="00806BFF" w:rsidRDefault="008C6ED0" w:rsidP="008C6ED0">
      <w:pPr>
        <w:suppressAutoHyphens/>
        <w:rPr>
          <w:szCs w:val="24"/>
        </w:rPr>
      </w:pPr>
    </w:p>
    <w:p w:rsidR="00E74F0A" w:rsidRPr="00806BFF" w:rsidRDefault="00E74F0A" w:rsidP="00E74F0A">
      <w:pPr>
        <w:suppressAutoHyphens/>
        <w:ind w:left="851"/>
        <w:rPr>
          <w:szCs w:val="24"/>
        </w:rPr>
      </w:pPr>
      <w:r w:rsidRPr="00806BFF">
        <w:rPr>
          <w:szCs w:val="24"/>
        </w:rPr>
        <w:t xml:space="preserve">I en gruppe på 9.202 børn fra 12 måneder op til 12 år, som havde </w:t>
      </w:r>
      <w:r>
        <w:rPr>
          <w:szCs w:val="24"/>
        </w:rPr>
        <w:t>fået</w:t>
      </w:r>
      <w:r w:rsidRPr="00806BFF">
        <w:rPr>
          <w:szCs w:val="24"/>
        </w:rPr>
        <w:t xml:space="preserve"> en dosis </w:t>
      </w:r>
      <w:proofErr w:type="spellStart"/>
      <w:r w:rsidRPr="00806BFF">
        <w:rPr>
          <w:szCs w:val="24"/>
        </w:rPr>
        <w:t>varicellavaccine</w:t>
      </w:r>
      <w:proofErr w:type="spellEnd"/>
      <w:r w:rsidRPr="00806BFF">
        <w:rPr>
          <w:szCs w:val="24"/>
        </w:rPr>
        <w:t xml:space="preserve"> (levende) (Oka/Merck</w:t>
      </w:r>
      <w:r>
        <w:rPr>
          <w:szCs w:val="24"/>
        </w:rPr>
        <w:t>-</w:t>
      </w:r>
      <w:r w:rsidRPr="00806BFF">
        <w:rPr>
          <w:szCs w:val="24"/>
        </w:rPr>
        <w:t xml:space="preserve">stamme), blev der </w:t>
      </w:r>
      <w:r>
        <w:rPr>
          <w:szCs w:val="24"/>
        </w:rPr>
        <w:t>henover en opfølgningsperiode på</w:t>
      </w:r>
      <w:r w:rsidRPr="00806BFF">
        <w:rPr>
          <w:szCs w:val="24"/>
        </w:rPr>
        <w:t xml:space="preserve"> op til 13 år observeret 1.149 tilfælde af infektion (erhvervet ca. 6 uger efter vaccinationen).</w:t>
      </w:r>
    </w:p>
    <w:p w:rsidR="00E74F0A" w:rsidRPr="00806BFF" w:rsidRDefault="00E74F0A" w:rsidP="00E74F0A">
      <w:pPr>
        <w:suppressAutoHyphens/>
        <w:ind w:left="851"/>
        <w:rPr>
          <w:szCs w:val="24"/>
        </w:rPr>
      </w:pPr>
      <w:r w:rsidRPr="00806BFF">
        <w:rPr>
          <w:szCs w:val="24"/>
        </w:rPr>
        <w:t>Ud af de 1.149 tilfælde blev 20 (1,7</w:t>
      </w:r>
      <w:r w:rsidR="007620CE">
        <w:rPr>
          <w:szCs w:val="24"/>
        </w:rPr>
        <w:t xml:space="preserve"> %</w:t>
      </w:r>
      <w:r w:rsidRPr="00806BFF">
        <w:rPr>
          <w:szCs w:val="24"/>
        </w:rPr>
        <w:t>) klassificeret som alvorlige (antallet af</w:t>
      </w:r>
      <w:r w:rsidR="00DC299C">
        <w:rPr>
          <w:szCs w:val="24"/>
        </w:rPr>
        <w:t xml:space="preserve"> </w:t>
      </w:r>
      <w:proofErr w:type="spellStart"/>
      <w:r w:rsidRPr="00806BFF">
        <w:rPr>
          <w:szCs w:val="24"/>
        </w:rPr>
        <w:t>vesikler</w:t>
      </w:r>
      <w:proofErr w:type="spellEnd"/>
      <w:r>
        <w:rPr>
          <w:szCs w:val="24"/>
        </w:rPr>
        <w:t> </w:t>
      </w:r>
      <w:r w:rsidRPr="00806BFF">
        <w:rPr>
          <w:szCs w:val="24"/>
        </w:rPr>
        <w:sym w:font="Symbol" w:char="F0B3"/>
      </w:r>
      <w:r>
        <w:rPr>
          <w:szCs w:val="24"/>
        </w:rPr>
        <w:t> </w:t>
      </w:r>
      <w:r w:rsidRPr="00806BFF">
        <w:rPr>
          <w:szCs w:val="24"/>
        </w:rPr>
        <w:t xml:space="preserve">300, oralt målt kropstemperatur </w:t>
      </w:r>
      <w:r w:rsidRPr="00806BFF">
        <w:rPr>
          <w:szCs w:val="24"/>
        </w:rPr>
        <w:sym w:font="Symbol" w:char="F0B3"/>
      </w:r>
      <w:r w:rsidRPr="00806BFF">
        <w:rPr>
          <w:szCs w:val="24"/>
        </w:rPr>
        <w:t xml:space="preserve"> 37,8</w:t>
      </w:r>
      <w:r w:rsidR="00816B59">
        <w:rPr>
          <w:szCs w:val="24"/>
        </w:rPr>
        <w:t xml:space="preserve"> </w:t>
      </w:r>
      <w:r w:rsidRPr="00806BFF">
        <w:rPr>
          <w:szCs w:val="24"/>
        </w:rPr>
        <w:t>°C). Ovennævnte data, sammenlignet med de 36</w:t>
      </w:r>
      <w:r w:rsidR="007620CE">
        <w:rPr>
          <w:szCs w:val="24"/>
        </w:rPr>
        <w:t xml:space="preserve"> %</w:t>
      </w:r>
      <w:r w:rsidRPr="00806BFF">
        <w:rPr>
          <w:szCs w:val="24"/>
        </w:rPr>
        <w:t xml:space="preserve"> alvorlige tilfælde, der blev observeret efter infektion med den naturligt forekommende virustype i ikke-vaccinerede personer i den historiske kontrol, svarer til et relativt fald på 95</w:t>
      </w:r>
      <w:r w:rsidR="007620CE">
        <w:rPr>
          <w:szCs w:val="24"/>
        </w:rPr>
        <w:t xml:space="preserve"> %</w:t>
      </w:r>
      <w:r w:rsidRPr="00806BFF">
        <w:rPr>
          <w:szCs w:val="24"/>
        </w:rPr>
        <w:t xml:space="preserve"> i andelen af alvorlige tilfælde</w:t>
      </w:r>
      <w:r>
        <w:rPr>
          <w:szCs w:val="24"/>
        </w:rPr>
        <w:t>, som blev</w:t>
      </w:r>
      <w:r w:rsidRPr="00806BFF">
        <w:rPr>
          <w:szCs w:val="24"/>
        </w:rPr>
        <w:t xml:space="preserve"> observeret i de vaccinerede personer, der fik infektionen efter vaccination.</w:t>
      </w:r>
    </w:p>
    <w:p w:rsidR="00E74F0A" w:rsidRPr="00806BFF" w:rsidRDefault="00E74F0A" w:rsidP="00E74F0A">
      <w:pPr>
        <w:suppressAutoHyphens/>
        <w:rPr>
          <w:szCs w:val="24"/>
        </w:rPr>
      </w:pPr>
    </w:p>
    <w:p w:rsidR="00E74F0A" w:rsidRPr="00806BFF" w:rsidRDefault="00E74F0A" w:rsidP="00E74F0A">
      <w:pPr>
        <w:suppressAutoHyphens/>
        <w:ind w:left="851"/>
        <w:rPr>
          <w:szCs w:val="24"/>
        </w:rPr>
      </w:pPr>
      <w:r w:rsidRPr="000A52B5">
        <w:rPr>
          <w:szCs w:val="24"/>
        </w:rPr>
        <w:t xml:space="preserve">Forebyggelse af </w:t>
      </w:r>
      <w:proofErr w:type="spellStart"/>
      <w:r w:rsidRPr="000A52B5">
        <w:rPr>
          <w:szCs w:val="24"/>
        </w:rPr>
        <w:t>varicella</w:t>
      </w:r>
      <w:proofErr w:type="spellEnd"/>
      <w:r w:rsidRPr="000A52B5">
        <w:rPr>
          <w:szCs w:val="24"/>
        </w:rPr>
        <w:t xml:space="preserve"> ved vaccination givet efter op til 3 dages eksponering har været undersøgt i to små klin</w:t>
      </w:r>
      <w:r w:rsidRPr="00806BFF">
        <w:rPr>
          <w:szCs w:val="24"/>
        </w:rPr>
        <w:t xml:space="preserve">iske </w:t>
      </w:r>
      <w:r>
        <w:rPr>
          <w:szCs w:val="24"/>
        </w:rPr>
        <w:t>studier</w:t>
      </w:r>
      <w:r w:rsidRPr="00806BFF">
        <w:rPr>
          <w:szCs w:val="24"/>
        </w:rPr>
        <w:t xml:space="preserve">. Det første </w:t>
      </w:r>
      <w:r>
        <w:rPr>
          <w:szCs w:val="24"/>
        </w:rPr>
        <w:t>studie</w:t>
      </w:r>
      <w:r w:rsidRPr="00806BFF">
        <w:rPr>
          <w:szCs w:val="24"/>
        </w:rPr>
        <w:t xml:space="preserve"> viste</w:t>
      </w:r>
      <w:r>
        <w:rPr>
          <w:szCs w:val="24"/>
        </w:rPr>
        <w:t>,</w:t>
      </w:r>
      <w:r w:rsidRPr="00806BFF">
        <w:rPr>
          <w:szCs w:val="24"/>
        </w:rPr>
        <w:t xml:space="preserve"> at ingen af 17 børn udviklede </w:t>
      </w:r>
      <w:proofErr w:type="spellStart"/>
      <w:r w:rsidRPr="00806BFF">
        <w:rPr>
          <w:szCs w:val="24"/>
        </w:rPr>
        <w:t>varicella</w:t>
      </w:r>
      <w:proofErr w:type="spellEnd"/>
      <w:r w:rsidRPr="00806BFF">
        <w:rPr>
          <w:szCs w:val="24"/>
        </w:rPr>
        <w:t xml:space="preserve"> efter husstand</w:t>
      </w:r>
      <w:r>
        <w:rPr>
          <w:szCs w:val="24"/>
        </w:rPr>
        <w:t>s</w:t>
      </w:r>
      <w:r w:rsidRPr="00806BFF">
        <w:rPr>
          <w:szCs w:val="24"/>
        </w:rPr>
        <w:t xml:space="preserve">eksponering sammenlignet med 19 ud af 19 ikke-vaccinerede. I et andet placebokontrolleret </w:t>
      </w:r>
      <w:r>
        <w:rPr>
          <w:szCs w:val="24"/>
        </w:rPr>
        <w:t>studie</w:t>
      </w:r>
      <w:r w:rsidRPr="00806BFF">
        <w:rPr>
          <w:szCs w:val="24"/>
        </w:rPr>
        <w:t xml:space="preserve"> af forebyggelse efter eksponering, var der 1 barn ud af 10 børn i vaccinationsgruppen </w:t>
      </w:r>
      <w:r w:rsidRPr="00076AC0">
        <w:rPr>
          <w:i/>
          <w:szCs w:val="24"/>
        </w:rPr>
        <w:t>versus</w:t>
      </w:r>
      <w:r w:rsidRPr="00806BFF">
        <w:rPr>
          <w:szCs w:val="24"/>
        </w:rPr>
        <w:t xml:space="preserve"> 12 børn ud af 13 børn i placebogruppen, der udviklede </w:t>
      </w:r>
      <w:proofErr w:type="spellStart"/>
      <w:r w:rsidRPr="00806BFF">
        <w:rPr>
          <w:szCs w:val="24"/>
        </w:rPr>
        <w:t>varicella</w:t>
      </w:r>
      <w:proofErr w:type="spellEnd"/>
      <w:r w:rsidRPr="00806BFF">
        <w:rPr>
          <w:szCs w:val="24"/>
        </w:rPr>
        <w:t xml:space="preserve">. I et ikke kontrolleret </w:t>
      </w:r>
      <w:r>
        <w:rPr>
          <w:szCs w:val="24"/>
        </w:rPr>
        <w:t>studie</w:t>
      </w:r>
      <w:r w:rsidRPr="00806BFF">
        <w:rPr>
          <w:szCs w:val="24"/>
        </w:rPr>
        <w:t xml:space="preserve"> i hospitalsmiljø </w:t>
      </w:r>
      <w:r>
        <w:rPr>
          <w:szCs w:val="24"/>
        </w:rPr>
        <w:t>fik</w:t>
      </w:r>
      <w:r w:rsidRPr="00806BFF">
        <w:rPr>
          <w:szCs w:val="24"/>
        </w:rPr>
        <w:t xml:space="preserve"> 148 patienter, hvoraf 35 </w:t>
      </w:r>
      <w:r>
        <w:rPr>
          <w:szCs w:val="24"/>
        </w:rPr>
        <w:t>havde</w:t>
      </w:r>
      <w:r w:rsidRPr="00806BFF">
        <w:rPr>
          <w:szCs w:val="24"/>
        </w:rPr>
        <w:t xml:space="preserve"> nedsat immunforsvar, 1 dosis af </w:t>
      </w:r>
      <w:proofErr w:type="spellStart"/>
      <w:r w:rsidRPr="00806BFF">
        <w:rPr>
          <w:szCs w:val="24"/>
        </w:rPr>
        <w:t>varicellavaccine</w:t>
      </w:r>
      <w:proofErr w:type="spellEnd"/>
      <w:r w:rsidRPr="00806BFF">
        <w:rPr>
          <w:szCs w:val="24"/>
        </w:rPr>
        <w:t xml:space="preserve"> 1 til 3 dage efter eksponering og ingen udviklede </w:t>
      </w:r>
      <w:proofErr w:type="spellStart"/>
      <w:r w:rsidRPr="00806BFF">
        <w:rPr>
          <w:szCs w:val="24"/>
        </w:rPr>
        <w:t>varicella</w:t>
      </w:r>
      <w:proofErr w:type="spellEnd"/>
      <w:r w:rsidRPr="00806BFF">
        <w:rPr>
          <w:szCs w:val="24"/>
        </w:rPr>
        <w:t>.</w:t>
      </w:r>
    </w:p>
    <w:p w:rsidR="00E74F0A" w:rsidRPr="00806BFF" w:rsidRDefault="00E74F0A" w:rsidP="00E74F0A">
      <w:pPr>
        <w:suppressAutoHyphens/>
        <w:rPr>
          <w:szCs w:val="24"/>
        </w:rPr>
      </w:pPr>
    </w:p>
    <w:p w:rsidR="00E74F0A" w:rsidRPr="00806BFF" w:rsidRDefault="00E74F0A" w:rsidP="00E74F0A">
      <w:pPr>
        <w:suppressAutoHyphens/>
        <w:ind w:left="851"/>
        <w:rPr>
          <w:szCs w:val="24"/>
        </w:rPr>
      </w:pPr>
      <w:r w:rsidRPr="00806BFF">
        <w:rPr>
          <w:szCs w:val="24"/>
        </w:rPr>
        <w:t xml:space="preserve">Publicerede data vedrørende forebyggelse af </w:t>
      </w:r>
      <w:proofErr w:type="spellStart"/>
      <w:r w:rsidRPr="00806BFF">
        <w:rPr>
          <w:szCs w:val="24"/>
        </w:rPr>
        <w:t>varicella</w:t>
      </w:r>
      <w:proofErr w:type="spellEnd"/>
      <w:r w:rsidRPr="00806BFF">
        <w:rPr>
          <w:szCs w:val="24"/>
        </w:rPr>
        <w:t xml:space="preserve"> 4 til 5 dage efter eksponering er begrænsede. I et dobbeltblindet </w:t>
      </w:r>
      <w:r>
        <w:rPr>
          <w:szCs w:val="24"/>
        </w:rPr>
        <w:t>studie</w:t>
      </w:r>
      <w:r w:rsidRPr="00806BFF">
        <w:rPr>
          <w:szCs w:val="24"/>
        </w:rPr>
        <w:t xml:space="preserve"> </w:t>
      </w:r>
      <w:r>
        <w:rPr>
          <w:szCs w:val="24"/>
        </w:rPr>
        <w:t>blev</w:t>
      </w:r>
      <w:r w:rsidRPr="00806BFF">
        <w:rPr>
          <w:szCs w:val="24"/>
        </w:rPr>
        <w:t xml:space="preserve"> 26 modtagelige søskende til børn med aktivt </w:t>
      </w:r>
      <w:proofErr w:type="spellStart"/>
      <w:r w:rsidRPr="00806BFF">
        <w:rPr>
          <w:szCs w:val="24"/>
        </w:rPr>
        <w:t>varicella</w:t>
      </w:r>
      <w:proofErr w:type="spellEnd"/>
      <w:r w:rsidRPr="00806BFF">
        <w:rPr>
          <w:szCs w:val="24"/>
        </w:rPr>
        <w:t xml:space="preserve"> randomiseret </w:t>
      </w:r>
      <w:r>
        <w:rPr>
          <w:szCs w:val="24"/>
        </w:rPr>
        <w:t>til</w:t>
      </w:r>
      <w:r w:rsidRPr="00806BFF">
        <w:rPr>
          <w:szCs w:val="24"/>
        </w:rPr>
        <w:t xml:space="preserve"> placebo eller </w:t>
      </w:r>
      <w:proofErr w:type="spellStart"/>
      <w:r w:rsidRPr="00806BFF">
        <w:rPr>
          <w:szCs w:val="24"/>
        </w:rPr>
        <w:t>varicellavaccine</w:t>
      </w:r>
      <w:proofErr w:type="spellEnd"/>
      <w:r w:rsidRPr="00806BFF">
        <w:rPr>
          <w:szCs w:val="24"/>
        </w:rPr>
        <w:t xml:space="preserve">. I </w:t>
      </w:r>
      <w:proofErr w:type="spellStart"/>
      <w:r w:rsidRPr="00806BFF">
        <w:rPr>
          <w:szCs w:val="24"/>
        </w:rPr>
        <w:t>varicellagruppen</w:t>
      </w:r>
      <w:proofErr w:type="spellEnd"/>
      <w:r w:rsidRPr="00806BFF">
        <w:rPr>
          <w:szCs w:val="24"/>
        </w:rPr>
        <w:t xml:space="preserve"> udviklede 4 ud af 13 børn (30,8</w:t>
      </w:r>
      <w:r w:rsidR="007620CE">
        <w:rPr>
          <w:szCs w:val="24"/>
        </w:rPr>
        <w:t xml:space="preserve"> %</w:t>
      </w:r>
      <w:r w:rsidRPr="00806BFF">
        <w:rPr>
          <w:szCs w:val="24"/>
        </w:rPr>
        <w:t xml:space="preserve">) </w:t>
      </w:r>
      <w:proofErr w:type="spellStart"/>
      <w:r w:rsidRPr="00806BFF">
        <w:rPr>
          <w:szCs w:val="24"/>
        </w:rPr>
        <w:t>varicella</w:t>
      </w:r>
      <w:proofErr w:type="spellEnd"/>
      <w:r w:rsidRPr="00806BFF">
        <w:rPr>
          <w:szCs w:val="24"/>
        </w:rPr>
        <w:t xml:space="preserve">, hvoraf 3 børn var vaccineret på </w:t>
      </w:r>
      <w:r>
        <w:rPr>
          <w:szCs w:val="24"/>
        </w:rPr>
        <w:t>d</w:t>
      </w:r>
      <w:r w:rsidRPr="00806BFF">
        <w:rPr>
          <w:szCs w:val="24"/>
        </w:rPr>
        <w:t>ag 4 til 5. Dog var sygdommen mild (1, 2, og 50 læsioner). Derimod udviklede 12 af 13 børn (92,3</w:t>
      </w:r>
      <w:r w:rsidR="007620CE">
        <w:rPr>
          <w:szCs w:val="24"/>
        </w:rPr>
        <w:t xml:space="preserve"> %</w:t>
      </w:r>
      <w:r w:rsidRPr="00806BFF">
        <w:rPr>
          <w:szCs w:val="24"/>
        </w:rPr>
        <w:t xml:space="preserve">) i placebogruppen typisk </w:t>
      </w:r>
      <w:proofErr w:type="spellStart"/>
      <w:r w:rsidRPr="00806BFF">
        <w:rPr>
          <w:szCs w:val="24"/>
        </w:rPr>
        <w:t>varicella</w:t>
      </w:r>
      <w:proofErr w:type="spellEnd"/>
      <w:r w:rsidRPr="00806BFF">
        <w:rPr>
          <w:szCs w:val="24"/>
        </w:rPr>
        <w:t xml:space="preserve"> (60 til 600 læsioner). Således kan vaccin</w:t>
      </w:r>
      <w:r>
        <w:rPr>
          <w:szCs w:val="24"/>
        </w:rPr>
        <w:t>ation</w:t>
      </w:r>
      <w:r w:rsidRPr="00806BFF">
        <w:rPr>
          <w:szCs w:val="24"/>
        </w:rPr>
        <w:t xml:space="preserve"> 4 til 5 dage efter eksponering af </w:t>
      </w:r>
      <w:proofErr w:type="spellStart"/>
      <w:r w:rsidRPr="00806BFF">
        <w:rPr>
          <w:szCs w:val="24"/>
        </w:rPr>
        <w:t>varicella</w:t>
      </w:r>
      <w:proofErr w:type="spellEnd"/>
      <w:r w:rsidRPr="00806BFF">
        <w:rPr>
          <w:szCs w:val="24"/>
        </w:rPr>
        <w:t xml:space="preserve"> modificere forløbet </w:t>
      </w:r>
      <w:r>
        <w:rPr>
          <w:szCs w:val="24"/>
        </w:rPr>
        <w:t>af</w:t>
      </w:r>
      <w:r w:rsidRPr="00806BFF">
        <w:rPr>
          <w:szCs w:val="24"/>
        </w:rPr>
        <w:t xml:space="preserve"> efterfølgende tilfælde af </w:t>
      </w:r>
      <w:proofErr w:type="spellStart"/>
      <w:r w:rsidRPr="00806BFF">
        <w:rPr>
          <w:szCs w:val="24"/>
        </w:rPr>
        <w:t>varicella</w:t>
      </w:r>
      <w:proofErr w:type="spellEnd"/>
      <w:r w:rsidRPr="00806BFF">
        <w:rPr>
          <w:szCs w:val="24"/>
        </w:rPr>
        <w:t>.</w:t>
      </w:r>
    </w:p>
    <w:p w:rsidR="00E74F0A" w:rsidRPr="00806BFF" w:rsidRDefault="00E74F0A" w:rsidP="00E74F0A">
      <w:pPr>
        <w:ind w:left="851"/>
        <w:jc w:val="both"/>
        <w:rPr>
          <w:szCs w:val="24"/>
        </w:rPr>
      </w:pPr>
    </w:p>
    <w:p w:rsidR="003B6F5F" w:rsidRPr="00806BFF" w:rsidRDefault="003B6F5F" w:rsidP="003B6F5F">
      <w:pPr>
        <w:keepNext/>
        <w:ind w:left="851"/>
        <w:jc w:val="both"/>
        <w:rPr>
          <w:i/>
          <w:szCs w:val="24"/>
        </w:rPr>
      </w:pPr>
      <w:r w:rsidRPr="00806BFF">
        <w:rPr>
          <w:i/>
          <w:szCs w:val="24"/>
        </w:rPr>
        <w:t>To-dosisregime til raske børn fra 12 måneder op til 12 år</w:t>
      </w:r>
    </w:p>
    <w:p w:rsidR="003B6F5F" w:rsidRPr="00806BFF" w:rsidRDefault="003B6F5F" w:rsidP="003B6F5F">
      <w:pPr>
        <w:ind w:left="851"/>
        <w:rPr>
          <w:szCs w:val="24"/>
        </w:rPr>
      </w:pPr>
      <w:r w:rsidRPr="00806BFF">
        <w:rPr>
          <w:szCs w:val="24"/>
        </w:rPr>
        <w:t>I e</w:t>
      </w:r>
      <w:r>
        <w:rPr>
          <w:szCs w:val="24"/>
        </w:rPr>
        <w:t>t</w:t>
      </w:r>
      <w:r w:rsidRPr="00806BFF">
        <w:rPr>
          <w:szCs w:val="24"/>
        </w:rPr>
        <w:t xml:space="preserve"> </w:t>
      </w:r>
      <w:r>
        <w:rPr>
          <w:szCs w:val="24"/>
        </w:rPr>
        <w:t>studie</w:t>
      </w:r>
      <w:r w:rsidRPr="00806BFF">
        <w:rPr>
          <w:szCs w:val="24"/>
        </w:rPr>
        <w:t>, der sammenlignede en dosis (N=1</w:t>
      </w:r>
      <w:r>
        <w:rPr>
          <w:szCs w:val="24"/>
        </w:rPr>
        <w:t>.</w:t>
      </w:r>
      <w:r w:rsidRPr="00806BFF">
        <w:rPr>
          <w:szCs w:val="24"/>
        </w:rPr>
        <w:t>114) og to doser (N=1</w:t>
      </w:r>
      <w:r>
        <w:rPr>
          <w:szCs w:val="24"/>
        </w:rPr>
        <w:t>.</w:t>
      </w:r>
      <w:r w:rsidRPr="00806BFF">
        <w:rPr>
          <w:szCs w:val="24"/>
        </w:rPr>
        <w:t xml:space="preserve">102) givet med 3 måneders mellemrum, var den estimerede effekt imod alle sværhedsgrader af </w:t>
      </w:r>
      <w:proofErr w:type="spellStart"/>
      <w:r w:rsidRPr="00806BFF">
        <w:rPr>
          <w:szCs w:val="24"/>
        </w:rPr>
        <w:t>varicellasygdom</w:t>
      </w:r>
      <w:proofErr w:type="spellEnd"/>
      <w:r w:rsidRPr="00806BFF">
        <w:rPr>
          <w:szCs w:val="24"/>
        </w:rPr>
        <w:t xml:space="preserve"> i den 10</w:t>
      </w:r>
      <w:r>
        <w:rPr>
          <w:szCs w:val="24"/>
        </w:rPr>
        <w:t>-</w:t>
      </w:r>
      <w:r w:rsidRPr="00806BFF">
        <w:rPr>
          <w:szCs w:val="24"/>
        </w:rPr>
        <w:t>årige observationsperiode 94</w:t>
      </w:r>
      <w:r>
        <w:rPr>
          <w:szCs w:val="24"/>
        </w:rPr>
        <w:t xml:space="preserve"> </w:t>
      </w:r>
      <w:r w:rsidRPr="00806BFF">
        <w:rPr>
          <w:szCs w:val="24"/>
        </w:rPr>
        <w:t>% for en dosis og 98</w:t>
      </w:r>
      <w:r>
        <w:rPr>
          <w:szCs w:val="24"/>
        </w:rPr>
        <w:t xml:space="preserve"> </w:t>
      </w:r>
      <w:r w:rsidRPr="00806BFF">
        <w:rPr>
          <w:szCs w:val="24"/>
        </w:rPr>
        <w:t xml:space="preserve">% for to doser (p&lt;0,001). Den akkumulerede forekomst af </w:t>
      </w:r>
      <w:proofErr w:type="spellStart"/>
      <w:r w:rsidRPr="00806BFF">
        <w:rPr>
          <w:szCs w:val="24"/>
        </w:rPr>
        <w:t>varicella</w:t>
      </w:r>
      <w:proofErr w:type="spellEnd"/>
      <w:r w:rsidRPr="00806BFF">
        <w:rPr>
          <w:szCs w:val="24"/>
        </w:rPr>
        <w:t xml:space="preserve"> over den 10-årige observations</w:t>
      </w:r>
      <w:r>
        <w:rPr>
          <w:szCs w:val="24"/>
        </w:rPr>
        <w:t>-</w:t>
      </w:r>
      <w:r w:rsidRPr="00806BFF">
        <w:rPr>
          <w:szCs w:val="24"/>
        </w:rPr>
        <w:t>periode var 7,5</w:t>
      </w:r>
      <w:r>
        <w:rPr>
          <w:szCs w:val="24"/>
        </w:rPr>
        <w:t xml:space="preserve"> </w:t>
      </w:r>
      <w:r w:rsidRPr="00806BFF">
        <w:rPr>
          <w:szCs w:val="24"/>
        </w:rPr>
        <w:t>% efter en dosis og 2,2</w:t>
      </w:r>
      <w:r>
        <w:rPr>
          <w:szCs w:val="24"/>
        </w:rPr>
        <w:t xml:space="preserve"> </w:t>
      </w:r>
      <w:r w:rsidRPr="00806BFF">
        <w:rPr>
          <w:szCs w:val="24"/>
        </w:rPr>
        <w:t xml:space="preserve">% efter 2 doser. De fleste tilfælde af </w:t>
      </w:r>
      <w:proofErr w:type="spellStart"/>
      <w:r w:rsidRPr="00806BFF">
        <w:rPr>
          <w:szCs w:val="24"/>
        </w:rPr>
        <w:t>varicella</w:t>
      </w:r>
      <w:proofErr w:type="spellEnd"/>
      <w:r w:rsidRPr="00806BFF">
        <w:rPr>
          <w:szCs w:val="24"/>
        </w:rPr>
        <w:t xml:space="preserve">, </w:t>
      </w:r>
      <w:r>
        <w:rPr>
          <w:szCs w:val="24"/>
        </w:rPr>
        <w:t xml:space="preserve">som blev </w:t>
      </w:r>
      <w:r w:rsidRPr="00806BFF">
        <w:rPr>
          <w:szCs w:val="24"/>
        </w:rPr>
        <w:t>indberettet for modtagere af en dosis eller to doser, var milde.</w:t>
      </w:r>
    </w:p>
    <w:p w:rsidR="003B6F5F" w:rsidRDefault="003B6F5F" w:rsidP="003B6F5F">
      <w:pPr>
        <w:suppressAutoHyphens/>
        <w:ind w:left="851"/>
        <w:rPr>
          <w:i/>
          <w:szCs w:val="24"/>
        </w:rPr>
      </w:pPr>
    </w:p>
    <w:p w:rsidR="003B6F5F" w:rsidRPr="000A52B5" w:rsidRDefault="003B6F5F" w:rsidP="003B6F5F">
      <w:pPr>
        <w:suppressAutoHyphens/>
        <w:ind w:left="851"/>
        <w:rPr>
          <w:i/>
          <w:szCs w:val="24"/>
        </w:rPr>
      </w:pPr>
      <w:r w:rsidRPr="000A52B5">
        <w:rPr>
          <w:i/>
          <w:szCs w:val="24"/>
        </w:rPr>
        <w:t>To-dosisregime til raske personer på 13 år og ældre</w:t>
      </w:r>
    </w:p>
    <w:p w:rsidR="003B6F5F" w:rsidRDefault="003B6F5F" w:rsidP="003B6F5F">
      <w:pPr>
        <w:suppressAutoHyphens/>
        <w:ind w:left="851"/>
        <w:rPr>
          <w:szCs w:val="24"/>
        </w:rPr>
      </w:pPr>
      <w:r w:rsidRPr="00806BFF">
        <w:rPr>
          <w:szCs w:val="24"/>
        </w:rPr>
        <w:t>Beskyttende effekt af 2 doser givet til personer fra 13 år eller ældre med 4 eller 8 uger mellemrum blev evalueret baseret på eksponering i husholdninge</w:t>
      </w:r>
      <w:r>
        <w:rPr>
          <w:szCs w:val="24"/>
        </w:rPr>
        <w:t>n</w:t>
      </w:r>
      <w:r w:rsidRPr="00806BFF">
        <w:rPr>
          <w:szCs w:val="24"/>
        </w:rPr>
        <w:t xml:space="preserve"> 6-7 år efter vaccination. Den kliniske effektivitet varierede fra ca. 80</w:t>
      </w:r>
      <w:r>
        <w:rPr>
          <w:szCs w:val="24"/>
        </w:rPr>
        <w:t xml:space="preserve"> </w:t>
      </w:r>
      <w:r w:rsidRPr="00806BFF">
        <w:rPr>
          <w:szCs w:val="24"/>
        </w:rPr>
        <w:t>% til 100</w:t>
      </w:r>
      <w:r>
        <w:rPr>
          <w:szCs w:val="24"/>
        </w:rPr>
        <w:t xml:space="preserve"> </w:t>
      </w:r>
      <w:r w:rsidRPr="00806BFF">
        <w:rPr>
          <w:szCs w:val="24"/>
        </w:rPr>
        <w:t>%.</w:t>
      </w:r>
    </w:p>
    <w:p w:rsidR="00092B44" w:rsidRPr="00806BFF" w:rsidRDefault="00092B44" w:rsidP="008C6ED0">
      <w:pPr>
        <w:suppressAutoHyphens/>
        <w:ind w:left="851"/>
        <w:rPr>
          <w:szCs w:val="24"/>
        </w:rPr>
      </w:pPr>
    </w:p>
    <w:p w:rsidR="008C6ED0" w:rsidRPr="00E03D8E" w:rsidRDefault="008C6ED0" w:rsidP="00E03D8E">
      <w:pPr>
        <w:ind w:left="851"/>
        <w:rPr>
          <w:i/>
          <w:u w:val="single"/>
        </w:rPr>
      </w:pPr>
      <w:proofErr w:type="spellStart"/>
      <w:r w:rsidRPr="00E03D8E">
        <w:rPr>
          <w:i/>
          <w:u w:val="single"/>
        </w:rPr>
        <w:t>Immunogenicitet</w:t>
      </w:r>
      <w:proofErr w:type="spellEnd"/>
      <w:r w:rsidRPr="00E03D8E">
        <w:rPr>
          <w:i/>
          <w:u w:val="single"/>
        </w:rPr>
        <w:t xml:space="preserve"> af </w:t>
      </w:r>
      <w:proofErr w:type="spellStart"/>
      <w:r w:rsidRPr="00E03D8E">
        <w:rPr>
          <w:i/>
          <w:u w:val="single"/>
        </w:rPr>
        <w:t>varicellavaccine</w:t>
      </w:r>
      <w:proofErr w:type="spellEnd"/>
      <w:r w:rsidRPr="00E03D8E">
        <w:rPr>
          <w:i/>
          <w:u w:val="single"/>
        </w:rPr>
        <w:t xml:space="preserve"> (levende) (Oka/Merck</w:t>
      </w:r>
      <w:r w:rsidR="00FA1DB1">
        <w:rPr>
          <w:i/>
          <w:u w:val="single"/>
        </w:rPr>
        <w:t>-stamme</w:t>
      </w:r>
      <w:r w:rsidRPr="00E03D8E">
        <w:rPr>
          <w:i/>
          <w:u w:val="single"/>
        </w:rPr>
        <w:t>)</w:t>
      </w:r>
    </w:p>
    <w:p w:rsidR="008C6ED0" w:rsidRPr="00806BFF" w:rsidRDefault="008C6ED0" w:rsidP="008C6ED0">
      <w:pPr>
        <w:suppressAutoHyphens/>
        <w:ind w:left="851"/>
        <w:rPr>
          <w:i/>
          <w:szCs w:val="24"/>
        </w:rPr>
      </w:pPr>
    </w:p>
    <w:p w:rsidR="008C6ED0" w:rsidRPr="00806BFF" w:rsidRDefault="008C6ED0" w:rsidP="008C6ED0">
      <w:pPr>
        <w:suppressAutoHyphens/>
        <w:ind w:left="851"/>
        <w:rPr>
          <w:i/>
          <w:szCs w:val="24"/>
        </w:rPr>
      </w:pPr>
      <w:r w:rsidRPr="00806BFF">
        <w:rPr>
          <w:i/>
          <w:szCs w:val="24"/>
        </w:rPr>
        <w:t>Enkeltdosis regime til børn fra 12 måneder op til 12 år</w:t>
      </w:r>
    </w:p>
    <w:p w:rsidR="008C6ED0" w:rsidRPr="00806BFF" w:rsidRDefault="008C6ED0" w:rsidP="008C6ED0">
      <w:pPr>
        <w:suppressAutoHyphens/>
        <w:ind w:left="851"/>
        <w:rPr>
          <w:szCs w:val="24"/>
        </w:rPr>
      </w:pPr>
      <w:r w:rsidRPr="00806BFF">
        <w:rPr>
          <w:szCs w:val="24"/>
        </w:rPr>
        <w:t xml:space="preserve">Kliniske </w:t>
      </w:r>
      <w:r w:rsidR="00FA1DB1">
        <w:rPr>
          <w:szCs w:val="24"/>
        </w:rPr>
        <w:t>studier</w:t>
      </w:r>
      <w:r w:rsidRPr="00806BFF">
        <w:rPr>
          <w:szCs w:val="24"/>
        </w:rPr>
        <w:t xml:space="preserve"> har vist</w:t>
      </w:r>
      <w:r w:rsidR="00FA1DB1">
        <w:rPr>
          <w:szCs w:val="24"/>
        </w:rPr>
        <w:t>,</w:t>
      </w:r>
      <w:r w:rsidRPr="00806BFF">
        <w:rPr>
          <w:szCs w:val="24"/>
        </w:rPr>
        <w:t xml:space="preserve"> at antistofferne i den køleskabsstabile formulering er lig med antistofferne i de tidligere formuleringer, hvor effekten har været vurderet.</w:t>
      </w:r>
    </w:p>
    <w:p w:rsidR="008C6ED0" w:rsidRPr="00806BFF" w:rsidRDefault="008C6ED0" w:rsidP="008C6ED0">
      <w:pPr>
        <w:suppressAutoHyphens/>
        <w:ind w:left="851"/>
        <w:rPr>
          <w:szCs w:val="24"/>
        </w:rPr>
      </w:pPr>
    </w:p>
    <w:p w:rsidR="008C6ED0" w:rsidRPr="00806BFF" w:rsidRDefault="008C6ED0" w:rsidP="008C6ED0">
      <w:pPr>
        <w:ind w:left="851"/>
        <w:rPr>
          <w:szCs w:val="24"/>
        </w:rPr>
      </w:pPr>
      <w:proofErr w:type="spellStart"/>
      <w:r w:rsidRPr="00806BFF">
        <w:rPr>
          <w:szCs w:val="24"/>
        </w:rPr>
        <w:t>Titer</w:t>
      </w:r>
      <w:proofErr w:type="spellEnd"/>
      <w:r w:rsidRPr="00806BFF">
        <w:rPr>
          <w:szCs w:val="24"/>
        </w:rPr>
        <w:t xml:space="preserve"> </w:t>
      </w:r>
      <w:r w:rsidRPr="00806BFF">
        <w:rPr>
          <w:szCs w:val="24"/>
        </w:rPr>
        <w:sym w:font="Symbol" w:char="F0B3"/>
      </w:r>
      <w:r w:rsidRPr="00806BFF">
        <w:rPr>
          <w:szCs w:val="24"/>
        </w:rPr>
        <w:t xml:space="preserve">0,5 </w:t>
      </w:r>
      <w:proofErr w:type="spellStart"/>
      <w:r w:rsidRPr="00806BFF">
        <w:rPr>
          <w:szCs w:val="24"/>
        </w:rPr>
        <w:t>gpELISA</w:t>
      </w:r>
      <w:proofErr w:type="spellEnd"/>
      <w:r w:rsidRPr="00806BFF">
        <w:rPr>
          <w:szCs w:val="24"/>
        </w:rPr>
        <w:t xml:space="preserve"> enheder/ml (</w:t>
      </w:r>
      <w:proofErr w:type="spellStart"/>
      <w:r w:rsidRPr="00806BFF">
        <w:rPr>
          <w:szCs w:val="24"/>
        </w:rPr>
        <w:t>gpELISA</w:t>
      </w:r>
      <w:proofErr w:type="spellEnd"/>
      <w:r w:rsidRPr="00806BFF">
        <w:rPr>
          <w:szCs w:val="24"/>
        </w:rPr>
        <w:t xml:space="preserve"> er et meget følsomt målesystem, der ikke fås i handlen) 6 uger efter vaccin</w:t>
      </w:r>
      <w:r w:rsidR="00FA1DB1">
        <w:rPr>
          <w:szCs w:val="24"/>
        </w:rPr>
        <w:t>ation</w:t>
      </w:r>
      <w:r w:rsidRPr="00806BFF">
        <w:rPr>
          <w:szCs w:val="24"/>
        </w:rPr>
        <w:t xml:space="preserve">, har vist at være et tilnærmet korrelat for klinisk </w:t>
      </w:r>
      <w:r w:rsidRPr="00806BFF">
        <w:rPr>
          <w:szCs w:val="24"/>
        </w:rPr>
        <w:lastRenderedPageBreak/>
        <w:t xml:space="preserve">beskyttelse. Det er imidlertid ikke kendt om en </w:t>
      </w:r>
      <w:proofErr w:type="spellStart"/>
      <w:r w:rsidRPr="00806BFF">
        <w:rPr>
          <w:szCs w:val="24"/>
        </w:rPr>
        <w:t>titer</w:t>
      </w:r>
      <w:proofErr w:type="spellEnd"/>
      <w:r w:rsidRPr="00806BFF">
        <w:rPr>
          <w:szCs w:val="24"/>
        </w:rPr>
        <w:t xml:space="preserve"> på </w:t>
      </w:r>
      <w:r w:rsidRPr="00806BFF">
        <w:rPr>
          <w:szCs w:val="24"/>
        </w:rPr>
        <w:sym w:font="Symbol" w:char="F0B3"/>
      </w:r>
      <w:r w:rsidRPr="00806BFF">
        <w:rPr>
          <w:szCs w:val="24"/>
        </w:rPr>
        <w:t xml:space="preserve">0,6 </w:t>
      </w:r>
      <w:proofErr w:type="spellStart"/>
      <w:r w:rsidRPr="00806BFF">
        <w:rPr>
          <w:szCs w:val="24"/>
        </w:rPr>
        <w:t>gpELISA</w:t>
      </w:r>
      <w:proofErr w:type="spellEnd"/>
      <w:r w:rsidRPr="00806BFF">
        <w:rPr>
          <w:szCs w:val="24"/>
        </w:rPr>
        <w:t>-enheder/ml er et korrelat til langtidsbeskyttelse.</w:t>
      </w:r>
    </w:p>
    <w:p w:rsidR="008C6ED0" w:rsidRPr="000A52B5" w:rsidRDefault="008C6ED0" w:rsidP="008C6ED0">
      <w:pPr>
        <w:suppressAutoHyphens/>
        <w:rPr>
          <w:szCs w:val="24"/>
        </w:rPr>
      </w:pPr>
    </w:p>
    <w:p w:rsidR="008C6ED0" w:rsidRPr="00E03D8E" w:rsidRDefault="008C6ED0" w:rsidP="00E03D8E">
      <w:pPr>
        <w:ind w:left="851"/>
        <w:rPr>
          <w:u w:val="single"/>
        </w:rPr>
      </w:pPr>
      <w:proofErr w:type="spellStart"/>
      <w:r w:rsidRPr="00E03D8E">
        <w:rPr>
          <w:u w:val="single"/>
        </w:rPr>
        <w:t>Humoral</w:t>
      </w:r>
      <w:proofErr w:type="spellEnd"/>
      <w:r w:rsidRPr="00E03D8E">
        <w:rPr>
          <w:u w:val="single"/>
        </w:rPr>
        <w:t xml:space="preserve"> immunrespons hos børn fra 12 måneder til 12 år</w:t>
      </w:r>
    </w:p>
    <w:p w:rsidR="008C6ED0" w:rsidRPr="00806BFF" w:rsidRDefault="00A15C50" w:rsidP="008C6ED0">
      <w:pPr>
        <w:suppressAutoHyphens/>
        <w:ind w:left="851"/>
        <w:rPr>
          <w:szCs w:val="24"/>
        </w:rPr>
      </w:pPr>
      <w:proofErr w:type="spellStart"/>
      <w:r w:rsidRPr="00806BFF">
        <w:rPr>
          <w:szCs w:val="24"/>
        </w:rPr>
        <w:t>Serokonver</w:t>
      </w:r>
      <w:r>
        <w:rPr>
          <w:szCs w:val="24"/>
        </w:rPr>
        <w:t>tering</w:t>
      </w:r>
      <w:proofErr w:type="spellEnd"/>
      <w:r w:rsidRPr="00806BFF">
        <w:rPr>
          <w:szCs w:val="24"/>
        </w:rPr>
        <w:t xml:space="preserve"> (baseret på </w:t>
      </w:r>
      <w:r>
        <w:rPr>
          <w:szCs w:val="24"/>
        </w:rPr>
        <w:t>analysens afskæringsværdi,</w:t>
      </w:r>
      <w:r w:rsidRPr="00806BFF">
        <w:rPr>
          <w:szCs w:val="24"/>
        </w:rPr>
        <w:t xml:space="preserve"> der</w:t>
      </w:r>
      <w:r w:rsidR="008C6ED0" w:rsidRPr="00806BFF">
        <w:rPr>
          <w:szCs w:val="24"/>
        </w:rPr>
        <w:t xml:space="preserve"> generelt svarer til </w:t>
      </w:r>
      <w:r w:rsidR="008C6ED0" w:rsidRPr="00806BFF">
        <w:rPr>
          <w:szCs w:val="24"/>
        </w:rPr>
        <w:sym w:font="Symbol" w:char="F0B3"/>
      </w:r>
      <w:r w:rsidR="008C6ED0" w:rsidRPr="00806BFF">
        <w:rPr>
          <w:szCs w:val="24"/>
        </w:rPr>
        <w:t>0,6</w:t>
      </w:r>
      <w:r w:rsidR="00003DE5">
        <w:rPr>
          <w:szCs w:val="24"/>
        </w:rPr>
        <w:t> </w:t>
      </w:r>
      <w:proofErr w:type="spellStart"/>
      <w:r w:rsidR="008C6ED0" w:rsidRPr="00806BFF">
        <w:rPr>
          <w:szCs w:val="24"/>
        </w:rPr>
        <w:t>gpELISA</w:t>
      </w:r>
      <w:proofErr w:type="spellEnd"/>
      <w:r w:rsidR="008C6ED0" w:rsidRPr="00806BFF">
        <w:rPr>
          <w:szCs w:val="24"/>
        </w:rPr>
        <w:t xml:space="preserve"> enheder/ml) blev observeret i 98</w:t>
      </w:r>
      <w:r w:rsidR="007620CE">
        <w:rPr>
          <w:szCs w:val="24"/>
        </w:rPr>
        <w:t xml:space="preserve"> %</w:t>
      </w:r>
      <w:r w:rsidR="008C6ED0" w:rsidRPr="00806BFF">
        <w:rPr>
          <w:szCs w:val="24"/>
        </w:rPr>
        <w:t xml:space="preserve"> af de 9.610 modtagelige børn fra 12 måneder til 12 år, som </w:t>
      </w:r>
      <w:r>
        <w:rPr>
          <w:szCs w:val="24"/>
        </w:rPr>
        <w:t>fik</w:t>
      </w:r>
      <w:r w:rsidR="008C6ED0" w:rsidRPr="00806BFF">
        <w:rPr>
          <w:szCs w:val="24"/>
        </w:rPr>
        <w:t xml:space="preserve"> doser på mellem 1.000 og 50.000 PFU. </w:t>
      </w:r>
      <w:proofErr w:type="spellStart"/>
      <w:r w:rsidR="008C6ED0" w:rsidRPr="00806BFF">
        <w:rPr>
          <w:szCs w:val="24"/>
        </w:rPr>
        <w:t>Varicellaantistoftitre</w:t>
      </w:r>
      <w:proofErr w:type="spellEnd"/>
      <w:r w:rsidR="008C6ED0" w:rsidRPr="00806BFF">
        <w:rPr>
          <w:szCs w:val="24"/>
        </w:rPr>
        <w:t xml:space="preserve"> på </w:t>
      </w:r>
      <w:r w:rsidR="008C6ED0" w:rsidRPr="00806BFF">
        <w:rPr>
          <w:szCs w:val="24"/>
        </w:rPr>
        <w:sym w:font="Symbol" w:char="F0B3"/>
      </w:r>
      <w:r w:rsidR="008C6ED0" w:rsidRPr="00806BFF">
        <w:rPr>
          <w:szCs w:val="24"/>
        </w:rPr>
        <w:t xml:space="preserve">5 </w:t>
      </w:r>
      <w:proofErr w:type="spellStart"/>
      <w:r w:rsidR="008C6ED0" w:rsidRPr="00806BFF">
        <w:rPr>
          <w:szCs w:val="24"/>
        </w:rPr>
        <w:t>gpELISA</w:t>
      </w:r>
      <w:proofErr w:type="spellEnd"/>
      <w:r w:rsidR="008C6ED0" w:rsidRPr="00806BFF">
        <w:rPr>
          <w:szCs w:val="24"/>
        </w:rPr>
        <w:t xml:space="preserve"> enheder/ml blev induceret hos ca. 83</w:t>
      </w:r>
      <w:r w:rsidR="007620CE">
        <w:rPr>
          <w:szCs w:val="24"/>
        </w:rPr>
        <w:t xml:space="preserve"> %</w:t>
      </w:r>
      <w:r w:rsidR="008C6ED0" w:rsidRPr="00806BFF">
        <w:rPr>
          <w:szCs w:val="24"/>
        </w:rPr>
        <w:t xml:space="preserve"> af disse børn. </w:t>
      </w:r>
    </w:p>
    <w:p w:rsidR="008C6ED0" w:rsidRPr="00806BFF" w:rsidRDefault="008C6ED0" w:rsidP="008C6ED0">
      <w:pPr>
        <w:suppressAutoHyphens/>
        <w:rPr>
          <w:szCs w:val="24"/>
        </w:rPr>
      </w:pPr>
    </w:p>
    <w:p w:rsidR="008C6ED0" w:rsidRDefault="008C6ED0" w:rsidP="008C6ED0">
      <w:pPr>
        <w:suppressAutoHyphens/>
        <w:ind w:left="851"/>
        <w:rPr>
          <w:szCs w:val="24"/>
        </w:rPr>
      </w:pPr>
      <w:r w:rsidRPr="000A52B5">
        <w:rPr>
          <w:szCs w:val="24"/>
        </w:rPr>
        <w:t>Hos børn, fra 12 til 23 måneder, inducerede</w:t>
      </w:r>
      <w:r w:rsidR="00272B6A">
        <w:rPr>
          <w:szCs w:val="24"/>
        </w:rPr>
        <w:t xml:space="preserve"> administrationen </w:t>
      </w:r>
      <w:r w:rsidRPr="000A52B5">
        <w:rPr>
          <w:szCs w:val="24"/>
        </w:rPr>
        <w:t xml:space="preserve">af nedkølet </w:t>
      </w:r>
      <w:proofErr w:type="spellStart"/>
      <w:r w:rsidR="00E03D8E">
        <w:rPr>
          <w:szCs w:val="24"/>
        </w:rPr>
        <w:t>Varivax</w:t>
      </w:r>
      <w:proofErr w:type="spellEnd"/>
      <w:r w:rsidRPr="000A52B5">
        <w:rPr>
          <w:szCs w:val="24"/>
        </w:rPr>
        <w:t xml:space="preserve"> (8</w:t>
      </w:r>
      <w:r w:rsidR="00A15C50">
        <w:rPr>
          <w:szCs w:val="24"/>
        </w:rPr>
        <w:t>.</w:t>
      </w:r>
      <w:r w:rsidRPr="000A52B5">
        <w:rPr>
          <w:szCs w:val="24"/>
        </w:rPr>
        <w:t>000</w:t>
      </w:r>
      <w:r w:rsidR="007F364F">
        <w:rPr>
          <w:szCs w:val="24"/>
        </w:rPr>
        <w:t> </w:t>
      </w:r>
      <w:r w:rsidRPr="000A52B5">
        <w:rPr>
          <w:szCs w:val="24"/>
        </w:rPr>
        <w:t>PFU pr</w:t>
      </w:r>
      <w:r w:rsidR="007F364F">
        <w:rPr>
          <w:szCs w:val="24"/>
        </w:rPr>
        <w:t>.</w:t>
      </w:r>
      <w:r w:rsidRPr="000A52B5">
        <w:rPr>
          <w:szCs w:val="24"/>
        </w:rPr>
        <w:t xml:space="preserve"> dosis eller 25.000 PFU </w:t>
      </w:r>
      <w:r w:rsidRPr="00806BFF">
        <w:rPr>
          <w:szCs w:val="24"/>
        </w:rPr>
        <w:t xml:space="preserve">pr. dosis) </w:t>
      </w:r>
      <w:proofErr w:type="spellStart"/>
      <w:r w:rsidR="007F364F" w:rsidRPr="00806BFF">
        <w:rPr>
          <w:szCs w:val="24"/>
        </w:rPr>
        <w:t>varicellaantistof</w:t>
      </w:r>
      <w:r w:rsidR="007F364F">
        <w:rPr>
          <w:szCs w:val="24"/>
        </w:rPr>
        <w:t>titre</w:t>
      </w:r>
      <w:proofErr w:type="spellEnd"/>
      <w:r w:rsidRPr="00806BFF">
        <w:rPr>
          <w:szCs w:val="24"/>
        </w:rPr>
        <w:t xml:space="preserve"> på </w:t>
      </w:r>
      <w:r w:rsidRPr="00806BFF">
        <w:rPr>
          <w:szCs w:val="24"/>
        </w:rPr>
        <w:sym w:font="Symbol" w:char="F0B3"/>
      </w:r>
      <w:r w:rsidRPr="00806BFF">
        <w:rPr>
          <w:szCs w:val="24"/>
        </w:rPr>
        <w:t xml:space="preserve">5 </w:t>
      </w:r>
      <w:proofErr w:type="spellStart"/>
      <w:r w:rsidRPr="00806BFF">
        <w:rPr>
          <w:szCs w:val="24"/>
        </w:rPr>
        <w:t>gpELISA</w:t>
      </w:r>
      <w:proofErr w:type="spellEnd"/>
      <w:r w:rsidRPr="00806BFF">
        <w:rPr>
          <w:szCs w:val="24"/>
        </w:rPr>
        <w:t xml:space="preserve"> enheder/ml 6 uger efter vaccinationen i 93</w:t>
      </w:r>
      <w:r w:rsidR="007620CE">
        <w:rPr>
          <w:szCs w:val="24"/>
        </w:rPr>
        <w:t xml:space="preserve"> %</w:t>
      </w:r>
      <w:r w:rsidRPr="00806BFF">
        <w:rPr>
          <w:szCs w:val="24"/>
        </w:rPr>
        <w:t xml:space="preserve"> af de vaccinerede børn.</w:t>
      </w:r>
    </w:p>
    <w:p w:rsidR="00442990" w:rsidRPr="00806BFF" w:rsidRDefault="00442990" w:rsidP="008C6ED0">
      <w:pPr>
        <w:suppressAutoHyphens/>
        <w:ind w:left="851"/>
        <w:rPr>
          <w:szCs w:val="24"/>
        </w:rPr>
      </w:pPr>
    </w:p>
    <w:p w:rsidR="008C6ED0" w:rsidRPr="000A52B5" w:rsidRDefault="008C6ED0" w:rsidP="008C6ED0">
      <w:pPr>
        <w:pStyle w:val="Brdtekst"/>
        <w:ind w:left="851"/>
        <w:rPr>
          <w:color w:val="auto"/>
          <w:szCs w:val="24"/>
          <w:u w:val="single"/>
        </w:rPr>
      </w:pPr>
      <w:proofErr w:type="spellStart"/>
      <w:r w:rsidRPr="000A52B5">
        <w:rPr>
          <w:color w:val="auto"/>
          <w:szCs w:val="24"/>
          <w:u w:val="single"/>
        </w:rPr>
        <w:t>Humoral</w:t>
      </w:r>
      <w:proofErr w:type="spellEnd"/>
      <w:r w:rsidRPr="000A52B5">
        <w:rPr>
          <w:color w:val="auto"/>
          <w:szCs w:val="24"/>
          <w:u w:val="single"/>
        </w:rPr>
        <w:t xml:space="preserve"> immunrespons hos personer fra 13 år og ældre</w:t>
      </w:r>
    </w:p>
    <w:p w:rsidR="008C6ED0" w:rsidRPr="00806BFF" w:rsidRDefault="008C6ED0" w:rsidP="008C6ED0">
      <w:pPr>
        <w:suppressAutoHyphens/>
        <w:ind w:left="851"/>
        <w:rPr>
          <w:szCs w:val="24"/>
        </w:rPr>
      </w:pPr>
      <w:r w:rsidRPr="00806BFF">
        <w:rPr>
          <w:szCs w:val="24"/>
        </w:rPr>
        <w:t xml:space="preserve">Hos 934 personer fra 13 år og ældre har adskillige kliniske </w:t>
      </w:r>
      <w:r w:rsidR="00A15C50">
        <w:rPr>
          <w:szCs w:val="24"/>
        </w:rPr>
        <w:t>studier</w:t>
      </w:r>
      <w:r w:rsidRPr="00806BFF">
        <w:rPr>
          <w:szCs w:val="24"/>
        </w:rPr>
        <w:t xml:space="preserve"> vist</w:t>
      </w:r>
      <w:r w:rsidR="007F364F">
        <w:rPr>
          <w:szCs w:val="24"/>
        </w:rPr>
        <w:t>,</w:t>
      </w:r>
      <w:r w:rsidRPr="00806BFF">
        <w:rPr>
          <w:szCs w:val="24"/>
        </w:rPr>
        <w:t xml:space="preserve"> at </w:t>
      </w:r>
      <w:proofErr w:type="spellStart"/>
      <w:r w:rsidRPr="00806BFF">
        <w:rPr>
          <w:szCs w:val="24"/>
        </w:rPr>
        <w:t>varicellavaccine</w:t>
      </w:r>
      <w:proofErr w:type="spellEnd"/>
      <w:r w:rsidRPr="00806BFF">
        <w:rPr>
          <w:szCs w:val="24"/>
        </w:rPr>
        <w:t xml:space="preserve"> (levende)</w:t>
      </w:r>
      <w:r w:rsidR="00816B59">
        <w:rPr>
          <w:szCs w:val="24"/>
        </w:rPr>
        <w:t xml:space="preserve"> </w:t>
      </w:r>
      <w:r w:rsidRPr="00806BFF">
        <w:rPr>
          <w:szCs w:val="24"/>
        </w:rPr>
        <w:t>(Oka/Merck</w:t>
      </w:r>
      <w:r w:rsidR="00A15C50">
        <w:rPr>
          <w:szCs w:val="24"/>
        </w:rPr>
        <w:t>-stamme</w:t>
      </w:r>
      <w:r w:rsidRPr="00806BFF">
        <w:rPr>
          <w:szCs w:val="24"/>
        </w:rPr>
        <w:t xml:space="preserve">) i doser fra ca. 900 til 17.000 </w:t>
      </w:r>
      <w:r w:rsidR="00A15C50" w:rsidRPr="00806BFF">
        <w:rPr>
          <w:szCs w:val="24"/>
        </w:rPr>
        <w:t xml:space="preserve">PFU har en </w:t>
      </w:r>
      <w:proofErr w:type="spellStart"/>
      <w:r w:rsidR="00A15C50" w:rsidRPr="00806BFF">
        <w:rPr>
          <w:szCs w:val="24"/>
        </w:rPr>
        <w:t>sero</w:t>
      </w:r>
      <w:r w:rsidR="00A15C50">
        <w:rPr>
          <w:szCs w:val="24"/>
        </w:rPr>
        <w:t>konverteringsrate</w:t>
      </w:r>
      <w:proofErr w:type="spellEnd"/>
      <w:r w:rsidRPr="00806BFF">
        <w:rPr>
          <w:szCs w:val="24"/>
        </w:rPr>
        <w:t xml:space="preserve"> (</w:t>
      </w:r>
      <w:proofErr w:type="spellStart"/>
      <w:r w:rsidRPr="00806BFF">
        <w:rPr>
          <w:szCs w:val="24"/>
        </w:rPr>
        <w:t>varicellaantistoftiter</w:t>
      </w:r>
      <w:proofErr w:type="spellEnd"/>
      <w:r w:rsidRPr="00806BFF">
        <w:rPr>
          <w:szCs w:val="24"/>
        </w:rPr>
        <w:t xml:space="preserve"> &gt;0,6 </w:t>
      </w:r>
      <w:proofErr w:type="spellStart"/>
      <w:r w:rsidRPr="00806BFF">
        <w:rPr>
          <w:szCs w:val="24"/>
        </w:rPr>
        <w:t>gpELISA</w:t>
      </w:r>
      <w:proofErr w:type="spellEnd"/>
      <w:r w:rsidRPr="00806BFF">
        <w:rPr>
          <w:szCs w:val="24"/>
        </w:rPr>
        <w:t xml:space="preserve"> enheder/ml) efter 1 dosis af vaccinen fra 73</w:t>
      </w:r>
      <w:r w:rsidR="007620CE">
        <w:rPr>
          <w:szCs w:val="24"/>
        </w:rPr>
        <w:t xml:space="preserve"> %</w:t>
      </w:r>
      <w:r w:rsidRPr="00806BFF">
        <w:rPr>
          <w:szCs w:val="24"/>
        </w:rPr>
        <w:t xml:space="preserve"> til 100</w:t>
      </w:r>
      <w:r w:rsidR="007620CE">
        <w:rPr>
          <w:szCs w:val="24"/>
        </w:rPr>
        <w:t xml:space="preserve"> %</w:t>
      </w:r>
      <w:r w:rsidRPr="00806BFF">
        <w:rPr>
          <w:szCs w:val="24"/>
        </w:rPr>
        <w:t xml:space="preserve">. Antallet af personer med </w:t>
      </w:r>
      <w:proofErr w:type="spellStart"/>
      <w:r w:rsidR="007F364F" w:rsidRPr="00806BFF">
        <w:rPr>
          <w:szCs w:val="24"/>
        </w:rPr>
        <w:t>antistoftit</w:t>
      </w:r>
      <w:r w:rsidR="007F364F">
        <w:rPr>
          <w:szCs w:val="24"/>
        </w:rPr>
        <w:t>r</w:t>
      </w:r>
      <w:r w:rsidR="007F364F" w:rsidRPr="00806BFF">
        <w:rPr>
          <w:szCs w:val="24"/>
        </w:rPr>
        <w:t>e</w:t>
      </w:r>
      <w:proofErr w:type="spellEnd"/>
      <w:r w:rsidRPr="00806BFF">
        <w:rPr>
          <w:szCs w:val="24"/>
        </w:rPr>
        <w:t xml:space="preserve"> </w:t>
      </w:r>
      <w:r w:rsidRPr="00806BFF">
        <w:rPr>
          <w:szCs w:val="24"/>
        </w:rPr>
        <w:sym w:font="Symbol" w:char="F0B3"/>
      </w:r>
      <w:r w:rsidRPr="00806BFF">
        <w:rPr>
          <w:szCs w:val="24"/>
        </w:rPr>
        <w:t xml:space="preserve">5 </w:t>
      </w:r>
      <w:proofErr w:type="spellStart"/>
      <w:r w:rsidRPr="00806BFF">
        <w:rPr>
          <w:szCs w:val="24"/>
        </w:rPr>
        <w:t>gpELISA</w:t>
      </w:r>
      <w:proofErr w:type="spellEnd"/>
      <w:r w:rsidRPr="00806BFF">
        <w:rPr>
          <w:szCs w:val="24"/>
        </w:rPr>
        <w:t xml:space="preserve"> enheder/ml varierer fra 22 til 80</w:t>
      </w:r>
      <w:r w:rsidR="007620CE">
        <w:rPr>
          <w:szCs w:val="24"/>
        </w:rPr>
        <w:t xml:space="preserve"> %</w:t>
      </w:r>
      <w:r w:rsidRPr="00806BFF">
        <w:rPr>
          <w:szCs w:val="24"/>
        </w:rPr>
        <w:t xml:space="preserve">. </w:t>
      </w:r>
    </w:p>
    <w:p w:rsidR="008C6ED0" w:rsidRPr="000A52B5" w:rsidRDefault="008C6ED0" w:rsidP="008C6ED0">
      <w:pPr>
        <w:suppressAutoHyphens/>
        <w:ind w:left="851"/>
        <w:rPr>
          <w:szCs w:val="24"/>
        </w:rPr>
      </w:pPr>
    </w:p>
    <w:p w:rsidR="008C6ED0" w:rsidRPr="00806BFF" w:rsidRDefault="008C6ED0" w:rsidP="008C6ED0">
      <w:pPr>
        <w:suppressAutoHyphens/>
        <w:ind w:left="851"/>
        <w:rPr>
          <w:szCs w:val="24"/>
        </w:rPr>
      </w:pPr>
      <w:r w:rsidRPr="00806BFF">
        <w:rPr>
          <w:szCs w:val="24"/>
        </w:rPr>
        <w:t>Efter 2 doser vaccine (601 personer) med dosisvariation fra ca. 900 til 9</w:t>
      </w:r>
      <w:r w:rsidR="00A15C50">
        <w:rPr>
          <w:szCs w:val="24"/>
        </w:rPr>
        <w:t>.</w:t>
      </w:r>
      <w:r w:rsidRPr="00806BFF">
        <w:rPr>
          <w:szCs w:val="24"/>
        </w:rPr>
        <w:t xml:space="preserve">000 PFU varierer </w:t>
      </w:r>
      <w:proofErr w:type="spellStart"/>
      <w:r w:rsidR="00E75A72" w:rsidRPr="00806BFF">
        <w:rPr>
          <w:szCs w:val="24"/>
        </w:rPr>
        <w:t>sero</w:t>
      </w:r>
      <w:r w:rsidR="00E75A72">
        <w:rPr>
          <w:szCs w:val="24"/>
        </w:rPr>
        <w:t>konverteringsraten</w:t>
      </w:r>
      <w:proofErr w:type="spellEnd"/>
      <w:r w:rsidRPr="00806BFF">
        <w:rPr>
          <w:szCs w:val="24"/>
        </w:rPr>
        <w:t xml:space="preserve"> fra 97 til 100</w:t>
      </w:r>
      <w:r w:rsidR="007620CE">
        <w:rPr>
          <w:szCs w:val="24"/>
        </w:rPr>
        <w:t xml:space="preserve"> %</w:t>
      </w:r>
      <w:r w:rsidRPr="00806BFF">
        <w:rPr>
          <w:szCs w:val="24"/>
        </w:rPr>
        <w:t xml:space="preserve"> og antallet af personer med </w:t>
      </w:r>
      <w:proofErr w:type="spellStart"/>
      <w:r w:rsidR="007F364F" w:rsidRPr="00806BFF">
        <w:rPr>
          <w:szCs w:val="24"/>
        </w:rPr>
        <w:t>antistoftit</w:t>
      </w:r>
      <w:r w:rsidR="007F364F">
        <w:rPr>
          <w:szCs w:val="24"/>
        </w:rPr>
        <w:t>r</w:t>
      </w:r>
      <w:r w:rsidR="007F364F" w:rsidRPr="00806BFF">
        <w:rPr>
          <w:szCs w:val="24"/>
        </w:rPr>
        <w:t>e</w:t>
      </w:r>
      <w:proofErr w:type="spellEnd"/>
      <w:r w:rsidRPr="00806BFF">
        <w:rPr>
          <w:szCs w:val="24"/>
        </w:rPr>
        <w:t xml:space="preserve"> </w:t>
      </w:r>
      <w:r w:rsidRPr="00806BFF">
        <w:rPr>
          <w:szCs w:val="24"/>
        </w:rPr>
        <w:sym w:font="Symbol" w:char="F0B3"/>
      </w:r>
      <w:r w:rsidRPr="00806BFF">
        <w:rPr>
          <w:szCs w:val="24"/>
        </w:rPr>
        <w:t>5</w:t>
      </w:r>
      <w:r w:rsidR="007F364F">
        <w:rPr>
          <w:szCs w:val="24"/>
        </w:rPr>
        <w:t> </w:t>
      </w:r>
      <w:proofErr w:type="spellStart"/>
      <w:r w:rsidRPr="00806BFF">
        <w:rPr>
          <w:szCs w:val="24"/>
        </w:rPr>
        <w:t>gpELISA</w:t>
      </w:r>
      <w:proofErr w:type="spellEnd"/>
      <w:r w:rsidRPr="00806BFF">
        <w:rPr>
          <w:szCs w:val="24"/>
        </w:rPr>
        <w:t xml:space="preserve"> enheder/ml</w:t>
      </w:r>
      <w:r>
        <w:rPr>
          <w:szCs w:val="24"/>
        </w:rPr>
        <w:t xml:space="preserve"> </w:t>
      </w:r>
      <w:r w:rsidRPr="00806BFF">
        <w:rPr>
          <w:szCs w:val="24"/>
        </w:rPr>
        <w:t>varierer fra 76 til 98</w:t>
      </w:r>
      <w:r w:rsidR="007620CE">
        <w:rPr>
          <w:szCs w:val="24"/>
        </w:rPr>
        <w:t xml:space="preserve"> %</w:t>
      </w:r>
      <w:r w:rsidRPr="00806BFF">
        <w:rPr>
          <w:szCs w:val="24"/>
        </w:rPr>
        <w:t>.</w:t>
      </w:r>
    </w:p>
    <w:p w:rsidR="008C6ED0" w:rsidRPr="00806BFF" w:rsidRDefault="008C6ED0" w:rsidP="008C6ED0">
      <w:pPr>
        <w:suppressAutoHyphens/>
        <w:rPr>
          <w:szCs w:val="24"/>
        </w:rPr>
      </w:pPr>
    </w:p>
    <w:p w:rsidR="008C6ED0" w:rsidRPr="00806BFF" w:rsidRDefault="008C6ED0" w:rsidP="008C6ED0">
      <w:pPr>
        <w:suppressAutoHyphens/>
        <w:ind w:left="851"/>
        <w:rPr>
          <w:szCs w:val="24"/>
        </w:rPr>
      </w:pPr>
      <w:r w:rsidRPr="00806BFF">
        <w:rPr>
          <w:szCs w:val="24"/>
        </w:rPr>
        <w:t xml:space="preserve">Der findes ingen data for immunrespons for </w:t>
      </w:r>
      <w:proofErr w:type="spellStart"/>
      <w:r w:rsidR="00C4776E">
        <w:rPr>
          <w:szCs w:val="24"/>
        </w:rPr>
        <w:t>Varivax</w:t>
      </w:r>
      <w:proofErr w:type="spellEnd"/>
      <w:r w:rsidRPr="00806BFF">
        <w:rPr>
          <w:szCs w:val="24"/>
        </w:rPr>
        <w:t xml:space="preserve"> i </w:t>
      </w:r>
      <w:proofErr w:type="spellStart"/>
      <w:r w:rsidRPr="00806BFF">
        <w:rPr>
          <w:szCs w:val="24"/>
        </w:rPr>
        <w:t>varicella</w:t>
      </w:r>
      <w:proofErr w:type="spellEnd"/>
      <w:r w:rsidRPr="00806BFF">
        <w:rPr>
          <w:szCs w:val="24"/>
        </w:rPr>
        <w:t>-</w:t>
      </w:r>
      <w:proofErr w:type="spellStart"/>
      <w:r w:rsidRPr="00806BFF">
        <w:rPr>
          <w:szCs w:val="24"/>
        </w:rPr>
        <w:t>zoster</w:t>
      </w:r>
      <w:proofErr w:type="spellEnd"/>
      <w:r w:rsidRPr="00806BFF">
        <w:rPr>
          <w:szCs w:val="24"/>
        </w:rPr>
        <w:t>-virus (VZV)-</w:t>
      </w:r>
      <w:proofErr w:type="spellStart"/>
      <w:r w:rsidRPr="00806BFF">
        <w:rPr>
          <w:szCs w:val="24"/>
        </w:rPr>
        <w:t>seronegative</w:t>
      </w:r>
      <w:proofErr w:type="spellEnd"/>
      <w:r w:rsidRPr="00806BFF">
        <w:rPr>
          <w:szCs w:val="24"/>
        </w:rPr>
        <w:t xml:space="preserve"> personer </w:t>
      </w:r>
      <w:r w:rsidRPr="00806BFF">
        <w:rPr>
          <w:szCs w:val="24"/>
        </w:rPr>
        <w:sym w:font="Symbol" w:char="F0B3"/>
      </w:r>
      <w:r w:rsidRPr="00806BFF">
        <w:rPr>
          <w:szCs w:val="24"/>
        </w:rPr>
        <w:t xml:space="preserve"> 65 år.</w:t>
      </w:r>
    </w:p>
    <w:p w:rsidR="008C6ED0" w:rsidRPr="00806BFF" w:rsidRDefault="008C6ED0" w:rsidP="008C6ED0">
      <w:pPr>
        <w:suppressAutoHyphens/>
        <w:ind w:left="851"/>
        <w:rPr>
          <w:szCs w:val="24"/>
        </w:rPr>
      </w:pPr>
    </w:p>
    <w:p w:rsidR="003B6F5F" w:rsidRPr="00591DE4" w:rsidRDefault="003B6F5F" w:rsidP="003B6F5F">
      <w:pPr>
        <w:keepNext/>
        <w:suppressAutoHyphens/>
        <w:ind w:left="851"/>
        <w:rPr>
          <w:szCs w:val="24"/>
          <w:u w:val="single"/>
        </w:rPr>
      </w:pPr>
      <w:proofErr w:type="spellStart"/>
      <w:r w:rsidRPr="00591DE4">
        <w:rPr>
          <w:szCs w:val="24"/>
          <w:u w:val="single"/>
        </w:rPr>
        <w:t>Humoral</w:t>
      </w:r>
      <w:proofErr w:type="spellEnd"/>
      <w:r w:rsidRPr="00591DE4">
        <w:rPr>
          <w:szCs w:val="24"/>
          <w:u w:val="single"/>
        </w:rPr>
        <w:t xml:space="preserve"> immunitet </w:t>
      </w:r>
      <w:r>
        <w:rPr>
          <w:szCs w:val="24"/>
          <w:u w:val="single"/>
        </w:rPr>
        <w:t>i henhold til</w:t>
      </w:r>
      <w:r w:rsidRPr="00591DE4">
        <w:rPr>
          <w:szCs w:val="24"/>
          <w:u w:val="single"/>
        </w:rPr>
        <w:t xml:space="preserve"> administrationsvej</w:t>
      </w:r>
    </w:p>
    <w:p w:rsidR="003B6F5F" w:rsidRPr="00806BFF" w:rsidRDefault="003B6F5F" w:rsidP="003B6F5F">
      <w:pPr>
        <w:suppressAutoHyphens/>
        <w:ind w:left="851"/>
        <w:rPr>
          <w:szCs w:val="24"/>
        </w:rPr>
      </w:pPr>
      <w:r w:rsidRPr="00806BFF">
        <w:rPr>
          <w:szCs w:val="24"/>
        </w:rPr>
        <w:t>I et sammenlignings</w:t>
      </w:r>
      <w:r>
        <w:rPr>
          <w:szCs w:val="24"/>
        </w:rPr>
        <w:t>studie</w:t>
      </w:r>
      <w:r w:rsidRPr="00806BFF">
        <w:rPr>
          <w:szCs w:val="24"/>
        </w:rPr>
        <w:t xml:space="preserve">, hvor 752 personer </w:t>
      </w:r>
      <w:r>
        <w:rPr>
          <w:szCs w:val="24"/>
        </w:rPr>
        <w:t>fik</w:t>
      </w:r>
      <w:r w:rsidRPr="00806BFF">
        <w:rPr>
          <w:szCs w:val="24"/>
        </w:rPr>
        <w:t xml:space="preserve"> </w:t>
      </w:r>
      <w:proofErr w:type="spellStart"/>
      <w:r>
        <w:rPr>
          <w:szCs w:val="24"/>
        </w:rPr>
        <w:t>Varivax</w:t>
      </w:r>
      <w:proofErr w:type="spellEnd"/>
      <w:r w:rsidRPr="00806BFF">
        <w:rPr>
          <w:szCs w:val="24"/>
        </w:rPr>
        <w:t xml:space="preserve"> enten intramuskulært eller subkutant demonstrerede begge administrationsveje en tilsvarende </w:t>
      </w:r>
      <w:proofErr w:type="spellStart"/>
      <w:r w:rsidRPr="00806BFF">
        <w:rPr>
          <w:szCs w:val="24"/>
        </w:rPr>
        <w:t>immunogenicitet</w:t>
      </w:r>
      <w:r>
        <w:rPr>
          <w:szCs w:val="24"/>
        </w:rPr>
        <w:t>s</w:t>
      </w:r>
      <w:r w:rsidRPr="00806BFF">
        <w:rPr>
          <w:szCs w:val="24"/>
        </w:rPr>
        <w:t>profil</w:t>
      </w:r>
      <w:proofErr w:type="spellEnd"/>
      <w:r w:rsidRPr="00806BFF">
        <w:rPr>
          <w:szCs w:val="24"/>
        </w:rPr>
        <w:t>.</w:t>
      </w:r>
    </w:p>
    <w:p w:rsidR="003B6F5F" w:rsidRPr="00806BFF" w:rsidRDefault="003B6F5F" w:rsidP="003B6F5F">
      <w:pPr>
        <w:suppressAutoHyphens/>
        <w:ind w:left="851"/>
        <w:rPr>
          <w:szCs w:val="24"/>
        </w:rPr>
      </w:pPr>
    </w:p>
    <w:p w:rsidR="003B6F5F" w:rsidRPr="00806BFF" w:rsidRDefault="003B6F5F" w:rsidP="003B6F5F">
      <w:pPr>
        <w:ind w:left="851"/>
        <w:jc w:val="both"/>
        <w:rPr>
          <w:i/>
          <w:szCs w:val="24"/>
        </w:rPr>
      </w:pPr>
      <w:r w:rsidRPr="00806BFF">
        <w:rPr>
          <w:i/>
          <w:szCs w:val="24"/>
        </w:rPr>
        <w:t>To-dosisregime til raske børn fra 12 måneder op til 12 år</w:t>
      </w:r>
    </w:p>
    <w:p w:rsidR="003B6F5F" w:rsidRDefault="003B6F5F" w:rsidP="003B6F5F">
      <w:pPr>
        <w:ind w:left="851"/>
        <w:rPr>
          <w:szCs w:val="24"/>
        </w:rPr>
      </w:pPr>
      <w:r w:rsidRPr="00806BFF">
        <w:rPr>
          <w:szCs w:val="24"/>
        </w:rPr>
        <w:t>I e</w:t>
      </w:r>
      <w:r>
        <w:rPr>
          <w:szCs w:val="24"/>
        </w:rPr>
        <w:t>t</w:t>
      </w:r>
      <w:r w:rsidRPr="00806BFF">
        <w:rPr>
          <w:szCs w:val="24"/>
        </w:rPr>
        <w:t xml:space="preserve"> multicenter</w:t>
      </w:r>
      <w:r>
        <w:rPr>
          <w:szCs w:val="24"/>
        </w:rPr>
        <w:t>studie</w:t>
      </w:r>
      <w:r w:rsidRPr="00806BFF">
        <w:rPr>
          <w:szCs w:val="24"/>
        </w:rPr>
        <w:t xml:space="preserve"> </w:t>
      </w:r>
      <w:r>
        <w:rPr>
          <w:szCs w:val="24"/>
        </w:rPr>
        <w:t>fik</w:t>
      </w:r>
      <w:r w:rsidRPr="00806BFF">
        <w:rPr>
          <w:szCs w:val="24"/>
        </w:rPr>
        <w:t xml:space="preserve"> raske børn i alderen fra 12 måneder til 12</w:t>
      </w:r>
      <w:r>
        <w:rPr>
          <w:szCs w:val="24"/>
        </w:rPr>
        <w:t> </w:t>
      </w:r>
      <w:r w:rsidRPr="00806BFF">
        <w:rPr>
          <w:szCs w:val="24"/>
        </w:rPr>
        <w:t xml:space="preserve">år enten 1 dosis </w:t>
      </w:r>
      <w:proofErr w:type="spellStart"/>
      <w:r>
        <w:rPr>
          <w:szCs w:val="24"/>
        </w:rPr>
        <w:t>Varivax</w:t>
      </w:r>
      <w:proofErr w:type="spellEnd"/>
      <w:r w:rsidRPr="00806BFF">
        <w:rPr>
          <w:szCs w:val="24"/>
        </w:rPr>
        <w:t xml:space="preserve"> eller 2 doser givet med 3 måneders mellemrum. Resultaterne for </w:t>
      </w:r>
      <w:proofErr w:type="spellStart"/>
      <w:r w:rsidRPr="00806BFF">
        <w:rPr>
          <w:szCs w:val="24"/>
        </w:rPr>
        <w:t>immunogenicitet</w:t>
      </w:r>
      <w:proofErr w:type="spellEnd"/>
      <w:r w:rsidRPr="00806BFF">
        <w:rPr>
          <w:szCs w:val="24"/>
        </w:rPr>
        <w:t xml:space="preserve"> er vist i følgende skema. </w:t>
      </w:r>
    </w:p>
    <w:p w:rsidR="007651B7" w:rsidRPr="00806BFF" w:rsidRDefault="007651B7" w:rsidP="008C6ED0">
      <w:pPr>
        <w:ind w:left="851"/>
        <w:rPr>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843"/>
        <w:gridCol w:w="2126"/>
        <w:gridCol w:w="2551"/>
      </w:tblGrid>
      <w:tr w:rsidR="008C6ED0" w:rsidRPr="00003DE5" w:rsidTr="00715D42">
        <w:tc>
          <w:tcPr>
            <w:tcW w:w="2268"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851"/>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rsidR="008C6ED0" w:rsidRPr="00003DE5" w:rsidRDefault="00A403DD" w:rsidP="001322F7">
            <w:pPr>
              <w:keepNext/>
              <w:ind w:left="34"/>
              <w:jc w:val="center"/>
              <w:rPr>
                <w:sz w:val="22"/>
                <w:szCs w:val="22"/>
              </w:rPr>
            </w:pPr>
            <w:proofErr w:type="spellStart"/>
            <w:r w:rsidRPr="00003DE5">
              <w:rPr>
                <w:sz w:val="22"/>
                <w:szCs w:val="22"/>
              </w:rPr>
              <w:t>Varivax</w:t>
            </w:r>
            <w:proofErr w:type="spellEnd"/>
          </w:p>
          <w:p w:rsidR="008C6ED0" w:rsidRPr="00003DE5" w:rsidRDefault="00E75A72" w:rsidP="001322F7">
            <w:pPr>
              <w:keepNext/>
              <w:ind w:left="34"/>
              <w:jc w:val="center"/>
              <w:rPr>
                <w:sz w:val="22"/>
                <w:szCs w:val="22"/>
              </w:rPr>
            </w:pPr>
            <w:r w:rsidRPr="00003DE5">
              <w:rPr>
                <w:sz w:val="22"/>
                <w:szCs w:val="22"/>
              </w:rPr>
              <w:t>1-d</w:t>
            </w:r>
            <w:r w:rsidR="008C6ED0" w:rsidRPr="00003DE5">
              <w:rPr>
                <w:sz w:val="22"/>
                <w:szCs w:val="22"/>
              </w:rPr>
              <w:t>osis regime</w:t>
            </w:r>
          </w:p>
          <w:p w:rsidR="008C6ED0" w:rsidRPr="00003DE5" w:rsidRDefault="008C6ED0" w:rsidP="001322F7">
            <w:pPr>
              <w:keepNext/>
              <w:ind w:left="34"/>
              <w:jc w:val="center"/>
              <w:rPr>
                <w:sz w:val="22"/>
                <w:szCs w:val="22"/>
              </w:rPr>
            </w:pPr>
            <w:r w:rsidRPr="00003DE5">
              <w:rPr>
                <w:sz w:val="22"/>
                <w:szCs w:val="22"/>
              </w:rPr>
              <w:t>(N = 1</w:t>
            </w:r>
            <w:r w:rsidR="00E75A72" w:rsidRPr="00003DE5">
              <w:rPr>
                <w:sz w:val="22"/>
                <w:szCs w:val="22"/>
              </w:rPr>
              <w:t>.</w:t>
            </w:r>
            <w:r w:rsidRPr="00003DE5">
              <w:rPr>
                <w:sz w:val="22"/>
                <w:szCs w:val="22"/>
              </w:rPr>
              <w:t>114)</w:t>
            </w:r>
          </w:p>
        </w:tc>
        <w:tc>
          <w:tcPr>
            <w:tcW w:w="4677" w:type="dxa"/>
            <w:gridSpan w:val="2"/>
            <w:tcBorders>
              <w:top w:val="single" w:sz="6" w:space="0" w:color="auto"/>
              <w:left w:val="single" w:sz="6" w:space="0" w:color="auto"/>
              <w:bottom w:val="single" w:sz="6" w:space="0" w:color="auto"/>
              <w:right w:val="single" w:sz="6" w:space="0" w:color="auto"/>
            </w:tcBorders>
          </w:tcPr>
          <w:p w:rsidR="008C6ED0" w:rsidRPr="00003DE5" w:rsidRDefault="00A403DD" w:rsidP="001322F7">
            <w:pPr>
              <w:keepNext/>
              <w:ind w:left="851"/>
              <w:jc w:val="center"/>
              <w:rPr>
                <w:sz w:val="22"/>
                <w:szCs w:val="22"/>
              </w:rPr>
            </w:pPr>
            <w:proofErr w:type="spellStart"/>
            <w:r w:rsidRPr="00003DE5">
              <w:rPr>
                <w:sz w:val="22"/>
                <w:szCs w:val="22"/>
              </w:rPr>
              <w:t>Varivax</w:t>
            </w:r>
            <w:proofErr w:type="spellEnd"/>
          </w:p>
          <w:p w:rsidR="008C6ED0" w:rsidRPr="00003DE5" w:rsidRDefault="008C6ED0" w:rsidP="001322F7">
            <w:pPr>
              <w:keepNext/>
              <w:ind w:left="851"/>
              <w:jc w:val="center"/>
              <w:rPr>
                <w:sz w:val="22"/>
                <w:szCs w:val="22"/>
              </w:rPr>
            </w:pPr>
            <w:r w:rsidRPr="00003DE5">
              <w:rPr>
                <w:sz w:val="22"/>
                <w:szCs w:val="22"/>
              </w:rPr>
              <w:t>2-</w:t>
            </w:r>
            <w:r w:rsidR="00E75A72" w:rsidRPr="00003DE5">
              <w:rPr>
                <w:sz w:val="22"/>
                <w:szCs w:val="22"/>
              </w:rPr>
              <w:t>d</w:t>
            </w:r>
            <w:r w:rsidRPr="00003DE5">
              <w:rPr>
                <w:sz w:val="22"/>
                <w:szCs w:val="22"/>
              </w:rPr>
              <w:t>osis regime</w:t>
            </w:r>
          </w:p>
          <w:p w:rsidR="008C6ED0" w:rsidRPr="00003DE5" w:rsidRDefault="008C6ED0" w:rsidP="001322F7">
            <w:pPr>
              <w:keepNext/>
              <w:ind w:left="851"/>
              <w:jc w:val="center"/>
              <w:rPr>
                <w:sz w:val="22"/>
                <w:szCs w:val="22"/>
              </w:rPr>
            </w:pPr>
            <w:r w:rsidRPr="00003DE5">
              <w:rPr>
                <w:sz w:val="22"/>
                <w:szCs w:val="22"/>
              </w:rPr>
              <w:t>(N = 1</w:t>
            </w:r>
            <w:r w:rsidR="00E75A72" w:rsidRPr="00003DE5">
              <w:rPr>
                <w:sz w:val="22"/>
                <w:szCs w:val="22"/>
              </w:rPr>
              <w:t>.</w:t>
            </w:r>
            <w:r w:rsidRPr="00003DE5">
              <w:rPr>
                <w:sz w:val="22"/>
                <w:szCs w:val="22"/>
              </w:rPr>
              <w:t>102)</w:t>
            </w:r>
          </w:p>
        </w:tc>
      </w:tr>
      <w:tr w:rsidR="008C6ED0" w:rsidRPr="00003DE5" w:rsidTr="00715D42">
        <w:tc>
          <w:tcPr>
            <w:tcW w:w="2268"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851"/>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4"/>
              <w:jc w:val="center"/>
              <w:rPr>
                <w:sz w:val="22"/>
                <w:szCs w:val="22"/>
              </w:rPr>
            </w:pPr>
            <w:r w:rsidRPr="00003DE5">
              <w:rPr>
                <w:sz w:val="22"/>
                <w:szCs w:val="22"/>
              </w:rPr>
              <w:t>6 uger efter vaccination</w:t>
            </w:r>
          </w:p>
        </w:tc>
        <w:tc>
          <w:tcPr>
            <w:tcW w:w="2126"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3"/>
              <w:jc w:val="center"/>
              <w:rPr>
                <w:sz w:val="22"/>
                <w:szCs w:val="22"/>
              </w:rPr>
            </w:pPr>
            <w:r w:rsidRPr="00003DE5">
              <w:rPr>
                <w:sz w:val="22"/>
                <w:szCs w:val="22"/>
              </w:rPr>
              <w:t xml:space="preserve">6 uger efter 1. dosis </w:t>
            </w:r>
          </w:p>
        </w:tc>
        <w:tc>
          <w:tcPr>
            <w:tcW w:w="2551"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4"/>
              <w:jc w:val="center"/>
              <w:rPr>
                <w:sz w:val="22"/>
                <w:szCs w:val="22"/>
              </w:rPr>
            </w:pPr>
            <w:r w:rsidRPr="00003DE5">
              <w:rPr>
                <w:sz w:val="22"/>
                <w:szCs w:val="22"/>
              </w:rPr>
              <w:t xml:space="preserve">6 uger efter 2. dosis </w:t>
            </w:r>
          </w:p>
        </w:tc>
      </w:tr>
      <w:tr w:rsidR="008C6ED0" w:rsidRPr="00003DE5" w:rsidTr="00715D42">
        <w:tc>
          <w:tcPr>
            <w:tcW w:w="2268" w:type="dxa"/>
            <w:tcBorders>
              <w:top w:val="single" w:sz="6" w:space="0" w:color="auto"/>
              <w:left w:val="single" w:sz="6" w:space="0" w:color="auto"/>
              <w:bottom w:val="single" w:sz="6" w:space="0" w:color="auto"/>
              <w:right w:val="single" w:sz="6" w:space="0" w:color="auto"/>
            </w:tcBorders>
          </w:tcPr>
          <w:p w:rsidR="00E75A72" w:rsidRPr="00003DE5" w:rsidRDefault="00E75A72" w:rsidP="001322F7">
            <w:pPr>
              <w:keepNext/>
              <w:ind w:left="34"/>
              <w:rPr>
                <w:sz w:val="22"/>
                <w:szCs w:val="22"/>
              </w:rPr>
            </w:pPr>
            <w:proofErr w:type="spellStart"/>
            <w:r w:rsidRPr="00003DE5">
              <w:rPr>
                <w:sz w:val="22"/>
                <w:szCs w:val="22"/>
              </w:rPr>
              <w:t>Serokonverteringsrate</w:t>
            </w:r>
            <w:proofErr w:type="spellEnd"/>
            <w:r w:rsidRPr="00003DE5">
              <w:rPr>
                <w:sz w:val="22"/>
                <w:szCs w:val="22"/>
              </w:rPr>
              <w:t xml:space="preserve"> </w:t>
            </w:r>
          </w:p>
          <w:p w:rsidR="008C6ED0" w:rsidRPr="00003DE5" w:rsidRDefault="008C6ED0" w:rsidP="001322F7">
            <w:pPr>
              <w:keepNext/>
              <w:ind w:left="34"/>
              <w:rPr>
                <w:sz w:val="22"/>
                <w:szCs w:val="22"/>
              </w:rPr>
            </w:pPr>
            <w:r w:rsidRPr="00003DE5">
              <w:rPr>
                <w:sz w:val="22"/>
                <w:szCs w:val="22"/>
              </w:rPr>
              <w:t xml:space="preserve"> </w:t>
            </w:r>
          </w:p>
          <w:p w:rsidR="008C6ED0" w:rsidRPr="00003DE5" w:rsidRDefault="008C6ED0" w:rsidP="001322F7">
            <w:pPr>
              <w:keepNext/>
              <w:ind w:left="851"/>
              <w:rPr>
                <w:sz w:val="22"/>
                <w:szCs w:val="22"/>
              </w:rPr>
            </w:pPr>
          </w:p>
        </w:tc>
        <w:tc>
          <w:tcPr>
            <w:tcW w:w="1843"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4"/>
              <w:jc w:val="center"/>
              <w:rPr>
                <w:sz w:val="22"/>
                <w:szCs w:val="22"/>
              </w:rPr>
            </w:pPr>
            <w:r w:rsidRPr="00003DE5">
              <w:rPr>
                <w:sz w:val="22"/>
                <w:szCs w:val="22"/>
              </w:rPr>
              <w:t>98,9</w:t>
            </w:r>
            <w:r w:rsidR="007620CE" w:rsidRPr="00003DE5">
              <w:rPr>
                <w:sz w:val="22"/>
                <w:szCs w:val="22"/>
              </w:rPr>
              <w:t xml:space="preserve"> %</w:t>
            </w:r>
            <w:r w:rsidRPr="00003DE5">
              <w:rPr>
                <w:sz w:val="22"/>
                <w:szCs w:val="22"/>
              </w:rPr>
              <w:t xml:space="preserve"> (882/892)</w:t>
            </w:r>
          </w:p>
        </w:tc>
        <w:tc>
          <w:tcPr>
            <w:tcW w:w="2126"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3"/>
              <w:jc w:val="center"/>
              <w:rPr>
                <w:sz w:val="22"/>
                <w:szCs w:val="22"/>
              </w:rPr>
            </w:pPr>
            <w:r w:rsidRPr="00003DE5">
              <w:rPr>
                <w:sz w:val="22"/>
                <w:szCs w:val="22"/>
              </w:rPr>
              <w:t>99,5</w:t>
            </w:r>
            <w:r w:rsidR="007620CE" w:rsidRPr="00003DE5">
              <w:rPr>
                <w:sz w:val="22"/>
                <w:szCs w:val="22"/>
              </w:rPr>
              <w:t xml:space="preserve"> %</w:t>
            </w:r>
            <w:r w:rsidRPr="00003DE5">
              <w:rPr>
                <w:sz w:val="22"/>
                <w:szCs w:val="22"/>
              </w:rPr>
              <w:t xml:space="preserve"> (847/851) </w:t>
            </w:r>
          </w:p>
        </w:tc>
        <w:tc>
          <w:tcPr>
            <w:tcW w:w="2551" w:type="dxa"/>
            <w:tcBorders>
              <w:top w:val="single" w:sz="6" w:space="0" w:color="auto"/>
              <w:left w:val="single" w:sz="6" w:space="0" w:color="auto"/>
              <w:bottom w:val="single" w:sz="6" w:space="0" w:color="auto"/>
              <w:right w:val="single" w:sz="6" w:space="0" w:color="auto"/>
            </w:tcBorders>
          </w:tcPr>
          <w:p w:rsidR="008C6ED0" w:rsidRPr="00003DE5" w:rsidRDefault="008C6ED0" w:rsidP="001322F7">
            <w:pPr>
              <w:keepNext/>
              <w:ind w:left="34"/>
              <w:jc w:val="center"/>
              <w:rPr>
                <w:sz w:val="22"/>
                <w:szCs w:val="22"/>
              </w:rPr>
            </w:pPr>
            <w:r w:rsidRPr="00003DE5">
              <w:rPr>
                <w:sz w:val="22"/>
                <w:szCs w:val="22"/>
              </w:rPr>
              <w:t>99,9</w:t>
            </w:r>
            <w:r w:rsidR="007620CE" w:rsidRPr="00003DE5">
              <w:rPr>
                <w:sz w:val="22"/>
                <w:szCs w:val="22"/>
              </w:rPr>
              <w:t xml:space="preserve"> %</w:t>
            </w:r>
            <w:r w:rsidRPr="00003DE5">
              <w:rPr>
                <w:sz w:val="22"/>
                <w:szCs w:val="22"/>
              </w:rPr>
              <w:t xml:space="preserve"> (768/769)</w:t>
            </w:r>
          </w:p>
        </w:tc>
      </w:tr>
      <w:tr w:rsidR="008C6ED0" w:rsidRPr="00003DE5" w:rsidTr="00715D42">
        <w:tc>
          <w:tcPr>
            <w:tcW w:w="2268"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4"/>
              <w:rPr>
                <w:sz w:val="22"/>
                <w:szCs w:val="22"/>
              </w:rPr>
            </w:pPr>
            <w:r w:rsidRPr="00003DE5">
              <w:rPr>
                <w:sz w:val="22"/>
                <w:szCs w:val="22"/>
              </w:rPr>
              <w:t xml:space="preserve">Procentdel med VZV </w:t>
            </w:r>
            <w:proofErr w:type="spellStart"/>
            <w:r w:rsidRPr="00003DE5">
              <w:rPr>
                <w:sz w:val="22"/>
                <w:szCs w:val="22"/>
              </w:rPr>
              <w:t>antistoftiter</w:t>
            </w:r>
            <w:proofErr w:type="spellEnd"/>
            <w:r w:rsidRPr="00003DE5">
              <w:rPr>
                <w:sz w:val="22"/>
                <w:szCs w:val="22"/>
              </w:rPr>
              <w:t xml:space="preserve"> ≥5 </w:t>
            </w:r>
            <w:proofErr w:type="spellStart"/>
            <w:r w:rsidRPr="00003DE5">
              <w:rPr>
                <w:sz w:val="22"/>
                <w:szCs w:val="22"/>
              </w:rPr>
              <w:t>gpELISA</w:t>
            </w:r>
            <w:proofErr w:type="spellEnd"/>
            <w:r w:rsidRPr="00003DE5">
              <w:rPr>
                <w:sz w:val="22"/>
                <w:szCs w:val="22"/>
              </w:rPr>
              <w:t xml:space="preserve"> enheder/ml (</w:t>
            </w:r>
            <w:proofErr w:type="spellStart"/>
            <w:r w:rsidRPr="00003DE5">
              <w:rPr>
                <w:sz w:val="22"/>
                <w:szCs w:val="22"/>
              </w:rPr>
              <w:t>serobeskyttelsesrate</w:t>
            </w:r>
            <w:proofErr w:type="spellEnd"/>
            <w:r w:rsidRPr="00003DE5">
              <w:rPr>
                <w:sz w:val="22"/>
                <w:szCs w:val="22"/>
              </w:rPr>
              <w:t>)</w:t>
            </w:r>
          </w:p>
        </w:tc>
        <w:tc>
          <w:tcPr>
            <w:tcW w:w="1843"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4"/>
              <w:jc w:val="center"/>
              <w:rPr>
                <w:sz w:val="22"/>
                <w:szCs w:val="22"/>
              </w:rPr>
            </w:pPr>
            <w:r w:rsidRPr="00003DE5">
              <w:rPr>
                <w:sz w:val="22"/>
                <w:szCs w:val="22"/>
              </w:rPr>
              <w:t>84,9</w:t>
            </w:r>
            <w:r w:rsidR="007620CE" w:rsidRPr="00003DE5">
              <w:rPr>
                <w:sz w:val="22"/>
                <w:szCs w:val="22"/>
              </w:rPr>
              <w:t xml:space="preserve"> %</w:t>
            </w:r>
            <w:r w:rsidRPr="00003DE5">
              <w:rPr>
                <w:sz w:val="22"/>
                <w:szCs w:val="22"/>
              </w:rPr>
              <w:t xml:space="preserve"> (757/892)</w:t>
            </w:r>
          </w:p>
        </w:tc>
        <w:tc>
          <w:tcPr>
            <w:tcW w:w="2126"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3"/>
              <w:jc w:val="center"/>
              <w:rPr>
                <w:sz w:val="22"/>
                <w:szCs w:val="22"/>
              </w:rPr>
            </w:pPr>
            <w:r w:rsidRPr="00003DE5">
              <w:rPr>
                <w:sz w:val="22"/>
                <w:szCs w:val="22"/>
              </w:rPr>
              <w:t>87,3</w:t>
            </w:r>
            <w:r w:rsidR="007620CE" w:rsidRPr="00003DE5">
              <w:rPr>
                <w:sz w:val="22"/>
                <w:szCs w:val="22"/>
              </w:rPr>
              <w:t xml:space="preserve"> %</w:t>
            </w:r>
            <w:r w:rsidRPr="00003DE5">
              <w:rPr>
                <w:sz w:val="22"/>
                <w:szCs w:val="22"/>
              </w:rPr>
              <w:t xml:space="preserve"> (743/851) </w:t>
            </w:r>
          </w:p>
        </w:tc>
        <w:tc>
          <w:tcPr>
            <w:tcW w:w="2551"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4"/>
              <w:jc w:val="center"/>
              <w:rPr>
                <w:sz w:val="22"/>
                <w:szCs w:val="22"/>
              </w:rPr>
            </w:pPr>
            <w:r w:rsidRPr="00003DE5">
              <w:rPr>
                <w:sz w:val="22"/>
                <w:szCs w:val="22"/>
              </w:rPr>
              <w:t>99,5</w:t>
            </w:r>
            <w:r w:rsidR="007620CE" w:rsidRPr="00003DE5">
              <w:rPr>
                <w:sz w:val="22"/>
                <w:szCs w:val="22"/>
              </w:rPr>
              <w:t xml:space="preserve"> %</w:t>
            </w:r>
            <w:r w:rsidRPr="00003DE5">
              <w:rPr>
                <w:sz w:val="22"/>
                <w:szCs w:val="22"/>
              </w:rPr>
              <w:t xml:space="preserve"> (765/769)</w:t>
            </w:r>
          </w:p>
        </w:tc>
      </w:tr>
      <w:tr w:rsidR="008C6ED0" w:rsidRPr="00003DE5" w:rsidTr="00715D42">
        <w:tc>
          <w:tcPr>
            <w:tcW w:w="2268" w:type="dxa"/>
            <w:tcBorders>
              <w:top w:val="single" w:sz="6" w:space="0" w:color="auto"/>
              <w:left w:val="single" w:sz="6" w:space="0" w:color="auto"/>
              <w:bottom w:val="single" w:sz="6" w:space="0" w:color="auto"/>
              <w:right w:val="single" w:sz="6" w:space="0" w:color="auto"/>
            </w:tcBorders>
          </w:tcPr>
          <w:p w:rsidR="008C6ED0" w:rsidRPr="00003DE5" w:rsidRDefault="007F364F" w:rsidP="00715D42">
            <w:pPr>
              <w:ind w:left="34"/>
              <w:rPr>
                <w:sz w:val="22"/>
                <w:szCs w:val="22"/>
              </w:rPr>
            </w:pPr>
            <w:r w:rsidRPr="00003DE5">
              <w:rPr>
                <w:sz w:val="22"/>
                <w:szCs w:val="22"/>
              </w:rPr>
              <w:lastRenderedPageBreak/>
              <w:t xml:space="preserve">Geometriske </w:t>
            </w:r>
            <w:proofErr w:type="spellStart"/>
            <w:r w:rsidRPr="00003DE5">
              <w:rPr>
                <w:sz w:val="22"/>
                <w:szCs w:val="22"/>
              </w:rPr>
              <w:t>middeltitre</w:t>
            </w:r>
            <w:proofErr w:type="spellEnd"/>
            <w:r w:rsidRPr="00003DE5">
              <w:rPr>
                <w:sz w:val="22"/>
                <w:szCs w:val="22"/>
              </w:rPr>
              <w:t xml:space="preserve"> (</w:t>
            </w:r>
            <w:proofErr w:type="spellStart"/>
            <w:r w:rsidRPr="00003DE5">
              <w:rPr>
                <w:sz w:val="22"/>
                <w:szCs w:val="22"/>
              </w:rPr>
              <w:t>gpELISA</w:t>
            </w:r>
            <w:proofErr w:type="spellEnd"/>
            <w:r w:rsidRPr="00003DE5">
              <w:rPr>
                <w:sz w:val="22"/>
                <w:szCs w:val="22"/>
              </w:rPr>
              <w:t xml:space="preserve"> enheder/ml)</w:t>
            </w:r>
          </w:p>
        </w:tc>
        <w:tc>
          <w:tcPr>
            <w:tcW w:w="1843"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4"/>
              <w:jc w:val="center"/>
              <w:rPr>
                <w:sz w:val="22"/>
                <w:szCs w:val="22"/>
              </w:rPr>
            </w:pPr>
            <w:r w:rsidRPr="00003DE5">
              <w:rPr>
                <w:sz w:val="22"/>
                <w:szCs w:val="22"/>
              </w:rPr>
              <w:t>12,0</w:t>
            </w:r>
          </w:p>
        </w:tc>
        <w:tc>
          <w:tcPr>
            <w:tcW w:w="2126"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3"/>
              <w:jc w:val="center"/>
              <w:rPr>
                <w:sz w:val="22"/>
                <w:szCs w:val="22"/>
              </w:rPr>
            </w:pPr>
            <w:r w:rsidRPr="00003DE5">
              <w:rPr>
                <w:sz w:val="22"/>
                <w:szCs w:val="22"/>
              </w:rPr>
              <w:t>12,8</w:t>
            </w:r>
          </w:p>
        </w:tc>
        <w:tc>
          <w:tcPr>
            <w:tcW w:w="2551" w:type="dxa"/>
            <w:tcBorders>
              <w:top w:val="single" w:sz="6" w:space="0" w:color="auto"/>
              <w:left w:val="single" w:sz="6" w:space="0" w:color="auto"/>
              <w:bottom w:val="single" w:sz="6" w:space="0" w:color="auto"/>
              <w:right w:val="single" w:sz="6" w:space="0" w:color="auto"/>
            </w:tcBorders>
          </w:tcPr>
          <w:p w:rsidR="008C6ED0" w:rsidRPr="00003DE5" w:rsidRDefault="008C6ED0" w:rsidP="00715D42">
            <w:pPr>
              <w:ind w:left="34"/>
              <w:jc w:val="center"/>
              <w:rPr>
                <w:sz w:val="22"/>
                <w:szCs w:val="22"/>
              </w:rPr>
            </w:pPr>
            <w:r w:rsidRPr="00003DE5">
              <w:rPr>
                <w:sz w:val="22"/>
                <w:szCs w:val="22"/>
              </w:rPr>
              <w:t>141,5</w:t>
            </w:r>
          </w:p>
        </w:tc>
      </w:tr>
    </w:tbl>
    <w:p w:rsidR="008C6ED0" w:rsidRPr="00806BFF" w:rsidRDefault="008C6ED0" w:rsidP="008C6ED0">
      <w:pPr>
        <w:ind w:left="851"/>
        <w:rPr>
          <w:szCs w:val="24"/>
        </w:rPr>
      </w:pPr>
    </w:p>
    <w:p w:rsidR="008C6ED0" w:rsidRDefault="008C6ED0" w:rsidP="00E03D8E">
      <w:pPr>
        <w:ind w:left="851"/>
      </w:pPr>
      <w:r w:rsidRPr="00806BFF">
        <w:t xml:space="preserve">Resultaterne fra </w:t>
      </w:r>
      <w:r w:rsidR="00E75A72">
        <w:t>dette studie</w:t>
      </w:r>
      <w:r w:rsidRPr="00806BFF">
        <w:t xml:space="preserve"> og andre </w:t>
      </w:r>
      <w:r w:rsidR="00E75A72">
        <w:t>studier</w:t>
      </w:r>
      <w:r w:rsidR="005643A6">
        <w:t>, hvor</w:t>
      </w:r>
      <w:r w:rsidRPr="00806BFF">
        <w:t xml:space="preserve"> en anden vaccinedosis blev givet 3 til 6 år efter den indledende dosis, vidner om en signifikant forøgelse af VZV-antistofresponset med en anden dosis. VZV-antistofniveauer efter 2 doser givet med et mellemrum på 3 til 6 år er sammenlignelige med dem, der opnås, når de 2 doser gives med 3 måneders mellemrum. </w:t>
      </w:r>
      <w:proofErr w:type="spellStart"/>
      <w:r w:rsidRPr="00806BFF">
        <w:t>Serokonver</w:t>
      </w:r>
      <w:r w:rsidR="005643A6">
        <w:t>terings</w:t>
      </w:r>
      <w:r w:rsidRPr="00806BFF">
        <w:t>raterne</w:t>
      </w:r>
      <w:proofErr w:type="spellEnd"/>
      <w:r w:rsidRPr="00806BFF">
        <w:t xml:space="preserve"> var omtrent 100</w:t>
      </w:r>
      <w:r w:rsidR="007620CE">
        <w:t xml:space="preserve"> %</w:t>
      </w:r>
      <w:r w:rsidRPr="00806BFF">
        <w:t xml:space="preserve"> efter den første dosis og 100</w:t>
      </w:r>
      <w:r w:rsidR="007620CE">
        <w:t xml:space="preserve"> %</w:t>
      </w:r>
      <w:r w:rsidRPr="00806BFF">
        <w:t xml:space="preserve"> efter den anden dosis. Vaccinens </w:t>
      </w:r>
      <w:proofErr w:type="spellStart"/>
      <w:r w:rsidRPr="00806BFF">
        <w:t>serobeskyttelsesrater</w:t>
      </w:r>
      <w:proofErr w:type="spellEnd"/>
      <w:r w:rsidRPr="00806BFF">
        <w:t xml:space="preserve"> (≥5 </w:t>
      </w:r>
      <w:proofErr w:type="spellStart"/>
      <w:r w:rsidRPr="00806BFF">
        <w:t>gpELISA</w:t>
      </w:r>
      <w:proofErr w:type="spellEnd"/>
      <w:r w:rsidRPr="00806BFF">
        <w:t xml:space="preserve"> enheder/ml) var omtrent 85</w:t>
      </w:r>
      <w:r w:rsidR="007620CE">
        <w:t xml:space="preserve"> %</w:t>
      </w:r>
      <w:r w:rsidRPr="00806BFF">
        <w:t xml:space="preserve"> efter den første og 100</w:t>
      </w:r>
      <w:r w:rsidR="007620CE">
        <w:t xml:space="preserve"> %</w:t>
      </w:r>
      <w:r w:rsidRPr="00806BFF">
        <w:t xml:space="preserve"> efter den anden dosis</w:t>
      </w:r>
      <w:r w:rsidR="005643A6">
        <w:t>,</w:t>
      </w:r>
      <w:r w:rsidRPr="00806BFF">
        <w:t xml:space="preserve"> og </w:t>
      </w:r>
      <w:r w:rsidR="005643A6">
        <w:t xml:space="preserve">den </w:t>
      </w:r>
      <w:r w:rsidRPr="00806BFF">
        <w:t>geometrisk</w:t>
      </w:r>
      <w:r w:rsidR="005643A6">
        <w:t>e</w:t>
      </w:r>
      <w:r w:rsidRPr="00806BFF">
        <w:t xml:space="preserve"> </w:t>
      </w:r>
      <w:proofErr w:type="spellStart"/>
      <w:r w:rsidRPr="00806BFF">
        <w:t>m</w:t>
      </w:r>
      <w:r>
        <w:t>iddel</w:t>
      </w:r>
      <w:r w:rsidRPr="00806BFF">
        <w:t>titer</w:t>
      </w:r>
      <w:proofErr w:type="spellEnd"/>
      <w:r w:rsidRPr="00806BFF">
        <w:t xml:space="preserve"> (GMT) steg gennemsnitligt cirka 10 gange efter den anden dosis (vedr. sikkerhed se pkt. 4.8).</w:t>
      </w:r>
    </w:p>
    <w:p w:rsidR="00442990" w:rsidRPr="00806BFF" w:rsidRDefault="00442990" w:rsidP="00E03D8E">
      <w:pPr>
        <w:ind w:left="851"/>
      </w:pPr>
    </w:p>
    <w:p w:rsidR="008C6ED0" w:rsidRPr="00806BFF" w:rsidRDefault="008C6ED0" w:rsidP="00E03D8E">
      <w:pPr>
        <w:ind w:left="851"/>
        <w:rPr>
          <w:i/>
        </w:rPr>
      </w:pPr>
      <w:r w:rsidRPr="00806BFF">
        <w:rPr>
          <w:i/>
        </w:rPr>
        <w:t xml:space="preserve">To-dosisregime til </w:t>
      </w:r>
      <w:r>
        <w:rPr>
          <w:i/>
        </w:rPr>
        <w:t xml:space="preserve">raske </w:t>
      </w:r>
      <w:r w:rsidRPr="00806BFF">
        <w:rPr>
          <w:i/>
        </w:rPr>
        <w:t>børn i alderen 9 til 12 måneder på tidspunktet for den første dosis</w:t>
      </w:r>
    </w:p>
    <w:p w:rsidR="008C6ED0" w:rsidRPr="00806BFF" w:rsidRDefault="008C6ED0" w:rsidP="00E03D8E">
      <w:pPr>
        <w:ind w:left="851"/>
      </w:pPr>
      <w:r w:rsidRPr="00806BFF">
        <w:t xml:space="preserve">Der er udført et klinisk studie, hvor den kombinerede </w:t>
      </w:r>
      <w:r w:rsidRPr="000A52B5">
        <w:t xml:space="preserve">vaccine mod mæslinger, </w:t>
      </w:r>
      <w:r w:rsidRPr="00806BFF">
        <w:t>fåresyge, røde hunde og skoldkopper (Oka/Merck</w:t>
      </w:r>
      <w:r w:rsidR="005643A6">
        <w:t>-stamme</w:t>
      </w:r>
      <w:r w:rsidRPr="00806BFF">
        <w:t>) (MMRV-vaccine) blev administreret i et to-dosis-regime. Doserne blev givet med 3 måneders mellemrum til 1620 raske børn, der var 9 til 12 måneder gamle på tidspunktet for den første dosis.</w:t>
      </w:r>
    </w:p>
    <w:p w:rsidR="008C6ED0" w:rsidRPr="00806BFF" w:rsidRDefault="008C6ED0" w:rsidP="00E03D8E">
      <w:pPr>
        <w:ind w:left="851"/>
      </w:pPr>
    </w:p>
    <w:p w:rsidR="008C6ED0" w:rsidRPr="00806BFF" w:rsidRDefault="008C6ED0" w:rsidP="00E03D8E">
      <w:pPr>
        <w:ind w:left="851"/>
      </w:pPr>
      <w:r w:rsidRPr="00806BFF">
        <w:t>Sikkerhedsprofilen efter dosis 1 og 2 var generelt sammenlignelig i alle alderskohorter.</w:t>
      </w:r>
    </w:p>
    <w:p w:rsidR="008C6ED0" w:rsidRPr="00806BFF" w:rsidRDefault="008C6ED0" w:rsidP="00E03D8E">
      <w:pPr>
        <w:ind w:left="851"/>
      </w:pPr>
    </w:p>
    <w:p w:rsidR="008C6ED0" w:rsidRPr="00806BFF" w:rsidRDefault="008C6ED0" w:rsidP="00E03D8E">
      <w:pPr>
        <w:ind w:left="851"/>
      </w:pPr>
      <w:r w:rsidRPr="00806BFF">
        <w:t xml:space="preserve">I hele analysesættet (vaccinerede forsøgsdeltagere uanset deres </w:t>
      </w:r>
      <w:proofErr w:type="spellStart"/>
      <w:r w:rsidRPr="00806BFF">
        <w:t>antistoftiter</w:t>
      </w:r>
      <w:proofErr w:type="spellEnd"/>
      <w:r w:rsidRPr="00806BFF">
        <w:t xml:space="preserve"> ved baseline) blev der fremkaldt </w:t>
      </w:r>
      <w:proofErr w:type="spellStart"/>
      <w:r w:rsidRPr="00806BFF">
        <w:t>serobeskyttelsesrater</w:t>
      </w:r>
      <w:proofErr w:type="spellEnd"/>
      <w:r w:rsidRPr="00806BFF">
        <w:t xml:space="preserve"> på 100</w:t>
      </w:r>
      <w:r w:rsidR="007620CE">
        <w:t xml:space="preserve"> %</w:t>
      </w:r>
      <w:r w:rsidRPr="00806BFF">
        <w:t xml:space="preserve"> over for skoldkopper efter dosis 2, uanset den vaccineredes alder på tidspunktet for den første dosis.</w:t>
      </w:r>
    </w:p>
    <w:p w:rsidR="008C6ED0" w:rsidRPr="00806BFF" w:rsidRDefault="008C6ED0" w:rsidP="00E03D8E">
      <w:pPr>
        <w:ind w:left="851"/>
      </w:pPr>
    </w:p>
    <w:p w:rsidR="008C6ED0" w:rsidRPr="00806BFF" w:rsidRDefault="008C6ED0" w:rsidP="00E03D8E">
      <w:pPr>
        <w:ind w:left="851"/>
      </w:pPr>
      <w:proofErr w:type="spellStart"/>
      <w:r w:rsidRPr="00806BFF">
        <w:t>Serobeskyttelsesraterne</w:t>
      </w:r>
      <w:proofErr w:type="spellEnd"/>
      <w:r w:rsidRPr="00806BFF">
        <w:t xml:space="preserve"> og de geometriske </w:t>
      </w:r>
      <w:proofErr w:type="spellStart"/>
      <w:r w:rsidRPr="00806BFF">
        <w:t>middeltitre</w:t>
      </w:r>
      <w:proofErr w:type="spellEnd"/>
      <w:r w:rsidRPr="00806BFF">
        <w:t xml:space="preserve"> (GMT) over for skoldkopper i det fulde analysesæt er angivet i følgende tabel.</w:t>
      </w:r>
    </w:p>
    <w:p w:rsidR="007651B7" w:rsidRPr="00806BFF" w:rsidRDefault="007651B7" w:rsidP="008C6ED0">
      <w:pPr>
        <w:ind w:left="851"/>
        <w:rPr>
          <w:szCs w:val="24"/>
        </w:rPr>
      </w:pPr>
    </w:p>
    <w:tbl>
      <w:tblPr>
        <w:tblW w:w="90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164"/>
        <w:gridCol w:w="1165"/>
        <w:gridCol w:w="1165"/>
        <w:gridCol w:w="1165"/>
        <w:gridCol w:w="1165"/>
        <w:gridCol w:w="1165"/>
      </w:tblGrid>
      <w:tr w:rsidR="008C6ED0" w:rsidRPr="00806BFF" w:rsidTr="00E03D8E">
        <w:tc>
          <w:tcPr>
            <w:tcW w:w="2014" w:type="dxa"/>
            <w:shd w:val="clear" w:color="auto" w:fill="auto"/>
          </w:tcPr>
          <w:p w:rsidR="008C6ED0" w:rsidRPr="00806BFF" w:rsidRDefault="008C6ED0" w:rsidP="00715D42">
            <w:pPr>
              <w:jc w:val="center"/>
              <w:rPr>
                <w:sz w:val="20"/>
              </w:rPr>
            </w:pPr>
          </w:p>
        </w:tc>
        <w:tc>
          <w:tcPr>
            <w:tcW w:w="2329" w:type="dxa"/>
            <w:gridSpan w:val="2"/>
            <w:shd w:val="clear" w:color="auto" w:fill="auto"/>
          </w:tcPr>
          <w:p w:rsidR="008C6ED0" w:rsidRPr="00806BFF" w:rsidRDefault="008C6ED0" w:rsidP="00715D42">
            <w:pPr>
              <w:jc w:val="center"/>
              <w:rPr>
                <w:sz w:val="20"/>
              </w:rPr>
            </w:pPr>
            <w:r w:rsidRPr="00806BFF">
              <w:rPr>
                <w:sz w:val="20"/>
              </w:rPr>
              <w:t>MMRV-vaccine</w:t>
            </w:r>
          </w:p>
          <w:p w:rsidR="008C6ED0" w:rsidRPr="00806BFF" w:rsidRDefault="008C6ED0" w:rsidP="00715D42">
            <w:pPr>
              <w:jc w:val="center"/>
              <w:rPr>
                <w:sz w:val="20"/>
              </w:rPr>
            </w:pPr>
            <w:r w:rsidRPr="00806BFF">
              <w:rPr>
                <w:sz w:val="20"/>
              </w:rPr>
              <w:t>Dosis 1 ved 9 måneder/</w:t>
            </w:r>
          </w:p>
          <w:p w:rsidR="008C6ED0" w:rsidRPr="00806BFF" w:rsidRDefault="008C6ED0" w:rsidP="00715D42">
            <w:pPr>
              <w:jc w:val="center"/>
              <w:rPr>
                <w:sz w:val="20"/>
              </w:rPr>
            </w:pPr>
            <w:r w:rsidRPr="00806BFF">
              <w:rPr>
                <w:sz w:val="20"/>
              </w:rPr>
              <w:t>Dosis 2 ved 12 måneder</w:t>
            </w:r>
          </w:p>
          <w:p w:rsidR="008C6ED0" w:rsidRPr="00806BFF" w:rsidRDefault="008C6ED0" w:rsidP="00715D42">
            <w:pPr>
              <w:jc w:val="center"/>
              <w:rPr>
                <w:sz w:val="20"/>
              </w:rPr>
            </w:pPr>
            <w:r w:rsidRPr="00806BFF">
              <w:rPr>
                <w:sz w:val="20"/>
              </w:rPr>
              <w:t>(N=527)</w:t>
            </w:r>
          </w:p>
        </w:tc>
        <w:tc>
          <w:tcPr>
            <w:tcW w:w="2330" w:type="dxa"/>
            <w:gridSpan w:val="2"/>
            <w:shd w:val="clear" w:color="auto" w:fill="auto"/>
          </w:tcPr>
          <w:p w:rsidR="008C6ED0" w:rsidRPr="00806BFF" w:rsidRDefault="008C6ED0" w:rsidP="00715D42">
            <w:pPr>
              <w:jc w:val="center"/>
              <w:rPr>
                <w:sz w:val="20"/>
              </w:rPr>
            </w:pPr>
            <w:r w:rsidRPr="00806BFF">
              <w:rPr>
                <w:sz w:val="20"/>
              </w:rPr>
              <w:t>MMRV-vaccine</w:t>
            </w:r>
          </w:p>
          <w:p w:rsidR="008C6ED0" w:rsidRPr="00806BFF" w:rsidRDefault="008C6ED0" w:rsidP="00715D42">
            <w:pPr>
              <w:jc w:val="center"/>
              <w:rPr>
                <w:sz w:val="20"/>
              </w:rPr>
            </w:pPr>
            <w:r w:rsidRPr="00806BFF">
              <w:rPr>
                <w:sz w:val="20"/>
              </w:rPr>
              <w:t>Dosis 1 ved11 måneder/</w:t>
            </w:r>
          </w:p>
          <w:p w:rsidR="008C6ED0" w:rsidRPr="00806BFF" w:rsidRDefault="008C6ED0" w:rsidP="00715D42">
            <w:pPr>
              <w:jc w:val="center"/>
              <w:rPr>
                <w:sz w:val="20"/>
              </w:rPr>
            </w:pPr>
            <w:r w:rsidRPr="00806BFF">
              <w:rPr>
                <w:sz w:val="20"/>
              </w:rPr>
              <w:t>Dosis 2 ved 14 måneder</w:t>
            </w:r>
          </w:p>
          <w:p w:rsidR="008C6ED0" w:rsidRPr="00806BFF" w:rsidRDefault="008C6ED0" w:rsidP="00715D42">
            <w:pPr>
              <w:jc w:val="center"/>
              <w:rPr>
                <w:sz w:val="20"/>
              </w:rPr>
            </w:pPr>
            <w:r w:rsidRPr="00806BFF">
              <w:rPr>
                <w:sz w:val="20"/>
              </w:rPr>
              <w:t>(N=480)</w:t>
            </w:r>
          </w:p>
        </w:tc>
        <w:tc>
          <w:tcPr>
            <w:tcW w:w="2330" w:type="dxa"/>
            <w:gridSpan w:val="2"/>
            <w:shd w:val="clear" w:color="auto" w:fill="auto"/>
          </w:tcPr>
          <w:p w:rsidR="008C6ED0" w:rsidRPr="00806BFF" w:rsidRDefault="008C6ED0" w:rsidP="00715D42">
            <w:pPr>
              <w:jc w:val="center"/>
              <w:rPr>
                <w:sz w:val="20"/>
              </w:rPr>
            </w:pPr>
            <w:r w:rsidRPr="00806BFF">
              <w:rPr>
                <w:sz w:val="20"/>
              </w:rPr>
              <w:t>MMRV-vaccine</w:t>
            </w:r>
          </w:p>
          <w:p w:rsidR="008C6ED0" w:rsidRPr="00806BFF" w:rsidRDefault="008C6ED0" w:rsidP="00715D42">
            <w:pPr>
              <w:jc w:val="center"/>
              <w:rPr>
                <w:sz w:val="20"/>
              </w:rPr>
            </w:pPr>
            <w:r w:rsidRPr="00806BFF">
              <w:rPr>
                <w:sz w:val="20"/>
              </w:rPr>
              <w:t>Dosis 1 ved 12 måneder/</w:t>
            </w:r>
          </w:p>
          <w:p w:rsidR="008C6ED0" w:rsidRPr="00806BFF" w:rsidRDefault="008C6ED0" w:rsidP="00715D42">
            <w:pPr>
              <w:jc w:val="center"/>
              <w:rPr>
                <w:sz w:val="20"/>
              </w:rPr>
            </w:pPr>
            <w:r w:rsidRPr="00806BFF">
              <w:rPr>
                <w:sz w:val="20"/>
              </w:rPr>
              <w:t>Dosis 2 ved 15 måneder</w:t>
            </w:r>
          </w:p>
          <w:p w:rsidR="008C6ED0" w:rsidRPr="00806BFF" w:rsidRDefault="008C6ED0" w:rsidP="00715D42">
            <w:pPr>
              <w:jc w:val="center"/>
              <w:rPr>
                <w:sz w:val="20"/>
              </w:rPr>
            </w:pPr>
            <w:r w:rsidRPr="00806BFF">
              <w:rPr>
                <w:sz w:val="20"/>
              </w:rPr>
              <w:t>(N=466)</w:t>
            </w:r>
          </w:p>
        </w:tc>
      </w:tr>
      <w:tr w:rsidR="008C6ED0" w:rsidRPr="00806BFF" w:rsidTr="00E03D8E">
        <w:tc>
          <w:tcPr>
            <w:tcW w:w="2014" w:type="dxa"/>
            <w:shd w:val="clear" w:color="auto" w:fill="auto"/>
          </w:tcPr>
          <w:p w:rsidR="008C6ED0" w:rsidRPr="00806BFF" w:rsidRDefault="008C6ED0" w:rsidP="00715D42">
            <w:pPr>
              <w:rPr>
                <w:sz w:val="20"/>
              </w:rPr>
            </w:pPr>
          </w:p>
        </w:tc>
        <w:tc>
          <w:tcPr>
            <w:tcW w:w="1164" w:type="dxa"/>
            <w:shd w:val="clear" w:color="auto" w:fill="auto"/>
          </w:tcPr>
          <w:p w:rsidR="008C6ED0" w:rsidRPr="00806BFF" w:rsidRDefault="008C6ED0" w:rsidP="00715D42">
            <w:pPr>
              <w:jc w:val="center"/>
              <w:rPr>
                <w:sz w:val="20"/>
              </w:rPr>
            </w:pPr>
            <w:r w:rsidRPr="00806BFF">
              <w:rPr>
                <w:sz w:val="20"/>
              </w:rPr>
              <w:t>6 uger efter dosis 1</w:t>
            </w:r>
          </w:p>
        </w:tc>
        <w:tc>
          <w:tcPr>
            <w:tcW w:w="1165" w:type="dxa"/>
            <w:shd w:val="clear" w:color="auto" w:fill="auto"/>
          </w:tcPr>
          <w:p w:rsidR="008C6ED0" w:rsidRPr="00806BFF" w:rsidRDefault="008C6ED0" w:rsidP="00715D42">
            <w:pPr>
              <w:jc w:val="center"/>
              <w:rPr>
                <w:sz w:val="20"/>
              </w:rPr>
            </w:pPr>
            <w:r w:rsidRPr="00806BFF">
              <w:rPr>
                <w:sz w:val="20"/>
              </w:rPr>
              <w:t>6 uger efter dosis 2</w:t>
            </w:r>
          </w:p>
        </w:tc>
        <w:tc>
          <w:tcPr>
            <w:tcW w:w="1165" w:type="dxa"/>
            <w:shd w:val="clear" w:color="auto" w:fill="auto"/>
          </w:tcPr>
          <w:p w:rsidR="008C6ED0" w:rsidRPr="00806BFF" w:rsidRDefault="008C6ED0" w:rsidP="00715D42">
            <w:pPr>
              <w:jc w:val="center"/>
              <w:rPr>
                <w:sz w:val="20"/>
              </w:rPr>
            </w:pPr>
            <w:r w:rsidRPr="00806BFF">
              <w:rPr>
                <w:sz w:val="20"/>
              </w:rPr>
              <w:t>6 uger efter dosis 1</w:t>
            </w:r>
          </w:p>
        </w:tc>
        <w:tc>
          <w:tcPr>
            <w:tcW w:w="1165" w:type="dxa"/>
            <w:shd w:val="clear" w:color="auto" w:fill="auto"/>
          </w:tcPr>
          <w:p w:rsidR="008C6ED0" w:rsidRPr="00806BFF" w:rsidRDefault="008C6ED0" w:rsidP="00715D42">
            <w:pPr>
              <w:jc w:val="center"/>
              <w:rPr>
                <w:sz w:val="20"/>
              </w:rPr>
            </w:pPr>
            <w:r w:rsidRPr="00806BFF">
              <w:rPr>
                <w:sz w:val="20"/>
              </w:rPr>
              <w:t>6 uger efter dosis 2</w:t>
            </w:r>
          </w:p>
        </w:tc>
        <w:tc>
          <w:tcPr>
            <w:tcW w:w="1165" w:type="dxa"/>
            <w:shd w:val="clear" w:color="auto" w:fill="auto"/>
          </w:tcPr>
          <w:p w:rsidR="008C6ED0" w:rsidRPr="00806BFF" w:rsidRDefault="008C6ED0" w:rsidP="00715D42">
            <w:pPr>
              <w:jc w:val="center"/>
              <w:rPr>
                <w:sz w:val="20"/>
              </w:rPr>
            </w:pPr>
            <w:r w:rsidRPr="00806BFF">
              <w:rPr>
                <w:sz w:val="20"/>
              </w:rPr>
              <w:t>6 uger efter dosis 1</w:t>
            </w:r>
          </w:p>
        </w:tc>
        <w:tc>
          <w:tcPr>
            <w:tcW w:w="1165" w:type="dxa"/>
            <w:shd w:val="clear" w:color="auto" w:fill="auto"/>
          </w:tcPr>
          <w:p w:rsidR="008C6ED0" w:rsidRPr="00806BFF" w:rsidRDefault="008C6ED0" w:rsidP="00715D42">
            <w:pPr>
              <w:jc w:val="center"/>
              <w:rPr>
                <w:sz w:val="20"/>
              </w:rPr>
            </w:pPr>
            <w:r w:rsidRPr="00806BFF">
              <w:rPr>
                <w:sz w:val="20"/>
              </w:rPr>
              <w:t>6 uger efter dosis 2</w:t>
            </w:r>
          </w:p>
        </w:tc>
      </w:tr>
      <w:tr w:rsidR="008C6ED0" w:rsidRPr="00806BFF" w:rsidTr="00E03D8E">
        <w:tc>
          <w:tcPr>
            <w:tcW w:w="2014" w:type="dxa"/>
            <w:shd w:val="clear" w:color="auto" w:fill="auto"/>
          </w:tcPr>
          <w:p w:rsidR="008C6ED0" w:rsidRPr="00806BFF" w:rsidRDefault="008C6ED0" w:rsidP="00715D42">
            <w:pPr>
              <w:rPr>
                <w:sz w:val="20"/>
              </w:rPr>
            </w:pPr>
            <w:proofErr w:type="spellStart"/>
            <w:r w:rsidRPr="00806BFF">
              <w:rPr>
                <w:sz w:val="20"/>
              </w:rPr>
              <w:t>Serobeskyttelsesrate</w:t>
            </w:r>
            <w:proofErr w:type="spellEnd"/>
            <w:r w:rsidRPr="00806BFF">
              <w:rPr>
                <w:sz w:val="20"/>
              </w:rPr>
              <w:t xml:space="preserve"> over for skoldkopper [95</w:t>
            </w:r>
            <w:r w:rsidR="007620CE">
              <w:rPr>
                <w:sz w:val="20"/>
              </w:rPr>
              <w:t xml:space="preserve"> %</w:t>
            </w:r>
            <w:r w:rsidRPr="00806BFF">
              <w:rPr>
                <w:sz w:val="20"/>
              </w:rPr>
              <w:t xml:space="preserve"> konfidensinterval]</w:t>
            </w:r>
          </w:p>
          <w:p w:rsidR="008C6ED0" w:rsidRPr="00806BFF" w:rsidRDefault="008C6ED0" w:rsidP="00715D42">
            <w:pPr>
              <w:rPr>
                <w:sz w:val="20"/>
              </w:rPr>
            </w:pPr>
            <w:r w:rsidRPr="00806BFF">
              <w:rPr>
                <w:sz w:val="20"/>
              </w:rPr>
              <w:t>(</w:t>
            </w:r>
            <w:proofErr w:type="spellStart"/>
            <w:r w:rsidRPr="00806BFF">
              <w:rPr>
                <w:sz w:val="20"/>
              </w:rPr>
              <w:t>titer</w:t>
            </w:r>
            <w:proofErr w:type="spellEnd"/>
            <w:r w:rsidRPr="00806BFF">
              <w:rPr>
                <w:sz w:val="20"/>
              </w:rPr>
              <w:t xml:space="preserve"> ≥ 5 </w:t>
            </w:r>
            <w:proofErr w:type="spellStart"/>
            <w:r w:rsidRPr="00806BFF">
              <w:rPr>
                <w:sz w:val="20"/>
              </w:rPr>
              <w:t>gpELISA</w:t>
            </w:r>
            <w:proofErr w:type="spellEnd"/>
            <w:r w:rsidRPr="00806BFF">
              <w:rPr>
                <w:sz w:val="20"/>
              </w:rPr>
              <w:t xml:space="preserve"> enheder/ml)</w:t>
            </w:r>
          </w:p>
        </w:tc>
        <w:tc>
          <w:tcPr>
            <w:tcW w:w="1164" w:type="dxa"/>
            <w:shd w:val="clear" w:color="auto" w:fill="auto"/>
          </w:tcPr>
          <w:p w:rsidR="008C6ED0" w:rsidRPr="00806BFF" w:rsidRDefault="008C6ED0" w:rsidP="00715D42">
            <w:pPr>
              <w:jc w:val="center"/>
              <w:rPr>
                <w:sz w:val="20"/>
              </w:rPr>
            </w:pPr>
            <w:r w:rsidRPr="00806BFF">
              <w:rPr>
                <w:sz w:val="20"/>
              </w:rPr>
              <w:t>93,1</w:t>
            </w:r>
            <w:r w:rsidR="007620CE">
              <w:rPr>
                <w:sz w:val="20"/>
              </w:rPr>
              <w:t xml:space="preserve"> %</w:t>
            </w:r>
          </w:p>
          <w:p w:rsidR="008C6ED0" w:rsidRPr="00806BFF" w:rsidRDefault="008C6ED0" w:rsidP="00715D42">
            <w:pPr>
              <w:jc w:val="center"/>
              <w:rPr>
                <w:sz w:val="20"/>
              </w:rPr>
            </w:pPr>
            <w:r w:rsidRPr="00806BFF">
              <w:rPr>
                <w:sz w:val="20"/>
              </w:rPr>
              <w:t>[90,6; 95,1]</w:t>
            </w:r>
          </w:p>
        </w:tc>
        <w:tc>
          <w:tcPr>
            <w:tcW w:w="1165" w:type="dxa"/>
            <w:shd w:val="clear" w:color="auto" w:fill="auto"/>
          </w:tcPr>
          <w:p w:rsidR="008C6ED0" w:rsidRPr="00806BFF" w:rsidRDefault="008C6ED0" w:rsidP="00715D42">
            <w:pPr>
              <w:jc w:val="center"/>
              <w:rPr>
                <w:sz w:val="20"/>
              </w:rPr>
            </w:pPr>
            <w:r w:rsidRPr="00806BFF">
              <w:rPr>
                <w:sz w:val="20"/>
              </w:rPr>
              <w:t>100</w:t>
            </w:r>
            <w:r w:rsidR="007620CE">
              <w:rPr>
                <w:sz w:val="20"/>
              </w:rPr>
              <w:t xml:space="preserve"> %</w:t>
            </w:r>
          </w:p>
          <w:p w:rsidR="008C6ED0" w:rsidRPr="00806BFF" w:rsidRDefault="008C6ED0" w:rsidP="00715D42">
            <w:pPr>
              <w:jc w:val="center"/>
              <w:rPr>
                <w:sz w:val="20"/>
              </w:rPr>
            </w:pPr>
            <w:r w:rsidRPr="00806BFF">
              <w:rPr>
                <w:sz w:val="20"/>
              </w:rPr>
              <w:t>[99,3; 100]</w:t>
            </w:r>
          </w:p>
        </w:tc>
        <w:tc>
          <w:tcPr>
            <w:tcW w:w="1165" w:type="dxa"/>
            <w:shd w:val="clear" w:color="auto" w:fill="auto"/>
          </w:tcPr>
          <w:p w:rsidR="008C6ED0" w:rsidRPr="00806BFF" w:rsidRDefault="008C6ED0" w:rsidP="00715D42">
            <w:pPr>
              <w:jc w:val="center"/>
              <w:rPr>
                <w:sz w:val="20"/>
              </w:rPr>
            </w:pPr>
            <w:r w:rsidRPr="00806BFF">
              <w:rPr>
                <w:sz w:val="20"/>
              </w:rPr>
              <w:t>97,0</w:t>
            </w:r>
            <w:r w:rsidR="007620CE">
              <w:rPr>
                <w:sz w:val="20"/>
              </w:rPr>
              <w:t xml:space="preserve"> %</w:t>
            </w:r>
          </w:p>
          <w:p w:rsidR="008C6ED0" w:rsidRPr="00806BFF" w:rsidRDefault="008C6ED0" w:rsidP="00715D42">
            <w:pPr>
              <w:jc w:val="center"/>
              <w:rPr>
                <w:sz w:val="20"/>
              </w:rPr>
            </w:pPr>
            <w:r w:rsidRPr="00806BFF">
              <w:rPr>
                <w:sz w:val="20"/>
              </w:rPr>
              <w:t>[95,1; 98,4]</w:t>
            </w:r>
          </w:p>
        </w:tc>
        <w:tc>
          <w:tcPr>
            <w:tcW w:w="1165" w:type="dxa"/>
            <w:shd w:val="clear" w:color="auto" w:fill="auto"/>
          </w:tcPr>
          <w:p w:rsidR="008C6ED0" w:rsidRPr="00806BFF" w:rsidRDefault="008C6ED0" w:rsidP="00715D42">
            <w:pPr>
              <w:jc w:val="center"/>
              <w:rPr>
                <w:sz w:val="20"/>
              </w:rPr>
            </w:pPr>
            <w:r w:rsidRPr="00806BFF">
              <w:rPr>
                <w:sz w:val="20"/>
              </w:rPr>
              <w:t>100</w:t>
            </w:r>
            <w:r w:rsidR="007620CE">
              <w:rPr>
                <w:sz w:val="20"/>
              </w:rPr>
              <w:t xml:space="preserve"> %</w:t>
            </w:r>
          </w:p>
          <w:p w:rsidR="008C6ED0" w:rsidRPr="00806BFF" w:rsidRDefault="008C6ED0" w:rsidP="00715D42">
            <w:pPr>
              <w:jc w:val="center"/>
              <w:rPr>
                <w:sz w:val="20"/>
              </w:rPr>
            </w:pPr>
            <w:r w:rsidRPr="00806BFF">
              <w:rPr>
                <w:sz w:val="20"/>
              </w:rPr>
              <w:t>[99,2; 100]</w:t>
            </w:r>
          </w:p>
        </w:tc>
        <w:tc>
          <w:tcPr>
            <w:tcW w:w="1165" w:type="dxa"/>
            <w:shd w:val="clear" w:color="auto" w:fill="auto"/>
          </w:tcPr>
          <w:p w:rsidR="008C6ED0" w:rsidRPr="00806BFF" w:rsidRDefault="008C6ED0" w:rsidP="00715D42">
            <w:pPr>
              <w:jc w:val="center"/>
              <w:rPr>
                <w:sz w:val="20"/>
              </w:rPr>
            </w:pPr>
            <w:r w:rsidRPr="00806BFF">
              <w:rPr>
                <w:sz w:val="20"/>
              </w:rPr>
              <w:t>96,5</w:t>
            </w:r>
            <w:r w:rsidR="007620CE">
              <w:rPr>
                <w:sz w:val="20"/>
              </w:rPr>
              <w:t xml:space="preserve"> %</w:t>
            </w:r>
          </w:p>
          <w:p w:rsidR="008C6ED0" w:rsidRPr="00806BFF" w:rsidRDefault="008C6ED0" w:rsidP="00715D42">
            <w:pPr>
              <w:jc w:val="center"/>
              <w:rPr>
                <w:sz w:val="20"/>
              </w:rPr>
            </w:pPr>
            <w:r w:rsidRPr="00806BFF">
              <w:rPr>
                <w:sz w:val="20"/>
              </w:rPr>
              <w:t>[94,4; 98,0]</w:t>
            </w:r>
          </w:p>
        </w:tc>
        <w:tc>
          <w:tcPr>
            <w:tcW w:w="1165" w:type="dxa"/>
            <w:shd w:val="clear" w:color="auto" w:fill="auto"/>
          </w:tcPr>
          <w:p w:rsidR="008C6ED0" w:rsidRPr="00806BFF" w:rsidRDefault="008C6ED0" w:rsidP="00715D42">
            <w:pPr>
              <w:jc w:val="center"/>
              <w:rPr>
                <w:sz w:val="20"/>
              </w:rPr>
            </w:pPr>
            <w:r w:rsidRPr="00806BFF">
              <w:rPr>
                <w:sz w:val="20"/>
              </w:rPr>
              <w:t>100</w:t>
            </w:r>
            <w:r w:rsidR="007620CE">
              <w:rPr>
                <w:sz w:val="20"/>
              </w:rPr>
              <w:t xml:space="preserve"> %</w:t>
            </w:r>
          </w:p>
          <w:p w:rsidR="008C6ED0" w:rsidRPr="00806BFF" w:rsidRDefault="008C6ED0" w:rsidP="00715D42">
            <w:pPr>
              <w:jc w:val="center"/>
              <w:rPr>
                <w:sz w:val="20"/>
              </w:rPr>
            </w:pPr>
            <w:r w:rsidRPr="00806BFF">
              <w:rPr>
                <w:sz w:val="20"/>
              </w:rPr>
              <w:t>[99,2; 100]</w:t>
            </w:r>
          </w:p>
        </w:tc>
      </w:tr>
      <w:tr w:rsidR="008C6ED0" w:rsidRPr="00806BFF" w:rsidTr="00E03D8E">
        <w:tc>
          <w:tcPr>
            <w:tcW w:w="2014" w:type="dxa"/>
            <w:shd w:val="clear" w:color="auto" w:fill="auto"/>
          </w:tcPr>
          <w:p w:rsidR="008C6ED0" w:rsidRPr="00806BFF" w:rsidRDefault="007F364F" w:rsidP="00715D42">
            <w:pPr>
              <w:rPr>
                <w:sz w:val="20"/>
              </w:rPr>
            </w:pPr>
            <w:r w:rsidRPr="00806BFF">
              <w:rPr>
                <w:sz w:val="20"/>
              </w:rPr>
              <w:t>Geometrisk</w:t>
            </w:r>
            <w:r>
              <w:rPr>
                <w:sz w:val="20"/>
              </w:rPr>
              <w:t>e</w:t>
            </w:r>
            <w:r w:rsidRPr="00806BFF">
              <w:rPr>
                <w:sz w:val="20"/>
              </w:rPr>
              <w:t xml:space="preserve"> </w:t>
            </w:r>
            <w:proofErr w:type="spellStart"/>
            <w:r w:rsidRPr="00806BFF">
              <w:rPr>
                <w:sz w:val="20"/>
              </w:rPr>
              <w:t>middeltitr</w:t>
            </w:r>
            <w:r>
              <w:rPr>
                <w:sz w:val="20"/>
              </w:rPr>
              <w:t>e</w:t>
            </w:r>
            <w:proofErr w:type="spellEnd"/>
            <w:r w:rsidRPr="00806BFF">
              <w:rPr>
                <w:sz w:val="20"/>
              </w:rPr>
              <w:t xml:space="preserve"> [95 % konfidensinterval] </w:t>
            </w:r>
            <w:r w:rsidR="008C6ED0" w:rsidRPr="00806BFF">
              <w:rPr>
                <w:sz w:val="20"/>
              </w:rPr>
              <w:t>(</w:t>
            </w:r>
            <w:proofErr w:type="spellStart"/>
            <w:r w:rsidR="008C6ED0" w:rsidRPr="00806BFF">
              <w:rPr>
                <w:sz w:val="20"/>
              </w:rPr>
              <w:t>gpELISA</w:t>
            </w:r>
            <w:proofErr w:type="spellEnd"/>
            <w:r w:rsidR="008C6ED0" w:rsidRPr="00806BFF">
              <w:rPr>
                <w:sz w:val="20"/>
              </w:rPr>
              <w:t xml:space="preserve"> enheder/ml)</w:t>
            </w:r>
          </w:p>
        </w:tc>
        <w:tc>
          <w:tcPr>
            <w:tcW w:w="1164" w:type="dxa"/>
            <w:shd w:val="clear" w:color="auto" w:fill="auto"/>
          </w:tcPr>
          <w:p w:rsidR="008C6ED0" w:rsidRPr="00806BFF" w:rsidRDefault="008C6ED0" w:rsidP="00715D42">
            <w:pPr>
              <w:jc w:val="center"/>
              <w:rPr>
                <w:sz w:val="20"/>
              </w:rPr>
            </w:pPr>
            <w:r w:rsidRPr="00806BFF">
              <w:rPr>
                <w:sz w:val="20"/>
              </w:rPr>
              <w:t>12</w:t>
            </w:r>
          </w:p>
          <w:p w:rsidR="008C6ED0" w:rsidRPr="00806BFF" w:rsidRDefault="008C6ED0" w:rsidP="00715D42">
            <w:pPr>
              <w:jc w:val="center"/>
              <w:rPr>
                <w:sz w:val="20"/>
              </w:rPr>
            </w:pPr>
            <w:r w:rsidRPr="00806BFF">
              <w:rPr>
                <w:sz w:val="20"/>
              </w:rPr>
              <w:t>[12; 13]</w:t>
            </w:r>
          </w:p>
        </w:tc>
        <w:tc>
          <w:tcPr>
            <w:tcW w:w="1165" w:type="dxa"/>
            <w:shd w:val="clear" w:color="auto" w:fill="auto"/>
          </w:tcPr>
          <w:p w:rsidR="008C6ED0" w:rsidRPr="00806BFF" w:rsidRDefault="008C6ED0" w:rsidP="00715D42">
            <w:pPr>
              <w:jc w:val="center"/>
              <w:rPr>
                <w:sz w:val="20"/>
              </w:rPr>
            </w:pPr>
            <w:r w:rsidRPr="00806BFF">
              <w:rPr>
                <w:sz w:val="20"/>
              </w:rPr>
              <w:t xml:space="preserve">321 </w:t>
            </w:r>
          </w:p>
          <w:p w:rsidR="008C6ED0" w:rsidRPr="00806BFF" w:rsidRDefault="008C6ED0" w:rsidP="00715D42">
            <w:pPr>
              <w:jc w:val="center"/>
              <w:rPr>
                <w:sz w:val="20"/>
              </w:rPr>
            </w:pPr>
            <w:r w:rsidRPr="00806BFF">
              <w:rPr>
                <w:sz w:val="20"/>
              </w:rPr>
              <w:t>[293; 352]</w:t>
            </w:r>
          </w:p>
        </w:tc>
        <w:tc>
          <w:tcPr>
            <w:tcW w:w="1165" w:type="dxa"/>
            <w:shd w:val="clear" w:color="auto" w:fill="auto"/>
          </w:tcPr>
          <w:p w:rsidR="008C6ED0" w:rsidRPr="00806BFF" w:rsidRDefault="008C6ED0" w:rsidP="00715D42">
            <w:pPr>
              <w:jc w:val="center"/>
              <w:rPr>
                <w:sz w:val="20"/>
              </w:rPr>
            </w:pPr>
            <w:r w:rsidRPr="00806BFF">
              <w:rPr>
                <w:sz w:val="20"/>
              </w:rPr>
              <w:t>15</w:t>
            </w:r>
          </w:p>
          <w:p w:rsidR="008C6ED0" w:rsidRPr="00806BFF" w:rsidRDefault="008C6ED0" w:rsidP="00715D42">
            <w:pPr>
              <w:jc w:val="center"/>
              <w:rPr>
                <w:sz w:val="20"/>
              </w:rPr>
            </w:pPr>
            <w:r w:rsidRPr="00806BFF">
              <w:rPr>
                <w:sz w:val="20"/>
              </w:rPr>
              <w:t>[14; 15]</w:t>
            </w:r>
          </w:p>
        </w:tc>
        <w:tc>
          <w:tcPr>
            <w:tcW w:w="1165" w:type="dxa"/>
            <w:shd w:val="clear" w:color="auto" w:fill="auto"/>
          </w:tcPr>
          <w:p w:rsidR="008C6ED0" w:rsidRPr="00806BFF" w:rsidRDefault="008C6ED0" w:rsidP="00715D42">
            <w:pPr>
              <w:jc w:val="center"/>
              <w:rPr>
                <w:sz w:val="20"/>
              </w:rPr>
            </w:pPr>
            <w:r w:rsidRPr="00806BFF">
              <w:rPr>
                <w:sz w:val="20"/>
              </w:rPr>
              <w:t>411</w:t>
            </w:r>
          </w:p>
          <w:p w:rsidR="008C6ED0" w:rsidRPr="00806BFF" w:rsidRDefault="008C6ED0" w:rsidP="00715D42">
            <w:pPr>
              <w:jc w:val="center"/>
              <w:rPr>
                <w:sz w:val="20"/>
              </w:rPr>
            </w:pPr>
            <w:r w:rsidRPr="00806BFF">
              <w:rPr>
                <w:sz w:val="20"/>
              </w:rPr>
              <w:t>[376; 450]</w:t>
            </w:r>
          </w:p>
        </w:tc>
        <w:tc>
          <w:tcPr>
            <w:tcW w:w="1165" w:type="dxa"/>
            <w:shd w:val="clear" w:color="auto" w:fill="auto"/>
          </w:tcPr>
          <w:p w:rsidR="008C6ED0" w:rsidRPr="00806BFF" w:rsidRDefault="008C6ED0" w:rsidP="00715D42">
            <w:pPr>
              <w:jc w:val="center"/>
              <w:rPr>
                <w:sz w:val="20"/>
              </w:rPr>
            </w:pPr>
            <w:r w:rsidRPr="00806BFF">
              <w:rPr>
                <w:sz w:val="20"/>
              </w:rPr>
              <w:t>15</w:t>
            </w:r>
          </w:p>
          <w:p w:rsidR="008C6ED0" w:rsidRPr="00806BFF" w:rsidRDefault="008C6ED0" w:rsidP="00715D42">
            <w:pPr>
              <w:jc w:val="center"/>
              <w:rPr>
                <w:sz w:val="20"/>
              </w:rPr>
            </w:pPr>
            <w:r w:rsidRPr="00806BFF">
              <w:rPr>
                <w:sz w:val="20"/>
              </w:rPr>
              <w:t>[14; 15]</w:t>
            </w:r>
          </w:p>
        </w:tc>
        <w:tc>
          <w:tcPr>
            <w:tcW w:w="1165" w:type="dxa"/>
            <w:shd w:val="clear" w:color="auto" w:fill="auto"/>
          </w:tcPr>
          <w:p w:rsidR="008C6ED0" w:rsidRPr="00806BFF" w:rsidRDefault="008C6ED0" w:rsidP="00715D42">
            <w:pPr>
              <w:jc w:val="center"/>
              <w:rPr>
                <w:sz w:val="20"/>
              </w:rPr>
            </w:pPr>
            <w:r w:rsidRPr="00806BFF">
              <w:rPr>
                <w:sz w:val="20"/>
              </w:rPr>
              <w:t>481</w:t>
            </w:r>
          </w:p>
          <w:p w:rsidR="008C6ED0" w:rsidRPr="00806BFF" w:rsidRDefault="008C6ED0" w:rsidP="00715D42">
            <w:pPr>
              <w:jc w:val="center"/>
              <w:rPr>
                <w:sz w:val="20"/>
              </w:rPr>
            </w:pPr>
            <w:r w:rsidRPr="00806BFF">
              <w:rPr>
                <w:sz w:val="20"/>
              </w:rPr>
              <w:t>[441; 526]</w:t>
            </w:r>
          </w:p>
        </w:tc>
      </w:tr>
    </w:tbl>
    <w:p w:rsidR="00B50242" w:rsidRPr="00E03D8E" w:rsidRDefault="00B50242" w:rsidP="00E03D8E">
      <w:pPr>
        <w:ind w:left="851"/>
        <w:rPr>
          <w:b/>
        </w:rPr>
      </w:pPr>
    </w:p>
    <w:p w:rsidR="008C6ED0" w:rsidRPr="00E03D8E" w:rsidRDefault="008C6ED0" w:rsidP="00E03D8E">
      <w:pPr>
        <w:ind w:left="851"/>
        <w:rPr>
          <w:b/>
        </w:rPr>
      </w:pPr>
      <w:r w:rsidRPr="00E03D8E">
        <w:rPr>
          <w:b/>
        </w:rPr>
        <w:t>Varighed af immunrespons</w:t>
      </w:r>
    </w:p>
    <w:p w:rsidR="008C6ED0" w:rsidRPr="00806BFF" w:rsidRDefault="008C6ED0" w:rsidP="008C6ED0">
      <w:pPr>
        <w:suppressAutoHyphens/>
        <w:ind w:left="851"/>
        <w:rPr>
          <w:b/>
          <w:i/>
          <w:szCs w:val="24"/>
        </w:rPr>
      </w:pPr>
    </w:p>
    <w:p w:rsidR="008C6ED0" w:rsidRPr="00806BFF" w:rsidRDefault="008C6ED0" w:rsidP="00E03D8E">
      <w:pPr>
        <w:suppressAutoHyphens/>
        <w:ind w:left="851"/>
        <w:rPr>
          <w:b/>
          <w:i/>
          <w:szCs w:val="24"/>
        </w:rPr>
      </w:pPr>
      <w:r w:rsidRPr="00806BFF">
        <w:rPr>
          <w:b/>
          <w:i/>
          <w:szCs w:val="24"/>
        </w:rPr>
        <w:t>Enkeltdosis regime til børn fra 12 måneder op til 12 år</w:t>
      </w:r>
    </w:p>
    <w:p w:rsidR="008C6ED0" w:rsidRPr="00806BFF" w:rsidRDefault="008C6ED0" w:rsidP="00E03D8E">
      <w:pPr>
        <w:suppressAutoHyphens/>
        <w:ind w:left="851"/>
        <w:rPr>
          <w:szCs w:val="24"/>
        </w:rPr>
      </w:pPr>
      <w:r w:rsidRPr="00806BFF">
        <w:rPr>
          <w:szCs w:val="24"/>
        </w:rPr>
        <w:t xml:space="preserve">I de kliniske </w:t>
      </w:r>
      <w:r w:rsidR="005643A6">
        <w:rPr>
          <w:szCs w:val="24"/>
        </w:rPr>
        <w:t>studier</w:t>
      </w:r>
      <w:r w:rsidRPr="00806BFF">
        <w:rPr>
          <w:szCs w:val="24"/>
        </w:rPr>
        <w:t>, hvor raske børn fra 12 måneder til 12 år har været fulgt lang tid efter enkeltdosisvaccination, var påviselige antistoffer (</w:t>
      </w:r>
      <w:proofErr w:type="spellStart"/>
      <w:r w:rsidR="007F364F" w:rsidRPr="00806BFF">
        <w:rPr>
          <w:szCs w:val="24"/>
        </w:rPr>
        <w:t>gpELISA</w:t>
      </w:r>
      <w:proofErr w:type="spellEnd"/>
      <w:r w:rsidR="007F364F">
        <w:rPr>
          <w:szCs w:val="24"/>
        </w:rPr>
        <w:t> </w:t>
      </w:r>
      <w:r w:rsidR="007F364F" w:rsidRPr="00806BFF">
        <w:rPr>
          <w:szCs w:val="24"/>
        </w:rPr>
        <w:sym w:font="Symbol" w:char="F0B3"/>
      </w:r>
      <w:r w:rsidR="007F364F">
        <w:rPr>
          <w:szCs w:val="24"/>
        </w:rPr>
        <w:t> </w:t>
      </w:r>
      <w:r w:rsidR="007F364F" w:rsidRPr="00806BFF">
        <w:rPr>
          <w:szCs w:val="24"/>
        </w:rPr>
        <w:t>0,6</w:t>
      </w:r>
      <w:r w:rsidR="007F364F">
        <w:rPr>
          <w:szCs w:val="24"/>
        </w:rPr>
        <w:t> </w:t>
      </w:r>
      <w:r w:rsidR="007F364F" w:rsidRPr="00806BFF">
        <w:rPr>
          <w:szCs w:val="24"/>
        </w:rPr>
        <w:t>enheder/ml</w:t>
      </w:r>
      <w:r w:rsidRPr="00806BFF">
        <w:rPr>
          <w:szCs w:val="24"/>
        </w:rPr>
        <w:t>) til stede hos 99,1</w:t>
      </w:r>
      <w:r w:rsidR="007620CE">
        <w:rPr>
          <w:szCs w:val="24"/>
        </w:rPr>
        <w:t xml:space="preserve"> %</w:t>
      </w:r>
      <w:r w:rsidRPr="00806BFF">
        <w:rPr>
          <w:szCs w:val="24"/>
        </w:rPr>
        <w:t xml:space="preserve"> (3</w:t>
      </w:r>
      <w:r w:rsidR="00D82730">
        <w:rPr>
          <w:szCs w:val="24"/>
        </w:rPr>
        <w:t>.</w:t>
      </w:r>
      <w:r w:rsidRPr="00806BFF">
        <w:rPr>
          <w:szCs w:val="24"/>
        </w:rPr>
        <w:t>092/3120) efter 1 år, 99,4</w:t>
      </w:r>
      <w:r w:rsidR="007620CE">
        <w:rPr>
          <w:szCs w:val="24"/>
        </w:rPr>
        <w:t xml:space="preserve"> %</w:t>
      </w:r>
      <w:r w:rsidRPr="00806BFF">
        <w:rPr>
          <w:szCs w:val="24"/>
        </w:rPr>
        <w:t xml:space="preserve"> (1</w:t>
      </w:r>
      <w:r w:rsidR="00D82730">
        <w:rPr>
          <w:szCs w:val="24"/>
        </w:rPr>
        <w:t>.</w:t>
      </w:r>
      <w:r w:rsidRPr="00806BFF">
        <w:rPr>
          <w:szCs w:val="24"/>
        </w:rPr>
        <w:t>382/1391) efter 2 år, 98,7</w:t>
      </w:r>
      <w:r w:rsidR="007620CE">
        <w:rPr>
          <w:szCs w:val="24"/>
        </w:rPr>
        <w:t xml:space="preserve"> %</w:t>
      </w:r>
      <w:r w:rsidRPr="00806BFF">
        <w:rPr>
          <w:szCs w:val="24"/>
        </w:rPr>
        <w:t xml:space="preserve"> (1</w:t>
      </w:r>
      <w:r w:rsidR="00D82730">
        <w:rPr>
          <w:szCs w:val="24"/>
        </w:rPr>
        <w:t>.</w:t>
      </w:r>
      <w:r w:rsidRPr="00806BFF">
        <w:rPr>
          <w:szCs w:val="24"/>
        </w:rPr>
        <w:t xml:space="preserve">032/1046) efter 3 </w:t>
      </w:r>
      <w:r w:rsidRPr="00806BFF">
        <w:rPr>
          <w:szCs w:val="24"/>
        </w:rPr>
        <w:lastRenderedPageBreak/>
        <w:t>år, 99,3</w:t>
      </w:r>
      <w:r w:rsidR="007620CE">
        <w:rPr>
          <w:szCs w:val="24"/>
        </w:rPr>
        <w:t xml:space="preserve"> %</w:t>
      </w:r>
      <w:r w:rsidRPr="00806BFF">
        <w:rPr>
          <w:szCs w:val="24"/>
        </w:rPr>
        <w:t xml:space="preserve"> (997/1004) efter 4 år, 99,2</w:t>
      </w:r>
      <w:r w:rsidR="007620CE">
        <w:rPr>
          <w:szCs w:val="24"/>
        </w:rPr>
        <w:t xml:space="preserve"> %</w:t>
      </w:r>
      <w:r w:rsidRPr="00806BFF">
        <w:rPr>
          <w:szCs w:val="24"/>
        </w:rPr>
        <w:t xml:space="preserve"> (727/733) efter 5 år og 100</w:t>
      </w:r>
      <w:r w:rsidR="007620CE">
        <w:rPr>
          <w:szCs w:val="24"/>
        </w:rPr>
        <w:t xml:space="preserve"> %</w:t>
      </w:r>
      <w:r w:rsidRPr="00806BFF">
        <w:rPr>
          <w:szCs w:val="24"/>
        </w:rPr>
        <w:t xml:space="preserve"> (432/432) efter 6 år efter vaccinationen.</w:t>
      </w:r>
    </w:p>
    <w:p w:rsidR="008C6ED0" w:rsidRPr="00806BFF" w:rsidRDefault="008C6ED0" w:rsidP="00E03D8E">
      <w:pPr>
        <w:suppressAutoHyphens/>
        <w:ind w:left="851"/>
        <w:rPr>
          <w:szCs w:val="24"/>
        </w:rPr>
      </w:pPr>
    </w:p>
    <w:p w:rsidR="008C6ED0" w:rsidRPr="00806BFF" w:rsidRDefault="008C6ED0" w:rsidP="00E03D8E">
      <w:pPr>
        <w:ind w:left="851"/>
        <w:rPr>
          <w:b/>
          <w:i/>
          <w:szCs w:val="24"/>
        </w:rPr>
      </w:pPr>
      <w:r w:rsidRPr="00806BFF">
        <w:rPr>
          <w:b/>
          <w:i/>
          <w:szCs w:val="24"/>
        </w:rPr>
        <w:t>To-dosis regime til børn fra 12 måneder op til 12 år</w:t>
      </w:r>
    </w:p>
    <w:p w:rsidR="008C6ED0" w:rsidRPr="000A52B5" w:rsidRDefault="008C6ED0" w:rsidP="00E03D8E">
      <w:pPr>
        <w:pStyle w:val="Brdtekstindrykning3"/>
        <w:jc w:val="left"/>
        <w:rPr>
          <w:szCs w:val="24"/>
        </w:rPr>
      </w:pPr>
      <w:r w:rsidRPr="00806BFF">
        <w:rPr>
          <w:szCs w:val="24"/>
        </w:rPr>
        <w:t>I løbet af 9 års opfølgning var GMT og den procent</w:t>
      </w:r>
      <w:r w:rsidR="00D82730">
        <w:rPr>
          <w:szCs w:val="24"/>
        </w:rPr>
        <w:t>vise</w:t>
      </w:r>
      <w:r w:rsidRPr="00806BFF">
        <w:rPr>
          <w:szCs w:val="24"/>
        </w:rPr>
        <w:t xml:space="preserve"> andel af forsøgspersoner med VZV-</w:t>
      </w:r>
      <w:proofErr w:type="spellStart"/>
      <w:r w:rsidRPr="00806BFF">
        <w:rPr>
          <w:szCs w:val="24"/>
        </w:rPr>
        <w:t>antistoftitre</w:t>
      </w:r>
      <w:proofErr w:type="spellEnd"/>
      <w:r w:rsidRPr="00806BFF">
        <w:rPr>
          <w:szCs w:val="24"/>
        </w:rPr>
        <w:t xml:space="preserve"> </w:t>
      </w:r>
      <w:r w:rsidRPr="00806BFF">
        <w:rPr>
          <w:szCs w:val="24"/>
        </w:rPr>
        <w:sym w:font="Symbol" w:char="F0B3"/>
      </w:r>
      <w:r w:rsidRPr="00806BFF">
        <w:rPr>
          <w:szCs w:val="24"/>
        </w:rPr>
        <w:t xml:space="preserve">5 </w:t>
      </w:r>
      <w:proofErr w:type="spellStart"/>
      <w:r w:rsidRPr="00806BFF">
        <w:rPr>
          <w:szCs w:val="24"/>
        </w:rPr>
        <w:t>gpELISA</w:t>
      </w:r>
      <w:proofErr w:type="spellEnd"/>
      <w:r w:rsidRPr="00806BFF">
        <w:rPr>
          <w:szCs w:val="24"/>
        </w:rPr>
        <w:t xml:space="preserve"> enheder/ml i 2-dosisgruppen højere end i 1-dosisgruppen i det første år af opfølgningen og sammenlig</w:t>
      </w:r>
      <w:r w:rsidRPr="000A52B5">
        <w:rPr>
          <w:szCs w:val="24"/>
        </w:rPr>
        <w:t>nelige under resten af opfølgningsperioden. Den akkumulerede forekomst af VZV-</w:t>
      </w:r>
      <w:proofErr w:type="spellStart"/>
      <w:r w:rsidRPr="000A52B5">
        <w:rPr>
          <w:szCs w:val="24"/>
        </w:rPr>
        <w:t>antistofpersistens</w:t>
      </w:r>
      <w:proofErr w:type="spellEnd"/>
      <w:r w:rsidRPr="000A52B5">
        <w:rPr>
          <w:szCs w:val="24"/>
        </w:rPr>
        <w:t xml:space="preserve"> forblev i begge regimer meget høj ved år 9 (99,0</w:t>
      </w:r>
      <w:r w:rsidR="007620CE">
        <w:rPr>
          <w:szCs w:val="24"/>
        </w:rPr>
        <w:t xml:space="preserve"> %</w:t>
      </w:r>
      <w:r w:rsidRPr="000A52B5">
        <w:rPr>
          <w:szCs w:val="24"/>
        </w:rPr>
        <w:t xml:space="preserve"> for 1-dosisgruppen og 98,8</w:t>
      </w:r>
      <w:r w:rsidR="007620CE">
        <w:rPr>
          <w:szCs w:val="24"/>
        </w:rPr>
        <w:t xml:space="preserve"> %</w:t>
      </w:r>
      <w:r w:rsidRPr="000A52B5">
        <w:rPr>
          <w:szCs w:val="24"/>
        </w:rPr>
        <w:t xml:space="preserve"> for 2-dosisgruppen). </w:t>
      </w:r>
    </w:p>
    <w:p w:rsidR="008C6ED0" w:rsidRPr="00806BFF" w:rsidRDefault="008C6ED0" w:rsidP="008C6ED0">
      <w:pPr>
        <w:suppressAutoHyphens/>
        <w:ind w:left="851"/>
        <w:rPr>
          <w:szCs w:val="24"/>
        </w:rPr>
      </w:pPr>
    </w:p>
    <w:p w:rsidR="008C6ED0" w:rsidRPr="00E03D8E" w:rsidRDefault="008C6ED0" w:rsidP="00DC299C">
      <w:pPr>
        <w:ind w:left="851"/>
        <w:rPr>
          <w:u w:val="single"/>
        </w:rPr>
      </w:pPr>
      <w:r w:rsidRPr="00E03D8E">
        <w:rPr>
          <w:u w:val="single"/>
        </w:rPr>
        <w:t>Personer fra 13 år og ældre</w:t>
      </w:r>
    </w:p>
    <w:p w:rsidR="008C6ED0" w:rsidRPr="00806BFF" w:rsidRDefault="008C6ED0" w:rsidP="00DC299C">
      <w:pPr>
        <w:suppressAutoHyphens/>
        <w:ind w:left="851"/>
        <w:rPr>
          <w:szCs w:val="24"/>
        </w:rPr>
      </w:pPr>
      <w:r w:rsidRPr="00806BFF">
        <w:rPr>
          <w:szCs w:val="24"/>
        </w:rPr>
        <w:t xml:space="preserve">I kliniske </w:t>
      </w:r>
      <w:r w:rsidR="00D82730">
        <w:rPr>
          <w:szCs w:val="24"/>
        </w:rPr>
        <w:t>studier</w:t>
      </w:r>
      <w:r w:rsidRPr="00806BFF">
        <w:rPr>
          <w:szCs w:val="24"/>
        </w:rPr>
        <w:t xml:space="preserve"> med personer fra 13 år og ældre, som fik to doser vaccine, var påviselige antistoffer (</w:t>
      </w:r>
      <w:proofErr w:type="spellStart"/>
      <w:r w:rsidRPr="00806BFF">
        <w:rPr>
          <w:szCs w:val="24"/>
        </w:rPr>
        <w:t>gpELISA</w:t>
      </w:r>
      <w:proofErr w:type="spellEnd"/>
      <w:r w:rsidRPr="00806BFF">
        <w:rPr>
          <w:szCs w:val="24"/>
        </w:rPr>
        <w:t xml:space="preserve"> </w:t>
      </w:r>
      <w:r w:rsidRPr="00806BFF">
        <w:rPr>
          <w:szCs w:val="24"/>
        </w:rPr>
        <w:sym w:font="Symbol" w:char="F0B3"/>
      </w:r>
      <w:r w:rsidRPr="00806BFF">
        <w:rPr>
          <w:szCs w:val="24"/>
        </w:rPr>
        <w:t xml:space="preserve"> 0,6 enheder/ml) til stede hos 97,9</w:t>
      </w:r>
      <w:r w:rsidR="007620CE">
        <w:rPr>
          <w:szCs w:val="24"/>
        </w:rPr>
        <w:t xml:space="preserve"> %</w:t>
      </w:r>
      <w:r w:rsidRPr="00806BFF">
        <w:rPr>
          <w:szCs w:val="24"/>
        </w:rPr>
        <w:t xml:space="preserve"> (568/580) efter 1 år, 97,1</w:t>
      </w:r>
      <w:r w:rsidR="007620CE">
        <w:rPr>
          <w:szCs w:val="24"/>
        </w:rPr>
        <w:t xml:space="preserve"> %</w:t>
      </w:r>
      <w:r w:rsidRPr="00806BFF">
        <w:rPr>
          <w:szCs w:val="24"/>
        </w:rPr>
        <w:t xml:space="preserve"> (34/35) efter 2 år, 100</w:t>
      </w:r>
      <w:r w:rsidR="007620CE">
        <w:rPr>
          <w:szCs w:val="24"/>
        </w:rPr>
        <w:t xml:space="preserve"> %</w:t>
      </w:r>
      <w:r w:rsidRPr="00806BFF">
        <w:rPr>
          <w:szCs w:val="24"/>
        </w:rPr>
        <w:t xml:space="preserve"> (144/144) efter 3 år, 97,0</w:t>
      </w:r>
      <w:r w:rsidR="007620CE">
        <w:rPr>
          <w:szCs w:val="24"/>
        </w:rPr>
        <w:t xml:space="preserve"> %</w:t>
      </w:r>
      <w:r w:rsidRPr="00806BFF">
        <w:rPr>
          <w:szCs w:val="24"/>
        </w:rPr>
        <w:t xml:space="preserve"> (98/101) efter 4 år, 97,5</w:t>
      </w:r>
      <w:r w:rsidR="007620CE">
        <w:rPr>
          <w:szCs w:val="24"/>
        </w:rPr>
        <w:t xml:space="preserve"> %</w:t>
      </w:r>
      <w:r w:rsidRPr="00806BFF">
        <w:rPr>
          <w:szCs w:val="24"/>
        </w:rPr>
        <w:t xml:space="preserve"> (78/80) efter 5 år og 100</w:t>
      </w:r>
      <w:r w:rsidR="007620CE">
        <w:rPr>
          <w:szCs w:val="24"/>
        </w:rPr>
        <w:t xml:space="preserve"> %</w:t>
      </w:r>
      <w:r w:rsidRPr="00806BFF">
        <w:rPr>
          <w:szCs w:val="24"/>
        </w:rPr>
        <w:t xml:space="preserve"> (45/45) efter 6 år efter vaccinationen.</w:t>
      </w:r>
    </w:p>
    <w:p w:rsidR="008C6ED0" w:rsidRPr="00806BFF" w:rsidRDefault="008C6ED0" w:rsidP="00DC299C">
      <w:pPr>
        <w:suppressAutoHyphens/>
        <w:rPr>
          <w:szCs w:val="24"/>
        </w:rPr>
      </w:pPr>
    </w:p>
    <w:p w:rsidR="008C6ED0" w:rsidRPr="00806BFF" w:rsidRDefault="008C6ED0" w:rsidP="008C6ED0">
      <w:pPr>
        <w:suppressAutoHyphens/>
        <w:ind w:left="851"/>
        <w:rPr>
          <w:szCs w:val="24"/>
        </w:rPr>
      </w:pPr>
      <w:r w:rsidRPr="000A52B5">
        <w:rPr>
          <w:szCs w:val="24"/>
        </w:rPr>
        <w:t xml:space="preserve">En øgning i antistofniveauet er observeret hos vaccinerede personer, efter de har været udsat for naturligt forekommende </w:t>
      </w:r>
      <w:proofErr w:type="spellStart"/>
      <w:r w:rsidRPr="000A52B5">
        <w:rPr>
          <w:szCs w:val="24"/>
        </w:rPr>
        <w:t>varicella</w:t>
      </w:r>
      <w:proofErr w:type="spellEnd"/>
      <w:r w:rsidRPr="000A52B5">
        <w:rPr>
          <w:szCs w:val="24"/>
        </w:rPr>
        <w:t>, noget som kan forklare de tilsyneladende høje niveauer af antistoffer efter vaccina</w:t>
      </w:r>
      <w:r w:rsidRPr="00806BFF">
        <w:rPr>
          <w:szCs w:val="24"/>
        </w:rPr>
        <w:t xml:space="preserve">tion i disse studier. Varigheden af immunrespons mod </w:t>
      </w:r>
      <w:proofErr w:type="spellStart"/>
      <w:r w:rsidRPr="00806BFF">
        <w:rPr>
          <w:szCs w:val="24"/>
        </w:rPr>
        <w:t>varicella</w:t>
      </w:r>
      <w:proofErr w:type="spellEnd"/>
      <w:r w:rsidRPr="00806BFF">
        <w:rPr>
          <w:szCs w:val="24"/>
        </w:rPr>
        <w:t xml:space="preserve"> med </w:t>
      </w:r>
      <w:proofErr w:type="spellStart"/>
      <w:r w:rsidRPr="00806BFF">
        <w:rPr>
          <w:szCs w:val="24"/>
        </w:rPr>
        <w:t>varicellavaccine</w:t>
      </w:r>
      <w:proofErr w:type="spellEnd"/>
      <w:r w:rsidRPr="00806BFF">
        <w:rPr>
          <w:szCs w:val="24"/>
        </w:rPr>
        <w:t xml:space="preserve"> (levende)</w:t>
      </w:r>
      <w:r w:rsidR="00272B6A">
        <w:rPr>
          <w:szCs w:val="24"/>
        </w:rPr>
        <w:t xml:space="preserve"> </w:t>
      </w:r>
      <w:r w:rsidRPr="00806BFF">
        <w:rPr>
          <w:szCs w:val="24"/>
        </w:rPr>
        <w:t>(Oka/Merck</w:t>
      </w:r>
      <w:r w:rsidR="00D82730">
        <w:rPr>
          <w:szCs w:val="24"/>
        </w:rPr>
        <w:t>-stamme</w:t>
      </w:r>
      <w:r w:rsidRPr="00806BFF">
        <w:rPr>
          <w:szCs w:val="24"/>
        </w:rPr>
        <w:t xml:space="preserve">) uden tilstedeværelse af den naturlig forekommende </w:t>
      </w:r>
      <w:proofErr w:type="spellStart"/>
      <w:r w:rsidRPr="00806BFF">
        <w:rPr>
          <w:szCs w:val="24"/>
        </w:rPr>
        <w:t>varicella</w:t>
      </w:r>
      <w:proofErr w:type="spellEnd"/>
      <w:r w:rsidRPr="00806BFF">
        <w:rPr>
          <w:szCs w:val="24"/>
        </w:rPr>
        <w:t xml:space="preserve"> er ukendt (se pkt. 4.2).</w:t>
      </w:r>
    </w:p>
    <w:p w:rsidR="008C6ED0" w:rsidRPr="00806BFF" w:rsidRDefault="008C6ED0" w:rsidP="008C6ED0">
      <w:pPr>
        <w:suppressAutoHyphens/>
        <w:rPr>
          <w:szCs w:val="24"/>
        </w:rPr>
      </w:pPr>
    </w:p>
    <w:p w:rsidR="008C6ED0" w:rsidRDefault="008C6ED0" w:rsidP="008C6ED0">
      <w:pPr>
        <w:pStyle w:val="Brdtekstindrykning"/>
        <w:jc w:val="left"/>
        <w:rPr>
          <w:szCs w:val="24"/>
        </w:rPr>
      </w:pPr>
      <w:r w:rsidRPr="00806BFF">
        <w:rPr>
          <w:szCs w:val="24"/>
        </w:rPr>
        <w:t xml:space="preserve">Immunitet blev demonstreret i 4-6 år efter den første vaccination ved </w:t>
      </w:r>
      <w:r w:rsidR="00272B6A">
        <w:rPr>
          <w:szCs w:val="24"/>
        </w:rPr>
        <w:t xml:space="preserve">administration </w:t>
      </w:r>
      <w:r w:rsidRPr="00806BFF">
        <w:rPr>
          <w:szCs w:val="24"/>
        </w:rPr>
        <w:t xml:space="preserve">af en booster med </w:t>
      </w:r>
      <w:proofErr w:type="spellStart"/>
      <w:r w:rsidRPr="00806BFF">
        <w:rPr>
          <w:szCs w:val="24"/>
        </w:rPr>
        <w:t>varicella</w:t>
      </w:r>
      <w:proofErr w:type="spellEnd"/>
      <w:r w:rsidRPr="00806BFF">
        <w:rPr>
          <w:szCs w:val="24"/>
        </w:rPr>
        <w:t xml:space="preserve"> vaccine (levende)</w:t>
      </w:r>
      <w:r w:rsidR="00D82730">
        <w:rPr>
          <w:szCs w:val="24"/>
        </w:rPr>
        <w:t xml:space="preserve"> </w:t>
      </w:r>
      <w:r w:rsidRPr="00806BFF">
        <w:rPr>
          <w:szCs w:val="24"/>
        </w:rPr>
        <w:t>(Oka/Merck</w:t>
      </w:r>
      <w:r w:rsidR="00D82730">
        <w:rPr>
          <w:szCs w:val="24"/>
        </w:rPr>
        <w:t>-</w:t>
      </w:r>
      <w:r w:rsidRPr="00806BFF">
        <w:rPr>
          <w:szCs w:val="24"/>
        </w:rPr>
        <w:t xml:space="preserve">stamme) </w:t>
      </w:r>
      <w:r w:rsidR="00D82730">
        <w:rPr>
          <w:szCs w:val="24"/>
        </w:rPr>
        <w:t>hos</w:t>
      </w:r>
      <w:r w:rsidRPr="00806BFF">
        <w:rPr>
          <w:szCs w:val="24"/>
        </w:rPr>
        <w:t xml:space="preserve"> 419 personer, som var 1 til 17 år</w:t>
      </w:r>
      <w:r w:rsidR="00E03D8E">
        <w:rPr>
          <w:szCs w:val="24"/>
        </w:rPr>
        <w:t xml:space="preserve"> </w:t>
      </w:r>
      <w:r w:rsidR="00C4436E">
        <w:rPr>
          <w:szCs w:val="24"/>
        </w:rPr>
        <w:t>v</w:t>
      </w:r>
      <w:r w:rsidRPr="00806BFF">
        <w:rPr>
          <w:szCs w:val="24"/>
        </w:rPr>
        <w:t>ed</w:t>
      </w:r>
      <w:r w:rsidR="00C4436E">
        <w:rPr>
          <w:szCs w:val="24"/>
        </w:rPr>
        <w:t xml:space="preserve"> </w:t>
      </w:r>
      <w:r w:rsidRPr="00806BFF">
        <w:rPr>
          <w:szCs w:val="24"/>
        </w:rPr>
        <w:t xml:space="preserve">den første injektion. GMT før booster vaccination var 25,7 </w:t>
      </w:r>
      <w:proofErr w:type="spellStart"/>
      <w:r w:rsidRPr="00806BFF">
        <w:rPr>
          <w:szCs w:val="24"/>
        </w:rPr>
        <w:t>gpELISA</w:t>
      </w:r>
      <w:proofErr w:type="spellEnd"/>
      <w:r w:rsidRPr="00806BFF">
        <w:rPr>
          <w:szCs w:val="24"/>
        </w:rPr>
        <w:t xml:space="preserve"> enheder/ml og den steg til 143,6 </w:t>
      </w:r>
      <w:proofErr w:type="spellStart"/>
      <w:r w:rsidRPr="00806BFF">
        <w:rPr>
          <w:szCs w:val="24"/>
        </w:rPr>
        <w:t>gpELISA</w:t>
      </w:r>
      <w:proofErr w:type="spellEnd"/>
      <w:r w:rsidRPr="00806BFF">
        <w:rPr>
          <w:szCs w:val="24"/>
        </w:rPr>
        <w:t xml:space="preserve"> enheder/ml ca. 7-10 dage efter booster vaccinationen.</w:t>
      </w:r>
    </w:p>
    <w:p w:rsidR="007651B7" w:rsidRDefault="007651B7" w:rsidP="008C6ED0">
      <w:pPr>
        <w:pStyle w:val="Brdtekstindrykning"/>
        <w:jc w:val="left"/>
        <w:rPr>
          <w:szCs w:val="24"/>
        </w:rPr>
      </w:pPr>
    </w:p>
    <w:p w:rsidR="007651B7" w:rsidRPr="003A6C38" w:rsidRDefault="007651B7" w:rsidP="007651B7">
      <w:pPr>
        <w:ind w:left="855"/>
        <w:rPr>
          <w:szCs w:val="24"/>
        </w:rPr>
      </w:pPr>
      <w:r w:rsidRPr="003A6C38">
        <w:rPr>
          <w:b/>
          <w:szCs w:val="24"/>
          <w:u w:val="single"/>
        </w:rPr>
        <w:t xml:space="preserve">Effekt af </w:t>
      </w:r>
      <w:proofErr w:type="spellStart"/>
      <w:r w:rsidRPr="003A6C38">
        <w:rPr>
          <w:b/>
          <w:szCs w:val="24"/>
          <w:u w:val="single"/>
        </w:rPr>
        <w:t>varicellavaccine</w:t>
      </w:r>
      <w:proofErr w:type="spellEnd"/>
      <w:r w:rsidRPr="003A6C38">
        <w:rPr>
          <w:b/>
          <w:szCs w:val="24"/>
          <w:u w:val="single"/>
        </w:rPr>
        <w:t xml:space="preserve"> (levende) (Oka/Merck-stamme) </w:t>
      </w:r>
    </w:p>
    <w:p w:rsidR="007651B7" w:rsidRPr="003A6C38" w:rsidRDefault="007651B7" w:rsidP="007651B7">
      <w:pPr>
        <w:ind w:left="855"/>
        <w:rPr>
          <w:szCs w:val="24"/>
        </w:rPr>
      </w:pPr>
    </w:p>
    <w:p w:rsidR="00B50242" w:rsidRPr="00A403DD" w:rsidRDefault="007651B7" w:rsidP="00B50242">
      <w:pPr>
        <w:ind w:left="855"/>
        <w:rPr>
          <w:szCs w:val="24"/>
          <w:u w:val="single"/>
        </w:rPr>
      </w:pPr>
      <w:r w:rsidRPr="00A403DD">
        <w:rPr>
          <w:szCs w:val="24"/>
          <w:u w:val="single"/>
        </w:rPr>
        <w:t xml:space="preserve">Observationsstudier af den langsigtede effekt af </w:t>
      </w:r>
      <w:proofErr w:type="spellStart"/>
      <w:r w:rsidR="00A403DD" w:rsidRPr="00A403DD">
        <w:rPr>
          <w:szCs w:val="24"/>
          <w:u w:val="single"/>
        </w:rPr>
        <w:t>Varivax</w:t>
      </w:r>
      <w:proofErr w:type="spellEnd"/>
    </w:p>
    <w:p w:rsidR="007651B7" w:rsidRPr="003A6C38" w:rsidRDefault="007651B7" w:rsidP="007651B7">
      <w:pPr>
        <w:ind w:left="855"/>
        <w:rPr>
          <w:szCs w:val="24"/>
        </w:rPr>
      </w:pPr>
      <w:r w:rsidRPr="003A6C38">
        <w:rPr>
          <w:szCs w:val="24"/>
        </w:rPr>
        <w:t xml:space="preserve">Overvågningsdata fra to amerikanske </w:t>
      </w:r>
      <w:r>
        <w:rPr>
          <w:szCs w:val="24"/>
        </w:rPr>
        <w:t>obser</w:t>
      </w:r>
      <w:r w:rsidRPr="003A6C38">
        <w:rPr>
          <w:szCs w:val="24"/>
        </w:rPr>
        <w:t xml:space="preserve">vationsstudier </w:t>
      </w:r>
      <w:r>
        <w:rPr>
          <w:szCs w:val="24"/>
        </w:rPr>
        <w:t xml:space="preserve">af effekten </w:t>
      </w:r>
      <w:r w:rsidRPr="003A6C38">
        <w:rPr>
          <w:szCs w:val="24"/>
        </w:rPr>
        <w:t xml:space="preserve">bekræfter, at udbredt </w:t>
      </w:r>
      <w:proofErr w:type="spellStart"/>
      <w:r w:rsidRPr="003A6C38">
        <w:rPr>
          <w:szCs w:val="24"/>
        </w:rPr>
        <w:t>varicellavaccination</w:t>
      </w:r>
      <w:proofErr w:type="spellEnd"/>
      <w:r w:rsidRPr="003A6C38">
        <w:rPr>
          <w:szCs w:val="24"/>
        </w:rPr>
        <w:t xml:space="preserve"> </w:t>
      </w:r>
      <w:r>
        <w:rPr>
          <w:szCs w:val="24"/>
        </w:rPr>
        <w:t>nedsætter</w:t>
      </w:r>
      <w:r w:rsidRPr="003A6C38">
        <w:rPr>
          <w:szCs w:val="24"/>
        </w:rPr>
        <w:t xml:space="preserve"> risikoen for </w:t>
      </w:r>
      <w:proofErr w:type="spellStart"/>
      <w:r w:rsidRPr="003A6C38">
        <w:rPr>
          <w:szCs w:val="24"/>
        </w:rPr>
        <w:t>varicella</w:t>
      </w:r>
      <w:proofErr w:type="spellEnd"/>
      <w:r w:rsidRPr="003A6C38">
        <w:rPr>
          <w:szCs w:val="24"/>
        </w:rPr>
        <w:t xml:space="preserve"> med ca. 90</w:t>
      </w:r>
      <w:r w:rsidR="007620CE">
        <w:rPr>
          <w:szCs w:val="24"/>
        </w:rPr>
        <w:t xml:space="preserve"> %</w:t>
      </w:r>
      <w:r w:rsidRPr="003A6C38">
        <w:rPr>
          <w:szCs w:val="24"/>
        </w:rPr>
        <w:t xml:space="preserve">. Derudover blev den reducerede risiko for </w:t>
      </w:r>
      <w:proofErr w:type="spellStart"/>
      <w:r w:rsidRPr="003A6C38">
        <w:rPr>
          <w:szCs w:val="24"/>
        </w:rPr>
        <w:t>varicella</w:t>
      </w:r>
      <w:proofErr w:type="spellEnd"/>
      <w:r w:rsidRPr="003A6C38">
        <w:rPr>
          <w:szCs w:val="24"/>
        </w:rPr>
        <w:t xml:space="preserve"> fastholdt på populationsniveauet </w:t>
      </w:r>
      <w:r>
        <w:rPr>
          <w:szCs w:val="24"/>
        </w:rPr>
        <w:t>i</w:t>
      </w:r>
      <w:r w:rsidRPr="003A6C38">
        <w:rPr>
          <w:szCs w:val="24"/>
        </w:rPr>
        <w:t xml:space="preserve"> mindst 15 år hos både vaccinerede og ikke-vaccinerede </w:t>
      </w:r>
      <w:r w:rsidR="00D82730">
        <w:rPr>
          <w:szCs w:val="24"/>
        </w:rPr>
        <w:t>personer</w:t>
      </w:r>
      <w:r w:rsidRPr="003A6C38">
        <w:rPr>
          <w:szCs w:val="24"/>
        </w:rPr>
        <w:t xml:space="preserve">. Dataene tyder også på, at </w:t>
      </w:r>
      <w:proofErr w:type="spellStart"/>
      <w:r w:rsidRPr="003A6C38">
        <w:rPr>
          <w:szCs w:val="24"/>
        </w:rPr>
        <w:t>varicellavaccination</w:t>
      </w:r>
      <w:proofErr w:type="spellEnd"/>
      <w:r w:rsidRPr="003A6C38">
        <w:rPr>
          <w:szCs w:val="24"/>
        </w:rPr>
        <w:t xml:space="preserve"> kan reducere risikoen for herpes </w:t>
      </w:r>
      <w:proofErr w:type="spellStart"/>
      <w:r w:rsidRPr="003A6C38">
        <w:rPr>
          <w:szCs w:val="24"/>
        </w:rPr>
        <w:t>zoster</w:t>
      </w:r>
      <w:proofErr w:type="spellEnd"/>
      <w:r w:rsidRPr="003A6C38">
        <w:rPr>
          <w:szCs w:val="24"/>
        </w:rPr>
        <w:t xml:space="preserve"> hos vaccinerede </w:t>
      </w:r>
      <w:r w:rsidR="00D82730">
        <w:rPr>
          <w:szCs w:val="24"/>
        </w:rPr>
        <w:t>personer</w:t>
      </w:r>
      <w:r w:rsidRPr="003A6C38">
        <w:rPr>
          <w:szCs w:val="24"/>
        </w:rPr>
        <w:t>.</w:t>
      </w:r>
    </w:p>
    <w:p w:rsidR="007651B7" w:rsidRPr="003A6C38" w:rsidRDefault="007651B7" w:rsidP="007651B7">
      <w:pPr>
        <w:ind w:left="855"/>
        <w:rPr>
          <w:szCs w:val="24"/>
        </w:rPr>
      </w:pPr>
    </w:p>
    <w:p w:rsidR="007651B7" w:rsidRPr="00F86F0F" w:rsidRDefault="007651B7" w:rsidP="007651B7">
      <w:pPr>
        <w:ind w:left="855"/>
        <w:rPr>
          <w:szCs w:val="24"/>
        </w:rPr>
      </w:pPr>
      <w:r w:rsidRPr="003A6C38">
        <w:rPr>
          <w:szCs w:val="24"/>
        </w:rPr>
        <w:t xml:space="preserve">I det første studie, et langsigtet, </w:t>
      </w:r>
      <w:proofErr w:type="spellStart"/>
      <w:r w:rsidRPr="003A6C38">
        <w:rPr>
          <w:szCs w:val="24"/>
        </w:rPr>
        <w:t>prospektivt</w:t>
      </w:r>
      <w:proofErr w:type="spellEnd"/>
      <w:r w:rsidRPr="003A6C38">
        <w:rPr>
          <w:szCs w:val="24"/>
        </w:rPr>
        <w:t xml:space="preserve"> kohortestudie, blev ca. 7.600 børn vaccineret med </w:t>
      </w:r>
      <w:proofErr w:type="spellStart"/>
      <w:r w:rsidRPr="003A6C38">
        <w:rPr>
          <w:szCs w:val="24"/>
        </w:rPr>
        <w:t>varicellavaccine</w:t>
      </w:r>
      <w:proofErr w:type="spellEnd"/>
      <w:r w:rsidRPr="003A6C38">
        <w:rPr>
          <w:szCs w:val="24"/>
        </w:rPr>
        <w:t xml:space="preserve"> i 1995 i deres andet leveår. De blev fulgt aktivt i 14 år for at </w:t>
      </w:r>
      <w:r>
        <w:rPr>
          <w:szCs w:val="24"/>
        </w:rPr>
        <w:t>vurdere</w:t>
      </w:r>
      <w:r w:rsidRPr="003A6C38">
        <w:rPr>
          <w:szCs w:val="24"/>
        </w:rPr>
        <w:t xml:space="preserve"> forekomsten af </w:t>
      </w:r>
      <w:proofErr w:type="spellStart"/>
      <w:r w:rsidRPr="003A6C38">
        <w:rPr>
          <w:szCs w:val="24"/>
        </w:rPr>
        <w:t>varicella</w:t>
      </w:r>
      <w:proofErr w:type="spellEnd"/>
      <w:r w:rsidRPr="003A6C38">
        <w:rPr>
          <w:szCs w:val="24"/>
        </w:rPr>
        <w:t xml:space="preserve"> og herpes </w:t>
      </w:r>
      <w:proofErr w:type="spellStart"/>
      <w:r w:rsidRPr="003A6C38">
        <w:rPr>
          <w:szCs w:val="24"/>
        </w:rPr>
        <w:t>zoster</w:t>
      </w:r>
      <w:proofErr w:type="spellEnd"/>
      <w:r w:rsidRPr="003A6C38">
        <w:rPr>
          <w:szCs w:val="24"/>
        </w:rPr>
        <w:t>. Ved forsøgets afslutning i 2009 havde 38</w:t>
      </w:r>
      <w:r w:rsidR="007620CE">
        <w:rPr>
          <w:szCs w:val="24"/>
        </w:rPr>
        <w:t xml:space="preserve"> %</w:t>
      </w:r>
      <w:r w:rsidRPr="003A6C38">
        <w:rPr>
          <w:szCs w:val="24"/>
        </w:rPr>
        <w:t xml:space="preserve"> af børnene </w:t>
      </w:r>
      <w:r w:rsidR="00D82730">
        <w:rPr>
          <w:szCs w:val="24"/>
        </w:rPr>
        <w:t>fået</w:t>
      </w:r>
      <w:r w:rsidRPr="003A6C38">
        <w:rPr>
          <w:szCs w:val="24"/>
        </w:rPr>
        <w:t xml:space="preserve"> en yderligere dosis </w:t>
      </w:r>
      <w:proofErr w:type="spellStart"/>
      <w:r w:rsidRPr="003A6C38">
        <w:rPr>
          <w:szCs w:val="24"/>
        </w:rPr>
        <w:t>varicellavaccine</w:t>
      </w:r>
      <w:proofErr w:type="spellEnd"/>
      <w:r w:rsidRPr="003A6C38">
        <w:rPr>
          <w:szCs w:val="24"/>
        </w:rPr>
        <w:t>. Bemærk</w:t>
      </w:r>
      <w:r w:rsidR="00E839F6">
        <w:rPr>
          <w:szCs w:val="24"/>
        </w:rPr>
        <w:t>, at i</w:t>
      </w:r>
      <w:r w:rsidRPr="003A6C38">
        <w:rPr>
          <w:szCs w:val="24"/>
        </w:rPr>
        <w:t xml:space="preserve"> 2006 blev det i USA anbefalet at give en ekstra dosis </w:t>
      </w:r>
      <w:proofErr w:type="spellStart"/>
      <w:r w:rsidRPr="003A6C38">
        <w:rPr>
          <w:szCs w:val="24"/>
        </w:rPr>
        <w:t>varicella</w:t>
      </w:r>
      <w:r>
        <w:rPr>
          <w:szCs w:val="24"/>
        </w:rPr>
        <w:t>vaccine</w:t>
      </w:r>
      <w:proofErr w:type="spellEnd"/>
      <w:r>
        <w:rPr>
          <w:szCs w:val="24"/>
        </w:rPr>
        <w:t>. I hele opfølgningsperioden</w:t>
      </w:r>
      <w:r w:rsidRPr="003A6C38">
        <w:rPr>
          <w:szCs w:val="24"/>
        </w:rPr>
        <w:t xml:space="preserve"> var forekomsten af </w:t>
      </w:r>
      <w:proofErr w:type="spellStart"/>
      <w:r w:rsidRPr="003A6C38">
        <w:rPr>
          <w:szCs w:val="24"/>
        </w:rPr>
        <w:t>varicella</w:t>
      </w:r>
      <w:proofErr w:type="spellEnd"/>
      <w:r w:rsidRPr="003A6C38">
        <w:rPr>
          <w:szCs w:val="24"/>
        </w:rPr>
        <w:t xml:space="preserve"> ca. 10 gange lavere blandt vaccinerede børn end bland</w:t>
      </w:r>
      <w:r>
        <w:rPr>
          <w:szCs w:val="24"/>
        </w:rPr>
        <w:t>t</w:t>
      </w:r>
      <w:r w:rsidRPr="003A6C38">
        <w:rPr>
          <w:szCs w:val="24"/>
        </w:rPr>
        <w:t xml:space="preserve"> børn på samme alder i </w:t>
      </w:r>
      <w:r>
        <w:rPr>
          <w:szCs w:val="24"/>
        </w:rPr>
        <w:t xml:space="preserve">prævaccinationsperioden </w:t>
      </w:r>
      <w:r w:rsidRPr="003A6C38">
        <w:rPr>
          <w:szCs w:val="24"/>
        </w:rPr>
        <w:t>(</w:t>
      </w:r>
      <w:r>
        <w:rPr>
          <w:szCs w:val="24"/>
        </w:rPr>
        <w:t>vaccinens e</w:t>
      </w:r>
      <w:r w:rsidRPr="003A6C38">
        <w:rPr>
          <w:szCs w:val="24"/>
        </w:rPr>
        <w:t>ffektivitet</w:t>
      </w:r>
      <w:r>
        <w:rPr>
          <w:szCs w:val="24"/>
        </w:rPr>
        <w:t>sgrad blev i løbet af studieperioden anslået til</w:t>
      </w:r>
      <w:r w:rsidRPr="003A6C38">
        <w:rPr>
          <w:szCs w:val="24"/>
        </w:rPr>
        <w:t xml:space="preserve"> </w:t>
      </w:r>
      <w:r>
        <w:rPr>
          <w:szCs w:val="24"/>
        </w:rPr>
        <w:t>at være mellem 73</w:t>
      </w:r>
      <w:r w:rsidR="007620CE">
        <w:rPr>
          <w:szCs w:val="24"/>
        </w:rPr>
        <w:t xml:space="preserve"> %</w:t>
      </w:r>
      <w:r>
        <w:rPr>
          <w:szCs w:val="24"/>
        </w:rPr>
        <w:t xml:space="preserve"> og 90</w:t>
      </w:r>
      <w:r w:rsidR="007620CE">
        <w:rPr>
          <w:szCs w:val="24"/>
        </w:rPr>
        <w:t xml:space="preserve"> %</w:t>
      </w:r>
      <w:r w:rsidRPr="003A6C38">
        <w:rPr>
          <w:szCs w:val="24"/>
        </w:rPr>
        <w:t xml:space="preserve">). Hvad angår herpes </w:t>
      </w:r>
      <w:proofErr w:type="spellStart"/>
      <w:r w:rsidRPr="003A6C38">
        <w:rPr>
          <w:szCs w:val="24"/>
        </w:rPr>
        <w:t>zoster</w:t>
      </w:r>
      <w:proofErr w:type="spellEnd"/>
      <w:r w:rsidRPr="003A6C38">
        <w:rPr>
          <w:szCs w:val="24"/>
        </w:rPr>
        <w:t xml:space="preserve"> var der færre tilfælde af herpes </w:t>
      </w:r>
      <w:proofErr w:type="spellStart"/>
      <w:r w:rsidRPr="003A6C38">
        <w:rPr>
          <w:szCs w:val="24"/>
        </w:rPr>
        <w:t>zoster</w:t>
      </w:r>
      <w:proofErr w:type="spellEnd"/>
      <w:r w:rsidRPr="003A6C38">
        <w:rPr>
          <w:szCs w:val="24"/>
        </w:rPr>
        <w:t xml:space="preserve"> blandt </w:t>
      </w:r>
      <w:proofErr w:type="spellStart"/>
      <w:r w:rsidRPr="003A6C38">
        <w:rPr>
          <w:szCs w:val="24"/>
        </w:rPr>
        <w:t>varicellavaccinerede</w:t>
      </w:r>
      <w:proofErr w:type="spellEnd"/>
      <w:r w:rsidRPr="003A6C38">
        <w:rPr>
          <w:szCs w:val="24"/>
        </w:rPr>
        <w:t xml:space="preserve"> </w:t>
      </w:r>
      <w:r w:rsidR="00E839F6">
        <w:rPr>
          <w:szCs w:val="24"/>
        </w:rPr>
        <w:t>personer</w:t>
      </w:r>
      <w:r w:rsidRPr="003A6C38">
        <w:rPr>
          <w:szCs w:val="24"/>
        </w:rPr>
        <w:t xml:space="preserve"> i opfølgnings</w:t>
      </w:r>
      <w:r w:rsidR="0001540C">
        <w:rPr>
          <w:szCs w:val="24"/>
        </w:rPr>
        <w:softHyphen/>
      </w:r>
      <w:r w:rsidRPr="003A6C38">
        <w:rPr>
          <w:szCs w:val="24"/>
        </w:rPr>
        <w:t xml:space="preserve">perioden end forventet på baggrund af hyppigheden blandt børn i samme alder med </w:t>
      </w:r>
      <w:r>
        <w:rPr>
          <w:szCs w:val="24"/>
        </w:rPr>
        <w:t xml:space="preserve">tidligere </w:t>
      </w:r>
      <w:r w:rsidRPr="003A6C38">
        <w:rPr>
          <w:szCs w:val="24"/>
        </w:rPr>
        <w:t>vildtype-</w:t>
      </w:r>
      <w:proofErr w:type="spellStart"/>
      <w:r w:rsidRPr="003A6C38">
        <w:rPr>
          <w:szCs w:val="24"/>
        </w:rPr>
        <w:t>varicella</w:t>
      </w:r>
      <w:proofErr w:type="spellEnd"/>
      <w:r w:rsidRPr="003A6C38">
        <w:rPr>
          <w:szCs w:val="24"/>
        </w:rPr>
        <w:t xml:space="preserve"> i </w:t>
      </w:r>
      <w:r>
        <w:rPr>
          <w:szCs w:val="24"/>
        </w:rPr>
        <w:t>præ</w:t>
      </w:r>
      <w:r w:rsidRPr="003A6C38">
        <w:rPr>
          <w:szCs w:val="24"/>
        </w:rPr>
        <w:t>vaccination</w:t>
      </w:r>
      <w:r>
        <w:rPr>
          <w:szCs w:val="24"/>
        </w:rPr>
        <w:t>sperioden</w:t>
      </w:r>
      <w:r w:rsidRPr="003A6C38">
        <w:rPr>
          <w:szCs w:val="24"/>
        </w:rPr>
        <w:t xml:space="preserve"> (relativ risiko = 0,61, 95</w:t>
      </w:r>
      <w:r w:rsidR="007620CE">
        <w:rPr>
          <w:szCs w:val="24"/>
        </w:rPr>
        <w:t xml:space="preserve"> %</w:t>
      </w:r>
      <w:r w:rsidRPr="003A6C38">
        <w:rPr>
          <w:szCs w:val="24"/>
        </w:rPr>
        <w:t xml:space="preserve"> CI 0,43-0,89). Tilfælde af </w:t>
      </w:r>
      <w:proofErr w:type="spellStart"/>
      <w:r w:rsidRPr="003A6C38">
        <w:rPr>
          <w:szCs w:val="24"/>
        </w:rPr>
        <w:t>gennembrudsvaricella</w:t>
      </w:r>
      <w:proofErr w:type="spellEnd"/>
      <w:r w:rsidRPr="003A6C38">
        <w:rPr>
          <w:szCs w:val="24"/>
        </w:rPr>
        <w:t xml:space="preserve"> og herpes </w:t>
      </w:r>
      <w:proofErr w:type="spellStart"/>
      <w:r w:rsidRPr="003A6C38">
        <w:rPr>
          <w:szCs w:val="24"/>
        </w:rPr>
        <w:t>zoster</w:t>
      </w:r>
      <w:proofErr w:type="spellEnd"/>
      <w:r w:rsidRPr="003A6C38">
        <w:rPr>
          <w:szCs w:val="24"/>
        </w:rPr>
        <w:t xml:space="preserve"> var som regel milde.</w:t>
      </w:r>
    </w:p>
    <w:p w:rsidR="007651B7" w:rsidRPr="00F86F0F" w:rsidRDefault="007651B7" w:rsidP="007651B7">
      <w:pPr>
        <w:ind w:left="855"/>
        <w:rPr>
          <w:szCs w:val="24"/>
        </w:rPr>
      </w:pPr>
    </w:p>
    <w:p w:rsidR="007651B7" w:rsidRDefault="007651B7" w:rsidP="007651B7">
      <w:pPr>
        <w:ind w:left="855"/>
        <w:rPr>
          <w:szCs w:val="24"/>
        </w:rPr>
      </w:pPr>
      <w:r w:rsidRPr="003A6C38">
        <w:rPr>
          <w:szCs w:val="24"/>
        </w:rPr>
        <w:lastRenderedPageBreak/>
        <w:t xml:space="preserve">I et andet langsigtet overvågningsstudie blev der udført 5 tværfaglige undersøgelser af forekomsten af </w:t>
      </w:r>
      <w:proofErr w:type="spellStart"/>
      <w:r w:rsidRPr="003A6C38">
        <w:rPr>
          <w:szCs w:val="24"/>
        </w:rPr>
        <w:t>varicella</w:t>
      </w:r>
      <w:proofErr w:type="spellEnd"/>
      <w:r w:rsidRPr="003A6C38">
        <w:rPr>
          <w:szCs w:val="24"/>
        </w:rPr>
        <w:t>, hver især med et deltagerantal på ca. 8.000 tilfældigt udvalgte bør</w:t>
      </w:r>
      <w:r>
        <w:rPr>
          <w:szCs w:val="24"/>
        </w:rPr>
        <w:t xml:space="preserve">n og unge i alderen 5 til 19 år. </w:t>
      </w:r>
      <w:r w:rsidR="00E839F6">
        <w:rPr>
          <w:szCs w:val="24"/>
        </w:rPr>
        <w:t>Studierne</w:t>
      </w:r>
      <w:r>
        <w:rPr>
          <w:szCs w:val="24"/>
        </w:rPr>
        <w:t xml:space="preserve"> </w:t>
      </w:r>
      <w:r w:rsidR="00E839F6">
        <w:rPr>
          <w:szCs w:val="24"/>
        </w:rPr>
        <w:t>blev udført</w:t>
      </w:r>
      <w:r>
        <w:rPr>
          <w:szCs w:val="24"/>
        </w:rPr>
        <w:t xml:space="preserve"> </w:t>
      </w:r>
      <w:r w:rsidRPr="003A6C38">
        <w:rPr>
          <w:szCs w:val="24"/>
        </w:rPr>
        <w:t>over 15 år fra 1995 (</w:t>
      </w:r>
      <w:r>
        <w:rPr>
          <w:szCs w:val="24"/>
        </w:rPr>
        <w:t>præ</w:t>
      </w:r>
      <w:r w:rsidRPr="00F86F0F">
        <w:rPr>
          <w:szCs w:val="24"/>
        </w:rPr>
        <w:t>vaccin</w:t>
      </w:r>
      <w:r>
        <w:rPr>
          <w:szCs w:val="24"/>
        </w:rPr>
        <w:t>ation</w:t>
      </w:r>
      <w:r w:rsidRPr="003A6C38">
        <w:rPr>
          <w:szCs w:val="24"/>
        </w:rPr>
        <w:t xml:space="preserve">) til og med 2009. Resultaterne viste et gradvist fald i forekomsten af </w:t>
      </w:r>
      <w:proofErr w:type="spellStart"/>
      <w:r w:rsidRPr="003A6C38">
        <w:rPr>
          <w:szCs w:val="24"/>
        </w:rPr>
        <w:t>varicella</w:t>
      </w:r>
      <w:proofErr w:type="spellEnd"/>
      <w:r w:rsidRPr="003A6C38">
        <w:rPr>
          <w:szCs w:val="24"/>
        </w:rPr>
        <w:t xml:space="preserve"> på samlet set 90</w:t>
      </w:r>
      <w:r w:rsidR="007620CE">
        <w:rPr>
          <w:szCs w:val="24"/>
        </w:rPr>
        <w:t xml:space="preserve"> %</w:t>
      </w:r>
      <w:r w:rsidRPr="003A6C38">
        <w:rPr>
          <w:szCs w:val="24"/>
        </w:rPr>
        <w:t xml:space="preserve"> til 95</w:t>
      </w:r>
      <w:r w:rsidR="007620CE">
        <w:rPr>
          <w:szCs w:val="24"/>
        </w:rPr>
        <w:t xml:space="preserve"> %</w:t>
      </w:r>
      <w:r w:rsidRPr="003A6C38">
        <w:rPr>
          <w:szCs w:val="24"/>
        </w:rPr>
        <w:t xml:space="preserve"> (ca. ti- til </w:t>
      </w:r>
      <w:proofErr w:type="spellStart"/>
      <w:r w:rsidRPr="003A6C38">
        <w:rPr>
          <w:szCs w:val="24"/>
        </w:rPr>
        <w:t>tyvefoldig</w:t>
      </w:r>
      <w:proofErr w:type="spellEnd"/>
      <w:r w:rsidRPr="003A6C38">
        <w:rPr>
          <w:szCs w:val="24"/>
        </w:rPr>
        <w:t xml:space="preserve"> reduktion) fra 1995 til 2009 i alle aldersgrupper, både hos vaccinerede og ikke-vaccinerede børn og unge</w:t>
      </w:r>
      <w:r>
        <w:rPr>
          <w:szCs w:val="24"/>
        </w:rPr>
        <w:t>.</w:t>
      </w:r>
      <w:r w:rsidRPr="003A6C38">
        <w:rPr>
          <w:szCs w:val="24"/>
        </w:rPr>
        <w:t xml:space="preserve"> Derudover blev der set et fald på ca. 90</w:t>
      </w:r>
      <w:r w:rsidR="007620CE">
        <w:rPr>
          <w:szCs w:val="24"/>
        </w:rPr>
        <w:t xml:space="preserve"> %</w:t>
      </w:r>
      <w:r w:rsidRPr="003A6C38">
        <w:rPr>
          <w:szCs w:val="24"/>
        </w:rPr>
        <w:t xml:space="preserve"> (ca. tifoldig reduktion) i hospitalsindlæggelser på grund af </w:t>
      </w:r>
      <w:proofErr w:type="spellStart"/>
      <w:r w:rsidRPr="003A6C38">
        <w:rPr>
          <w:szCs w:val="24"/>
        </w:rPr>
        <w:t>varicella</w:t>
      </w:r>
      <w:proofErr w:type="spellEnd"/>
      <w:r w:rsidRPr="003A6C38">
        <w:rPr>
          <w:szCs w:val="24"/>
        </w:rPr>
        <w:t xml:space="preserve"> i alle aldersgrupper.</w:t>
      </w:r>
    </w:p>
    <w:p w:rsidR="004C54EE" w:rsidRDefault="004C54EE" w:rsidP="007651B7">
      <w:pPr>
        <w:ind w:left="855"/>
        <w:rPr>
          <w:szCs w:val="24"/>
        </w:rPr>
      </w:pPr>
    </w:p>
    <w:p w:rsidR="004C54EE" w:rsidRPr="004C54EE" w:rsidRDefault="004C54EE" w:rsidP="004C54EE">
      <w:pPr>
        <w:keepNext/>
        <w:ind w:left="856"/>
        <w:rPr>
          <w:szCs w:val="24"/>
          <w:u w:val="single"/>
        </w:rPr>
      </w:pPr>
      <w:bookmarkStart w:id="2" w:name="_Hlk170225459"/>
      <w:r w:rsidRPr="004C54EE">
        <w:rPr>
          <w:szCs w:val="24"/>
          <w:u w:val="single"/>
        </w:rPr>
        <w:t>Samtidig administration</w:t>
      </w:r>
    </w:p>
    <w:p w:rsidR="004C54EE" w:rsidRDefault="004C54EE" w:rsidP="004C54EE">
      <w:pPr>
        <w:ind w:left="855"/>
        <w:rPr>
          <w:szCs w:val="24"/>
        </w:rPr>
      </w:pPr>
      <w:r>
        <w:rPr>
          <w:szCs w:val="24"/>
        </w:rPr>
        <w:t xml:space="preserve">I et dobbeltblindet aktiv </w:t>
      </w:r>
      <w:proofErr w:type="spellStart"/>
      <w:r>
        <w:rPr>
          <w:szCs w:val="24"/>
        </w:rPr>
        <w:t>komparatorkontrolleret</w:t>
      </w:r>
      <w:proofErr w:type="spellEnd"/>
      <w:r>
        <w:rPr>
          <w:szCs w:val="24"/>
        </w:rPr>
        <w:t xml:space="preserve"> studie (Protokol V114-029) blev 1.720 raske spædbørn randomiseret til at få </w:t>
      </w:r>
      <w:proofErr w:type="spellStart"/>
      <w:r>
        <w:rPr>
          <w:szCs w:val="24"/>
        </w:rPr>
        <w:t>Vaxneuvance</w:t>
      </w:r>
      <w:proofErr w:type="spellEnd"/>
      <w:r>
        <w:rPr>
          <w:szCs w:val="24"/>
        </w:rPr>
        <w:t xml:space="preserve"> (en 15</w:t>
      </w:r>
      <w:r>
        <w:rPr>
          <w:szCs w:val="24"/>
          <w:vertAlign w:val="subscript"/>
        </w:rPr>
        <w:noBreakHyphen/>
      </w:r>
      <w:r>
        <w:rPr>
          <w:szCs w:val="24"/>
        </w:rPr>
        <w:t>valent PCV) eller en 13</w:t>
      </w:r>
      <w:r>
        <w:rPr>
          <w:szCs w:val="24"/>
        </w:rPr>
        <w:noBreakHyphen/>
        <w:t>valent PCV. Spædbørn i alderen 12</w:t>
      </w:r>
      <w:r>
        <w:rPr>
          <w:szCs w:val="24"/>
        </w:rPr>
        <w:noBreakHyphen/>
        <w:t xml:space="preserve">15 måneder fik også standard børnevacciner, herunder </w:t>
      </w:r>
      <w:proofErr w:type="spellStart"/>
      <w:r>
        <w:t>Varivax</w:t>
      </w:r>
      <w:proofErr w:type="spellEnd"/>
      <w:r>
        <w:rPr>
          <w:szCs w:val="24"/>
        </w:rPr>
        <w:t xml:space="preserve">, som blev administreret samtidig med en konjugeret </w:t>
      </w:r>
      <w:proofErr w:type="spellStart"/>
      <w:r>
        <w:rPr>
          <w:szCs w:val="24"/>
        </w:rPr>
        <w:t>pneumokokvaccine</w:t>
      </w:r>
      <w:proofErr w:type="spellEnd"/>
      <w:r>
        <w:rPr>
          <w:szCs w:val="24"/>
        </w:rPr>
        <w:t>.</w:t>
      </w:r>
      <w:bookmarkEnd w:id="2"/>
    </w:p>
    <w:p w:rsidR="008C6ED0" w:rsidRPr="00806BFF" w:rsidRDefault="008C6ED0" w:rsidP="008C6ED0">
      <w:pPr>
        <w:tabs>
          <w:tab w:val="left" w:pos="851"/>
        </w:tabs>
        <w:jc w:val="both"/>
        <w:rPr>
          <w:szCs w:val="24"/>
        </w:rPr>
      </w:pPr>
    </w:p>
    <w:p w:rsidR="00405AA6" w:rsidRPr="00C84483" w:rsidRDefault="00405AA6" w:rsidP="00405AA6">
      <w:pPr>
        <w:tabs>
          <w:tab w:val="left" w:pos="851"/>
        </w:tabs>
        <w:ind w:left="851" w:hanging="851"/>
        <w:rPr>
          <w:b/>
          <w:szCs w:val="24"/>
        </w:rPr>
      </w:pPr>
      <w:r w:rsidRPr="00C84483">
        <w:rPr>
          <w:b/>
          <w:szCs w:val="24"/>
        </w:rPr>
        <w:t>5.2</w:t>
      </w:r>
      <w:r w:rsidRPr="00C84483">
        <w:rPr>
          <w:b/>
          <w:szCs w:val="24"/>
        </w:rPr>
        <w:tab/>
      </w:r>
      <w:proofErr w:type="spellStart"/>
      <w:r w:rsidRPr="00C84483">
        <w:rPr>
          <w:b/>
          <w:szCs w:val="24"/>
        </w:rPr>
        <w:t>Farmakokinetiske</w:t>
      </w:r>
      <w:proofErr w:type="spellEnd"/>
      <w:r w:rsidRPr="00C84483">
        <w:rPr>
          <w:b/>
          <w:szCs w:val="24"/>
        </w:rPr>
        <w:t xml:space="preserve"> egenskaber</w:t>
      </w:r>
    </w:p>
    <w:p w:rsidR="008C6ED0" w:rsidRDefault="008C6ED0" w:rsidP="008C6ED0">
      <w:pPr>
        <w:ind w:firstLine="855"/>
        <w:rPr>
          <w:szCs w:val="24"/>
        </w:rPr>
      </w:pPr>
      <w:r w:rsidRPr="00806BFF">
        <w:rPr>
          <w:szCs w:val="24"/>
        </w:rPr>
        <w:t xml:space="preserve">Evaluering af de </w:t>
      </w:r>
      <w:proofErr w:type="spellStart"/>
      <w:r w:rsidRPr="00806BFF">
        <w:rPr>
          <w:szCs w:val="24"/>
        </w:rPr>
        <w:t>farmakokinetiske</w:t>
      </w:r>
      <w:proofErr w:type="spellEnd"/>
      <w:r w:rsidRPr="00806BFF">
        <w:rPr>
          <w:szCs w:val="24"/>
        </w:rPr>
        <w:t xml:space="preserve"> egenskaber er ikke krævet for vacciner.</w:t>
      </w:r>
    </w:p>
    <w:p w:rsidR="008C6ED0" w:rsidRPr="00806BFF" w:rsidRDefault="008C6ED0" w:rsidP="008C6ED0">
      <w:pPr>
        <w:tabs>
          <w:tab w:val="left" w:pos="851"/>
        </w:tabs>
        <w:jc w:val="both"/>
        <w:rPr>
          <w:szCs w:val="24"/>
        </w:rPr>
      </w:pPr>
    </w:p>
    <w:p w:rsidR="00DD4274" w:rsidRPr="00C84483" w:rsidRDefault="00DD4274" w:rsidP="00DD4274">
      <w:pPr>
        <w:tabs>
          <w:tab w:val="left" w:pos="851"/>
        </w:tabs>
        <w:ind w:left="851" w:hanging="851"/>
        <w:rPr>
          <w:b/>
          <w:szCs w:val="24"/>
        </w:rPr>
      </w:pPr>
      <w:r w:rsidRPr="00C84483">
        <w:rPr>
          <w:b/>
          <w:szCs w:val="24"/>
        </w:rPr>
        <w:t>5.3</w:t>
      </w:r>
      <w:r w:rsidRPr="00C84483">
        <w:rPr>
          <w:b/>
          <w:szCs w:val="24"/>
        </w:rPr>
        <w:tab/>
      </w:r>
      <w:r>
        <w:rPr>
          <w:b/>
          <w:szCs w:val="24"/>
        </w:rPr>
        <w:t>Non-</w:t>
      </w:r>
      <w:r w:rsidRPr="00C84483">
        <w:rPr>
          <w:b/>
          <w:szCs w:val="24"/>
        </w:rPr>
        <w:t>kliniske sikkerhedsdata</w:t>
      </w:r>
    </w:p>
    <w:p w:rsidR="00272B6A" w:rsidRDefault="00272B6A" w:rsidP="00272B6A">
      <w:pPr>
        <w:ind w:left="855"/>
        <w:rPr>
          <w:szCs w:val="24"/>
        </w:rPr>
      </w:pPr>
      <w:r>
        <w:rPr>
          <w:szCs w:val="24"/>
        </w:rPr>
        <w:t>Traditionelle non-kliniske sikkerhedsstudier er ikke udført, da der ikke er nogen non-kliniske hensyn som anses relevante for klinisk sikkerhed ud over de data, der er inkluderet i de andre afsnit i produktresuméet.</w:t>
      </w:r>
    </w:p>
    <w:p w:rsidR="007A66C9" w:rsidRDefault="007A66C9">
      <w:pPr>
        <w:tabs>
          <w:tab w:val="left" w:pos="851"/>
        </w:tabs>
        <w:jc w:val="both"/>
      </w:pPr>
    </w:p>
    <w:p w:rsidR="004A1D71" w:rsidRDefault="004A1D71">
      <w:pPr>
        <w:tabs>
          <w:tab w:val="left" w:pos="851"/>
        </w:tabs>
        <w:jc w:val="both"/>
      </w:pPr>
    </w:p>
    <w:p w:rsidR="00405AA6" w:rsidRPr="00C84483" w:rsidRDefault="00405AA6" w:rsidP="00405AA6">
      <w:pPr>
        <w:tabs>
          <w:tab w:val="left" w:pos="851"/>
        </w:tabs>
        <w:ind w:left="851" w:hanging="851"/>
        <w:rPr>
          <w:b/>
          <w:szCs w:val="24"/>
        </w:rPr>
      </w:pPr>
      <w:r w:rsidRPr="00C84483">
        <w:rPr>
          <w:b/>
          <w:szCs w:val="24"/>
        </w:rPr>
        <w:t>6.</w:t>
      </w:r>
      <w:r w:rsidRPr="00C84483">
        <w:rPr>
          <w:b/>
          <w:szCs w:val="24"/>
        </w:rPr>
        <w:tab/>
        <w:t>FARMACEUTISKE OPLYSNINGER</w:t>
      </w:r>
    </w:p>
    <w:p w:rsidR="007A66C9" w:rsidRDefault="007A66C9">
      <w:pPr>
        <w:tabs>
          <w:tab w:val="left" w:pos="851"/>
        </w:tabs>
        <w:jc w:val="both"/>
        <w:rPr>
          <w:b/>
        </w:rPr>
      </w:pPr>
    </w:p>
    <w:p w:rsidR="00405AA6" w:rsidRPr="00C84483" w:rsidRDefault="00405AA6" w:rsidP="00405AA6">
      <w:pPr>
        <w:tabs>
          <w:tab w:val="left" w:pos="851"/>
        </w:tabs>
        <w:ind w:left="851" w:hanging="851"/>
        <w:rPr>
          <w:b/>
          <w:szCs w:val="24"/>
        </w:rPr>
      </w:pPr>
      <w:r w:rsidRPr="00C84483">
        <w:rPr>
          <w:b/>
          <w:szCs w:val="24"/>
        </w:rPr>
        <w:t>6.1</w:t>
      </w:r>
      <w:r w:rsidRPr="00C84483">
        <w:rPr>
          <w:b/>
          <w:szCs w:val="24"/>
        </w:rPr>
        <w:tab/>
        <w:t>Hjælpestoffer</w:t>
      </w:r>
    </w:p>
    <w:p w:rsidR="0001540C" w:rsidRDefault="0001540C" w:rsidP="00B50242">
      <w:pPr>
        <w:pStyle w:val="Sidehoved"/>
        <w:tabs>
          <w:tab w:val="clear" w:pos="4819"/>
          <w:tab w:val="clear" w:pos="9638"/>
        </w:tabs>
        <w:ind w:left="855"/>
        <w:rPr>
          <w:szCs w:val="24"/>
        </w:rPr>
      </w:pPr>
    </w:p>
    <w:p w:rsidR="00B50242" w:rsidRPr="0001540C" w:rsidRDefault="00B50242" w:rsidP="00B50242">
      <w:pPr>
        <w:pStyle w:val="Sidehoved"/>
        <w:tabs>
          <w:tab w:val="clear" w:pos="4819"/>
          <w:tab w:val="clear" w:pos="9638"/>
        </w:tabs>
        <w:ind w:left="855"/>
        <w:rPr>
          <w:i/>
          <w:szCs w:val="24"/>
        </w:rPr>
      </w:pPr>
      <w:r w:rsidRPr="0001540C">
        <w:rPr>
          <w:i/>
          <w:szCs w:val="24"/>
        </w:rPr>
        <w:t>Pulver</w:t>
      </w:r>
      <w:r w:rsidR="00272B6A">
        <w:rPr>
          <w:i/>
          <w:szCs w:val="24"/>
        </w:rPr>
        <w:t>:</w:t>
      </w:r>
    </w:p>
    <w:p w:rsidR="005078A7" w:rsidRPr="005078A7" w:rsidRDefault="005078A7" w:rsidP="005078A7">
      <w:pPr>
        <w:pStyle w:val="Sidehoved"/>
        <w:tabs>
          <w:tab w:val="clear" w:pos="4819"/>
          <w:tab w:val="clear" w:pos="9638"/>
        </w:tabs>
        <w:ind w:left="855"/>
        <w:rPr>
          <w:szCs w:val="24"/>
        </w:rPr>
      </w:pPr>
      <w:proofErr w:type="spellStart"/>
      <w:r w:rsidRPr="005078A7">
        <w:rPr>
          <w:szCs w:val="24"/>
        </w:rPr>
        <w:t>Saccharose</w:t>
      </w:r>
      <w:proofErr w:type="spellEnd"/>
    </w:p>
    <w:p w:rsidR="005078A7" w:rsidRPr="005078A7" w:rsidRDefault="005078A7" w:rsidP="005078A7">
      <w:pPr>
        <w:pStyle w:val="Sidehoved"/>
        <w:tabs>
          <w:tab w:val="clear" w:pos="4819"/>
          <w:tab w:val="clear" w:pos="9638"/>
        </w:tabs>
        <w:ind w:left="855"/>
        <w:rPr>
          <w:szCs w:val="24"/>
        </w:rPr>
      </w:pPr>
      <w:r w:rsidRPr="005078A7">
        <w:rPr>
          <w:szCs w:val="24"/>
        </w:rPr>
        <w:t>Hydrolyseret gelatine</w:t>
      </w:r>
    </w:p>
    <w:p w:rsidR="005078A7" w:rsidRPr="0069039D" w:rsidRDefault="005078A7" w:rsidP="005078A7">
      <w:pPr>
        <w:pStyle w:val="Sidehoved"/>
        <w:tabs>
          <w:tab w:val="clear" w:pos="4819"/>
          <w:tab w:val="clear" w:pos="9638"/>
        </w:tabs>
        <w:ind w:left="855"/>
        <w:rPr>
          <w:szCs w:val="24"/>
          <w:lang w:val="en-US"/>
        </w:rPr>
      </w:pPr>
      <w:r w:rsidRPr="0069039D">
        <w:rPr>
          <w:szCs w:val="24"/>
          <w:lang w:val="en-US"/>
        </w:rPr>
        <w:t>Urea</w:t>
      </w:r>
    </w:p>
    <w:p w:rsidR="005078A7" w:rsidRPr="0069039D" w:rsidRDefault="005078A7" w:rsidP="005078A7">
      <w:pPr>
        <w:pStyle w:val="Sidehoved"/>
        <w:tabs>
          <w:tab w:val="clear" w:pos="4819"/>
          <w:tab w:val="clear" w:pos="9638"/>
        </w:tabs>
        <w:ind w:left="855"/>
        <w:rPr>
          <w:szCs w:val="24"/>
          <w:lang w:val="en-US"/>
        </w:rPr>
      </w:pPr>
      <w:proofErr w:type="spellStart"/>
      <w:r w:rsidRPr="0069039D">
        <w:rPr>
          <w:szCs w:val="24"/>
          <w:lang w:val="en-US"/>
        </w:rPr>
        <w:t>Natriumchlorid</w:t>
      </w:r>
      <w:proofErr w:type="spellEnd"/>
    </w:p>
    <w:p w:rsidR="005078A7" w:rsidRPr="0069039D" w:rsidRDefault="005078A7" w:rsidP="005078A7">
      <w:pPr>
        <w:pStyle w:val="Sidehoved"/>
        <w:tabs>
          <w:tab w:val="clear" w:pos="4819"/>
          <w:tab w:val="clear" w:pos="9638"/>
        </w:tabs>
        <w:ind w:left="855"/>
        <w:rPr>
          <w:szCs w:val="24"/>
          <w:lang w:val="en-US"/>
        </w:rPr>
      </w:pPr>
      <w:r w:rsidRPr="0069039D">
        <w:rPr>
          <w:szCs w:val="24"/>
          <w:lang w:val="en-US"/>
        </w:rPr>
        <w:t>L-</w:t>
      </w:r>
      <w:proofErr w:type="spellStart"/>
      <w:r w:rsidRPr="0069039D">
        <w:rPr>
          <w:szCs w:val="24"/>
          <w:lang w:val="en-US"/>
        </w:rPr>
        <w:t>mononatriumglutamat</w:t>
      </w:r>
      <w:proofErr w:type="spellEnd"/>
    </w:p>
    <w:p w:rsidR="005078A7" w:rsidRPr="0069039D" w:rsidRDefault="005078A7" w:rsidP="005078A7">
      <w:pPr>
        <w:pStyle w:val="Sidehoved"/>
        <w:tabs>
          <w:tab w:val="clear" w:pos="4819"/>
          <w:tab w:val="clear" w:pos="9638"/>
        </w:tabs>
        <w:ind w:left="855"/>
        <w:rPr>
          <w:szCs w:val="24"/>
          <w:lang w:val="en-US"/>
        </w:rPr>
      </w:pPr>
      <w:proofErr w:type="spellStart"/>
      <w:r w:rsidRPr="0069039D">
        <w:rPr>
          <w:szCs w:val="24"/>
          <w:lang w:val="en-US"/>
        </w:rPr>
        <w:t>Dinatriumphosphat</w:t>
      </w:r>
      <w:proofErr w:type="spellEnd"/>
      <w:r w:rsidRPr="0069039D">
        <w:rPr>
          <w:szCs w:val="24"/>
          <w:lang w:val="en-US"/>
        </w:rPr>
        <w:t xml:space="preserve">, </w:t>
      </w:r>
      <w:proofErr w:type="spellStart"/>
      <w:r w:rsidRPr="0069039D">
        <w:rPr>
          <w:szCs w:val="24"/>
          <w:lang w:val="en-US"/>
        </w:rPr>
        <w:t>vandfri</w:t>
      </w:r>
      <w:proofErr w:type="spellEnd"/>
    </w:p>
    <w:p w:rsidR="005078A7" w:rsidRPr="00B50242" w:rsidRDefault="005078A7" w:rsidP="005078A7">
      <w:pPr>
        <w:pStyle w:val="Sidehoved"/>
        <w:tabs>
          <w:tab w:val="clear" w:pos="4819"/>
          <w:tab w:val="clear" w:pos="9638"/>
        </w:tabs>
        <w:ind w:left="855"/>
        <w:rPr>
          <w:szCs w:val="24"/>
        </w:rPr>
      </w:pPr>
      <w:proofErr w:type="spellStart"/>
      <w:r w:rsidRPr="00B50242">
        <w:rPr>
          <w:szCs w:val="24"/>
        </w:rPr>
        <w:t>Kaliumdihydrogenphosphat</w:t>
      </w:r>
      <w:proofErr w:type="spellEnd"/>
    </w:p>
    <w:p w:rsidR="005078A7" w:rsidRPr="00B50242" w:rsidRDefault="005078A7" w:rsidP="005078A7">
      <w:pPr>
        <w:pStyle w:val="Sidehoved"/>
        <w:tabs>
          <w:tab w:val="clear" w:pos="4819"/>
          <w:tab w:val="clear" w:pos="9638"/>
        </w:tabs>
        <w:ind w:left="855"/>
        <w:rPr>
          <w:szCs w:val="24"/>
        </w:rPr>
      </w:pPr>
      <w:proofErr w:type="spellStart"/>
      <w:r w:rsidRPr="00B50242">
        <w:rPr>
          <w:szCs w:val="24"/>
        </w:rPr>
        <w:t>Kaliumchlorid</w:t>
      </w:r>
      <w:proofErr w:type="spellEnd"/>
      <w:r w:rsidRPr="00B50242">
        <w:rPr>
          <w:szCs w:val="24"/>
        </w:rPr>
        <w:t xml:space="preserve"> </w:t>
      </w:r>
    </w:p>
    <w:p w:rsidR="005078A7" w:rsidRPr="00B50242" w:rsidRDefault="005078A7" w:rsidP="0001540C">
      <w:pPr>
        <w:jc w:val="both"/>
        <w:rPr>
          <w:szCs w:val="24"/>
        </w:rPr>
      </w:pPr>
    </w:p>
    <w:p w:rsidR="005078A7" w:rsidRPr="005078A7" w:rsidRDefault="005078A7" w:rsidP="0001540C">
      <w:pPr>
        <w:ind w:left="855"/>
        <w:rPr>
          <w:szCs w:val="24"/>
        </w:rPr>
      </w:pPr>
      <w:r w:rsidRPr="005078A7">
        <w:rPr>
          <w:szCs w:val="24"/>
        </w:rPr>
        <w:t>For information om restmængder af sporstoffer, se pkt. 2, 4.3 og 4.4.</w:t>
      </w:r>
    </w:p>
    <w:p w:rsidR="005078A7" w:rsidRPr="005078A7" w:rsidRDefault="005078A7" w:rsidP="0001540C">
      <w:pPr>
        <w:pStyle w:val="Sidehoved"/>
        <w:tabs>
          <w:tab w:val="clear" w:pos="4819"/>
          <w:tab w:val="clear" w:pos="9638"/>
        </w:tabs>
        <w:ind w:left="855"/>
        <w:rPr>
          <w:szCs w:val="24"/>
        </w:rPr>
      </w:pPr>
    </w:p>
    <w:p w:rsidR="005078A7" w:rsidRPr="005078A7" w:rsidRDefault="005078A7" w:rsidP="0001540C">
      <w:pPr>
        <w:ind w:left="855"/>
        <w:rPr>
          <w:i/>
          <w:szCs w:val="24"/>
        </w:rPr>
      </w:pPr>
      <w:r w:rsidRPr="005078A7">
        <w:rPr>
          <w:i/>
          <w:szCs w:val="24"/>
        </w:rPr>
        <w:t>Solvens:</w:t>
      </w:r>
    </w:p>
    <w:p w:rsidR="005078A7" w:rsidRPr="005078A7" w:rsidRDefault="005078A7" w:rsidP="0001540C">
      <w:pPr>
        <w:tabs>
          <w:tab w:val="left" w:pos="851"/>
        </w:tabs>
        <w:ind w:left="1706" w:hanging="851"/>
        <w:rPr>
          <w:szCs w:val="24"/>
        </w:rPr>
      </w:pPr>
      <w:r w:rsidRPr="005078A7">
        <w:rPr>
          <w:szCs w:val="24"/>
        </w:rPr>
        <w:t>Vand til injektionsvæsker</w:t>
      </w:r>
    </w:p>
    <w:p w:rsidR="005078A7" w:rsidRPr="005078A7" w:rsidRDefault="005078A7" w:rsidP="005078A7">
      <w:pPr>
        <w:tabs>
          <w:tab w:val="left" w:pos="851"/>
        </w:tabs>
        <w:jc w:val="both"/>
        <w:rPr>
          <w:szCs w:val="24"/>
        </w:rPr>
      </w:pPr>
    </w:p>
    <w:p w:rsidR="00405AA6" w:rsidRPr="00C84483" w:rsidRDefault="00405AA6" w:rsidP="00405AA6">
      <w:pPr>
        <w:tabs>
          <w:tab w:val="left" w:pos="851"/>
        </w:tabs>
        <w:ind w:left="851" w:hanging="851"/>
        <w:rPr>
          <w:b/>
          <w:szCs w:val="24"/>
        </w:rPr>
      </w:pPr>
      <w:r w:rsidRPr="00C84483">
        <w:rPr>
          <w:b/>
          <w:szCs w:val="24"/>
        </w:rPr>
        <w:t>6.2</w:t>
      </w:r>
      <w:r w:rsidRPr="00C84483">
        <w:rPr>
          <w:b/>
          <w:szCs w:val="24"/>
        </w:rPr>
        <w:tab/>
        <w:t>Uforligeligheder</w:t>
      </w:r>
    </w:p>
    <w:p w:rsidR="00272B6A" w:rsidRDefault="00272B6A" w:rsidP="00272B6A">
      <w:pPr>
        <w:ind w:firstLine="855"/>
        <w:rPr>
          <w:szCs w:val="24"/>
        </w:rPr>
      </w:pPr>
      <w:r>
        <w:rPr>
          <w:szCs w:val="24"/>
        </w:rPr>
        <w:t>Denne vaccine må ikke blandes med andre lægemidler.</w:t>
      </w:r>
    </w:p>
    <w:p w:rsidR="005078A7" w:rsidRPr="005078A7" w:rsidRDefault="005078A7" w:rsidP="005078A7">
      <w:pPr>
        <w:tabs>
          <w:tab w:val="left" w:pos="851"/>
        </w:tabs>
        <w:ind w:left="851"/>
        <w:jc w:val="both"/>
        <w:rPr>
          <w:szCs w:val="24"/>
        </w:rPr>
      </w:pPr>
    </w:p>
    <w:p w:rsidR="00405AA6" w:rsidRPr="00C84483" w:rsidRDefault="00405AA6" w:rsidP="00405AA6">
      <w:pPr>
        <w:tabs>
          <w:tab w:val="left" w:pos="851"/>
        </w:tabs>
        <w:ind w:left="851" w:hanging="851"/>
        <w:rPr>
          <w:b/>
          <w:szCs w:val="24"/>
        </w:rPr>
      </w:pPr>
      <w:r w:rsidRPr="00C84483">
        <w:rPr>
          <w:b/>
          <w:szCs w:val="24"/>
        </w:rPr>
        <w:t>6.3</w:t>
      </w:r>
      <w:r w:rsidRPr="00C84483">
        <w:rPr>
          <w:b/>
          <w:szCs w:val="24"/>
        </w:rPr>
        <w:tab/>
        <w:t>Opbevaringstid</w:t>
      </w:r>
    </w:p>
    <w:p w:rsidR="005078A7" w:rsidRPr="005078A7" w:rsidRDefault="005078A7" w:rsidP="005078A7">
      <w:pPr>
        <w:ind w:left="855"/>
        <w:rPr>
          <w:szCs w:val="24"/>
        </w:rPr>
      </w:pPr>
      <w:r w:rsidRPr="005078A7">
        <w:rPr>
          <w:szCs w:val="24"/>
        </w:rPr>
        <w:t>2 år.</w:t>
      </w:r>
    </w:p>
    <w:p w:rsidR="005078A7" w:rsidRPr="005078A7" w:rsidRDefault="005078A7" w:rsidP="005078A7">
      <w:pPr>
        <w:ind w:left="855"/>
        <w:rPr>
          <w:szCs w:val="24"/>
        </w:rPr>
      </w:pPr>
    </w:p>
    <w:p w:rsidR="005078A7" w:rsidRPr="005078A7" w:rsidRDefault="005078A7" w:rsidP="005078A7">
      <w:pPr>
        <w:ind w:left="855"/>
        <w:rPr>
          <w:szCs w:val="24"/>
        </w:rPr>
      </w:pPr>
      <w:r w:rsidRPr="005078A7">
        <w:rPr>
          <w:szCs w:val="24"/>
        </w:rPr>
        <w:lastRenderedPageBreak/>
        <w:t>Efter opløsning skal vaccinen anvendes straks. Stabilitete</w:t>
      </w:r>
      <w:r w:rsidR="00B50242">
        <w:rPr>
          <w:szCs w:val="24"/>
        </w:rPr>
        <w:t>n ved brug er imidlertid påvist</w:t>
      </w:r>
      <w:r w:rsidRPr="005078A7">
        <w:rPr>
          <w:szCs w:val="24"/>
        </w:rPr>
        <w:t xml:space="preserve"> i 30 minutter ved en temperatur på 20</w:t>
      </w:r>
      <w:r w:rsidR="00B30334">
        <w:rPr>
          <w:szCs w:val="24"/>
        </w:rPr>
        <w:t xml:space="preserve"> </w:t>
      </w:r>
      <w:r w:rsidRPr="005078A7">
        <w:rPr>
          <w:szCs w:val="24"/>
        </w:rPr>
        <w:t>°C</w:t>
      </w:r>
      <w:r w:rsidR="00BE10D2">
        <w:rPr>
          <w:szCs w:val="24"/>
        </w:rPr>
        <w:t xml:space="preserve"> </w:t>
      </w:r>
      <w:r w:rsidRPr="005078A7">
        <w:rPr>
          <w:szCs w:val="24"/>
        </w:rPr>
        <w:t>-</w:t>
      </w:r>
      <w:r w:rsidR="00BE10D2">
        <w:rPr>
          <w:szCs w:val="24"/>
        </w:rPr>
        <w:t xml:space="preserve"> </w:t>
      </w:r>
      <w:r w:rsidRPr="005078A7">
        <w:rPr>
          <w:szCs w:val="24"/>
        </w:rPr>
        <w:t>25</w:t>
      </w:r>
      <w:r w:rsidR="00B30334">
        <w:rPr>
          <w:szCs w:val="24"/>
        </w:rPr>
        <w:t xml:space="preserve"> </w:t>
      </w:r>
      <w:r w:rsidRPr="005078A7">
        <w:rPr>
          <w:szCs w:val="24"/>
        </w:rPr>
        <w:t>°C.</w:t>
      </w:r>
    </w:p>
    <w:p w:rsidR="005078A7" w:rsidRPr="005078A7" w:rsidRDefault="005078A7" w:rsidP="00B50242">
      <w:pPr>
        <w:tabs>
          <w:tab w:val="left" w:pos="7944"/>
        </w:tabs>
        <w:jc w:val="both"/>
        <w:rPr>
          <w:szCs w:val="24"/>
        </w:rPr>
      </w:pPr>
    </w:p>
    <w:p w:rsidR="00405AA6" w:rsidRPr="00C84483" w:rsidRDefault="00405AA6" w:rsidP="00405AA6">
      <w:pPr>
        <w:tabs>
          <w:tab w:val="left" w:pos="851"/>
        </w:tabs>
        <w:ind w:left="851" w:hanging="851"/>
        <w:rPr>
          <w:b/>
          <w:szCs w:val="24"/>
        </w:rPr>
      </w:pPr>
      <w:r w:rsidRPr="00C84483">
        <w:rPr>
          <w:b/>
          <w:szCs w:val="24"/>
        </w:rPr>
        <w:t>6.4</w:t>
      </w:r>
      <w:r w:rsidRPr="00C84483">
        <w:rPr>
          <w:b/>
          <w:szCs w:val="24"/>
        </w:rPr>
        <w:tab/>
        <w:t>Særlige opbevaringsforhold</w:t>
      </w:r>
    </w:p>
    <w:p w:rsidR="00272B6A" w:rsidRDefault="00272B6A" w:rsidP="00272B6A">
      <w:pPr>
        <w:ind w:left="855"/>
        <w:rPr>
          <w:szCs w:val="24"/>
        </w:rPr>
      </w:pPr>
      <w:r>
        <w:rPr>
          <w:noProof/>
          <w:szCs w:val="24"/>
        </w:rPr>
        <w:t>Opbevares i køleskab og transporteres nedkølet (2 °C – 8 °C)</w:t>
      </w:r>
      <w:r>
        <w:rPr>
          <w:szCs w:val="24"/>
        </w:rPr>
        <w:t>. Opbevar hætteglasset i den ydre karton for at beskytte mod lys.</w:t>
      </w:r>
    </w:p>
    <w:p w:rsidR="00272B6A" w:rsidRDefault="00272B6A" w:rsidP="00272B6A">
      <w:pPr>
        <w:ind w:left="855"/>
        <w:rPr>
          <w:szCs w:val="24"/>
        </w:rPr>
      </w:pPr>
    </w:p>
    <w:p w:rsidR="00272B6A" w:rsidRDefault="00272B6A" w:rsidP="00272B6A">
      <w:pPr>
        <w:tabs>
          <w:tab w:val="left" w:pos="851"/>
        </w:tabs>
        <w:ind w:left="1706" w:hanging="851"/>
        <w:jc w:val="both"/>
        <w:rPr>
          <w:b/>
          <w:i/>
          <w:szCs w:val="24"/>
        </w:rPr>
      </w:pPr>
      <w:r>
        <w:rPr>
          <w:b/>
          <w:i/>
          <w:szCs w:val="24"/>
        </w:rPr>
        <w:t>Må ikke nedfryses.</w:t>
      </w:r>
    </w:p>
    <w:p w:rsidR="00272B6A" w:rsidRDefault="00272B6A" w:rsidP="00272B6A">
      <w:pPr>
        <w:tabs>
          <w:tab w:val="left" w:pos="851"/>
        </w:tabs>
        <w:ind w:left="1706" w:hanging="851"/>
        <w:jc w:val="both"/>
        <w:rPr>
          <w:bCs/>
          <w:iCs/>
          <w:szCs w:val="24"/>
        </w:rPr>
      </w:pPr>
      <w:r>
        <w:rPr>
          <w:bCs/>
          <w:iCs/>
          <w:szCs w:val="24"/>
        </w:rPr>
        <w:t xml:space="preserve">Opbevaringsforhold efter </w:t>
      </w:r>
      <w:proofErr w:type="spellStart"/>
      <w:r>
        <w:rPr>
          <w:bCs/>
          <w:iCs/>
          <w:szCs w:val="24"/>
        </w:rPr>
        <w:t>rekonstitution</w:t>
      </w:r>
      <w:proofErr w:type="spellEnd"/>
      <w:r>
        <w:rPr>
          <w:bCs/>
          <w:iCs/>
          <w:szCs w:val="24"/>
        </w:rPr>
        <w:t xml:space="preserve"> af lægemidlet, se pkt. 6.3.</w:t>
      </w:r>
    </w:p>
    <w:p w:rsidR="005078A7" w:rsidRPr="005078A7" w:rsidRDefault="005078A7" w:rsidP="005078A7">
      <w:pPr>
        <w:tabs>
          <w:tab w:val="left" w:pos="851"/>
        </w:tabs>
        <w:jc w:val="both"/>
        <w:rPr>
          <w:szCs w:val="24"/>
        </w:rPr>
      </w:pPr>
    </w:p>
    <w:p w:rsidR="00DD4274" w:rsidRPr="00C84483" w:rsidRDefault="00DD4274" w:rsidP="00DD4274">
      <w:pPr>
        <w:tabs>
          <w:tab w:val="left" w:pos="851"/>
        </w:tabs>
        <w:ind w:left="851" w:hanging="851"/>
        <w:rPr>
          <w:b/>
          <w:szCs w:val="24"/>
        </w:rPr>
      </w:pPr>
      <w:r w:rsidRPr="00C84483">
        <w:rPr>
          <w:b/>
          <w:szCs w:val="24"/>
        </w:rPr>
        <w:t>6.5</w:t>
      </w:r>
      <w:r w:rsidRPr="00C84483">
        <w:rPr>
          <w:b/>
          <w:szCs w:val="24"/>
        </w:rPr>
        <w:tab/>
        <w:t>Emballagetype og pakningsstørrelser</w:t>
      </w:r>
    </w:p>
    <w:p w:rsidR="00272B6A" w:rsidRDefault="00272B6A" w:rsidP="00272B6A">
      <w:pPr>
        <w:pStyle w:val="Sidehoved"/>
        <w:tabs>
          <w:tab w:val="left" w:pos="1304"/>
        </w:tabs>
        <w:suppressAutoHyphens/>
        <w:ind w:left="855"/>
        <w:rPr>
          <w:szCs w:val="24"/>
        </w:rPr>
      </w:pPr>
      <w:r>
        <w:rPr>
          <w:i/>
          <w:szCs w:val="24"/>
        </w:rPr>
        <w:t>Hætteglas</w:t>
      </w:r>
    </w:p>
    <w:p w:rsidR="00272B6A" w:rsidRDefault="00272B6A" w:rsidP="00272B6A">
      <w:pPr>
        <w:pStyle w:val="Sidehoved"/>
        <w:tabs>
          <w:tab w:val="left" w:pos="1304"/>
        </w:tabs>
        <w:suppressAutoHyphens/>
        <w:ind w:left="855"/>
        <w:rPr>
          <w:szCs w:val="24"/>
        </w:rPr>
      </w:pPr>
      <w:r>
        <w:rPr>
          <w:szCs w:val="24"/>
        </w:rPr>
        <w:t>Pulver i et 3 ml hætteglas (Type I-glas) med prop (butylgummi) og forseglingslåg (aluminium).</w:t>
      </w:r>
    </w:p>
    <w:p w:rsidR="00272B6A" w:rsidRDefault="00272B6A" w:rsidP="00272B6A">
      <w:pPr>
        <w:suppressAutoHyphens/>
        <w:ind w:left="855"/>
        <w:rPr>
          <w:szCs w:val="24"/>
          <w:u w:val="single"/>
        </w:rPr>
      </w:pPr>
    </w:p>
    <w:p w:rsidR="00272B6A" w:rsidRDefault="00272B6A" w:rsidP="00272B6A">
      <w:pPr>
        <w:suppressAutoHyphens/>
        <w:ind w:left="855"/>
        <w:rPr>
          <w:szCs w:val="24"/>
        </w:rPr>
      </w:pPr>
      <w:r>
        <w:rPr>
          <w:i/>
          <w:szCs w:val="24"/>
        </w:rPr>
        <w:t>Fyldt injektionssprøjte</w:t>
      </w:r>
    </w:p>
    <w:p w:rsidR="00272B6A" w:rsidRDefault="00272B6A" w:rsidP="00272B6A">
      <w:pPr>
        <w:suppressAutoHyphens/>
        <w:ind w:left="855"/>
        <w:rPr>
          <w:szCs w:val="24"/>
        </w:rPr>
      </w:pPr>
      <w:r>
        <w:rPr>
          <w:szCs w:val="24"/>
        </w:rPr>
        <w:t>Solvens i en 1 ml fyldt injektionssprøjte (Type I-glas), med gummiprop (</w:t>
      </w:r>
      <w:proofErr w:type="spellStart"/>
      <w:r w:rsidR="0069039D">
        <w:rPr>
          <w:szCs w:val="24"/>
        </w:rPr>
        <w:t>bromo</w:t>
      </w:r>
      <w:proofErr w:type="spellEnd"/>
      <w:r w:rsidR="0069039D">
        <w:rPr>
          <w:szCs w:val="24"/>
        </w:rPr>
        <w:t xml:space="preserve">- eller </w:t>
      </w:r>
      <w:proofErr w:type="spellStart"/>
      <w:r>
        <w:rPr>
          <w:szCs w:val="24"/>
        </w:rPr>
        <w:t>chlorbutyl</w:t>
      </w:r>
      <w:proofErr w:type="spellEnd"/>
      <w:r>
        <w:rPr>
          <w:szCs w:val="24"/>
        </w:rPr>
        <w:t xml:space="preserve"> gummi) og låg (styrenbutadien gummi), uden kanyle. </w:t>
      </w:r>
    </w:p>
    <w:p w:rsidR="00272B6A" w:rsidRDefault="00272B6A" w:rsidP="00272B6A">
      <w:pPr>
        <w:suppressAutoHyphens/>
        <w:ind w:left="855"/>
        <w:rPr>
          <w:szCs w:val="24"/>
        </w:rPr>
      </w:pPr>
      <w:r>
        <w:rPr>
          <w:szCs w:val="24"/>
        </w:rPr>
        <w:t>Solvens i en 1 ml fyldt injektionssprøjte (Type I-glas) med gummiprop (</w:t>
      </w:r>
      <w:proofErr w:type="spellStart"/>
      <w:r w:rsidR="0069039D">
        <w:rPr>
          <w:szCs w:val="24"/>
        </w:rPr>
        <w:t>bromo</w:t>
      </w:r>
      <w:proofErr w:type="spellEnd"/>
      <w:r w:rsidR="0069039D">
        <w:rPr>
          <w:szCs w:val="24"/>
        </w:rPr>
        <w:t xml:space="preserve">- eller </w:t>
      </w:r>
      <w:proofErr w:type="spellStart"/>
      <w:r>
        <w:rPr>
          <w:szCs w:val="24"/>
        </w:rPr>
        <w:t>chlorbutyl</w:t>
      </w:r>
      <w:proofErr w:type="spellEnd"/>
      <w:r>
        <w:rPr>
          <w:szCs w:val="24"/>
        </w:rPr>
        <w:t xml:space="preserve"> gummi) og låg (styrenbutadien gummi), med 2 separate kanyler. </w:t>
      </w:r>
    </w:p>
    <w:p w:rsidR="00272B6A" w:rsidRDefault="00272B6A" w:rsidP="00272B6A">
      <w:pPr>
        <w:suppressAutoHyphens/>
        <w:ind w:left="855"/>
        <w:rPr>
          <w:szCs w:val="24"/>
        </w:rPr>
      </w:pPr>
    </w:p>
    <w:p w:rsidR="00272B6A" w:rsidRDefault="00272B6A" w:rsidP="00272B6A">
      <w:pPr>
        <w:tabs>
          <w:tab w:val="left" w:pos="851"/>
        </w:tabs>
        <w:ind w:left="1706" w:hanging="851"/>
        <w:jc w:val="both"/>
        <w:rPr>
          <w:szCs w:val="24"/>
        </w:rPr>
      </w:pPr>
      <w:r>
        <w:rPr>
          <w:szCs w:val="24"/>
        </w:rPr>
        <w:t>Pakninger med 1 og 10 doser.</w:t>
      </w:r>
    </w:p>
    <w:p w:rsidR="00272B6A" w:rsidRDefault="00272B6A" w:rsidP="00272B6A">
      <w:pPr>
        <w:tabs>
          <w:tab w:val="left" w:pos="851"/>
        </w:tabs>
        <w:ind w:left="1706" w:hanging="851"/>
        <w:jc w:val="both"/>
        <w:rPr>
          <w:szCs w:val="24"/>
        </w:rPr>
      </w:pPr>
    </w:p>
    <w:p w:rsidR="00272B6A" w:rsidRDefault="00272B6A" w:rsidP="00272B6A">
      <w:pPr>
        <w:tabs>
          <w:tab w:val="left" w:pos="851"/>
        </w:tabs>
        <w:ind w:left="1706" w:hanging="851"/>
        <w:jc w:val="both"/>
        <w:rPr>
          <w:szCs w:val="24"/>
        </w:rPr>
      </w:pPr>
      <w:r>
        <w:rPr>
          <w:szCs w:val="24"/>
        </w:rPr>
        <w:t>Ikke alle pakningsstørrelser er nødvendigvis markedsført.</w:t>
      </w:r>
    </w:p>
    <w:p w:rsidR="00092B44" w:rsidRPr="005078A7" w:rsidRDefault="00092B44" w:rsidP="005078A7">
      <w:pPr>
        <w:tabs>
          <w:tab w:val="left" w:pos="851"/>
        </w:tabs>
        <w:jc w:val="both"/>
        <w:rPr>
          <w:szCs w:val="24"/>
        </w:rPr>
      </w:pPr>
    </w:p>
    <w:p w:rsidR="00DD4274" w:rsidRPr="00C84483" w:rsidRDefault="00DD4274" w:rsidP="00DD4274">
      <w:pPr>
        <w:tabs>
          <w:tab w:val="left" w:pos="851"/>
        </w:tabs>
        <w:ind w:left="851" w:hanging="851"/>
        <w:rPr>
          <w:b/>
          <w:szCs w:val="24"/>
        </w:rPr>
      </w:pPr>
      <w:r w:rsidRPr="00C84483">
        <w:rPr>
          <w:b/>
          <w:szCs w:val="24"/>
        </w:rPr>
        <w:t>6.6</w:t>
      </w:r>
      <w:r w:rsidRPr="00C84483">
        <w:rPr>
          <w:b/>
          <w:szCs w:val="24"/>
        </w:rPr>
        <w:tab/>
        <w:t xml:space="preserve">Regler for </w:t>
      </w:r>
      <w:r>
        <w:rPr>
          <w:b/>
          <w:szCs w:val="24"/>
        </w:rPr>
        <w:t>bortskaffelse</w:t>
      </w:r>
      <w:r w:rsidRPr="00C84483">
        <w:rPr>
          <w:b/>
          <w:szCs w:val="24"/>
        </w:rPr>
        <w:t xml:space="preserve"> og anden håndtering</w:t>
      </w:r>
    </w:p>
    <w:p w:rsidR="00272B6A" w:rsidRDefault="00272B6A" w:rsidP="00DD4274">
      <w:pPr>
        <w:ind w:left="851"/>
      </w:pPr>
      <w:r>
        <w:t xml:space="preserve">Før </w:t>
      </w:r>
      <w:proofErr w:type="spellStart"/>
      <w:r>
        <w:t>rekonstitution</w:t>
      </w:r>
      <w:proofErr w:type="spellEnd"/>
      <w:r>
        <w:t xml:space="preserve"> indeholder hætteglasset et hvidt til </w:t>
      </w:r>
      <w:proofErr w:type="spellStart"/>
      <w:r>
        <w:t>off-white</w:t>
      </w:r>
      <w:proofErr w:type="spellEnd"/>
      <w:r>
        <w:t xml:space="preserve"> pulver, og den fyldte injektionssprøjte indeholder en klar, farveløs, flydende solvens. Den </w:t>
      </w:r>
      <w:proofErr w:type="spellStart"/>
      <w:r>
        <w:t>rekonstituerede</w:t>
      </w:r>
      <w:proofErr w:type="spellEnd"/>
      <w:r>
        <w:t xml:space="preserve"> vaccine er en klar, farveløs til lysegul væske. </w:t>
      </w:r>
    </w:p>
    <w:p w:rsidR="00272B6A" w:rsidRDefault="00272B6A" w:rsidP="00DD4274">
      <w:pPr>
        <w:ind w:left="851"/>
      </w:pPr>
    </w:p>
    <w:p w:rsidR="00272B6A" w:rsidRDefault="00272B6A" w:rsidP="00DD4274">
      <w:pPr>
        <w:ind w:left="851"/>
      </w:pPr>
      <w:r>
        <w:t>Undgå kontakt med desinfektionsmidler.</w:t>
      </w:r>
    </w:p>
    <w:p w:rsidR="00272B6A" w:rsidRDefault="00272B6A" w:rsidP="00DD4274">
      <w:pPr>
        <w:ind w:left="851"/>
      </w:pPr>
    </w:p>
    <w:p w:rsidR="00272B6A" w:rsidRDefault="00272B6A" w:rsidP="00DD4274">
      <w:pPr>
        <w:ind w:left="851"/>
      </w:pPr>
      <w:r>
        <w:t xml:space="preserve">Til </w:t>
      </w:r>
      <w:proofErr w:type="spellStart"/>
      <w:r>
        <w:t>rekonstitution</w:t>
      </w:r>
      <w:proofErr w:type="spellEnd"/>
      <w:r>
        <w:t xml:space="preserve"> af vaccinen anvendes kun den solvens, som allerede er i den fyldte sprøjte.</w:t>
      </w:r>
    </w:p>
    <w:p w:rsidR="00272B6A" w:rsidRDefault="00272B6A" w:rsidP="00DD4274">
      <w:pPr>
        <w:ind w:left="851"/>
      </w:pPr>
    </w:p>
    <w:p w:rsidR="00272B6A" w:rsidRDefault="00272B6A" w:rsidP="00DD4274">
      <w:pPr>
        <w:ind w:left="851"/>
      </w:pPr>
      <w:r>
        <w:t>Det er vigtigt at anvende en separat steril injektionssprøjte og kanyle til hver enkelt patient for at undgå overførsel af smitte fra en person til en anden.</w:t>
      </w:r>
    </w:p>
    <w:p w:rsidR="00272B6A" w:rsidRDefault="00272B6A" w:rsidP="00DD4274">
      <w:pPr>
        <w:ind w:left="851"/>
      </w:pPr>
    </w:p>
    <w:p w:rsidR="00272B6A" w:rsidRDefault="00272B6A" w:rsidP="00DD4274">
      <w:pPr>
        <w:ind w:left="851"/>
      </w:pPr>
      <w:r>
        <w:t xml:space="preserve">En kanyle skal anvendes til </w:t>
      </w:r>
      <w:proofErr w:type="spellStart"/>
      <w:r>
        <w:t>rekonstitution</w:t>
      </w:r>
      <w:proofErr w:type="spellEnd"/>
      <w:r>
        <w:t xml:space="preserve"> og en anden ny kanyle til injektion.</w:t>
      </w:r>
    </w:p>
    <w:p w:rsidR="00272B6A" w:rsidRDefault="00272B6A" w:rsidP="00DD4274">
      <w:pPr>
        <w:ind w:left="851"/>
      </w:pPr>
    </w:p>
    <w:p w:rsidR="00272B6A" w:rsidRDefault="00272B6A" w:rsidP="00DD4274">
      <w:pPr>
        <w:ind w:left="851"/>
        <w:rPr>
          <w:i/>
        </w:rPr>
      </w:pPr>
      <w:r>
        <w:rPr>
          <w:i/>
        </w:rPr>
        <w:t>Klargøring af vaccinen</w:t>
      </w:r>
    </w:p>
    <w:p w:rsidR="00272B6A" w:rsidRDefault="00272B6A" w:rsidP="00DD4274">
      <w:pPr>
        <w:ind w:left="851"/>
      </w:pPr>
      <w:r>
        <w:t>For at sætte kanylen på skal den skubbes fast på plads på spidsen af sprøjten og sikres ved at dreje den.</w:t>
      </w:r>
    </w:p>
    <w:p w:rsidR="00272B6A" w:rsidRDefault="00272B6A" w:rsidP="00DD4274">
      <w:pPr>
        <w:ind w:left="851"/>
      </w:pPr>
    </w:p>
    <w:p w:rsidR="00272B6A" w:rsidRDefault="00272B6A" w:rsidP="00272B6A">
      <w:pPr>
        <w:ind w:left="855"/>
        <w:rPr>
          <w:szCs w:val="24"/>
        </w:rPr>
      </w:pPr>
      <w:r>
        <w:rPr>
          <w:szCs w:val="24"/>
        </w:rPr>
        <w:t xml:space="preserve">Sprøjt hele indholdet af den allerede fyldte sprøjte med vand til injektionsvæske ned i hætteglasset med vaccinepulveret. Ryst forsigtigt for at blande grundigt. </w:t>
      </w:r>
    </w:p>
    <w:p w:rsidR="00272B6A" w:rsidRDefault="00272B6A" w:rsidP="00272B6A">
      <w:pPr>
        <w:ind w:left="855"/>
        <w:rPr>
          <w:szCs w:val="24"/>
        </w:rPr>
      </w:pPr>
    </w:p>
    <w:p w:rsidR="00272B6A" w:rsidRDefault="00272B6A" w:rsidP="00272B6A">
      <w:pPr>
        <w:ind w:left="855"/>
        <w:rPr>
          <w:szCs w:val="24"/>
        </w:rPr>
      </w:pPr>
      <w:r>
        <w:rPr>
          <w:szCs w:val="24"/>
        </w:rPr>
        <w:t xml:space="preserve">Den </w:t>
      </w:r>
      <w:proofErr w:type="spellStart"/>
      <w:r>
        <w:rPr>
          <w:szCs w:val="24"/>
        </w:rPr>
        <w:t>rekonstituerede</w:t>
      </w:r>
      <w:proofErr w:type="spellEnd"/>
      <w:r>
        <w:rPr>
          <w:szCs w:val="24"/>
        </w:rPr>
        <w:t xml:space="preserve"> vaccine skal undersøges visuelt for eventuelle fremmede partikler og/eller afvigelse i fysisk udseende. Vaccinen må ikke anvendes, hvis den indeholder </w:t>
      </w:r>
      <w:r>
        <w:rPr>
          <w:szCs w:val="24"/>
        </w:rPr>
        <w:lastRenderedPageBreak/>
        <w:t xml:space="preserve">partikler, eller hvis udseendet ikke fremstår som en klar farveløs til lysegul væske efter </w:t>
      </w:r>
      <w:proofErr w:type="spellStart"/>
      <w:r>
        <w:rPr>
          <w:szCs w:val="24"/>
        </w:rPr>
        <w:t>rekonstitution</w:t>
      </w:r>
      <w:proofErr w:type="spellEnd"/>
      <w:r>
        <w:rPr>
          <w:szCs w:val="24"/>
        </w:rPr>
        <w:t>.</w:t>
      </w:r>
    </w:p>
    <w:p w:rsidR="00272B6A" w:rsidRDefault="00272B6A" w:rsidP="00272B6A">
      <w:pPr>
        <w:ind w:left="855"/>
        <w:rPr>
          <w:szCs w:val="24"/>
        </w:rPr>
      </w:pPr>
    </w:p>
    <w:p w:rsidR="00272B6A" w:rsidRDefault="00272B6A" w:rsidP="00272B6A">
      <w:pPr>
        <w:ind w:left="855"/>
        <w:rPr>
          <w:b/>
          <w:bCs/>
          <w:szCs w:val="24"/>
        </w:rPr>
      </w:pPr>
      <w:r>
        <w:rPr>
          <w:b/>
          <w:bCs/>
          <w:szCs w:val="24"/>
        </w:rPr>
        <w:t xml:space="preserve">Det anbefales, at vaccinen injiceres umiddelbart efter </w:t>
      </w:r>
      <w:proofErr w:type="spellStart"/>
      <w:r>
        <w:rPr>
          <w:b/>
          <w:bCs/>
          <w:szCs w:val="24"/>
        </w:rPr>
        <w:t>rekonstitution</w:t>
      </w:r>
      <w:proofErr w:type="spellEnd"/>
      <w:r>
        <w:rPr>
          <w:b/>
          <w:bCs/>
          <w:szCs w:val="24"/>
        </w:rPr>
        <w:t xml:space="preserve"> for at minimere tab af virkning. Kasser </w:t>
      </w:r>
      <w:proofErr w:type="spellStart"/>
      <w:r>
        <w:rPr>
          <w:b/>
          <w:bCs/>
          <w:szCs w:val="24"/>
        </w:rPr>
        <w:t>rekonstitueret</w:t>
      </w:r>
      <w:proofErr w:type="spellEnd"/>
      <w:r>
        <w:rPr>
          <w:b/>
          <w:bCs/>
          <w:szCs w:val="24"/>
        </w:rPr>
        <w:t xml:space="preserve"> vaccine, der ikke er anvendt inden for 30 minutter.</w:t>
      </w:r>
    </w:p>
    <w:p w:rsidR="00272B6A" w:rsidRDefault="00272B6A" w:rsidP="00272B6A">
      <w:pPr>
        <w:ind w:left="855"/>
        <w:rPr>
          <w:b/>
          <w:bCs/>
          <w:szCs w:val="24"/>
        </w:rPr>
      </w:pPr>
    </w:p>
    <w:p w:rsidR="00272B6A" w:rsidRDefault="00272B6A" w:rsidP="00272B6A">
      <w:pPr>
        <w:ind w:left="855"/>
        <w:rPr>
          <w:szCs w:val="24"/>
        </w:rPr>
      </w:pPr>
      <w:r>
        <w:rPr>
          <w:b/>
          <w:bCs/>
          <w:szCs w:val="24"/>
        </w:rPr>
        <w:t xml:space="preserve">Den </w:t>
      </w:r>
      <w:proofErr w:type="spellStart"/>
      <w:r>
        <w:rPr>
          <w:b/>
          <w:bCs/>
          <w:szCs w:val="24"/>
        </w:rPr>
        <w:t>rekonstituerede</w:t>
      </w:r>
      <w:proofErr w:type="spellEnd"/>
      <w:r>
        <w:rPr>
          <w:b/>
          <w:bCs/>
          <w:szCs w:val="24"/>
        </w:rPr>
        <w:t xml:space="preserve"> vaccine må ikke nedfryses.</w:t>
      </w:r>
    </w:p>
    <w:p w:rsidR="00272B6A" w:rsidRDefault="00272B6A" w:rsidP="00272B6A">
      <w:pPr>
        <w:ind w:left="855"/>
        <w:rPr>
          <w:szCs w:val="24"/>
        </w:rPr>
      </w:pPr>
    </w:p>
    <w:p w:rsidR="00272B6A" w:rsidRDefault="00272B6A" w:rsidP="00272B6A">
      <w:pPr>
        <w:ind w:left="855"/>
        <w:rPr>
          <w:szCs w:val="24"/>
        </w:rPr>
      </w:pPr>
      <w:r>
        <w:rPr>
          <w:szCs w:val="24"/>
        </w:rPr>
        <w:t>Træk hele hætteglassets indhold op i en sprøjte, skift kanylen og injicer vaccinen subkutant eller intramuskulært.</w:t>
      </w:r>
    </w:p>
    <w:p w:rsidR="00272B6A" w:rsidRDefault="00272B6A" w:rsidP="00272B6A">
      <w:pPr>
        <w:rPr>
          <w:szCs w:val="24"/>
        </w:rPr>
      </w:pPr>
    </w:p>
    <w:p w:rsidR="00272B6A" w:rsidRDefault="00272B6A" w:rsidP="00272B6A">
      <w:pPr>
        <w:tabs>
          <w:tab w:val="left" w:pos="851"/>
        </w:tabs>
        <w:ind w:left="851" w:firstLine="4"/>
        <w:rPr>
          <w:szCs w:val="24"/>
        </w:rPr>
      </w:pPr>
      <w:r>
        <w:rPr>
          <w:szCs w:val="24"/>
        </w:rPr>
        <w:t>Ikke anvendt lægemiddel samt affald heraf skal bortskaffes i henhold til lokale retningslinjer.</w:t>
      </w:r>
    </w:p>
    <w:p w:rsidR="004A1D71" w:rsidRPr="00631252" w:rsidRDefault="004A1D71" w:rsidP="0001540C">
      <w:pPr>
        <w:tabs>
          <w:tab w:val="left" w:pos="851"/>
        </w:tabs>
        <w:ind w:left="1706" w:hanging="851"/>
        <w:rPr>
          <w:szCs w:val="24"/>
        </w:rPr>
      </w:pPr>
    </w:p>
    <w:p w:rsidR="00405AA6" w:rsidRPr="00C84483" w:rsidRDefault="00405AA6" w:rsidP="00405AA6">
      <w:pPr>
        <w:tabs>
          <w:tab w:val="left" w:pos="851"/>
        </w:tabs>
        <w:ind w:left="851" w:hanging="851"/>
        <w:rPr>
          <w:b/>
          <w:szCs w:val="24"/>
        </w:rPr>
      </w:pPr>
      <w:r w:rsidRPr="00C84483">
        <w:rPr>
          <w:b/>
          <w:szCs w:val="24"/>
        </w:rPr>
        <w:t>7.</w:t>
      </w:r>
      <w:r w:rsidRPr="00C84483">
        <w:rPr>
          <w:b/>
          <w:szCs w:val="24"/>
        </w:rPr>
        <w:tab/>
        <w:t>INDEHAVER AF MARKEDSFØRINGSTILLADELSEN</w:t>
      </w:r>
    </w:p>
    <w:p w:rsidR="00B431FA" w:rsidRPr="00405AA6" w:rsidRDefault="00B431FA" w:rsidP="0001540C">
      <w:pPr>
        <w:ind w:left="855"/>
      </w:pPr>
      <w:r w:rsidRPr="00405AA6">
        <w:t xml:space="preserve">Merck Sharp &amp; </w:t>
      </w:r>
      <w:proofErr w:type="spellStart"/>
      <w:r w:rsidRPr="00405AA6">
        <w:t>Dohme</w:t>
      </w:r>
      <w:proofErr w:type="spellEnd"/>
      <w:r w:rsidRPr="00405AA6">
        <w:t xml:space="preserve"> B.V.</w:t>
      </w:r>
    </w:p>
    <w:p w:rsidR="00B431FA" w:rsidRDefault="00B431FA" w:rsidP="0001540C">
      <w:pPr>
        <w:ind w:left="855"/>
      </w:pPr>
      <w:proofErr w:type="spellStart"/>
      <w:r w:rsidRPr="00B431FA">
        <w:t>Waarderweg</w:t>
      </w:r>
      <w:proofErr w:type="spellEnd"/>
      <w:r w:rsidRPr="00B431FA">
        <w:t xml:space="preserve"> 39</w:t>
      </w:r>
    </w:p>
    <w:p w:rsidR="004C54EE" w:rsidRDefault="00AF54B4" w:rsidP="004C54EE">
      <w:pPr>
        <w:ind w:left="851"/>
        <w:rPr>
          <w:szCs w:val="24"/>
        </w:rPr>
      </w:pPr>
      <w:r>
        <w:rPr>
          <w:szCs w:val="24"/>
        </w:rPr>
        <w:t xml:space="preserve">2003 PC </w:t>
      </w:r>
      <w:proofErr w:type="spellStart"/>
      <w:r w:rsidR="004C54EE">
        <w:rPr>
          <w:szCs w:val="24"/>
        </w:rPr>
        <w:t>Haarlem</w:t>
      </w:r>
      <w:proofErr w:type="spellEnd"/>
    </w:p>
    <w:p w:rsidR="007A66C9" w:rsidRDefault="00B431FA" w:rsidP="0001540C">
      <w:pPr>
        <w:ind w:left="855"/>
      </w:pPr>
      <w:r>
        <w:t>Holland</w:t>
      </w:r>
    </w:p>
    <w:p w:rsidR="00B431FA" w:rsidRDefault="00B431FA" w:rsidP="0001540C">
      <w:pPr>
        <w:ind w:left="855"/>
      </w:pPr>
    </w:p>
    <w:p w:rsidR="00B431FA" w:rsidRDefault="00B431FA" w:rsidP="0001540C">
      <w:pPr>
        <w:ind w:left="855"/>
      </w:pPr>
      <w:r>
        <w:rPr>
          <w:b/>
        </w:rPr>
        <w:t>Repræsentant</w:t>
      </w:r>
    </w:p>
    <w:p w:rsidR="00B431FA" w:rsidRDefault="00B431FA" w:rsidP="0001540C">
      <w:pPr>
        <w:ind w:left="855"/>
      </w:pPr>
      <w:r w:rsidRPr="00B431FA">
        <w:t>MSD Danmark ApS</w:t>
      </w:r>
    </w:p>
    <w:p w:rsidR="00B431FA" w:rsidRDefault="00B431FA" w:rsidP="0001540C">
      <w:pPr>
        <w:ind w:left="855"/>
      </w:pPr>
      <w:r>
        <w:t>Havneholmen 25</w:t>
      </w:r>
    </w:p>
    <w:p w:rsidR="00B431FA" w:rsidRDefault="00B431FA" w:rsidP="0001540C">
      <w:pPr>
        <w:ind w:left="855"/>
      </w:pPr>
      <w:r>
        <w:t>1561 København V</w:t>
      </w:r>
    </w:p>
    <w:p w:rsidR="0001540C" w:rsidRPr="00DD4274" w:rsidRDefault="0001540C" w:rsidP="00405AA6">
      <w:pPr>
        <w:tabs>
          <w:tab w:val="left" w:pos="851"/>
        </w:tabs>
        <w:ind w:left="851" w:hanging="851"/>
        <w:rPr>
          <w:szCs w:val="24"/>
        </w:rPr>
      </w:pPr>
    </w:p>
    <w:p w:rsidR="00DD4274" w:rsidRPr="00C84483" w:rsidRDefault="00DD4274" w:rsidP="00DD4274">
      <w:pPr>
        <w:tabs>
          <w:tab w:val="left" w:pos="851"/>
        </w:tabs>
        <w:ind w:left="851" w:hanging="851"/>
        <w:rPr>
          <w:b/>
          <w:szCs w:val="24"/>
        </w:rPr>
      </w:pPr>
      <w:r w:rsidRPr="00C84483">
        <w:rPr>
          <w:b/>
          <w:szCs w:val="24"/>
        </w:rPr>
        <w:t>8.</w:t>
      </w:r>
      <w:r w:rsidRPr="00C84483">
        <w:rPr>
          <w:b/>
          <w:szCs w:val="24"/>
        </w:rPr>
        <w:tab/>
        <w:t>MARKEDSFØRINGSTILLADELSESNUMMER (</w:t>
      </w:r>
      <w:r>
        <w:rPr>
          <w:b/>
          <w:szCs w:val="24"/>
        </w:rPr>
        <w:t>-</w:t>
      </w:r>
      <w:r w:rsidRPr="00C84483">
        <w:rPr>
          <w:b/>
          <w:szCs w:val="24"/>
        </w:rPr>
        <w:t>NUMRE)</w:t>
      </w:r>
    </w:p>
    <w:p w:rsidR="007A66C9" w:rsidRDefault="007A66C9">
      <w:pPr>
        <w:tabs>
          <w:tab w:val="left" w:pos="851"/>
        </w:tabs>
        <w:ind w:left="855"/>
        <w:jc w:val="both"/>
      </w:pPr>
      <w:r>
        <w:t>35000</w:t>
      </w:r>
    </w:p>
    <w:p w:rsidR="00854B1B" w:rsidRDefault="00854B1B">
      <w:pPr>
        <w:tabs>
          <w:tab w:val="left" w:pos="851"/>
        </w:tabs>
        <w:jc w:val="both"/>
      </w:pPr>
    </w:p>
    <w:p w:rsidR="00405AA6" w:rsidRPr="00C84483" w:rsidRDefault="00405AA6" w:rsidP="00405AA6">
      <w:pPr>
        <w:tabs>
          <w:tab w:val="left" w:pos="851"/>
        </w:tabs>
        <w:ind w:left="851" w:hanging="851"/>
        <w:rPr>
          <w:b/>
          <w:szCs w:val="24"/>
        </w:rPr>
      </w:pPr>
      <w:r w:rsidRPr="00C84483">
        <w:rPr>
          <w:b/>
          <w:szCs w:val="24"/>
        </w:rPr>
        <w:t>9.</w:t>
      </w:r>
      <w:r w:rsidRPr="00C84483">
        <w:rPr>
          <w:b/>
          <w:szCs w:val="24"/>
        </w:rPr>
        <w:tab/>
        <w:t>DATO FOR FØRSTE MARKEDSFØRINGSTILLADELSE</w:t>
      </w:r>
    </w:p>
    <w:p w:rsidR="007A66C9" w:rsidRDefault="007A66C9">
      <w:pPr>
        <w:tabs>
          <w:tab w:val="left" w:pos="851"/>
        </w:tabs>
        <w:ind w:left="855"/>
        <w:jc w:val="both"/>
      </w:pPr>
      <w:r>
        <w:t>17. oktober 2003</w:t>
      </w:r>
    </w:p>
    <w:p w:rsidR="007A66C9" w:rsidRDefault="007A66C9">
      <w:pPr>
        <w:tabs>
          <w:tab w:val="left" w:pos="851"/>
        </w:tabs>
        <w:jc w:val="both"/>
      </w:pPr>
    </w:p>
    <w:p w:rsidR="00405AA6" w:rsidRPr="00C84483" w:rsidRDefault="00405AA6" w:rsidP="00405AA6">
      <w:pPr>
        <w:tabs>
          <w:tab w:val="left" w:pos="851"/>
        </w:tabs>
        <w:ind w:left="851" w:hanging="851"/>
        <w:rPr>
          <w:b/>
          <w:szCs w:val="24"/>
        </w:rPr>
      </w:pPr>
      <w:r w:rsidRPr="00C84483">
        <w:rPr>
          <w:b/>
          <w:szCs w:val="24"/>
        </w:rPr>
        <w:t>10.</w:t>
      </w:r>
      <w:r w:rsidRPr="00C84483">
        <w:rPr>
          <w:b/>
          <w:szCs w:val="24"/>
        </w:rPr>
        <w:tab/>
        <w:t>DATO FOR ÆNDRING AF TEKSTEN</w:t>
      </w:r>
    </w:p>
    <w:p w:rsidR="008C6ED0" w:rsidRDefault="007A66C9">
      <w:pPr>
        <w:tabs>
          <w:tab w:val="left" w:pos="851"/>
        </w:tabs>
        <w:jc w:val="both"/>
      </w:pPr>
      <w:r>
        <w:tab/>
      </w:r>
      <w:r w:rsidR="00857F11">
        <w:t>2</w:t>
      </w:r>
      <w:r w:rsidR="0069039D">
        <w:t>5</w:t>
      </w:r>
      <w:bookmarkStart w:id="3" w:name="_GoBack"/>
      <w:bookmarkEnd w:id="3"/>
      <w:r w:rsidR="00857F11">
        <w:t xml:space="preserve">. </w:t>
      </w:r>
      <w:r w:rsidR="0069039D">
        <w:t>marts</w:t>
      </w:r>
      <w:r w:rsidR="00857F11">
        <w:t xml:space="preserve"> </w:t>
      </w:r>
      <w:r w:rsidR="00AF54B4">
        <w:t>2025</w:t>
      </w:r>
    </w:p>
    <w:sectPr w:rsidR="008C6ED0" w:rsidSect="00F121BE">
      <w:headerReference w:type="default" r:id="rId9"/>
      <w:footerReference w:type="default" r:id="rId10"/>
      <w:footerReference w:type="first" r:id="rId11"/>
      <w:pgSz w:w="11906" w:h="16838" w:code="9"/>
      <w:pgMar w:top="851" w:right="1134" w:bottom="1701" w:left="1134"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E07" w:rsidRDefault="00AF4E07">
      <w:r>
        <w:separator/>
      </w:r>
    </w:p>
  </w:endnote>
  <w:endnote w:type="continuationSeparator" w:id="0">
    <w:p w:rsidR="00AF4E07" w:rsidRDefault="00AF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CE" w:rsidRDefault="007620CE">
    <w:pPr>
      <w:pStyle w:val="Sidefod"/>
      <w:pBdr>
        <w:bottom w:val="single" w:sz="6" w:space="1" w:color="auto"/>
      </w:pBdr>
    </w:pPr>
  </w:p>
  <w:p w:rsidR="007620CE" w:rsidRDefault="007620CE">
    <w:pPr>
      <w:pStyle w:val="Sidefod"/>
      <w:tabs>
        <w:tab w:val="clear" w:pos="4819"/>
        <w:tab w:val="left" w:pos="8647"/>
      </w:tabs>
      <w:rPr>
        <w:i/>
        <w:snapToGrid w:val="0"/>
        <w:sz w:val="18"/>
      </w:rPr>
    </w:pPr>
  </w:p>
  <w:p w:rsidR="007620CE" w:rsidRDefault="007620C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Varivax, pulver og solvens til injektionsvæske, suspension</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6619F">
      <w:rPr>
        <w:i/>
        <w:noProof/>
        <w:snapToGrid w:val="0"/>
        <w:sz w:val="18"/>
      </w:rPr>
      <w:t>18</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6619F">
      <w:rPr>
        <w:i/>
        <w:noProof/>
        <w:snapToGrid w:val="0"/>
        <w:sz w:val="18"/>
      </w:rPr>
      <w:t>18</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CE" w:rsidRDefault="007620CE">
    <w:pPr>
      <w:pStyle w:val="Sidefod"/>
      <w:pBdr>
        <w:bottom w:val="single" w:sz="6" w:space="1" w:color="auto"/>
      </w:pBdr>
      <w:tabs>
        <w:tab w:val="clear" w:pos="4819"/>
        <w:tab w:val="left" w:pos="8789"/>
      </w:tabs>
      <w:rPr>
        <w:i/>
        <w:snapToGrid w:val="0"/>
        <w:sz w:val="18"/>
      </w:rPr>
    </w:pPr>
  </w:p>
  <w:p w:rsidR="007620CE" w:rsidRDefault="007620CE">
    <w:pPr>
      <w:pStyle w:val="Sidefod"/>
      <w:tabs>
        <w:tab w:val="clear" w:pos="4819"/>
        <w:tab w:val="left" w:pos="8789"/>
      </w:tabs>
      <w:rPr>
        <w:i/>
        <w:snapToGrid w:val="0"/>
        <w:sz w:val="18"/>
      </w:rPr>
    </w:pPr>
  </w:p>
  <w:p w:rsidR="007620CE" w:rsidRDefault="007620C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Varivax, pulver og solvens til injektionsvæske, suspension</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6619F">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6619F">
      <w:rPr>
        <w:i/>
        <w:noProof/>
        <w:snapToGrid w:val="0"/>
        <w:sz w:val="18"/>
      </w:rPr>
      <w:t>18</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E07" w:rsidRDefault="00AF4E07">
      <w:r>
        <w:separator/>
      </w:r>
    </w:p>
  </w:footnote>
  <w:footnote w:type="continuationSeparator" w:id="0">
    <w:p w:rsidR="00AF4E07" w:rsidRDefault="00AF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CE" w:rsidRDefault="007620CE">
    <w:pPr>
      <w:pStyle w:val="Sidehoved"/>
      <w:jc w:val="right"/>
      <w:rPr>
        <w:rStyle w:val="Sidetal"/>
      </w:rPr>
    </w:pPr>
  </w:p>
  <w:p w:rsidR="007620CE" w:rsidRDefault="007620C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DC9"/>
    <w:multiLevelType w:val="singleLevel"/>
    <w:tmpl w:val="1F94C542"/>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0CE5D61"/>
    <w:multiLevelType w:val="multilevel"/>
    <w:tmpl w:val="275A11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E81013"/>
    <w:multiLevelType w:val="multilevel"/>
    <w:tmpl w:val="A84E30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659A2"/>
    <w:multiLevelType w:val="singleLevel"/>
    <w:tmpl w:val="DF2AFD26"/>
    <w:lvl w:ilvl="0">
      <w:start w:val="1"/>
      <w:numFmt w:val="bullet"/>
      <w:lvlText w:val=""/>
      <w:lvlJc w:val="left"/>
      <w:pPr>
        <w:tabs>
          <w:tab w:val="num" w:pos="360"/>
        </w:tabs>
        <w:ind w:left="335" w:hanging="335"/>
      </w:pPr>
      <w:rPr>
        <w:rFonts w:ascii="Symbol" w:hAnsi="Symbol" w:hint="default"/>
        <w:sz w:val="28"/>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8939D9"/>
    <w:multiLevelType w:val="singleLevel"/>
    <w:tmpl w:val="CF4A05D8"/>
    <w:lvl w:ilvl="0">
      <w:start w:val="1"/>
      <w:numFmt w:val="bullet"/>
      <w:lvlText w:val=""/>
      <w:lvlJc w:val="left"/>
      <w:pPr>
        <w:tabs>
          <w:tab w:val="num" w:pos="360"/>
        </w:tabs>
        <w:ind w:left="335" w:hanging="335"/>
      </w:pPr>
      <w:rPr>
        <w:rFonts w:ascii="Symbol" w:hAnsi="Symbol" w:hint="default"/>
        <w:sz w:val="28"/>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55462537"/>
    <w:multiLevelType w:val="singleLevel"/>
    <w:tmpl w:val="44D62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5A357C"/>
    <w:multiLevelType w:val="singleLevel"/>
    <w:tmpl w:val="AF62D434"/>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6DCF73EC"/>
    <w:multiLevelType w:val="singleLevel"/>
    <w:tmpl w:val="C54A2376"/>
    <w:lvl w:ilvl="0">
      <w:start w:val="1"/>
      <w:numFmt w:val="bullet"/>
      <w:lvlText w:val=""/>
      <w:lvlJc w:val="left"/>
      <w:pPr>
        <w:tabs>
          <w:tab w:val="num" w:pos="360"/>
        </w:tabs>
        <w:ind w:left="346" w:hanging="346"/>
      </w:pPr>
      <w:rPr>
        <w:rFonts w:ascii="Symbol" w:hAnsi="Symbol" w:hint="default"/>
        <w:sz w:val="28"/>
      </w:rPr>
    </w:lvl>
  </w:abstractNum>
  <w:abstractNum w:abstractNumId="13" w15:restartNumberingAfterBreak="0">
    <w:nsid w:val="747C78AA"/>
    <w:multiLevelType w:val="multilevel"/>
    <w:tmpl w:val="7EDE71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FAD6907"/>
    <w:multiLevelType w:val="hybridMultilevel"/>
    <w:tmpl w:val="05C49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2"/>
  </w:num>
  <w:num w:numId="6">
    <w:abstractNumId w:val="3"/>
  </w:num>
  <w:num w:numId="7">
    <w:abstractNumId w:val="9"/>
  </w:num>
  <w:num w:numId="8">
    <w:abstractNumId w:val="11"/>
  </w:num>
  <w:num w:numId="9">
    <w:abstractNumId w:val="0"/>
  </w:num>
  <w:num w:numId="10">
    <w:abstractNumId w:val="12"/>
  </w:num>
  <w:num w:numId="11">
    <w:abstractNumId w:val="6"/>
  </w:num>
  <w:num w:numId="12">
    <w:abstractNumId w:val="1"/>
  </w:num>
  <w:num w:numId="13">
    <w:abstractNumId w:val="4"/>
  </w:num>
  <w:num w:numId="14">
    <w:abstractNumId w:val="13"/>
  </w:num>
  <w:num w:numId="15">
    <w:abstractNumId w:val="14"/>
  </w:num>
  <w:num w:numId="16">
    <w:abstractNumId w:val="8"/>
  </w:num>
  <w:num w:numId="17">
    <w:abstractNumId w:val="14"/>
  </w:num>
  <w:num w:numId="18">
    <w:abstractNumId w:val="8"/>
  </w:num>
  <w:num w:numId="19">
    <w:abstractNumId w:val="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06"/>
    <w:rsid w:val="00003DE5"/>
    <w:rsid w:val="0001540C"/>
    <w:rsid w:val="0006631F"/>
    <w:rsid w:val="00083623"/>
    <w:rsid w:val="00092B44"/>
    <w:rsid w:val="000931C0"/>
    <w:rsid w:val="000B1926"/>
    <w:rsid w:val="000B7359"/>
    <w:rsid w:val="000D41B1"/>
    <w:rsid w:val="000D6149"/>
    <w:rsid w:val="000E7E80"/>
    <w:rsid w:val="0012743D"/>
    <w:rsid w:val="001322F7"/>
    <w:rsid w:val="00142099"/>
    <w:rsid w:val="001839A0"/>
    <w:rsid w:val="00183FE9"/>
    <w:rsid w:val="001B5BE2"/>
    <w:rsid w:val="001B5F59"/>
    <w:rsid w:val="001C0977"/>
    <w:rsid w:val="001D5465"/>
    <w:rsid w:val="001E6378"/>
    <w:rsid w:val="001E7EA0"/>
    <w:rsid w:val="00200318"/>
    <w:rsid w:val="00226EF9"/>
    <w:rsid w:val="0026299D"/>
    <w:rsid w:val="0026619F"/>
    <w:rsid w:val="00272B6A"/>
    <w:rsid w:val="002818EE"/>
    <w:rsid w:val="00284E6A"/>
    <w:rsid w:val="002C4B9A"/>
    <w:rsid w:val="002C5330"/>
    <w:rsid w:val="00315092"/>
    <w:rsid w:val="003576D4"/>
    <w:rsid w:val="003714D7"/>
    <w:rsid w:val="003821AA"/>
    <w:rsid w:val="00386E99"/>
    <w:rsid w:val="00390F10"/>
    <w:rsid w:val="00391B7A"/>
    <w:rsid w:val="003A2847"/>
    <w:rsid w:val="003A51C5"/>
    <w:rsid w:val="003B227A"/>
    <w:rsid w:val="003B247C"/>
    <w:rsid w:val="003B6F5F"/>
    <w:rsid w:val="003C198D"/>
    <w:rsid w:val="003C638C"/>
    <w:rsid w:val="00405AA6"/>
    <w:rsid w:val="00406E6D"/>
    <w:rsid w:val="00407574"/>
    <w:rsid w:val="004360A5"/>
    <w:rsid w:val="00442990"/>
    <w:rsid w:val="00445792"/>
    <w:rsid w:val="00455E42"/>
    <w:rsid w:val="004561AD"/>
    <w:rsid w:val="0046310D"/>
    <w:rsid w:val="00493AD7"/>
    <w:rsid w:val="004A1D71"/>
    <w:rsid w:val="004A7C05"/>
    <w:rsid w:val="004B0DC9"/>
    <w:rsid w:val="004C1C5B"/>
    <w:rsid w:val="004C2A79"/>
    <w:rsid w:val="004C54EE"/>
    <w:rsid w:val="004D3DB7"/>
    <w:rsid w:val="004E4839"/>
    <w:rsid w:val="004F4269"/>
    <w:rsid w:val="005065FF"/>
    <w:rsid w:val="005078A7"/>
    <w:rsid w:val="00510F73"/>
    <w:rsid w:val="005114A7"/>
    <w:rsid w:val="005273B9"/>
    <w:rsid w:val="00535942"/>
    <w:rsid w:val="005402E9"/>
    <w:rsid w:val="00545ED5"/>
    <w:rsid w:val="00552091"/>
    <w:rsid w:val="00553089"/>
    <w:rsid w:val="0056258A"/>
    <w:rsid w:val="0056435A"/>
    <w:rsid w:val="005643A6"/>
    <w:rsid w:val="005666F8"/>
    <w:rsid w:val="00572A5C"/>
    <w:rsid w:val="0057383C"/>
    <w:rsid w:val="00574F7A"/>
    <w:rsid w:val="0058585A"/>
    <w:rsid w:val="005A1FBF"/>
    <w:rsid w:val="005B25FF"/>
    <w:rsid w:val="005C3D75"/>
    <w:rsid w:val="005E42F2"/>
    <w:rsid w:val="005E76BA"/>
    <w:rsid w:val="00601FC0"/>
    <w:rsid w:val="00607E94"/>
    <w:rsid w:val="00616326"/>
    <w:rsid w:val="00662BB6"/>
    <w:rsid w:val="00662E1C"/>
    <w:rsid w:val="006641CE"/>
    <w:rsid w:val="0066674F"/>
    <w:rsid w:val="00686746"/>
    <w:rsid w:val="00686AA2"/>
    <w:rsid w:val="0069039D"/>
    <w:rsid w:val="0069321F"/>
    <w:rsid w:val="006B5201"/>
    <w:rsid w:val="006B65B9"/>
    <w:rsid w:val="006C137D"/>
    <w:rsid w:val="006C2805"/>
    <w:rsid w:val="006D4AEF"/>
    <w:rsid w:val="006F5C86"/>
    <w:rsid w:val="00715D42"/>
    <w:rsid w:val="00724F39"/>
    <w:rsid w:val="00742A09"/>
    <w:rsid w:val="0074481D"/>
    <w:rsid w:val="00753472"/>
    <w:rsid w:val="007620CE"/>
    <w:rsid w:val="007636AF"/>
    <w:rsid w:val="007644AD"/>
    <w:rsid w:val="007651B7"/>
    <w:rsid w:val="0076673B"/>
    <w:rsid w:val="00767A3C"/>
    <w:rsid w:val="00771C75"/>
    <w:rsid w:val="00794DD1"/>
    <w:rsid w:val="0079631C"/>
    <w:rsid w:val="007A66C9"/>
    <w:rsid w:val="007B6F4C"/>
    <w:rsid w:val="007C0A31"/>
    <w:rsid w:val="007C0A7B"/>
    <w:rsid w:val="007D4911"/>
    <w:rsid w:val="007D5879"/>
    <w:rsid w:val="007E465F"/>
    <w:rsid w:val="007F364F"/>
    <w:rsid w:val="00800B31"/>
    <w:rsid w:val="00816B59"/>
    <w:rsid w:val="00823C64"/>
    <w:rsid w:val="00836C78"/>
    <w:rsid w:val="00854B1B"/>
    <w:rsid w:val="00857F11"/>
    <w:rsid w:val="00875290"/>
    <w:rsid w:val="008A2051"/>
    <w:rsid w:val="008C6ED0"/>
    <w:rsid w:val="008D76E9"/>
    <w:rsid w:val="00906506"/>
    <w:rsid w:val="009113FE"/>
    <w:rsid w:val="00946764"/>
    <w:rsid w:val="00994446"/>
    <w:rsid w:val="009A602B"/>
    <w:rsid w:val="009A78A2"/>
    <w:rsid w:val="009D1BF3"/>
    <w:rsid w:val="009E3905"/>
    <w:rsid w:val="00A15C50"/>
    <w:rsid w:val="00A178BF"/>
    <w:rsid w:val="00A2104C"/>
    <w:rsid w:val="00A26901"/>
    <w:rsid w:val="00A2692F"/>
    <w:rsid w:val="00A32C0B"/>
    <w:rsid w:val="00A403DD"/>
    <w:rsid w:val="00A57E64"/>
    <w:rsid w:val="00A61592"/>
    <w:rsid w:val="00A70A3B"/>
    <w:rsid w:val="00A74A09"/>
    <w:rsid w:val="00AE364E"/>
    <w:rsid w:val="00AF156A"/>
    <w:rsid w:val="00AF4E07"/>
    <w:rsid w:val="00AF54B4"/>
    <w:rsid w:val="00B033BF"/>
    <w:rsid w:val="00B11F20"/>
    <w:rsid w:val="00B27474"/>
    <w:rsid w:val="00B30334"/>
    <w:rsid w:val="00B367E8"/>
    <w:rsid w:val="00B431FA"/>
    <w:rsid w:val="00B50242"/>
    <w:rsid w:val="00B8268C"/>
    <w:rsid w:val="00B91F7F"/>
    <w:rsid w:val="00BC6229"/>
    <w:rsid w:val="00BD3DC2"/>
    <w:rsid w:val="00BE10D2"/>
    <w:rsid w:val="00BE53F1"/>
    <w:rsid w:val="00BF32C6"/>
    <w:rsid w:val="00C076E8"/>
    <w:rsid w:val="00C2333E"/>
    <w:rsid w:val="00C4436E"/>
    <w:rsid w:val="00C4776E"/>
    <w:rsid w:val="00C53906"/>
    <w:rsid w:val="00C605A6"/>
    <w:rsid w:val="00C76997"/>
    <w:rsid w:val="00C83934"/>
    <w:rsid w:val="00C861A9"/>
    <w:rsid w:val="00CA1FCD"/>
    <w:rsid w:val="00CA6A28"/>
    <w:rsid w:val="00CC2A5F"/>
    <w:rsid w:val="00CD238D"/>
    <w:rsid w:val="00CD66D3"/>
    <w:rsid w:val="00CF6E55"/>
    <w:rsid w:val="00D01C2A"/>
    <w:rsid w:val="00D77240"/>
    <w:rsid w:val="00D804AC"/>
    <w:rsid w:val="00D82730"/>
    <w:rsid w:val="00D857BB"/>
    <w:rsid w:val="00DA1D02"/>
    <w:rsid w:val="00DC1162"/>
    <w:rsid w:val="00DC299C"/>
    <w:rsid w:val="00DD4274"/>
    <w:rsid w:val="00DE3668"/>
    <w:rsid w:val="00E0055C"/>
    <w:rsid w:val="00E03D8E"/>
    <w:rsid w:val="00E25A93"/>
    <w:rsid w:val="00E50F82"/>
    <w:rsid w:val="00E65866"/>
    <w:rsid w:val="00E664B3"/>
    <w:rsid w:val="00E74F0A"/>
    <w:rsid w:val="00E753CC"/>
    <w:rsid w:val="00E75A72"/>
    <w:rsid w:val="00E839F6"/>
    <w:rsid w:val="00E912C7"/>
    <w:rsid w:val="00E9569A"/>
    <w:rsid w:val="00EA4B63"/>
    <w:rsid w:val="00EC1406"/>
    <w:rsid w:val="00EC3D13"/>
    <w:rsid w:val="00ED6E62"/>
    <w:rsid w:val="00F000CE"/>
    <w:rsid w:val="00F121BE"/>
    <w:rsid w:val="00F17832"/>
    <w:rsid w:val="00F21704"/>
    <w:rsid w:val="00F21C67"/>
    <w:rsid w:val="00F2686C"/>
    <w:rsid w:val="00F277EC"/>
    <w:rsid w:val="00F35B31"/>
    <w:rsid w:val="00F3726F"/>
    <w:rsid w:val="00F37904"/>
    <w:rsid w:val="00F447A7"/>
    <w:rsid w:val="00F505B4"/>
    <w:rsid w:val="00F51FB2"/>
    <w:rsid w:val="00F57420"/>
    <w:rsid w:val="00F747E2"/>
    <w:rsid w:val="00F8279D"/>
    <w:rsid w:val="00F85758"/>
    <w:rsid w:val="00FA1DB1"/>
    <w:rsid w:val="00FB14C7"/>
    <w:rsid w:val="00FC5B33"/>
    <w:rsid w:val="00FC74F0"/>
    <w:rsid w:val="00FF43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55081"/>
  <w15:chartTrackingRefBased/>
  <w15:docId w15:val="{AA630E77-AD24-4EB5-9C74-01EA425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link w:val="Overskrift1Tegn"/>
    <w:qFormat/>
    <w:pPr>
      <w:keepNext/>
      <w:outlineLvl w:val="0"/>
    </w:pPr>
    <w:rPr>
      <w:u w:val="single"/>
    </w:rPr>
  </w:style>
  <w:style w:type="paragraph" w:styleId="Overskrift2">
    <w:name w:val="heading 2"/>
    <w:basedOn w:val="Normal"/>
    <w:next w:val="Normal"/>
    <w:link w:val="Overskrift2Tegn"/>
    <w:qFormat/>
    <w:pPr>
      <w:keepNext/>
      <w:outlineLvl w:val="1"/>
    </w:pPr>
    <w:rPr>
      <w:i/>
    </w:rPr>
  </w:style>
  <w:style w:type="paragraph" w:styleId="Overskrift3">
    <w:name w:val="heading 3"/>
    <w:basedOn w:val="Normal"/>
    <w:next w:val="Normal"/>
    <w:link w:val="Overskrift3Tegn"/>
    <w:qFormat/>
    <w:pPr>
      <w:keepNext/>
      <w:outlineLvl w:val="2"/>
    </w:pPr>
  </w:style>
  <w:style w:type="paragraph" w:styleId="Overskrift4">
    <w:name w:val="heading 4"/>
    <w:basedOn w:val="Normal"/>
    <w:next w:val="Normal"/>
    <w:link w:val="Overskrift4Tegn"/>
    <w:qFormat/>
    <w:pPr>
      <w:keepNext/>
      <w:outlineLvl w:val="3"/>
    </w:pPr>
    <w:rPr>
      <w:i/>
      <w:u w:val="single"/>
    </w:rPr>
  </w:style>
  <w:style w:type="paragraph" w:styleId="Overskrift5">
    <w:name w:val="heading 5"/>
    <w:basedOn w:val="Normal"/>
    <w:next w:val="Normal"/>
    <w:qFormat/>
    <w:pPr>
      <w:keepNext/>
      <w:suppressAutoHyphens/>
      <w:outlineLvl w:val="4"/>
    </w:pPr>
    <w:rPr>
      <w:b/>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indrykning">
    <w:name w:val="Body Text Indent"/>
    <w:basedOn w:val="Normal"/>
    <w:pPr>
      <w:tabs>
        <w:tab w:val="left" w:pos="851"/>
      </w:tabs>
      <w:ind w:left="851"/>
      <w:jc w:val="both"/>
    </w:pPr>
  </w:style>
  <w:style w:type="paragraph" w:styleId="Brdtekstindrykning2">
    <w:name w:val="Body Text Indent 2"/>
    <w:basedOn w:val="Normal"/>
    <w:pPr>
      <w:tabs>
        <w:tab w:val="left" w:pos="851"/>
      </w:tabs>
      <w:ind w:left="851" w:hanging="851"/>
      <w:jc w:val="both"/>
    </w:pPr>
  </w:style>
  <w:style w:type="paragraph" w:styleId="Brdtekstindrykning3">
    <w:name w:val="Body Text Indent 3"/>
    <w:basedOn w:val="Normal"/>
    <w:link w:val="Brdtekstindrykning3Tegn"/>
    <w:pPr>
      <w:tabs>
        <w:tab w:val="left" w:pos="851"/>
      </w:tabs>
      <w:ind w:left="851" w:firstLine="4"/>
      <w:jc w:val="both"/>
    </w:pPr>
  </w:style>
  <w:style w:type="paragraph" w:styleId="Brdtekst">
    <w:name w:val="Body Text"/>
    <w:basedOn w:val="Normal"/>
    <w:pPr>
      <w:suppressAutoHyphens/>
    </w:pPr>
    <w:rPr>
      <w:color w:val="FF0000"/>
    </w:rPr>
  </w:style>
  <w:style w:type="paragraph" w:styleId="Brdtekst2">
    <w:name w:val="Body Text 2"/>
    <w:basedOn w:val="Normal"/>
    <w:pPr>
      <w:jc w:val="both"/>
    </w:pPr>
    <w:rPr>
      <w:rFonts w:ascii="Arial" w:hAnsi="Arial"/>
      <w:sz w:val="22"/>
    </w:rPr>
  </w:style>
  <w:style w:type="paragraph" w:customStyle="1" w:styleId="BodyText21">
    <w:name w:val="Body Text 21"/>
    <w:basedOn w:val="Normal"/>
    <w:rsid w:val="005078A7"/>
    <w:pPr>
      <w:widowControl w:val="0"/>
      <w:tabs>
        <w:tab w:val="left" w:pos="-720"/>
        <w:tab w:val="left" w:pos="4536"/>
      </w:tabs>
      <w:overflowPunct w:val="0"/>
      <w:autoSpaceDE w:val="0"/>
      <w:autoSpaceDN w:val="0"/>
      <w:adjustRightInd w:val="0"/>
      <w:textAlignment w:val="baseline"/>
    </w:pPr>
    <w:rPr>
      <w:i/>
      <w:sz w:val="22"/>
      <w:lang w:val="en-GB" w:eastAsia="en-US"/>
    </w:rPr>
  </w:style>
  <w:style w:type="paragraph" w:styleId="Markeringsbobletekst">
    <w:name w:val="Balloon Text"/>
    <w:basedOn w:val="Normal"/>
    <w:link w:val="MarkeringsbobletekstTegn"/>
    <w:uiPriority w:val="99"/>
    <w:semiHidden/>
    <w:unhideWhenUsed/>
    <w:rsid w:val="00B431FA"/>
    <w:rPr>
      <w:rFonts w:ascii="Segoe UI" w:hAnsi="Segoe UI" w:cs="Segoe UI"/>
      <w:sz w:val="18"/>
      <w:szCs w:val="18"/>
    </w:rPr>
  </w:style>
  <w:style w:type="character" w:customStyle="1" w:styleId="MarkeringsbobletekstTegn">
    <w:name w:val="Markeringsbobletekst Tegn"/>
    <w:link w:val="Markeringsbobletekst"/>
    <w:uiPriority w:val="99"/>
    <w:semiHidden/>
    <w:rsid w:val="00B431FA"/>
    <w:rPr>
      <w:rFonts w:ascii="Segoe UI" w:hAnsi="Segoe UI" w:cs="Segoe UI"/>
      <w:sz w:val="18"/>
      <w:szCs w:val="18"/>
    </w:rPr>
  </w:style>
  <w:style w:type="character" w:customStyle="1" w:styleId="Overskrift1Tegn">
    <w:name w:val="Overskrift 1 Tegn"/>
    <w:link w:val="Overskrift1"/>
    <w:rsid w:val="00406E6D"/>
    <w:rPr>
      <w:sz w:val="24"/>
      <w:u w:val="single"/>
    </w:rPr>
  </w:style>
  <w:style w:type="character" w:customStyle="1" w:styleId="Overskrift2Tegn">
    <w:name w:val="Overskrift 2 Tegn"/>
    <w:link w:val="Overskrift2"/>
    <w:rsid w:val="00B50242"/>
    <w:rPr>
      <w:i/>
      <w:sz w:val="24"/>
    </w:rPr>
  </w:style>
  <w:style w:type="character" w:customStyle="1" w:styleId="Overskrift3Tegn">
    <w:name w:val="Overskrift 3 Tegn"/>
    <w:link w:val="Overskrift3"/>
    <w:rsid w:val="00B50242"/>
    <w:rPr>
      <w:sz w:val="24"/>
    </w:rPr>
  </w:style>
  <w:style w:type="character" w:styleId="Hyperlink">
    <w:name w:val="Hyperlink"/>
    <w:uiPriority w:val="99"/>
    <w:semiHidden/>
    <w:unhideWhenUsed/>
    <w:rsid w:val="00B50242"/>
    <w:rPr>
      <w:color w:val="0000FF"/>
      <w:u w:val="single"/>
    </w:rPr>
  </w:style>
  <w:style w:type="character" w:customStyle="1" w:styleId="SidehovedTegn">
    <w:name w:val="Sidehoved Tegn"/>
    <w:link w:val="Sidehoved"/>
    <w:rsid w:val="00E0055C"/>
    <w:rPr>
      <w:sz w:val="24"/>
    </w:rPr>
  </w:style>
  <w:style w:type="character" w:customStyle="1" w:styleId="Overskrift4Tegn">
    <w:name w:val="Overskrift 4 Tegn"/>
    <w:link w:val="Overskrift4"/>
    <w:rsid w:val="003B6F5F"/>
    <w:rPr>
      <w:i/>
      <w:sz w:val="24"/>
      <w:u w:val="single"/>
    </w:rPr>
  </w:style>
  <w:style w:type="character" w:customStyle="1" w:styleId="Brdtekstindrykning3Tegn">
    <w:name w:val="Brødtekstindrykning 3 Tegn"/>
    <w:link w:val="Brdtekstindrykning3"/>
    <w:rsid w:val="003B6F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2062">
      <w:bodyDiv w:val="1"/>
      <w:marLeft w:val="0"/>
      <w:marRight w:val="0"/>
      <w:marTop w:val="0"/>
      <w:marBottom w:val="0"/>
      <w:divBdr>
        <w:top w:val="none" w:sz="0" w:space="0" w:color="auto"/>
        <w:left w:val="none" w:sz="0" w:space="0" w:color="auto"/>
        <w:bottom w:val="none" w:sz="0" w:space="0" w:color="auto"/>
        <w:right w:val="none" w:sz="0" w:space="0" w:color="auto"/>
      </w:divBdr>
    </w:div>
    <w:div w:id="137498983">
      <w:bodyDiv w:val="1"/>
      <w:marLeft w:val="0"/>
      <w:marRight w:val="0"/>
      <w:marTop w:val="0"/>
      <w:marBottom w:val="0"/>
      <w:divBdr>
        <w:top w:val="none" w:sz="0" w:space="0" w:color="auto"/>
        <w:left w:val="none" w:sz="0" w:space="0" w:color="auto"/>
        <w:bottom w:val="none" w:sz="0" w:space="0" w:color="auto"/>
        <w:right w:val="none" w:sz="0" w:space="0" w:color="auto"/>
      </w:divBdr>
    </w:div>
    <w:div w:id="285356404">
      <w:bodyDiv w:val="1"/>
      <w:marLeft w:val="0"/>
      <w:marRight w:val="0"/>
      <w:marTop w:val="0"/>
      <w:marBottom w:val="0"/>
      <w:divBdr>
        <w:top w:val="none" w:sz="0" w:space="0" w:color="auto"/>
        <w:left w:val="none" w:sz="0" w:space="0" w:color="auto"/>
        <w:bottom w:val="none" w:sz="0" w:space="0" w:color="auto"/>
        <w:right w:val="none" w:sz="0" w:space="0" w:color="auto"/>
      </w:divBdr>
    </w:div>
    <w:div w:id="476336773">
      <w:bodyDiv w:val="1"/>
      <w:marLeft w:val="0"/>
      <w:marRight w:val="0"/>
      <w:marTop w:val="0"/>
      <w:marBottom w:val="0"/>
      <w:divBdr>
        <w:top w:val="none" w:sz="0" w:space="0" w:color="auto"/>
        <w:left w:val="none" w:sz="0" w:space="0" w:color="auto"/>
        <w:bottom w:val="none" w:sz="0" w:space="0" w:color="auto"/>
        <w:right w:val="none" w:sz="0" w:space="0" w:color="auto"/>
      </w:divBdr>
    </w:div>
    <w:div w:id="621691573">
      <w:bodyDiv w:val="1"/>
      <w:marLeft w:val="0"/>
      <w:marRight w:val="0"/>
      <w:marTop w:val="0"/>
      <w:marBottom w:val="0"/>
      <w:divBdr>
        <w:top w:val="none" w:sz="0" w:space="0" w:color="auto"/>
        <w:left w:val="none" w:sz="0" w:space="0" w:color="auto"/>
        <w:bottom w:val="none" w:sz="0" w:space="0" w:color="auto"/>
        <w:right w:val="none" w:sz="0" w:space="0" w:color="auto"/>
      </w:divBdr>
    </w:div>
    <w:div w:id="671757103">
      <w:bodyDiv w:val="1"/>
      <w:marLeft w:val="0"/>
      <w:marRight w:val="0"/>
      <w:marTop w:val="0"/>
      <w:marBottom w:val="0"/>
      <w:divBdr>
        <w:top w:val="none" w:sz="0" w:space="0" w:color="auto"/>
        <w:left w:val="none" w:sz="0" w:space="0" w:color="auto"/>
        <w:bottom w:val="none" w:sz="0" w:space="0" w:color="auto"/>
        <w:right w:val="none" w:sz="0" w:space="0" w:color="auto"/>
      </w:divBdr>
    </w:div>
    <w:div w:id="715469333">
      <w:bodyDiv w:val="1"/>
      <w:marLeft w:val="0"/>
      <w:marRight w:val="0"/>
      <w:marTop w:val="0"/>
      <w:marBottom w:val="0"/>
      <w:divBdr>
        <w:top w:val="none" w:sz="0" w:space="0" w:color="auto"/>
        <w:left w:val="none" w:sz="0" w:space="0" w:color="auto"/>
        <w:bottom w:val="none" w:sz="0" w:space="0" w:color="auto"/>
        <w:right w:val="none" w:sz="0" w:space="0" w:color="auto"/>
      </w:divBdr>
    </w:div>
    <w:div w:id="729887695">
      <w:bodyDiv w:val="1"/>
      <w:marLeft w:val="0"/>
      <w:marRight w:val="0"/>
      <w:marTop w:val="0"/>
      <w:marBottom w:val="0"/>
      <w:divBdr>
        <w:top w:val="none" w:sz="0" w:space="0" w:color="auto"/>
        <w:left w:val="none" w:sz="0" w:space="0" w:color="auto"/>
        <w:bottom w:val="none" w:sz="0" w:space="0" w:color="auto"/>
        <w:right w:val="none" w:sz="0" w:space="0" w:color="auto"/>
      </w:divBdr>
    </w:div>
    <w:div w:id="859855270">
      <w:bodyDiv w:val="1"/>
      <w:marLeft w:val="0"/>
      <w:marRight w:val="0"/>
      <w:marTop w:val="0"/>
      <w:marBottom w:val="0"/>
      <w:divBdr>
        <w:top w:val="none" w:sz="0" w:space="0" w:color="auto"/>
        <w:left w:val="none" w:sz="0" w:space="0" w:color="auto"/>
        <w:bottom w:val="none" w:sz="0" w:space="0" w:color="auto"/>
        <w:right w:val="none" w:sz="0" w:space="0" w:color="auto"/>
      </w:divBdr>
    </w:div>
    <w:div w:id="863372295">
      <w:bodyDiv w:val="1"/>
      <w:marLeft w:val="0"/>
      <w:marRight w:val="0"/>
      <w:marTop w:val="0"/>
      <w:marBottom w:val="0"/>
      <w:divBdr>
        <w:top w:val="none" w:sz="0" w:space="0" w:color="auto"/>
        <w:left w:val="none" w:sz="0" w:space="0" w:color="auto"/>
        <w:bottom w:val="none" w:sz="0" w:space="0" w:color="auto"/>
        <w:right w:val="none" w:sz="0" w:space="0" w:color="auto"/>
      </w:divBdr>
    </w:div>
    <w:div w:id="947346609">
      <w:bodyDiv w:val="1"/>
      <w:marLeft w:val="0"/>
      <w:marRight w:val="0"/>
      <w:marTop w:val="0"/>
      <w:marBottom w:val="0"/>
      <w:divBdr>
        <w:top w:val="none" w:sz="0" w:space="0" w:color="auto"/>
        <w:left w:val="none" w:sz="0" w:space="0" w:color="auto"/>
        <w:bottom w:val="none" w:sz="0" w:space="0" w:color="auto"/>
        <w:right w:val="none" w:sz="0" w:space="0" w:color="auto"/>
      </w:divBdr>
    </w:div>
    <w:div w:id="1005128575">
      <w:bodyDiv w:val="1"/>
      <w:marLeft w:val="0"/>
      <w:marRight w:val="0"/>
      <w:marTop w:val="0"/>
      <w:marBottom w:val="0"/>
      <w:divBdr>
        <w:top w:val="none" w:sz="0" w:space="0" w:color="auto"/>
        <w:left w:val="none" w:sz="0" w:space="0" w:color="auto"/>
        <w:bottom w:val="none" w:sz="0" w:space="0" w:color="auto"/>
        <w:right w:val="none" w:sz="0" w:space="0" w:color="auto"/>
      </w:divBdr>
    </w:div>
    <w:div w:id="1151753303">
      <w:bodyDiv w:val="1"/>
      <w:marLeft w:val="0"/>
      <w:marRight w:val="0"/>
      <w:marTop w:val="0"/>
      <w:marBottom w:val="0"/>
      <w:divBdr>
        <w:top w:val="none" w:sz="0" w:space="0" w:color="auto"/>
        <w:left w:val="none" w:sz="0" w:space="0" w:color="auto"/>
        <w:bottom w:val="none" w:sz="0" w:space="0" w:color="auto"/>
        <w:right w:val="none" w:sz="0" w:space="0" w:color="auto"/>
      </w:divBdr>
    </w:div>
    <w:div w:id="1174538417">
      <w:bodyDiv w:val="1"/>
      <w:marLeft w:val="0"/>
      <w:marRight w:val="0"/>
      <w:marTop w:val="0"/>
      <w:marBottom w:val="0"/>
      <w:divBdr>
        <w:top w:val="none" w:sz="0" w:space="0" w:color="auto"/>
        <w:left w:val="none" w:sz="0" w:space="0" w:color="auto"/>
        <w:bottom w:val="none" w:sz="0" w:space="0" w:color="auto"/>
        <w:right w:val="none" w:sz="0" w:space="0" w:color="auto"/>
      </w:divBdr>
    </w:div>
    <w:div w:id="1269119627">
      <w:bodyDiv w:val="1"/>
      <w:marLeft w:val="0"/>
      <w:marRight w:val="0"/>
      <w:marTop w:val="0"/>
      <w:marBottom w:val="0"/>
      <w:divBdr>
        <w:top w:val="none" w:sz="0" w:space="0" w:color="auto"/>
        <w:left w:val="none" w:sz="0" w:space="0" w:color="auto"/>
        <w:bottom w:val="none" w:sz="0" w:space="0" w:color="auto"/>
        <w:right w:val="none" w:sz="0" w:space="0" w:color="auto"/>
      </w:divBdr>
    </w:div>
    <w:div w:id="1401564188">
      <w:bodyDiv w:val="1"/>
      <w:marLeft w:val="0"/>
      <w:marRight w:val="0"/>
      <w:marTop w:val="0"/>
      <w:marBottom w:val="0"/>
      <w:divBdr>
        <w:top w:val="none" w:sz="0" w:space="0" w:color="auto"/>
        <w:left w:val="none" w:sz="0" w:space="0" w:color="auto"/>
        <w:bottom w:val="none" w:sz="0" w:space="0" w:color="auto"/>
        <w:right w:val="none" w:sz="0" w:space="0" w:color="auto"/>
      </w:divBdr>
    </w:div>
    <w:div w:id="1465348014">
      <w:bodyDiv w:val="1"/>
      <w:marLeft w:val="0"/>
      <w:marRight w:val="0"/>
      <w:marTop w:val="0"/>
      <w:marBottom w:val="0"/>
      <w:divBdr>
        <w:top w:val="none" w:sz="0" w:space="0" w:color="auto"/>
        <w:left w:val="none" w:sz="0" w:space="0" w:color="auto"/>
        <w:bottom w:val="none" w:sz="0" w:space="0" w:color="auto"/>
        <w:right w:val="none" w:sz="0" w:space="0" w:color="auto"/>
      </w:divBdr>
    </w:div>
    <w:div w:id="1482502013">
      <w:bodyDiv w:val="1"/>
      <w:marLeft w:val="0"/>
      <w:marRight w:val="0"/>
      <w:marTop w:val="0"/>
      <w:marBottom w:val="0"/>
      <w:divBdr>
        <w:top w:val="none" w:sz="0" w:space="0" w:color="auto"/>
        <w:left w:val="none" w:sz="0" w:space="0" w:color="auto"/>
        <w:bottom w:val="none" w:sz="0" w:space="0" w:color="auto"/>
        <w:right w:val="none" w:sz="0" w:space="0" w:color="auto"/>
      </w:divBdr>
    </w:div>
    <w:div w:id="1496798177">
      <w:bodyDiv w:val="1"/>
      <w:marLeft w:val="0"/>
      <w:marRight w:val="0"/>
      <w:marTop w:val="0"/>
      <w:marBottom w:val="0"/>
      <w:divBdr>
        <w:top w:val="none" w:sz="0" w:space="0" w:color="auto"/>
        <w:left w:val="none" w:sz="0" w:space="0" w:color="auto"/>
        <w:bottom w:val="none" w:sz="0" w:space="0" w:color="auto"/>
        <w:right w:val="none" w:sz="0" w:space="0" w:color="auto"/>
      </w:divBdr>
    </w:div>
    <w:div w:id="1564297833">
      <w:bodyDiv w:val="1"/>
      <w:marLeft w:val="0"/>
      <w:marRight w:val="0"/>
      <w:marTop w:val="0"/>
      <w:marBottom w:val="0"/>
      <w:divBdr>
        <w:top w:val="none" w:sz="0" w:space="0" w:color="auto"/>
        <w:left w:val="none" w:sz="0" w:space="0" w:color="auto"/>
        <w:bottom w:val="none" w:sz="0" w:space="0" w:color="auto"/>
        <w:right w:val="none" w:sz="0" w:space="0" w:color="auto"/>
      </w:divBdr>
    </w:div>
    <w:div w:id="1695227032">
      <w:bodyDiv w:val="1"/>
      <w:marLeft w:val="0"/>
      <w:marRight w:val="0"/>
      <w:marTop w:val="0"/>
      <w:marBottom w:val="0"/>
      <w:divBdr>
        <w:top w:val="none" w:sz="0" w:space="0" w:color="auto"/>
        <w:left w:val="none" w:sz="0" w:space="0" w:color="auto"/>
        <w:bottom w:val="none" w:sz="0" w:space="0" w:color="auto"/>
        <w:right w:val="none" w:sz="0" w:space="0" w:color="auto"/>
      </w:divBdr>
    </w:div>
    <w:div w:id="1699811662">
      <w:bodyDiv w:val="1"/>
      <w:marLeft w:val="0"/>
      <w:marRight w:val="0"/>
      <w:marTop w:val="0"/>
      <w:marBottom w:val="0"/>
      <w:divBdr>
        <w:top w:val="none" w:sz="0" w:space="0" w:color="auto"/>
        <w:left w:val="none" w:sz="0" w:space="0" w:color="auto"/>
        <w:bottom w:val="none" w:sz="0" w:space="0" w:color="auto"/>
        <w:right w:val="none" w:sz="0" w:space="0" w:color="auto"/>
      </w:divBdr>
    </w:div>
    <w:div w:id="1703096816">
      <w:bodyDiv w:val="1"/>
      <w:marLeft w:val="0"/>
      <w:marRight w:val="0"/>
      <w:marTop w:val="0"/>
      <w:marBottom w:val="0"/>
      <w:divBdr>
        <w:top w:val="none" w:sz="0" w:space="0" w:color="auto"/>
        <w:left w:val="none" w:sz="0" w:space="0" w:color="auto"/>
        <w:bottom w:val="none" w:sz="0" w:space="0" w:color="auto"/>
        <w:right w:val="none" w:sz="0" w:space="0" w:color="auto"/>
      </w:divBdr>
    </w:div>
    <w:div w:id="1754618210">
      <w:bodyDiv w:val="1"/>
      <w:marLeft w:val="0"/>
      <w:marRight w:val="0"/>
      <w:marTop w:val="0"/>
      <w:marBottom w:val="0"/>
      <w:divBdr>
        <w:top w:val="none" w:sz="0" w:space="0" w:color="auto"/>
        <w:left w:val="none" w:sz="0" w:space="0" w:color="auto"/>
        <w:bottom w:val="none" w:sz="0" w:space="0" w:color="auto"/>
        <w:right w:val="none" w:sz="0" w:space="0" w:color="auto"/>
      </w:divBdr>
    </w:div>
    <w:div w:id="1769500408">
      <w:bodyDiv w:val="1"/>
      <w:marLeft w:val="0"/>
      <w:marRight w:val="0"/>
      <w:marTop w:val="0"/>
      <w:marBottom w:val="0"/>
      <w:divBdr>
        <w:top w:val="none" w:sz="0" w:space="0" w:color="auto"/>
        <w:left w:val="none" w:sz="0" w:space="0" w:color="auto"/>
        <w:bottom w:val="none" w:sz="0" w:space="0" w:color="auto"/>
        <w:right w:val="none" w:sz="0" w:space="0" w:color="auto"/>
      </w:divBdr>
    </w:div>
    <w:div w:id="1803844415">
      <w:bodyDiv w:val="1"/>
      <w:marLeft w:val="0"/>
      <w:marRight w:val="0"/>
      <w:marTop w:val="0"/>
      <w:marBottom w:val="0"/>
      <w:divBdr>
        <w:top w:val="none" w:sz="0" w:space="0" w:color="auto"/>
        <w:left w:val="none" w:sz="0" w:space="0" w:color="auto"/>
        <w:bottom w:val="none" w:sz="0" w:space="0" w:color="auto"/>
        <w:right w:val="none" w:sz="0" w:space="0" w:color="auto"/>
      </w:divBdr>
    </w:div>
    <w:div w:id="1969120610">
      <w:bodyDiv w:val="1"/>
      <w:marLeft w:val="0"/>
      <w:marRight w:val="0"/>
      <w:marTop w:val="0"/>
      <w:marBottom w:val="0"/>
      <w:divBdr>
        <w:top w:val="none" w:sz="0" w:space="0" w:color="auto"/>
        <w:left w:val="none" w:sz="0" w:space="0" w:color="auto"/>
        <w:bottom w:val="none" w:sz="0" w:space="0" w:color="auto"/>
        <w:right w:val="none" w:sz="0" w:space="0" w:color="auto"/>
      </w:divBdr>
    </w:div>
    <w:div w:id="1981381692">
      <w:bodyDiv w:val="1"/>
      <w:marLeft w:val="0"/>
      <w:marRight w:val="0"/>
      <w:marTop w:val="0"/>
      <w:marBottom w:val="0"/>
      <w:divBdr>
        <w:top w:val="none" w:sz="0" w:space="0" w:color="auto"/>
        <w:left w:val="none" w:sz="0" w:space="0" w:color="auto"/>
        <w:bottom w:val="none" w:sz="0" w:space="0" w:color="auto"/>
        <w:right w:val="none" w:sz="0" w:space="0" w:color="auto"/>
      </w:divBdr>
    </w:div>
    <w:div w:id="21367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5642</Words>
  <Characters>34422</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39985</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2025032693 pkt. 6.5 og 6.6.</dc:description>
  <cp:lastModifiedBy>Helle Søndersted</cp:lastModifiedBy>
  <cp:revision>2</cp:revision>
  <cp:lastPrinted>2018-09-20T10:10:00Z</cp:lastPrinted>
  <dcterms:created xsi:type="dcterms:W3CDTF">2025-03-25T14:00:00Z</dcterms:created>
  <dcterms:modified xsi:type="dcterms:W3CDTF">2025-03-25T14:00:00Z</dcterms:modified>
  <cp:category/>
</cp:coreProperties>
</file>