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F7D5" w14:textId="77777777" w:rsidR="009260DE" w:rsidRPr="006C377D" w:rsidRDefault="0021526C" w:rsidP="009260DE">
      <w:pPr>
        <w:rPr>
          <w:sz w:val="24"/>
          <w:szCs w:val="24"/>
        </w:rPr>
      </w:pPr>
      <w:r w:rsidRPr="006C377D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DEB080F" wp14:editId="2CA0E06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6C377D">
        <w:rPr>
          <w:sz w:val="24"/>
          <w:szCs w:val="24"/>
        </w:rPr>
        <w:br w:type="textWrapping" w:clear="all"/>
      </w:r>
    </w:p>
    <w:p w14:paraId="2741C9DD" w14:textId="5F64E677" w:rsidR="009260DE" w:rsidRPr="006C377D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6C377D">
        <w:rPr>
          <w:b w:val="0"/>
          <w:szCs w:val="24"/>
          <w:lang w:eastAsia="en-US"/>
        </w:rPr>
        <w:tab/>
      </w:r>
      <w:r w:rsidR="008A08CE">
        <w:rPr>
          <w:szCs w:val="24"/>
        </w:rPr>
        <w:t>1</w:t>
      </w:r>
      <w:r w:rsidR="00CD0896">
        <w:rPr>
          <w:szCs w:val="24"/>
        </w:rPr>
        <w:t xml:space="preserve">. </w:t>
      </w:r>
      <w:r w:rsidR="006C6009">
        <w:rPr>
          <w:szCs w:val="24"/>
        </w:rPr>
        <w:t>ju</w:t>
      </w:r>
      <w:r w:rsidR="008A08CE">
        <w:rPr>
          <w:szCs w:val="24"/>
        </w:rPr>
        <w:t>l</w:t>
      </w:r>
      <w:r w:rsidR="006C6009">
        <w:rPr>
          <w:szCs w:val="24"/>
        </w:rPr>
        <w:t>i</w:t>
      </w:r>
      <w:r w:rsidR="00CD0896">
        <w:rPr>
          <w:szCs w:val="24"/>
        </w:rPr>
        <w:t xml:space="preserve"> 202</w:t>
      </w:r>
      <w:r w:rsidR="006C6009">
        <w:rPr>
          <w:szCs w:val="24"/>
        </w:rPr>
        <w:t>4</w:t>
      </w:r>
    </w:p>
    <w:p w14:paraId="21E9E752" w14:textId="77777777" w:rsidR="009260DE" w:rsidRPr="006C377D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55C0BEF" w14:textId="0F4514A6" w:rsidR="009260DE" w:rsidRPr="006C377D" w:rsidRDefault="009260DE" w:rsidP="009260DE">
      <w:pPr>
        <w:pStyle w:val="Titel"/>
        <w:jc w:val="left"/>
        <w:rPr>
          <w:b w:val="0"/>
          <w:szCs w:val="24"/>
        </w:rPr>
      </w:pPr>
    </w:p>
    <w:p w14:paraId="57428CD1" w14:textId="77777777" w:rsidR="009260DE" w:rsidRPr="006C377D" w:rsidRDefault="009260DE" w:rsidP="009260DE">
      <w:pPr>
        <w:pStyle w:val="Titel"/>
        <w:jc w:val="left"/>
        <w:rPr>
          <w:b w:val="0"/>
          <w:szCs w:val="24"/>
        </w:rPr>
      </w:pPr>
    </w:p>
    <w:p w14:paraId="2F210239" w14:textId="77777777" w:rsidR="009260DE" w:rsidRPr="006C377D" w:rsidRDefault="009260DE" w:rsidP="009260DE">
      <w:pPr>
        <w:jc w:val="center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PRODUKTRESUMÉ</w:t>
      </w:r>
    </w:p>
    <w:p w14:paraId="205F0573" w14:textId="77777777" w:rsidR="009260DE" w:rsidRPr="006C377D" w:rsidRDefault="009260DE" w:rsidP="009260DE">
      <w:pPr>
        <w:jc w:val="center"/>
        <w:rPr>
          <w:b/>
          <w:sz w:val="24"/>
          <w:szCs w:val="24"/>
        </w:rPr>
      </w:pPr>
    </w:p>
    <w:p w14:paraId="7860BDDA" w14:textId="77777777" w:rsidR="009260DE" w:rsidRPr="006C377D" w:rsidRDefault="009260DE" w:rsidP="009260DE">
      <w:pPr>
        <w:jc w:val="center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for</w:t>
      </w:r>
    </w:p>
    <w:p w14:paraId="3260536D" w14:textId="77777777" w:rsidR="000B058C" w:rsidRPr="006C377D" w:rsidRDefault="000B058C" w:rsidP="009260DE">
      <w:pPr>
        <w:jc w:val="center"/>
        <w:rPr>
          <w:b/>
          <w:sz w:val="24"/>
          <w:szCs w:val="24"/>
        </w:rPr>
      </w:pPr>
    </w:p>
    <w:p w14:paraId="346D408F" w14:textId="6F8E0996" w:rsidR="009260DE" w:rsidRPr="006C377D" w:rsidRDefault="00974971" w:rsidP="009260DE">
      <w:pPr>
        <w:jc w:val="center"/>
        <w:rPr>
          <w:b/>
          <w:sz w:val="24"/>
          <w:szCs w:val="24"/>
        </w:rPr>
      </w:pPr>
      <w:proofErr w:type="spellStart"/>
      <w:r w:rsidRPr="006C377D">
        <w:rPr>
          <w:b/>
          <w:sz w:val="24"/>
          <w:szCs w:val="24"/>
        </w:rPr>
        <w:t>Velariq</w:t>
      </w:r>
      <w:proofErr w:type="spellEnd"/>
      <w:r w:rsidRPr="006C377D">
        <w:rPr>
          <w:b/>
          <w:sz w:val="24"/>
          <w:szCs w:val="24"/>
        </w:rPr>
        <w:t xml:space="preserve">, </w:t>
      </w:r>
      <w:proofErr w:type="spellStart"/>
      <w:r w:rsidRPr="006C377D">
        <w:rPr>
          <w:b/>
          <w:sz w:val="24"/>
          <w:szCs w:val="24"/>
        </w:rPr>
        <w:t>intravesikal</w:t>
      </w:r>
      <w:proofErr w:type="spellEnd"/>
      <w:r w:rsidRPr="006C377D">
        <w:rPr>
          <w:b/>
          <w:sz w:val="24"/>
          <w:szCs w:val="24"/>
        </w:rPr>
        <w:t xml:space="preserve"> opløsning</w:t>
      </w:r>
    </w:p>
    <w:p w14:paraId="5E527E1F" w14:textId="77777777" w:rsidR="009260DE" w:rsidRPr="006C377D" w:rsidRDefault="009260DE" w:rsidP="009260DE">
      <w:pPr>
        <w:jc w:val="both"/>
        <w:rPr>
          <w:sz w:val="24"/>
          <w:szCs w:val="24"/>
        </w:rPr>
      </w:pPr>
    </w:p>
    <w:p w14:paraId="1DBD52BD" w14:textId="77777777" w:rsidR="009260DE" w:rsidRPr="006C377D" w:rsidRDefault="009260DE" w:rsidP="009260DE">
      <w:pPr>
        <w:jc w:val="both"/>
        <w:rPr>
          <w:sz w:val="24"/>
          <w:szCs w:val="24"/>
        </w:rPr>
      </w:pPr>
    </w:p>
    <w:p w14:paraId="031BF095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0.</w:t>
      </w:r>
      <w:r w:rsidRPr="006C377D">
        <w:rPr>
          <w:b/>
          <w:sz w:val="24"/>
          <w:szCs w:val="24"/>
        </w:rPr>
        <w:tab/>
        <w:t>D.SP.NR.</w:t>
      </w:r>
    </w:p>
    <w:p w14:paraId="61E94863" w14:textId="0228F386" w:rsidR="009260DE" w:rsidRPr="006C377D" w:rsidRDefault="00974971" w:rsidP="009260DE">
      <w:pPr>
        <w:tabs>
          <w:tab w:val="left" w:pos="851"/>
        </w:tabs>
        <w:ind w:left="851"/>
        <w:rPr>
          <w:sz w:val="24"/>
          <w:szCs w:val="24"/>
        </w:rPr>
      </w:pPr>
      <w:r w:rsidRPr="006C377D">
        <w:rPr>
          <w:sz w:val="24"/>
          <w:szCs w:val="24"/>
        </w:rPr>
        <w:t>33082</w:t>
      </w:r>
    </w:p>
    <w:p w14:paraId="4D8AEA03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406315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1.</w:t>
      </w:r>
      <w:r w:rsidRPr="006C377D">
        <w:rPr>
          <w:b/>
          <w:sz w:val="24"/>
          <w:szCs w:val="24"/>
        </w:rPr>
        <w:tab/>
        <w:t>LÆGEMIDLETS NAVN</w:t>
      </w:r>
    </w:p>
    <w:p w14:paraId="72260F57" w14:textId="0CB34555" w:rsidR="009260DE" w:rsidRPr="006C377D" w:rsidRDefault="0097497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Velariq</w:t>
      </w:r>
      <w:proofErr w:type="spellEnd"/>
    </w:p>
    <w:p w14:paraId="39278055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72FCF1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2.</w:t>
      </w:r>
      <w:r w:rsidRPr="006C377D">
        <w:rPr>
          <w:b/>
          <w:sz w:val="24"/>
          <w:szCs w:val="24"/>
        </w:rPr>
        <w:tab/>
        <w:t>KVALITATIV OG KVANTITATIV SAMMENSÆTNING</w:t>
      </w:r>
    </w:p>
    <w:p w14:paraId="144E9007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1 ml opløsning indeholder 1 mg </w:t>
      </w:r>
      <w:bookmarkStart w:id="0" w:name="_Hlk124938274"/>
      <w:proofErr w:type="spellStart"/>
      <w:r w:rsidRPr="006C377D">
        <w:rPr>
          <w:sz w:val="24"/>
          <w:szCs w:val="24"/>
        </w:rPr>
        <w:t>oxybutyninhydrochlorid</w:t>
      </w:r>
      <w:bookmarkEnd w:id="0"/>
      <w:proofErr w:type="spellEnd"/>
      <w:r w:rsidRPr="006C377D">
        <w:rPr>
          <w:sz w:val="24"/>
          <w:szCs w:val="24"/>
        </w:rPr>
        <w:t>.</w:t>
      </w:r>
    </w:p>
    <w:p w14:paraId="24F81E8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5DB9086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En gradueret, brugsklar fyldt sprøjte med 10 ml opløsning indeholder 10 mg </w:t>
      </w:r>
      <w:proofErr w:type="spellStart"/>
      <w:r w:rsidRPr="006C377D">
        <w:rPr>
          <w:sz w:val="24"/>
          <w:szCs w:val="24"/>
        </w:rPr>
        <w:t>oxybutyninhydrochlorid</w:t>
      </w:r>
      <w:proofErr w:type="spellEnd"/>
      <w:r w:rsidRPr="006C377D">
        <w:rPr>
          <w:sz w:val="24"/>
          <w:szCs w:val="24"/>
        </w:rPr>
        <w:t>.</w:t>
      </w:r>
    </w:p>
    <w:p w14:paraId="1E841097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4B7D3B09" w14:textId="77777777" w:rsidR="00A57EF3" w:rsidRPr="006C377D" w:rsidRDefault="00A57EF3" w:rsidP="00C832E1">
      <w:pPr>
        <w:ind w:left="851"/>
        <w:rPr>
          <w:sz w:val="24"/>
          <w:szCs w:val="24"/>
          <w:u w:val="single"/>
        </w:rPr>
      </w:pPr>
      <w:r w:rsidRPr="006C377D">
        <w:rPr>
          <w:sz w:val="24"/>
          <w:szCs w:val="24"/>
          <w:u w:val="single"/>
        </w:rPr>
        <w:t>Hjælpestof, som behandleren skal være opmærksom på:</w:t>
      </w:r>
    </w:p>
    <w:p w14:paraId="1E4E9B5E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Natrium 3,5 mg/ml</w:t>
      </w:r>
    </w:p>
    <w:p w14:paraId="48AB297C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96346B2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Alle hjælpestoffer er anført under pkt. 6.1.</w:t>
      </w:r>
    </w:p>
    <w:p w14:paraId="57A0F0F4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48A771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3.</w:t>
      </w:r>
      <w:r w:rsidRPr="006C377D">
        <w:rPr>
          <w:b/>
          <w:sz w:val="24"/>
          <w:szCs w:val="24"/>
        </w:rPr>
        <w:tab/>
        <w:t>LÆGEMIDDELFORM</w:t>
      </w:r>
    </w:p>
    <w:p w14:paraId="725E4124" w14:textId="21522F9D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opløsning</w:t>
      </w:r>
    </w:p>
    <w:p w14:paraId="24F5F099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0A1BF46D" w14:textId="121ABD73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Klar, farveløs opløsning med en pH-værdi på 3,8 til </w:t>
      </w:r>
      <w:r w:rsidR="0045272E">
        <w:rPr>
          <w:sz w:val="24"/>
          <w:szCs w:val="24"/>
        </w:rPr>
        <w:t>4,</w:t>
      </w:r>
      <w:r w:rsidR="006C6009">
        <w:rPr>
          <w:sz w:val="24"/>
          <w:szCs w:val="24"/>
        </w:rPr>
        <w:t>5</w:t>
      </w:r>
      <w:r w:rsidRPr="006C377D">
        <w:rPr>
          <w:sz w:val="24"/>
          <w:szCs w:val="24"/>
        </w:rPr>
        <w:t xml:space="preserve"> og en </w:t>
      </w:r>
      <w:proofErr w:type="spellStart"/>
      <w:r w:rsidRPr="006C377D">
        <w:rPr>
          <w:sz w:val="24"/>
          <w:szCs w:val="24"/>
        </w:rPr>
        <w:t>osmolalitet</w:t>
      </w:r>
      <w:proofErr w:type="spellEnd"/>
      <w:r w:rsidRPr="006C377D">
        <w:rPr>
          <w:sz w:val="24"/>
          <w:szCs w:val="24"/>
        </w:rPr>
        <w:t xml:space="preserve"> på 280-300 </w:t>
      </w:r>
      <w:proofErr w:type="spellStart"/>
      <w:r w:rsidRPr="006C377D">
        <w:rPr>
          <w:sz w:val="24"/>
          <w:szCs w:val="24"/>
        </w:rPr>
        <w:t>mOsmol</w:t>
      </w:r>
      <w:proofErr w:type="spellEnd"/>
      <w:r w:rsidRPr="006C377D">
        <w:rPr>
          <w:sz w:val="24"/>
          <w:szCs w:val="24"/>
        </w:rPr>
        <w:t>/kg.</w:t>
      </w:r>
    </w:p>
    <w:p w14:paraId="4B3D3588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3B8B16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538BF5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</w:t>
      </w:r>
      <w:r w:rsidRPr="006C377D">
        <w:rPr>
          <w:b/>
          <w:sz w:val="24"/>
          <w:szCs w:val="24"/>
        </w:rPr>
        <w:tab/>
        <w:t>KLINISKE OPLYSNINGER</w:t>
      </w:r>
    </w:p>
    <w:p w14:paraId="612CFBFC" w14:textId="77777777" w:rsidR="009260DE" w:rsidRPr="006C377D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5CBE56A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C377D">
        <w:rPr>
          <w:b/>
          <w:sz w:val="24"/>
          <w:szCs w:val="24"/>
        </w:rPr>
        <w:t>4.1</w:t>
      </w:r>
      <w:r w:rsidRPr="006C377D">
        <w:rPr>
          <w:b/>
          <w:sz w:val="24"/>
          <w:szCs w:val="24"/>
        </w:rPr>
        <w:tab/>
        <w:t>Terapeutiske indikationer</w:t>
      </w:r>
    </w:p>
    <w:p w14:paraId="35784516" w14:textId="18A6B481" w:rsidR="00CC75E6" w:rsidRDefault="005F2728" w:rsidP="005F2728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Velariq</w:t>
      </w:r>
      <w:proofErr w:type="spellEnd"/>
      <w:r w:rsidRPr="006C377D">
        <w:rPr>
          <w:sz w:val="24"/>
          <w:szCs w:val="24"/>
        </w:rPr>
        <w:t xml:space="preserve"> er indiceret til at hæmme </w:t>
      </w:r>
      <w:proofErr w:type="spellStart"/>
      <w:r w:rsidRPr="00F3383A">
        <w:rPr>
          <w:sz w:val="24"/>
          <w:szCs w:val="24"/>
        </w:rPr>
        <w:t>neurogen</w:t>
      </w:r>
      <w:proofErr w:type="spellEnd"/>
      <w:r w:rsidRPr="00F3383A">
        <w:rPr>
          <w:sz w:val="24"/>
          <w:szCs w:val="24"/>
        </w:rPr>
        <w:t xml:space="preserve"> </w:t>
      </w:r>
      <w:proofErr w:type="spellStart"/>
      <w:r w:rsidRPr="00F3383A">
        <w:rPr>
          <w:sz w:val="24"/>
          <w:szCs w:val="24"/>
        </w:rPr>
        <w:t>detrusoroveraktivitet</w:t>
      </w:r>
      <w:proofErr w:type="spellEnd"/>
      <w:r>
        <w:rPr>
          <w:sz w:val="24"/>
          <w:szCs w:val="24"/>
        </w:rPr>
        <w:t xml:space="preserve"> </w:t>
      </w:r>
      <w:r w:rsidRPr="006C377D">
        <w:rPr>
          <w:sz w:val="24"/>
          <w:szCs w:val="24"/>
        </w:rPr>
        <w:t xml:space="preserve">hos børn over 6 år og voksne, hvor tømning af blæren udføres ved ren intermitterende </w:t>
      </w:r>
      <w:proofErr w:type="spellStart"/>
      <w:r w:rsidRPr="006C377D">
        <w:rPr>
          <w:sz w:val="24"/>
          <w:szCs w:val="24"/>
        </w:rPr>
        <w:t>kateterisering</w:t>
      </w:r>
      <w:proofErr w:type="spellEnd"/>
      <w:r w:rsidRPr="006C377D">
        <w:rPr>
          <w:sz w:val="24"/>
          <w:szCs w:val="24"/>
        </w:rPr>
        <w:t xml:space="preserve">, og hvor behandling med orale </w:t>
      </w: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ikke er tilstrækkelig</w:t>
      </w:r>
      <w:r>
        <w:rPr>
          <w:sz w:val="24"/>
          <w:szCs w:val="24"/>
        </w:rPr>
        <w:t xml:space="preserve"> (se pkt. 5.1)</w:t>
      </w:r>
      <w:r w:rsidRPr="006C377D">
        <w:rPr>
          <w:sz w:val="24"/>
          <w:szCs w:val="24"/>
        </w:rPr>
        <w:t>.</w:t>
      </w:r>
    </w:p>
    <w:p w14:paraId="4E67727C" w14:textId="719FCCAB" w:rsidR="005F2728" w:rsidRDefault="005F2728" w:rsidP="005F2728">
      <w:pPr>
        <w:ind w:left="851"/>
        <w:rPr>
          <w:sz w:val="24"/>
          <w:szCs w:val="24"/>
        </w:rPr>
      </w:pPr>
    </w:p>
    <w:p w14:paraId="1A7BC338" w14:textId="18FD0201" w:rsidR="005F2728" w:rsidRDefault="005F2728" w:rsidP="005F2728">
      <w:pPr>
        <w:ind w:left="851"/>
        <w:rPr>
          <w:sz w:val="24"/>
          <w:szCs w:val="24"/>
        </w:rPr>
      </w:pPr>
    </w:p>
    <w:p w14:paraId="3D429EDB" w14:textId="3FD4FDC4" w:rsidR="005F2728" w:rsidRDefault="005F2728" w:rsidP="005F2728">
      <w:pPr>
        <w:ind w:left="851"/>
        <w:rPr>
          <w:sz w:val="24"/>
          <w:szCs w:val="24"/>
        </w:rPr>
      </w:pPr>
    </w:p>
    <w:p w14:paraId="6918299C" w14:textId="77777777" w:rsidR="005F2728" w:rsidRDefault="005F2728" w:rsidP="005F2728">
      <w:pPr>
        <w:ind w:left="851"/>
        <w:rPr>
          <w:sz w:val="24"/>
          <w:szCs w:val="24"/>
        </w:rPr>
      </w:pPr>
    </w:p>
    <w:p w14:paraId="32D2E7D5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FF3542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lastRenderedPageBreak/>
        <w:t>4.2</w:t>
      </w:r>
      <w:r w:rsidRPr="006C377D">
        <w:rPr>
          <w:b/>
          <w:sz w:val="24"/>
          <w:szCs w:val="24"/>
        </w:rPr>
        <w:tab/>
        <w:t xml:space="preserve">Dosering og </w:t>
      </w:r>
      <w:r w:rsidR="002C1EC0" w:rsidRPr="006C377D">
        <w:rPr>
          <w:b/>
          <w:sz w:val="24"/>
          <w:szCs w:val="24"/>
        </w:rPr>
        <w:t>administration</w:t>
      </w:r>
    </w:p>
    <w:p w14:paraId="40785CBE" w14:textId="77777777" w:rsidR="006F110F" w:rsidRDefault="006F110F" w:rsidP="00C832E1">
      <w:pPr>
        <w:ind w:left="851"/>
        <w:rPr>
          <w:sz w:val="24"/>
          <w:szCs w:val="24"/>
        </w:rPr>
      </w:pPr>
    </w:p>
    <w:p w14:paraId="2615A8B5" w14:textId="68F95680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t>Dosering</w:t>
      </w:r>
    </w:p>
    <w:p w14:paraId="27F5F064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113E799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Initialdosis skal bestemmes af en </w:t>
      </w:r>
      <w:proofErr w:type="spellStart"/>
      <w:r w:rsidRPr="006C377D">
        <w:rPr>
          <w:sz w:val="24"/>
          <w:szCs w:val="24"/>
        </w:rPr>
        <w:t>neurourolog</w:t>
      </w:r>
      <w:proofErr w:type="spellEnd"/>
      <w:r w:rsidRPr="006C377D">
        <w:rPr>
          <w:sz w:val="24"/>
          <w:szCs w:val="24"/>
        </w:rPr>
        <w:t xml:space="preserve"> ved en omhyggelig urodynamisk undersøgelse.</w:t>
      </w:r>
    </w:p>
    <w:p w14:paraId="13A8A610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47F7603F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Der er ingen faste regler for </w:t>
      </w:r>
      <w:proofErr w:type="spellStart"/>
      <w:r w:rsidRPr="006C377D">
        <w:rPr>
          <w:sz w:val="24"/>
          <w:szCs w:val="24"/>
        </w:rPr>
        <w:t>dosisregimen</w:t>
      </w:r>
      <w:proofErr w:type="spellEnd"/>
      <w:r w:rsidRPr="006C377D">
        <w:rPr>
          <w:sz w:val="24"/>
          <w:szCs w:val="24"/>
        </w:rPr>
        <w:t xml:space="preserve">, idet der er store variationer mellem forskellige patienters blæretryk og den dosering, der er påkrævet til forbedring af en overaktiv blære, som er forårsaget af en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lidelse. </w:t>
      </w:r>
      <w:proofErr w:type="spellStart"/>
      <w:r w:rsidRPr="006C377D">
        <w:rPr>
          <w:sz w:val="24"/>
          <w:szCs w:val="24"/>
        </w:rPr>
        <w:t>Dosisregimen</w:t>
      </w:r>
      <w:proofErr w:type="spellEnd"/>
      <w:r w:rsidRPr="006C377D">
        <w:rPr>
          <w:sz w:val="24"/>
          <w:szCs w:val="24"/>
        </w:rPr>
        <w:t xml:space="preserve"> (dosering og tidspunkter) skal derfor bestemmes individuelt i henhold til patientens behold.</w:t>
      </w:r>
    </w:p>
    <w:p w14:paraId="78341FB5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02B16642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Der anvendes individuel dosering med henblik på tilstrækkelig behandling af urodynamiske parametre (maksimalt blæretryk &lt; 40 cm H2O), som er målrettet mod fuldstændig hæmning af en overaktiv blære, som er forårsaget af en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lidelse.</w:t>
      </w:r>
    </w:p>
    <w:p w14:paraId="6AAC9D0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03F383DD" w14:textId="77777777" w:rsidR="005F2728" w:rsidRDefault="005F2728" w:rsidP="005F2728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Ved behandling med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skal urodynamiske parametre kontrolleres med jævne mellemrum i henhold til den behandlende urologs anvisninger.</w:t>
      </w:r>
    </w:p>
    <w:p w14:paraId="3016605F" w14:textId="77777777" w:rsidR="005F2728" w:rsidRDefault="005F2728" w:rsidP="005F2728">
      <w:pPr>
        <w:ind w:left="851"/>
        <w:rPr>
          <w:sz w:val="24"/>
          <w:szCs w:val="24"/>
        </w:rPr>
      </w:pPr>
    </w:p>
    <w:p w14:paraId="657BE0FF" w14:textId="77777777" w:rsidR="005F2728" w:rsidRPr="005A03B1" w:rsidRDefault="005F2728" w:rsidP="005F2728">
      <w:pPr>
        <w:ind w:left="851"/>
        <w:rPr>
          <w:sz w:val="24"/>
          <w:szCs w:val="24"/>
        </w:rPr>
      </w:pPr>
      <w:r w:rsidRPr="005A03B1">
        <w:rPr>
          <w:sz w:val="24"/>
          <w:szCs w:val="24"/>
        </w:rPr>
        <w:t>Pædiatrisk population</w:t>
      </w:r>
    </w:p>
    <w:p w14:paraId="5C737139" w14:textId="77777777" w:rsidR="005F2728" w:rsidRPr="006C377D" w:rsidRDefault="005F2728" w:rsidP="005F272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Pr="005A03B1">
        <w:rPr>
          <w:sz w:val="24"/>
          <w:szCs w:val="24"/>
        </w:rPr>
        <w:t>xybutyninhydrochlorid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s</w:t>
      </w:r>
      <w:r w:rsidRPr="005A03B1">
        <w:rPr>
          <w:sz w:val="24"/>
          <w:szCs w:val="24"/>
        </w:rPr>
        <w:t xml:space="preserve">ikkerhed og </w:t>
      </w:r>
      <w:r>
        <w:rPr>
          <w:sz w:val="24"/>
          <w:szCs w:val="24"/>
        </w:rPr>
        <w:t>virkning</w:t>
      </w:r>
      <w:r w:rsidRPr="005A03B1">
        <w:rPr>
          <w:sz w:val="24"/>
          <w:szCs w:val="24"/>
        </w:rPr>
        <w:t xml:space="preserve"> hos børn i alderen 0 til 5</w:t>
      </w:r>
      <w:r>
        <w:rPr>
          <w:sz w:val="24"/>
          <w:szCs w:val="24"/>
        </w:rPr>
        <w:t> </w:t>
      </w:r>
      <w:r w:rsidRPr="005A03B1">
        <w:rPr>
          <w:sz w:val="24"/>
          <w:szCs w:val="24"/>
        </w:rPr>
        <w:t xml:space="preserve">år er endnu ikke </w:t>
      </w:r>
      <w:r>
        <w:rPr>
          <w:sz w:val="24"/>
          <w:szCs w:val="24"/>
        </w:rPr>
        <w:t>klarlagt</w:t>
      </w:r>
      <w:r w:rsidRPr="005A03B1">
        <w:rPr>
          <w:sz w:val="24"/>
          <w:szCs w:val="24"/>
        </w:rPr>
        <w:t>.</w:t>
      </w:r>
    </w:p>
    <w:p w14:paraId="53CB88B3" w14:textId="77777777" w:rsidR="005F2728" w:rsidRPr="006C377D" w:rsidRDefault="005F2728" w:rsidP="005F2728">
      <w:pPr>
        <w:ind w:left="851"/>
        <w:rPr>
          <w:sz w:val="24"/>
          <w:szCs w:val="24"/>
        </w:rPr>
      </w:pPr>
    </w:p>
    <w:p w14:paraId="42481192" w14:textId="77777777" w:rsidR="005F2728" w:rsidRPr="006C377D" w:rsidRDefault="005F2728" w:rsidP="005F2728">
      <w:pPr>
        <w:ind w:left="851"/>
        <w:rPr>
          <w:i/>
          <w:sz w:val="24"/>
          <w:szCs w:val="24"/>
        </w:rPr>
      </w:pPr>
      <w:r w:rsidRPr="006C377D">
        <w:rPr>
          <w:i/>
          <w:sz w:val="24"/>
          <w:szCs w:val="24"/>
        </w:rPr>
        <w:t xml:space="preserve">Anbefalet dosering til </w:t>
      </w:r>
      <w:r w:rsidRPr="001F2699">
        <w:rPr>
          <w:i/>
          <w:sz w:val="24"/>
          <w:szCs w:val="24"/>
        </w:rPr>
        <w:t>følgende</w:t>
      </w:r>
      <w:r w:rsidRPr="001F2699" w:rsidDel="001F2699">
        <w:rPr>
          <w:i/>
          <w:sz w:val="24"/>
          <w:szCs w:val="24"/>
        </w:rPr>
        <w:t xml:space="preserve"> </w:t>
      </w:r>
      <w:r w:rsidRPr="006C377D">
        <w:rPr>
          <w:i/>
          <w:sz w:val="24"/>
          <w:szCs w:val="24"/>
        </w:rPr>
        <w:t>aldersgrupper</w:t>
      </w:r>
    </w:p>
    <w:p w14:paraId="61D6E002" w14:textId="77777777" w:rsidR="005F2728" w:rsidRPr="006C377D" w:rsidRDefault="005F2728" w:rsidP="005F2728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Den anbefalede dosering er beregnet i henhold til </w:t>
      </w:r>
      <w:proofErr w:type="spellStart"/>
      <w:r w:rsidRPr="006C377D">
        <w:rPr>
          <w:sz w:val="24"/>
          <w:szCs w:val="24"/>
        </w:rPr>
        <w:t>percentilerne</w:t>
      </w:r>
      <w:proofErr w:type="spellEnd"/>
      <w:r w:rsidRPr="006C377D">
        <w:rPr>
          <w:sz w:val="24"/>
          <w:szCs w:val="24"/>
        </w:rPr>
        <w:t xml:space="preserve"> for kropsvægten for de forskellige aldersgrupper (tabel 1).</w:t>
      </w:r>
    </w:p>
    <w:p w14:paraId="0B5CA1FE" w14:textId="77777777" w:rsidR="005F2728" w:rsidRPr="006C377D" w:rsidRDefault="005F2728" w:rsidP="005F2728">
      <w:pPr>
        <w:ind w:left="851"/>
        <w:rPr>
          <w:sz w:val="24"/>
          <w:szCs w:val="24"/>
        </w:rPr>
      </w:pPr>
    </w:p>
    <w:p w14:paraId="7BBF4B03" w14:textId="77777777" w:rsidR="005F2728" w:rsidRPr="006F110F" w:rsidRDefault="005F2728" w:rsidP="005F2728">
      <w:pPr>
        <w:ind w:left="851"/>
        <w:rPr>
          <w:i/>
          <w:sz w:val="24"/>
          <w:szCs w:val="24"/>
          <w:u w:val="single"/>
        </w:rPr>
      </w:pPr>
      <w:r w:rsidRPr="006F110F">
        <w:rPr>
          <w:i/>
          <w:sz w:val="24"/>
          <w:szCs w:val="24"/>
          <w:u w:val="single"/>
        </w:rPr>
        <w:t xml:space="preserve">Tabel 1: Anbefalet dosering til </w:t>
      </w:r>
      <w:r w:rsidRPr="001F2699">
        <w:rPr>
          <w:i/>
          <w:sz w:val="24"/>
          <w:szCs w:val="24"/>
          <w:u w:val="single"/>
        </w:rPr>
        <w:t>følgende</w:t>
      </w:r>
      <w:r w:rsidRPr="001F2699" w:rsidDel="001F2699">
        <w:rPr>
          <w:i/>
          <w:sz w:val="24"/>
          <w:szCs w:val="24"/>
          <w:u w:val="single"/>
        </w:rPr>
        <w:t xml:space="preserve"> </w:t>
      </w:r>
      <w:r w:rsidRPr="006F110F">
        <w:rPr>
          <w:i/>
          <w:sz w:val="24"/>
          <w:szCs w:val="24"/>
          <w:u w:val="single"/>
        </w:rPr>
        <w:t>aldersgrupper</w:t>
      </w:r>
    </w:p>
    <w:p w14:paraId="2AEF20D0" w14:textId="77777777" w:rsidR="00A57EF3" w:rsidRPr="006F110F" w:rsidRDefault="00A57EF3" w:rsidP="006F110F">
      <w:pPr>
        <w:ind w:left="851"/>
        <w:rPr>
          <w:sz w:val="24"/>
          <w:szCs w:val="24"/>
        </w:rPr>
      </w:pPr>
    </w:p>
    <w:tbl>
      <w:tblPr>
        <w:tblStyle w:val="TableNormal1"/>
        <w:tblW w:w="9062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A57EF3" w:rsidRPr="006F110F" w14:paraId="2E003DF4" w14:textId="77777777" w:rsidTr="00C832E1">
        <w:trPr>
          <w:trHeight w:val="6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CA9871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Aldersgruppe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46E877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Alder [år]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50E6A9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Anbefalet daglig initialdosis [mg]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ADBB89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Anbefalet samlet daglig initialdosis [mg]</w:t>
            </w:r>
          </w:p>
        </w:tc>
      </w:tr>
      <w:tr w:rsidR="00A57EF3" w:rsidRPr="006C377D" w14:paraId="296A11B9" w14:textId="77777777" w:rsidTr="00C832E1">
        <w:trPr>
          <w:trHeight w:val="3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828B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Børn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0496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77D">
              <w:rPr>
                <w:rFonts w:ascii="Times New Roman" w:hAnsi="Times New Roman" w:cs="Times New Roman"/>
                <w:sz w:val="24"/>
                <w:szCs w:val="24"/>
              </w:rPr>
              <w:noBreakHyphen/>
              <w:t>12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C29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672D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77D">
              <w:rPr>
                <w:rFonts w:ascii="Times New Roman" w:hAnsi="Times New Roman" w:cs="Times New Roman"/>
                <w:sz w:val="24"/>
                <w:szCs w:val="24"/>
              </w:rPr>
              <w:noBreakHyphen/>
              <w:t>30</w:t>
            </w:r>
          </w:p>
        </w:tc>
      </w:tr>
      <w:tr w:rsidR="00A57EF3" w:rsidRPr="006C377D" w14:paraId="46F6E7C1" w14:textId="77777777" w:rsidTr="00C832E1">
        <w:trPr>
          <w:trHeight w:val="3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C105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Unge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BC5B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C377D">
              <w:rPr>
                <w:rFonts w:ascii="Times New Roman" w:hAnsi="Times New Roman" w:cs="Times New Roman"/>
                <w:sz w:val="24"/>
                <w:szCs w:val="24"/>
              </w:rPr>
              <w:noBreakHyphen/>
              <w:t>18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92E0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6E79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377D">
              <w:rPr>
                <w:rFonts w:ascii="Times New Roman" w:hAnsi="Times New Roman" w:cs="Times New Roman"/>
                <w:sz w:val="24"/>
                <w:szCs w:val="24"/>
              </w:rPr>
              <w:noBreakHyphen/>
              <w:t>40</w:t>
            </w:r>
          </w:p>
        </w:tc>
      </w:tr>
      <w:tr w:rsidR="00A57EF3" w:rsidRPr="006C377D" w14:paraId="28AC9967" w14:textId="77777777" w:rsidTr="00C832E1">
        <w:trPr>
          <w:trHeight w:val="3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C21D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Voksne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94B3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C377D">
              <w:rPr>
                <w:rFonts w:ascii="Times New Roman" w:hAnsi="Times New Roman" w:cs="Times New Roman"/>
                <w:sz w:val="24"/>
                <w:szCs w:val="24"/>
              </w:rPr>
              <w:noBreakHyphen/>
              <w:t>65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596A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0ECD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377D">
              <w:rPr>
                <w:rFonts w:ascii="Times New Roman" w:hAnsi="Times New Roman" w:cs="Times New Roman"/>
                <w:sz w:val="24"/>
                <w:szCs w:val="24"/>
              </w:rPr>
              <w:noBreakHyphen/>
              <w:t>40</w:t>
            </w:r>
          </w:p>
        </w:tc>
      </w:tr>
      <w:tr w:rsidR="00A57EF3" w:rsidRPr="006C377D" w14:paraId="4169C0DF" w14:textId="77777777" w:rsidTr="00C832E1">
        <w:trPr>
          <w:trHeight w:val="3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D079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Ældre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737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fra 65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8ACD0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8915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377D">
              <w:rPr>
                <w:rFonts w:ascii="Times New Roman" w:hAnsi="Times New Roman" w:cs="Times New Roman"/>
                <w:sz w:val="24"/>
                <w:szCs w:val="24"/>
              </w:rPr>
              <w:noBreakHyphen/>
              <w:t>30</w:t>
            </w:r>
          </w:p>
        </w:tc>
      </w:tr>
    </w:tbl>
    <w:p w14:paraId="1119077A" w14:textId="77777777" w:rsidR="00A57EF3" w:rsidRPr="006C377D" w:rsidRDefault="00A57EF3" w:rsidP="00A57EF3">
      <w:pPr>
        <w:pStyle w:val="Brdtekst"/>
        <w:rPr>
          <w:i/>
          <w:sz w:val="24"/>
          <w:szCs w:val="24"/>
        </w:rPr>
      </w:pPr>
    </w:p>
    <w:p w14:paraId="08408C58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Hvis en højere dosering end initialdosen anses for at være nødvendig, skal doseringen øges trinvist, indtil der er opnået tilstrækkelig kontrol af den overaktive blære, som er forårsaget af en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lidelse, til at muliggøre undersøgelse af både virkning og sikkerhed. Den påkrævede daglige vedligeholdelsesdosis kan inddeles i flere anvendelser (tabel 2 og 3). Ved udførelse af ren intermitterende </w:t>
      </w:r>
      <w:proofErr w:type="spellStart"/>
      <w:r w:rsidRPr="006C377D">
        <w:rPr>
          <w:sz w:val="24"/>
          <w:szCs w:val="24"/>
        </w:rPr>
        <w:t>kateterisering</w:t>
      </w:r>
      <w:proofErr w:type="spellEnd"/>
      <w:r w:rsidRPr="006C377D">
        <w:rPr>
          <w:sz w:val="24"/>
          <w:szCs w:val="24"/>
        </w:rPr>
        <w:t xml:space="preserve"> (RIK) seks gange i døgnet anbefales følgende </w:t>
      </w:r>
      <w:proofErr w:type="spellStart"/>
      <w:r w:rsidRPr="006C377D">
        <w:rPr>
          <w:sz w:val="24"/>
          <w:szCs w:val="24"/>
        </w:rPr>
        <w:t>dosisregimen</w:t>
      </w:r>
      <w:proofErr w:type="spellEnd"/>
      <w:r w:rsidRPr="006C377D">
        <w:rPr>
          <w:sz w:val="24"/>
          <w:szCs w:val="24"/>
        </w:rPr>
        <w:t>:</w:t>
      </w:r>
    </w:p>
    <w:p w14:paraId="2F54C836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2919AF4" w14:textId="77777777" w:rsidR="00A57EF3" w:rsidRPr="006F110F" w:rsidRDefault="00A57EF3" w:rsidP="00C832E1">
      <w:pPr>
        <w:ind w:left="851"/>
        <w:rPr>
          <w:i/>
          <w:sz w:val="24"/>
          <w:szCs w:val="24"/>
          <w:u w:val="single"/>
        </w:rPr>
      </w:pPr>
      <w:r w:rsidRPr="006F110F">
        <w:rPr>
          <w:i/>
          <w:sz w:val="24"/>
          <w:szCs w:val="24"/>
          <w:u w:val="single"/>
        </w:rPr>
        <w:t xml:space="preserve">Tabel 2: Anbefalet </w:t>
      </w:r>
      <w:proofErr w:type="spellStart"/>
      <w:r w:rsidRPr="006F110F">
        <w:rPr>
          <w:i/>
          <w:sz w:val="24"/>
          <w:szCs w:val="24"/>
          <w:u w:val="single"/>
        </w:rPr>
        <w:t>dosisregimen</w:t>
      </w:r>
      <w:proofErr w:type="spellEnd"/>
      <w:r w:rsidRPr="006F110F">
        <w:rPr>
          <w:i/>
          <w:sz w:val="24"/>
          <w:szCs w:val="24"/>
          <w:u w:val="single"/>
        </w:rPr>
        <w:t xml:space="preserve"> ved en initialdosis på 2 mg (børn fra 6</w:t>
      </w:r>
      <w:r w:rsidRPr="006F110F">
        <w:rPr>
          <w:i/>
          <w:sz w:val="24"/>
          <w:szCs w:val="24"/>
          <w:u w:val="single"/>
        </w:rPr>
        <w:noBreakHyphen/>
        <w:t>12 år)</w:t>
      </w:r>
    </w:p>
    <w:p w14:paraId="06F26C98" w14:textId="77777777" w:rsidR="00A57EF3" w:rsidRPr="006F110F" w:rsidRDefault="00A57EF3" w:rsidP="006F110F">
      <w:pPr>
        <w:rPr>
          <w:sz w:val="24"/>
          <w:szCs w:val="24"/>
        </w:rPr>
      </w:pPr>
    </w:p>
    <w:tbl>
      <w:tblPr>
        <w:tblStyle w:val="TableNormal1"/>
        <w:tblW w:w="907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237"/>
        <w:gridCol w:w="1238"/>
        <w:gridCol w:w="1239"/>
        <w:gridCol w:w="1236"/>
        <w:gridCol w:w="1239"/>
        <w:gridCol w:w="1238"/>
      </w:tblGrid>
      <w:tr w:rsidR="00A57EF3" w:rsidRPr="006F110F" w14:paraId="13A17D9A" w14:textId="77777777" w:rsidTr="00C832E1">
        <w:trPr>
          <w:trHeight w:val="360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3CB08E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Daglig dosis [mg]</w:t>
            </w:r>
          </w:p>
        </w:tc>
        <w:tc>
          <w:tcPr>
            <w:tcW w:w="7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4DE6F1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Indgivet dosis pr. anvendelse [mg]</w:t>
            </w:r>
          </w:p>
        </w:tc>
      </w:tr>
      <w:tr w:rsidR="00A57EF3" w:rsidRPr="006F110F" w14:paraId="2532AD58" w14:textId="77777777" w:rsidTr="00C832E1">
        <w:trPr>
          <w:trHeight w:val="360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2C73" w14:textId="77777777" w:rsidR="00A57EF3" w:rsidRPr="006F110F" w:rsidRDefault="00A57EF3" w:rsidP="00C832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2217C3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F66177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05F2F7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46B450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803EF2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BBA9C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6</w:t>
            </w:r>
          </w:p>
        </w:tc>
      </w:tr>
      <w:tr w:rsidR="00A57EF3" w:rsidRPr="006C377D" w14:paraId="0F217EEB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C510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4C436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3DD0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0125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C534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30C9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E6124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7C719D38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B2DF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E303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C74C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AD4F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B5E6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F85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92B5F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7002B71F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7903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31B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351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AE5B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C974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C4C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528C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786B8D4A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208A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26C7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4F3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2621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884A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89F4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0DE9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0F4776E9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546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E63D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89A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A91AF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A643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E4151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8643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621B2FF3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6F75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B8CA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FCB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EDF1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EFA6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84E6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6456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0B6F18" w14:textId="77777777" w:rsidR="00A57EF3" w:rsidRPr="006C377D" w:rsidRDefault="00A57EF3" w:rsidP="00A57EF3">
      <w:pPr>
        <w:pStyle w:val="Brdtekst"/>
        <w:rPr>
          <w:i/>
          <w:sz w:val="24"/>
          <w:szCs w:val="24"/>
        </w:rPr>
      </w:pPr>
    </w:p>
    <w:p w14:paraId="79B1C22F" w14:textId="77777777" w:rsidR="00A57EF3" w:rsidRPr="006F110F" w:rsidRDefault="00A57EF3" w:rsidP="00C832E1">
      <w:pPr>
        <w:ind w:left="851"/>
        <w:rPr>
          <w:i/>
          <w:sz w:val="24"/>
          <w:szCs w:val="24"/>
          <w:u w:val="single"/>
        </w:rPr>
      </w:pPr>
      <w:r w:rsidRPr="006F110F">
        <w:rPr>
          <w:i/>
          <w:sz w:val="24"/>
          <w:szCs w:val="24"/>
          <w:u w:val="single"/>
        </w:rPr>
        <w:t xml:space="preserve">Tabel 3: Anbefalet </w:t>
      </w:r>
      <w:proofErr w:type="spellStart"/>
      <w:r w:rsidRPr="006F110F">
        <w:rPr>
          <w:i/>
          <w:sz w:val="24"/>
          <w:szCs w:val="24"/>
          <w:u w:val="single"/>
        </w:rPr>
        <w:t>dosisregimen</w:t>
      </w:r>
      <w:proofErr w:type="spellEnd"/>
      <w:r w:rsidRPr="006F110F">
        <w:rPr>
          <w:i/>
          <w:sz w:val="24"/>
          <w:szCs w:val="24"/>
          <w:u w:val="single"/>
        </w:rPr>
        <w:t xml:space="preserve"> ved en initialdosis på 10 mg (unge over 12 år, voksne og ældre)</w:t>
      </w:r>
    </w:p>
    <w:p w14:paraId="33737671" w14:textId="77777777" w:rsidR="00A57EF3" w:rsidRPr="006F110F" w:rsidRDefault="00A57EF3" w:rsidP="006F110F">
      <w:pPr>
        <w:rPr>
          <w:sz w:val="24"/>
          <w:szCs w:val="24"/>
        </w:rPr>
      </w:pPr>
    </w:p>
    <w:tbl>
      <w:tblPr>
        <w:tblStyle w:val="TableNormal1"/>
        <w:tblW w:w="897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237"/>
        <w:gridCol w:w="1238"/>
        <w:gridCol w:w="1239"/>
        <w:gridCol w:w="1236"/>
        <w:gridCol w:w="1239"/>
        <w:gridCol w:w="1136"/>
      </w:tblGrid>
      <w:tr w:rsidR="00A57EF3" w:rsidRPr="006F110F" w14:paraId="2653AFBB" w14:textId="77777777" w:rsidTr="00C832E1">
        <w:trPr>
          <w:trHeight w:val="360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93A025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Daglig dosis [mg]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739625" w14:textId="77777777" w:rsidR="00A57EF3" w:rsidRPr="006F110F" w:rsidRDefault="00A57EF3" w:rsidP="00C83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Indgivet dosis pr. anvendelse [mg]</w:t>
            </w:r>
          </w:p>
        </w:tc>
      </w:tr>
      <w:tr w:rsidR="00A57EF3" w:rsidRPr="006F110F" w14:paraId="65434A47" w14:textId="77777777" w:rsidTr="00C832E1">
        <w:trPr>
          <w:trHeight w:val="360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6BCD" w14:textId="77777777" w:rsidR="00A57EF3" w:rsidRPr="006F110F" w:rsidRDefault="00A57EF3" w:rsidP="00C832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F993A0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A16093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02E68F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53B8DE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E7E9FA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07E0AE" w14:textId="77777777" w:rsidR="00A57EF3" w:rsidRPr="006F110F" w:rsidRDefault="00A57EF3" w:rsidP="006F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RIK 6</w:t>
            </w:r>
          </w:p>
        </w:tc>
      </w:tr>
      <w:tr w:rsidR="00A57EF3" w:rsidRPr="006C377D" w14:paraId="3D78FB15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622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5720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4D5B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50A8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2A80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58CD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845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36D977C8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1E6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5EF1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1C7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D88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7DB3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C2C1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70EA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76B8D92A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0507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EC16C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2AF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502A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5BAF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2F4D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7802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F3" w:rsidRPr="006C377D" w14:paraId="2274B9D9" w14:textId="77777777" w:rsidTr="00C832E1">
        <w:trPr>
          <w:trHeight w:val="3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0497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D0B9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2811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EC5E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A3F8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486C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1D37" w14:textId="77777777" w:rsidR="00A57EF3" w:rsidRPr="006C377D" w:rsidRDefault="00A57EF3" w:rsidP="006F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0A7ED7" w14:textId="77777777" w:rsidR="00A57EF3" w:rsidRPr="006C377D" w:rsidRDefault="00A57EF3" w:rsidP="00A57EF3">
      <w:pPr>
        <w:pStyle w:val="Brdtekst"/>
        <w:rPr>
          <w:i/>
          <w:sz w:val="24"/>
          <w:szCs w:val="24"/>
        </w:rPr>
      </w:pPr>
    </w:p>
    <w:p w14:paraId="74B0E31B" w14:textId="77777777" w:rsidR="00A57EF3" w:rsidRPr="006F110F" w:rsidRDefault="00A57EF3" w:rsidP="00C832E1">
      <w:pPr>
        <w:ind w:left="851"/>
        <w:rPr>
          <w:i/>
          <w:sz w:val="24"/>
          <w:szCs w:val="24"/>
        </w:rPr>
      </w:pPr>
      <w:r w:rsidRPr="006F110F">
        <w:rPr>
          <w:i/>
          <w:sz w:val="24"/>
          <w:szCs w:val="24"/>
        </w:rPr>
        <w:t>Ældre (fra 65 år)</w:t>
      </w:r>
    </w:p>
    <w:p w14:paraId="44BACEB8" w14:textId="77777777" w:rsidR="005F2728" w:rsidRPr="006C377D" w:rsidRDefault="005F2728" w:rsidP="005F2728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Lige som det er tilfældet med andre </w:t>
      </w: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skal der udvises forsigtighed med skrøbelige og ældre patienter, især hvis en dosering på mere end 30 mg i døgnet anses for at være nødvendig</w:t>
      </w:r>
      <w:r>
        <w:rPr>
          <w:sz w:val="24"/>
          <w:szCs w:val="24"/>
        </w:rPr>
        <w:t xml:space="preserve"> (se pkt. 4.4)</w:t>
      </w:r>
      <w:r w:rsidRPr="006C377D">
        <w:rPr>
          <w:sz w:val="24"/>
          <w:szCs w:val="24"/>
        </w:rPr>
        <w:t>.</w:t>
      </w:r>
    </w:p>
    <w:p w14:paraId="0AA565AB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063A116A" w14:textId="77777777" w:rsidR="00A57EF3" w:rsidRPr="006F110F" w:rsidRDefault="00A57EF3" w:rsidP="00C832E1">
      <w:pPr>
        <w:ind w:left="851"/>
        <w:rPr>
          <w:i/>
          <w:sz w:val="24"/>
          <w:szCs w:val="24"/>
        </w:rPr>
      </w:pPr>
      <w:r w:rsidRPr="006F110F">
        <w:rPr>
          <w:i/>
          <w:sz w:val="24"/>
          <w:szCs w:val="24"/>
        </w:rPr>
        <w:t>Lever- eller nyreinsufficiens</w:t>
      </w:r>
    </w:p>
    <w:p w14:paraId="7CBABD23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Velariq</w:t>
      </w:r>
      <w:proofErr w:type="spellEnd"/>
      <w:r w:rsidRPr="006C377D">
        <w:rPr>
          <w:sz w:val="24"/>
          <w:szCs w:val="24"/>
        </w:rPr>
        <w:t xml:space="preserve"> skal anvendes med forsigtighed hos patienter med lever- eller nyreinsufficiens. Brugen af </w:t>
      </w:r>
      <w:proofErr w:type="spellStart"/>
      <w:r w:rsidRPr="006C377D">
        <w:rPr>
          <w:sz w:val="24"/>
          <w:szCs w:val="24"/>
        </w:rPr>
        <w:t>Velariq</w:t>
      </w:r>
      <w:proofErr w:type="spellEnd"/>
      <w:r w:rsidRPr="006C377D">
        <w:rPr>
          <w:sz w:val="24"/>
          <w:szCs w:val="24"/>
        </w:rPr>
        <w:t xml:space="preserve"> skal monitoreres nøje hos disse patienter, og en nedsat dosering kan være påkrævet.</w:t>
      </w:r>
    </w:p>
    <w:p w14:paraId="22F6D94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2FB6D42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Administration</w:t>
      </w:r>
    </w:p>
    <w:p w14:paraId="329B7AB5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11BF43CE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anvendelse.</w:t>
      </w:r>
    </w:p>
    <w:p w14:paraId="7198E556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11A31A97" w14:textId="2DF10CA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Af hensyn til en sikker og effektiv behandling skal patienterne være fortrolige med udførelsen af ren intermitterende </w:t>
      </w:r>
      <w:proofErr w:type="spellStart"/>
      <w:r w:rsidRPr="006C377D">
        <w:rPr>
          <w:sz w:val="24"/>
          <w:szCs w:val="24"/>
        </w:rPr>
        <w:t>kateterisering</w:t>
      </w:r>
      <w:proofErr w:type="spellEnd"/>
      <w:r w:rsidRPr="006C377D">
        <w:rPr>
          <w:sz w:val="24"/>
          <w:szCs w:val="24"/>
        </w:rPr>
        <w:t xml:space="preserve"> (RIK). Specialiseret sundhedspersonale skal undervise patienterne og/eller pårørende/plejepersonale i RIK og indgivelses</w:t>
      </w:r>
      <w:r w:rsidR="006F110F">
        <w:rPr>
          <w:sz w:val="24"/>
          <w:szCs w:val="24"/>
        </w:rPr>
        <w:softHyphen/>
      </w:r>
      <w:r w:rsidRPr="006C377D">
        <w:rPr>
          <w:sz w:val="24"/>
          <w:szCs w:val="24"/>
        </w:rPr>
        <w:t>proceduren.</w:t>
      </w:r>
    </w:p>
    <w:p w14:paraId="393FE08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2968F49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Når omgivelserne er aseptiske, føres et sterilt urinkateter til engangsbrug ind i blæren. Blæren skal tømmes helt, inden </w:t>
      </w:r>
      <w:proofErr w:type="spellStart"/>
      <w:r w:rsidRPr="006C377D">
        <w:rPr>
          <w:sz w:val="24"/>
          <w:szCs w:val="24"/>
        </w:rPr>
        <w:t>instilleringen</w:t>
      </w:r>
      <w:proofErr w:type="spellEnd"/>
      <w:r w:rsidRPr="006C377D">
        <w:rPr>
          <w:sz w:val="24"/>
          <w:szCs w:val="24"/>
        </w:rPr>
        <w:t>.</w:t>
      </w:r>
    </w:p>
    <w:p w14:paraId="4503CC58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3DC32A3B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Den fyldte sprøjte med graduering tages ud af posen, og hætten tages af sprøjten.</w:t>
      </w:r>
    </w:p>
    <w:p w14:paraId="0337E03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11A276F4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En trindelt konisk luer-</w:t>
      </w:r>
      <w:proofErr w:type="spellStart"/>
      <w:r w:rsidRPr="006C377D">
        <w:rPr>
          <w:sz w:val="24"/>
          <w:szCs w:val="24"/>
        </w:rPr>
        <w:t>lock</w:t>
      </w:r>
      <w:proofErr w:type="spellEnd"/>
      <w:r w:rsidRPr="006C377D">
        <w:rPr>
          <w:sz w:val="24"/>
          <w:szCs w:val="24"/>
        </w:rPr>
        <w:t>-adapter skrues på spidsen af sprøjten. Sprøjten forbindes med kateteret ved brug af den trindelte koniske luer-</w:t>
      </w:r>
      <w:proofErr w:type="spellStart"/>
      <w:r w:rsidRPr="006C377D">
        <w:rPr>
          <w:sz w:val="24"/>
          <w:szCs w:val="24"/>
        </w:rPr>
        <w:t>lock</w:t>
      </w:r>
      <w:proofErr w:type="spellEnd"/>
      <w:r w:rsidRPr="006C377D">
        <w:rPr>
          <w:sz w:val="24"/>
          <w:szCs w:val="24"/>
        </w:rPr>
        <w:t xml:space="preserve">-adapter. Den ordinerede dosis af </w:t>
      </w:r>
      <w:proofErr w:type="spellStart"/>
      <w:r w:rsidRPr="006C377D">
        <w:rPr>
          <w:sz w:val="24"/>
          <w:szCs w:val="24"/>
        </w:rPr>
        <w:t>oxybutyninopløsningen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instilleres</w:t>
      </w:r>
      <w:proofErr w:type="spellEnd"/>
      <w:r w:rsidRPr="006C377D">
        <w:rPr>
          <w:sz w:val="24"/>
          <w:szCs w:val="24"/>
        </w:rPr>
        <w:t xml:space="preserve"> ind i blæren ved uafbrudt at trykke sprøjtens stempel ind.</w:t>
      </w:r>
    </w:p>
    <w:p w14:paraId="20BA2C9C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14E2F78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lastRenderedPageBreak/>
        <w:t>Hvis dosering af mindre end 10 ml (indholdet i en sprøjte) er påkrævet, forbliver den ubrugte opløsning i sprøjten, som skal indleveres på et apotek med henblik på bortskaffelse på et senere tidspunkt.</w:t>
      </w:r>
    </w:p>
    <w:p w14:paraId="4F7FDD6B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75E2F01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Kateteret udtages efter </w:t>
      </w:r>
      <w:proofErr w:type="spellStart"/>
      <w:r w:rsidRPr="006C377D">
        <w:rPr>
          <w:sz w:val="24"/>
          <w:szCs w:val="24"/>
        </w:rPr>
        <w:t>instilleringen</w:t>
      </w:r>
      <w:proofErr w:type="spellEnd"/>
      <w:r w:rsidRPr="006C377D">
        <w:rPr>
          <w:sz w:val="24"/>
          <w:szCs w:val="24"/>
        </w:rPr>
        <w:t>.</w:t>
      </w:r>
    </w:p>
    <w:p w14:paraId="733E3119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33EE701D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Den </w:t>
      </w:r>
      <w:proofErr w:type="spellStart"/>
      <w:r w:rsidRPr="006C377D">
        <w:rPr>
          <w:sz w:val="24"/>
          <w:szCs w:val="24"/>
        </w:rPr>
        <w:t>instillerede</w:t>
      </w:r>
      <w:proofErr w:type="spellEnd"/>
      <w:r w:rsidRPr="006C377D">
        <w:rPr>
          <w:sz w:val="24"/>
          <w:szCs w:val="24"/>
        </w:rPr>
        <w:t xml:space="preserve"> opløsning forbliver i blæren indtil den næste </w:t>
      </w:r>
      <w:proofErr w:type="spellStart"/>
      <w:r w:rsidRPr="006C377D">
        <w:rPr>
          <w:sz w:val="24"/>
          <w:szCs w:val="24"/>
        </w:rPr>
        <w:t>kateterisering</w:t>
      </w:r>
      <w:proofErr w:type="spellEnd"/>
      <w:r w:rsidRPr="006C377D">
        <w:rPr>
          <w:sz w:val="24"/>
          <w:szCs w:val="24"/>
        </w:rPr>
        <w:t>.</w:t>
      </w:r>
    </w:p>
    <w:p w14:paraId="5D4FCEE4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59C0F02C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Alt ubrugt lægemiddel, urinkateteret og den trindelte koniske luer-</w:t>
      </w:r>
      <w:proofErr w:type="spellStart"/>
      <w:r w:rsidRPr="006C377D">
        <w:rPr>
          <w:sz w:val="24"/>
          <w:szCs w:val="24"/>
        </w:rPr>
        <w:t>lock</w:t>
      </w:r>
      <w:proofErr w:type="spellEnd"/>
      <w:r w:rsidRPr="006C377D">
        <w:rPr>
          <w:sz w:val="24"/>
          <w:szCs w:val="24"/>
        </w:rPr>
        <w:t>-adapter skal bortskaffes.</w:t>
      </w:r>
    </w:p>
    <w:p w14:paraId="59CA9EAD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4D3632C1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Behandlingens varighed afhænger af symptomerne, den underliggende sygdom og/eller behandlingsmålet, og den fastlægges af den behandlende læge.</w:t>
      </w:r>
    </w:p>
    <w:p w14:paraId="38D62B69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4C2181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4.3</w:t>
      </w:r>
      <w:r w:rsidRPr="006C377D">
        <w:rPr>
          <w:b/>
          <w:sz w:val="24"/>
          <w:szCs w:val="24"/>
        </w:rPr>
        <w:tab/>
        <w:t>Kontraindikationer</w:t>
      </w:r>
    </w:p>
    <w:p w14:paraId="6C7DA546" w14:textId="77777777" w:rsidR="00A57EF3" w:rsidRPr="006C377D" w:rsidRDefault="00A57EF3" w:rsidP="00C832E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6C377D">
        <w:rPr>
          <w:sz w:val="24"/>
          <w:szCs w:val="24"/>
        </w:rPr>
        <w:t>Overfølsomhed over for det aktive stof eller over for et eller flere af hjælpestofferne anført i pkt. 6.1.</w:t>
      </w:r>
    </w:p>
    <w:p w14:paraId="2B3A5A54" w14:textId="77777777" w:rsidR="00A57EF3" w:rsidRPr="006C377D" w:rsidRDefault="00A57EF3" w:rsidP="00C832E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6C377D">
        <w:rPr>
          <w:sz w:val="24"/>
          <w:szCs w:val="24"/>
        </w:rPr>
        <w:t xml:space="preserve">Alvorlig </w:t>
      </w:r>
      <w:proofErr w:type="spellStart"/>
      <w:r w:rsidRPr="006C377D">
        <w:rPr>
          <w:sz w:val="24"/>
          <w:szCs w:val="24"/>
        </w:rPr>
        <w:t>gastrointestinal</w:t>
      </w:r>
      <w:proofErr w:type="spellEnd"/>
      <w:r w:rsidRPr="006C377D">
        <w:rPr>
          <w:sz w:val="24"/>
          <w:szCs w:val="24"/>
        </w:rPr>
        <w:t xml:space="preserve"> sygdom (f.eks. svær </w:t>
      </w:r>
      <w:proofErr w:type="spellStart"/>
      <w:r w:rsidRPr="006C377D">
        <w:rPr>
          <w:sz w:val="24"/>
          <w:szCs w:val="24"/>
        </w:rPr>
        <w:t>ulcerativ</w:t>
      </w:r>
      <w:proofErr w:type="spellEnd"/>
      <w:r w:rsidRPr="006C377D">
        <w:rPr>
          <w:sz w:val="24"/>
          <w:szCs w:val="24"/>
        </w:rPr>
        <w:t xml:space="preserve"> colitis og toksisk </w:t>
      </w:r>
      <w:proofErr w:type="spellStart"/>
      <w:r w:rsidRPr="006C377D">
        <w:rPr>
          <w:sz w:val="24"/>
          <w:szCs w:val="24"/>
        </w:rPr>
        <w:t>megacolon</w:t>
      </w:r>
      <w:proofErr w:type="spellEnd"/>
      <w:r w:rsidRPr="006C377D">
        <w:rPr>
          <w:sz w:val="24"/>
          <w:szCs w:val="24"/>
        </w:rPr>
        <w:t>)</w:t>
      </w:r>
    </w:p>
    <w:p w14:paraId="78A81191" w14:textId="77777777" w:rsidR="00A57EF3" w:rsidRPr="006C377D" w:rsidRDefault="00A57EF3" w:rsidP="00C832E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Myasthenia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gravis</w:t>
      </w:r>
      <w:proofErr w:type="spellEnd"/>
    </w:p>
    <w:p w14:paraId="62B6EBB3" w14:textId="77777777" w:rsidR="00A57EF3" w:rsidRPr="006C377D" w:rsidRDefault="00A57EF3" w:rsidP="00C832E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6C377D">
        <w:rPr>
          <w:sz w:val="24"/>
          <w:szCs w:val="24"/>
        </w:rPr>
        <w:t xml:space="preserve">Snævervinklet </w:t>
      </w:r>
      <w:proofErr w:type="spellStart"/>
      <w:r w:rsidRPr="006C377D">
        <w:rPr>
          <w:sz w:val="24"/>
          <w:szCs w:val="24"/>
        </w:rPr>
        <w:t>glaukom</w:t>
      </w:r>
      <w:proofErr w:type="spellEnd"/>
      <w:r w:rsidRPr="006C377D">
        <w:rPr>
          <w:sz w:val="24"/>
          <w:szCs w:val="24"/>
        </w:rPr>
        <w:t xml:space="preserve"> og patienter, som er i risikogruppen for disse sygdomme.</w:t>
      </w:r>
    </w:p>
    <w:p w14:paraId="1E7D0DF7" w14:textId="77777777" w:rsidR="00A57EF3" w:rsidRPr="006C377D" w:rsidRDefault="00A57EF3" w:rsidP="00C832E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6C377D">
        <w:rPr>
          <w:sz w:val="24"/>
          <w:szCs w:val="24"/>
        </w:rPr>
        <w:t>Samtidig behandling med ilt.</w:t>
      </w:r>
    </w:p>
    <w:p w14:paraId="6C48A729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41AFCE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4.4</w:t>
      </w:r>
      <w:r w:rsidRPr="006C377D">
        <w:rPr>
          <w:b/>
          <w:sz w:val="24"/>
          <w:szCs w:val="24"/>
        </w:rPr>
        <w:tab/>
        <w:t>Særlige advarsler og forsigtighedsregler vedrørende brugen</w:t>
      </w:r>
    </w:p>
    <w:p w14:paraId="016BF2C3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I tilfælde af urinvejsinfektioner skal relevant antibakteriel behandling iværksættes.</w:t>
      </w:r>
    </w:p>
    <w:p w14:paraId="254CE36E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11BDBC78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Velariq</w:t>
      </w:r>
      <w:proofErr w:type="spellEnd"/>
      <w:r w:rsidRPr="006C377D">
        <w:rPr>
          <w:sz w:val="24"/>
          <w:szCs w:val="24"/>
        </w:rPr>
        <w:t xml:space="preserve"> skal anvendes med forsigtighed til ældre patienter, der kan være mere følsomme over for virkningerne af centralt virkende </w:t>
      </w: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>.</w:t>
      </w:r>
    </w:p>
    <w:p w14:paraId="36F40DD7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4BC3C2D0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Psykiske og CNS-relaterede (centralnervesystemet)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hændelser såsom søvnforstyrrelser (f.eks. søvnløshed) og kognitive sygdomme er blevet forbundet med brugen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, særligt hos ældre patienter. Der skal udvises forsigtighed, hvis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administreres sammen med andre </w:t>
      </w: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(se også pkt. 4.5). I tilfælde af at en patient oplever sådanne hændelser, skal </w:t>
      </w:r>
      <w:proofErr w:type="spellStart"/>
      <w:r w:rsidRPr="006C377D">
        <w:rPr>
          <w:sz w:val="24"/>
          <w:szCs w:val="24"/>
        </w:rPr>
        <w:t>seponering</w:t>
      </w:r>
      <w:proofErr w:type="spellEnd"/>
      <w:r w:rsidRPr="006C377D">
        <w:rPr>
          <w:sz w:val="24"/>
          <w:szCs w:val="24"/>
        </w:rPr>
        <w:t xml:space="preserve"> af lægemidlet overvejes.</w:t>
      </w:r>
    </w:p>
    <w:p w14:paraId="301595A8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471B1DAE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Sublinguale nitrater opløses muligvis ikke på grund af mundtørhed, hvilket resulterer i en nedsat terapeutisk virkning.</w:t>
      </w:r>
    </w:p>
    <w:p w14:paraId="764E7945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3B8F3CD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Ved brug/administration af </w:t>
      </w:r>
      <w:proofErr w:type="spellStart"/>
      <w:r w:rsidRPr="006C377D">
        <w:rPr>
          <w:sz w:val="24"/>
          <w:szCs w:val="24"/>
        </w:rPr>
        <w:t>oxybutyninpræparater</w:t>
      </w:r>
      <w:proofErr w:type="spellEnd"/>
      <w:r w:rsidRPr="006C377D">
        <w:rPr>
          <w:sz w:val="24"/>
          <w:szCs w:val="24"/>
        </w:rPr>
        <w:t xml:space="preserve"> kan følgende sikkerhedssætninger være påkrævede:</w:t>
      </w:r>
    </w:p>
    <w:p w14:paraId="011D9F75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87B0A71" w14:textId="77777777" w:rsidR="00A57EF3" w:rsidRPr="006C377D" w:rsidRDefault="00A57EF3" w:rsidP="00C832E1">
      <w:pPr>
        <w:ind w:left="851"/>
        <w:rPr>
          <w:i/>
          <w:sz w:val="24"/>
          <w:szCs w:val="24"/>
        </w:rPr>
      </w:pPr>
      <w:r w:rsidRPr="006C377D">
        <w:rPr>
          <w:i/>
          <w:sz w:val="24"/>
          <w:szCs w:val="24"/>
        </w:rPr>
        <w:t>Mave-tarm-kanalen</w:t>
      </w:r>
    </w:p>
    <w:p w14:paraId="534C8112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kan nedsætte den </w:t>
      </w:r>
      <w:proofErr w:type="spellStart"/>
      <w:r w:rsidRPr="006C377D">
        <w:rPr>
          <w:sz w:val="24"/>
          <w:szCs w:val="24"/>
        </w:rPr>
        <w:t>gastrointestinale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motilitet</w:t>
      </w:r>
      <w:proofErr w:type="spellEnd"/>
      <w:r w:rsidRPr="006C377D">
        <w:rPr>
          <w:sz w:val="24"/>
          <w:szCs w:val="24"/>
        </w:rPr>
        <w:t xml:space="preserve"> og skal anvendes med forsigtighed til patienter med obstruktive </w:t>
      </w:r>
      <w:proofErr w:type="spellStart"/>
      <w:r w:rsidRPr="006C377D">
        <w:rPr>
          <w:sz w:val="24"/>
          <w:szCs w:val="24"/>
        </w:rPr>
        <w:t>gastrointestinale</w:t>
      </w:r>
      <w:proofErr w:type="spellEnd"/>
      <w:r w:rsidRPr="006C377D">
        <w:rPr>
          <w:sz w:val="24"/>
          <w:szCs w:val="24"/>
        </w:rPr>
        <w:t xml:space="preserve"> lidelser på grund af risikoen for gastrisk retention. De skal ligeledes anvendes med forsigtighed til patienter med </w:t>
      </w:r>
      <w:proofErr w:type="spellStart"/>
      <w:r w:rsidRPr="006C377D">
        <w:rPr>
          <w:sz w:val="24"/>
          <w:szCs w:val="24"/>
        </w:rPr>
        <w:t>hiatus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hernie</w:t>
      </w:r>
      <w:proofErr w:type="spellEnd"/>
      <w:r w:rsidRPr="006C377D">
        <w:rPr>
          <w:sz w:val="24"/>
          <w:szCs w:val="24"/>
        </w:rPr>
        <w:t>/</w:t>
      </w:r>
      <w:proofErr w:type="spellStart"/>
      <w:r w:rsidRPr="006C377D">
        <w:rPr>
          <w:sz w:val="24"/>
          <w:szCs w:val="24"/>
        </w:rPr>
        <w:t>gastroøsofagealt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reflux</w:t>
      </w:r>
      <w:proofErr w:type="spellEnd"/>
      <w:r w:rsidRPr="006C377D">
        <w:rPr>
          <w:sz w:val="24"/>
          <w:szCs w:val="24"/>
        </w:rPr>
        <w:t>.</w:t>
      </w:r>
    </w:p>
    <w:p w14:paraId="390063A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5EFD09BD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skal anvendes med forsigtighed til patienter med autonom </w:t>
      </w:r>
      <w:proofErr w:type="spellStart"/>
      <w:r w:rsidRPr="006C377D">
        <w:rPr>
          <w:sz w:val="24"/>
          <w:szCs w:val="24"/>
        </w:rPr>
        <w:t>neuropati</w:t>
      </w:r>
      <w:proofErr w:type="spellEnd"/>
      <w:r w:rsidRPr="006C377D">
        <w:rPr>
          <w:sz w:val="24"/>
          <w:szCs w:val="24"/>
        </w:rPr>
        <w:t xml:space="preserve"> eller svækkede kognitive funktioner.</w:t>
      </w:r>
    </w:p>
    <w:p w14:paraId="2C6B7758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31CE431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lastRenderedPageBreak/>
        <w:t xml:space="preserve">Patienterne skal informeres om, at der kan forekomme varmeudmattelse (feber og hedeslag på grund af nedsat </w:t>
      </w:r>
      <w:proofErr w:type="spellStart"/>
      <w:r w:rsidRPr="006C377D">
        <w:rPr>
          <w:sz w:val="24"/>
          <w:szCs w:val="24"/>
        </w:rPr>
        <w:t>perspiration</w:t>
      </w:r>
      <w:proofErr w:type="spellEnd"/>
      <w:r w:rsidRPr="006C377D">
        <w:rPr>
          <w:sz w:val="24"/>
          <w:szCs w:val="24"/>
        </w:rPr>
        <w:t xml:space="preserve">), når </w:t>
      </w: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såsom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anvendes i varme omgivelser.</w:t>
      </w:r>
    </w:p>
    <w:p w14:paraId="50F06DD8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32B2E2EB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Anvendelse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kan forværre symptomer på </w:t>
      </w:r>
      <w:proofErr w:type="spellStart"/>
      <w:r w:rsidRPr="006C377D">
        <w:rPr>
          <w:sz w:val="24"/>
          <w:szCs w:val="24"/>
        </w:rPr>
        <w:t>hyperthyreoidisme</w:t>
      </w:r>
      <w:proofErr w:type="spellEnd"/>
      <w:r w:rsidRPr="006C377D">
        <w:rPr>
          <w:sz w:val="24"/>
          <w:szCs w:val="24"/>
        </w:rPr>
        <w:t xml:space="preserve">, koronararteriesygdom, hjerteinsufficiens, </w:t>
      </w:r>
      <w:proofErr w:type="spellStart"/>
      <w:r w:rsidRPr="006C377D">
        <w:rPr>
          <w:sz w:val="24"/>
          <w:szCs w:val="24"/>
        </w:rPr>
        <w:t>hjertearytmier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takykardi</w:t>
      </w:r>
      <w:proofErr w:type="spellEnd"/>
      <w:r w:rsidRPr="006C377D">
        <w:rPr>
          <w:sz w:val="24"/>
          <w:szCs w:val="24"/>
        </w:rPr>
        <w:t>, hypertension og prostatahypertrofi.</w:t>
      </w:r>
    </w:p>
    <w:p w14:paraId="13B816FC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18566B3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Anvendelse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kan medføre nedsat spytdannelse, hvilket kan forårsage caries, paradentose eller oral </w:t>
      </w:r>
      <w:proofErr w:type="spellStart"/>
      <w:r w:rsidRPr="006C377D">
        <w:rPr>
          <w:sz w:val="24"/>
          <w:szCs w:val="24"/>
        </w:rPr>
        <w:t>candidiasis</w:t>
      </w:r>
      <w:proofErr w:type="spellEnd"/>
      <w:r w:rsidRPr="006C377D">
        <w:rPr>
          <w:sz w:val="24"/>
          <w:szCs w:val="24"/>
        </w:rPr>
        <w:t>.</w:t>
      </w:r>
    </w:p>
    <w:p w14:paraId="465BA9CB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FE67A8A" w14:textId="77777777" w:rsidR="005F2728" w:rsidRPr="006C377D" w:rsidRDefault="005F2728" w:rsidP="005F2728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Pædiatrisk population</w:t>
      </w:r>
    </w:p>
    <w:p w14:paraId="37F7CCA3" w14:textId="77777777" w:rsidR="005F2728" w:rsidRPr="006C377D" w:rsidRDefault="005F2728" w:rsidP="005F2728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Velariq</w:t>
      </w:r>
      <w:proofErr w:type="spellEnd"/>
      <w:r w:rsidRPr="006C377D">
        <w:rPr>
          <w:sz w:val="24"/>
          <w:szCs w:val="24"/>
        </w:rPr>
        <w:t xml:space="preserve"> skal bruges med forsigtighed til børn, da de kan være mere følsomme over for produktets virkninger, særligt CNS-relaterede og psykiske bivirkninger.</w:t>
      </w:r>
    </w:p>
    <w:p w14:paraId="38724E26" w14:textId="77777777" w:rsidR="005F2728" w:rsidRDefault="005F2728" w:rsidP="005F2728">
      <w:pPr>
        <w:tabs>
          <w:tab w:val="left" w:pos="851"/>
        </w:tabs>
        <w:ind w:left="851"/>
        <w:rPr>
          <w:sz w:val="24"/>
          <w:szCs w:val="24"/>
        </w:rPr>
      </w:pPr>
    </w:p>
    <w:p w14:paraId="142CE5D8" w14:textId="77777777" w:rsidR="005F2728" w:rsidRPr="00107863" w:rsidRDefault="005F2728" w:rsidP="005F2728">
      <w:pPr>
        <w:tabs>
          <w:tab w:val="left" w:pos="851"/>
        </w:tabs>
        <w:ind w:left="851"/>
        <w:rPr>
          <w:sz w:val="24"/>
          <w:szCs w:val="24"/>
        </w:rPr>
      </w:pPr>
      <w:r w:rsidRPr="00107863">
        <w:rPr>
          <w:sz w:val="24"/>
          <w:szCs w:val="24"/>
        </w:rPr>
        <w:t xml:space="preserve">Dette lægemiddel indeholder 3,5 mg natrium pr. ml, svarende til 0,18 % af den WHO anbefalede </w:t>
      </w:r>
      <w:proofErr w:type="gramStart"/>
      <w:r w:rsidRPr="00107863">
        <w:rPr>
          <w:sz w:val="24"/>
          <w:szCs w:val="24"/>
        </w:rPr>
        <w:t>maximale</w:t>
      </w:r>
      <w:proofErr w:type="gramEnd"/>
      <w:r w:rsidRPr="00107863">
        <w:rPr>
          <w:sz w:val="24"/>
          <w:szCs w:val="24"/>
        </w:rPr>
        <w:t xml:space="preserve"> daglige indtagelse af 2 g natrium for en voksen.</w:t>
      </w:r>
    </w:p>
    <w:p w14:paraId="44B376CB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E13305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4.5</w:t>
      </w:r>
      <w:r w:rsidRPr="006C377D">
        <w:rPr>
          <w:b/>
          <w:sz w:val="24"/>
          <w:szCs w:val="24"/>
        </w:rPr>
        <w:tab/>
        <w:t>Interaktion med andre lægemidler og andre former for interaktion</w:t>
      </w:r>
    </w:p>
    <w:p w14:paraId="09CF4B29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kan potentielt ændre absorptionen af visse samtidigt administrerede lægemidler på grund af den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virkning på den </w:t>
      </w:r>
      <w:proofErr w:type="spellStart"/>
      <w:r w:rsidRPr="006C377D">
        <w:rPr>
          <w:sz w:val="24"/>
          <w:szCs w:val="24"/>
        </w:rPr>
        <w:t>gastrointestinale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motilitet</w:t>
      </w:r>
      <w:proofErr w:type="spellEnd"/>
      <w:r w:rsidRPr="006C377D">
        <w:rPr>
          <w:sz w:val="24"/>
          <w:szCs w:val="24"/>
        </w:rPr>
        <w:t>.</w:t>
      </w:r>
    </w:p>
    <w:p w14:paraId="70832D06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36323CE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skal anvendes med forsigtighed til patienter, som samtidigt tager lægemidler (såsom </w:t>
      </w:r>
      <w:proofErr w:type="spellStart"/>
      <w:r w:rsidRPr="006C377D">
        <w:rPr>
          <w:sz w:val="24"/>
          <w:szCs w:val="24"/>
        </w:rPr>
        <w:t>bisfosfonater</w:t>
      </w:r>
      <w:proofErr w:type="spellEnd"/>
      <w:r w:rsidRPr="006C377D">
        <w:rPr>
          <w:sz w:val="24"/>
          <w:szCs w:val="24"/>
        </w:rPr>
        <w:t xml:space="preserve">), der kan forårsage eller forværre </w:t>
      </w:r>
      <w:proofErr w:type="spellStart"/>
      <w:r w:rsidRPr="006C377D">
        <w:rPr>
          <w:sz w:val="24"/>
          <w:szCs w:val="24"/>
        </w:rPr>
        <w:t>øsofagitis</w:t>
      </w:r>
      <w:proofErr w:type="spellEnd"/>
      <w:r w:rsidRPr="006C377D">
        <w:rPr>
          <w:sz w:val="24"/>
          <w:szCs w:val="24"/>
        </w:rPr>
        <w:t>.</w:t>
      </w:r>
    </w:p>
    <w:p w14:paraId="3D6193F1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3755300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metaboliseres</w:t>
      </w:r>
      <w:proofErr w:type="spellEnd"/>
      <w:r w:rsidRPr="006C377D">
        <w:rPr>
          <w:sz w:val="24"/>
          <w:szCs w:val="24"/>
        </w:rPr>
        <w:t xml:space="preserve"> via </w:t>
      </w:r>
      <w:proofErr w:type="spellStart"/>
      <w:r w:rsidRPr="006C377D">
        <w:rPr>
          <w:sz w:val="24"/>
          <w:szCs w:val="24"/>
        </w:rPr>
        <w:t>cytochrom</w:t>
      </w:r>
      <w:proofErr w:type="spellEnd"/>
      <w:r w:rsidRPr="006C377D">
        <w:rPr>
          <w:sz w:val="24"/>
          <w:szCs w:val="24"/>
        </w:rPr>
        <w:t xml:space="preserve"> P450-isoenzym CYP 3A4. 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omgås denne </w:t>
      </w:r>
      <w:proofErr w:type="spellStart"/>
      <w:r w:rsidRPr="006C377D">
        <w:rPr>
          <w:sz w:val="24"/>
          <w:szCs w:val="24"/>
        </w:rPr>
        <w:t>first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pass</w:t>
      </w:r>
      <w:proofErr w:type="spellEnd"/>
      <w:r w:rsidRPr="006C377D">
        <w:rPr>
          <w:sz w:val="24"/>
          <w:szCs w:val="24"/>
        </w:rPr>
        <w:t xml:space="preserve">-metabolisme i vidt omfang. Interaktion med lægemidler, som hæmmer </w:t>
      </w:r>
      <w:proofErr w:type="spellStart"/>
      <w:r w:rsidRPr="006C377D">
        <w:rPr>
          <w:sz w:val="24"/>
          <w:szCs w:val="24"/>
        </w:rPr>
        <w:t>cytochrom</w:t>
      </w:r>
      <w:proofErr w:type="spellEnd"/>
      <w:r w:rsidRPr="006C377D">
        <w:rPr>
          <w:sz w:val="24"/>
          <w:szCs w:val="24"/>
        </w:rPr>
        <w:t xml:space="preserve"> P450-isoenzym CYP 3A4, kan dog ikke udelukkes. Det skal der tages højde for ved brug af </w:t>
      </w:r>
      <w:proofErr w:type="spellStart"/>
      <w:r w:rsidRPr="006C377D">
        <w:rPr>
          <w:sz w:val="24"/>
          <w:szCs w:val="24"/>
        </w:rPr>
        <w:t>azol</w:t>
      </w:r>
      <w:proofErr w:type="spellEnd"/>
      <w:r w:rsidRPr="006C377D">
        <w:rPr>
          <w:sz w:val="24"/>
          <w:szCs w:val="24"/>
        </w:rPr>
        <w:t xml:space="preserve">-svampemidler (f.eks. </w:t>
      </w:r>
      <w:proofErr w:type="spellStart"/>
      <w:r w:rsidRPr="006C377D">
        <w:rPr>
          <w:sz w:val="24"/>
          <w:szCs w:val="24"/>
        </w:rPr>
        <w:t>ketoconazol</w:t>
      </w:r>
      <w:proofErr w:type="spellEnd"/>
      <w:r w:rsidRPr="006C377D">
        <w:rPr>
          <w:sz w:val="24"/>
          <w:szCs w:val="24"/>
        </w:rPr>
        <w:t xml:space="preserve">) eller antibiotika af typen makrolider (f.eks. </w:t>
      </w:r>
      <w:proofErr w:type="spellStart"/>
      <w:r w:rsidRPr="006C377D">
        <w:rPr>
          <w:sz w:val="24"/>
          <w:szCs w:val="24"/>
        </w:rPr>
        <w:t>erythromycin</w:t>
      </w:r>
      <w:proofErr w:type="spellEnd"/>
      <w:r w:rsidRPr="006C377D">
        <w:rPr>
          <w:sz w:val="24"/>
          <w:szCs w:val="24"/>
        </w:rPr>
        <w:t xml:space="preserve">) sammen med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>.</w:t>
      </w:r>
    </w:p>
    <w:p w14:paraId="26FE07A9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A789E01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Oxybutynins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aktivitet forstærkes ved samtidig anvendelse af andre </w:t>
      </w: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 eller lægemidler med </w:t>
      </w:r>
      <w:proofErr w:type="spellStart"/>
      <w:r w:rsidRPr="006C377D">
        <w:rPr>
          <w:sz w:val="24"/>
          <w:szCs w:val="24"/>
        </w:rPr>
        <w:t>antikolinerg</w:t>
      </w:r>
      <w:proofErr w:type="spellEnd"/>
      <w:r w:rsidRPr="006C377D">
        <w:rPr>
          <w:sz w:val="24"/>
          <w:szCs w:val="24"/>
        </w:rPr>
        <w:t xml:space="preserve"> aktivitet, såsom </w:t>
      </w:r>
      <w:proofErr w:type="spellStart"/>
      <w:r w:rsidRPr="006C377D">
        <w:rPr>
          <w:sz w:val="24"/>
          <w:szCs w:val="24"/>
        </w:rPr>
        <w:t>amantadin</w:t>
      </w:r>
      <w:proofErr w:type="spellEnd"/>
      <w:r w:rsidRPr="006C377D">
        <w:rPr>
          <w:sz w:val="24"/>
          <w:szCs w:val="24"/>
        </w:rPr>
        <w:t xml:space="preserve"> og andre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præparater til behandling af Parkinsons sygdom (f.eks. </w:t>
      </w:r>
      <w:proofErr w:type="spellStart"/>
      <w:r w:rsidRPr="006C377D">
        <w:rPr>
          <w:sz w:val="24"/>
          <w:szCs w:val="24"/>
        </w:rPr>
        <w:t>biperiden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levodopa</w:t>
      </w:r>
      <w:proofErr w:type="spellEnd"/>
      <w:r w:rsidRPr="006C377D">
        <w:rPr>
          <w:sz w:val="24"/>
          <w:szCs w:val="24"/>
        </w:rPr>
        <w:t xml:space="preserve">), antihistaminer, antipsykotika (f.eks. </w:t>
      </w:r>
      <w:proofErr w:type="spellStart"/>
      <w:r w:rsidRPr="006C377D">
        <w:rPr>
          <w:sz w:val="24"/>
          <w:szCs w:val="24"/>
        </w:rPr>
        <w:t>phenothiaziner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butyrophenoner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clozapin</w:t>
      </w:r>
      <w:proofErr w:type="spellEnd"/>
      <w:r w:rsidRPr="006C377D">
        <w:rPr>
          <w:sz w:val="24"/>
          <w:szCs w:val="24"/>
        </w:rPr>
        <w:t xml:space="preserve">), </w:t>
      </w:r>
      <w:proofErr w:type="spellStart"/>
      <w:r w:rsidRPr="006C377D">
        <w:rPr>
          <w:sz w:val="24"/>
          <w:szCs w:val="24"/>
        </w:rPr>
        <w:t>quinidin</w:t>
      </w:r>
      <w:proofErr w:type="spellEnd"/>
      <w:r w:rsidRPr="006C377D">
        <w:rPr>
          <w:sz w:val="24"/>
          <w:szCs w:val="24"/>
        </w:rPr>
        <w:t xml:space="preserve">, tricykliske </w:t>
      </w:r>
      <w:proofErr w:type="spellStart"/>
      <w:r w:rsidRPr="006C377D">
        <w:rPr>
          <w:sz w:val="24"/>
          <w:szCs w:val="24"/>
        </w:rPr>
        <w:t>antidepressiva</w:t>
      </w:r>
      <w:proofErr w:type="spellEnd"/>
      <w:r w:rsidRPr="006C377D">
        <w:rPr>
          <w:sz w:val="24"/>
          <w:szCs w:val="24"/>
        </w:rPr>
        <w:t>, atropin og relaterede forbindelser såsom atropin-</w:t>
      </w:r>
      <w:proofErr w:type="spellStart"/>
      <w:r w:rsidRPr="006C377D">
        <w:rPr>
          <w:sz w:val="24"/>
          <w:szCs w:val="24"/>
        </w:rPr>
        <w:t>spasmolytika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dipyridamol</w:t>
      </w:r>
      <w:proofErr w:type="spellEnd"/>
      <w:r w:rsidRPr="006C377D">
        <w:rPr>
          <w:sz w:val="24"/>
          <w:szCs w:val="24"/>
        </w:rPr>
        <w:t>.</w:t>
      </w:r>
    </w:p>
    <w:p w14:paraId="005294BD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B20BA3F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kan </w:t>
      </w:r>
      <w:proofErr w:type="spellStart"/>
      <w:r w:rsidRPr="006C377D">
        <w:rPr>
          <w:sz w:val="24"/>
          <w:szCs w:val="24"/>
        </w:rPr>
        <w:t>antagonisere</w:t>
      </w:r>
      <w:proofErr w:type="spellEnd"/>
      <w:r w:rsidRPr="006C377D">
        <w:rPr>
          <w:sz w:val="24"/>
          <w:szCs w:val="24"/>
        </w:rPr>
        <w:t xml:space="preserve"> prokinetiske behandlinger.</w:t>
      </w:r>
    </w:p>
    <w:p w14:paraId="00727121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6AA74D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4.6</w:t>
      </w:r>
      <w:r w:rsidRPr="006C377D">
        <w:rPr>
          <w:b/>
          <w:sz w:val="24"/>
          <w:szCs w:val="24"/>
        </w:rPr>
        <w:tab/>
      </w:r>
      <w:r w:rsidR="0071241E" w:rsidRPr="006C377D">
        <w:rPr>
          <w:b/>
          <w:sz w:val="24"/>
          <w:szCs w:val="24"/>
        </w:rPr>
        <w:t>Fertilitet, g</w:t>
      </w:r>
      <w:r w:rsidRPr="006C377D">
        <w:rPr>
          <w:b/>
          <w:sz w:val="24"/>
          <w:szCs w:val="24"/>
        </w:rPr>
        <w:t>raviditet og amning</w:t>
      </w:r>
    </w:p>
    <w:p w14:paraId="12E51D0A" w14:textId="77777777" w:rsidR="006F110F" w:rsidRDefault="006F110F" w:rsidP="00C832E1">
      <w:pPr>
        <w:ind w:left="851"/>
        <w:rPr>
          <w:sz w:val="24"/>
          <w:szCs w:val="24"/>
        </w:rPr>
      </w:pPr>
    </w:p>
    <w:p w14:paraId="4518CB3C" w14:textId="137F3A1D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t>Graviditet</w:t>
      </w:r>
    </w:p>
    <w:p w14:paraId="63399210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Der foreligger ingen data vedrørende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til gravide. Dyreforsøg har påvist lav reproduktionstoksicitet (se pkt. 5.3). </w:t>
      </w:r>
      <w:proofErr w:type="spellStart"/>
      <w:r w:rsidRPr="006C377D">
        <w:rPr>
          <w:sz w:val="24"/>
          <w:szCs w:val="24"/>
        </w:rPr>
        <w:t>Velariq</w:t>
      </w:r>
      <w:proofErr w:type="spellEnd"/>
      <w:r w:rsidRPr="006C377D">
        <w:rPr>
          <w:sz w:val="24"/>
          <w:szCs w:val="24"/>
        </w:rPr>
        <w:t xml:space="preserve"> bør ikke bruges under graviditet, medmindre kvindens kliniske tilstand kræver behandling.</w:t>
      </w:r>
    </w:p>
    <w:p w14:paraId="32A564C7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0E17EE87" w14:textId="77777777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t>Amning</w:t>
      </w:r>
    </w:p>
    <w:p w14:paraId="4726686A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Ifølge de foreliggende data udskilles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i modermælken hos rotter, men det vides ikke, om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udskilles i modermælken hos mennesker. Anvendelse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under amning anbefales ikke.</w:t>
      </w:r>
    </w:p>
    <w:p w14:paraId="27808D44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09B82C9E" w14:textId="77777777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t>Fertilitet</w:t>
      </w:r>
    </w:p>
    <w:p w14:paraId="799464BD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Der foreligger ingen data vedrørende den mulige virkning af brugen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på human fertilitet hos mænd og kvinder.</w:t>
      </w:r>
    </w:p>
    <w:p w14:paraId="4329F110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11CDED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4.7</w:t>
      </w:r>
      <w:r w:rsidRPr="006C377D">
        <w:rPr>
          <w:b/>
          <w:sz w:val="24"/>
          <w:szCs w:val="24"/>
        </w:rPr>
        <w:tab/>
        <w:t xml:space="preserve">Virkning på evnen til at føre motorkøretøj </w:t>
      </w:r>
      <w:r w:rsidR="0071241E" w:rsidRPr="006C377D">
        <w:rPr>
          <w:b/>
          <w:sz w:val="24"/>
          <w:szCs w:val="24"/>
        </w:rPr>
        <w:t>og</w:t>
      </w:r>
      <w:r w:rsidRPr="006C377D">
        <w:rPr>
          <w:b/>
          <w:sz w:val="24"/>
          <w:szCs w:val="24"/>
        </w:rPr>
        <w:t xml:space="preserve"> betjene maskiner</w:t>
      </w:r>
    </w:p>
    <w:p w14:paraId="6853BC8C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Ikke mærkning.</w:t>
      </w:r>
    </w:p>
    <w:p w14:paraId="6F753CA5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Idet </w:t>
      </w:r>
      <w:proofErr w:type="spellStart"/>
      <w:r w:rsidRPr="006C377D">
        <w:rPr>
          <w:sz w:val="24"/>
          <w:szCs w:val="24"/>
        </w:rPr>
        <w:t>Velariq</w:t>
      </w:r>
      <w:proofErr w:type="spellEnd"/>
      <w:r w:rsidRPr="006C377D">
        <w:rPr>
          <w:sz w:val="24"/>
          <w:szCs w:val="24"/>
        </w:rPr>
        <w:t xml:space="preserve"> kan forårsage døsighed eller synsforstyrrelser, skal patienterne informeres om at udvise forsigtighed, når de fører motorkøretøjer eller betjener maskiner.</w:t>
      </w:r>
    </w:p>
    <w:p w14:paraId="7FA47475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314A9B5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Patienterne skal informeres om, at alkohol kan forstærke den døsighed, der skyldes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lægemidler såsom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>.</w:t>
      </w:r>
    </w:p>
    <w:p w14:paraId="212B8F23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1F0650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4.8</w:t>
      </w:r>
      <w:r w:rsidRPr="006C377D">
        <w:rPr>
          <w:b/>
          <w:sz w:val="24"/>
          <w:szCs w:val="24"/>
        </w:rPr>
        <w:tab/>
        <w:t>Bivirkninger</w:t>
      </w:r>
    </w:p>
    <w:p w14:paraId="25D89A2E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Bivirkninger, der observeres i forbindelse med </w:t>
      </w:r>
      <w:proofErr w:type="spellStart"/>
      <w:r w:rsidRPr="006C377D">
        <w:rPr>
          <w:sz w:val="24"/>
          <w:szCs w:val="24"/>
        </w:rPr>
        <w:t>oxybutyninhydrochlorid</w:t>
      </w:r>
      <w:proofErr w:type="spellEnd"/>
      <w:r w:rsidRPr="006C377D">
        <w:rPr>
          <w:sz w:val="24"/>
          <w:szCs w:val="24"/>
        </w:rPr>
        <w:t xml:space="preserve">, såsom mundtørhed, søvnforstyrrelser og forstoppelse, skyldes primært det aktive stofs typiske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egenskaber.</w:t>
      </w:r>
    </w:p>
    <w:p w14:paraId="019FA431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46A983B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Tabel 4 indeholder bivirkninger fra kliniske studier af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af </w:t>
      </w:r>
      <w:proofErr w:type="spellStart"/>
      <w:r w:rsidRPr="006C377D">
        <w:rPr>
          <w:sz w:val="24"/>
          <w:szCs w:val="24"/>
        </w:rPr>
        <w:t>oxybutyninhydrochlorid</w:t>
      </w:r>
      <w:proofErr w:type="spellEnd"/>
      <w:r w:rsidRPr="006C377D">
        <w:rPr>
          <w:sz w:val="24"/>
          <w:szCs w:val="24"/>
        </w:rPr>
        <w:t>. Bivirkningerne er klassificeret i henhold til systemorganklasse og hyppighed ved brug af følgende konvention: Meget almindelig (≥ 1/10), almindelig (≥ 1/100 til &lt; 1/10), ikke almindelig (≥ 1/1.000 til &lt; 1/100), sjælden (≥ 1/10.000 to &lt; 1/1.000), meget sjælden (&lt; 1/10.000), ikke kendt (kan ikke estimeres ud fra forhåndenværende data).</w:t>
      </w:r>
    </w:p>
    <w:p w14:paraId="685F049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041305D" w14:textId="77777777" w:rsidR="00A57EF3" w:rsidRPr="006F110F" w:rsidRDefault="00A57EF3" w:rsidP="006F110F">
      <w:pPr>
        <w:rPr>
          <w:i/>
          <w:sz w:val="24"/>
          <w:szCs w:val="24"/>
          <w:u w:val="single"/>
        </w:rPr>
      </w:pPr>
      <w:r w:rsidRPr="006F110F">
        <w:rPr>
          <w:i/>
          <w:sz w:val="24"/>
          <w:szCs w:val="24"/>
          <w:u w:val="single"/>
        </w:rPr>
        <w:t xml:space="preserve">Tabel 4: Bivirkninger fra kliniske studier af </w:t>
      </w:r>
      <w:proofErr w:type="spellStart"/>
      <w:r w:rsidRPr="006F110F">
        <w:rPr>
          <w:i/>
          <w:sz w:val="24"/>
          <w:szCs w:val="24"/>
          <w:u w:val="single"/>
        </w:rPr>
        <w:t>intravesikal</w:t>
      </w:r>
      <w:proofErr w:type="spellEnd"/>
      <w:r w:rsidRPr="006F110F">
        <w:rPr>
          <w:i/>
          <w:sz w:val="24"/>
          <w:szCs w:val="24"/>
          <w:u w:val="single"/>
        </w:rPr>
        <w:t xml:space="preserve"> anvendelse af </w:t>
      </w:r>
      <w:proofErr w:type="spellStart"/>
      <w:r w:rsidRPr="006F110F">
        <w:rPr>
          <w:i/>
          <w:sz w:val="24"/>
          <w:szCs w:val="24"/>
          <w:u w:val="single"/>
        </w:rPr>
        <w:t>oxybutyninhydrochlorid</w:t>
      </w:r>
      <w:proofErr w:type="spellEnd"/>
    </w:p>
    <w:p w14:paraId="7FE92923" w14:textId="77777777" w:rsidR="00A57EF3" w:rsidRPr="006F110F" w:rsidRDefault="00A57EF3" w:rsidP="006F110F">
      <w:pPr>
        <w:rPr>
          <w:sz w:val="24"/>
          <w:szCs w:val="24"/>
        </w:rPr>
      </w:pPr>
    </w:p>
    <w:tbl>
      <w:tblPr>
        <w:tblStyle w:val="TableNormal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0"/>
        <w:gridCol w:w="5527"/>
        <w:gridCol w:w="1565"/>
      </w:tblGrid>
      <w:tr w:rsidR="00A57EF3" w:rsidRPr="006C377D" w14:paraId="123F78EE" w14:textId="77777777" w:rsidTr="00C832E1">
        <w:trPr>
          <w:trHeight w:val="3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1D40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Systemorganklasse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EBB4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Bivirkning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12EDC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Hyppighed</w:t>
            </w:r>
          </w:p>
        </w:tc>
      </w:tr>
      <w:tr w:rsidR="00A57EF3" w:rsidRPr="006C377D" w14:paraId="174B06D7" w14:textId="77777777" w:rsidTr="00C832E1">
        <w:trPr>
          <w:trHeight w:val="60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EEF1F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Infektioner og parasitære sygdomme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835A0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Urinvejsinfektion, asymptomatisk </w:t>
            </w: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bakteriuri</w:t>
            </w:r>
            <w:proofErr w:type="spellEnd"/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E3243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7A7CF216" w14:textId="77777777" w:rsidTr="00C832E1">
        <w:trPr>
          <w:trHeight w:val="3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2190F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Det endokrine system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81BB5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Hyperprolaktinæmi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, øget </w:t>
            </w: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prolaktinniveau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 (enkeltstående tilfælde)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BEA2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415AED7E" w14:textId="77777777" w:rsidTr="00C832E1">
        <w:trPr>
          <w:trHeight w:val="8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40C3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Psykiske forstyrrelser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152AE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Sløvhed, hallucinationer, kognitive sygdomme, hyperaktivitet, søvnløshed, agorafobi, desorientering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AEE2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38277B63" w14:textId="77777777" w:rsidTr="00C832E1">
        <w:trPr>
          <w:trHeight w:val="8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5C8FF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Nervesystemet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CD0C0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Nedsat koncentration, svimmelhed, hovedpine, søvnforstyrrelser, træthed, </w:t>
            </w: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dysgeusi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, nedsat bevidsthedsniveau, tab af bevidsthed, </w:t>
            </w: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antikolinergt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 syndrom, kramper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4816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27275D25" w14:textId="77777777" w:rsidTr="00C832E1">
        <w:trPr>
          <w:trHeight w:val="60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5677E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Øre og labyrint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04782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Vertigo</w:t>
            </w:r>
            <w:proofErr w:type="spellEnd"/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40DF0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6A2CE162" w14:textId="77777777" w:rsidTr="00C832E1">
        <w:trPr>
          <w:trHeight w:val="62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2DAF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Øjne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E52DC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Tørre øjne, unormal følelse i øjnene, synsforstyrrelser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DBC47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3E6FCA01" w14:textId="77777777" w:rsidTr="00C832E1">
        <w:trPr>
          <w:trHeight w:val="3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F5487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Hjerte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A9668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Supraventrikulær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takykardi</w:t>
            </w:r>
            <w:proofErr w:type="spellEnd"/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90C0B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6751A896" w14:textId="77777777" w:rsidTr="00C832E1">
        <w:trPr>
          <w:trHeight w:val="3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55131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Vaskulære</w:t>
            </w:r>
            <w:proofErr w:type="spellEnd"/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sygdomme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B3EC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Hypotension, rødme i ansigtet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2686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44E8F247" w14:textId="77777777" w:rsidTr="00C832E1">
        <w:trPr>
          <w:trHeight w:val="8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6E64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Mave-tarm-kanalen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0BB61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Forstoppelse, mundtørhed, ubehag i maven, mavesmerter i den nedre region, mavesmerter i den øvre region, kvalme, dyspepsi, diarré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17C43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417A7496" w14:textId="77777777" w:rsidTr="00C832E1">
        <w:trPr>
          <w:trHeight w:val="62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362C3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Hud og subkutane væv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ABEF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Hypohidrose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, udslæt, nattesved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0A22E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0B57C3B2" w14:textId="77777777" w:rsidTr="00C832E1">
        <w:trPr>
          <w:trHeight w:val="60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768F9" w14:textId="77777777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Nyrer og urinveje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2E111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Vandladningstrang, </w:t>
            </w: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proteinuri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, hæmaturi, vandladningsforstyrrelser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0FD08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  <w:tr w:rsidR="00A57EF3" w:rsidRPr="006C377D" w14:paraId="123E3C55" w14:textId="77777777" w:rsidTr="00C832E1">
        <w:trPr>
          <w:trHeight w:val="860"/>
        </w:trPr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733E1" w14:textId="0F93D562" w:rsidR="00A57EF3" w:rsidRPr="006F110F" w:rsidRDefault="00A57EF3" w:rsidP="006F110F">
            <w:pPr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Almene symptomer</w:t>
            </w:r>
            <w:r w:rsidR="006F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10F">
              <w:rPr>
                <w:rFonts w:ascii="Times New Roman" w:hAnsi="Times New Roman" w:cs="Times New Roman"/>
                <w:b/>
                <w:sz w:val="24"/>
                <w:szCs w:val="24"/>
              </w:rPr>
              <w:t>og reaktioner på administrationsstedet</w:t>
            </w:r>
          </w:p>
        </w:tc>
        <w:tc>
          <w:tcPr>
            <w:tcW w:w="2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F8E2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 xml:space="preserve">Smerter på </w:t>
            </w:r>
            <w:proofErr w:type="spellStart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instillationsstedet</w:t>
            </w:r>
            <w:proofErr w:type="spellEnd"/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, tørst, brystsmerter, kuldefornemmelse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CE24" w14:textId="77777777" w:rsidR="00A57EF3" w:rsidRPr="006C377D" w:rsidRDefault="00A57EF3" w:rsidP="006F110F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7D">
              <w:rPr>
                <w:rFonts w:ascii="Times New Roman" w:hAnsi="Times New Roman" w:cs="Times New Roman"/>
                <w:sz w:val="24"/>
                <w:szCs w:val="24"/>
              </w:rPr>
              <w:t>ikke kendt</w:t>
            </w:r>
          </w:p>
        </w:tc>
      </w:tr>
    </w:tbl>
    <w:p w14:paraId="789D4917" w14:textId="77777777" w:rsidR="00A57EF3" w:rsidRPr="006C377D" w:rsidRDefault="00A57EF3" w:rsidP="00A57EF3">
      <w:pPr>
        <w:pStyle w:val="Brdtekst"/>
        <w:rPr>
          <w:i/>
          <w:sz w:val="24"/>
          <w:szCs w:val="24"/>
        </w:rPr>
      </w:pPr>
    </w:p>
    <w:p w14:paraId="4509EABF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Én patient oplevede nedsat iltmætning ved behandling med ilt i hjemmet (se pkt. 4.3).</w:t>
      </w:r>
    </w:p>
    <w:p w14:paraId="287F70BD" w14:textId="77777777" w:rsidR="00A57EF3" w:rsidRPr="006C377D" w:rsidRDefault="00A57EF3" w:rsidP="00C832E1">
      <w:pPr>
        <w:ind w:left="851"/>
        <w:rPr>
          <w:sz w:val="24"/>
          <w:szCs w:val="24"/>
          <w:u w:val="single"/>
        </w:rPr>
      </w:pPr>
    </w:p>
    <w:p w14:paraId="3C14C3D9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Pædiatrisk population</w:t>
      </w:r>
    </w:p>
    <w:p w14:paraId="03AA36B9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Børn er muligvis mere følsomme over for virkningerne af dette produkt, især de CNS-relaterede og psykiske bivirkninger.</w:t>
      </w:r>
    </w:p>
    <w:p w14:paraId="34021759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4F467764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Bivirkninger, som vides at være forbundet med behandling med </w:t>
      </w:r>
      <w:proofErr w:type="spellStart"/>
      <w:r w:rsidRPr="006C377D">
        <w:rPr>
          <w:sz w:val="24"/>
          <w:szCs w:val="24"/>
        </w:rPr>
        <w:t>antikolinergika</w:t>
      </w:r>
      <w:proofErr w:type="spellEnd"/>
      <w:r w:rsidRPr="006C377D">
        <w:rPr>
          <w:sz w:val="24"/>
          <w:szCs w:val="24"/>
        </w:rPr>
        <w:t xml:space="preserve">, men som ikke er blevet observeret 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i kliniske studier, er opkast, anoreksi, nedsat appetit, </w:t>
      </w:r>
      <w:proofErr w:type="spellStart"/>
      <w:r w:rsidRPr="006C377D">
        <w:rPr>
          <w:sz w:val="24"/>
          <w:szCs w:val="24"/>
        </w:rPr>
        <w:t>dysfagi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gastroøsofagealt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reflux</w:t>
      </w:r>
      <w:proofErr w:type="spellEnd"/>
      <w:r w:rsidRPr="006C377D">
        <w:rPr>
          <w:sz w:val="24"/>
          <w:szCs w:val="24"/>
        </w:rPr>
        <w:t xml:space="preserve">, pseudoobstruktion hos patienter i risikogruppen (ældre eller patienter med forstoppelse, som behandles med andre lægemidler, som forårsager nedsat </w:t>
      </w:r>
      <w:proofErr w:type="spellStart"/>
      <w:r w:rsidRPr="006C377D">
        <w:rPr>
          <w:sz w:val="24"/>
          <w:szCs w:val="24"/>
        </w:rPr>
        <w:t>gastrointestinal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motilitet</w:t>
      </w:r>
      <w:proofErr w:type="spellEnd"/>
      <w:r w:rsidRPr="006C377D">
        <w:rPr>
          <w:sz w:val="24"/>
          <w:szCs w:val="24"/>
        </w:rPr>
        <w:t xml:space="preserve">), forvirring, udadreagerende adfærd, angst, mareridt, paranoia, symptomer på en depression, afhængighed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(patienter, som tidligere har misbrugt lægemidler eller narkotika), </w:t>
      </w:r>
      <w:proofErr w:type="spellStart"/>
      <w:r w:rsidRPr="006C377D">
        <w:rPr>
          <w:sz w:val="24"/>
          <w:szCs w:val="24"/>
        </w:rPr>
        <w:t>arytmi</w:t>
      </w:r>
      <w:proofErr w:type="spellEnd"/>
      <w:r w:rsidRPr="006C377D">
        <w:rPr>
          <w:sz w:val="24"/>
          <w:szCs w:val="24"/>
        </w:rPr>
        <w:t xml:space="preserve">, hedeslag, snævervinklet </w:t>
      </w:r>
      <w:proofErr w:type="spellStart"/>
      <w:r w:rsidRPr="006C377D">
        <w:rPr>
          <w:sz w:val="24"/>
          <w:szCs w:val="24"/>
        </w:rPr>
        <w:t>glaukom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okulær</w:t>
      </w:r>
      <w:proofErr w:type="spellEnd"/>
      <w:r w:rsidRPr="006C377D">
        <w:rPr>
          <w:sz w:val="24"/>
          <w:szCs w:val="24"/>
        </w:rPr>
        <w:t xml:space="preserve"> hypertension, tør hud, </w:t>
      </w:r>
      <w:proofErr w:type="spellStart"/>
      <w:r w:rsidRPr="006C377D">
        <w:rPr>
          <w:sz w:val="24"/>
          <w:szCs w:val="24"/>
        </w:rPr>
        <w:t>angioødem</w:t>
      </w:r>
      <w:proofErr w:type="spellEnd"/>
      <w:r w:rsidRPr="006C377D">
        <w:rPr>
          <w:sz w:val="24"/>
          <w:szCs w:val="24"/>
        </w:rPr>
        <w:t xml:space="preserve">, </w:t>
      </w:r>
      <w:proofErr w:type="spellStart"/>
      <w:r w:rsidRPr="006C377D">
        <w:rPr>
          <w:sz w:val="24"/>
          <w:szCs w:val="24"/>
        </w:rPr>
        <w:t>urticaria</w:t>
      </w:r>
      <w:proofErr w:type="spellEnd"/>
      <w:r w:rsidRPr="006C377D">
        <w:rPr>
          <w:sz w:val="24"/>
          <w:szCs w:val="24"/>
        </w:rPr>
        <w:t>, lysfølsomhed, overfølsomhed.</w:t>
      </w:r>
    </w:p>
    <w:p w14:paraId="5D5F0ACC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22E1B4A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Indberetning af formodede bivirkninger</w:t>
      </w:r>
    </w:p>
    <w:p w14:paraId="5DD99DED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6C377D">
        <w:rPr>
          <w:sz w:val="24"/>
          <w:szCs w:val="24"/>
        </w:rPr>
        <w:t>risk</w:t>
      </w:r>
      <w:proofErr w:type="spellEnd"/>
      <w:r w:rsidRPr="006C377D">
        <w:rPr>
          <w:sz w:val="24"/>
          <w:szCs w:val="24"/>
        </w:rPr>
        <w:t xml:space="preserve">-forholdet for lægemidlet. Sundhedspersoner anmodes om at indberette alle formodede </w:t>
      </w:r>
      <w:proofErr w:type="spellStart"/>
      <w:r w:rsidRPr="006C377D">
        <w:rPr>
          <w:sz w:val="24"/>
          <w:szCs w:val="24"/>
        </w:rPr>
        <w:t>bivirkinger</w:t>
      </w:r>
      <w:proofErr w:type="spellEnd"/>
      <w:r w:rsidRPr="006C377D">
        <w:rPr>
          <w:sz w:val="24"/>
          <w:szCs w:val="24"/>
        </w:rPr>
        <w:t xml:space="preserve"> via:</w:t>
      </w:r>
    </w:p>
    <w:p w14:paraId="008C8836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A521D71" w14:textId="77777777" w:rsidR="00A57EF3" w:rsidRPr="006C377D" w:rsidRDefault="00A57EF3" w:rsidP="00C832E1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6C377D">
        <w:rPr>
          <w:sz w:val="24"/>
          <w:szCs w:val="24"/>
        </w:rPr>
        <w:t>Lægemiddelstyrelsen</w:t>
      </w:r>
    </w:p>
    <w:p w14:paraId="2B4036C5" w14:textId="77777777" w:rsidR="00A57EF3" w:rsidRPr="006C377D" w:rsidRDefault="00A57EF3" w:rsidP="00C832E1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6C377D">
        <w:rPr>
          <w:rFonts w:eastAsia="Calibri"/>
          <w:sz w:val="24"/>
          <w:szCs w:val="24"/>
          <w:lang w:eastAsia="zh-CN"/>
        </w:rPr>
        <w:t>Axel Heides Gade 1</w:t>
      </w:r>
    </w:p>
    <w:p w14:paraId="5981E3D1" w14:textId="77777777" w:rsidR="00A57EF3" w:rsidRPr="006C377D" w:rsidRDefault="00A57EF3" w:rsidP="00C832E1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6C377D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6C377D">
        <w:rPr>
          <w:rFonts w:eastAsia="Calibri"/>
          <w:sz w:val="24"/>
          <w:szCs w:val="24"/>
          <w:lang w:eastAsia="zh-CN"/>
        </w:rPr>
        <w:t>København S</w:t>
      </w:r>
    </w:p>
    <w:p w14:paraId="670DAC9E" w14:textId="77777777" w:rsidR="00A57EF3" w:rsidRPr="006C377D" w:rsidRDefault="00A57EF3" w:rsidP="00C832E1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6C377D">
        <w:rPr>
          <w:rFonts w:eastAsia="Calibri"/>
          <w:sz w:val="24"/>
          <w:szCs w:val="24"/>
          <w:lang w:eastAsia="zh-CN"/>
        </w:rPr>
        <w:t>Websted</w:t>
      </w:r>
      <w:r w:rsidRPr="006C377D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6C377D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14:paraId="6E6D8104" w14:textId="77777777" w:rsidR="009260DE" w:rsidRPr="006C377D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9FB772D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4.9</w:t>
      </w:r>
      <w:r w:rsidRPr="006C377D">
        <w:rPr>
          <w:b/>
          <w:sz w:val="24"/>
          <w:szCs w:val="24"/>
        </w:rPr>
        <w:tab/>
        <w:t>Overdosering</w:t>
      </w:r>
    </w:p>
    <w:p w14:paraId="077736B1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Der er ikke indberettet tilfælde af overdosering 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>.</w:t>
      </w:r>
    </w:p>
    <w:p w14:paraId="0379E98A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7010050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Symptomer</w:t>
      </w:r>
    </w:p>
    <w:p w14:paraId="52CD2AB1" w14:textId="719BFA1B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Symptomerne på overdosering med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udvikler sig fra en forstærkning af de sædvanlige</w:t>
      </w:r>
      <w:r w:rsidR="006F110F">
        <w:rPr>
          <w:sz w:val="24"/>
          <w:szCs w:val="24"/>
        </w:rPr>
        <w:t xml:space="preserve"> </w:t>
      </w:r>
      <w:r w:rsidRPr="006C377D">
        <w:rPr>
          <w:sz w:val="24"/>
          <w:szCs w:val="24"/>
        </w:rPr>
        <w:t>bivirkninger med tilknytning til centralnervesystemet (fra rastløshed og ophidselse til psykotisk adfærd), kredsløbsforstyrrelser (rødmen, nedsat blodtryk, kredsløbskollaps osv.), respirationsinsufficiens, lammelse og koma.</w:t>
      </w:r>
    </w:p>
    <w:p w14:paraId="23EBAB6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31C80B7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Behandling</w:t>
      </w:r>
    </w:p>
    <w:p w14:paraId="1782B99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Blæren skal tømmes omgående igennem kateteret.</w:t>
      </w:r>
    </w:p>
    <w:p w14:paraId="0D165F73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E587BD8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I tilfælde af overdosering skal patienterne monitoreres nøje, og symptomerne skal behandles.</w:t>
      </w:r>
    </w:p>
    <w:p w14:paraId="162963D5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E7B1F4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4.10</w:t>
      </w:r>
      <w:r w:rsidRPr="006C377D">
        <w:rPr>
          <w:b/>
          <w:sz w:val="24"/>
          <w:szCs w:val="24"/>
        </w:rPr>
        <w:tab/>
        <w:t>Udlevering</w:t>
      </w:r>
    </w:p>
    <w:p w14:paraId="6FA2B3BB" w14:textId="73A87772" w:rsidR="009260DE" w:rsidRPr="006C377D" w:rsidRDefault="00373A0F" w:rsidP="009260DE">
      <w:pPr>
        <w:tabs>
          <w:tab w:val="left" w:pos="851"/>
        </w:tabs>
        <w:ind w:left="851"/>
        <w:rPr>
          <w:sz w:val="24"/>
          <w:szCs w:val="24"/>
        </w:rPr>
      </w:pPr>
      <w:r w:rsidRPr="006C377D">
        <w:rPr>
          <w:sz w:val="24"/>
          <w:szCs w:val="24"/>
        </w:rPr>
        <w:t>B</w:t>
      </w:r>
    </w:p>
    <w:p w14:paraId="4FD601D2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10BCEA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2C3EDC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5.</w:t>
      </w:r>
      <w:r w:rsidRPr="006C377D">
        <w:rPr>
          <w:b/>
          <w:sz w:val="24"/>
          <w:szCs w:val="24"/>
        </w:rPr>
        <w:tab/>
        <w:t>FARMAKOLOGISKE EGENSKABER</w:t>
      </w:r>
    </w:p>
    <w:p w14:paraId="257486AB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5F14A2" w14:textId="77777777" w:rsidR="009260DE" w:rsidRPr="006C377D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5.1</w:t>
      </w:r>
      <w:r w:rsidRPr="006C377D">
        <w:rPr>
          <w:b/>
          <w:sz w:val="24"/>
          <w:szCs w:val="24"/>
        </w:rPr>
        <w:tab/>
      </w:r>
      <w:proofErr w:type="spellStart"/>
      <w:r w:rsidRPr="006C377D">
        <w:rPr>
          <w:b/>
          <w:sz w:val="24"/>
          <w:szCs w:val="24"/>
        </w:rPr>
        <w:t>Farmakodynamiske</w:t>
      </w:r>
      <w:proofErr w:type="spellEnd"/>
      <w:r w:rsidRPr="006C377D">
        <w:rPr>
          <w:b/>
          <w:sz w:val="24"/>
          <w:szCs w:val="24"/>
        </w:rPr>
        <w:t xml:space="preserve"> egenskaber</w:t>
      </w:r>
    </w:p>
    <w:p w14:paraId="044B97B9" w14:textId="022AB24E" w:rsidR="00CC75E6" w:rsidRDefault="00A57EF3" w:rsidP="005F2728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Farmakoterapeutisk</w:t>
      </w:r>
      <w:proofErr w:type="spellEnd"/>
      <w:r w:rsidRPr="006C377D">
        <w:rPr>
          <w:sz w:val="24"/>
          <w:szCs w:val="24"/>
        </w:rPr>
        <w:t xml:space="preserve"> klassifikation: </w:t>
      </w:r>
      <w:proofErr w:type="spellStart"/>
      <w:r w:rsidRPr="006C377D">
        <w:rPr>
          <w:sz w:val="24"/>
          <w:szCs w:val="24"/>
        </w:rPr>
        <w:t>Urologika</w:t>
      </w:r>
      <w:proofErr w:type="spellEnd"/>
      <w:r w:rsidRPr="006C377D">
        <w:rPr>
          <w:sz w:val="24"/>
          <w:szCs w:val="24"/>
        </w:rPr>
        <w:t xml:space="preserve"> – lægemidler til behandling af hyppig vandladning og urininkontinens, ATC-kode: G04BD04.</w:t>
      </w:r>
    </w:p>
    <w:p w14:paraId="11DC26FF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3085039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Virkningsmekanisme</w:t>
      </w:r>
    </w:p>
    <w:p w14:paraId="50FA8781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fungerer som en </w:t>
      </w:r>
      <w:proofErr w:type="spellStart"/>
      <w:r w:rsidRPr="006C377D">
        <w:rPr>
          <w:sz w:val="24"/>
          <w:szCs w:val="24"/>
        </w:rPr>
        <w:t>kompetitiv</w:t>
      </w:r>
      <w:proofErr w:type="spellEnd"/>
      <w:r w:rsidRPr="006C377D">
        <w:rPr>
          <w:sz w:val="24"/>
          <w:szCs w:val="24"/>
        </w:rPr>
        <w:t xml:space="preserve"> antagonist af </w:t>
      </w:r>
      <w:proofErr w:type="spellStart"/>
      <w:r w:rsidRPr="006C377D">
        <w:rPr>
          <w:sz w:val="24"/>
          <w:szCs w:val="24"/>
        </w:rPr>
        <w:t>acetylcholin</w:t>
      </w:r>
      <w:proofErr w:type="spellEnd"/>
      <w:r w:rsidRPr="006C377D">
        <w:rPr>
          <w:sz w:val="24"/>
          <w:szCs w:val="24"/>
        </w:rPr>
        <w:t xml:space="preserve"> ved de post-</w:t>
      </w:r>
      <w:proofErr w:type="spellStart"/>
      <w:r w:rsidRPr="006C377D">
        <w:rPr>
          <w:sz w:val="24"/>
          <w:szCs w:val="24"/>
        </w:rPr>
        <w:t>ganglione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muskarine</w:t>
      </w:r>
      <w:proofErr w:type="spellEnd"/>
      <w:r w:rsidRPr="006C377D">
        <w:rPr>
          <w:sz w:val="24"/>
          <w:szCs w:val="24"/>
        </w:rPr>
        <w:t xml:space="preserve"> receptorer, hvilket medfører en afslappende virkning på den glatte blæremuskel.</w:t>
      </w:r>
    </w:p>
    <w:p w14:paraId="362D2FD0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E901121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Oxybutyninhydrochlorid</w:t>
      </w:r>
      <w:proofErr w:type="spellEnd"/>
      <w:r w:rsidRPr="006C377D">
        <w:rPr>
          <w:sz w:val="24"/>
          <w:szCs w:val="24"/>
        </w:rPr>
        <w:t xml:space="preserve"> er et </w:t>
      </w:r>
      <w:proofErr w:type="spellStart"/>
      <w:r w:rsidRPr="006C377D">
        <w:rPr>
          <w:sz w:val="24"/>
          <w:szCs w:val="24"/>
        </w:rPr>
        <w:t>antikolinergikum</w:t>
      </w:r>
      <w:proofErr w:type="spellEnd"/>
      <w:r w:rsidRPr="006C377D">
        <w:rPr>
          <w:sz w:val="24"/>
          <w:szCs w:val="24"/>
        </w:rPr>
        <w:t xml:space="preserve">, som også har en direkte </w:t>
      </w:r>
      <w:proofErr w:type="spellStart"/>
      <w:r w:rsidRPr="006C377D">
        <w:rPr>
          <w:sz w:val="24"/>
          <w:szCs w:val="24"/>
        </w:rPr>
        <w:t>spasmolytisk</w:t>
      </w:r>
      <w:proofErr w:type="spellEnd"/>
      <w:r w:rsidRPr="006C377D">
        <w:rPr>
          <w:sz w:val="24"/>
          <w:szCs w:val="24"/>
        </w:rPr>
        <w:t xml:space="preserve"> virkning på den glatte blæremuskel. Det hæmmer kontraktionen af blæren og lindrer spasmer som følge af forskellige stimuli, det øger blærens volumen, mindsker kontraktionernes hyppighed og forsinker vandladningstrangen i en overaktiv blære, som er forårsaget af en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lidelse. Afslapningen af blærens glatte muskel skyldes den </w:t>
      </w:r>
      <w:proofErr w:type="spellStart"/>
      <w:r w:rsidRPr="006C377D">
        <w:rPr>
          <w:sz w:val="24"/>
          <w:szCs w:val="24"/>
        </w:rPr>
        <w:t>papaverinlignedende</w:t>
      </w:r>
      <w:proofErr w:type="spellEnd"/>
      <w:r w:rsidRPr="006C377D">
        <w:rPr>
          <w:sz w:val="24"/>
          <w:szCs w:val="24"/>
        </w:rPr>
        <w:t xml:space="preserve"> virkning af antagonismen i processen </w:t>
      </w:r>
      <w:proofErr w:type="spellStart"/>
      <w:r w:rsidRPr="006C377D">
        <w:rPr>
          <w:sz w:val="24"/>
          <w:szCs w:val="24"/>
        </w:rPr>
        <w:t>distalt</w:t>
      </w:r>
      <w:proofErr w:type="spellEnd"/>
      <w:r w:rsidRPr="006C377D">
        <w:rPr>
          <w:sz w:val="24"/>
          <w:szCs w:val="24"/>
        </w:rPr>
        <w:t xml:space="preserve"> for den </w:t>
      </w:r>
      <w:proofErr w:type="spellStart"/>
      <w:r w:rsidRPr="006C377D">
        <w:rPr>
          <w:sz w:val="24"/>
          <w:szCs w:val="24"/>
        </w:rPr>
        <w:t>neuromuskulære</w:t>
      </w:r>
      <w:proofErr w:type="spellEnd"/>
      <w:r w:rsidRPr="006C377D">
        <w:rPr>
          <w:sz w:val="24"/>
          <w:szCs w:val="24"/>
        </w:rPr>
        <w:t xml:space="preserve"> forbindelse i kombination med de </w:t>
      </w:r>
      <w:proofErr w:type="spellStart"/>
      <w:r w:rsidRPr="006C377D">
        <w:rPr>
          <w:sz w:val="24"/>
          <w:szCs w:val="24"/>
        </w:rPr>
        <w:t>muskarine</w:t>
      </w:r>
      <w:proofErr w:type="spellEnd"/>
      <w:r w:rsidRPr="006C377D">
        <w:rPr>
          <w:sz w:val="24"/>
          <w:szCs w:val="24"/>
        </w:rPr>
        <w:t xml:space="preserve"> receptorers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blokerende virkning. </w:t>
      </w:r>
      <w:proofErr w:type="spellStart"/>
      <w:r w:rsidRPr="006C377D">
        <w:rPr>
          <w:sz w:val="24"/>
          <w:szCs w:val="24"/>
        </w:rPr>
        <w:t>Oxybutyninhydrochlorid</w:t>
      </w:r>
      <w:proofErr w:type="spellEnd"/>
      <w:r w:rsidRPr="006C377D">
        <w:rPr>
          <w:sz w:val="24"/>
          <w:szCs w:val="24"/>
        </w:rPr>
        <w:t xml:space="preserve"> har også en lokalanæstetisk virkning.</w:t>
      </w:r>
    </w:p>
    <w:p w14:paraId="77EE25A2" w14:textId="77777777" w:rsidR="00A57EF3" w:rsidRPr="006C377D" w:rsidRDefault="00A57EF3" w:rsidP="00C832E1">
      <w:pPr>
        <w:ind w:left="851"/>
        <w:rPr>
          <w:sz w:val="24"/>
          <w:szCs w:val="24"/>
          <w:u w:val="single"/>
        </w:rPr>
      </w:pPr>
    </w:p>
    <w:p w14:paraId="0626A16E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  <w:u w:val="single"/>
        </w:rPr>
        <w:t>Farmakodynamisk</w:t>
      </w:r>
      <w:proofErr w:type="spellEnd"/>
      <w:r w:rsidRPr="006C377D">
        <w:rPr>
          <w:sz w:val="24"/>
          <w:szCs w:val="24"/>
          <w:u w:val="single"/>
        </w:rPr>
        <w:t xml:space="preserve"> virkning</w:t>
      </w:r>
    </w:p>
    <w:p w14:paraId="130BA9E4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Oxybutynins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farmakodynamiske</w:t>
      </w:r>
      <w:proofErr w:type="spellEnd"/>
      <w:r w:rsidRPr="006C377D">
        <w:rPr>
          <w:sz w:val="24"/>
          <w:szCs w:val="24"/>
        </w:rPr>
        <w:t xml:space="preserve"> egenskaber blev undersøgt efter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hos børn med en overaktiv blære forårsaget af en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lidelse. Der var en udtalt virkning på inkontinens og urodynamiske variabler med en forbedring af begge i de fleste tilfælde. Antallet af hyperaktive </w:t>
      </w:r>
      <w:proofErr w:type="spellStart"/>
      <w:r w:rsidRPr="006C377D">
        <w:rPr>
          <w:sz w:val="24"/>
          <w:szCs w:val="24"/>
        </w:rPr>
        <w:t>kontaktioner</w:t>
      </w:r>
      <w:proofErr w:type="spellEnd"/>
      <w:r w:rsidRPr="006C377D">
        <w:rPr>
          <w:sz w:val="24"/>
          <w:szCs w:val="24"/>
        </w:rPr>
        <w:t xml:space="preserve"> blev signifikant reduceret. Der blev påvist en forøgelse af den gennemsnitlige </w:t>
      </w:r>
      <w:proofErr w:type="spellStart"/>
      <w:r w:rsidRPr="006C377D">
        <w:rPr>
          <w:sz w:val="24"/>
          <w:szCs w:val="24"/>
        </w:rPr>
        <w:t>cystometiske</w:t>
      </w:r>
      <w:proofErr w:type="spellEnd"/>
      <w:r w:rsidRPr="006C377D">
        <w:rPr>
          <w:sz w:val="24"/>
          <w:szCs w:val="24"/>
        </w:rPr>
        <w:t xml:space="preserve"> blærevolumen og den gennemsnitlige forventede </w:t>
      </w:r>
      <w:proofErr w:type="spellStart"/>
      <w:r w:rsidRPr="006C377D">
        <w:rPr>
          <w:sz w:val="24"/>
          <w:szCs w:val="24"/>
        </w:rPr>
        <w:t>cystometriske</w:t>
      </w:r>
      <w:proofErr w:type="spellEnd"/>
      <w:r w:rsidRPr="006C377D">
        <w:rPr>
          <w:sz w:val="24"/>
          <w:szCs w:val="24"/>
        </w:rPr>
        <w:t xml:space="preserve"> blærevolumen, og det endelige blæretryk blev reduceret.</w:t>
      </w:r>
    </w:p>
    <w:p w14:paraId="41815AC2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1A839088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  <w:u w:val="single"/>
        </w:rPr>
        <w:t>Klinisk virkning og sikkerhed</w:t>
      </w:r>
    </w:p>
    <w:p w14:paraId="444C72E5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Virkningen af </w:t>
      </w:r>
      <w:proofErr w:type="spellStart"/>
      <w:r w:rsidRPr="006C377D">
        <w:rPr>
          <w:sz w:val="24"/>
          <w:szCs w:val="24"/>
        </w:rPr>
        <w:t>oxybutyninbehandling</w:t>
      </w:r>
      <w:proofErr w:type="spellEnd"/>
      <w:r w:rsidRPr="006C377D">
        <w:rPr>
          <w:sz w:val="24"/>
          <w:szCs w:val="24"/>
        </w:rPr>
        <w:t xml:space="preserve"> 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på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blæredysfunktion er blevet undersøgt i kliniske studier af både kort og længere tids brug.</w:t>
      </w:r>
    </w:p>
    <w:p w14:paraId="43E08B97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1A110613" w14:textId="77777777" w:rsidR="005F2728" w:rsidRPr="006C377D" w:rsidRDefault="005F2728" w:rsidP="005F2728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I næsten alle studier havde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behandling med </w:t>
      </w:r>
      <w:proofErr w:type="spellStart"/>
      <w:r w:rsidRPr="006C377D">
        <w:rPr>
          <w:sz w:val="24"/>
          <w:szCs w:val="24"/>
        </w:rPr>
        <w:t>oxybutyninhydrochlorid</w:t>
      </w:r>
      <w:proofErr w:type="spellEnd"/>
      <w:r w:rsidRPr="006C377D">
        <w:rPr>
          <w:sz w:val="24"/>
          <w:szCs w:val="24"/>
        </w:rPr>
        <w:t xml:space="preserve"> en gavnlig virkning hos patienter med en overaktiv blære som følge af en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lidelse, og der blev påvist en god tolerance af lægemidlet.</w:t>
      </w:r>
      <w:r>
        <w:rPr>
          <w:sz w:val="24"/>
          <w:szCs w:val="24"/>
        </w:rPr>
        <w:t xml:space="preserve"> </w:t>
      </w:r>
      <w:r w:rsidRPr="00F3383A">
        <w:rPr>
          <w:sz w:val="24"/>
          <w:szCs w:val="24"/>
        </w:rPr>
        <w:t xml:space="preserve">Den </w:t>
      </w:r>
      <w:proofErr w:type="spellStart"/>
      <w:r w:rsidRPr="00F3383A">
        <w:rPr>
          <w:sz w:val="24"/>
          <w:szCs w:val="24"/>
        </w:rPr>
        <w:t>neurogene</w:t>
      </w:r>
      <w:proofErr w:type="spellEnd"/>
      <w:r w:rsidRPr="00F3383A">
        <w:rPr>
          <w:sz w:val="24"/>
          <w:szCs w:val="24"/>
        </w:rPr>
        <w:t xml:space="preserve"> </w:t>
      </w:r>
      <w:proofErr w:type="spellStart"/>
      <w:r w:rsidRPr="00F3383A">
        <w:rPr>
          <w:sz w:val="24"/>
          <w:szCs w:val="24"/>
        </w:rPr>
        <w:t>detrusoroveraktivitet</w:t>
      </w:r>
      <w:proofErr w:type="spellEnd"/>
      <w:r w:rsidRPr="00F3383A">
        <w:rPr>
          <w:sz w:val="24"/>
          <w:szCs w:val="24"/>
        </w:rPr>
        <w:t xml:space="preserve"> var hovedsagelig et resultat af en rygmarvsskade (herunder </w:t>
      </w:r>
      <w:proofErr w:type="spellStart"/>
      <w:r w:rsidRPr="00F3383A">
        <w:rPr>
          <w:sz w:val="24"/>
          <w:szCs w:val="24"/>
        </w:rPr>
        <w:t>paraplegi</w:t>
      </w:r>
      <w:proofErr w:type="spellEnd"/>
      <w:r w:rsidRPr="00F3383A">
        <w:rPr>
          <w:sz w:val="24"/>
          <w:szCs w:val="24"/>
        </w:rPr>
        <w:t xml:space="preserve"> og </w:t>
      </w:r>
      <w:proofErr w:type="spellStart"/>
      <w:r w:rsidRPr="00F3383A">
        <w:rPr>
          <w:sz w:val="24"/>
          <w:szCs w:val="24"/>
        </w:rPr>
        <w:t>tetraplegi</w:t>
      </w:r>
      <w:proofErr w:type="spellEnd"/>
      <w:r w:rsidRPr="00F3383A">
        <w:rPr>
          <w:sz w:val="24"/>
          <w:szCs w:val="24"/>
        </w:rPr>
        <w:t xml:space="preserve">) eller </w:t>
      </w:r>
      <w:proofErr w:type="spellStart"/>
      <w:r w:rsidRPr="00F3383A">
        <w:rPr>
          <w:sz w:val="24"/>
          <w:szCs w:val="24"/>
        </w:rPr>
        <w:t>meningomyelocele</w:t>
      </w:r>
      <w:proofErr w:type="spellEnd"/>
      <w:r w:rsidRPr="00F3383A">
        <w:rPr>
          <w:sz w:val="24"/>
          <w:szCs w:val="24"/>
        </w:rPr>
        <w:t xml:space="preserve">, selvom </w:t>
      </w:r>
      <w:r w:rsidRPr="001F2699">
        <w:rPr>
          <w:sz w:val="24"/>
          <w:szCs w:val="24"/>
        </w:rPr>
        <w:t xml:space="preserve">et begrænset antal patienter </w:t>
      </w:r>
      <w:r w:rsidRPr="00F3383A">
        <w:rPr>
          <w:sz w:val="24"/>
          <w:szCs w:val="24"/>
        </w:rPr>
        <w:t xml:space="preserve">med multipel sklerose og Parkinsons sygdom, </w:t>
      </w:r>
      <w:proofErr w:type="spellStart"/>
      <w:r w:rsidRPr="00F3383A">
        <w:rPr>
          <w:sz w:val="24"/>
          <w:szCs w:val="24"/>
        </w:rPr>
        <w:t>neoplasi</w:t>
      </w:r>
      <w:proofErr w:type="spellEnd"/>
      <w:r w:rsidRPr="00F3383A">
        <w:rPr>
          <w:sz w:val="24"/>
          <w:szCs w:val="24"/>
        </w:rPr>
        <w:t xml:space="preserve"> og slagtilfælde blev inkluderet i undersøgelserne.</w:t>
      </w:r>
    </w:p>
    <w:p w14:paraId="018059F0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3406EB35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Virkningen og sikkerheden af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(3 x 10 mg i døgnet) vs. oral (3 x 5 mg i døgnet) administration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blev undersøgt i et kontrolleret randomiseret studie af 35 voksne patienter med en overaktiv blære som følge af en </w:t>
      </w:r>
      <w:proofErr w:type="spellStart"/>
      <w:r w:rsidRPr="006C377D">
        <w:rPr>
          <w:sz w:val="24"/>
          <w:szCs w:val="24"/>
        </w:rPr>
        <w:t>neurogen</w:t>
      </w:r>
      <w:proofErr w:type="spellEnd"/>
      <w:r w:rsidRPr="006C377D">
        <w:rPr>
          <w:sz w:val="24"/>
          <w:szCs w:val="24"/>
        </w:rPr>
        <w:t xml:space="preserve"> lidelse. Efter 4-ugers behandling var forøgelsen af den maksimale blærevolumen (primær effektparameter) 116,6 ± 27,5 ml 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 (p=0,0002) vs. 18,1 ± 27,5 ml ved oral administration (p=0,51). Forskellen var statistisk signifikant (p=0,0086). Ved begge behandlingsformer blev der observeret statistisk signifikante forskelle i forhold til baseline for andre parametre, såsom maksimalt blæretryk og forholdet mellem blæretryk og blærevolumen. Ved længere tids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behandling med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(gennemsnitlig varighed på 338 dage, n = 15), forblev den maksimale blærevolumen på det niveau, der blev observeret i den foregående kontrollerede behandlingsperiode (Schröder et al, 2016).</w:t>
      </w:r>
    </w:p>
    <w:p w14:paraId="087A31BE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52D2EAB3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I forbindelse med et </w:t>
      </w:r>
      <w:proofErr w:type="spellStart"/>
      <w:r w:rsidRPr="006C377D">
        <w:rPr>
          <w:sz w:val="24"/>
          <w:szCs w:val="24"/>
        </w:rPr>
        <w:t>prospektivt</w:t>
      </w:r>
      <w:proofErr w:type="spellEnd"/>
      <w:r w:rsidRPr="006C377D">
        <w:rPr>
          <w:sz w:val="24"/>
          <w:szCs w:val="24"/>
        </w:rPr>
        <w:t xml:space="preserve"> klinisk studie af 15 børn steg den gennemsnitlige </w:t>
      </w:r>
      <w:proofErr w:type="spellStart"/>
      <w:r w:rsidRPr="006C377D">
        <w:rPr>
          <w:sz w:val="24"/>
          <w:szCs w:val="24"/>
        </w:rPr>
        <w:t>cystometriske</w:t>
      </w:r>
      <w:proofErr w:type="spellEnd"/>
      <w:r w:rsidRPr="006C377D">
        <w:rPr>
          <w:sz w:val="24"/>
          <w:szCs w:val="24"/>
        </w:rPr>
        <w:t xml:space="preserve"> blærevolumen fra 114,2 ml ved baseline til 127,4 ml (p &gt; 0,05) og 161,1 ml (p = 0,0091) efter henholdsvis 1,5 timer og 4 måneder med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behandling (</w:t>
      </w:r>
      <w:proofErr w:type="spellStart"/>
      <w:r w:rsidRPr="006C377D">
        <w:rPr>
          <w:sz w:val="24"/>
          <w:szCs w:val="24"/>
        </w:rPr>
        <w:t>Buyse</w:t>
      </w:r>
      <w:proofErr w:type="spellEnd"/>
      <w:r w:rsidRPr="006C377D">
        <w:rPr>
          <w:sz w:val="24"/>
          <w:szCs w:val="24"/>
        </w:rPr>
        <w:t xml:space="preserve"> et al., 1995). Det gennemsnitlige forhold mellem blæretryk og blærevolumen steg betydeligt fra 2,5 ml/cm H2O ved baseline til 11,495 ml/cm H2O (p = 0,0114) efter 4-måneders behandling. Et andet </w:t>
      </w:r>
      <w:proofErr w:type="spellStart"/>
      <w:r w:rsidRPr="006C377D">
        <w:rPr>
          <w:sz w:val="24"/>
          <w:szCs w:val="24"/>
        </w:rPr>
        <w:t>prospektivt</w:t>
      </w:r>
      <w:proofErr w:type="spellEnd"/>
      <w:r w:rsidRPr="006C377D">
        <w:rPr>
          <w:sz w:val="24"/>
          <w:szCs w:val="24"/>
        </w:rPr>
        <w:t xml:space="preserve"> studie af 13 børn påviste en betydeligt forbedret </w:t>
      </w:r>
      <w:proofErr w:type="spellStart"/>
      <w:r w:rsidRPr="006C377D">
        <w:rPr>
          <w:sz w:val="24"/>
          <w:szCs w:val="24"/>
        </w:rPr>
        <w:t>kontinens</w:t>
      </w:r>
      <w:proofErr w:type="spellEnd"/>
      <w:r w:rsidRPr="006C377D">
        <w:rPr>
          <w:sz w:val="24"/>
          <w:szCs w:val="24"/>
        </w:rPr>
        <w:t xml:space="preserve"> hos 12 forsøgsdeltagere efter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behandling (Åmark et al., 1998). I forbindelse med en retrospektiv langfristet evaluering af 13 børn faldt det gennemsnitlige endelige blæretryk fra 52,5 ± 24 til 24.5 ± 14,4 cm H2O (</w:t>
      </w:r>
      <w:proofErr w:type="spellStart"/>
      <w:r w:rsidRPr="006C377D">
        <w:rPr>
          <w:sz w:val="24"/>
          <w:szCs w:val="24"/>
        </w:rPr>
        <w:t>Humblet</w:t>
      </w:r>
      <w:proofErr w:type="spellEnd"/>
      <w:r w:rsidRPr="006C377D">
        <w:rPr>
          <w:sz w:val="24"/>
          <w:szCs w:val="24"/>
        </w:rPr>
        <w:t xml:space="preserve"> et al., 2014).</w:t>
      </w:r>
    </w:p>
    <w:p w14:paraId="6E9ED33B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1A7618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5.2</w:t>
      </w:r>
      <w:r w:rsidRPr="006C377D">
        <w:rPr>
          <w:b/>
          <w:sz w:val="24"/>
          <w:szCs w:val="24"/>
        </w:rPr>
        <w:tab/>
      </w:r>
      <w:proofErr w:type="spellStart"/>
      <w:r w:rsidRPr="006C377D">
        <w:rPr>
          <w:b/>
          <w:sz w:val="24"/>
          <w:szCs w:val="24"/>
        </w:rPr>
        <w:t>Farmakokinetiske</w:t>
      </w:r>
      <w:proofErr w:type="spellEnd"/>
      <w:r w:rsidRPr="006C377D">
        <w:rPr>
          <w:b/>
          <w:sz w:val="24"/>
          <w:szCs w:val="24"/>
        </w:rPr>
        <w:t xml:space="preserve"> egenskaber</w:t>
      </w:r>
    </w:p>
    <w:p w14:paraId="0BEC98A5" w14:textId="77777777" w:rsidR="006F110F" w:rsidRDefault="006F110F" w:rsidP="00C832E1">
      <w:pPr>
        <w:ind w:left="851"/>
        <w:rPr>
          <w:sz w:val="24"/>
          <w:szCs w:val="24"/>
        </w:rPr>
      </w:pPr>
    </w:p>
    <w:p w14:paraId="26EAF9B4" w14:textId="586092CD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t>Absorption</w:t>
      </w:r>
    </w:p>
    <w:p w14:paraId="1F7A2C22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absorberes godt gennem blærevæggen og ind i det systemiske kredsløb. Målinger af plasmakoncentrationerne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efter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administration afslørede omfattende inter-individuel variation, men der var også væsentlig absorption af lægemidlet efter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anvendelse, hvor maksimumkoncentrationerne i plasma blev opnået efter cirka 1 time.</w:t>
      </w:r>
    </w:p>
    <w:p w14:paraId="2CFBE19B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560AB533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oxybutyninhydrochlorids</w:t>
      </w:r>
      <w:proofErr w:type="spellEnd"/>
      <w:r w:rsidRPr="006C377D">
        <w:rPr>
          <w:sz w:val="24"/>
          <w:szCs w:val="24"/>
        </w:rPr>
        <w:t xml:space="preserve"> farmakokinetik er blevet undersøgt på raske frivillige. Den systemiske eksponering (AUC) for </w:t>
      </w:r>
      <w:proofErr w:type="spellStart"/>
      <w:r w:rsidRPr="006C377D">
        <w:rPr>
          <w:sz w:val="24"/>
          <w:szCs w:val="24"/>
        </w:rPr>
        <w:t>racemisk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var signifikant større efter </w:t>
      </w:r>
      <w:proofErr w:type="spellStart"/>
      <w:r w:rsidRPr="006C377D">
        <w:rPr>
          <w:sz w:val="24"/>
          <w:szCs w:val="24"/>
        </w:rPr>
        <w:t>instillation</w:t>
      </w:r>
      <w:proofErr w:type="spellEnd"/>
      <w:r w:rsidRPr="006C377D">
        <w:rPr>
          <w:sz w:val="24"/>
          <w:szCs w:val="24"/>
        </w:rPr>
        <w:t xml:space="preserve"> (294 %) sammenlignet med oral administration. Til gengæld var den systemiske eksponering for metabolitten N-</w:t>
      </w:r>
      <w:proofErr w:type="spellStart"/>
      <w:r w:rsidRPr="006C377D">
        <w:rPr>
          <w:sz w:val="24"/>
          <w:szCs w:val="24"/>
        </w:rPr>
        <w:t>desethyl</w:t>
      </w:r>
      <w:proofErr w:type="spellEnd"/>
      <w:r w:rsidRPr="006C377D">
        <w:rPr>
          <w:sz w:val="24"/>
          <w:szCs w:val="24"/>
        </w:rPr>
        <w:t>-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signifikant lavere efter </w:t>
      </w:r>
      <w:proofErr w:type="spellStart"/>
      <w:r w:rsidRPr="006C377D">
        <w:rPr>
          <w:sz w:val="24"/>
          <w:szCs w:val="24"/>
        </w:rPr>
        <w:t>instillation</w:t>
      </w:r>
      <w:proofErr w:type="spellEnd"/>
      <w:r w:rsidRPr="006C377D">
        <w:rPr>
          <w:sz w:val="24"/>
          <w:szCs w:val="24"/>
        </w:rPr>
        <w:t xml:space="preserve"> (21 % af eksponeringen efter oral administration). Forholdet metabolit-til-modersubstans var således 14 gange lavere 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anvendelse.</w:t>
      </w:r>
    </w:p>
    <w:p w14:paraId="73D640B6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D7D887D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Disse observationer viser tydeligt, at administrationsmetoden påvirker absorptionen meget og især </w:t>
      </w:r>
      <w:proofErr w:type="spellStart"/>
      <w:r w:rsidRPr="006C377D">
        <w:rPr>
          <w:sz w:val="24"/>
          <w:szCs w:val="24"/>
        </w:rPr>
        <w:t>oxybutynins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first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pass</w:t>
      </w:r>
      <w:proofErr w:type="spellEnd"/>
      <w:r w:rsidRPr="006C377D">
        <w:rPr>
          <w:sz w:val="24"/>
          <w:szCs w:val="24"/>
        </w:rPr>
        <w:t xml:space="preserve">-metabolisme. First </w:t>
      </w:r>
      <w:proofErr w:type="spellStart"/>
      <w:r w:rsidRPr="006C377D">
        <w:rPr>
          <w:sz w:val="24"/>
          <w:szCs w:val="24"/>
        </w:rPr>
        <w:t>pass</w:t>
      </w:r>
      <w:proofErr w:type="spellEnd"/>
      <w:r w:rsidRPr="006C377D">
        <w:rPr>
          <w:sz w:val="24"/>
          <w:szCs w:val="24"/>
        </w:rPr>
        <w:t xml:space="preserve">-effekten er tydeligvis markant reduceret 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anvendelse.</w:t>
      </w:r>
    </w:p>
    <w:p w14:paraId="53EA25B6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58B58C29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I lyset af den rapporterede biotilgængelighed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på cirka 6 % efter oral administration kan en absolut biotilgængelighed på cirka 20 % estimeres for modersubstansen efter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instillation</w:t>
      </w:r>
      <w:proofErr w:type="spellEnd"/>
      <w:r w:rsidRPr="006C377D">
        <w:rPr>
          <w:sz w:val="24"/>
          <w:szCs w:val="24"/>
        </w:rPr>
        <w:t>.</w:t>
      </w:r>
    </w:p>
    <w:p w14:paraId="47CEE0F4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698C53C" w14:textId="77777777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t>Fordeling</w:t>
      </w:r>
    </w:p>
    <w:p w14:paraId="0DD36B69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fordeles i stor udstrækning til kropsvæv efter systemisk absorption. Fordelingsvolumenet estimeres at være 193 liter efter intravenøs administration af 5 mg </w:t>
      </w:r>
      <w:proofErr w:type="spellStart"/>
      <w:r w:rsidRPr="006C377D">
        <w:rPr>
          <w:sz w:val="24"/>
          <w:szCs w:val="24"/>
        </w:rPr>
        <w:t>oxybutyninhydrochlorid</w:t>
      </w:r>
      <w:proofErr w:type="spellEnd"/>
      <w:r w:rsidRPr="006C377D">
        <w:rPr>
          <w:sz w:val="24"/>
          <w:szCs w:val="24"/>
        </w:rPr>
        <w:t>.</w:t>
      </w:r>
    </w:p>
    <w:p w14:paraId="02CC621B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5DC59CE" w14:textId="77777777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t>Biotransformation</w:t>
      </w:r>
    </w:p>
    <w:p w14:paraId="216E364A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administreret oralt </w:t>
      </w:r>
      <w:proofErr w:type="spellStart"/>
      <w:r w:rsidRPr="006C377D">
        <w:rPr>
          <w:sz w:val="24"/>
          <w:szCs w:val="24"/>
        </w:rPr>
        <w:t>metaboliseres</w:t>
      </w:r>
      <w:proofErr w:type="spellEnd"/>
      <w:r w:rsidRPr="006C377D">
        <w:rPr>
          <w:sz w:val="24"/>
          <w:szCs w:val="24"/>
        </w:rPr>
        <w:t xml:space="preserve"> primært af </w:t>
      </w:r>
      <w:proofErr w:type="spellStart"/>
      <w:r w:rsidRPr="006C377D">
        <w:rPr>
          <w:sz w:val="24"/>
          <w:szCs w:val="24"/>
        </w:rPr>
        <w:t>cytochrom</w:t>
      </w:r>
      <w:proofErr w:type="spellEnd"/>
      <w:r w:rsidRPr="006C377D">
        <w:rPr>
          <w:sz w:val="24"/>
          <w:szCs w:val="24"/>
        </w:rPr>
        <w:t xml:space="preserve"> P450-enzymsystemerne, fortrinsvis CYP3A4, som mest findes i lever og tarmvæg. Metabolitterne omfatter hovedsagelig </w:t>
      </w:r>
      <w:proofErr w:type="spellStart"/>
      <w:r w:rsidRPr="006C377D">
        <w:rPr>
          <w:sz w:val="24"/>
          <w:szCs w:val="24"/>
        </w:rPr>
        <w:t>phenylcyclohexylgluycolsyre</w:t>
      </w:r>
      <w:proofErr w:type="spellEnd"/>
      <w:r w:rsidRPr="006C377D">
        <w:rPr>
          <w:sz w:val="24"/>
          <w:szCs w:val="24"/>
        </w:rPr>
        <w:t>, som er farmakologisk inaktiv, og N-</w:t>
      </w:r>
      <w:proofErr w:type="spellStart"/>
      <w:r w:rsidRPr="006C377D">
        <w:rPr>
          <w:sz w:val="24"/>
          <w:szCs w:val="24"/>
        </w:rPr>
        <w:t>desethyloxybutynin</w:t>
      </w:r>
      <w:proofErr w:type="spellEnd"/>
      <w:r w:rsidRPr="006C377D">
        <w:rPr>
          <w:sz w:val="24"/>
          <w:szCs w:val="24"/>
        </w:rPr>
        <w:t xml:space="preserve"> (DEOB), som er farmakologisk aktiv.</w:t>
      </w:r>
    </w:p>
    <w:p w14:paraId="1C25886E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6EFABBD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Ved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administration af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omgås </w:t>
      </w:r>
      <w:proofErr w:type="spellStart"/>
      <w:r w:rsidRPr="006C377D">
        <w:rPr>
          <w:sz w:val="24"/>
          <w:szCs w:val="24"/>
        </w:rPr>
        <w:t>first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pass</w:t>
      </w:r>
      <w:proofErr w:type="spellEnd"/>
      <w:r w:rsidRPr="006C377D">
        <w:rPr>
          <w:sz w:val="24"/>
          <w:szCs w:val="24"/>
        </w:rPr>
        <w:t>-metabolismen i mave-tarm-kanal og lever, hvilket mindsker dannelsen af N-</w:t>
      </w:r>
      <w:proofErr w:type="spellStart"/>
      <w:r w:rsidRPr="006C377D">
        <w:rPr>
          <w:sz w:val="24"/>
          <w:szCs w:val="24"/>
        </w:rPr>
        <w:t>desethyl</w:t>
      </w:r>
      <w:proofErr w:type="spellEnd"/>
      <w:r w:rsidRPr="006C377D">
        <w:rPr>
          <w:sz w:val="24"/>
          <w:szCs w:val="24"/>
        </w:rPr>
        <w:t>-metabolitten. N-</w:t>
      </w:r>
      <w:proofErr w:type="spellStart"/>
      <w:r w:rsidRPr="006C377D">
        <w:rPr>
          <w:sz w:val="24"/>
          <w:szCs w:val="24"/>
        </w:rPr>
        <w:t>desethyl</w:t>
      </w:r>
      <w:proofErr w:type="spellEnd"/>
      <w:r w:rsidRPr="006C377D">
        <w:rPr>
          <w:sz w:val="24"/>
          <w:szCs w:val="24"/>
        </w:rPr>
        <w:t xml:space="preserve">-metabolitten menes at være årsag til flere </w:t>
      </w:r>
      <w:proofErr w:type="spellStart"/>
      <w:r w:rsidRPr="006C377D">
        <w:rPr>
          <w:sz w:val="24"/>
          <w:szCs w:val="24"/>
        </w:rPr>
        <w:t>antikolinerge</w:t>
      </w:r>
      <w:proofErr w:type="spellEnd"/>
      <w:r w:rsidRPr="006C377D">
        <w:rPr>
          <w:sz w:val="24"/>
          <w:szCs w:val="24"/>
        </w:rPr>
        <w:t xml:space="preserve"> bivirkninger, især med tilknytning til spytkirtlerne, end modersubstansen.</w:t>
      </w:r>
    </w:p>
    <w:p w14:paraId="139C7251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73DA3C2E" w14:textId="77777777" w:rsidR="00A57EF3" w:rsidRPr="006F110F" w:rsidRDefault="00A57EF3" w:rsidP="00C832E1">
      <w:pPr>
        <w:ind w:left="851"/>
        <w:rPr>
          <w:sz w:val="24"/>
          <w:szCs w:val="24"/>
          <w:u w:val="single"/>
        </w:rPr>
      </w:pPr>
      <w:r w:rsidRPr="006F110F">
        <w:rPr>
          <w:sz w:val="24"/>
          <w:szCs w:val="24"/>
          <w:u w:val="single"/>
        </w:rPr>
        <w:lastRenderedPageBreak/>
        <w:t>Elimination</w:t>
      </w:r>
    </w:p>
    <w:p w14:paraId="164397BD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udskilles hurtigt af kroppen efter oral og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administration. På baggrund af PK-studier blev det konkluderet, at eliminationen af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tager længere tid end ved oral administration med indrapporterede halveringstider på henholdsvis 2,56 og 1,48 time.</w:t>
      </w:r>
    </w:p>
    <w:p w14:paraId="57650A30" w14:textId="4240A24E" w:rsidR="00CC75E6" w:rsidRDefault="00A57EF3" w:rsidP="005F2728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Koncentrationer af både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og den primær metabolit N-</w:t>
      </w:r>
      <w:proofErr w:type="spellStart"/>
      <w:r w:rsidRPr="006C377D">
        <w:rPr>
          <w:sz w:val="24"/>
          <w:szCs w:val="24"/>
        </w:rPr>
        <w:t>desethyloxybutynin</w:t>
      </w:r>
      <w:proofErr w:type="spellEnd"/>
      <w:r w:rsidRPr="006C377D">
        <w:rPr>
          <w:sz w:val="24"/>
          <w:szCs w:val="24"/>
        </w:rPr>
        <w:t xml:space="preserve"> kunne stadig påvises i serum 24 timer efter </w:t>
      </w:r>
      <w:proofErr w:type="spellStart"/>
      <w:r w:rsidRPr="006C377D">
        <w:rPr>
          <w:sz w:val="24"/>
          <w:szCs w:val="24"/>
        </w:rPr>
        <w:t>intravesikal</w:t>
      </w:r>
      <w:proofErr w:type="spellEnd"/>
      <w:r w:rsidRPr="006C377D">
        <w:rPr>
          <w:sz w:val="24"/>
          <w:szCs w:val="24"/>
        </w:rPr>
        <w:t xml:space="preserve"> administration.</w:t>
      </w:r>
    </w:p>
    <w:p w14:paraId="756488FC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44BF8F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5.3</w:t>
      </w:r>
      <w:r w:rsidRPr="006C377D">
        <w:rPr>
          <w:b/>
          <w:sz w:val="24"/>
          <w:szCs w:val="24"/>
        </w:rPr>
        <w:tab/>
      </w:r>
      <w:r w:rsidR="00BD7931" w:rsidRPr="006C377D">
        <w:rPr>
          <w:b/>
          <w:sz w:val="24"/>
          <w:szCs w:val="24"/>
        </w:rPr>
        <w:t>Non-</w:t>
      </w:r>
      <w:r w:rsidRPr="006C377D">
        <w:rPr>
          <w:b/>
          <w:sz w:val="24"/>
          <w:szCs w:val="24"/>
        </w:rPr>
        <w:t>kliniske sikkerhedsdata</w:t>
      </w:r>
    </w:p>
    <w:p w14:paraId="0EF22D1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Non-kliniske data viser ingen speciel risiko for mennesker vurderet ud fra studier af akut toksicitet, toksicitet efter gentagne doser, genotoksicitet, </w:t>
      </w:r>
      <w:proofErr w:type="spellStart"/>
      <w:r w:rsidRPr="006C377D">
        <w:rPr>
          <w:sz w:val="24"/>
          <w:szCs w:val="24"/>
        </w:rPr>
        <w:t>karcinogent</w:t>
      </w:r>
      <w:proofErr w:type="spellEnd"/>
      <w:r w:rsidRPr="006C377D">
        <w:rPr>
          <w:sz w:val="24"/>
          <w:szCs w:val="24"/>
        </w:rPr>
        <w:t xml:space="preserve"> potentiale samt lokal toksicitet.</w:t>
      </w:r>
    </w:p>
    <w:p w14:paraId="7BB85013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8E4D3BF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I doser med </w:t>
      </w:r>
      <w:proofErr w:type="spellStart"/>
      <w:r w:rsidRPr="006C377D">
        <w:rPr>
          <w:sz w:val="24"/>
          <w:szCs w:val="24"/>
        </w:rPr>
        <w:t>maternal</w:t>
      </w:r>
      <w:proofErr w:type="spellEnd"/>
      <w:r w:rsidRPr="006C377D">
        <w:rPr>
          <w:sz w:val="24"/>
          <w:szCs w:val="24"/>
        </w:rPr>
        <w:t xml:space="preserve"> toksicitet kan oral administreret </w:t>
      </w:r>
      <w:proofErr w:type="spellStart"/>
      <w:r w:rsidRPr="006C377D">
        <w:rPr>
          <w:sz w:val="24"/>
          <w:szCs w:val="24"/>
        </w:rPr>
        <w:t>oxybutynin</w:t>
      </w:r>
      <w:proofErr w:type="spellEnd"/>
      <w:r w:rsidRPr="006C377D">
        <w:rPr>
          <w:sz w:val="24"/>
          <w:szCs w:val="24"/>
        </w:rPr>
        <w:t xml:space="preserve"> forårsage fostermisdannelser hos rotter.</w:t>
      </w:r>
    </w:p>
    <w:p w14:paraId="2FC3F1F1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258777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CA9CB3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6.</w:t>
      </w:r>
      <w:r w:rsidRPr="006C377D">
        <w:rPr>
          <w:b/>
          <w:sz w:val="24"/>
          <w:szCs w:val="24"/>
        </w:rPr>
        <w:tab/>
        <w:t>FARMACEUTISKE OPLYSNINGER</w:t>
      </w:r>
    </w:p>
    <w:p w14:paraId="2CEA48E8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FBC9DE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6.1</w:t>
      </w:r>
      <w:r w:rsidRPr="006C377D">
        <w:rPr>
          <w:b/>
          <w:sz w:val="24"/>
          <w:szCs w:val="24"/>
        </w:rPr>
        <w:tab/>
        <w:t>Hjælpestoffer</w:t>
      </w:r>
    </w:p>
    <w:p w14:paraId="70BC56F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Saltsyre, fortyndet</w:t>
      </w:r>
    </w:p>
    <w:p w14:paraId="04610A1D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Natriumchloridopløsning</w:t>
      </w:r>
      <w:proofErr w:type="spellEnd"/>
      <w:r w:rsidRPr="006C377D">
        <w:rPr>
          <w:sz w:val="24"/>
          <w:szCs w:val="24"/>
        </w:rPr>
        <w:t xml:space="preserve"> (0,9 %)</w:t>
      </w:r>
    </w:p>
    <w:p w14:paraId="34A9ACBF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54FC58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6.2</w:t>
      </w:r>
      <w:r w:rsidRPr="006C377D">
        <w:rPr>
          <w:b/>
          <w:sz w:val="24"/>
          <w:szCs w:val="24"/>
        </w:rPr>
        <w:tab/>
        <w:t>Uforligeligheder</w:t>
      </w:r>
    </w:p>
    <w:p w14:paraId="665A2BCA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Ukendt.</w:t>
      </w:r>
    </w:p>
    <w:p w14:paraId="23B5714A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C7E706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6.3</w:t>
      </w:r>
      <w:r w:rsidRPr="006C377D">
        <w:rPr>
          <w:b/>
          <w:sz w:val="24"/>
          <w:szCs w:val="24"/>
        </w:rPr>
        <w:tab/>
        <w:t>Opbevaringstid</w:t>
      </w:r>
    </w:p>
    <w:p w14:paraId="19E0D595" w14:textId="3A99506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3 år</w:t>
      </w:r>
      <w:r w:rsidR="008A08CE">
        <w:rPr>
          <w:sz w:val="24"/>
          <w:szCs w:val="24"/>
        </w:rPr>
        <w:t>.</w:t>
      </w:r>
    </w:p>
    <w:p w14:paraId="616E763D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65BAFC71" w14:textId="7638130A" w:rsidR="00A57EF3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De fyldte sprøjter indeholder en enkelt dosis. Alt ubrugt lægemiddel skal bortskaffes med det samme.</w:t>
      </w:r>
    </w:p>
    <w:p w14:paraId="603F6F3A" w14:textId="77777777" w:rsidR="006F110F" w:rsidRPr="006C377D" w:rsidRDefault="006F110F" w:rsidP="00C832E1">
      <w:pPr>
        <w:ind w:left="851"/>
        <w:rPr>
          <w:sz w:val="24"/>
          <w:szCs w:val="24"/>
        </w:rPr>
      </w:pPr>
    </w:p>
    <w:p w14:paraId="0675E1C8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6.4</w:t>
      </w:r>
      <w:r w:rsidRPr="006C377D">
        <w:rPr>
          <w:b/>
          <w:sz w:val="24"/>
          <w:szCs w:val="24"/>
        </w:rPr>
        <w:tab/>
        <w:t>Særlige opbevaringsforhold</w:t>
      </w:r>
    </w:p>
    <w:p w14:paraId="23D07B26" w14:textId="77777777" w:rsidR="005F2728" w:rsidRPr="006C377D" w:rsidRDefault="005F2728" w:rsidP="005F2728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Dette lægemiddel kræver ingen særlige forholdsregler vedrørende opbevaringen.</w:t>
      </w:r>
    </w:p>
    <w:p w14:paraId="10112B23" w14:textId="77777777" w:rsidR="005F2728" w:rsidRPr="00A53012" w:rsidRDefault="005F2728" w:rsidP="005F2728">
      <w:pPr>
        <w:tabs>
          <w:tab w:val="left" w:pos="851"/>
        </w:tabs>
        <w:ind w:left="851"/>
        <w:rPr>
          <w:sz w:val="24"/>
          <w:szCs w:val="24"/>
        </w:rPr>
      </w:pPr>
      <w:r w:rsidRPr="00107863">
        <w:rPr>
          <w:sz w:val="24"/>
          <w:szCs w:val="24"/>
        </w:rPr>
        <w:t>For opbevaringsinstruktioner efter første åbning af medicinen, se pkt. 6.3.</w:t>
      </w:r>
    </w:p>
    <w:p w14:paraId="48FB810E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92DEE8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6.5</w:t>
      </w:r>
      <w:r w:rsidRPr="006C377D">
        <w:rPr>
          <w:b/>
          <w:sz w:val="24"/>
          <w:szCs w:val="24"/>
        </w:rPr>
        <w:tab/>
        <w:t>Emballagetype og pakningsstørrelser</w:t>
      </w:r>
    </w:p>
    <w:p w14:paraId="725AFC51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10 ml opløsning i en steril fyldt sprøjte (</w:t>
      </w:r>
      <w:proofErr w:type="spellStart"/>
      <w:r w:rsidRPr="006C377D">
        <w:rPr>
          <w:sz w:val="24"/>
          <w:szCs w:val="24"/>
        </w:rPr>
        <w:t>cykloolefin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copolymer</w:t>
      </w:r>
      <w:proofErr w:type="spellEnd"/>
      <w:r w:rsidRPr="006C377D">
        <w:rPr>
          <w:sz w:val="24"/>
          <w:szCs w:val="24"/>
        </w:rPr>
        <w:t xml:space="preserve">) med stempelprop (syntetisk </w:t>
      </w:r>
      <w:proofErr w:type="spellStart"/>
      <w:r w:rsidRPr="006C377D">
        <w:rPr>
          <w:sz w:val="24"/>
          <w:szCs w:val="24"/>
        </w:rPr>
        <w:t>bromobutylgummi</w:t>
      </w:r>
      <w:proofErr w:type="spellEnd"/>
      <w:r w:rsidRPr="006C377D">
        <w:rPr>
          <w:sz w:val="24"/>
          <w:szCs w:val="24"/>
        </w:rPr>
        <w:t xml:space="preserve">) og hætte (syntetisk </w:t>
      </w:r>
      <w:proofErr w:type="spellStart"/>
      <w:r w:rsidRPr="006C377D">
        <w:rPr>
          <w:sz w:val="24"/>
          <w:szCs w:val="24"/>
        </w:rPr>
        <w:t>bromobutylgummi</w:t>
      </w:r>
      <w:proofErr w:type="spellEnd"/>
      <w:r w:rsidRPr="006C377D">
        <w:rPr>
          <w:sz w:val="24"/>
          <w:szCs w:val="24"/>
        </w:rPr>
        <w:t>).</w:t>
      </w:r>
    </w:p>
    <w:p w14:paraId="278EAC09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276A8B72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Pakningsstørrelser: Bakker med 12, 96 og 96 (hospitalspakning) fyldte sprøjter inklusive 12 henholdsvis 96 sterile adaptere til injektion.</w:t>
      </w:r>
    </w:p>
    <w:p w14:paraId="3D745467" w14:textId="77777777" w:rsidR="00A57EF3" w:rsidRPr="006C377D" w:rsidRDefault="00A57EF3" w:rsidP="00C832E1">
      <w:pPr>
        <w:ind w:left="851"/>
        <w:rPr>
          <w:sz w:val="24"/>
          <w:szCs w:val="24"/>
        </w:rPr>
      </w:pPr>
    </w:p>
    <w:p w14:paraId="32D6D1E7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Ikke alle pakningsstørrelser er nødvendigvis markedsført.</w:t>
      </w:r>
    </w:p>
    <w:p w14:paraId="6171813D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77DB86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6.6</w:t>
      </w:r>
      <w:r w:rsidRPr="006C377D">
        <w:rPr>
          <w:b/>
          <w:sz w:val="24"/>
          <w:szCs w:val="24"/>
        </w:rPr>
        <w:tab/>
        <w:t xml:space="preserve">Regler for </w:t>
      </w:r>
      <w:r w:rsidR="00BD7931" w:rsidRPr="006C377D">
        <w:rPr>
          <w:b/>
          <w:sz w:val="24"/>
          <w:szCs w:val="24"/>
        </w:rPr>
        <w:t>bortskaffelse</w:t>
      </w:r>
      <w:r w:rsidRPr="006C377D">
        <w:rPr>
          <w:b/>
          <w:sz w:val="24"/>
          <w:szCs w:val="24"/>
        </w:rPr>
        <w:t xml:space="preserve"> og anden håndtering</w:t>
      </w:r>
    </w:p>
    <w:p w14:paraId="33CA4CAD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Ikke anvendt lægemiddel samt affald heraf skal bortskaffes i henhold til lokale retningslinjer.</w:t>
      </w:r>
    </w:p>
    <w:p w14:paraId="438B651C" w14:textId="7DB09861" w:rsidR="009260DE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AD2CA0E" w14:textId="039E6F01" w:rsidR="005F2728" w:rsidRDefault="005F2728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0152CD6" w14:textId="77777777" w:rsidR="005F2728" w:rsidRPr="006C377D" w:rsidRDefault="005F2728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5B2B405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lastRenderedPageBreak/>
        <w:t>7.</w:t>
      </w:r>
      <w:r w:rsidRPr="006C377D">
        <w:rPr>
          <w:b/>
          <w:sz w:val="24"/>
          <w:szCs w:val="24"/>
        </w:rPr>
        <w:tab/>
        <w:t>INDEHAVER AF MARKEDSFØRINGSTILLADELSEN</w:t>
      </w:r>
    </w:p>
    <w:p w14:paraId="01B89139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MEDICE </w:t>
      </w:r>
      <w:proofErr w:type="spellStart"/>
      <w:r w:rsidRPr="006C377D">
        <w:rPr>
          <w:sz w:val="24"/>
          <w:szCs w:val="24"/>
        </w:rPr>
        <w:t>Arzneimittel</w:t>
      </w:r>
      <w:proofErr w:type="spellEnd"/>
      <w:r w:rsidRPr="006C377D">
        <w:rPr>
          <w:sz w:val="24"/>
          <w:szCs w:val="24"/>
        </w:rPr>
        <w:t xml:space="preserve"> </w:t>
      </w:r>
      <w:proofErr w:type="spellStart"/>
      <w:r w:rsidRPr="006C377D">
        <w:rPr>
          <w:sz w:val="24"/>
          <w:szCs w:val="24"/>
        </w:rPr>
        <w:t>Pütter</w:t>
      </w:r>
      <w:proofErr w:type="spellEnd"/>
      <w:r w:rsidRPr="006C377D">
        <w:rPr>
          <w:sz w:val="24"/>
          <w:szCs w:val="24"/>
        </w:rPr>
        <w:t xml:space="preserve"> GmbH &amp; Co. KG</w:t>
      </w:r>
    </w:p>
    <w:p w14:paraId="20A7DFCC" w14:textId="09174E6C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Kuhloweg</w:t>
      </w:r>
      <w:proofErr w:type="spellEnd"/>
      <w:r w:rsidRPr="006C377D">
        <w:rPr>
          <w:sz w:val="24"/>
          <w:szCs w:val="24"/>
        </w:rPr>
        <w:t xml:space="preserve"> 3</w:t>
      </w:r>
      <w:r w:rsidR="00E2039E">
        <w:rPr>
          <w:sz w:val="24"/>
          <w:szCs w:val="24"/>
        </w:rPr>
        <w:t>7</w:t>
      </w:r>
    </w:p>
    <w:p w14:paraId="63414F67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 xml:space="preserve">58638 </w:t>
      </w:r>
      <w:proofErr w:type="spellStart"/>
      <w:r w:rsidRPr="006C377D">
        <w:rPr>
          <w:sz w:val="24"/>
          <w:szCs w:val="24"/>
        </w:rPr>
        <w:t>Iserlohn</w:t>
      </w:r>
      <w:proofErr w:type="spellEnd"/>
    </w:p>
    <w:p w14:paraId="5B901F66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Tyskland</w:t>
      </w:r>
    </w:p>
    <w:p w14:paraId="77F18859" w14:textId="77777777" w:rsidR="009260DE" w:rsidRPr="006C377D" w:rsidRDefault="009260DE" w:rsidP="00C832E1">
      <w:pPr>
        <w:ind w:left="851"/>
        <w:rPr>
          <w:sz w:val="24"/>
          <w:szCs w:val="24"/>
        </w:rPr>
      </w:pPr>
    </w:p>
    <w:p w14:paraId="0808AC55" w14:textId="77777777" w:rsidR="00641C65" w:rsidRPr="006C377D" w:rsidRDefault="00641C65" w:rsidP="00C832E1">
      <w:pPr>
        <w:ind w:left="851"/>
        <w:rPr>
          <w:sz w:val="24"/>
          <w:szCs w:val="24"/>
        </w:rPr>
      </w:pPr>
      <w:r w:rsidRPr="006C377D">
        <w:rPr>
          <w:b/>
          <w:sz w:val="24"/>
          <w:szCs w:val="24"/>
        </w:rPr>
        <w:t>Repræsentant</w:t>
      </w:r>
    </w:p>
    <w:p w14:paraId="4280C0FC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Medice</w:t>
      </w:r>
      <w:proofErr w:type="spellEnd"/>
      <w:r w:rsidRPr="006C377D">
        <w:rPr>
          <w:sz w:val="24"/>
          <w:szCs w:val="24"/>
        </w:rPr>
        <w:t xml:space="preserve"> Nordic Denmark ApS</w:t>
      </w:r>
    </w:p>
    <w:p w14:paraId="60786913" w14:textId="77777777" w:rsidR="00A57EF3" w:rsidRPr="006C377D" w:rsidRDefault="00A57EF3" w:rsidP="00C832E1">
      <w:pPr>
        <w:ind w:left="851"/>
        <w:rPr>
          <w:sz w:val="24"/>
          <w:szCs w:val="24"/>
        </w:rPr>
      </w:pPr>
      <w:proofErr w:type="spellStart"/>
      <w:r w:rsidRPr="006C377D">
        <w:rPr>
          <w:sz w:val="24"/>
          <w:szCs w:val="24"/>
        </w:rPr>
        <w:t>Storgade</w:t>
      </w:r>
      <w:proofErr w:type="spellEnd"/>
      <w:r w:rsidRPr="006C377D">
        <w:rPr>
          <w:sz w:val="24"/>
          <w:szCs w:val="24"/>
        </w:rPr>
        <w:t xml:space="preserve"> 30B, 1. tv.</w:t>
      </w:r>
    </w:p>
    <w:p w14:paraId="0663DC77" w14:textId="77777777" w:rsidR="00A57EF3" w:rsidRPr="006C377D" w:rsidRDefault="00A57EF3" w:rsidP="00C832E1">
      <w:pPr>
        <w:ind w:left="851"/>
        <w:rPr>
          <w:sz w:val="24"/>
          <w:szCs w:val="24"/>
        </w:rPr>
      </w:pPr>
      <w:r w:rsidRPr="006C377D">
        <w:rPr>
          <w:sz w:val="24"/>
          <w:szCs w:val="24"/>
        </w:rPr>
        <w:t>4180 Sorø</w:t>
      </w:r>
    </w:p>
    <w:p w14:paraId="41BDC802" w14:textId="77777777" w:rsidR="00641C65" w:rsidRPr="006C377D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AEDB01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8.</w:t>
      </w:r>
      <w:r w:rsidRPr="006C377D">
        <w:rPr>
          <w:b/>
          <w:sz w:val="24"/>
          <w:szCs w:val="24"/>
        </w:rPr>
        <w:tab/>
        <w:t>MARKEDSFØRINGSTILLADELSESNUMMER (</w:t>
      </w:r>
      <w:r w:rsidR="00BF6243" w:rsidRPr="006C377D">
        <w:rPr>
          <w:b/>
          <w:sz w:val="24"/>
          <w:szCs w:val="24"/>
        </w:rPr>
        <w:t>-</w:t>
      </w:r>
      <w:r w:rsidRPr="006C377D">
        <w:rPr>
          <w:b/>
          <w:sz w:val="24"/>
          <w:szCs w:val="24"/>
        </w:rPr>
        <w:t>NUMRE)</w:t>
      </w:r>
    </w:p>
    <w:p w14:paraId="57148CE1" w14:textId="32AED12B" w:rsidR="009260DE" w:rsidRPr="006C377D" w:rsidRDefault="00A57EF3" w:rsidP="009260DE">
      <w:pPr>
        <w:tabs>
          <w:tab w:val="left" w:pos="851"/>
        </w:tabs>
        <w:ind w:left="851"/>
        <w:rPr>
          <w:sz w:val="24"/>
          <w:szCs w:val="24"/>
        </w:rPr>
      </w:pPr>
      <w:r w:rsidRPr="006C377D">
        <w:rPr>
          <w:sz w:val="24"/>
          <w:szCs w:val="24"/>
        </w:rPr>
        <w:t>68140</w:t>
      </w:r>
    </w:p>
    <w:p w14:paraId="4A6D7392" w14:textId="77777777" w:rsidR="009260DE" w:rsidRPr="006C377D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3F78E17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9.</w:t>
      </w:r>
      <w:r w:rsidRPr="006C377D">
        <w:rPr>
          <w:b/>
          <w:sz w:val="24"/>
          <w:szCs w:val="24"/>
        </w:rPr>
        <w:tab/>
        <w:t>DATO FOR FØRSTE MARKEDSFØRINGSTILLADELSE</w:t>
      </w:r>
    </w:p>
    <w:p w14:paraId="2B12F155" w14:textId="3DB48ADC" w:rsidR="009260DE" w:rsidRPr="006C377D" w:rsidRDefault="00CD089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januar 2023</w:t>
      </w:r>
    </w:p>
    <w:p w14:paraId="10C10FB7" w14:textId="77777777" w:rsidR="009260DE" w:rsidRPr="006C377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849E0B" w14:textId="77777777" w:rsidR="009260DE" w:rsidRPr="006C377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77D">
        <w:rPr>
          <w:b/>
          <w:sz w:val="24"/>
          <w:szCs w:val="24"/>
        </w:rPr>
        <w:t>10.</w:t>
      </w:r>
      <w:r w:rsidRPr="006C377D">
        <w:rPr>
          <w:b/>
          <w:sz w:val="24"/>
          <w:szCs w:val="24"/>
        </w:rPr>
        <w:tab/>
        <w:t>DATO FOR ÆNDRING AF TEKSTEN</w:t>
      </w:r>
    </w:p>
    <w:p w14:paraId="4FAFFF89" w14:textId="424F0FD8" w:rsidR="009260DE" w:rsidRPr="006C377D" w:rsidRDefault="008A08C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1" w:name="_GoBack"/>
      <w:bookmarkEnd w:id="1"/>
      <w:r w:rsidR="005F2728">
        <w:rPr>
          <w:sz w:val="24"/>
          <w:szCs w:val="24"/>
        </w:rPr>
        <w:t xml:space="preserve">. </w:t>
      </w:r>
      <w:r w:rsidR="006C6009">
        <w:rPr>
          <w:sz w:val="24"/>
          <w:szCs w:val="24"/>
        </w:rPr>
        <w:t>ju</w:t>
      </w:r>
      <w:r>
        <w:rPr>
          <w:sz w:val="24"/>
          <w:szCs w:val="24"/>
        </w:rPr>
        <w:t>l</w:t>
      </w:r>
      <w:r w:rsidR="006C6009">
        <w:rPr>
          <w:sz w:val="24"/>
          <w:szCs w:val="24"/>
        </w:rPr>
        <w:t xml:space="preserve">i </w:t>
      </w:r>
      <w:r w:rsidR="005F2728">
        <w:rPr>
          <w:sz w:val="24"/>
          <w:szCs w:val="24"/>
        </w:rPr>
        <w:t>202</w:t>
      </w:r>
      <w:r w:rsidR="006C6009">
        <w:rPr>
          <w:sz w:val="24"/>
          <w:szCs w:val="24"/>
        </w:rPr>
        <w:t>4</w:t>
      </w:r>
    </w:p>
    <w:sectPr w:rsidR="009260DE" w:rsidRPr="006C377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61C5" w14:textId="77777777" w:rsidR="00387706" w:rsidRDefault="00387706">
      <w:r>
        <w:separator/>
      </w:r>
    </w:p>
  </w:endnote>
  <w:endnote w:type="continuationSeparator" w:id="0">
    <w:p w14:paraId="33E2B82F" w14:textId="77777777" w:rsidR="00387706" w:rsidRDefault="0038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900C" w14:textId="77777777" w:rsidR="000259B9" w:rsidRDefault="000259B9">
    <w:pPr>
      <w:pStyle w:val="Sidefod"/>
      <w:pBdr>
        <w:bottom w:val="single" w:sz="6" w:space="1" w:color="auto"/>
      </w:pBdr>
    </w:pPr>
  </w:p>
  <w:p w14:paraId="4D40EACF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4E7CE7DB" w14:textId="6857EDA2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C75E6">
      <w:rPr>
        <w:i/>
        <w:noProof/>
        <w:sz w:val="18"/>
        <w:szCs w:val="18"/>
      </w:rPr>
      <w:t>Velariq, intravesikal opløsning 1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B288" w14:textId="77777777" w:rsidR="00387706" w:rsidRDefault="00387706">
      <w:r>
        <w:separator/>
      </w:r>
    </w:p>
  </w:footnote>
  <w:footnote w:type="continuationSeparator" w:id="0">
    <w:p w14:paraId="64AA58BB" w14:textId="77777777" w:rsidR="00387706" w:rsidRDefault="0038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242"/>
    <w:multiLevelType w:val="hybridMultilevel"/>
    <w:tmpl w:val="2E60649A"/>
    <w:lvl w:ilvl="0" w:tplc="FF564BBC"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E0BDE6">
      <w:numFmt w:val="bullet"/>
      <w:lvlText w:val="•"/>
      <w:lvlJc w:val="left"/>
      <w:pPr>
        <w:ind w:left="1538" w:hanging="567"/>
      </w:pPr>
    </w:lvl>
    <w:lvl w:ilvl="2" w:tplc="933CCA38">
      <w:numFmt w:val="bullet"/>
      <w:lvlText w:val="•"/>
      <w:lvlJc w:val="left"/>
      <w:pPr>
        <w:ind w:left="2397" w:hanging="567"/>
      </w:pPr>
    </w:lvl>
    <w:lvl w:ilvl="3" w:tplc="5704AB82">
      <w:numFmt w:val="bullet"/>
      <w:lvlText w:val="•"/>
      <w:lvlJc w:val="left"/>
      <w:pPr>
        <w:ind w:left="3255" w:hanging="567"/>
      </w:pPr>
    </w:lvl>
    <w:lvl w:ilvl="4" w:tplc="3EA47C44">
      <w:numFmt w:val="bullet"/>
      <w:lvlText w:val="•"/>
      <w:lvlJc w:val="left"/>
      <w:pPr>
        <w:ind w:left="4114" w:hanging="567"/>
      </w:pPr>
    </w:lvl>
    <w:lvl w:ilvl="5" w:tplc="C3CE6B50">
      <w:numFmt w:val="bullet"/>
      <w:lvlText w:val="•"/>
      <w:lvlJc w:val="left"/>
      <w:pPr>
        <w:ind w:left="4973" w:hanging="567"/>
      </w:pPr>
    </w:lvl>
    <w:lvl w:ilvl="6" w:tplc="5586463E">
      <w:numFmt w:val="bullet"/>
      <w:lvlText w:val="•"/>
      <w:lvlJc w:val="left"/>
      <w:pPr>
        <w:ind w:left="5831" w:hanging="567"/>
      </w:pPr>
    </w:lvl>
    <w:lvl w:ilvl="7" w:tplc="13E80424">
      <w:numFmt w:val="bullet"/>
      <w:lvlText w:val="•"/>
      <w:lvlJc w:val="left"/>
      <w:pPr>
        <w:ind w:left="6690" w:hanging="567"/>
      </w:pPr>
    </w:lvl>
    <w:lvl w:ilvl="8" w:tplc="19402058">
      <w:numFmt w:val="bullet"/>
      <w:lvlText w:val="•"/>
      <w:lvlJc w:val="left"/>
      <w:pPr>
        <w:ind w:left="7549" w:hanging="567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4D6BCF"/>
    <w:multiLevelType w:val="hybridMultilevel"/>
    <w:tmpl w:val="700E2C2E"/>
    <w:lvl w:ilvl="0" w:tplc="FF564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6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E7356"/>
    <w:rsid w:val="00206CE8"/>
    <w:rsid w:val="0021526C"/>
    <w:rsid w:val="00283A2B"/>
    <w:rsid w:val="002A7191"/>
    <w:rsid w:val="002B30AD"/>
    <w:rsid w:val="002C1EC0"/>
    <w:rsid w:val="002C2C01"/>
    <w:rsid w:val="00373A0F"/>
    <w:rsid w:val="00387706"/>
    <w:rsid w:val="003A29AE"/>
    <w:rsid w:val="003A32D7"/>
    <w:rsid w:val="003B4074"/>
    <w:rsid w:val="003C769A"/>
    <w:rsid w:val="003D3A90"/>
    <w:rsid w:val="003F1838"/>
    <w:rsid w:val="0045272E"/>
    <w:rsid w:val="0045746C"/>
    <w:rsid w:val="0049104B"/>
    <w:rsid w:val="004E3B12"/>
    <w:rsid w:val="00532310"/>
    <w:rsid w:val="00565F0F"/>
    <w:rsid w:val="00594A86"/>
    <w:rsid w:val="00596D86"/>
    <w:rsid w:val="005F2728"/>
    <w:rsid w:val="00635B65"/>
    <w:rsid w:val="00637F5A"/>
    <w:rsid w:val="00641C65"/>
    <w:rsid w:val="006560B1"/>
    <w:rsid w:val="006756DD"/>
    <w:rsid w:val="006A1FE5"/>
    <w:rsid w:val="006C377D"/>
    <w:rsid w:val="006C6009"/>
    <w:rsid w:val="006F110F"/>
    <w:rsid w:val="00711ED3"/>
    <w:rsid w:val="0071241E"/>
    <w:rsid w:val="007314C1"/>
    <w:rsid w:val="00737275"/>
    <w:rsid w:val="00740EEC"/>
    <w:rsid w:val="0078011A"/>
    <w:rsid w:val="00782AF4"/>
    <w:rsid w:val="00790EE7"/>
    <w:rsid w:val="007B6649"/>
    <w:rsid w:val="0082576E"/>
    <w:rsid w:val="008A08CE"/>
    <w:rsid w:val="00907F75"/>
    <w:rsid w:val="009260DE"/>
    <w:rsid w:val="0093258A"/>
    <w:rsid w:val="00974971"/>
    <w:rsid w:val="009C7BA3"/>
    <w:rsid w:val="009D1F5A"/>
    <w:rsid w:val="009D6E7F"/>
    <w:rsid w:val="00A10294"/>
    <w:rsid w:val="00A57EF3"/>
    <w:rsid w:val="00B003BF"/>
    <w:rsid w:val="00B373D7"/>
    <w:rsid w:val="00B55271"/>
    <w:rsid w:val="00BD7931"/>
    <w:rsid w:val="00BF6243"/>
    <w:rsid w:val="00C36276"/>
    <w:rsid w:val="00C42586"/>
    <w:rsid w:val="00C45F6B"/>
    <w:rsid w:val="00C575A9"/>
    <w:rsid w:val="00C60CCD"/>
    <w:rsid w:val="00C832E1"/>
    <w:rsid w:val="00C84483"/>
    <w:rsid w:val="00C95551"/>
    <w:rsid w:val="00CB20D7"/>
    <w:rsid w:val="00CC75E6"/>
    <w:rsid w:val="00CD0896"/>
    <w:rsid w:val="00D020B0"/>
    <w:rsid w:val="00D11748"/>
    <w:rsid w:val="00D237F6"/>
    <w:rsid w:val="00D34D98"/>
    <w:rsid w:val="00D366CF"/>
    <w:rsid w:val="00D93197"/>
    <w:rsid w:val="00D93992"/>
    <w:rsid w:val="00E108AA"/>
    <w:rsid w:val="00E2039E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9C83"/>
  <w15:chartTrackingRefBased/>
  <w15:docId w15:val="{3EF964E8-B83D-4399-B1AB-283560DF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A57EF3"/>
    <w:pPr>
      <w:widowControl w:val="0"/>
      <w:autoSpaceDE w:val="0"/>
      <w:autoSpaceDN w:val="0"/>
    </w:pPr>
    <w:rPr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A57EF3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57EF3"/>
    <w:pPr>
      <w:widowControl w:val="0"/>
      <w:autoSpaceDE w:val="0"/>
      <w:autoSpaceDN w:val="0"/>
      <w:spacing w:before="51"/>
      <w:jc w:val="center"/>
    </w:pPr>
    <w:rPr>
      <w:sz w:val="22"/>
      <w:szCs w:val="22"/>
    </w:rPr>
  </w:style>
  <w:style w:type="table" w:customStyle="1" w:styleId="TableNormal1">
    <w:name w:val="Table Normal1"/>
    <w:uiPriority w:val="2"/>
    <w:semiHidden/>
    <w:qFormat/>
    <w:rsid w:val="00A57E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  <w:rsid w:val="00A57EF3"/>
    <w:pPr>
      <w:widowControl w:val="0"/>
      <w:autoSpaceDE w:val="0"/>
      <w:autoSpaceDN w:val="0"/>
      <w:ind w:left="685" w:hanging="567"/>
    </w:pPr>
    <w:rPr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A57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0</TotalTime>
  <Pages>11</Pages>
  <Words>2897</Words>
  <Characters>19399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2024011679 pkt. 6.3 ændret fra 30 måneder til 3 år.</dc:description>
  <cp:lastModifiedBy>Helle Søndersted</cp:lastModifiedBy>
  <cp:revision>2</cp:revision>
  <cp:lastPrinted>2012-08-22T08:53:00Z</cp:lastPrinted>
  <dcterms:created xsi:type="dcterms:W3CDTF">2024-07-01T09:30:00Z</dcterms:created>
  <dcterms:modified xsi:type="dcterms:W3CDTF">2024-07-01T09:30:00Z</dcterms:modified>
</cp:coreProperties>
</file>