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91F0" w14:textId="3829BC40" w:rsidR="009260DE" w:rsidRPr="002E2C0F" w:rsidRDefault="0021526C" w:rsidP="0075402E">
      <w:pPr>
        <w:rPr>
          <w:b/>
          <w:sz w:val="24"/>
          <w:szCs w:val="24"/>
        </w:rPr>
      </w:pPr>
      <w:bookmarkStart w:id="0" w:name="_GoBack"/>
      <w:bookmarkEnd w:id="0"/>
      <w:r w:rsidRPr="002E2C0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C324EFD" wp14:editId="010CF21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2E2C0F">
        <w:rPr>
          <w:sz w:val="24"/>
          <w:szCs w:val="24"/>
        </w:rPr>
        <w:br w:type="textWrapping" w:clear="all"/>
      </w:r>
    </w:p>
    <w:p w14:paraId="153765AE" w14:textId="2C6C37C6" w:rsidR="009260DE" w:rsidRPr="002E2C0F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2E2C0F">
        <w:rPr>
          <w:b w:val="0"/>
          <w:szCs w:val="24"/>
          <w:lang w:eastAsia="en-US"/>
        </w:rPr>
        <w:tab/>
      </w:r>
      <w:r w:rsidR="00734825">
        <w:rPr>
          <w:szCs w:val="24"/>
        </w:rPr>
        <w:t>15. maj 2025</w:t>
      </w:r>
    </w:p>
    <w:p w14:paraId="09446E40" w14:textId="77777777" w:rsidR="009260DE" w:rsidRPr="002E2C0F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1463CE8" w14:textId="77777777" w:rsidR="009260DE" w:rsidRPr="002E2C0F" w:rsidRDefault="009260DE" w:rsidP="009260DE">
      <w:pPr>
        <w:pStyle w:val="Titel"/>
        <w:jc w:val="left"/>
        <w:rPr>
          <w:b w:val="0"/>
          <w:szCs w:val="24"/>
        </w:rPr>
      </w:pPr>
    </w:p>
    <w:p w14:paraId="1E9B57D7" w14:textId="77777777" w:rsidR="009260DE" w:rsidRPr="002E2C0F" w:rsidRDefault="009260DE" w:rsidP="009260DE">
      <w:pPr>
        <w:pStyle w:val="Titel"/>
        <w:jc w:val="left"/>
        <w:rPr>
          <w:b w:val="0"/>
          <w:szCs w:val="24"/>
        </w:rPr>
      </w:pPr>
    </w:p>
    <w:p w14:paraId="4885987D" w14:textId="77777777" w:rsidR="009260DE" w:rsidRPr="002E2C0F" w:rsidRDefault="009260DE" w:rsidP="009260DE">
      <w:pPr>
        <w:jc w:val="center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PRODUKTRESUMÉ</w:t>
      </w:r>
    </w:p>
    <w:p w14:paraId="4837D4E4" w14:textId="77777777" w:rsidR="009260DE" w:rsidRPr="002E2C0F" w:rsidRDefault="009260DE" w:rsidP="009260DE">
      <w:pPr>
        <w:jc w:val="center"/>
        <w:rPr>
          <w:b/>
          <w:sz w:val="24"/>
          <w:szCs w:val="24"/>
        </w:rPr>
      </w:pPr>
    </w:p>
    <w:p w14:paraId="20EF14BC" w14:textId="77777777" w:rsidR="009260DE" w:rsidRPr="002E2C0F" w:rsidRDefault="009260DE" w:rsidP="009260DE">
      <w:pPr>
        <w:jc w:val="center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for</w:t>
      </w:r>
    </w:p>
    <w:p w14:paraId="0EFB24FA" w14:textId="77777777" w:rsidR="000B058C" w:rsidRPr="002E2C0F" w:rsidRDefault="000B058C" w:rsidP="009260DE">
      <w:pPr>
        <w:jc w:val="center"/>
        <w:rPr>
          <w:b/>
          <w:sz w:val="24"/>
          <w:szCs w:val="24"/>
        </w:rPr>
      </w:pPr>
    </w:p>
    <w:p w14:paraId="53C63288" w14:textId="511D3372" w:rsidR="009260DE" w:rsidRPr="002E2C0F" w:rsidRDefault="00A003CA" w:rsidP="009260DE">
      <w:pPr>
        <w:jc w:val="center"/>
        <w:rPr>
          <w:b/>
          <w:sz w:val="24"/>
          <w:szCs w:val="24"/>
        </w:rPr>
      </w:pPr>
      <w:proofErr w:type="spellStart"/>
      <w:r w:rsidRPr="002E2C0F">
        <w:rPr>
          <w:b/>
          <w:sz w:val="24"/>
          <w:szCs w:val="24"/>
        </w:rPr>
        <w:t>Veluna</w:t>
      </w:r>
      <w:proofErr w:type="spellEnd"/>
      <w:r w:rsidRPr="002E2C0F">
        <w:rPr>
          <w:b/>
          <w:sz w:val="24"/>
          <w:szCs w:val="24"/>
        </w:rPr>
        <w:t>, oral opløsning</w:t>
      </w:r>
    </w:p>
    <w:p w14:paraId="758D6F95" w14:textId="77777777" w:rsidR="009260DE" w:rsidRPr="002E2C0F" w:rsidRDefault="009260DE" w:rsidP="009260DE">
      <w:pPr>
        <w:jc w:val="both"/>
        <w:rPr>
          <w:sz w:val="24"/>
          <w:szCs w:val="24"/>
        </w:rPr>
      </w:pPr>
    </w:p>
    <w:p w14:paraId="4DFEA1B6" w14:textId="77777777" w:rsidR="009260DE" w:rsidRPr="002E2C0F" w:rsidRDefault="009260DE" w:rsidP="009260DE">
      <w:pPr>
        <w:jc w:val="both"/>
        <w:rPr>
          <w:sz w:val="24"/>
          <w:szCs w:val="24"/>
        </w:rPr>
      </w:pPr>
    </w:p>
    <w:p w14:paraId="3C8EA340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0.</w:t>
      </w:r>
      <w:r w:rsidRPr="002E2C0F">
        <w:rPr>
          <w:b/>
          <w:sz w:val="24"/>
          <w:szCs w:val="24"/>
        </w:rPr>
        <w:tab/>
        <w:t>D.SP.NR.</w:t>
      </w:r>
    </w:p>
    <w:p w14:paraId="4719A9D0" w14:textId="122A0B6F" w:rsidR="009260DE" w:rsidRPr="002E2C0F" w:rsidRDefault="00A003CA" w:rsidP="009260DE">
      <w:pPr>
        <w:tabs>
          <w:tab w:val="left" w:pos="851"/>
        </w:tabs>
        <w:ind w:left="851"/>
        <w:rPr>
          <w:sz w:val="24"/>
          <w:szCs w:val="24"/>
        </w:rPr>
      </w:pPr>
      <w:r w:rsidRPr="002E2C0F">
        <w:rPr>
          <w:sz w:val="24"/>
          <w:szCs w:val="24"/>
        </w:rPr>
        <w:t>34284</w:t>
      </w:r>
    </w:p>
    <w:p w14:paraId="3E94690E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8F056B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1.</w:t>
      </w:r>
      <w:r w:rsidRPr="002E2C0F">
        <w:rPr>
          <w:b/>
          <w:sz w:val="24"/>
          <w:szCs w:val="24"/>
        </w:rPr>
        <w:tab/>
        <w:t>LÆGEMIDLETS NAVN</w:t>
      </w:r>
    </w:p>
    <w:p w14:paraId="2FCFB0B7" w14:textId="14AE0D82" w:rsidR="009260DE" w:rsidRPr="002E2C0F" w:rsidRDefault="00A003CA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Veluna</w:t>
      </w:r>
      <w:proofErr w:type="spellEnd"/>
    </w:p>
    <w:p w14:paraId="4DBB23F6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5F7926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2.</w:t>
      </w:r>
      <w:r w:rsidRPr="002E2C0F">
        <w:rPr>
          <w:b/>
          <w:sz w:val="24"/>
          <w:szCs w:val="24"/>
        </w:rPr>
        <w:tab/>
        <w:t>KVALITATIV OG KVANTITATIV SAMMENSÆTNING</w:t>
      </w:r>
    </w:p>
    <w:p w14:paraId="67F9F1DC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Hver ml oral opløsning indeholder 360 mikrogram vandfri og eddikesyrefri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svarende til 400 mikrogram </w:t>
      </w:r>
      <w:proofErr w:type="spellStart"/>
      <w:r w:rsidRPr="002E2C0F">
        <w:rPr>
          <w:sz w:val="24"/>
          <w:szCs w:val="24"/>
        </w:rPr>
        <w:t>desmopressinacetat</w:t>
      </w:r>
      <w:proofErr w:type="spellEnd"/>
      <w:r w:rsidRPr="002E2C0F">
        <w:rPr>
          <w:sz w:val="24"/>
          <w:szCs w:val="24"/>
        </w:rPr>
        <w:t>.</w:t>
      </w:r>
    </w:p>
    <w:p w14:paraId="7AC072B0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43FCCE1C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Hjælpestoffer, som behandleren skal være opmærksom på:</w:t>
      </w:r>
    </w:p>
    <w:p w14:paraId="547BF1E5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1FBC359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Natriummethylparahydroxybenzoat</w:t>
      </w:r>
      <w:proofErr w:type="spellEnd"/>
      <w:r w:rsidRPr="002E2C0F">
        <w:rPr>
          <w:sz w:val="24"/>
          <w:szCs w:val="24"/>
        </w:rPr>
        <w:t xml:space="preserve"> (E 219): 2,1 mg/ml.</w:t>
      </w:r>
    </w:p>
    <w:p w14:paraId="2281E90D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Natriumpropylparahydroxybenzoat</w:t>
      </w:r>
      <w:proofErr w:type="spellEnd"/>
      <w:r w:rsidRPr="002E2C0F">
        <w:rPr>
          <w:sz w:val="24"/>
          <w:szCs w:val="24"/>
        </w:rPr>
        <w:t xml:space="preserve"> (E 217): 0,22 mg/ml.</w:t>
      </w:r>
    </w:p>
    <w:p w14:paraId="6CD668A5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7879625F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Alle hjælpestoffer er anført under pkt. 6.1.</w:t>
      </w:r>
    </w:p>
    <w:p w14:paraId="12D29987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58883D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3.</w:t>
      </w:r>
      <w:r w:rsidRPr="002E2C0F">
        <w:rPr>
          <w:b/>
          <w:sz w:val="24"/>
          <w:szCs w:val="24"/>
        </w:rPr>
        <w:tab/>
        <w:t>LÆGEMIDDELFORM</w:t>
      </w:r>
    </w:p>
    <w:p w14:paraId="252812AF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Oral opløsning</w:t>
      </w:r>
    </w:p>
    <w:p w14:paraId="0D6188A9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71C48100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er en klar oral opløsning.</w:t>
      </w:r>
    </w:p>
    <w:p w14:paraId="750E71F8" w14:textId="6CA40719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B12D5C" w14:textId="77777777" w:rsidR="002E2C0F" w:rsidRPr="002E2C0F" w:rsidRDefault="002E2C0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373187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</w:t>
      </w:r>
      <w:r w:rsidRPr="002E2C0F">
        <w:rPr>
          <w:b/>
          <w:sz w:val="24"/>
          <w:szCs w:val="24"/>
        </w:rPr>
        <w:tab/>
        <w:t>KLINISKE OPLYSNINGER</w:t>
      </w:r>
    </w:p>
    <w:p w14:paraId="4E73DA63" w14:textId="77777777" w:rsidR="009260DE" w:rsidRPr="002E2C0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D8DF9B5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2E2C0F">
        <w:rPr>
          <w:b/>
          <w:sz w:val="24"/>
          <w:szCs w:val="24"/>
        </w:rPr>
        <w:t>4.1</w:t>
      </w:r>
      <w:r w:rsidRPr="002E2C0F">
        <w:rPr>
          <w:b/>
          <w:sz w:val="24"/>
          <w:szCs w:val="24"/>
        </w:rPr>
        <w:tab/>
        <w:t>Terapeutiske indikationer</w:t>
      </w:r>
    </w:p>
    <w:p w14:paraId="4F1FE978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er indiceret til behandling af central diabetes </w:t>
      </w:r>
      <w:proofErr w:type="spellStart"/>
      <w:r w:rsidRPr="002E2C0F">
        <w:rPr>
          <w:sz w:val="24"/>
          <w:szCs w:val="24"/>
        </w:rPr>
        <w:t>insipidus</w:t>
      </w:r>
      <w:proofErr w:type="spellEnd"/>
      <w:r w:rsidRPr="002E2C0F">
        <w:rPr>
          <w:sz w:val="24"/>
          <w:szCs w:val="24"/>
        </w:rPr>
        <w:t xml:space="preserve"> og til behandling af primær </w:t>
      </w:r>
      <w:proofErr w:type="spellStart"/>
      <w:r w:rsidRPr="002E2C0F">
        <w:rPr>
          <w:sz w:val="24"/>
          <w:szCs w:val="24"/>
        </w:rPr>
        <w:t>enuresis</w:t>
      </w:r>
      <w:proofErr w:type="spellEnd"/>
      <w:r w:rsidRPr="002E2C0F">
        <w:rPr>
          <w:sz w:val="24"/>
          <w:szCs w:val="24"/>
        </w:rPr>
        <w:t xml:space="preserve"> </w:t>
      </w:r>
      <w:proofErr w:type="spellStart"/>
      <w:r w:rsidRPr="002E2C0F">
        <w:rPr>
          <w:sz w:val="24"/>
          <w:szCs w:val="24"/>
        </w:rPr>
        <w:t>nocturna</w:t>
      </w:r>
      <w:proofErr w:type="spellEnd"/>
      <w:r w:rsidRPr="002E2C0F">
        <w:rPr>
          <w:sz w:val="24"/>
          <w:szCs w:val="24"/>
        </w:rPr>
        <w:t xml:space="preserve"> hos patienter (over 5 år) med normal evne til at koncentrere urinen.</w:t>
      </w:r>
    </w:p>
    <w:p w14:paraId="625FE0BC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3D854F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4.2</w:t>
      </w:r>
      <w:r w:rsidRPr="002E2C0F">
        <w:rPr>
          <w:b/>
          <w:sz w:val="24"/>
          <w:szCs w:val="24"/>
        </w:rPr>
        <w:tab/>
        <w:t xml:space="preserve">Dosering og </w:t>
      </w:r>
      <w:r w:rsidR="002C1EC0" w:rsidRPr="002E2C0F">
        <w:rPr>
          <w:b/>
          <w:sz w:val="24"/>
          <w:szCs w:val="24"/>
        </w:rPr>
        <w:t>administration</w:t>
      </w:r>
    </w:p>
    <w:p w14:paraId="5B2DFB57" w14:textId="77777777" w:rsidR="002E2C0F" w:rsidRDefault="002E2C0F" w:rsidP="0075402E">
      <w:pPr>
        <w:ind w:left="851"/>
        <w:rPr>
          <w:sz w:val="24"/>
          <w:szCs w:val="24"/>
        </w:rPr>
      </w:pPr>
    </w:p>
    <w:p w14:paraId="2BE798EE" w14:textId="07261631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Dosering</w:t>
      </w:r>
    </w:p>
    <w:p w14:paraId="6EE2B5B4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Dosis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skal justeres individuelt.</w:t>
      </w:r>
    </w:p>
    <w:p w14:paraId="0A61B307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611DD81A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lastRenderedPageBreak/>
        <w:t xml:space="preserve">Diabetes </w:t>
      </w:r>
      <w:proofErr w:type="spellStart"/>
      <w:r w:rsidRPr="002E2C0F">
        <w:rPr>
          <w:sz w:val="24"/>
          <w:szCs w:val="24"/>
          <w:u w:val="single"/>
        </w:rPr>
        <w:t>insipidus</w:t>
      </w:r>
      <w:proofErr w:type="spellEnd"/>
      <w:r w:rsidRPr="002E2C0F">
        <w:rPr>
          <w:sz w:val="24"/>
          <w:szCs w:val="24"/>
          <w:u w:val="single"/>
        </w:rPr>
        <w:t>:</w:t>
      </w:r>
    </w:p>
    <w:p w14:paraId="50F83F00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</w:p>
    <w:p w14:paraId="5E95CFDF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Voksne og børn</w:t>
      </w:r>
    </w:p>
    <w:p w14:paraId="345474EE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En passende startdosis til voksne og børn er 90 mikrogram (0,25 ml) tre gange dagligt. Dosisregimet bør herefter justeres i henhold til patientens respons. Klinisk erfaring har vist, at den daglige dosis varierer mellem 180 mikrogram (0,5 ml) og 1.080 mikrogram (3 ml)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>. Vedligeholdelsesdosis for de fleste patienter er 90</w:t>
      </w:r>
      <w:r w:rsidRPr="002E2C0F">
        <w:rPr>
          <w:sz w:val="24"/>
          <w:szCs w:val="24"/>
        </w:rPr>
        <w:noBreakHyphen/>
        <w:t>180 mikrogram (0,25</w:t>
      </w:r>
      <w:r w:rsidRPr="002E2C0F">
        <w:rPr>
          <w:sz w:val="24"/>
          <w:szCs w:val="24"/>
        </w:rPr>
        <w:noBreakHyphen/>
        <w:t>0,5 ml) tre gange dagligt.</w:t>
      </w:r>
    </w:p>
    <w:p w14:paraId="27169CEA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298E774E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I tilfælde af tegn på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(hovedpine, kvalme, opkastning, vægtøgning og i alvorlige tilfælde krampeanfald) bør behandlingen midlertidigt seponeres og dosis justeres.</w:t>
      </w:r>
    </w:p>
    <w:p w14:paraId="5983AAF3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2B420E49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 xml:space="preserve">Primær </w:t>
      </w:r>
      <w:proofErr w:type="spellStart"/>
      <w:r w:rsidRPr="002E2C0F">
        <w:rPr>
          <w:sz w:val="24"/>
          <w:szCs w:val="24"/>
          <w:u w:val="single"/>
        </w:rPr>
        <w:t>enuresis</w:t>
      </w:r>
      <w:proofErr w:type="spellEnd"/>
      <w:r w:rsidRPr="002E2C0F">
        <w:rPr>
          <w:sz w:val="24"/>
          <w:szCs w:val="24"/>
          <w:u w:val="single"/>
        </w:rPr>
        <w:t xml:space="preserve"> </w:t>
      </w:r>
      <w:proofErr w:type="spellStart"/>
      <w:r w:rsidRPr="002E2C0F">
        <w:rPr>
          <w:sz w:val="24"/>
          <w:szCs w:val="24"/>
          <w:u w:val="single"/>
        </w:rPr>
        <w:t>nocturna</w:t>
      </w:r>
      <w:proofErr w:type="spellEnd"/>
      <w:r w:rsidRPr="002E2C0F">
        <w:rPr>
          <w:sz w:val="24"/>
          <w:szCs w:val="24"/>
          <w:u w:val="single"/>
        </w:rPr>
        <w:t>:</w:t>
      </w:r>
    </w:p>
    <w:p w14:paraId="202AD07A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Børn over 5 år</w:t>
      </w:r>
    </w:p>
    <w:p w14:paraId="258C9683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En passende startdosis er 180 mikrogram (0,5 ml) ved sengetid. Dosis kan øges op til 360 mikrogram (1 ml), hvis den lavere dosis ikke giver tilstrækkelig effekt.</w:t>
      </w:r>
    </w:p>
    <w:p w14:paraId="1D76F04A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76ED1268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anbefales til behandlingsperioder på tre måneder. I forbindelse med langvarig behandling bør der indføres en behandlingsfri periode på mindst én uge hver tredje måned for at vurdere, om spontan helbredelse er indtruffet.</w:t>
      </w:r>
    </w:p>
    <w:p w14:paraId="7FE82394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07A9D21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Væskeindtaget skal begrænses og overvåges.</w:t>
      </w:r>
    </w:p>
    <w:p w14:paraId="18ED706F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67FF0F04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I tilfælde af symptomer eller tegn på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(hovedpine, kvalme, opkastning, vægtøgning og i alvorlige tilfælde krampeanfald, koma) bør behandlingen seponeres, indtil patienten er kommet sig helt. Når behandlingen genoptages, skal begrænsningen for væskeindtag overholdes (se pkt. 4.4).</w:t>
      </w:r>
    </w:p>
    <w:p w14:paraId="3EEFEB3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5205463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Hvis den ønskede kliniske effekt ikke opnås efter 4 ugers dosistitrering, bør behandlingen seponeres.</w:t>
      </w:r>
    </w:p>
    <w:p w14:paraId="1452098C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2A450073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Særlige populationer</w:t>
      </w:r>
    </w:p>
    <w:p w14:paraId="342F0548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0AEA7C44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i/>
          <w:iCs/>
          <w:sz w:val="24"/>
          <w:szCs w:val="24"/>
        </w:rPr>
        <w:t>Ældre:</w:t>
      </w:r>
    </w:p>
    <w:p w14:paraId="60ADFFC3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Behandling af ældre patienter (≥ 65 år) frarådes. Hvis lægen alligevel vælger at ordinere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, skal patienten følges tæt på grund af den øgede risiko for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>. Serumnatrium bør måles ved behandlingsstart, tre dage efter påbegyndelse af behandlingen eller ved hver dosisøgning samt regelmæssigt ved langvarig behandling.</w:t>
      </w:r>
    </w:p>
    <w:p w14:paraId="0E39CB7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5A40203F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i/>
          <w:iCs/>
          <w:sz w:val="24"/>
          <w:szCs w:val="24"/>
        </w:rPr>
        <w:t>Nedsat nyrefunktion,</w:t>
      </w:r>
      <w:r w:rsidRPr="002E2C0F">
        <w:rPr>
          <w:sz w:val="24"/>
          <w:szCs w:val="24"/>
        </w:rPr>
        <w:t xml:space="preserve"> se pkt. 4.3.</w:t>
      </w:r>
    </w:p>
    <w:p w14:paraId="692206AC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5966E301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i/>
          <w:iCs/>
          <w:sz w:val="24"/>
          <w:szCs w:val="24"/>
        </w:rPr>
        <w:t>Nedsat leverfunktion,</w:t>
      </w:r>
      <w:r w:rsidRPr="002E2C0F">
        <w:rPr>
          <w:sz w:val="24"/>
          <w:szCs w:val="24"/>
        </w:rPr>
        <w:t xml:space="preserve"> se pkt. 4.5.</w:t>
      </w:r>
    </w:p>
    <w:p w14:paraId="5B1F7421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60B6FCDD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Administration</w:t>
      </w:r>
    </w:p>
    <w:p w14:paraId="670F932F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er til oral anvendelse.</w:t>
      </w:r>
    </w:p>
    <w:p w14:paraId="5B8E574D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bør ikke indtages i forbindelse med måltider.</w:t>
      </w:r>
    </w:p>
    <w:p w14:paraId="5AFAA7DE" w14:textId="6927255F" w:rsidR="00AD1C2C" w:rsidRDefault="00AD1C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D1A879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06E6A2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4.3</w:t>
      </w:r>
      <w:r w:rsidRPr="002E2C0F">
        <w:rPr>
          <w:b/>
          <w:sz w:val="24"/>
          <w:szCs w:val="24"/>
        </w:rPr>
        <w:tab/>
        <w:t>Kontraindikationer</w:t>
      </w:r>
    </w:p>
    <w:p w14:paraId="6C9DE07E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>Overfølsomhed over for det aktive stof eller over for et eller flere af hjælpestofferne anført i pkt. 6.1.</w:t>
      </w:r>
    </w:p>
    <w:p w14:paraId="7FBA3469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>Psykogen eller habituel polydipsi (der resulterer i en urinproduktion på mere end 40 ml/kg/24 timer).</w:t>
      </w:r>
    </w:p>
    <w:p w14:paraId="25799D0D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 xml:space="preserve">Hjerteinsufficiens i anamnesen, kendt hjerteinsufficiens eller andre tilstande, der kræver behandling med </w:t>
      </w:r>
      <w:proofErr w:type="spellStart"/>
      <w:r w:rsidRPr="002E2C0F">
        <w:rPr>
          <w:sz w:val="24"/>
          <w:szCs w:val="24"/>
        </w:rPr>
        <w:t>diuretika</w:t>
      </w:r>
      <w:proofErr w:type="spellEnd"/>
      <w:r w:rsidRPr="002E2C0F">
        <w:rPr>
          <w:sz w:val="24"/>
          <w:szCs w:val="24"/>
        </w:rPr>
        <w:t>.</w:t>
      </w:r>
    </w:p>
    <w:p w14:paraId="458ACDC5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eller prædisposition for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>.</w:t>
      </w:r>
    </w:p>
    <w:p w14:paraId="7904D46E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>Moderat eller svær nyreinsufficiens (</w:t>
      </w:r>
      <w:proofErr w:type="spellStart"/>
      <w:r w:rsidRPr="002E2C0F">
        <w:rPr>
          <w:sz w:val="24"/>
          <w:szCs w:val="24"/>
        </w:rPr>
        <w:t>kreatininclearance</w:t>
      </w:r>
      <w:proofErr w:type="spellEnd"/>
      <w:r w:rsidRPr="002E2C0F">
        <w:rPr>
          <w:sz w:val="24"/>
          <w:szCs w:val="24"/>
        </w:rPr>
        <w:t xml:space="preserve"> &lt; 50 ml/min).</w:t>
      </w:r>
    </w:p>
    <w:p w14:paraId="4956864F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 xml:space="preserve">Syndrom med utilstrækkelig produktion af </w:t>
      </w:r>
      <w:bookmarkStart w:id="1" w:name="_Hlk195693158"/>
      <w:r w:rsidRPr="002E2C0F">
        <w:rPr>
          <w:sz w:val="24"/>
          <w:szCs w:val="24"/>
        </w:rPr>
        <w:t>antidiuretisk hormon</w:t>
      </w:r>
      <w:bookmarkEnd w:id="1"/>
      <w:r w:rsidRPr="002E2C0F">
        <w:rPr>
          <w:sz w:val="24"/>
          <w:szCs w:val="24"/>
        </w:rPr>
        <w:t xml:space="preserve"> (SIADH) – en lidelse, der involverer uhensigtsmæssig høj produktion af antidiuretisk hormon.</w:t>
      </w:r>
    </w:p>
    <w:p w14:paraId="176B5267" w14:textId="77777777" w:rsidR="00022CB6" w:rsidRPr="002E2C0F" w:rsidRDefault="00022CB6" w:rsidP="002E2C0F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>Manglende evne hos patienten til at begrænse væskeindtag, f.eks. ved kognitive forstyrrelser, neurologiske sygdomme eller demens.</w:t>
      </w:r>
    </w:p>
    <w:p w14:paraId="5ED00C35" w14:textId="77777777" w:rsidR="002E2C0F" w:rsidRPr="002E2C0F" w:rsidRDefault="002E2C0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B5B211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4.4</w:t>
      </w:r>
      <w:r w:rsidRPr="002E2C0F">
        <w:rPr>
          <w:b/>
          <w:sz w:val="24"/>
          <w:szCs w:val="24"/>
        </w:rPr>
        <w:tab/>
        <w:t>Særlige advarsler og forsigtighedsregler vedrørende brugen</w:t>
      </w:r>
    </w:p>
    <w:p w14:paraId="08B2F5D7" w14:textId="77777777" w:rsidR="002E2C0F" w:rsidRDefault="002E2C0F" w:rsidP="0075402E">
      <w:pPr>
        <w:ind w:left="851"/>
        <w:rPr>
          <w:sz w:val="24"/>
          <w:szCs w:val="24"/>
        </w:rPr>
      </w:pPr>
    </w:p>
    <w:p w14:paraId="767D507E" w14:textId="6E71395F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Særlige advarsler</w:t>
      </w:r>
    </w:p>
    <w:p w14:paraId="4085F413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Ved behandling af primær </w:t>
      </w:r>
      <w:proofErr w:type="spellStart"/>
      <w:r w:rsidRPr="002E2C0F">
        <w:rPr>
          <w:sz w:val="24"/>
          <w:szCs w:val="24"/>
        </w:rPr>
        <w:t>enuresis</w:t>
      </w:r>
      <w:proofErr w:type="spellEnd"/>
      <w:r w:rsidRPr="002E2C0F">
        <w:rPr>
          <w:sz w:val="24"/>
          <w:szCs w:val="24"/>
        </w:rPr>
        <w:t xml:space="preserve"> </w:t>
      </w:r>
      <w:proofErr w:type="spellStart"/>
      <w:r w:rsidRPr="002E2C0F">
        <w:rPr>
          <w:sz w:val="24"/>
          <w:szCs w:val="24"/>
        </w:rPr>
        <w:t>nocturna</w:t>
      </w:r>
      <w:proofErr w:type="spellEnd"/>
      <w:r w:rsidRPr="002E2C0F">
        <w:rPr>
          <w:sz w:val="24"/>
          <w:szCs w:val="24"/>
        </w:rPr>
        <w:t xml:space="preserve"> og </w:t>
      </w:r>
      <w:proofErr w:type="spellStart"/>
      <w:r w:rsidRPr="002E2C0F">
        <w:rPr>
          <w:sz w:val="24"/>
          <w:szCs w:val="24"/>
        </w:rPr>
        <w:t>nykturi</w:t>
      </w:r>
      <w:proofErr w:type="spellEnd"/>
      <w:r w:rsidRPr="002E2C0F">
        <w:rPr>
          <w:sz w:val="24"/>
          <w:szCs w:val="24"/>
        </w:rPr>
        <w:t xml:space="preserve"> skal væskeindtaget begrænses fra 1 time før administration til næste morgen (mindst 8 timer).</w:t>
      </w:r>
    </w:p>
    <w:p w14:paraId="6DF151F2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Behandling uden samtidig væskereduktion kan resultere i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med eller uden advarselstegn eller </w:t>
      </w:r>
      <w:r w:rsidRPr="002E2C0F">
        <w:rPr>
          <w:sz w:val="24"/>
          <w:szCs w:val="24"/>
        </w:rPr>
        <w:noBreakHyphen/>
        <w:t>symptomer (hovedpine, kvalme/opkastning, ødem, vægtøgning og i alvorlige tilfælde cerebralt ødem, krampeanfald og koma). Se pkt. 4.8.</w:t>
      </w:r>
    </w:p>
    <w:p w14:paraId="5DE190F8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1837534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Ældre personer og patienter med lavt serumnatrium kan have en øget risiko for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>.</w:t>
      </w:r>
    </w:p>
    <w:p w14:paraId="1B341014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7598DFB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Ved sygdomme kendetegnet ved væske</w:t>
      </w:r>
      <w:r w:rsidRPr="002E2C0F">
        <w:rPr>
          <w:sz w:val="24"/>
          <w:szCs w:val="24"/>
        </w:rPr>
        <w:noBreakHyphen/>
        <w:t xml:space="preserve"> og/eller elektrolytforstyrrelser bør behandlingen med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seponeres (f.eks. i tilfælde af systemiske infektioner, feber eller </w:t>
      </w:r>
      <w:proofErr w:type="spellStart"/>
      <w:r w:rsidRPr="002E2C0F">
        <w:rPr>
          <w:sz w:val="24"/>
          <w:szCs w:val="24"/>
        </w:rPr>
        <w:t>gastroenteritis</w:t>
      </w:r>
      <w:proofErr w:type="spellEnd"/>
      <w:r w:rsidRPr="002E2C0F">
        <w:rPr>
          <w:sz w:val="24"/>
          <w:szCs w:val="24"/>
        </w:rPr>
        <w:t>).</w:t>
      </w:r>
    </w:p>
    <w:p w14:paraId="01A8B14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FA685A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Alvorlig blæredysfunktion og udløbsobstruktion bør tages i betragtning, før behandlingen påbegyndes.</w:t>
      </w:r>
    </w:p>
    <w:p w14:paraId="726237B9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D00BAA1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Cerebralt ødem er gentagne gange blevet rapporteret hos børn og unge voksne, der er blevet behandlet med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mod </w:t>
      </w:r>
      <w:proofErr w:type="spellStart"/>
      <w:r w:rsidRPr="002E2C0F">
        <w:rPr>
          <w:sz w:val="24"/>
          <w:szCs w:val="24"/>
        </w:rPr>
        <w:t>enuresis</w:t>
      </w:r>
      <w:proofErr w:type="spellEnd"/>
      <w:r w:rsidRPr="002E2C0F">
        <w:rPr>
          <w:sz w:val="24"/>
          <w:szCs w:val="24"/>
        </w:rPr>
        <w:t xml:space="preserve"> </w:t>
      </w:r>
      <w:proofErr w:type="spellStart"/>
      <w:r w:rsidRPr="002E2C0F">
        <w:rPr>
          <w:sz w:val="24"/>
          <w:szCs w:val="24"/>
        </w:rPr>
        <w:t>nocturna</w:t>
      </w:r>
      <w:proofErr w:type="spellEnd"/>
      <w:r w:rsidRPr="002E2C0F">
        <w:rPr>
          <w:sz w:val="24"/>
          <w:szCs w:val="24"/>
        </w:rPr>
        <w:t>.</w:t>
      </w:r>
    </w:p>
    <w:p w14:paraId="6004873B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28C4CCFC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Der bør udvises særlig forsigtighed med væskeindtag hos patienter med væske- og/eller elektrolytforstyrrelser (f.eks. ved systemisk infektion, feber eller SIADH) samt hos patienter med risiko for forhøjet </w:t>
      </w:r>
      <w:proofErr w:type="spellStart"/>
      <w:r w:rsidRPr="002E2C0F">
        <w:rPr>
          <w:sz w:val="24"/>
          <w:szCs w:val="24"/>
        </w:rPr>
        <w:t>intrakranielt</w:t>
      </w:r>
      <w:proofErr w:type="spellEnd"/>
      <w:r w:rsidRPr="002E2C0F">
        <w:rPr>
          <w:sz w:val="24"/>
          <w:szCs w:val="24"/>
        </w:rPr>
        <w:t xml:space="preserve"> tryk. Væskeretention kan let overvåges ved vejning af patienten eller ved måling af plasmanatrium og </w:t>
      </w:r>
      <w:proofErr w:type="spellStart"/>
      <w:r w:rsidRPr="002E2C0F">
        <w:rPr>
          <w:sz w:val="24"/>
          <w:szCs w:val="24"/>
        </w:rPr>
        <w:t>plasmaosmolalitet</w:t>
      </w:r>
      <w:proofErr w:type="spellEnd"/>
      <w:r w:rsidRPr="002E2C0F">
        <w:rPr>
          <w:sz w:val="24"/>
          <w:szCs w:val="24"/>
        </w:rPr>
        <w:t>.</w:t>
      </w:r>
    </w:p>
    <w:p w14:paraId="20F89E44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7CDC4B73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Under behandling med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kan overvågning af kropsvægt, serumnatrium og/eller blodtryk være nødvendig.</w:t>
      </w:r>
    </w:p>
    <w:p w14:paraId="2A477630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28DC936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For at undgå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skal der udvises særlig forsigtighed, herunder væskerestriktion og hyppig kontrol af serumnatrium, i følgende tilfælde:</w:t>
      </w:r>
    </w:p>
    <w:p w14:paraId="646CD1D0" w14:textId="77777777" w:rsidR="00022CB6" w:rsidRPr="002E2C0F" w:rsidRDefault="00022CB6" w:rsidP="002E2C0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>tilstande kendetegnet ved væske</w:t>
      </w:r>
      <w:r w:rsidRPr="002E2C0F">
        <w:rPr>
          <w:sz w:val="24"/>
          <w:szCs w:val="24"/>
        </w:rPr>
        <w:noBreakHyphen/>
        <w:t xml:space="preserve"> og/eller elektrolytforstyrrelser, såsom systemiske infektioner, feber, </w:t>
      </w:r>
      <w:proofErr w:type="spellStart"/>
      <w:r w:rsidRPr="002E2C0F">
        <w:rPr>
          <w:sz w:val="24"/>
          <w:szCs w:val="24"/>
        </w:rPr>
        <w:t>gastroenteritis</w:t>
      </w:r>
      <w:proofErr w:type="spellEnd"/>
      <w:r w:rsidRPr="002E2C0F">
        <w:rPr>
          <w:sz w:val="24"/>
          <w:szCs w:val="24"/>
        </w:rPr>
        <w:t xml:space="preserve"> og SIADH (syndrom med utilstrækkelig produktion af antidiuretisk hormon)</w:t>
      </w:r>
    </w:p>
    <w:p w14:paraId="3DBA176B" w14:textId="77777777" w:rsidR="00022CB6" w:rsidRPr="002E2C0F" w:rsidRDefault="00022CB6" w:rsidP="002E2C0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 xml:space="preserve">tilstande, hvor samtidig behandling med </w:t>
      </w:r>
      <w:proofErr w:type="spellStart"/>
      <w:r w:rsidRPr="002E2C0F">
        <w:rPr>
          <w:sz w:val="24"/>
          <w:szCs w:val="24"/>
        </w:rPr>
        <w:t>diuretika</w:t>
      </w:r>
      <w:proofErr w:type="spellEnd"/>
      <w:r w:rsidRPr="002E2C0F">
        <w:rPr>
          <w:sz w:val="24"/>
          <w:szCs w:val="24"/>
        </w:rPr>
        <w:t xml:space="preserve"> er påkrævet</w:t>
      </w:r>
    </w:p>
    <w:p w14:paraId="27212B34" w14:textId="77777777" w:rsidR="00022CB6" w:rsidRPr="002E2C0F" w:rsidRDefault="00022CB6" w:rsidP="002E2C0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 xml:space="preserve">samtidig behandling med lægemidler, der kan inducere SIADH, såsom tricykliske </w:t>
      </w:r>
      <w:proofErr w:type="spellStart"/>
      <w:r w:rsidRPr="002E2C0F">
        <w:rPr>
          <w:sz w:val="24"/>
          <w:szCs w:val="24"/>
        </w:rPr>
        <w:t>antidepressiva</w:t>
      </w:r>
      <w:proofErr w:type="spellEnd"/>
      <w:r w:rsidRPr="002E2C0F">
        <w:rPr>
          <w:sz w:val="24"/>
          <w:szCs w:val="24"/>
        </w:rPr>
        <w:t xml:space="preserve">, selektive </w:t>
      </w:r>
      <w:proofErr w:type="spellStart"/>
      <w:r w:rsidRPr="002E2C0F">
        <w:rPr>
          <w:sz w:val="24"/>
          <w:szCs w:val="24"/>
        </w:rPr>
        <w:t>serotoningenoptagshæmmere</w:t>
      </w:r>
      <w:proofErr w:type="spellEnd"/>
      <w:r w:rsidRPr="002E2C0F">
        <w:rPr>
          <w:sz w:val="24"/>
          <w:szCs w:val="24"/>
        </w:rPr>
        <w:t xml:space="preserve"> (</w:t>
      </w:r>
      <w:proofErr w:type="spellStart"/>
      <w:r w:rsidRPr="002E2C0F">
        <w:rPr>
          <w:sz w:val="24"/>
          <w:szCs w:val="24"/>
        </w:rPr>
        <w:t>SSRI’er</w:t>
      </w:r>
      <w:proofErr w:type="spellEnd"/>
      <w:r w:rsidRPr="002E2C0F">
        <w:rPr>
          <w:sz w:val="24"/>
          <w:szCs w:val="24"/>
        </w:rPr>
        <w:t xml:space="preserve">), </w:t>
      </w:r>
      <w:proofErr w:type="spellStart"/>
      <w:r w:rsidRPr="002E2C0F">
        <w:rPr>
          <w:sz w:val="24"/>
          <w:szCs w:val="24"/>
        </w:rPr>
        <w:t>chlorpromazin</w:t>
      </w:r>
      <w:proofErr w:type="spellEnd"/>
      <w:r w:rsidRPr="002E2C0F">
        <w:rPr>
          <w:sz w:val="24"/>
          <w:szCs w:val="24"/>
        </w:rPr>
        <w:t xml:space="preserve"> og </w:t>
      </w:r>
      <w:proofErr w:type="spellStart"/>
      <w:r w:rsidRPr="002E2C0F">
        <w:rPr>
          <w:sz w:val="24"/>
          <w:szCs w:val="24"/>
        </w:rPr>
        <w:t>carbamazepin</w:t>
      </w:r>
      <w:proofErr w:type="spellEnd"/>
      <w:r w:rsidRPr="002E2C0F">
        <w:rPr>
          <w:sz w:val="24"/>
          <w:szCs w:val="24"/>
        </w:rPr>
        <w:t>)</w:t>
      </w:r>
    </w:p>
    <w:p w14:paraId="3E8340BC" w14:textId="77777777" w:rsidR="00022CB6" w:rsidRPr="002E2C0F" w:rsidRDefault="00022CB6" w:rsidP="002E2C0F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2E2C0F">
        <w:rPr>
          <w:sz w:val="24"/>
          <w:szCs w:val="24"/>
        </w:rPr>
        <w:t>samtidig behandling med non-</w:t>
      </w:r>
      <w:proofErr w:type="spellStart"/>
      <w:r w:rsidRPr="002E2C0F">
        <w:rPr>
          <w:sz w:val="24"/>
          <w:szCs w:val="24"/>
        </w:rPr>
        <w:t>steroide</w:t>
      </w:r>
      <w:proofErr w:type="spellEnd"/>
      <w:r w:rsidRPr="002E2C0F">
        <w:rPr>
          <w:sz w:val="24"/>
          <w:szCs w:val="24"/>
        </w:rPr>
        <w:t xml:space="preserve"> antiinflammatoriske midler (</w:t>
      </w:r>
      <w:proofErr w:type="spellStart"/>
      <w:r w:rsidRPr="002E2C0F">
        <w:rPr>
          <w:sz w:val="24"/>
          <w:szCs w:val="24"/>
        </w:rPr>
        <w:t>NSAID’er</w:t>
      </w:r>
      <w:proofErr w:type="spellEnd"/>
      <w:r w:rsidRPr="002E2C0F">
        <w:rPr>
          <w:sz w:val="24"/>
          <w:szCs w:val="24"/>
        </w:rPr>
        <w:t>).</w:t>
      </w:r>
    </w:p>
    <w:p w14:paraId="4C5733C7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486A3E12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Advarsler vedrørende hjælpestoffer:</w:t>
      </w:r>
    </w:p>
    <w:p w14:paraId="2EDC1E25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Dette lægemiddel indeholder </w:t>
      </w:r>
      <w:proofErr w:type="spellStart"/>
      <w:r w:rsidRPr="002E2C0F">
        <w:rPr>
          <w:sz w:val="24"/>
          <w:szCs w:val="24"/>
        </w:rPr>
        <w:t>natriummethylparahydroxybenzoat</w:t>
      </w:r>
      <w:proofErr w:type="spellEnd"/>
      <w:r w:rsidRPr="002E2C0F">
        <w:rPr>
          <w:sz w:val="24"/>
          <w:szCs w:val="24"/>
        </w:rPr>
        <w:t xml:space="preserve"> (E 219) og </w:t>
      </w:r>
      <w:proofErr w:type="spellStart"/>
      <w:r w:rsidRPr="002E2C0F">
        <w:rPr>
          <w:sz w:val="24"/>
          <w:szCs w:val="24"/>
        </w:rPr>
        <w:t>natriumpropylparahydroxybenzoat</w:t>
      </w:r>
      <w:proofErr w:type="spellEnd"/>
      <w:r w:rsidRPr="002E2C0F">
        <w:rPr>
          <w:sz w:val="24"/>
          <w:szCs w:val="24"/>
        </w:rPr>
        <w:t xml:space="preserve"> (E 217), som kan medføre allergiske reaktioner (eventuelt forsinkede).</w:t>
      </w:r>
    </w:p>
    <w:p w14:paraId="4D7D309B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56BE88DE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Dette lægemiddel indeholder mindre end 1 mmol (23 mg) natrium pr. ml, dvs. det er i det væsentlige natriumfrit.</w:t>
      </w:r>
    </w:p>
    <w:p w14:paraId="0882C81E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43E1F2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4.5</w:t>
      </w:r>
      <w:r w:rsidRPr="002E2C0F">
        <w:rPr>
          <w:b/>
          <w:sz w:val="24"/>
          <w:szCs w:val="24"/>
        </w:rPr>
        <w:tab/>
        <w:t>Interaktion med andre lægemidler og andre former for interaktion</w:t>
      </w:r>
    </w:p>
    <w:p w14:paraId="7E2A2A28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Samtidig behandling med </w:t>
      </w:r>
      <w:proofErr w:type="spellStart"/>
      <w:r w:rsidRPr="002E2C0F">
        <w:rPr>
          <w:sz w:val="24"/>
          <w:szCs w:val="24"/>
        </w:rPr>
        <w:t>diuretika</w:t>
      </w:r>
      <w:proofErr w:type="spellEnd"/>
      <w:r w:rsidRPr="002E2C0F">
        <w:rPr>
          <w:sz w:val="24"/>
          <w:szCs w:val="24"/>
        </w:rPr>
        <w:t xml:space="preserve"> er kontraindiceret (se pkt. 4.3).</w:t>
      </w:r>
    </w:p>
    <w:p w14:paraId="32A0308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467359FA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Lægemidler, der er kendt for at påvirke frigivelsen af antidiuretisk hormon (såsom tricykliske </w:t>
      </w:r>
      <w:proofErr w:type="spellStart"/>
      <w:r w:rsidRPr="002E2C0F">
        <w:rPr>
          <w:sz w:val="24"/>
          <w:szCs w:val="24"/>
        </w:rPr>
        <w:t>antidepressiva</w:t>
      </w:r>
      <w:proofErr w:type="spellEnd"/>
      <w:r w:rsidRPr="002E2C0F">
        <w:rPr>
          <w:sz w:val="24"/>
          <w:szCs w:val="24"/>
        </w:rPr>
        <w:t xml:space="preserve">, </w:t>
      </w:r>
      <w:proofErr w:type="spellStart"/>
      <w:r w:rsidRPr="002E2C0F">
        <w:rPr>
          <w:sz w:val="24"/>
          <w:szCs w:val="24"/>
        </w:rPr>
        <w:t>SSRI’er</w:t>
      </w:r>
      <w:proofErr w:type="spellEnd"/>
      <w:r w:rsidRPr="002E2C0F">
        <w:rPr>
          <w:sz w:val="24"/>
          <w:szCs w:val="24"/>
        </w:rPr>
        <w:t xml:space="preserve">, </w:t>
      </w:r>
      <w:proofErr w:type="spellStart"/>
      <w:r w:rsidRPr="002E2C0F">
        <w:rPr>
          <w:sz w:val="24"/>
          <w:szCs w:val="24"/>
        </w:rPr>
        <w:t>chlorpromazin</w:t>
      </w:r>
      <w:proofErr w:type="spellEnd"/>
      <w:r w:rsidRPr="002E2C0F">
        <w:rPr>
          <w:sz w:val="24"/>
          <w:szCs w:val="24"/>
        </w:rPr>
        <w:t xml:space="preserve"> og </w:t>
      </w:r>
      <w:proofErr w:type="spellStart"/>
      <w:r w:rsidRPr="002E2C0F">
        <w:rPr>
          <w:sz w:val="24"/>
          <w:szCs w:val="24"/>
        </w:rPr>
        <w:t>carbamazepin</w:t>
      </w:r>
      <w:proofErr w:type="spellEnd"/>
      <w:r w:rsidRPr="002E2C0F">
        <w:rPr>
          <w:sz w:val="24"/>
          <w:szCs w:val="24"/>
        </w:rPr>
        <w:t xml:space="preserve">) samt visse </w:t>
      </w:r>
      <w:proofErr w:type="spellStart"/>
      <w:r w:rsidRPr="002E2C0F">
        <w:rPr>
          <w:sz w:val="24"/>
          <w:szCs w:val="24"/>
        </w:rPr>
        <w:t>antidiabetika</w:t>
      </w:r>
      <w:proofErr w:type="spellEnd"/>
      <w:r w:rsidRPr="002E2C0F">
        <w:rPr>
          <w:sz w:val="24"/>
          <w:szCs w:val="24"/>
        </w:rPr>
        <w:t xml:space="preserve"> i </w:t>
      </w:r>
      <w:proofErr w:type="spellStart"/>
      <w:r w:rsidRPr="002E2C0F">
        <w:rPr>
          <w:sz w:val="24"/>
          <w:szCs w:val="24"/>
        </w:rPr>
        <w:t>sulfonylurin</w:t>
      </w:r>
      <w:proofErr w:type="spellEnd"/>
      <w:r w:rsidRPr="002E2C0F">
        <w:rPr>
          <w:sz w:val="24"/>
          <w:szCs w:val="24"/>
        </w:rPr>
        <w:t xml:space="preserve">-gruppen (især </w:t>
      </w:r>
      <w:proofErr w:type="spellStart"/>
      <w:r w:rsidRPr="002E2C0F">
        <w:rPr>
          <w:sz w:val="24"/>
          <w:szCs w:val="24"/>
        </w:rPr>
        <w:t>chlorpropamid</w:t>
      </w:r>
      <w:proofErr w:type="spellEnd"/>
      <w:r w:rsidRPr="002E2C0F">
        <w:rPr>
          <w:sz w:val="24"/>
          <w:szCs w:val="24"/>
        </w:rPr>
        <w:t xml:space="preserve">), kan forårsage en additiv antidiuretisk effekt, der kan føre til en øget risiko for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(se pkt. 4.4).</w:t>
      </w:r>
    </w:p>
    <w:p w14:paraId="524FB3F8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56B81D5D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NSAID’er</w:t>
      </w:r>
      <w:proofErr w:type="spellEnd"/>
      <w:r w:rsidRPr="002E2C0F">
        <w:rPr>
          <w:sz w:val="24"/>
          <w:szCs w:val="24"/>
        </w:rPr>
        <w:t xml:space="preserve"> kan inducere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(se pkt. 4.4).</w:t>
      </w:r>
    </w:p>
    <w:p w14:paraId="704B64AE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76256A2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Samtidig behandling med </w:t>
      </w:r>
      <w:proofErr w:type="spellStart"/>
      <w:r w:rsidRPr="002E2C0F">
        <w:rPr>
          <w:sz w:val="24"/>
          <w:szCs w:val="24"/>
        </w:rPr>
        <w:t>loperamid</w:t>
      </w:r>
      <w:proofErr w:type="spellEnd"/>
      <w:r w:rsidRPr="002E2C0F">
        <w:rPr>
          <w:sz w:val="24"/>
          <w:szCs w:val="24"/>
        </w:rPr>
        <w:t xml:space="preserve"> kan resultere i en tredobling af plasmakoncentrationen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, hvilket kan føre til en øget risiko for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. Det antages, at andre lægemidler, der nedsætter den </w:t>
      </w:r>
      <w:proofErr w:type="spellStart"/>
      <w:r w:rsidRPr="002E2C0F">
        <w:rPr>
          <w:sz w:val="24"/>
          <w:szCs w:val="24"/>
        </w:rPr>
        <w:t>gastrointestinale</w:t>
      </w:r>
      <w:proofErr w:type="spellEnd"/>
      <w:r w:rsidRPr="002E2C0F">
        <w:rPr>
          <w:sz w:val="24"/>
          <w:szCs w:val="24"/>
        </w:rPr>
        <w:t xml:space="preserve"> transittid, kan have samme effekt, selvom dette endnu ikke er blevet undersøgt.</w:t>
      </w:r>
    </w:p>
    <w:p w14:paraId="32A23C3A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4ED397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Det er usandsynligt, at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interagerer med lægemidler, der påvirker levermetabolismen, da </w:t>
      </w:r>
      <w:r w:rsidRPr="002E2C0F">
        <w:rPr>
          <w:i/>
          <w:iCs/>
          <w:sz w:val="24"/>
          <w:szCs w:val="24"/>
        </w:rPr>
        <w:t>in </w:t>
      </w:r>
      <w:proofErr w:type="spellStart"/>
      <w:r w:rsidRPr="002E2C0F">
        <w:rPr>
          <w:i/>
          <w:iCs/>
          <w:sz w:val="24"/>
          <w:szCs w:val="24"/>
        </w:rPr>
        <w:t>vitro</w:t>
      </w:r>
      <w:proofErr w:type="spellEnd"/>
      <w:r w:rsidRPr="002E2C0F">
        <w:rPr>
          <w:sz w:val="24"/>
          <w:szCs w:val="24"/>
        </w:rPr>
        <w:t xml:space="preserve">-studier med humane </w:t>
      </w:r>
      <w:proofErr w:type="spellStart"/>
      <w:r w:rsidRPr="002E2C0F">
        <w:rPr>
          <w:sz w:val="24"/>
          <w:szCs w:val="24"/>
        </w:rPr>
        <w:t>mikrosomer</w:t>
      </w:r>
      <w:proofErr w:type="spellEnd"/>
      <w:r w:rsidRPr="002E2C0F">
        <w:rPr>
          <w:sz w:val="24"/>
          <w:szCs w:val="24"/>
        </w:rPr>
        <w:t xml:space="preserve"> ikke har vist signifikant metabolisme i leveren. Der er dog ikke udført formelle </w:t>
      </w:r>
      <w:r w:rsidRPr="002E2C0F">
        <w:rPr>
          <w:i/>
          <w:iCs/>
          <w:sz w:val="24"/>
          <w:szCs w:val="24"/>
        </w:rPr>
        <w:t>in </w:t>
      </w:r>
      <w:proofErr w:type="spellStart"/>
      <w:r w:rsidRPr="002E2C0F">
        <w:rPr>
          <w:i/>
          <w:iCs/>
          <w:sz w:val="24"/>
          <w:szCs w:val="24"/>
        </w:rPr>
        <w:t>vivo</w:t>
      </w:r>
      <w:proofErr w:type="spellEnd"/>
      <w:r w:rsidRPr="002E2C0F">
        <w:rPr>
          <w:sz w:val="24"/>
          <w:szCs w:val="24"/>
        </w:rPr>
        <w:t>-studier.</w:t>
      </w:r>
    </w:p>
    <w:p w14:paraId="6BC24D24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8163FCA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Samtidig behandling med </w:t>
      </w:r>
      <w:proofErr w:type="spellStart"/>
      <w:r w:rsidRPr="002E2C0F">
        <w:rPr>
          <w:sz w:val="24"/>
          <w:szCs w:val="24"/>
        </w:rPr>
        <w:t>dimeticon</w:t>
      </w:r>
      <w:proofErr w:type="spellEnd"/>
      <w:r w:rsidRPr="002E2C0F">
        <w:rPr>
          <w:sz w:val="24"/>
          <w:szCs w:val="24"/>
        </w:rPr>
        <w:t xml:space="preserve"> kan reducere absorptionen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>.</w:t>
      </w:r>
    </w:p>
    <w:p w14:paraId="2899D677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0C561E8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Et standardiseret fedtholdigt måltid (27 % fedtindhold) reducerede absorptionen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i signifikant grad (både absorptionshastighed og absorptionsgrad). Der er ikke observeret signifikant effekt på </w:t>
      </w:r>
      <w:proofErr w:type="spellStart"/>
      <w:r w:rsidRPr="002E2C0F">
        <w:rPr>
          <w:sz w:val="24"/>
          <w:szCs w:val="24"/>
        </w:rPr>
        <w:t>farmakodynamikken</w:t>
      </w:r>
      <w:proofErr w:type="spellEnd"/>
      <w:r w:rsidRPr="002E2C0F">
        <w:rPr>
          <w:sz w:val="24"/>
          <w:szCs w:val="24"/>
        </w:rPr>
        <w:t xml:space="preserve"> (urinproduktion og </w:t>
      </w:r>
      <w:proofErr w:type="spellStart"/>
      <w:r w:rsidRPr="002E2C0F">
        <w:rPr>
          <w:sz w:val="24"/>
          <w:szCs w:val="24"/>
        </w:rPr>
        <w:t>osmolalitet</w:t>
      </w:r>
      <w:proofErr w:type="spellEnd"/>
      <w:r w:rsidRPr="002E2C0F">
        <w:rPr>
          <w:sz w:val="24"/>
          <w:szCs w:val="24"/>
        </w:rPr>
        <w:t>). Hvis der bemærkes nedsat effekt, bør fødeindtagelsens betydning overvejes, inden dosis øges.</w:t>
      </w:r>
    </w:p>
    <w:p w14:paraId="6EBBA934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57241B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4.6</w:t>
      </w:r>
      <w:r w:rsidRPr="002E2C0F">
        <w:rPr>
          <w:b/>
          <w:sz w:val="24"/>
          <w:szCs w:val="24"/>
        </w:rPr>
        <w:tab/>
      </w:r>
      <w:r w:rsidR="0071241E" w:rsidRPr="002E2C0F">
        <w:rPr>
          <w:b/>
          <w:sz w:val="24"/>
          <w:szCs w:val="24"/>
        </w:rPr>
        <w:t>Fertilitet, g</w:t>
      </w:r>
      <w:r w:rsidRPr="002E2C0F">
        <w:rPr>
          <w:b/>
          <w:sz w:val="24"/>
          <w:szCs w:val="24"/>
        </w:rPr>
        <w:t>raviditet og amning</w:t>
      </w:r>
    </w:p>
    <w:p w14:paraId="1617C151" w14:textId="77777777" w:rsidR="002E2C0F" w:rsidRDefault="002E2C0F" w:rsidP="0075402E">
      <w:pPr>
        <w:ind w:left="851"/>
        <w:rPr>
          <w:sz w:val="24"/>
          <w:szCs w:val="24"/>
        </w:rPr>
      </w:pPr>
    </w:p>
    <w:p w14:paraId="432CD4A0" w14:textId="4AAE26EA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Graviditet</w:t>
      </w:r>
    </w:p>
    <w:p w14:paraId="29E5D5CB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Forsigtighed tilrådes ved ordination til gravide kvinder. Det anbefales at overvåge blodtrykket på grund af den øgede risiko for </w:t>
      </w:r>
      <w:proofErr w:type="spellStart"/>
      <w:r w:rsidRPr="002E2C0F">
        <w:rPr>
          <w:sz w:val="24"/>
          <w:szCs w:val="24"/>
        </w:rPr>
        <w:t>præeklampsi</w:t>
      </w:r>
      <w:proofErr w:type="spellEnd"/>
      <w:r w:rsidRPr="002E2C0F">
        <w:rPr>
          <w:sz w:val="24"/>
          <w:szCs w:val="24"/>
        </w:rPr>
        <w:t>.</w:t>
      </w:r>
    </w:p>
    <w:p w14:paraId="71479426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620B79FA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Tilgængelige data fra et begrænset antal (n = 53) gravide kvinder med diabetes </w:t>
      </w:r>
      <w:proofErr w:type="spellStart"/>
      <w:r w:rsidRPr="002E2C0F">
        <w:rPr>
          <w:sz w:val="24"/>
          <w:szCs w:val="24"/>
        </w:rPr>
        <w:t>insipidus</w:t>
      </w:r>
      <w:proofErr w:type="spellEnd"/>
      <w:r w:rsidRPr="002E2C0F">
        <w:rPr>
          <w:sz w:val="24"/>
          <w:szCs w:val="24"/>
        </w:rPr>
        <w:t xml:space="preserve"> og fra et begrænset antal (n = 54) kvinder med von Willebrand-Jürgens sygdom viser ingen skadelig effekt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på graviditeten eller på fosterets eller det nyfødte barns helbred. Der foreligger på nuværende tidspunkt ingen yderligere relevante epidemiologiske data.</w:t>
      </w:r>
    </w:p>
    <w:p w14:paraId="6D53558B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Dyrestudier indikerer hverken direkte eller indirekte skadelige virkninger hvad angår reproduktionstoksicitet (se pkt. 5.3).</w:t>
      </w:r>
    </w:p>
    <w:p w14:paraId="31059AA7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F0AB489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Lægen skal i hvert enkelt tilfælde afveje de potentielle terapeutiske fordele mod den mulige risiko.</w:t>
      </w:r>
    </w:p>
    <w:p w14:paraId="18BCCAA2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DB65AAE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Amning</w:t>
      </w:r>
    </w:p>
    <w:p w14:paraId="77C19708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udskilles i meget små mængder i modermælk.</w:t>
      </w:r>
    </w:p>
    <w:p w14:paraId="58CBF53B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Resultater fra analyser af modermælk fra ammende mødre, som fik høje doser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(300 mikrogram intranasalt), viser, at mængden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>, der kan overføres til barnet, er væsentligt lavere end de mængder, der er påkrævet for at påvirke diuresen.</w:t>
      </w:r>
    </w:p>
    <w:p w14:paraId="238BC4DB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440BD90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Det skal besluttes, om amning skal ophøre eller behandling med </w:t>
      </w: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seponeres, idet der tages højde for fordelene ved amning for barnet i forhold til de terapeutiske fordele for moderen.</w:t>
      </w:r>
    </w:p>
    <w:p w14:paraId="1591C8B9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4CE1942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Fertilitet</w:t>
      </w:r>
    </w:p>
    <w:p w14:paraId="41ABA75B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Dyrestudier er utilstrækkelige med hensyn til fertilitet (se pkt. 5.3).</w:t>
      </w:r>
    </w:p>
    <w:p w14:paraId="16B3B916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D03585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4.7</w:t>
      </w:r>
      <w:r w:rsidRPr="002E2C0F">
        <w:rPr>
          <w:b/>
          <w:sz w:val="24"/>
          <w:szCs w:val="24"/>
        </w:rPr>
        <w:tab/>
        <w:t xml:space="preserve">Virkning på evnen til at føre motorkøretøj </w:t>
      </w:r>
      <w:r w:rsidR="0071241E" w:rsidRPr="002E2C0F">
        <w:rPr>
          <w:b/>
          <w:sz w:val="24"/>
          <w:szCs w:val="24"/>
        </w:rPr>
        <w:t>og</w:t>
      </w:r>
      <w:r w:rsidRPr="002E2C0F">
        <w:rPr>
          <w:b/>
          <w:sz w:val="24"/>
          <w:szCs w:val="24"/>
        </w:rPr>
        <w:t xml:space="preserve"> betjene maskiner</w:t>
      </w:r>
    </w:p>
    <w:p w14:paraId="1DB3D9DE" w14:textId="77777777" w:rsidR="002E2C0F" w:rsidRDefault="002E2C0F" w:rsidP="0075402E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6491521B" w14:textId="65558A9F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påvirker ikke eller kun i ubetydelig grad evnen til at føre motorkøretøj og betjene maskiner.</w:t>
      </w:r>
    </w:p>
    <w:p w14:paraId="346C2190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5064C9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4.8</w:t>
      </w:r>
      <w:r w:rsidRPr="002E2C0F">
        <w:rPr>
          <w:b/>
          <w:sz w:val="24"/>
          <w:szCs w:val="24"/>
        </w:rPr>
        <w:tab/>
        <w:t>Bivirkninger</w:t>
      </w:r>
    </w:p>
    <w:p w14:paraId="72BC8884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Behandling uden samtidig væskerestriktion kan resultere i væskeretention/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med eller uden forudgående advarselstegn eller </w:t>
      </w:r>
      <w:r w:rsidRPr="002E2C0F">
        <w:rPr>
          <w:sz w:val="24"/>
          <w:szCs w:val="24"/>
        </w:rPr>
        <w:noBreakHyphen/>
        <w:t>symptomer. Symptomerne omfatter hovedpine, kvalme/opkastning, nedsat serumnatrium-koncentration, vægtøgning og i alvorlige tilfælde krampeanfald, som i nogle tilfælde kan ledsages af døsighed spændende til mere vedvarende bevidstløshed, koma (se pkt. 4.4).</w:t>
      </w:r>
    </w:p>
    <w:p w14:paraId="45CE33FA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2ACE766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Hyppigheden af bivirkninger anført nedenfor er klassificeret efter følgende konvention: meget almindelig (≥ 1/10), almindelig (≥ 1/100 til &lt; 1/10), ikke almindelig (≥ 1/1.000 til &lt; 1/100), sjælden (≥ 1/10.000 til &lt; 1/1.000), meget sjælden (&lt; 1/10.000), ikke kendt (kan ikke estimeres ud fra forhåndenværende data).</w:t>
      </w:r>
    </w:p>
    <w:p w14:paraId="0E35E4E9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449B829B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Bivirkningsdata er baseret på kliniske studier med oral administration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til pædiatriske patienter med primær </w:t>
      </w:r>
      <w:proofErr w:type="spellStart"/>
      <w:r w:rsidRPr="002E2C0F">
        <w:rPr>
          <w:sz w:val="24"/>
          <w:szCs w:val="24"/>
        </w:rPr>
        <w:t>enuresis</w:t>
      </w:r>
      <w:proofErr w:type="spellEnd"/>
      <w:r w:rsidRPr="002E2C0F">
        <w:rPr>
          <w:sz w:val="24"/>
          <w:szCs w:val="24"/>
        </w:rPr>
        <w:t xml:space="preserve"> </w:t>
      </w:r>
      <w:proofErr w:type="spellStart"/>
      <w:r w:rsidRPr="002E2C0F">
        <w:rPr>
          <w:sz w:val="24"/>
          <w:szCs w:val="24"/>
        </w:rPr>
        <w:t>nocturna</w:t>
      </w:r>
      <w:proofErr w:type="spellEnd"/>
      <w:r w:rsidRPr="002E2C0F">
        <w:rPr>
          <w:sz w:val="24"/>
          <w:szCs w:val="24"/>
        </w:rPr>
        <w:t xml:space="preserve"> (n = 1.923). Bivirkninger, som forekom efter markedsføring, er angivet som ”ikke kendt” i tabellen.</w:t>
      </w:r>
    </w:p>
    <w:p w14:paraId="1CEE447C" w14:textId="77777777" w:rsidR="00022CB6" w:rsidRPr="002E2C0F" w:rsidRDefault="00022CB6" w:rsidP="00022CB6">
      <w:pPr>
        <w:pStyle w:val="EMEAEnBodyText"/>
        <w:autoSpaceDE w:val="0"/>
        <w:autoSpaceDN w:val="0"/>
        <w:adjustRightInd w:val="0"/>
        <w:spacing w:before="0" w:after="0"/>
        <w:jc w:val="left"/>
        <w:rPr>
          <w:sz w:val="24"/>
          <w:szCs w:val="24"/>
          <w:lang w:val="da-DK"/>
        </w:rPr>
      </w:pPr>
    </w:p>
    <w:tbl>
      <w:tblPr>
        <w:tblStyle w:val="Tabelgitter-lys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82"/>
        <w:gridCol w:w="1836"/>
        <w:gridCol w:w="2141"/>
        <w:gridCol w:w="1987"/>
      </w:tblGrid>
      <w:tr w:rsidR="00022CB6" w:rsidRPr="00636770" w14:paraId="69271FEC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0A28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Systemorgan-klasse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9AD0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Almindelig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830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Ikke almindelig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DF32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Sjælden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F1F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Ikke kendt</w:t>
            </w:r>
          </w:p>
        </w:tc>
      </w:tr>
      <w:tr w:rsidR="00022CB6" w:rsidRPr="00636770" w14:paraId="14825D2B" w14:textId="77777777" w:rsidTr="00636770">
        <w:trPr>
          <w:trHeight w:val="432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7DB9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Immunsystemet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5A5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B0B3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0FD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DB34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proofErr w:type="spellStart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Anafylaktiske</w:t>
            </w:r>
            <w:proofErr w:type="spellEnd"/>
            <w:r w:rsidRPr="00636770">
              <w:rPr>
                <w:rFonts w:ascii="Times New Roman" w:hAnsi="Times New Roman" w:cs="Times New Roman"/>
                <w:strike/>
                <w:sz w:val="24"/>
                <w:lang w:val="da-DK"/>
              </w:rPr>
              <w:t xml:space="preserve"> 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reaktioner</w:t>
            </w:r>
          </w:p>
        </w:tc>
      </w:tr>
      <w:tr w:rsidR="00022CB6" w:rsidRPr="00636770" w14:paraId="3A8C1AFF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F716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Metabolisme og ernæring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73D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661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26B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B464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proofErr w:type="spellStart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Hyponatriæmi</w:t>
            </w:r>
            <w:proofErr w:type="spellEnd"/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 xml:space="preserve">, dehydrering⁺, </w:t>
            </w:r>
            <w:proofErr w:type="spellStart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hypernatriæmi</w:t>
            </w:r>
            <w:proofErr w:type="spellEnd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⁺</w:t>
            </w:r>
          </w:p>
        </w:tc>
      </w:tr>
      <w:tr w:rsidR="00022CB6" w:rsidRPr="00636770" w14:paraId="43871DA6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8B18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Psykiske forstyrrelser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095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E4E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Affektlabilitet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**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, aggression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***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6892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(HLT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1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) angstsymptomer, mareridt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, humørsvingninger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8C2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Emotionelle forstyrrelser, anormal adfærd, depression, hallucinationer, søvnløshed</w:t>
            </w:r>
          </w:p>
        </w:tc>
      </w:tr>
      <w:tr w:rsidR="00022CB6" w:rsidRPr="00636770" w14:paraId="1FAC004D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349C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Nervesystemet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0D33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Hovedpine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723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C10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Døsighed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D31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 xml:space="preserve">Opmærksomheds-forstyrrelser, </w:t>
            </w:r>
            <w:proofErr w:type="spellStart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psykomotorisk</w:t>
            </w:r>
            <w:proofErr w:type="spellEnd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 xml:space="preserve"> hyperaktivitet, krampeanfald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, asteni⁺, koma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*</w:t>
            </w:r>
          </w:p>
        </w:tc>
      </w:tr>
      <w:tr w:rsidR="00022CB6" w:rsidRPr="00636770" w14:paraId="6A49BCF2" w14:textId="77777777" w:rsidTr="00636770">
        <w:trPr>
          <w:trHeight w:val="284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5919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proofErr w:type="spellStart"/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Vaskulære</w:t>
            </w:r>
            <w:proofErr w:type="spellEnd"/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 xml:space="preserve"> sygdomme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6BA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4D3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E1AB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Hypertension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DBE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</w:tr>
      <w:tr w:rsidR="00022CB6" w:rsidRPr="00636770" w14:paraId="6CF763E9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179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 xml:space="preserve">Luftveje, thorax og </w:t>
            </w:r>
            <w:proofErr w:type="spellStart"/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mediastinum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576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D25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942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F358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Næseblod</w:t>
            </w:r>
          </w:p>
        </w:tc>
      </w:tr>
      <w:tr w:rsidR="00022CB6" w:rsidRPr="00636770" w14:paraId="51795B37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5E4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Mave-tarm-kanalen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4C99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Mavesmerter, kvalme, opkastning, diarré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B38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1AF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DFC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</w:tr>
      <w:tr w:rsidR="00022CB6" w:rsidRPr="00636770" w14:paraId="103945D6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31C3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Hud og subkutane væv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515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5CB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B4E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5203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 xml:space="preserve">Hududslæt, allergisk </w:t>
            </w:r>
            <w:proofErr w:type="spellStart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dermatitis</w:t>
            </w:r>
            <w:proofErr w:type="spellEnd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 xml:space="preserve">, svedtendens, </w:t>
            </w:r>
            <w:proofErr w:type="spellStart"/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urticaria</w:t>
            </w:r>
            <w:proofErr w:type="spellEnd"/>
          </w:p>
        </w:tc>
      </w:tr>
      <w:tr w:rsidR="00022CB6" w:rsidRPr="00636770" w14:paraId="2BA13418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E941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Nyrer og urinveje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32B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2712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(HLT</w:t>
            </w:r>
            <w:r w:rsidRPr="00636770">
              <w:rPr>
                <w:rFonts w:ascii="Times New Roman" w:hAnsi="Times New Roman" w:cs="Times New Roman"/>
                <w:sz w:val="24"/>
                <w:vertAlign w:val="superscript"/>
                <w:lang w:val="da-DK"/>
              </w:rPr>
              <w:t>1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) blære</w:t>
            </w: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noBreakHyphen/>
              <w:t xml:space="preserve"> og urinrørsgener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C95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14F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</w:tr>
      <w:tr w:rsidR="00022CB6" w:rsidRPr="00636770" w14:paraId="4CED631B" w14:textId="77777777" w:rsidTr="0063677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41E0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Almene symptomer og reaktioner på administrations-stedet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150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EC54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Perifert ødem, træthed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C81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lang w:val="da-DK"/>
              </w:rPr>
            </w:pPr>
            <w:r w:rsidRPr="00636770">
              <w:rPr>
                <w:rFonts w:ascii="Times New Roman" w:hAnsi="Times New Roman" w:cs="Times New Roman"/>
                <w:sz w:val="24"/>
                <w:lang w:val="da-DK"/>
              </w:rPr>
              <w:t>Irritabilitet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079" w14:textId="77777777" w:rsidR="00022CB6" w:rsidRPr="00636770" w:rsidRDefault="0002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da-DK"/>
              </w:rPr>
            </w:pPr>
          </w:p>
        </w:tc>
      </w:tr>
    </w:tbl>
    <w:p w14:paraId="49FFD1C8" w14:textId="27335A70" w:rsidR="00022CB6" w:rsidRPr="002E2C0F" w:rsidRDefault="00022CB6" w:rsidP="0075402E">
      <w:pPr>
        <w:ind w:left="567" w:hanging="567"/>
        <w:rPr>
          <w:sz w:val="24"/>
          <w:szCs w:val="24"/>
        </w:rPr>
      </w:pPr>
      <w:r w:rsidRPr="002E2C0F">
        <w:rPr>
          <w:sz w:val="24"/>
          <w:szCs w:val="24"/>
          <w:vertAlign w:val="superscript"/>
        </w:rPr>
        <w:t>*</w:t>
      </w:r>
      <w:r w:rsidRPr="002E2C0F">
        <w:rPr>
          <w:sz w:val="24"/>
          <w:szCs w:val="24"/>
        </w:rPr>
        <w:t xml:space="preserve"> </w:t>
      </w:r>
      <w:r w:rsidR="0075402E" w:rsidRPr="002E2C0F">
        <w:rPr>
          <w:sz w:val="24"/>
          <w:szCs w:val="24"/>
        </w:rPr>
        <w:tab/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kan resultere i hovedpine, mavesmerter, kvalme, opkastning, vægtøgning, svimmelhed, forvirring, utilpashed, hukommelsesforstyrrelser, </w:t>
      </w:r>
      <w:proofErr w:type="spellStart"/>
      <w:r w:rsidRPr="002E2C0F">
        <w:rPr>
          <w:sz w:val="24"/>
          <w:szCs w:val="24"/>
        </w:rPr>
        <w:t>vertigo</w:t>
      </w:r>
      <w:proofErr w:type="spellEnd"/>
      <w:r w:rsidRPr="002E2C0F">
        <w:rPr>
          <w:sz w:val="24"/>
          <w:szCs w:val="24"/>
        </w:rPr>
        <w:t>, fald, krampeanfald og koma.</w:t>
      </w:r>
    </w:p>
    <w:p w14:paraId="761FD0BA" w14:textId="78213CB2" w:rsidR="00022CB6" w:rsidRPr="002E2C0F" w:rsidRDefault="00022CB6" w:rsidP="0075402E">
      <w:pPr>
        <w:ind w:left="567" w:hanging="567"/>
        <w:rPr>
          <w:sz w:val="24"/>
          <w:szCs w:val="24"/>
        </w:rPr>
      </w:pPr>
      <w:r w:rsidRPr="002E2C0F">
        <w:rPr>
          <w:sz w:val="24"/>
          <w:szCs w:val="24"/>
          <w:vertAlign w:val="superscript"/>
        </w:rPr>
        <w:t>**</w:t>
      </w:r>
      <w:r w:rsidRPr="002E2C0F">
        <w:rPr>
          <w:sz w:val="24"/>
          <w:szCs w:val="24"/>
        </w:rPr>
        <w:t xml:space="preserve"> </w:t>
      </w:r>
      <w:r w:rsidR="0075402E" w:rsidRPr="002E2C0F">
        <w:rPr>
          <w:sz w:val="24"/>
          <w:szCs w:val="24"/>
        </w:rPr>
        <w:tab/>
      </w:r>
      <w:r w:rsidRPr="002E2C0F">
        <w:rPr>
          <w:sz w:val="24"/>
          <w:szCs w:val="24"/>
        </w:rPr>
        <w:t>Rapporteret efter markedsføring med samme hyppighed hos den pædiatriske population (&lt; 18 år)</w:t>
      </w:r>
    </w:p>
    <w:p w14:paraId="3D975F10" w14:textId="2E2279D8" w:rsidR="00022CB6" w:rsidRPr="002E2C0F" w:rsidRDefault="00022CB6" w:rsidP="0075402E">
      <w:pPr>
        <w:ind w:left="567" w:hanging="567"/>
        <w:rPr>
          <w:sz w:val="24"/>
          <w:szCs w:val="24"/>
        </w:rPr>
      </w:pPr>
      <w:r w:rsidRPr="002E2C0F">
        <w:rPr>
          <w:sz w:val="24"/>
          <w:szCs w:val="24"/>
          <w:vertAlign w:val="superscript"/>
        </w:rPr>
        <w:t>***</w:t>
      </w:r>
      <w:r w:rsidRPr="002E2C0F">
        <w:rPr>
          <w:sz w:val="24"/>
          <w:szCs w:val="24"/>
        </w:rPr>
        <w:t xml:space="preserve"> </w:t>
      </w:r>
      <w:r w:rsidR="0075402E" w:rsidRPr="002E2C0F">
        <w:rPr>
          <w:sz w:val="24"/>
          <w:szCs w:val="24"/>
        </w:rPr>
        <w:tab/>
      </w:r>
      <w:r w:rsidRPr="002E2C0F">
        <w:rPr>
          <w:sz w:val="24"/>
          <w:szCs w:val="24"/>
        </w:rPr>
        <w:t>Rapporteret efter markedsføring næsten udelukkende hos den pædiatriske population (&lt; 18 år)</w:t>
      </w:r>
    </w:p>
    <w:p w14:paraId="7326CD70" w14:textId="7BA90CA3" w:rsidR="00022CB6" w:rsidRPr="002E2C0F" w:rsidRDefault="00022CB6" w:rsidP="0075402E">
      <w:pPr>
        <w:ind w:left="567" w:hanging="567"/>
        <w:rPr>
          <w:sz w:val="24"/>
          <w:szCs w:val="24"/>
        </w:rPr>
      </w:pPr>
      <w:r w:rsidRPr="002E2C0F">
        <w:rPr>
          <w:sz w:val="24"/>
          <w:szCs w:val="24"/>
          <w:vertAlign w:val="superscript"/>
        </w:rPr>
        <w:t>****</w:t>
      </w:r>
      <w:r w:rsidRPr="002E2C0F">
        <w:rPr>
          <w:sz w:val="24"/>
          <w:szCs w:val="24"/>
        </w:rPr>
        <w:t xml:space="preserve"> </w:t>
      </w:r>
      <w:r w:rsidR="0075402E" w:rsidRPr="002E2C0F">
        <w:rPr>
          <w:sz w:val="24"/>
          <w:szCs w:val="24"/>
        </w:rPr>
        <w:tab/>
      </w:r>
      <w:r w:rsidRPr="002E2C0F">
        <w:rPr>
          <w:sz w:val="24"/>
          <w:szCs w:val="24"/>
        </w:rPr>
        <w:t>Rapporteret efter markedsføring hovedsageligt hos børn (&lt; 12 år)</w:t>
      </w:r>
    </w:p>
    <w:p w14:paraId="32A43FB8" w14:textId="1F56B9C2" w:rsidR="00022CB6" w:rsidRPr="002E2C0F" w:rsidRDefault="00022CB6" w:rsidP="0075402E">
      <w:pPr>
        <w:ind w:left="567" w:hanging="567"/>
        <w:rPr>
          <w:i/>
          <w:iCs/>
          <w:sz w:val="24"/>
          <w:szCs w:val="24"/>
        </w:rPr>
      </w:pPr>
      <w:r w:rsidRPr="002E2C0F">
        <w:rPr>
          <w:sz w:val="24"/>
          <w:szCs w:val="24"/>
          <w:vertAlign w:val="superscript"/>
        </w:rPr>
        <w:t>1</w:t>
      </w:r>
      <w:r w:rsidRPr="002E2C0F">
        <w:rPr>
          <w:sz w:val="24"/>
          <w:szCs w:val="24"/>
        </w:rPr>
        <w:t xml:space="preserve"> </w:t>
      </w:r>
      <w:r w:rsidR="0075402E" w:rsidRPr="002E2C0F">
        <w:rPr>
          <w:sz w:val="24"/>
          <w:szCs w:val="24"/>
        </w:rPr>
        <w:tab/>
      </w:r>
      <w:r w:rsidRPr="002E2C0F">
        <w:rPr>
          <w:sz w:val="24"/>
          <w:szCs w:val="24"/>
        </w:rPr>
        <w:t xml:space="preserve">HLT: </w:t>
      </w:r>
      <w:r w:rsidRPr="002E2C0F">
        <w:rPr>
          <w:i/>
          <w:iCs/>
          <w:sz w:val="24"/>
          <w:szCs w:val="24"/>
        </w:rPr>
        <w:t>High Level Term</w:t>
      </w:r>
    </w:p>
    <w:p w14:paraId="622D3D66" w14:textId="5D211AB8" w:rsidR="00022CB6" w:rsidRPr="002E2C0F" w:rsidRDefault="00022CB6" w:rsidP="0075402E">
      <w:pPr>
        <w:ind w:left="567" w:hanging="567"/>
        <w:rPr>
          <w:sz w:val="24"/>
          <w:szCs w:val="24"/>
        </w:rPr>
      </w:pPr>
      <w:r w:rsidRPr="002E2C0F">
        <w:rPr>
          <w:sz w:val="24"/>
          <w:szCs w:val="24"/>
        </w:rPr>
        <w:t xml:space="preserve">⁺ </w:t>
      </w:r>
      <w:r w:rsidR="0075402E" w:rsidRPr="002E2C0F">
        <w:rPr>
          <w:sz w:val="24"/>
          <w:szCs w:val="24"/>
        </w:rPr>
        <w:tab/>
      </w:r>
      <w:r w:rsidRPr="002E2C0F">
        <w:rPr>
          <w:sz w:val="24"/>
          <w:szCs w:val="24"/>
        </w:rPr>
        <w:t xml:space="preserve">Kun observeret med indikation diabetes </w:t>
      </w:r>
      <w:proofErr w:type="spellStart"/>
      <w:r w:rsidRPr="002E2C0F">
        <w:rPr>
          <w:sz w:val="24"/>
          <w:szCs w:val="24"/>
        </w:rPr>
        <w:t>insipidus</w:t>
      </w:r>
      <w:proofErr w:type="spellEnd"/>
    </w:p>
    <w:p w14:paraId="7C995DCC" w14:textId="77777777" w:rsidR="00022CB6" w:rsidRPr="002E2C0F" w:rsidRDefault="00022CB6" w:rsidP="00022CB6">
      <w:pPr>
        <w:rPr>
          <w:sz w:val="24"/>
          <w:szCs w:val="24"/>
        </w:rPr>
      </w:pPr>
    </w:p>
    <w:p w14:paraId="22B062F5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Ældre patienter:</w:t>
      </w:r>
    </w:p>
    <w:p w14:paraId="63D1109E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Ældre patienter (&gt; 65 år) og patienter med lavt serumnatriumniveau kan have en øget risiko for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>.</w:t>
      </w:r>
    </w:p>
    <w:p w14:paraId="66775F67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0C93E2BD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Indberetning af formodede bivirkninger</w:t>
      </w:r>
    </w:p>
    <w:p w14:paraId="206E2ADA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Når et lægemiddel er godkendt, er indberetning af formodede bivirkninger vigtig. Dette muliggør løbende overvågning af benefit/</w:t>
      </w:r>
      <w:proofErr w:type="spellStart"/>
      <w:r w:rsidRPr="002E2C0F">
        <w:rPr>
          <w:sz w:val="24"/>
          <w:szCs w:val="24"/>
        </w:rPr>
        <w:t>risk</w:t>
      </w:r>
      <w:proofErr w:type="spellEnd"/>
      <w:r w:rsidRPr="002E2C0F">
        <w:rPr>
          <w:sz w:val="24"/>
          <w:szCs w:val="24"/>
        </w:rPr>
        <w:t>-forholdet for lægemidlet. Sundhedspersoner anmodes om at indberette alle formodede bivirkninger via</w:t>
      </w:r>
    </w:p>
    <w:p w14:paraId="3D6EBDE5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5C77C5B8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Lægemiddelstyrelsen</w:t>
      </w:r>
    </w:p>
    <w:p w14:paraId="79E9014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Axel Heides Gade 1</w:t>
      </w:r>
    </w:p>
    <w:p w14:paraId="7AE2EE09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DK-2300 København S</w:t>
      </w:r>
    </w:p>
    <w:p w14:paraId="6ED2C92D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Websted: </w:t>
      </w:r>
      <w:hyperlink r:id="rId8" w:history="1">
        <w:r w:rsidRPr="002E2C0F">
          <w:rPr>
            <w:rStyle w:val="Hyperlink"/>
            <w:sz w:val="24"/>
            <w:szCs w:val="24"/>
          </w:rPr>
          <w:t>www.laegemiddelstyrelsen.dk</w:t>
        </w:r>
      </w:hyperlink>
    </w:p>
    <w:p w14:paraId="16CC50CB" w14:textId="77777777" w:rsidR="009260DE" w:rsidRPr="002E2C0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37442A21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4.9</w:t>
      </w:r>
      <w:r w:rsidRPr="002E2C0F">
        <w:rPr>
          <w:b/>
          <w:sz w:val="24"/>
          <w:szCs w:val="24"/>
        </w:rPr>
        <w:tab/>
        <w:t>Overdosering</w:t>
      </w:r>
    </w:p>
    <w:p w14:paraId="5CFE0B84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Overdosering af </w:t>
      </w: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 fører til forlænget virkningsvarighed og øget risiko for væskeretention og/eller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>.</w:t>
      </w:r>
    </w:p>
    <w:p w14:paraId="190CA631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550541C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Behandling:</w:t>
      </w:r>
    </w:p>
    <w:p w14:paraId="45B77363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Selvom behandling af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bør tilpasses individuelt, kan følgende generelle anbefalinger følges: </w:t>
      </w:r>
      <w:proofErr w:type="spellStart"/>
      <w:r w:rsidRPr="002E2C0F">
        <w:rPr>
          <w:sz w:val="24"/>
          <w:szCs w:val="24"/>
        </w:rPr>
        <w:t>hyponatriæmi</w:t>
      </w:r>
      <w:proofErr w:type="spellEnd"/>
      <w:r w:rsidRPr="002E2C0F">
        <w:rPr>
          <w:sz w:val="24"/>
          <w:szCs w:val="24"/>
        </w:rPr>
        <w:t xml:space="preserve"> behandles ved at seponere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>-behandlingen, væskerestriktion og symptomatisk behandling, om nødvendigt.</w:t>
      </w:r>
    </w:p>
    <w:p w14:paraId="1F0D9511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1C61EC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4.10</w:t>
      </w:r>
      <w:r w:rsidRPr="002E2C0F">
        <w:rPr>
          <w:b/>
          <w:sz w:val="24"/>
          <w:szCs w:val="24"/>
        </w:rPr>
        <w:tab/>
        <w:t>Udlevering</w:t>
      </w:r>
    </w:p>
    <w:p w14:paraId="46E59624" w14:textId="4955B5D6" w:rsidR="009260DE" w:rsidRPr="002E2C0F" w:rsidRDefault="0075402E" w:rsidP="009260DE">
      <w:pPr>
        <w:tabs>
          <w:tab w:val="left" w:pos="851"/>
        </w:tabs>
        <w:ind w:left="851"/>
        <w:rPr>
          <w:sz w:val="24"/>
          <w:szCs w:val="24"/>
        </w:rPr>
      </w:pPr>
      <w:r w:rsidRPr="002E2C0F">
        <w:rPr>
          <w:sz w:val="24"/>
          <w:szCs w:val="24"/>
        </w:rPr>
        <w:t>B</w:t>
      </w:r>
    </w:p>
    <w:p w14:paraId="70BDC322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F3EA4F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70B563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5.</w:t>
      </w:r>
      <w:r w:rsidRPr="002E2C0F">
        <w:rPr>
          <w:b/>
          <w:sz w:val="24"/>
          <w:szCs w:val="24"/>
        </w:rPr>
        <w:tab/>
        <w:t>FARMAKOLOGISKE EGENSKABER</w:t>
      </w:r>
    </w:p>
    <w:p w14:paraId="10EB64E5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8A5512" w14:textId="77777777" w:rsidR="009260DE" w:rsidRPr="002E2C0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5.1</w:t>
      </w:r>
      <w:r w:rsidRPr="002E2C0F">
        <w:rPr>
          <w:b/>
          <w:sz w:val="24"/>
          <w:szCs w:val="24"/>
        </w:rPr>
        <w:tab/>
      </w:r>
      <w:proofErr w:type="spellStart"/>
      <w:r w:rsidRPr="002E2C0F">
        <w:rPr>
          <w:b/>
          <w:sz w:val="24"/>
          <w:szCs w:val="24"/>
        </w:rPr>
        <w:t>Farmakodynamiske</w:t>
      </w:r>
      <w:proofErr w:type="spellEnd"/>
      <w:r w:rsidRPr="002E2C0F">
        <w:rPr>
          <w:b/>
          <w:sz w:val="24"/>
          <w:szCs w:val="24"/>
        </w:rPr>
        <w:t xml:space="preserve"> egenskaber</w:t>
      </w:r>
    </w:p>
    <w:p w14:paraId="5AC964B8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Farmakoterapeutisk</w:t>
      </w:r>
      <w:proofErr w:type="spellEnd"/>
      <w:r w:rsidRPr="002E2C0F">
        <w:rPr>
          <w:sz w:val="24"/>
          <w:szCs w:val="24"/>
        </w:rPr>
        <w:t xml:space="preserve"> klassifikation: </w:t>
      </w:r>
      <w:proofErr w:type="spellStart"/>
      <w:r w:rsidRPr="002E2C0F">
        <w:rPr>
          <w:sz w:val="24"/>
          <w:szCs w:val="24"/>
        </w:rPr>
        <w:t>Vasopressin</w:t>
      </w:r>
      <w:proofErr w:type="spellEnd"/>
      <w:r w:rsidRPr="002E2C0F">
        <w:rPr>
          <w:sz w:val="24"/>
          <w:szCs w:val="24"/>
        </w:rPr>
        <w:t xml:space="preserve"> og </w:t>
      </w:r>
      <w:proofErr w:type="spellStart"/>
      <w:r w:rsidRPr="002E2C0F">
        <w:rPr>
          <w:sz w:val="24"/>
          <w:szCs w:val="24"/>
        </w:rPr>
        <w:t>analoger</w:t>
      </w:r>
      <w:proofErr w:type="spellEnd"/>
      <w:r w:rsidRPr="002E2C0F">
        <w:rPr>
          <w:sz w:val="24"/>
          <w:szCs w:val="24"/>
        </w:rPr>
        <w:t>, ATC-kode: H01BA02.</w:t>
      </w:r>
    </w:p>
    <w:p w14:paraId="7B29D596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0EF3C72B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er en strukturel analog af det naturlige </w:t>
      </w:r>
      <w:proofErr w:type="spellStart"/>
      <w:r w:rsidRPr="002E2C0F">
        <w:rPr>
          <w:sz w:val="24"/>
          <w:szCs w:val="24"/>
        </w:rPr>
        <w:t>hypofysære</w:t>
      </w:r>
      <w:proofErr w:type="spellEnd"/>
      <w:r w:rsidRPr="002E2C0F">
        <w:rPr>
          <w:sz w:val="24"/>
          <w:szCs w:val="24"/>
        </w:rPr>
        <w:t xml:space="preserve"> hormon </w:t>
      </w:r>
      <w:proofErr w:type="spellStart"/>
      <w:r w:rsidRPr="002E2C0F">
        <w:rPr>
          <w:sz w:val="24"/>
          <w:szCs w:val="24"/>
        </w:rPr>
        <w:t>argininvasopressin</w:t>
      </w:r>
      <w:proofErr w:type="spellEnd"/>
      <w:r w:rsidRPr="002E2C0F">
        <w:rPr>
          <w:sz w:val="24"/>
          <w:szCs w:val="24"/>
        </w:rPr>
        <w:t xml:space="preserve">. Det adskiller sig ved </w:t>
      </w:r>
      <w:proofErr w:type="spellStart"/>
      <w:r w:rsidRPr="002E2C0F">
        <w:rPr>
          <w:sz w:val="24"/>
          <w:szCs w:val="24"/>
        </w:rPr>
        <w:t>deaminering</w:t>
      </w:r>
      <w:proofErr w:type="spellEnd"/>
      <w:r w:rsidRPr="002E2C0F">
        <w:rPr>
          <w:sz w:val="24"/>
          <w:szCs w:val="24"/>
        </w:rPr>
        <w:t xml:space="preserve"> af </w:t>
      </w:r>
      <w:proofErr w:type="spellStart"/>
      <w:r w:rsidRPr="002E2C0F">
        <w:rPr>
          <w:sz w:val="24"/>
          <w:szCs w:val="24"/>
        </w:rPr>
        <w:t>cystein</w:t>
      </w:r>
      <w:proofErr w:type="spellEnd"/>
      <w:r w:rsidRPr="002E2C0F">
        <w:rPr>
          <w:sz w:val="24"/>
          <w:szCs w:val="24"/>
        </w:rPr>
        <w:t xml:space="preserve"> og substitution af L</w:t>
      </w:r>
      <w:r w:rsidRPr="002E2C0F">
        <w:rPr>
          <w:sz w:val="24"/>
          <w:szCs w:val="24"/>
        </w:rPr>
        <w:noBreakHyphen/>
      </w:r>
      <w:proofErr w:type="spellStart"/>
      <w:r w:rsidRPr="002E2C0F">
        <w:rPr>
          <w:sz w:val="24"/>
          <w:szCs w:val="24"/>
        </w:rPr>
        <w:t>arginin</w:t>
      </w:r>
      <w:proofErr w:type="spellEnd"/>
      <w:r w:rsidRPr="002E2C0F">
        <w:rPr>
          <w:sz w:val="24"/>
          <w:szCs w:val="24"/>
        </w:rPr>
        <w:t xml:space="preserve"> med D</w:t>
      </w:r>
      <w:r w:rsidRPr="002E2C0F">
        <w:rPr>
          <w:sz w:val="24"/>
          <w:szCs w:val="24"/>
        </w:rPr>
        <w:noBreakHyphen/>
      </w:r>
      <w:proofErr w:type="spellStart"/>
      <w:r w:rsidRPr="002E2C0F">
        <w:rPr>
          <w:sz w:val="24"/>
          <w:szCs w:val="24"/>
        </w:rPr>
        <w:t>arginin</w:t>
      </w:r>
      <w:proofErr w:type="spellEnd"/>
      <w:r w:rsidRPr="002E2C0F">
        <w:rPr>
          <w:sz w:val="24"/>
          <w:szCs w:val="24"/>
        </w:rPr>
        <w:t xml:space="preserve">. Disse ændringer fører til en betydelig forlænget antidiuretisk effekt og en eliminering af </w:t>
      </w:r>
      <w:proofErr w:type="spellStart"/>
      <w:r w:rsidRPr="002E2C0F">
        <w:rPr>
          <w:sz w:val="24"/>
          <w:szCs w:val="24"/>
        </w:rPr>
        <w:t>vasopressorisk</w:t>
      </w:r>
      <w:proofErr w:type="spellEnd"/>
      <w:r w:rsidRPr="002E2C0F">
        <w:rPr>
          <w:sz w:val="24"/>
          <w:szCs w:val="24"/>
        </w:rPr>
        <w:t xml:space="preserve"> effekt ved terapeutiske doser. Med hensyn til antidiuretisk effekt er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et potent molekyle med en EC</w:t>
      </w:r>
      <w:r w:rsidRPr="002E2C0F">
        <w:rPr>
          <w:sz w:val="24"/>
          <w:szCs w:val="24"/>
          <w:vertAlign w:val="subscript"/>
        </w:rPr>
        <w:t>50</w:t>
      </w:r>
      <w:r w:rsidRPr="002E2C0F">
        <w:rPr>
          <w:sz w:val="24"/>
          <w:szCs w:val="24"/>
        </w:rPr>
        <w:t>-værdi på 1,6 </w:t>
      </w:r>
      <w:proofErr w:type="spellStart"/>
      <w:r w:rsidRPr="002E2C0F">
        <w:rPr>
          <w:sz w:val="24"/>
          <w:szCs w:val="24"/>
        </w:rPr>
        <w:t>pg</w:t>
      </w:r>
      <w:proofErr w:type="spellEnd"/>
      <w:r w:rsidRPr="002E2C0F">
        <w:rPr>
          <w:sz w:val="24"/>
          <w:szCs w:val="24"/>
        </w:rPr>
        <w:t>/ml. Efter oral administration forventes den farmakologiske effekt at vare 6</w:t>
      </w:r>
      <w:r w:rsidRPr="002E2C0F">
        <w:rPr>
          <w:sz w:val="24"/>
          <w:szCs w:val="24"/>
        </w:rPr>
        <w:noBreakHyphen/>
        <w:t>14 timer.</w:t>
      </w:r>
    </w:p>
    <w:p w14:paraId="304B8F63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C88535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5.2</w:t>
      </w:r>
      <w:r w:rsidRPr="002E2C0F">
        <w:rPr>
          <w:b/>
          <w:sz w:val="24"/>
          <w:szCs w:val="24"/>
        </w:rPr>
        <w:tab/>
      </w:r>
      <w:proofErr w:type="spellStart"/>
      <w:r w:rsidRPr="002E2C0F">
        <w:rPr>
          <w:b/>
          <w:sz w:val="24"/>
          <w:szCs w:val="24"/>
        </w:rPr>
        <w:t>Farmakokinetiske</w:t>
      </w:r>
      <w:proofErr w:type="spellEnd"/>
      <w:r w:rsidRPr="002E2C0F">
        <w:rPr>
          <w:b/>
          <w:sz w:val="24"/>
          <w:szCs w:val="24"/>
        </w:rPr>
        <w:t xml:space="preserve"> egenskaber</w:t>
      </w:r>
    </w:p>
    <w:p w14:paraId="51DBE9CF" w14:textId="77777777" w:rsidR="002E2C0F" w:rsidRDefault="002E2C0F" w:rsidP="0075402E">
      <w:pPr>
        <w:ind w:left="851"/>
        <w:rPr>
          <w:sz w:val="24"/>
          <w:szCs w:val="24"/>
        </w:rPr>
      </w:pPr>
    </w:p>
    <w:p w14:paraId="25492E67" w14:textId="17B9E6E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Absorption</w:t>
      </w:r>
    </w:p>
    <w:p w14:paraId="0385EA22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kan detekteres i plasma 15</w:t>
      </w:r>
      <w:r w:rsidRPr="002E2C0F">
        <w:rPr>
          <w:sz w:val="24"/>
          <w:szCs w:val="24"/>
        </w:rPr>
        <w:noBreakHyphen/>
        <w:t>30 minutter efter oral administration.</w:t>
      </w:r>
    </w:p>
    <w:p w14:paraId="4373BD1E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4A2B0C8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Den maksimale plasmakoncentration opnås efter gennemsnitligt 0,76 timer.</w:t>
      </w:r>
    </w:p>
    <w:p w14:paraId="708C6EB5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56800386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Den absolutte biotilgængelighed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ved oral administration varierer fra 0,08 % til 0,16 %. </w:t>
      </w:r>
      <w:proofErr w:type="spellStart"/>
      <w:r w:rsidRPr="002E2C0F">
        <w:rPr>
          <w:sz w:val="24"/>
          <w:szCs w:val="24"/>
        </w:rPr>
        <w:t>C</w:t>
      </w:r>
      <w:r w:rsidRPr="002E2C0F">
        <w:rPr>
          <w:sz w:val="24"/>
          <w:szCs w:val="24"/>
          <w:vertAlign w:val="subscript"/>
        </w:rPr>
        <w:t>max</w:t>
      </w:r>
      <w:proofErr w:type="spellEnd"/>
      <w:r w:rsidRPr="002E2C0F">
        <w:rPr>
          <w:sz w:val="24"/>
          <w:szCs w:val="24"/>
        </w:rPr>
        <w:t xml:space="preserve"> var 29,22 </w:t>
      </w:r>
      <w:proofErr w:type="spellStart"/>
      <w:r w:rsidRPr="002E2C0F">
        <w:rPr>
          <w:sz w:val="24"/>
          <w:szCs w:val="24"/>
        </w:rPr>
        <w:t>pg</w:t>
      </w:r>
      <w:proofErr w:type="spellEnd"/>
      <w:r w:rsidRPr="002E2C0F">
        <w:rPr>
          <w:sz w:val="24"/>
          <w:szCs w:val="24"/>
        </w:rPr>
        <w:t xml:space="preserve">/ml efter administration af 1 ml (360 mikrogram) </w:t>
      </w:r>
      <w:proofErr w:type="spellStart"/>
      <w:r w:rsidRPr="002E2C0F">
        <w:rPr>
          <w:sz w:val="24"/>
          <w:szCs w:val="24"/>
        </w:rPr>
        <w:t>Veluna</w:t>
      </w:r>
      <w:proofErr w:type="spellEnd"/>
      <w:r w:rsidRPr="002E2C0F">
        <w:rPr>
          <w:sz w:val="24"/>
          <w:szCs w:val="24"/>
        </w:rPr>
        <w:t xml:space="preserve"> 360 mikrogram/ml oral opløsning.</w:t>
      </w:r>
    </w:p>
    <w:p w14:paraId="08140992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03BFCA02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Samtidig fødeindtagelse reducerer absorptionshastigheden og </w:t>
      </w:r>
      <w:r w:rsidRPr="002E2C0F">
        <w:rPr>
          <w:sz w:val="24"/>
          <w:szCs w:val="24"/>
        </w:rPr>
        <w:noBreakHyphen/>
        <w:t>graden med 40 %.</w:t>
      </w:r>
    </w:p>
    <w:p w14:paraId="6FB56965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1D992A26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Fordeling</w:t>
      </w:r>
    </w:p>
    <w:p w14:paraId="17F2C15C" w14:textId="77777777" w:rsidR="00022CB6" w:rsidRPr="002E2C0F" w:rsidRDefault="00022CB6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Desmopressins</w:t>
      </w:r>
      <w:proofErr w:type="spellEnd"/>
      <w:r w:rsidRPr="002E2C0F">
        <w:rPr>
          <w:sz w:val="24"/>
          <w:szCs w:val="24"/>
        </w:rPr>
        <w:t xml:space="preserve"> fordelingsvolumen er 0,3 l/kg.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krydser ikke blod-hjerne-barrieren, men udskilles i meget små mængder i modermælk.</w:t>
      </w:r>
    </w:p>
    <w:p w14:paraId="7A9E359E" w14:textId="055F8BA8" w:rsidR="009C5346" w:rsidRDefault="009C53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7D661A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6749FE5B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Biotransformation</w:t>
      </w:r>
    </w:p>
    <w:p w14:paraId="1CAFC692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i/>
          <w:iCs/>
          <w:sz w:val="24"/>
          <w:szCs w:val="24"/>
        </w:rPr>
        <w:t>In </w:t>
      </w:r>
      <w:proofErr w:type="spellStart"/>
      <w:r w:rsidRPr="002E2C0F">
        <w:rPr>
          <w:i/>
          <w:iCs/>
          <w:sz w:val="24"/>
          <w:szCs w:val="24"/>
        </w:rPr>
        <w:t>vitro</w:t>
      </w:r>
      <w:proofErr w:type="spellEnd"/>
      <w:r w:rsidRPr="002E2C0F">
        <w:rPr>
          <w:sz w:val="24"/>
          <w:szCs w:val="24"/>
        </w:rPr>
        <w:t xml:space="preserve">-studier med humane </w:t>
      </w:r>
      <w:proofErr w:type="spellStart"/>
      <w:r w:rsidRPr="002E2C0F">
        <w:rPr>
          <w:sz w:val="24"/>
          <w:szCs w:val="24"/>
        </w:rPr>
        <w:t>levermikrosomer</w:t>
      </w:r>
      <w:proofErr w:type="spellEnd"/>
      <w:r w:rsidRPr="002E2C0F">
        <w:rPr>
          <w:sz w:val="24"/>
          <w:szCs w:val="24"/>
        </w:rPr>
        <w:t xml:space="preserve"> har vist, at der ikke </w:t>
      </w:r>
      <w:proofErr w:type="spellStart"/>
      <w:r w:rsidRPr="002E2C0F">
        <w:rPr>
          <w:sz w:val="24"/>
          <w:szCs w:val="24"/>
        </w:rPr>
        <w:t>metaboliseres</w:t>
      </w:r>
      <w:proofErr w:type="spellEnd"/>
      <w:r w:rsidRPr="002E2C0F">
        <w:rPr>
          <w:sz w:val="24"/>
          <w:szCs w:val="24"/>
        </w:rPr>
        <w:t xml:space="preserve"> en signifikant mængde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, og derfor er human </w:t>
      </w:r>
      <w:r w:rsidRPr="002E2C0F">
        <w:rPr>
          <w:i/>
          <w:iCs/>
          <w:sz w:val="24"/>
          <w:szCs w:val="24"/>
        </w:rPr>
        <w:t xml:space="preserve">in </w:t>
      </w:r>
      <w:proofErr w:type="spellStart"/>
      <w:r w:rsidRPr="002E2C0F">
        <w:rPr>
          <w:i/>
          <w:iCs/>
          <w:sz w:val="24"/>
          <w:szCs w:val="24"/>
        </w:rPr>
        <w:t>vivo</w:t>
      </w:r>
      <w:r w:rsidRPr="002E2C0F">
        <w:rPr>
          <w:sz w:val="24"/>
          <w:szCs w:val="24"/>
        </w:rPr>
        <w:t>-metabolisering</w:t>
      </w:r>
      <w:proofErr w:type="spellEnd"/>
      <w:r w:rsidRPr="002E2C0F">
        <w:rPr>
          <w:sz w:val="24"/>
          <w:szCs w:val="24"/>
        </w:rPr>
        <w:t xml:space="preserve"> i leveren ikke sandsynlig.</w:t>
      </w:r>
    </w:p>
    <w:p w14:paraId="1E619CE4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21CCA61B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Elimination</w:t>
      </w:r>
    </w:p>
    <w:p w14:paraId="430D1407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65 % af det oralt absorberede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kan genfindes i urinen inden for 24 timer. Den geometriske gennemsnitlige terminale halveringstid er 2,5 ± 0,8 timer.</w:t>
      </w:r>
    </w:p>
    <w:p w14:paraId="67C62F8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91B1A5A" w14:textId="77777777" w:rsidR="00022CB6" w:rsidRPr="002E2C0F" w:rsidRDefault="00022CB6" w:rsidP="0075402E">
      <w:pPr>
        <w:ind w:left="851"/>
        <w:rPr>
          <w:sz w:val="24"/>
          <w:szCs w:val="24"/>
          <w:u w:val="single"/>
        </w:rPr>
      </w:pPr>
      <w:r w:rsidRPr="002E2C0F">
        <w:rPr>
          <w:sz w:val="24"/>
          <w:szCs w:val="24"/>
          <w:u w:val="single"/>
        </w:rPr>
        <w:t>Linearitet/non-linearitet</w:t>
      </w:r>
    </w:p>
    <w:p w14:paraId="5FCEB846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Der er ingen tegn på non-linearitet i nogen af </w:t>
      </w:r>
      <w:proofErr w:type="spellStart"/>
      <w:r w:rsidRPr="002E2C0F">
        <w:rPr>
          <w:sz w:val="24"/>
          <w:szCs w:val="24"/>
        </w:rPr>
        <w:t>desmopressins</w:t>
      </w:r>
      <w:proofErr w:type="spellEnd"/>
      <w:r w:rsidRPr="002E2C0F">
        <w:rPr>
          <w:sz w:val="24"/>
          <w:szCs w:val="24"/>
        </w:rPr>
        <w:t xml:space="preserve"> </w:t>
      </w:r>
      <w:proofErr w:type="spellStart"/>
      <w:r w:rsidRPr="002E2C0F">
        <w:rPr>
          <w:sz w:val="24"/>
          <w:szCs w:val="24"/>
        </w:rPr>
        <w:t>farmakokinetiske</w:t>
      </w:r>
      <w:proofErr w:type="spellEnd"/>
      <w:r w:rsidRPr="002E2C0F">
        <w:rPr>
          <w:sz w:val="24"/>
          <w:szCs w:val="24"/>
        </w:rPr>
        <w:t xml:space="preserve"> parametre.</w:t>
      </w:r>
    </w:p>
    <w:p w14:paraId="6F9B13CD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5399AF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5.3</w:t>
      </w:r>
      <w:r w:rsidRPr="002E2C0F">
        <w:rPr>
          <w:b/>
          <w:sz w:val="24"/>
          <w:szCs w:val="24"/>
        </w:rPr>
        <w:tab/>
      </w:r>
      <w:r w:rsidR="00BD7931" w:rsidRPr="002E2C0F">
        <w:rPr>
          <w:b/>
          <w:sz w:val="24"/>
          <w:szCs w:val="24"/>
        </w:rPr>
        <w:t>Non-</w:t>
      </w:r>
      <w:r w:rsidRPr="002E2C0F">
        <w:rPr>
          <w:b/>
          <w:sz w:val="24"/>
          <w:szCs w:val="24"/>
        </w:rPr>
        <w:t>kliniske sikkerhedsdata</w:t>
      </w:r>
    </w:p>
    <w:p w14:paraId="719633DF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Non-kliniske data viser ingen særlig risiko for mennesker vurderet ud fra konventionelle studier af sikkerhedsfarmakologi, genotoksicitet og reproduktionstoksicitet.</w:t>
      </w:r>
    </w:p>
    <w:p w14:paraId="2A50F61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7EFE7300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Nedsat nyrefunktion, med en stigning i </w:t>
      </w:r>
      <w:proofErr w:type="spellStart"/>
      <w:r w:rsidRPr="002E2C0F">
        <w:rPr>
          <w:sz w:val="24"/>
          <w:szCs w:val="24"/>
        </w:rPr>
        <w:t>serumkreatinin</w:t>
      </w:r>
      <w:proofErr w:type="spellEnd"/>
      <w:r w:rsidRPr="002E2C0F">
        <w:rPr>
          <w:sz w:val="24"/>
          <w:szCs w:val="24"/>
        </w:rPr>
        <w:t xml:space="preserve"> samt </w:t>
      </w:r>
      <w:proofErr w:type="spellStart"/>
      <w:r w:rsidRPr="002E2C0F">
        <w:rPr>
          <w:sz w:val="24"/>
          <w:szCs w:val="24"/>
        </w:rPr>
        <w:t>hyalindegeneration</w:t>
      </w:r>
      <w:proofErr w:type="spellEnd"/>
      <w:r w:rsidRPr="002E2C0F">
        <w:rPr>
          <w:sz w:val="24"/>
          <w:szCs w:val="24"/>
        </w:rPr>
        <w:t xml:space="preserve"> af </w:t>
      </w:r>
      <w:proofErr w:type="spellStart"/>
      <w:r w:rsidRPr="002E2C0F">
        <w:rPr>
          <w:sz w:val="24"/>
          <w:szCs w:val="24"/>
        </w:rPr>
        <w:t>tubulusepitel</w:t>
      </w:r>
      <w:proofErr w:type="spellEnd"/>
      <w:r w:rsidRPr="002E2C0F">
        <w:rPr>
          <w:sz w:val="24"/>
          <w:szCs w:val="24"/>
        </w:rPr>
        <w:t xml:space="preserve">, er blevet påvist hos rotter ved eksponeringsniveauer betragteligt over den maksimale humane eksponering. Ændringerne var reversible efter ophør af behandlingen med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>.</w:t>
      </w:r>
    </w:p>
    <w:p w14:paraId="028EB73F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3818A342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Der er ikke blevet udført </w:t>
      </w:r>
      <w:proofErr w:type="spellStart"/>
      <w:r w:rsidRPr="002E2C0F">
        <w:rPr>
          <w:sz w:val="24"/>
          <w:szCs w:val="24"/>
        </w:rPr>
        <w:t>karcinogenicitetsstudier</w:t>
      </w:r>
      <w:proofErr w:type="spellEnd"/>
      <w:r w:rsidRPr="002E2C0F">
        <w:rPr>
          <w:sz w:val="24"/>
          <w:szCs w:val="24"/>
        </w:rPr>
        <w:t xml:space="preserve"> med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, da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er meget nært beslægtet med det naturligt forekommende peptidhormon.</w:t>
      </w:r>
    </w:p>
    <w:p w14:paraId="243BFDBD" w14:textId="77777777" w:rsidR="00022CB6" w:rsidRPr="002E2C0F" w:rsidRDefault="00022CB6" w:rsidP="0075402E">
      <w:pPr>
        <w:ind w:left="851"/>
        <w:rPr>
          <w:sz w:val="24"/>
          <w:szCs w:val="24"/>
        </w:rPr>
      </w:pPr>
    </w:p>
    <w:p w14:paraId="2C81EF36" w14:textId="77777777" w:rsidR="00022CB6" w:rsidRPr="002E2C0F" w:rsidRDefault="00022CB6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Hos voksne hanrotter behandlet med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blev der observeret reduceret serumtestosteron og nedsat antal sædceller. I et andet studie blev der dog ikke observeret nogen negativ indvirkning af </w:t>
      </w:r>
      <w:proofErr w:type="spellStart"/>
      <w:r w:rsidRPr="002E2C0F">
        <w:rPr>
          <w:sz w:val="24"/>
          <w:szCs w:val="24"/>
        </w:rPr>
        <w:t>desmopressin</w:t>
      </w:r>
      <w:proofErr w:type="spellEnd"/>
      <w:r w:rsidRPr="002E2C0F">
        <w:rPr>
          <w:sz w:val="24"/>
          <w:szCs w:val="24"/>
        </w:rPr>
        <w:t xml:space="preserve"> på fertiliteten hos han</w:t>
      </w:r>
      <w:r w:rsidRPr="002E2C0F">
        <w:rPr>
          <w:sz w:val="24"/>
          <w:szCs w:val="24"/>
        </w:rPr>
        <w:noBreakHyphen/>
        <w:t xml:space="preserve"> eller hunrotter.</w:t>
      </w:r>
    </w:p>
    <w:p w14:paraId="24746D53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92DBA7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01489F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</w:t>
      </w:r>
      <w:r w:rsidRPr="002E2C0F">
        <w:rPr>
          <w:b/>
          <w:sz w:val="24"/>
          <w:szCs w:val="24"/>
        </w:rPr>
        <w:tab/>
        <w:t>FARMACEUTISKE OPLYSNINGER</w:t>
      </w:r>
    </w:p>
    <w:p w14:paraId="3E4BC305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8566B0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6.1</w:t>
      </w:r>
      <w:r w:rsidRPr="002E2C0F">
        <w:rPr>
          <w:b/>
          <w:sz w:val="24"/>
          <w:szCs w:val="24"/>
        </w:rPr>
        <w:tab/>
        <w:t>Hjælpestoffer</w:t>
      </w:r>
    </w:p>
    <w:p w14:paraId="4940E622" w14:textId="77777777" w:rsidR="0075402E" w:rsidRPr="002E2C0F" w:rsidRDefault="0075402E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Natriummethylparahydroxy-benzoat</w:t>
      </w:r>
      <w:proofErr w:type="spellEnd"/>
      <w:r w:rsidRPr="002E2C0F">
        <w:rPr>
          <w:sz w:val="24"/>
          <w:szCs w:val="24"/>
        </w:rPr>
        <w:t xml:space="preserve"> (E 219)</w:t>
      </w:r>
    </w:p>
    <w:p w14:paraId="59C974CD" w14:textId="77777777" w:rsidR="0075402E" w:rsidRPr="002E2C0F" w:rsidRDefault="0075402E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Natriumpropylparahydroxy-benzoat</w:t>
      </w:r>
      <w:proofErr w:type="spellEnd"/>
      <w:r w:rsidRPr="002E2C0F">
        <w:rPr>
          <w:sz w:val="24"/>
          <w:szCs w:val="24"/>
        </w:rPr>
        <w:t xml:space="preserve"> (E 217)</w:t>
      </w:r>
    </w:p>
    <w:p w14:paraId="2092BD22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Saltsyre (til pH-justering)</w:t>
      </w:r>
    </w:p>
    <w:p w14:paraId="386E80F7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Renset vand</w:t>
      </w:r>
    </w:p>
    <w:p w14:paraId="60890565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A0E3CA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6.2</w:t>
      </w:r>
      <w:r w:rsidRPr="002E2C0F">
        <w:rPr>
          <w:b/>
          <w:sz w:val="24"/>
          <w:szCs w:val="24"/>
        </w:rPr>
        <w:tab/>
        <w:t>Uforligeligheder</w:t>
      </w:r>
    </w:p>
    <w:p w14:paraId="4574CF48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Ikke relevant.</w:t>
      </w:r>
    </w:p>
    <w:p w14:paraId="56FC2E2E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848B7B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6.3</w:t>
      </w:r>
      <w:r w:rsidRPr="002E2C0F">
        <w:rPr>
          <w:b/>
          <w:sz w:val="24"/>
          <w:szCs w:val="24"/>
        </w:rPr>
        <w:tab/>
        <w:t>Opbevaringstid</w:t>
      </w:r>
    </w:p>
    <w:p w14:paraId="75AD128E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3 år.</w:t>
      </w:r>
    </w:p>
    <w:p w14:paraId="0BADCE7F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Efter første åbning: 8 uger.</w:t>
      </w:r>
    </w:p>
    <w:p w14:paraId="093DBB21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408867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6.4</w:t>
      </w:r>
      <w:r w:rsidRPr="002E2C0F">
        <w:rPr>
          <w:b/>
          <w:sz w:val="24"/>
          <w:szCs w:val="24"/>
        </w:rPr>
        <w:tab/>
        <w:t>Særlige opbevaringsforhold</w:t>
      </w:r>
    </w:p>
    <w:p w14:paraId="020994F9" w14:textId="77777777" w:rsidR="0075402E" w:rsidRPr="002E2C0F" w:rsidRDefault="0075402E" w:rsidP="0075402E">
      <w:pPr>
        <w:ind w:left="851"/>
        <w:rPr>
          <w:sz w:val="24"/>
          <w:szCs w:val="24"/>
        </w:rPr>
      </w:pPr>
      <w:bookmarkStart w:id="2" w:name="_Hlk195729524"/>
      <w:r w:rsidRPr="002E2C0F">
        <w:rPr>
          <w:sz w:val="24"/>
          <w:szCs w:val="24"/>
        </w:rPr>
        <w:t>Der er ingen særlige krav vedrørende opbevaringstemperaturer for dette lægemiddel.</w:t>
      </w:r>
    </w:p>
    <w:p w14:paraId="44A4C277" w14:textId="77777777" w:rsidR="0075402E" w:rsidRPr="002E2C0F" w:rsidRDefault="0075402E" w:rsidP="0075402E">
      <w:pPr>
        <w:ind w:left="851"/>
        <w:rPr>
          <w:sz w:val="24"/>
          <w:szCs w:val="24"/>
        </w:rPr>
      </w:pPr>
      <w:bookmarkStart w:id="3" w:name="_Hlk195729543"/>
      <w:bookmarkEnd w:id="2"/>
      <w:r w:rsidRPr="002E2C0F">
        <w:rPr>
          <w:sz w:val="24"/>
          <w:szCs w:val="24"/>
        </w:rPr>
        <w:t xml:space="preserve">Opbevares i den originale yderpakning </w:t>
      </w:r>
      <w:bookmarkEnd w:id="3"/>
      <w:r w:rsidRPr="002E2C0F">
        <w:rPr>
          <w:sz w:val="24"/>
          <w:szCs w:val="24"/>
        </w:rPr>
        <w:t>for at beskytte mod lys.</w:t>
      </w:r>
    </w:p>
    <w:p w14:paraId="7FC516F0" w14:textId="77777777" w:rsidR="0075402E" w:rsidRPr="002E2C0F" w:rsidRDefault="0075402E" w:rsidP="0075402E">
      <w:pPr>
        <w:ind w:left="851"/>
        <w:rPr>
          <w:sz w:val="24"/>
          <w:szCs w:val="24"/>
        </w:rPr>
      </w:pPr>
    </w:p>
    <w:p w14:paraId="470DDF83" w14:textId="227BE490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Efter første åbning skal lægemidlet opbevares ved temperaturer under 25</w:t>
      </w:r>
      <w:r w:rsidR="00636770">
        <w:rPr>
          <w:sz w:val="24"/>
          <w:szCs w:val="24"/>
        </w:rPr>
        <w:t xml:space="preserve"> </w:t>
      </w:r>
      <w:r w:rsidRPr="002E2C0F">
        <w:rPr>
          <w:sz w:val="24"/>
          <w:szCs w:val="24"/>
        </w:rPr>
        <w:t xml:space="preserve">ºC i op til 8 uger. </w:t>
      </w:r>
    </w:p>
    <w:p w14:paraId="13A560EA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83A947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6.5</w:t>
      </w:r>
      <w:r w:rsidRPr="002E2C0F">
        <w:rPr>
          <w:b/>
          <w:sz w:val="24"/>
          <w:szCs w:val="24"/>
        </w:rPr>
        <w:tab/>
        <w:t>Emballagetype og pakningsstørrelser</w:t>
      </w:r>
    </w:p>
    <w:p w14:paraId="2F0C01FF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Ravfarvede glasflasker med en overførselsindsats af </w:t>
      </w:r>
      <w:proofErr w:type="spellStart"/>
      <w:r w:rsidRPr="002E2C0F">
        <w:rPr>
          <w:sz w:val="24"/>
          <w:szCs w:val="24"/>
        </w:rPr>
        <w:t>lavdensitetspolyethylen</w:t>
      </w:r>
      <w:proofErr w:type="spellEnd"/>
      <w:r w:rsidRPr="002E2C0F">
        <w:rPr>
          <w:sz w:val="24"/>
          <w:szCs w:val="24"/>
        </w:rPr>
        <w:t xml:space="preserve"> (LDPE), forsynet med et skruelåg af </w:t>
      </w:r>
      <w:proofErr w:type="spellStart"/>
      <w:r w:rsidRPr="002E2C0F">
        <w:rPr>
          <w:sz w:val="24"/>
          <w:szCs w:val="24"/>
        </w:rPr>
        <w:t>højdensitetspolyethylen</w:t>
      </w:r>
      <w:proofErr w:type="spellEnd"/>
      <w:r w:rsidRPr="002E2C0F">
        <w:rPr>
          <w:sz w:val="24"/>
          <w:szCs w:val="24"/>
        </w:rPr>
        <w:t xml:space="preserve"> (HDPE). Flasken indeholder 15 ml opløsning. Der medfølger en CE-mærket plasticsprøjte til brug ved administration af den orale opløsning. Sprøjten er gradueret fra 0 til 1,5 ml med intervaller på 0,1 ml. Gradueringerne svarende til doserne 0,25 ml, 0,5 ml og 1,0 ml er særligt fremhævede.</w:t>
      </w:r>
    </w:p>
    <w:p w14:paraId="7AB554BF" w14:textId="77777777" w:rsidR="0075402E" w:rsidRPr="002E2C0F" w:rsidRDefault="0075402E" w:rsidP="0075402E">
      <w:pPr>
        <w:ind w:left="851"/>
        <w:rPr>
          <w:sz w:val="24"/>
          <w:szCs w:val="24"/>
        </w:rPr>
      </w:pPr>
    </w:p>
    <w:p w14:paraId="19811DAC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Pakningsstørrelse: 1 flaske og én administrationsanordning (plasticsprøjte).</w:t>
      </w:r>
    </w:p>
    <w:p w14:paraId="3DBEB73C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885EFF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6.6</w:t>
      </w:r>
      <w:r w:rsidRPr="002E2C0F">
        <w:rPr>
          <w:b/>
          <w:sz w:val="24"/>
          <w:szCs w:val="24"/>
        </w:rPr>
        <w:tab/>
        <w:t xml:space="preserve">Regler for </w:t>
      </w:r>
      <w:r w:rsidR="00BD7931" w:rsidRPr="002E2C0F">
        <w:rPr>
          <w:b/>
          <w:sz w:val="24"/>
          <w:szCs w:val="24"/>
        </w:rPr>
        <w:t>bortskaffelse</w:t>
      </w:r>
      <w:r w:rsidRPr="002E2C0F">
        <w:rPr>
          <w:b/>
          <w:sz w:val="24"/>
          <w:szCs w:val="24"/>
        </w:rPr>
        <w:t xml:space="preserve"> og anden håndtering</w:t>
      </w:r>
    </w:p>
    <w:p w14:paraId="1C2D54DF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Ikke anvendt lægemiddel samt affald heraf skal bortskaffes i henhold til lokale retningslinjer.</w:t>
      </w:r>
    </w:p>
    <w:p w14:paraId="67DF05D0" w14:textId="77777777" w:rsidR="009260DE" w:rsidRPr="002E2C0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1EEE23D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7.</w:t>
      </w:r>
      <w:r w:rsidRPr="002E2C0F">
        <w:rPr>
          <w:b/>
          <w:sz w:val="24"/>
          <w:szCs w:val="24"/>
        </w:rPr>
        <w:tab/>
        <w:t>INDEHAVER AF MARKEDSFØRINGSTILLADELSEN</w:t>
      </w:r>
    </w:p>
    <w:p w14:paraId="5CFCDAB8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 xml:space="preserve">Nordic </w:t>
      </w:r>
      <w:proofErr w:type="spellStart"/>
      <w:r w:rsidRPr="002E2C0F">
        <w:rPr>
          <w:sz w:val="24"/>
          <w:szCs w:val="24"/>
        </w:rPr>
        <w:t>Pill</w:t>
      </w:r>
      <w:proofErr w:type="spellEnd"/>
      <w:r w:rsidRPr="002E2C0F">
        <w:rPr>
          <w:sz w:val="24"/>
          <w:szCs w:val="24"/>
        </w:rPr>
        <w:t xml:space="preserve"> AB</w:t>
      </w:r>
    </w:p>
    <w:p w14:paraId="6B5FA559" w14:textId="77777777" w:rsidR="0075402E" w:rsidRPr="002E2C0F" w:rsidRDefault="0075402E" w:rsidP="0075402E">
      <w:pPr>
        <w:ind w:left="851"/>
        <w:rPr>
          <w:sz w:val="24"/>
          <w:szCs w:val="24"/>
        </w:rPr>
      </w:pPr>
      <w:proofErr w:type="spellStart"/>
      <w:r w:rsidRPr="002E2C0F">
        <w:rPr>
          <w:sz w:val="24"/>
          <w:szCs w:val="24"/>
        </w:rPr>
        <w:t>Åkerivägen</w:t>
      </w:r>
      <w:proofErr w:type="spellEnd"/>
      <w:r w:rsidRPr="002E2C0F">
        <w:rPr>
          <w:sz w:val="24"/>
          <w:szCs w:val="24"/>
        </w:rPr>
        <w:t xml:space="preserve"> 17</w:t>
      </w:r>
    </w:p>
    <w:p w14:paraId="4F5745BC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241 38 Eslöv</w:t>
      </w:r>
    </w:p>
    <w:p w14:paraId="621B279E" w14:textId="77777777" w:rsidR="0075402E" w:rsidRPr="002E2C0F" w:rsidRDefault="0075402E" w:rsidP="0075402E">
      <w:pPr>
        <w:ind w:left="851"/>
        <w:rPr>
          <w:sz w:val="24"/>
          <w:szCs w:val="24"/>
        </w:rPr>
      </w:pPr>
      <w:r w:rsidRPr="002E2C0F">
        <w:rPr>
          <w:sz w:val="24"/>
          <w:szCs w:val="24"/>
        </w:rPr>
        <w:t>Sverige</w:t>
      </w:r>
    </w:p>
    <w:p w14:paraId="3180621B" w14:textId="77777777" w:rsidR="00641C65" w:rsidRPr="002E2C0F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40644D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8.</w:t>
      </w:r>
      <w:r w:rsidRPr="002E2C0F">
        <w:rPr>
          <w:b/>
          <w:sz w:val="24"/>
          <w:szCs w:val="24"/>
        </w:rPr>
        <w:tab/>
        <w:t>MARKEDSFØRINGSTILLADELSESNUMMER (</w:t>
      </w:r>
      <w:r w:rsidR="00BF6243" w:rsidRPr="002E2C0F">
        <w:rPr>
          <w:b/>
          <w:sz w:val="24"/>
          <w:szCs w:val="24"/>
        </w:rPr>
        <w:t>-</w:t>
      </w:r>
      <w:r w:rsidRPr="002E2C0F">
        <w:rPr>
          <w:b/>
          <w:sz w:val="24"/>
          <w:szCs w:val="24"/>
        </w:rPr>
        <w:t>NUMRE)</w:t>
      </w:r>
    </w:p>
    <w:p w14:paraId="3254A42E" w14:textId="5E8BE540" w:rsidR="009260DE" w:rsidRPr="002E2C0F" w:rsidRDefault="0075402E" w:rsidP="009260DE">
      <w:pPr>
        <w:tabs>
          <w:tab w:val="left" w:pos="851"/>
        </w:tabs>
        <w:ind w:left="851"/>
        <w:rPr>
          <w:sz w:val="24"/>
          <w:szCs w:val="24"/>
        </w:rPr>
      </w:pPr>
      <w:r w:rsidRPr="002E2C0F">
        <w:rPr>
          <w:sz w:val="24"/>
          <w:szCs w:val="24"/>
        </w:rPr>
        <w:t>72751</w:t>
      </w:r>
    </w:p>
    <w:p w14:paraId="742B5A1D" w14:textId="77777777" w:rsidR="009260DE" w:rsidRPr="002E2C0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E2D0FD5" w14:textId="77777777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9.</w:t>
      </w:r>
      <w:r w:rsidRPr="002E2C0F">
        <w:rPr>
          <w:b/>
          <w:sz w:val="24"/>
          <w:szCs w:val="24"/>
        </w:rPr>
        <w:tab/>
        <w:t>DATO FOR FØRSTE MARKEDSFØRINGSTILLADELSE</w:t>
      </w:r>
    </w:p>
    <w:p w14:paraId="61C53D9C" w14:textId="22AB7639" w:rsidR="009260DE" w:rsidRPr="002E2C0F" w:rsidRDefault="0073482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15. maj 2025</w:t>
      </w:r>
    </w:p>
    <w:p w14:paraId="66D984B4" w14:textId="77777777" w:rsidR="009260DE" w:rsidRPr="002E2C0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C4D0F8" w14:textId="724BBC83" w:rsidR="009260DE" w:rsidRPr="002E2C0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E2C0F">
        <w:rPr>
          <w:b/>
          <w:sz w:val="24"/>
          <w:szCs w:val="24"/>
        </w:rPr>
        <w:t>10.</w:t>
      </w:r>
      <w:r w:rsidRPr="002E2C0F">
        <w:rPr>
          <w:b/>
          <w:sz w:val="24"/>
          <w:szCs w:val="24"/>
        </w:rPr>
        <w:tab/>
        <w:t>DATO FOR ÆNDRING AF TEKSTEN</w:t>
      </w:r>
      <w:r w:rsidR="0075402E" w:rsidRPr="002E2C0F">
        <w:rPr>
          <w:b/>
          <w:sz w:val="24"/>
          <w:szCs w:val="24"/>
        </w:rPr>
        <w:t>1</w:t>
      </w:r>
    </w:p>
    <w:p w14:paraId="3691A34B" w14:textId="5E587F22" w:rsidR="009260DE" w:rsidRPr="002E2C0F" w:rsidRDefault="0075402E" w:rsidP="009260DE">
      <w:pPr>
        <w:tabs>
          <w:tab w:val="left" w:pos="851"/>
        </w:tabs>
        <w:ind w:left="851"/>
        <w:rPr>
          <w:sz w:val="24"/>
          <w:szCs w:val="24"/>
        </w:rPr>
      </w:pPr>
      <w:r w:rsidRPr="002E2C0F">
        <w:rPr>
          <w:sz w:val="24"/>
          <w:szCs w:val="24"/>
        </w:rPr>
        <w:t>-</w:t>
      </w:r>
    </w:p>
    <w:sectPr w:rsidR="009260DE" w:rsidRPr="002E2C0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CC80" w14:textId="77777777" w:rsidR="00807F84" w:rsidRDefault="00807F84">
      <w:r>
        <w:separator/>
      </w:r>
    </w:p>
  </w:endnote>
  <w:endnote w:type="continuationSeparator" w:id="0">
    <w:p w14:paraId="5D800B61" w14:textId="77777777" w:rsidR="00807F84" w:rsidRDefault="0080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363C1" w14:textId="77777777" w:rsidR="000259B9" w:rsidRDefault="000259B9">
    <w:pPr>
      <w:pStyle w:val="Sidefod"/>
      <w:pBdr>
        <w:bottom w:val="single" w:sz="6" w:space="1" w:color="auto"/>
      </w:pBdr>
    </w:pPr>
  </w:p>
  <w:p w14:paraId="18D6A773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DE2B36D" w14:textId="17296009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34825">
      <w:rPr>
        <w:i/>
        <w:noProof/>
        <w:sz w:val="18"/>
        <w:szCs w:val="18"/>
      </w:rPr>
      <w:t>Veluna, oral opløsning 360 mikrogram-ml.docx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99E4" w14:textId="77777777" w:rsidR="00807F84" w:rsidRDefault="00807F84">
      <w:r>
        <w:separator/>
      </w:r>
    </w:p>
  </w:footnote>
  <w:footnote w:type="continuationSeparator" w:id="0">
    <w:p w14:paraId="451354B0" w14:textId="77777777" w:rsidR="00807F84" w:rsidRDefault="0080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5BF588D"/>
    <w:multiLevelType w:val="hybridMultilevel"/>
    <w:tmpl w:val="BCA4982E"/>
    <w:lvl w:ilvl="0" w:tplc="1AB8592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7455373"/>
    <w:multiLevelType w:val="hybridMultilevel"/>
    <w:tmpl w:val="6C4E60D8"/>
    <w:lvl w:ilvl="0" w:tplc="1AB859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354AC2"/>
    <w:multiLevelType w:val="hybridMultilevel"/>
    <w:tmpl w:val="76249DE2"/>
    <w:lvl w:ilvl="0" w:tplc="1AB8592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F6C5A15"/>
    <w:multiLevelType w:val="hybridMultilevel"/>
    <w:tmpl w:val="53F412E2"/>
    <w:lvl w:ilvl="0" w:tplc="1AB859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4"/>
    <w:rsid w:val="00022CB6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2E2C0F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D0470"/>
    <w:rsid w:val="004E3B12"/>
    <w:rsid w:val="00532310"/>
    <w:rsid w:val="00565F0F"/>
    <w:rsid w:val="00594A86"/>
    <w:rsid w:val="00596D86"/>
    <w:rsid w:val="00636770"/>
    <w:rsid w:val="00637F5A"/>
    <w:rsid w:val="00641C65"/>
    <w:rsid w:val="006560B1"/>
    <w:rsid w:val="006756DD"/>
    <w:rsid w:val="0071241E"/>
    <w:rsid w:val="00734825"/>
    <w:rsid w:val="00737275"/>
    <w:rsid w:val="00740EEC"/>
    <w:rsid w:val="0075402E"/>
    <w:rsid w:val="0078011A"/>
    <w:rsid w:val="00782AF4"/>
    <w:rsid w:val="00790EE7"/>
    <w:rsid w:val="007B6649"/>
    <w:rsid w:val="00807F84"/>
    <w:rsid w:val="0082576E"/>
    <w:rsid w:val="0089346F"/>
    <w:rsid w:val="00907F75"/>
    <w:rsid w:val="009260DE"/>
    <w:rsid w:val="0093258A"/>
    <w:rsid w:val="009C5346"/>
    <w:rsid w:val="009C7BA3"/>
    <w:rsid w:val="009D1F5A"/>
    <w:rsid w:val="00A003CA"/>
    <w:rsid w:val="00A10294"/>
    <w:rsid w:val="00AD1C2C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EC467"/>
  <w15:chartTrackingRefBased/>
  <w15:docId w15:val="{F38C7736-2118-429A-965F-26621A7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022CB6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uiPriority w:val="99"/>
    <w:semiHidden/>
    <w:unhideWhenUsed/>
    <w:rsid w:val="00022CB6"/>
    <w:rPr>
      <w:color w:val="0000FF"/>
      <w:u w:val="single"/>
    </w:rPr>
  </w:style>
  <w:style w:type="table" w:styleId="Tabelgitter-lys">
    <w:name w:val="Grid Table Light"/>
    <w:basedOn w:val="Tabel-Normal"/>
    <w:uiPriority w:val="40"/>
    <w:rsid w:val="00022CB6"/>
    <w:rPr>
      <w:rFonts w:asciiTheme="minorHAnsi" w:eastAsiaTheme="minorHAnsi" w:hAnsiTheme="minorHAnsi" w:cstheme="minorBidi"/>
      <w:kern w:val="2"/>
      <w:sz w:val="24"/>
      <w:szCs w:val="24"/>
      <w:lang w:val="sv-SE" w:eastAsia="en-US"/>
      <w14:ligatures w14:val="standardContextual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2E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egemiddelstyrelsen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45</TotalTime>
  <Pages>9</Pages>
  <Words>2161</Words>
  <Characters>14809</Characters>
  <Application>Microsoft Office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2024110560, MT</dc:description>
  <cp:lastModifiedBy>Gitte Jørgensen</cp:lastModifiedBy>
  <cp:revision>8</cp:revision>
  <cp:lastPrinted>2012-08-22T08:53:00Z</cp:lastPrinted>
  <dcterms:created xsi:type="dcterms:W3CDTF">2025-05-12T06:21:00Z</dcterms:created>
  <dcterms:modified xsi:type="dcterms:W3CDTF">2025-05-15T09:15:00Z</dcterms:modified>
</cp:coreProperties>
</file>