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998F" w14:textId="77777777" w:rsidR="009260DE" w:rsidRPr="007C3328" w:rsidRDefault="0021526C" w:rsidP="009260DE">
      <w:pPr>
        <w:rPr>
          <w:sz w:val="24"/>
          <w:szCs w:val="24"/>
        </w:rPr>
      </w:pPr>
      <w:r w:rsidRPr="007C3328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77F3C7A9" wp14:editId="5E3F9B0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7C3328">
        <w:rPr>
          <w:sz w:val="24"/>
          <w:szCs w:val="24"/>
        </w:rPr>
        <w:br w:type="textWrapping" w:clear="all"/>
      </w:r>
    </w:p>
    <w:p w14:paraId="4C74BD9F" w14:textId="315638BD" w:rsidR="009260DE" w:rsidRPr="007C3328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7C3328">
        <w:rPr>
          <w:b w:val="0"/>
          <w:szCs w:val="24"/>
          <w:lang w:eastAsia="en-US"/>
        </w:rPr>
        <w:tab/>
      </w:r>
      <w:r w:rsidR="00C463CA">
        <w:rPr>
          <w:szCs w:val="24"/>
        </w:rPr>
        <w:t>21. april 2026</w:t>
      </w:r>
    </w:p>
    <w:p w14:paraId="359B68E2" w14:textId="77777777" w:rsidR="009260DE" w:rsidRPr="007C3328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26138410" w14:textId="77777777" w:rsidR="009260DE" w:rsidRPr="007C3328" w:rsidRDefault="009260DE" w:rsidP="009260DE">
      <w:pPr>
        <w:pStyle w:val="Titel"/>
        <w:jc w:val="left"/>
        <w:rPr>
          <w:b w:val="0"/>
          <w:szCs w:val="24"/>
        </w:rPr>
      </w:pPr>
    </w:p>
    <w:p w14:paraId="55BE2B1C" w14:textId="77777777" w:rsidR="009260DE" w:rsidRPr="007C3328" w:rsidRDefault="009260DE" w:rsidP="009260DE">
      <w:pPr>
        <w:pStyle w:val="Titel"/>
        <w:jc w:val="left"/>
        <w:rPr>
          <w:b w:val="0"/>
          <w:szCs w:val="24"/>
        </w:rPr>
      </w:pPr>
    </w:p>
    <w:p w14:paraId="7B88AE14" w14:textId="77777777" w:rsidR="009260DE" w:rsidRPr="007C3328" w:rsidRDefault="009260DE" w:rsidP="009260DE">
      <w:pPr>
        <w:jc w:val="center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PRODUKTRESUMÉ</w:t>
      </w:r>
    </w:p>
    <w:p w14:paraId="458B3E76" w14:textId="77777777" w:rsidR="009260DE" w:rsidRPr="007C3328" w:rsidRDefault="009260DE" w:rsidP="009260DE">
      <w:pPr>
        <w:jc w:val="center"/>
        <w:rPr>
          <w:b/>
          <w:sz w:val="24"/>
          <w:szCs w:val="24"/>
        </w:rPr>
      </w:pPr>
    </w:p>
    <w:p w14:paraId="09E7FED3" w14:textId="77777777" w:rsidR="009260DE" w:rsidRPr="007C3328" w:rsidRDefault="009260DE" w:rsidP="009260DE">
      <w:pPr>
        <w:jc w:val="center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for</w:t>
      </w:r>
    </w:p>
    <w:p w14:paraId="2427A2D8" w14:textId="77777777" w:rsidR="000B058C" w:rsidRPr="007C3328" w:rsidRDefault="000B058C" w:rsidP="009260DE">
      <w:pPr>
        <w:jc w:val="center"/>
        <w:rPr>
          <w:b/>
          <w:sz w:val="24"/>
          <w:szCs w:val="24"/>
        </w:rPr>
      </w:pPr>
    </w:p>
    <w:p w14:paraId="1F9F092B" w14:textId="73BF2EBB" w:rsidR="009260DE" w:rsidRPr="007C3328" w:rsidRDefault="00530466" w:rsidP="009260DE">
      <w:pPr>
        <w:jc w:val="center"/>
        <w:rPr>
          <w:b/>
          <w:sz w:val="24"/>
          <w:szCs w:val="24"/>
        </w:rPr>
      </w:pPr>
      <w:proofErr w:type="spellStart"/>
      <w:r w:rsidRPr="007C3328">
        <w:rPr>
          <w:b/>
          <w:sz w:val="24"/>
          <w:szCs w:val="24"/>
        </w:rPr>
        <w:t>Vempadix</w:t>
      </w:r>
      <w:proofErr w:type="spellEnd"/>
      <w:r w:rsidRPr="007C3328">
        <w:rPr>
          <w:b/>
          <w:sz w:val="24"/>
          <w:szCs w:val="24"/>
        </w:rPr>
        <w:t>, tabletter</w:t>
      </w:r>
    </w:p>
    <w:p w14:paraId="332F8226" w14:textId="77777777" w:rsidR="009260DE" w:rsidRPr="007C3328" w:rsidRDefault="009260DE" w:rsidP="009260DE">
      <w:pPr>
        <w:jc w:val="both"/>
        <w:rPr>
          <w:sz w:val="24"/>
          <w:szCs w:val="24"/>
        </w:rPr>
      </w:pPr>
    </w:p>
    <w:p w14:paraId="40A0C93E" w14:textId="77777777" w:rsidR="009260DE" w:rsidRPr="007C3328" w:rsidRDefault="009260DE" w:rsidP="009260DE">
      <w:pPr>
        <w:jc w:val="both"/>
        <w:rPr>
          <w:sz w:val="24"/>
          <w:szCs w:val="24"/>
        </w:rPr>
      </w:pPr>
    </w:p>
    <w:p w14:paraId="73551667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0.</w:t>
      </w:r>
      <w:r w:rsidRPr="007C3328">
        <w:rPr>
          <w:b/>
          <w:sz w:val="24"/>
          <w:szCs w:val="24"/>
        </w:rPr>
        <w:tab/>
        <w:t>D.SP.NR.</w:t>
      </w:r>
    </w:p>
    <w:p w14:paraId="2249672E" w14:textId="38E086C6" w:rsidR="009260DE" w:rsidRPr="007C3328" w:rsidRDefault="00530466" w:rsidP="009260DE">
      <w:pPr>
        <w:tabs>
          <w:tab w:val="left" w:pos="851"/>
        </w:tabs>
        <w:ind w:left="851"/>
        <w:rPr>
          <w:sz w:val="24"/>
          <w:szCs w:val="24"/>
        </w:rPr>
      </w:pPr>
      <w:r w:rsidRPr="007C3328">
        <w:rPr>
          <w:sz w:val="24"/>
          <w:szCs w:val="24"/>
        </w:rPr>
        <w:t>34170</w:t>
      </w:r>
    </w:p>
    <w:p w14:paraId="750809A1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0664EFD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1.</w:t>
      </w:r>
      <w:r w:rsidRPr="007C3328">
        <w:rPr>
          <w:b/>
          <w:sz w:val="24"/>
          <w:szCs w:val="24"/>
        </w:rPr>
        <w:tab/>
        <w:t>LÆGEMIDLETS NAVN</w:t>
      </w:r>
    </w:p>
    <w:p w14:paraId="7FF11028" w14:textId="0E6F252E" w:rsidR="009260DE" w:rsidRPr="007C3328" w:rsidRDefault="00530466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C3328">
        <w:rPr>
          <w:sz w:val="24"/>
          <w:szCs w:val="24"/>
        </w:rPr>
        <w:t>Vempadix</w:t>
      </w:r>
      <w:proofErr w:type="spellEnd"/>
    </w:p>
    <w:p w14:paraId="5E05BCF9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D2F92C5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2.</w:t>
      </w:r>
      <w:r w:rsidRPr="007C3328">
        <w:rPr>
          <w:b/>
          <w:sz w:val="24"/>
          <w:szCs w:val="24"/>
        </w:rPr>
        <w:tab/>
        <w:t>KVALITATIV OG KVANTITATIV SAMMENSÆTNING</w:t>
      </w:r>
    </w:p>
    <w:p w14:paraId="7294A44C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Hver tablet indeholder </w:t>
      </w:r>
      <w:proofErr w:type="spellStart"/>
      <w:r w:rsidRPr="00FF142F">
        <w:rPr>
          <w:sz w:val="24"/>
          <w:szCs w:val="24"/>
        </w:rPr>
        <w:t>clonidinhydrochlorid</w:t>
      </w:r>
      <w:proofErr w:type="spellEnd"/>
      <w:r w:rsidRPr="00FF142F">
        <w:rPr>
          <w:sz w:val="24"/>
          <w:szCs w:val="24"/>
        </w:rPr>
        <w:t xml:space="preserve"> 25 mikrogram.</w:t>
      </w:r>
    </w:p>
    <w:p w14:paraId="4B6FE035" w14:textId="77777777" w:rsidR="00FF142F" w:rsidRPr="007C3328" w:rsidRDefault="00FF142F" w:rsidP="00FF142F">
      <w:pPr>
        <w:ind w:left="851"/>
        <w:rPr>
          <w:sz w:val="24"/>
          <w:szCs w:val="24"/>
          <w:u w:val="single"/>
        </w:rPr>
      </w:pPr>
    </w:p>
    <w:p w14:paraId="1DF940F9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Hjælpestof, som behandleren skal være opmærksom på:</w:t>
      </w:r>
    </w:p>
    <w:p w14:paraId="7E3E63A0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Hver tablet indeholder ca. 78 mg </w:t>
      </w:r>
      <w:proofErr w:type="spellStart"/>
      <w:r w:rsidRPr="00FF142F">
        <w:rPr>
          <w:sz w:val="24"/>
          <w:szCs w:val="24"/>
        </w:rPr>
        <w:t>lactose</w:t>
      </w:r>
      <w:proofErr w:type="spellEnd"/>
      <w:r w:rsidRPr="00FF142F">
        <w:rPr>
          <w:sz w:val="24"/>
          <w:szCs w:val="24"/>
        </w:rPr>
        <w:t>.</w:t>
      </w:r>
    </w:p>
    <w:p w14:paraId="3A80E2CB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Alle hjælpestoffer er anført under pkt. 6.1.</w:t>
      </w:r>
    </w:p>
    <w:p w14:paraId="39A7B900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270F822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3.</w:t>
      </w:r>
      <w:r w:rsidRPr="007C3328">
        <w:rPr>
          <w:b/>
          <w:sz w:val="24"/>
          <w:szCs w:val="24"/>
        </w:rPr>
        <w:tab/>
        <w:t>LÆGEMIDDELFORM</w:t>
      </w:r>
    </w:p>
    <w:p w14:paraId="0C2D6A47" w14:textId="2DB3CE85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Tablet</w:t>
      </w:r>
      <w:r w:rsidR="000B13F7">
        <w:rPr>
          <w:sz w:val="24"/>
          <w:szCs w:val="24"/>
        </w:rPr>
        <w:t>ter</w:t>
      </w:r>
    </w:p>
    <w:p w14:paraId="4552E914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18C48274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Hvid til </w:t>
      </w:r>
      <w:proofErr w:type="spellStart"/>
      <w:r w:rsidRPr="00FF142F">
        <w:rPr>
          <w:sz w:val="24"/>
          <w:szCs w:val="24"/>
        </w:rPr>
        <w:t>off-white</w:t>
      </w:r>
      <w:proofErr w:type="spellEnd"/>
      <w:r w:rsidRPr="00FF142F">
        <w:rPr>
          <w:sz w:val="24"/>
          <w:szCs w:val="24"/>
        </w:rPr>
        <w:t xml:space="preserve">, rund, </w:t>
      </w:r>
      <w:proofErr w:type="spellStart"/>
      <w:r w:rsidRPr="00FF142F">
        <w:rPr>
          <w:sz w:val="24"/>
          <w:szCs w:val="24"/>
        </w:rPr>
        <w:t>uovertrukket</w:t>
      </w:r>
      <w:proofErr w:type="spellEnd"/>
      <w:r w:rsidRPr="00FF142F">
        <w:rPr>
          <w:sz w:val="24"/>
          <w:szCs w:val="24"/>
        </w:rPr>
        <w:t xml:space="preserve"> </w:t>
      </w:r>
      <w:proofErr w:type="spellStart"/>
      <w:r w:rsidRPr="00FF142F">
        <w:rPr>
          <w:sz w:val="24"/>
          <w:szCs w:val="24"/>
        </w:rPr>
        <w:t>bikonveks</w:t>
      </w:r>
      <w:proofErr w:type="spellEnd"/>
      <w:r w:rsidRPr="00FF142F">
        <w:rPr>
          <w:sz w:val="24"/>
          <w:szCs w:val="24"/>
        </w:rPr>
        <w:t xml:space="preserve"> tablet, begge sider glatte med en diameter på cirka 6,0 mm.</w:t>
      </w:r>
    </w:p>
    <w:p w14:paraId="689F99E2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DDF704E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FE44E2F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4.</w:t>
      </w:r>
      <w:r w:rsidRPr="007C3328">
        <w:rPr>
          <w:b/>
          <w:sz w:val="24"/>
          <w:szCs w:val="24"/>
        </w:rPr>
        <w:tab/>
        <w:t>KLINISKE OPLYSNINGER</w:t>
      </w:r>
    </w:p>
    <w:p w14:paraId="44981F7D" w14:textId="77777777" w:rsidR="009260DE" w:rsidRPr="007C3328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1AFCE404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7C3328">
        <w:rPr>
          <w:b/>
          <w:sz w:val="24"/>
          <w:szCs w:val="24"/>
        </w:rPr>
        <w:t>4.1</w:t>
      </w:r>
      <w:r w:rsidRPr="007C3328">
        <w:rPr>
          <w:b/>
          <w:sz w:val="24"/>
          <w:szCs w:val="24"/>
        </w:rPr>
        <w:tab/>
        <w:t>Terapeutiske indikationer</w:t>
      </w:r>
    </w:p>
    <w:p w14:paraId="5B3186D2" w14:textId="77777777" w:rsidR="00FF142F" w:rsidRPr="00FF142F" w:rsidRDefault="00FF142F" w:rsidP="00FF142F">
      <w:pPr>
        <w:ind w:left="851"/>
        <w:rPr>
          <w:bCs/>
          <w:sz w:val="24"/>
          <w:szCs w:val="24"/>
        </w:rPr>
      </w:pPr>
      <w:proofErr w:type="spellStart"/>
      <w:r w:rsidRPr="00FF142F">
        <w:rPr>
          <w:sz w:val="24"/>
          <w:szCs w:val="24"/>
        </w:rPr>
        <w:t>Vempadix</w:t>
      </w:r>
      <w:proofErr w:type="spellEnd"/>
      <w:r w:rsidRPr="00FF142F">
        <w:rPr>
          <w:sz w:val="24"/>
          <w:szCs w:val="24"/>
        </w:rPr>
        <w:t xml:space="preserve"> er indiceret til voksne til</w:t>
      </w:r>
    </w:p>
    <w:p w14:paraId="160E138A" w14:textId="77777777" w:rsidR="00FF142F" w:rsidRPr="007C3328" w:rsidRDefault="00FF142F" w:rsidP="00FF142F">
      <w:pPr>
        <w:ind w:left="851"/>
        <w:rPr>
          <w:bCs/>
          <w:sz w:val="24"/>
          <w:szCs w:val="24"/>
        </w:rPr>
      </w:pPr>
    </w:p>
    <w:p w14:paraId="3510592B" w14:textId="77777777" w:rsidR="00FF142F" w:rsidRPr="00FF142F" w:rsidRDefault="00FF142F" w:rsidP="00A3232A">
      <w:pPr>
        <w:numPr>
          <w:ilvl w:val="0"/>
          <w:numId w:val="6"/>
        </w:numPr>
        <w:ind w:left="1276" w:hanging="425"/>
        <w:rPr>
          <w:bCs/>
          <w:sz w:val="24"/>
          <w:szCs w:val="24"/>
        </w:rPr>
      </w:pPr>
      <w:r w:rsidRPr="00FF142F">
        <w:rPr>
          <w:sz w:val="24"/>
          <w:szCs w:val="24"/>
        </w:rPr>
        <w:t>Migræneprofylakse, hvor andre behandlinger er uhensigtsmæssige eller ikke kan tolereres</w:t>
      </w:r>
    </w:p>
    <w:p w14:paraId="4F399DC3" w14:textId="77777777" w:rsidR="00FF142F" w:rsidRPr="00FF142F" w:rsidRDefault="00FF142F" w:rsidP="00A3232A">
      <w:pPr>
        <w:numPr>
          <w:ilvl w:val="0"/>
          <w:numId w:val="6"/>
        </w:numPr>
        <w:ind w:left="1276" w:hanging="425"/>
        <w:rPr>
          <w:bCs/>
          <w:sz w:val="24"/>
          <w:szCs w:val="24"/>
        </w:rPr>
      </w:pPr>
      <w:r w:rsidRPr="00FF142F">
        <w:rPr>
          <w:sz w:val="24"/>
          <w:szCs w:val="24"/>
        </w:rPr>
        <w:t>Hedeture under menopause, når østrogenbehandling ikke er en mulighed</w:t>
      </w:r>
    </w:p>
    <w:p w14:paraId="6AF087F5" w14:textId="2153A768" w:rsidR="003E37B7" w:rsidRDefault="003E37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49F695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89CA4D6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4.2</w:t>
      </w:r>
      <w:r w:rsidRPr="007C3328">
        <w:rPr>
          <w:b/>
          <w:sz w:val="24"/>
          <w:szCs w:val="24"/>
        </w:rPr>
        <w:tab/>
        <w:t xml:space="preserve">Dosering og </w:t>
      </w:r>
      <w:r w:rsidR="002C1EC0" w:rsidRPr="007C3328">
        <w:rPr>
          <w:b/>
          <w:sz w:val="24"/>
          <w:szCs w:val="24"/>
        </w:rPr>
        <w:t>administration</w:t>
      </w:r>
    </w:p>
    <w:p w14:paraId="2641BDF7" w14:textId="77777777" w:rsidR="000B13F7" w:rsidRDefault="000B13F7" w:rsidP="00FF142F">
      <w:pPr>
        <w:ind w:left="851"/>
        <w:rPr>
          <w:sz w:val="24"/>
          <w:szCs w:val="24"/>
          <w:u w:val="single"/>
        </w:rPr>
      </w:pPr>
    </w:p>
    <w:p w14:paraId="36E8F3E2" w14:textId="660699A8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Dosering</w:t>
      </w:r>
    </w:p>
    <w:p w14:paraId="21E0F820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</w:p>
    <w:p w14:paraId="4E9BA0FE" w14:textId="77777777" w:rsidR="00FF142F" w:rsidRPr="00FF142F" w:rsidRDefault="00FF142F" w:rsidP="00FF142F">
      <w:pPr>
        <w:ind w:left="851"/>
        <w:rPr>
          <w:bCs/>
          <w:i/>
          <w:iCs/>
          <w:sz w:val="24"/>
          <w:szCs w:val="24"/>
        </w:rPr>
      </w:pPr>
      <w:r w:rsidRPr="00FF142F">
        <w:rPr>
          <w:i/>
          <w:sz w:val="24"/>
          <w:szCs w:val="24"/>
        </w:rPr>
        <w:t>Voksne (herunder ældre patienter):</w:t>
      </w:r>
    </w:p>
    <w:p w14:paraId="437C010C" w14:textId="77777777" w:rsidR="00FF142F" w:rsidRPr="00FF142F" w:rsidRDefault="00FF142F" w:rsidP="00FF142F">
      <w:pPr>
        <w:ind w:left="851"/>
        <w:rPr>
          <w:bCs/>
          <w:i/>
          <w:iCs/>
          <w:sz w:val="24"/>
          <w:szCs w:val="24"/>
        </w:rPr>
      </w:pPr>
    </w:p>
    <w:p w14:paraId="0740FBDC" w14:textId="073AF242" w:rsidR="00FF142F" w:rsidRPr="00FF142F" w:rsidRDefault="00FF142F" w:rsidP="00FF142F">
      <w:pPr>
        <w:ind w:left="851"/>
        <w:rPr>
          <w:bCs/>
          <w:sz w:val="24"/>
          <w:szCs w:val="24"/>
        </w:rPr>
      </w:pPr>
      <w:r w:rsidRPr="00FF142F">
        <w:rPr>
          <w:sz w:val="24"/>
          <w:szCs w:val="24"/>
        </w:rPr>
        <w:t>Migræneprofylakse: Den anbefalede startdosis er 2 tabletter (typisk 25 mikrogram hver) to gange dagligt. Hvis der efter to uger ikke er nogen klinisk forbedring, kan dosis øges til 3 tabletter to gange dagligt. Maksimal dosis: 150 mikrogram dagligt i delte doser. Patienter bør oplyses om, at det kan tage 2–4 uger at opnå fuld terapeutisk virkning. Behandlingsvarigheden bør tilpasses individuelt ud fra respons.</w:t>
      </w:r>
    </w:p>
    <w:p w14:paraId="630AD9DF" w14:textId="77777777" w:rsidR="00FF142F" w:rsidRPr="007C3328" w:rsidRDefault="00FF142F" w:rsidP="00FF142F">
      <w:pPr>
        <w:ind w:left="851"/>
        <w:rPr>
          <w:bCs/>
          <w:sz w:val="24"/>
          <w:szCs w:val="24"/>
        </w:rPr>
      </w:pPr>
    </w:p>
    <w:p w14:paraId="32552DA2" w14:textId="77777777" w:rsidR="00FF142F" w:rsidRPr="00FF142F" w:rsidRDefault="00FF142F" w:rsidP="00FF142F">
      <w:pPr>
        <w:ind w:left="851"/>
        <w:rPr>
          <w:bCs/>
          <w:sz w:val="24"/>
          <w:szCs w:val="24"/>
        </w:rPr>
      </w:pPr>
      <w:r w:rsidRPr="00FF142F">
        <w:rPr>
          <w:sz w:val="24"/>
          <w:szCs w:val="24"/>
        </w:rPr>
        <w:t>Håndtering af vasomotoriske symptomer forbundet med menopause (f.eks. rødmen): Den sædvanlige er 2 tabletter to gange dagligt. Hvis symptomerne vedvarer, kan dosis øges til 3 tabletter to gange dagligt. Maksimal dosis: 150 mikrogram dagligt i delte doser. Behandlingsvarigheden afhænger af symptomernes sværhedsgrad og respons.</w:t>
      </w:r>
    </w:p>
    <w:p w14:paraId="08C46FBB" w14:textId="77777777" w:rsidR="00FF142F" w:rsidRPr="007C3328" w:rsidRDefault="00FF142F" w:rsidP="00FF142F">
      <w:pPr>
        <w:ind w:left="851"/>
        <w:rPr>
          <w:bCs/>
          <w:sz w:val="24"/>
          <w:szCs w:val="24"/>
        </w:rPr>
      </w:pPr>
    </w:p>
    <w:p w14:paraId="72FEFE2C" w14:textId="77777777" w:rsidR="00FF142F" w:rsidRPr="00FF142F" w:rsidRDefault="00FF142F" w:rsidP="00FF142F">
      <w:pPr>
        <w:ind w:left="851"/>
        <w:rPr>
          <w:bCs/>
          <w:i/>
          <w:iCs/>
          <w:sz w:val="24"/>
          <w:szCs w:val="24"/>
        </w:rPr>
      </w:pPr>
      <w:r w:rsidRPr="00FF142F">
        <w:rPr>
          <w:i/>
          <w:sz w:val="24"/>
          <w:szCs w:val="24"/>
        </w:rPr>
        <w:t>Pædiatrisk population</w:t>
      </w:r>
    </w:p>
    <w:p w14:paraId="3B69C264" w14:textId="77777777" w:rsidR="00FF142F" w:rsidRPr="00FF142F" w:rsidRDefault="00FF142F" w:rsidP="00FF142F">
      <w:pPr>
        <w:ind w:left="851"/>
        <w:rPr>
          <w:bCs/>
          <w:i/>
          <w:iCs/>
          <w:sz w:val="24"/>
          <w:szCs w:val="24"/>
        </w:rPr>
      </w:pPr>
    </w:p>
    <w:p w14:paraId="63533916" w14:textId="77777777" w:rsidR="00FF142F" w:rsidRPr="00FF142F" w:rsidRDefault="00FF142F" w:rsidP="00FF142F">
      <w:pPr>
        <w:ind w:left="851"/>
        <w:rPr>
          <w:bCs/>
          <w:sz w:val="24"/>
          <w:szCs w:val="24"/>
        </w:rPr>
      </w:pPr>
      <w:r w:rsidRPr="00FF142F">
        <w:rPr>
          <w:sz w:val="24"/>
          <w:szCs w:val="24"/>
        </w:rPr>
        <w:t xml:space="preserve">Der er utilstrækkelig evidens for anvendelse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til børn og unge under 18 år. Derfor bør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ikke anvendes til pædiatriske personer under 18 år.</w:t>
      </w:r>
    </w:p>
    <w:p w14:paraId="0AC1FB21" w14:textId="77777777" w:rsidR="00FF142F" w:rsidRPr="00FF142F" w:rsidRDefault="00FF142F" w:rsidP="00FF142F">
      <w:pPr>
        <w:ind w:left="851"/>
        <w:rPr>
          <w:bCs/>
          <w:sz w:val="24"/>
          <w:szCs w:val="24"/>
        </w:rPr>
      </w:pPr>
    </w:p>
    <w:p w14:paraId="4ECBD750" w14:textId="77777777" w:rsidR="00FF142F" w:rsidRPr="00FF142F" w:rsidRDefault="00FF142F" w:rsidP="00FF142F">
      <w:pPr>
        <w:ind w:left="851"/>
        <w:rPr>
          <w:bCs/>
          <w:i/>
          <w:iCs/>
          <w:sz w:val="24"/>
          <w:szCs w:val="24"/>
        </w:rPr>
      </w:pPr>
      <w:r w:rsidRPr="00FF142F">
        <w:rPr>
          <w:i/>
          <w:sz w:val="24"/>
          <w:szCs w:val="24"/>
        </w:rPr>
        <w:t>Nedsat nyrefunktion</w:t>
      </w:r>
    </w:p>
    <w:p w14:paraId="7D0FE5FC" w14:textId="77777777" w:rsidR="00FF142F" w:rsidRPr="00FF142F" w:rsidRDefault="00FF142F" w:rsidP="00FF142F">
      <w:pPr>
        <w:ind w:left="851"/>
        <w:rPr>
          <w:bCs/>
          <w:i/>
          <w:iCs/>
          <w:sz w:val="24"/>
          <w:szCs w:val="24"/>
        </w:rPr>
      </w:pPr>
    </w:p>
    <w:p w14:paraId="65F6F127" w14:textId="35B55B18" w:rsidR="00FF142F" w:rsidRPr="00FF142F" w:rsidRDefault="00FF142F" w:rsidP="00FF142F">
      <w:pPr>
        <w:ind w:left="851"/>
        <w:rPr>
          <w:bCs/>
          <w:sz w:val="24"/>
          <w:szCs w:val="24"/>
        </w:rPr>
      </w:pPr>
      <w:proofErr w:type="spellStart"/>
      <w:r w:rsidRPr="00FF142F">
        <w:rPr>
          <w:sz w:val="24"/>
          <w:szCs w:val="24"/>
        </w:rPr>
        <w:t>Vempadix</w:t>
      </w:r>
      <w:proofErr w:type="spellEnd"/>
      <w:r w:rsidRPr="00FF142F">
        <w:rPr>
          <w:sz w:val="24"/>
          <w:szCs w:val="24"/>
        </w:rPr>
        <w:t xml:space="preserve"> bør anvendes med forsigtighed hos patienter med nedsat nyrefunktion. Nøje overvågning af blodtrykket er påkrævet (</w:t>
      </w:r>
      <w:r w:rsidR="003E37B7">
        <w:rPr>
          <w:sz w:val="24"/>
          <w:szCs w:val="24"/>
        </w:rPr>
        <w:t>s</w:t>
      </w:r>
      <w:r w:rsidRPr="00FF142F">
        <w:rPr>
          <w:sz w:val="24"/>
          <w:szCs w:val="24"/>
        </w:rPr>
        <w:t>e pkt. 4.4)</w:t>
      </w:r>
      <w:r w:rsidR="003E37B7">
        <w:rPr>
          <w:sz w:val="24"/>
          <w:szCs w:val="24"/>
        </w:rPr>
        <w:t>.</w:t>
      </w:r>
    </w:p>
    <w:p w14:paraId="4D8E41B4" w14:textId="77777777" w:rsidR="00FF142F" w:rsidRPr="00FF142F" w:rsidRDefault="00FF142F" w:rsidP="00FF142F">
      <w:pPr>
        <w:ind w:left="851"/>
        <w:rPr>
          <w:bCs/>
          <w:i/>
          <w:iCs/>
          <w:sz w:val="24"/>
          <w:szCs w:val="24"/>
        </w:rPr>
      </w:pPr>
    </w:p>
    <w:p w14:paraId="657B7CBE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proofErr w:type="spellStart"/>
      <w:r w:rsidRPr="00FF142F">
        <w:rPr>
          <w:sz w:val="24"/>
          <w:szCs w:val="24"/>
          <w:u w:val="single"/>
        </w:rPr>
        <w:t>Seponering</w:t>
      </w:r>
      <w:proofErr w:type="spellEnd"/>
      <w:r w:rsidRPr="00FF142F">
        <w:rPr>
          <w:sz w:val="24"/>
          <w:szCs w:val="24"/>
          <w:u w:val="single"/>
        </w:rPr>
        <w:t xml:space="preserve"> af behandling</w:t>
      </w:r>
    </w:p>
    <w:p w14:paraId="4D6D6382" w14:textId="77777777" w:rsidR="00FF142F" w:rsidRPr="00FF142F" w:rsidRDefault="00FF142F" w:rsidP="00FF142F">
      <w:pPr>
        <w:ind w:left="851"/>
        <w:rPr>
          <w:bCs/>
          <w:sz w:val="24"/>
          <w:szCs w:val="24"/>
        </w:rPr>
      </w:pPr>
    </w:p>
    <w:p w14:paraId="788F4DF0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Når behandlingen med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seponeres, bør lægen gradvist reducere dosis i løbet af 2–4 dage (se pkt. 4.4).</w:t>
      </w:r>
    </w:p>
    <w:p w14:paraId="2CADD69E" w14:textId="77777777" w:rsidR="00FF142F" w:rsidRPr="00FF142F" w:rsidRDefault="00FF142F" w:rsidP="00FF142F">
      <w:pPr>
        <w:ind w:left="851"/>
        <w:rPr>
          <w:bCs/>
          <w:sz w:val="24"/>
          <w:szCs w:val="24"/>
          <w:u w:val="single"/>
        </w:rPr>
      </w:pPr>
    </w:p>
    <w:p w14:paraId="240F2A91" w14:textId="77777777" w:rsidR="00FF142F" w:rsidRPr="00FF142F" w:rsidRDefault="00FF142F" w:rsidP="00FF142F">
      <w:pPr>
        <w:ind w:left="851"/>
        <w:rPr>
          <w:bCs/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Administration</w:t>
      </w:r>
    </w:p>
    <w:p w14:paraId="74E0B4DE" w14:textId="77777777" w:rsidR="00FF142F" w:rsidRPr="00FF142F" w:rsidRDefault="00FF142F" w:rsidP="00FF142F">
      <w:pPr>
        <w:ind w:left="851"/>
        <w:rPr>
          <w:bCs/>
          <w:sz w:val="24"/>
          <w:szCs w:val="24"/>
        </w:rPr>
      </w:pPr>
    </w:p>
    <w:p w14:paraId="6B87B1B1" w14:textId="77777777" w:rsidR="00FF142F" w:rsidRPr="00FF142F" w:rsidRDefault="00FF142F" w:rsidP="00FF142F">
      <w:pPr>
        <w:ind w:left="851"/>
        <w:rPr>
          <w:bCs/>
          <w:sz w:val="24"/>
          <w:szCs w:val="24"/>
        </w:rPr>
      </w:pPr>
      <w:r w:rsidRPr="00FF142F">
        <w:rPr>
          <w:sz w:val="24"/>
          <w:szCs w:val="24"/>
        </w:rPr>
        <w:t>Oral.</w:t>
      </w:r>
    </w:p>
    <w:p w14:paraId="4FB8B5AE" w14:textId="77777777" w:rsidR="00FF142F" w:rsidRPr="00FF142F" w:rsidRDefault="00FF142F" w:rsidP="00FF142F">
      <w:pPr>
        <w:ind w:left="851"/>
        <w:rPr>
          <w:bCs/>
          <w:sz w:val="24"/>
          <w:szCs w:val="24"/>
        </w:rPr>
      </w:pPr>
      <w:r w:rsidRPr="00FF142F">
        <w:rPr>
          <w:sz w:val="24"/>
          <w:szCs w:val="24"/>
        </w:rPr>
        <w:t>Tabletterne bør sluges hele sammen med et glas vand.</w:t>
      </w:r>
    </w:p>
    <w:p w14:paraId="0705E439" w14:textId="77777777" w:rsidR="009260DE" w:rsidRPr="007C3328" w:rsidRDefault="009260DE" w:rsidP="00FF142F">
      <w:pPr>
        <w:ind w:left="851"/>
        <w:rPr>
          <w:sz w:val="24"/>
          <w:szCs w:val="24"/>
        </w:rPr>
      </w:pPr>
    </w:p>
    <w:p w14:paraId="0811090C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4.3</w:t>
      </w:r>
      <w:r w:rsidRPr="007C3328">
        <w:rPr>
          <w:b/>
          <w:sz w:val="24"/>
          <w:szCs w:val="24"/>
        </w:rPr>
        <w:tab/>
        <w:t>Kontraindikationer</w:t>
      </w:r>
    </w:p>
    <w:p w14:paraId="4A8D7434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Overfølsomhed over for det aktive stof eller over for et eller flere af hjælpestofferne anført i pkt. 6.1.</w:t>
      </w:r>
    </w:p>
    <w:p w14:paraId="2FAFDEAF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08FEB9B7" w14:textId="5695315E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Vempadix</w:t>
      </w:r>
      <w:proofErr w:type="spellEnd"/>
      <w:r w:rsidRPr="00FF142F">
        <w:rPr>
          <w:sz w:val="24"/>
          <w:szCs w:val="24"/>
        </w:rPr>
        <w:t xml:space="preserve"> bør ikke anvendes hos patienter med svær </w:t>
      </w:r>
      <w:proofErr w:type="spellStart"/>
      <w:r w:rsidRPr="00FF142F">
        <w:rPr>
          <w:sz w:val="24"/>
          <w:szCs w:val="24"/>
        </w:rPr>
        <w:t>bradyarytmi</w:t>
      </w:r>
      <w:proofErr w:type="spellEnd"/>
      <w:r w:rsidRPr="00FF142F">
        <w:rPr>
          <w:sz w:val="24"/>
          <w:szCs w:val="24"/>
        </w:rPr>
        <w:t xml:space="preserve"> som følge af enten sygt sinussyndrom eller AV-blok af 2. eller 3. grad (se pkt. 4.4)</w:t>
      </w:r>
      <w:r w:rsidR="003E37B7">
        <w:rPr>
          <w:sz w:val="24"/>
          <w:szCs w:val="24"/>
        </w:rPr>
        <w:t>.</w:t>
      </w:r>
    </w:p>
    <w:p w14:paraId="342B101E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31615C7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4.4</w:t>
      </w:r>
      <w:r w:rsidRPr="007C3328">
        <w:rPr>
          <w:b/>
          <w:sz w:val="24"/>
          <w:szCs w:val="24"/>
        </w:rPr>
        <w:tab/>
        <w:t>Særlige advarsler og forsigtighedsregler vedrørende brugen</w:t>
      </w:r>
    </w:p>
    <w:p w14:paraId="3116217C" w14:textId="77777777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bør anvendes med forsigtighed hos patienter med </w:t>
      </w:r>
      <w:proofErr w:type="spellStart"/>
      <w:r w:rsidRPr="00FF142F">
        <w:rPr>
          <w:sz w:val="24"/>
          <w:szCs w:val="24"/>
        </w:rPr>
        <w:t>cerebrovaskulær</w:t>
      </w:r>
      <w:proofErr w:type="spellEnd"/>
      <w:r w:rsidRPr="00FF142F">
        <w:rPr>
          <w:sz w:val="24"/>
          <w:szCs w:val="24"/>
        </w:rPr>
        <w:t xml:space="preserve"> sygdom, koronar insufficiens, hjertesvigt, </w:t>
      </w:r>
      <w:proofErr w:type="spellStart"/>
      <w:r w:rsidRPr="00FF142F">
        <w:rPr>
          <w:sz w:val="24"/>
          <w:szCs w:val="24"/>
        </w:rPr>
        <w:t>okklusive</w:t>
      </w:r>
      <w:proofErr w:type="spellEnd"/>
      <w:r w:rsidRPr="00FF142F">
        <w:rPr>
          <w:sz w:val="24"/>
          <w:szCs w:val="24"/>
        </w:rPr>
        <w:t xml:space="preserve"> perifere vaskulære lidelser såsom </w:t>
      </w:r>
      <w:proofErr w:type="spellStart"/>
      <w:r w:rsidRPr="00FF142F">
        <w:rPr>
          <w:sz w:val="24"/>
          <w:szCs w:val="24"/>
        </w:rPr>
        <w:t>Raynauds</w:t>
      </w:r>
      <w:proofErr w:type="spellEnd"/>
      <w:r w:rsidRPr="00FF142F">
        <w:rPr>
          <w:sz w:val="24"/>
          <w:szCs w:val="24"/>
        </w:rPr>
        <w:t xml:space="preserve"> sygdom, </w:t>
      </w:r>
      <w:proofErr w:type="spellStart"/>
      <w:r w:rsidRPr="00FF142F">
        <w:rPr>
          <w:sz w:val="24"/>
          <w:szCs w:val="24"/>
        </w:rPr>
        <w:t>polyneuropati</w:t>
      </w:r>
      <w:proofErr w:type="spellEnd"/>
      <w:r w:rsidRPr="00FF142F">
        <w:rPr>
          <w:sz w:val="24"/>
          <w:szCs w:val="24"/>
        </w:rPr>
        <w:t>, forstoppelse eller patienter med depression eller i anamnesen.</w:t>
      </w:r>
    </w:p>
    <w:p w14:paraId="390F6A50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1F6E57DB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lastRenderedPageBreak/>
        <w:t xml:space="preserve">Ved doser højere end de anbefalede ovenfor er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et effektivt </w:t>
      </w:r>
      <w:proofErr w:type="spellStart"/>
      <w:r w:rsidRPr="00FF142F">
        <w:rPr>
          <w:sz w:val="24"/>
          <w:szCs w:val="24"/>
        </w:rPr>
        <w:t>antihypertensivum</w:t>
      </w:r>
      <w:proofErr w:type="spellEnd"/>
      <w:r w:rsidRPr="00FF142F">
        <w:rPr>
          <w:sz w:val="24"/>
          <w:szCs w:val="24"/>
        </w:rPr>
        <w:t xml:space="preserve">. Der bør derfor udvises forsigtighed, hvor der anvendes </w:t>
      </w:r>
      <w:proofErr w:type="spellStart"/>
      <w:r w:rsidRPr="00FF142F">
        <w:rPr>
          <w:sz w:val="24"/>
          <w:szCs w:val="24"/>
        </w:rPr>
        <w:t>antihypertensiva</w:t>
      </w:r>
      <w:proofErr w:type="spellEnd"/>
      <w:r w:rsidRPr="00FF142F">
        <w:rPr>
          <w:sz w:val="24"/>
          <w:szCs w:val="24"/>
        </w:rPr>
        <w:t xml:space="preserve">, da der kan forekomme en potensering af den </w:t>
      </w:r>
      <w:proofErr w:type="spellStart"/>
      <w:r w:rsidRPr="00FF142F">
        <w:rPr>
          <w:sz w:val="24"/>
          <w:szCs w:val="24"/>
        </w:rPr>
        <w:t>hypotensive</w:t>
      </w:r>
      <w:proofErr w:type="spellEnd"/>
      <w:r w:rsidRPr="00FF142F">
        <w:rPr>
          <w:sz w:val="24"/>
          <w:szCs w:val="24"/>
        </w:rPr>
        <w:t xml:space="preserve"> virkning. Forudsat at det anbefalede doseringsprogram for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følges, bør der ikke opstå problemer med hypotension under rutinemæssig behandling af patienter med enten migræne eller </w:t>
      </w:r>
      <w:proofErr w:type="spellStart"/>
      <w:r w:rsidRPr="00FF142F">
        <w:rPr>
          <w:sz w:val="24"/>
          <w:szCs w:val="24"/>
        </w:rPr>
        <w:t>menopausal</w:t>
      </w:r>
      <w:proofErr w:type="spellEnd"/>
      <w:r w:rsidRPr="00FF142F">
        <w:rPr>
          <w:sz w:val="24"/>
          <w:szCs w:val="24"/>
        </w:rPr>
        <w:t xml:space="preserve"> rødmen.</w:t>
      </w:r>
    </w:p>
    <w:p w14:paraId="672D2966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4A9A1AC6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Afhængigt af den administrerede dosis kan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forårsage bradykardi. Hos patienter med eksisterende hjerteledningsforstyrrelser er </w:t>
      </w:r>
      <w:proofErr w:type="spellStart"/>
      <w:r w:rsidRPr="00FF142F">
        <w:rPr>
          <w:sz w:val="24"/>
          <w:szCs w:val="24"/>
        </w:rPr>
        <w:t>arytmier</w:t>
      </w:r>
      <w:proofErr w:type="spellEnd"/>
      <w:r w:rsidRPr="00FF142F">
        <w:rPr>
          <w:sz w:val="24"/>
          <w:szCs w:val="24"/>
        </w:rPr>
        <w:t xml:space="preserve"> observeret efter høje doser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>.</w:t>
      </w:r>
    </w:p>
    <w:p w14:paraId="15020D47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0AC40D20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Der skal udvises ekstrem forsigtighed hos patienter med nyresvigt (se pkt. 4.2 og 5.2).</w:t>
      </w:r>
    </w:p>
    <w:p w14:paraId="1E383E2C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6EB5E4A4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Patienterne skal instrueres i ikke at seponere behandlingen uden at kontakte lægen. Efter pludselig </w:t>
      </w:r>
      <w:proofErr w:type="spellStart"/>
      <w:r w:rsidRPr="00FF142F">
        <w:rPr>
          <w:sz w:val="24"/>
          <w:szCs w:val="24"/>
        </w:rPr>
        <w:t>seponering</w:t>
      </w:r>
      <w:proofErr w:type="spellEnd"/>
      <w:r w:rsidRPr="00FF142F">
        <w:rPr>
          <w:sz w:val="24"/>
          <w:szCs w:val="24"/>
        </w:rPr>
        <w:t xml:space="preserve">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efter langvarig behandling med høje doser er der rapporteret om rastløshed, </w:t>
      </w:r>
      <w:proofErr w:type="spellStart"/>
      <w:r w:rsidRPr="00FF142F">
        <w:rPr>
          <w:sz w:val="24"/>
          <w:szCs w:val="24"/>
        </w:rPr>
        <w:t>palpitationer</w:t>
      </w:r>
      <w:proofErr w:type="spellEnd"/>
      <w:r w:rsidRPr="00FF142F">
        <w:rPr>
          <w:sz w:val="24"/>
          <w:szCs w:val="24"/>
        </w:rPr>
        <w:t xml:space="preserve">, hurtig blodtryksstigning, nervøsitet, </w:t>
      </w:r>
      <w:proofErr w:type="spellStart"/>
      <w:r w:rsidRPr="00FF142F">
        <w:rPr>
          <w:sz w:val="24"/>
          <w:szCs w:val="24"/>
        </w:rPr>
        <w:t>tremor</w:t>
      </w:r>
      <w:proofErr w:type="spellEnd"/>
      <w:r w:rsidRPr="00FF142F">
        <w:rPr>
          <w:sz w:val="24"/>
          <w:szCs w:val="24"/>
        </w:rPr>
        <w:t>, hovedpine eller kvalme.</w:t>
      </w:r>
    </w:p>
    <w:p w14:paraId="53114C6E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59AE04AE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Patienter, der bruger kontaktlinser, bør advares om, at behandling med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kan forårsage nedsat tåredannelse.</w:t>
      </w:r>
    </w:p>
    <w:p w14:paraId="03F6768F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212EFC48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Der er kun lidt understøttende evidens for </w:t>
      </w:r>
      <w:proofErr w:type="spellStart"/>
      <w:r w:rsidRPr="00FF142F">
        <w:rPr>
          <w:sz w:val="24"/>
          <w:szCs w:val="24"/>
        </w:rPr>
        <w:t>clonidins</w:t>
      </w:r>
      <w:proofErr w:type="spellEnd"/>
      <w:r w:rsidRPr="00FF142F">
        <w:rPr>
          <w:sz w:val="24"/>
          <w:szCs w:val="24"/>
        </w:rPr>
        <w:t xml:space="preserve"> anvendelse og sikkerhed hos børn og unge i randomiserede kontrollerede studier, og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kan derfor ikke anbefales til denne population.</w:t>
      </w:r>
    </w:p>
    <w:p w14:paraId="22910FB4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</w:p>
    <w:p w14:paraId="3214330D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Oplysninger om hjælpestoffer, som behandleren skal være opmærksom på</w:t>
      </w:r>
    </w:p>
    <w:p w14:paraId="4BF73836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66345C30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Dette lægemiddel indeholder </w:t>
      </w:r>
      <w:proofErr w:type="spellStart"/>
      <w:r w:rsidRPr="00FF142F">
        <w:rPr>
          <w:sz w:val="24"/>
          <w:szCs w:val="24"/>
        </w:rPr>
        <w:t>lactose</w:t>
      </w:r>
      <w:proofErr w:type="spellEnd"/>
      <w:r w:rsidRPr="00FF142F">
        <w:rPr>
          <w:sz w:val="24"/>
          <w:szCs w:val="24"/>
        </w:rPr>
        <w:t>.</w:t>
      </w:r>
    </w:p>
    <w:p w14:paraId="01C17ED9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772C0366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Bør ikke anvendes til patienter med hereditær </w:t>
      </w:r>
      <w:proofErr w:type="spellStart"/>
      <w:r w:rsidRPr="00FF142F">
        <w:rPr>
          <w:sz w:val="24"/>
          <w:szCs w:val="24"/>
        </w:rPr>
        <w:t>galactoseintolerans</w:t>
      </w:r>
      <w:proofErr w:type="spellEnd"/>
      <w:r w:rsidRPr="00FF142F">
        <w:rPr>
          <w:sz w:val="24"/>
          <w:szCs w:val="24"/>
        </w:rPr>
        <w:t xml:space="preserve">, total </w:t>
      </w:r>
      <w:proofErr w:type="spellStart"/>
      <w:r w:rsidRPr="00FF142F">
        <w:rPr>
          <w:sz w:val="24"/>
          <w:szCs w:val="24"/>
        </w:rPr>
        <w:t>lactasemangel</w:t>
      </w:r>
      <w:proofErr w:type="spellEnd"/>
      <w:r w:rsidRPr="00FF142F">
        <w:rPr>
          <w:sz w:val="24"/>
          <w:szCs w:val="24"/>
        </w:rPr>
        <w:t xml:space="preserve"> eller </w:t>
      </w:r>
      <w:proofErr w:type="spellStart"/>
      <w:r w:rsidRPr="00FF142F">
        <w:rPr>
          <w:sz w:val="24"/>
          <w:szCs w:val="24"/>
        </w:rPr>
        <w:t>glucose</w:t>
      </w:r>
      <w:proofErr w:type="spellEnd"/>
      <w:r w:rsidRPr="00FF142F">
        <w:rPr>
          <w:sz w:val="24"/>
          <w:szCs w:val="24"/>
        </w:rPr>
        <w:t>/</w:t>
      </w:r>
      <w:proofErr w:type="spellStart"/>
      <w:r w:rsidRPr="00FF142F">
        <w:rPr>
          <w:sz w:val="24"/>
          <w:szCs w:val="24"/>
        </w:rPr>
        <w:t>galactosemalabsorption</w:t>
      </w:r>
      <w:proofErr w:type="spellEnd"/>
      <w:r w:rsidRPr="00FF142F">
        <w:rPr>
          <w:sz w:val="24"/>
          <w:szCs w:val="24"/>
        </w:rPr>
        <w:t>.</w:t>
      </w:r>
    </w:p>
    <w:p w14:paraId="28BA6C02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2CE4BDE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4.5</w:t>
      </w:r>
      <w:r w:rsidRPr="007C3328">
        <w:rPr>
          <w:b/>
          <w:sz w:val="24"/>
          <w:szCs w:val="24"/>
        </w:rPr>
        <w:tab/>
        <w:t>Interaktion med andre lægemidler og andre former for interaktion</w:t>
      </w:r>
    </w:p>
    <w:p w14:paraId="65471AFF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Samtidig administration af </w:t>
      </w:r>
      <w:proofErr w:type="spellStart"/>
      <w:r w:rsidRPr="00FF142F">
        <w:rPr>
          <w:sz w:val="24"/>
          <w:szCs w:val="24"/>
        </w:rPr>
        <w:t>antihypertensiva</w:t>
      </w:r>
      <w:proofErr w:type="spellEnd"/>
      <w:r w:rsidRPr="00FF142F">
        <w:rPr>
          <w:sz w:val="24"/>
          <w:szCs w:val="24"/>
        </w:rPr>
        <w:t xml:space="preserve">, </w:t>
      </w:r>
      <w:proofErr w:type="spellStart"/>
      <w:r w:rsidRPr="00FF142F">
        <w:rPr>
          <w:sz w:val="24"/>
          <w:szCs w:val="24"/>
        </w:rPr>
        <w:t>vasodilatorer</w:t>
      </w:r>
      <w:proofErr w:type="spellEnd"/>
      <w:r w:rsidRPr="00FF142F">
        <w:rPr>
          <w:sz w:val="24"/>
          <w:szCs w:val="24"/>
        </w:rPr>
        <w:t xml:space="preserve"> eller </w:t>
      </w:r>
      <w:proofErr w:type="spellStart"/>
      <w:r w:rsidRPr="00FF142F">
        <w:rPr>
          <w:sz w:val="24"/>
          <w:szCs w:val="24"/>
        </w:rPr>
        <w:t>diuretika</w:t>
      </w:r>
      <w:proofErr w:type="spellEnd"/>
      <w:r w:rsidRPr="00FF142F">
        <w:rPr>
          <w:sz w:val="24"/>
          <w:szCs w:val="24"/>
        </w:rPr>
        <w:t xml:space="preserve"> kan føre til en øget </w:t>
      </w:r>
      <w:proofErr w:type="spellStart"/>
      <w:r w:rsidRPr="00FF142F">
        <w:rPr>
          <w:sz w:val="24"/>
          <w:szCs w:val="24"/>
        </w:rPr>
        <w:t>hypotensiv</w:t>
      </w:r>
      <w:proofErr w:type="spellEnd"/>
      <w:r w:rsidRPr="00FF142F">
        <w:rPr>
          <w:sz w:val="24"/>
          <w:szCs w:val="24"/>
        </w:rPr>
        <w:t xml:space="preserve"> virkning.</w:t>
      </w:r>
    </w:p>
    <w:p w14:paraId="73E38548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7A7D1F2D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Stoffer med alfa</w:t>
      </w:r>
      <w:r w:rsidRPr="00FF142F">
        <w:rPr>
          <w:sz w:val="24"/>
          <w:szCs w:val="24"/>
          <w:vertAlign w:val="subscript"/>
        </w:rPr>
        <w:t>2</w:t>
      </w:r>
      <w:r w:rsidRPr="00FF142F">
        <w:rPr>
          <w:sz w:val="24"/>
          <w:szCs w:val="24"/>
        </w:rPr>
        <w:t xml:space="preserve">-receptorblokerende egenskaber, såsom </w:t>
      </w:r>
      <w:proofErr w:type="spellStart"/>
      <w:r w:rsidRPr="00FF142F">
        <w:rPr>
          <w:sz w:val="24"/>
          <w:szCs w:val="24"/>
        </w:rPr>
        <w:t>mirtazapin</w:t>
      </w:r>
      <w:proofErr w:type="spellEnd"/>
      <w:r w:rsidRPr="00FF142F">
        <w:rPr>
          <w:sz w:val="24"/>
          <w:szCs w:val="24"/>
        </w:rPr>
        <w:t>, kan ophæve de alfa</w:t>
      </w:r>
      <w:r w:rsidRPr="00FF142F">
        <w:rPr>
          <w:sz w:val="24"/>
          <w:szCs w:val="24"/>
          <w:vertAlign w:val="subscript"/>
        </w:rPr>
        <w:t>2</w:t>
      </w:r>
      <w:r w:rsidRPr="00FF142F">
        <w:rPr>
          <w:sz w:val="24"/>
          <w:szCs w:val="24"/>
        </w:rPr>
        <w:t xml:space="preserve">-receptormedierede virkning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på en dosisafhængig måde.</w:t>
      </w:r>
    </w:p>
    <w:p w14:paraId="2D2203A6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0CF2CC5A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Samtidig brug af betablokkere og/eller hjerteglykosider kan forårsage bradykardi eller </w:t>
      </w:r>
      <w:proofErr w:type="spellStart"/>
      <w:r w:rsidRPr="00FF142F">
        <w:rPr>
          <w:sz w:val="24"/>
          <w:szCs w:val="24"/>
        </w:rPr>
        <w:t>dysrytmi</w:t>
      </w:r>
      <w:proofErr w:type="spellEnd"/>
      <w:r w:rsidRPr="00FF142F">
        <w:rPr>
          <w:sz w:val="24"/>
          <w:szCs w:val="24"/>
        </w:rPr>
        <w:t xml:space="preserve"> (AV-blok) i isolerede tilfælde.</w:t>
      </w:r>
    </w:p>
    <w:p w14:paraId="59965264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76E39AEB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Det kan ikke udelukkes, at samtidig administration af en beta-receptorblokker vil medføre eller potensere perifere vaskulære forstyrrelser.</w:t>
      </w:r>
    </w:p>
    <w:p w14:paraId="14BB2C59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6BA11949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Hvis der under kombineret behandling med betablokker er behov for at afbryde eller seponere den </w:t>
      </w:r>
      <w:proofErr w:type="spellStart"/>
      <w:r w:rsidRPr="00FF142F">
        <w:rPr>
          <w:sz w:val="24"/>
          <w:szCs w:val="24"/>
        </w:rPr>
        <w:t>antihypertensive</w:t>
      </w:r>
      <w:proofErr w:type="spellEnd"/>
      <w:r w:rsidRPr="00FF142F">
        <w:rPr>
          <w:sz w:val="24"/>
          <w:szCs w:val="24"/>
        </w:rPr>
        <w:t xml:space="preserve"> behandling, skal betablokkeren altid seponeres langsomt først (dosen reduceres gradvist for at undgå sympatisk hyperaktivitet) og derefter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>, som også bør reduceres gradvist over flere dage, hvis det tidligere blev givet i høje doser.</w:t>
      </w:r>
    </w:p>
    <w:p w14:paraId="1E540640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18807B20" w14:textId="77777777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Ortostatisk</w:t>
      </w:r>
      <w:proofErr w:type="spellEnd"/>
      <w:r w:rsidRPr="00FF142F">
        <w:rPr>
          <w:sz w:val="24"/>
          <w:szCs w:val="24"/>
        </w:rPr>
        <w:t xml:space="preserve"> hypotension kan fremkaldes eller forværres ved samtidig administration af tricykliske </w:t>
      </w:r>
      <w:proofErr w:type="spellStart"/>
      <w:r w:rsidRPr="00FF142F">
        <w:rPr>
          <w:sz w:val="24"/>
          <w:szCs w:val="24"/>
        </w:rPr>
        <w:t>antidepressiva</w:t>
      </w:r>
      <w:proofErr w:type="spellEnd"/>
      <w:r w:rsidRPr="00FF142F">
        <w:rPr>
          <w:sz w:val="24"/>
          <w:szCs w:val="24"/>
        </w:rPr>
        <w:t xml:space="preserve"> eller </w:t>
      </w:r>
      <w:proofErr w:type="spellStart"/>
      <w:r w:rsidRPr="00FF142F">
        <w:rPr>
          <w:sz w:val="24"/>
          <w:szCs w:val="24"/>
        </w:rPr>
        <w:t>neuroleptika</w:t>
      </w:r>
      <w:proofErr w:type="spellEnd"/>
      <w:r w:rsidRPr="00FF142F">
        <w:rPr>
          <w:sz w:val="24"/>
          <w:szCs w:val="24"/>
        </w:rPr>
        <w:t xml:space="preserve"> med alfa-receptorblokerende egenskaber.</w:t>
      </w:r>
    </w:p>
    <w:p w14:paraId="1400451B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6967E569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Da virkningerne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kan modvirkes af tricykliske </w:t>
      </w:r>
      <w:proofErr w:type="spellStart"/>
      <w:r w:rsidRPr="00FF142F">
        <w:rPr>
          <w:sz w:val="24"/>
          <w:szCs w:val="24"/>
        </w:rPr>
        <w:t>antidepressiva</w:t>
      </w:r>
      <w:proofErr w:type="spellEnd"/>
      <w:r w:rsidRPr="00FF142F">
        <w:rPr>
          <w:sz w:val="24"/>
          <w:szCs w:val="24"/>
        </w:rPr>
        <w:t xml:space="preserve">, kan det være nødvendigt at justere doseringen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>, hvis disse midler administreres samtidigt.</w:t>
      </w:r>
    </w:p>
    <w:p w14:paraId="51D8EDB9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0A24A05C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Selvom der ikke er nogen erfaring fra kliniske studier, kunne virkningen af beroligende midler, </w:t>
      </w:r>
      <w:proofErr w:type="spellStart"/>
      <w:r w:rsidRPr="00FF142F">
        <w:rPr>
          <w:sz w:val="24"/>
          <w:szCs w:val="24"/>
        </w:rPr>
        <w:t>hypnotika</w:t>
      </w:r>
      <w:proofErr w:type="spellEnd"/>
      <w:r w:rsidRPr="00FF142F">
        <w:rPr>
          <w:sz w:val="24"/>
          <w:szCs w:val="24"/>
        </w:rPr>
        <w:t xml:space="preserve"> eller alkohol teoretisk potenseres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>.</w:t>
      </w:r>
    </w:p>
    <w:p w14:paraId="527CA8DA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36682FF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4.6</w:t>
      </w:r>
      <w:r w:rsidRPr="007C3328">
        <w:rPr>
          <w:b/>
          <w:sz w:val="24"/>
          <w:szCs w:val="24"/>
        </w:rPr>
        <w:tab/>
      </w:r>
      <w:r w:rsidR="0071241E" w:rsidRPr="007C3328">
        <w:rPr>
          <w:b/>
          <w:sz w:val="24"/>
          <w:szCs w:val="24"/>
        </w:rPr>
        <w:t>Fertilitet, g</w:t>
      </w:r>
      <w:r w:rsidRPr="007C3328">
        <w:rPr>
          <w:b/>
          <w:sz w:val="24"/>
          <w:szCs w:val="24"/>
        </w:rPr>
        <w:t>raviditet og amning</w:t>
      </w:r>
    </w:p>
    <w:p w14:paraId="54A56E3B" w14:textId="77777777" w:rsidR="00FF142F" w:rsidRPr="00FF142F" w:rsidRDefault="00FF142F" w:rsidP="00FF142F">
      <w:pPr>
        <w:ind w:left="851"/>
        <w:rPr>
          <w:i/>
          <w:sz w:val="24"/>
          <w:szCs w:val="24"/>
        </w:rPr>
      </w:pPr>
    </w:p>
    <w:p w14:paraId="6982BCDA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Graviditet</w:t>
      </w:r>
    </w:p>
    <w:p w14:paraId="5D59B158" w14:textId="5E16390D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Der er utilstrækkelige data fra anvendelse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til gravide kvinder.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bør ikke bruges under graviditet, især ikke i første trimester, medmindre lægen anser det for nødvendigt,</w:t>
      </w:r>
      <w:r w:rsidR="000B13F7">
        <w:rPr>
          <w:sz w:val="24"/>
          <w:szCs w:val="24"/>
        </w:rPr>
        <w:t xml:space="preserve"> </w:t>
      </w:r>
      <w:r w:rsidRPr="00FF142F">
        <w:rPr>
          <w:sz w:val="24"/>
          <w:szCs w:val="24"/>
        </w:rPr>
        <w:t>og den forventede fordel menes at opveje enhver mulig risiko for fosteret.</w:t>
      </w:r>
    </w:p>
    <w:p w14:paraId="54F56A5D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65FE531D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Non-kliniske studier af rotter har vist virkninger på fosterets udvikling ved klinisk relevante doser, primært i form af fosterresorption. Det anbefales at overvåge moder og barn nøje.</w:t>
      </w:r>
    </w:p>
    <w:p w14:paraId="68C77DDD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1DE90A01" w14:textId="2677BD09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passerer placentabarrieren og kan sænke fosterets hjertefrekvens. Efter fødslen kan</w:t>
      </w:r>
      <w:r w:rsidR="003E37B7">
        <w:rPr>
          <w:sz w:val="24"/>
          <w:szCs w:val="24"/>
        </w:rPr>
        <w:t xml:space="preserve"> </w:t>
      </w:r>
      <w:r w:rsidRPr="00FF142F">
        <w:rPr>
          <w:sz w:val="24"/>
          <w:szCs w:val="24"/>
        </w:rPr>
        <w:t>en midlertidig stigning i blodtrykket hos den nyfødte ikke udelukkes.</w:t>
      </w:r>
    </w:p>
    <w:p w14:paraId="10318D3A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58039AC6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Der er ikke tilstrækkelig erfaring med langsigtede virkninger af prænatal eksponering.</w:t>
      </w:r>
    </w:p>
    <w:p w14:paraId="1D557A52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</w:p>
    <w:p w14:paraId="73424DD7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Amning</w:t>
      </w:r>
    </w:p>
    <w:p w14:paraId="51B117D5" w14:textId="77777777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udskilles i human mælk. Der er imidlertid utilstrækkelige data vedrørende virkningen hos nyfødte.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bør derfor ikke anvendes under amning.</w:t>
      </w:r>
    </w:p>
    <w:p w14:paraId="11EC216B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2ACAD3F3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Der blev ikke set typiske bivirkninger ved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(f.eks. mundtørhed, </w:t>
      </w:r>
      <w:proofErr w:type="spellStart"/>
      <w:r w:rsidRPr="00FF142F">
        <w:rPr>
          <w:sz w:val="24"/>
          <w:szCs w:val="24"/>
        </w:rPr>
        <w:t>sedering</w:t>
      </w:r>
      <w:proofErr w:type="spellEnd"/>
      <w:r w:rsidRPr="00FF142F">
        <w:rPr>
          <w:sz w:val="24"/>
          <w:szCs w:val="24"/>
        </w:rPr>
        <w:t xml:space="preserve">) hos 9 spædbørn, hvis mødre tog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, selvom spædbørnenes serumniveauer var omkring to tredjedele af mødrenes. En kasuistik rapporterede virkningen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på et spædbarn født af en mor, der tog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0,15 mg dagligt under graviditet og efter fødslen. Efter spædbarnet var 2 dage gammelt udviste det døsighed, </w:t>
      </w:r>
      <w:proofErr w:type="spellStart"/>
      <w:r w:rsidRPr="00FF142F">
        <w:rPr>
          <w:sz w:val="24"/>
          <w:szCs w:val="24"/>
        </w:rPr>
        <w:t>hypotoni</w:t>
      </w:r>
      <w:proofErr w:type="spellEnd"/>
      <w:r w:rsidRPr="00FF142F">
        <w:rPr>
          <w:sz w:val="24"/>
          <w:szCs w:val="24"/>
        </w:rPr>
        <w:t xml:space="preserve"> og mistænkte generaliserede anfald. På dag 9 efter fødslen blev amningen imidlertid stoppet, og alle symptomer forsvandt inden for 24 timer</w:t>
      </w:r>
    </w:p>
    <w:p w14:paraId="4231CF18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</w:p>
    <w:p w14:paraId="0BE29FF1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Fertilitet</w:t>
      </w:r>
    </w:p>
    <w:p w14:paraId="101E9A53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Der er ikke udført kliniske studier af virkningen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på fertiliteten hos mennesker. Non-kliniske studier har påvist </w:t>
      </w:r>
      <w:proofErr w:type="spellStart"/>
      <w:r w:rsidRPr="00FF142F">
        <w:rPr>
          <w:sz w:val="24"/>
          <w:szCs w:val="24"/>
        </w:rPr>
        <w:t>erektil</w:t>
      </w:r>
      <w:proofErr w:type="spellEnd"/>
      <w:r w:rsidRPr="00FF142F">
        <w:rPr>
          <w:sz w:val="24"/>
          <w:szCs w:val="24"/>
        </w:rPr>
        <w:t xml:space="preserve"> dysfunktion (ED) hos hanrotter og hanhunde ved klinisk relevante doser. I fertilitetsstudier hos hunrotter blev der ikke observeret nogen virkning på fertilitet ved doser op til 12 gange MRDHD, mens højere doser har vist sig at påvirke fertiliteten negativt i andre studier. Non-kliniske studier med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indikerer hverken direkte eller indirekte skadelige virkninger hvad angår fertilitetsindekset.</w:t>
      </w:r>
    </w:p>
    <w:p w14:paraId="0113175B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5473B02F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Fertiliteten hos hunrotter blev negativt påvirket ved doser fra 500 </w:t>
      </w:r>
      <w:proofErr w:type="spellStart"/>
      <w:r w:rsidRPr="00FF142F">
        <w:rPr>
          <w:sz w:val="24"/>
          <w:szCs w:val="24"/>
        </w:rPr>
        <w:t>μg</w:t>
      </w:r>
      <w:proofErr w:type="spellEnd"/>
      <w:r w:rsidRPr="00FF142F">
        <w:rPr>
          <w:sz w:val="24"/>
          <w:szCs w:val="24"/>
        </w:rPr>
        <w:t>/kg til 2.000 </w:t>
      </w:r>
      <w:proofErr w:type="spellStart"/>
      <w:r w:rsidRPr="00FF142F">
        <w:rPr>
          <w:sz w:val="24"/>
          <w:szCs w:val="24"/>
        </w:rPr>
        <w:t>μg</w:t>
      </w:r>
      <w:proofErr w:type="spellEnd"/>
      <w:r w:rsidRPr="00FF142F">
        <w:rPr>
          <w:sz w:val="24"/>
          <w:szCs w:val="24"/>
        </w:rPr>
        <w:t>/kg, eller ved 10 til 40 gange MRDHD.</w:t>
      </w:r>
    </w:p>
    <w:p w14:paraId="75548097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5D6099B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4.7</w:t>
      </w:r>
      <w:r w:rsidRPr="007C3328">
        <w:rPr>
          <w:b/>
          <w:sz w:val="24"/>
          <w:szCs w:val="24"/>
        </w:rPr>
        <w:tab/>
        <w:t xml:space="preserve">Virkning på evnen til at føre motorkøretøj </w:t>
      </w:r>
      <w:r w:rsidR="0071241E" w:rsidRPr="007C3328">
        <w:rPr>
          <w:b/>
          <w:sz w:val="24"/>
          <w:szCs w:val="24"/>
        </w:rPr>
        <w:t>og</w:t>
      </w:r>
      <w:r w:rsidRPr="007C3328">
        <w:rPr>
          <w:b/>
          <w:sz w:val="24"/>
          <w:szCs w:val="24"/>
        </w:rPr>
        <w:t xml:space="preserve"> betjene maskiner</w:t>
      </w:r>
    </w:p>
    <w:p w14:paraId="413FFCCB" w14:textId="77777777" w:rsidR="000B13F7" w:rsidRDefault="000B13F7" w:rsidP="00FF142F">
      <w:pPr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14:paraId="143F4096" w14:textId="44C47EC4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Der er ikke udført studier af virkningen på evnen til at føre motorkøretøj og betjene maskiner.</w:t>
      </w:r>
    </w:p>
    <w:p w14:paraId="599D7A41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0967FF8F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Patienterne skal imidlertid informeres om, at de kan opleve bivirkninger, såsom svimmelhed, </w:t>
      </w:r>
      <w:proofErr w:type="spellStart"/>
      <w:r w:rsidRPr="00FF142F">
        <w:rPr>
          <w:sz w:val="24"/>
          <w:szCs w:val="24"/>
        </w:rPr>
        <w:t>sedering</w:t>
      </w:r>
      <w:proofErr w:type="spellEnd"/>
      <w:r w:rsidRPr="00FF142F">
        <w:rPr>
          <w:sz w:val="24"/>
          <w:szCs w:val="24"/>
        </w:rPr>
        <w:t xml:space="preserve"> og akkommodationsforstyrrelser, under behandling med </w:t>
      </w:r>
      <w:proofErr w:type="spellStart"/>
      <w:r w:rsidRPr="00FF142F">
        <w:rPr>
          <w:sz w:val="24"/>
          <w:szCs w:val="24"/>
        </w:rPr>
        <w:t>Vempadix</w:t>
      </w:r>
      <w:proofErr w:type="spellEnd"/>
      <w:r w:rsidRPr="00FF142F">
        <w:rPr>
          <w:sz w:val="24"/>
          <w:szCs w:val="24"/>
        </w:rPr>
        <w:t>. Hvis patienterne oplever de ovennævnte bivirkninger, bør de undgå potentielt farlige opgaver som at føre motorkøretøj eller betjene maskiner.</w:t>
      </w:r>
    </w:p>
    <w:p w14:paraId="627BDC9D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4CB5D35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4.8</w:t>
      </w:r>
      <w:r w:rsidRPr="007C3328">
        <w:rPr>
          <w:b/>
          <w:sz w:val="24"/>
          <w:szCs w:val="24"/>
        </w:rPr>
        <w:tab/>
        <w:t>Bivirkninger</w:t>
      </w:r>
    </w:p>
    <w:p w14:paraId="252B4236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De fleste bivirkninger er lette og forsvinder som regel ved fortsat behandling.</w:t>
      </w:r>
    </w:p>
    <w:p w14:paraId="0797DF52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685F0E20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Bivirkninger er blevet opdelt efter hyppighed ved hjælp af følgende konvention:</w:t>
      </w:r>
    </w:p>
    <w:p w14:paraId="21ADCA74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meget almindelig (≥ 1/10), almindelig (≥ 1/100 til &lt; 1/10), ikke almindelig (≥ 1/1.000 til &lt; 1/100), sjælden (≥ 1/10.000 til &lt; 1/1.000), meget sjælden (&lt; 1/10.000), ikke kendt (kan ikke estimeres ud fra forhåndenværende data).</w:t>
      </w:r>
    </w:p>
    <w:p w14:paraId="233C7C0A" w14:textId="77777777" w:rsidR="00FF142F" w:rsidRPr="00FF142F" w:rsidRDefault="00FF142F" w:rsidP="00FF142F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1156"/>
        <w:gridCol w:w="1453"/>
        <w:gridCol w:w="1471"/>
        <w:gridCol w:w="1523"/>
        <w:gridCol w:w="2318"/>
      </w:tblGrid>
      <w:tr w:rsidR="00FF142F" w:rsidRPr="00FF142F" w14:paraId="16572425" w14:textId="77777777" w:rsidTr="00FF142F">
        <w:trPr>
          <w:cantSplit/>
          <w:tblHeader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5270" w14:textId="77777777" w:rsidR="00FF142F" w:rsidRPr="00FF142F" w:rsidRDefault="00FF142F" w:rsidP="00FF142F">
            <w:pPr>
              <w:ind w:left="32"/>
              <w:rPr>
                <w:b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Systemorganklasse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857A" w14:textId="77777777" w:rsidR="00FF142F" w:rsidRPr="00FF142F" w:rsidRDefault="00FF142F" w:rsidP="00FF142F">
            <w:pPr>
              <w:ind w:left="32"/>
              <w:rPr>
                <w:b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Meget almindelig</w:t>
            </w:r>
          </w:p>
          <w:p w14:paraId="059F7DA7" w14:textId="77777777" w:rsidR="00FF142F" w:rsidRPr="00FF142F" w:rsidRDefault="00FF142F" w:rsidP="00FF142F">
            <w:pPr>
              <w:ind w:left="32"/>
              <w:rPr>
                <w:b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(≥ 1/10)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2B76" w14:textId="77777777" w:rsidR="00FF142F" w:rsidRPr="00FF142F" w:rsidRDefault="00FF142F" w:rsidP="00FF142F">
            <w:pPr>
              <w:ind w:left="32"/>
              <w:rPr>
                <w:b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Almindelig</w:t>
            </w:r>
          </w:p>
          <w:p w14:paraId="7F2425C1" w14:textId="77777777" w:rsidR="00FF142F" w:rsidRPr="00FF142F" w:rsidRDefault="00FF142F" w:rsidP="00FF142F">
            <w:pPr>
              <w:ind w:left="32"/>
              <w:rPr>
                <w:b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(≥ 1/100 til &lt; 1/10)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5FCA" w14:textId="77777777" w:rsidR="00FF142F" w:rsidRPr="00FF142F" w:rsidRDefault="00FF142F" w:rsidP="00FF142F">
            <w:pPr>
              <w:ind w:left="32"/>
              <w:rPr>
                <w:b/>
                <w:bCs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Ikke almindelig</w:t>
            </w:r>
          </w:p>
          <w:p w14:paraId="506C99D4" w14:textId="77777777" w:rsidR="00FF142F" w:rsidRPr="00FF142F" w:rsidRDefault="00FF142F" w:rsidP="00FF142F">
            <w:pPr>
              <w:ind w:left="32"/>
              <w:rPr>
                <w:b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(≥ 1/1.000 til &lt; 1/100)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44DC" w14:textId="77777777" w:rsidR="00FF142F" w:rsidRPr="00FF142F" w:rsidRDefault="00FF142F" w:rsidP="00FF142F">
            <w:pPr>
              <w:ind w:left="32"/>
              <w:rPr>
                <w:b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Sjælden</w:t>
            </w:r>
          </w:p>
          <w:p w14:paraId="159CACE0" w14:textId="77777777" w:rsidR="00FF142F" w:rsidRPr="00FF142F" w:rsidRDefault="00FF142F" w:rsidP="00FF142F">
            <w:pPr>
              <w:ind w:left="32"/>
              <w:rPr>
                <w:b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(≥ 1/10.000 til &lt; 1/1.000)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D814" w14:textId="77777777" w:rsidR="00FF142F" w:rsidRPr="00FF142F" w:rsidRDefault="00FF142F" w:rsidP="00FF142F">
            <w:pPr>
              <w:ind w:left="32"/>
              <w:rPr>
                <w:b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Ikke kendt</w:t>
            </w:r>
          </w:p>
          <w:p w14:paraId="538E54C6" w14:textId="77777777" w:rsidR="00FF142F" w:rsidRPr="00FF142F" w:rsidRDefault="00FF142F" w:rsidP="00FF142F">
            <w:pPr>
              <w:ind w:left="32"/>
              <w:rPr>
                <w:b/>
                <w:sz w:val="22"/>
                <w:szCs w:val="22"/>
              </w:rPr>
            </w:pPr>
            <w:r w:rsidRPr="00FF142F">
              <w:rPr>
                <w:b/>
                <w:sz w:val="22"/>
                <w:szCs w:val="22"/>
              </w:rPr>
              <w:t>(kan ikke estimeres ud fra forhåndenværende data)</w:t>
            </w:r>
          </w:p>
        </w:tc>
      </w:tr>
      <w:tr w:rsidR="00FF142F" w:rsidRPr="00FF142F" w14:paraId="30258A80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6EB8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Det endokrine system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310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BD3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D6B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AB74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proofErr w:type="spellStart"/>
            <w:r w:rsidRPr="00FF142F">
              <w:rPr>
                <w:sz w:val="22"/>
                <w:szCs w:val="22"/>
              </w:rPr>
              <w:t>Gynækomasti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2DA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</w:tr>
      <w:tr w:rsidR="00FF142F" w:rsidRPr="00FF142F" w14:paraId="3115B961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1A28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Psykiske forstyrrelser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937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ADCD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Depression, søvnforstyrrelser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5B81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Vrangforestilling, hallucination, mareridt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905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97C2" w14:textId="77777777" w:rsidR="00FF142F" w:rsidRPr="00FF142F" w:rsidRDefault="00FF142F" w:rsidP="00FF142F">
            <w:pPr>
              <w:ind w:left="32"/>
              <w:rPr>
                <w:b/>
                <w:bCs/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Forvirringstilstand, nedsat libido</w:t>
            </w:r>
          </w:p>
        </w:tc>
      </w:tr>
      <w:tr w:rsidR="00FF142F" w:rsidRPr="00FF142F" w14:paraId="1F9E4C3F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9827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Nervesystemet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E8CF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 xml:space="preserve">Svimmelhed, </w:t>
            </w:r>
            <w:proofErr w:type="spellStart"/>
            <w:r w:rsidRPr="00FF142F">
              <w:rPr>
                <w:sz w:val="22"/>
                <w:szCs w:val="22"/>
              </w:rPr>
              <w:t>sedering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2277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Hovedpine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2431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proofErr w:type="spellStart"/>
            <w:r w:rsidRPr="00FF142F">
              <w:rPr>
                <w:sz w:val="22"/>
                <w:szCs w:val="22"/>
              </w:rPr>
              <w:t>Paræstesi</w:t>
            </w:r>
            <w:proofErr w:type="spellEnd"/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A78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24C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</w:tr>
      <w:tr w:rsidR="00FF142F" w:rsidRPr="00FF142F" w14:paraId="3263C1EB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D02D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Øjne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62C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5D3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033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487B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Nedsat tåresekretion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7C5C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Akkommodationsforstyrrelser</w:t>
            </w:r>
          </w:p>
        </w:tc>
      </w:tr>
      <w:tr w:rsidR="00FF142F" w:rsidRPr="00FF142F" w14:paraId="1FABA8DE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2ECF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Hjerte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E41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267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D447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Sinusbradykardi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7DBD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proofErr w:type="spellStart"/>
            <w:r w:rsidRPr="00FF142F">
              <w:rPr>
                <w:sz w:val="22"/>
                <w:szCs w:val="22"/>
              </w:rPr>
              <w:t>Atrioventrikulært</w:t>
            </w:r>
            <w:proofErr w:type="spellEnd"/>
            <w:r w:rsidRPr="00FF142F">
              <w:rPr>
                <w:sz w:val="22"/>
                <w:szCs w:val="22"/>
              </w:rPr>
              <w:t xml:space="preserve"> blok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87C0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proofErr w:type="spellStart"/>
            <w:r w:rsidRPr="00FF142F">
              <w:rPr>
                <w:sz w:val="22"/>
                <w:szCs w:val="22"/>
              </w:rPr>
              <w:t>Bradyarytmi</w:t>
            </w:r>
            <w:proofErr w:type="spellEnd"/>
          </w:p>
        </w:tc>
      </w:tr>
      <w:tr w:rsidR="00FF142F" w:rsidRPr="00FF142F" w14:paraId="28C13B90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1781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Vaskulære sygdomme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74F3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proofErr w:type="spellStart"/>
            <w:r w:rsidRPr="00FF142F">
              <w:rPr>
                <w:sz w:val="22"/>
                <w:szCs w:val="22"/>
              </w:rPr>
              <w:t>Ortostatisk</w:t>
            </w:r>
            <w:proofErr w:type="spellEnd"/>
            <w:r w:rsidRPr="00FF142F">
              <w:rPr>
                <w:sz w:val="22"/>
                <w:szCs w:val="22"/>
              </w:rPr>
              <w:t xml:space="preserve"> hypotension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53E2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proofErr w:type="spellStart"/>
            <w:r w:rsidRPr="00FF142F">
              <w:rPr>
                <w:sz w:val="22"/>
                <w:szCs w:val="22"/>
              </w:rPr>
              <w:t>Raynauds</w:t>
            </w:r>
            <w:proofErr w:type="spellEnd"/>
            <w:r w:rsidRPr="00FF142F">
              <w:rPr>
                <w:sz w:val="22"/>
                <w:szCs w:val="22"/>
              </w:rPr>
              <w:t xml:space="preserve"> fænomen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FB7D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3F4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D71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</w:tr>
      <w:tr w:rsidR="00FF142F" w:rsidRPr="00FF142F" w14:paraId="7344124E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D00B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 xml:space="preserve">Luftveje, thorax og </w:t>
            </w:r>
            <w:proofErr w:type="spellStart"/>
            <w:r w:rsidRPr="00FF142F">
              <w:rPr>
                <w:sz w:val="22"/>
                <w:szCs w:val="22"/>
              </w:rPr>
              <w:t>mediastinum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E979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8A2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1E2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2F7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Næsetørhed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07A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</w:tr>
      <w:tr w:rsidR="00FF142F" w:rsidRPr="00FF142F" w14:paraId="0BBFAB9E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4050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Mave-tarm-kanalen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E7D9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Mundtørhed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3ECF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Forstoppelse, kvalme, spytkirtelsmerter, opkastning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4FE8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66C6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Pseudoobstruktion af kolon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9E8F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</w:tr>
      <w:tr w:rsidR="00FF142F" w:rsidRPr="00FF142F" w14:paraId="35842E35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93CE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Hud og subkutane væv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23A6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5AAB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10EA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proofErr w:type="spellStart"/>
            <w:r w:rsidRPr="00FF142F">
              <w:rPr>
                <w:sz w:val="22"/>
                <w:szCs w:val="22"/>
              </w:rPr>
              <w:t>Pruritis</w:t>
            </w:r>
            <w:proofErr w:type="spellEnd"/>
            <w:r w:rsidRPr="00FF142F">
              <w:rPr>
                <w:sz w:val="22"/>
                <w:szCs w:val="22"/>
              </w:rPr>
              <w:t>, udslæt, urticaria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9CBA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proofErr w:type="spellStart"/>
            <w:r w:rsidRPr="00FF142F">
              <w:rPr>
                <w:sz w:val="22"/>
                <w:szCs w:val="22"/>
              </w:rPr>
              <w:t>Alopeci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C7E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</w:tr>
      <w:tr w:rsidR="00FF142F" w:rsidRPr="00FF142F" w14:paraId="46E45185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7854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Det reproduktive system og mammae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685" w14:textId="77777777" w:rsidR="00FF142F" w:rsidRPr="000B13F7" w:rsidRDefault="00FF142F" w:rsidP="00FF142F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3B83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proofErr w:type="spellStart"/>
            <w:r w:rsidRPr="00FF142F">
              <w:rPr>
                <w:sz w:val="22"/>
                <w:szCs w:val="22"/>
              </w:rPr>
              <w:t>Erektil</w:t>
            </w:r>
            <w:proofErr w:type="spellEnd"/>
            <w:r w:rsidRPr="00FF142F">
              <w:rPr>
                <w:sz w:val="22"/>
                <w:szCs w:val="22"/>
              </w:rPr>
              <w:t xml:space="preserve"> dysfunktion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958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D1F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42B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</w:tr>
      <w:tr w:rsidR="00FF142F" w:rsidRPr="00FF142F" w14:paraId="569350A5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245F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Almene symptomer og reaktioner på administrationsstedet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2E2B" w14:textId="77777777" w:rsidR="00FF142F" w:rsidRPr="000B13F7" w:rsidRDefault="00FF142F" w:rsidP="00FF142F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29C5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Træthed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5809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Utilpashed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9A5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49C1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</w:tr>
      <w:tr w:rsidR="00FF142F" w:rsidRPr="00FF142F" w14:paraId="48BB1D26" w14:textId="77777777" w:rsidTr="00FF142F">
        <w:trPr>
          <w:cantSplit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BA7B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>Undersøgelser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FA24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1DA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BE4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AF8D" w14:textId="77777777" w:rsidR="00FF142F" w:rsidRPr="00FF142F" w:rsidRDefault="00FF142F" w:rsidP="00FF142F">
            <w:pPr>
              <w:ind w:left="32"/>
              <w:rPr>
                <w:sz w:val="22"/>
                <w:szCs w:val="22"/>
              </w:rPr>
            </w:pPr>
            <w:r w:rsidRPr="00FF142F">
              <w:rPr>
                <w:sz w:val="22"/>
                <w:szCs w:val="22"/>
              </w:rPr>
              <w:t xml:space="preserve">Forhøjet </w:t>
            </w:r>
            <w:proofErr w:type="spellStart"/>
            <w:r w:rsidRPr="00FF142F">
              <w:rPr>
                <w:sz w:val="22"/>
                <w:szCs w:val="22"/>
              </w:rPr>
              <w:t>blodglucose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5FE8" w14:textId="77777777" w:rsidR="00FF142F" w:rsidRPr="00FF142F" w:rsidRDefault="00FF142F" w:rsidP="00FF142F">
            <w:pPr>
              <w:ind w:left="32"/>
              <w:rPr>
                <w:sz w:val="22"/>
                <w:szCs w:val="22"/>
                <w:lang w:val="en-US"/>
              </w:rPr>
            </w:pPr>
          </w:p>
        </w:tc>
      </w:tr>
    </w:tbl>
    <w:p w14:paraId="4D5A264A" w14:textId="471FB96B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Ved mundtørhed er det vigtigt at opretholde god mundhygiejne. Patienter, der bruger kontaktlinser, bør advares om, at behandling med </w:t>
      </w:r>
      <w:proofErr w:type="spellStart"/>
      <w:r w:rsidRPr="00FF142F">
        <w:rPr>
          <w:sz w:val="24"/>
          <w:szCs w:val="24"/>
        </w:rPr>
        <w:t>Vempadix</w:t>
      </w:r>
      <w:proofErr w:type="spellEnd"/>
      <w:r w:rsidRPr="00FF142F">
        <w:rPr>
          <w:sz w:val="24"/>
          <w:szCs w:val="24"/>
        </w:rPr>
        <w:t xml:space="preserve"> kan forårsage øjentørhed</w:t>
      </w:r>
      <w:r w:rsidR="000B13F7">
        <w:rPr>
          <w:sz w:val="24"/>
          <w:szCs w:val="24"/>
        </w:rPr>
        <w:t>.</w:t>
      </w:r>
    </w:p>
    <w:p w14:paraId="167BC133" w14:textId="5A9BCE8C" w:rsidR="003E37B7" w:rsidRDefault="003E37B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264FA741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</w:p>
    <w:p w14:paraId="24AF6C9D" w14:textId="77777777" w:rsidR="00FF142F" w:rsidRPr="00FF142F" w:rsidRDefault="00FF142F" w:rsidP="00FF142F">
      <w:pPr>
        <w:ind w:left="851"/>
        <w:rPr>
          <w:bCs/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Indberetning af formodede bivirkninger</w:t>
      </w:r>
    </w:p>
    <w:p w14:paraId="78E68784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FF142F">
        <w:rPr>
          <w:sz w:val="24"/>
          <w:szCs w:val="24"/>
        </w:rPr>
        <w:t>risk</w:t>
      </w:r>
      <w:proofErr w:type="spellEnd"/>
      <w:r w:rsidRPr="00FF142F">
        <w:rPr>
          <w:sz w:val="24"/>
          <w:szCs w:val="24"/>
        </w:rPr>
        <w:t>-forholdet for lægemidlet. Sundhedspersoner anmodes om at indberette alle formodede bivirkninger via</w:t>
      </w:r>
    </w:p>
    <w:p w14:paraId="3EE9D3E8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2B7335FD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Lægemiddelstyrelsen</w:t>
      </w:r>
    </w:p>
    <w:p w14:paraId="7DEAE20E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Axel Heides Gade 1</w:t>
      </w:r>
    </w:p>
    <w:p w14:paraId="36EF274D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DK-2300 København S</w:t>
      </w:r>
    </w:p>
    <w:p w14:paraId="0FC38453" w14:textId="77777777" w:rsidR="00FF142F" w:rsidRPr="00FF142F" w:rsidRDefault="00FF142F" w:rsidP="00FF142F">
      <w:pPr>
        <w:ind w:left="851"/>
        <w:rPr>
          <w:bCs/>
          <w:sz w:val="24"/>
          <w:szCs w:val="24"/>
        </w:rPr>
      </w:pPr>
      <w:r w:rsidRPr="00FF142F">
        <w:rPr>
          <w:sz w:val="24"/>
          <w:szCs w:val="24"/>
        </w:rPr>
        <w:t xml:space="preserve">Websted: </w:t>
      </w:r>
      <w:hyperlink r:id="rId8" w:history="1">
        <w:r w:rsidRPr="00FF142F">
          <w:rPr>
            <w:rStyle w:val="Hyperlink"/>
            <w:sz w:val="24"/>
            <w:szCs w:val="24"/>
          </w:rPr>
          <w:t>www.meldenbivirkning.dk</w:t>
        </w:r>
      </w:hyperlink>
    </w:p>
    <w:p w14:paraId="144B74EB" w14:textId="77777777" w:rsidR="009260DE" w:rsidRPr="007C3328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2DD1082E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4.9</w:t>
      </w:r>
      <w:r w:rsidRPr="007C3328">
        <w:rPr>
          <w:b/>
          <w:sz w:val="24"/>
          <w:szCs w:val="24"/>
        </w:rPr>
        <w:tab/>
        <w:t>Overdosering</w:t>
      </w:r>
    </w:p>
    <w:p w14:paraId="09676A84" w14:textId="77777777" w:rsidR="000B13F7" w:rsidRDefault="000B13F7" w:rsidP="00FF142F">
      <w:pPr>
        <w:ind w:left="851"/>
        <w:rPr>
          <w:sz w:val="24"/>
          <w:szCs w:val="24"/>
          <w:u w:val="single"/>
        </w:rPr>
      </w:pPr>
    </w:p>
    <w:p w14:paraId="250AC072" w14:textId="58D02CA6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Symptomer</w:t>
      </w:r>
    </w:p>
    <w:p w14:paraId="28858E5C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Manifestationer af forgiftning skyldes generaliseret sympatisk undertrykkelse og inkluderer sammentrækning af</w:t>
      </w:r>
    </w:p>
    <w:p w14:paraId="26B33B10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pupiller, søvnighed (herunder koma), hypotension, </w:t>
      </w:r>
      <w:proofErr w:type="spellStart"/>
      <w:r w:rsidRPr="00FF142F">
        <w:rPr>
          <w:sz w:val="24"/>
          <w:szCs w:val="24"/>
        </w:rPr>
        <w:t>ortostatisk</w:t>
      </w:r>
      <w:proofErr w:type="spellEnd"/>
      <w:r w:rsidRPr="00FF142F">
        <w:rPr>
          <w:sz w:val="24"/>
          <w:szCs w:val="24"/>
        </w:rPr>
        <w:t xml:space="preserve"> hypotension, bradykardi, </w:t>
      </w:r>
      <w:proofErr w:type="spellStart"/>
      <w:r w:rsidRPr="00FF142F">
        <w:rPr>
          <w:sz w:val="24"/>
          <w:szCs w:val="24"/>
        </w:rPr>
        <w:t>hypotermi</w:t>
      </w:r>
      <w:proofErr w:type="spellEnd"/>
      <w:r w:rsidRPr="00FF142F">
        <w:rPr>
          <w:sz w:val="24"/>
          <w:szCs w:val="24"/>
        </w:rPr>
        <w:t>, respirationsundertrykkelse (herunder apnø), lejlighedsvis opkastning, hypertension i meget sjældne tilfælde og mundtørhed.</w:t>
      </w:r>
    </w:p>
    <w:p w14:paraId="44ED8DE8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6869E6DA" w14:textId="454DB372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Behandling</w:t>
      </w:r>
    </w:p>
    <w:p w14:paraId="41CA36C6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I de fleste tilfælde er der kun behov for generelle støtteforanstaltninger. Ventrikelskylning og/eller administration af aktivt kul bør udføres, hvor det er relevant.</w:t>
      </w:r>
    </w:p>
    <w:p w14:paraId="215B99FC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22F2BCB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4.10</w:t>
      </w:r>
      <w:r w:rsidRPr="007C3328">
        <w:rPr>
          <w:b/>
          <w:sz w:val="24"/>
          <w:szCs w:val="24"/>
        </w:rPr>
        <w:tab/>
        <w:t>Udlevering</w:t>
      </w:r>
    </w:p>
    <w:p w14:paraId="76AFDD04" w14:textId="617FC77D" w:rsidR="009260DE" w:rsidRPr="007C3328" w:rsidRDefault="00FF142F" w:rsidP="009260DE">
      <w:pPr>
        <w:tabs>
          <w:tab w:val="left" w:pos="851"/>
        </w:tabs>
        <w:ind w:left="851"/>
        <w:rPr>
          <w:sz w:val="24"/>
          <w:szCs w:val="24"/>
        </w:rPr>
      </w:pPr>
      <w:r w:rsidRPr="007C3328">
        <w:rPr>
          <w:sz w:val="24"/>
          <w:szCs w:val="24"/>
        </w:rPr>
        <w:t>B</w:t>
      </w:r>
    </w:p>
    <w:p w14:paraId="53BECD3A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9D3FDC4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4BB1DEC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5.</w:t>
      </w:r>
      <w:r w:rsidRPr="007C3328">
        <w:rPr>
          <w:b/>
          <w:sz w:val="24"/>
          <w:szCs w:val="24"/>
        </w:rPr>
        <w:tab/>
        <w:t>FARMAKOLOGISKE EGENSKABER</w:t>
      </w:r>
    </w:p>
    <w:p w14:paraId="0977B8C9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0F8A686" w14:textId="77777777" w:rsidR="009260DE" w:rsidRPr="007C3328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5.1</w:t>
      </w:r>
      <w:r w:rsidRPr="007C3328">
        <w:rPr>
          <w:b/>
          <w:sz w:val="24"/>
          <w:szCs w:val="24"/>
        </w:rPr>
        <w:tab/>
      </w:r>
      <w:proofErr w:type="spellStart"/>
      <w:r w:rsidRPr="007C3328">
        <w:rPr>
          <w:b/>
          <w:sz w:val="24"/>
          <w:szCs w:val="24"/>
        </w:rPr>
        <w:t>Farmakodynamiske</w:t>
      </w:r>
      <w:proofErr w:type="spellEnd"/>
      <w:r w:rsidRPr="007C3328">
        <w:rPr>
          <w:b/>
          <w:sz w:val="24"/>
          <w:szCs w:val="24"/>
        </w:rPr>
        <w:t xml:space="preserve"> egenskaber</w:t>
      </w:r>
    </w:p>
    <w:p w14:paraId="6531FBD9" w14:textId="0B3C4180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Farmakoterapeutisk</w:t>
      </w:r>
      <w:proofErr w:type="spellEnd"/>
      <w:r w:rsidRPr="00FF142F">
        <w:rPr>
          <w:sz w:val="24"/>
          <w:szCs w:val="24"/>
        </w:rPr>
        <w:t xml:space="preserve"> klassifikation: Andre midler mod migræne, ATC-kode: N02CX02</w:t>
      </w:r>
    </w:p>
    <w:p w14:paraId="4997A56C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59B20829" w14:textId="77777777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er et </w:t>
      </w:r>
      <w:proofErr w:type="spellStart"/>
      <w:r w:rsidRPr="00FF142F">
        <w:rPr>
          <w:sz w:val="24"/>
          <w:szCs w:val="24"/>
        </w:rPr>
        <w:t>imidazolinderivat</w:t>
      </w:r>
      <w:proofErr w:type="spellEnd"/>
      <w:r w:rsidRPr="00FF142F">
        <w:rPr>
          <w:sz w:val="24"/>
          <w:szCs w:val="24"/>
        </w:rPr>
        <w:t xml:space="preserve"> med selektiv agonistaktivitet ved centrale α2-adrenerge receptorer. Stimulering af disse receptorer i hjernestammen reducerer den sympatiske udstrømning, hvilket resulterer i nedsat perifer vaskulær modstand, hjertefrekvens og blodtryk.</w:t>
      </w:r>
    </w:p>
    <w:p w14:paraId="1DEFE443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1714B03D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Klinisk virkning og sikkerhed</w:t>
      </w:r>
    </w:p>
    <w:p w14:paraId="0FB9DC18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683D4694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Vasomotoriske symptomer forbundet med overgangsalder: </w:t>
      </w:r>
      <w:proofErr w:type="spellStart"/>
      <w:r w:rsidRPr="00FF142F">
        <w:rPr>
          <w:sz w:val="24"/>
          <w:szCs w:val="24"/>
        </w:rPr>
        <w:t>Clonidins</w:t>
      </w:r>
      <w:proofErr w:type="spellEnd"/>
      <w:r w:rsidRPr="00FF142F">
        <w:rPr>
          <w:sz w:val="24"/>
          <w:szCs w:val="24"/>
        </w:rPr>
        <w:t xml:space="preserve"> virkning i behandlingen af vasomotoriske symptomer (hedeture) er blevet påvist i pivotale, randomiserede, dobbeltblindede, placebokontrollerede studier. I disse studier reducerede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i doser på 50–75 mikrogram to gange dagligt </w:t>
      </w:r>
      <w:proofErr w:type="gramStart"/>
      <w:r w:rsidRPr="00FF142F">
        <w:rPr>
          <w:sz w:val="24"/>
          <w:szCs w:val="24"/>
        </w:rPr>
        <w:t>signifikant hyppigheden</w:t>
      </w:r>
      <w:proofErr w:type="gramEnd"/>
      <w:r w:rsidRPr="00FF142F">
        <w:rPr>
          <w:sz w:val="24"/>
          <w:szCs w:val="24"/>
        </w:rPr>
        <w:t xml:space="preserve"> og sværhedsgraden af hedeture sammenlignet med placebo.</w:t>
      </w:r>
    </w:p>
    <w:p w14:paraId="11C98F02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7C800123" w14:textId="77777777" w:rsidR="00FF142F" w:rsidRPr="00FF142F" w:rsidRDefault="00FF142F" w:rsidP="000B13F7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FF142F">
        <w:rPr>
          <w:sz w:val="24"/>
          <w:szCs w:val="24"/>
        </w:rPr>
        <w:t xml:space="preserve">I et pivotalt studie af </w:t>
      </w:r>
      <w:proofErr w:type="spellStart"/>
      <w:r w:rsidRPr="00FF142F">
        <w:rPr>
          <w:sz w:val="24"/>
          <w:szCs w:val="24"/>
        </w:rPr>
        <w:t>postmenopausale</w:t>
      </w:r>
      <w:proofErr w:type="spellEnd"/>
      <w:r w:rsidRPr="00FF142F">
        <w:rPr>
          <w:sz w:val="24"/>
          <w:szCs w:val="24"/>
        </w:rPr>
        <w:t xml:space="preserve"> kvinder (n≈100) reducerede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den gennemsnitlige daglige hyppighed af hedeture med cirka 20–30 % sammenlignet med </w:t>
      </w:r>
      <w:r w:rsidRPr="00FF142F">
        <w:rPr>
          <w:i/>
          <w:iCs/>
          <w:sz w:val="24"/>
          <w:szCs w:val="24"/>
        </w:rPr>
        <w:t>baseline</w:t>
      </w:r>
      <w:r w:rsidRPr="00FF142F">
        <w:rPr>
          <w:sz w:val="24"/>
          <w:szCs w:val="24"/>
        </w:rPr>
        <w:t>, mens placebo viste minimal ændring.</w:t>
      </w:r>
    </w:p>
    <w:p w14:paraId="55B88B82" w14:textId="77777777" w:rsidR="00FF142F" w:rsidRPr="00FF142F" w:rsidRDefault="00FF142F" w:rsidP="000B13F7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FF142F">
        <w:rPr>
          <w:sz w:val="24"/>
          <w:szCs w:val="24"/>
        </w:rPr>
        <w:t xml:space="preserve">Score for symptomernes sværhedsgrad blev også signifikant forbedret i </w:t>
      </w:r>
      <w:proofErr w:type="spellStart"/>
      <w:r w:rsidRPr="00FF142F">
        <w:rPr>
          <w:sz w:val="24"/>
          <w:szCs w:val="24"/>
        </w:rPr>
        <w:t>clonidingruppen</w:t>
      </w:r>
      <w:proofErr w:type="spellEnd"/>
      <w:r w:rsidRPr="00FF142F">
        <w:rPr>
          <w:sz w:val="24"/>
          <w:szCs w:val="24"/>
        </w:rPr>
        <w:t>.</w:t>
      </w:r>
    </w:p>
    <w:p w14:paraId="23CCD45E" w14:textId="77777777" w:rsidR="00FF142F" w:rsidRPr="00FF142F" w:rsidRDefault="00FF142F" w:rsidP="000B13F7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FF142F">
        <w:rPr>
          <w:sz w:val="24"/>
          <w:szCs w:val="24"/>
        </w:rPr>
        <w:t>Den terapeutiske virkning blev generelt observeret inden for 2–4 uger efter behandlingsstart.</w:t>
      </w:r>
    </w:p>
    <w:p w14:paraId="03FBE156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710042C8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Den samlede kliniske fordel var beskeden, men konsistent på tværs af studier, hvilket støtter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som en ikke-hormonel mulighed til vasomotorisk symptombehandling hos kvinder, hvor hormonbehandling er kontraindiceret eller ikke tolereres.</w:t>
      </w:r>
    </w:p>
    <w:p w14:paraId="320EE8BF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0103A50F" w14:textId="77777777" w:rsidR="00FF142F" w:rsidRPr="00FF142F" w:rsidRDefault="00FF142F" w:rsidP="00FF142F">
      <w:pPr>
        <w:ind w:left="851"/>
        <w:rPr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Pædiatrisk population</w:t>
      </w:r>
    </w:p>
    <w:p w14:paraId="03DFD05F" w14:textId="77777777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Clonidins</w:t>
      </w:r>
      <w:proofErr w:type="spellEnd"/>
      <w:r w:rsidRPr="00FF142F">
        <w:rPr>
          <w:sz w:val="24"/>
          <w:szCs w:val="24"/>
        </w:rPr>
        <w:t xml:space="preserve"> virkning ved behandling af hypertension er blevet undersøgt i fem kliniske studier med pædiatriske patienter. Virkningsdataene bekræfter egenskaberne ved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til reduktion af det systoliske og diastoliske blodtryk. På grund af begrænsede data og metodologiske mangler kan der imidlertid ikke drages nogen endelig konklusion om anvendelsen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til </w:t>
      </w:r>
      <w:proofErr w:type="spellStart"/>
      <w:r w:rsidRPr="00FF142F">
        <w:rPr>
          <w:sz w:val="24"/>
          <w:szCs w:val="24"/>
        </w:rPr>
        <w:t>hypertensive</w:t>
      </w:r>
      <w:proofErr w:type="spellEnd"/>
      <w:r w:rsidRPr="00FF142F">
        <w:rPr>
          <w:sz w:val="24"/>
          <w:szCs w:val="24"/>
        </w:rPr>
        <w:t xml:space="preserve"> børn.</w:t>
      </w:r>
    </w:p>
    <w:p w14:paraId="3C498E86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6CED90FD" w14:textId="77777777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Clonidins</w:t>
      </w:r>
      <w:proofErr w:type="spellEnd"/>
      <w:r w:rsidRPr="00FF142F">
        <w:rPr>
          <w:sz w:val="24"/>
          <w:szCs w:val="24"/>
        </w:rPr>
        <w:t xml:space="preserve"> virkning er også blevet undersøgt i nogle få kliniske studier med pædiatriske patienter med ADHD, Tourettes syndrom og stammen. </w:t>
      </w:r>
      <w:proofErr w:type="spellStart"/>
      <w:r w:rsidRPr="00FF142F">
        <w:rPr>
          <w:sz w:val="24"/>
          <w:szCs w:val="24"/>
        </w:rPr>
        <w:t>Clonidins</w:t>
      </w:r>
      <w:proofErr w:type="spellEnd"/>
      <w:r w:rsidRPr="00FF142F">
        <w:rPr>
          <w:sz w:val="24"/>
          <w:szCs w:val="24"/>
        </w:rPr>
        <w:t xml:space="preserve"> virkning ved disse tilstande er ikke påvist.</w:t>
      </w:r>
    </w:p>
    <w:p w14:paraId="70E0207C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614B2882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Der var også to små pædiatriske migrænestudier, hvoraf ingen viste virkning. I de pædiatriske studier var de hyppigste uønskede hændelser døsighed, mundtørhed, hovedpine, svimmelhed og </w:t>
      </w:r>
      <w:proofErr w:type="spellStart"/>
      <w:r w:rsidRPr="00FF142F">
        <w:rPr>
          <w:sz w:val="24"/>
          <w:szCs w:val="24"/>
        </w:rPr>
        <w:t>insomni</w:t>
      </w:r>
      <w:proofErr w:type="spellEnd"/>
      <w:r w:rsidRPr="00FF142F">
        <w:rPr>
          <w:sz w:val="24"/>
          <w:szCs w:val="24"/>
        </w:rPr>
        <w:t>. Disse uønskede hændelser kan have alvorlig indvirkning på den daglige funktion hos pædiatriske patienter.</w:t>
      </w:r>
    </w:p>
    <w:p w14:paraId="1B5DFFFC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00322A96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Generelt er </w:t>
      </w:r>
      <w:proofErr w:type="spellStart"/>
      <w:r w:rsidRPr="00FF142F">
        <w:rPr>
          <w:sz w:val="24"/>
          <w:szCs w:val="24"/>
        </w:rPr>
        <w:t>clonidins</w:t>
      </w:r>
      <w:proofErr w:type="spellEnd"/>
      <w:r w:rsidRPr="00FF142F">
        <w:rPr>
          <w:sz w:val="24"/>
          <w:szCs w:val="24"/>
        </w:rPr>
        <w:t xml:space="preserve"> sikkerhed og virkning hos børn og unge ikke klarlagt (se pkt. 4.2).</w:t>
      </w:r>
    </w:p>
    <w:p w14:paraId="5A1F4162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C1C2D55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5.2</w:t>
      </w:r>
      <w:r w:rsidRPr="007C3328">
        <w:rPr>
          <w:b/>
          <w:sz w:val="24"/>
          <w:szCs w:val="24"/>
        </w:rPr>
        <w:tab/>
      </w:r>
      <w:proofErr w:type="spellStart"/>
      <w:r w:rsidRPr="007C3328">
        <w:rPr>
          <w:b/>
          <w:sz w:val="24"/>
          <w:szCs w:val="24"/>
        </w:rPr>
        <w:t>Farmakokinetiske</w:t>
      </w:r>
      <w:proofErr w:type="spellEnd"/>
      <w:r w:rsidRPr="007C3328">
        <w:rPr>
          <w:b/>
          <w:sz w:val="24"/>
          <w:szCs w:val="24"/>
        </w:rPr>
        <w:t xml:space="preserve"> egenskaber</w:t>
      </w:r>
    </w:p>
    <w:p w14:paraId="51224320" w14:textId="77777777" w:rsidR="000B13F7" w:rsidRDefault="000B13F7" w:rsidP="00FF142F">
      <w:pPr>
        <w:ind w:left="851"/>
        <w:rPr>
          <w:sz w:val="24"/>
          <w:szCs w:val="24"/>
          <w:u w:val="single"/>
        </w:rPr>
      </w:pPr>
    </w:p>
    <w:p w14:paraId="333946E7" w14:textId="1755C98F" w:rsidR="00FF142F" w:rsidRPr="00FF142F" w:rsidRDefault="00FF142F" w:rsidP="00FF142F">
      <w:pPr>
        <w:ind w:left="851"/>
        <w:rPr>
          <w:iCs/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Absorption og fordeling</w:t>
      </w:r>
    </w:p>
    <w:p w14:paraId="3761DF50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  <w:proofErr w:type="spellStart"/>
      <w:r w:rsidRPr="00FF142F">
        <w:rPr>
          <w:sz w:val="24"/>
          <w:szCs w:val="24"/>
        </w:rPr>
        <w:t>Clonidins</w:t>
      </w:r>
      <w:proofErr w:type="spellEnd"/>
      <w:r w:rsidRPr="00FF142F">
        <w:rPr>
          <w:sz w:val="24"/>
          <w:szCs w:val="24"/>
        </w:rPr>
        <w:t xml:space="preserve"> farmakokinetik er dosisproportional i området 75–300 mikrogram; Over dette interval er dosislinearitet ikke fuldt påvist.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absorberes i høj grad og gennemgår en mindre </w:t>
      </w:r>
      <w:proofErr w:type="spellStart"/>
      <w:r w:rsidRPr="00FF142F">
        <w:rPr>
          <w:i/>
          <w:iCs/>
          <w:sz w:val="24"/>
          <w:szCs w:val="24"/>
        </w:rPr>
        <w:t>first</w:t>
      </w:r>
      <w:proofErr w:type="spellEnd"/>
      <w:r w:rsidRPr="00FF142F">
        <w:rPr>
          <w:i/>
          <w:iCs/>
          <w:sz w:val="24"/>
          <w:szCs w:val="24"/>
        </w:rPr>
        <w:t>-</w:t>
      </w:r>
      <w:proofErr w:type="spellStart"/>
      <w:r w:rsidRPr="00FF142F">
        <w:rPr>
          <w:i/>
          <w:iCs/>
          <w:sz w:val="24"/>
          <w:szCs w:val="24"/>
        </w:rPr>
        <w:t>pass</w:t>
      </w:r>
      <w:proofErr w:type="spellEnd"/>
      <w:r w:rsidRPr="00FF142F">
        <w:rPr>
          <w:sz w:val="24"/>
          <w:szCs w:val="24"/>
        </w:rPr>
        <w:t>-virkning. Maksimal plasmakoncentration nås inden for 1–3 t efter oral administration.</w:t>
      </w:r>
    </w:p>
    <w:p w14:paraId="40C0E045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</w:p>
    <w:p w14:paraId="42689999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  <w:r w:rsidRPr="00FF142F">
        <w:rPr>
          <w:sz w:val="24"/>
          <w:szCs w:val="24"/>
        </w:rPr>
        <w:t xml:space="preserve">Plasmaproteinbindingen er ca. 30–40 %.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fordeles hurtigt og i omfattende grad til vævene og krydser blod-hjerne-barrieren og placentabarrieren.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udskilles i human mælk. Der er imidlertid utilstrækkelige data vedrørende virkningen hos nyfødte.</w:t>
      </w:r>
    </w:p>
    <w:p w14:paraId="41D956F4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</w:p>
    <w:p w14:paraId="49E99659" w14:textId="77777777" w:rsidR="00FF142F" w:rsidRPr="00FF142F" w:rsidRDefault="00FF142F" w:rsidP="00FF142F">
      <w:pPr>
        <w:ind w:left="851"/>
        <w:rPr>
          <w:iCs/>
          <w:sz w:val="24"/>
          <w:szCs w:val="24"/>
          <w:u w:val="single"/>
        </w:rPr>
      </w:pPr>
      <w:r w:rsidRPr="00FF142F">
        <w:rPr>
          <w:sz w:val="24"/>
          <w:szCs w:val="24"/>
          <w:u w:val="single"/>
        </w:rPr>
        <w:t>Biotransformation og elimination</w:t>
      </w:r>
    </w:p>
    <w:p w14:paraId="2139A7A8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  <w:proofErr w:type="spellStart"/>
      <w:r w:rsidRPr="00FF142F">
        <w:rPr>
          <w:sz w:val="24"/>
          <w:szCs w:val="24"/>
        </w:rPr>
        <w:t>Clonidins</w:t>
      </w:r>
      <w:proofErr w:type="spellEnd"/>
      <w:r w:rsidRPr="00FF142F">
        <w:rPr>
          <w:sz w:val="24"/>
          <w:szCs w:val="24"/>
        </w:rPr>
        <w:t xml:space="preserve"> terminale eliminationshalveringstid har vist sig at ligge i intervallet fra 5–25,5 timer. Den kan forlænges til op til 41 timer hos patienter med svært nedsat nyrefunktion.</w:t>
      </w:r>
    </w:p>
    <w:p w14:paraId="3BE18AE8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</w:p>
    <w:p w14:paraId="569ACCEF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  <w:r w:rsidRPr="00FF142F">
        <w:rPr>
          <w:sz w:val="24"/>
          <w:szCs w:val="24"/>
        </w:rPr>
        <w:t xml:space="preserve">Cirka 70 % af den administrerede dosis bliver udskilt via urinen, hovedsageligt i form af </w:t>
      </w:r>
      <w:proofErr w:type="spellStart"/>
      <w:r w:rsidRPr="00FF142F">
        <w:rPr>
          <w:sz w:val="24"/>
          <w:szCs w:val="24"/>
        </w:rPr>
        <w:t>uomdannet</w:t>
      </w:r>
      <w:proofErr w:type="spellEnd"/>
      <w:r w:rsidRPr="00FF142F">
        <w:rPr>
          <w:sz w:val="24"/>
          <w:szCs w:val="24"/>
        </w:rPr>
        <w:t xml:space="preserve"> moderstof (40–60 % af dosis). Hovedmetabolitten (p-</w:t>
      </w:r>
      <w:proofErr w:type="spellStart"/>
      <w:r w:rsidRPr="00FF142F">
        <w:rPr>
          <w:sz w:val="24"/>
          <w:szCs w:val="24"/>
        </w:rPr>
        <w:t>hydroxy</w:t>
      </w:r>
      <w:proofErr w:type="spellEnd"/>
      <w:r w:rsidRPr="00FF142F">
        <w:rPr>
          <w:sz w:val="24"/>
          <w:szCs w:val="24"/>
        </w:rPr>
        <w:t>-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) er farmakologisk inaktiv. Cirka 20 % af den totale mængde udskilles via fæces. Der findes ingen definitive data om virkninger fra fødevarer eller race på farmakokinetikken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>.</w:t>
      </w:r>
    </w:p>
    <w:p w14:paraId="0BB4C0D3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</w:p>
    <w:p w14:paraId="30560385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  <w:r w:rsidRPr="00FF142F">
        <w:rPr>
          <w:sz w:val="24"/>
          <w:szCs w:val="24"/>
        </w:rPr>
        <w:t xml:space="preserve">Den </w:t>
      </w:r>
      <w:proofErr w:type="spellStart"/>
      <w:r w:rsidRPr="00FF142F">
        <w:rPr>
          <w:sz w:val="24"/>
          <w:szCs w:val="24"/>
        </w:rPr>
        <w:t>antihypertensive</w:t>
      </w:r>
      <w:proofErr w:type="spellEnd"/>
      <w:r w:rsidRPr="00FF142F">
        <w:rPr>
          <w:sz w:val="24"/>
          <w:szCs w:val="24"/>
        </w:rPr>
        <w:t xml:space="preserve"> virkning opnås ved en </w:t>
      </w:r>
      <w:proofErr w:type="gramStart"/>
      <w:r w:rsidRPr="00FF142F">
        <w:rPr>
          <w:sz w:val="24"/>
          <w:szCs w:val="24"/>
        </w:rPr>
        <w:t>plasmakoncentrationer</w:t>
      </w:r>
      <w:proofErr w:type="gramEnd"/>
      <w:r w:rsidRPr="00FF142F">
        <w:rPr>
          <w:sz w:val="24"/>
          <w:szCs w:val="24"/>
        </w:rPr>
        <w:t xml:space="preserve"> i intervallet fra ca. 0,2 til 2,0 </w:t>
      </w:r>
      <w:proofErr w:type="spellStart"/>
      <w:r w:rsidRPr="00FF142F">
        <w:rPr>
          <w:sz w:val="24"/>
          <w:szCs w:val="24"/>
        </w:rPr>
        <w:t>ng</w:t>
      </w:r>
      <w:proofErr w:type="spellEnd"/>
      <w:r w:rsidRPr="00FF142F">
        <w:rPr>
          <w:sz w:val="24"/>
          <w:szCs w:val="24"/>
        </w:rPr>
        <w:t xml:space="preserve">/ml hos patienter med normal nyrefunktion. Den </w:t>
      </w:r>
      <w:proofErr w:type="spellStart"/>
      <w:r w:rsidRPr="00FF142F">
        <w:rPr>
          <w:sz w:val="24"/>
          <w:szCs w:val="24"/>
        </w:rPr>
        <w:t>hypotensive</w:t>
      </w:r>
      <w:proofErr w:type="spellEnd"/>
      <w:r w:rsidRPr="00FF142F">
        <w:rPr>
          <w:sz w:val="24"/>
          <w:szCs w:val="24"/>
        </w:rPr>
        <w:t xml:space="preserve"> virkning svækkes eller falder ved plasmakoncentrationer over 2,0 </w:t>
      </w:r>
      <w:proofErr w:type="spellStart"/>
      <w:r w:rsidRPr="00FF142F">
        <w:rPr>
          <w:sz w:val="24"/>
          <w:szCs w:val="24"/>
        </w:rPr>
        <w:t>ng</w:t>
      </w:r>
      <w:proofErr w:type="spellEnd"/>
      <w:r w:rsidRPr="00FF142F">
        <w:rPr>
          <w:sz w:val="24"/>
          <w:szCs w:val="24"/>
        </w:rPr>
        <w:t>/ml.</w:t>
      </w:r>
    </w:p>
    <w:p w14:paraId="6ED1C6E0" w14:textId="77777777" w:rsidR="00FF142F" w:rsidRPr="00FF142F" w:rsidRDefault="00FF142F" w:rsidP="00FF142F">
      <w:pPr>
        <w:ind w:left="851"/>
        <w:rPr>
          <w:bCs/>
          <w:sz w:val="24"/>
          <w:szCs w:val="24"/>
        </w:rPr>
      </w:pPr>
    </w:p>
    <w:p w14:paraId="14ED36B1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B57D633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5.3</w:t>
      </w:r>
      <w:r w:rsidRPr="007C3328">
        <w:rPr>
          <w:b/>
          <w:sz w:val="24"/>
          <w:szCs w:val="24"/>
        </w:rPr>
        <w:tab/>
      </w:r>
      <w:r w:rsidR="00BD7931" w:rsidRPr="007C3328">
        <w:rPr>
          <w:b/>
          <w:sz w:val="24"/>
          <w:szCs w:val="24"/>
        </w:rPr>
        <w:t>Non-</w:t>
      </w:r>
      <w:r w:rsidRPr="007C3328">
        <w:rPr>
          <w:b/>
          <w:sz w:val="24"/>
          <w:szCs w:val="24"/>
        </w:rPr>
        <w:t>kliniske sikkerhedsdata</w:t>
      </w:r>
    </w:p>
    <w:p w14:paraId="0B2115E1" w14:textId="77777777" w:rsidR="000B13F7" w:rsidRPr="000B13F7" w:rsidRDefault="000B13F7" w:rsidP="00FF142F">
      <w:pPr>
        <w:ind w:left="851"/>
        <w:rPr>
          <w:bCs/>
          <w:sz w:val="24"/>
          <w:szCs w:val="24"/>
        </w:rPr>
      </w:pPr>
    </w:p>
    <w:p w14:paraId="05FFCBC9" w14:textId="2A75FABE" w:rsidR="00FF142F" w:rsidRPr="00FF142F" w:rsidRDefault="00FF142F" w:rsidP="00FF142F">
      <w:pPr>
        <w:ind w:left="851"/>
        <w:rPr>
          <w:b/>
          <w:sz w:val="24"/>
          <w:szCs w:val="24"/>
          <w:u w:val="single"/>
        </w:rPr>
      </w:pPr>
      <w:proofErr w:type="spellStart"/>
      <w:r w:rsidRPr="00FF142F">
        <w:rPr>
          <w:b/>
          <w:sz w:val="24"/>
          <w:szCs w:val="24"/>
          <w:u w:val="single"/>
        </w:rPr>
        <w:t>Okulær</w:t>
      </w:r>
      <w:proofErr w:type="spellEnd"/>
      <w:r w:rsidRPr="00FF142F">
        <w:rPr>
          <w:b/>
          <w:sz w:val="24"/>
          <w:szCs w:val="24"/>
          <w:u w:val="single"/>
        </w:rPr>
        <w:t xml:space="preserve"> toksicitet</w:t>
      </w:r>
    </w:p>
    <w:p w14:paraId="57F72DA9" w14:textId="3C05FCDC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Vævsfordelingsstudier hos hunde og aber viste koncentrationer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i </w:t>
      </w:r>
      <w:proofErr w:type="spellStart"/>
      <w:r w:rsidRPr="00FF142F">
        <w:rPr>
          <w:sz w:val="24"/>
          <w:szCs w:val="24"/>
        </w:rPr>
        <w:t>choroidea</w:t>
      </w:r>
      <w:proofErr w:type="spellEnd"/>
      <w:r w:rsidRPr="00FF142F">
        <w:rPr>
          <w:sz w:val="24"/>
          <w:szCs w:val="24"/>
        </w:rPr>
        <w:t>. I</w:t>
      </w:r>
      <w:r w:rsidR="003E37B7">
        <w:rPr>
          <w:sz w:val="24"/>
          <w:szCs w:val="24"/>
        </w:rPr>
        <w:t> </w:t>
      </w:r>
      <w:r w:rsidRPr="00FF142F">
        <w:rPr>
          <w:sz w:val="24"/>
          <w:szCs w:val="24"/>
        </w:rPr>
        <w:t xml:space="preserve">studier med oral </w:t>
      </w:r>
      <w:proofErr w:type="spellStart"/>
      <w:r w:rsidRPr="00FF142F">
        <w:rPr>
          <w:sz w:val="24"/>
          <w:szCs w:val="24"/>
        </w:rPr>
        <w:t>clonidinhydrochlorid</w:t>
      </w:r>
      <w:proofErr w:type="spellEnd"/>
      <w:r w:rsidRPr="00FF142F">
        <w:rPr>
          <w:sz w:val="24"/>
          <w:szCs w:val="24"/>
        </w:rPr>
        <w:t xml:space="preserve"> blev en dosisafhængig stigning i forekomsten og sværhedsgraden af spontan nethindedegeneration set hos albinorotter, der blev behandlet i seks måneder eller længere med en dosis på 34 gange MRHD.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inducerede også korneale og konjunktivale ændringer hos rotter, tolket som </w:t>
      </w:r>
      <w:proofErr w:type="spellStart"/>
      <w:r w:rsidRPr="00FF142F">
        <w:rPr>
          <w:sz w:val="24"/>
          <w:szCs w:val="24"/>
        </w:rPr>
        <w:t>keratoconjunktivitis</w:t>
      </w:r>
      <w:proofErr w:type="spellEnd"/>
      <w:r w:rsidRPr="00FF142F">
        <w:rPr>
          <w:sz w:val="24"/>
          <w:szCs w:val="24"/>
        </w:rPr>
        <w:t xml:space="preserve"> </w:t>
      </w:r>
      <w:proofErr w:type="spellStart"/>
      <w:r w:rsidRPr="00FF142F">
        <w:rPr>
          <w:sz w:val="24"/>
          <w:szCs w:val="24"/>
        </w:rPr>
        <w:t>sicca</w:t>
      </w:r>
      <w:proofErr w:type="spellEnd"/>
      <w:r w:rsidRPr="00FF142F">
        <w:rPr>
          <w:sz w:val="24"/>
          <w:szCs w:val="24"/>
        </w:rPr>
        <w:t>, efter 7 dages oral behandling ved doser ≥ 0,3 mg/kg, svarende til 24 gange MRHD.</w:t>
      </w:r>
    </w:p>
    <w:p w14:paraId="409FA062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46D8B055" w14:textId="77777777" w:rsidR="00FF142F" w:rsidRPr="00FF142F" w:rsidRDefault="00FF142F" w:rsidP="00FF142F">
      <w:pPr>
        <w:ind w:left="851"/>
        <w:rPr>
          <w:b/>
          <w:sz w:val="24"/>
          <w:szCs w:val="24"/>
          <w:u w:val="single"/>
        </w:rPr>
      </w:pPr>
      <w:proofErr w:type="spellStart"/>
      <w:r w:rsidRPr="00FF142F">
        <w:rPr>
          <w:b/>
          <w:sz w:val="24"/>
          <w:szCs w:val="24"/>
          <w:u w:val="single"/>
        </w:rPr>
        <w:t>Neurotoksicitet</w:t>
      </w:r>
      <w:proofErr w:type="spellEnd"/>
    </w:p>
    <w:p w14:paraId="01F199D4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Et nyere studie undersøgte virkningerne af kontinuerlig </w:t>
      </w:r>
      <w:proofErr w:type="spellStart"/>
      <w:r w:rsidRPr="00FF142F">
        <w:rPr>
          <w:sz w:val="24"/>
          <w:szCs w:val="24"/>
        </w:rPr>
        <w:t>intratekal</w:t>
      </w:r>
      <w:proofErr w:type="spellEnd"/>
      <w:r w:rsidRPr="00FF142F">
        <w:rPr>
          <w:sz w:val="24"/>
          <w:szCs w:val="24"/>
        </w:rPr>
        <w:t xml:space="preserve"> </w:t>
      </w:r>
      <w:proofErr w:type="spellStart"/>
      <w:r w:rsidRPr="00FF142F">
        <w:rPr>
          <w:sz w:val="24"/>
          <w:szCs w:val="24"/>
        </w:rPr>
        <w:t>clonidinadministration</w:t>
      </w:r>
      <w:proofErr w:type="spellEnd"/>
      <w:r w:rsidRPr="00FF142F">
        <w:rPr>
          <w:sz w:val="24"/>
          <w:szCs w:val="24"/>
        </w:rPr>
        <w:t xml:space="preserve"> hos rotter i 14 på hinanden følgende dage. I dette studie blev tolv </w:t>
      </w:r>
      <w:proofErr w:type="spellStart"/>
      <w:r w:rsidRPr="00FF142F">
        <w:rPr>
          <w:sz w:val="24"/>
          <w:szCs w:val="24"/>
        </w:rPr>
        <w:t>Wistar</w:t>
      </w:r>
      <w:proofErr w:type="spellEnd"/>
      <w:r w:rsidRPr="00FF142F">
        <w:rPr>
          <w:sz w:val="24"/>
          <w:szCs w:val="24"/>
        </w:rPr>
        <w:t xml:space="preserve">-hanrotter randomiseret til at få enten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(21,4 mikrogram/dag) eller saltvand via en osmotisk minipumpe. Den </w:t>
      </w:r>
      <w:proofErr w:type="spellStart"/>
      <w:r w:rsidRPr="00FF142F">
        <w:rPr>
          <w:sz w:val="24"/>
          <w:szCs w:val="24"/>
        </w:rPr>
        <w:t>neurohistopatologiske</w:t>
      </w:r>
      <w:proofErr w:type="spellEnd"/>
      <w:r w:rsidRPr="00FF142F">
        <w:rPr>
          <w:sz w:val="24"/>
          <w:szCs w:val="24"/>
        </w:rPr>
        <w:t xml:space="preserve"> undersøgelse af rygmarven viste ingen tegn på </w:t>
      </w:r>
      <w:proofErr w:type="spellStart"/>
      <w:r w:rsidRPr="00FF142F">
        <w:rPr>
          <w:sz w:val="24"/>
          <w:szCs w:val="24"/>
        </w:rPr>
        <w:t>neurotoksisk</w:t>
      </w:r>
      <w:proofErr w:type="spellEnd"/>
      <w:r w:rsidRPr="00FF142F">
        <w:rPr>
          <w:sz w:val="24"/>
          <w:szCs w:val="24"/>
        </w:rPr>
        <w:t xml:space="preserve"> skade i nogen af grupperne. Dette antyder, at kontinuerlig </w:t>
      </w:r>
      <w:proofErr w:type="spellStart"/>
      <w:r w:rsidRPr="00FF142F">
        <w:rPr>
          <w:sz w:val="24"/>
          <w:szCs w:val="24"/>
        </w:rPr>
        <w:t>intratekal</w:t>
      </w:r>
      <w:proofErr w:type="spellEnd"/>
      <w:r w:rsidRPr="00FF142F">
        <w:rPr>
          <w:sz w:val="24"/>
          <w:szCs w:val="24"/>
        </w:rPr>
        <w:t xml:space="preserve"> administration af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ved denne dosis ikke inducerer </w:t>
      </w:r>
      <w:proofErr w:type="spellStart"/>
      <w:r w:rsidRPr="00FF142F">
        <w:rPr>
          <w:sz w:val="24"/>
          <w:szCs w:val="24"/>
        </w:rPr>
        <w:t>neurotoksiske</w:t>
      </w:r>
      <w:proofErr w:type="spellEnd"/>
      <w:r w:rsidRPr="00FF142F">
        <w:rPr>
          <w:sz w:val="24"/>
          <w:szCs w:val="24"/>
        </w:rPr>
        <w:t xml:space="preserve"> virkninger, hvilket antyder, at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kan betragtes som sikkert ved lavere, kontinuerlige doser. Studiet konkluderede yderligere, at kontinuerlig </w:t>
      </w:r>
      <w:proofErr w:type="spellStart"/>
      <w:r w:rsidRPr="00FF142F">
        <w:rPr>
          <w:sz w:val="24"/>
          <w:szCs w:val="24"/>
        </w:rPr>
        <w:t>intratekal</w:t>
      </w:r>
      <w:proofErr w:type="spellEnd"/>
      <w:r w:rsidRPr="00FF142F">
        <w:rPr>
          <w:sz w:val="24"/>
          <w:szCs w:val="24"/>
        </w:rPr>
        <w:t xml:space="preserve">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kan være en sikker behandlingsmulighed for kronisk smertebehandling, selvom yderligere studier vil være nødvendige for at evaluere virkningen af forskellige doser og behandlingsvarigheder.</w:t>
      </w:r>
    </w:p>
    <w:p w14:paraId="2CA7118A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2058A577" w14:textId="77777777" w:rsidR="00FF142F" w:rsidRPr="00FF142F" w:rsidRDefault="00FF142F" w:rsidP="00FF142F">
      <w:pPr>
        <w:ind w:left="851"/>
        <w:rPr>
          <w:b/>
          <w:bCs/>
          <w:sz w:val="24"/>
          <w:szCs w:val="24"/>
        </w:rPr>
      </w:pPr>
      <w:r w:rsidRPr="00FF142F">
        <w:rPr>
          <w:b/>
          <w:sz w:val="24"/>
          <w:szCs w:val="24"/>
          <w:u w:val="single"/>
        </w:rPr>
        <w:t>Reproduktions- og udviklingstoksicitet</w:t>
      </w:r>
    </w:p>
    <w:p w14:paraId="03D097E8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 xml:space="preserve">Studier har vist, at α2-adrenoceptoragonister, såsom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, kan føre til </w:t>
      </w:r>
      <w:proofErr w:type="spellStart"/>
      <w:r w:rsidRPr="00FF142F">
        <w:rPr>
          <w:sz w:val="24"/>
          <w:szCs w:val="24"/>
        </w:rPr>
        <w:t>erektil</w:t>
      </w:r>
      <w:proofErr w:type="spellEnd"/>
      <w:r w:rsidRPr="00FF142F">
        <w:rPr>
          <w:sz w:val="24"/>
          <w:szCs w:val="24"/>
        </w:rPr>
        <w:t xml:space="preserve"> dysfunktion (ED) hos hanrotter og hanhunde ved klinisk relevante doser (≥ 0,4 gange MRDHD). Hos hanrotter resulterede </w:t>
      </w:r>
      <w:proofErr w:type="spellStart"/>
      <w:r w:rsidRPr="00FF142F">
        <w:rPr>
          <w:sz w:val="24"/>
          <w:szCs w:val="24"/>
        </w:rPr>
        <w:t>clonidin</w:t>
      </w:r>
      <w:proofErr w:type="spellEnd"/>
      <w:r w:rsidRPr="00FF142F">
        <w:rPr>
          <w:sz w:val="24"/>
          <w:szCs w:val="24"/>
        </w:rPr>
        <w:t xml:space="preserve"> (≥ 5 </w:t>
      </w:r>
      <w:proofErr w:type="spellStart"/>
      <w:r w:rsidRPr="00FF142F">
        <w:rPr>
          <w:sz w:val="24"/>
          <w:szCs w:val="24"/>
        </w:rPr>
        <w:t>μg</w:t>
      </w:r>
      <w:proofErr w:type="spellEnd"/>
      <w:r w:rsidRPr="00FF142F">
        <w:rPr>
          <w:sz w:val="24"/>
          <w:szCs w:val="24"/>
        </w:rPr>
        <w:t xml:space="preserve">/kg) i signifikant </w:t>
      </w:r>
      <w:proofErr w:type="spellStart"/>
      <w:r w:rsidRPr="00FF142F">
        <w:rPr>
          <w:sz w:val="24"/>
          <w:szCs w:val="24"/>
        </w:rPr>
        <w:t>erektil</w:t>
      </w:r>
      <w:proofErr w:type="spellEnd"/>
      <w:r w:rsidRPr="00FF142F">
        <w:rPr>
          <w:sz w:val="24"/>
          <w:szCs w:val="24"/>
        </w:rPr>
        <w:t xml:space="preserve"> dysfunktion, herunder nedsat penisrefleks, nedsat </w:t>
      </w:r>
      <w:proofErr w:type="spellStart"/>
      <w:r w:rsidRPr="00FF142F">
        <w:rPr>
          <w:sz w:val="24"/>
          <w:szCs w:val="24"/>
        </w:rPr>
        <w:t>intromissiv</w:t>
      </w:r>
      <w:proofErr w:type="spellEnd"/>
      <w:r w:rsidRPr="00FF142F">
        <w:rPr>
          <w:sz w:val="24"/>
          <w:szCs w:val="24"/>
        </w:rPr>
        <w:t xml:space="preserve"> og </w:t>
      </w:r>
      <w:proofErr w:type="spellStart"/>
      <w:r w:rsidRPr="00FF142F">
        <w:rPr>
          <w:sz w:val="24"/>
          <w:szCs w:val="24"/>
        </w:rPr>
        <w:t>ejakulatorisk</w:t>
      </w:r>
      <w:proofErr w:type="spellEnd"/>
      <w:r w:rsidRPr="00FF142F">
        <w:rPr>
          <w:sz w:val="24"/>
          <w:szCs w:val="24"/>
        </w:rPr>
        <w:t xml:space="preserve"> adfærd. Lignende fund blev observeret hos hunde, hvor intravenøse doser ≥ 1,6 </w:t>
      </w:r>
      <w:proofErr w:type="spellStart"/>
      <w:r w:rsidRPr="00FF142F">
        <w:rPr>
          <w:sz w:val="24"/>
          <w:szCs w:val="24"/>
        </w:rPr>
        <w:t>μg</w:t>
      </w:r>
      <w:proofErr w:type="spellEnd"/>
      <w:r w:rsidRPr="00FF142F">
        <w:rPr>
          <w:sz w:val="24"/>
          <w:szCs w:val="24"/>
        </w:rPr>
        <w:t xml:space="preserve">/kg undertrykte det stigende </w:t>
      </w:r>
      <w:proofErr w:type="spellStart"/>
      <w:r w:rsidRPr="00FF142F">
        <w:rPr>
          <w:sz w:val="24"/>
          <w:szCs w:val="24"/>
        </w:rPr>
        <w:t>intrakorporale</w:t>
      </w:r>
      <w:proofErr w:type="spellEnd"/>
      <w:r w:rsidRPr="00FF142F">
        <w:rPr>
          <w:sz w:val="24"/>
          <w:szCs w:val="24"/>
        </w:rPr>
        <w:t xml:space="preserve"> tryk, der er afgørende for peniserektion, uden væsentligt at påvirke det systemiske blodtryk.</w:t>
      </w:r>
    </w:p>
    <w:p w14:paraId="7460524E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2E426EED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Der blev ikke observeret nogen virkninger på fertiliteten hos hunrotter ved doser op til et niveau, hvor ingen bivirkninger observeres (</w:t>
      </w:r>
      <w:r w:rsidRPr="00FF142F">
        <w:rPr>
          <w:i/>
          <w:iCs/>
          <w:sz w:val="24"/>
          <w:szCs w:val="24"/>
        </w:rPr>
        <w:t xml:space="preserve">no </w:t>
      </w:r>
      <w:proofErr w:type="spellStart"/>
      <w:r w:rsidRPr="00FF142F">
        <w:rPr>
          <w:i/>
          <w:iCs/>
          <w:sz w:val="24"/>
          <w:szCs w:val="24"/>
        </w:rPr>
        <w:t>observed</w:t>
      </w:r>
      <w:proofErr w:type="spellEnd"/>
      <w:r w:rsidRPr="00FF142F">
        <w:rPr>
          <w:i/>
          <w:iCs/>
          <w:sz w:val="24"/>
          <w:szCs w:val="24"/>
        </w:rPr>
        <w:t xml:space="preserve"> </w:t>
      </w:r>
      <w:proofErr w:type="spellStart"/>
      <w:r w:rsidRPr="00FF142F">
        <w:rPr>
          <w:i/>
          <w:iCs/>
          <w:sz w:val="24"/>
          <w:szCs w:val="24"/>
        </w:rPr>
        <w:t>adverse</w:t>
      </w:r>
      <w:proofErr w:type="spellEnd"/>
      <w:r w:rsidRPr="00FF142F">
        <w:rPr>
          <w:i/>
          <w:iCs/>
          <w:sz w:val="24"/>
          <w:szCs w:val="24"/>
        </w:rPr>
        <w:t xml:space="preserve"> </w:t>
      </w:r>
      <w:proofErr w:type="spellStart"/>
      <w:r w:rsidRPr="00FF142F">
        <w:rPr>
          <w:i/>
          <w:iCs/>
          <w:sz w:val="24"/>
          <w:szCs w:val="24"/>
        </w:rPr>
        <w:t>effect</w:t>
      </w:r>
      <w:proofErr w:type="spellEnd"/>
      <w:r w:rsidRPr="00FF142F">
        <w:rPr>
          <w:i/>
          <w:iCs/>
          <w:sz w:val="24"/>
          <w:szCs w:val="24"/>
        </w:rPr>
        <w:t xml:space="preserve"> </w:t>
      </w:r>
      <w:proofErr w:type="spellStart"/>
      <w:r w:rsidRPr="00FF142F">
        <w:rPr>
          <w:i/>
          <w:iCs/>
          <w:sz w:val="24"/>
          <w:szCs w:val="24"/>
        </w:rPr>
        <w:t>level</w:t>
      </w:r>
      <w:proofErr w:type="spellEnd"/>
      <w:r w:rsidRPr="00FF142F">
        <w:rPr>
          <w:i/>
          <w:iCs/>
          <w:sz w:val="24"/>
          <w:szCs w:val="24"/>
        </w:rPr>
        <w:t>,</w:t>
      </w:r>
      <w:r w:rsidRPr="00FF142F">
        <w:rPr>
          <w:sz w:val="24"/>
          <w:szCs w:val="24"/>
        </w:rPr>
        <w:t xml:space="preserve"> NOAEL) på 150 </w:t>
      </w:r>
      <w:proofErr w:type="spellStart"/>
      <w:r w:rsidRPr="00FF142F">
        <w:rPr>
          <w:sz w:val="24"/>
          <w:szCs w:val="24"/>
        </w:rPr>
        <w:t>μg</w:t>
      </w:r>
      <w:proofErr w:type="spellEnd"/>
      <w:r w:rsidRPr="00FF142F">
        <w:rPr>
          <w:sz w:val="24"/>
          <w:szCs w:val="24"/>
        </w:rPr>
        <w:t>/kg, svarende til en sikkerhedsmargin på 12 gange. I et andet rottestudie blev hunnernes frugtbarhed negativt påvirket af doser på ≥ 500 </w:t>
      </w:r>
      <w:proofErr w:type="spellStart"/>
      <w:r w:rsidRPr="00FF142F">
        <w:rPr>
          <w:sz w:val="24"/>
          <w:szCs w:val="24"/>
        </w:rPr>
        <w:t>μg</w:t>
      </w:r>
      <w:proofErr w:type="spellEnd"/>
      <w:r w:rsidRPr="00FF142F">
        <w:rPr>
          <w:sz w:val="24"/>
          <w:szCs w:val="24"/>
        </w:rPr>
        <w:t>/kg, svarende til ≥ 40 gange MRDHD.</w:t>
      </w:r>
    </w:p>
    <w:p w14:paraId="45A645DA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16D2882D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  <w:r w:rsidRPr="00FF142F">
        <w:rPr>
          <w:sz w:val="24"/>
          <w:szCs w:val="24"/>
        </w:rPr>
        <w:t xml:space="preserve">Dyrestudier med drægtige får har vist øget </w:t>
      </w:r>
      <w:proofErr w:type="spellStart"/>
      <w:r w:rsidRPr="00FF142F">
        <w:rPr>
          <w:sz w:val="24"/>
          <w:szCs w:val="24"/>
        </w:rPr>
        <w:t>intra-amniotisk</w:t>
      </w:r>
      <w:proofErr w:type="spellEnd"/>
      <w:r w:rsidRPr="00FF142F">
        <w:rPr>
          <w:sz w:val="24"/>
          <w:szCs w:val="24"/>
        </w:rPr>
        <w:t xml:space="preserve"> tryk og nedsat </w:t>
      </w:r>
      <w:proofErr w:type="spellStart"/>
      <w:r w:rsidRPr="00FF142F">
        <w:rPr>
          <w:sz w:val="24"/>
          <w:szCs w:val="24"/>
        </w:rPr>
        <w:t>uterin</w:t>
      </w:r>
      <w:proofErr w:type="spellEnd"/>
      <w:r w:rsidRPr="00FF142F">
        <w:rPr>
          <w:sz w:val="24"/>
          <w:szCs w:val="24"/>
        </w:rPr>
        <w:t xml:space="preserve"> blodgennemstrømning ved intravenøs dosis på 300 </w:t>
      </w:r>
      <w:proofErr w:type="spellStart"/>
      <w:r w:rsidRPr="00FF142F">
        <w:rPr>
          <w:sz w:val="24"/>
          <w:szCs w:val="24"/>
        </w:rPr>
        <w:t>μg</w:t>
      </w:r>
      <w:proofErr w:type="spellEnd"/>
      <w:r w:rsidRPr="00FF142F">
        <w:rPr>
          <w:sz w:val="24"/>
          <w:szCs w:val="24"/>
        </w:rPr>
        <w:t xml:space="preserve"> (3 gange klinisk anbefalet dosis ved direkte sammenligning), hvilket potentielt kan føre til </w:t>
      </w:r>
      <w:proofErr w:type="spellStart"/>
      <w:r w:rsidRPr="00FF142F">
        <w:rPr>
          <w:sz w:val="24"/>
          <w:szCs w:val="24"/>
        </w:rPr>
        <w:t>hypoksæmi</w:t>
      </w:r>
      <w:proofErr w:type="spellEnd"/>
      <w:r w:rsidRPr="00FF142F">
        <w:rPr>
          <w:sz w:val="24"/>
          <w:szCs w:val="24"/>
        </w:rPr>
        <w:t xml:space="preserve"> hos fosteret.</w:t>
      </w:r>
    </w:p>
    <w:p w14:paraId="4CCD337E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73D3619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251484F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6.</w:t>
      </w:r>
      <w:r w:rsidRPr="007C3328">
        <w:rPr>
          <w:b/>
          <w:sz w:val="24"/>
          <w:szCs w:val="24"/>
        </w:rPr>
        <w:tab/>
        <w:t>FARMACEUTISKE OPLYSNINGER</w:t>
      </w:r>
    </w:p>
    <w:p w14:paraId="034FAF7B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30BBEAE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6.1</w:t>
      </w:r>
      <w:r w:rsidRPr="007C3328">
        <w:rPr>
          <w:b/>
          <w:sz w:val="24"/>
          <w:szCs w:val="24"/>
        </w:rPr>
        <w:tab/>
        <w:t>Hjælpestoffer</w:t>
      </w:r>
    </w:p>
    <w:p w14:paraId="52AC42DD" w14:textId="77777777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Lactosemonohydrat</w:t>
      </w:r>
      <w:proofErr w:type="spellEnd"/>
    </w:p>
    <w:p w14:paraId="358E0036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Majsstivelse</w:t>
      </w:r>
    </w:p>
    <w:p w14:paraId="23AAEEFC" w14:textId="77777777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Povidon</w:t>
      </w:r>
      <w:proofErr w:type="spellEnd"/>
    </w:p>
    <w:p w14:paraId="6F9F0B71" w14:textId="77777777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Talcum</w:t>
      </w:r>
      <w:proofErr w:type="spellEnd"/>
    </w:p>
    <w:p w14:paraId="4386DC58" w14:textId="77777777" w:rsidR="00FF142F" w:rsidRPr="00FF142F" w:rsidRDefault="00FF142F" w:rsidP="00FF142F">
      <w:pPr>
        <w:ind w:left="851"/>
        <w:rPr>
          <w:i/>
          <w:iCs/>
          <w:sz w:val="24"/>
          <w:szCs w:val="24"/>
        </w:rPr>
      </w:pPr>
      <w:proofErr w:type="spellStart"/>
      <w:r w:rsidRPr="00FF142F">
        <w:rPr>
          <w:sz w:val="24"/>
          <w:szCs w:val="24"/>
        </w:rPr>
        <w:t>Magnesiumstearat</w:t>
      </w:r>
      <w:proofErr w:type="spellEnd"/>
      <w:r w:rsidRPr="00FF142F">
        <w:rPr>
          <w:sz w:val="24"/>
          <w:szCs w:val="24"/>
        </w:rPr>
        <w:t xml:space="preserve"> (E470b)</w:t>
      </w:r>
    </w:p>
    <w:p w14:paraId="2DBCE179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222A2FE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6.2</w:t>
      </w:r>
      <w:r w:rsidRPr="007C3328">
        <w:rPr>
          <w:b/>
          <w:sz w:val="24"/>
          <w:szCs w:val="24"/>
        </w:rPr>
        <w:tab/>
        <w:t>Uforligeligheder</w:t>
      </w:r>
    </w:p>
    <w:p w14:paraId="30FFA945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Ikke relevant.</w:t>
      </w:r>
    </w:p>
    <w:p w14:paraId="67AFE2DC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19F0C94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6.3</w:t>
      </w:r>
      <w:r w:rsidRPr="007C3328">
        <w:rPr>
          <w:b/>
          <w:sz w:val="24"/>
          <w:szCs w:val="24"/>
        </w:rPr>
        <w:tab/>
        <w:t>Opbevaringstid</w:t>
      </w:r>
    </w:p>
    <w:p w14:paraId="583CD928" w14:textId="4CC26B06" w:rsidR="00FF142F" w:rsidRPr="00FF142F" w:rsidRDefault="00FF142F" w:rsidP="00FF142F">
      <w:pPr>
        <w:ind w:left="851"/>
        <w:rPr>
          <w:i/>
          <w:iCs/>
          <w:sz w:val="24"/>
          <w:szCs w:val="24"/>
        </w:rPr>
      </w:pPr>
      <w:r w:rsidRPr="00FF142F">
        <w:rPr>
          <w:sz w:val="24"/>
          <w:szCs w:val="24"/>
        </w:rPr>
        <w:t>48 måneder</w:t>
      </w:r>
      <w:r w:rsidR="003E37B7">
        <w:rPr>
          <w:sz w:val="24"/>
          <w:szCs w:val="24"/>
        </w:rPr>
        <w:t>.</w:t>
      </w:r>
    </w:p>
    <w:p w14:paraId="31A0CC17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0C26739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6.4</w:t>
      </w:r>
      <w:r w:rsidRPr="007C3328">
        <w:rPr>
          <w:b/>
          <w:sz w:val="24"/>
          <w:szCs w:val="24"/>
        </w:rPr>
        <w:tab/>
        <w:t>Særlige opbevaringsforhold</w:t>
      </w:r>
    </w:p>
    <w:p w14:paraId="6A7F79AF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Dette lægemiddel kræver ingen særlige forholdsregler vedrørende opbevaringen.</w:t>
      </w:r>
    </w:p>
    <w:p w14:paraId="131FE58F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9B64D68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6.5</w:t>
      </w:r>
      <w:r w:rsidRPr="007C3328">
        <w:rPr>
          <w:b/>
          <w:sz w:val="24"/>
          <w:szCs w:val="24"/>
        </w:rPr>
        <w:tab/>
        <w:t>Emballagetype og pakningsstørrelser</w:t>
      </w:r>
    </w:p>
    <w:p w14:paraId="454E73A1" w14:textId="77777777" w:rsidR="00FF142F" w:rsidRPr="00FF142F" w:rsidRDefault="00FF142F" w:rsidP="00FF142F">
      <w:pPr>
        <w:ind w:left="851"/>
        <w:rPr>
          <w:sz w:val="24"/>
          <w:szCs w:val="24"/>
        </w:rPr>
      </w:pPr>
      <w:bookmarkStart w:id="0" w:name="_Hlk219309592"/>
      <w:r w:rsidRPr="00FF142F">
        <w:rPr>
          <w:sz w:val="24"/>
          <w:szCs w:val="24"/>
        </w:rPr>
        <w:t>Blisterpakninger af PVC/</w:t>
      </w:r>
      <w:proofErr w:type="spellStart"/>
      <w:r w:rsidRPr="00FF142F">
        <w:rPr>
          <w:sz w:val="24"/>
          <w:szCs w:val="24"/>
        </w:rPr>
        <w:t>PVdC</w:t>
      </w:r>
      <w:proofErr w:type="spellEnd"/>
      <w:r w:rsidRPr="00FF142F">
        <w:rPr>
          <w:sz w:val="24"/>
          <w:szCs w:val="24"/>
        </w:rPr>
        <w:t>/Aluminiumsfolie i æsker med 30, 90 eller 112 tabletter.</w:t>
      </w:r>
    </w:p>
    <w:p w14:paraId="6DB6C991" w14:textId="35F1ED43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Perforerede enkeltdosis-blisterpakninger af PVC/</w:t>
      </w:r>
      <w:proofErr w:type="spellStart"/>
      <w:r w:rsidRPr="00FF142F">
        <w:rPr>
          <w:sz w:val="24"/>
          <w:szCs w:val="24"/>
        </w:rPr>
        <w:t>PVdC</w:t>
      </w:r>
      <w:proofErr w:type="spellEnd"/>
      <w:r w:rsidRPr="00FF142F">
        <w:rPr>
          <w:sz w:val="24"/>
          <w:szCs w:val="24"/>
        </w:rPr>
        <w:t>/Aluminiumsfolie i æsker med 112 </w:t>
      </w:r>
      <w:r w:rsidR="000B13F7">
        <w:rPr>
          <w:sz w:val="24"/>
          <w:szCs w:val="24"/>
        </w:rPr>
        <w:t>×</w:t>
      </w:r>
      <w:r w:rsidRPr="00FF142F">
        <w:rPr>
          <w:sz w:val="24"/>
          <w:szCs w:val="24"/>
        </w:rPr>
        <w:t> 1 tabletter.</w:t>
      </w:r>
    </w:p>
    <w:bookmarkEnd w:id="0"/>
    <w:p w14:paraId="185FB6F7" w14:textId="77777777" w:rsidR="00FF142F" w:rsidRPr="00FF142F" w:rsidRDefault="00FF142F" w:rsidP="00FF142F">
      <w:pPr>
        <w:ind w:left="851"/>
        <w:rPr>
          <w:sz w:val="24"/>
          <w:szCs w:val="24"/>
        </w:rPr>
      </w:pPr>
    </w:p>
    <w:p w14:paraId="2AFADBCD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Ikke alle pakningsstørrelser er nødvendigvis markedsført.</w:t>
      </w:r>
    </w:p>
    <w:p w14:paraId="14BB06C9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600024B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6.6</w:t>
      </w:r>
      <w:r w:rsidRPr="007C3328">
        <w:rPr>
          <w:b/>
          <w:sz w:val="24"/>
          <w:szCs w:val="24"/>
        </w:rPr>
        <w:tab/>
        <w:t xml:space="preserve">Regler for </w:t>
      </w:r>
      <w:r w:rsidR="00BD7931" w:rsidRPr="007C3328">
        <w:rPr>
          <w:b/>
          <w:sz w:val="24"/>
          <w:szCs w:val="24"/>
        </w:rPr>
        <w:t>bortskaffelse</w:t>
      </w:r>
      <w:r w:rsidRPr="007C3328">
        <w:rPr>
          <w:b/>
          <w:sz w:val="24"/>
          <w:szCs w:val="24"/>
        </w:rPr>
        <w:t xml:space="preserve"> og anden håndtering</w:t>
      </w:r>
    </w:p>
    <w:p w14:paraId="133119D2" w14:textId="77777777" w:rsidR="00FF142F" w:rsidRPr="00FF142F" w:rsidRDefault="00FF142F" w:rsidP="00FF142F">
      <w:pPr>
        <w:ind w:left="851"/>
        <w:rPr>
          <w:iCs/>
          <w:sz w:val="24"/>
          <w:szCs w:val="24"/>
        </w:rPr>
      </w:pPr>
      <w:r w:rsidRPr="00FF142F">
        <w:rPr>
          <w:sz w:val="24"/>
          <w:szCs w:val="24"/>
        </w:rPr>
        <w:t>Ikke anvendt lægemiddel samt affald heraf skal bortskaffes i henhold til lokale retningslinjer.</w:t>
      </w:r>
    </w:p>
    <w:p w14:paraId="1C8DA0F8" w14:textId="77777777" w:rsidR="009260DE" w:rsidRPr="007C3328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0064FAF4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7.</w:t>
      </w:r>
      <w:r w:rsidRPr="007C3328">
        <w:rPr>
          <w:b/>
          <w:sz w:val="24"/>
          <w:szCs w:val="24"/>
        </w:rPr>
        <w:tab/>
        <w:t>INDEHAVER AF MARKEDSFØRINGSTILLADELSEN</w:t>
      </w:r>
    </w:p>
    <w:p w14:paraId="700650E4" w14:textId="77777777" w:rsidR="00FF142F" w:rsidRPr="00FF142F" w:rsidRDefault="00FF142F" w:rsidP="00FF142F">
      <w:pPr>
        <w:ind w:left="851"/>
        <w:rPr>
          <w:sz w:val="24"/>
          <w:szCs w:val="24"/>
        </w:rPr>
      </w:pPr>
      <w:proofErr w:type="spellStart"/>
      <w:r w:rsidRPr="00FF142F">
        <w:rPr>
          <w:sz w:val="24"/>
          <w:szCs w:val="24"/>
        </w:rPr>
        <w:t>Macure</w:t>
      </w:r>
      <w:proofErr w:type="spellEnd"/>
      <w:r w:rsidRPr="00FF142F">
        <w:rPr>
          <w:sz w:val="24"/>
          <w:szCs w:val="24"/>
        </w:rPr>
        <w:t xml:space="preserve"> Pharma ApS</w:t>
      </w:r>
    </w:p>
    <w:p w14:paraId="3D5A1DCF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Hejrevej 39</w:t>
      </w:r>
    </w:p>
    <w:p w14:paraId="45366617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2400 København NV</w:t>
      </w:r>
    </w:p>
    <w:p w14:paraId="52F75CAB" w14:textId="77777777" w:rsidR="00FF142F" w:rsidRPr="00FF142F" w:rsidRDefault="00FF142F" w:rsidP="00FF142F">
      <w:pPr>
        <w:ind w:left="851"/>
        <w:rPr>
          <w:sz w:val="24"/>
          <w:szCs w:val="24"/>
        </w:rPr>
      </w:pPr>
      <w:r w:rsidRPr="00FF142F">
        <w:rPr>
          <w:sz w:val="24"/>
          <w:szCs w:val="24"/>
        </w:rPr>
        <w:t>Danmark</w:t>
      </w:r>
    </w:p>
    <w:p w14:paraId="2AA1F456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DF64D06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8.</w:t>
      </w:r>
      <w:r w:rsidRPr="007C3328">
        <w:rPr>
          <w:b/>
          <w:sz w:val="24"/>
          <w:szCs w:val="24"/>
        </w:rPr>
        <w:tab/>
        <w:t>MARKEDSFØRINGSTILLADELSESNUMMER (</w:t>
      </w:r>
      <w:r w:rsidR="00BF6243" w:rsidRPr="007C3328">
        <w:rPr>
          <w:b/>
          <w:sz w:val="24"/>
          <w:szCs w:val="24"/>
        </w:rPr>
        <w:t>-</w:t>
      </w:r>
      <w:r w:rsidRPr="007C3328">
        <w:rPr>
          <w:b/>
          <w:sz w:val="24"/>
          <w:szCs w:val="24"/>
        </w:rPr>
        <w:t>NUMRE)</w:t>
      </w:r>
    </w:p>
    <w:p w14:paraId="6CF5EAEB" w14:textId="00EC3054" w:rsidR="009260DE" w:rsidRPr="007C3328" w:rsidRDefault="00FF142F" w:rsidP="009260DE">
      <w:pPr>
        <w:tabs>
          <w:tab w:val="left" w:pos="851"/>
        </w:tabs>
        <w:ind w:left="851"/>
        <w:rPr>
          <w:sz w:val="24"/>
          <w:szCs w:val="24"/>
        </w:rPr>
      </w:pPr>
      <w:r w:rsidRPr="007C3328">
        <w:rPr>
          <w:sz w:val="24"/>
          <w:szCs w:val="24"/>
        </w:rPr>
        <w:t>72361</w:t>
      </w:r>
    </w:p>
    <w:p w14:paraId="3142306F" w14:textId="77777777" w:rsidR="009260DE" w:rsidRPr="007C3328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5348DDED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9.</w:t>
      </w:r>
      <w:r w:rsidRPr="007C3328">
        <w:rPr>
          <w:b/>
          <w:sz w:val="24"/>
          <w:szCs w:val="24"/>
        </w:rPr>
        <w:tab/>
        <w:t>DATO FOR FØRSTE MARKEDSFØRINGSTILLADELSE</w:t>
      </w:r>
    </w:p>
    <w:p w14:paraId="2D76B181" w14:textId="15B9D44C" w:rsidR="009260DE" w:rsidRPr="007C3328" w:rsidRDefault="00C463CA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21. april 2026</w:t>
      </w:r>
    </w:p>
    <w:p w14:paraId="3D8464A0" w14:textId="77777777" w:rsidR="009260DE" w:rsidRPr="007C33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B1521E6" w14:textId="77777777" w:rsidR="009260DE" w:rsidRPr="007C33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C3328">
        <w:rPr>
          <w:b/>
          <w:sz w:val="24"/>
          <w:szCs w:val="24"/>
        </w:rPr>
        <w:t>10.</w:t>
      </w:r>
      <w:r w:rsidRPr="007C3328">
        <w:rPr>
          <w:b/>
          <w:sz w:val="24"/>
          <w:szCs w:val="24"/>
        </w:rPr>
        <w:tab/>
        <w:t>DATO FOR ÆNDRING AF TEKSTEN</w:t>
      </w:r>
    </w:p>
    <w:p w14:paraId="14C22AE1" w14:textId="6BD1B4DA" w:rsidR="009260DE" w:rsidRPr="007C3328" w:rsidRDefault="00FF142F" w:rsidP="009260DE">
      <w:pPr>
        <w:tabs>
          <w:tab w:val="left" w:pos="851"/>
        </w:tabs>
        <w:ind w:left="851"/>
        <w:rPr>
          <w:sz w:val="24"/>
          <w:szCs w:val="24"/>
        </w:rPr>
      </w:pPr>
      <w:r w:rsidRPr="007C3328">
        <w:rPr>
          <w:sz w:val="24"/>
          <w:szCs w:val="24"/>
        </w:rPr>
        <w:t>-</w:t>
      </w:r>
    </w:p>
    <w:sectPr w:rsidR="009260DE" w:rsidRPr="007C3328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FC52" w14:textId="77777777" w:rsidR="00160C95" w:rsidRDefault="00160C95">
      <w:r>
        <w:separator/>
      </w:r>
    </w:p>
  </w:endnote>
  <w:endnote w:type="continuationSeparator" w:id="0">
    <w:p w14:paraId="4779C540" w14:textId="77777777" w:rsidR="00160C95" w:rsidRDefault="0016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AB17" w14:textId="77777777" w:rsidR="000259B9" w:rsidRDefault="000259B9">
    <w:pPr>
      <w:pStyle w:val="Sidefod"/>
      <w:pBdr>
        <w:bottom w:val="single" w:sz="6" w:space="1" w:color="auto"/>
      </w:pBdr>
    </w:pPr>
  </w:p>
  <w:p w14:paraId="639B64F9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5B7D9992" w14:textId="50E1AFBF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A3232A">
      <w:rPr>
        <w:i/>
        <w:noProof/>
        <w:sz w:val="18"/>
        <w:szCs w:val="18"/>
      </w:rPr>
      <w:t>Vempadix, tabletter 25 mikrogram.docx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0B14" w14:textId="77777777" w:rsidR="00160C95" w:rsidRDefault="00160C95">
      <w:r>
        <w:separator/>
      </w:r>
    </w:p>
  </w:footnote>
  <w:footnote w:type="continuationSeparator" w:id="0">
    <w:p w14:paraId="637FD94E" w14:textId="77777777" w:rsidR="00160C95" w:rsidRDefault="0016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5F621F7"/>
    <w:multiLevelType w:val="hybridMultilevel"/>
    <w:tmpl w:val="697A00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9DA5C3D"/>
    <w:multiLevelType w:val="hybridMultilevel"/>
    <w:tmpl w:val="CBC02D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042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25509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1349971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0017639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29883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6763601">
    <w:abstractNumId w:val="6"/>
  </w:num>
  <w:num w:numId="7" w16cid:durableId="901328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95"/>
    <w:rsid w:val="000259B9"/>
    <w:rsid w:val="00041491"/>
    <w:rsid w:val="00050D16"/>
    <w:rsid w:val="000730CA"/>
    <w:rsid w:val="00074F2A"/>
    <w:rsid w:val="000A1CA8"/>
    <w:rsid w:val="000A466B"/>
    <w:rsid w:val="000B058C"/>
    <w:rsid w:val="000B13F7"/>
    <w:rsid w:val="000D68B0"/>
    <w:rsid w:val="000E4EE6"/>
    <w:rsid w:val="001454E2"/>
    <w:rsid w:val="00160C95"/>
    <w:rsid w:val="00206CE8"/>
    <w:rsid w:val="0021526C"/>
    <w:rsid w:val="00283A2B"/>
    <w:rsid w:val="002B30AD"/>
    <w:rsid w:val="002C1EC0"/>
    <w:rsid w:val="002C2C01"/>
    <w:rsid w:val="00357FDB"/>
    <w:rsid w:val="003A29AE"/>
    <w:rsid w:val="003A32D7"/>
    <w:rsid w:val="003B4074"/>
    <w:rsid w:val="003C769A"/>
    <w:rsid w:val="003D3A90"/>
    <w:rsid w:val="003E37B7"/>
    <w:rsid w:val="003F1838"/>
    <w:rsid w:val="004251C1"/>
    <w:rsid w:val="0045746C"/>
    <w:rsid w:val="0049104B"/>
    <w:rsid w:val="004E3B12"/>
    <w:rsid w:val="00530466"/>
    <w:rsid w:val="00532310"/>
    <w:rsid w:val="00565F0F"/>
    <w:rsid w:val="00594A86"/>
    <w:rsid w:val="00596D86"/>
    <w:rsid w:val="00637F5A"/>
    <w:rsid w:val="00641C65"/>
    <w:rsid w:val="006560B1"/>
    <w:rsid w:val="006756DD"/>
    <w:rsid w:val="0071241E"/>
    <w:rsid w:val="00737275"/>
    <w:rsid w:val="00740EEC"/>
    <w:rsid w:val="0078011A"/>
    <w:rsid w:val="00782AF4"/>
    <w:rsid w:val="00790EE7"/>
    <w:rsid w:val="007B6649"/>
    <w:rsid w:val="007C3328"/>
    <w:rsid w:val="0082576E"/>
    <w:rsid w:val="0089346F"/>
    <w:rsid w:val="00907F75"/>
    <w:rsid w:val="009260DE"/>
    <w:rsid w:val="0093258A"/>
    <w:rsid w:val="009C7BA3"/>
    <w:rsid w:val="009D1F5A"/>
    <w:rsid w:val="00A10294"/>
    <w:rsid w:val="00A3232A"/>
    <w:rsid w:val="00AF3ECF"/>
    <w:rsid w:val="00B003BF"/>
    <w:rsid w:val="00B373D7"/>
    <w:rsid w:val="00B55271"/>
    <w:rsid w:val="00BD7931"/>
    <w:rsid w:val="00BF6243"/>
    <w:rsid w:val="00C36276"/>
    <w:rsid w:val="00C42586"/>
    <w:rsid w:val="00C45F6B"/>
    <w:rsid w:val="00C463CA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93992"/>
    <w:rsid w:val="00E108AA"/>
    <w:rsid w:val="00E3749A"/>
    <w:rsid w:val="00E7437F"/>
    <w:rsid w:val="00E865B8"/>
    <w:rsid w:val="00EC0B9B"/>
    <w:rsid w:val="00ED5E9F"/>
    <w:rsid w:val="00F66D4F"/>
    <w:rsid w:val="00FB6D01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E18EE"/>
  <w15:chartTrackingRefBased/>
  <w15:docId w15:val="{15D68884-A12C-411B-8748-3B31D758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FF142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1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hlr\AppData\Local\Microsoft\Windows\INetCache\Content.Outlook\O3KV3OSD\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27</TotalTime>
  <Pages>9</Pages>
  <Words>2401</Words>
  <Characters>16081</Characters>
  <Application>Microsoft Office Word</Application>
  <DocSecurity>0</DocSecurity>
  <Lines>134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2024083975, MT</dc:description>
  <cp:lastModifiedBy>Gitte Jørgensen</cp:lastModifiedBy>
  <cp:revision>8</cp:revision>
  <cp:lastPrinted>2012-08-22T08:53:00Z</cp:lastPrinted>
  <dcterms:created xsi:type="dcterms:W3CDTF">2026-04-16T11:16:00Z</dcterms:created>
  <dcterms:modified xsi:type="dcterms:W3CDTF">2026-04-21T06:11:00Z</dcterms:modified>
</cp:coreProperties>
</file>