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919" w:rsidRPr="00C84483" w:rsidRDefault="00D56919" w:rsidP="00D56919">
      <w:pPr>
        <w:rPr>
          <w:b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556FA6E" wp14:editId="34D21C1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D56919" w:rsidRPr="00C84483" w:rsidRDefault="00D56919" w:rsidP="00D56919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8D23A1">
        <w:rPr>
          <w:szCs w:val="24"/>
        </w:rPr>
        <w:t>25. november 2024</w:t>
      </w:r>
    </w:p>
    <w:p w:rsidR="00FF4386" w:rsidRDefault="00FF4386" w:rsidP="00D56919">
      <w:pPr>
        <w:pStyle w:val="Titel"/>
        <w:jc w:val="left"/>
        <w:rPr>
          <w:b w:val="0"/>
          <w:szCs w:val="24"/>
        </w:rPr>
      </w:pPr>
    </w:p>
    <w:p w:rsidR="008D23A1" w:rsidRDefault="008D23A1" w:rsidP="00D56919">
      <w:pPr>
        <w:pStyle w:val="Titel"/>
        <w:jc w:val="left"/>
        <w:rPr>
          <w:b w:val="0"/>
          <w:szCs w:val="24"/>
        </w:rPr>
      </w:pPr>
    </w:p>
    <w:p w:rsidR="008D23A1" w:rsidRPr="00C84483" w:rsidRDefault="008D23A1" w:rsidP="00D56919">
      <w:pPr>
        <w:pStyle w:val="Titel"/>
        <w:jc w:val="left"/>
        <w:rPr>
          <w:b w:val="0"/>
          <w:szCs w:val="24"/>
        </w:rPr>
      </w:pPr>
    </w:p>
    <w:p w:rsidR="00D56919" w:rsidRPr="00C84483" w:rsidRDefault="00D56919" w:rsidP="00D56919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D56919" w:rsidRPr="00C84483" w:rsidRDefault="00D56919" w:rsidP="00D56919">
      <w:pPr>
        <w:jc w:val="center"/>
        <w:rPr>
          <w:b/>
          <w:sz w:val="24"/>
          <w:szCs w:val="24"/>
        </w:rPr>
      </w:pPr>
    </w:p>
    <w:p w:rsidR="00D56919" w:rsidRDefault="00D56919" w:rsidP="00D56919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D56919" w:rsidRPr="00C84483" w:rsidRDefault="00D56919" w:rsidP="00D56919">
      <w:pPr>
        <w:jc w:val="center"/>
        <w:rPr>
          <w:b/>
          <w:sz w:val="24"/>
          <w:szCs w:val="24"/>
        </w:rPr>
      </w:pPr>
    </w:p>
    <w:p w:rsidR="00D56919" w:rsidRPr="00C84483" w:rsidRDefault="00D56919" w:rsidP="00D5691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Ventizolve</w:t>
      </w:r>
      <w:proofErr w:type="spellEnd"/>
      <w:r>
        <w:rPr>
          <w:b/>
          <w:sz w:val="24"/>
          <w:szCs w:val="24"/>
        </w:rPr>
        <w:t>, næsespray, opløsning i enkeltdosisbeholder</w:t>
      </w:r>
    </w:p>
    <w:p w:rsidR="00D56919" w:rsidRPr="00C84483" w:rsidRDefault="00D56919" w:rsidP="00D56919">
      <w:pPr>
        <w:jc w:val="both"/>
        <w:rPr>
          <w:sz w:val="24"/>
          <w:szCs w:val="24"/>
        </w:rPr>
      </w:pPr>
    </w:p>
    <w:p w:rsidR="00D56919" w:rsidRPr="00E5306C" w:rsidRDefault="00D56919" w:rsidP="00D56919">
      <w:pPr>
        <w:jc w:val="both"/>
        <w:rPr>
          <w:sz w:val="24"/>
          <w:szCs w:val="24"/>
        </w:rPr>
      </w:pPr>
    </w:p>
    <w:p w:rsidR="008D23A1" w:rsidRPr="00C84483" w:rsidRDefault="008D23A1" w:rsidP="008D23A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30741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1.</w:t>
      </w:r>
      <w:r w:rsidRPr="00E5306C">
        <w:rPr>
          <w:b/>
          <w:sz w:val="24"/>
          <w:szCs w:val="24"/>
        </w:rPr>
        <w:tab/>
        <w:t>LÆGEMIDLETS NAVN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Ventizolve</w:t>
      </w:r>
      <w:proofErr w:type="spellEnd"/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2.</w:t>
      </w:r>
      <w:r w:rsidRPr="00E5306C">
        <w:rPr>
          <w:b/>
          <w:sz w:val="24"/>
          <w:szCs w:val="24"/>
        </w:rPr>
        <w:tab/>
        <w:t>KVALITATIV OG KVANTITATIV SAMMENSÆTNING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bookmarkStart w:id="0" w:name="_Hlk521585175"/>
      <w:r w:rsidRPr="00E5306C">
        <w:rPr>
          <w:sz w:val="24"/>
          <w:szCs w:val="24"/>
        </w:rPr>
        <w:t>Hver beholder med næsespray afgiver 1,2</w:t>
      </w:r>
      <w:r>
        <w:rPr>
          <w:sz w:val="24"/>
          <w:szCs w:val="24"/>
        </w:rPr>
        <w:t>6</w:t>
      </w:r>
      <w:r w:rsidRPr="00E5306C">
        <w:rPr>
          <w:sz w:val="24"/>
          <w:szCs w:val="24"/>
        </w:rPr>
        <w:t xml:space="preserve"> mg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(som </w:t>
      </w:r>
      <w:proofErr w:type="spellStart"/>
      <w:r w:rsidRPr="00E5306C">
        <w:rPr>
          <w:sz w:val="24"/>
          <w:szCs w:val="24"/>
        </w:rPr>
        <w:t>hydrochloriddihydrat</w:t>
      </w:r>
      <w:proofErr w:type="spellEnd"/>
      <w:r w:rsidRPr="00E5306C">
        <w:rPr>
          <w:sz w:val="24"/>
          <w:szCs w:val="24"/>
        </w:rPr>
        <w:t>).</w:t>
      </w:r>
    </w:p>
    <w:bookmarkEnd w:id="0"/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5306C">
        <w:rPr>
          <w:sz w:val="24"/>
          <w:szCs w:val="24"/>
          <w:u w:val="single"/>
        </w:rPr>
        <w:t>Hjælpestof, som behandleren skal være opmærksom på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Én dosis indeholder 20 mikrogram </w:t>
      </w:r>
      <w:proofErr w:type="spellStart"/>
      <w:r w:rsidRPr="00E5306C">
        <w:rPr>
          <w:sz w:val="24"/>
          <w:szCs w:val="24"/>
        </w:rPr>
        <w:t>benzalkoniumchlorid</w:t>
      </w:r>
      <w:proofErr w:type="spellEnd"/>
      <w:r w:rsidRPr="00E5306C">
        <w:rPr>
          <w:sz w:val="24"/>
          <w:szCs w:val="24"/>
        </w:rPr>
        <w:t>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Alle hjælpestoffer er anført under pkt. 6.1.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3.</w:t>
      </w:r>
      <w:r w:rsidRPr="00E5306C">
        <w:rPr>
          <w:b/>
          <w:sz w:val="24"/>
          <w:szCs w:val="24"/>
        </w:rPr>
        <w:tab/>
        <w:t>LÆGEMIDDELFORM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E5306C">
        <w:rPr>
          <w:sz w:val="24"/>
          <w:szCs w:val="24"/>
        </w:rPr>
        <w:t>Næsespray, opløsning</w:t>
      </w:r>
      <w:r>
        <w:rPr>
          <w:sz w:val="24"/>
          <w:szCs w:val="24"/>
        </w:rPr>
        <w:t xml:space="preserve"> i enkeltdosisbeholder</w:t>
      </w:r>
      <w:r w:rsidRPr="00E5306C">
        <w:rPr>
          <w:sz w:val="24"/>
          <w:szCs w:val="24"/>
        </w:rPr>
        <w:t xml:space="preserve"> (næsespray)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Klar, farveløs opløsning.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4.</w:t>
      </w:r>
      <w:r w:rsidRPr="00E5306C">
        <w:rPr>
          <w:b/>
          <w:sz w:val="24"/>
          <w:szCs w:val="24"/>
        </w:rPr>
        <w:tab/>
        <w:t>KLINISKE OPLYSNINGER</w:t>
      </w:r>
    </w:p>
    <w:p w:rsidR="00D56919" w:rsidRPr="00E5306C" w:rsidRDefault="00D56919" w:rsidP="00D56919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E5306C">
        <w:rPr>
          <w:b/>
          <w:sz w:val="24"/>
          <w:szCs w:val="24"/>
        </w:rPr>
        <w:t>4.1</w:t>
      </w:r>
      <w:r w:rsidRPr="00E5306C">
        <w:rPr>
          <w:b/>
          <w:sz w:val="24"/>
          <w:szCs w:val="24"/>
        </w:rPr>
        <w:tab/>
        <w:t>Terapeutiske indikationer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 er beregnet til omgående administration som akutbehandling af kendt eller formodet opioidoverdosis, manifesteret ved respiratorisk depression og/eller depression af centralnervesystemet, både på hospitaler/lægeklinikker og uden for disse.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 er indiceret til voksne.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 er ikke en erstatning for akut lægehjælp.</w:t>
      </w:r>
    </w:p>
    <w:p w:rsidR="00D56919" w:rsidRDefault="00D56919" w:rsidP="00D5691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8D23A1" w:rsidRPr="00C84483" w:rsidRDefault="008D23A1" w:rsidP="008D23A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D56919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E5306C">
        <w:rPr>
          <w:sz w:val="24"/>
          <w:szCs w:val="24"/>
          <w:u w:val="single"/>
        </w:rPr>
        <w:t>Dosering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i/>
          <w:sz w:val="24"/>
          <w:szCs w:val="24"/>
        </w:rPr>
      </w:pPr>
      <w:r w:rsidRPr="00E5306C">
        <w:rPr>
          <w:i/>
          <w:sz w:val="24"/>
          <w:szCs w:val="24"/>
        </w:rPr>
        <w:t>Voksne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Den anbefalede dosis er 1,26 mg indgivet i et næsebor (en næsespray).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Hvis respirationen stabiliseres, skal patienten overvåges og lægges i aflåst sideleje indtil læge eller sundhedspersonale er på stedet.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 administreres til opioid-afhængige personer, især hvis de er i risiko for svære opioidabstinenssymptomer. I nogle tilfælde kan det være nødvendigt at give flere doser. Den relevante maksimale dosis af </w:t>
      </w: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 er situationsbestemt. Hvis patienten ikke reagerer, skal den anden dosis administreres efter 2-3 minutter. Hvis patienten reagerer på første dosis, men derefter falder tilbage til respirationsdepression, bør den anden dosis administreres øjeblikkeligt. Yderligere doser (hvis tilgængelige) bør administreres i næseborene på skift, og patienten bør overvåges, mens der ventes på ambulance/lægevagt.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i/>
          <w:sz w:val="24"/>
          <w:szCs w:val="24"/>
        </w:rPr>
      </w:pPr>
      <w:r w:rsidRPr="00E5306C">
        <w:rPr>
          <w:i/>
          <w:sz w:val="24"/>
          <w:szCs w:val="24"/>
        </w:rPr>
        <w:t>Pædiatrisk population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Ventizolves</w:t>
      </w:r>
      <w:proofErr w:type="spellEnd"/>
      <w:r w:rsidRPr="00E5306C">
        <w:rPr>
          <w:sz w:val="24"/>
          <w:szCs w:val="24"/>
        </w:rPr>
        <w:t xml:space="preserve"> sikkerhed og virkning hos børn og unge er ikke klarlagt. Der foreligger ingen data.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i/>
          <w:sz w:val="24"/>
          <w:szCs w:val="24"/>
        </w:rPr>
      </w:pPr>
      <w:r w:rsidRPr="00E5306C">
        <w:rPr>
          <w:i/>
          <w:sz w:val="24"/>
          <w:szCs w:val="24"/>
        </w:rPr>
        <w:t>Ældre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Dosisjustering er ikke nødvendig.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5306C">
        <w:rPr>
          <w:sz w:val="24"/>
          <w:szCs w:val="24"/>
          <w:u w:val="single"/>
        </w:rPr>
        <w:t>Administration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Nasal anvendelse.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 bør administreres så hurtigt som muligt for at undgå skader på centralnerve</w:t>
      </w:r>
      <w:r>
        <w:rPr>
          <w:sz w:val="24"/>
          <w:szCs w:val="24"/>
        </w:rPr>
        <w:softHyphen/>
      </w:r>
      <w:r w:rsidRPr="00E5306C">
        <w:rPr>
          <w:sz w:val="24"/>
          <w:szCs w:val="24"/>
        </w:rPr>
        <w:t>systemet eller dødsfald.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4973DD" w:rsidRPr="00E5306C" w:rsidRDefault="004973DD" w:rsidP="004973DD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Detaljerede anvisninger om, hvordan </w:t>
      </w: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 skal bruges, findes i indlægssedlen</w:t>
      </w:r>
      <w:r>
        <w:rPr>
          <w:sz w:val="24"/>
          <w:szCs w:val="24"/>
        </w:rPr>
        <w:t>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b/>
          <w:sz w:val="24"/>
          <w:szCs w:val="24"/>
        </w:rPr>
      </w:pPr>
      <w:bookmarkStart w:id="1" w:name="_Hlk521585501"/>
      <w:r w:rsidRPr="00E5306C">
        <w:rPr>
          <w:b/>
          <w:sz w:val="24"/>
          <w:szCs w:val="24"/>
        </w:rPr>
        <w:t xml:space="preserve">Næsesprayen indeholder kun én dosis og må derfor ikke primes eller testes før administration. </w:t>
      </w:r>
      <w:bookmarkEnd w:id="1"/>
      <w:r w:rsidRPr="00E5306C">
        <w:rPr>
          <w:b/>
          <w:sz w:val="24"/>
          <w:szCs w:val="24"/>
        </w:rPr>
        <w:t>Genbrug ikke næsesprayen efter administration.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4.3</w:t>
      </w:r>
      <w:r w:rsidRPr="00E5306C">
        <w:rPr>
          <w:b/>
          <w:sz w:val="24"/>
          <w:szCs w:val="24"/>
        </w:rPr>
        <w:tab/>
        <w:t>Kontraindikationer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E5306C">
        <w:rPr>
          <w:sz w:val="24"/>
          <w:szCs w:val="24"/>
        </w:rPr>
        <w:t>Overfølsomhed over det aktive stof eller over for et eller flere af hjælpestofferne anført i pkt. 6.1.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4.4</w:t>
      </w:r>
      <w:r w:rsidRPr="00E5306C">
        <w:rPr>
          <w:b/>
          <w:sz w:val="24"/>
          <w:szCs w:val="24"/>
        </w:rPr>
        <w:tab/>
        <w:t>Særlige advarsler og forsigtighedsregler vedrørende brugen</w:t>
      </w:r>
    </w:p>
    <w:p w:rsidR="00D56919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E5306C">
        <w:rPr>
          <w:sz w:val="24"/>
          <w:szCs w:val="24"/>
          <w:u w:val="single"/>
        </w:rPr>
        <w:t xml:space="preserve">Instruktion af patienter/brugere i korrekt brug af </w:t>
      </w:r>
      <w:proofErr w:type="spellStart"/>
      <w:r w:rsidRPr="00E5306C">
        <w:rPr>
          <w:sz w:val="24"/>
          <w:szCs w:val="24"/>
          <w:u w:val="single"/>
        </w:rPr>
        <w:t>Ventizolve</w:t>
      </w:r>
      <w:proofErr w:type="spellEnd"/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 er beregnet til at blive administreret som del af en livreddende behandling ved mistanke om overdosis, som skyldes eller formodes at skyldes opioidmedikamenter, sandsynligvis i ikke-kliniske omgivelser. </w:t>
      </w:r>
      <w:r w:rsidR="004973DD">
        <w:rPr>
          <w:sz w:val="24"/>
          <w:szCs w:val="24"/>
        </w:rPr>
        <w:t xml:space="preserve">Sundhedspersonalet </w:t>
      </w:r>
      <w:r w:rsidRPr="00E5306C">
        <w:rPr>
          <w:sz w:val="24"/>
          <w:szCs w:val="24"/>
        </w:rPr>
        <w:t xml:space="preserve">bør derfor tage passende forholdsregler for at sikre, at patienten og/eller en anden person, som kan være i stand til at administrere </w:t>
      </w: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, forstår indikationerne for og brugen af </w:t>
      </w: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>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4973DD" w:rsidP="00D5691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Sundhedspersonalet </w:t>
      </w:r>
      <w:r w:rsidR="00D56919" w:rsidRPr="00E5306C">
        <w:rPr>
          <w:sz w:val="24"/>
          <w:szCs w:val="24"/>
        </w:rPr>
        <w:t xml:space="preserve">skal gennemgå de symptomer, som muliggør en diagnose af formodet depression af centralnervesystemet (CNS)/respiratorisk depression samt indikation og brugsanvisningen med patienten og/eller en anden person, der kan tænkes at skulle administrere produktet til en patient med kendt eller formodet overdosering af opioider. Dette skal gøres i overensstemmelse med undervisningsmaterialet for </w:t>
      </w:r>
      <w:proofErr w:type="spellStart"/>
      <w:r w:rsidR="00D56919" w:rsidRPr="00E5306C">
        <w:rPr>
          <w:sz w:val="24"/>
          <w:szCs w:val="24"/>
        </w:rPr>
        <w:t>Ventizolve</w:t>
      </w:r>
      <w:proofErr w:type="spellEnd"/>
      <w:r w:rsidR="00D56919" w:rsidRPr="00E5306C">
        <w:rPr>
          <w:sz w:val="24"/>
          <w:szCs w:val="24"/>
        </w:rPr>
        <w:t>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 indeholder én enkeltdosis af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>. Patienter og omsorgspersoner bør derfor modtage grundig vejledning i hvordan næsesprayen anvendes, og at den ikke må primes eller testes før administration samt at den ikke kan genbruges, efter dosis er administreret (se pkt. 4.2).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5306C">
        <w:rPr>
          <w:sz w:val="24"/>
          <w:szCs w:val="24"/>
          <w:u w:val="single"/>
        </w:rPr>
        <w:t>Overvågning af patientens reaktion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Administrér yderligere doser som nødvendigt, hvis patienten ikke reagerer tilstrækkeligt eller reagerer, men derefter falder tilbage til respirationsdepression. Se pkt. 4.2.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5306C">
        <w:rPr>
          <w:sz w:val="24"/>
          <w:szCs w:val="24"/>
          <w:u w:val="single"/>
        </w:rPr>
        <w:t>Vigtigheden af at søge lægehjælp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Patienter bør holdes under observation indtil kvalificeret sundhedspersonale er på stedet. Virkningsvarigheden for de fleste opioider kan være længere end virkningen af </w:t>
      </w: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>, hvilket kan resultere i tilbagevenden af respirationsdepression og/eller depression af centralnervesystemet efter en indledende bedring af symptomerne. Det er derfor nødvendigt at søge akut lægehjælp med det samme og fortsætte med at overvåge patienten.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5306C">
        <w:rPr>
          <w:sz w:val="24"/>
          <w:szCs w:val="24"/>
          <w:u w:val="single"/>
        </w:rPr>
        <w:t xml:space="preserve">Virkningen af </w:t>
      </w:r>
      <w:proofErr w:type="spellStart"/>
      <w:r w:rsidRPr="00E5306C">
        <w:rPr>
          <w:sz w:val="24"/>
          <w:szCs w:val="24"/>
          <w:u w:val="single"/>
        </w:rPr>
        <w:t>naloxon</w:t>
      </w:r>
      <w:proofErr w:type="spellEnd"/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har ingen virkning på CNS- eller respirationsdepression forårsaget af non-</w:t>
      </w:r>
      <w:proofErr w:type="spellStart"/>
      <w:r w:rsidRPr="00E5306C">
        <w:rPr>
          <w:sz w:val="24"/>
          <w:szCs w:val="24"/>
        </w:rPr>
        <w:t>opioide</w:t>
      </w:r>
      <w:proofErr w:type="spellEnd"/>
      <w:r w:rsidRPr="00E5306C">
        <w:rPr>
          <w:sz w:val="24"/>
          <w:szCs w:val="24"/>
        </w:rPr>
        <w:t xml:space="preserve"> lægemidler. Ophævelse af respirationsdepression, som er forårsaget af partielle agonister eller partielle agonister/antagonister såsom </w:t>
      </w:r>
      <w:proofErr w:type="spellStart"/>
      <w:r w:rsidRPr="00E5306C">
        <w:rPr>
          <w:sz w:val="24"/>
          <w:szCs w:val="24"/>
        </w:rPr>
        <w:t>buprenorphin</w:t>
      </w:r>
      <w:proofErr w:type="spellEnd"/>
      <w:r w:rsidRPr="00E5306C">
        <w:rPr>
          <w:sz w:val="24"/>
          <w:szCs w:val="24"/>
        </w:rPr>
        <w:t xml:space="preserve"> og </w:t>
      </w:r>
      <w:proofErr w:type="spellStart"/>
      <w:r w:rsidRPr="00E5306C">
        <w:rPr>
          <w:sz w:val="24"/>
          <w:szCs w:val="24"/>
        </w:rPr>
        <w:t>pentazocin</w:t>
      </w:r>
      <w:proofErr w:type="spellEnd"/>
      <w:r w:rsidRPr="00E5306C">
        <w:rPr>
          <w:sz w:val="24"/>
          <w:szCs w:val="24"/>
        </w:rPr>
        <w:t xml:space="preserve">, kan være utilstrækkelig og kræve højere doser eller gentagne administrationer af </w:t>
      </w:r>
      <w:proofErr w:type="spellStart"/>
      <w:r w:rsidRPr="00E5306C">
        <w:rPr>
          <w:sz w:val="24"/>
          <w:szCs w:val="24"/>
        </w:rPr>
        <w:t>naloxonhydro</w:t>
      </w:r>
      <w:r>
        <w:rPr>
          <w:sz w:val="24"/>
          <w:szCs w:val="24"/>
        </w:rPr>
        <w:softHyphen/>
      </w:r>
      <w:r w:rsidRPr="00E5306C">
        <w:rPr>
          <w:sz w:val="24"/>
          <w:szCs w:val="24"/>
        </w:rPr>
        <w:t>chlorid</w:t>
      </w:r>
      <w:proofErr w:type="spellEnd"/>
      <w:r w:rsidRPr="00E5306C">
        <w:rPr>
          <w:sz w:val="24"/>
          <w:szCs w:val="24"/>
        </w:rPr>
        <w:t xml:space="preserve">. Intranasal absorption og virkning af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kan være ændret hos patienter med beskadigede næseslimhinder og septumdefekter. I tilfælde af ufuldstændigt respons, bør vejrtrækningen assisteres mekanisk.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5306C">
        <w:rPr>
          <w:sz w:val="24"/>
          <w:szCs w:val="24"/>
          <w:u w:val="single"/>
        </w:rPr>
        <w:t>Opioidabstinenssyndrom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Pludselig ophævelse af den </w:t>
      </w:r>
      <w:proofErr w:type="spellStart"/>
      <w:r w:rsidRPr="00E5306C">
        <w:rPr>
          <w:sz w:val="24"/>
          <w:szCs w:val="24"/>
        </w:rPr>
        <w:t>opioide</w:t>
      </w:r>
      <w:proofErr w:type="spellEnd"/>
      <w:r w:rsidRPr="00E5306C">
        <w:rPr>
          <w:sz w:val="24"/>
          <w:szCs w:val="24"/>
        </w:rPr>
        <w:t xml:space="preserve"> virkning hos personer, som er fysisk afhængige af opioider, kan udløse et akut abstinenssyndrom. Sværhedsgraden og varigheden af abstinenserne afhænger af dosis af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samt graden og typen af opioidafhængighed (se pkt. 4.8). Patienter, som får opioider til lindring af kroniske smerter kan opleve smerter og opioidabstinenssymptomer, når </w:t>
      </w: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 administreres.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 indeholder konserveringsmidlet </w:t>
      </w:r>
      <w:proofErr w:type="spellStart"/>
      <w:r w:rsidRPr="00E5306C">
        <w:rPr>
          <w:sz w:val="24"/>
          <w:szCs w:val="24"/>
        </w:rPr>
        <w:t>benzalkoniumchlorid</w:t>
      </w:r>
      <w:proofErr w:type="spellEnd"/>
      <w:r w:rsidRPr="00E5306C">
        <w:rPr>
          <w:sz w:val="24"/>
          <w:szCs w:val="24"/>
        </w:rPr>
        <w:t xml:space="preserve">. </w:t>
      </w:r>
      <w:proofErr w:type="spellStart"/>
      <w:r w:rsidRPr="00E5306C">
        <w:rPr>
          <w:sz w:val="24"/>
          <w:szCs w:val="24"/>
        </w:rPr>
        <w:t>Benzalkoniumchlorid</w:t>
      </w:r>
      <w:proofErr w:type="spellEnd"/>
      <w:r w:rsidRPr="00E5306C">
        <w:rPr>
          <w:sz w:val="24"/>
          <w:szCs w:val="24"/>
        </w:rPr>
        <w:t xml:space="preserve"> kan give irritation og hævelse inde i næsen, især ved anvendelse i længere tid.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4.5</w:t>
      </w:r>
      <w:r w:rsidRPr="00E5306C">
        <w:rPr>
          <w:b/>
          <w:sz w:val="24"/>
          <w:szCs w:val="24"/>
        </w:rPr>
        <w:tab/>
        <w:t>Interaktion med andre lægemidler og andre former for interaktion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fremkalder et farmakologisk respons via interaktionen med opioider og opioidagonister. Der er ingen interaktion med barbiturater eller </w:t>
      </w:r>
      <w:proofErr w:type="spellStart"/>
      <w:r w:rsidRPr="00E5306C">
        <w:rPr>
          <w:sz w:val="24"/>
          <w:szCs w:val="24"/>
        </w:rPr>
        <w:t>sedativa</w:t>
      </w:r>
      <w:proofErr w:type="spellEnd"/>
      <w:r w:rsidRPr="00E5306C">
        <w:rPr>
          <w:sz w:val="24"/>
          <w:szCs w:val="24"/>
        </w:rPr>
        <w:t xml:space="preserve">, når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anvendes i standarddoser. Når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administreres til opioidafhængige personer, kan det medføre akutte abstinenssymptomer hos nogle. Hypertension, </w:t>
      </w:r>
      <w:proofErr w:type="spellStart"/>
      <w:r w:rsidRPr="00E5306C">
        <w:rPr>
          <w:sz w:val="24"/>
          <w:szCs w:val="24"/>
        </w:rPr>
        <w:t>hjertearytmi</w:t>
      </w:r>
      <w:proofErr w:type="spellEnd"/>
      <w:r w:rsidRPr="00E5306C">
        <w:rPr>
          <w:sz w:val="24"/>
          <w:szCs w:val="24"/>
        </w:rPr>
        <w:t xml:space="preserve">, lungeødem og hjertesvigt er blevet beskrevet, typisk når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er anvendt post-operativt (se pkt. 4.4 og 4.8).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På grund af dets antagonistiske egenskaber kan administration af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nedsætte den analgetiske virkning af opioider, der primært anvendes mod smerter (se pkt. 4.4).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Når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administreres til patienter, som har fået </w:t>
      </w:r>
      <w:proofErr w:type="spellStart"/>
      <w:r w:rsidRPr="00E5306C">
        <w:rPr>
          <w:sz w:val="24"/>
          <w:szCs w:val="24"/>
        </w:rPr>
        <w:t>buprenorphin</w:t>
      </w:r>
      <w:proofErr w:type="spellEnd"/>
      <w:r w:rsidRPr="00E5306C">
        <w:rPr>
          <w:sz w:val="24"/>
          <w:szCs w:val="24"/>
        </w:rPr>
        <w:t xml:space="preserve"> mod smerter, kan fuldstændig analgesi blive genoprettet. Man mener, at denne virkning skyldes </w:t>
      </w:r>
      <w:proofErr w:type="spellStart"/>
      <w:r w:rsidRPr="00E5306C">
        <w:rPr>
          <w:sz w:val="24"/>
          <w:szCs w:val="24"/>
        </w:rPr>
        <w:t>buprenorphins</w:t>
      </w:r>
      <w:proofErr w:type="spellEnd"/>
      <w:r w:rsidRPr="00E5306C">
        <w:rPr>
          <w:sz w:val="24"/>
          <w:szCs w:val="24"/>
        </w:rPr>
        <w:t xml:space="preserve"> bueformede dosis-responskurve med faldende analgetisk virkning ved høje doser. Ophævelse af respirationsdepression, fremkaldt af </w:t>
      </w:r>
      <w:proofErr w:type="spellStart"/>
      <w:r w:rsidRPr="00E5306C">
        <w:rPr>
          <w:sz w:val="24"/>
          <w:szCs w:val="24"/>
        </w:rPr>
        <w:t>buprenorphin</w:t>
      </w:r>
      <w:proofErr w:type="spellEnd"/>
      <w:r w:rsidRPr="00E5306C">
        <w:rPr>
          <w:sz w:val="24"/>
          <w:szCs w:val="24"/>
        </w:rPr>
        <w:t>, er dog begrænset.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E5306C">
        <w:rPr>
          <w:color w:val="000000"/>
          <w:sz w:val="24"/>
          <w:szCs w:val="24"/>
        </w:rPr>
        <w:t xml:space="preserve">Data vedrørende interaktion med alkohol er ikke afklaret. Afhængigt af årsagen til </w:t>
      </w:r>
      <w:proofErr w:type="spellStart"/>
      <w:r w:rsidRPr="00E5306C">
        <w:rPr>
          <w:color w:val="000000"/>
          <w:sz w:val="24"/>
          <w:szCs w:val="24"/>
        </w:rPr>
        <w:t>intoksikationen</w:t>
      </w:r>
      <w:proofErr w:type="spellEnd"/>
      <w:r w:rsidRPr="00E5306C">
        <w:rPr>
          <w:color w:val="000000"/>
          <w:sz w:val="24"/>
          <w:szCs w:val="24"/>
        </w:rPr>
        <w:t xml:space="preserve">, kan effekten af </w:t>
      </w:r>
      <w:proofErr w:type="spellStart"/>
      <w:r w:rsidRPr="00E5306C">
        <w:rPr>
          <w:color w:val="000000"/>
          <w:sz w:val="24"/>
          <w:szCs w:val="24"/>
        </w:rPr>
        <w:t>naloxon</w:t>
      </w:r>
      <w:proofErr w:type="spellEnd"/>
      <w:r w:rsidRPr="00E5306C">
        <w:rPr>
          <w:color w:val="000000"/>
          <w:sz w:val="24"/>
          <w:szCs w:val="24"/>
        </w:rPr>
        <w:t xml:space="preserve"> blive forsinket hos patienter med </w:t>
      </w:r>
      <w:proofErr w:type="spellStart"/>
      <w:r w:rsidRPr="00E5306C">
        <w:rPr>
          <w:color w:val="000000"/>
          <w:sz w:val="24"/>
          <w:szCs w:val="24"/>
        </w:rPr>
        <w:t>blandingsintoksikation</w:t>
      </w:r>
      <w:proofErr w:type="spellEnd"/>
      <w:r w:rsidRPr="00E5306C">
        <w:rPr>
          <w:color w:val="000000"/>
          <w:sz w:val="24"/>
          <w:szCs w:val="24"/>
        </w:rPr>
        <w:t xml:space="preserve"> med opioider og </w:t>
      </w:r>
      <w:proofErr w:type="spellStart"/>
      <w:r w:rsidRPr="00E5306C">
        <w:rPr>
          <w:color w:val="000000"/>
          <w:sz w:val="24"/>
          <w:szCs w:val="24"/>
        </w:rPr>
        <w:t>sedativa</w:t>
      </w:r>
      <w:proofErr w:type="spellEnd"/>
      <w:r w:rsidRPr="00E5306C">
        <w:rPr>
          <w:color w:val="000000"/>
          <w:sz w:val="24"/>
          <w:szCs w:val="24"/>
        </w:rPr>
        <w:t xml:space="preserve"> eller alkohol.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Der er rapporteret om alvorlig hypertension i forbindelse med administration af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ved tilfælde af koma, forårsaget af en overdosis af </w:t>
      </w:r>
      <w:proofErr w:type="spellStart"/>
      <w:r w:rsidRPr="00E5306C">
        <w:rPr>
          <w:sz w:val="24"/>
          <w:szCs w:val="24"/>
        </w:rPr>
        <w:t>clonidin</w:t>
      </w:r>
      <w:proofErr w:type="spellEnd"/>
      <w:r w:rsidRPr="00E5306C">
        <w:rPr>
          <w:sz w:val="24"/>
          <w:szCs w:val="24"/>
        </w:rPr>
        <w:t>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8D23A1" w:rsidRPr="00C84483" w:rsidRDefault="008D23A1" w:rsidP="008D23A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D56919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E5306C">
        <w:rPr>
          <w:sz w:val="24"/>
          <w:szCs w:val="24"/>
          <w:u w:val="single"/>
        </w:rPr>
        <w:t>Graviditet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Der er ingen eller utilstrækkelige data fra anvendelse af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til gravide kvinder. Dyreforsøg har kun påvist reproduktionstoksicitet ved </w:t>
      </w:r>
      <w:proofErr w:type="spellStart"/>
      <w:r w:rsidRPr="00E5306C">
        <w:rPr>
          <w:sz w:val="24"/>
          <w:szCs w:val="24"/>
        </w:rPr>
        <w:t>maternelt</w:t>
      </w:r>
      <w:proofErr w:type="spellEnd"/>
      <w:r w:rsidRPr="00E5306C">
        <w:rPr>
          <w:sz w:val="24"/>
          <w:szCs w:val="24"/>
        </w:rPr>
        <w:t xml:space="preserve"> </w:t>
      </w:r>
      <w:proofErr w:type="spellStart"/>
      <w:r w:rsidRPr="00E5306C">
        <w:rPr>
          <w:sz w:val="24"/>
          <w:szCs w:val="24"/>
        </w:rPr>
        <w:t>tokiske</w:t>
      </w:r>
      <w:proofErr w:type="spellEnd"/>
      <w:r w:rsidRPr="00E5306C">
        <w:rPr>
          <w:sz w:val="24"/>
          <w:szCs w:val="24"/>
        </w:rPr>
        <w:t xml:space="preserve"> doser. Den potentielle risiko hos mennesker er ikke kendt. </w:t>
      </w: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 bør ikke anvendes under graviditeten, medmindre kvindens kliniske tilstand kræver behandling med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>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Hos gravide kvinder, som har været i behandling med </w:t>
      </w: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, skal fosteret monitoreres for tegn på </w:t>
      </w:r>
      <w:proofErr w:type="spellStart"/>
      <w:r w:rsidRPr="00E5306C">
        <w:rPr>
          <w:sz w:val="24"/>
          <w:szCs w:val="24"/>
        </w:rPr>
        <w:t>føtal</w:t>
      </w:r>
      <w:proofErr w:type="spellEnd"/>
      <w:r w:rsidRPr="00E5306C">
        <w:rPr>
          <w:sz w:val="24"/>
          <w:szCs w:val="24"/>
        </w:rPr>
        <w:t xml:space="preserve"> </w:t>
      </w:r>
      <w:proofErr w:type="spellStart"/>
      <w:r w:rsidRPr="00E5306C">
        <w:rPr>
          <w:sz w:val="24"/>
          <w:szCs w:val="24"/>
        </w:rPr>
        <w:t>distress</w:t>
      </w:r>
      <w:proofErr w:type="spellEnd"/>
      <w:r w:rsidRPr="00E5306C">
        <w:rPr>
          <w:sz w:val="24"/>
          <w:szCs w:val="24"/>
        </w:rPr>
        <w:t>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5306C">
        <w:rPr>
          <w:sz w:val="24"/>
          <w:szCs w:val="24"/>
          <w:u w:val="single"/>
        </w:rPr>
        <w:t>Amning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Det er ukendt, om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udskilles i human mælk og det er ikke klarlagt, om det ammende barn påvirkes af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. Da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praktisk talt ikke er oralt biotilgængeligt, er muligheden for påvirkning af det ammede barn dog ubetydelig. Der bør udvises forsigtighed, når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administreres til en ammende kvinde, men der er ingen grund til at ophøre amningen. Spædbørn, der er blevet ammet af kvinder i behandling med </w:t>
      </w: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>, skal monitoreres for sedation og irritabilitet.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5306C">
        <w:rPr>
          <w:sz w:val="24"/>
          <w:szCs w:val="24"/>
          <w:u w:val="single"/>
        </w:rPr>
        <w:t>Fertilitet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Der foreligger ingen data om virkningen af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på fertiliteten, dog indikerer data fra dyreforsøg med rotter (se pkt. 5.3) ingen påvirkning.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8D23A1" w:rsidRPr="00C84483" w:rsidRDefault="008D23A1" w:rsidP="008D23A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E5306C">
        <w:rPr>
          <w:sz w:val="24"/>
          <w:szCs w:val="24"/>
        </w:rPr>
        <w:t>I</w:t>
      </w:r>
      <w:r>
        <w:rPr>
          <w:sz w:val="24"/>
          <w:szCs w:val="24"/>
        </w:rPr>
        <w:t>kke</w:t>
      </w:r>
      <w:r w:rsidRPr="00E5306C">
        <w:rPr>
          <w:sz w:val="24"/>
          <w:szCs w:val="24"/>
        </w:rPr>
        <w:t xml:space="preserve"> mærkning.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Da opioidvirkningerne kan vende tilbage, bør patienter, som har fået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for at ophæve virkningerne af opioider, advares imod at færdes i trafikken, betjene maskiner eller beskæftige sig med andre aktiviteter, som kræver fysisk eller mental udøvelse i mindst 24 timer efter behandling.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4.8</w:t>
      </w:r>
      <w:r w:rsidRPr="00E5306C">
        <w:rPr>
          <w:b/>
          <w:sz w:val="24"/>
          <w:szCs w:val="24"/>
        </w:rPr>
        <w:tab/>
        <w:t>Bivirkninger</w:t>
      </w:r>
    </w:p>
    <w:p w:rsidR="00D56919" w:rsidRDefault="00D56919" w:rsidP="00D56919">
      <w:pPr>
        <w:ind w:left="851"/>
        <w:rPr>
          <w:u w:val="single"/>
        </w:rPr>
      </w:pPr>
    </w:p>
    <w:p w:rsidR="00D56919" w:rsidRPr="00E5306C" w:rsidRDefault="00D56919" w:rsidP="00D56919">
      <w:pPr>
        <w:ind w:left="851"/>
        <w:rPr>
          <w:u w:val="single"/>
          <w:lang w:eastAsia="da-DK"/>
        </w:rPr>
      </w:pPr>
      <w:r w:rsidRPr="00E5306C">
        <w:rPr>
          <w:u w:val="single"/>
        </w:rPr>
        <w:t>Opsummering af sikkerhedsprofilen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Den mest almindelige bivirkning, der ses efter administration af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, er kvalme (hyppighed: meget almindelig). Pludselig ophævelse af den </w:t>
      </w:r>
      <w:proofErr w:type="spellStart"/>
      <w:r w:rsidRPr="00E5306C">
        <w:rPr>
          <w:sz w:val="24"/>
          <w:szCs w:val="24"/>
        </w:rPr>
        <w:t>opioide</w:t>
      </w:r>
      <w:proofErr w:type="spellEnd"/>
      <w:r w:rsidRPr="00E5306C">
        <w:rPr>
          <w:sz w:val="24"/>
          <w:szCs w:val="24"/>
        </w:rPr>
        <w:t xml:space="preserve"> virkning hos personer, som er fysisk afhængige af opioider, kan udløse et akut abstinenssyndrom.</w:t>
      </w:r>
    </w:p>
    <w:p w:rsidR="001562B2" w:rsidRDefault="001562B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5306C">
        <w:rPr>
          <w:sz w:val="24"/>
          <w:szCs w:val="24"/>
          <w:u w:val="single"/>
        </w:rPr>
        <w:t>Oversigt over bivirkninger i tabelform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Følgende bivirkninger er blevet rapporteret for </w:t>
      </w: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 og/eller andre </w:t>
      </w:r>
      <w:proofErr w:type="spellStart"/>
      <w:r w:rsidRPr="00E5306C">
        <w:rPr>
          <w:sz w:val="24"/>
          <w:szCs w:val="24"/>
        </w:rPr>
        <w:t>naloxonholdige</w:t>
      </w:r>
      <w:proofErr w:type="spellEnd"/>
      <w:r w:rsidRPr="00E5306C">
        <w:rPr>
          <w:sz w:val="24"/>
          <w:szCs w:val="24"/>
        </w:rPr>
        <w:t xml:space="preserve"> lægemidler under kliniske forsøg og efter markedsføring. Bivirkningerne er anført nedenfor under de relevante organklasser opdelt efter hyppighed</w:t>
      </w:r>
    </w:p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szCs w:val="24"/>
        </w:rPr>
      </w:pPr>
    </w:p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szCs w:val="24"/>
        </w:rPr>
      </w:pPr>
      <w:r>
        <w:rPr>
          <w:szCs w:val="24"/>
        </w:rPr>
        <w:t>Frekvenserne er tildelt til</w:t>
      </w:r>
      <w:r w:rsidRPr="00E5306C">
        <w:rPr>
          <w:szCs w:val="24"/>
        </w:rPr>
        <w:t xml:space="preserve"> de bivirkninger, der som minimum vurderes at have en kausal sammenhæng med </w:t>
      </w:r>
      <w:proofErr w:type="spellStart"/>
      <w:r w:rsidRPr="00E5306C">
        <w:rPr>
          <w:szCs w:val="24"/>
        </w:rPr>
        <w:t>naloxon</w:t>
      </w:r>
      <w:proofErr w:type="spellEnd"/>
      <w:r w:rsidRPr="00E5306C">
        <w:rPr>
          <w:szCs w:val="24"/>
        </w:rPr>
        <w:t xml:space="preserve"> og defineres som meget almindelig (</w:t>
      </w:r>
      <w:r w:rsidRPr="00E5306C">
        <w:rPr>
          <w:szCs w:val="24"/>
        </w:rPr>
        <w:sym w:font="Symbol" w:char="F0B3"/>
      </w:r>
      <w:r w:rsidRPr="00E5306C">
        <w:rPr>
          <w:szCs w:val="24"/>
        </w:rPr>
        <w:t>1/10); almindelig (</w:t>
      </w:r>
      <w:r w:rsidRPr="00E5306C">
        <w:rPr>
          <w:szCs w:val="24"/>
        </w:rPr>
        <w:sym w:font="Symbol" w:char="F0B3"/>
      </w:r>
      <w:r w:rsidRPr="00E5306C">
        <w:rPr>
          <w:szCs w:val="24"/>
        </w:rPr>
        <w:t>1/100 til &lt;1/10); ikke almindelig (</w:t>
      </w:r>
      <w:r w:rsidRPr="00E5306C">
        <w:rPr>
          <w:szCs w:val="24"/>
        </w:rPr>
        <w:sym w:font="Symbol" w:char="F0B3"/>
      </w:r>
      <w:r w:rsidRPr="00E5306C">
        <w:rPr>
          <w:szCs w:val="24"/>
        </w:rPr>
        <w:t>1/1.000 til &lt;1/100); sjælden (</w:t>
      </w:r>
      <w:r w:rsidRPr="00E5306C">
        <w:rPr>
          <w:szCs w:val="24"/>
        </w:rPr>
        <w:sym w:font="Symbol" w:char="F0B3"/>
      </w:r>
      <w:r w:rsidRPr="00E5306C">
        <w:rPr>
          <w:szCs w:val="24"/>
        </w:rPr>
        <w:t>1/10.000 til &lt;1/1000); meget sjælden (&lt;1/10.000); ikke kendt (kan ikke estimeres ud fra forhåndenværende data).</w:t>
      </w:r>
    </w:p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4377"/>
      </w:tblGrid>
      <w:tr w:rsidR="00D56919" w:rsidRPr="00E5306C" w:rsidTr="003B4BCE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b/>
                <w:szCs w:val="24"/>
              </w:rPr>
            </w:pPr>
            <w:r w:rsidRPr="00E5306C">
              <w:rPr>
                <w:b/>
                <w:szCs w:val="24"/>
              </w:rPr>
              <w:t>Systemorganklasse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b/>
                <w:szCs w:val="24"/>
              </w:rPr>
            </w:pPr>
            <w:r w:rsidRPr="00E5306C">
              <w:rPr>
                <w:b/>
                <w:szCs w:val="24"/>
              </w:rPr>
              <w:t>Bivirkninger</w:t>
            </w:r>
          </w:p>
        </w:tc>
      </w:tr>
      <w:tr w:rsidR="00D56919" w:rsidRPr="00E5306C" w:rsidTr="003B4BCE"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Default="00D56919" w:rsidP="003B4BCE">
            <w:pPr>
              <w:pStyle w:val="Sidehoved"/>
              <w:tabs>
                <w:tab w:val="left" w:pos="851"/>
              </w:tabs>
              <w:rPr>
                <w:i/>
                <w:szCs w:val="24"/>
              </w:rPr>
            </w:pPr>
            <w:r w:rsidRPr="00E5306C">
              <w:rPr>
                <w:i/>
                <w:szCs w:val="24"/>
              </w:rPr>
              <w:t>Immunsystemet: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Meget sjælden: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 xml:space="preserve">Hypersensitivitet, </w:t>
            </w:r>
            <w:proofErr w:type="spellStart"/>
            <w:r w:rsidRPr="00E5306C">
              <w:rPr>
                <w:szCs w:val="24"/>
              </w:rPr>
              <w:t>anafylaktisk</w:t>
            </w:r>
            <w:proofErr w:type="spellEnd"/>
            <w:r w:rsidRPr="00E5306C">
              <w:rPr>
                <w:szCs w:val="24"/>
              </w:rPr>
              <w:t xml:space="preserve"> </w:t>
            </w:r>
            <w:proofErr w:type="spellStart"/>
            <w:r w:rsidRPr="00E5306C">
              <w:rPr>
                <w:szCs w:val="24"/>
              </w:rPr>
              <w:t>shock</w:t>
            </w:r>
            <w:proofErr w:type="spellEnd"/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</w:tr>
      <w:tr w:rsidR="00D56919" w:rsidRPr="00E5306C" w:rsidTr="003B4BCE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i/>
                <w:szCs w:val="24"/>
              </w:rPr>
            </w:pPr>
            <w:r w:rsidRPr="00E5306C">
              <w:rPr>
                <w:i/>
                <w:szCs w:val="24"/>
              </w:rPr>
              <w:t>Nervesystemet: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Almindelig: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Ikke almindelig: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Svimmelhed, hovedpine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proofErr w:type="spellStart"/>
            <w:r w:rsidRPr="00E5306C">
              <w:rPr>
                <w:szCs w:val="24"/>
              </w:rPr>
              <w:t>Tremor</w:t>
            </w:r>
            <w:proofErr w:type="spellEnd"/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</w:tr>
      <w:tr w:rsidR="00D56919" w:rsidRPr="00E5306C" w:rsidTr="003B4BCE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i/>
                <w:szCs w:val="24"/>
              </w:rPr>
            </w:pPr>
            <w:r w:rsidRPr="00E5306C">
              <w:rPr>
                <w:i/>
                <w:szCs w:val="24"/>
              </w:rPr>
              <w:t>Hjerte: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Almindelig: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Ikke almindelig: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Meget sjælden</w:t>
            </w:r>
            <w:r>
              <w:rPr>
                <w:szCs w:val="24"/>
              </w:rPr>
              <w:t>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proofErr w:type="spellStart"/>
            <w:r w:rsidRPr="00E5306C">
              <w:rPr>
                <w:szCs w:val="24"/>
              </w:rPr>
              <w:t>Takykardi</w:t>
            </w:r>
            <w:proofErr w:type="spellEnd"/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proofErr w:type="spellStart"/>
            <w:r w:rsidRPr="00E5306C">
              <w:rPr>
                <w:szCs w:val="24"/>
              </w:rPr>
              <w:t>Arytmi</w:t>
            </w:r>
            <w:proofErr w:type="spellEnd"/>
            <w:r w:rsidRPr="00E5306C">
              <w:rPr>
                <w:szCs w:val="24"/>
              </w:rPr>
              <w:t>, bradykardi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Hjerteflimren, hjertestop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</w:tr>
      <w:tr w:rsidR="00D56919" w:rsidRPr="00E5306C" w:rsidTr="003B4BCE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i/>
                <w:szCs w:val="24"/>
              </w:rPr>
            </w:pPr>
            <w:proofErr w:type="spellStart"/>
            <w:r w:rsidRPr="00E5306C">
              <w:rPr>
                <w:i/>
                <w:szCs w:val="24"/>
              </w:rPr>
              <w:t>Vaskulære</w:t>
            </w:r>
            <w:proofErr w:type="spellEnd"/>
            <w:r w:rsidRPr="00E5306C">
              <w:rPr>
                <w:i/>
                <w:szCs w:val="24"/>
              </w:rPr>
              <w:t xml:space="preserve"> sygdomme: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Almindelig: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Hypotension, hypertension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</w:tr>
      <w:tr w:rsidR="00D56919" w:rsidRPr="00E5306C" w:rsidTr="003B4BCE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i/>
                <w:szCs w:val="24"/>
              </w:rPr>
            </w:pPr>
            <w:r w:rsidRPr="00E5306C">
              <w:rPr>
                <w:i/>
                <w:szCs w:val="24"/>
              </w:rPr>
              <w:t xml:space="preserve">Luftveje, thorax og </w:t>
            </w:r>
            <w:proofErr w:type="spellStart"/>
            <w:r w:rsidRPr="00E5306C">
              <w:rPr>
                <w:i/>
                <w:szCs w:val="24"/>
              </w:rPr>
              <w:t>mediastinum</w:t>
            </w:r>
            <w:proofErr w:type="spellEnd"/>
            <w:r w:rsidRPr="00E5306C">
              <w:rPr>
                <w:i/>
                <w:szCs w:val="24"/>
              </w:rPr>
              <w:t>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Ikke almindelig: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Meget sjælden: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Hyperventilation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Lungeødem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</w:tr>
      <w:tr w:rsidR="00D56919" w:rsidRPr="00E5306C" w:rsidTr="003B4BCE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i/>
                <w:szCs w:val="24"/>
              </w:rPr>
            </w:pPr>
            <w:r w:rsidRPr="00E5306C">
              <w:rPr>
                <w:i/>
                <w:szCs w:val="24"/>
              </w:rPr>
              <w:t>Mave-tarm-kanalen: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Meget almindelig: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Almindelig: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Ikke almindelig: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Kvalme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Opkastning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Diarré, mundtørhed</w:t>
            </w:r>
          </w:p>
        </w:tc>
      </w:tr>
      <w:tr w:rsidR="00D56919" w:rsidRPr="00E5306C" w:rsidTr="003B4BCE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i/>
                <w:szCs w:val="24"/>
              </w:rPr>
            </w:pPr>
            <w:r w:rsidRPr="00E5306C">
              <w:rPr>
                <w:i/>
                <w:szCs w:val="24"/>
              </w:rPr>
              <w:t>Hud og subkutane væv: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Ikke almindelig: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Meget sjælden: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proofErr w:type="spellStart"/>
            <w:r w:rsidRPr="00E5306C">
              <w:rPr>
                <w:szCs w:val="24"/>
              </w:rPr>
              <w:t>Hyperhidrosis</w:t>
            </w:r>
            <w:proofErr w:type="spellEnd"/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proofErr w:type="spellStart"/>
            <w:r w:rsidRPr="00E5306C">
              <w:rPr>
                <w:szCs w:val="24"/>
              </w:rPr>
              <w:t>Erythema</w:t>
            </w:r>
            <w:proofErr w:type="spellEnd"/>
            <w:r w:rsidRPr="00E5306C">
              <w:rPr>
                <w:szCs w:val="24"/>
              </w:rPr>
              <w:t xml:space="preserve"> multiforme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</w:tr>
      <w:tr w:rsidR="00D56919" w:rsidRPr="00E5306C" w:rsidTr="003B4BCE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i/>
                <w:szCs w:val="24"/>
              </w:rPr>
            </w:pPr>
            <w:r w:rsidRPr="00E5306C">
              <w:rPr>
                <w:i/>
                <w:szCs w:val="24"/>
              </w:rPr>
              <w:t>Almene symptomer og reaktioner på administrationsstedet: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Ikke almindelig:</w:t>
            </w: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  <w:p w:rsidR="00D56919" w:rsidRPr="00E5306C" w:rsidRDefault="00D56919" w:rsidP="003B4BCE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 w:rsidRPr="00E5306C">
              <w:rPr>
                <w:szCs w:val="24"/>
              </w:rPr>
              <w:t>Abstinenssyndrom (hos opioidafhængige patienter)</w:t>
            </w:r>
          </w:p>
        </w:tc>
      </w:tr>
    </w:tbl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szCs w:val="24"/>
        </w:rPr>
      </w:pPr>
    </w:p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E5306C">
        <w:rPr>
          <w:szCs w:val="24"/>
          <w:u w:val="single"/>
        </w:rPr>
        <w:t>Beskrivelse af udvalgte bivirkninger</w:t>
      </w:r>
    </w:p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i/>
          <w:szCs w:val="24"/>
        </w:rPr>
      </w:pPr>
      <w:r w:rsidRPr="00E5306C">
        <w:rPr>
          <w:i/>
          <w:szCs w:val="24"/>
        </w:rPr>
        <w:t>Abstinenssyndrom</w:t>
      </w:r>
    </w:p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szCs w:val="24"/>
        </w:rPr>
      </w:pPr>
      <w:r w:rsidRPr="00E5306C">
        <w:rPr>
          <w:szCs w:val="24"/>
        </w:rPr>
        <w:t xml:space="preserve">Tegn og symptomer på abstinenssyndrom omfatter rastløshed, irritabilitet, </w:t>
      </w:r>
      <w:proofErr w:type="spellStart"/>
      <w:r w:rsidRPr="00E5306C">
        <w:rPr>
          <w:szCs w:val="24"/>
        </w:rPr>
        <w:t>hyperæstesi</w:t>
      </w:r>
      <w:proofErr w:type="spellEnd"/>
      <w:r w:rsidRPr="00E5306C">
        <w:rPr>
          <w:szCs w:val="24"/>
        </w:rPr>
        <w:t xml:space="preserve">, kvalme, opkastning, </w:t>
      </w:r>
      <w:proofErr w:type="spellStart"/>
      <w:r w:rsidRPr="00E5306C">
        <w:rPr>
          <w:szCs w:val="24"/>
        </w:rPr>
        <w:t>gastrointestinale</w:t>
      </w:r>
      <w:proofErr w:type="spellEnd"/>
      <w:r w:rsidRPr="00E5306C">
        <w:rPr>
          <w:szCs w:val="24"/>
        </w:rPr>
        <w:t xml:space="preserve"> smerter, muskelspasmer, </w:t>
      </w:r>
      <w:proofErr w:type="spellStart"/>
      <w:r w:rsidRPr="00E5306C">
        <w:rPr>
          <w:szCs w:val="24"/>
        </w:rPr>
        <w:t>dysfori</w:t>
      </w:r>
      <w:proofErr w:type="spellEnd"/>
      <w:r w:rsidRPr="00E5306C">
        <w:rPr>
          <w:szCs w:val="24"/>
        </w:rPr>
        <w:t xml:space="preserve">, søvnløshed, angst, </w:t>
      </w:r>
      <w:proofErr w:type="spellStart"/>
      <w:r w:rsidRPr="00E5306C">
        <w:rPr>
          <w:szCs w:val="24"/>
        </w:rPr>
        <w:t>hyperhidrosis</w:t>
      </w:r>
      <w:proofErr w:type="spellEnd"/>
      <w:r w:rsidRPr="00E5306C">
        <w:rPr>
          <w:szCs w:val="24"/>
        </w:rPr>
        <w:t xml:space="preserve">, gåsehud, </w:t>
      </w:r>
      <w:proofErr w:type="spellStart"/>
      <w:r w:rsidRPr="00E5306C">
        <w:rPr>
          <w:szCs w:val="24"/>
        </w:rPr>
        <w:t>takykardi</w:t>
      </w:r>
      <w:proofErr w:type="spellEnd"/>
      <w:r w:rsidRPr="00E5306C">
        <w:rPr>
          <w:szCs w:val="24"/>
        </w:rPr>
        <w:t xml:space="preserve">, forhøjet blodtryk, </w:t>
      </w:r>
      <w:proofErr w:type="spellStart"/>
      <w:r w:rsidRPr="00E5306C">
        <w:rPr>
          <w:szCs w:val="24"/>
        </w:rPr>
        <w:t>gaben</w:t>
      </w:r>
      <w:proofErr w:type="spellEnd"/>
      <w:r w:rsidRPr="00E5306C">
        <w:rPr>
          <w:szCs w:val="24"/>
        </w:rPr>
        <w:t xml:space="preserve">, </w:t>
      </w:r>
      <w:proofErr w:type="spellStart"/>
      <w:r w:rsidRPr="00E5306C">
        <w:rPr>
          <w:szCs w:val="24"/>
        </w:rPr>
        <w:t>pyreksi</w:t>
      </w:r>
      <w:proofErr w:type="spellEnd"/>
      <w:r w:rsidRPr="00E5306C">
        <w:rPr>
          <w:szCs w:val="24"/>
        </w:rPr>
        <w:t xml:space="preserve">. Der kan desuden ses adfærdsændringer, herunder voldelig adfærd, nervøsitet og </w:t>
      </w:r>
      <w:proofErr w:type="spellStart"/>
      <w:r w:rsidRPr="00E5306C">
        <w:rPr>
          <w:szCs w:val="24"/>
        </w:rPr>
        <w:t>opstemthed</w:t>
      </w:r>
      <w:proofErr w:type="spellEnd"/>
      <w:r w:rsidRPr="00E5306C">
        <w:rPr>
          <w:szCs w:val="24"/>
        </w:rPr>
        <w:t>.</w:t>
      </w:r>
    </w:p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szCs w:val="24"/>
        </w:rPr>
      </w:pPr>
    </w:p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i/>
          <w:szCs w:val="24"/>
        </w:rPr>
      </w:pPr>
      <w:proofErr w:type="spellStart"/>
      <w:r w:rsidRPr="00E5306C">
        <w:rPr>
          <w:i/>
          <w:szCs w:val="24"/>
        </w:rPr>
        <w:t>Vaskulære</w:t>
      </w:r>
      <w:proofErr w:type="spellEnd"/>
      <w:r w:rsidRPr="00E5306C">
        <w:rPr>
          <w:i/>
          <w:szCs w:val="24"/>
        </w:rPr>
        <w:t xml:space="preserve"> sygdomme</w:t>
      </w:r>
    </w:p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szCs w:val="24"/>
        </w:rPr>
      </w:pPr>
      <w:r w:rsidRPr="00E5306C">
        <w:rPr>
          <w:szCs w:val="24"/>
        </w:rPr>
        <w:t xml:space="preserve">I rapporter om intravenøs/intramuskulær </w:t>
      </w:r>
      <w:proofErr w:type="spellStart"/>
      <w:r w:rsidRPr="00E5306C">
        <w:rPr>
          <w:szCs w:val="24"/>
        </w:rPr>
        <w:t>naloxon</w:t>
      </w:r>
      <w:proofErr w:type="spellEnd"/>
      <w:r w:rsidRPr="00E5306C">
        <w:rPr>
          <w:szCs w:val="24"/>
        </w:rPr>
        <w:t xml:space="preserve">: hypotension, hypertension, </w:t>
      </w:r>
      <w:proofErr w:type="spellStart"/>
      <w:r w:rsidRPr="00E5306C">
        <w:rPr>
          <w:szCs w:val="24"/>
        </w:rPr>
        <w:t>hjertearytmi</w:t>
      </w:r>
      <w:proofErr w:type="spellEnd"/>
      <w:r w:rsidRPr="00E5306C">
        <w:rPr>
          <w:szCs w:val="24"/>
        </w:rPr>
        <w:t xml:space="preserve"> (herunder </w:t>
      </w:r>
      <w:proofErr w:type="spellStart"/>
      <w:r w:rsidRPr="00E5306C">
        <w:rPr>
          <w:szCs w:val="24"/>
        </w:rPr>
        <w:t>ventrikulær</w:t>
      </w:r>
      <w:proofErr w:type="spellEnd"/>
      <w:r w:rsidRPr="00E5306C">
        <w:rPr>
          <w:szCs w:val="24"/>
        </w:rPr>
        <w:t xml:space="preserve"> </w:t>
      </w:r>
      <w:proofErr w:type="spellStart"/>
      <w:r w:rsidRPr="00E5306C">
        <w:rPr>
          <w:szCs w:val="24"/>
        </w:rPr>
        <w:t>takykardi</w:t>
      </w:r>
      <w:proofErr w:type="spellEnd"/>
      <w:r w:rsidRPr="00E5306C">
        <w:rPr>
          <w:szCs w:val="24"/>
        </w:rPr>
        <w:t xml:space="preserve"> og flimren) og lungeødem er forekommet ved postoperativ brug af </w:t>
      </w:r>
      <w:proofErr w:type="spellStart"/>
      <w:r w:rsidRPr="00E5306C">
        <w:rPr>
          <w:szCs w:val="24"/>
        </w:rPr>
        <w:t>naloxon</w:t>
      </w:r>
      <w:proofErr w:type="spellEnd"/>
      <w:r w:rsidRPr="00E5306C">
        <w:rPr>
          <w:szCs w:val="24"/>
        </w:rPr>
        <w:t xml:space="preserve">. </w:t>
      </w:r>
      <w:proofErr w:type="spellStart"/>
      <w:r w:rsidRPr="00E5306C">
        <w:rPr>
          <w:szCs w:val="24"/>
        </w:rPr>
        <w:t>Kardiovaskulære</w:t>
      </w:r>
      <w:proofErr w:type="spellEnd"/>
      <w:r w:rsidRPr="00E5306C">
        <w:rPr>
          <w:szCs w:val="24"/>
        </w:rPr>
        <w:t xml:space="preserve"> bivirkninger er opstået hyppigere hos postoperative patienter med en allerede eksisterende </w:t>
      </w:r>
      <w:proofErr w:type="spellStart"/>
      <w:r w:rsidRPr="00E5306C">
        <w:rPr>
          <w:szCs w:val="24"/>
        </w:rPr>
        <w:t>kardiovaskulær</w:t>
      </w:r>
      <w:proofErr w:type="spellEnd"/>
      <w:r w:rsidRPr="00E5306C">
        <w:rPr>
          <w:szCs w:val="24"/>
        </w:rPr>
        <w:t xml:space="preserve"> sygdom og patienter, som behandles med andre lægemidler, der giver lignende </w:t>
      </w:r>
      <w:proofErr w:type="spellStart"/>
      <w:r w:rsidRPr="00E5306C">
        <w:rPr>
          <w:szCs w:val="24"/>
        </w:rPr>
        <w:t>kardiovaskulære</w:t>
      </w:r>
      <w:proofErr w:type="spellEnd"/>
      <w:r w:rsidRPr="00E5306C">
        <w:rPr>
          <w:szCs w:val="24"/>
        </w:rPr>
        <w:t xml:space="preserve"> bivirkninger.</w:t>
      </w:r>
    </w:p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szCs w:val="24"/>
        </w:rPr>
      </w:pPr>
    </w:p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E5306C">
        <w:rPr>
          <w:szCs w:val="24"/>
          <w:u w:val="single"/>
        </w:rPr>
        <w:t>Indberetning af formodede bivirkninger</w:t>
      </w:r>
    </w:p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szCs w:val="24"/>
        </w:rPr>
      </w:pPr>
      <w:r w:rsidRPr="00E5306C">
        <w:rPr>
          <w:szCs w:val="24"/>
        </w:rPr>
        <w:t>Når lægemidlet er godkendt er indberetning af formodede bivirkninger vigtig. Det muliggør løbende overvågning af benefit/</w:t>
      </w:r>
      <w:proofErr w:type="spellStart"/>
      <w:r w:rsidRPr="00E5306C">
        <w:rPr>
          <w:szCs w:val="24"/>
        </w:rPr>
        <w:t>risk</w:t>
      </w:r>
      <w:proofErr w:type="spellEnd"/>
      <w:r w:rsidRPr="00E5306C">
        <w:rPr>
          <w:szCs w:val="24"/>
        </w:rPr>
        <w:t xml:space="preserve">-forholdet for lægemidlet. </w:t>
      </w:r>
      <w:r w:rsidR="008D23A1">
        <w:rPr>
          <w:szCs w:val="24"/>
        </w:rPr>
        <w:t>S</w:t>
      </w:r>
      <w:r w:rsidRPr="00E5306C">
        <w:rPr>
          <w:szCs w:val="24"/>
        </w:rPr>
        <w:t>undhedsperson</w:t>
      </w:r>
      <w:r w:rsidR="008D23A1">
        <w:rPr>
          <w:szCs w:val="24"/>
        </w:rPr>
        <w:t>er</w:t>
      </w:r>
      <w:r w:rsidRPr="00E5306C">
        <w:rPr>
          <w:szCs w:val="24"/>
        </w:rPr>
        <w:t xml:space="preserve"> anmodes om at indberette alle formodede bivirkninger via:</w:t>
      </w:r>
    </w:p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szCs w:val="24"/>
        </w:rPr>
      </w:pPr>
    </w:p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szCs w:val="24"/>
        </w:rPr>
      </w:pPr>
      <w:r w:rsidRPr="00E5306C">
        <w:rPr>
          <w:szCs w:val="24"/>
        </w:rPr>
        <w:t>Lægemiddelstyrelsen</w:t>
      </w:r>
    </w:p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szCs w:val="24"/>
        </w:rPr>
      </w:pPr>
      <w:r w:rsidRPr="00E5306C">
        <w:rPr>
          <w:szCs w:val="24"/>
        </w:rPr>
        <w:t>Axel Heides Gade 1</w:t>
      </w:r>
    </w:p>
    <w:p w:rsidR="00D56919" w:rsidRPr="00E5306C" w:rsidRDefault="00D56919" w:rsidP="00D56919">
      <w:pPr>
        <w:pStyle w:val="Sidehoved"/>
        <w:tabs>
          <w:tab w:val="left" w:pos="851"/>
        </w:tabs>
        <w:ind w:left="851"/>
        <w:rPr>
          <w:szCs w:val="24"/>
        </w:rPr>
      </w:pPr>
      <w:r w:rsidRPr="00E5306C">
        <w:rPr>
          <w:szCs w:val="24"/>
        </w:rPr>
        <w:t>DK-2300 København S</w:t>
      </w:r>
    </w:p>
    <w:p w:rsidR="00D56919" w:rsidRPr="008744E7" w:rsidRDefault="00D56919" w:rsidP="00D56919">
      <w:pPr>
        <w:pStyle w:val="Sidehoved"/>
        <w:tabs>
          <w:tab w:val="left" w:pos="851"/>
        </w:tabs>
        <w:ind w:left="851"/>
        <w:rPr>
          <w:szCs w:val="24"/>
        </w:rPr>
      </w:pPr>
      <w:r w:rsidRPr="008744E7">
        <w:rPr>
          <w:szCs w:val="24"/>
        </w:rPr>
        <w:t xml:space="preserve">Websted: </w:t>
      </w:r>
      <w:hyperlink r:id="rId8" w:history="1">
        <w:r w:rsidRPr="008744E7">
          <w:rPr>
            <w:rStyle w:val="Hyperlink"/>
            <w:szCs w:val="24"/>
          </w:rPr>
          <w:t>www.meldenbivirkning.dk</w:t>
        </w:r>
      </w:hyperlink>
    </w:p>
    <w:p w:rsidR="00D56919" w:rsidRPr="008744E7" w:rsidRDefault="00D56919" w:rsidP="00D56919">
      <w:pPr>
        <w:pStyle w:val="Sidehoved"/>
        <w:tabs>
          <w:tab w:val="left" w:pos="851"/>
        </w:tabs>
        <w:ind w:left="851"/>
        <w:rPr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4.9</w:t>
      </w:r>
      <w:r w:rsidRPr="00E5306C">
        <w:rPr>
          <w:b/>
          <w:sz w:val="24"/>
          <w:szCs w:val="24"/>
        </w:rPr>
        <w:tab/>
        <w:t>Overdosering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E5306C">
        <w:rPr>
          <w:sz w:val="24"/>
          <w:szCs w:val="24"/>
        </w:rPr>
        <w:t xml:space="preserve">I betragtning af indikationen og det brede terapeutiske indeks forventes overdosering ikke. Enkeltdoser på 10 mg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administreret intravenøst har været tolereret uden bivirkninger eller ændringer i laboratorieværdier.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4.10</w:t>
      </w:r>
      <w:r w:rsidRPr="00E5306C">
        <w:rPr>
          <w:b/>
          <w:sz w:val="24"/>
          <w:szCs w:val="24"/>
        </w:rPr>
        <w:tab/>
        <w:t>Udlevering</w:t>
      </w:r>
    </w:p>
    <w:p w:rsidR="008D23A1" w:rsidRDefault="008D23A1" w:rsidP="008D23A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HA: </w:t>
      </w:r>
      <w:r w:rsidRPr="001A6F04">
        <w:rPr>
          <w:szCs w:val="24"/>
        </w:rPr>
        <w:t>Pakninger indeholdende højst</w:t>
      </w:r>
      <w:r>
        <w:rPr>
          <w:szCs w:val="24"/>
        </w:rPr>
        <w:t xml:space="preserve"> 2</w:t>
      </w:r>
      <w:r w:rsidRPr="001A6F04">
        <w:rPr>
          <w:szCs w:val="24"/>
        </w:rPr>
        <w:t xml:space="preserve"> stk</w:t>
      </w:r>
      <w:r>
        <w:rPr>
          <w:szCs w:val="24"/>
        </w:rPr>
        <w:t>.</w:t>
      </w:r>
    </w:p>
    <w:p w:rsidR="008D23A1" w:rsidRPr="00E5306C" w:rsidRDefault="008D23A1" w:rsidP="008D23A1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B</w:t>
      </w:r>
      <w:r>
        <w:rPr>
          <w:sz w:val="24"/>
          <w:szCs w:val="24"/>
        </w:rPr>
        <w:t>: Ingen øvre grænse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8D23A1" w:rsidRPr="00C84483" w:rsidRDefault="008D23A1" w:rsidP="008D23A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8D23A1" w:rsidRPr="00C84483" w:rsidRDefault="008D23A1" w:rsidP="008D23A1">
      <w:pPr>
        <w:tabs>
          <w:tab w:val="left" w:pos="851"/>
        </w:tabs>
        <w:ind w:left="851"/>
        <w:rPr>
          <w:sz w:val="24"/>
          <w:szCs w:val="24"/>
        </w:rPr>
      </w:pPr>
    </w:p>
    <w:p w:rsidR="008D23A1" w:rsidRPr="00C84483" w:rsidRDefault="008D23A1" w:rsidP="008D23A1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  <w:bookmarkStart w:id="2" w:name="_GoBack"/>
      <w:bookmarkEnd w:id="2"/>
    </w:p>
    <w:p w:rsidR="00D56919" w:rsidRDefault="008D23A1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proofErr w:type="spellStart"/>
      <w:r>
        <w:rPr>
          <w:sz w:val="24"/>
          <w:szCs w:val="24"/>
        </w:rPr>
        <w:t>A</w:t>
      </w:r>
      <w:r w:rsidR="00A37791">
        <w:rPr>
          <w:sz w:val="24"/>
          <w:szCs w:val="24"/>
        </w:rPr>
        <w:t>ntidoter</w:t>
      </w:r>
      <w:proofErr w:type="spellEnd"/>
      <w:r>
        <w:rPr>
          <w:sz w:val="24"/>
          <w:szCs w:val="24"/>
        </w:rPr>
        <w:t xml:space="preserve">, </w:t>
      </w:r>
      <w:r w:rsidR="00A37791">
        <w:rPr>
          <w:sz w:val="24"/>
          <w:szCs w:val="24"/>
        </w:rPr>
        <w:t>ATC-kode: V03AB15.</w:t>
      </w:r>
    </w:p>
    <w:p w:rsidR="00A37791" w:rsidRDefault="00A37791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E5306C">
        <w:rPr>
          <w:sz w:val="24"/>
          <w:szCs w:val="24"/>
          <w:u w:val="single"/>
        </w:rPr>
        <w:t>Virkningsmekanisme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er et semisyntetisk morfinderivat (N-</w:t>
      </w:r>
      <w:proofErr w:type="spellStart"/>
      <w:r w:rsidRPr="00E5306C">
        <w:rPr>
          <w:sz w:val="24"/>
          <w:szCs w:val="24"/>
        </w:rPr>
        <w:t>allyl</w:t>
      </w:r>
      <w:proofErr w:type="spellEnd"/>
      <w:r w:rsidRPr="00E5306C">
        <w:rPr>
          <w:sz w:val="24"/>
          <w:szCs w:val="24"/>
        </w:rPr>
        <w:t>-</w:t>
      </w:r>
      <w:proofErr w:type="spellStart"/>
      <w:r w:rsidRPr="00E5306C">
        <w:rPr>
          <w:sz w:val="24"/>
          <w:szCs w:val="24"/>
        </w:rPr>
        <w:t>noroxymorfon</w:t>
      </w:r>
      <w:proofErr w:type="spellEnd"/>
      <w:r w:rsidRPr="00E5306C">
        <w:rPr>
          <w:sz w:val="24"/>
          <w:szCs w:val="24"/>
        </w:rPr>
        <w:t xml:space="preserve">). Det er en specifik opioidantagonist, som virker </w:t>
      </w:r>
      <w:proofErr w:type="spellStart"/>
      <w:r w:rsidRPr="00E5306C">
        <w:rPr>
          <w:sz w:val="24"/>
          <w:szCs w:val="24"/>
        </w:rPr>
        <w:t>kompetitivt</w:t>
      </w:r>
      <w:proofErr w:type="spellEnd"/>
      <w:r w:rsidRPr="00E5306C">
        <w:rPr>
          <w:sz w:val="24"/>
          <w:szCs w:val="24"/>
        </w:rPr>
        <w:t xml:space="preserve"> ved opioidreceptorerne. Virkningen skyldes antagonisme af opioidreceptorerne </w:t>
      </w:r>
      <w:proofErr w:type="spellStart"/>
      <w:r w:rsidRPr="00E5306C">
        <w:rPr>
          <w:sz w:val="24"/>
          <w:szCs w:val="24"/>
        </w:rPr>
        <w:t>my</w:t>
      </w:r>
      <w:proofErr w:type="spellEnd"/>
      <w:r w:rsidRPr="00E5306C">
        <w:rPr>
          <w:sz w:val="24"/>
          <w:szCs w:val="24"/>
        </w:rPr>
        <w:t xml:space="preserve">, kappa og delta. Respirationen genoprettes ved antagonisme af </w:t>
      </w:r>
      <w:proofErr w:type="spellStart"/>
      <w:r w:rsidRPr="00E5306C">
        <w:rPr>
          <w:sz w:val="24"/>
          <w:szCs w:val="24"/>
        </w:rPr>
        <w:t>my</w:t>
      </w:r>
      <w:proofErr w:type="spellEnd"/>
      <w:r w:rsidRPr="00E5306C">
        <w:rPr>
          <w:sz w:val="24"/>
          <w:szCs w:val="24"/>
        </w:rPr>
        <w:t>-receptoren.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E5306C">
        <w:rPr>
          <w:sz w:val="24"/>
          <w:szCs w:val="24"/>
          <w:u w:val="single"/>
        </w:rPr>
        <w:t>Farmakodynamiske</w:t>
      </w:r>
      <w:proofErr w:type="spellEnd"/>
      <w:r w:rsidRPr="00E5306C">
        <w:rPr>
          <w:sz w:val="24"/>
          <w:szCs w:val="24"/>
          <w:u w:val="single"/>
        </w:rPr>
        <w:t xml:space="preserve"> egenskaber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ophæver virkningen af opioider, herunder respirationsdepression, sedation og hypotension. Det har en meget høj affinitet til opioidreceptorer, og deplacerer derfor både opioidagonister og partielle antagonister, som f.eks. </w:t>
      </w:r>
      <w:proofErr w:type="spellStart"/>
      <w:r w:rsidRPr="00E5306C">
        <w:rPr>
          <w:sz w:val="24"/>
          <w:szCs w:val="24"/>
        </w:rPr>
        <w:t>pentazocin</w:t>
      </w:r>
      <w:proofErr w:type="spellEnd"/>
      <w:r w:rsidRPr="00E5306C">
        <w:rPr>
          <w:sz w:val="24"/>
          <w:szCs w:val="24"/>
        </w:rPr>
        <w:t xml:space="preserve"> og </w:t>
      </w:r>
      <w:proofErr w:type="spellStart"/>
      <w:r w:rsidRPr="00E5306C">
        <w:rPr>
          <w:sz w:val="24"/>
          <w:szCs w:val="24"/>
        </w:rPr>
        <w:t>nalorphin</w:t>
      </w:r>
      <w:proofErr w:type="spellEnd"/>
      <w:r w:rsidRPr="00E5306C">
        <w:rPr>
          <w:sz w:val="24"/>
          <w:szCs w:val="24"/>
        </w:rPr>
        <w:t xml:space="preserve">.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modvirker ikke CNS-depression fremkaldt af </w:t>
      </w:r>
      <w:proofErr w:type="spellStart"/>
      <w:r w:rsidRPr="00E5306C">
        <w:rPr>
          <w:sz w:val="24"/>
          <w:szCs w:val="24"/>
        </w:rPr>
        <w:t>hypnotika</w:t>
      </w:r>
      <w:proofErr w:type="spellEnd"/>
      <w:r w:rsidRPr="00E5306C">
        <w:rPr>
          <w:sz w:val="24"/>
          <w:szCs w:val="24"/>
        </w:rPr>
        <w:t xml:space="preserve"> eller andre non-opioider, og har ikke agonist- eller morfinlignende egenskaber som andre opioidantagonister.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Ved opioidafhængighed vil administration af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forstærke symptomerne på fysisk afhængighed. Den farmakologiske effekt af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vil normalt vise sig inden for 2 minutter efter administration. Varigheden af den antagonistiske virkning afhænger af dosis, men den er sædvanligvis 1-4 timer. Behovet for gentagne doser afhænger af mængden, typen og indgivelsesmetoden for det opioid, hvis virkning skal ophæves.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5.2</w:t>
      </w:r>
      <w:r w:rsidRPr="00E5306C">
        <w:rPr>
          <w:b/>
          <w:sz w:val="24"/>
          <w:szCs w:val="24"/>
        </w:rPr>
        <w:tab/>
      </w:r>
      <w:proofErr w:type="spellStart"/>
      <w:r w:rsidRPr="00E5306C">
        <w:rPr>
          <w:b/>
          <w:sz w:val="24"/>
          <w:szCs w:val="24"/>
        </w:rPr>
        <w:t>Farmakokinetiske</w:t>
      </w:r>
      <w:proofErr w:type="spellEnd"/>
      <w:r w:rsidRPr="00E5306C">
        <w:rPr>
          <w:b/>
          <w:sz w:val="24"/>
          <w:szCs w:val="24"/>
        </w:rPr>
        <w:t xml:space="preserve"> egenskaber</w:t>
      </w:r>
    </w:p>
    <w:p w:rsidR="00D56919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E5306C">
        <w:rPr>
          <w:sz w:val="24"/>
          <w:szCs w:val="24"/>
          <w:u w:val="single"/>
        </w:rPr>
        <w:t>Absorption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I et </w:t>
      </w:r>
      <w:proofErr w:type="spellStart"/>
      <w:r w:rsidRPr="00E5306C">
        <w:rPr>
          <w:sz w:val="24"/>
          <w:szCs w:val="24"/>
        </w:rPr>
        <w:t>farmakokinetisk</w:t>
      </w:r>
      <w:proofErr w:type="spellEnd"/>
      <w:r w:rsidRPr="00E5306C">
        <w:rPr>
          <w:sz w:val="24"/>
          <w:szCs w:val="24"/>
        </w:rPr>
        <w:t xml:space="preserve"> studie med 22 raske voksne forsøgspersoner blev den relative biotilgængelighed af én næsespray i ét næsebor (1,4 mg total dosis </w:t>
      </w:r>
      <w:proofErr w:type="spellStart"/>
      <w:r w:rsidRPr="00E5306C">
        <w:rPr>
          <w:sz w:val="24"/>
          <w:szCs w:val="24"/>
        </w:rPr>
        <w:t>naloxonhydrochlorid</w:t>
      </w:r>
      <w:proofErr w:type="spellEnd"/>
      <w:r w:rsidRPr="00E5306C">
        <w:rPr>
          <w:sz w:val="24"/>
          <w:szCs w:val="24"/>
        </w:rPr>
        <w:t xml:space="preserve">, ækvivalent med 1,26 </w:t>
      </w:r>
      <w:proofErr w:type="spellStart"/>
      <w:r w:rsidRPr="00E5306C">
        <w:rPr>
          <w:sz w:val="24"/>
          <w:szCs w:val="24"/>
        </w:rPr>
        <w:t>naloxonbase</w:t>
      </w:r>
      <w:proofErr w:type="spellEnd"/>
      <w:r w:rsidRPr="00E5306C">
        <w:rPr>
          <w:sz w:val="24"/>
          <w:szCs w:val="24"/>
        </w:rPr>
        <w:t xml:space="preserve">, givet som 0,1 ml af 14 mg/ml </w:t>
      </w:r>
      <w:proofErr w:type="spellStart"/>
      <w:r w:rsidRPr="00E5306C">
        <w:rPr>
          <w:sz w:val="24"/>
          <w:szCs w:val="24"/>
        </w:rPr>
        <w:t>naloxonhydrochlorid</w:t>
      </w:r>
      <w:proofErr w:type="spellEnd"/>
      <w:r w:rsidRPr="00E5306C">
        <w:rPr>
          <w:sz w:val="24"/>
          <w:szCs w:val="24"/>
        </w:rPr>
        <w:t xml:space="preserve">) og to næsesprays i det samme næsebor (2,8 mg total dosis </w:t>
      </w:r>
      <w:proofErr w:type="spellStart"/>
      <w:r w:rsidRPr="00E5306C">
        <w:rPr>
          <w:sz w:val="24"/>
          <w:szCs w:val="24"/>
        </w:rPr>
        <w:t>naloxonhydrochlorid</w:t>
      </w:r>
      <w:proofErr w:type="spellEnd"/>
      <w:r w:rsidRPr="00E5306C">
        <w:rPr>
          <w:sz w:val="24"/>
          <w:szCs w:val="24"/>
        </w:rPr>
        <w:t xml:space="preserve">, ækvivalent med 2 gange 1,26 mg </w:t>
      </w:r>
      <w:proofErr w:type="spellStart"/>
      <w:r w:rsidRPr="00E5306C">
        <w:rPr>
          <w:sz w:val="24"/>
          <w:szCs w:val="24"/>
        </w:rPr>
        <w:t>naloxonbase</w:t>
      </w:r>
      <w:proofErr w:type="spellEnd"/>
      <w:r w:rsidRPr="00E5306C">
        <w:rPr>
          <w:sz w:val="24"/>
          <w:szCs w:val="24"/>
        </w:rPr>
        <w:t xml:space="preserve">, givet som 2 x 0,1 ml af 14 mg/ml </w:t>
      </w:r>
      <w:proofErr w:type="spellStart"/>
      <w:r w:rsidRPr="00E5306C">
        <w:rPr>
          <w:sz w:val="24"/>
          <w:szCs w:val="24"/>
        </w:rPr>
        <w:t>naloxonhydro</w:t>
      </w:r>
      <w:r>
        <w:rPr>
          <w:sz w:val="24"/>
          <w:szCs w:val="24"/>
        </w:rPr>
        <w:softHyphen/>
      </w:r>
      <w:r w:rsidRPr="00E5306C">
        <w:rPr>
          <w:sz w:val="24"/>
          <w:szCs w:val="24"/>
        </w:rPr>
        <w:t>chlorid</w:t>
      </w:r>
      <w:proofErr w:type="spellEnd"/>
      <w:r w:rsidRPr="00E5306C">
        <w:rPr>
          <w:sz w:val="24"/>
          <w:szCs w:val="24"/>
        </w:rPr>
        <w:t xml:space="preserve">) sammenlignet med en enkeltdosis af 0,8 mg </w:t>
      </w:r>
      <w:proofErr w:type="spellStart"/>
      <w:r w:rsidRPr="00E5306C">
        <w:rPr>
          <w:sz w:val="24"/>
          <w:szCs w:val="24"/>
        </w:rPr>
        <w:t>naloxonhydrochlorid</w:t>
      </w:r>
      <w:proofErr w:type="spellEnd"/>
      <w:r w:rsidRPr="00E5306C">
        <w:rPr>
          <w:sz w:val="24"/>
          <w:szCs w:val="24"/>
        </w:rPr>
        <w:t xml:space="preserve"> som intramuskulær injektion og 0,4 mg </w:t>
      </w:r>
      <w:proofErr w:type="spellStart"/>
      <w:r w:rsidRPr="00E5306C">
        <w:rPr>
          <w:sz w:val="24"/>
          <w:szCs w:val="24"/>
        </w:rPr>
        <w:t>naloxonhydrochlorid</w:t>
      </w:r>
      <w:proofErr w:type="spellEnd"/>
      <w:r w:rsidRPr="00E5306C">
        <w:rPr>
          <w:sz w:val="24"/>
          <w:szCs w:val="24"/>
        </w:rPr>
        <w:t xml:space="preserve"> som intravenøs injektion. Den absolutte biotilgængelighed for næse</w:t>
      </w:r>
      <w:r>
        <w:rPr>
          <w:sz w:val="24"/>
          <w:szCs w:val="24"/>
        </w:rPr>
        <w:t>s</w:t>
      </w:r>
      <w:r w:rsidRPr="00E5306C">
        <w:rPr>
          <w:sz w:val="24"/>
          <w:szCs w:val="24"/>
        </w:rPr>
        <w:t>prayen var i gennemsnit 0,49±0,24. Resultaterne er vist i Tabel 1 nedenfor.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6638D" w:rsidRDefault="00D56919" w:rsidP="00D56919">
      <w:pPr>
        <w:ind w:left="851"/>
        <w:rPr>
          <w:b/>
          <w:sz w:val="24"/>
          <w:szCs w:val="24"/>
        </w:rPr>
      </w:pPr>
      <w:r w:rsidRPr="00E6638D">
        <w:rPr>
          <w:b/>
          <w:sz w:val="24"/>
          <w:szCs w:val="24"/>
        </w:rPr>
        <w:t>Tabel 1</w:t>
      </w:r>
      <w:r>
        <w:rPr>
          <w:b/>
          <w:sz w:val="24"/>
          <w:szCs w:val="24"/>
        </w:rPr>
        <w:t xml:space="preserve">. </w:t>
      </w:r>
      <w:r w:rsidRPr="00E6638D">
        <w:rPr>
          <w:b/>
          <w:sz w:val="24"/>
          <w:szCs w:val="24"/>
        </w:rPr>
        <w:t xml:space="preserve">Gennemsnitlige </w:t>
      </w:r>
      <w:proofErr w:type="spellStart"/>
      <w:r w:rsidRPr="00E6638D">
        <w:rPr>
          <w:b/>
          <w:sz w:val="24"/>
          <w:szCs w:val="24"/>
        </w:rPr>
        <w:t>farmakokinetiske</w:t>
      </w:r>
      <w:proofErr w:type="spellEnd"/>
      <w:r w:rsidRPr="00E6638D">
        <w:rPr>
          <w:b/>
          <w:sz w:val="24"/>
          <w:szCs w:val="24"/>
        </w:rPr>
        <w:t xml:space="preserve"> parametre for </w:t>
      </w:r>
      <w:proofErr w:type="spellStart"/>
      <w:r w:rsidRPr="00E6638D">
        <w:rPr>
          <w:b/>
          <w:sz w:val="24"/>
          <w:szCs w:val="24"/>
        </w:rPr>
        <w:t>naloxon</w:t>
      </w:r>
      <w:proofErr w:type="spellEnd"/>
      <w:r w:rsidRPr="00E6638D">
        <w:rPr>
          <w:b/>
          <w:sz w:val="24"/>
          <w:szCs w:val="24"/>
        </w:rPr>
        <w:t xml:space="preserve"> efter administration af </w:t>
      </w:r>
      <w:proofErr w:type="spellStart"/>
      <w:r w:rsidRPr="00E6638D">
        <w:rPr>
          <w:b/>
          <w:sz w:val="24"/>
          <w:szCs w:val="24"/>
        </w:rPr>
        <w:t>Ventizolve</w:t>
      </w:r>
      <w:proofErr w:type="spellEnd"/>
      <w:r w:rsidRPr="00E6638D">
        <w:rPr>
          <w:b/>
          <w:sz w:val="24"/>
          <w:szCs w:val="24"/>
        </w:rPr>
        <w:t xml:space="preserve"> samt int</w:t>
      </w:r>
      <w:r>
        <w:rPr>
          <w:b/>
          <w:sz w:val="24"/>
          <w:szCs w:val="24"/>
        </w:rPr>
        <w:t>r</w:t>
      </w:r>
      <w:r w:rsidRPr="00E6638D">
        <w:rPr>
          <w:b/>
          <w:sz w:val="24"/>
          <w:szCs w:val="24"/>
        </w:rPr>
        <w:t xml:space="preserve">amuskulær og intravenøs </w:t>
      </w:r>
      <w:proofErr w:type="spellStart"/>
      <w:r w:rsidRPr="00E6638D">
        <w:rPr>
          <w:b/>
          <w:sz w:val="24"/>
          <w:szCs w:val="24"/>
        </w:rPr>
        <w:t>naloxonhydrochlorid</w:t>
      </w:r>
      <w:proofErr w:type="spellEnd"/>
      <w:r w:rsidRPr="00E6638D">
        <w:rPr>
          <w:b/>
          <w:sz w:val="24"/>
          <w:szCs w:val="24"/>
        </w:rPr>
        <w:t xml:space="preserve"> til raske forsøgspersoner.</w:t>
      </w:r>
    </w:p>
    <w:tbl>
      <w:tblPr>
        <w:tblW w:w="889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580"/>
        <w:gridCol w:w="1581"/>
        <w:gridCol w:w="1580"/>
        <w:gridCol w:w="1581"/>
      </w:tblGrid>
      <w:tr w:rsidR="00D56919" w:rsidRPr="00E5306C" w:rsidTr="003B4BC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E5306C"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E5306C">
              <w:rPr>
                <w:b/>
                <w:sz w:val="24"/>
                <w:szCs w:val="24"/>
              </w:rPr>
              <w:t>1,4 mg/dosis</w:t>
            </w:r>
          </w:p>
          <w:p w:rsidR="00D56919" w:rsidRPr="00E5306C" w:rsidRDefault="00D56919" w:rsidP="003B4BCE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E5306C">
              <w:rPr>
                <w:b/>
                <w:sz w:val="24"/>
                <w:szCs w:val="24"/>
              </w:rPr>
              <w:t xml:space="preserve">intranasal – </w:t>
            </w:r>
          </w:p>
          <w:p w:rsidR="00D56919" w:rsidRPr="00E5306C" w:rsidRDefault="00D56919" w:rsidP="003B4BCE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E5306C">
              <w:rPr>
                <w:b/>
                <w:sz w:val="24"/>
                <w:szCs w:val="24"/>
              </w:rPr>
              <w:t>1 dosis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E5306C">
              <w:rPr>
                <w:b/>
                <w:sz w:val="24"/>
                <w:szCs w:val="24"/>
              </w:rPr>
              <w:t>1,4 mg/dosis</w:t>
            </w:r>
          </w:p>
          <w:p w:rsidR="00D56919" w:rsidRPr="00E5306C" w:rsidRDefault="00D56919" w:rsidP="003B4BCE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E5306C">
              <w:rPr>
                <w:b/>
                <w:sz w:val="24"/>
                <w:szCs w:val="24"/>
              </w:rPr>
              <w:t xml:space="preserve">intranasal – </w:t>
            </w:r>
          </w:p>
          <w:p w:rsidR="00D56919" w:rsidRPr="00E5306C" w:rsidRDefault="00D56919" w:rsidP="003B4BCE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E5306C">
              <w:rPr>
                <w:b/>
                <w:sz w:val="24"/>
                <w:szCs w:val="24"/>
              </w:rPr>
              <w:t>2 doser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E5306C">
              <w:rPr>
                <w:b/>
                <w:sz w:val="24"/>
                <w:szCs w:val="24"/>
              </w:rPr>
              <w:t xml:space="preserve">0,8 mg </w:t>
            </w:r>
            <w:proofErr w:type="spellStart"/>
            <w:r w:rsidRPr="00E5306C">
              <w:rPr>
                <w:b/>
                <w:sz w:val="24"/>
                <w:szCs w:val="24"/>
              </w:rPr>
              <w:t>intramusku</w:t>
            </w:r>
            <w:proofErr w:type="spellEnd"/>
            <w:r w:rsidRPr="00E5306C">
              <w:rPr>
                <w:b/>
                <w:sz w:val="24"/>
                <w:szCs w:val="24"/>
              </w:rPr>
              <w:t>-lær injektion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E5306C">
              <w:rPr>
                <w:b/>
                <w:sz w:val="24"/>
                <w:szCs w:val="24"/>
              </w:rPr>
              <w:t>0,4 mg intravenøs injektion</w:t>
            </w:r>
          </w:p>
        </w:tc>
      </w:tr>
      <w:tr w:rsidR="00D56919" w:rsidRPr="00E5306C" w:rsidTr="003B4BC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proofErr w:type="spellStart"/>
            <w:r w:rsidRPr="00E5306C">
              <w:rPr>
                <w:b/>
                <w:sz w:val="24"/>
                <w:szCs w:val="24"/>
              </w:rPr>
              <w:t>t</w:t>
            </w:r>
            <w:r w:rsidRPr="00E5306C">
              <w:rPr>
                <w:b/>
                <w:sz w:val="24"/>
                <w:szCs w:val="24"/>
                <w:vertAlign w:val="subscript"/>
              </w:rPr>
              <w:t>max</w:t>
            </w:r>
            <w:proofErr w:type="spellEnd"/>
            <w:r w:rsidRPr="00E5306C">
              <w:rPr>
                <w:b/>
                <w:sz w:val="24"/>
                <w:szCs w:val="24"/>
              </w:rPr>
              <w:t xml:space="preserve"> (min.)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19" w:rsidRPr="00E5306C" w:rsidRDefault="00D56919" w:rsidP="003B4BC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 w:rsidRPr="00E5306C">
              <w:rPr>
                <w:color w:val="000000"/>
                <w:sz w:val="24"/>
                <w:szCs w:val="24"/>
                <w:lang w:eastAsia="nb-NO"/>
              </w:rPr>
              <w:t>20,16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19" w:rsidRPr="00E5306C" w:rsidRDefault="00D56919" w:rsidP="003B4BC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 w:rsidRPr="00E5306C">
              <w:rPr>
                <w:color w:val="000000"/>
                <w:sz w:val="24"/>
                <w:szCs w:val="24"/>
                <w:lang w:eastAsia="nb-NO"/>
              </w:rPr>
              <w:t>20,7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19" w:rsidRPr="00E5306C" w:rsidRDefault="00D56919" w:rsidP="003B4BC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 w:rsidRPr="00E5306C">
              <w:rPr>
                <w:color w:val="000000"/>
                <w:sz w:val="24"/>
                <w:szCs w:val="24"/>
                <w:lang w:eastAsia="nb-NO"/>
              </w:rPr>
              <w:t>13,62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19" w:rsidRPr="00E5306C" w:rsidRDefault="00D56919" w:rsidP="003B4BC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 w:rsidRPr="00E5306C">
              <w:rPr>
                <w:color w:val="000000"/>
                <w:sz w:val="24"/>
                <w:szCs w:val="24"/>
                <w:lang w:eastAsia="nb-NO"/>
              </w:rPr>
              <w:t>3,48*</w:t>
            </w:r>
          </w:p>
        </w:tc>
      </w:tr>
      <w:tr w:rsidR="00D56919" w:rsidRPr="00E5306C" w:rsidTr="003B4BC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tabs>
                <w:tab w:val="left" w:pos="851"/>
              </w:tabs>
              <w:rPr>
                <w:b/>
                <w:sz w:val="24"/>
                <w:szCs w:val="24"/>
                <w:lang w:eastAsia="da-DK"/>
              </w:rPr>
            </w:pPr>
            <w:proofErr w:type="spellStart"/>
            <w:r w:rsidRPr="00E5306C">
              <w:rPr>
                <w:b/>
                <w:sz w:val="24"/>
                <w:szCs w:val="24"/>
              </w:rPr>
              <w:t>C</w:t>
            </w:r>
            <w:r w:rsidRPr="00E5306C">
              <w:rPr>
                <w:b/>
                <w:sz w:val="24"/>
                <w:szCs w:val="24"/>
                <w:vertAlign w:val="subscript"/>
              </w:rPr>
              <w:t>max</w:t>
            </w:r>
            <w:proofErr w:type="spellEnd"/>
            <w:r w:rsidRPr="00E5306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E5306C">
              <w:rPr>
                <w:b/>
                <w:sz w:val="24"/>
                <w:szCs w:val="24"/>
              </w:rPr>
              <w:t>ng</w:t>
            </w:r>
            <w:proofErr w:type="spellEnd"/>
            <w:r w:rsidRPr="00E5306C">
              <w:rPr>
                <w:b/>
                <w:sz w:val="24"/>
                <w:szCs w:val="24"/>
              </w:rPr>
              <w:t>/ml)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19" w:rsidRPr="00E5306C" w:rsidRDefault="00D56919" w:rsidP="003B4BC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 w:rsidRPr="00E5306C">
              <w:rPr>
                <w:color w:val="000000"/>
                <w:sz w:val="24"/>
                <w:szCs w:val="24"/>
                <w:lang w:eastAsia="nb-NO"/>
              </w:rPr>
              <w:t>2,356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19" w:rsidRPr="00E5306C" w:rsidRDefault="00D56919" w:rsidP="003B4BC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 w:rsidRPr="00E5306C">
              <w:rPr>
                <w:color w:val="000000"/>
                <w:sz w:val="24"/>
                <w:szCs w:val="24"/>
                <w:lang w:eastAsia="nb-NO"/>
              </w:rPr>
              <w:t>4,181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19" w:rsidRPr="00E5306C" w:rsidRDefault="00D56919" w:rsidP="003B4BC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 w:rsidRPr="00E5306C">
              <w:rPr>
                <w:color w:val="000000"/>
                <w:sz w:val="24"/>
                <w:szCs w:val="24"/>
                <w:lang w:eastAsia="nb-NO"/>
              </w:rPr>
              <w:t>3,734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19" w:rsidRPr="00E5306C" w:rsidRDefault="00D56919" w:rsidP="003B4BC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 w:rsidRPr="00E5306C">
              <w:rPr>
                <w:color w:val="000000"/>
                <w:sz w:val="24"/>
                <w:szCs w:val="24"/>
                <w:lang w:eastAsia="nb-NO"/>
              </w:rPr>
              <w:t>7,437*</w:t>
            </w:r>
          </w:p>
        </w:tc>
      </w:tr>
      <w:tr w:rsidR="00D56919" w:rsidRPr="00E5306C" w:rsidTr="003B4BC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tabs>
                <w:tab w:val="left" w:pos="851"/>
              </w:tabs>
              <w:rPr>
                <w:b/>
                <w:sz w:val="24"/>
                <w:szCs w:val="24"/>
                <w:lang w:val="en-GB" w:eastAsia="da-DK"/>
              </w:rPr>
            </w:pPr>
            <w:r w:rsidRPr="00E5306C">
              <w:rPr>
                <w:b/>
                <w:sz w:val="24"/>
                <w:szCs w:val="24"/>
                <w:lang w:val="en-GB"/>
              </w:rPr>
              <w:t>AUC</w:t>
            </w:r>
            <w:r w:rsidRPr="00E5306C">
              <w:rPr>
                <w:b/>
                <w:sz w:val="24"/>
                <w:szCs w:val="24"/>
                <w:vertAlign w:val="subscript"/>
                <w:lang w:val="en-GB"/>
              </w:rPr>
              <w:t>0-last</w:t>
            </w:r>
            <w:r w:rsidRPr="00E5306C">
              <w:rPr>
                <w:b/>
                <w:sz w:val="24"/>
                <w:szCs w:val="24"/>
                <w:lang w:val="en-GB"/>
              </w:rPr>
              <w:t xml:space="preserve"> (h*ng/ml)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19" w:rsidRPr="00E5306C" w:rsidRDefault="00D56919" w:rsidP="003B4BC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 w:rsidRPr="00E5306C">
              <w:rPr>
                <w:color w:val="000000"/>
                <w:sz w:val="24"/>
                <w:szCs w:val="24"/>
                <w:lang w:eastAsia="nb-NO"/>
              </w:rPr>
              <w:t>2,622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19" w:rsidRPr="00E5306C" w:rsidRDefault="00D56919" w:rsidP="003B4BC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 w:rsidRPr="00E5306C">
              <w:rPr>
                <w:color w:val="000000"/>
                <w:sz w:val="24"/>
                <w:szCs w:val="24"/>
                <w:lang w:eastAsia="nb-NO"/>
              </w:rPr>
              <w:t>5,232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19" w:rsidRPr="00E5306C" w:rsidRDefault="00D56919" w:rsidP="003B4BC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 w:rsidRPr="00E5306C">
              <w:rPr>
                <w:color w:val="000000"/>
                <w:sz w:val="24"/>
                <w:szCs w:val="24"/>
                <w:lang w:eastAsia="nb-NO"/>
              </w:rPr>
              <w:t>3,091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19" w:rsidRPr="00E5306C" w:rsidRDefault="00D56919" w:rsidP="003B4BC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 w:rsidRPr="00E5306C">
              <w:rPr>
                <w:color w:val="000000"/>
                <w:sz w:val="24"/>
                <w:szCs w:val="24"/>
                <w:lang w:eastAsia="nb-NO"/>
              </w:rPr>
              <w:t>1,839</w:t>
            </w:r>
          </w:p>
        </w:tc>
      </w:tr>
      <w:tr w:rsidR="00D56919" w:rsidRPr="00E5306C" w:rsidTr="003B4BC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tabs>
                <w:tab w:val="left" w:pos="851"/>
              </w:tabs>
              <w:rPr>
                <w:b/>
                <w:sz w:val="24"/>
                <w:szCs w:val="24"/>
                <w:lang w:val="en-GB" w:eastAsia="da-DK"/>
              </w:rPr>
            </w:pPr>
            <w:r w:rsidRPr="00E5306C">
              <w:rPr>
                <w:b/>
                <w:sz w:val="24"/>
                <w:szCs w:val="24"/>
                <w:lang w:val="en-GB"/>
              </w:rPr>
              <w:t>AUC</w:t>
            </w:r>
            <w:r w:rsidRPr="00E5306C">
              <w:rPr>
                <w:b/>
                <w:sz w:val="24"/>
                <w:szCs w:val="24"/>
                <w:vertAlign w:val="subscript"/>
                <w:lang w:val="en-GB"/>
              </w:rPr>
              <w:t>0-inf</w:t>
            </w:r>
            <w:r w:rsidRPr="00E5306C">
              <w:rPr>
                <w:b/>
                <w:sz w:val="24"/>
                <w:szCs w:val="24"/>
                <w:lang w:val="en-GB"/>
              </w:rPr>
              <w:t xml:space="preserve"> (h*ng/ml)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19" w:rsidRPr="00E5306C" w:rsidRDefault="00D56919" w:rsidP="003B4BC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 w:rsidRPr="00E5306C">
              <w:rPr>
                <w:color w:val="000000"/>
                <w:sz w:val="24"/>
                <w:szCs w:val="24"/>
                <w:lang w:eastAsia="nb-NO"/>
              </w:rPr>
              <w:t>2,842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19" w:rsidRPr="00E5306C" w:rsidRDefault="00D56919" w:rsidP="003B4BC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 w:rsidRPr="00E5306C">
              <w:rPr>
                <w:color w:val="000000"/>
                <w:sz w:val="24"/>
                <w:szCs w:val="24"/>
                <w:lang w:eastAsia="nb-NO"/>
              </w:rPr>
              <w:t>5,469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19" w:rsidRPr="00E5306C" w:rsidRDefault="00D56919" w:rsidP="003B4BC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 w:rsidRPr="00E5306C">
              <w:rPr>
                <w:color w:val="000000"/>
                <w:sz w:val="24"/>
                <w:szCs w:val="24"/>
                <w:lang w:eastAsia="nb-NO"/>
              </w:rPr>
              <w:t>3,431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19" w:rsidRPr="00E5306C" w:rsidRDefault="00D56919" w:rsidP="003B4BC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 w:rsidRPr="00E5306C">
              <w:rPr>
                <w:color w:val="000000"/>
                <w:sz w:val="24"/>
                <w:szCs w:val="24"/>
                <w:lang w:eastAsia="nb-NO"/>
              </w:rPr>
              <w:t>2,087</w:t>
            </w:r>
          </w:p>
        </w:tc>
      </w:tr>
      <w:tr w:rsidR="00D56919" w:rsidRPr="00E5306C" w:rsidTr="003B4BC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tabs>
                <w:tab w:val="left" w:pos="851"/>
              </w:tabs>
              <w:rPr>
                <w:b/>
                <w:sz w:val="24"/>
                <w:szCs w:val="24"/>
                <w:lang w:eastAsia="da-DK"/>
              </w:rPr>
            </w:pPr>
            <w:r w:rsidRPr="00E5306C">
              <w:rPr>
                <w:b/>
                <w:sz w:val="24"/>
                <w:szCs w:val="24"/>
              </w:rPr>
              <w:t>t</w:t>
            </w:r>
            <w:r w:rsidRPr="00E5306C">
              <w:rPr>
                <w:b/>
                <w:sz w:val="24"/>
                <w:szCs w:val="24"/>
                <w:vertAlign w:val="subscript"/>
              </w:rPr>
              <w:t>1/2</w:t>
            </w:r>
            <w:r w:rsidRPr="00E5306C">
              <w:rPr>
                <w:b/>
                <w:sz w:val="24"/>
                <w:szCs w:val="24"/>
              </w:rPr>
              <w:t xml:space="preserve"> (h)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numPr>
                <w:ilvl w:val="12"/>
                <w:numId w:val="0"/>
              </w:numPr>
              <w:ind w:right="-2"/>
              <w:jc w:val="center"/>
              <w:rPr>
                <w:iCs/>
                <w:noProof/>
                <w:sz w:val="24"/>
                <w:szCs w:val="24"/>
              </w:rPr>
            </w:pPr>
            <w:r w:rsidRPr="00E5306C">
              <w:rPr>
                <w:iCs/>
                <w:noProof/>
                <w:sz w:val="24"/>
                <w:szCs w:val="24"/>
              </w:rPr>
              <w:t>1,216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numPr>
                <w:ilvl w:val="12"/>
                <w:numId w:val="0"/>
              </w:numPr>
              <w:ind w:right="-2"/>
              <w:jc w:val="center"/>
              <w:rPr>
                <w:iCs/>
                <w:noProof/>
                <w:sz w:val="24"/>
                <w:szCs w:val="24"/>
              </w:rPr>
            </w:pPr>
            <w:r w:rsidRPr="00E5306C">
              <w:rPr>
                <w:iCs/>
                <w:noProof/>
                <w:sz w:val="24"/>
                <w:szCs w:val="24"/>
              </w:rPr>
              <w:t>1,162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numPr>
                <w:ilvl w:val="12"/>
                <w:numId w:val="0"/>
              </w:numPr>
              <w:ind w:right="-2"/>
              <w:jc w:val="center"/>
              <w:rPr>
                <w:iCs/>
                <w:noProof/>
                <w:sz w:val="24"/>
                <w:szCs w:val="24"/>
              </w:rPr>
            </w:pPr>
            <w:r w:rsidRPr="00E5306C">
              <w:rPr>
                <w:iCs/>
                <w:noProof/>
                <w:sz w:val="24"/>
                <w:szCs w:val="24"/>
              </w:rPr>
              <w:t>1,414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numPr>
                <w:ilvl w:val="12"/>
                <w:numId w:val="0"/>
              </w:numPr>
              <w:ind w:right="-2"/>
              <w:jc w:val="center"/>
              <w:rPr>
                <w:iCs/>
                <w:noProof/>
                <w:sz w:val="24"/>
                <w:szCs w:val="24"/>
              </w:rPr>
            </w:pPr>
            <w:r w:rsidRPr="00E5306C">
              <w:rPr>
                <w:iCs/>
                <w:noProof/>
                <w:sz w:val="24"/>
                <w:szCs w:val="24"/>
              </w:rPr>
              <w:t>1,239</w:t>
            </w:r>
          </w:p>
        </w:tc>
      </w:tr>
      <w:tr w:rsidR="00D56919" w:rsidRPr="00E5306C" w:rsidTr="003B4BC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E5306C">
              <w:rPr>
                <w:b/>
                <w:sz w:val="24"/>
                <w:szCs w:val="24"/>
              </w:rPr>
              <w:t>Dosis normaliseret relativ biotilgængelighed (%) IN vs. IM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9" w:rsidRPr="00E5306C" w:rsidRDefault="00D56919" w:rsidP="003B4BCE">
            <w:pPr>
              <w:numPr>
                <w:ilvl w:val="12"/>
                <w:numId w:val="0"/>
              </w:numPr>
              <w:ind w:right="-2"/>
              <w:jc w:val="center"/>
              <w:rPr>
                <w:iCs/>
                <w:noProof/>
                <w:sz w:val="24"/>
                <w:szCs w:val="24"/>
              </w:rPr>
            </w:pPr>
            <w:r w:rsidRPr="00E5306C">
              <w:rPr>
                <w:iCs/>
                <w:noProof/>
                <w:sz w:val="24"/>
                <w:szCs w:val="24"/>
              </w:rPr>
              <w:t>0,52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numPr>
                <w:ilvl w:val="12"/>
                <w:numId w:val="0"/>
              </w:numPr>
              <w:ind w:right="-2"/>
              <w:jc w:val="center"/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numPr>
                <w:ilvl w:val="12"/>
                <w:numId w:val="0"/>
              </w:numPr>
              <w:ind w:right="-2"/>
              <w:jc w:val="center"/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19" w:rsidRPr="00E5306C" w:rsidRDefault="00D56919" w:rsidP="003B4BCE">
            <w:pPr>
              <w:numPr>
                <w:ilvl w:val="12"/>
                <w:numId w:val="0"/>
              </w:numPr>
              <w:ind w:right="-2"/>
              <w:jc w:val="center"/>
              <w:rPr>
                <w:iCs/>
                <w:noProof/>
                <w:sz w:val="24"/>
                <w:szCs w:val="24"/>
              </w:rPr>
            </w:pPr>
          </w:p>
        </w:tc>
      </w:tr>
    </w:tbl>
    <w:p w:rsidR="00D56919" w:rsidRPr="00E5306C" w:rsidRDefault="00D56919" w:rsidP="00D56919">
      <w:pPr>
        <w:tabs>
          <w:tab w:val="left" w:pos="993"/>
        </w:tabs>
        <w:ind w:left="993"/>
        <w:rPr>
          <w:sz w:val="24"/>
          <w:szCs w:val="24"/>
        </w:rPr>
      </w:pPr>
      <w:r w:rsidRPr="00E5306C">
        <w:rPr>
          <w:sz w:val="24"/>
          <w:szCs w:val="24"/>
        </w:rPr>
        <w:t>* Tidspunkt og koncentration ved første prøvetagning = 2 minutter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De gennemsnitlige plasmakoncentrationer af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2 og 5 minutter efter 1,4 mg intranasal </w:t>
      </w: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 var henholdsvis 0,5475 </w:t>
      </w:r>
      <w:proofErr w:type="spellStart"/>
      <w:r w:rsidRPr="00E5306C">
        <w:rPr>
          <w:sz w:val="24"/>
          <w:szCs w:val="24"/>
        </w:rPr>
        <w:t>ng</w:t>
      </w:r>
      <w:proofErr w:type="spellEnd"/>
      <w:r w:rsidRPr="00E5306C">
        <w:rPr>
          <w:sz w:val="24"/>
          <w:szCs w:val="24"/>
        </w:rPr>
        <w:t xml:space="preserve">/ml (23 % af </w:t>
      </w:r>
      <w:proofErr w:type="spellStart"/>
      <w:r w:rsidRPr="00E5306C">
        <w:rPr>
          <w:sz w:val="24"/>
          <w:szCs w:val="24"/>
        </w:rPr>
        <w:t>C</w:t>
      </w:r>
      <w:r w:rsidRPr="00E5306C">
        <w:rPr>
          <w:sz w:val="24"/>
          <w:szCs w:val="24"/>
          <w:vertAlign w:val="subscript"/>
        </w:rPr>
        <w:t>max</w:t>
      </w:r>
      <w:proofErr w:type="spellEnd"/>
      <w:r w:rsidRPr="00E5306C">
        <w:rPr>
          <w:sz w:val="24"/>
          <w:szCs w:val="24"/>
        </w:rPr>
        <w:t xml:space="preserve">) og 0,9519 </w:t>
      </w:r>
      <w:proofErr w:type="spellStart"/>
      <w:r w:rsidRPr="00E5306C">
        <w:rPr>
          <w:sz w:val="24"/>
          <w:szCs w:val="24"/>
        </w:rPr>
        <w:t>ng</w:t>
      </w:r>
      <w:proofErr w:type="spellEnd"/>
      <w:r w:rsidRPr="00E5306C">
        <w:rPr>
          <w:sz w:val="24"/>
          <w:szCs w:val="24"/>
        </w:rPr>
        <w:t xml:space="preserve">/ml (40 % af </w:t>
      </w:r>
      <w:proofErr w:type="spellStart"/>
      <w:r w:rsidRPr="00E5306C">
        <w:rPr>
          <w:sz w:val="24"/>
          <w:szCs w:val="24"/>
        </w:rPr>
        <w:t>C</w:t>
      </w:r>
      <w:r w:rsidRPr="00E5306C">
        <w:rPr>
          <w:sz w:val="24"/>
          <w:szCs w:val="24"/>
          <w:vertAlign w:val="subscript"/>
        </w:rPr>
        <w:t>max</w:t>
      </w:r>
      <w:proofErr w:type="spellEnd"/>
      <w:r w:rsidRPr="00E5306C">
        <w:rPr>
          <w:sz w:val="24"/>
          <w:szCs w:val="24"/>
        </w:rPr>
        <w:t xml:space="preserve">). Virkningen efter intranasal administration kan med rimelighed forventes at indtræde hos alle personer inden </w:t>
      </w:r>
      <w:proofErr w:type="spellStart"/>
      <w:r w:rsidRPr="00E5306C">
        <w:rPr>
          <w:sz w:val="24"/>
          <w:szCs w:val="24"/>
        </w:rPr>
        <w:t>t</w:t>
      </w:r>
      <w:r w:rsidRPr="00E5306C">
        <w:rPr>
          <w:sz w:val="24"/>
          <w:szCs w:val="24"/>
          <w:vertAlign w:val="subscript"/>
        </w:rPr>
        <w:t>max</w:t>
      </w:r>
      <w:proofErr w:type="spellEnd"/>
      <w:r w:rsidRPr="00E5306C">
        <w:rPr>
          <w:sz w:val="24"/>
          <w:szCs w:val="24"/>
        </w:rPr>
        <w:t xml:space="preserve"> er nået. De korresponderende gennemsnitlige plasmakoncentrationer af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2 og 5 minutter efter 0,8 mg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intramuskulært var henholdsvis 1,4979 </w:t>
      </w:r>
      <w:proofErr w:type="spellStart"/>
      <w:r w:rsidRPr="00E5306C">
        <w:rPr>
          <w:sz w:val="24"/>
          <w:szCs w:val="24"/>
        </w:rPr>
        <w:t>ng</w:t>
      </w:r>
      <w:proofErr w:type="spellEnd"/>
      <w:r w:rsidRPr="00E5306C">
        <w:rPr>
          <w:sz w:val="24"/>
          <w:szCs w:val="24"/>
        </w:rPr>
        <w:t xml:space="preserve">/ml (40 % af </w:t>
      </w:r>
      <w:proofErr w:type="spellStart"/>
      <w:r w:rsidRPr="00E5306C">
        <w:rPr>
          <w:sz w:val="24"/>
          <w:szCs w:val="24"/>
        </w:rPr>
        <w:t>C</w:t>
      </w:r>
      <w:r w:rsidRPr="00E5306C">
        <w:rPr>
          <w:sz w:val="24"/>
          <w:szCs w:val="24"/>
          <w:vertAlign w:val="subscript"/>
        </w:rPr>
        <w:t>max</w:t>
      </w:r>
      <w:proofErr w:type="spellEnd"/>
      <w:r w:rsidRPr="00E5306C">
        <w:rPr>
          <w:sz w:val="24"/>
          <w:szCs w:val="24"/>
        </w:rPr>
        <w:t xml:space="preserve">) og 3,1551 </w:t>
      </w:r>
      <w:proofErr w:type="spellStart"/>
      <w:r w:rsidRPr="00E5306C">
        <w:rPr>
          <w:sz w:val="24"/>
          <w:szCs w:val="24"/>
        </w:rPr>
        <w:t>ng</w:t>
      </w:r>
      <w:proofErr w:type="spellEnd"/>
      <w:r w:rsidRPr="00E5306C">
        <w:rPr>
          <w:sz w:val="24"/>
          <w:szCs w:val="24"/>
        </w:rPr>
        <w:t xml:space="preserve">/ml (85 % af </w:t>
      </w:r>
      <w:proofErr w:type="spellStart"/>
      <w:r w:rsidRPr="00E5306C">
        <w:rPr>
          <w:sz w:val="24"/>
          <w:szCs w:val="24"/>
        </w:rPr>
        <w:t>C</w:t>
      </w:r>
      <w:r w:rsidRPr="00E5306C">
        <w:rPr>
          <w:sz w:val="24"/>
          <w:szCs w:val="24"/>
          <w:vertAlign w:val="subscript"/>
        </w:rPr>
        <w:t>max</w:t>
      </w:r>
      <w:proofErr w:type="spellEnd"/>
      <w:r w:rsidRPr="00E5306C">
        <w:rPr>
          <w:sz w:val="24"/>
          <w:szCs w:val="24"/>
        </w:rPr>
        <w:t>).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5306C">
        <w:rPr>
          <w:sz w:val="24"/>
          <w:szCs w:val="24"/>
          <w:u w:val="single"/>
        </w:rPr>
        <w:t>Fordeling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er et meget </w:t>
      </w:r>
      <w:proofErr w:type="spellStart"/>
      <w:r w:rsidRPr="00E5306C">
        <w:rPr>
          <w:sz w:val="24"/>
          <w:szCs w:val="24"/>
        </w:rPr>
        <w:t>lipofilt</w:t>
      </w:r>
      <w:proofErr w:type="spellEnd"/>
      <w:r w:rsidRPr="00E5306C">
        <w:rPr>
          <w:sz w:val="24"/>
          <w:szCs w:val="24"/>
        </w:rPr>
        <w:t xml:space="preserve"> stof og efter parenteral administration fordeles det hurtigt og fuldstændigt i kroppens væsker og væv, inklusiv</w:t>
      </w:r>
      <w:r w:rsidR="008D23A1">
        <w:rPr>
          <w:sz w:val="24"/>
          <w:szCs w:val="24"/>
        </w:rPr>
        <w:t>e</w:t>
      </w:r>
      <w:r w:rsidRPr="00E5306C">
        <w:rPr>
          <w:sz w:val="24"/>
          <w:szCs w:val="24"/>
        </w:rPr>
        <w:t xml:space="preserve"> hjernen.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passerer let placentabarrieren. Det vides ikke, om </w:t>
      </w:r>
      <w:proofErr w:type="spellStart"/>
      <w:r>
        <w:rPr>
          <w:sz w:val="24"/>
          <w:szCs w:val="24"/>
        </w:rPr>
        <w:t>n</w:t>
      </w:r>
      <w:r w:rsidRPr="00E5306C">
        <w:rPr>
          <w:sz w:val="24"/>
          <w:szCs w:val="24"/>
        </w:rPr>
        <w:t>aloxon</w:t>
      </w:r>
      <w:proofErr w:type="spellEnd"/>
      <w:r w:rsidRPr="00E5306C">
        <w:rPr>
          <w:sz w:val="24"/>
          <w:szCs w:val="24"/>
        </w:rPr>
        <w:t xml:space="preserve"> udskilles i modermælken.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Plasmaproteinbinding opstår, men er relativt svag (32-45 %). Plasmaalbumin udgør størstedelen af bindingen, men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bindes også i væsentlig grad til andre plasmakomponenter end albumin.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5306C">
        <w:rPr>
          <w:sz w:val="24"/>
          <w:szCs w:val="24"/>
          <w:u w:val="single"/>
        </w:rPr>
        <w:t>Biotransformation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</w:t>
      </w:r>
      <w:proofErr w:type="spellStart"/>
      <w:r w:rsidRPr="00E5306C">
        <w:rPr>
          <w:sz w:val="24"/>
          <w:szCs w:val="24"/>
        </w:rPr>
        <w:t>metaboliseres</w:t>
      </w:r>
      <w:proofErr w:type="spellEnd"/>
      <w:r w:rsidRPr="00E5306C">
        <w:rPr>
          <w:sz w:val="24"/>
          <w:szCs w:val="24"/>
        </w:rPr>
        <w:t xml:space="preserve"> i leveren, hovedsageligt ved </w:t>
      </w:r>
      <w:proofErr w:type="spellStart"/>
      <w:r w:rsidRPr="00E5306C">
        <w:rPr>
          <w:sz w:val="24"/>
          <w:szCs w:val="24"/>
        </w:rPr>
        <w:t>glucuronidkonjugation</w:t>
      </w:r>
      <w:proofErr w:type="spellEnd"/>
      <w:r w:rsidRPr="00E5306C">
        <w:rPr>
          <w:sz w:val="24"/>
          <w:szCs w:val="24"/>
        </w:rPr>
        <w:t xml:space="preserve"> med naloxon-3-glucuronid som den primære metabolit.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5306C">
        <w:rPr>
          <w:sz w:val="24"/>
          <w:szCs w:val="24"/>
          <w:u w:val="single"/>
        </w:rPr>
        <w:t>Elimination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Eliminationshalveringstiden hos voksne er cirka 1 til 1,5 time efter parenteral administration. I et </w:t>
      </w:r>
      <w:proofErr w:type="spellStart"/>
      <w:r w:rsidRPr="00E5306C">
        <w:rPr>
          <w:sz w:val="24"/>
          <w:szCs w:val="24"/>
        </w:rPr>
        <w:t>farmakokinetisk</w:t>
      </w:r>
      <w:proofErr w:type="spellEnd"/>
      <w:r w:rsidRPr="00E5306C">
        <w:rPr>
          <w:sz w:val="24"/>
          <w:szCs w:val="24"/>
        </w:rPr>
        <w:t xml:space="preserve"> studie var der ingen signifikant forskel i eliminationen efter administration af </w:t>
      </w:r>
      <w:proofErr w:type="spellStart"/>
      <w:r w:rsidRPr="00E5306C">
        <w:rPr>
          <w:sz w:val="24"/>
          <w:szCs w:val="24"/>
        </w:rPr>
        <w:t>Ventizolve</w:t>
      </w:r>
      <w:proofErr w:type="spellEnd"/>
      <w:r w:rsidRPr="00E5306C">
        <w:rPr>
          <w:sz w:val="24"/>
          <w:szCs w:val="24"/>
        </w:rPr>
        <w:t xml:space="preserve"> og formuleringerne 0,8 mg intramuskulær og 0,4 mg intravenøs.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5.3</w:t>
      </w:r>
      <w:r w:rsidRPr="00E5306C">
        <w:rPr>
          <w:b/>
          <w:sz w:val="24"/>
          <w:szCs w:val="24"/>
        </w:rPr>
        <w:tab/>
      </w:r>
      <w:bookmarkStart w:id="3" w:name="_Hlk121750318"/>
      <w:r w:rsidR="00A37791" w:rsidRPr="00BA4587">
        <w:rPr>
          <w:b/>
          <w:sz w:val="24"/>
          <w:szCs w:val="24"/>
        </w:rPr>
        <w:t>Non-kliniske sikkerhedsdata</w:t>
      </w:r>
      <w:bookmarkEnd w:id="3"/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E5306C">
        <w:rPr>
          <w:sz w:val="24"/>
          <w:szCs w:val="24"/>
        </w:rPr>
        <w:t>Prækliniske data viser ingen speciel risiko for mennesker vurderet ud fra konventionelle studier af sikkerhedsfarmakologi, akut toksicitet og toksicitet efter gentagne doser.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5306C">
        <w:rPr>
          <w:sz w:val="24"/>
          <w:szCs w:val="24"/>
          <w:u w:val="single"/>
        </w:rPr>
        <w:t xml:space="preserve">Genotoksicitet og </w:t>
      </w:r>
      <w:proofErr w:type="spellStart"/>
      <w:r w:rsidRPr="00E5306C">
        <w:rPr>
          <w:sz w:val="24"/>
          <w:szCs w:val="24"/>
          <w:u w:val="single"/>
        </w:rPr>
        <w:t>karcinogenicitet</w:t>
      </w:r>
      <w:proofErr w:type="spellEnd"/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viste svagt positivt resultat i </w:t>
      </w:r>
      <w:proofErr w:type="spellStart"/>
      <w:r w:rsidRPr="00E5306C">
        <w:rPr>
          <w:sz w:val="24"/>
          <w:szCs w:val="24"/>
        </w:rPr>
        <w:t>Ames</w:t>
      </w:r>
      <w:proofErr w:type="spellEnd"/>
      <w:r w:rsidRPr="00E5306C">
        <w:rPr>
          <w:sz w:val="24"/>
          <w:szCs w:val="24"/>
        </w:rPr>
        <w:t xml:space="preserve"> </w:t>
      </w:r>
      <w:proofErr w:type="spellStart"/>
      <w:r w:rsidRPr="00E5306C">
        <w:rPr>
          <w:sz w:val="24"/>
          <w:szCs w:val="24"/>
        </w:rPr>
        <w:t>mutagenicitetstest</w:t>
      </w:r>
      <w:proofErr w:type="spellEnd"/>
      <w:r w:rsidRPr="00E5306C">
        <w:rPr>
          <w:sz w:val="24"/>
          <w:szCs w:val="24"/>
        </w:rPr>
        <w:t xml:space="preserve"> og i </w:t>
      </w:r>
      <w:r w:rsidRPr="00E5306C">
        <w:rPr>
          <w:i/>
          <w:sz w:val="24"/>
          <w:szCs w:val="24"/>
        </w:rPr>
        <w:t xml:space="preserve">in </w:t>
      </w:r>
      <w:proofErr w:type="spellStart"/>
      <w:r w:rsidRPr="00E5306C">
        <w:rPr>
          <w:i/>
          <w:sz w:val="24"/>
          <w:szCs w:val="24"/>
        </w:rPr>
        <w:t>vitro</w:t>
      </w:r>
      <w:proofErr w:type="spellEnd"/>
      <w:r w:rsidRPr="00E5306C">
        <w:rPr>
          <w:sz w:val="24"/>
          <w:szCs w:val="24"/>
        </w:rPr>
        <w:t xml:space="preserve">-testen af kromosomafvigelser i humane lymfocytter, men var negativ i </w:t>
      </w:r>
      <w:r w:rsidRPr="00E5306C">
        <w:rPr>
          <w:i/>
          <w:sz w:val="24"/>
          <w:szCs w:val="24"/>
        </w:rPr>
        <w:t xml:space="preserve">in </w:t>
      </w:r>
      <w:proofErr w:type="spellStart"/>
      <w:r w:rsidRPr="00E5306C">
        <w:rPr>
          <w:i/>
          <w:sz w:val="24"/>
          <w:szCs w:val="24"/>
        </w:rPr>
        <w:t>vitro</w:t>
      </w:r>
      <w:r w:rsidRPr="00E5306C">
        <w:rPr>
          <w:sz w:val="24"/>
          <w:szCs w:val="24"/>
        </w:rPr>
        <w:t>-mutagenicitets</w:t>
      </w:r>
      <w:r>
        <w:rPr>
          <w:sz w:val="24"/>
          <w:szCs w:val="24"/>
        </w:rPr>
        <w:softHyphen/>
      </w:r>
      <w:r w:rsidRPr="00E5306C">
        <w:rPr>
          <w:sz w:val="24"/>
          <w:szCs w:val="24"/>
        </w:rPr>
        <w:t>assayet</w:t>
      </w:r>
      <w:proofErr w:type="spellEnd"/>
      <w:r w:rsidRPr="00E5306C">
        <w:rPr>
          <w:sz w:val="24"/>
          <w:szCs w:val="24"/>
        </w:rPr>
        <w:t xml:space="preserve"> HGPRT på V79 celler fra kinesisk hamster og i </w:t>
      </w:r>
      <w:r w:rsidRPr="00E5306C">
        <w:rPr>
          <w:i/>
          <w:sz w:val="24"/>
          <w:szCs w:val="24"/>
        </w:rPr>
        <w:t xml:space="preserve">in </w:t>
      </w:r>
      <w:proofErr w:type="spellStart"/>
      <w:r w:rsidRPr="00E5306C">
        <w:rPr>
          <w:i/>
          <w:sz w:val="24"/>
          <w:szCs w:val="24"/>
        </w:rPr>
        <w:t>vivo</w:t>
      </w:r>
      <w:proofErr w:type="spellEnd"/>
      <w:r w:rsidRPr="00E5306C">
        <w:rPr>
          <w:sz w:val="24"/>
          <w:szCs w:val="24"/>
        </w:rPr>
        <w:t>-analyse af kromosom</w:t>
      </w:r>
      <w:r>
        <w:rPr>
          <w:sz w:val="24"/>
          <w:szCs w:val="24"/>
        </w:rPr>
        <w:softHyphen/>
      </w:r>
      <w:r w:rsidRPr="00E5306C">
        <w:rPr>
          <w:sz w:val="24"/>
          <w:szCs w:val="24"/>
        </w:rPr>
        <w:t>afvigelser i knoglemarv fra rotter.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 xml:space="preserve">Generelt set peger vægten af evidensen på, at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udgør minimal eller ingen risiko for gentoksicitet og </w:t>
      </w:r>
      <w:proofErr w:type="spellStart"/>
      <w:r w:rsidRPr="00E5306C">
        <w:rPr>
          <w:sz w:val="24"/>
          <w:szCs w:val="24"/>
        </w:rPr>
        <w:t>karcinogenicitet</w:t>
      </w:r>
      <w:proofErr w:type="spellEnd"/>
      <w:r w:rsidRPr="00E5306C">
        <w:rPr>
          <w:sz w:val="24"/>
          <w:szCs w:val="24"/>
        </w:rPr>
        <w:t xml:space="preserve"> hos mennesker.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5306C">
        <w:rPr>
          <w:sz w:val="24"/>
          <w:szCs w:val="24"/>
          <w:u w:val="single"/>
        </w:rPr>
        <w:t>Reproduktions- og udviklingstoksicitet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havde ingen virkning på fertilitet og reproduktion hos rotter eller den tidlige udvikling af embryo hos rotter og mus. </w:t>
      </w:r>
      <w:proofErr w:type="spellStart"/>
      <w:r w:rsidRPr="00E5306C">
        <w:rPr>
          <w:sz w:val="24"/>
          <w:szCs w:val="24"/>
        </w:rPr>
        <w:t>Naloxon</w:t>
      </w:r>
      <w:proofErr w:type="spellEnd"/>
      <w:r w:rsidRPr="00E5306C">
        <w:rPr>
          <w:sz w:val="24"/>
          <w:szCs w:val="24"/>
        </w:rPr>
        <w:t xml:space="preserve"> er ikke </w:t>
      </w:r>
      <w:proofErr w:type="spellStart"/>
      <w:r w:rsidRPr="00E5306C">
        <w:rPr>
          <w:sz w:val="24"/>
          <w:szCs w:val="24"/>
        </w:rPr>
        <w:t>teratogent</w:t>
      </w:r>
      <w:proofErr w:type="spellEnd"/>
      <w:r w:rsidRPr="00E5306C">
        <w:rPr>
          <w:sz w:val="24"/>
          <w:szCs w:val="24"/>
        </w:rPr>
        <w:t xml:space="preserve"> i dyr.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6.</w:t>
      </w:r>
      <w:r w:rsidRPr="00E5306C">
        <w:rPr>
          <w:b/>
          <w:sz w:val="24"/>
          <w:szCs w:val="24"/>
        </w:rPr>
        <w:tab/>
        <w:t>FARMACEUTISKE OPLYSNINGER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6.1</w:t>
      </w:r>
      <w:r w:rsidRPr="00E5306C">
        <w:rPr>
          <w:b/>
          <w:sz w:val="24"/>
          <w:szCs w:val="24"/>
        </w:rPr>
        <w:tab/>
        <w:t>Hjælpestoffer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bookmarkStart w:id="4" w:name="_Hlk521585289"/>
      <w:proofErr w:type="spellStart"/>
      <w:r w:rsidRPr="00E5306C">
        <w:rPr>
          <w:sz w:val="24"/>
          <w:szCs w:val="24"/>
        </w:rPr>
        <w:t>Povidon</w:t>
      </w:r>
      <w:proofErr w:type="spellEnd"/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Glycerol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Dinatriumedetat</w:t>
      </w:r>
      <w:proofErr w:type="spellEnd"/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06C">
        <w:rPr>
          <w:sz w:val="24"/>
          <w:szCs w:val="24"/>
        </w:rPr>
        <w:t>Benzalkoniumchlorid</w:t>
      </w:r>
      <w:proofErr w:type="spellEnd"/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Citronsyremonohydrat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Natriumcitrat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Natriumhydroxid (til pH-justering)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Saltsyre (til pH-justering)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Vand til injektionsvæsker</w:t>
      </w:r>
    </w:p>
    <w:bookmarkEnd w:id="4"/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6.2</w:t>
      </w:r>
      <w:r w:rsidRPr="00E5306C">
        <w:rPr>
          <w:b/>
          <w:sz w:val="24"/>
          <w:szCs w:val="24"/>
        </w:rPr>
        <w:tab/>
        <w:t>Uforligeligheder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E5306C">
        <w:rPr>
          <w:sz w:val="24"/>
          <w:szCs w:val="24"/>
        </w:rPr>
        <w:t>Ikke relevant.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6.3</w:t>
      </w:r>
      <w:r w:rsidRPr="00E5306C">
        <w:rPr>
          <w:b/>
          <w:sz w:val="24"/>
          <w:szCs w:val="24"/>
        </w:rPr>
        <w:tab/>
        <w:t>Opbevaringstid</w:t>
      </w:r>
    </w:p>
    <w:p w:rsidR="00D56919" w:rsidRPr="00E5306C" w:rsidRDefault="00FE1D27" w:rsidP="00D5691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3</w:t>
      </w:r>
      <w:r w:rsidR="00D56919" w:rsidRPr="00E5306C">
        <w:rPr>
          <w:sz w:val="24"/>
          <w:szCs w:val="24"/>
        </w:rPr>
        <w:t xml:space="preserve"> år.</w:t>
      </w:r>
    </w:p>
    <w:p w:rsidR="00D56919" w:rsidRDefault="00D56919" w:rsidP="00D5691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6.4</w:t>
      </w:r>
      <w:r w:rsidRPr="00E5306C">
        <w:rPr>
          <w:b/>
          <w:sz w:val="24"/>
          <w:szCs w:val="24"/>
        </w:rPr>
        <w:tab/>
        <w:t>Særlige opbevaringsforhold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E5306C">
        <w:rPr>
          <w:sz w:val="24"/>
          <w:szCs w:val="24"/>
        </w:rPr>
        <w:t>Må ikke nedfryses.</w:t>
      </w:r>
    </w:p>
    <w:p w:rsidR="00D56919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O</w:t>
      </w:r>
      <w:bookmarkStart w:id="5" w:name="_Hlk522006297"/>
      <w:r w:rsidRPr="00E5306C">
        <w:rPr>
          <w:sz w:val="24"/>
          <w:szCs w:val="24"/>
        </w:rPr>
        <w:t>pbevar enkeltdosisbeholderne i yderpakningen af plastik for at beskytte mod lys.</w:t>
      </w:r>
      <w:bookmarkEnd w:id="5"/>
    </w:p>
    <w:p w:rsidR="0040051C" w:rsidRPr="00E5306C" w:rsidRDefault="0040051C" w:rsidP="00D5691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Opbevar blisterne i æsken for at beskytte mod lys.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8D23A1" w:rsidRPr="00C84483" w:rsidRDefault="008D23A1" w:rsidP="008D23A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E5306C">
        <w:rPr>
          <w:sz w:val="24"/>
          <w:szCs w:val="24"/>
        </w:rPr>
        <w:t xml:space="preserve">Den indre emballage består af </w:t>
      </w:r>
      <w:proofErr w:type="gramStart"/>
      <w:r w:rsidRPr="00E5306C">
        <w:rPr>
          <w:sz w:val="24"/>
          <w:szCs w:val="24"/>
        </w:rPr>
        <w:t>et type</w:t>
      </w:r>
      <w:proofErr w:type="gramEnd"/>
      <w:r w:rsidRPr="00E5306C">
        <w:rPr>
          <w:sz w:val="24"/>
          <w:szCs w:val="24"/>
        </w:rPr>
        <w:t xml:space="preserve"> I hætteglas med en </w:t>
      </w:r>
      <w:proofErr w:type="spellStart"/>
      <w:r w:rsidRPr="00E5306C">
        <w:rPr>
          <w:sz w:val="24"/>
          <w:szCs w:val="24"/>
        </w:rPr>
        <w:t>chlorbutylgummiprop</w:t>
      </w:r>
      <w:proofErr w:type="spellEnd"/>
      <w:r w:rsidRPr="00E5306C">
        <w:rPr>
          <w:sz w:val="24"/>
          <w:szCs w:val="24"/>
        </w:rPr>
        <w:t xml:space="preserve"> og en sprayenhed bestående af en </w:t>
      </w:r>
      <w:proofErr w:type="spellStart"/>
      <w:r w:rsidRPr="00E5306C">
        <w:rPr>
          <w:sz w:val="24"/>
          <w:szCs w:val="24"/>
        </w:rPr>
        <w:t>aktuator</w:t>
      </w:r>
      <w:proofErr w:type="spellEnd"/>
      <w:r w:rsidRPr="00E5306C">
        <w:rPr>
          <w:sz w:val="24"/>
          <w:szCs w:val="24"/>
        </w:rPr>
        <w:t xml:space="preserve"> og spraytap af polypropylen samt en kanyle af rustfrit stål.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A37791" w:rsidRDefault="00A37791" w:rsidP="00A3779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Pakningsstørrelser:</w:t>
      </w:r>
    </w:p>
    <w:p w:rsidR="00A37791" w:rsidRDefault="00A37791" w:rsidP="00A3779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Æske med 1 beskyttende yderpakning af plastik, som indeholder 2 enkeltdosisbeholdere á 0,1 ml næsespray.</w:t>
      </w:r>
    </w:p>
    <w:p w:rsidR="00A37791" w:rsidRDefault="00A37791" w:rsidP="00A3779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Æske med 10 beskyttende yderpakninger af plastik som hver indeholder 2 enkeltdosisbeholdere á 0,1 ml næsespray.</w:t>
      </w:r>
    </w:p>
    <w:p w:rsidR="00A75DBE" w:rsidRDefault="00A75DBE" w:rsidP="00A3779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Æske med 6 blister indeholdende enkeltdosisbeholdere á 0,1 ml næsespray.</w:t>
      </w:r>
    </w:p>
    <w:p w:rsidR="00A37791" w:rsidRDefault="00A75DBE" w:rsidP="00A3779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7791" w:rsidRDefault="00A37791" w:rsidP="00A3779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8D23A1" w:rsidRPr="00C84483" w:rsidRDefault="008D23A1" w:rsidP="008D23A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E5306C">
        <w:rPr>
          <w:sz w:val="24"/>
          <w:szCs w:val="24"/>
        </w:rPr>
        <w:t>Ikke anvendt lægemiddel samt affald heraf skal bortskaffes i henhold til lokale retningslinjer.</w:t>
      </w:r>
    </w:p>
    <w:p w:rsidR="00D56919" w:rsidRPr="00E5306C" w:rsidRDefault="00D56919" w:rsidP="00D56919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7.</w:t>
      </w:r>
      <w:r w:rsidRPr="00E5306C">
        <w:rPr>
          <w:b/>
          <w:sz w:val="24"/>
          <w:szCs w:val="24"/>
        </w:rPr>
        <w:tab/>
        <w:t>INDEHAVER AF MARKEDSFØRINGSTILLADELSEN</w:t>
      </w:r>
    </w:p>
    <w:p w:rsidR="00D56919" w:rsidRPr="00292699" w:rsidRDefault="00D56919" w:rsidP="00D56919">
      <w:pPr>
        <w:tabs>
          <w:tab w:val="left" w:pos="851"/>
          <w:tab w:val="left" w:pos="2430"/>
        </w:tabs>
        <w:ind w:left="851"/>
        <w:rPr>
          <w:sz w:val="24"/>
          <w:szCs w:val="24"/>
        </w:rPr>
      </w:pPr>
      <w:proofErr w:type="spellStart"/>
      <w:r w:rsidRPr="00292699">
        <w:rPr>
          <w:sz w:val="24"/>
          <w:szCs w:val="24"/>
        </w:rPr>
        <w:t>dne</w:t>
      </w:r>
      <w:proofErr w:type="spellEnd"/>
      <w:r w:rsidRPr="00292699">
        <w:rPr>
          <w:sz w:val="24"/>
          <w:szCs w:val="24"/>
        </w:rPr>
        <w:t xml:space="preserve"> </w:t>
      </w:r>
      <w:proofErr w:type="spellStart"/>
      <w:r w:rsidRPr="00292699">
        <w:rPr>
          <w:sz w:val="24"/>
          <w:szCs w:val="24"/>
        </w:rPr>
        <w:t>pharma</w:t>
      </w:r>
      <w:proofErr w:type="spellEnd"/>
      <w:r w:rsidRPr="00292699">
        <w:rPr>
          <w:sz w:val="24"/>
          <w:szCs w:val="24"/>
        </w:rPr>
        <w:t xml:space="preserve"> as </w:t>
      </w:r>
    </w:p>
    <w:p w:rsidR="00D56919" w:rsidRPr="00292699" w:rsidRDefault="00D56919" w:rsidP="00D56919">
      <w:pPr>
        <w:tabs>
          <w:tab w:val="left" w:pos="851"/>
          <w:tab w:val="left" w:pos="2430"/>
        </w:tabs>
        <w:ind w:left="851"/>
        <w:rPr>
          <w:sz w:val="24"/>
          <w:szCs w:val="24"/>
        </w:rPr>
      </w:pPr>
      <w:proofErr w:type="spellStart"/>
      <w:r w:rsidRPr="00292699">
        <w:rPr>
          <w:sz w:val="24"/>
          <w:szCs w:val="24"/>
        </w:rPr>
        <w:t>Karihaugveien</w:t>
      </w:r>
      <w:proofErr w:type="spellEnd"/>
      <w:r w:rsidRPr="00292699">
        <w:rPr>
          <w:sz w:val="24"/>
          <w:szCs w:val="24"/>
        </w:rPr>
        <w:t xml:space="preserve"> 22</w:t>
      </w:r>
    </w:p>
    <w:p w:rsidR="00D56919" w:rsidRPr="00292699" w:rsidRDefault="00D56919" w:rsidP="00D56919">
      <w:pPr>
        <w:tabs>
          <w:tab w:val="left" w:pos="851"/>
          <w:tab w:val="left" w:pos="2430"/>
        </w:tabs>
        <w:ind w:left="851"/>
        <w:rPr>
          <w:sz w:val="24"/>
          <w:szCs w:val="24"/>
        </w:rPr>
      </w:pPr>
      <w:r w:rsidRPr="00292699">
        <w:rPr>
          <w:sz w:val="24"/>
          <w:szCs w:val="24"/>
        </w:rPr>
        <w:t>NO-1086 Oslo</w:t>
      </w:r>
    </w:p>
    <w:p w:rsidR="00D56919" w:rsidRPr="00292699" w:rsidRDefault="00D56919" w:rsidP="00D56919">
      <w:pPr>
        <w:tabs>
          <w:tab w:val="left" w:pos="851"/>
          <w:tab w:val="left" w:pos="2430"/>
        </w:tabs>
        <w:ind w:left="851"/>
        <w:rPr>
          <w:sz w:val="24"/>
          <w:szCs w:val="24"/>
        </w:rPr>
      </w:pPr>
      <w:r w:rsidRPr="00292699">
        <w:rPr>
          <w:sz w:val="24"/>
          <w:szCs w:val="24"/>
        </w:rPr>
        <w:t>Norge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</w:p>
    <w:p w:rsidR="008D23A1" w:rsidRPr="00C84483" w:rsidRDefault="008D23A1" w:rsidP="008D23A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D56919" w:rsidRPr="00E5306C" w:rsidRDefault="00D56919" w:rsidP="00D56919">
      <w:pPr>
        <w:tabs>
          <w:tab w:val="left" w:pos="851"/>
        </w:tabs>
        <w:ind w:left="851"/>
        <w:rPr>
          <w:sz w:val="24"/>
          <w:szCs w:val="24"/>
        </w:rPr>
      </w:pPr>
      <w:r w:rsidRPr="00E5306C">
        <w:rPr>
          <w:sz w:val="24"/>
          <w:szCs w:val="24"/>
        </w:rPr>
        <w:t>59409</w:t>
      </w:r>
    </w:p>
    <w:p w:rsidR="00D56919" w:rsidRPr="00E5306C" w:rsidRDefault="00D56919" w:rsidP="00D56919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D23A1" w:rsidRPr="00C84483" w:rsidRDefault="008D23A1" w:rsidP="008D23A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AC0285" w:rsidRDefault="00AC0285" w:rsidP="00AC028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19. september 2018</w:t>
      </w:r>
    </w:p>
    <w:p w:rsidR="00D56919" w:rsidRPr="00E5306C" w:rsidRDefault="00D56919" w:rsidP="00AC028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56919" w:rsidRPr="00E5306C" w:rsidRDefault="00D56919" w:rsidP="00D5691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5306C">
        <w:rPr>
          <w:b/>
          <w:sz w:val="24"/>
          <w:szCs w:val="24"/>
        </w:rPr>
        <w:t>10.</w:t>
      </w:r>
      <w:r w:rsidRPr="00E5306C">
        <w:rPr>
          <w:b/>
          <w:sz w:val="24"/>
          <w:szCs w:val="24"/>
        </w:rPr>
        <w:tab/>
        <w:t>DATO FOR ÆNDRING AF TEKSTEN</w:t>
      </w:r>
    </w:p>
    <w:p w:rsidR="009260DE" w:rsidRPr="00D56919" w:rsidRDefault="008D23A1" w:rsidP="008D23A1">
      <w:pPr>
        <w:tabs>
          <w:tab w:val="left" w:pos="851"/>
        </w:tabs>
        <w:ind w:left="851"/>
      </w:pPr>
      <w:r>
        <w:rPr>
          <w:sz w:val="24"/>
          <w:szCs w:val="24"/>
        </w:rPr>
        <w:t>25. november 2024</w:t>
      </w:r>
    </w:p>
    <w:sectPr w:rsidR="009260DE" w:rsidRPr="00D56919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919" w:rsidRDefault="00D56919">
      <w:r>
        <w:separator/>
      </w:r>
    </w:p>
  </w:endnote>
  <w:endnote w:type="continuationSeparator" w:id="0">
    <w:p w:rsidR="00D56919" w:rsidRDefault="00D5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E1D27">
      <w:rPr>
        <w:i/>
        <w:noProof/>
        <w:sz w:val="18"/>
        <w:szCs w:val="18"/>
      </w:rPr>
      <w:t>Ventizolve, næsespray, opløsning i enkeltdosisbeholder 1,26 mg-dosis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919" w:rsidRDefault="00D56919">
      <w:r>
        <w:separator/>
      </w:r>
    </w:p>
  </w:footnote>
  <w:footnote w:type="continuationSeparator" w:id="0">
    <w:p w:rsidR="00D56919" w:rsidRDefault="00D5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19"/>
    <w:rsid w:val="00004F95"/>
    <w:rsid w:val="000259B9"/>
    <w:rsid w:val="00041491"/>
    <w:rsid w:val="00050D16"/>
    <w:rsid w:val="00074F2A"/>
    <w:rsid w:val="000776B1"/>
    <w:rsid w:val="000A1CA8"/>
    <w:rsid w:val="000A466B"/>
    <w:rsid w:val="000B058C"/>
    <w:rsid w:val="000E4EE6"/>
    <w:rsid w:val="001454E2"/>
    <w:rsid w:val="001562B2"/>
    <w:rsid w:val="00206CE8"/>
    <w:rsid w:val="0021526C"/>
    <w:rsid w:val="0027745D"/>
    <w:rsid w:val="00283A2B"/>
    <w:rsid w:val="00292699"/>
    <w:rsid w:val="002B30AD"/>
    <w:rsid w:val="002C2C01"/>
    <w:rsid w:val="00304702"/>
    <w:rsid w:val="003A29AE"/>
    <w:rsid w:val="003A32D7"/>
    <w:rsid w:val="003B4074"/>
    <w:rsid w:val="003C769A"/>
    <w:rsid w:val="003F1838"/>
    <w:rsid w:val="0040051C"/>
    <w:rsid w:val="0045746C"/>
    <w:rsid w:val="0049104B"/>
    <w:rsid w:val="004973DD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6970AB"/>
    <w:rsid w:val="00737275"/>
    <w:rsid w:val="00740EEC"/>
    <w:rsid w:val="00771420"/>
    <w:rsid w:val="0078011A"/>
    <w:rsid w:val="00782AF4"/>
    <w:rsid w:val="00790EE7"/>
    <w:rsid w:val="007B6649"/>
    <w:rsid w:val="007F0880"/>
    <w:rsid w:val="0081546F"/>
    <w:rsid w:val="0082576E"/>
    <w:rsid w:val="008744E7"/>
    <w:rsid w:val="008B10A3"/>
    <w:rsid w:val="008D23A1"/>
    <w:rsid w:val="00907F75"/>
    <w:rsid w:val="00910295"/>
    <w:rsid w:val="009260DE"/>
    <w:rsid w:val="0093258A"/>
    <w:rsid w:val="009C7BA3"/>
    <w:rsid w:val="009D1F5A"/>
    <w:rsid w:val="00A37791"/>
    <w:rsid w:val="00A75DBE"/>
    <w:rsid w:val="00AC0285"/>
    <w:rsid w:val="00AC6AF5"/>
    <w:rsid w:val="00B003BF"/>
    <w:rsid w:val="00B373D7"/>
    <w:rsid w:val="00C36276"/>
    <w:rsid w:val="00C42586"/>
    <w:rsid w:val="00C60CCD"/>
    <w:rsid w:val="00C65D76"/>
    <w:rsid w:val="00C84483"/>
    <w:rsid w:val="00C95551"/>
    <w:rsid w:val="00CB20D7"/>
    <w:rsid w:val="00D020B0"/>
    <w:rsid w:val="00D11748"/>
    <w:rsid w:val="00D366CF"/>
    <w:rsid w:val="00D56919"/>
    <w:rsid w:val="00E108AA"/>
    <w:rsid w:val="00E15754"/>
    <w:rsid w:val="00E31812"/>
    <w:rsid w:val="00E3749A"/>
    <w:rsid w:val="00E7437F"/>
    <w:rsid w:val="00E865B8"/>
    <w:rsid w:val="00EB06FA"/>
    <w:rsid w:val="00EC0B9B"/>
    <w:rsid w:val="00ED5E9F"/>
    <w:rsid w:val="00F66D4F"/>
    <w:rsid w:val="00FB6D01"/>
    <w:rsid w:val="00FE1D27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E56E1"/>
  <w15:chartTrackingRefBased/>
  <w15:docId w15:val="{C85A61AD-EFF6-4A5D-B4C5-FDA0CFBF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D569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2320</Words>
  <Characters>15854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2024092793, ændring af udlevbest fra B til HA for pakninger indeholdende højst 2 stk.</dc:description>
  <cp:lastModifiedBy>Gitte Jørgensen</cp:lastModifiedBy>
  <cp:revision>5</cp:revision>
  <cp:lastPrinted>2012-08-22T08:53:00Z</cp:lastPrinted>
  <dcterms:created xsi:type="dcterms:W3CDTF">2024-10-28T09:44:00Z</dcterms:created>
  <dcterms:modified xsi:type="dcterms:W3CDTF">2024-10-28T09:55:00Z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