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E617" w14:textId="77777777" w:rsidR="009260DE" w:rsidRPr="00F1542A" w:rsidRDefault="0021526C" w:rsidP="009260DE">
      <w:pPr>
        <w:rPr>
          <w:sz w:val="24"/>
          <w:szCs w:val="24"/>
        </w:rPr>
      </w:pPr>
      <w:bookmarkStart w:id="0" w:name="_GoBack"/>
      <w:bookmarkEnd w:id="0"/>
      <w:r w:rsidRPr="00F1542A">
        <w:rPr>
          <w:noProof/>
          <w:sz w:val="24"/>
          <w:szCs w:val="24"/>
          <w:lang w:eastAsia="da-DK"/>
        </w:rPr>
        <w:drawing>
          <wp:anchor distT="0" distB="0" distL="114300" distR="114300" simplePos="0" relativeHeight="251658240" behindDoc="0" locked="0" layoutInCell="1" allowOverlap="1" wp14:anchorId="6491C93B" wp14:editId="47E1B7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1542A">
        <w:rPr>
          <w:sz w:val="24"/>
          <w:szCs w:val="24"/>
        </w:rPr>
        <w:br w:type="textWrapping" w:clear="all"/>
      </w:r>
    </w:p>
    <w:p w14:paraId="20505231" w14:textId="713E3B1F" w:rsidR="009260DE" w:rsidRPr="00F1542A" w:rsidRDefault="009260DE" w:rsidP="009260DE">
      <w:pPr>
        <w:pStyle w:val="Titel"/>
        <w:tabs>
          <w:tab w:val="right" w:pos="9356"/>
        </w:tabs>
        <w:jc w:val="left"/>
        <w:rPr>
          <w:b w:val="0"/>
          <w:szCs w:val="24"/>
          <w:lang w:eastAsia="en-US"/>
        </w:rPr>
      </w:pPr>
      <w:r w:rsidRPr="00F1542A">
        <w:rPr>
          <w:b w:val="0"/>
          <w:szCs w:val="24"/>
          <w:lang w:eastAsia="en-US"/>
        </w:rPr>
        <w:tab/>
      </w:r>
      <w:r w:rsidR="00DA6734">
        <w:rPr>
          <w:szCs w:val="24"/>
        </w:rPr>
        <w:t>9</w:t>
      </w:r>
      <w:r w:rsidR="00A26B21">
        <w:rPr>
          <w:szCs w:val="24"/>
        </w:rPr>
        <w:t xml:space="preserve">. </w:t>
      </w:r>
      <w:r w:rsidR="00DA6734">
        <w:rPr>
          <w:szCs w:val="24"/>
        </w:rPr>
        <w:t>februar</w:t>
      </w:r>
      <w:r w:rsidR="00A26B21">
        <w:rPr>
          <w:szCs w:val="24"/>
        </w:rPr>
        <w:t xml:space="preserve"> 202</w:t>
      </w:r>
      <w:r w:rsidR="00DA6734">
        <w:rPr>
          <w:szCs w:val="24"/>
        </w:rPr>
        <w:t>3</w:t>
      </w:r>
    </w:p>
    <w:p w14:paraId="446DD4E7" w14:textId="0CA5870E" w:rsidR="009260DE" w:rsidRPr="00F1542A" w:rsidRDefault="009260DE" w:rsidP="009260DE">
      <w:pPr>
        <w:pStyle w:val="Titel"/>
        <w:tabs>
          <w:tab w:val="left" w:pos="8222"/>
        </w:tabs>
        <w:jc w:val="left"/>
        <w:rPr>
          <w:b w:val="0"/>
          <w:szCs w:val="24"/>
        </w:rPr>
      </w:pPr>
    </w:p>
    <w:p w14:paraId="448D771D" w14:textId="77777777" w:rsidR="009260DE" w:rsidRPr="00F1542A" w:rsidRDefault="009260DE" w:rsidP="009260DE">
      <w:pPr>
        <w:pStyle w:val="Titel"/>
        <w:jc w:val="left"/>
        <w:rPr>
          <w:b w:val="0"/>
          <w:szCs w:val="24"/>
        </w:rPr>
      </w:pPr>
    </w:p>
    <w:p w14:paraId="021F5B2C" w14:textId="77777777" w:rsidR="009260DE" w:rsidRPr="00F1542A" w:rsidRDefault="009260DE" w:rsidP="009260DE">
      <w:pPr>
        <w:pStyle w:val="Titel"/>
        <w:jc w:val="left"/>
        <w:rPr>
          <w:b w:val="0"/>
          <w:szCs w:val="24"/>
        </w:rPr>
      </w:pPr>
    </w:p>
    <w:p w14:paraId="07F94CFA" w14:textId="77777777" w:rsidR="009260DE" w:rsidRPr="00F1542A" w:rsidRDefault="009260DE" w:rsidP="009260DE">
      <w:pPr>
        <w:jc w:val="center"/>
        <w:rPr>
          <w:b/>
          <w:sz w:val="24"/>
          <w:szCs w:val="24"/>
        </w:rPr>
      </w:pPr>
      <w:r w:rsidRPr="00F1542A">
        <w:rPr>
          <w:b/>
          <w:sz w:val="24"/>
          <w:szCs w:val="24"/>
        </w:rPr>
        <w:t>PRODUKTRESUMÉ</w:t>
      </w:r>
    </w:p>
    <w:p w14:paraId="020AC9D3" w14:textId="77777777" w:rsidR="009260DE" w:rsidRPr="00F1542A" w:rsidRDefault="009260DE" w:rsidP="009260DE">
      <w:pPr>
        <w:jc w:val="center"/>
        <w:rPr>
          <w:b/>
          <w:sz w:val="24"/>
          <w:szCs w:val="24"/>
        </w:rPr>
      </w:pPr>
    </w:p>
    <w:p w14:paraId="72ED5432" w14:textId="77777777" w:rsidR="009260DE" w:rsidRPr="00F1542A" w:rsidRDefault="009260DE" w:rsidP="009260DE">
      <w:pPr>
        <w:jc w:val="center"/>
        <w:rPr>
          <w:b/>
          <w:sz w:val="24"/>
          <w:szCs w:val="24"/>
        </w:rPr>
      </w:pPr>
      <w:r w:rsidRPr="00F1542A">
        <w:rPr>
          <w:b/>
          <w:sz w:val="24"/>
          <w:szCs w:val="24"/>
        </w:rPr>
        <w:t>for</w:t>
      </w:r>
    </w:p>
    <w:p w14:paraId="15C3E7BA" w14:textId="77777777" w:rsidR="000B058C" w:rsidRPr="00F1542A" w:rsidRDefault="000B058C" w:rsidP="009260DE">
      <w:pPr>
        <w:jc w:val="center"/>
        <w:rPr>
          <w:b/>
          <w:sz w:val="24"/>
          <w:szCs w:val="24"/>
        </w:rPr>
      </w:pPr>
    </w:p>
    <w:p w14:paraId="179D7AE7" w14:textId="4A14EA36" w:rsidR="009260DE" w:rsidRPr="00F1542A" w:rsidRDefault="002538F7" w:rsidP="009260DE">
      <w:pPr>
        <w:jc w:val="center"/>
        <w:rPr>
          <w:b/>
          <w:sz w:val="24"/>
          <w:szCs w:val="24"/>
        </w:rPr>
      </w:pPr>
      <w:proofErr w:type="spellStart"/>
      <w:r w:rsidRPr="00F1542A">
        <w:rPr>
          <w:b/>
          <w:sz w:val="24"/>
          <w:szCs w:val="24"/>
        </w:rPr>
        <w:t>Verdye</w:t>
      </w:r>
      <w:proofErr w:type="spellEnd"/>
      <w:r w:rsidRPr="00F1542A">
        <w:rPr>
          <w:b/>
          <w:sz w:val="24"/>
          <w:szCs w:val="24"/>
        </w:rPr>
        <w:t xml:space="preserve">, pulver til </w:t>
      </w:r>
      <w:r w:rsidR="002C2AC0" w:rsidRPr="00F1542A">
        <w:rPr>
          <w:b/>
          <w:sz w:val="24"/>
          <w:szCs w:val="24"/>
        </w:rPr>
        <w:t>injektionsvæske, opløsning</w:t>
      </w:r>
    </w:p>
    <w:p w14:paraId="0F80A977" w14:textId="77777777" w:rsidR="009260DE" w:rsidRPr="00F1542A" w:rsidRDefault="009260DE" w:rsidP="009260DE">
      <w:pPr>
        <w:jc w:val="both"/>
        <w:rPr>
          <w:sz w:val="24"/>
          <w:szCs w:val="24"/>
        </w:rPr>
      </w:pPr>
    </w:p>
    <w:p w14:paraId="55F200E3" w14:textId="77777777" w:rsidR="009260DE" w:rsidRPr="00F1542A" w:rsidRDefault="009260DE" w:rsidP="009260DE">
      <w:pPr>
        <w:jc w:val="both"/>
        <w:rPr>
          <w:sz w:val="24"/>
          <w:szCs w:val="24"/>
        </w:rPr>
      </w:pPr>
    </w:p>
    <w:p w14:paraId="4018E952" w14:textId="77777777" w:rsidR="009260DE" w:rsidRPr="00F1542A" w:rsidRDefault="009260DE" w:rsidP="009260DE">
      <w:pPr>
        <w:tabs>
          <w:tab w:val="left" w:pos="851"/>
        </w:tabs>
        <w:ind w:left="851" w:hanging="851"/>
        <w:rPr>
          <w:b/>
          <w:sz w:val="24"/>
          <w:szCs w:val="24"/>
        </w:rPr>
      </w:pPr>
      <w:r w:rsidRPr="00F1542A">
        <w:rPr>
          <w:b/>
          <w:sz w:val="24"/>
          <w:szCs w:val="24"/>
        </w:rPr>
        <w:t>0.</w:t>
      </w:r>
      <w:r w:rsidRPr="00F1542A">
        <w:rPr>
          <w:b/>
          <w:sz w:val="24"/>
          <w:szCs w:val="24"/>
        </w:rPr>
        <w:tab/>
        <w:t>D.SP.NR.</w:t>
      </w:r>
    </w:p>
    <w:p w14:paraId="16BBB500" w14:textId="0E1309BB" w:rsidR="009260DE" w:rsidRPr="00F1542A" w:rsidRDefault="002C2AC0" w:rsidP="009260DE">
      <w:pPr>
        <w:tabs>
          <w:tab w:val="left" w:pos="851"/>
        </w:tabs>
        <w:ind w:left="851"/>
        <w:rPr>
          <w:sz w:val="24"/>
          <w:szCs w:val="24"/>
        </w:rPr>
      </w:pPr>
      <w:r w:rsidRPr="00F1542A">
        <w:rPr>
          <w:sz w:val="24"/>
          <w:szCs w:val="24"/>
        </w:rPr>
        <w:t>32842</w:t>
      </w:r>
    </w:p>
    <w:p w14:paraId="3A1B7C0B" w14:textId="77777777" w:rsidR="009260DE" w:rsidRPr="00F1542A" w:rsidRDefault="009260DE" w:rsidP="009260DE">
      <w:pPr>
        <w:tabs>
          <w:tab w:val="left" w:pos="851"/>
        </w:tabs>
        <w:ind w:left="851"/>
        <w:rPr>
          <w:sz w:val="24"/>
          <w:szCs w:val="24"/>
        </w:rPr>
      </w:pPr>
    </w:p>
    <w:p w14:paraId="4B7290EE" w14:textId="77777777" w:rsidR="009260DE" w:rsidRPr="00F1542A" w:rsidRDefault="009260DE" w:rsidP="009260DE">
      <w:pPr>
        <w:tabs>
          <w:tab w:val="left" w:pos="851"/>
        </w:tabs>
        <w:ind w:left="851" w:hanging="851"/>
        <w:rPr>
          <w:b/>
          <w:sz w:val="24"/>
          <w:szCs w:val="24"/>
        </w:rPr>
      </w:pPr>
      <w:r w:rsidRPr="00F1542A">
        <w:rPr>
          <w:b/>
          <w:sz w:val="24"/>
          <w:szCs w:val="24"/>
        </w:rPr>
        <w:t>1.</w:t>
      </w:r>
      <w:r w:rsidRPr="00F1542A">
        <w:rPr>
          <w:b/>
          <w:sz w:val="24"/>
          <w:szCs w:val="24"/>
        </w:rPr>
        <w:tab/>
        <w:t>LÆGEMIDLETS NAVN</w:t>
      </w:r>
    </w:p>
    <w:p w14:paraId="052ED9A0" w14:textId="6611A0BE" w:rsidR="009260DE" w:rsidRPr="00F1542A" w:rsidRDefault="002C2AC0" w:rsidP="009260DE">
      <w:pPr>
        <w:tabs>
          <w:tab w:val="left" w:pos="851"/>
        </w:tabs>
        <w:ind w:left="851"/>
        <w:rPr>
          <w:sz w:val="24"/>
          <w:szCs w:val="24"/>
        </w:rPr>
      </w:pPr>
      <w:proofErr w:type="spellStart"/>
      <w:r w:rsidRPr="00F1542A">
        <w:rPr>
          <w:sz w:val="24"/>
          <w:szCs w:val="24"/>
        </w:rPr>
        <w:t>Verdye</w:t>
      </w:r>
      <w:proofErr w:type="spellEnd"/>
    </w:p>
    <w:p w14:paraId="715F7676" w14:textId="77777777" w:rsidR="009260DE" w:rsidRPr="00F1542A" w:rsidRDefault="009260DE" w:rsidP="009260DE">
      <w:pPr>
        <w:tabs>
          <w:tab w:val="left" w:pos="851"/>
        </w:tabs>
        <w:ind w:left="851"/>
        <w:rPr>
          <w:sz w:val="24"/>
          <w:szCs w:val="24"/>
        </w:rPr>
      </w:pPr>
    </w:p>
    <w:p w14:paraId="76507491" w14:textId="77777777" w:rsidR="009260DE" w:rsidRPr="00F1542A" w:rsidRDefault="009260DE" w:rsidP="009260DE">
      <w:pPr>
        <w:tabs>
          <w:tab w:val="left" w:pos="851"/>
        </w:tabs>
        <w:ind w:left="851" w:hanging="851"/>
        <w:rPr>
          <w:b/>
          <w:sz w:val="24"/>
          <w:szCs w:val="24"/>
        </w:rPr>
      </w:pPr>
      <w:r w:rsidRPr="00F1542A">
        <w:rPr>
          <w:b/>
          <w:sz w:val="24"/>
          <w:szCs w:val="24"/>
        </w:rPr>
        <w:t>2.</w:t>
      </w:r>
      <w:r w:rsidRPr="00F1542A">
        <w:rPr>
          <w:b/>
          <w:sz w:val="24"/>
          <w:szCs w:val="24"/>
        </w:rPr>
        <w:tab/>
        <w:t>KVALITATIV OG KVANTITATIV SAMMENSÆTNING</w:t>
      </w:r>
    </w:p>
    <w:p w14:paraId="58A5D527" w14:textId="77777777" w:rsidR="001F3313" w:rsidRPr="00F1542A" w:rsidRDefault="001F3313" w:rsidP="00457AF2">
      <w:pPr>
        <w:ind w:left="851"/>
        <w:rPr>
          <w:sz w:val="24"/>
          <w:szCs w:val="24"/>
          <w:lang w:eastAsia="de-DE"/>
        </w:rPr>
      </w:pPr>
      <w:r w:rsidRPr="00F1542A">
        <w:rPr>
          <w:sz w:val="24"/>
          <w:szCs w:val="24"/>
        </w:rPr>
        <w:t xml:space="preserve">Hvert glas indeholder 25 mg </w:t>
      </w:r>
      <w:proofErr w:type="spellStart"/>
      <w:r w:rsidRPr="00F1542A">
        <w:rPr>
          <w:sz w:val="24"/>
          <w:szCs w:val="24"/>
        </w:rPr>
        <w:t>indocyanin</w:t>
      </w:r>
      <w:proofErr w:type="spellEnd"/>
      <w:r w:rsidRPr="00F1542A">
        <w:rPr>
          <w:sz w:val="24"/>
          <w:szCs w:val="24"/>
        </w:rPr>
        <w:t xml:space="preserve"> </w:t>
      </w:r>
      <w:r w:rsidRPr="00F1542A">
        <w:rPr>
          <w:rStyle w:val="jlqj4b"/>
          <w:sz w:val="24"/>
          <w:szCs w:val="24"/>
        </w:rPr>
        <w:t>grøn</w:t>
      </w:r>
      <w:r w:rsidRPr="00F1542A">
        <w:rPr>
          <w:sz w:val="24"/>
          <w:szCs w:val="24"/>
        </w:rPr>
        <w:t xml:space="preserve"> (skal </w:t>
      </w:r>
      <w:proofErr w:type="spellStart"/>
      <w:r w:rsidRPr="00F1542A">
        <w:rPr>
          <w:sz w:val="24"/>
          <w:szCs w:val="24"/>
        </w:rPr>
        <w:t>rekonstitueres</w:t>
      </w:r>
      <w:proofErr w:type="spellEnd"/>
      <w:r w:rsidRPr="00F1542A">
        <w:rPr>
          <w:sz w:val="24"/>
          <w:szCs w:val="24"/>
        </w:rPr>
        <w:t xml:space="preserve"> med 5 ml vand til injektionsvæsker). Hvert glas indeholder 50 mg </w:t>
      </w:r>
      <w:proofErr w:type="spellStart"/>
      <w:r w:rsidRPr="00F1542A">
        <w:rPr>
          <w:sz w:val="24"/>
          <w:szCs w:val="24"/>
        </w:rPr>
        <w:t>indocyanin</w:t>
      </w:r>
      <w:proofErr w:type="spellEnd"/>
      <w:r w:rsidRPr="00F1542A">
        <w:rPr>
          <w:sz w:val="24"/>
          <w:szCs w:val="24"/>
        </w:rPr>
        <w:t xml:space="preserve"> </w:t>
      </w:r>
      <w:r w:rsidRPr="00F1542A">
        <w:rPr>
          <w:rStyle w:val="jlqj4b"/>
          <w:sz w:val="24"/>
          <w:szCs w:val="24"/>
        </w:rPr>
        <w:t>grøn</w:t>
      </w:r>
      <w:r w:rsidRPr="00F1542A">
        <w:rPr>
          <w:sz w:val="24"/>
          <w:szCs w:val="24"/>
        </w:rPr>
        <w:t xml:space="preserve"> (skal </w:t>
      </w:r>
      <w:proofErr w:type="spellStart"/>
      <w:r w:rsidRPr="00F1542A">
        <w:rPr>
          <w:sz w:val="24"/>
          <w:szCs w:val="24"/>
        </w:rPr>
        <w:t>rekonstitueres</w:t>
      </w:r>
      <w:proofErr w:type="spellEnd"/>
      <w:r w:rsidRPr="00F1542A">
        <w:rPr>
          <w:sz w:val="24"/>
          <w:szCs w:val="24"/>
        </w:rPr>
        <w:t xml:space="preserve"> med 10 ml vand til injektionsvæsker).</w:t>
      </w:r>
    </w:p>
    <w:p w14:paraId="6CEF0EE2" w14:textId="77777777" w:rsidR="001F3313" w:rsidRPr="00F1542A" w:rsidRDefault="001F3313" w:rsidP="00457AF2">
      <w:pPr>
        <w:ind w:left="851"/>
        <w:rPr>
          <w:sz w:val="24"/>
          <w:szCs w:val="24"/>
        </w:rPr>
      </w:pPr>
    </w:p>
    <w:p w14:paraId="2A1AEC83" w14:textId="77777777" w:rsidR="001F3313" w:rsidRPr="00F1542A" w:rsidRDefault="001F3313" w:rsidP="00457AF2">
      <w:pPr>
        <w:ind w:left="851"/>
        <w:rPr>
          <w:sz w:val="24"/>
          <w:szCs w:val="24"/>
        </w:rPr>
      </w:pPr>
      <w:r w:rsidRPr="00F1542A">
        <w:rPr>
          <w:sz w:val="24"/>
          <w:szCs w:val="24"/>
        </w:rPr>
        <w:t xml:space="preserve">1 ml af den </w:t>
      </w:r>
      <w:proofErr w:type="spellStart"/>
      <w:r w:rsidRPr="00F1542A">
        <w:rPr>
          <w:sz w:val="24"/>
          <w:szCs w:val="24"/>
        </w:rPr>
        <w:t>rekonstituerede</w:t>
      </w:r>
      <w:proofErr w:type="spellEnd"/>
      <w:r w:rsidRPr="00F1542A">
        <w:rPr>
          <w:sz w:val="24"/>
          <w:szCs w:val="24"/>
        </w:rPr>
        <w:t xml:space="preserve"> injektionsvæske, opløsning, indeholder 5 mg </w:t>
      </w:r>
      <w:proofErr w:type="spellStart"/>
      <w:r w:rsidRPr="00F1542A">
        <w:rPr>
          <w:sz w:val="24"/>
          <w:szCs w:val="24"/>
        </w:rPr>
        <w:t>indocyanin</w:t>
      </w:r>
      <w:proofErr w:type="spellEnd"/>
      <w:r w:rsidRPr="00F1542A">
        <w:rPr>
          <w:sz w:val="24"/>
          <w:szCs w:val="24"/>
        </w:rPr>
        <w:t xml:space="preserve"> </w:t>
      </w:r>
      <w:r w:rsidRPr="00F1542A">
        <w:rPr>
          <w:rStyle w:val="jlqj4b"/>
          <w:sz w:val="24"/>
          <w:szCs w:val="24"/>
        </w:rPr>
        <w:t>grøn</w:t>
      </w:r>
      <w:r w:rsidRPr="00F1542A">
        <w:rPr>
          <w:sz w:val="24"/>
          <w:szCs w:val="24"/>
        </w:rPr>
        <w:t>.</w:t>
      </w:r>
    </w:p>
    <w:p w14:paraId="65F03388" w14:textId="77777777" w:rsidR="001F3313" w:rsidRPr="00F1542A" w:rsidRDefault="001F3313" w:rsidP="00457AF2">
      <w:pPr>
        <w:ind w:left="851"/>
        <w:rPr>
          <w:sz w:val="24"/>
          <w:szCs w:val="24"/>
        </w:rPr>
      </w:pPr>
    </w:p>
    <w:p w14:paraId="4AF5CF5B" w14:textId="23F502EA" w:rsidR="001F3313" w:rsidRPr="00F1542A" w:rsidRDefault="001F3313" w:rsidP="00457AF2">
      <w:pPr>
        <w:ind w:left="851"/>
        <w:rPr>
          <w:sz w:val="24"/>
          <w:szCs w:val="24"/>
        </w:rPr>
      </w:pPr>
      <w:r w:rsidRPr="00F1542A">
        <w:rPr>
          <w:sz w:val="24"/>
          <w:szCs w:val="24"/>
        </w:rPr>
        <w:t>Alle hjælpestoffer er anført i pkt. 6.1.</w:t>
      </w:r>
    </w:p>
    <w:p w14:paraId="71B657D5" w14:textId="77777777" w:rsidR="009260DE" w:rsidRPr="00F1542A" w:rsidRDefault="009260DE" w:rsidP="009260DE">
      <w:pPr>
        <w:tabs>
          <w:tab w:val="left" w:pos="851"/>
        </w:tabs>
        <w:ind w:left="851"/>
        <w:rPr>
          <w:sz w:val="24"/>
          <w:szCs w:val="24"/>
        </w:rPr>
      </w:pPr>
    </w:p>
    <w:p w14:paraId="7B547A84" w14:textId="77777777" w:rsidR="009260DE" w:rsidRPr="00F1542A" w:rsidRDefault="009260DE" w:rsidP="009260DE">
      <w:pPr>
        <w:tabs>
          <w:tab w:val="left" w:pos="851"/>
        </w:tabs>
        <w:ind w:left="851" w:hanging="851"/>
        <w:rPr>
          <w:b/>
          <w:sz w:val="24"/>
          <w:szCs w:val="24"/>
        </w:rPr>
      </w:pPr>
      <w:r w:rsidRPr="00F1542A">
        <w:rPr>
          <w:b/>
          <w:sz w:val="24"/>
          <w:szCs w:val="24"/>
        </w:rPr>
        <w:t>3.</w:t>
      </w:r>
      <w:r w:rsidRPr="00F1542A">
        <w:rPr>
          <w:b/>
          <w:sz w:val="24"/>
          <w:szCs w:val="24"/>
        </w:rPr>
        <w:tab/>
        <w:t>LÆGEMIDDELFORM</w:t>
      </w:r>
    </w:p>
    <w:p w14:paraId="3EE72CBE" w14:textId="00C4927C" w:rsidR="001F3313" w:rsidRPr="00F1542A" w:rsidRDefault="001F3313" w:rsidP="00457AF2">
      <w:pPr>
        <w:ind w:left="851"/>
        <w:rPr>
          <w:sz w:val="24"/>
          <w:szCs w:val="24"/>
          <w:lang w:eastAsia="de-DE"/>
        </w:rPr>
      </w:pPr>
      <w:r w:rsidRPr="00F1542A">
        <w:rPr>
          <w:sz w:val="24"/>
          <w:szCs w:val="24"/>
        </w:rPr>
        <w:t>Pulver til injektionsvæske, opløsning</w:t>
      </w:r>
    </w:p>
    <w:p w14:paraId="45AC3C81" w14:textId="77777777" w:rsidR="001F3313" w:rsidRPr="00F1542A" w:rsidRDefault="001F3313" w:rsidP="00457AF2">
      <w:pPr>
        <w:ind w:left="851"/>
        <w:rPr>
          <w:sz w:val="24"/>
          <w:szCs w:val="24"/>
        </w:rPr>
      </w:pPr>
      <w:r w:rsidRPr="00F1542A">
        <w:rPr>
          <w:sz w:val="24"/>
          <w:szCs w:val="24"/>
        </w:rPr>
        <w:t>Mørkegrønt pulver.</w:t>
      </w:r>
    </w:p>
    <w:p w14:paraId="0A766049" w14:textId="77777777" w:rsidR="009260DE" w:rsidRPr="00F1542A" w:rsidRDefault="009260DE" w:rsidP="009260DE">
      <w:pPr>
        <w:tabs>
          <w:tab w:val="left" w:pos="851"/>
        </w:tabs>
        <w:ind w:left="851"/>
        <w:rPr>
          <w:sz w:val="24"/>
          <w:szCs w:val="24"/>
        </w:rPr>
      </w:pPr>
    </w:p>
    <w:p w14:paraId="7A588797" w14:textId="77777777" w:rsidR="009260DE" w:rsidRPr="00F1542A" w:rsidRDefault="009260DE" w:rsidP="009260DE">
      <w:pPr>
        <w:tabs>
          <w:tab w:val="left" w:pos="851"/>
        </w:tabs>
        <w:ind w:left="851"/>
        <w:rPr>
          <w:sz w:val="24"/>
          <w:szCs w:val="24"/>
        </w:rPr>
      </w:pPr>
    </w:p>
    <w:p w14:paraId="3156991A" w14:textId="77777777" w:rsidR="009260DE" w:rsidRPr="00F1542A" w:rsidRDefault="009260DE" w:rsidP="009260DE">
      <w:pPr>
        <w:tabs>
          <w:tab w:val="left" w:pos="851"/>
        </w:tabs>
        <w:ind w:left="851" w:hanging="851"/>
        <w:rPr>
          <w:b/>
          <w:sz w:val="24"/>
          <w:szCs w:val="24"/>
        </w:rPr>
      </w:pPr>
      <w:r w:rsidRPr="00F1542A">
        <w:rPr>
          <w:b/>
          <w:sz w:val="24"/>
          <w:szCs w:val="24"/>
        </w:rPr>
        <w:t>4.</w:t>
      </w:r>
      <w:r w:rsidRPr="00F1542A">
        <w:rPr>
          <w:b/>
          <w:sz w:val="24"/>
          <w:szCs w:val="24"/>
        </w:rPr>
        <w:tab/>
        <w:t>KLINISKE OPLYSNINGER</w:t>
      </w:r>
    </w:p>
    <w:p w14:paraId="623C4DFD" w14:textId="77777777" w:rsidR="009260DE" w:rsidRPr="00F1542A" w:rsidRDefault="009260DE" w:rsidP="009260DE">
      <w:pPr>
        <w:tabs>
          <w:tab w:val="left" w:pos="851"/>
        </w:tabs>
        <w:ind w:left="851"/>
        <w:rPr>
          <w:b/>
          <w:sz w:val="24"/>
          <w:szCs w:val="24"/>
        </w:rPr>
      </w:pPr>
    </w:p>
    <w:p w14:paraId="3E88D10E" w14:textId="77777777" w:rsidR="009260DE" w:rsidRPr="00F1542A" w:rsidRDefault="009260DE" w:rsidP="009260DE">
      <w:pPr>
        <w:tabs>
          <w:tab w:val="left" w:pos="851"/>
        </w:tabs>
        <w:ind w:left="851" w:hanging="851"/>
        <w:rPr>
          <w:b/>
          <w:sz w:val="24"/>
          <w:szCs w:val="24"/>
          <w:u w:val="single"/>
        </w:rPr>
      </w:pPr>
      <w:r w:rsidRPr="00F1542A">
        <w:rPr>
          <w:b/>
          <w:sz w:val="24"/>
          <w:szCs w:val="24"/>
        </w:rPr>
        <w:t>4.1</w:t>
      </w:r>
      <w:r w:rsidRPr="00F1542A">
        <w:rPr>
          <w:b/>
          <w:sz w:val="24"/>
          <w:szCs w:val="24"/>
        </w:rPr>
        <w:tab/>
        <w:t>Terapeutiske indikationer</w:t>
      </w:r>
    </w:p>
    <w:p w14:paraId="012ED944" w14:textId="77777777" w:rsidR="001F3313" w:rsidRPr="00F1542A" w:rsidRDefault="001F3313" w:rsidP="00457AF2">
      <w:pPr>
        <w:ind w:left="851"/>
        <w:rPr>
          <w:sz w:val="24"/>
          <w:szCs w:val="24"/>
          <w:lang w:eastAsia="de-DE"/>
        </w:rPr>
      </w:pPr>
      <w:r w:rsidRPr="00F1542A">
        <w:rPr>
          <w:sz w:val="24"/>
          <w:szCs w:val="24"/>
        </w:rPr>
        <w:t>Dette lægemiddel er kun til diagnostisk brug.</w:t>
      </w:r>
    </w:p>
    <w:p w14:paraId="7D51B2BB" w14:textId="77777777" w:rsidR="001F3313" w:rsidRPr="00F1542A" w:rsidRDefault="001F3313" w:rsidP="00457AF2">
      <w:pPr>
        <w:ind w:left="851"/>
        <w:rPr>
          <w:sz w:val="24"/>
          <w:szCs w:val="24"/>
        </w:rPr>
      </w:pPr>
    </w:p>
    <w:p w14:paraId="4242B682" w14:textId="77777777" w:rsidR="001F3313" w:rsidRPr="00F1542A" w:rsidRDefault="001F3313" w:rsidP="00457AF2">
      <w:pPr>
        <w:ind w:left="851"/>
        <w:rPr>
          <w:b/>
          <w:bCs/>
          <w:sz w:val="24"/>
          <w:szCs w:val="24"/>
          <w:u w:val="single"/>
        </w:rPr>
      </w:pPr>
      <w:r w:rsidRPr="00F1542A">
        <w:rPr>
          <w:b/>
          <w:bCs/>
          <w:sz w:val="24"/>
          <w:szCs w:val="24"/>
          <w:u w:val="single"/>
        </w:rPr>
        <w:t>Diagnostiske indikationer</w:t>
      </w:r>
    </w:p>
    <w:p w14:paraId="146060F0" w14:textId="77777777" w:rsidR="001F3313" w:rsidRPr="00F1542A" w:rsidRDefault="001F3313" w:rsidP="00457AF2">
      <w:pPr>
        <w:ind w:left="851"/>
        <w:rPr>
          <w:sz w:val="24"/>
          <w:szCs w:val="24"/>
        </w:rPr>
      </w:pPr>
    </w:p>
    <w:p w14:paraId="50738425" w14:textId="77777777" w:rsidR="001F3313" w:rsidRPr="00F1542A" w:rsidRDefault="001F3313" w:rsidP="00457AF2">
      <w:pPr>
        <w:ind w:left="851"/>
        <w:rPr>
          <w:b/>
          <w:bCs/>
          <w:sz w:val="24"/>
          <w:szCs w:val="24"/>
        </w:rPr>
      </w:pPr>
      <w:r w:rsidRPr="00F1542A">
        <w:rPr>
          <w:b/>
          <w:bCs/>
          <w:sz w:val="24"/>
          <w:szCs w:val="24"/>
        </w:rPr>
        <w:t>Hjerte-, kredsløbs- og mikro-kredsløbsdiagnostik:</w:t>
      </w:r>
    </w:p>
    <w:p w14:paraId="7AA158AE" w14:textId="43904FF4" w:rsidR="001F3313" w:rsidRPr="00F1542A" w:rsidRDefault="001F3313" w:rsidP="00043CDF">
      <w:pPr>
        <w:pStyle w:val="Listeafsnit"/>
        <w:numPr>
          <w:ilvl w:val="0"/>
          <w:numId w:val="11"/>
        </w:numPr>
        <w:ind w:left="1276" w:hanging="425"/>
        <w:rPr>
          <w:sz w:val="24"/>
          <w:szCs w:val="24"/>
        </w:rPr>
      </w:pPr>
      <w:r w:rsidRPr="00F1542A">
        <w:rPr>
          <w:sz w:val="24"/>
          <w:szCs w:val="24"/>
        </w:rPr>
        <w:t>måling af hjertefrekvens og slagvolumen</w:t>
      </w:r>
    </w:p>
    <w:p w14:paraId="1AD3F1DE" w14:textId="62DBC390" w:rsidR="001F3313" w:rsidRPr="00F1542A" w:rsidRDefault="001F3313" w:rsidP="00043CDF">
      <w:pPr>
        <w:pStyle w:val="Listeafsnit"/>
        <w:numPr>
          <w:ilvl w:val="0"/>
          <w:numId w:val="11"/>
        </w:numPr>
        <w:ind w:left="1276" w:hanging="425"/>
        <w:rPr>
          <w:sz w:val="24"/>
          <w:szCs w:val="24"/>
        </w:rPr>
      </w:pPr>
      <w:r w:rsidRPr="00F1542A">
        <w:rPr>
          <w:sz w:val="24"/>
          <w:szCs w:val="24"/>
        </w:rPr>
        <w:t>måling af cirkulerende blodvolumen</w:t>
      </w:r>
    </w:p>
    <w:p w14:paraId="4FF27F6E" w14:textId="77777777" w:rsidR="001F3313" w:rsidRPr="00F1542A" w:rsidRDefault="001F3313" w:rsidP="00043CDF">
      <w:pPr>
        <w:pStyle w:val="Listeafsnit"/>
        <w:numPr>
          <w:ilvl w:val="0"/>
          <w:numId w:val="11"/>
        </w:numPr>
        <w:ind w:left="1276" w:hanging="425"/>
        <w:rPr>
          <w:sz w:val="24"/>
          <w:szCs w:val="24"/>
        </w:rPr>
      </w:pPr>
      <w:r w:rsidRPr="00F1542A">
        <w:rPr>
          <w:sz w:val="24"/>
          <w:szCs w:val="24"/>
        </w:rPr>
        <w:t xml:space="preserve">måling af </w:t>
      </w:r>
      <w:proofErr w:type="spellStart"/>
      <w:r w:rsidRPr="00F1542A">
        <w:rPr>
          <w:sz w:val="24"/>
          <w:szCs w:val="24"/>
        </w:rPr>
        <w:t>hjerneperfusion</w:t>
      </w:r>
      <w:proofErr w:type="spellEnd"/>
    </w:p>
    <w:p w14:paraId="250F7821" w14:textId="77777777" w:rsidR="001F3313" w:rsidRPr="00F1542A" w:rsidRDefault="001F3313" w:rsidP="00457AF2">
      <w:pPr>
        <w:ind w:left="851"/>
        <w:rPr>
          <w:sz w:val="24"/>
          <w:szCs w:val="24"/>
        </w:rPr>
      </w:pPr>
    </w:p>
    <w:p w14:paraId="5D80434F" w14:textId="77777777" w:rsidR="001F3313" w:rsidRPr="00F1542A" w:rsidRDefault="001F3313" w:rsidP="00457AF2">
      <w:pPr>
        <w:ind w:left="851"/>
        <w:rPr>
          <w:b/>
          <w:bCs/>
          <w:sz w:val="24"/>
          <w:szCs w:val="24"/>
        </w:rPr>
      </w:pPr>
      <w:r w:rsidRPr="00F1542A">
        <w:rPr>
          <w:b/>
          <w:bCs/>
          <w:sz w:val="24"/>
          <w:szCs w:val="24"/>
        </w:rPr>
        <w:t>Leverfunktionsdiagnostik:</w:t>
      </w:r>
    </w:p>
    <w:p w14:paraId="1CA305D1" w14:textId="5C482661" w:rsidR="001F3313" w:rsidRPr="00F1542A" w:rsidRDefault="001F3313" w:rsidP="00043CDF">
      <w:pPr>
        <w:pStyle w:val="Listeafsnit"/>
        <w:numPr>
          <w:ilvl w:val="0"/>
          <w:numId w:val="13"/>
        </w:numPr>
        <w:ind w:left="1276" w:hanging="425"/>
        <w:rPr>
          <w:sz w:val="24"/>
          <w:szCs w:val="24"/>
        </w:rPr>
      </w:pPr>
      <w:r w:rsidRPr="00F1542A">
        <w:rPr>
          <w:sz w:val="24"/>
          <w:szCs w:val="24"/>
        </w:rPr>
        <w:t>måling af leverens blodgennemstrømning</w:t>
      </w:r>
    </w:p>
    <w:p w14:paraId="3522EDC8" w14:textId="4D7B30E7" w:rsidR="001F3313" w:rsidRPr="00F1542A" w:rsidRDefault="001F3313" w:rsidP="00043CDF">
      <w:pPr>
        <w:pStyle w:val="Listeafsnit"/>
        <w:numPr>
          <w:ilvl w:val="0"/>
          <w:numId w:val="13"/>
        </w:numPr>
        <w:ind w:left="1276" w:hanging="425"/>
        <w:rPr>
          <w:sz w:val="24"/>
          <w:szCs w:val="24"/>
        </w:rPr>
      </w:pPr>
      <w:r w:rsidRPr="00F1542A">
        <w:rPr>
          <w:sz w:val="24"/>
          <w:szCs w:val="24"/>
        </w:rPr>
        <w:t xml:space="preserve">måling af leverens </w:t>
      </w:r>
      <w:proofErr w:type="spellStart"/>
      <w:r w:rsidRPr="00F1542A">
        <w:rPr>
          <w:sz w:val="24"/>
          <w:szCs w:val="24"/>
        </w:rPr>
        <w:t>ekskretionsfunktion</w:t>
      </w:r>
      <w:proofErr w:type="spellEnd"/>
    </w:p>
    <w:p w14:paraId="1808D6BE" w14:textId="77777777" w:rsidR="001F3313" w:rsidRPr="00F1542A" w:rsidRDefault="001F3313" w:rsidP="00457AF2">
      <w:pPr>
        <w:ind w:left="851"/>
        <w:rPr>
          <w:sz w:val="24"/>
          <w:szCs w:val="24"/>
        </w:rPr>
      </w:pPr>
    </w:p>
    <w:p w14:paraId="2622FCA2" w14:textId="77777777" w:rsidR="001F3313" w:rsidRPr="00F1542A" w:rsidRDefault="001F3313" w:rsidP="00457AF2">
      <w:pPr>
        <w:ind w:left="851"/>
        <w:rPr>
          <w:b/>
          <w:bCs/>
          <w:sz w:val="24"/>
          <w:szCs w:val="24"/>
        </w:rPr>
      </w:pPr>
      <w:proofErr w:type="spellStart"/>
      <w:r w:rsidRPr="00F1542A">
        <w:rPr>
          <w:b/>
          <w:bCs/>
          <w:sz w:val="24"/>
          <w:szCs w:val="24"/>
        </w:rPr>
        <w:t>Oftalmisk</w:t>
      </w:r>
      <w:proofErr w:type="spellEnd"/>
      <w:r w:rsidRPr="00F1542A">
        <w:rPr>
          <w:b/>
          <w:bCs/>
          <w:sz w:val="24"/>
          <w:szCs w:val="24"/>
        </w:rPr>
        <w:t xml:space="preserve"> </w:t>
      </w:r>
      <w:proofErr w:type="spellStart"/>
      <w:r w:rsidRPr="00F1542A">
        <w:rPr>
          <w:b/>
          <w:bCs/>
          <w:sz w:val="24"/>
          <w:szCs w:val="24"/>
        </w:rPr>
        <w:t>angiografidiagnostik</w:t>
      </w:r>
      <w:proofErr w:type="spellEnd"/>
      <w:r w:rsidRPr="00F1542A">
        <w:rPr>
          <w:b/>
          <w:bCs/>
          <w:sz w:val="24"/>
          <w:szCs w:val="24"/>
        </w:rPr>
        <w:t>:</w:t>
      </w:r>
    </w:p>
    <w:p w14:paraId="2742A2E0" w14:textId="2929500C" w:rsidR="001F3313" w:rsidRPr="00F1542A" w:rsidRDefault="001F3313" w:rsidP="00043CDF">
      <w:pPr>
        <w:pStyle w:val="Listeafsnit"/>
        <w:numPr>
          <w:ilvl w:val="0"/>
          <w:numId w:val="13"/>
        </w:numPr>
        <w:ind w:left="1276" w:hanging="425"/>
        <w:rPr>
          <w:sz w:val="24"/>
          <w:szCs w:val="24"/>
        </w:rPr>
      </w:pPr>
      <w:r w:rsidRPr="00F1542A">
        <w:rPr>
          <w:sz w:val="24"/>
          <w:szCs w:val="24"/>
        </w:rPr>
        <w:t xml:space="preserve">måling af perfusion i </w:t>
      </w:r>
      <w:proofErr w:type="spellStart"/>
      <w:r w:rsidRPr="00F1542A">
        <w:rPr>
          <w:sz w:val="24"/>
          <w:szCs w:val="24"/>
        </w:rPr>
        <w:t>choroidea</w:t>
      </w:r>
      <w:proofErr w:type="spellEnd"/>
    </w:p>
    <w:p w14:paraId="325497FF" w14:textId="77777777" w:rsidR="009260DE" w:rsidRPr="00F1542A" w:rsidRDefault="009260DE" w:rsidP="009260DE">
      <w:pPr>
        <w:tabs>
          <w:tab w:val="left" w:pos="851"/>
        </w:tabs>
        <w:ind w:left="851"/>
        <w:rPr>
          <w:sz w:val="24"/>
          <w:szCs w:val="24"/>
        </w:rPr>
      </w:pPr>
    </w:p>
    <w:p w14:paraId="7257D24C" w14:textId="77777777" w:rsidR="009260DE" w:rsidRPr="00F1542A" w:rsidRDefault="009260DE" w:rsidP="009260DE">
      <w:pPr>
        <w:tabs>
          <w:tab w:val="left" w:pos="851"/>
        </w:tabs>
        <w:ind w:left="851" w:hanging="851"/>
        <w:rPr>
          <w:b/>
          <w:sz w:val="24"/>
          <w:szCs w:val="24"/>
        </w:rPr>
      </w:pPr>
      <w:r w:rsidRPr="00F1542A">
        <w:rPr>
          <w:b/>
          <w:sz w:val="24"/>
          <w:szCs w:val="24"/>
        </w:rPr>
        <w:t>4.2</w:t>
      </w:r>
      <w:r w:rsidRPr="00F1542A">
        <w:rPr>
          <w:b/>
          <w:sz w:val="24"/>
          <w:szCs w:val="24"/>
        </w:rPr>
        <w:tab/>
        <w:t>Dosering og indgivelsesmåde</w:t>
      </w:r>
    </w:p>
    <w:p w14:paraId="68145851" w14:textId="77777777" w:rsidR="00043CDF" w:rsidRPr="00F1542A" w:rsidRDefault="00043CDF" w:rsidP="00457AF2">
      <w:pPr>
        <w:ind w:left="851"/>
        <w:rPr>
          <w:sz w:val="24"/>
          <w:szCs w:val="24"/>
        </w:rPr>
      </w:pPr>
    </w:p>
    <w:p w14:paraId="5A94C645" w14:textId="750BFDCB" w:rsidR="001F3313" w:rsidRPr="00F1542A" w:rsidRDefault="001F3313" w:rsidP="00457AF2">
      <w:pPr>
        <w:ind w:left="851"/>
        <w:rPr>
          <w:sz w:val="24"/>
          <w:szCs w:val="24"/>
          <w:u w:val="single"/>
          <w:lang w:eastAsia="de-DE"/>
        </w:rPr>
      </w:pPr>
      <w:r w:rsidRPr="00F1542A">
        <w:rPr>
          <w:sz w:val="24"/>
          <w:szCs w:val="24"/>
          <w:u w:val="single"/>
        </w:rPr>
        <w:t>Dosering</w:t>
      </w:r>
    </w:p>
    <w:p w14:paraId="1887268D" w14:textId="77777777" w:rsidR="001F3313" w:rsidRPr="00F1542A" w:rsidRDefault="001F3313" w:rsidP="00457AF2">
      <w:pPr>
        <w:ind w:left="851"/>
        <w:rPr>
          <w:sz w:val="24"/>
          <w:szCs w:val="24"/>
        </w:rPr>
      </w:pPr>
    </w:p>
    <w:p w14:paraId="13DEAEC4" w14:textId="133043C0" w:rsidR="001F3313" w:rsidRPr="00F1542A" w:rsidRDefault="001F3313" w:rsidP="00457AF2">
      <w:pPr>
        <w:ind w:left="851"/>
        <w:rPr>
          <w:sz w:val="24"/>
          <w:szCs w:val="24"/>
          <w:u w:val="single"/>
        </w:rPr>
      </w:pPr>
      <w:r w:rsidRPr="00F1542A">
        <w:rPr>
          <w:sz w:val="24"/>
          <w:szCs w:val="24"/>
          <w:u w:val="single"/>
        </w:rPr>
        <w:t>Enkelt dosis pr. måling i voksne, ældre,</w:t>
      </w:r>
      <w:r w:rsidR="00043CDF" w:rsidRPr="00F1542A">
        <w:rPr>
          <w:sz w:val="24"/>
          <w:szCs w:val="24"/>
          <w:u w:val="single"/>
        </w:rPr>
        <w:t xml:space="preserve"> </w:t>
      </w:r>
      <w:r w:rsidRPr="00F1542A">
        <w:rPr>
          <w:sz w:val="24"/>
          <w:szCs w:val="24"/>
          <w:u w:val="single"/>
        </w:rPr>
        <w:t>unge, børn:</w:t>
      </w:r>
    </w:p>
    <w:p w14:paraId="60E349E0" w14:textId="77777777" w:rsidR="001F3313" w:rsidRPr="00F1542A" w:rsidRDefault="001F3313" w:rsidP="00457AF2">
      <w:pPr>
        <w:ind w:left="851"/>
        <w:rPr>
          <w:sz w:val="24"/>
          <w:szCs w:val="24"/>
        </w:rPr>
      </w:pPr>
    </w:p>
    <w:p w14:paraId="0A960AD1" w14:textId="77777777" w:rsidR="001F3313" w:rsidRPr="00F1542A" w:rsidRDefault="001F3313" w:rsidP="00457AF2">
      <w:pPr>
        <w:ind w:left="851"/>
        <w:rPr>
          <w:sz w:val="24"/>
          <w:szCs w:val="24"/>
        </w:rPr>
      </w:pPr>
      <w:proofErr w:type="spellStart"/>
      <w:r w:rsidRPr="00F1542A">
        <w:rPr>
          <w:b/>
          <w:sz w:val="24"/>
          <w:szCs w:val="24"/>
        </w:rPr>
        <w:t>Kardio</w:t>
      </w:r>
      <w:proofErr w:type="spellEnd"/>
      <w:r w:rsidRPr="00F1542A">
        <w:rPr>
          <w:b/>
          <w:sz w:val="24"/>
          <w:szCs w:val="24"/>
        </w:rPr>
        <w:t xml:space="preserve">-, kredsløbs-, mikro-kredsløbs- og </w:t>
      </w:r>
      <w:proofErr w:type="spellStart"/>
      <w:r w:rsidRPr="00F1542A">
        <w:rPr>
          <w:sz w:val="24"/>
          <w:szCs w:val="24"/>
        </w:rPr>
        <w:t>vævsperfusions</w:t>
      </w:r>
      <w:proofErr w:type="spellEnd"/>
      <w:r w:rsidRPr="00F1542A">
        <w:rPr>
          <w:sz w:val="24"/>
          <w:szCs w:val="24"/>
        </w:rPr>
        <w:t>-</w:t>
      </w:r>
      <w:r w:rsidRPr="00F1542A">
        <w:rPr>
          <w:b/>
          <w:sz w:val="24"/>
          <w:szCs w:val="24"/>
        </w:rPr>
        <w:t xml:space="preserve">diagnostik </w:t>
      </w:r>
      <w:r w:rsidRPr="00F1542A">
        <w:rPr>
          <w:sz w:val="24"/>
          <w:szCs w:val="24"/>
        </w:rPr>
        <w:t xml:space="preserve">samt </w:t>
      </w:r>
      <w:r w:rsidRPr="00F1542A">
        <w:rPr>
          <w:b/>
          <w:sz w:val="24"/>
          <w:szCs w:val="24"/>
        </w:rPr>
        <w:t>hjerne-blodgennemstrømning:</w:t>
      </w:r>
      <w:r w:rsidRPr="00F1542A">
        <w:rPr>
          <w:sz w:val="24"/>
          <w:szCs w:val="24"/>
        </w:rPr>
        <w:t xml:space="preserve"> 0,1 til 0,3 mg/kg kropsvægt som </w:t>
      </w:r>
      <w:proofErr w:type="spellStart"/>
      <w:r w:rsidRPr="00F1542A">
        <w:rPr>
          <w:sz w:val="24"/>
          <w:szCs w:val="24"/>
        </w:rPr>
        <w:t>bolusinjektion</w:t>
      </w:r>
      <w:proofErr w:type="spellEnd"/>
    </w:p>
    <w:p w14:paraId="3929B1BE" w14:textId="77777777" w:rsidR="001F3313" w:rsidRPr="00F1542A" w:rsidRDefault="001F3313" w:rsidP="00457AF2">
      <w:pPr>
        <w:ind w:left="851"/>
        <w:rPr>
          <w:sz w:val="24"/>
          <w:szCs w:val="24"/>
        </w:rPr>
      </w:pPr>
    </w:p>
    <w:p w14:paraId="0F949A3F" w14:textId="77777777" w:rsidR="001F3313" w:rsidRPr="00F1542A" w:rsidRDefault="001F3313" w:rsidP="00457AF2">
      <w:pPr>
        <w:ind w:left="851"/>
        <w:rPr>
          <w:sz w:val="24"/>
          <w:szCs w:val="24"/>
        </w:rPr>
      </w:pPr>
      <w:r w:rsidRPr="00F1542A">
        <w:rPr>
          <w:b/>
          <w:sz w:val="24"/>
          <w:szCs w:val="24"/>
        </w:rPr>
        <w:t>Leverfunktionsdiagnostik:</w:t>
      </w:r>
      <w:r w:rsidRPr="00F1542A">
        <w:rPr>
          <w:sz w:val="24"/>
          <w:szCs w:val="24"/>
        </w:rPr>
        <w:t xml:space="preserve"> 0,25 til 0,5 mg/kg kropsvægt som </w:t>
      </w:r>
      <w:proofErr w:type="spellStart"/>
      <w:r w:rsidRPr="00F1542A">
        <w:rPr>
          <w:sz w:val="24"/>
          <w:szCs w:val="24"/>
        </w:rPr>
        <w:t>bolusinjektion</w:t>
      </w:r>
      <w:proofErr w:type="spellEnd"/>
    </w:p>
    <w:p w14:paraId="52EE1CA8" w14:textId="77777777" w:rsidR="001F3313" w:rsidRPr="00F1542A" w:rsidRDefault="001F3313" w:rsidP="00457AF2">
      <w:pPr>
        <w:ind w:left="851"/>
        <w:rPr>
          <w:sz w:val="24"/>
          <w:szCs w:val="24"/>
        </w:rPr>
      </w:pPr>
    </w:p>
    <w:p w14:paraId="13CE3499" w14:textId="77777777" w:rsidR="001F3313" w:rsidRPr="00F1542A" w:rsidRDefault="001F3313" w:rsidP="00457AF2">
      <w:pPr>
        <w:ind w:left="851"/>
        <w:rPr>
          <w:sz w:val="24"/>
          <w:szCs w:val="24"/>
        </w:rPr>
      </w:pPr>
      <w:proofErr w:type="spellStart"/>
      <w:r w:rsidRPr="00F1542A">
        <w:rPr>
          <w:b/>
          <w:sz w:val="24"/>
          <w:szCs w:val="24"/>
        </w:rPr>
        <w:t>Oftalmisk</w:t>
      </w:r>
      <w:proofErr w:type="spellEnd"/>
      <w:r w:rsidRPr="00F1542A">
        <w:rPr>
          <w:b/>
          <w:sz w:val="24"/>
          <w:szCs w:val="24"/>
        </w:rPr>
        <w:t xml:space="preserve"> </w:t>
      </w:r>
      <w:proofErr w:type="spellStart"/>
      <w:r w:rsidRPr="00F1542A">
        <w:rPr>
          <w:b/>
          <w:sz w:val="24"/>
          <w:szCs w:val="24"/>
        </w:rPr>
        <w:t>angiografi</w:t>
      </w:r>
      <w:proofErr w:type="spellEnd"/>
      <w:r w:rsidRPr="00F1542A">
        <w:rPr>
          <w:b/>
          <w:sz w:val="24"/>
          <w:szCs w:val="24"/>
        </w:rPr>
        <w:t>:</w:t>
      </w:r>
      <w:r w:rsidRPr="00F1542A">
        <w:rPr>
          <w:sz w:val="24"/>
          <w:szCs w:val="24"/>
        </w:rPr>
        <w:t xml:space="preserve"> 0,1 til 0,3 mg/kg kropsvægt som </w:t>
      </w:r>
      <w:proofErr w:type="spellStart"/>
      <w:r w:rsidRPr="00F1542A">
        <w:rPr>
          <w:sz w:val="24"/>
          <w:szCs w:val="24"/>
        </w:rPr>
        <w:t>bolusinjektion</w:t>
      </w:r>
      <w:proofErr w:type="spellEnd"/>
    </w:p>
    <w:p w14:paraId="68C483B5" w14:textId="77777777" w:rsidR="001F3313" w:rsidRPr="00F1542A" w:rsidRDefault="001F3313" w:rsidP="00457AF2">
      <w:pPr>
        <w:ind w:left="851"/>
        <w:rPr>
          <w:sz w:val="24"/>
          <w:szCs w:val="24"/>
        </w:rPr>
      </w:pPr>
    </w:p>
    <w:p w14:paraId="55FDA473" w14:textId="77777777" w:rsidR="001F3313" w:rsidRPr="00F1542A" w:rsidRDefault="001F3313" w:rsidP="00457AF2">
      <w:pPr>
        <w:ind w:left="851"/>
        <w:rPr>
          <w:sz w:val="24"/>
          <w:szCs w:val="24"/>
          <w:u w:val="single"/>
        </w:rPr>
      </w:pPr>
      <w:r w:rsidRPr="00F1542A">
        <w:rPr>
          <w:sz w:val="24"/>
          <w:szCs w:val="24"/>
          <w:u w:val="single"/>
        </w:rPr>
        <w:t>Samlet daglig dosis:</w:t>
      </w:r>
    </w:p>
    <w:p w14:paraId="7E9AA69E" w14:textId="77777777" w:rsidR="001F3313" w:rsidRPr="00F1542A" w:rsidRDefault="001F3313" w:rsidP="00457AF2">
      <w:pPr>
        <w:ind w:left="851"/>
        <w:rPr>
          <w:sz w:val="24"/>
          <w:szCs w:val="24"/>
        </w:rPr>
      </w:pPr>
    </w:p>
    <w:p w14:paraId="0DF6E93F" w14:textId="77777777" w:rsidR="001F3313" w:rsidRPr="00F1542A" w:rsidRDefault="001F3313" w:rsidP="00457AF2">
      <w:pPr>
        <w:ind w:left="851"/>
        <w:rPr>
          <w:b/>
          <w:sz w:val="24"/>
          <w:szCs w:val="24"/>
        </w:rPr>
      </w:pPr>
      <w:r w:rsidRPr="00F1542A">
        <w:rPr>
          <w:b/>
          <w:sz w:val="24"/>
          <w:szCs w:val="24"/>
        </w:rPr>
        <w:t xml:space="preserve">Voksne, ældre, unge 11 </w:t>
      </w:r>
      <w:r w:rsidRPr="00F1542A">
        <w:rPr>
          <w:b/>
          <w:sz w:val="24"/>
          <w:szCs w:val="24"/>
        </w:rPr>
        <w:noBreakHyphen/>
        <w:t xml:space="preserve"> 18 år:</w:t>
      </w:r>
    </w:p>
    <w:p w14:paraId="545ED473" w14:textId="77777777" w:rsidR="001F3313" w:rsidRPr="00F1542A" w:rsidRDefault="001F3313" w:rsidP="00457AF2">
      <w:pPr>
        <w:ind w:left="851"/>
        <w:rPr>
          <w:sz w:val="24"/>
          <w:szCs w:val="24"/>
        </w:rPr>
      </w:pPr>
      <w:r w:rsidRPr="00F1542A">
        <w:rPr>
          <w:sz w:val="24"/>
          <w:szCs w:val="24"/>
        </w:rPr>
        <w:t xml:space="preserve">Den samlede daglige dosis af </w:t>
      </w:r>
      <w:proofErr w:type="spellStart"/>
      <w:r w:rsidRPr="00F1542A">
        <w:rPr>
          <w:sz w:val="24"/>
          <w:szCs w:val="24"/>
        </w:rPr>
        <w:t>Verdye</w:t>
      </w:r>
      <w:proofErr w:type="spellEnd"/>
      <w:r w:rsidRPr="00F1542A">
        <w:rPr>
          <w:sz w:val="24"/>
          <w:szCs w:val="24"/>
        </w:rPr>
        <w:t xml:space="preserve"> skal holdes under 5 mg/kg kropsvægt.</w:t>
      </w:r>
    </w:p>
    <w:p w14:paraId="55093351" w14:textId="77777777" w:rsidR="001F3313" w:rsidRPr="00F1542A" w:rsidRDefault="001F3313" w:rsidP="00457AF2">
      <w:pPr>
        <w:ind w:left="851"/>
        <w:rPr>
          <w:sz w:val="24"/>
          <w:szCs w:val="24"/>
        </w:rPr>
      </w:pPr>
    </w:p>
    <w:p w14:paraId="5D0287B6" w14:textId="77777777" w:rsidR="001F3313" w:rsidRPr="00F1542A" w:rsidRDefault="001F3313" w:rsidP="00457AF2">
      <w:pPr>
        <w:ind w:left="851"/>
        <w:rPr>
          <w:sz w:val="24"/>
          <w:szCs w:val="24"/>
        </w:rPr>
      </w:pPr>
      <w:r w:rsidRPr="00F1542A">
        <w:rPr>
          <w:b/>
          <w:sz w:val="24"/>
          <w:szCs w:val="24"/>
        </w:rPr>
        <w:t>Børn</w:t>
      </w:r>
      <w:r w:rsidRPr="00F1542A">
        <w:rPr>
          <w:sz w:val="24"/>
          <w:szCs w:val="24"/>
        </w:rPr>
        <w:t xml:space="preserve"> </w:t>
      </w:r>
      <w:r w:rsidRPr="00F1542A">
        <w:rPr>
          <w:b/>
          <w:sz w:val="24"/>
          <w:szCs w:val="24"/>
        </w:rPr>
        <w:t xml:space="preserve">2 </w:t>
      </w:r>
      <w:r w:rsidRPr="00F1542A">
        <w:rPr>
          <w:b/>
          <w:sz w:val="24"/>
          <w:szCs w:val="24"/>
        </w:rPr>
        <w:noBreakHyphen/>
        <w:t xml:space="preserve"> 11 år:</w:t>
      </w:r>
    </w:p>
    <w:p w14:paraId="451D306D" w14:textId="77777777" w:rsidR="001F3313" w:rsidRPr="00F1542A" w:rsidRDefault="001F3313" w:rsidP="00457AF2">
      <w:pPr>
        <w:ind w:left="851"/>
        <w:rPr>
          <w:sz w:val="24"/>
          <w:szCs w:val="24"/>
        </w:rPr>
      </w:pPr>
      <w:r w:rsidRPr="00F1542A">
        <w:rPr>
          <w:sz w:val="24"/>
          <w:szCs w:val="24"/>
        </w:rPr>
        <w:t>Den totale daglige dosis skal holdes under 2,5 mg/kg kropsvægt.</w:t>
      </w:r>
    </w:p>
    <w:p w14:paraId="0BD7A13D" w14:textId="77777777" w:rsidR="001F3313" w:rsidRPr="00F1542A" w:rsidRDefault="001F3313" w:rsidP="00457AF2">
      <w:pPr>
        <w:ind w:left="851"/>
        <w:rPr>
          <w:sz w:val="24"/>
          <w:szCs w:val="24"/>
        </w:rPr>
      </w:pPr>
    </w:p>
    <w:p w14:paraId="6A515A41" w14:textId="77777777" w:rsidR="001F3313" w:rsidRPr="00F1542A" w:rsidRDefault="001F3313" w:rsidP="00457AF2">
      <w:pPr>
        <w:ind w:left="851"/>
        <w:rPr>
          <w:sz w:val="24"/>
          <w:szCs w:val="24"/>
        </w:rPr>
      </w:pPr>
      <w:r w:rsidRPr="00F1542A">
        <w:rPr>
          <w:b/>
          <w:sz w:val="24"/>
          <w:szCs w:val="24"/>
        </w:rPr>
        <w:t>Børn</w:t>
      </w:r>
      <w:r w:rsidRPr="00F1542A">
        <w:rPr>
          <w:sz w:val="24"/>
          <w:szCs w:val="24"/>
        </w:rPr>
        <w:t xml:space="preserve"> </w:t>
      </w:r>
      <w:r w:rsidRPr="00F1542A">
        <w:rPr>
          <w:b/>
          <w:sz w:val="24"/>
          <w:szCs w:val="24"/>
        </w:rPr>
        <w:t xml:space="preserve">0 </w:t>
      </w:r>
      <w:r w:rsidRPr="00F1542A">
        <w:rPr>
          <w:b/>
          <w:sz w:val="24"/>
          <w:szCs w:val="24"/>
        </w:rPr>
        <w:noBreakHyphen/>
        <w:t xml:space="preserve"> 2 år:</w:t>
      </w:r>
    </w:p>
    <w:p w14:paraId="4E005930" w14:textId="77777777" w:rsidR="001F3313" w:rsidRPr="00F1542A" w:rsidRDefault="001F3313" w:rsidP="00457AF2">
      <w:pPr>
        <w:ind w:left="851"/>
        <w:rPr>
          <w:sz w:val="24"/>
          <w:szCs w:val="24"/>
        </w:rPr>
      </w:pPr>
      <w:r w:rsidRPr="00F1542A">
        <w:rPr>
          <w:sz w:val="24"/>
          <w:szCs w:val="24"/>
        </w:rPr>
        <w:t>Den samlede daglige dosis skal holdes under 1,25 mg/kg kropsvægt.</w:t>
      </w:r>
    </w:p>
    <w:p w14:paraId="7E6A5DA7" w14:textId="77777777" w:rsidR="001F3313" w:rsidRPr="00F1542A" w:rsidRDefault="001F3313" w:rsidP="00457AF2">
      <w:pPr>
        <w:ind w:left="851"/>
        <w:rPr>
          <w:sz w:val="24"/>
          <w:szCs w:val="24"/>
        </w:rPr>
      </w:pPr>
    </w:p>
    <w:p w14:paraId="5197B9FE" w14:textId="77777777" w:rsidR="001F3313" w:rsidRPr="00F1542A" w:rsidRDefault="001F3313" w:rsidP="00457AF2">
      <w:pPr>
        <w:ind w:left="851"/>
        <w:rPr>
          <w:i/>
          <w:iCs/>
          <w:color w:val="000000"/>
          <w:sz w:val="24"/>
          <w:szCs w:val="24"/>
        </w:rPr>
      </w:pPr>
      <w:r w:rsidRPr="00F1542A">
        <w:rPr>
          <w:i/>
          <w:iCs/>
          <w:color w:val="000000"/>
          <w:sz w:val="24"/>
          <w:szCs w:val="24"/>
        </w:rPr>
        <w:t>Pædiatrisk population</w:t>
      </w:r>
    </w:p>
    <w:p w14:paraId="44C71586" w14:textId="77777777" w:rsidR="001F3313" w:rsidRPr="00F1542A" w:rsidRDefault="001F3313" w:rsidP="00457AF2">
      <w:pPr>
        <w:ind w:left="851"/>
        <w:rPr>
          <w:color w:val="000000"/>
          <w:sz w:val="24"/>
          <w:szCs w:val="24"/>
        </w:rPr>
      </w:pPr>
      <w:r w:rsidRPr="00F1542A">
        <w:rPr>
          <w:color w:val="000000"/>
          <w:sz w:val="24"/>
          <w:szCs w:val="24"/>
        </w:rPr>
        <w:t>Enkeltdoser, der kan bruges til den pædiatriske population, er de samme som dem til voksne, men den totale daglige dosis bør holdes under 2,5 mg/kg legemsvægt hos børn i alderen 2 - 11 år, og under 1,25 mg/kg legemsvægt hos børn i alderen 0 - 2 år.</w:t>
      </w:r>
    </w:p>
    <w:p w14:paraId="24917DC3" w14:textId="77777777" w:rsidR="001F3313" w:rsidRPr="00F1542A" w:rsidRDefault="001F3313" w:rsidP="00457AF2">
      <w:pPr>
        <w:ind w:left="851"/>
        <w:rPr>
          <w:sz w:val="24"/>
          <w:szCs w:val="24"/>
        </w:rPr>
      </w:pPr>
    </w:p>
    <w:p w14:paraId="7C9271A3" w14:textId="77777777" w:rsidR="001F3313" w:rsidRPr="00F1542A" w:rsidRDefault="001F3313" w:rsidP="00457AF2">
      <w:pPr>
        <w:ind w:left="851"/>
        <w:rPr>
          <w:i/>
          <w:iCs/>
          <w:color w:val="000000"/>
          <w:sz w:val="24"/>
          <w:szCs w:val="24"/>
        </w:rPr>
      </w:pPr>
      <w:r w:rsidRPr="00F1542A">
        <w:rPr>
          <w:i/>
          <w:iCs/>
          <w:color w:val="000000"/>
          <w:sz w:val="24"/>
          <w:szCs w:val="24"/>
        </w:rPr>
        <w:t>Patienter med nedsat nyrefunktion</w:t>
      </w:r>
    </w:p>
    <w:p w14:paraId="191E6537" w14:textId="77777777" w:rsidR="001F3313" w:rsidRPr="00F1542A" w:rsidRDefault="001F3313" w:rsidP="00457AF2">
      <w:pPr>
        <w:ind w:left="851"/>
        <w:rPr>
          <w:color w:val="000000"/>
          <w:sz w:val="24"/>
          <w:szCs w:val="24"/>
        </w:rPr>
      </w:pPr>
      <w:proofErr w:type="spellStart"/>
      <w:r w:rsidRPr="00F1542A">
        <w:rPr>
          <w:color w:val="000000"/>
          <w:sz w:val="24"/>
          <w:szCs w:val="24"/>
        </w:rPr>
        <w:t>Verdye</w:t>
      </w:r>
      <w:proofErr w:type="spellEnd"/>
      <w:r w:rsidRPr="00F1542A">
        <w:rPr>
          <w:color w:val="000000"/>
          <w:sz w:val="24"/>
          <w:szCs w:val="24"/>
        </w:rPr>
        <w:t xml:space="preserve"> er ikke blevet formelt undersøgt hos patienter med nedsat nyrefunktion. Der foreligger ingen specifikke dosisanbefalinger for denne patientpopulation. Patienter med svært nedsat nyrefunktion bør overvåges nøje for bivirkninger (se pkt. 4.4).</w:t>
      </w:r>
    </w:p>
    <w:p w14:paraId="3E1DB125" w14:textId="77777777" w:rsidR="001F3313" w:rsidRPr="00F1542A" w:rsidRDefault="001F3313" w:rsidP="00457AF2">
      <w:pPr>
        <w:ind w:left="851"/>
        <w:rPr>
          <w:sz w:val="24"/>
          <w:szCs w:val="24"/>
        </w:rPr>
      </w:pPr>
    </w:p>
    <w:p w14:paraId="14219AD5" w14:textId="77777777" w:rsidR="001F3313" w:rsidRPr="00F1542A" w:rsidRDefault="001F3313" w:rsidP="00457AF2">
      <w:pPr>
        <w:ind w:left="851"/>
        <w:rPr>
          <w:i/>
          <w:iCs/>
          <w:color w:val="000000"/>
          <w:sz w:val="24"/>
          <w:szCs w:val="24"/>
        </w:rPr>
      </w:pPr>
      <w:r w:rsidRPr="00F1542A">
        <w:rPr>
          <w:i/>
          <w:iCs/>
          <w:color w:val="000000"/>
          <w:sz w:val="24"/>
          <w:szCs w:val="24"/>
        </w:rPr>
        <w:t>Patienter med nedsat leverfunktion</w:t>
      </w:r>
    </w:p>
    <w:p w14:paraId="683D8E4E" w14:textId="77777777" w:rsidR="001F3313" w:rsidRPr="00F1542A" w:rsidRDefault="001F3313" w:rsidP="00457AF2">
      <w:pPr>
        <w:ind w:left="851"/>
        <w:rPr>
          <w:sz w:val="24"/>
          <w:szCs w:val="24"/>
        </w:rPr>
      </w:pPr>
      <w:proofErr w:type="spellStart"/>
      <w:r w:rsidRPr="00F1542A">
        <w:rPr>
          <w:color w:val="000000"/>
          <w:sz w:val="24"/>
          <w:szCs w:val="24"/>
        </w:rPr>
        <w:t>Verdye</w:t>
      </w:r>
      <w:proofErr w:type="spellEnd"/>
      <w:r w:rsidRPr="00F1542A">
        <w:rPr>
          <w:color w:val="000000"/>
          <w:sz w:val="24"/>
          <w:szCs w:val="24"/>
        </w:rPr>
        <w:t xml:space="preserve"> er ikke blevet formelt undersøgt hos patienter med nedsat leverfunktion. Der foreligger ingen specifikke dosisanbefalinger for denne patientpopulation. Hos patienter med svært nedsat leverfunktion (f.eks. alkoholisk eller biliær cirrose), kan </w:t>
      </w:r>
      <w:proofErr w:type="spellStart"/>
      <w:r w:rsidRPr="00F1542A">
        <w:rPr>
          <w:color w:val="000000"/>
          <w:sz w:val="24"/>
          <w:szCs w:val="24"/>
        </w:rPr>
        <w:t>plasmaclearance</w:t>
      </w:r>
      <w:proofErr w:type="spellEnd"/>
      <w:r w:rsidRPr="00F1542A">
        <w:rPr>
          <w:color w:val="000000"/>
          <w:sz w:val="24"/>
          <w:szCs w:val="24"/>
        </w:rPr>
        <w:t xml:space="preserve"> af </w:t>
      </w:r>
      <w:proofErr w:type="spellStart"/>
      <w:r w:rsidRPr="00F1542A">
        <w:rPr>
          <w:color w:val="000000"/>
          <w:sz w:val="24"/>
          <w:szCs w:val="24"/>
        </w:rPr>
        <w:t>indocyaningrønt</w:t>
      </w:r>
      <w:proofErr w:type="spellEnd"/>
      <w:r w:rsidRPr="00F1542A">
        <w:rPr>
          <w:color w:val="000000"/>
          <w:sz w:val="24"/>
          <w:szCs w:val="24"/>
        </w:rPr>
        <w:t xml:space="preserve"> nedsættes.</w:t>
      </w:r>
    </w:p>
    <w:p w14:paraId="1C8937A1" w14:textId="77777777" w:rsidR="001F3313" w:rsidRPr="00F1542A" w:rsidRDefault="001F3313" w:rsidP="00457AF2">
      <w:pPr>
        <w:ind w:left="851"/>
        <w:rPr>
          <w:sz w:val="24"/>
          <w:szCs w:val="24"/>
        </w:rPr>
      </w:pPr>
    </w:p>
    <w:p w14:paraId="5727E78A" w14:textId="77777777" w:rsidR="001F3313" w:rsidRPr="00F1542A" w:rsidRDefault="001F3313" w:rsidP="00457AF2">
      <w:pPr>
        <w:ind w:left="851"/>
        <w:rPr>
          <w:sz w:val="24"/>
          <w:szCs w:val="24"/>
          <w:u w:val="single"/>
        </w:rPr>
      </w:pPr>
      <w:r w:rsidRPr="00F1542A">
        <w:rPr>
          <w:sz w:val="24"/>
          <w:szCs w:val="24"/>
          <w:u w:val="single"/>
        </w:rPr>
        <w:t xml:space="preserve">Administration </w:t>
      </w:r>
    </w:p>
    <w:p w14:paraId="30EA80FC" w14:textId="77777777" w:rsidR="001F3313" w:rsidRPr="00F1542A" w:rsidRDefault="001F3313" w:rsidP="00457AF2">
      <w:pPr>
        <w:ind w:left="851"/>
        <w:rPr>
          <w:sz w:val="24"/>
          <w:szCs w:val="24"/>
        </w:rPr>
      </w:pPr>
      <w:r w:rsidRPr="00F1542A">
        <w:rPr>
          <w:iCs/>
          <w:sz w:val="24"/>
          <w:szCs w:val="24"/>
        </w:rPr>
        <w:t xml:space="preserve">Forud for administration skal pulveret </w:t>
      </w:r>
      <w:proofErr w:type="spellStart"/>
      <w:r w:rsidRPr="00F1542A">
        <w:rPr>
          <w:iCs/>
          <w:sz w:val="24"/>
          <w:szCs w:val="24"/>
        </w:rPr>
        <w:t>rekonstitueres</w:t>
      </w:r>
      <w:proofErr w:type="spellEnd"/>
      <w:r w:rsidRPr="00F1542A">
        <w:rPr>
          <w:iCs/>
          <w:sz w:val="24"/>
          <w:szCs w:val="24"/>
        </w:rPr>
        <w:t xml:space="preserve"> med vand til injektionsvæsker.</w:t>
      </w:r>
      <w:r w:rsidRPr="00F1542A">
        <w:rPr>
          <w:sz w:val="24"/>
          <w:szCs w:val="24"/>
        </w:rPr>
        <w:t xml:space="preserve"> </w:t>
      </w:r>
      <w:r w:rsidRPr="00F1542A">
        <w:rPr>
          <w:iCs/>
          <w:sz w:val="24"/>
          <w:szCs w:val="24"/>
        </w:rPr>
        <w:t xml:space="preserve">For instruktioner om </w:t>
      </w:r>
      <w:proofErr w:type="spellStart"/>
      <w:r w:rsidRPr="00F1542A">
        <w:rPr>
          <w:iCs/>
          <w:sz w:val="24"/>
          <w:szCs w:val="24"/>
        </w:rPr>
        <w:t>rekonstitution</w:t>
      </w:r>
      <w:proofErr w:type="spellEnd"/>
      <w:r w:rsidRPr="00F1542A">
        <w:rPr>
          <w:iCs/>
          <w:sz w:val="24"/>
          <w:szCs w:val="24"/>
        </w:rPr>
        <w:t xml:space="preserve"> af lægemidlet før administration, se pkt. 6.6.</w:t>
      </w:r>
    </w:p>
    <w:p w14:paraId="2F6313F2" w14:textId="77777777" w:rsidR="001F3313" w:rsidRPr="00F1542A" w:rsidRDefault="001F3313" w:rsidP="00457AF2">
      <w:pPr>
        <w:ind w:left="851"/>
        <w:rPr>
          <w:iCs/>
          <w:sz w:val="24"/>
          <w:szCs w:val="24"/>
        </w:rPr>
      </w:pPr>
      <w:r w:rsidRPr="00F1542A">
        <w:rPr>
          <w:iCs/>
          <w:sz w:val="24"/>
          <w:szCs w:val="24"/>
        </w:rPr>
        <w:t xml:space="preserve">Den </w:t>
      </w:r>
      <w:proofErr w:type="spellStart"/>
      <w:r w:rsidRPr="00F1542A">
        <w:rPr>
          <w:iCs/>
          <w:sz w:val="24"/>
          <w:szCs w:val="24"/>
        </w:rPr>
        <w:t>rekonstituerede</w:t>
      </w:r>
      <w:proofErr w:type="spellEnd"/>
      <w:r w:rsidRPr="00F1542A">
        <w:rPr>
          <w:iCs/>
          <w:sz w:val="24"/>
          <w:szCs w:val="24"/>
        </w:rPr>
        <w:t xml:space="preserve"> opløsning skal være klar og fri for synlige partikler.</w:t>
      </w:r>
    </w:p>
    <w:p w14:paraId="070100EF" w14:textId="77777777" w:rsidR="001F3313" w:rsidRPr="00F1542A" w:rsidRDefault="001F3313" w:rsidP="00457AF2">
      <w:pPr>
        <w:ind w:left="851"/>
        <w:rPr>
          <w:sz w:val="24"/>
          <w:szCs w:val="24"/>
        </w:rPr>
      </w:pPr>
    </w:p>
    <w:p w14:paraId="4C8D9861" w14:textId="77777777" w:rsidR="001F3313" w:rsidRPr="00F1542A" w:rsidRDefault="001F3313" w:rsidP="00457AF2">
      <w:pPr>
        <w:ind w:left="851"/>
        <w:rPr>
          <w:sz w:val="24"/>
          <w:szCs w:val="24"/>
        </w:rPr>
      </w:pPr>
      <w:r w:rsidRPr="00F1542A">
        <w:rPr>
          <w:sz w:val="24"/>
          <w:szCs w:val="24"/>
        </w:rPr>
        <w:t xml:space="preserve">Diagnostiske procedurer med </w:t>
      </w:r>
      <w:proofErr w:type="spellStart"/>
      <w:r w:rsidRPr="00F1542A">
        <w:rPr>
          <w:sz w:val="24"/>
          <w:szCs w:val="24"/>
        </w:rPr>
        <w:t>Verdye</w:t>
      </w:r>
      <w:proofErr w:type="spellEnd"/>
      <w:r w:rsidRPr="00F1542A">
        <w:rPr>
          <w:sz w:val="24"/>
          <w:szCs w:val="24"/>
        </w:rPr>
        <w:t xml:space="preserve"> skal udføres under en læges opsyn.</w:t>
      </w:r>
    </w:p>
    <w:p w14:paraId="6F1BACFC" w14:textId="77777777" w:rsidR="001F3313" w:rsidRPr="00F1542A" w:rsidRDefault="001F3313" w:rsidP="00457AF2">
      <w:pPr>
        <w:ind w:left="851"/>
        <w:rPr>
          <w:sz w:val="24"/>
          <w:szCs w:val="24"/>
        </w:rPr>
      </w:pPr>
    </w:p>
    <w:p w14:paraId="13C82108" w14:textId="77777777" w:rsidR="001F3313" w:rsidRPr="00F1542A" w:rsidRDefault="001F3313" w:rsidP="00457AF2">
      <w:pPr>
        <w:ind w:left="851"/>
        <w:rPr>
          <w:sz w:val="24"/>
          <w:szCs w:val="24"/>
        </w:rPr>
      </w:pPr>
      <w:proofErr w:type="spellStart"/>
      <w:r w:rsidRPr="00F1542A">
        <w:rPr>
          <w:sz w:val="24"/>
          <w:szCs w:val="24"/>
        </w:rPr>
        <w:lastRenderedPageBreak/>
        <w:t>Verdye</w:t>
      </w:r>
      <w:proofErr w:type="spellEnd"/>
      <w:r w:rsidRPr="00F1542A">
        <w:rPr>
          <w:sz w:val="24"/>
          <w:szCs w:val="24"/>
        </w:rPr>
        <w:t xml:space="preserve"> er beregnet til intravenøs injektion via en injektionsnål, et centralt eller perifert kateter eller hjertekateter.</w:t>
      </w:r>
    </w:p>
    <w:p w14:paraId="7FA7EF84" w14:textId="77777777" w:rsidR="001F3313" w:rsidRPr="00F1542A" w:rsidRDefault="001F3313" w:rsidP="00457AF2">
      <w:pPr>
        <w:ind w:left="851"/>
        <w:rPr>
          <w:sz w:val="24"/>
          <w:szCs w:val="24"/>
        </w:rPr>
      </w:pPr>
    </w:p>
    <w:p w14:paraId="689CA352" w14:textId="77777777" w:rsidR="001F3313" w:rsidRPr="00F1542A" w:rsidRDefault="001F3313" w:rsidP="00457AF2">
      <w:pPr>
        <w:ind w:left="851"/>
        <w:rPr>
          <w:sz w:val="24"/>
          <w:szCs w:val="24"/>
        </w:rPr>
      </w:pPr>
      <w:r w:rsidRPr="00F1542A">
        <w:rPr>
          <w:sz w:val="24"/>
          <w:szCs w:val="24"/>
        </w:rPr>
        <w:t xml:space="preserve">Administration og placering af </w:t>
      </w:r>
      <w:proofErr w:type="spellStart"/>
      <w:r w:rsidRPr="00F1542A">
        <w:rPr>
          <w:sz w:val="24"/>
          <w:szCs w:val="24"/>
        </w:rPr>
        <w:t>Verdye</w:t>
      </w:r>
      <w:proofErr w:type="spellEnd"/>
      <w:r w:rsidRPr="00F1542A">
        <w:rPr>
          <w:sz w:val="24"/>
          <w:szCs w:val="24"/>
        </w:rPr>
        <w:t xml:space="preserve"> er afgørende for målingernes kvalitet. Principielt skal injektionen gives så tæt som muligt på det netværk af blodkar, det organ eller det væv, som skal undersøges, for i første gennemløb at opnå optimal kvalitet på indikationen af fortyndingskurver.</w:t>
      </w:r>
    </w:p>
    <w:p w14:paraId="5C32711B" w14:textId="77777777" w:rsidR="001F3313" w:rsidRPr="00F1542A" w:rsidRDefault="001F3313" w:rsidP="00457AF2">
      <w:pPr>
        <w:ind w:left="851"/>
        <w:rPr>
          <w:sz w:val="24"/>
          <w:szCs w:val="24"/>
        </w:rPr>
      </w:pPr>
      <w:r w:rsidRPr="00F1542A">
        <w:rPr>
          <w:sz w:val="24"/>
          <w:szCs w:val="24"/>
        </w:rPr>
        <w:t xml:space="preserve">Ved perifer injektion skal venepunktur foretages efter påsætning af en </w:t>
      </w:r>
      <w:proofErr w:type="spellStart"/>
      <w:r w:rsidRPr="00F1542A">
        <w:rPr>
          <w:sz w:val="24"/>
          <w:szCs w:val="24"/>
        </w:rPr>
        <w:t>tourniquet</w:t>
      </w:r>
      <w:proofErr w:type="spellEnd"/>
      <w:r w:rsidRPr="00F1542A">
        <w:rPr>
          <w:sz w:val="24"/>
          <w:szCs w:val="24"/>
        </w:rPr>
        <w:t xml:space="preserve">. Efter løsning af </w:t>
      </w:r>
      <w:proofErr w:type="spellStart"/>
      <w:r w:rsidRPr="00F1542A">
        <w:rPr>
          <w:sz w:val="24"/>
          <w:szCs w:val="24"/>
        </w:rPr>
        <w:t>tourniqueten</w:t>
      </w:r>
      <w:proofErr w:type="spellEnd"/>
      <w:r w:rsidRPr="00F1542A">
        <w:rPr>
          <w:sz w:val="24"/>
          <w:szCs w:val="24"/>
        </w:rPr>
        <w:t xml:space="preserve"> skal </w:t>
      </w:r>
      <w:proofErr w:type="spellStart"/>
      <w:r w:rsidRPr="00F1542A">
        <w:rPr>
          <w:sz w:val="24"/>
          <w:szCs w:val="24"/>
        </w:rPr>
        <w:t>Verdye</w:t>
      </w:r>
      <w:proofErr w:type="spellEnd"/>
      <w:r w:rsidRPr="00F1542A">
        <w:rPr>
          <w:sz w:val="24"/>
          <w:szCs w:val="24"/>
        </w:rPr>
        <w:t xml:space="preserve"> straks injiceres og armen hæves. Dette sikrer hurtigt gennemløb af farvestoffet fra injektionsstedet, og perifer injektion svarer derved praktisk taget til central venøs injektion.</w:t>
      </w:r>
    </w:p>
    <w:p w14:paraId="1629FD5E" w14:textId="77777777" w:rsidR="001F3313" w:rsidRPr="00F1542A" w:rsidRDefault="001F3313" w:rsidP="00457AF2">
      <w:pPr>
        <w:ind w:left="851"/>
        <w:rPr>
          <w:sz w:val="24"/>
          <w:szCs w:val="24"/>
        </w:rPr>
      </w:pPr>
    </w:p>
    <w:p w14:paraId="63E9A97B" w14:textId="77777777" w:rsidR="001F3313" w:rsidRPr="00F1542A" w:rsidRDefault="001F3313" w:rsidP="00457AF2">
      <w:pPr>
        <w:ind w:left="851"/>
        <w:rPr>
          <w:b/>
          <w:sz w:val="24"/>
          <w:szCs w:val="24"/>
        </w:rPr>
      </w:pPr>
      <w:r w:rsidRPr="00F1542A">
        <w:rPr>
          <w:b/>
          <w:sz w:val="24"/>
          <w:szCs w:val="24"/>
        </w:rPr>
        <w:t>Målingsmetoder</w:t>
      </w:r>
    </w:p>
    <w:p w14:paraId="1617C594" w14:textId="77777777" w:rsidR="001F3313" w:rsidRPr="00F1542A" w:rsidRDefault="001F3313" w:rsidP="00457AF2">
      <w:pPr>
        <w:ind w:left="851"/>
        <w:rPr>
          <w:sz w:val="24"/>
          <w:szCs w:val="24"/>
        </w:rPr>
      </w:pPr>
      <w:r w:rsidRPr="00F1542A">
        <w:rPr>
          <w:sz w:val="24"/>
          <w:szCs w:val="24"/>
        </w:rPr>
        <w:t xml:space="preserve">Den maksimale absorption og emission af </w:t>
      </w:r>
      <w:proofErr w:type="spellStart"/>
      <w:r w:rsidRPr="00F1542A">
        <w:rPr>
          <w:sz w:val="24"/>
          <w:szCs w:val="24"/>
        </w:rPr>
        <w:t>indocyanin</w:t>
      </w:r>
      <w:proofErr w:type="spellEnd"/>
      <w:r w:rsidRPr="00F1542A">
        <w:rPr>
          <w:sz w:val="24"/>
          <w:szCs w:val="24"/>
        </w:rPr>
        <w:t xml:space="preserve"> grøn er begge i nær-infrarødt område, maksimal absorption på 800 nm og maksimal emission til fluorescensmåling på 830 nm.</w:t>
      </w:r>
    </w:p>
    <w:p w14:paraId="290375D7" w14:textId="77777777" w:rsidR="001F3313" w:rsidRPr="00F1542A" w:rsidRDefault="001F3313" w:rsidP="00457AF2">
      <w:pPr>
        <w:ind w:left="851"/>
        <w:rPr>
          <w:sz w:val="24"/>
          <w:szCs w:val="24"/>
        </w:rPr>
      </w:pPr>
      <w:r w:rsidRPr="00F1542A">
        <w:rPr>
          <w:sz w:val="24"/>
          <w:szCs w:val="24"/>
        </w:rPr>
        <w:t xml:space="preserve">I </w:t>
      </w:r>
      <w:r w:rsidRPr="00F1542A">
        <w:rPr>
          <w:i/>
          <w:iCs/>
          <w:sz w:val="24"/>
          <w:szCs w:val="24"/>
        </w:rPr>
        <w:t>in-</w:t>
      </w:r>
      <w:proofErr w:type="spellStart"/>
      <w:r w:rsidRPr="00F1542A">
        <w:rPr>
          <w:i/>
          <w:iCs/>
          <w:sz w:val="24"/>
          <w:szCs w:val="24"/>
        </w:rPr>
        <w:t>vitro</w:t>
      </w:r>
      <w:proofErr w:type="spellEnd"/>
      <w:r w:rsidRPr="00F1542A">
        <w:rPr>
          <w:sz w:val="24"/>
          <w:szCs w:val="24"/>
        </w:rPr>
        <w:t xml:space="preserve">-tests forbliver </w:t>
      </w:r>
      <w:proofErr w:type="spellStart"/>
      <w:r w:rsidRPr="00F1542A">
        <w:rPr>
          <w:sz w:val="24"/>
          <w:szCs w:val="24"/>
        </w:rPr>
        <w:t>indocyanin</w:t>
      </w:r>
      <w:proofErr w:type="spellEnd"/>
      <w:r w:rsidRPr="00F1542A">
        <w:rPr>
          <w:sz w:val="24"/>
          <w:szCs w:val="24"/>
        </w:rPr>
        <w:t xml:space="preserve"> grøn stabilt i humant serum i flere dage. Opløst i vand viser </w:t>
      </w:r>
      <w:proofErr w:type="spellStart"/>
      <w:r w:rsidRPr="00F1542A">
        <w:rPr>
          <w:sz w:val="24"/>
          <w:szCs w:val="24"/>
        </w:rPr>
        <w:t>indocyanin</w:t>
      </w:r>
      <w:proofErr w:type="spellEnd"/>
      <w:r w:rsidRPr="00F1542A">
        <w:rPr>
          <w:sz w:val="24"/>
          <w:szCs w:val="24"/>
        </w:rPr>
        <w:t xml:space="preserve"> grøn ingen påviselig nedbrydning i mindst nogle timer.</w:t>
      </w:r>
    </w:p>
    <w:p w14:paraId="04CC7FFE" w14:textId="77777777" w:rsidR="001F3313" w:rsidRPr="00F1542A" w:rsidRDefault="001F3313" w:rsidP="00457AF2">
      <w:pPr>
        <w:ind w:left="851"/>
        <w:rPr>
          <w:sz w:val="24"/>
          <w:szCs w:val="24"/>
        </w:rPr>
      </w:pPr>
    </w:p>
    <w:p w14:paraId="3456E04E" w14:textId="77777777" w:rsidR="001F3313" w:rsidRPr="00F1542A" w:rsidRDefault="001F3313" w:rsidP="00457AF2">
      <w:pPr>
        <w:ind w:left="851"/>
        <w:rPr>
          <w:b/>
          <w:sz w:val="24"/>
          <w:szCs w:val="24"/>
        </w:rPr>
      </w:pPr>
      <w:r w:rsidRPr="00F1542A">
        <w:rPr>
          <w:b/>
          <w:sz w:val="24"/>
          <w:szCs w:val="24"/>
        </w:rPr>
        <w:t xml:space="preserve">Måling af </w:t>
      </w:r>
      <w:proofErr w:type="spellStart"/>
      <w:r w:rsidRPr="00F1542A">
        <w:rPr>
          <w:b/>
          <w:sz w:val="24"/>
          <w:szCs w:val="24"/>
        </w:rPr>
        <w:t>kardio</w:t>
      </w:r>
      <w:proofErr w:type="spellEnd"/>
      <w:r w:rsidRPr="00F1542A">
        <w:rPr>
          <w:b/>
          <w:sz w:val="24"/>
          <w:szCs w:val="24"/>
        </w:rPr>
        <w:t>-, kredsløbs- og hjerne-blodgennemstrømning og leverfunktion</w:t>
      </w:r>
    </w:p>
    <w:p w14:paraId="03E7F08C" w14:textId="77777777" w:rsidR="001F3313" w:rsidRPr="00F1542A" w:rsidRDefault="001F3313" w:rsidP="00457AF2">
      <w:pPr>
        <w:ind w:left="851"/>
        <w:rPr>
          <w:sz w:val="24"/>
          <w:szCs w:val="24"/>
        </w:rPr>
      </w:pPr>
      <w:r w:rsidRPr="00F1542A">
        <w:rPr>
          <w:sz w:val="24"/>
          <w:szCs w:val="24"/>
        </w:rPr>
        <w:t xml:space="preserve">På områder i den første gennemløbskurve kan gennemløbstid, halveringstid, plasma-nedbrydningsrate og retentionsrate for </w:t>
      </w:r>
      <w:proofErr w:type="spellStart"/>
      <w:r w:rsidRPr="00F1542A">
        <w:rPr>
          <w:sz w:val="24"/>
          <w:szCs w:val="24"/>
        </w:rPr>
        <w:t>Verdye</w:t>
      </w:r>
      <w:proofErr w:type="spellEnd"/>
      <w:r w:rsidRPr="00F1542A">
        <w:rPr>
          <w:sz w:val="24"/>
          <w:szCs w:val="24"/>
        </w:rPr>
        <w:t xml:space="preserve"> analyseres.</w:t>
      </w:r>
    </w:p>
    <w:p w14:paraId="7403E706" w14:textId="458BDEBA" w:rsidR="001F3313" w:rsidRPr="00F1542A" w:rsidRDefault="001F3313" w:rsidP="00043CDF">
      <w:pPr>
        <w:pStyle w:val="Listeafsnit"/>
        <w:numPr>
          <w:ilvl w:val="0"/>
          <w:numId w:val="15"/>
        </w:numPr>
        <w:ind w:left="1276" w:hanging="425"/>
        <w:rPr>
          <w:sz w:val="24"/>
          <w:szCs w:val="24"/>
        </w:rPr>
      </w:pPr>
      <w:r w:rsidRPr="00F1542A">
        <w:rPr>
          <w:sz w:val="24"/>
          <w:szCs w:val="24"/>
        </w:rPr>
        <w:t xml:space="preserve">ikke-invasivt ved hjælp af tæthedsmålingen ”pulse </w:t>
      </w:r>
      <w:proofErr w:type="spellStart"/>
      <w:r w:rsidRPr="00F1542A">
        <w:rPr>
          <w:sz w:val="24"/>
          <w:szCs w:val="24"/>
        </w:rPr>
        <w:t>dye</w:t>
      </w:r>
      <w:proofErr w:type="spellEnd"/>
      <w:r w:rsidRPr="00F1542A">
        <w:rPr>
          <w:sz w:val="24"/>
          <w:szCs w:val="24"/>
        </w:rPr>
        <w:t xml:space="preserve"> </w:t>
      </w:r>
      <w:proofErr w:type="spellStart"/>
      <w:r w:rsidRPr="00F1542A">
        <w:rPr>
          <w:sz w:val="24"/>
          <w:szCs w:val="24"/>
        </w:rPr>
        <w:t>densitometry</w:t>
      </w:r>
      <w:proofErr w:type="spellEnd"/>
      <w:r w:rsidRPr="00F1542A">
        <w:rPr>
          <w:sz w:val="24"/>
          <w:szCs w:val="24"/>
        </w:rPr>
        <w:t>” eller nær-infrarød spektroskopi</w:t>
      </w:r>
    </w:p>
    <w:p w14:paraId="54C2CBE9" w14:textId="4A61AA29" w:rsidR="001F3313" w:rsidRPr="00F1542A" w:rsidRDefault="001F3313" w:rsidP="00043CDF">
      <w:pPr>
        <w:pStyle w:val="Listeafsnit"/>
        <w:numPr>
          <w:ilvl w:val="0"/>
          <w:numId w:val="15"/>
        </w:numPr>
        <w:ind w:left="1276" w:hanging="425"/>
        <w:rPr>
          <w:sz w:val="24"/>
          <w:szCs w:val="24"/>
        </w:rPr>
      </w:pPr>
      <w:r w:rsidRPr="00F1542A">
        <w:rPr>
          <w:sz w:val="24"/>
          <w:szCs w:val="24"/>
        </w:rPr>
        <w:t>invasivt ved hjælp af fiberoptiske sonder/katetre i egnede vener</w:t>
      </w:r>
    </w:p>
    <w:p w14:paraId="501597DD" w14:textId="1004A5FA" w:rsidR="001F3313" w:rsidRPr="00F1542A" w:rsidRDefault="001F3313" w:rsidP="00043CDF">
      <w:pPr>
        <w:pStyle w:val="Listeafsnit"/>
        <w:numPr>
          <w:ilvl w:val="0"/>
          <w:numId w:val="15"/>
        </w:numPr>
        <w:ind w:left="1276" w:hanging="425"/>
        <w:rPr>
          <w:sz w:val="24"/>
          <w:szCs w:val="24"/>
        </w:rPr>
      </w:pPr>
      <w:r w:rsidRPr="00F1542A">
        <w:rPr>
          <w:sz w:val="24"/>
          <w:szCs w:val="24"/>
        </w:rPr>
        <w:t xml:space="preserve">konventionelt ved at bestemme koncentrationen enten ved kontinuerlig fjernelse af </w:t>
      </w:r>
      <w:proofErr w:type="spellStart"/>
      <w:r w:rsidRPr="00F1542A">
        <w:rPr>
          <w:sz w:val="24"/>
          <w:szCs w:val="24"/>
        </w:rPr>
        <w:t>hepariniseret</w:t>
      </w:r>
      <w:proofErr w:type="spellEnd"/>
      <w:r w:rsidRPr="00F1542A">
        <w:rPr>
          <w:sz w:val="24"/>
          <w:szCs w:val="24"/>
        </w:rPr>
        <w:t xml:space="preserve"> blod via et </w:t>
      </w:r>
      <w:proofErr w:type="spellStart"/>
      <w:r w:rsidRPr="00F1542A">
        <w:rPr>
          <w:sz w:val="24"/>
          <w:szCs w:val="24"/>
        </w:rPr>
        <w:t>kuvette</w:t>
      </w:r>
      <w:proofErr w:type="spellEnd"/>
      <w:r w:rsidRPr="00F1542A">
        <w:rPr>
          <w:sz w:val="24"/>
          <w:szCs w:val="24"/>
        </w:rPr>
        <w:t>-densitometer eller ved at indsamle blodprøver og måle plasmakoncentrationen i et fotometer.</w:t>
      </w:r>
    </w:p>
    <w:p w14:paraId="676FDA8A" w14:textId="77777777" w:rsidR="001F3313" w:rsidRPr="00F1542A" w:rsidRDefault="001F3313" w:rsidP="00457AF2">
      <w:pPr>
        <w:ind w:left="851"/>
        <w:rPr>
          <w:sz w:val="24"/>
          <w:szCs w:val="24"/>
        </w:rPr>
      </w:pPr>
    </w:p>
    <w:p w14:paraId="491FD77E" w14:textId="77777777" w:rsidR="001F3313" w:rsidRPr="00F1542A" w:rsidRDefault="001F3313" w:rsidP="00457AF2">
      <w:pPr>
        <w:ind w:left="851"/>
        <w:rPr>
          <w:b/>
          <w:sz w:val="24"/>
          <w:szCs w:val="24"/>
        </w:rPr>
      </w:pPr>
      <w:r w:rsidRPr="00F1542A">
        <w:rPr>
          <w:b/>
          <w:sz w:val="24"/>
          <w:szCs w:val="24"/>
        </w:rPr>
        <w:t xml:space="preserve">Evaluering af </w:t>
      </w:r>
      <w:proofErr w:type="spellStart"/>
      <w:r w:rsidRPr="00F1542A">
        <w:rPr>
          <w:b/>
          <w:sz w:val="24"/>
          <w:szCs w:val="24"/>
        </w:rPr>
        <w:t>fundusperfusion</w:t>
      </w:r>
      <w:proofErr w:type="spellEnd"/>
      <w:r w:rsidRPr="00F1542A">
        <w:rPr>
          <w:b/>
          <w:sz w:val="24"/>
          <w:szCs w:val="24"/>
        </w:rPr>
        <w:t xml:space="preserve"> i </w:t>
      </w:r>
      <w:proofErr w:type="spellStart"/>
      <w:r w:rsidRPr="00F1542A">
        <w:rPr>
          <w:b/>
          <w:sz w:val="24"/>
          <w:szCs w:val="24"/>
        </w:rPr>
        <w:t>oftalmisk</w:t>
      </w:r>
      <w:proofErr w:type="spellEnd"/>
      <w:r w:rsidRPr="00F1542A">
        <w:rPr>
          <w:b/>
          <w:sz w:val="24"/>
          <w:szCs w:val="24"/>
        </w:rPr>
        <w:t xml:space="preserve"> </w:t>
      </w:r>
      <w:proofErr w:type="spellStart"/>
      <w:r w:rsidRPr="00F1542A">
        <w:rPr>
          <w:b/>
          <w:sz w:val="24"/>
          <w:szCs w:val="24"/>
        </w:rPr>
        <w:t>angiografi</w:t>
      </w:r>
      <w:proofErr w:type="spellEnd"/>
    </w:p>
    <w:p w14:paraId="659AE42C" w14:textId="77777777" w:rsidR="001F3313" w:rsidRPr="00F1542A" w:rsidRDefault="001F3313" w:rsidP="00457AF2">
      <w:pPr>
        <w:ind w:left="851"/>
        <w:rPr>
          <w:sz w:val="24"/>
          <w:szCs w:val="24"/>
        </w:rPr>
      </w:pPr>
      <w:r w:rsidRPr="00F1542A">
        <w:rPr>
          <w:sz w:val="24"/>
          <w:szCs w:val="24"/>
        </w:rPr>
        <w:t xml:space="preserve">Perfusion af </w:t>
      </w:r>
      <w:proofErr w:type="spellStart"/>
      <w:r w:rsidRPr="00F1542A">
        <w:rPr>
          <w:sz w:val="24"/>
          <w:szCs w:val="24"/>
        </w:rPr>
        <w:t>fundus</w:t>
      </w:r>
      <w:proofErr w:type="spellEnd"/>
      <w:r w:rsidRPr="00F1542A">
        <w:rPr>
          <w:sz w:val="24"/>
          <w:szCs w:val="24"/>
        </w:rPr>
        <w:t xml:space="preserve"> i øjet kan analyseres og måles ved hjælp af </w:t>
      </w:r>
      <w:proofErr w:type="spellStart"/>
      <w:r w:rsidRPr="00F1542A">
        <w:rPr>
          <w:sz w:val="24"/>
          <w:szCs w:val="24"/>
        </w:rPr>
        <w:t>oftalmisk</w:t>
      </w:r>
      <w:proofErr w:type="spellEnd"/>
      <w:r w:rsidRPr="00F1542A">
        <w:rPr>
          <w:sz w:val="24"/>
          <w:szCs w:val="24"/>
        </w:rPr>
        <w:t xml:space="preserve"> fluorescens </w:t>
      </w:r>
      <w:proofErr w:type="spellStart"/>
      <w:r w:rsidRPr="00F1542A">
        <w:rPr>
          <w:sz w:val="24"/>
          <w:szCs w:val="24"/>
        </w:rPr>
        <w:t>angiografi</w:t>
      </w:r>
      <w:proofErr w:type="spellEnd"/>
      <w:r w:rsidRPr="00F1542A">
        <w:rPr>
          <w:sz w:val="24"/>
          <w:szCs w:val="24"/>
        </w:rPr>
        <w:t>.</w:t>
      </w:r>
    </w:p>
    <w:p w14:paraId="02305F4E" w14:textId="77777777" w:rsidR="001F3313" w:rsidRPr="00F1542A" w:rsidRDefault="001F3313" w:rsidP="00457AF2">
      <w:pPr>
        <w:ind w:left="851"/>
        <w:rPr>
          <w:sz w:val="24"/>
          <w:szCs w:val="24"/>
        </w:rPr>
      </w:pPr>
    </w:p>
    <w:p w14:paraId="14C4D55B" w14:textId="77777777" w:rsidR="001F3313" w:rsidRPr="00F1542A" w:rsidRDefault="001F3313" w:rsidP="00457AF2">
      <w:pPr>
        <w:ind w:left="851"/>
        <w:rPr>
          <w:b/>
          <w:sz w:val="24"/>
          <w:szCs w:val="24"/>
        </w:rPr>
      </w:pPr>
      <w:r w:rsidRPr="00F1542A">
        <w:rPr>
          <w:b/>
          <w:sz w:val="24"/>
          <w:szCs w:val="24"/>
        </w:rPr>
        <w:t xml:space="preserve">Måling af </w:t>
      </w:r>
      <w:proofErr w:type="spellStart"/>
      <w:r w:rsidRPr="00F1542A">
        <w:rPr>
          <w:b/>
          <w:sz w:val="24"/>
          <w:szCs w:val="24"/>
        </w:rPr>
        <w:t>vævsperfusion</w:t>
      </w:r>
      <w:proofErr w:type="spellEnd"/>
    </w:p>
    <w:p w14:paraId="5E39C95E" w14:textId="77777777" w:rsidR="001F3313" w:rsidRPr="00F1542A" w:rsidRDefault="001F3313" w:rsidP="00457AF2">
      <w:pPr>
        <w:ind w:left="851"/>
        <w:rPr>
          <w:sz w:val="24"/>
          <w:szCs w:val="24"/>
        </w:rPr>
      </w:pPr>
      <w:proofErr w:type="spellStart"/>
      <w:r w:rsidRPr="00F1542A">
        <w:rPr>
          <w:sz w:val="24"/>
          <w:szCs w:val="24"/>
        </w:rPr>
        <w:t>Vævsperfusion</w:t>
      </w:r>
      <w:proofErr w:type="spellEnd"/>
      <w:r w:rsidRPr="00F1542A">
        <w:rPr>
          <w:sz w:val="24"/>
          <w:szCs w:val="24"/>
        </w:rPr>
        <w:t xml:space="preserve"> af de overfladiske vævslag kan gøres synlig og måles ved hjælp af nær-infrarød fluorescens </w:t>
      </w:r>
      <w:proofErr w:type="spellStart"/>
      <w:r w:rsidRPr="00F1542A">
        <w:rPr>
          <w:sz w:val="24"/>
          <w:szCs w:val="24"/>
        </w:rPr>
        <w:t>angiografi</w:t>
      </w:r>
      <w:proofErr w:type="spellEnd"/>
      <w:r w:rsidRPr="00F1542A">
        <w:rPr>
          <w:sz w:val="24"/>
          <w:szCs w:val="24"/>
        </w:rPr>
        <w:t>.</w:t>
      </w:r>
    </w:p>
    <w:p w14:paraId="5B50868C" w14:textId="77777777" w:rsidR="009260DE" w:rsidRPr="00F1542A" w:rsidRDefault="009260DE" w:rsidP="009260DE">
      <w:pPr>
        <w:tabs>
          <w:tab w:val="left" w:pos="851"/>
        </w:tabs>
        <w:ind w:left="851"/>
        <w:rPr>
          <w:sz w:val="24"/>
          <w:szCs w:val="24"/>
        </w:rPr>
      </w:pPr>
    </w:p>
    <w:p w14:paraId="3B46A098" w14:textId="77777777" w:rsidR="009260DE" w:rsidRPr="00F1542A" w:rsidRDefault="009260DE" w:rsidP="009260DE">
      <w:pPr>
        <w:tabs>
          <w:tab w:val="left" w:pos="851"/>
        </w:tabs>
        <w:ind w:left="851" w:hanging="851"/>
        <w:rPr>
          <w:b/>
          <w:sz w:val="24"/>
          <w:szCs w:val="24"/>
        </w:rPr>
      </w:pPr>
      <w:r w:rsidRPr="00F1542A">
        <w:rPr>
          <w:b/>
          <w:sz w:val="24"/>
          <w:szCs w:val="24"/>
        </w:rPr>
        <w:t>4.3</w:t>
      </w:r>
      <w:r w:rsidRPr="00F1542A">
        <w:rPr>
          <w:b/>
          <w:sz w:val="24"/>
          <w:szCs w:val="24"/>
        </w:rPr>
        <w:tab/>
        <w:t>Kontraindikationer</w:t>
      </w:r>
    </w:p>
    <w:p w14:paraId="0A7C89DD" w14:textId="77777777" w:rsidR="001F3313" w:rsidRPr="00F1542A" w:rsidRDefault="001F3313" w:rsidP="00457AF2">
      <w:pPr>
        <w:ind w:left="851"/>
        <w:rPr>
          <w:sz w:val="24"/>
          <w:szCs w:val="24"/>
          <w:lang w:eastAsia="de-DE"/>
        </w:rPr>
      </w:pPr>
      <w:proofErr w:type="spellStart"/>
      <w:r w:rsidRPr="00F1542A">
        <w:rPr>
          <w:sz w:val="24"/>
          <w:szCs w:val="24"/>
        </w:rPr>
        <w:t>Verdye</w:t>
      </w:r>
      <w:proofErr w:type="spellEnd"/>
      <w:r w:rsidRPr="00F1542A">
        <w:rPr>
          <w:sz w:val="24"/>
          <w:szCs w:val="24"/>
        </w:rPr>
        <w:t xml:space="preserve"> er af sikkerhedsmæssige årsager kontraindiceret:</w:t>
      </w:r>
    </w:p>
    <w:p w14:paraId="66C1A2BF" w14:textId="77777777" w:rsidR="001F3313" w:rsidRPr="00F1542A" w:rsidRDefault="001F3313" w:rsidP="00457AF2">
      <w:pPr>
        <w:ind w:left="851"/>
        <w:rPr>
          <w:sz w:val="24"/>
          <w:szCs w:val="24"/>
        </w:rPr>
      </w:pPr>
    </w:p>
    <w:p w14:paraId="2D8D73D2" w14:textId="77777777" w:rsidR="001F3313" w:rsidRPr="00F1542A" w:rsidRDefault="001F3313" w:rsidP="003E325E">
      <w:pPr>
        <w:pStyle w:val="Listeafsnit"/>
        <w:numPr>
          <w:ilvl w:val="0"/>
          <w:numId w:val="17"/>
        </w:numPr>
        <w:ind w:left="1276" w:hanging="425"/>
        <w:rPr>
          <w:sz w:val="24"/>
          <w:szCs w:val="24"/>
        </w:rPr>
      </w:pPr>
      <w:r w:rsidRPr="00F1542A">
        <w:rPr>
          <w:sz w:val="24"/>
          <w:szCs w:val="24"/>
        </w:rPr>
        <w:t xml:space="preserve">hos patienter med overfølsomhed over for </w:t>
      </w:r>
      <w:proofErr w:type="spellStart"/>
      <w:r w:rsidRPr="00F1542A">
        <w:rPr>
          <w:sz w:val="24"/>
          <w:szCs w:val="24"/>
        </w:rPr>
        <w:t>indocyanin</w:t>
      </w:r>
      <w:proofErr w:type="spellEnd"/>
      <w:r w:rsidRPr="00F1542A">
        <w:rPr>
          <w:sz w:val="24"/>
          <w:szCs w:val="24"/>
        </w:rPr>
        <w:t xml:space="preserve"> grøn eller over for </w:t>
      </w:r>
      <w:proofErr w:type="spellStart"/>
      <w:r w:rsidRPr="00F1542A">
        <w:rPr>
          <w:sz w:val="24"/>
          <w:szCs w:val="24"/>
        </w:rPr>
        <w:t>natriumiodid</w:t>
      </w:r>
      <w:proofErr w:type="spellEnd"/>
      <w:r w:rsidRPr="00F1542A">
        <w:rPr>
          <w:sz w:val="24"/>
          <w:szCs w:val="24"/>
        </w:rPr>
        <w:t>, medmindre der træffes særlige forholdsregler,</w:t>
      </w:r>
    </w:p>
    <w:p w14:paraId="26A1117D" w14:textId="07BA438D" w:rsidR="001F3313" w:rsidRPr="00F1542A" w:rsidRDefault="001F3313" w:rsidP="003E325E">
      <w:pPr>
        <w:pStyle w:val="Listeafsnit"/>
        <w:numPr>
          <w:ilvl w:val="0"/>
          <w:numId w:val="17"/>
        </w:numPr>
        <w:ind w:left="1276" w:hanging="425"/>
        <w:rPr>
          <w:sz w:val="24"/>
          <w:szCs w:val="24"/>
        </w:rPr>
      </w:pPr>
      <w:r w:rsidRPr="00F1542A">
        <w:rPr>
          <w:sz w:val="24"/>
          <w:szCs w:val="24"/>
        </w:rPr>
        <w:t>hos</w:t>
      </w:r>
      <w:r w:rsidR="00F1542A">
        <w:rPr>
          <w:sz w:val="24"/>
          <w:szCs w:val="24"/>
        </w:rPr>
        <w:t xml:space="preserve"> </w:t>
      </w:r>
      <w:r w:rsidRPr="00F1542A">
        <w:rPr>
          <w:sz w:val="24"/>
          <w:szCs w:val="24"/>
        </w:rPr>
        <w:t>patienter med overfølsomhed over for jod,</w:t>
      </w:r>
    </w:p>
    <w:p w14:paraId="0C28A5DB" w14:textId="77777777" w:rsidR="001F3313" w:rsidRPr="00F1542A" w:rsidRDefault="001F3313" w:rsidP="003E325E">
      <w:pPr>
        <w:pStyle w:val="Listeafsnit"/>
        <w:numPr>
          <w:ilvl w:val="0"/>
          <w:numId w:val="17"/>
        </w:numPr>
        <w:ind w:left="1276" w:hanging="425"/>
        <w:rPr>
          <w:sz w:val="24"/>
          <w:szCs w:val="24"/>
        </w:rPr>
      </w:pPr>
      <w:r w:rsidRPr="00F1542A">
        <w:rPr>
          <w:sz w:val="24"/>
          <w:szCs w:val="24"/>
        </w:rPr>
        <w:t xml:space="preserve">hos patienter med </w:t>
      </w:r>
      <w:proofErr w:type="spellStart"/>
      <w:r w:rsidRPr="00F1542A">
        <w:rPr>
          <w:sz w:val="24"/>
          <w:szCs w:val="24"/>
        </w:rPr>
        <w:t>hyperthyreoidisme</w:t>
      </w:r>
      <w:proofErr w:type="spellEnd"/>
      <w:r w:rsidRPr="00F1542A">
        <w:rPr>
          <w:sz w:val="24"/>
          <w:szCs w:val="24"/>
        </w:rPr>
        <w:t xml:space="preserve">, patienter med kronisk </w:t>
      </w:r>
      <w:proofErr w:type="spellStart"/>
      <w:r w:rsidRPr="00F1542A">
        <w:rPr>
          <w:sz w:val="24"/>
          <w:szCs w:val="24"/>
        </w:rPr>
        <w:t>adenom</w:t>
      </w:r>
      <w:proofErr w:type="spellEnd"/>
      <w:r w:rsidRPr="00F1542A">
        <w:rPr>
          <w:sz w:val="24"/>
          <w:szCs w:val="24"/>
        </w:rPr>
        <w:t xml:space="preserve"> i skjoldbruskkirtel</w:t>
      </w:r>
    </w:p>
    <w:p w14:paraId="0E6F73F1" w14:textId="77777777" w:rsidR="001F3313" w:rsidRPr="00F1542A" w:rsidRDefault="001F3313" w:rsidP="003E325E">
      <w:pPr>
        <w:pStyle w:val="Listeafsnit"/>
        <w:numPr>
          <w:ilvl w:val="0"/>
          <w:numId w:val="17"/>
        </w:numPr>
        <w:ind w:left="1276" w:hanging="425"/>
        <w:rPr>
          <w:sz w:val="24"/>
          <w:szCs w:val="24"/>
        </w:rPr>
      </w:pPr>
      <w:r w:rsidRPr="00F1542A">
        <w:rPr>
          <w:sz w:val="24"/>
          <w:szCs w:val="24"/>
        </w:rPr>
        <w:t>da in-</w:t>
      </w:r>
      <w:proofErr w:type="spellStart"/>
      <w:r w:rsidRPr="00F1542A">
        <w:rPr>
          <w:sz w:val="24"/>
          <w:szCs w:val="24"/>
        </w:rPr>
        <w:t>vitro</w:t>
      </w:r>
      <w:proofErr w:type="spellEnd"/>
      <w:r w:rsidRPr="00F1542A">
        <w:rPr>
          <w:sz w:val="24"/>
          <w:szCs w:val="24"/>
        </w:rPr>
        <w:t xml:space="preserve"> forsøg har vist, at </w:t>
      </w:r>
      <w:proofErr w:type="spellStart"/>
      <w:r w:rsidRPr="00F1542A">
        <w:rPr>
          <w:sz w:val="24"/>
          <w:szCs w:val="24"/>
        </w:rPr>
        <w:t>indocyanin</w:t>
      </w:r>
      <w:proofErr w:type="spellEnd"/>
      <w:r w:rsidRPr="00F1542A">
        <w:rPr>
          <w:sz w:val="24"/>
          <w:szCs w:val="24"/>
        </w:rPr>
        <w:t xml:space="preserve"> grøn forskyder bilirubin fra dets proteinbinding, må </w:t>
      </w:r>
      <w:proofErr w:type="spellStart"/>
      <w:r w:rsidRPr="00F1542A">
        <w:rPr>
          <w:sz w:val="24"/>
          <w:szCs w:val="24"/>
        </w:rPr>
        <w:t>Verdye</w:t>
      </w:r>
      <w:proofErr w:type="spellEnd"/>
      <w:r w:rsidRPr="00F1542A">
        <w:rPr>
          <w:sz w:val="24"/>
          <w:szCs w:val="24"/>
        </w:rPr>
        <w:t xml:space="preserve"> ikke anvendes til for tidligt fødte babyer eller nyfødte, hvor en udskiftningstransfusion indikeres grundet en </w:t>
      </w:r>
      <w:proofErr w:type="spellStart"/>
      <w:r w:rsidRPr="00F1542A">
        <w:rPr>
          <w:sz w:val="24"/>
          <w:szCs w:val="24"/>
        </w:rPr>
        <w:t>hyperbilirubinæmi</w:t>
      </w:r>
      <w:proofErr w:type="spellEnd"/>
      <w:r w:rsidRPr="00F1542A">
        <w:rPr>
          <w:sz w:val="24"/>
          <w:szCs w:val="24"/>
        </w:rPr>
        <w:t>,</w:t>
      </w:r>
    </w:p>
    <w:p w14:paraId="64BF8C90" w14:textId="77777777" w:rsidR="001F3313" w:rsidRPr="00F1542A" w:rsidRDefault="001F3313" w:rsidP="003E325E">
      <w:pPr>
        <w:pStyle w:val="Listeafsnit"/>
        <w:numPr>
          <w:ilvl w:val="0"/>
          <w:numId w:val="17"/>
        </w:numPr>
        <w:ind w:left="1276" w:hanging="425"/>
        <w:rPr>
          <w:sz w:val="24"/>
          <w:szCs w:val="24"/>
        </w:rPr>
      </w:pPr>
      <w:r w:rsidRPr="00F1542A">
        <w:rPr>
          <w:sz w:val="24"/>
          <w:szCs w:val="24"/>
        </w:rPr>
        <w:t xml:space="preserve">hvis injektion af </w:t>
      </w:r>
      <w:proofErr w:type="spellStart"/>
      <w:r w:rsidRPr="00F1542A">
        <w:rPr>
          <w:sz w:val="24"/>
          <w:szCs w:val="24"/>
        </w:rPr>
        <w:t>Verdye</w:t>
      </w:r>
      <w:proofErr w:type="spellEnd"/>
      <w:r w:rsidRPr="00F1542A">
        <w:rPr>
          <w:sz w:val="24"/>
          <w:szCs w:val="24"/>
        </w:rPr>
        <w:t xml:space="preserve"> tidligere er blevet dårligt tolereret, må det ikke anvendes igen, da alvorlige </w:t>
      </w:r>
      <w:proofErr w:type="spellStart"/>
      <w:r w:rsidRPr="00F1542A">
        <w:rPr>
          <w:sz w:val="24"/>
          <w:szCs w:val="24"/>
        </w:rPr>
        <w:t>anafylaktiske</w:t>
      </w:r>
      <w:proofErr w:type="spellEnd"/>
      <w:r w:rsidRPr="00F1542A">
        <w:rPr>
          <w:sz w:val="24"/>
          <w:szCs w:val="24"/>
        </w:rPr>
        <w:t xml:space="preserve"> reaktioner kan forekomme.</w:t>
      </w:r>
    </w:p>
    <w:p w14:paraId="50FB5CCA" w14:textId="77777777" w:rsidR="009260DE" w:rsidRPr="00F1542A" w:rsidRDefault="009260DE" w:rsidP="00457AF2">
      <w:pPr>
        <w:ind w:left="851"/>
        <w:rPr>
          <w:sz w:val="24"/>
          <w:szCs w:val="24"/>
        </w:rPr>
      </w:pPr>
    </w:p>
    <w:p w14:paraId="5623A200" w14:textId="77777777" w:rsidR="009260DE" w:rsidRPr="00F1542A" w:rsidRDefault="009260DE" w:rsidP="009260DE">
      <w:pPr>
        <w:tabs>
          <w:tab w:val="left" w:pos="851"/>
        </w:tabs>
        <w:ind w:left="851" w:hanging="851"/>
        <w:rPr>
          <w:b/>
          <w:sz w:val="24"/>
          <w:szCs w:val="24"/>
        </w:rPr>
      </w:pPr>
      <w:r w:rsidRPr="00F1542A">
        <w:rPr>
          <w:b/>
          <w:sz w:val="24"/>
          <w:szCs w:val="24"/>
        </w:rPr>
        <w:t>4.4</w:t>
      </w:r>
      <w:r w:rsidRPr="00F1542A">
        <w:rPr>
          <w:b/>
          <w:sz w:val="24"/>
          <w:szCs w:val="24"/>
        </w:rPr>
        <w:tab/>
        <w:t>Særlige advarsler og forsigtighedsregler vedrørende brugen</w:t>
      </w:r>
    </w:p>
    <w:p w14:paraId="6511B3E3" w14:textId="77777777" w:rsidR="001F3313" w:rsidRPr="00F1542A" w:rsidRDefault="001F3313" w:rsidP="003E325E">
      <w:pPr>
        <w:pStyle w:val="Listeafsnit"/>
        <w:numPr>
          <w:ilvl w:val="0"/>
          <w:numId w:val="18"/>
        </w:numPr>
        <w:ind w:left="1276" w:hanging="425"/>
        <w:rPr>
          <w:sz w:val="24"/>
          <w:szCs w:val="24"/>
          <w:lang w:eastAsia="de-DE"/>
        </w:rPr>
      </w:pPr>
      <w:r w:rsidRPr="00F1542A">
        <w:rPr>
          <w:sz w:val="24"/>
          <w:szCs w:val="24"/>
        </w:rPr>
        <w:t xml:space="preserve">Da alvorlige </w:t>
      </w:r>
      <w:proofErr w:type="spellStart"/>
      <w:r w:rsidRPr="00F1542A">
        <w:rPr>
          <w:sz w:val="24"/>
          <w:szCs w:val="24"/>
        </w:rPr>
        <w:t>anafylaktiske</w:t>
      </w:r>
      <w:proofErr w:type="spellEnd"/>
      <w:r w:rsidRPr="00F1542A">
        <w:rPr>
          <w:sz w:val="24"/>
          <w:szCs w:val="24"/>
        </w:rPr>
        <w:t xml:space="preserve"> reaktioner kan forekomme efter anvendelse af </w:t>
      </w:r>
      <w:proofErr w:type="spellStart"/>
      <w:r w:rsidRPr="00F1542A">
        <w:rPr>
          <w:sz w:val="24"/>
          <w:szCs w:val="24"/>
        </w:rPr>
        <w:t>Verdye</w:t>
      </w:r>
      <w:proofErr w:type="spellEnd"/>
      <w:r w:rsidRPr="00F1542A">
        <w:rPr>
          <w:sz w:val="24"/>
          <w:szCs w:val="24"/>
        </w:rPr>
        <w:t>, må det kun anvendes med en læges opsyn.</w:t>
      </w:r>
    </w:p>
    <w:p w14:paraId="732EE899" w14:textId="77777777" w:rsidR="001F3313" w:rsidRPr="00F1542A" w:rsidRDefault="001F3313" w:rsidP="003E325E">
      <w:pPr>
        <w:pStyle w:val="Listeafsnit"/>
        <w:numPr>
          <w:ilvl w:val="0"/>
          <w:numId w:val="18"/>
        </w:numPr>
        <w:ind w:left="1276" w:hanging="425"/>
        <w:rPr>
          <w:sz w:val="24"/>
          <w:szCs w:val="24"/>
        </w:rPr>
      </w:pPr>
      <w:r w:rsidRPr="00F1542A">
        <w:rPr>
          <w:sz w:val="24"/>
          <w:szCs w:val="24"/>
        </w:rPr>
        <w:t xml:space="preserve">På grund af en øget forekomst af bivirkninger hos patienter med alvorlig nedsat nyrefunktion, må </w:t>
      </w:r>
      <w:proofErr w:type="spellStart"/>
      <w:r w:rsidRPr="00F1542A">
        <w:rPr>
          <w:sz w:val="24"/>
          <w:szCs w:val="24"/>
        </w:rPr>
        <w:t>Verdye</w:t>
      </w:r>
      <w:proofErr w:type="spellEnd"/>
      <w:r w:rsidRPr="00F1542A">
        <w:rPr>
          <w:sz w:val="24"/>
          <w:szCs w:val="24"/>
        </w:rPr>
        <w:t xml:space="preserve"> kun anvendes efter en omhyggelig benefit/</w:t>
      </w:r>
      <w:proofErr w:type="spellStart"/>
      <w:r w:rsidRPr="00F1542A">
        <w:rPr>
          <w:sz w:val="24"/>
          <w:szCs w:val="24"/>
        </w:rPr>
        <w:t>risk</w:t>
      </w:r>
      <w:proofErr w:type="spellEnd"/>
      <w:r w:rsidRPr="00F1542A">
        <w:rPr>
          <w:sz w:val="24"/>
          <w:szCs w:val="24"/>
        </w:rPr>
        <w:t>-vurdering.</w:t>
      </w:r>
    </w:p>
    <w:p w14:paraId="699E2D51" w14:textId="77777777" w:rsidR="001F3313" w:rsidRPr="00F1542A" w:rsidRDefault="001F3313" w:rsidP="003E325E">
      <w:pPr>
        <w:pStyle w:val="Listeafsnit"/>
        <w:numPr>
          <w:ilvl w:val="0"/>
          <w:numId w:val="18"/>
        </w:numPr>
        <w:ind w:left="1276" w:hanging="425"/>
        <w:rPr>
          <w:sz w:val="24"/>
          <w:szCs w:val="24"/>
        </w:rPr>
      </w:pPr>
      <w:proofErr w:type="spellStart"/>
      <w:r w:rsidRPr="00F1542A">
        <w:rPr>
          <w:sz w:val="24"/>
          <w:szCs w:val="24"/>
        </w:rPr>
        <w:t>Heparinpræparationer</w:t>
      </w:r>
      <w:proofErr w:type="spellEnd"/>
      <w:r w:rsidRPr="00F1542A">
        <w:rPr>
          <w:sz w:val="24"/>
          <w:szCs w:val="24"/>
        </w:rPr>
        <w:t>, som indeholder natrium-</w:t>
      </w:r>
      <w:proofErr w:type="spellStart"/>
      <w:r w:rsidRPr="00F1542A">
        <w:rPr>
          <w:sz w:val="24"/>
          <w:szCs w:val="24"/>
        </w:rPr>
        <w:t>bisulfit</w:t>
      </w:r>
      <w:proofErr w:type="spellEnd"/>
      <w:r w:rsidRPr="00F1542A">
        <w:rPr>
          <w:sz w:val="24"/>
          <w:szCs w:val="24"/>
        </w:rPr>
        <w:t xml:space="preserve">, nedsætter absorptionstoppunktet af </w:t>
      </w:r>
      <w:proofErr w:type="spellStart"/>
      <w:r w:rsidRPr="00F1542A">
        <w:rPr>
          <w:sz w:val="24"/>
          <w:szCs w:val="24"/>
        </w:rPr>
        <w:t>indocyanin</w:t>
      </w:r>
      <w:proofErr w:type="spellEnd"/>
      <w:r w:rsidRPr="00F1542A">
        <w:rPr>
          <w:sz w:val="24"/>
          <w:szCs w:val="24"/>
        </w:rPr>
        <w:t xml:space="preserve"> grøn i plasma og blod og må derfor ikke anvendes som </w:t>
      </w:r>
      <w:proofErr w:type="spellStart"/>
      <w:r w:rsidRPr="00F1542A">
        <w:rPr>
          <w:sz w:val="24"/>
          <w:szCs w:val="24"/>
        </w:rPr>
        <w:t>antikoagulans</w:t>
      </w:r>
      <w:proofErr w:type="spellEnd"/>
      <w:r w:rsidRPr="00F1542A">
        <w:rPr>
          <w:sz w:val="24"/>
          <w:szCs w:val="24"/>
        </w:rPr>
        <w:t xml:space="preserve"> ved indsamling af prøver til analyse.</w:t>
      </w:r>
    </w:p>
    <w:p w14:paraId="743D6074" w14:textId="77777777" w:rsidR="001F3313" w:rsidRPr="00F1542A" w:rsidRDefault="001F3313" w:rsidP="003E325E">
      <w:pPr>
        <w:pStyle w:val="Listeafsnit"/>
        <w:numPr>
          <w:ilvl w:val="0"/>
          <w:numId w:val="18"/>
        </w:numPr>
        <w:ind w:left="1276" w:hanging="425"/>
        <w:rPr>
          <w:sz w:val="24"/>
          <w:szCs w:val="24"/>
        </w:rPr>
      </w:pPr>
      <w:proofErr w:type="spellStart"/>
      <w:r w:rsidRPr="00F1542A">
        <w:rPr>
          <w:sz w:val="24"/>
          <w:szCs w:val="24"/>
        </w:rPr>
        <w:t>Indocyanin</w:t>
      </w:r>
      <w:proofErr w:type="spellEnd"/>
      <w:r w:rsidRPr="00F1542A">
        <w:rPr>
          <w:sz w:val="24"/>
          <w:szCs w:val="24"/>
        </w:rPr>
        <w:t xml:space="preserve"> grøn er stabil i plasma og fuldblod, så prøver indsamlet med afbrudte prøveteknikker kan eventuelt analyseres flere timer senere. Der skal anvendes sterile teknikker ved håndtering af farvestofopløsningen.</w:t>
      </w:r>
    </w:p>
    <w:p w14:paraId="71AA2EC9" w14:textId="77777777" w:rsidR="001F3313" w:rsidRPr="00F1542A" w:rsidRDefault="001F3313" w:rsidP="003E325E">
      <w:pPr>
        <w:pStyle w:val="Listeafsnit"/>
        <w:numPr>
          <w:ilvl w:val="0"/>
          <w:numId w:val="18"/>
        </w:numPr>
        <w:ind w:left="1276" w:hanging="425"/>
        <w:rPr>
          <w:sz w:val="24"/>
          <w:szCs w:val="24"/>
        </w:rPr>
      </w:pPr>
      <w:r w:rsidRPr="00F1542A">
        <w:rPr>
          <w:sz w:val="24"/>
          <w:szCs w:val="24"/>
        </w:rPr>
        <w:t xml:space="preserve">Jodindholdet i </w:t>
      </w:r>
      <w:proofErr w:type="spellStart"/>
      <w:r w:rsidRPr="00F1542A">
        <w:rPr>
          <w:sz w:val="24"/>
          <w:szCs w:val="24"/>
        </w:rPr>
        <w:t>Verdye</w:t>
      </w:r>
      <w:proofErr w:type="spellEnd"/>
      <w:r w:rsidRPr="00F1542A">
        <w:rPr>
          <w:sz w:val="24"/>
          <w:szCs w:val="24"/>
        </w:rPr>
        <w:t xml:space="preserve"> kan forstyrre </w:t>
      </w:r>
      <w:proofErr w:type="spellStart"/>
      <w:r w:rsidRPr="00F1542A">
        <w:rPr>
          <w:sz w:val="24"/>
          <w:szCs w:val="24"/>
        </w:rPr>
        <w:t>thyroidtests</w:t>
      </w:r>
      <w:proofErr w:type="spellEnd"/>
      <w:r w:rsidRPr="00F1542A">
        <w:rPr>
          <w:sz w:val="24"/>
          <w:szCs w:val="24"/>
        </w:rPr>
        <w:t xml:space="preserve">, som udføres før eller efter administration af farvestoffet. Derfor bør radioaktive jodoptagelsesforsøg ikke udføres i mindst en uge efter anvendelsen af </w:t>
      </w:r>
      <w:proofErr w:type="spellStart"/>
      <w:r w:rsidRPr="00F1542A">
        <w:rPr>
          <w:sz w:val="24"/>
          <w:szCs w:val="24"/>
        </w:rPr>
        <w:t>Verdye</w:t>
      </w:r>
      <w:proofErr w:type="spellEnd"/>
      <w:r w:rsidRPr="00F1542A">
        <w:rPr>
          <w:sz w:val="24"/>
          <w:szCs w:val="24"/>
        </w:rPr>
        <w:t>.</w:t>
      </w:r>
    </w:p>
    <w:p w14:paraId="25AAB064" w14:textId="77777777" w:rsidR="009260DE" w:rsidRPr="00F1542A" w:rsidRDefault="009260DE" w:rsidP="009260DE">
      <w:pPr>
        <w:tabs>
          <w:tab w:val="left" w:pos="851"/>
        </w:tabs>
        <w:ind w:left="851"/>
        <w:rPr>
          <w:sz w:val="24"/>
          <w:szCs w:val="24"/>
        </w:rPr>
      </w:pPr>
    </w:p>
    <w:p w14:paraId="203DB95B" w14:textId="77777777" w:rsidR="009260DE" w:rsidRPr="00F1542A" w:rsidRDefault="009260DE" w:rsidP="009260DE">
      <w:pPr>
        <w:tabs>
          <w:tab w:val="left" w:pos="851"/>
        </w:tabs>
        <w:ind w:left="851" w:hanging="851"/>
        <w:rPr>
          <w:b/>
          <w:sz w:val="24"/>
          <w:szCs w:val="24"/>
        </w:rPr>
      </w:pPr>
      <w:r w:rsidRPr="00F1542A">
        <w:rPr>
          <w:b/>
          <w:sz w:val="24"/>
          <w:szCs w:val="24"/>
        </w:rPr>
        <w:t>4.5</w:t>
      </w:r>
      <w:r w:rsidRPr="00F1542A">
        <w:rPr>
          <w:b/>
          <w:sz w:val="24"/>
          <w:szCs w:val="24"/>
        </w:rPr>
        <w:tab/>
        <w:t>Interaktion med andre lægemidler og andre former for interaktion</w:t>
      </w:r>
    </w:p>
    <w:p w14:paraId="17BF6A06" w14:textId="77777777" w:rsidR="001F3313" w:rsidRPr="00F1542A" w:rsidRDefault="001F3313" w:rsidP="00457AF2">
      <w:pPr>
        <w:ind w:left="851"/>
        <w:rPr>
          <w:sz w:val="24"/>
          <w:szCs w:val="24"/>
          <w:lang w:eastAsia="de-DE"/>
        </w:rPr>
      </w:pPr>
      <w:r w:rsidRPr="00F1542A">
        <w:rPr>
          <w:sz w:val="24"/>
          <w:szCs w:val="24"/>
        </w:rPr>
        <w:t>Se pkt. 6.6 vedrørende uforligeligheder med opløsningsmidler til fortynding.</w:t>
      </w:r>
    </w:p>
    <w:p w14:paraId="25531A9C" w14:textId="77777777" w:rsidR="001F3313" w:rsidRPr="00F1542A" w:rsidRDefault="001F3313" w:rsidP="00457AF2">
      <w:pPr>
        <w:ind w:left="851"/>
        <w:rPr>
          <w:sz w:val="24"/>
          <w:szCs w:val="24"/>
        </w:rPr>
      </w:pPr>
    </w:p>
    <w:p w14:paraId="00308F85" w14:textId="77777777" w:rsidR="001F3313" w:rsidRPr="00F1542A" w:rsidRDefault="001F3313" w:rsidP="00457AF2">
      <w:pPr>
        <w:ind w:left="851"/>
        <w:rPr>
          <w:sz w:val="24"/>
          <w:szCs w:val="24"/>
        </w:rPr>
      </w:pPr>
      <w:r w:rsidRPr="00F1542A">
        <w:rPr>
          <w:sz w:val="24"/>
          <w:szCs w:val="24"/>
        </w:rPr>
        <w:t xml:space="preserve">Udskillelsen af </w:t>
      </w:r>
      <w:proofErr w:type="spellStart"/>
      <w:r w:rsidRPr="00F1542A">
        <w:rPr>
          <w:sz w:val="24"/>
          <w:szCs w:val="24"/>
        </w:rPr>
        <w:t>indocyanin</w:t>
      </w:r>
      <w:proofErr w:type="spellEnd"/>
      <w:r w:rsidRPr="00F1542A">
        <w:rPr>
          <w:sz w:val="24"/>
          <w:szCs w:val="24"/>
        </w:rPr>
        <w:t xml:space="preserve"> grøn kan ændres af lægemidler, som forstyrrer leverfunktionen.</w:t>
      </w:r>
    </w:p>
    <w:p w14:paraId="61FE814F" w14:textId="77777777" w:rsidR="001F3313" w:rsidRPr="00F1542A" w:rsidRDefault="001F3313" w:rsidP="00457AF2">
      <w:pPr>
        <w:ind w:left="851"/>
        <w:rPr>
          <w:sz w:val="24"/>
          <w:szCs w:val="24"/>
        </w:rPr>
      </w:pPr>
    </w:p>
    <w:p w14:paraId="7BB3A30A" w14:textId="77777777" w:rsidR="001F3313" w:rsidRPr="00F1542A" w:rsidRDefault="001F3313" w:rsidP="00457AF2">
      <w:pPr>
        <w:ind w:left="851"/>
        <w:rPr>
          <w:sz w:val="24"/>
          <w:szCs w:val="24"/>
        </w:rPr>
      </w:pPr>
      <w:proofErr w:type="spellStart"/>
      <w:r w:rsidRPr="00F1542A">
        <w:rPr>
          <w:sz w:val="24"/>
          <w:szCs w:val="24"/>
        </w:rPr>
        <w:t>Probenecid</w:t>
      </w:r>
      <w:proofErr w:type="spellEnd"/>
      <w:r w:rsidRPr="00F1542A">
        <w:rPr>
          <w:sz w:val="24"/>
          <w:szCs w:val="24"/>
        </w:rPr>
        <w:t xml:space="preserve"> og nogle af dets metabolitter kan udskilles i </w:t>
      </w:r>
      <w:proofErr w:type="spellStart"/>
      <w:r w:rsidRPr="00F1542A">
        <w:rPr>
          <w:sz w:val="24"/>
          <w:szCs w:val="24"/>
        </w:rPr>
        <w:t>galdenog</w:t>
      </w:r>
      <w:proofErr w:type="spellEnd"/>
      <w:r w:rsidRPr="00F1542A">
        <w:rPr>
          <w:sz w:val="24"/>
          <w:szCs w:val="24"/>
        </w:rPr>
        <w:t xml:space="preserve"> kan mindske udskillelsen af </w:t>
      </w:r>
      <w:proofErr w:type="spellStart"/>
      <w:r w:rsidRPr="00F1542A">
        <w:rPr>
          <w:sz w:val="24"/>
          <w:szCs w:val="24"/>
        </w:rPr>
        <w:t>indocyanin</w:t>
      </w:r>
      <w:proofErr w:type="spellEnd"/>
      <w:r w:rsidRPr="00F1542A">
        <w:rPr>
          <w:sz w:val="24"/>
          <w:szCs w:val="24"/>
        </w:rPr>
        <w:t xml:space="preserve"> grøn, hvilket kan resultere i en forringet </w:t>
      </w:r>
      <w:proofErr w:type="spellStart"/>
      <w:r w:rsidRPr="00F1542A">
        <w:rPr>
          <w:sz w:val="24"/>
          <w:szCs w:val="24"/>
        </w:rPr>
        <w:t>indocyanin</w:t>
      </w:r>
      <w:proofErr w:type="spellEnd"/>
      <w:r w:rsidRPr="00F1542A">
        <w:rPr>
          <w:sz w:val="24"/>
          <w:szCs w:val="24"/>
        </w:rPr>
        <w:t xml:space="preserve"> grøn -leverfunktionstest.</w:t>
      </w:r>
    </w:p>
    <w:p w14:paraId="3582C213" w14:textId="77777777" w:rsidR="001F3313" w:rsidRPr="00F1542A" w:rsidRDefault="001F3313" w:rsidP="00457AF2">
      <w:pPr>
        <w:ind w:left="851"/>
        <w:rPr>
          <w:sz w:val="24"/>
          <w:szCs w:val="24"/>
        </w:rPr>
      </w:pPr>
    </w:p>
    <w:p w14:paraId="745C2E16" w14:textId="77777777" w:rsidR="001F3313" w:rsidRPr="00F1542A" w:rsidRDefault="001F3313" w:rsidP="00457AF2">
      <w:pPr>
        <w:ind w:left="851"/>
        <w:rPr>
          <w:sz w:val="24"/>
          <w:szCs w:val="24"/>
        </w:rPr>
      </w:pPr>
      <w:r w:rsidRPr="00F1542A">
        <w:rPr>
          <w:sz w:val="24"/>
          <w:szCs w:val="24"/>
        </w:rPr>
        <w:t xml:space="preserve">Samtidig anvendelse af visse lægemidler og injektioner kan ændre absorptionen. Absorptionen reduceres af injektioner, som indeholder </w:t>
      </w:r>
      <w:proofErr w:type="spellStart"/>
      <w:r w:rsidRPr="00F1542A">
        <w:rPr>
          <w:sz w:val="24"/>
          <w:szCs w:val="24"/>
        </w:rPr>
        <w:t>natriumbisulfit</w:t>
      </w:r>
      <w:proofErr w:type="spellEnd"/>
      <w:r w:rsidRPr="00F1542A">
        <w:rPr>
          <w:sz w:val="24"/>
          <w:szCs w:val="24"/>
        </w:rPr>
        <w:t xml:space="preserve"> (specielt i kombination med </w:t>
      </w:r>
      <w:proofErr w:type="spellStart"/>
      <w:r w:rsidRPr="00F1542A">
        <w:rPr>
          <w:sz w:val="24"/>
          <w:szCs w:val="24"/>
        </w:rPr>
        <w:t>heparin</w:t>
      </w:r>
      <w:proofErr w:type="spellEnd"/>
      <w:r w:rsidRPr="00F1542A">
        <w:rPr>
          <w:sz w:val="24"/>
          <w:szCs w:val="24"/>
        </w:rPr>
        <w:t>). Følgende giver et overblik over interaktion med andre lægemidler:</w:t>
      </w:r>
    </w:p>
    <w:p w14:paraId="0F61045F" w14:textId="77777777" w:rsidR="001F3313" w:rsidRPr="00F1542A" w:rsidRDefault="001F3313" w:rsidP="00457AF2">
      <w:pPr>
        <w:ind w:left="851"/>
        <w:rPr>
          <w:sz w:val="24"/>
          <w:szCs w:val="24"/>
        </w:rPr>
      </w:pPr>
    </w:p>
    <w:p w14:paraId="17F16617" w14:textId="11946D4E" w:rsidR="001F3313" w:rsidRPr="00F1542A" w:rsidRDefault="001F3313" w:rsidP="00D6543B">
      <w:pPr>
        <w:pStyle w:val="Listeafsnit"/>
        <w:numPr>
          <w:ilvl w:val="1"/>
          <w:numId w:val="21"/>
        </w:numPr>
        <w:ind w:left="1276" w:hanging="425"/>
        <w:rPr>
          <w:sz w:val="24"/>
          <w:szCs w:val="24"/>
        </w:rPr>
      </w:pPr>
      <w:r w:rsidRPr="00F1542A">
        <w:rPr>
          <w:sz w:val="24"/>
          <w:szCs w:val="24"/>
        </w:rPr>
        <w:t>Lægemidler og stoffer, som kan reducere absorptionen:</w:t>
      </w:r>
    </w:p>
    <w:p w14:paraId="22E62EF7" w14:textId="77777777" w:rsidR="001F3313" w:rsidRPr="00F1542A" w:rsidRDefault="001F3313" w:rsidP="00D6543B">
      <w:pPr>
        <w:pStyle w:val="Listeafsnit"/>
        <w:numPr>
          <w:ilvl w:val="0"/>
          <w:numId w:val="19"/>
        </w:numPr>
        <w:ind w:hanging="295"/>
        <w:rPr>
          <w:sz w:val="24"/>
          <w:szCs w:val="24"/>
        </w:rPr>
      </w:pPr>
      <w:r w:rsidRPr="00F1542A">
        <w:rPr>
          <w:sz w:val="24"/>
          <w:szCs w:val="24"/>
        </w:rPr>
        <w:t xml:space="preserve">krampestillende midler </w:t>
      </w:r>
      <w:proofErr w:type="spellStart"/>
      <w:r w:rsidRPr="00F1542A">
        <w:rPr>
          <w:sz w:val="24"/>
          <w:szCs w:val="24"/>
        </w:rPr>
        <w:t>bisulfit</w:t>
      </w:r>
      <w:proofErr w:type="spellEnd"/>
      <w:r w:rsidRPr="00F1542A">
        <w:rPr>
          <w:sz w:val="24"/>
          <w:szCs w:val="24"/>
        </w:rPr>
        <w:t>-sammensætninger</w:t>
      </w:r>
    </w:p>
    <w:p w14:paraId="73A46C74" w14:textId="77777777" w:rsidR="001F3313" w:rsidRPr="00F1542A" w:rsidRDefault="001F3313" w:rsidP="00D6543B">
      <w:pPr>
        <w:pStyle w:val="Listeafsnit"/>
        <w:numPr>
          <w:ilvl w:val="0"/>
          <w:numId w:val="19"/>
        </w:numPr>
        <w:ind w:hanging="295"/>
        <w:rPr>
          <w:sz w:val="24"/>
          <w:szCs w:val="24"/>
        </w:rPr>
      </w:pPr>
      <w:proofErr w:type="spellStart"/>
      <w:r w:rsidRPr="00F1542A">
        <w:rPr>
          <w:sz w:val="24"/>
          <w:szCs w:val="24"/>
        </w:rPr>
        <w:t>haloperidolheroin</w:t>
      </w:r>
      <w:proofErr w:type="spellEnd"/>
    </w:p>
    <w:p w14:paraId="05E19D39" w14:textId="1742A37B" w:rsidR="001F3313" w:rsidRPr="00F1542A" w:rsidRDefault="001F3313" w:rsidP="00D6543B">
      <w:pPr>
        <w:pStyle w:val="Listeafsnit"/>
        <w:numPr>
          <w:ilvl w:val="0"/>
          <w:numId w:val="19"/>
        </w:numPr>
        <w:ind w:hanging="295"/>
        <w:rPr>
          <w:sz w:val="24"/>
          <w:szCs w:val="24"/>
        </w:rPr>
      </w:pPr>
      <w:proofErr w:type="spellStart"/>
      <w:r w:rsidRPr="00F1542A">
        <w:rPr>
          <w:sz w:val="24"/>
          <w:szCs w:val="24"/>
        </w:rPr>
        <w:t>pethidin</w:t>
      </w:r>
      <w:proofErr w:type="spellEnd"/>
      <w:r w:rsidRPr="00F1542A">
        <w:rPr>
          <w:sz w:val="24"/>
          <w:szCs w:val="24"/>
        </w:rPr>
        <w:t xml:space="preserve"> </w:t>
      </w:r>
    </w:p>
    <w:p w14:paraId="3B594995" w14:textId="77777777" w:rsidR="001F3313" w:rsidRPr="00F1542A" w:rsidRDefault="001F3313" w:rsidP="00D6543B">
      <w:pPr>
        <w:pStyle w:val="Listeafsnit"/>
        <w:numPr>
          <w:ilvl w:val="0"/>
          <w:numId w:val="19"/>
        </w:numPr>
        <w:ind w:hanging="295"/>
        <w:rPr>
          <w:sz w:val="24"/>
          <w:szCs w:val="24"/>
        </w:rPr>
      </w:pPr>
      <w:proofErr w:type="spellStart"/>
      <w:r w:rsidRPr="00F1542A">
        <w:rPr>
          <w:sz w:val="24"/>
          <w:szCs w:val="24"/>
        </w:rPr>
        <w:t>metamizol</w:t>
      </w:r>
      <w:proofErr w:type="spellEnd"/>
    </w:p>
    <w:p w14:paraId="6B68A39B" w14:textId="728668F7" w:rsidR="001F3313" w:rsidRPr="00F1542A" w:rsidRDefault="001F3313" w:rsidP="00D6543B">
      <w:pPr>
        <w:pStyle w:val="Listeafsnit"/>
        <w:numPr>
          <w:ilvl w:val="0"/>
          <w:numId w:val="19"/>
        </w:numPr>
        <w:ind w:hanging="295"/>
        <w:rPr>
          <w:sz w:val="24"/>
          <w:szCs w:val="24"/>
        </w:rPr>
      </w:pPr>
      <w:r w:rsidRPr="00F1542A">
        <w:rPr>
          <w:sz w:val="24"/>
          <w:szCs w:val="24"/>
        </w:rPr>
        <w:t>metadon</w:t>
      </w:r>
    </w:p>
    <w:p w14:paraId="28596047" w14:textId="2975D048" w:rsidR="001F3313" w:rsidRPr="00F1542A" w:rsidRDefault="001F3313" w:rsidP="00D6543B">
      <w:pPr>
        <w:pStyle w:val="Listeafsnit"/>
        <w:numPr>
          <w:ilvl w:val="0"/>
          <w:numId w:val="19"/>
        </w:numPr>
        <w:ind w:hanging="295"/>
        <w:rPr>
          <w:sz w:val="24"/>
          <w:szCs w:val="24"/>
        </w:rPr>
      </w:pPr>
      <w:r w:rsidRPr="00F1542A">
        <w:rPr>
          <w:sz w:val="24"/>
          <w:szCs w:val="24"/>
        </w:rPr>
        <w:t>morfin</w:t>
      </w:r>
    </w:p>
    <w:p w14:paraId="07CF5E16" w14:textId="27C41A12" w:rsidR="001F3313" w:rsidRPr="00F1542A" w:rsidRDefault="001F3313" w:rsidP="00D6543B">
      <w:pPr>
        <w:pStyle w:val="Listeafsnit"/>
        <w:numPr>
          <w:ilvl w:val="0"/>
          <w:numId w:val="19"/>
        </w:numPr>
        <w:ind w:hanging="295"/>
        <w:rPr>
          <w:sz w:val="24"/>
          <w:szCs w:val="24"/>
        </w:rPr>
      </w:pPr>
      <w:proofErr w:type="spellStart"/>
      <w:r w:rsidRPr="00F1542A">
        <w:rPr>
          <w:sz w:val="24"/>
          <w:szCs w:val="24"/>
        </w:rPr>
        <w:t>nitrofurantoin</w:t>
      </w:r>
      <w:proofErr w:type="spellEnd"/>
    </w:p>
    <w:p w14:paraId="395920C0" w14:textId="2928FC0F" w:rsidR="001F3313" w:rsidRPr="00F1542A" w:rsidRDefault="001F3313" w:rsidP="00D6543B">
      <w:pPr>
        <w:pStyle w:val="Listeafsnit"/>
        <w:numPr>
          <w:ilvl w:val="0"/>
          <w:numId w:val="19"/>
        </w:numPr>
        <w:ind w:hanging="295"/>
        <w:rPr>
          <w:sz w:val="24"/>
          <w:szCs w:val="24"/>
        </w:rPr>
      </w:pPr>
      <w:proofErr w:type="spellStart"/>
      <w:r w:rsidRPr="00F1542A">
        <w:rPr>
          <w:sz w:val="24"/>
          <w:szCs w:val="24"/>
        </w:rPr>
        <w:t>opiumalkoloider</w:t>
      </w:r>
      <w:proofErr w:type="spellEnd"/>
    </w:p>
    <w:p w14:paraId="2B4A266A" w14:textId="77777777" w:rsidR="001F3313" w:rsidRPr="00F1542A" w:rsidRDefault="001F3313" w:rsidP="00D6543B">
      <w:pPr>
        <w:pStyle w:val="Listeafsnit"/>
        <w:numPr>
          <w:ilvl w:val="0"/>
          <w:numId w:val="19"/>
        </w:numPr>
        <w:ind w:hanging="295"/>
        <w:rPr>
          <w:sz w:val="24"/>
          <w:szCs w:val="24"/>
        </w:rPr>
      </w:pPr>
      <w:proofErr w:type="spellStart"/>
      <w:r w:rsidRPr="00F1542A">
        <w:rPr>
          <w:sz w:val="24"/>
          <w:szCs w:val="24"/>
        </w:rPr>
        <w:t>fenobarbital</w:t>
      </w:r>
      <w:proofErr w:type="spellEnd"/>
    </w:p>
    <w:p w14:paraId="56B080FB" w14:textId="77777777" w:rsidR="001F3313" w:rsidRPr="00F1542A" w:rsidRDefault="001F3313" w:rsidP="00D6543B">
      <w:pPr>
        <w:pStyle w:val="Listeafsnit"/>
        <w:numPr>
          <w:ilvl w:val="0"/>
          <w:numId w:val="19"/>
        </w:numPr>
        <w:ind w:hanging="295"/>
        <w:rPr>
          <w:sz w:val="24"/>
          <w:szCs w:val="24"/>
        </w:rPr>
      </w:pPr>
      <w:proofErr w:type="spellStart"/>
      <w:r w:rsidRPr="00F1542A">
        <w:rPr>
          <w:sz w:val="24"/>
          <w:szCs w:val="24"/>
        </w:rPr>
        <w:t>fenylbutazon</w:t>
      </w:r>
      <w:proofErr w:type="spellEnd"/>
    </w:p>
    <w:p w14:paraId="599A2D6B" w14:textId="77777777" w:rsidR="001F3313" w:rsidRPr="00F1542A" w:rsidRDefault="001F3313" w:rsidP="00457AF2">
      <w:pPr>
        <w:ind w:left="851"/>
        <w:rPr>
          <w:sz w:val="24"/>
          <w:szCs w:val="24"/>
        </w:rPr>
      </w:pPr>
    </w:p>
    <w:p w14:paraId="0ACD4DFF" w14:textId="710F9321" w:rsidR="001F3313" w:rsidRPr="00F1542A" w:rsidRDefault="001F3313" w:rsidP="00D6543B">
      <w:pPr>
        <w:pStyle w:val="Listeafsnit"/>
        <w:numPr>
          <w:ilvl w:val="1"/>
          <w:numId w:val="21"/>
        </w:numPr>
        <w:ind w:left="1276" w:hanging="425"/>
        <w:rPr>
          <w:snapToGrid w:val="0"/>
          <w:sz w:val="24"/>
          <w:szCs w:val="24"/>
        </w:rPr>
      </w:pPr>
      <w:r w:rsidRPr="00F1542A">
        <w:rPr>
          <w:snapToGrid w:val="0"/>
          <w:sz w:val="24"/>
          <w:szCs w:val="24"/>
        </w:rPr>
        <w:t>Lægemidler og stoffer, som kan øge absorptionen:</w:t>
      </w:r>
    </w:p>
    <w:p w14:paraId="0135E73D" w14:textId="77777777" w:rsidR="001F3313" w:rsidRPr="00F1542A" w:rsidRDefault="001F3313" w:rsidP="00D6543B">
      <w:pPr>
        <w:pStyle w:val="Listeafsnit"/>
        <w:numPr>
          <w:ilvl w:val="0"/>
          <w:numId w:val="23"/>
        </w:numPr>
        <w:ind w:hanging="295"/>
        <w:rPr>
          <w:sz w:val="24"/>
          <w:szCs w:val="24"/>
        </w:rPr>
      </w:pPr>
      <w:proofErr w:type="spellStart"/>
      <w:r w:rsidRPr="00F1542A">
        <w:rPr>
          <w:sz w:val="24"/>
          <w:szCs w:val="24"/>
        </w:rPr>
        <w:t>cyklopropan</w:t>
      </w:r>
      <w:proofErr w:type="spellEnd"/>
    </w:p>
    <w:p w14:paraId="0BF4BA19" w14:textId="77777777" w:rsidR="001F3313" w:rsidRPr="00F1542A" w:rsidRDefault="001F3313" w:rsidP="00D6543B">
      <w:pPr>
        <w:pStyle w:val="Listeafsnit"/>
        <w:numPr>
          <w:ilvl w:val="0"/>
          <w:numId w:val="23"/>
        </w:numPr>
        <w:ind w:hanging="295"/>
        <w:rPr>
          <w:sz w:val="24"/>
          <w:szCs w:val="24"/>
        </w:rPr>
      </w:pPr>
      <w:proofErr w:type="spellStart"/>
      <w:r w:rsidRPr="00F1542A">
        <w:rPr>
          <w:sz w:val="24"/>
          <w:szCs w:val="24"/>
        </w:rPr>
        <w:t>probenecid</w:t>
      </w:r>
      <w:proofErr w:type="spellEnd"/>
    </w:p>
    <w:p w14:paraId="469407A2" w14:textId="77777777" w:rsidR="001F3313" w:rsidRPr="00F1542A" w:rsidRDefault="001F3313" w:rsidP="00D6543B">
      <w:pPr>
        <w:pStyle w:val="Listeafsnit"/>
        <w:numPr>
          <w:ilvl w:val="0"/>
          <w:numId w:val="23"/>
        </w:numPr>
        <w:ind w:hanging="295"/>
        <w:rPr>
          <w:sz w:val="24"/>
          <w:szCs w:val="24"/>
        </w:rPr>
      </w:pPr>
      <w:proofErr w:type="spellStart"/>
      <w:r w:rsidRPr="00F1542A">
        <w:rPr>
          <w:sz w:val="24"/>
          <w:szCs w:val="24"/>
        </w:rPr>
        <w:t>rifamycin</w:t>
      </w:r>
      <w:proofErr w:type="spellEnd"/>
      <w:r w:rsidRPr="00F1542A">
        <w:rPr>
          <w:sz w:val="24"/>
          <w:szCs w:val="24"/>
        </w:rPr>
        <w:t>.</w:t>
      </w:r>
    </w:p>
    <w:p w14:paraId="49AF2855" w14:textId="77777777" w:rsidR="009260DE" w:rsidRPr="00F1542A" w:rsidRDefault="009260DE" w:rsidP="009260DE">
      <w:pPr>
        <w:tabs>
          <w:tab w:val="left" w:pos="851"/>
        </w:tabs>
        <w:ind w:left="851"/>
        <w:rPr>
          <w:sz w:val="24"/>
          <w:szCs w:val="24"/>
        </w:rPr>
      </w:pPr>
    </w:p>
    <w:p w14:paraId="5FAB1FEA" w14:textId="77777777" w:rsidR="009260DE" w:rsidRPr="00F1542A" w:rsidRDefault="009260DE" w:rsidP="009260DE">
      <w:pPr>
        <w:tabs>
          <w:tab w:val="left" w:pos="851"/>
        </w:tabs>
        <w:ind w:left="851" w:hanging="851"/>
        <w:rPr>
          <w:b/>
          <w:sz w:val="24"/>
          <w:szCs w:val="24"/>
        </w:rPr>
      </w:pPr>
      <w:r w:rsidRPr="00F1542A">
        <w:rPr>
          <w:b/>
          <w:sz w:val="24"/>
          <w:szCs w:val="24"/>
        </w:rPr>
        <w:t>4.6</w:t>
      </w:r>
      <w:r w:rsidRPr="00F1542A">
        <w:rPr>
          <w:b/>
          <w:sz w:val="24"/>
          <w:szCs w:val="24"/>
        </w:rPr>
        <w:tab/>
        <w:t>Graviditet og amning</w:t>
      </w:r>
    </w:p>
    <w:p w14:paraId="101E09CC" w14:textId="77777777" w:rsidR="00D6543B" w:rsidRPr="00F1542A" w:rsidRDefault="00D6543B" w:rsidP="00457AF2">
      <w:pPr>
        <w:ind w:left="851"/>
        <w:rPr>
          <w:sz w:val="24"/>
          <w:szCs w:val="24"/>
        </w:rPr>
      </w:pPr>
    </w:p>
    <w:p w14:paraId="4B334164" w14:textId="3A9C0FFC" w:rsidR="001F3313" w:rsidRPr="00F1542A" w:rsidRDefault="001F3313" w:rsidP="00457AF2">
      <w:pPr>
        <w:ind w:left="851"/>
        <w:rPr>
          <w:sz w:val="24"/>
          <w:szCs w:val="24"/>
          <w:u w:val="single"/>
          <w:lang w:eastAsia="de-DE"/>
        </w:rPr>
      </w:pPr>
      <w:r w:rsidRPr="00F1542A">
        <w:rPr>
          <w:sz w:val="24"/>
          <w:szCs w:val="24"/>
          <w:u w:val="single"/>
        </w:rPr>
        <w:t>Graviditet</w:t>
      </w:r>
    </w:p>
    <w:p w14:paraId="08606B4E" w14:textId="77777777" w:rsidR="001F3313" w:rsidRPr="00F1542A" w:rsidRDefault="001F3313" w:rsidP="00457AF2">
      <w:pPr>
        <w:ind w:left="851"/>
        <w:rPr>
          <w:sz w:val="24"/>
          <w:szCs w:val="24"/>
        </w:rPr>
      </w:pPr>
      <w:r w:rsidRPr="00F1542A">
        <w:rPr>
          <w:sz w:val="24"/>
          <w:szCs w:val="24"/>
        </w:rPr>
        <w:t xml:space="preserve">Data på et begrænset antal (242) graviditeter eksponeret for </w:t>
      </w:r>
      <w:proofErr w:type="spellStart"/>
      <w:r w:rsidRPr="00F1542A">
        <w:rPr>
          <w:sz w:val="24"/>
          <w:szCs w:val="24"/>
        </w:rPr>
        <w:t>indocyanin</w:t>
      </w:r>
      <w:proofErr w:type="spellEnd"/>
      <w:r w:rsidRPr="00F1542A">
        <w:rPr>
          <w:sz w:val="24"/>
          <w:szCs w:val="24"/>
        </w:rPr>
        <w:t xml:space="preserve"> grøn indikerer ingen bivirkninger for graviditeten eller fosterets/det nyfødte barns sundhed. Til dato er ingen andre relevante epidemiologiske data tilgængelige. Der er ingen forsøg vedrørende reproduktion, </w:t>
      </w:r>
      <w:r w:rsidRPr="00F1542A">
        <w:rPr>
          <w:noProof/>
          <w:color w:val="000000"/>
          <w:spacing w:val="-2"/>
          <w:sz w:val="24"/>
          <w:szCs w:val="24"/>
        </w:rPr>
        <w:t>teratogenicitet eller kræftfremkaldende virkning i dyr tilgængelige. Den potentielle risiko i mennesker er ukendt.</w:t>
      </w:r>
    </w:p>
    <w:p w14:paraId="76014EDF" w14:textId="77777777" w:rsidR="001F3313" w:rsidRPr="00F1542A" w:rsidRDefault="001F3313" w:rsidP="00457AF2">
      <w:pPr>
        <w:ind w:left="851"/>
        <w:rPr>
          <w:sz w:val="24"/>
          <w:szCs w:val="24"/>
        </w:rPr>
      </w:pPr>
      <w:r w:rsidRPr="00F1542A">
        <w:rPr>
          <w:sz w:val="24"/>
          <w:szCs w:val="24"/>
        </w:rPr>
        <w:t>Der skal udvises forsigtighed med at ordinere til gravide kvinder. Gentagne anvendelser på samme dag skal undgås.</w:t>
      </w:r>
    </w:p>
    <w:p w14:paraId="2B3BC26A" w14:textId="77777777" w:rsidR="001F3313" w:rsidRPr="00F1542A" w:rsidRDefault="001F3313" w:rsidP="00457AF2">
      <w:pPr>
        <w:ind w:left="851"/>
        <w:rPr>
          <w:sz w:val="24"/>
          <w:szCs w:val="24"/>
        </w:rPr>
      </w:pPr>
    </w:p>
    <w:p w14:paraId="2E9E2AA9" w14:textId="77777777" w:rsidR="001F3313" w:rsidRPr="00F1542A" w:rsidRDefault="001F3313" w:rsidP="00457AF2">
      <w:pPr>
        <w:ind w:left="851"/>
        <w:rPr>
          <w:sz w:val="24"/>
          <w:szCs w:val="24"/>
          <w:u w:val="single"/>
        </w:rPr>
      </w:pPr>
      <w:r w:rsidRPr="00F1542A">
        <w:rPr>
          <w:sz w:val="24"/>
          <w:szCs w:val="24"/>
          <w:u w:val="single"/>
        </w:rPr>
        <w:t>Amning</w:t>
      </w:r>
    </w:p>
    <w:p w14:paraId="04D75A2F" w14:textId="77777777" w:rsidR="001F3313" w:rsidRPr="00F1542A" w:rsidRDefault="001F3313" w:rsidP="00457AF2">
      <w:pPr>
        <w:ind w:left="851"/>
        <w:rPr>
          <w:sz w:val="24"/>
          <w:szCs w:val="24"/>
        </w:rPr>
      </w:pPr>
      <w:r w:rsidRPr="00F1542A">
        <w:rPr>
          <w:sz w:val="24"/>
          <w:szCs w:val="24"/>
        </w:rPr>
        <w:t xml:space="preserve">Det er ukendt, om </w:t>
      </w:r>
      <w:proofErr w:type="spellStart"/>
      <w:r w:rsidRPr="00F1542A">
        <w:rPr>
          <w:sz w:val="24"/>
          <w:szCs w:val="24"/>
        </w:rPr>
        <w:t>Verdye</w:t>
      </w:r>
      <w:proofErr w:type="spellEnd"/>
      <w:r w:rsidRPr="00F1542A">
        <w:rPr>
          <w:sz w:val="24"/>
          <w:szCs w:val="24"/>
        </w:rPr>
        <w:t xml:space="preserve"> /metabolitter udskilles i modermælk. Da mange lægemidler udskilles i modermælk, skal der udvises forsigtighed, hvis </w:t>
      </w:r>
      <w:proofErr w:type="spellStart"/>
      <w:r w:rsidRPr="00F1542A">
        <w:rPr>
          <w:sz w:val="24"/>
          <w:szCs w:val="24"/>
        </w:rPr>
        <w:t>indocyanin</w:t>
      </w:r>
      <w:proofErr w:type="spellEnd"/>
      <w:r w:rsidRPr="00F1542A">
        <w:rPr>
          <w:sz w:val="24"/>
          <w:szCs w:val="24"/>
        </w:rPr>
        <w:t xml:space="preserve"> grøn ordineres til en ammende kvinde.</w:t>
      </w:r>
    </w:p>
    <w:p w14:paraId="54AB66CF" w14:textId="77777777" w:rsidR="001F3313" w:rsidRPr="00F1542A" w:rsidRDefault="001F3313" w:rsidP="00457AF2">
      <w:pPr>
        <w:ind w:left="851"/>
        <w:rPr>
          <w:sz w:val="24"/>
          <w:szCs w:val="24"/>
        </w:rPr>
      </w:pPr>
    </w:p>
    <w:p w14:paraId="4E93F3B5" w14:textId="77777777" w:rsidR="001F3313" w:rsidRPr="00F1542A" w:rsidRDefault="001F3313" w:rsidP="00457AF2">
      <w:pPr>
        <w:ind w:left="851"/>
        <w:rPr>
          <w:sz w:val="24"/>
          <w:szCs w:val="24"/>
          <w:u w:val="single"/>
        </w:rPr>
      </w:pPr>
      <w:r w:rsidRPr="00F1542A">
        <w:rPr>
          <w:sz w:val="24"/>
          <w:szCs w:val="24"/>
          <w:u w:val="single"/>
        </w:rPr>
        <w:t>Fertilitet</w:t>
      </w:r>
    </w:p>
    <w:p w14:paraId="1CF93ECC" w14:textId="77777777" w:rsidR="001F3313" w:rsidRPr="00F1542A" w:rsidRDefault="001F3313" w:rsidP="00457AF2">
      <w:pPr>
        <w:ind w:left="851"/>
        <w:rPr>
          <w:sz w:val="24"/>
          <w:szCs w:val="24"/>
        </w:rPr>
      </w:pPr>
      <w:r w:rsidRPr="00F1542A">
        <w:rPr>
          <w:sz w:val="24"/>
          <w:szCs w:val="24"/>
        </w:rPr>
        <w:t xml:space="preserve">Der er ingen data for virkningen af </w:t>
      </w:r>
      <w:proofErr w:type="spellStart"/>
      <w:r w:rsidRPr="00F1542A">
        <w:rPr>
          <w:sz w:val="24"/>
          <w:szCs w:val="24"/>
        </w:rPr>
        <w:t>indocyaningrønt</w:t>
      </w:r>
      <w:proofErr w:type="spellEnd"/>
      <w:r w:rsidRPr="00F1542A">
        <w:rPr>
          <w:sz w:val="24"/>
          <w:szCs w:val="24"/>
        </w:rPr>
        <w:t xml:space="preserve"> på fertilitet.</w:t>
      </w:r>
    </w:p>
    <w:p w14:paraId="308C2198" w14:textId="77777777" w:rsidR="009260DE" w:rsidRPr="00F1542A" w:rsidRDefault="009260DE" w:rsidP="009260DE">
      <w:pPr>
        <w:tabs>
          <w:tab w:val="left" w:pos="851"/>
        </w:tabs>
        <w:ind w:left="851"/>
        <w:rPr>
          <w:sz w:val="24"/>
          <w:szCs w:val="24"/>
        </w:rPr>
      </w:pPr>
    </w:p>
    <w:p w14:paraId="0AF19871" w14:textId="77777777" w:rsidR="009260DE" w:rsidRPr="00F1542A" w:rsidRDefault="009260DE" w:rsidP="009260DE">
      <w:pPr>
        <w:tabs>
          <w:tab w:val="left" w:pos="851"/>
        </w:tabs>
        <w:ind w:left="851" w:hanging="851"/>
        <w:rPr>
          <w:b/>
          <w:sz w:val="24"/>
          <w:szCs w:val="24"/>
        </w:rPr>
      </w:pPr>
      <w:r w:rsidRPr="00F1542A">
        <w:rPr>
          <w:b/>
          <w:sz w:val="24"/>
          <w:szCs w:val="24"/>
        </w:rPr>
        <w:t>4.7</w:t>
      </w:r>
      <w:r w:rsidRPr="00F1542A">
        <w:rPr>
          <w:b/>
          <w:sz w:val="24"/>
          <w:szCs w:val="24"/>
        </w:rPr>
        <w:tab/>
        <w:t>Virkninger på evnen til at føre motorkøretøj eller betjene maskiner</w:t>
      </w:r>
    </w:p>
    <w:p w14:paraId="22BD4997" w14:textId="77777777" w:rsidR="00D6543B" w:rsidRPr="00F1542A" w:rsidRDefault="00D6543B" w:rsidP="00457AF2">
      <w:pPr>
        <w:ind w:left="851"/>
        <w:rPr>
          <w:sz w:val="24"/>
          <w:szCs w:val="24"/>
        </w:rPr>
      </w:pPr>
      <w:r w:rsidRPr="00F1542A">
        <w:rPr>
          <w:sz w:val="24"/>
          <w:szCs w:val="24"/>
        </w:rPr>
        <w:t>Ikke mærkning.</w:t>
      </w:r>
    </w:p>
    <w:p w14:paraId="0971F8BF" w14:textId="542B7892" w:rsidR="001F3313" w:rsidRPr="00F1542A" w:rsidRDefault="001F3313" w:rsidP="00457AF2">
      <w:pPr>
        <w:ind w:left="851"/>
        <w:rPr>
          <w:sz w:val="24"/>
          <w:szCs w:val="24"/>
          <w:lang w:eastAsia="de-DE"/>
        </w:rPr>
      </w:pPr>
      <w:r w:rsidRPr="00F1542A">
        <w:rPr>
          <w:sz w:val="24"/>
          <w:szCs w:val="24"/>
        </w:rPr>
        <w:t>Der er ikke foretaget forsøg med virkningen på evnen til at føre motorkøretøj og betjene maskiner.</w:t>
      </w:r>
    </w:p>
    <w:p w14:paraId="38CAB3DA" w14:textId="77777777" w:rsidR="009260DE" w:rsidRPr="00F1542A" w:rsidRDefault="009260DE" w:rsidP="009260DE">
      <w:pPr>
        <w:tabs>
          <w:tab w:val="left" w:pos="851"/>
        </w:tabs>
        <w:ind w:left="851"/>
        <w:rPr>
          <w:sz w:val="24"/>
          <w:szCs w:val="24"/>
        </w:rPr>
      </w:pPr>
    </w:p>
    <w:p w14:paraId="53628AD6" w14:textId="77777777" w:rsidR="009260DE" w:rsidRPr="00F1542A" w:rsidRDefault="009260DE" w:rsidP="009260DE">
      <w:pPr>
        <w:tabs>
          <w:tab w:val="left" w:pos="851"/>
        </w:tabs>
        <w:ind w:left="851" w:hanging="851"/>
        <w:rPr>
          <w:b/>
          <w:sz w:val="24"/>
          <w:szCs w:val="24"/>
        </w:rPr>
      </w:pPr>
      <w:r w:rsidRPr="00F1542A">
        <w:rPr>
          <w:b/>
          <w:sz w:val="24"/>
          <w:szCs w:val="24"/>
        </w:rPr>
        <w:t>4.8</w:t>
      </w:r>
      <w:r w:rsidRPr="00F1542A">
        <w:rPr>
          <w:b/>
          <w:sz w:val="24"/>
          <w:szCs w:val="24"/>
        </w:rPr>
        <w:tab/>
        <w:t>Bivirkninger</w:t>
      </w:r>
    </w:p>
    <w:p w14:paraId="7A21EE92" w14:textId="77777777" w:rsidR="001F3313" w:rsidRPr="00F1542A" w:rsidRDefault="001F3313" w:rsidP="00457AF2">
      <w:pPr>
        <w:ind w:left="851"/>
        <w:rPr>
          <w:sz w:val="24"/>
          <w:szCs w:val="24"/>
          <w:lang w:eastAsia="de-DE"/>
        </w:rPr>
      </w:pPr>
      <w:r w:rsidRPr="00F1542A">
        <w:rPr>
          <w:sz w:val="24"/>
          <w:szCs w:val="24"/>
        </w:rPr>
        <w:t>Evalueringen af bivirkninger er baseret på de følgende hyppighedsdefinitioner:</w:t>
      </w:r>
    </w:p>
    <w:p w14:paraId="02CA55F9" w14:textId="77777777" w:rsidR="001F3313" w:rsidRPr="00F1542A" w:rsidRDefault="001F3313" w:rsidP="00457AF2">
      <w:pPr>
        <w:ind w:left="851"/>
        <w:rPr>
          <w:sz w:val="24"/>
          <w:szCs w:val="24"/>
        </w:rPr>
      </w:pPr>
    </w:p>
    <w:p w14:paraId="2750F079" w14:textId="77777777" w:rsidR="001F3313" w:rsidRPr="00F1542A" w:rsidRDefault="001F3313" w:rsidP="00457AF2">
      <w:pPr>
        <w:ind w:left="851"/>
        <w:rPr>
          <w:sz w:val="24"/>
          <w:szCs w:val="24"/>
        </w:rPr>
      </w:pPr>
      <w:r w:rsidRPr="00F1542A">
        <w:rPr>
          <w:sz w:val="24"/>
          <w:szCs w:val="24"/>
        </w:rPr>
        <w:t>Meget almindelig (</w:t>
      </w:r>
      <w:r w:rsidRPr="00F1542A">
        <w:rPr>
          <w:sz w:val="24"/>
          <w:szCs w:val="24"/>
        </w:rPr>
        <w:sym w:font="Symbol" w:char="F0B3"/>
      </w:r>
      <w:r w:rsidRPr="00F1542A">
        <w:rPr>
          <w:sz w:val="24"/>
          <w:szCs w:val="24"/>
        </w:rPr>
        <w:t>1/10)</w:t>
      </w:r>
    </w:p>
    <w:p w14:paraId="67262295" w14:textId="77777777" w:rsidR="001F3313" w:rsidRPr="00F1542A" w:rsidRDefault="001F3313" w:rsidP="00457AF2">
      <w:pPr>
        <w:ind w:left="851"/>
        <w:rPr>
          <w:sz w:val="24"/>
          <w:szCs w:val="24"/>
        </w:rPr>
      </w:pPr>
      <w:r w:rsidRPr="00F1542A">
        <w:rPr>
          <w:sz w:val="24"/>
          <w:szCs w:val="24"/>
        </w:rPr>
        <w:t>Almindelig (</w:t>
      </w:r>
      <w:r w:rsidRPr="00F1542A">
        <w:rPr>
          <w:sz w:val="24"/>
          <w:szCs w:val="24"/>
        </w:rPr>
        <w:sym w:font="Symbol" w:char="F0B3"/>
      </w:r>
      <w:r w:rsidRPr="00F1542A">
        <w:rPr>
          <w:sz w:val="24"/>
          <w:szCs w:val="24"/>
        </w:rPr>
        <w:t>1/100 til &lt;1/10)</w:t>
      </w:r>
    </w:p>
    <w:p w14:paraId="3D0989B1" w14:textId="77777777" w:rsidR="001F3313" w:rsidRPr="00F1542A" w:rsidRDefault="001F3313" w:rsidP="00457AF2">
      <w:pPr>
        <w:ind w:left="851"/>
        <w:rPr>
          <w:sz w:val="24"/>
          <w:szCs w:val="24"/>
        </w:rPr>
      </w:pPr>
      <w:r w:rsidRPr="00F1542A">
        <w:rPr>
          <w:sz w:val="24"/>
          <w:szCs w:val="24"/>
        </w:rPr>
        <w:t>Ikke almindelig (</w:t>
      </w:r>
      <w:r w:rsidRPr="00F1542A">
        <w:rPr>
          <w:sz w:val="24"/>
          <w:szCs w:val="24"/>
        </w:rPr>
        <w:sym w:font="Symbol" w:char="F0B3"/>
      </w:r>
      <w:r w:rsidRPr="00F1542A">
        <w:rPr>
          <w:sz w:val="24"/>
          <w:szCs w:val="24"/>
        </w:rPr>
        <w:t xml:space="preserve">1/1 000 til </w:t>
      </w:r>
      <w:r w:rsidRPr="00F1542A">
        <w:rPr>
          <w:sz w:val="24"/>
          <w:szCs w:val="24"/>
        </w:rPr>
        <w:sym w:font="Symbol" w:char="F03C"/>
      </w:r>
      <w:r w:rsidRPr="00F1542A">
        <w:rPr>
          <w:sz w:val="24"/>
          <w:szCs w:val="24"/>
        </w:rPr>
        <w:t>1/100)</w:t>
      </w:r>
    </w:p>
    <w:p w14:paraId="31F423CB" w14:textId="77777777" w:rsidR="001F3313" w:rsidRPr="00F1542A" w:rsidRDefault="001F3313" w:rsidP="00457AF2">
      <w:pPr>
        <w:ind w:left="851"/>
        <w:rPr>
          <w:sz w:val="24"/>
          <w:szCs w:val="24"/>
        </w:rPr>
      </w:pPr>
      <w:r w:rsidRPr="00F1542A">
        <w:rPr>
          <w:sz w:val="24"/>
          <w:szCs w:val="24"/>
        </w:rPr>
        <w:t>Sjælden (</w:t>
      </w:r>
      <w:r w:rsidRPr="00F1542A">
        <w:rPr>
          <w:sz w:val="24"/>
          <w:szCs w:val="24"/>
        </w:rPr>
        <w:sym w:font="Symbol" w:char="F0B3"/>
      </w:r>
      <w:r w:rsidRPr="00F1542A">
        <w:rPr>
          <w:sz w:val="24"/>
          <w:szCs w:val="24"/>
        </w:rPr>
        <w:t xml:space="preserve">1/10 000 til </w:t>
      </w:r>
      <w:r w:rsidRPr="00F1542A">
        <w:rPr>
          <w:sz w:val="24"/>
          <w:szCs w:val="24"/>
        </w:rPr>
        <w:sym w:font="Symbol" w:char="F03C"/>
      </w:r>
      <w:r w:rsidRPr="00F1542A">
        <w:rPr>
          <w:sz w:val="24"/>
          <w:szCs w:val="24"/>
        </w:rPr>
        <w:t>1/1 000)</w:t>
      </w:r>
    </w:p>
    <w:p w14:paraId="7E0DEA13" w14:textId="77777777" w:rsidR="001F3313" w:rsidRPr="00F1542A" w:rsidRDefault="001F3313" w:rsidP="00457AF2">
      <w:pPr>
        <w:ind w:left="851"/>
        <w:rPr>
          <w:sz w:val="24"/>
          <w:szCs w:val="24"/>
        </w:rPr>
      </w:pPr>
      <w:r w:rsidRPr="00F1542A">
        <w:rPr>
          <w:sz w:val="24"/>
          <w:szCs w:val="24"/>
        </w:rPr>
        <w:t>Meget sjælden (</w:t>
      </w:r>
      <w:r w:rsidRPr="00F1542A">
        <w:rPr>
          <w:sz w:val="24"/>
          <w:szCs w:val="24"/>
        </w:rPr>
        <w:sym w:font="Symbol" w:char="F03C"/>
      </w:r>
      <w:r w:rsidRPr="00F1542A">
        <w:rPr>
          <w:sz w:val="24"/>
          <w:szCs w:val="24"/>
        </w:rPr>
        <w:t>1/10 000)</w:t>
      </w:r>
    </w:p>
    <w:p w14:paraId="76D9D81B" w14:textId="77777777" w:rsidR="001F3313" w:rsidRPr="00F1542A" w:rsidRDefault="001F3313" w:rsidP="00457AF2">
      <w:pPr>
        <w:ind w:left="851"/>
        <w:rPr>
          <w:sz w:val="24"/>
          <w:szCs w:val="24"/>
        </w:rPr>
      </w:pPr>
      <w:r w:rsidRPr="00F1542A">
        <w:rPr>
          <w:sz w:val="24"/>
          <w:szCs w:val="24"/>
        </w:rPr>
        <w:t>Ikke kendt (kan ikke estimeres ud fra forhåndenværende data)</w:t>
      </w:r>
    </w:p>
    <w:p w14:paraId="1E4471BB" w14:textId="77777777" w:rsidR="001F3313" w:rsidRPr="00F1542A" w:rsidRDefault="001F3313" w:rsidP="00457AF2">
      <w:pPr>
        <w:ind w:left="851"/>
        <w:rPr>
          <w:sz w:val="24"/>
          <w:szCs w:val="24"/>
        </w:rPr>
      </w:pPr>
    </w:p>
    <w:p w14:paraId="42CBD864" w14:textId="77777777" w:rsidR="001F3313" w:rsidRPr="00F1542A" w:rsidRDefault="001F3313" w:rsidP="00457AF2">
      <w:pPr>
        <w:ind w:left="851"/>
        <w:rPr>
          <w:sz w:val="24"/>
          <w:szCs w:val="24"/>
        </w:rPr>
      </w:pPr>
      <w:proofErr w:type="spellStart"/>
      <w:r w:rsidRPr="00F1542A">
        <w:rPr>
          <w:sz w:val="24"/>
          <w:szCs w:val="24"/>
        </w:rPr>
        <w:t>Anafylaktiske</w:t>
      </w:r>
      <w:proofErr w:type="spellEnd"/>
      <w:r w:rsidRPr="00F1542A">
        <w:rPr>
          <w:sz w:val="24"/>
          <w:szCs w:val="24"/>
        </w:rPr>
        <w:t xml:space="preserve"> eller </w:t>
      </w:r>
      <w:proofErr w:type="spellStart"/>
      <w:r w:rsidRPr="00F1542A">
        <w:rPr>
          <w:sz w:val="24"/>
          <w:szCs w:val="24"/>
        </w:rPr>
        <w:t>urtikarielle</w:t>
      </w:r>
      <w:proofErr w:type="spellEnd"/>
      <w:r w:rsidRPr="00F1542A">
        <w:rPr>
          <w:sz w:val="24"/>
          <w:szCs w:val="24"/>
        </w:rPr>
        <w:t xml:space="preserve"> reaktioner er rapporteret i patienter med eller uden tilfælde af allergi over for </w:t>
      </w:r>
      <w:proofErr w:type="spellStart"/>
      <w:r w:rsidRPr="00F1542A">
        <w:rPr>
          <w:sz w:val="24"/>
          <w:szCs w:val="24"/>
        </w:rPr>
        <w:t>iodider</w:t>
      </w:r>
      <w:proofErr w:type="spellEnd"/>
      <w:r w:rsidRPr="00F1542A">
        <w:rPr>
          <w:sz w:val="24"/>
          <w:szCs w:val="24"/>
        </w:rPr>
        <w:t>.</w:t>
      </w:r>
    </w:p>
    <w:p w14:paraId="21395CC8" w14:textId="77777777" w:rsidR="001F3313" w:rsidRPr="00F1542A" w:rsidRDefault="001F3313" w:rsidP="00457AF2">
      <w:pPr>
        <w:ind w:left="851"/>
        <w:rPr>
          <w:sz w:val="24"/>
          <w:szCs w:val="24"/>
        </w:rPr>
      </w:pPr>
      <w:r w:rsidRPr="00F1542A">
        <w:rPr>
          <w:sz w:val="24"/>
          <w:szCs w:val="24"/>
        </w:rPr>
        <w:t xml:space="preserve">Der er også i meget sjældne tilfælde beskrevet </w:t>
      </w:r>
      <w:proofErr w:type="spellStart"/>
      <w:r w:rsidRPr="00F1542A">
        <w:rPr>
          <w:sz w:val="24"/>
          <w:szCs w:val="24"/>
        </w:rPr>
        <w:t>koronararteriel</w:t>
      </w:r>
      <w:proofErr w:type="spellEnd"/>
      <w:r w:rsidRPr="00F1542A">
        <w:rPr>
          <w:sz w:val="24"/>
          <w:szCs w:val="24"/>
        </w:rPr>
        <w:t xml:space="preserve"> krampe.</w:t>
      </w:r>
    </w:p>
    <w:p w14:paraId="30A92013" w14:textId="77777777" w:rsidR="001F3313" w:rsidRPr="00F1542A" w:rsidRDefault="001F3313" w:rsidP="00457AF2">
      <w:pPr>
        <w:ind w:left="851"/>
        <w:rPr>
          <w:sz w:val="24"/>
          <w:szCs w:val="24"/>
        </w:rPr>
      </w:pPr>
    </w:p>
    <w:p w14:paraId="63405450" w14:textId="77777777" w:rsidR="001F3313" w:rsidRPr="00F1542A" w:rsidRDefault="001F3313" w:rsidP="00457AF2">
      <w:pPr>
        <w:ind w:left="851"/>
        <w:rPr>
          <w:sz w:val="24"/>
          <w:szCs w:val="24"/>
        </w:rPr>
      </w:pPr>
      <w:r w:rsidRPr="00F1542A">
        <w:rPr>
          <w:sz w:val="24"/>
          <w:szCs w:val="24"/>
        </w:rPr>
        <w:t xml:space="preserve">Det er kendt, at injektion med blandinger med </w:t>
      </w:r>
      <w:proofErr w:type="spellStart"/>
      <w:r w:rsidRPr="00F1542A">
        <w:rPr>
          <w:sz w:val="24"/>
          <w:szCs w:val="24"/>
        </w:rPr>
        <w:t>indocyanin</w:t>
      </w:r>
      <w:proofErr w:type="spellEnd"/>
      <w:r w:rsidRPr="00F1542A">
        <w:rPr>
          <w:sz w:val="24"/>
          <w:szCs w:val="24"/>
        </w:rPr>
        <w:t xml:space="preserve"> grøn i meget sjældne tilfælde kan forårsage kvalme og </w:t>
      </w:r>
      <w:proofErr w:type="spellStart"/>
      <w:r w:rsidRPr="00F1542A">
        <w:rPr>
          <w:sz w:val="24"/>
          <w:szCs w:val="24"/>
        </w:rPr>
        <w:t>anafylaktoide</w:t>
      </w:r>
      <w:proofErr w:type="spellEnd"/>
      <w:r w:rsidRPr="00F1542A">
        <w:rPr>
          <w:sz w:val="24"/>
          <w:szCs w:val="24"/>
        </w:rPr>
        <w:t xml:space="preserve"> eller </w:t>
      </w:r>
      <w:proofErr w:type="spellStart"/>
      <w:r w:rsidRPr="00F1542A">
        <w:rPr>
          <w:sz w:val="24"/>
          <w:szCs w:val="24"/>
        </w:rPr>
        <w:t>anafylaktiske</w:t>
      </w:r>
      <w:proofErr w:type="spellEnd"/>
      <w:r w:rsidRPr="00F1542A">
        <w:rPr>
          <w:sz w:val="24"/>
          <w:szCs w:val="24"/>
        </w:rPr>
        <w:t xml:space="preserve"> reaktioner (&lt;1/10000). Hos patienter med terminal nyreinsufficiens synes muligheden for, at der vil fremkomme en </w:t>
      </w:r>
      <w:proofErr w:type="spellStart"/>
      <w:r w:rsidRPr="00F1542A">
        <w:rPr>
          <w:sz w:val="24"/>
          <w:szCs w:val="24"/>
        </w:rPr>
        <w:t>anafylaktisk</w:t>
      </w:r>
      <w:proofErr w:type="spellEnd"/>
      <w:r w:rsidRPr="00F1542A">
        <w:rPr>
          <w:sz w:val="24"/>
          <w:szCs w:val="24"/>
        </w:rPr>
        <w:t xml:space="preserve"> reaktion at være forhøjet. Symptomer, som skal nævnes, er: uro, hedeture, kløe, nældefeber, øget hjertefrekvens, nedsat blodtryk og åndenød, </w:t>
      </w:r>
      <w:proofErr w:type="spellStart"/>
      <w:r w:rsidRPr="00F1542A">
        <w:rPr>
          <w:sz w:val="24"/>
          <w:szCs w:val="24"/>
        </w:rPr>
        <w:t>bronkospasmer</w:t>
      </w:r>
      <w:proofErr w:type="spellEnd"/>
      <w:r w:rsidRPr="00F1542A">
        <w:rPr>
          <w:sz w:val="24"/>
          <w:szCs w:val="24"/>
        </w:rPr>
        <w:t xml:space="preserve">, rødmen, hjertestop, </w:t>
      </w:r>
      <w:proofErr w:type="spellStart"/>
      <w:r w:rsidRPr="00F1542A">
        <w:rPr>
          <w:sz w:val="24"/>
          <w:szCs w:val="24"/>
        </w:rPr>
        <w:t>laryngospasmer</w:t>
      </w:r>
      <w:proofErr w:type="spellEnd"/>
      <w:r w:rsidRPr="00F1542A">
        <w:rPr>
          <w:sz w:val="24"/>
          <w:szCs w:val="24"/>
        </w:rPr>
        <w:t xml:space="preserve">, ansigtsødem, kvalme. Sammen med den </w:t>
      </w:r>
      <w:proofErr w:type="spellStart"/>
      <w:r w:rsidRPr="00F1542A">
        <w:rPr>
          <w:sz w:val="24"/>
          <w:szCs w:val="24"/>
        </w:rPr>
        <w:t>anafylaktoide</w:t>
      </w:r>
      <w:proofErr w:type="spellEnd"/>
      <w:r w:rsidRPr="00F1542A">
        <w:rPr>
          <w:sz w:val="24"/>
          <w:szCs w:val="24"/>
        </w:rPr>
        <w:t xml:space="preserve"> reaktion kan </w:t>
      </w:r>
      <w:proofErr w:type="spellStart"/>
      <w:r w:rsidRPr="00F1542A">
        <w:rPr>
          <w:sz w:val="24"/>
          <w:szCs w:val="24"/>
        </w:rPr>
        <w:t>hypereosinofili</w:t>
      </w:r>
      <w:proofErr w:type="spellEnd"/>
      <w:r w:rsidRPr="00F1542A">
        <w:rPr>
          <w:sz w:val="24"/>
          <w:szCs w:val="24"/>
        </w:rPr>
        <w:t xml:space="preserve"> opstå.</w:t>
      </w:r>
    </w:p>
    <w:p w14:paraId="35EF71FB" w14:textId="77777777" w:rsidR="001F3313" w:rsidRPr="00F1542A" w:rsidRDefault="001F3313" w:rsidP="00457AF2">
      <w:pPr>
        <w:ind w:left="851"/>
        <w:rPr>
          <w:sz w:val="24"/>
          <w:szCs w:val="24"/>
        </w:rPr>
      </w:pPr>
    </w:p>
    <w:p w14:paraId="3DF479C2" w14:textId="77777777" w:rsidR="001F3313" w:rsidRPr="00F1542A" w:rsidRDefault="001F3313" w:rsidP="00457AF2">
      <w:pPr>
        <w:ind w:left="851"/>
        <w:rPr>
          <w:sz w:val="24"/>
          <w:szCs w:val="24"/>
        </w:rPr>
      </w:pPr>
      <w:r w:rsidRPr="00F1542A">
        <w:rPr>
          <w:sz w:val="24"/>
          <w:szCs w:val="24"/>
        </w:rPr>
        <w:t>Hvis der mod forventninger skulle opstå symptomer på anafylaksi, skal følgende øjeblikkelige foranstaltninger foretages:</w:t>
      </w:r>
    </w:p>
    <w:p w14:paraId="66EFDD91" w14:textId="24949C87" w:rsidR="001F3313" w:rsidRPr="00F1542A" w:rsidRDefault="001F3313" w:rsidP="00D6543B">
      <w:pPr>
        <w:pStyle w:val="Listeafsnit"/>
        <w:numPr>
          <w:ilvl w:val="0"/>
          <w:numId w:val="24"/>
        </w:numPr>
        <w:ind w:left="1276" w:hanging="425"/>
        <w:rPr>
          <w:sz w:val="24"/>
          <w:szCs w:val="24"/>
        </w:rPr>
      </w:pPr>
      <w:r w:rsidRPr="00F1542A">
        <w:rPr>
          <w:sz w:val="24"/>
          <w:szCs w:val="24"/>
        </w:rPr>
        <w:t xml:space="preserve">stop yderligere medicinering med </w:t>
      </w:r>
      <w:proofErr w:type="spellStart"/>
      <w:r w:rsidRPr="00F1542A">
        <w:rPr>
          <w:bCs/>
          <w:sz w:val="24"/>
          <w:szCs w:val="24"/>
        </w:rPr>
        <w:t>Verdye</w:t>
      </w:r>
      <w:proofErr w:type="spellEnd"/>
      <w:r w:rsidRPr="00F1542A">
        <w:rPr>
          <w:bCs/>
          <w:sz w:val="24"/>
          <w:szCs w:val="24"/>
        </w:rPr>
        <w:t>,</w:t>
      </w:r>
      <w:r w:rsidRPr="00F1542A">
        <w:rPr>
          <w:sz w:val="24"/>
          <w:szCs w:val="24"/>
        </w:rPr>
        <w:t xml:space="preserve"> lad injektionskateteret eller kanylen blive i venen</w:t>
      </w:r>
    </w:p>
    <w:p w14:paraId="1B13F891" w14:textId="671FAF92" w:rsidR="001F3313" w:rsidRPr="00F1542A" w:rsidRDefault="001F3313" w:rsidP="00D6543B">
      <w:pPr>
        <w:pStyle w:val="Listeafsnit"/>
        <w:numPr>
          <w:ilvl w:val="0"/>
          <w:numId w:val="24"/>
        </w:numPr>
        <w:ind w:left="1276" w:hanging="425"/>
        <w:rPr>
          <w:sz w:val="24"/>
          <w:szCs w:val="24"/>
        </w:rPr>
      </w:pPr>
      <w:r w:rsidRPr="00F1542A">
        <w:rPr>
          <w:sz w:val="24"/>
          <w:szCs w:val="24"/>
        </w:rPr>
        <w:t>hold luftvejene frie</w:t>
      </w:r>
    </w:p>
    <w:p w14:paraId="683393F0" w14:textId="4C8B611F" w:rsidR="001F3313" w:rsidRPr="00F1542A" w:rsidRDefault="001F3313" w:rsidP="00D6543B">
      <w:pPr>
        <w:pStyle w:val="Listeafsnit"/>
        <w:numPr>
          <w:ilvl w:val="0"/>
          <w:numId w:val="24"/>
        </w:numPr>
        <w:ind w:left="1276" w:hanging="425"/>
        <w:rPr>
          <w:sz w:val="24"/>
          <w:szCs w:val="24"/>
        </w:rPr>
      </w:pPr>
      <w:r w:rsidRPr="00F1542A">
        <w:rPr>
          <w:sz w:val="24"/>
          <w:szCs w:val="24"/>
        </w:rPr>
        <w:t xml:space="preserve">injicér 100-300 mg </w:t>
      </w:r>
      <w:proofErr w:type="spellStart"/>
      <w:r w:rsidRPr="00F1542A">
        <w:rPr>
          <w:sz w:val="24"/>
          <w:szCs w:val="24"/>
        </w:rPr>
        <w:t>hydrocortison</w:t>
      </w:r>
      <w:proofErr w:type="spellEnd"/>
      <w:r w:rsidRPr="00F1542A">
        <w:rPr>
          <w:sz w:val="24"/>
          <w:szCs w:val="24"/>
        </w:rPr>
        <w:t xml:space="preserve"> eller lignende præparat med hurtig, intravenøs injektion</w:t>
      </w:r>
    </w:p>
    <w:p w14:paraId="1DBF400C" w14:textId="164E7D16" w:rsidR="001F3313" w:rsidRPr="00F1542A" w:rsidRDefault="001F3313" w:rsidP="00D6543B">
      <w:pPr>
        <w:pStyle w:val="Listeafsnit"/>
        <w:numPr>
          <w:ilvl w:val="0"/>
          <w:numId w:val="24"/>
        </w:numPr>
        <w:ind w:left="1276" w:hanging="425"/>
        <w:rPr>
          <w:sz w:val="24"/>
          <w:szCs w:val="24"/>
        </w:rPr>
      </w:pPr>
      <w:r w:rsidRPr="00F1542A">
        <w:rPr>
          <w:sz w:val="24"/>
          <w:szCs w:val="24"/>
        </w:rPr>
        <w:t>erstat volumen med isotonisk elektrolytopløsning</w:t>
      </w:r>
    </w:p>
    <w:p w14:paraId="4D08C860" w14:textId="25DAAAB2" w:rsidR="001F3313" w:rsidRPr="00F1542A" w:rsidRDefault="001F3313" w:rsidP="00D6543B">
      <w:pPr>
        <w:pStyle w:val="Listeafsnit"/>
        <w:numPr>
          <w:ilvl w:val="0"/>
          <w:numId w:val="24"/>
        </w:numPr>
        <w:ind w:left="1276" w:hanging="425"/>
        <w:rPr>
          <w:sz w:val="24"/>
          <w:szCs w:val="24"/>
        </w:rPr>
      </w:pPr>
      <w:r w:rsidRPr="00F1542A">
        <w:rPr>
          <w:sz w:val="24"/>
          <w:szCs w:val="24"/>
        </w:rPr>
        <w:t>giv ilt, overvåg kredsløbet</w:t>
      </w:r>
    </w:p>
    <w:p w14:paraId="64FBF7AB" w14:textId="30F15F68" w:rsidR="001F3313" w:rsidRPr="00F1542A" w:rsidRDefault="001F3313" w:rsidP="00D6543B">
      <w:pPr>
        <w:pStyle w:val="Listeafsnit"/>
        <w:numPr>
          <w:ilvl w:val="0"/>
          <w:numId w:val="24"/>
        </w:numPr>
        <w:ind w:left="1276" w:hanging="425"/>
        <w:rPr>
          <w:sz w:val="24"/>
          <w:szCs w:val="24"/>
        </w:rPr>
      </w:pPr>
      <w:r w:rsidRPr="00F1542A">
        <w:rPr>
          <w:sz w:val="24"/>
          <w:szCs w:val="24"/>
        </w:rPr>
        <w:t>giv langsomt antihistaminer intravenøst</w:t>
      </w:r>
    </w:p>
    <w:p w14:paraId="3159516F" w14:textId="77777777" w:rsidR="001F3313" w:rsidRPr="00F1542A" w:rsidRDefault="001F3313" w:rsidP="00457AF2">
      <w:pPr>
        <w:ind w:left="851"/>
        <w:rPr>
          <w:sz w:val="24"/>
          <w:szCs w:val="24"/>
        </w:rPr>
      </w:pPr>
    </w:p>
    <w:p w14:paraId="4A95E1E5" w14:textId="77777777" w:rsidR="001F3313" w:rsidRPr="00F1542A" w:rsidRDefault="001F3313" w:rsidP="00457AF2">
      <w:pPr>
        <w:ind w:left="851"/>
        <w:rPr>
          <w:sz w:val="24"/>
          <w:szCs w:val="24"/>
        </w:rPr>
      </w:pPr>
      <w:r w:rsidRPr="00F1542A">
        <w:rPr>
          <w:sz w:val="24"/>
          <w:szCs w:val="24"/>
        </w:rPr>
        <w:t xml:space="preserve">Følgende ekstra foranstaltninger anbefales i tilfælde af </w:t>
      </w:r>
      <w:proofErr w:type="spellStart"/>
      <w:r w:rsidRPr="00F1542A">
        <w:rPr>
          <w:sz w:val="24"/>
          <w:szCs w:val="24"/>
        </w:rPr>
        <w:t>anafylaktisk</w:t>
      </w:r>
      <w:proofErr w:type="spellEnd"/>
      <w:r w:rsidRPr="00F1542A">
        <w:rPr>
          <w:sz w:val="24"/>
          <w:szCs w:val="24"/>
        </w:rPr>
        <w:t xml:space="preserve"> </w:t>
      </w:r>
      <w:proofErr w:type="spellStart"/>
      <w:r w:rsidRPr="00F1542A">
        <w:rPr>
          <w:sz w:val="24"/>
          <w:szCs w:val="24"/>
        </w:rPr>
        <w:t>shock</w:t>
      </w:r>
      <w:proofErr w:type="spellEnd"/>
      <w:r w:rsidRPr="00F1542A">
        <w:rPr>
          <w:sz w:val="24"/>
          <w:szCs w:val="24"/>
        </w:rPr>
        <w:t>:</w:t>
      </w:r>
    </w:p>
    <w:p w14:paraId="7307EE79" w14:textId="2222A0FB" w:rsidR="001F3313" w:rsidRPr="00F1542A" w:rsidRDefault="001F3313" w:rsidP="00D6543B">
      <w:pPr>
        <w:pStyle w:val="Listeafsnit"/>
        <w:numPr>
          <w:ilvl w:val="0"/>
          <w:numId w:val="24"/>
        </w:numPr>
        <w:ind w:left="1276" w:hanging="425"/>
        <w:rPr>
          <w:sz w:val="24"/>
          <w:szCs w:val="24"/>
        </w:rPr>
      </w:pPr>
      <w:r w:rsidRPr="00F1542A">
        <w:rPr>
          <w:sz w:val="24"/>
          <w:szCs w:val="24"/>
        </w:rPr>
        <w:t>anbring patienten i liggende position med løftede ben</w:t>
      </w:r>
    </w:p>
    <w:p w14:paraId="12548176" w14:textId="2166D1B9" w:rsidR="001F3313" w:rsidRPr="00F1542A" w:rsidRDefault="001F3313" w:rsidP="00D6543B">
      <w:pPr>
        <w:pStyle w:val="Listeafsnit"/>
        <w:numPr>
          <w:ilvl w:val="0"/>
          <w:numId w:val="24"/>
        </w:numPr>
        <w:ind w:left="1276" w:hanging="425"/>
        <w:rPr>
          <w:sz w:val="24"/>
          <w:szCs w:val="24"/>
        </w:rPr>
      </w:pPr>
      <w:r w:rsidRPr="00F1542A">
        <w:rPr>
          <w:sz w:val="24"/>
          <w:szCs w:val="24"/>
        </w:rPr>
        <w:t>erstat hurtigt volumen med f.eks. isotonisk elektrolytopløsning (trykinfusion), plasmaekspandere.</w:t>
      </w:r>
    </w:p>
    <w:p w14:paraId="4EF735C0" w14:textId="4C92D9C0" w:rsidR="001F3313" w:rsidRPr="00F1542A" w:rsidRDefault="001F3313" w:rsidP="00D6543B">
      <w:pPr>
        <w:pStyle w:val="Listeafsnit"/>
        <w:numPr>
          <w:ilvl w:val="0"/>
          <w:numId w:val="24"/>
        </w:numPr>
        <w:ind w:left="1276" w:hanging="425"/>
        <w:rPr>
          <w:sz w:val="24"/>
          <w:szCs w:val="24"/>
        </w:rPr>
      </w:pPr>
      <w:r w:rsidRPr="00F1542A">
        <w:rPr>
          <w:sz w:val="24"/>
          <w:szCs w:val="24"/>
        </w:rPr>
        <w:t>giv omgående 0,1-0,5 mg adrenalin (</w:t>
      </w:r>
      <w:proofErr w:type="spellStart"/>
      <w:r w:rsidRPr="00F1542A">
        <w:rPr>
          <w:sz w:val="24"/>
          <w:szCs w:val="24"/>
        </w:rPr>
        <w:t>epinefrin</w:t>
      </w:r>
      <w:proofErr w:type="spellEnd"/>
      <w:r w:rsidRPr="00F1542A">
        <w:rPr>
          <w:sz w:val="24"/>
          <w:szCs w:val="24"/>
        </w:rPr>
        <w:t>) fortyndet til 10 ml med 0,9 % saltvandsopløsning intravenøst (gentag efter 10 minutter om nødvendigt).</w:t>
      </w:r>
    </w:p>
    <w:p w14:paraId="7CD5F531" w14:textId="77777777" w:rsidR="001F3313" w:rsidRPr="00F1542A" w:rsidRDefault="001F3313" w:rsidP="00457AF2">
      <w:pPr>
        <w:ind w:left="851"/>
        <w:rPr>
          <w:sz w:val="24"/>
          <w:szCs w:val="24"/>
        </w:rPr>
      </w:pPr>
    </w:p>
    <w:p w14:paraId="372C4EF7" w14:textId="77777777" w:rsidR="001F3313" w:rsidRPr="00F1542A" w:rsidRDefault="001F3313" w:rsidP="00457AF2">
      <w:pPr>
        <w:ind w:left="851"/>
        <w:rPr>
          <w:sz w:val="24"/>
          <w:szCs w:val="24"/>
        </w:rPr>
      </w:pPr>
      <w:r w:rsidRPr="00F1542A">
        <w:rPr>
          <w:sz w:val="24"/>
          <w:szCs w:val="24"/>
        </w:rPr>
        <w:t>Nældefeber-reaktioner på huden opstod meget sjældent (&lt;1/10000).</w:t>
      </w:r>
    </w:p>
    <w:p w14:paraId="39DE1E71" w14:textId="77777777" w:rsidR="001F3313" w:rsidRPr="00F1542A" w:rsidRDefault="001F3313" w:rsidP="00457AF2">
      <w:pPr>
        <w:ind w:left="851"/>
        <w:rPr>
          <w:sz w:val="24"/>
          <w:szCs w:val="24"/>
        </w:rPr>
      </w:pPr>
    </w:p>
    <w:p w14:paraId="19429E2F" w14:textId="77777777" w:rsidR="001F3313" w:rsidRPr="00F1542A" w:rsidRDefault="001F3313" w:rsidP="00457AF2">
      <w:pPr>
        <w:ind w:left="851"/>
        <w:rPr>
          <w:sz w:val="24"/>
          <w:szCs w:val="24"/>
        </w:rPr>
      </w:pPr>
      <w:r w:rsidRPr="00F1542A">
        <w:rPr>
          <w:sz w:val="24"/>
          <w:szCs w:val="24"/>
        </w:rPr>
        <w:t xml:space="preserve">Der er indberettet to </w:t>
      </w:r>
      <w:proofErr w:type="spellStart"/>
      <w:r w:rsidRPr="00F1542A">
        <w:rPr>
          <w:sz w:val="24"/>
          <w:szCs w:val="24"/>
        </w:rPr>
        <w:t>anafylaktiske</w:t>
      </w:r>
      <w:proofErr w:type="spellEnd"/>
      <w:r w:rsidRPr="00F1542A">
        <w:rPr>
          <w:sz w:val="24"/>
          <w:szCs w:val="24"/>
        </w:rPr>
        <w:t xml:space="preserve"> dødsfald efter </w:t>
      </w:r>
      <w:proofErr w:type="spellStart"/>
      <w:r w:rsidRPr="00F1542A">
        <w:rPr>
          <w:sz w:val="24"/>
          <w:szCs w:val="24"/>
        </w:rPr>
        <w:t>indocyanin</w:t>
      </w:r>
      <w:proofErr w:type="spellEnd"/>
      <w:r w:rsidRPr="00F1542A">
        <w:rPr>
          <w:sz w:val="24"/>
          <w:szCs w:val="24"/>
        </w:rPr>
        <w:t xml:space="preserve"> grøn administration under </w:t>
      </w:r>
      <w:proofErr w:type="spellStart"/>
      <w:r w:rsidRPr="00F1542A">
        <w:rPr>
          <w:sz w:val="24"/>
          <w:szCs w:val="24"/>
        </w:rPr>
        <w:t>hjertekateterisation</w:t>
      </w:r>
      <w:proofErr w:type="spellEnd"/>
      <w:r w:rsidRPr="00F1542A">
        <w:rPr>
          <w:sz w:val="24"/>
          <w:szCs w:val="24"/>
        </w:rPr>
        <w:t>. En af disse patienter havde penicillin- og svovl-allergi i anamnesen. Dødsfald på grund af anafylaksi skete for mindre end 1/330000 (estimat), herunder enkeltindberetninger.</w:t>
      </w:r>
    </w:p>
    <w:p w14:paraId="2BBB2F57" w14:textId="77777777" w:rsidR="001F3313" w:rsidRPr="00F1542A" w:rsidRDefault="001F3313" w:rsidP="00457AF2">
      <w:pPr>
        <w:ind w:left="851"/>
        <w:rPr>
          <w:sz w:val="24"/>
          <w:szCs w:val="24"/>
        </w:rPr>
      </w:pPr>
    </w:p>
    <w:p w14:paraId="4713F445" w14:textId="77777777" w:rsidR="001F3313" w:rsidRPr="00F1542A" w:rsidRDefault="001F3313" w:rsidP="00457AF2">
      <w:pPr>
        <w:ind w:left="851"/>
        <w:rPr>
          <w:sz w:val="24"/>
          <w:szCs w:val="24"/>
          <w:u w:val="single"/>
        </w:rPr>
      </w:pPr>
      <w:r w:rsidRPr="00F1542A">
        <w:rPr>
          <w:sz w:val="24"/>
          <w:szCs w:val="24"/>
          <w:u w:val="single"/>
        </w:rPr>
        <w:t>Tabel over bivirkninger</w:t>
      </w:r>
    </w:p>
    <w:p w14:paraId="638EE8D6" w14:textId="77777777" w:rsidR="001F3313" w:rsidRPr="00F1542A" w:rsidRDefault="001F3313" w:rsidP="00457AF2">
      <w:pPr>
        <w:ind w:left="851"/>
        <w:rPr>
          <w:sz w:val="24"/>
          <w:szCs w:val="24"/>
        </w:rPr>
      </w:pPr>
    </w:p>
    <w:tbl>
      <w:tblPr>
        <w:tblStyle w:val="Tabel-Gitter"/>
        <w:tblW w:w="4376" w:type="pct"/>
        <w:tblInd w:w="846" w:type="dxa"/>
        <w:tblLook w:val="04A0" w:firstRow="1" w:lastRow="0" w:firstColumn="1" w:lastColumn="0" w:noHBand="0" w:noVBand="1"/>
      </w:tblPr>
      <w:tblGrid>
        <w:gridCol w:w="2410"/>
        <w:gridCol w:w="2711"/>
        <w:gridCol w:w="3305"/>
      </w:tblGrid>
      <w:tr w:rsidR="001F3313" w:rsidRPr="00F1542A" w14:paraId="13BC2021" w14:textId="77777777" w:rsidTr="00457AF2">
        <w:tc>
          <w:tcPr>
            <w:tcW w:w="1430" w:type="pct"/>
            <w:tcBorders>
              <w:top w:val="single" w:sz="4" w:space="0" w:color="auto"/>
              <w:left w:val="single" w:sz="4" w:space="0" w:color="auto"/>
              <w:bottom w:val="single" w:sz="4" w:space="0" w:color="auto"/>
              <w:right w:val="single" w:sz="4" w:space="0" w:color="auto"/>
            </w:tcBorders>
            <w:hideMark/>
          </w:tcPr>
          <w:p w14:paraId="7C87378D" w14:textId="77777777" w:rsidR="001F3313" w:rsidRPr="00F1542A" w:rsidRDefault="001F3313" w:rsidP="00110A96">
            <w:pPr>
              <w:rPr>
                <w:rFonts w:ascii="Times New Roman" w:hAnsi="Times New Roman"/>
                <w:b/>
                <w:sz w:val="24"/>
                <w:szCs w:val="24"/>
                <w:lang w:val="da-DK"/>
              </w:rPr>
            </w:pPr>
            <w:r w:rsidRPr="00F1542A">
              <w:rPr>
                <w:rFonts w:ascii="Times New Roman" w:hAnsi="Times New Roman"/>
                <w:b/>
                <w:sz w:val="24"/>
                <w:szCs w:val="24"/>
                <w:lang w:val="da-DK"/>
              </w:rPr>
              <w:t>Systemorganklasse</w:t>
            </w:r>
          </w:p>
        </w:tc>
        <w:tc>
          <w:tcPr>
            <w:tcW w:w="1609" w:type="pct"/>
            <w:tcBorders>
              <w:top w:val="single" w:sz="4" w:space="0" w:color="auto"/>
              <w:left w:val="single" w:sz="4" w:space="0" w:color="auto"/>
              <w:bottom w:val="single" w:sz="4" w:space="0" w:color="auto"/>
              <w:right w:val="single" w:sz="4" w:space="0" w:color="auto"/>
            </w:tcBorders>
            <w:hideMark/>
          </w:tcPr>
          <w:p w14:paraId="6A6B05F2" w14:textId="77777777" w:rsidR="001F3313" w:rsidRPr="00F1542A" w:rsidRDefault="001F3313" w:rsidP="00110A96">
            <w:pPr>
              <w:rPr>
                <w:rFonts w:ascii="Times New Roman" w:hAnsi="Times New Roman"/>
                <w:b/>
                <w:sz w:val="24"/>
                <w:szCs w:val="24"/>
                <w:lang w:val="da-DK"/>
              </w:rPr>
            </w:pPr>
            <w:r w:rsidRPr="00F1542A">
              <w:rPr>
                <w:rFonts w:ascii="Times New Roman" w:hAnsi="Times New Roman"/>
                <w:b/>
                <w:sz w:val="24"/>
                <w:szCs w:val="24"/>
                <w:lang w:val="da-DK"/>
              </w:rPr>
              <w:t>Hyppighed</w:t>
            </w:r>
          </w:p>
        </w:tc>
        <w:tc>
          <w:tcPr>
            <w:tcW w:w="1961" w:type="pct"/>
            <w:tcBorders>
              <w:top w:val="single" w:sz="4" w:space="0" w:color="auto"/>
              <w:left w:val="single" w:sz="4" w:space="0" w:color="auto"/>
              <w:bottom w:val="single" w:sz="4" w:space="0" w:color="auto"/>
              <w:right w:val="single" w:sz="4" w:space="0" w:color="auto"/>
            </w:tcBorders>
            <w:hideMark/>
          </w:tcPr>
          <w:p w14:paraId="26CFFA25" w14:textId="77777777" w:rsidR="001F3313" w:rsidRPr="00F1542A" w:rsidRDefault="001F3313" w:rsidP="00110A96">
            <w:pPr>
              <w:rPr>
                <w:rFonts w:ascii="Times New Roman" w:hAnsi="Times New Roman"/>
                <w:b/>
                <w:sz w:val="24"/>
                <w:szCs w:val="24"/>
                <w:lang w:val="da-DK"/>
              </w:rPr>
            </w:pPr>
            <w:r w:rsidRPr="00F1542A">
              <w:rPr>
                <w:rFonts w:ascii="Times New Roman" w:hAnsi="Times New Roman"/>
                <w:b/>
                <w:sz w:val="24"/>
                <w:szCs w:val="24"/>
                <w:lang w:val="da-DK"/>
              </w:rPr>
              <w:t>Bivirkning</w:t>
            </w:r>
          </w:p>
        </w:tc>
      </w:tr>
      <w:tr w:rsidR="001F3313" w:rsidRPr="00F1542A" w14:paraId="52B54092" w14:textId="77777777" w:rsidTr="00457AF2">
        <w:tc>
          <w:tcPr>
            <w:tcW w:w="1430" w:type="pct"/>
            <w:tcBorders>
              <w:top w:val="single" w:sz="4" w:space="0" w:color="auto"/>
              <w:left w:val="single" w:sz="4" w:space="0" w:color="auto"/>
              <w:bottom w:val="single" w:sz="4" w:space="0" w:color="auto"/>
              <w:right w:val="single" w:sz="4" w:space="0" w:color="auto"/>
            </w:tcBorders>
            <w:hideMark/>
          </w:tcPr>
          <w:p w14:paraId="33295ECA"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Immunsystemet</w:t>
            </w:r>
          </w:p>
        </w:tc>
        <w:tc>
          <w:tcPr>
            <w:tcW w:w="1609" w:type="pct"/>
            <w:tcBorders>
              <w:top w:val="single" w:sz="4" w:space="0" w:color="auto"/>
              <w:left w:val="single" w:sz="4" w:space="0" w:color="auto"/>
              <w:bottom w:val="single" w:sz="4" w:space="0" w:color="auto"/>
              <w:right w:val="single" w:sz="4" w:space="0" w:color="auto"/>
            </w:tcBorders>
            <w:hideMark/>
          </w:tcPr>
          <w:p w14:paraId="55264C30"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 xml:space="preserve">Meget sjælden </w:t>
            </w:r>
          </w:p>
        </w:tc>
        <w:tc>
          <w:tcPr>
            <w:tcW w:w="1961" w:type="pct"/>
            <w:tcBorders>
              <w:top w:val="single" w:sz="4" w:space="0" w:color="auto"/>
              <w:left w:val="single" w:sz="4" w:space="0" w:color="auto"/>
              <w:bottom w:val="single" w:sz="4" w:space="0" w:color="auto"/>
              <w:right w:val="single" w:sz="4" w:space="0" w:color="auto"/>
            </w:tcBorders>
            <w:hideMark/>
          </w:tcPr>
          <w:p w14:paraId="3945C15A" w14:textId="77777777" w:rsidR="001F3313" w:rsidRPr="00F1542A" w:rsidRDefault="001F3313" w:rsidP="00110A96">
            <w:pPr>
              <w:rPr>
                <w:rFonts w:ascii="Times New Roman" w:hAnsi="Times New Roman"/>
                <w:sz w:val="24"/>
                <w:szCs w:val="24"/>
                <w:lang w:val="da-DK"/>
              </w:rPr>
            </w:pPr>
            <w:proofErr w:type="spellStart"/>
            <w:r w:rsidRPr="00F1542A">
              <w:rPr>
                <w:rFonts w:ascii="Times New Roman" w:hAnsi="Times New Roman"/>
                <w:sz w:val="24"/>
                <w:szCs w:val="24"/>
                <w:lang w:val="da-DK"/>
              </w:rPr>
              <w:t>Anafylaktoid</w:t>
            </w:r>
            <w:proofErr w:type="spellEnd"/>
            <w:r w:rsidRPr="00F1542A">
              <w:rPr>
                <w:rFonts w:ascii="Times New Roman" w:hAnsi="Times New Roman"/>
                <w:sz w:val="24"/>
                <w:szCs w:val="24"/>
                <w:lang w:val="da-DK"/>
              </w:rPr>
              <w:t xml:space="preserve"> reaktion,</w:t>
            </w:r>
          </w:p>
          <w:p w14:paraId="44177376" w14:textId="77777777" w:rsidR="001F3313" w:rsidRPr="00F1542A" w:rsidRDefault="001F3313" w:rsidP="00110A96">
            <w:pPr>
              <w:rPr>
                <w:rFonts w:ascii="Times New Roman" w:hAnsi="Times New Roman"/>
                <w:sz w:val="24"/>
                <w:szCs w:val="24"/>
                <w:lang w:val="da-DK"/>
              </w:rPr>
            </w:pPr>
            <w:proofErr w:type="spellStart"/>
            <w:r w:rsidRPr="00F1542A">
              <w:rPr>
                <w:rFonts w:ascii="Times New Roman" w:hAnsi="Times New Roman"/>
                <w:sz w:val="24"/>
                <w:szCs w:val="24"/>
                <w:lang w:val="da-DK"/>
              </w:rPr>
              <w:t>anafylaktisk</w:t>
            </w:r>
            <w:proofErr w:type="spellEnd"/>
            <w:r w:rsidRPr="00F1542A">
              <w:rPr>
                <w:rFonts w:ascii="Times New Roman" w:hAnsi="Times New Roman"/>
                <w:sz w:val="24"/>
                <w:szCs w:val="24"/>
                <w:lang w:val="da-DK"/>
              </w:rPr>
              <w:t xml:space="preserve"> reaktion</w:t>
            </w:r>
          </w:p>
        </w:tc>
      </w:tr>
      <w:tr w:rsidR="001F3313" w:rsidRPr="00F1542A" w14:paraId="27A243EF" w14:textId="77777777" w:rsidTr="00457AF2">
        <w:tc>
          <w:tcPr>
            <w:tcW w:w="1430" w:type="pct"/>
            <w:tcBorders>
              <w:top w:val="single" w:sz="4" w:space="0" w:color="auto"/>
              <w:left w:val="single" w:sz="4" w:space="0" w:color="auto"/>
              <w:bottom w:val="single" w:sz="4" w:space="0" w:color="auto"/>
              <w:right w:val="single" w:sz="4" w:space="0" w:color="auto"/>
            </w:tcBorders>
            <w:hideMark/>
          </w:tcPr>
          <w:p w14:paraId="0E7AFE8E"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Hjerte</w:t>
            </w:r>
          </w:p>
        </w:tc>
        <w:tc>
          <w:tcPr>
            <w:tcW w:w="1609" w:type="pct"/>
            <w:tcBorders>
              <w:top w:val="single" w:sz="4" w:space="0" w:color="auto"/>
              <w:left w:val="single" w:sz="4" w:space="0" w:color="auto"/>
              <w:bottom w:val="single" w:sz="4" w:space="0" w:color="auto"/>
              <w:right w:val="single" w:sz="4" w:space="0" w:color="auto"/>
            </w:tcBorders>
            <w:hideMark/>
          </w:tcPr>
          <w:p w14:paraId="1F843513"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 xml:space="preserve">Meget sjælden </w:t>
            </w:r>
          </w:p>
        </w:tc>
        <w:tc>
          <w:tcPr>
            <w:tcW w:w="1961" w:type="pct"/>
            <w:tcBorders>
              <w:top w:val="single" w:sz="4" w:space="0" w:color="auto"/>
              <w:left w:val="single" w:sz="4" w:space="0" w:color="auto"/>
              <w:bottom w:val="single" w:sz="4" w:space="0" w:color="auto"/>
              <w:right w:val="single" w:sz="4" w:space="0" w:color="auto"/>
            </w:tcBorders>
            <w:hideMark/>
          </w:tcPr>
          <w:p w14:paraId="2DF4E92E" w14:textId="77777777" w:rsidR="001F3313" w:rsidRPr="00F1542A" w:rsidRDefault="001F3313" w:rsidP="00110A96">
            <w:pPr>
              <w:rPr>
                <w:rFonts w:ascii="Times New Roman" w:hAnsi="Times New Roman"/>
                <w:sz w:val="24"/>
                <w:szCs w:val="24"/>
                <w:lang w:val="da-DK"/>
              </w:rPr>
            </w:pPr>
            <w:proofErr w:type="spellStart"/>
            <w:r w:rsidRPr="00F1542A">
              <w:rPr>
                <w:rFonts w:ascii="Times New Roman" w:hAnsi="Times New Roman"/>
                <w:sz w:val="24"/>
                <w:szCs w:val="24"/>
                <w:lang w:val="da-DK"/>
              </w:rPr>
              <w:t>Koronær</w:t>
            </w:r>
            <w:proofErr w:type="spellEnd"/>
            <w:r w:rsidRPr="00F1542A">
              <w:rPr>
                <w:rFonts w:ascii="Times New Roman" w:hAnsi="Times New Roman"/>
                <w:sz w:val="24"/>
                <w:szCs w:val="24"/>
                <w:lang w:val="da-DK"/>
              </w:rPr>
              <w:t xml:space="preserve"> </w:t>
            </w:r>
            <w:proofErr w:type="spellStart"/>
            <w:r w:rsidRPr="00F1542A">
              <w:rPr>
                <w:rFonts w:ascii="Times New Roman" w:hAnsi="Times New Roman"/>
                <w:sz w:val="24"/>
                <w:szCs w:val="24"/>
                <w:lang w:val="da-DK"/>
              </w:rPr>
              <w:t>arteriospasme</w:t>
            </w:r>
            <w:proofErr w:type="spellEnd"/>
          </w:p>
        </w:tc>
      </w:tr>
      <w:tr w:rsidR="001F3313" w:rsidRPr="00F1542A" w14:paraId="54F24A18" w14:textId="77777777" w:rsidTr="00457AF2">
        <w:tc>
          <w:tcPr>
            <w:tcW w:w="1430" w:type="pct"/>
            <w:tcBorders>
              <w:top w:val="single" w:sz="4" w:space="0" w:color="auto"/>
              <w:left w:val="single" w:sz="4" w:space="0" w:color="auto"/>
              <w:bottom w:val="single" w:sz="4" w:space="0" w:color="auto"/>
              <w:right w:val="single" w:sz="4" w:space="0" w:color="auto"/>
            </w:tcBorders>
            <w:hideMark/>
          </w:tcPr>
          <w:p w14:paraId="1714E079"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Mave-tarm-kanalen</w:t>
            </w:r>
          </w:p>
        </w:tc>
        <w:tc>
          <w:tcPr>
            <w:tcW w:w="1609" w:type="pct"/>
            <w:tcBorders>
              <w:top w:val="single" w:sz="4" w:space="0" w:color="auto"/>
              <w:left w:val="single" w:sz="4" w:space="0" w:color="auto"/>
              <w:bottom w:val="single" w:sz="4" w:space="0" w:color="auto"/>
              <w:right w:val="single" w:sz="4" w:space="0" w:color="auto"/>
            </w:tcBorders>
            <w:hideMark/>
          </w:tcPr>
          <w:p w14:paraId="16F441B9"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 xml:space="preserve">Meget sjælden </w:t>
            </w:r>
          </w:p>
        </w:tc>
        <w:tc>
          <w:tcPr>
            <w:tcW w:w="1961" w:type="pct"/>
            <w:tcBorders>
              <w:top w:val="single" w:sz="4" w:space="0" w:color="auto"/>
              <w:left w:val="single" w:sz="4" w:space="0" w:color="auto"/>
              <w:bottom w:val="single" w:sz="4" w:space="0" w:color="auto"/>
              <w:right w:val="single" w:sz="4" w:space="0" w:color="auto"/>
            </w:tcBorders>
            <w:hideMark/>
          </w:tcPr>
          <w:p w14:paraId="338A1FCA"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Kvalme</w:t>
            </w:r>
          </w:p>
        </w:tc>
      </w:tr>
      <w:tr w:rsidR="001F3313" w:rsidRPr="00F1542A" w14:paraId="650F6949" w14:textId="77777777" w:rsidTr="00457AF2">
        <w:tc>
          <w:tcPr>
            <w:tcW w:w="1430" w:type="pct"/>
            <w:tcBorders>
              <w:top w:val="single" w:sz="4" w:space="0" w:color="auto"/>
              <w:left w:val="single" w:sz="4" w:space="0" w:color="auto"/>
              <w:bottom w:val="single" w:sz="4" w:space="0" w:color="auto"/>
              <w:right w:val="single" w:sz="4" w:space="0" w:color="auto"/>
            </w:tcBorders>
            <w:hideMark/>
          </w:tcPr>
          <w:p w14:paraId="6E116005"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Hud og subkutane væv</w:t>
            </w:r>
          </w:p>
        </w:tc>
        <w:tc>
          <w:tcPr>
            <w:tcW w:w="1609" w:type="pct"/>
            <w:tcBorders>
              <w:top w:val="single" w:sz="4" w:space="0" w:color="auto"/>
              <w:left w:val="single" w:sz="4" w:space="0" w:color="auto"/>
              <w:bottom w:val="single" w:sz="4" w:space="0" w:color="auto"/>
              <w:right w:val="single" w:sz="4" w:space="0" w:color="auto"/>
            </w:tcBorders>
            <w:hideMark/>
          </w:tcPr>
          <w:p w14:paraId="2B9D8FD6" w14:textId="77777777" w:rsidR="001F3313" w:rsidRPr="00F1542A" w:rsidRDefault="001F3313" w:rsidP="00110A96">
            <w:pPr>
              <w:rPr>
                <w:rFonts w:ascii="Times New Roman" w:hAnsi="Times New Roman"/>
                <w:sz w:val="24"/>
                <w:szCs w:val="24"/>
                <w:lang w:val="da-DK"/>
              </w:rPr>
            </w:pPr>
            <w:r w:rsidRPr="00F1542A">
              <w:rPr>
                <w:rFonts w:ascii="Times New Roman" w:hAnsi="Times New Roman"/>
                <w:sz w:val="24"/>
                <w:szCs w:val="24"/>
                <w:lang w:val="da-DK"/>
              </w:rPr>
              <w:t xml:space="preserve">Meget sjælden </w:t>
            </w:r>
          </w:p>
        </w:tc>
        <w:tc>
          <w:tcPr>
            <w:tcW w:w="1961" w:type="pct"/>
            <w:tcBorders>
              <w:top w:val="single" w:sz="4" w:space="0" w:color="auto"/>
              <w:left w:val="single" w:sz="4" w:space="0" w:color="auto"/>
              <w:bottom w:val="single" w:sz="4" w:space="0" w:color="auto"/>
              <w:right w:val="single" w:sz="4" w:space="0" w:color="auto"/>
            </w:tcBorders>
            <w:hideMark/>
          </w:tcPr>
          <w:p w14:paraId="56A3CD7F" w14:textId="77777777" w:rsidR="001F3313" w:rsidRPr="00F1542A" w:rsidRDefault="001F3313" w:rsidP="00110A96">
            <w:pPr>
              <w:rPr>
                <w:rFonts w:ascii="Times New Roman" w:hAnsi="Times New Roman"/>
                <w:sz w:val="24"/>
                <w:szCs w:val="24"/>
                <w:lang w:val="da-DK"/>
              </w:rPr>
            </w:pPr>
            <w:proofErr w:type="spellStart"/>
            <w:r w:rsidRPr="00F1542A">
              <w:rPr>
                <w:rFonts w:ascii="Times New Roman" w:hAnsi="Times New Roman"/>
                <w:sz w:val="24"/>
                <w:szCs w:val="24"/>
                <w:lang w:val="da-DK"/>
              </w:rPr>
              <w:t>Urticaria</w:t>
            </w:r>
            <w:proofErr w:type="spellEnd"/>
          </w:p>
        </w:tc>
      </w:tr>
    </w:tbl>
    <w:p w14:paraId="1B4701CB" w14:textId="77777777" w:rsidR="001F3313" w:rsidRPr="00F1542A" w:rsidRDefault="001F3313" w:rsidP="001F3313">
      <w:pPr>
        <w:tabs>
          <w:tab w:val="left" w:pos="1304"/>
        </w:tabs>
        <w:rPr>
          <w:sz w:val="24"/>
          <w:szCs w:val="24"/>
          <w:lang w:eastAsia="de-DE"/>
        </w:rPr>
      </w:pPr>
    </w:p>
    <w:p w14:paraId="298719F2" w14:textId="77777777" w:rsidR="00457AF2" w:rsidRPr="00F1542A" w:rsidRDefault="00457AF2" w:rsidP="00457AF2">
      <w:pPr>
        <w:autoSpaceDE w:val="0"/>
        <w:autoSpaceDN w:val="0"/>
        <w:ind w:left="851"/>
        <w:rPr>
          <w:sz w:val="24"/>
          <w:szCs w:val="24"/>
          <w:u w:val="single"/>
        </w:rPr>
      </w:pPr>
      <w:r w:rsidRPr="00F1542A">
        <w:rPr>
          <w:sz w:val="24"/>
          <w:szCs w:val="24"/>
          <w:u w:val="single"/>
        </w:rPr>
        <w:t>Indberetning af formodede bivirkninger</w:t>
      </w:r>
    </w:p>
    <w:p w14:paraId="3EFB22CB" w14:textId="77777777" w:rsidR="00457AF2" w:rsidRPr="00F1542A" w:rsidRDefault="00457AF2" w:rsidP="00457AF2">
      <w:pPr>
        <w:ind w:left="851"/>
        <w:rPr>
          <w:sz w:val="24"/>
          <w:szCs w:val="24"/>
        </w:rPr>
      </w:pPr>
      <w:r w:rsidRPr="00F1542A">
        <w:rPr>
          <w:sz w:val="24"/>
          <w:szCs w:val="24"/>
        </w:rPr>
        <w:t>Når lægemidlet er godkendt, er indberetning af formodede bivirkninger vigtig. Det muliggør løbende overvågning af benefit/</w:t>
      </w:r>
      <w:proofErr w:type="spellStart"/>
      <w:r w:rsidRPr="00F1542A">
        <w:rPr>
          <w:sz w:val="24"/>
          <w:szCs w:val="24"/>
        </w:rPr>
        <w:t>risk</w:t>
      </w:r>
      <w:proofErr w:type="spellEnd"/>
      <w:r w:rsidRPr="00F1542A">
        <w:rPr>
          <w:sz w:val="24"/>
          <w:szCs w:val="24"/>
        </w:rPr>
        <w:t>-forholdet for lægemidlet. Sundhedspersoner anmodes om at indberette alle formodede bivirkninger via:</w:t>
      </w:r>
    </w:p>
    <w:p w14:paraId="4372A355" w14:textId="77777777" w:rsidR="00457AF2" w:rsidRPr="00F1542A" w:rsidRDefault="00457AF2" w:rsidP="00457AF2">
      <w:pPr>
        <w:tabs>
          <w:tab w:val="left" w:pos="2440"/>
        </w:tabs>
        <w:ind w:left="851"/>
        <w:rPr>
          <w:sz w:val="24"/>
          <w:szCs w:val="24"/>
        </w:rPr>
      </w:pPr>
    </w:p>
    <w:p w14:paraId="1FF0C8B3" w14:textId="77777777" w:rsidR="00457AF2" w:rsidRPr="00F1542A" w:rsidRDefault="00457AF2" w:rsidP="00457AF2">
      <w:pPr>
        <w:ind w:left="851"/>
        <w:rPr>
          <w:sz w:val="24"/>
          <w:szCs w:val="24"/>
        </w:rPr>
      </w:pPr>
      <w:r w:rsidRPr="00F1542A">
        <w:rPr>
          <w:sz w:val="24"/>
          <w:szCs w:val="24"/>
        </w:rPr>
        <w:t>Lægemiddelstyrelsen</w:t>
      </w:r>
    </w:p>
    <w:p w14:paraId="7350462D" w14:textId="77777777" w:rsidR="00457AF2" w:rsidRPr="00F1542A" w:rsidRDefault="00457AF2" w:rsidP="00457AF2">
      <w:pPr>
        <w:ind w:left="851"/>
        <w:rPr>
          <w:sz w:val="24"/>
          <w:szCs w:val="24"/>
        </w:rPr>
      </w:pPr>
      <w:r w:rsidRPr="00F1542A">
        <w:rPr>
          <w:sz w:val="24"/>
          <w:szCs w:val="24"/>
        </w:rPr>
        <w:t>Axel Heides Gade 1</w:t>
      </w:r>
    </w:p>
    <w:p w14:paraId="69A133AA" w14:textId="77777777" w:rsidR="00457AF2" w:rsidRPr="00F1542A" w:rsidRDefault="00457AF2" w:rsidP="00457AF2">
      <w:pPr>
        <w:ind w:left="851"/>
        <w:rPr>
          <w:sz w:val="24"/>
          <w:szCs w:val="24"/>
        </w:rPr>
      </w:pPr>
      <w:r w:rsidRPr="00F1542A">
        <w:rPr>
          <w:sz w:val="24"/>
          <w:szCs w:val="24"/>
        </w:rPr>
        <w:t>DK-2300 København S</w:t>
      </w:r>
    </w:p>
    <w:p w14:paraId="684802C2" w14:textId="77777777" w:rsidR="00457AF2" w:rsidRPr="00F1542A" w:rsidRDefault="00457AF2" w:rsidP="00457AF2">
      <w:pPr>
        <w:ind w:left="851"/>
        <w:rPr>
          <w:sz w:val="24"/>
          <w:szCs w:val="24"/>
        </w:rPr>
      </w:pPr>
      <w:r w:rsidRPr="00F1542A">
        <w:rPr>
          <w:sz w:val="24"/>
          <w:szCs w:val="24"/>
        </w:rPr>
        <w:t xml:space="preserve">Websted: </w:t>
      </w:r>
      <w:hyperlink r:id="rId8" w:history="1">
        <w:r w:rsidRPr="00F1542A">
          <w:rPr>
            <w:rStyle w:val="Hyperlink"/>
            <w:sz w:val="24"/>
            <w:szCs w:val="24"/>
          </w:rPr>
          <w:t>www.meldenbivirkning.dk</w:t>
        </w:r>
      </w:hyperlink>
    </w:p>
    <w:p w14:paraId="52E786B0" w14:textId="77777777" w:rsidR="009260DE" w:rsidRPr="00F1542A" w:rsidRDefault="009260DE" w:rsidP="00A10294">
      <w:pPr>
        <w:tabs>
          <w:tab w:val="left" w:pos="851"/>
        </w:tabs>
        <w:ind w:left="851"/>
        <w:rPr>
          <w:sz w:val="24"/>
          <w:szCs w:val="24"/>
        </w:rPr>
      </w:pPr>
    </w:p>
    <w:p w14:paraId="1726FC89" w14:textId="77777777" w:rsidR="009260DE" w:rsidRPr="00F1542A" w:rsidRDefault="009260DE" w:rsidP="009260DE">
      <w:pPr>
        <w:tabs>
          <w:tab w:val="left" w:pos="851"/>
        </w:tabs>
        <w:ind w:left="851" w:hanging="851"/>
        <w:rPr>
          <w:b/>
          <w:sz w:val="24"/>
          <w:szCs w:val="24"/>
        </w:rPr>
      </w:pPr>
      <w:r w:rsidRPr="00F1542A">
        <w:rPr>
          <w:b/>
          <w:sz w:val="24"/>
          <w:szCs w:val="24"/>
        </w:rPr>
        <w:t>4.9</w:t>
      </w:r>
      <w:r w:rsidRPr="00F1542A">
        <w:rPr>
          <w:b/>
          <w:sz w:val="24"/>
          <w:szCs w:val="24"/>
        </w:rPr>
        <w:tab/>
        <w:t>Overdosering</w:t>
      </w:r>
    </w:p>
    <w:p w14:paraId="1201EB85" w14:textId="77777777" w:rsidR="001F3313" w:rsidRPr="00F1542A" w:rsidRDefault="001F3313" w:rsidP="00457AF2">
      <w:pPr>
        <w:ind w:left="851"/>
        <w:rPr>
          <w:sz w:val="24"/>
          <w:szCs w:val="24"/>
          <w:lang w:eastAsia="de-DE"/>
        </w:rPr>
      </w:pPr>
      <w:r w:rsidRPr="00F1542A">
        <w:rPr>
          <w:sz w:val="24"/>
          <w:szCs w:val="24"/>
        </w:rPr>
        <w:t xml:space="preserve">Til dato er der ikke indberettet tilfælde af overdosering af lægemidler eller laboratorieresultater i forbindelse med overdosering af </w:t>
      </w:r>
      <w:proofErr w:type="spellStart"/>
      <w:r w:rsidRPr="00F1542A">
        <w:rPr>
          <w:bCs/>
          <w:sz w:val="24"/>
          <w:szCs w:val="24"/>
        </w:rPr>
        <w:t>Verdye</w:t>
      </w:r>
      <w:proofErr w:type="spellEnd"/>
      <w:r w:rsidRPr="00F1542A">
        <w:rPr>
          <w:bCs/>
          <w:sz w:val="24"/>
          <w:szCs w:val="24"/>
        </w:rPr>
        <w:t>.</w:t>
      </w:r>
    </w:p>
    <w:p w14:paraId="5F2806D5" w14:textId="77777777" w:rsidR="009260DE" w:rsidRPr="00F1542A" w:rsidRDefault="009260DE" w:rsidP="009260DE">
      <w:pPr>
        <w:tabs>
          <w:tab w:val="left" w:pos="851"/>
        </w:tabs>
        <w:ind w:left="851"/>
        <w:rPr>
          <w:sz w:val="24"/>
          <w:szCs w:val="24"/>
        </w:rPr>
      </w:pPr>
    </w:p>
    <w:p w14:paraId="1D9B02A8" w14:textId="77777777" w:rsidR="009260DE" w:rsidRPr="00F1542A" w:rsidRDefault="009260DE" w:rsidP="009260DE">
      <w:pPr>
        <w:tabs>
          <w:tab w:val="left" w:pos="851"/>
        </w:tabs>
        <w:ind w:left="851" w:hanging="851"/>
        <w:rPr>
          <w:b/>
          <w:sz w:val="24"/>
          <w:szCs w:val="24"/>
        </w:rPr>
      </w:pPr>
      <w:r w:rsidRPr="00F1542A">
        <w:rPr>
          <w:b/>
          <w:sz w:val="24"/>
          <w:szCs w:val="24"/>
        </w:rPr>
        <w:t>4.10</w:t>
      </w:r>
      <w:r w:rsidRPr="00F1542A">
        <w:rPr>
          <w:b/>
          <w:sz w:val="24"/>
          <w:szCs w:val="24"/>
        </w:rPr>
        <w:tab/>
        <w:t>Udlevering</w:t>
      </w:r>
    </w:p>
    <w:p w14:paraId="5EC1A25F" w14:textId="5E8717D7" w:rsidR="009260DE" w:rsidRPr="00F1542A" w:rsidRDefault="00110A96" w:rsidP="009260DE">
      <w:pPr>
        <w:tabs>
          <w:tab w:val="left" w:pos="851"/>
        </w:tabs>
        <w:ind w:left="851"/>
        <w:rPr>
          <w:sz w:val="24"/>
          <w:szCs w:val="24"/>
        </w:rPr>
      </w:pPr>
      <w:r w:rsidRPr="00F1542A">
        <w:rPr>
          <w:sz w:val="24"/>
          <w:szCs w:val="24"/>
        </w:rPr>
        <w:t>BEGR – kun til sygehuse</w:t>
      </w:r>
    </w:p>
    <w:p w14:paraId="457F1152" w14:textId="77777777" w:rsidR="009260DE" w:rsidRPr="00F1542A" w:rsidRDefault="009260DE" w:rsidP="009260DE">
      <w:pPr>
        <w:tabs>
          <w:tab w:val="left" w:pos="851"/>
        </w:tabs>
        <w:ind w:left="851"/>
        <w:rPr>
          <w:sz w:val="24"/>
          <w:szCs w:val="24"/>
        </w:rPr>
      </w:pPr>
    </w:p>
    <w:p w14:paraId="36C84577" w14:textId="77777777" w:rsidR="009260DE" w:rsidRPr="00F1542A" w:rsidRDefault="009260DE" w:rsidP="009260DE">
      <w:pPr>
        <w:tabs>
          <w:tab w:val="left" w:pos="851"/>
        </w:tabs>
        <w:ind w:left="851"/>
        <w:rPr>
          <w:sz w:val="24"/>
          <w:szCs w:val="24"/>
        </w:rPr>
      </w:pPr>
    </w:p>
    <w:p w14:paraId="3C1DB56E" w14:textId="77777777" w:rsidR="009260DE" w:rsidRPr="00F1542A" w:rsidRDefault="009260DE" w:rsidP="009260DE">
      <w:pPr>
        <w:tabs>
          <w:tab w:val="left" w:pos="851"/>
        </w:tabs>
        <w:ind w:left="851" w:hanging="851"/>
        <w:rPr>
          <w:b/>
          <w:sz w:val="24"/>
          <w:szCs w:val="24"/>
        </w:rPr>
      </w:pPr>
      <w:r w:rsidRPr="00F1542A">
        <w:rPr>
          <w:b/>
          <w:sz w:val="24"/>
          <w:szCs w:val="24"/>
        </w:rPr>
        <w:t>5.</w:t>
      </w:r>
      <w:r w:rsidRPr="00F1542A">
        <w:rPr>
          <w:b/>
          <w:sz w:val="24"/>
          <w:szCs w:val="24"/>
        </w:rPr>
        <w:tab/>
        <w:t>FARMAKOLOGISKE EGENSKABER</w:t>
      </w:r>
    </w:p>
    <w:p w14:paraId="5AC61693" w14:textId="77777777" w:rsidR="009260DE" w:rsidRPr="00F1542A" w:rsidRDefault="009260DE" w:rsidP="009260DE">
      <w:pPr>
        <w:tabs>
          <w:tab w:val="left" w:pos="851"/>
        </w:tabs>
        <w:ind w:left="851"/>
        <w:rPr>
          <w:sz w:val="24"/>
          <w:szCs w:val="24"/>
        </w:rPr>
      </w:pPr>
    </w:p>
    <w:p w14:paraId="7C5CE887" w14:textId="77777777" w:rsidR="009260DE" w:rsidRPr="00F1542A" w:rsidRDefault="009260DE" w:rsidP="009260DE">
      <w:pPr>
        <w:tabs>
          <w:tab w:val="left" w:pos="851"/>
        </w:tabs>
        <w:ind w:left="851" w:hanging="851"/>
        <w:rPr>
          <w:b/>
          <w:sz w:val="24"/>
          <w:szCs w:val="24"/>
        </w:rPr>
      </w:pPr>
      <w:r w:rsidRPr="00F1542A">
        <w:rPr>
          <w:b/>
          <w:sz w:val="24"/>
          <w:szCs w:val="24"/>
        </w:rPr>
        <w:t>5.0</w:t>
      </w:r>
      <w:r w:rsidRPr="00F1542A">
        <w:rPr>
          <w:b/>
          <w:sz w:val="24"/>
          <w:szCs w:val="24"/>
        </w:rPr>
        <w:tab/>
        <w:t>Terapeutisk klassifikation</w:t>
      </w:r>
    </w:p>
    <w:p w14:paraId="582608D1" w14:textId="77777777" w:rsidR="001F3313" w:rsidRPr="00F1542A" w:rsidRDefault="001F3313" w:rsidP="00457AF2">
      <w:pPr>
        <w:ind w:left="851"/>
        <w:rPr>
          <w:snapToGrid w:val="0"/>
          <w:sz w:val="24"/>
          <w:szCs w:val="24"/>
          <w:lang w:eastAsia="de-DE"/>
        </w:rPr>
      </w:pPr>
      <w:proofErr w:type="spellStart"/>
      <w:r w:rsidRPr="00F1542A">
        <w:rPr>
          <w:snapToGrid w:val="0"/>
          <w:sz w:val="24"/>
          <w:szCs w:val="24"/>
        </w:rPr>
        <w:t>Farmakoterapeutisk</w:t>
      </w:r>
      <w:proofErr w:type="spellEnd"/>
      <w:r w:rsidRPr="00F1542A">
        <w:rPr>
          <w:snapToGrid w:val="0"/>
          <w:sz w:val="24"/>
          <w:szCs w:val="24"/>
        </w:rPr>
        <w:t xml:space="preserve"> klassifikation: Diagnostiske stoffer, andre diagnostiske stoffer</w:t>
      </w:r>
    </w:p>
    <w:p w14:paraId="462D2D51" w14:textId="77777777" w:rsidR="001F3313" w:rsidRPr="00F1542A" w:rsidRDefault="001F3313" w:rsidP="00457AF2">
      <w:pPr>
        <w:ind w:left="851"/>
        <w:rPr>
          <w:sz w:val="24"/>
          <w:szCs w:val="24"/>
        </w:rPr>
      </w:pPr>
      <w:r w:rsidRPr="00F1542A">
        <w:rPr>
          <w:snapToGrid w:val="0"/>
          <w:sz w:val="24"/>
          <w:szCs w:val="24"/>
        </w:rPr>
        <w:t xml:space="preserve">ATC-kode: </w:t>
      </w:r>
      <w:r w:rsidRPr="00F1542A">
        <w:rPr>
          <w:sz w:val="24"/>
          <w:szCs w:val="24"/>
        </w:rPr>
        <w:t>V04CX01</w:t>
      </w:r>
    </w:p>
    <w:p w14:paraId="3AEDE525" w14:textId="77777777" w:rsidR="009260DE" w:rsidRPr="00F1542A" w:rsidRDefault="009260DE" w:rsidP="009260DE">
      <w:pPr>
        <w:tabs>
          <w:tab w:val="left" w:pos="851"/>
        </w:tabs>
        <w:ind w:left="851"/>
        <w:rPr>
          <w:sz w:val="24"/>
          <w:szCs w:val="24"/>
        </w:rPr>
      </w:pPr>
    </w:p>
    <w:p w14:paraId="537CA0B2" w14:textId="77777777" w:rsidR="009260DE" w:rsidRPr="00F1542A" w:rsidRDefault="009260DE" w:rsidP="009260DE">
      <w:pPr>
        <w:tabs>
          <w:tab w:val="num" w:pos="851"/>
        </w:tabs>
        <w:ind w:left="851" w:hanging="851"/>
        <w:rPr>
          <w:b/>
          <w:sz w:val="24"/>
          <w:szCs w:val="24"/>
        </w:rPr>
      </w:pPr>
      <w:r w:rsidRPr="00F1542A">
        <w:rPr>
          <w:b/>
          <w:sz w:val="24"/>
          <w:szCs w:val="24"/>
        </w:rPr>
        <w:t>5.1</w:t>
      </w:r>
      <w:r w:rsidRPr="00F1542A">
        <w:rPr>
          <w:b/>
          <w:sz w:val="24"/>
          <w:szCs w:val="24"/>
        </w:rPr>
        <w:tab/>
      </w:r>
      <w:proofErr w:type="spellStart"/>
      <w:r w:rsidRPr="00F1542A">
        <w:rPr>
          <w:b/>
          <w:sz w:val="24"/>
          <w:szCs w:val="24"/>
        </w:rPr>
        <w:t>Farmakodynamiske</w:t>
      </w:r>
      <w:proofErr w:type="spellEnd"/>
      <w:r w:rsidRPr="00F1542A">
        <w:rPr>
          <w:b/>
          <w:sz w:val="24"/>
          <w:szCs w:val="24"/>
        </w:rPr>
        <w:t xml:space="preserve"> egenskaber</w:t>
      </w:r>
    </w:p>
    <w:p w14:paraId="585853C1" w14:textId="77777777" w:rsidR="001F3313" w:rsidRPr="00F1542A" w:rsidRDefault="001F3313" w:rsidP="00457AF2">
      <w:pPr>
        <w:ind w:left="851"/>
        <w:rPr>
          <w:sz w:val="24"/>
          <w:szCs w:val="24"/>
          <w:lang w:eastAsia="de-DE"/>
        </w:rPr>
      </w:pPr>
      <w:r w:rsidRPr="00F1542A">
        <w:rPr>
          <w:sz w:val="24"/>
          <w:szCs w:val="24"/>
        </w:rPr>
        <w:t xml:space="preserve">Det aktive stof i </w:t>
      </w:r>
      <w:proofErr w:type="spellStart"/>
      <w:r w:rsidRPr="00F1542A">
        <w:rPr>
          <w:bCs/>
          <w:sz w:val="24"/>
          <w:szCs w:val="24"/>
        </w:rPr>
        <w:t>Verdye</w:t>
      </w:r>
      <w:proofErr w:type="spellEnd"/>
      <w:r w:rsidRPr="00F1542A">
        <w:rPr>
          <w:bCs/>
          <w:sz w:val="24"/>
          <w:szCs w:val="24"/>
        </w:rPr>
        <w:t xml:space="preserve"> </w:t>
      </w:r>
      <w:r w:rsidRPr="00F1542A">
        <w:rPr>
          <w:sz w:val="24"/>
          <w:szCs w:val="24"/>
        </w:rPr>
        <w:t xml:space="preserve">er </w:t>
      </w:r>
      <w:proofErr w:type="spellStart"/>
      <w:r w:rsidRPr="00F1542A">
        <w:rPr>
          <w:sz w:val="24"/>
          <w:szCs w:val="24"/>
        </w:rPr>
        <w:t>indocyanin</w:t>
      </w:r>
      <w:proofErr w:type="spellEnd"/>
      <w:r w:rsidRPr="00F1542A">
        <w:rPr>
          <w:sz w:val="24"/>
          <w:szCs w:val="24"/>
        </w:rPr>
        <w:t xml:space="preserve"> grøn.</w:t>
      </w:r>
    </w:p>
    <w:p w14:paraId="4F91EF0D" w14:textId="77777777" w:rsidR="001F3313" w:rsidRPr="00F1542A" w:rsidRDefault="001F3313" w:rsidP="00457AF2">
      <w:pPr>
        <w:ind w:left="851"/>
        <w:rPr>
          <w:sz w:val="24"/>
          <w:szCs w:val="24"/>
        </w:rPr>
      </w:pPr>
    </w:p>
    <w:p w14:paraId="2C8C9AB1" w14:textId="77777777" w:rsidR="001F3313" w:rsidRPr="00F1542A" w:rsidRDefault="001F3313" w:rsidP="00457AF2">
      <w:pPr>
        <w:ind w:left="851"/>
        <w:rPr>
          <w:sz w:val="24"/>
          <w:szCs w:val="24"/>
        </w:rPr>
      </w:pPr>
      <w:r w:rsidRPr="00F1542A">
        <w:rPr>
          <w:sz w:val="24"/>
          <w:szCs w:val="24"/>
        </w:rPr>
        <w:t>Den molekylære formel er C</w:t>
      </w:r>
      <w:r w:rsidRPr="00F1542A">
        <w:rPr>
          <w:sz w:val="24"/>
          <w:szCs w:val="24"/>
          <w:vertAlign w:val="subscript"/>
        </w:rPr>
        <w:t>43</w:t>
      </w:r>
      <w:r w:rsidRPr="00F1542A">
        <w:rPr>
          <w:sz w:val="24"/>
          <w:szCs w:val="24"/>
        </w:rPr>
        <w:t>H</w:t>
      </w:r>
      <w:r w:rsidRPr="00F1542A">
        <w:rPr>
          <w:sz w:val="24"/>
          <w:szCs w:val="24"/>
          <w:vertAlign w:val="subscript"/>
        </w:rPr>
        <w:t>47</w:t>
      </w:r>
      <w:r w:rsidRPr="00F1542A">
        <w:rPr>
          <w:sz w:val="24"/>
          <w:szCs w:val="24"/>
        </w:rPr>
        <w:t>N</w:t>
      </w:r>
      <w:r w:rsidRPr="00F1542A">
        <w:rPr>
          <w:sz w:val="24"/>
          <w:szCs w:val="24"/>
          <w:vertAlign w:val="subscript"/>
        </w:rPr>
        <w:t>2</w:t>
      </w:r>
      <w:r w:rsidRPr="00F1542A">
        <w:rPr>
          <w:sz w:val="24"/>
          <w:szCs w:val="24"/>
        </w:rPr>
        <w:t>NaO</w:t>
      </w:r>
      <w:r w:rsidRPr="00F1542A">
        <w:rPr>
          <w:sz w:val="24"/>
          <w:szCs w:val="24"/>
          <w:vertAlign w:val="subscript"/>
        </w:rPr>
        <w:t>6</w:t>
      </w:r>
      <w:r w:rsidRPr="00F1542A">
        <w:rPr>
          <w:sz w:val="24"/>
          <w:szCs w:val="24"/>
        </w:rPr>
        <w:t>S</w:t>
      </w:r>
      <w:r w:rsidRPr="00F1542A">
        <w:rPr>
          <w:sz w:val="24"/>
          <w:szCs w:val="24"/>
          <w:vertAlign w:val="subscript"/>
        </w:rPr>
        <w:t>2</w:t>
      </w:r>
      <w:r w:rsidRPr="00F1542A">
        <w:rPr>
          <w:sz w:val="24"/>
          <w:szCs w:val="24"/>
        </w:rPr>
        <w:t>. Den molekylære vægt er 774,96 Dalton.</w:t>
      </w:r>
    </w:p>
    <w:p w14:paraId="29175164" w14:textId="77777777" w:rsidR="001F3313" w:rsidRPr="00F1542A" w:rsidRDefault="001F3313" w:rsidP="00457AF2">
      <w:pPr>
        <w:ind w:left="851"/>
        <w:rPr>
          <w:sz w:val="24"/>
          <w:szCs w:val="24"/>
        </w:rPr>
      </w:pPr>
    </w:p>
    <w:p w14:paraId="7E9A420A" w14:textId="77777777" w:rsidR="001F3313" w:rsidRPr="00F1542A" w:rsidRDefault="001F3313" w:rsidP="00457AF2">
      <w:pPr>
        <w:ind w:left="851"/>
        <w:rPr>
          <w:sz w:val="24"/>
          <w:szCs w:val="24"/>
        </w:rPr>
      </w:pPr>
      <w:proofErr w:type="spellStart"/>
      <w:r w:rsidRPr="00F1542A">
        <w:rPr>
          <w:sz w:val="24"/>
          <w:szCs w:val="24"/>
        </w:rPr>
        <w:t>Indocyanin</w:t>
      </w:r>
      <w:proofErr w:type="spellEnd"/>
      <w:r w:rsidRPr="00F1542A">
        <w:rPr>
          <w:sz w:val="24"/>
          <w:szCs w:val="24"/>
        </w:rPr>
        <w:t xml:space="preserve"> grøn har en skarpt defineret </w:t>
      </w:r>
      <w:proofErr w:type="spellStart"/>
      <w:r w:rsidRPr="00F1542A">
        <w:rPr>
          <w:sz w:val="24"/>
          <w:szCs w:val="24"/>
        </w:rPr>
        <w:t>spektral</w:t>
      </w:r>
      <w:proofErr w:type="spellEnd"/>
      <w:r w:rsidRPr="00F1542A">
        <w:rPr>
          <w:sz w:val="24"/>
          <w:szCs w:val="24"/>
        </w:rPr>
        <w:t xml:space="preserve"> top-absorption af nær-infrarødt lys på 800 nm i blodplasma eller blod. Det er samme bølgelængde, hvor den optiske massefylde af </w:t>
      </w:r>
      <w:proofErr w:type="spellStart"/>
      <w:r w:rsidRPr="00F1542A">
        <w:rPr>
          <w:sz w:val="24"/>
          <w:szCs w:val="24"/>
        </w:rPr>
        <w:t>oxygeneret</w:t>
      </w:r>
      <w:proofErr w:type="spellEnd"/>
      <w:r w:rsidRPr="00F1542A">
        <w:rPr>
          <w:sz w:val="24"/>
          <w:szCs w:val="24"/>
        </w:rPr>
        <w:t xml:space="preserve"> hæmoglobin i blod næsten er lig med massefylden af reduceret hæmoglobin. Derfor gør denne sammenfaldende lysabsorption det muligt at måle </w:t>
      </w:r>
      <w:proofErr w:type="spellStart"/>
      <w:r w:rsidRPr="00F1542A">
        <w:rPr>
          <w:sz w:val="24"/>
          <w:szCs w:val="24"/>
        </w:rPr>
        <w:t>indocyanin</w:t>
      </w:r>
      <w:proofErr w:type="spellEnd"/>
      <w:r w:rsidRPr="00F1542A">
        <w:rPr>
          <w:sz w:val="24"/>
          <w:szCs w:val="24"/>
        </w:rPr>
        <w:t xml:space="preserve"> grøn -koncentrationer i blod, plasma og serum med hensyn til dets optiske massefylde på 800 nm, uafhængig af variationer i iltmætningsniveauet.</w:t>
      </w:r>
    </w:p>
    <w:p w14:paraId="7EE47C3B" w14:textId="77777777" w:rsidR="001F3313" w:rsidRPr="00F1542A" w:rsidRDefault="001F3313" w:rsidP="00457AF2">
      <w:pPr>
        <w:ind w:left="851"/>
        <w:rPr>
          <w:sz w:val="24"/>
          <w:szCs w:val="24"/>
        </w:rPr>
      </w:pPr>
    </w:p>
    <w:p w14:paraId="1E7ED45A" w14:textId="77777777" w:rsidR="001F3313" w:rsidRPr="00F1542A" w:rsidRDefault="001F3313" w:rsidP="00457AF2">
      <w:pPr>
        <w:ind w:left="851"/>
        <w:rPr>
          <w:sz w:val="24"/>
          <w:szCs w:val="24"/>
        </w:rPr>
      </w:pPr>
      <w:proofErr w:type="spellStart"/>
      <w:r w:rsidRPr="00F1542A">
        <w:rPr>
          <w:sz w:val="24"/>
          <w:szCs w:val="24"/>
        </w:rPr>
        <w:t>Indocyanin</w:t>
      </w:r>
      <w:proofErr w:type="spellEnd"/>
      <w:r w:rsidRPr="00F1542A">
        <w:rPr>
          <w:sz w:val="24"/>
          <w:szCs w:val="24"/>
        </w:rPr>
        <w:t xml:space="preserve"> grøn muliggør registrering af indikator-fortyndingskurverne med både diagnostiske og undersøgelsesformål. </w:t>
      </w:r>
      <w:proofErr w:type="spellStart"/>
      <w:r w:rsidRPr="00F1542A">
        <w:rPr>
          <w:sz w:val="24"/>
          <w:szCs w:val="24"/>
        </w:rPr>
        <w:t>Indocyanin</w:t>
      </w:r>
      <w:proofErr w:type="spellEnd"/>
      <w:r w:rsidRPr="00F1542A">
        <w:rPr>
          <w:sz w:val="24"/>
          <w:szCs w:val="24"/>
        </w:rPr>
        <w:t xml:space="preserve"> grøn har ingen farmakologisk virkning, når det gives intravenøst.</w:t>
      </w:r>
    </w:p>
    <w:p w14:paraId="458D3235" w14:textId="77777777" w:rsidR="009260DE" w:rsidRPr="00F1542A" w:rsidRDefault="009260DE" w:rsidP="009260DE">
      <w:pPr>
        <w:tabs>
          <w:tab w:val="left" w:pos="851"/>
        </w:tabs>
        <w:ind w:left="851"/>
        <w:rPr>
          <w:sz w:val="24"/>
          <w:szCs w:val="24"/>
        </w:rPr>
      </w:pPr>
    </w:p>
    <w:p w14:paraId="54CBF731" w14:textId="77777777" w:rsidR="009260DE" w:rsidRPr="00F1542A" w:rsidRDefault="009260DE" w:rsidP="009260DE">
      <w:pPr>
        <w:tabs>
          <w:tab w:val="left" w:pos="851"/>
        </w:tabs>
        <w:ind w:left="851" w:hanging="851"/>
        <w:rPr>
          <w:b/>
          <w:sz w:val="24"/>
          <w:szCs w:val="24"/>
        </w:rPr>
      </w:pPr>
      <w:r w:rsidRPr="00F1542A">
        <w:rPr>
          <w:b/>
          <w:sz w:val="24"/>
          <w:szCs w:val="24"/>
        </w:rPr>
        <w:t>5.2</w:t>
      </w:r>
      <w:r w:rsidRPr="00F1542A">
        <w:rPr>
          <w:b/>
          <w:sz w:val="24"/>
          <w:szCs w:val="24"/>
        </w:rPr>
        <w:tab/>
      </w:r>
      <w:proofErr w:type="spellStart"/>
      <w:r w:rsidRPr="00F1542A">
        <w:rPr>
          <w:b/>
          <w:sz w:val="24"/>
          <w:szCs w:val="24"/>
        </w:rPr>
        <w:t>Farmakokinetiske</w:t>
      </w:r>
      <w:proofErr w:type="spellEnd"/>
      <w:r w:rsidRPr="00F1542A">
        <w:rPr>
          <w:b/>
          <w:sz w:val="24"/>
          <w:szCs w:val="24"/>
        </w:rPr>
        <w:t xml:space="preserve"> egenskaber</w:t>
      </w:r>
    </w:p>
    <w:p w14:paraId="2EE32BF8" w14:textId="77777777" w:rsidR="00695282" w:rsidRPr="00F1542A" w:rsidRDefault="00695282" w:rsidP="00457AF2">
      <w:pPr>
        <w:ind w:left="851"/>
        <w:rPr>
          <w:sz w:val="24"/>
          <w:szCs w:val="24"/>
        </w:rPr>
      </w:pPr>
    </w:p>
    <w:p w14:paraId="394201DF" w14:textId="79578DAD" w:rsidR="001F3313" w:rsidRPr="00F1542A" w:rsidRDefault="001F3313" w:rsidP="00457AF2">
      <w:pPr>
        <w:ind w:left="851"/>
        <w:rPr>
          <w:sz w:val="24"/>
          <w:szCs w:val="24"/>
          <w:u w:val="single"/>
          <w:lang w:eastAsia="de-DE"/>
        </w:rPr>
      </w:pPr>
      <w:r w:rsidRPr="00F1542A">
        <w:rPr>
          <w:sz w:val="24"/>
          <w:szCs w:val="24"/>
          <w:u w:val="single"/>
        </w:rPr>
        <w:t>Fordeling</w:t>
      </w:r>
    </w:p>
    <w:p w14:paraId="344E9E55" w14:textId="77777777" w:rsidR="001F3313" w:rsidRPr="00F1542A" w:rsidRDefault="001F3313" w:rsidP="00457AF2">
      <w:pPr>
        <w:ind w:left="851"/>
        <w:rPr>
          <w:sz w:val="24"/>
          <w:szCs w:val="24"/>
        </w:rPr>
      </w:pPr>
      <w:r w:rsidRPr="00F1542A">
        <w:rPr>
          <w:sz w:val="24"/>
          <w:szCs w:val="24"/>
        </w:rPr>
        <w:t xml:space="preserve">Efter intravenøs injektion går </w:t>
      </w:r>
      <w:proofErr w:type="spellStart"/>
      <w:r w:rsidRPr="00F1542A">
        <w:rPr>
          <w:sz w:val="24"/>
          <w:szCs w:val="24"/>
        </w:rPr>
        <w:t>indocyanin</w:t>
      </w:r>
      <w:proofErr w:type="spellEnd"/>
      <w:r w:rsidRPr="00F1542A">
        <w:rPr>
          <w:sz w:val="24"/>
          <w:szCs w:val="24"/>
        </w:rPr>
        <w:t xml:space="preserve"> grøn ikke i væsentligt </w:t>
      </w:r>
      <w:proofErr w:type="spellStart"/>
      <w:r w:rsidRPr="00F1542A">
        <w:rPr>
          <w:sz w:val="24"/>
          <w:szCs w:val="24"/>
        </w:rPr>
        <w:t>ekstrahepatisk</w:t>
      </w:r>
      <w:proofErr w:type="spellEnd"/>
      <w:r w:rsidRPr="00F1542A">
        <w:rPr>
          <w:sz w:val="24"/>
          <w:szCs w:val="24"/>
        </w:rPr>
        <w:t xml:space="preserve"> eller </w:t>
      </w:r>
      <w:proofErr w:type="spellStart"/>
      <w:r w:rsidRPr="00F1542A">
        <w:rPr>
          <w:sz w:val="24"/>
          <w:szCs w:val="24"/>
        </w:rPr>
        <w:t>enterohepatisk</w:t>
      </w:r>
      <w:proofErr w:type="spellEnd"/>
      <w:r w:rsidRPr="00F1542A">
        <w:rPr>
          <w:sz w:val="24"/>
          <w:szCs w:val="24"/>
        </w:rPr>
        <w:t xml:space="preserve"> omløb. Samtidige arterie- og veneblodsberegninger har vist at farvestoffet ikke i væsentlig grad optages perifert, i nyre eller lunger. Hos raske frivillige kan </w:t>
      </w:r>
      <w:proofErr w:type="spellStart"/>
      <w:r w:rsidRPr="00F1542A">
        <w:rPr>
          <w:sz w:val="24"/>
          <w:szCs w:val="24"/>
        </w:rPr>
        <w:t>indocyanin</w:t>
      </w:r>
      <w:proofErr w:type="spellEnd"/>
      <w:r w:rsidRPr="00F1542A">
        <w:rPr>
          <w:sz w:val="24"/>
          <w:szCs w:val="24"/>
        </w:rPr>
        <w:t xml:space="preserve"> grøn ikke spores i hverken urin eller cerebrospinalvæske. </w:t>
      </w:r>
      <w:proofErr w:type="spellStart"/>
      <w:r w:rsidRPr="00F1542A">
        <w:rPr>
          <w:sz w:val="24"/>
          <w:szCs w:val="24"/>
        </w:rPr>
        <w:t>Indocyanin</w:t>
      </w:r>
      <w:proofErr w:type="spellEnd"/>
      <w:r w:rsidRPr="00F1542A">
        <w:rPr>
          <w:sz w:val="24"/>
          <w:szCs w:val="24"/>
        </w:rPr>
        <w:t xml:space="preserve"> grøn krydser ikke den </w:t>
      </w:r>
      <w:proofErr w:type="spellStart"/>
      <w:r w:rsidRPr="00F1542A">
        <w:rPr>
          <w:sz w:val="24"/>
          <w:szCs w:val="24"/>
        </w:rPr>
        <w:t>placentale</w:t>
      </w:r>
      <w:proofErr w:type="spellEnd"/>
      <w:r w:rsidRPr="00F1542A">
        <w:rPr>
          <w:sz w:val="24"/>
          <w:szCs w:val="24"/>
        </w:rPr>
        <w:t xml:space="preserve"> barriere. Fordelingsmængden svarer til blodmængden. Efter oral eller </w:t>
      </w:r>
      <w:proofErr w:type="spellStart"/>
      <w:r w:rsidRPr="00F1542A">
        <w:rPr>
          <w:sz w:val="24"/>
          <w:szCs w:val="24"/>
        </w:rPr>
        <w:t>rektal</w:t>
      </w:r>
      <w:proofErr w:type="spellEnd"/>
      <w:r w:rsidRPr="00F1542A">
        <w:rPr>
          <w:sz w:val="24"/>
          <w:szCs w:val="24"/>
        </w:rPr>
        <w:t xml:space="preserve"> administration absorberes </w:t>
      </w:r>
      <w:proofErr w:type="spellStart"/>
      <w:r w:rsidRPr="00F1542A">
        <w:rPr>
          <w:sz w:val="24"/>
          <w:szCs w:val="24"/>
        </w:rPr>
        <w:t>indocyanin</w:t>
      </w:r>
      <w:proofErr w:type="spellEnd"/>
      <w:r w:rsidRPr="00F1542A">
        <w:rPr>
          <w:sz w:val="24"/>
          <w:szCs w:val="24"/>
        </w:rPr>
        <w:t xml:space="preserve"> grøn ikke fra tarmen.</w:t>
      </w:r>
    </w:p>
    <w:p w14:paraId="471CDFF2" w14:textId="77777777" w:rsidR="001F3313" w:rsidRPr="00F1542A" w:rsidRDefault="001F3313" w:rsidP="00457AF2">
      <w:pPr>
        <w:ind w:left="851"/>
        <w:rPr>
          <w:sz w:val="24"/>
          <w:szCs w:val="24"/>
        </w:rPr>
      </w:pPr>
    </w:p>
    <w:p w14:paraId="39C8222D" w14:textId="77777777" w:rsidR="001F3313" w:rsidRPr="00F1542A" w:rsidRDefault="001F3313" w:rsidP="00457AF2">
      <w:pPr>
        <w:ind w:left="851"/>
        <w:rPr>
          <w:sz w:val="24"/>
          <w:szCs w:val="24"/>
          <w:u w:val="single"/>
        </w:rPr>
      </w:pPr>
      <w:r w:rsidRPr="00F1542A">
        <w:rPr>
          <w:sz w:val="24"/>
          <w:szCs w:val="24"/>
          <w:u w:val="single"/>
        </w:rPr>
        <w:t>Proteinbinding</w:t>
      </w:r>
    </w:p>
    <w:p w14:paraId="4DD3FB54" w14:textId="77777777" w:rsidR="001F3313" w:rsidRPr="00F1542A" w:rsidRDefault="001F3313" w:rsidP="00457AF2">
      <w:pPr>
        <w:ind w:left="851"/>
        <w:rPr>
          <w:sz w:val="24"/>
          <w:szCs w:val="24"/>
        </w:rPr>
      </w:pPr>
      <w:r w:rsidRPr="00F1542A">
        <w:rPr>
          <w:sz w:val="24"/>
          <w:szCs w:val="24"/>
        </w:rPr>
        <w:t xml:space="preserve">Efter intravenøs injektion bindes </w:t>
      </w:r>
      <w:proofErr w:type="spellStart"/>
      <w:r w:rsidRPr="00F1542A">
        <w:rPr>
          <w:sz w:val="24"/>
          <w:szCs w:val="24"/>
        </w:rPr>
        <w:t>indocyanin</w:t>
      </w:r>
      <w:proofErr w:type="spellEnd"/>
      <w:r w:rsidRPr="00F1542A">
        <w:rPr>
          <w:sz w:val="24"/>
          <w:szCs w:val="24"/>
        </w:rPr>
        <w:t xml:space="preserve"> grøn hurtigt til plasmaproteiner, hvor beta-</w:t>
      </w:r>
      <w:proofErr w:type="spellStart"/>
      <w:r w:rsidRPr="00F1542A">
        <w:rPr>
          <w:sz w:val="24"/>
          <w:szCs w:val="24"/>
        </w:rPr>
        <w:t>apolipoprotein</w:t>
      </w:r>
      <w:proofErr w:type="spellEnd"/>
      <w:r w:rsidRPr="00F1542A">
        <w:rPr>
          <w:sz w:val="24"/>
          <w:szCs w:val="24"/>
        </w:rPr>
        <w:t xml:space="preserve"> B er det førende bærestof (95 %).</w:t>
      </w:r>
    </w:p>
    <w:p w14:paraId="585D9D55" w14:textId="77777777" w:rsidR="001F3313" w:rsidRPr="00F1542A" w:rsidRDefault="001F3313" w:rsidP="00457AF2">
      <w:pPr>
        <w:ind w:left="851"/>
        <w:rPr>
          <w:sz w:val="24"/>
          <w:szCs w:val="24"/>
        </w:rPr>
      </w:pPr>
    </w:p>
    <w:p w14:paraId="1A699B3A" w14:textId="77777777" w:rsidR="001F3313" w:rsidRPr="00F1542A" w:rsidRDefault="001F3313" w:rsidP="00457AF2">
      <w:pPr>
        <w:ind w:left="851"/>
        <w:rPr>
          <w:sz w:val="24"/>
          <w:szCs w:val="24"/>
          <w:u w:val="single"/>
        </w:rPr>
      </w:pPr>
      <w:r w:rsidRPr="00F1542A">
        <w:rPr>
          <w:sz w:val="24"/>
          <w:szCs w:val="24"/>
          <w:u w:val="single"/>
        </w:rPr>
        <w:t>Biotransformation</w:t>
      </w:r>
    </w:p>
    <w:p w14:paraId="6074AF46" w14:textId="77777777" w:rsidR="001F3313" w:rsidRPr="00F1542A" w:rsidRDefault="001F3313" w:rsidP="00457AF2">
      <w:pPr>
        <w:ind w:left="851"/>
        <w:rPr>
          <w:sz w:val="24"/>
          <w:szCs w:val="24"/>
        </w:rPr>
      </w:pPr>
      <w:proofErr w:type="spellStart"/>
      <w:r w:rsidRPr="00F1542A">
        <w:rPr>
          <w:sz w:val="24"/>
          <w:szCs w:val="24"/>
        </w:rPr>
        <w:t>Indocyanin</w:t>
      </w:r>
      <w:proofErr w:type="spellEnd"/>
      <w:r w:rsidRPr="00F1542A">
        <w:rPr>
          <w:sz w:val="24"/>
          <w:szCs w:val="24"/>
        </w:rPr>
        <w:t xml:space="preserve"> grøn </w:t>
      </w:r>
      <w:proofErr w:type="spellStart"/>
      <w:r w:rsidRPr="00F1542A">
        <w:rPr>
          <w:sz w:val="24"/>
          <w:szCs w:val="24"/>
        </w:rPr>
        <w:t>metaboliseres</w:t>
      </w:r>
      <w:proofErr w:type="spellEnd"/>
      <w:r w:rsidRPr="00F1542A">
        <w:rPr>
          <w:sz w:val="24"/>
          <w:szCs w:val="24"/>
        </w:rPr>
        <w:t xml:space="preserve"> ikke.</w:t>
      </w:r>
    </w:p>
    <w:p w14:paraId="7774FAE6" w14:textId="77777777" w:rsidR="001F3313" w:rsidRPr="00F1542A" w:rsidRDefault="001F3313" w:rsidP="00457AF2">
      <w:pPr>
        <w:ind w:left="851"/>
        <w:rPr>
          <w:sz w:val="24"/>
          <w:szCs w:val="24"/>
        </w:rPr>
      </w:pPr>
    </w:p>
    <w:p w14:paraId="5DCA4E07" w14:textId="77777777" w:rsidR="001F3313" w:rsidRPr="00F1542A" w:rsidRDefault="001F3313" w:rsidP="00457AF2">
      <w:pPr>
        <w:ind w:left="851"/>
        <w:rPr>
          <w:sz w:val="24"/>
          <w:szCs w:val="24"/>
          <w:u w:val="single"/>
        </w:rPr>
      </w:pPr>
      <w:r w:rsidRPr="00F1542A">
        <w:rPr>
          <w:sz w:val="24"/>
          <w:szCs w:val="24"/>
          <w:u w:val="single"/>
        </w:rPr>
        <w:t>Elimination</w:t>
      </w:r>
    </w:p>
    <w:p w14:paraId="352041C7" w14:textId="77777777" w:rsidR="001F3313" w:rsidRPr="00F1542A" w:rsidRDefault="001F3313" w:rsidP="00457AF2">
      <w:pPr>
        <w:ind w:left="851"/>
        <w:rPr>
          <w:sz w:val="24"/>
          <w:szCs w:val="24"/>
        </w:rPr>
      </w:pPr>
      <w:r w:rsidRPr="00F1542A">
        <w:rPr>
          <w:sz w:val="24"/>
          <w:szCs w:val="24"/>
        </w:rPr>
        <w:t>Plasmaeliminationen er tofaset med en første eliminationshalveringstid t1/2 af 3-4 min. og en anden fase med en dosisafhængig t1/2 på ca. 60-80 min.</w:t>
      </w:r>
    </w:p>
    <w:p w14:paraId="318843F7" w14:textId="77777777" w:rsidR="001F3313" w:rsidRPr="00F1542A" w:rsidRDefault="001F3313" w:rsidP="00457AF2">
      <w:pPr>
        <w:ind w:left="851"/>
        <w:rPr>
          <w:sz w:val="24"/>
          <w:szCs w:val="24"/>
        </w:rPr>
      </w:pPr>
    </w:p>
    <w:p w14:paraId="53A417F2" w14:textId="05B87330" w:rsidR="001F3313" w:rsidRPr="00F1542A" w:rsidRDefault="001F3313" w:rsidP="00457AF2">
      <w:pPr>
        <w:ind w:left="851"/>
        <w:rPr>
          <w:sz w:val="24"/>
          <w:szCs w:val="24"/>
        </w:rPr>
      </w:pPr>
      <w:proofErr w:type="spellStart"/>
      <w:r w:rsidRPr="00F1542A">
        <w:rPr>
          <w:sz w:val="24"/>
          <w:szCs w:val="24"/>
        </w:rPr>
        <w:t>Indocyanin</w:t>
      </w:r>
      <w:proofErr w:type="spellEnd"/>
      <w:r w:rsidRPr="00F1542A">
        <w:rPr>
          <w:sz w:val="24"/>
          <w:szCs w:val="24"/>
        </w:rPr>
        <w:t xml:space="preserve"> grøn optages fra plasma næsten udelukkende af lever-</w:t>
      </w:r>
      <w:proofErr w:type="spellStart"/>
      <w:r w:rsidRPr="00F1542A">
        <w:rPr>
          <w:sz w:val="24"/>
          <w:szCs w:val="24"/>
        </w:rPr>
        <w:t>parenkymcellerne</w:t>
      </w:r>
      <w:proofErr w:type="spellEnd"/>
      <w:r w:rsidRPr="00F1542A">
        <w:rPr>
          <w:sz w:val="24"/>
          <w:szCs w:val="24"/>
        </w:rPr>
        <w:t xml:space="preserve"> med en maksimal optagelsesrate (maksimal transport: T</w:t>
      </w:r>
      <w:r w:rsidRPr="00F1542A">
        <w:rPr>
          <w:sz w:val="24"/>
          <w:szCs w:val="24"/>
          <w:vertAlign w:val="subscript"/>
        </w:rPr>
        <w:t>m</w:t>
      </w:r>
      <w:r w:rsidRPr="00F1542A">
        <w:rPr>
          <w:sz w:val="24"/>
          <w:szCs w:val="24"/>
        </w:rPr>
        <w:t xml:space="preserve"> på ca. 0,1 mg/minut/kg) og udskilles </w:t>
      </w:r>
      <w:proofErr w:type="spellStart"/>
      <w:r w:rsidRPr="00F1542A">
        <w:rPr>
          <w:sz w:val="24"/>
          <w:szCs w:val="24"/>
        </w:rPr>
        <w:t>umetaboliseret</w:t>
      </w:r>
      <w:proofErr w:type="spellEnd"/>
      <w:r w:rsidRPr="00F1542A">
        <w:rPr>
          <w:sz w:val="24"/>
          <w:szCs w:val="24"/>
        </w:rPr>
        <w:t xml:space="preserve"> og </w:t>
      </w:r>
      <w:proofErr w:type="spellStart"/>
      <w:r w:rsidRPr="00F1542A">
        <w:rPr>
          <w:sz w:val="24"/>
          <w:szCs w:val="24"/>
        </w:rPr>
        <w:t>ukonjugeret</w:t>
      </w:r>
      <w:proofErr w:type="spellEnd"/>
      <w:r w:rsidRPr="00F1542A">
        <w:rPr>
          <w:sz w:val="24"/>
          <w:szCs w:val="24"/>
        </w:rPr>
        <w:t xml:space="preserve"> via galden. Den maksimale koncentration i galdeblæren opnås efter ca. 1/2–2 timer afhængig af den injicerede mængde.</w:t>
      </w:r>
    </w:p>
    <w:p w14:paraId="5937881D" w14:textId="77777777" w:rsidR="001F3313" w:rsidRPr="00F1542A" w:rsidRDefault="001F3313" w:rsidP="00457AF2">
      <w:pPr>
        <w:ind w:left="851"/>
        <w:rPr>
          <w:sz w:val="24"/>
          <w:szCs w:val="24"/>
        </w:rPr>
      </w:pPr>
    </w:p>
    <w:p w14:paraId="426D9B46" w14:textId="77777777" w:rsidR="001F3313" w:rsidRPr="00F1542A" w:rsidRDefault="001F3313" w:rsidP="00457AF2">
      <w:pPr>
        <w:ind w:left="851"/>
        <w:rPr>
          <w:sz w:val="24"/>
          <w:szCs w:val="24"/>
        </w:rPr>
      </w:pPr>
      <w:r w:rsidRPr="00F1542A">
        <w:rPr>
          <w:sz w:val="24"/>
          <w:szCs w:val="24"/>
        </w:rPr>
        <w:t>Efter galdevejsobstruktionen kommer farvestoffet til leverlymfen, uafhængigt af galdeblæren, hvilket tyder på, at galdeslimhinden er tilstrækkeligt intakt til at forhindre diffusion af farvestoffet, og alligevel muliggøre diffusion af bilirubin.</w:t>
      </w:r>
    </w:p>
    <w:p w14:paraId="01EAA500" w14:textId="77777777" w:rsidR="001F3313" w:rsidRPr="00F1542A" w:rsidRDefault="001F3313" w:rsidP="00457AF2">
      <w:pPr>
        <w:ind w:left="851"/>
        <w:rPr>
          <w:sz w:val="24"/>
          <w:szCs w:val="24"/>
        </w:rPr>
      </w:pPr>
    </w:p>
    <w:p w14:paraId="21C898F0" w14:textId="77777777" w:rsidR="001F3313" w:rsidRPr="00F1542A" w:rsidRDefault="001F3313" w:rsidP="00457AF2">
      <w:pPr>
        <w:ind w:left="851"/>
        <w:rPr>
          <w:sz w:val="24"/>
          <w:szCs w:val="24"/>
        </w:rPr>
      </w:pPr>
      <w:r w:rsidRPr="00F1542A">
        <w:rPr>
          <w:sz w:val="24"/>
          <w:szCs w:val="24"/>
        </w:rPr>
        <w:t xml:space="preserve">Da </w:t>
      </w:r>
      <w:proofErr w:type="spellStart"/>
      <w:r w:rsidRPr="00F1542A">
        <w:rPr>
          <w:sz w:val="24"/>
          <w:szCs w:val="24"/>
        </w:rPr>
        <w:t>indocyanin</w:t>
      </w:r>
      <w:proofErr w:type="spellEnd"/>
      <w:r w:rsidRPr="00F1542A">
        <w:rPr>
          <w:sz w:val="24"/>
          <w:szCs w:val="24"/>
        </w:rPr>
        <w:t xml:space="preserve"> grøn ikke genabsorberes i tyndtarmen, er der ingen </w:t>
      </w:r>
      <w:proofErr w:type="spellStart"/>
      <w:r w:rsidRPr="00F1542A">
        <w:rPr>
          <w:sz w:val="24"/>
          <w:szCs w:val="24"/>
        </w:rPr>
        <w:t>enterohepatisk</w:t>
      </w:r>
      <w:proofErr w:type="spellEnd"/>
      <w:r w:rsidRPr="00F1542A">
        <w:rPr>
          <w:sz w:val="24"/>
          <w:szCs w:val="24"/>
        </w:rPr>
        <w:t xml:space="preserve"> cirkulation.</w:t>
      </w:r>
    </w:p>
    <w:p w14:paraId="628649A8" w14:textId="77777777" w:rsidR="009260DE" w:rsidRPr="00F1542A" w:rsidRDefault="009260DE" w:rsidP="009260DE">
      <w:pPr>
        <w:tabs>
          <w:tab w:val="left" w:pos="851"/>
        </w:tabs>
        <w:ind w:left="851"/>
        <w:rPr>
          <w:sz w:val="24"/>
          <w:szCs w:val="24"/>
        </w:rPr>
      </w:pPr>
    </w:p>
    <w:p w14:paraId="54C48ABF" w14:textId="77777777" w:rsidR="009260DE" w:rsidRPr="00F1542A" w:rsidRDefault="009260DE" w:rsidP="009260DE">
      <w:pPr>
        <w:tabs>
          <w:tab w:val="left" w:pos="851"/>
        </w:tabs>
        <w:ind w:left="851" w:hanging="851"/>
        <w:rPr>
          <w:b/>
          <w:sz w:val="24"/>
          <w:szCs w:val="24"/>
        </w:rPr>
      </w:pPr>
      <w:r w:rsidRPr="00F1542A">
        <w:rPr>
          <w:b/>
          <w:sz w:val="24"/>
          <w:szCs w:val="24"/>
        </w:rPr>
        <w:t>5.3</w:t>
      </w:r>
      <w:r w:rsidRPr="00F1542A">
        <w:rPr>
          <w:b/>
          <w:sz w:val="24"/>
          <w:szCs w:val="24"/>
        </w:rPr>
        <w:tab/>
        <w:t>Prækliniske sikkerhedsdata</w:t>
      </w:r>
    </w:p>
    <w:p w14:paraId="35511677" w14:textId="77777777" w:rsidR="001F3313" w:rsidRPr="00F1542A" w:rsidRDefault="001F3313" w:rsidP="00457AF2">
      <w:pPr>
        <w:ind w:left="851"/>
        <w:rPr>
          <w:sz w:val="24"/>
          <w:szCs w:val="24"/>
          <w:lang w:eastAsia="de-DE"/>
        </w:rPr>
      </w:pPr>
      <w:r w:rsidRPr="00F1542A">
        <w:rPr>
          <w:sz w:val="24"/>
          <w:szCs w:val="24"/>
        </w:rPr>
        <w:t>Akut toksicitet: LD</w:t>
      </w:r>
      <w:r w:rsidRPr="00F1542A">
        <w:rPr>
          <w:sz w:val="24"/>
          <w:szCs w:val="24"/>
          <w:vertAlign w:val="subscript"/>
        </w:rPr>
        <w:t>50</w:t>
      </w:r>
      <w:r w:rsidRPr="00F1542A">
        <w:rPr>
          <w:sz w:val="24"/>
          <w:szCs w:val="24"/>
        </w:rPr>
        <w:t xml:space="preserve"> efter enkelt IV dosis var 87 mg/kg hos rotter, 60 mg/kg hos mus og mellem 50 mg/kg og 80 mg/kg hos kaniner. Efter opløsning i vand til injektionsvæsker og administration med </w:t>
      </w:r>
      <w:proofErr w:type="spellStart"/>
      <w:r w:rsidRPr="00F1542A">
        <w:rPr>
          <w:sz w:val="24"/>
          <w:szCs w:val="24"/>
        </w:rPr>
        <w:t>intra</w:t>
      </w:r>
      <w:r w:rsidRPr="00F1542A">
        <w:rPr>
          <w:sz w:val="24"/>
          <w:szCs w:val="24"/>
        </w:rPr>
        <w:softHyphen/>
        <w:t>peritoneal</w:t>
      </w:r>
      <w:proofErr w:type="spellEnd"/>
      <w:r w:rsidRPr="00F1542A">
        <w:rPr>
          <w:sz w:val="24"/>
          <w:szCs w:val="24"/>
        </w:rPr>
        <w:t xml:space="preserve"> injektion hos mus, viste LD</w:t>
      </w:r>
      <w:r w:rsidRPr="00F1542A">
        <w:rPr>
          <w:sz w:val="24"/>
          <w:szCs w:val="24"/>
          <w:vertAlign w:val="subscript"/>
        </w:rPr>
        <w:t>50</w:t>
      </w:r>
      <w:r w:rsidRPr="00F1542A">
        <w:rPr>
          <w:sz w:val="24"/>
          <w:szCs w:val="24"/>
        </w:rPr>
        <w:t xml:space="preserve"> sig at være 650 mg/kg kropsvægt. Der blev ikke observeret makroskopiske eller </w:t>
      </w:r>
      <w:proofErr w:type="spellStart"/>
      <w:r w:rsidRPr="00F1542A">
        <w:rPr>
          <w:sz w:val="24"/>
          <w:szCs w:val="24"/>
        </w:rPr>
        <w:t>histopatologiske</w:t>
      </w:r>
      <w:proofErr w:type="spellEnd"/>
      <w:r w:rsidRPr="00F1542A">
        <w:rPr>
          <w:sz w:val="24"/>
          <w:szCs w:val="24"/>
        </w:rPr>
        <w:t xml:space="preserve"> ændringer.</w:t>
      </w:r>
    </w:p>
    <w:p w14:paraId="02D7AAD3" w14:textId="77777777" w:rsidR="001F3313" w:rsidRPr="00F1542A" w:rsidRDefault="001F3313" w:rsidP="00457AF2">
      <w:pPr>
        <w:ind w:left="851"/>
        <w:rPr>
          <w:sz w:val="24"/>
          <w:szCs w:val="24"/>
        </w:rPr>
      </w:pPr>
    </w:p>
    <w:p w14:paraId="26C12118" w14:textId="77777777" w:rsidR="001F3313" w:rsidRPr="00F1542A" w:rsidRDefault="001F3313" w:rsidP="00457AF2">
      <w:pPr>
        <w:ind w:left="851"/>
        <w:rPr>
          <w:sz w:val="24"/>
          <w:szCs w:val="24"/>
        </w:rPr>
      </w:pPr>
      <w:r w:rsidRPr="00F1542A">
        <w:rPr>
          <w:sz w:val="24"/>
          <w:szCs w:val="24"/>
        </w:rPr>
        <w:t xml:space="preserve">Genetisk toksicitet: </w:t>
      </w:r>
      <w:proofErr w:type="spellStart"/>
      <w:r w:rsidRPr="00F1542A">
        <w:rPr>
          <w:sz w:val="24"/>
          <w:szCs w:val="24"/>
        </w:rPr>
        <w:t>indocyanin</w:t>
      </w:r>
      <w:proofErr w:type="spellEnd"/>
      <w:r w:rsidRPr="00F1542A">
        <w:rPr>
          <w:sz w:val="24"/>
          <w:szCs w:val="24"/>
        </w:rPr>
        <w:t xml:space="preserve"> grøn viste sig ikke at være mutagent i de udførte tests (</w:t>
      </w:r>
      <w:proofErr w:type="spellStart"/>
      <w:r w:rsidRPr="00F1542A">
        <w:rPr>
          <w:sz w:val="24"/>
          <w:szCs w:val="24"/>
        </w:rPr>
        <w:t>Ames</w:t>
      </w:r>
      <w:proofErr w:type="spellEnd"/>
      <w:r w:rsidRPr="00F1542A">
        <w:rPr>
          <w:sz w:val="24"/>
          <w:szCs w:val="24"/>
        </w:rPr>
        <w:t xml:space="preserve"> test, genmutationsanalyse – </w:t>
      </w:r>
      <w:proofErr w:type="spellStart"/>
      <w:r w:rsidRPr="00F1542A">
        <w:rPr>
          <w:sz w:val="24"/>
          <w:szCs w:val="24"/>
        </w:rPr>
        <w:t>thymidin-kinase-locus</w:t>
      </w:r>
      <w:proofErr w:type="spellEnd"/>
      <w:r w:rsidRPr="00F1542A">
        <w:rPr>
          <w:sz w:val="24"/>
          <w:szCs w:val="24"/>
        </w:rPr>
        <w:t xml:space="preserve"> /TK</w:t>
      </w:r>
      <w:r w:rsidRPr="00F1542A">
        <w:rPr>
          <w:sz w:val="24"/>
          <w:szCs w:val="24"/>
          <w:vertAlign w:val="superscript"/>
        </w:rPr>
        <w:t>+/-</w:t>
      </w:r>
      <w:r w:rsidRPr="00F1542A">
        <w:rPr>
          <w:sz w:val="24"/>
          <w:szCs w:val="24"/>
        </w:rPr>
        <w:t xml:space="preserve"> - i </w:t>
      </w:r>
      <w:proofErr w:type="spellStart"/>
      <w:r w:rsidRPr="00F1542A">
        <w:rPr>
          <w:sz w:val="24"/>
          <w:szCs w:val="24"/>
        </w:rPr>
        <w:t>muselymphoma</w:t>
      </w:r>
      <w:proofErr w:type="spellEnd"/>
      <w:r w:rsidRPr="00F1542A">
        <w:rPr>
          <w:sz w:val="24"/>
          <w:szCs w:val="24"/>
        </w:rPr>
        <w:t xml:space="preserve"> L5178Y celler, kromosombeskadigelsestest i </w:t>
      </w:r>
      <w:proofErr w:type="spellStart"/>
      <w:r w:rsidRPr="00F1542A">
        <w:rPr>
          <w:sz w:val="24"/>
          <w:szCs w:val="24"/>
        </w:rPr>
        <w:t>cricetulus</w:t>
      </w:r>
      <w:proofErr w:type="spellEnd"/>
      <w:r w:rsidRPr="00F1542A">
        <w:rPr>
          <w:sz w:val="24"/>
          <w:szCs w:val="24"/>
        </w:rPr>
        <w:t xml:space="preserve"> </w:t>
      </w:r>
      <w:proofErr w:type="spellStart"/>
      <w:r w:rsidRPr="00F1542A">
        <w:rPr>
          <w:sz w:val="24"/>
          <w:szCs w:val="24"/>
        </w:rPr>
        <w:t>griseus</w:t>
      </w:r>
      <w:proofErr w:type="spellEnd"/>
      <w:r w:rsidRPr="00F1542A">
        <w:rPr>
          <w:sz w:val="24"/>
          <w:szCs w:val="24"/>
        </w:rPr>
        <w:t xml:space="preserve"> V79-celler).</w:t>
      </w:r>
    </w:p>
    <w:p w14:paraId="5A1F514A" w14:textId="77777777" w:rsidR="001F3313" w:rsidRPr="00F1542A" w:rsidRDefault="001F3313" w:rsidP="00457AF2">
      <w:pPr>
        <w:ind w:left="851"/>
        <w:rPr>
          <w:sz w:val="24"/>
          <w:szCs w:val="24"/>
        </w:rPr>
      </w:pPr>
    </w:p>
    <w:p w14:paraId="7E7E5DDE" w14:textId="77777777" w:rsidR="001F3313" w:rsidRPr="00F1542A" w:rsidRDefault="001F3313" w:rsidP="00457AF2">
      <w:pPr>
        <w:ind w:left="851"/>
        <w:rPr>
          <w:sz w:val="24"/>
          <w:szCs w:val="24"/>
        </w:rPr>
      </w:pPr>
      <w:r w:rsidRPr="00F1542A">
        <w:rPr>
          <w:sz w:val="24"/>
          <w:szCs w:val="24"/>
        </w:rPr>
        <w:t xml:space="preserve">Der er ingen forsøg tilgængelige vedrørende reproduktions-, </w:t>
      </w:r>
      <w:r w:rsidRPr="00F1542A">
        <w:rPr>
          <w:noProof/>
          <w:color w:val="000000"/>
          <w:spacing w:val="-2"/>
          <w:sz w:val="24"/>
          <w:szCs w:val="24"/>
        </w:rPr>
        <w:t>teratogenicitets- eller kræftfremkaldende egenskaber hos dyr, men årtiers forsøg med mennesker har ikke vist tilfælde med disse egenskaber.</w:t>
      </w:r>
    </w:p>
    <w:p w14:paraId="3FAACD9B" w14:textId="77777777" w:rsidR="009260DE" w:rsidRPr="00F1542A" w:rsidRDefault="009260DE" w:rsidP="009260DE">
      <w:pPr>
        <w:tabs>
          <w:tab w:val="left" w:pos="851"/>
        </w:tabs>
        <w:ind w:left="851"/>
        <w:rPr>
          <w:sz w:val="24"/>
          <w:szCs w:val="24"/>
        </w:rPr>
      </w:pPr>
    </w:p>
    <w:p w14:paraId="169E7BEB" w14:textId="77777777" w:rsidR="009260DE" w:rsidRPr="00F1542A" w:rsidRDefault="009260DE" w:rsidP="009260DE">
      <w:pPr>
        <w:tabs>
          <w:tab w:val="left" w:pos="851"/>
        </w:tabs>
        <w:ind w:left="851"/>
        <w:rPr>
          <w:sz w:val="24"/>
          <w:szCs w:val="24"/>
        </w:rPr>
      </w:pPr>
    </w:p>
    <w:p w14:paraId="59049A38" w14:textId="77777777" w:rsidR="009260DE" w:rsidRPr="00F1542A" w:rsidRDefault="009260DE" w:rsidP="009260DE">
      <w:pPr>
        <w:tabs>
          <w:tab w:val="left" w:pos="851"/>
        </w:tabs>
        <w:ind w:left="851" w:hanging="851"/>
        <w:rPr>
          <w:b/>
          <w:sz w:val="24"/>
          <w:szCs w:val="24"/>
        </w:rPr>
      </w:pPr>
      <w:r w:rsidRPr="00F1542A">
        <w:rPr>
          <w:b/>
          <w:sz w:val="24"/>
          <w:szCs w:val="24"/>
        </w:rPr>
        <w:t>6.</w:t>
      </w:r>
      <w:r w:rsidRPr="00F1542A">
        <w:rPr>
          <w:b/>
          <w:sz w:val="24"/>
          <w:szCs w:val="24"/>
        </w:rPr>
        <w:tab/>
        <w:t>FARMACEUTISKE OPLYSNINGER</w:t>
      </w:r>
    </w:p>
    <w:p w14:paraId="209D4ADC" w14:textId="77777777" w:rsidR="009260DE" w:rsidRPr="00F1542A" w:rsidRDefault="009260DE" w:rsidP="009260DE">
      <w:pPr>
        <w:tabs>
          <w:tab w:val="left" w:pos="851"/>
        </w:tabs>
        <w:ind w:left="851"/>
        <w:rPr>
          <w:sz w:val="24"/>
          <w:szCs w:val="24"/>
        </w:rPr>
      </w:pPr>
    </w:p>
    <w:p w14:paraId="4D4D9EB5" w14:textId="77777777" w:rsidR="009260DE" w:rsidRPr="00F1542A" w:rsidRDefault="009260DE" w:rsidP="009260DE">
      <w:pPr>
        <w:tabs>
          <w:tab w:val="left" w:pos="851"/>
        </w:tabs>
        <w:ind w:left="851" w:hanging="851"/>
        <w:rPr>
          <w:b/>
          <w:sz w:val="24"/>
          <w:szCs w:val="24"/>
        </w:rPr>
      </w:pPr>
      <w:r w:rsidRPr="00F1542A">
        <w:rPr>
          <w:b/>
          <w:sz w:val="24"/>
          <w:szCs w:val="24"/>
        </w:rPr>
        <w:t>6.1</w:t>
      </w:r>
      <w:r w:rsidRPr="00F1542A">
        <w:rPr>
          <w:b/>
          <w:sz w:val="24"/>
          <w:szCs w:val="24"/>
        </w:rPr>
        <w:tab/>
        <w:t>Hjælpestoffer</w:t>
      </w:r>
    </w:p>
    <w:p w14:paraId="3B1FB852" w14:textId="77777777" w:rsidR="001F3313" w:rsidRPr="00F1542A" w:rsidRDefault="001F3313" w:rsidP="00457AF2">
      <w:pPr>
        <w:ind w:left="851"/>
        <w:rPr>
          <w:snapToGrid w:val="0"/>
          <w:sz w:val="24"/>
          <w:szCs w:val="24"/>
          <w:lang w:eastAsia="de-DE"/>
        </w:rPr>
      </w:pPr>
      <w:r w:rsidRPr="00F1542A">
        <w:rPr>
          <w:snapToGrid w:val="0"/>
          <w:sz w:val="24"/>
          <w:szCs w:val="24"/>
        </w:rPr>
        <w:t>Ingen.</w:t>
      </w:r>
    </w:p>
    <w:p w14:paraId="47C06CB4" w14:textId="77777777" w:rsidR="009260DE" w:rsidRPr="00F1542A" w:rsidRDefault="009260DE" w:rsidP="009260DE">
      <w:pPr>
        <w:tabs>
          <w:tab w:val="left" w:pos="851"/>
        </w:tabs>
        <w:ind w:left="851"/>
        <w:rPr>
          <w:sz w:val="24"/>
          <w:szCs w:val="24"/>
        </w:rPr>
      </w:pPr>
    </w:p>
    <w:p w14:paraId="3C170D6F" w14:textId="77777777" w:rsidR="009260DE" w:rsidRPr="00F1542A" w:rsidRDefault="009260DE" w:rsidP="009260DE">
      <w:pPr>
        <w:tabs>
          <w:tab w:val="left" w:pos="851"/>
        </w:tabs>
        <w:ind w:left="851" w:hanging="851"/>
        <w:rPr>
          <w:b/>
          <w:sz w:val="24"/>
          <w:szCs w:val="24"/>
        </w:rPr>
      </w:pPr>
      <w:r w:rsidRPr="00F1542A">
        <w:rPr>
          <w:b/>
          <w:sz w:val="24"/>
          <w:szCs w:val="24"/>
        </w:rPr>
        <w:t>6.2</w:t>
      </w:r>
      <w:r w:rsidRPr="00F1542A">
        <w:rPr>
          <w:b/>
          <w:sz w:val="24"/>
          <w:szCs w:val="24"/>
        </w:rPr>
        <w:tab/>
        <w:t>Uforligeligheder</w:t>
      </w:r>
    </w:p>
    <w:p w14:paraId="01D4CA14" w14:textId="77777777" w:rsidR="001F3313" w:rsidRPr="00F1542A" w:rsidRDefault="001F3313" w:rsidP="00457AF2">
      <w:pPr>
        <w:ind w:left="851"/>
        <w:rPr>
          <w:sz w:val="24"/>
          <w:szCs w:val="24"/>
        </w:rPr>
      </w:pPr>
      <w:r w:rsidRPr="00F1542A">
        <w:rPr>
          <w:sz w:val="24"/>
          <w:szCs w:val="24"/>
        </w:rPr>
        <w:t>Dette lægemiddel må ikke fortyndes med opløsninger, som indeholder salte (saltvandsopløsning, Ringers opløsning etc.), da dette kan medføre udskillelse af farvestoffet. Dette lægemiddel må ikke blandes med andre lægemidler, bortset fra de, der er nævnt i pkt. 6.6.</w:t>
      </w:r>
    </w:p>
    <w:p w14:paraId="379923D3" w14:textId="77777777" w:rsidR="009260DE" w:rsidRPr="00F1542A" w:rsidRDefault="009260DE" w:rsidP="009260DE">
      <w:pPr>
        <w:tabs>
          <w:tab w:val="left" w:pos="851"/>
        </w:tabs>
        <w:ind w:left="851"/>
        <w:rPr>
          <w:sz w:val="24"/>
          <w:szCs w:val="24"/>
        </w:rPr>
      </w:pPr>
    </w:p>
    <w:p w14:paraId="09001AE4" w14:textId="77777777" w:rsidR="009260DE" w:rsidRPr="00F1542A" w:rsidRDefault="009260DE" w:rsidP="009260DE">
      <w:pPr>
        <w:tabs>
          <w:tab w:val="left" w:pos="851"/>
        </w:tabs>
        <w:ind w:left="851" w:hanging="851"/>
        <w:rPr>
          <w:b/>
          <w:sz w:val="24"/>
          <w:szCs w:val="24"/>
        </w:rPr>
      </w:pPr>
      <w:r w:rsidRPr="00F1542A">
        <w:rPr>
          <w:b/>
          <w:sz w:val="24"/>
          <w:szCs w:val="24"/>
        </w:rPr>
        <w:t>6.3</w:t>
      </w:r>
      <w:r w:rsidRPr="00F1542A">
        <w:rPr>
          <w:b/>
          <w:sz w:val="24"/>
          <w:szCs w:val="24"/>
        </w:rPr>
        <w:tab/>
        <w:t>Opbevaringstid</w:t>
      </w:r>
    </w:p>
    <w:p w14:paraId="6F466EDE" w14:textId="1027B5A8" w:rsidR="001F3313" w:rsidRPr="00F1542A" w:rsidRDefault="001F3313" w:rsidP="00457AF2">
      <w:pPr>
        <w:ind w:left="851"/>
        <w:rPr>
          <w:snapToGrid w:val="0"/>
          <w:sz w:val="24"/>
          <w:szCs w:val="24"/>
          <w:lang w:eastAsia="de-DE"/>
        </w:rPr>
      </w:pPr>
      <w:r w:rsidRPr="00F1542A">
        <w:rPr>
          <w:snapToGrid w:val="0"/>
          <w:sz w:val="24"/>
          <w:szCs w:val="24"/>
        </w:rPr>
        <w:t>5 år.</w:t>
      </w:r>
    </w:p>
    <w:p w14:paraId="7C184051" w14:textId="77777777" w:rsidR="001F3313" w:rsidRPr="00F1542A" w:rsidRDefault="001F3313" w:rsidP="00457AF2">
      <w:pPr>
        <w:ind w:left="851"/>
        <w:rPr>
          <w:snapToGrid w:val="0"/>
          <w:sz w:val="24"/>
          <w:szCs w:val="24"/>
        </w:rPr>
      </w:pPr>
      <w:r w:rsidRPr="00F1542A">
        <w:rPr>
          <w:snapToGrid w:val="0"/>
          <w:sz w:val="24"/>
          <w:szCs w:val="24"/>
        </w:rPr>
        <w:t xml:space="preserve">Efter </w:t>
      </w:r>
      <w:proofErr w:type="spellStart"/>
      <w:r w:rsidRPr="00F1542A">
        <w:rPr>
          <w:snapToGrid w:val="0"/>
          <w:sz w:val="24"/>
          <w:szCs w:val="24"/>
        </w:rPr>
        <w:t>rekonstitution</w:t>
      </w:r>
      <w:proofErr w:type="spellEnd"/>
      <w:r w:rsidRPr="00F1542A">
        <w:rPr>
          <w:snapToGrid w:val="0"/>
          <w:sz w:val="24"/>
          <w:szCs w:val="24"/>
        </w:rPr>
        <w:t xml:space="preserve"> skal opløsningen anvendes omgående, beskyttet mod lys.</w:t>
      </w:r>
    </w:p>
    <w:p w14:paraId="79681CDE" w14:textId="77777777" w:rsidR="009260DE" w:rsidRPr="00F1542A" w:rsidRDefault="009260DE" w:rsidP="009260DE">
      <w:pPr>
        <w:tabs>
          <w:tab w:val="left" w:pos="851"/>
        </w:tabs>
        <w:ind w:left="851"/>
        <w:rPr>
          <w:sz w:val="24"/>
          <w:szCs w:val="24"/>
        </w:rPr>
      </w:pPr>
    </w:p>
    <w:p w14:paraId="2A28714D" w14:textId="77777777" w:rsidR="009260DE" w:rsidRPr="00F1542A" w:rsidRDefault="009260DE" w:rsidP="009260DE">
      <w:pPr>
        <w:tabs>
          <w:tab w:val="left" w:pos="851"/>
        </w:tabs>
        <w:ind w:left="851" w:hanging="851"/>
        <w:rPr>
          <w:b/>
          <w:sz w:val="24"/>
          <w:szCs w:val="24"/>
        </w:rPr>
      </w:pPr>
      <w:r w:rsidRPr="00F1542A">
        <w:rPr>
          <w:b/>
          <w:sz w:val="24"/>
          <w:szCs w:val="24"/>
        </w:rPr>
        <w:t>6.4</w:t>
      </w:r>
      <w:r w:rsidRPr="00F1542A">
        <w:rPr>
          <w:b/>
          <w:sz w:val="24"/>
          <w:szCs w:val="24"/>
        </w:rPr>
        <w:tab/>
        <w:t>Særlige opbevaringsforhold</w:t>
      </w:r>
    </w:p>
    <w:p w14:paraId="1E4A1F7F" w14:textId="77777777" w:rsidR="001F3313" w:rsidRPr="00F1542A" w:rsidRDefault="001F3313" w:rsidP="00457AF2">
      <w:pPr>
        <w:ind w:left="851"/>
        <w:rPr>
          <w:sz w:val="24"/>
          <w:szCs w:val="24"/>
          <w:lang w:eastAsia="de-DE"/>
        </w:rPr>
      </w:pPr>
      <w:r w:rsidRPr="00F1542A">
        <w:rPr>
          <w:sz w:val="24"/>
          <w:szCs w:val="24"/>
        </w:rPr>
        <w:t xml:space="preserve">Må ikke opbevares ved temperaturer over 30 </w:t>
      </w:r>
      <w:r w:rsidRPr="00F1542A">
        <w:rPr>
          <w:sz w:val="24"/>
          <w:szCs w:val="24"/>
        </w:rPr>
        <w:sym w:font="Symbol" w:char="F0B0"/>
      </w:r>
      <w:r w:rsidRPr="00F1542A">
        <w:rPr>
          <w:sz w:val="24"/>
          <w:szCs w:val="24"/>
        </w:rPr>
        <w:t>C.</w:t>
      </w:r>
    </w:p>
    <w:p w14:paraId="1CA7153E" w14:textId="77777777" w:rsidR="001F3313" w:rsidRPr="00F1542A" w:rsidRDefault="001F3313" w:rsidP="00457AF2">
      <w:pPr>
        <w:ind w:left="851"/>
        <w:rPr>
          <w:sz w:val="24"/>
          <w:szCs w:val="24"/>
        </w:rPr>
      </w:pPr>
      <w:r w:rsidRPr="00F1542A">
        <w:rPr>
          <w:sz w:val="24"/>
          <w:szCs w:val="24"/>
        </w:rPr>
        <w:t>Opbevar hætteglassene i den ydre karton for at beskytte mod lys.</w:t>
      </w:r>
    </w:p>
    <w:p w14:paraId="50E6B7A6" w14:textId="77777777" w:rsidR="001F3313" w:rsidRPr="00F1542A" w:rsidRDefault="001F3313" w:rsidP="00457AF2">
      <w:pPr>
        <w:ind w:left="851"/>
        <w:rPr>
          <w:sz w:val="24"/>
          <w:szCs w:val="24"/>
        </w:rPr>
      </w:pPr>
      <w:r w:rsidRPr="00F1542A">
        <w:rPr>
          <w:sz w:val="24"/>
          <w:szCs w:val="24"/>
        </w:rPr>
        <w:t xml:space="preserve">Opbevaringsforhold efter </w:t>
      </w:r>
      <w:proofErr w:type="spellStart"/>
      <w:r w:rsidRPr="00F1542A">
        <w:rPr>
          <w:sz w:val="24"/>
          <w:szCs w:val="24"/>
        </w:rPr>
        <w:t>rekonstitution</w:t>
      </w:r>
      <w:proofErr w:type="spellEnd"/>
      <w:r w:rsidRPr="00F1542A">
        <w:rPr>
          <w:sz w:val="24"/>
          <w:szCs w:val="24"/>
        </w:rPr>
        <w:t xml:space="preserve"> af lægemidlet, se pkt. 6.3.</w:t>
      </w:r>
    </w:p>
    <w:p w14:paraId="55357540" w14:textId="77777777" w:rsidR="009260DE" w:rsidRPr="00F1542A" w:rsidRDefault="009260DE" w:rsidP="009260DE">
      <w:pPr>
        <w:tabs>
          <w:tab w:val="left" w:pos="851"/>
        </w:tabs>
        <w:ind w:left="851"/>
        <w:rPr>
          <w:sz w:val="24"/>
          <w:szCs w:val="24"/>
        </w:rPr>
      </w:pPr>
    </w:p>
    <w:p w14:paraId="7EE00AF6" w14:textId="77777777" w:rsidR="009260DE" w:rsidRPr="00F1542A" w:rsidRDefault="009260DE" w:rsidP="009260DE">
      <w:pPr>
        <w:tabs>
          <w:tab w:val="left" w:pos="851"/>
        </w:tabs>
        <w:ind w:left="851" w:hanging="851"/>
        <w:rPr>
          <w:b/>
          <w:sz w:val="24"/>
          <w:szCs w:val="24"/>
        </w:rPr>
      </w:pPr>
      <w:r w:rsidRPr="00F1542A">
        <w:rPr>
          <w:b/>
          <w:sz w:val="24"/>
          <w:szCs w:val="24"/>
        </w:rPr>
        <w:t>6.5</w:t>
      </w:r>
      <w:r w:rsidRPr="00F1542A">
        <w:rPr>
          <w:b/>
          <w:sz w:val="24"/>
          <w:szCs w:val="24"/>
        </w:rPr>
        <w:tab/>
        <w:t>Emballagetyper og pakningsstørrelser</w:t>
      </w:r>
    </w:p>
    <w:p w14:paraId="433A3AF0" w14:textId="77777777" w:rsidR="00493D0F" w:rsidRPr="00F1542A" w:rsidRDefault="00493D0F" w:rsidP="00695282">
      <w:pPr>
        <w:ind w:left="851"/>
        <w:rPr>
          <w:sz w:val="24"/>
          <w:szCs w:val="24"/>
        </w:rPr>
      </w:pPr>
      <w:r w:rsidRPr="00F1542A">
        <w:rPr>
          <w:sz w:val="24"/>
          <w:szCs w:val="24"/>
        </w:rPr>
        <w:t>Emballage:</w:t>
      </w:r>
      <w:r w:rsidRPr="00F1542A">
        <w:rPr>
          <w:sz w:val="24"/>
          <w:szCs w:val="24"/>
        </w:rPr>
        <w:tab/>
        <w:t>ravfarvet hætteglas (type I)</w:t>
      </w:r>
    </w:p>
    <w:p w14:paraId="2BF3F3BD" w14:textId="501C809E" w:rsidR="00493D0F" w:rsidRPr="00F1542A" w:rsidRDefault="00493D0F" w:rsidP="00695282">
      <w:pPr>
        <w:ind w:left="851"/>
        <w:rPr>
          <w:sz w:val="24"/>
          <w:szCs w:val="24"/>
        </w:rPr>
      </w:pPr>
      <w:r w:rsidRPr="00F1542A">
        <w:rPr>
          <w:sz w:val="24"/>
          <w:szCs w:val="24"/>
        </w:rPr>
        <w:t>Forsegling:</w:t>
      </w:r>
      <w:r w:rsidRPr="00F1542A">
        <w:rPr>
          <w:sz w:val="24"/>
          <w:szCs w:val="24"/>
        </w:rPr>
        <w:tab/>
        <w:t>gummilåg (</w:t>
      </w:r>
      <w:proofErr w:type="spellStart"/>
      <w:r w:rsidRPr="00F1542A">
        <w:rPr>
          <w:sz w:val="24"/>
          <w:szCs w:val="24"/>
        </w:rPr>
        <w:t>bromobutyl</w:t>
      </w:r>
      <w:proofErr w:type="spellEnd"/>
      <w:r w:rsidRPr="00F1542A">
        <w:rPr>
          <w:sz w:val="24"/>
          <w:szCs w:val="24"/>
        </w:rPr>
        <w:t xml:space="preserve">, gråt) fikseret med en aluminiumhætte dækket </w:t>
      </w:r>
      <w:r w:rsidR="00695282" w:rsidRPr="00F1542A">
        <w:rPr>
          <w:sz w:val="24"/>
          <w:szCs w:val="24"/>
        </w:rPr>
        <w:tab/>
      </w:r>
      <w:r w:rsidR="00695282" w:rsidRPr="00F1542A">
        <w:rPr>
          <w:sz w:val="24"/>
          <w:szCs w:val="24"/>
        </w:rPr>
        <w:tab/>
      </w:r>
      <w:r w:rsidRPr="00F1542A">
        <w:rPr>
          <w:sz w:val="24"/>
          <w:szCs w:val="24"/>
        </w:rPr>
        <w:t>med en blå polypropylenhætte</w:t>
      </w:r>
    </w:p>
    <w:p w14:paraId="55455552" w14:textId="77777777" w:rsidR="00695282" w:rsidRPr="00F1542A" w:rsidRDefault="00695282" w:rsidP="00695282">
      <w:pPr>
        <w:ind w:left="851"/>
        <w:rPr>
          <w:sz w:val="24"/>
          <w:szCs w:val="24"/>
        </w:rPr>
      </w:pPr>
    </w:p>
    <w:p w14:paraId="48DA5860" w14:textId="0281813A" w:rsidR="00493D0F" w:rsidRPr="00F1542A" w:rsidRDefault="00493D0F" w:rsidP="00695282">
      <w:pPr>
        <w:ind w:left="851"/>
        <w:rPr>
          <w:sz w:val="24"/>
          <w:szCs w:val="24"/>
        </w:rPr>
      </w:pPr>
      <w:r w:rsidRPr="00F1542A">
        <w:rPr>
          <w:sz w:val="24"/>
          <w:szCs w:val="24"/>
        </w:rPr>
        <w:t>Pak</w:t>
      </w:r>
      <w:r w:rsidR="00695282" w:rsidRPr="00F1542A">
        <w:rPr>
          <w:sz w:val="24"/>
          <w:szCs w:val="24"/>
        </w:rPr>
        <w:t>ningsst</w:t>
      </w:r>
      <w:r w:rsidRPr="00F1542A">
        <w:rPr>
          <w:sz w:val="24"/>
          <w:szCs w:val="24"/>
        </w:rPr>
        <w:t>ørrelser:</w:t>
      </w:r>
    </w:p>
    <w:p w14:paraId="7B7D35FC" w14:textId="77777777" w:rsidR="00493D0F" w:rsidRPr="00F1542A" w:rsidRDefault="00493D0F" w:rsidP="00695282">
      <w:pPr>
        <w:ind w:left="851"/>
        <w:rPr>
          <w:sz w:val="24"/>
          <w:szCs w:val="24"/>
        </w:rPr>
      </w:pPr>
      <w:r w:rsidRPr="00F1542A">
        <w:rPr>
          <w:sz w:val="24"/>
          <w:szCs w:val="24"/>
        </w:rPr>
        <w:t>5 hætteglas, der hvert indeholder 25 mg pulver til injektionsvæske, opløsning</w:t>
      </w:r>
    </w:p>
    <w:p w14:paraId="0D8CFFF5" w14:textId="77777777" w:rsidR="00493D0F" w:rsidRPr="00F1542A" w:rsidRDefault="00493D0F" w:rsidP="00695282">
      <w:pPr>
        <w:ind w:left="851"/>
        <w:rPr>
          <w:sz w:val="24"/>
          <w:szCs w:val="24"/>
        </w:rPr>
      </w:pPr>
      <w:r w:rsidRPr="00F1542A">
        <w:rPr>
          <w:sz w:val="24"/>
          <w:szCs w:val="24"/>
        </w:rPr>
        <w:t>5 hætteglas, der hvert indeholder 50 mg pulver til injektionsvæske, opløsning</w:t>
      </w:r>
    </w:p>
    <w:p w14:paraId="754413C5" w14:textId="77777777" w:rsidR="00493D0F" w:rsidRPr="00F1542A" w:rsidRDefault="00493D0F" w:rsidP="00695282">
      <w:pPr>
        <w:ind w:left="851"/>
        <w:rPr>
          <w:sz w:val="24"/>
          <w:szCs w:val="24"/>
        </w:rPr>
      </w:pPr>
    </w:p>
    <w:p w14:paraId="4FB76E7E" w14:textId="77777777" w:rsidR="00493D0F" w:rsidRPr="00F1542A" w:rsidRDefault="00493D0F" w:rsidP="00695282">
      <w:pPr>
        <w:ind w:left="851"/>
        <w:rPr>
          <w:sz w:val="24"/>
          <w:szCs w:val="24"/>
        </w:rPr>
      </w:pPr>
      <w:r w:rsidRPr="00F1542A">
        <w:rPr>
          <w:sz w:val="24"/>
          <w:szCs w:val="24"/>
        </w:rPr>
        <w:t>Ikke alle pakningsstørrelser er nødvendigvis markedsført.</w:t>
      </w:r>
    </w:p>
    <w:p w14:paraId="5EDEEFC8" w14:textId="77777777" w:rsidR="009260DE" w:rsidRPr="00F1542A" w:rsidRDefault="009260DE" w:rsidP="009260DE">
      <w:pPr>
        <w:tabs>
          <w:tab w:val="left" w:pos="851"/>
        </w:tabs>
        <w:ind w:left="851"/>
        <w:rPr>
          <w:sz w:val="24"/>
          <w:szCs w:val="24"/>
        </w:rPr>
      </w:pPr>
    </w:p>
    <w:p w14:paraId="29A1B130" w14:textId="77777777" w:rsidR="009260DE" w:rsidRPr="00F1542A" w:rsidRDefault="009260DE" w:rsidP="009260DE">
      <w:pPr>
        <w:tabs>
          <w:tab w:val="left" w:pos="851"/>
        </w:tabs>
        <w:ind w:left="851" w:hanging="851"/>
        <w:rPr>
          <w:b/>
          <w:sz w:val="24"/>
          <w:szCs w:val="24"/>
        </w:rPr>
      </w:pPr>
      <w:r w:rsidRPr="00F1542A">
        <w:rPr>
          <w:b/>
          <w:sz w:val="24"/>
          <w:szCs w:val="24"/>
        </w:rPr>
        <w:t>6.6</w:t>
      </w:r>
      <w:r w:rsidRPr="00F1542A">
        <w:rPr>
          <w:b/>
          <w:sz w:val="24"/>
          <w:szCs w:val="24"/>
        </w:rPr>
        <w:tab/>
        <w:t>Regler for destruktion og anden håndtering</w:t>
      </w:r>
    </w:p>
    <w:p w14:paraId="54F6293F" w14:textId="77777777" w:rsidR="00F1542A" w:rsidRDefault="00493D0F" w:rsidP="00110A96">
      <w:pPr>
        <w:ind w:left="851"/>
        <w:rPr>
          <w:sz w:val="24"/>
          <w:szCs w:val="24"/>
        </w:rPr>
      </w:pPr>
      <w:r w:rsidRPr="00F1542A">
        <w:rPr>
          <w:sz w:val="24"/>
          <w:szCs w:val="24"/>
        </w:rPr>
        <w:t xml:space="preserve">Dette lægemiddel skal anvendes straks efter </w:t>
      </w:r>
      <w:proofErr w:type="spellStart"/>
      <w:r w:rsidRPr="00F1542A">
        <w:rPr>
          <w:sz w:val="24"/>
          <w:szCs w:val="24"/>
        </w:rPr>
        <w:t>rekonstituering</w:t>
      </w:r>
      <w:proofErr w:type="spellEnd"/>
      <w:r w:rsidR="00F1542A">
        <w:rPr>
          <w:sz w:val="24"/>
          <w:szCs w:val="24"/>
        </w:rPr>
        <w:t>.</w:t>
      </w:r>
    </w:p>
    <w:p w14:paraId="232F7857" w14:textId="02994622" w:rsidR="00493D0F" w:rsidRPr="00F1542A" w:rsidRDefault="00493D0F" w:rsidP="00110A96">
      <w:pPr>
        <w:ind w:left="851"/>
        <w:rPr>
          <w:sz w:val="24"/>
          <w:szCs w:val="24"/>
        </w:rPr>
      </w:pPr>
      <w:r w:rsidRPr="00F1542A">
        <w:rPr>
          <w:sz w:val="24"/>
          <w:szCs w:val="24"/>
        </w:rPr>
        <w:t xml:space="preserve">Dette lægemiddel </w:t>
      </w:r>
      <w:proofErr w:type="spellStart"/>
      <w:r w:rsidRPr="00F1542A">
        <w:rPr>
          <w:sz w:val="24"/>
          <w:szCs w:val="24"/>
        </w:rPr>
        <w:t>rekonstitueres</w:t>
      </w:r>
      <w:proofErr w:type="spellEnd"/>
      <w:r w:rsidRPr="00F1542A">
        <w:rPr>
          <w:sz w:val="24"/>
          <w:szCs w:val="24"/>
        </w:rPr>
        <w:t xml:space="preserve"> ved at tilsætte 5 ml vand til injektionsvæsker til hætteglasset, som indeholder 25 mg aktivt stof, eller 10 ml vand til injektionsvæsker til hætteglasset, som indeholder 50 mg aktivt stof, hvorved der i begge tilfælde fremkommer en mørkegrøn injektionsvæske, opløsning, med en koncentration på 5 mg/ml (0,5 % w/v).</w:t>
      </w:r>
    </w:p>
    <w:p w14:paraId="6F2864CB" w14:textId="77777777" w:rsidR="00493D0F" w:rsidRPr="00F1542A" w:rsidRDefault="00493D0F" w:rsidP="00110A96">
      <w:pPr>
        <w:ind w:left="851"/>
        <w:rPr>
          <w:sz w:val="24"/>
          <w:szCs w:val="24"/>
        </w:rPr>
      </w:pPr>
    </w:p>
    <w:p w14:paraId="78E43DDC" w14:textId="77777777" w:rsidR="00F1542A" w:rsidRDefault="00493D0F" w:rsidP="00110A96">
      <w:pPr>
        <w:ind w:left="851"/>
        <w:rPr>
          <w:sz w:val="24"/>
          <w:szCs w:val="24"/>
        </w:rPr>
      </w:pPr>
      <w:r w:rsidRPr="00F1542A">
        <w:rPr>
          <w:sz w:val="24"/>
          <w:szCs w:val="24"/>
        </w:rPr>
        <w:t xml:space="preserve">Inspicer den </w:t>
      </w:r>
      <w:proofErr w:type="spellStart"/>
      <w:r w:rsidRPr="00F1542A">
        <w:rPr>
          <w:sz w:val="24"/>
          <w:szCs w:val="24"/>
        </w:rPr>
        <w:t>rekonstituerede</w:t>
      </w:r>
      <w:proofErr w:type="spellEnd"/>
      <w:r w:rsidRPr="00F1542A">
        <w:rPr>
          <w:sz w:val="24"/>
          <w:szCs w:val="24"/>
        </w:rPr>
        <w:t xml:space="preserve"> opløsning visuelt. Hvis der konstateres en uforligelighed i form af grumset opløsning, skal den </w:t>
      </w:r>
      <w:proofErr w:type="spellStart"/>
      <w:r w:rsidRPr="00F1542A">
        <w:rPr>
          <w:sz w:val="24"/>
          <w:szCs w:val="24"/>
        </w:rPr>
        <w:t>rekonstituerede</w:t>
      </w:r>
      <w:proofErr w:type="spellEnd"/>
      <w:r w:rsidRPr="00F1542A">
        <w:rPr>
          <w:sz w:val="24"/>
          <w:szCs w:val="24"/>
        </w:rPr>
        <w:t xml:space="preserve"> opløsning kasseres. </w:t>
      </w:r>
    </w:p>
    <w:p w14:paraId="212CD5F9" w14:textId="025B053A" w:rsidR="00493D0F" w:rsidRPr="00F1542A" w:rsidRDefault="00493D0F" w:rsidP="00110A96">
      <w:pPr>
        <w:ind w:left="851"/>
        <w:rPr>
          <w:sz w:val="24"/>
          <w:szCs w:val="24"/>
        </w:rPr>
      </w:pPr>
      <w:r w:rsidRPr="00F1542A">
        <w:rPr>
          <w:sz w:val="24"/>
          <w:szCs w:val="24"/>
        </w:rPr>
        <w:t>Anvend kun klare opløsninger, som er fri for synlige partikler.</w:t>
      </w:r>
    </w:p>
    <w:p w14:paraId="50197DF5" w14:textId="77777777" w:rsidR="00493D0F" w:rsidRPr="00F1542A" w:rsidRDefault="00493D0F" w:rsidP="00110A96">
      <w:pPr>
        <w:ind w:left="851"/>
        <w:rPr>
          <w:sz w:val="24"/>
          <w:szCs w:val="24"/>
        </w:rPr>
      </w:pPr>
    </w:p>
    <w:p w14:paraId="7D020B4C" w14:textId="77777777" w:rsidR="00493D0F" w:rsidRPr="00F1542A" w:rsidRDefault="00493D0F" w:rsidP="00110A96">
      <w:pPr>
        <w:ind w:left="851"/>
        <w:rPr>
          <w:sz w:val="24"/>
          <w:szCs w:val="24"/>
        </w:rPr>
      </w:pPr>
      <w:r w:rsidRPr="00F1542A">
        <w:rPr>
          <w:sz w:val="24"/>
          <w:szCs w:val="24"/>
        </w:rPr>
        <w:t>Dette lægemiddel er kun til engangsbrug.</w:t>
      </w:r>
    </w:p>
    <w:p w14:paraId="52786702" w14:textId="77777777" w:rsidR="00493D0F" w:rsidRPr="00F1542A" w:rsidRDefault="00493D0F" w:rsidP="00110A96">
      <w:pPr>
        <w:ind w:left="851"/>
        <w:rPr>
          <w:sz w:val="24"/>
          <w:szCs w:val="24"/>
        </w:rPr>
      </w:pPr>
    </w:p>
    <w:p w14:paraId="70149010" w14:textId="77777777" w:rsidR="00493D0F" w:rsidRPr="00F1542A" w:rsidRDefault="00493D0F" w:rsidP="00110A96">
      <w:pPr>
        <w:ind w:left="851"/>
        <w:rPr>
          <w:sz w:val="24"/>
          <w:szCs w:val="24"/>
        </w:rPr>
      </w:pPr>
      <w:r w:rsidRPr="00F1542A">
        <w:rPr>
          <w:sz w:val="24"/>
          <w:szCs w:val="24"/>
        </w:rPr>
        <w:t>Ikke anvendt lægemiddel samt affald heraf skal bortskaffes i henhold til lokale retningslinjer.</w:t>
      </w:r>
    </w:p>
    <w:p w14:paraId="0497C789" w14:textId="77777777" w:rsidR="009260DE" w:rsidRPr="00F1542A" w:rsidRDefault="009260DE" w:rsidP="000730CA">
      <w:pPr>
        <w:tabs>
          <w:tab w:val="left" w:pos="851"/>
        </w:tabs>
        <w:ind w:left="851"/>
        <w:rPr>
          <w:sz w:val="24"/>
          <w:szCs w:val="24"/>
        </w:rPr>
      </w:pPr>
    </w:p>
    <w:p w14:paraId="4DCE8EB6" w14:textId="77777777" w:rsidR="009260DE" w:rsidRPr="00F1542A" w:rsidRDefault="009260DE" w:rsidP="009260DE">
      <w:pPr>
        <w:tabs>
          <w:tab w:val="left" w:pos="851"/>
        </w:tabs>
        <w:ind w:left="851" w:hanging="851"/>
        <w:rPr>
          <w:b/>
          <w:sz w:val="24"/>
          <w:szCs w:val="24"/>
        </w:rPr>
      </w:pPr>
      <w:r w:rsidRPr="00F1542A">
        <w:rPr>
          <w:b/>
          <w:sz w:val="24"/>
          <w:szCs w:val="24"/>
        </w:rPr>
        <w:t>7.</w:t>
      </w:r>
      <w:r w:rsidRPr="00F1542A">
        <w:rPr>
          <w:b/>
          <w:sz w:val="24"/>
          <w:szCs w:val="24"/>
        </w:rPr>
        <w:tab/>
        <w:t>INDEHAVER AF MARKEDSFØRINGSTILLADELSEN</w:t>
      </w:r>
    </w:p>
    <w:p w14:paraId="678836E7" w14:textId="77777777" w:rsidR="00DA6734" w:rsidRPr="00DA6734" w:rsidRDefault="00DA6734" w:rsidP="00DA6734">
      <w:pPr>
        <w:ind w:left="851"/>
        <w:rPr>
          <w:sz w:val="24"/>
          <w:szCs w:val="24"/>
          <w:lang w:val="en-US"/>
        </w:rPr>
      </w:pPr>
      <w:r w:rsidRPr="00DA6734">
        <w:rPr>
          <w:sz w:val="24"/>
          <w:szCs w:val="24"/>
          <w:lang w:val="en-US"/>
        </w:rPr>
        <w:t>Diagnostic Green Ltd.</w:t>
      </w:r>
    </w:p>
    <w:p w14:paraId="6FAF35E6" w14:textId="0FAEDF3E" w:rsidR="00DA6734" w:rsidRPr="00DA6734" w:rsidRDefault="00DA6734" w:rsidP="00DA6734">
      <w:pPr>
        <w:ind w:left="851"/>
        <w:rPr>
          <w:sz w:val="24"/>
          <w:szCs w:val="24"/>
          <w:lang w:val="en-US"/>
        </w:rPr>
      </w:pPr>
      <w:r w:rsidRPr="00DA6734">
        <w:rPr>
          <w:sz w:val="24"/>
          <w:szCs w:val="24"/>
          <w:lang w:val="en-US"/>
        </w:rPr>
        <w:t>Athlone Business &amp; Technology Park</w:t>
      </w:r>
    </w:p>
    <w:p w14:paraId="2FB3ADAB" w14:textId="77777777" w:rsidR="00DA6734" w:rsidRPr="00DA6734" w:rsidRDefault="00DA6734" w:rsidP="00DA6734">
      <w:pPr>
        <w:ind w:left="851"/>
        <w:rPr>
          <w:sz w:val="24"/>
          <w:szCs w:val="24"/>
          <w:lang w:val="en-US"/>
        </w:rPr>
      </w:pPr>
      <w:proofErr w:type="spellStart"/>
      <w:r w:rsidRPr="00DA6734">
        <w:rPr>
          <w:sz w:val="24"/>
          <w:szCs w:val="24"/>
          <w:lang w:val="en-US"/>
        </w:rPr>
        <w:t>Garrycastle</w:t>
      </w:r>
      <w:proofErr w:type="spellEnd"/>
      <w:r w:rsidRPr="00DA6734">
        <w:rPr>
          <w:sz w:val="24"/>
          <w:szCs w:val="24"/>
          <w:lang w:val="en-US"/>
        </w:rPr>
        <w:t>,</w:t>
      </w:r>
    </w:p>
    <w:p w14:paraId="1B1A4F5E" w14:textId="77777777" w:rsidR="00DA6734" w:rsidRPr="00DA6734" w:rsidRDefault="00DA6734" w:rsidP="00DA6734">
      <w:pPr>
        <w:ind w:left="851"/>
        <w:rPr>
          <w:sz w:val="24"/>
          <w:szCs w:val="24"/>
          <w:lang w:val="en-US"/>
        </w:rPr>
      </w:pPr>
      <w:r w:rsidRPr="00DA6734">
        <w:rPr>
          <w:sz w:val="24"/>
          <w:szCs w:val="24"/>
          <w:lang w:val="en-US"/>
        </w:rPr>
        <w:t xml:space="preserve">Athlone, </w:t>
      </w:r>
    </w:p>
    <w:p w14:paraId="5B637F3F" w14:textId="60F1DDDA" w:rsidR="00DA6734" w:rsidRPr="00DA6734" w:rsidRDefault="00DA6734" w:rsidP="00DA6734">
      <w:pPr>
        <w:ind w:left="851"/>
        <w:rPr>
          <w:sz w:val="24"/>
          <w:szCs w:val="24"/>
          <w:lang w:val="en-US"/>
        </w:rPr>
      </w:pPr>
      <w:r w:rsidRPr="00DA6734">
        <w:rPr>
          <w:sz w:val="24"/>
          <w:szCs w:val="24"/>
          <w:lang w:val="en-US"/>
        </w:rPr>
        <w:t>N37 F78</w:t>
      </w:r>
      <w:r>
        <w:rPr>
          <w:sz w:val="24"/>
          <w:szCs w:val="24"/>
          <w:lang w:val="en-US"/>
        </w:rPr>
        <w:t xml:space="preserve"> </w:t>
      </w:r>
      <w:r w:rsidRPr="00DA6734">
        <w:rPr>
          <w:sz w:val="24"/>
          <w:szCs w:val="24"/>
          <w:lang w:val="en-US"/>
        </w:rPr>
        <w:t>Co. Westmeath</w:t>
      </w:r>
    </w:p>
    <w:p w14:paraId="4B213FDA" w14:textId="38F400AC" w:rsidR="00493D0F" w:rsidRPr="00A26B21" w:rsidRDefault="00DA6734" w:rsidP="00DA6734">
      <w:pPr>
        <w:ind w:left="851"/>
        <w:rPr>
          <w:sz w:val="24"/>
          <w:szCs w:val="24"/>
          <w:lang w:val="en-US"/>
        </w:rPr>
      </w:pPr>
      <w:r w:rsidRPr="00DA6734">
        <w:rPr>
          <w:sz w:val="24"/>
          <w:szCs w:val="24"/>
        </w:rPr>
        <w:t>Irland</w:t>
      </w:r>
    </w:p>
    <w:p w14:paraId="772E34FB" w14:textId="77777777" w:rsidR="009260DE" w:rsidRPr="00A26B21" w:rsidRDefault="009260DE" w:rsidP="009260DE">
      <w:pPr>
        <w:tabs>
          <w:tab w:val="left" w:pos="851"/>
        </w:tabs>
        <w:ind w:left="851"/>
        <w:rPr>
          <w:sz w:val="24"/>
          <w:szCs w:val="24"/>
          <w:lang w:val="en-US"/>
        </w:rPr>
      </w:pPr>
    </w:p>
    <w:p w14:paraId="42B379BE" w14:textId="77777777" w:rsidR="009260DE" w:rsidRPr="00F1542A" w:rsidRDefault="009260DE" w:rsidP="009260DE">
      <w:pPr>
        <w:tabs>
          <w:tab w:val="left" w:pos="851"/>
        </w:tabs>
        <w:ind w:left="851" w:hanging="851"/>
        <w:rPr>
          <w:b/>
          <w:sz w:val="24"/>
          <w:szCs w:val="24"/>
        </w:rPr>
      </w:pPr>
      <w:r w:rsidRPr="00F1542A">
        <w:rPr>
          <w:b/>
          <w:sz w:val="24"/>
          <w:szCs w:val="24"/>
        </w:rPr>
        <w:t>8.</w:t>
      </w:r>
      <w:r w:rsidRPr="00F1542A">
        <w:rPr>
          <w:b/>
          <w:sz w:val="24"/>
          <w:szCs w:val="24"/>
        </w:rPr>
        <w:tab/>
        <w:t>MARKEDSFØRINGSTILLADELSESNUMMER (NUMRE)</w:t>
      </w:r>
    </w:p>
    <w:p w14:paraId="7A5251E6" w14:textId="1D9E9AE3" w:rsidR="009260DE" w:rsidRPr="00F1542A" w:rsidRDefault="00493D0F" w:rsidP="009260DE">
      <w:pPr>
        <w:tabs>
          <w:tab w:val="left" w:pos="851"/>
        </w:tabs>
        <w:ind w:left="851"/>
        <w:rPr>
          <w:sz w:val="24"/>
          <w:szCs w:val="24"/>
        </w:rPr>
      </w:pPr>
      <w:r w:rsidRPr="00F1542A">
        <w:rPr>
          <w:sz w:val="24"/>
          <w:szCs w:val="24"/>
        </w:rPr>
        <w:t>67254</w:t>
      </w:r>
    </w:p>
    <w:p w14:paraId="431CE9A1" w14:textId="77777777" w:rsidR="009260DE" w:rsidRPr="00F1542A" w:rsidRDefault="009260DE" w:rsidP="009260DE">
      <w:pPr>
        <w:tabs>
          <w:tab w:val="left" w:pos="851"/>
        </w:tabs>
        <w:ind w:left="851"/>
        <w:jc w:val="both"/>
        <w:rPr>
          <w:sz w:val="24"/>
          <w:szCs w:val="24"/>
        </w:rPr>
      </w:pPr>
    </w:p>
    <w:p w14:paraId="473B8FBE" w14:textId="77777777" w:rsidR="009260DE" w:rsidRPr="00F1542A" w:rsidRDefault="009260DE" w:rsidP="009260DE">
      <w:pPr>
        <w:tabs>
          <w:tab w:val="left" w:pos="851"/>
        </w:tabs>
        <w:ind w:left="851" w:hanging="851"/>
        <w:rPr>
          <w:b/>
          <w:sz w:val="24"/>
          <w:szCs w:val="24"/>
        </w:rPr>
      </w:pPr>
      <w:r w:rsidRPr="00F1542A">
        <w:rPr>
          <w:b/>
          <w:sz w:val="24"/>
          <w:szCs w:val="24"/>
        </w:rPr>
        <w:t>9.</w:t>
      </w:r>
      <w:r w:rsidRPr="00F1542A">
        <w:rPr>
          <w:b/>
          <w:sz w:val="24"/>
          <w:szCs w:val="24"/>
        </w:rPr>
        <w:tab/>
        <w:t>DATO FOR FØRSTE MARKEDSFØRINGSTILLADELSE</w:t>
      </w:r>
    </w:p>
    <w:p w14:paraId="53064616" w14:textId="31C3678C" w:rsidR="009260DE" w:rsidRPr="00F1542A" w:rsidRDefault="00A26B21" w:rsidP="009260DE">
      <w:pPr>
        <w:tabs>
          <w:tab w:val="left" w:pos="851"/>
        </w:tabs>
        <w:ind w:left="851"/>
        <w:rPr>
          <w:sz w:val="24"/>
          <w:szCs w:val="24"/>
        </w:rPr>
      </w:pPr>
      <w:r>
        <w:rPr>
          <w:sz w:val="24"/>
          <w:szCs w:val="24"/>
        </w:rPr>
        <w:t>11. november 2022</w:t>
      </w:r>
    </w:p>
    <w:p w14:paraId="32BBA092" w14:textId="77777777" w:rsidR="009260DE" w:rsidRPr="00F1542A" w:rsidRDefault="009260DE" w:rsidP="009260DE">
      <w:pPr>
        <w:tabs>
          <w:tab w:val="left" w:pos="851"/>
        </w:tabs>
        <w:ind w:left="851"/>
        <w:rPr>
          <w:sz w:val="24"/>
          <w:szCs w:val="24"/>
        </w:rPr>
      </w:pPr>
    </w:p>
    <w:p w14:paraId="630BCE10" w14:textId="77777777" w:rsidR="009260DE" w:rsidRPr="00F1542A" w:rsidRDefault="009260DE" w:rsidP="009260DE">
      <w:pPr>
        <w:tabs>
          <w:tab w:val="left" w:pos="851"/>
        </w:tabs>
        <w:ind w:left="851" w:hanging="851"/>
        <w:rPr>
          <w:b/>
          <w:sz w:val="24"/>
          <w:szCs w:val="24"/>
        </w:rPr>
      </w:pPr>
      <w:r w:rsidRPr="00F1542A">
        <w:rPr>
          <w:b/>
          <w:sz w:val="24"/>
          <w:szCs w:val="24"/>
        </w:rPr>
        <w:t>10.</w:t>
      </w:r>
      <w:r w:rsidRPr="00F1542A">
        <w:rPr>
          <w:b/>
          <w:sz w:val="24"/>
          <w:szCs w:val="24"/>
        </w:rPr>
        <w:tab/>
        <w:t>DATO FOR ÆNDRING AF TEKSTEN</w:t>
      </w:r>
    </w:p>
    <w:p w14:paraId="56ED3186" w14:textId="3368933E" w:rsidR="009260DE" w:rsidRPr="00F1542A" w:rsidRDefault="00DA6734" w:rsidP="009260DE">
      <w:pPr>
        <w:tabs>
          <w:tab w:val="left" w:pos="851"/>
        </w:tabs>
        <w:ind w:left="851"/>
        <w:rPr>
          <w:sz w:val="24"/>
          <w:szCs w:val="24"/>
        </w:rPr>
      </w:pPr>
      <w:r>
        <w:rPr>
          <w:sz w:val="24"/>
          <w:szCs w:val="24"/>
        </w:rPr>
        <w:t>9. februar 2023</w:t>
      </w:r>
    </w:p>
    <w:sectPr w:rsidR="009260DE" w:rsidRPr="00F1542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5DA3" w14:textId="77777777" w:rsidR="00CB5D09" w:rsidRDefault="00CB5D09">
      <w:r>
        <w:separator/>
      </w:r>
    </w:p>
  </w:endnote>
  <w:endnote w:type="continuationSeparator" w:id="0">
    <w:p w14:paraId="4E2E923D" w14:textId="77777777" w:rsidR="00CB5D09" w:rsidRDefault="00CB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E119" w14:textId="77777777" w:rsidR="000259B9" w:rsidRDefault="000259B9">
    <w:pPr>
      <w:pStyle w:val="Sidefod"/>
      <w:pBdr>
        <w:bottom w:val="single" w:sz="6" w:space="1" w:color="auto"/>
      </w:pBdr>
    </w:pPr>
  </w:p>
  <w:p w14:paraId="6FDA6C19" w14:textId="77777777" w:rsidR="000259B9" w:rsidRDefault="000259B9" w:rsidP="00C42586">
    <w:pPr>
      <w:pStyle w:val="Sidefod"/>
      <w:tabs>
        <w:tab w:val="clear" w:pos="4819"/>
        <w:tab w:val="left" w:pos="8505"/>
      </w:tabs>
      <w:rPr>
        <w:i/>
        <w:sz w:val="18"/>
        <w:szCs w:val="18"/>
      </w:rPr>
    </w:pPr>
  </w:p>
  <w:p w14:paraId="2971EA21" w14:textId="614B1DE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26B21">
      <w:rPr>
        <w:i/>
        <w:noProof/>
        <w:sz w:val="18"/>
        <w:szCs w:val="18"/>
      </w:rPr>
      <w:t>Verdye, pulver til injektionsvæske, opløsning 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373E" w14:textId="77777777" w:rsidR="00CB5D09" w:rsidRDefault="00CB5D09">
      <w:r>
        <w:separator/>
      </w:r>
    </w:p>
  </w:footnote>
  <w:footnote w:type="continuationSeparator" w:id="0">
    <w:p w14:paraId="4234079E" w14:textId="77777777" w:rsidR="00CB5D09" w:rsidRDefault="00CB5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991"/>
    <w:multiLevelType w:val="hybridMultilevel"/>
    <w:tmpl w:val="508202FE"/>
    <w:lvl w:ilvl="0" w:tplc="A5146FF4">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258669D"/>
    <w:multiLevelType w:val="hybridMultilevel"/>
    <w:tmpl w:val="14C404CC"/>
    <w:lvl w:ilvl="0" w:tplc="04060001">
      <w:start w:val="1"/>
      <w:numFmt w:val="bullet"/>
      <w:lvlText w:val=""/>
      <w:lvlJc w:val="left"/>
      <w:pPr>
        <w:ind w:left="1571" w:hanging="360"/>
      </w:pPr>
      <w:rPr>
        <w:rFonts w:ascii="Symbol" w:hAnsi="Symbol" w:hint="default"/>
      </w:rPr>
    </w:lvl>
    <w:lvl w:ilvl="1" w:tplc="04060001">
      <w:start w:val="1"/>
      <w:numFmt w:val="bullet"/>
      <w:lvlText w:val=""/>
      <w:lvlJc w:val="left"/>
      <w:pPr>
        <w:ind w:left="2291" w:hanging="360"/>
      </w:pPr>
      <w:rPr>
        <w:rFonts w:ascii="Symbol" w:hAnsi="Symbol"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8A7C32"/>
    <w:multiLevelType w:val="hybridMultilevel"/>
    <w:tmpl w:val="DEB0BF78"/>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89E1482"/>
    <w:multiLevelType w:val="hybridMultilevel"/>
    <w:tmpl w:val="C420AAD6"/>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9A80814"/>
    <w:multiLevelType w:val="hybridMultilevel"/>
    <w:tmpl w:val="0D4A2D50"/>
    <w:lvl w:ilvl="0" w:tplc="BCE63958">
      <w:start w:val="36"/>
      <w:numFmt w:val="bullet"/>
      <w:lvlText w:val="-"/>
      <w:lvlJc w:val="left"/>
      <w:pPr>
        <w:ind w:left="1287" w:hanging="360"/>
      </w:pPr>
      <w:rPr>
        <w:rFonts w:ascii="Times New Roman" w:eastAsia="Times New Roman" w:hAnsi="Times New Roman" w:cs="Times New Roman"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6" w15:restartNumberingAfterBreak="0">
    <w:nsid w:val="1A427EC1"/>
    <w:multiLevelType w:val="hybridMultilevel"/>
    <w:tmpl w:val="7338BCD0"/>
    <w:lvl w:ilvl="0" w:tplc="BCE63958">
      <w:start w:val="36"/>
      <w:numFmt w:val="bullet"/>
      <w:lvlText w:val="-"/>
      <w:lvlJc w:val="left"/>
      <w:pPr>
        <w:tabs>
          <w:tab w:val="num" w:pos="930"/>
        </w:tabs>
        <w:ind w:left="930" w:hanging="57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162AC"/>
    <w:multiLevelType w:val="hybridMultilevel"/>
    <w:tmpl w:val="7D989034"/>
    <w:lvl w:ilvl="0" w:tplc="0406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21EC0399"/>
    <w:multiLevelType w:val="hybridMultilevel"/>
    <w:tmpl w:val="34FCFB44"/>
    <w:lvl w:ilvl="0" w:tplc="929868E2">
      <w:start w:val="1"/>
      <w:numFmt w:val="lowerLetter"/>
      <w:lvlText w:val="%1."/>
      <w:lvlJc w:val="left"/>
      <w:pPr>
        <w:ind w:left="1301" w:hanging="45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A7E26E2"/>
    <w:multiLevelType w:val="hybridMultilevel"/>
    <w:tmpl w:val="23A84B24"/>
    <w:lvl w:ilvl="0" w:tplc="17580396">
      <w:start w:val="1"/>
      <w:numFmt w:val="decimal"/>
      <w:lvlText w:val="4.%1"/>
      <w:lvlJc w:val="left"/>
      <w:pPr>
        <w:ind w:left="720" w:hanging="360"/>
      </w:pPr>
      <w:rPr>
        <w:rFonts w:cs="Times New Roman"/>
      </w:rPr>
    </w:lvl>
    <w:lvl w:ilvl="1" w:tplc="5F4A2C0C">
      <w:start w:val="1"/>
      <w:numFmt w:val="decimal"/>
      <w:lvlText w:val="4.%2"/>
      <w:lvlJc w:val="left"/>
      <w:pPr>
        <w:ind w:left="1440" w:hanging="360"/>
      </w:pPr>
      <w:rPr>
        <w:rFonts w:cs="Times New Roman"/>
        <w:b/>
        <w:bCs/>
      </w:rPr>
    </w:lvl>
    <w:lvl w:ilvl="2" w:tplc="1D406494">
      <w:start w:val="6"/>
      <w:numFmt w:val="bullet"/>
      <w:lvlText w:val="•"/>
      <w:lvlJc w:val="left"/>
      <w:pPr>
        <w:ind w:left="2340" w:hanging="360"/>
      </w:pPr>
      <w:rPr>
        <w:rFonts w:ascii="Arial" w:eastAsia="Times New Roman" w:hAnsi="Arial" w:cs="Times New Roman"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2" w15:restartNumberingAfterBreak="0">
    <w:nsid w:val="3B4C1A94"/>
    <w:multiLevelType w:val="hybridMultilevel"/>
    <w:tmpl w:val="BFCED5D8"/>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4D614029"/>
    <w:multiLevelType w:val="hybridMultilevel"/>
    <w:tmpl w:val="459A7E4A"/>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59C6E6F"/>
    <w:multiLevelType w:val="hybridMultilevel"/>
    <w:tmpl w:val="E2E61484"/>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67572AF"/>
    <w:multiLevelType w:val="hybridMultilevel"/>
    <w:tmpl w:val="F16AF0C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6D96556A"/>
    <w:multiLevelType w:val="hybridMultilevel"/>
    <w:tmpl w:val="3B605FB2"/>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6EDD5AE1"/>
    <w:multiLevelType w:val="hybridMultilevel"/>
    <w:tmpl w:val="4456E9D8"/>
    <w:lvl w:ilvl="0" w:tplc="BCE63958">
      <w:start w:val="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71DE295C"/>
    <w:multiLevelType w:val="hybridMultilevel"/>
    <w:tmpl w:val="CBCCC8A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73EF6768"/>
    <w:multiLevelType w:val="hybridMultilevel"/>
    <w:tmpl w:val="0C628E00"/>
    <w:lvl w:ilvl="0" w:tplc="04060001">
      <w:start w:val="1"/>
      <w:numFmt w:val="bullet"/>
      <w:lvlText w:val=""/>
      <w:lvlJc w:val="left"/>
      <w:pPr>
        <w:ind w:left="1571" w:hanging="360"/>
      </w:pPr>
      <w:rPr>
        <w:rFonts w:ascii="Symbol" w:hAnsi="Symbol" w:hint="default"/>
      </w:rPr>
    </w:lvl>
    <w:lvl w:ilvl="1" w:tplc="4106E280">
      <w:start w:val="3"/>
      <w:numFmt w:val="bullet"/>
      <w:lvlText w:val="•"/>
      <w:lvlJc w:val="left"/>
      <w:pPr>
        <w:ind w:left="2381" w:hanging="45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752D14D4"/>
    <w:multiLevelType w:val="hybridMultilevel"/>
    <w:tmpl w:val="754E9060"/>
    <w:lvl w:ilvl="0" w:tplc="FFFFFFFF">
      <w:numFmt w:val="bullet"/>
      <w:lvlText w:val="•"/>
      <w:lvlJc w:val="left"/>
      <w:pPr>
        <w:ind w:left="720" w:hanging="36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Times New Roman" w:hint="default"/>
      </w:rPr>
    </w:lvl>
    <w:lvl w:ilvl="2" w:tplc="A4AE4910">
      <w:numFmt w:val="bullet"/>
      <w:lvlText w:val="•"/>
      <w:lvlJc w:val="left"/>
      <w:pPr>
        <w:ind w:left="2160" w:hanging="360"/>
      </w:pPr>
      <w:rPr>
        <w:rFonts w:ascii="Arial" w:eastAsia="Times New Roman" w:hAnsi="Arial"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F9A7F1A"/>
    <w:multiLevelType w:val="hybridMultilevel"/>
    <w:tmpl w:val="9468C3E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num>
  <w:num w:numId="8">
    <w:abstractNumId w:val="5"/>
  </w:num>
  <w:num w:numId="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0"/>
  </w:num>
  <w:num w:numId="13">
    <w:abstractNumId w:val="18"/>
  </w:num>
  <w:num w:numId="14">
    <w:abstractNumId w:val="4"/>
  </w:num>
  <w:num w:numId="15">
    <w:abstractNumId w:val="7"/>
  </w:num>
  <w:num w:numId="16">
    <w:abstractNumId w:val="8"/>
  </w:num>
  <w:num w:numId="17">
    <w:abstractNumId w:val="21"/>
  </w:num>
  <w:num w:numId="18">
    <w:abstractNumId w:val="20"/>
  </w:num>
  <w:num w:numId="19">
    <w:abstractNumId w:val="3"/>
  </w:num>
  <w:num w:numId="20">
    <w:abstractNumId w:val="17"/>
  </w:num>
  <w:num w:numId="21">
    <w:abstractNumId w:val="1"/>
  </w:num>
  <w:num w:numId="22">
    <w:abstractNumId w:val="23"/>
  </w:num>
  <w:num w:numId="23">
    <w:abstractNumId w:val="14"/>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09"/>
    <w:rsid w:val="000259B9"/>
    <w:rsid w:val="00041491"/>
    <w:rsid w:val="00043CDF"/>
    <w:rsid w:val="00050D16"/>
    <w:rsid w:val="000730CA"/>
    <w:rsid w:val="00074F2A"/>
    <w:rsid w:val="000A1CA8"/>
    <w:rsid w:val="000A466B"/>
    <w:rsid w:val="000B058C"/>
    <w:rsid w:val="000E4EE6"/>
    <w:rsid w:val="00110A96"/>
    <w:rsid w:val="001454E2"/>
    <w:rsid w:val="00176637"/>
    <w:rsid w:val="001F3313"/>
    <w:rsid w:val="00206CE8"/>
    <w:rsid w:val="0021526C"/>
    <w:rsid w:val="002538F7"/>
    <w:rsid w:val="00283A2B"/>
    <w:rsid w:val="002964B2"/>
    <w:rsid w:val="002B30AD"/>
    <w:rsid w:val="002C2AC0"/>
    <w:rsid w:val="002C2C01"/>
    <w:rsid w:val="00375EC3"/>
    <w:rsid w:val="003A29AE"/>
    <w:rsid w:val="003A32D7"/>
    <w:rsid w:val="003B4074"/>
    <w:rsid w:val="003C769A"/>
    <w:rsid w:val="003E325E"/>
    <w:rsid w:val="003F1838"/>
    <w:rsid w:val="0045746C"/>
    <w:rsid w:val="00457AF2"/>
    <w:rsid w:val="0049104B"/>
    <w:rsid w:val="00493D0F"/>
    <w:rsid w:val="004E3B12"/>
    <w:rsid w:val="00532310"/>
    <w:rsid w:val="00565F0F"/>
    <w:rsid w:val="00594A86"/>
    <w:rsid w:val="00596D86"/>
    <w:rsid w:val="00637F5A"/>
    <w:rsid w:val="006560B1"/>
    <w:rsid w:val="006756DD"/>
    <w:rsid w:val="00695282"/>
    <w:rsid w:val="00737275"/>
    <w:rsid w:val="00740EEC"/>
    <w:rsid w:val="0078011A"/>
    <w:rsid w:val="00782AF4"/>
    <w:rsid w:val="00790EE7"/>
    <w:rsid w:val="007B6649"/>
    <w:rsid w:val="0082576E"/>
    <w:rsid w:val="00907F75"/>
    <w:rsid w:val="009260DE"/>
    <w:rsid w:val="0093258A"/>
    <w:rsid w:val="009C7BA3"/>
    <w:rsid w:val="009D1F5A"/>
    <w:rsid w:val="00A10294"/>
    <w:rsid w:val="00A26B21"/>
    <w:rsid w:val="00B003BF"/>
    <w:rsid w:val="00B373D7"/>
    <w:rsid w:val="00C055F2"/>
    <w:rsid w:val="00C31684"/>
    <w:rsid w:val="00C36276"/>
    <w:rsid w:val="00C42586"/>
    <w:rsid w:val="00C60CCD"/>
    <w:rsid w:val="00C84483"/>
    <w:rsid w:val="00C95551"/>
    <w:rsid w:val="00CB20D7"/>
    <w:rsid w:val="00CB5D09"/>
    <w:rsid w:val="00D020B0"/>
    <w:rsid w:val="00D11748"/>
    <w:rsid w:val="00D366CF"/>
    <w:rsid w:val="00D6543B"/>
    <w:rsid w:val="00DA6734"/>
    <w:rsid w:val="00E108AA"/>
    <w:rsid w:val="00E3749A"/>
    <w:rsid w:val="00E7437F"/>
    <w:rsid w:val="00E865B8"/>
    <w:rsid w:val="00EC0B9B"/>
    <w:rsid w:val="00ED5E9F"/>
    <w:rsid w:val="00F1542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4CD33"/>
  <w15:chartTrackingRefBased/>
  <w15:docId w15:val="{87DD236A-9C34-4200-A2B1-43ECE677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2">
    <w:name w:val="Body Text 2"/>
    <w:basedOn w:val="Normal"/>
    <w:link w:val="Brdtekst2Tegn"/>
    <w:uiPriority w:val="99"/>
    <w:semiHidden/>
    <w:unhideWhenUsed/>
    <w:rsid w:val="001F3313"/>
    <w:pPr>
      <w:tabs>
        <w:tab w:val="left" w:pos="284"/>
        <w:tab w:val="left" w:pos="426"/>
        <w:tab w:val="left" w:pos="567"/>
      </w:tabs>
      <w:spacing w:line="260" w:lineRule="exact"/>
      <w:ind w:left="284"/>
      <w:jc w:val="both"/>
    </w:pPr>
    <w:rPr>
      <w:sz w:val="22"/>
      <w:szCs w:val="22"/>
      <w:lang w:val="en-GB" w:eastAsia="de-DE"/>
    </w:rPr>
  </w:style>
  <w:style w:type="character" w:customStyle="1" w:styleId="Brdtekst2Tegn">
    <w:name w:val="Brødtekst 2 Tegn"/>
    <w:basedOn w:val="Standardskrifttypeiafsnit"/>
    <w:link w:val="Brdtekst2"/>
    <w:uiPriority w:val="99"/>
    <w:semiHidden/>
    <w:rsid w:val="001F3313"/>
    <w:rPr>
      <w:sz w:val="22"/>
      <w:szCs w:val="22"/>
      <w:lang w:val="en-GB" w:eastAsia="de-DE"/>
    </w:rPr>
  </w:style>
  <w:style w:type="character" w:customStyle="1" w:styleId="jlqj4b">
    <w:name w:val="jlqj4b"/>
    <w:basedOn w:val="Standardskrifttypeiafsnit"/>
    <w:rsid w:val="001F3313"/>
    <w:rPr>
      <w:rFonts w:ascii="Times New Roman" w:hAnsi="Times New Roman" w:cs="Times New Roman" w:hint="default"/>
    </w:rPr>
  </w:style>
  <w:style w:type="paragraph" w:styleId="Brdtekstindrykning3">
    <w:name w:val="Body Text Indent 3"/>
    <w:basedOn w:val="Normal"/>
    <w:link w:val="Brdtekstindrykning3Tegn"/>
    <w:uiPriority w:val="99"/>
    <w:semiHidden/>
    <w:unhideWhenUsed/>
    <w:rsid w:val="001F331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F3313"/>
    <w:rPr>
      <w:sz w:val="16"/>
      <w:szCs w:val="16"/>
      <w:lang w:eastAsia="en-US"/>
    </w:rPr>
  </w:style>
  <w:style w:type="paragraph" w:styleId="Slutnotetekst">
    <w:name w:val="endnote text"/>
    <w:basedOn w:val="Normal"/>
    <w:link w:val="SlutnotetekstTegn"/>
    <w:uiPriority w:val="99"/>
    <w:semiHidden/>
    <w:unhideWhenUsed/>
    <w:rsid w:val="001F3313"/>
    <w:pPr>
      <w:tabs>
        <w:tab w:val="left" w:pos="567"/>
      </w:tabs>
    </w:pPr>
    <w:rPr>
      <w:sz w:val="22"/>
      <w:szCs w:val="22"/>
      <w:lang w:val="en-GB" w:eastAsia="de-DE"/>
    </w:rPr>
  </w:style>
  <w:style w:type="character" w:customStyle="1" w:styleId="SlutnotetekstTegn">
    <w:name w:val="Slutnotetekst Tegn"/>
    <w:basedOn w:val="Standardskrifttypeiafsnit"/>
    <w:link w:val="Slutnotetekst"/>
    <w:uiPriority w:val="99"/>
    <w:semiHidden/>
    <w:rsid w:val="001F3313"/>
    <w:rPr>
      <w:sz w:val="22"/>
      <w:szCs w:val="22"/>
      <w:lang w:val="en-GB" w:eastAsia="de-DE"/>
    </w:rPr>
  </w:style>
  <w:style w:type="paragraph" w:styleId="Brdtekst3">
    <w:name w:val="Body Text 3"/>
    <w:basedOn w:val="Normal"/>
    <w:link w:val="Brdtekst3Tegn"/>
    <w:uiPriority w:val="99"/>
    <w:semiHidden/>
    <w:unhideWhenUsed/>
    <w:rsid w:val="001F3313"/>
    <w:pPr>
      <w:spacing w:after="120"/>
    </w:pPr>
    <w:rPr>
      <w:sz w:val="16"/>
      <w:szCs w:val="16"/>
    </w:rPr>
  </w:style>
  <w:style w:type="character" w:customStyle="1" w:styleId="Brdtekst3Tegn">
    <w:name w:val="Brødtekst 3 Tegn"/>
    <w:basedOn w:val="Standardskrifttypeiafsnit"/>
    <w:link w:val="Brdtekst3"/>
    <w:uiPriority w:val="99"/>
    <w:semiHidden/>
    <w:rsid w:val="001F3313"/>
    <w:rPr>
      <w:sz w:val="16"/>
      <w:szCs w:val="16"/>
      <w:lang w:eastAsia="en-US"/>
    </w:rPr>
  </w:style>
  <w:style w:type="character" w:styleId="Hyperlink">
    <w:name w:val="Hyperlink"/>
    <w:basedOn w:val="Standardskrifttypeiafsnit"/>
    <w:uiPriority w:val="99"/>
    <w:semiHidden/>
    <w:unhideWhenUsed/>
    <w:rsid w:val="001F3313"/>
    <w:rPr>
      <w:rFonts w:ascii="Times New Roman" w:hAnsi="Times New Roman" w:cs="Times New Roman" w:hint="default"/>
      <w:color w:val="0000FF"/>
      <w:u w:val="single"/>
    </w:rPr>
  </w:style>
  <w:style w:type="table" w:styleId="Tabel-Gitter">
    <w:name w:val="Table Grid"/>
    <w:basedOn w:val="Tabel-Normal"/>
    <w:uiPriority w:val="39"/>
    <w:rsid w:val="001F3313"/>
    <w:rPr>
      <w:rFonts w:ascii="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4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2834">
      <w:bodyDiv w:val="1"/>
      <w:marLeft w:val="0"/>
      <w:marRight w:val="0"/>
      <w:marTop w:val="0"/>
      <w:marBottom w:val="0"/>
      <w:divBdr>
        <w:top w:val="none" w:sz="0" w:space="0" w:color="auto"/>
        <w:left w:val="none" w:sz="0" w:space="0" w:color="auto"/>
        <w:bottom w:val="none" w:sz="0" w:space="0" w:color="auto"/>
        <w:right w:val="none" w:sz="0" w:space="0" w:color="auto"/>
      </w:divBdr>
    </w:div>
    <w:div w:id="1377664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996319">
      <w:bodyDiv w:val="1"/>
      <w:marLeft w:val="0"/>
      <w:marRight w:val="0"/>
      <w:marTop w:val="0"/>
      <w:marBottom w:val="0"/>
      <w:divBdr>
        <w:top w:val="none" w:sz="0" w:space="0" w:color="auto"/>
        <w:left w:val="none" w:sz="0" w:space="0" w:color="auto"/>
        <w:bottom w:val="none" w:sz="0" w:space="0" w:color="auto"/>
        <w:right w:val="none" w:sz="0" w:space="0" w:color="auto"/>
      </w:divBdr>
    </w:div>
    <w:div w:id="280654150">
      <w:bodyDiv w:val="1"/>
      <w:marLeft w:val="0"/>
      <w:marRight w:val="0"/>
      <w:marTop w:val="0"/>
      <w:marBottom w:val="0"/>
      <w:divBdr>
        <w:top w:val="none" w:sz="0" w:space="0" w:color="auto"/>
        <w:left w:val="none" w:sz="0" w:space="0" w:color="auto"/>
        <w:bottom w:val="none" w:sz="0" w:space="0" w:color="auto"/>
        <w:right w:val="none" w:sz="0" w:space="0" w:color="auto"/>
      </w:divBdr>
    </w:div>
    <w:div w:id="335765348">
      <w:bodyDiv w:val="1"/>
      <w:marLeft w:val="0"/>
      <w:marRight w:val="0"/>
      <w:marTop w:val="0"/>
      <w:marBottom w:val="0"/>
      <w:divBdr>
        <w:top w:val="none" w:sz="0" w:space="0" w:color="auto"/>
        <w:left w:val="none" w:sz="0" w:space="0" w:color="auto"/>
        <w:bottom w:val="none" w:sz="0" w:space="0" w:color="auto"/>
        <w:right w:val="none" w:sz="0" w:space="0" w:color="auto"/>
      </w:divBdr>
    </w:div>
    <w:div w:id="423494635">
      <w:bodyDiv w:val="1"/>
      <w:marLeft w:val="0"/>
      <w:marRight w:val="0"/>
      <w:marTop w:val="0"/>
      <w:marBottom w:val="0"/>
      <w:divBdr>
        <w:top w:val="none" w:sz="0" w:space="0" w:color="auto"/>
        <w:left w:val="none" w:sz="0" w:space="0" w:color="auto"/>
        <w:bottom w:val="none" w:sz="0" w:space="0" w:color="auto"/>
        <w:right w:val="none" w:sz="0" w:space="0" w:color="auto"/>
      </w:divBdr>
    </w:div>
    <w:div w:id="466750323">
      <w:bodyDiv w:val="1"/>
      <w:marLeft w:val="0"/>
      <w:marRight w:val="0"/>
      <w:marTop w:val="0"/>
      <w:marBottom w:val="0"/>
      <w:divBdr>
        <w:top w:val="none" w:sz="0" w:space="0" w:color="auto"/>
        <w:left w:val="none" w:sz="0" w:space="0" w:color="auto"/>
        <w:bottom w:val="none" w:sz="0" w:space="0" w:color="auto"/>
        <w:right w:val="none" w:sz="0" w:space="0" w:color="auto"/>
      </w:divBdr>
    </w:div>
    <w:div w:id="558783619">
      <w:bodyDiv w:val="1"/>
      <w:marLeft w:val="0"/>
      <w:marRight w:val="0"/>
      <w:marTop w:val="0"/>
      <w:marBottom w:val="0"/>
      <w:divBdr>
        <w:top w:val="none" w:sz="0" w:space="0" w:color="auto"/>
        <w:left w:val="none" w:sz="0" w:space="0" w:color="auto"/>
        <w:bottom w:val="none" w:sz="0" w:space="0" w:color="auto"/>
        <w:right w:val="none" w:sz="0" w:space="0" w:color="auto"/>
      </w:divBdr>
    </w:div>
    <w:div w:id="596668897">
      <w:bodyDiv w:val="1"/>
      <w:marLeft w:val="0"/>
      <w:marRight w:val="0"/>
      <w:marTop w:val="0"/>
      <w:marBottom w:val="0"/>
      <w:divBdr>
        <w:top w:val="none" w:sz="0" w:space="0" w:color="auto"/>
        <w:left w:val="none" w:sz="0" w:space="0" w:color="auto"/>
        <w:bottom w:val="none" w:sz="0" w:space="0" w:color="auto"/>
        <w:right w:val="none" w:sz="0" w:space="0" w:color="auto"/>
      </w:divBdr>
    </w:div>
    <w:div w:id="669255503">
      <w:bodyDiv w:val="1"/>
      <w:marLeft w:val="0"/>
      <w:marRight w:val="0"/>
      <w:marTop w:val="0"/>
      <w:marBottom w:val="0"/>
      <w:divBdr>
        <w:top w:val="none" w:sz="0" w:space="0" w:color="auto"/>
        <w:left w:val="none" w:sz="0" w:space="0" w:color="auto"/>
        <w:bottom w:val="none" w:sz="0" w:space="0" w:color="auto"/>
        <w:right w:val="none" w:sz="0" w:space="0" w:color="auto"/>
      </w:divBdr>
    </w:div>
    <w:div w:id="753819693">
      <w:bodyDiv w:val="1"/>
      <w:marLeft w:val="0"/>
      <w:marRight w:val="0"/>
      <w:marTop w:val="0"/>
      <w:marBottom w:val="0"/>
      <w:divBdr>
        <w:top w:val="none" w:sz="0" w:space="0" w:color="auto"/>
        <w:left w:val="none" w:sz="0" w:space="0" w:color="auto"/>
        <w:bottom w:val="none" w:sz="0" w:space="0" w:color="auto"/>
        <w:right w:val="none" w:sz="0" w:space="0" w:color="auto"/>
      </w:divBdr>
    </w:div>
    <w:div w:id="939411265">
      <w:bodyDiv w:val="1"/>
      <w:marLeft w:val="0"/>
      <w:marRight w:val="0"/>
      <w:marTop w:val="0"/>
      <w:marBottom w:val="0"/>
      <w:divBdr>
        <w:top w:val="none" w:sz="0" w:space="0" w:color="auto"/>
        <w:left w:val="none" w:sz="0" w:space="0" w:color="auto"/>
        <w:bottom w:val="none" w:sz="0" w:space="0" w:color="auto"/>
        <w:right w:val="none" w:sz="0" w:space="0" w:color="auto"/>
      </w:divBdr>
    </w:div>
    <w:div w:id="976031140">
      <w:bodyDiv w:val="1"/>
      <w:marLeft w:val="0"/>
      <w:marRight w:val="0"/>
      <w:marTop w:val="0"/>
      <w:marBottom w:val="0"/>
      <w:divBdr>
        <w:top w:val="none" w:sz="0" w:space="0" w:color="auto"/>
        <w:left w:val="none" w:sz="0" w:space="0" w:color="auto"/>
        <w:bottom w:val="none" w:sz="0" w:space="0" w:color="auto"/>
        <w:right w:val="none" w:sz="0" w:space="0" w:color="auto"/>
      </w:divBdr>
    </w:div>
    <w:div w:id="1143501672">
      <w:bodyDiv w:val="1"/>
      <w:marLeft w:val="0"/>
      <w:marRight w:val="0"/>
      <w:marTop w:val="0"/>
      <w:marBottom w:val="0"/>
      <w:divBdr>
        <w:top w:val="none" w:sz="0" w:space="0" w:color="auto"/>
        <w:left w:val="none" w:sz="0" w:space="0" w:color="auto"/>
        <w:bottom w:val="none" w:sz="0" w:space="0" w:color="auto"/>
        <w:right w:val="none" w:sz="0" w:space="0" w:color="auto"/>
      </w:divBdr>
    </w:div>
    <w:div w:id="1269898452">
      <w:bodyDiv w:val="1"/>
      <w:marLeft w:val="0"/>
      <w:marRight w:val="0"/>
      <w:marTop w:val="0"/>
      <w:marBottom w:val="0"/>
      <w:divBdr>
        <w:top w:val="none" w:sz="0" w:space="0" w:color="auto"/>
        <w:left w:val="none" w:sz="0" w:space="0" w:color="auto"/>
        <w:bottom w:val="none" w:sz="0" w:space="0" w:color="auto"/>
        <w:right w:val="none" w:sz="0" w:space="0" w:color="auto"/>
      </w:divBdr>
    </w:div>
    <w:div w:id="1303726984">
      <w:bodyDiv w:val="1"/>
      <w:marLeft w:val="0"/>
      <w:marRight w:val="0"/>
      <w:marTop w:val="0"/>
      <w:marBottom w:val="0"/>
      <w:divBdr>
        <w:top w:val="none" w:sz="0" w:space="0" w:color="auto"/>
        <w:left w:val="none" w:sz="0" w:space="0" w:color="auto"/>
        <w:bottom w:val="none" w:sz="0" w:space="0" w:color="auto"/>
        <w:right w:val="none" w:sz="0" w:space="0" w:color="auto"/>
      </w:divBdr>
    </w:div>
    <w:div w:id="1380670326">
      <w:bodyDiv w:val="1"/>
      <w:marLeft w:val="0"/>
      <w:marRight w:val="0"/>
      <w:marTop w:val="0"/>
      <w:marBottom w:val="0"/>
      <w:divBdr>
        <w:top w:val="none" w:sz="0" w:space="0" w:color="auto"/>
        <w:left w:val="none" w:sz="0" w:space="0" w:color="auto"/>
        <w:bottom w:val="none" w:sz="0" w:space="0" w:color="auto"/>
        <w:right w:val="none" w:sz="0" w:space="0" w:color="auto"/>
      </w:divBdr>
    </w:div>
    <w:div w:id="1478641516">
      <w:bodyDiv w:val="1"/>
      <w:marLeft w:val="0"/>
      <w:marRight w:val="0"/>
      <w:marTop w:val="0"/>
      <w:marBottom w:val="0"/>
      <w:divBdr>
        <w:top w:val="none" w:sz="0" w:space="0" w:color="auto"/>
        <w:left w:val="none" w:sz="0" w:space="0" w:color="auto"/>
        <w:bottom w:val="none" w:sz="0" w:space="0" w:color="auto"/>
        <w:right w:val="none" w:sz="0" w:space="0" w:color="auto"/>
      </w:divBdr>
    </w:div>
    <w:div w:id="1563255725">
      <w:bodyDiv w:val="1"/>
      <w:marLeft w:val="0"/>
      <w:marRight w:val="0"/>
      <w:marTop w:val="0"/>
      <w:marBottom w:val="0"/>
      <w:divBdr>
        <w:top w:val="none" w:sz="0" w:space="0" w:color="auto"/>
        <w:left w:val="none" w:sz="0" w:space="0" w:color="auto"/>
        <w:bottom w:val="none" w:sz="0" w:space="0" w:color="auto"/>
        <w:right w:val="none" w:sz="0" w:space="0" w:color="auto"/>
      </w:divBdr>
    </w:div>
    <w:div w:id="1803766990">
      <w:bodyDiv w:val="1"/>
      <w:marLeft w:val="0"/>
      <w:marRight w:val="0"/>
      <w:marTop w:val="0"/>
      <w:marBottom w:val="0"/>
      <w:divBdr>
        <w:top w:val="none" w:sz="0" w:space="0" w:color="auto"/>
        <w:left w:val="none" w:sz="0" w:space="0" w:color="auto"/>
        <w:bottom w:val="none" w:sz="0" w:space="0" w:color="auto"/>
        <w:right w:val="none" w:sz="0" w:space="0" w:color="auto"/>
      </w:divBdr>
    </w:div>
    <w:div w:id="1832790226">
      <w:bodyDiv w:val="1"/>
      <w:marLeft w:val="0"/>
      <w:marRight w:val="0"/>
      <w:marTop w:val="0"/>
      <w:marBottom w:val="0"/>
      <w:divBdr>
        <w:top w:val="none" w:sz="0" w:space="0" w:color="auto"/>
        <w:left w:val="none" w:sz="0" w:space="0" w:color="auto"/>
        <w:bottom w:val="none" w:sz="0" w:space="0" w:color="auto"/>
        <w:right w:val="none" w:sz="0" w:space="0" w:color="auto"/>
      </w:divBdr>
    </w:div>
    <w:div w:id="1995378570">
      <w:bodyDiv w:val="1"/>
      <w:marLeft w:val="0"/>
      <w:marRight w:val="0"/>
      <w:marTop w:val="0"/>
      <w:marBottom w:val="0"/>
      <w:divBdr>
        <w:top w:val="none" w:sz="0" w:space="0" w:color="auto"/>
        <w:left w:val="none" w:sz="0" w:space="0" w:color="auto"/>
        <w:bottom w:val="none" w:sz="0" w:space="0" w:color="auto"/>
        <w:right w:val="none" w:sz="0" w:space="0" w:color="auto"/>
      </w:divBdr>
    </w:div>
    <w:div w:id="20457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TotalTime>
  <Pages>9</Pages>
  <Words>2275</Words>
  <Characters>15062</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2023020093_x000d_
Skift af MAH fra Diagnostic Green GmbH</dc:description>
  <cp:lastModifiedBy>Marianne Ott Jensen</cp:lastModifiedBy>
  <cp:revision>3</cp:revision>
  <cp:lastPrinted>2012-08-22T08:53:00Z</cp:lastPrinted>
  <dcterms:created xsi:type="dcterms:W3CDTF">2023-02-09T10:15:00Z</dcterms:created>
  <dcterms:modified xsi:type="dcterms:W3CDTF">2023-02-09T10:16:00Z</dcterms:modified>
</cp:coreProperties>
</file>