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EF752" w14:textId="77777777" w:rsidR="009260DE" w:rsidRPr="00155A7C" w:rsidRDefault="0021526C" w:rsidP="009260DE">
      <w:pPr>
        <w:rPr>
          <w:sz w:val="24"/>
          <w:szCs w:val="24"/>
        </w:rPr>
      </w:pPr>
      <w:r w:rsidRPr="00155A7C">
        <w:rPr>
          <w:noProof/>
          <w:sz w:val="24"/>
          <w:szCs w:val="24"/>
          <w:lang w:eastAsia="da-DK"/>
        </w:rPr>
        <w:drawing>
          <wp:anchor distT="0" distB="0" distL="114300" distR="114300" simplePos="0" relativeHeight="251658240" behindDoc="0" locked="0" layoutInCell="1" allowOverlap="1" wp14:anchorId="69FF134D" wp14:editId="79945B4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55A7C">
        <w:rPr>
          <w:sz w:val="24"/>
          <w:szCs w:val="24"/>
        </w:rPr>
        <w:br w:type="textWrapping" w:clear="all"/>
      </w:r>
    </w:p>
    <w:p w14:paraId="00C49532" w14:textId="27B01FC4" w:rsidR="000D1FDA" w:rsidRPr="000D1FDA" w:rsidRDefault="009260DE" w:rsidP="009260DE">
      <w:pPr>
        <w:pStyle w:val="Titel"/>
        <w:tabs>
          <w:tab w:val="right" w:pos="9356"/>
        </w:tabs>
        <w:jc w:val="left"/>
        <w:rPr>
          <w:szCs w:val="24"/>
        </w:rPr>
      </w:pPr>
      <w:r w:rsidRPr="00155A7C">
        <w:rPr>
          <w:b w:val="0"/>
          <w:szCs w:val="24"/>
          <w:lang w:eastAsia="en-US"/>
        </w:rPr>
        <w:tab/>
      </w:r>
      <w:r w:rsidR="0094288C">
        <w:rPr>
          <w:szCs w:val="24"/>
        </w:rPr>
        <w:t>16. december 2024</w:t>
      </w:r>
    </w:p>
    <w:p w14:paraId="197E95B2" w14:textId="5C7FD10F" w:rsidR="009260DE" w:rsidRPr="00155A7C" w:rsidRDefault="009260DE" w:rsidP="009260DE">
      <w:pPr>
        <w:pStyle w:val="Titel"/>
        <w:tabs>
          <w:tab w:val="left" w:pos="8222"/>
        </w:tabs>
        <w:jc w:val="left"/>
        <w:rPr>
          <w:b w:val="0"/>
          <w:szCs w:val="24"/>
        </w:rPr>
      </w:pPr>
    </w:p>
    <w:p w14:paraId="28418544" w14:textId="77777777" w:rsidR="009260DE" w:rsidRPr="00155A7C" w:rsidRDefault="009260DE" w:rsidP="009260DE">
      <w:pPr>
        <w:pStyle w:val="Titel"/>
        <w:jc w:val="left"/>
        <w:rPr>
          <w:b w:val="0"/>
          <w:szCs w:val="24"/>
        </w:rPr>
      </w:pPr>
    </w:p>
    <w:p w14:paraId="74A23823" w14:textId="77777777" w:rsidR="009260DE" w:rsidRPr="00155A7C" w:rsidRDefault="009260DE" w:rsidP="009260DE">
      <w:pPr>
        <w:pStyle w:val="Titel"/>
        <w:jc w:val="left"/>
        <w:rPr>
          <w:b w:val="0"/>
          <w:szCs w:val="24"/>
        </w:rPr>
      </w:pPr>
    </w:p>
    <w:p w14:paraId="0E508247" w14:textId="77777777" w:rsidR="009260DE" w:rsidRPr="00155A7C" w:rsidRDefault="009260DE" w:rsidP="009260DE">
      <w:pPr>
        <w:jc w:val="center"/>
        <w:rPr>
          <w:b/>
          <w:sz w:val="24"/>
          <w:szCs w:val="24"/>
        </w:rPr>
      </w:pPr>
      <w:r w:rsidRPr="00155A7C">
        <w:rPr>
          <w:b/>
          <w:sz w:val="24"/>
          <w:szCs w:val="24"/>
        </w:rPr>
        <w:t>PRODUKTRESUMÉ</w:t>
      </w:r>
    </w:p>
    <w:p w14:paraId="41A29AB6" w14:textId="77777777" w:rsidR="009260DE" w:rsidRPr="00155A7C" w:rsidRDefault="009260DE" w:rsidP="009260DE">
      <w:pPr>
        <w:jc w:val="center"/>
        <w:rPr>
          <w:b/>
          <w:sz w:val="24"/>
          <w:szCs w:val="24"/>
        </w:rPr>
      </w:pPr>
    </w:p>
    <w:p w14:paraId="16160572" w14:textId="77777777" w:rsidR="009260DE" w:rsidRPr="00155A7C" w:rsidRDefault="009260DE" w:rsidP="009260DE">
      <w:pPr>
        <w:jc w:val="center"/>
        <w:rPr>
          <w:b/>
          <w:sz w:val="24"/>
          <w:szCs w:val="24"/>
        </w:rPr>
      </w:pPr>
      <w:r w:rsidRPr="00155A7C">
        <w:rPr>
          <w:b/>
          <w:sz w:val="24"/>
          <w:szCs w:val="24"/>
        </w:rPr>
        <w:t>for</w:t>
      </w:r>
    </w:p>
    <w:p w14:paraId="65DBAB45" w14:textId="77777777" w:rsidR="000B058C" w:rsidRPr="00155A7C" w:rsidRDefault="000B058C" w:rsidP="009260DE">
      <w:pPr>
        <w:jc w:val="center"/>
        <w:rPr>
          <w:b/>
          <w:sz w:val="24"/>
          <w:szCs w:val="24"/>
        </w:rPr>
      </w:pPr>
    </w:p>
    <w:p w14:paraId="3746737F" w14:textId="79AA5920" w:rsidR="009260DE" w:rsidRPr="00155A7C" w:rsidRDefault="001B6D13" w:rsidP="009260DE">
      <w:pPr>
        <w:jc w:val="center"/>
        <w:rPr>
          <w:b/>
          <w:sz w:val="24"/>
          <w:szCs w:val="24"/>
        </w:rPr>
      </w:pPr>
      <w:proofErr w:type="spellStart"/>
      <w:r w:rsidRPr="00155A7C">
        <w:rPr>
          <w:b/>
          <w:sz w:val="24"/>
          <w:szCs w:val="24"/>
        </w:rPr>
        <w:t>Verorab</w:t>
      </w:r>
      <w:proofErr w:type="spellEnd"/>
      <w:r w:rsidRPr="00155A7C">
        <w:rPr>
          <w:b/>
          <w:sz w:val="24"/>
          <w:szCs w:val="24"/>
        </w:rPr>
        <w:t>, pulver og solvens til injektionsvæske, suspension, fyldt injektionssprøjte</w:t>
      </w:r>
      <w:r w:rsidR="0094288C">
        <w:rPr>
          <w:b/>
          <w:sz w:val="24"/>
          <w:szCs w:val="24"/>
        </w:rPr>
        <w:t xml:space="preserve"> (</w:t>
      </w:r>
      <w:proofErr w:type="spellStart"/>
      <w:r w:rsidR="0094288C">
        <w:rPr>
          <w:b/>
          <w:sz w:val="24"/>
          <w:szCs w:val="24"/>
        </w:rPr>
        <w:t>Orifarm</w:t>
      </w:r>
      <w:proofErr w:type="spellEnd"/>
      <w:r w:rsidR="0094288C">
        <w:rPr>
          <w:b/>
          <w:sz w:val="24"/>
          <w:szCs w:val="24"/>
        </w:rPr>
        <w:t>)</w:t>
      </w:r>
    </w:p>
    <w:p w14:paraId="24C9AB86" w14:textId="77777777" w:rsidR="009260DE" w:rsidRPr="00155A7C" w:rsidRDefault="009260DE" w:rsidP="009260DE">
      <w:pPr>
        <w:jc w:val="both"/>
        <w:rPr>
          <w:sz w:val="24"/>
          <w:szCs w:val="24"/>
        </w:rPr>
      </w:pPr>
    </w:p>
    <w:p w14:paraId="67C60C18" w14:textId="77777777" w:rsidR="009260DE" w:rsidRPr="00155A7C" w:rsidRDefault="009260DE" w:rsidP="009260DE">
      <w:pPr>
        <w:jc w:val="both"/>
        <w:rPr>
          <w:sz w:val="24"/>
          <w:szCs w:val="24"/>
        </w:rPr>
      </w:pPr>
    </w:p>
    <w:p w14:paraId="33CADB72" w14:textId="77777777" w:rsidR="009260DE" w:rsidRPr="00155A7C" w:rsidRDefault="009260DE" w:rsidP="009260DE">
      <w:pPr>
        <w:tabs>
          <w:tab w:val="left" w:pos="851"/>
        </w:tabs>
        <w:ind w:left="851" w:hanging="851"/>
        <w:rPr>
          <w:b/>
          <w:sz w:val="24"/>
          <w:szCs w:val="24"/>
        </w:rPr>
      </w:pPr>
      <w:r w:rsidRPr="00155A7C">
        <w:rPr>
          <w:b/>
          <w:sz w:val="24"/>
          <w:szCs w:val="24"/>
        </w:rPr>
        <w:t>0.</w:t>
      </w:r>
      <w:r w:rsidRPr="00155A7C">
        <w:rPr>
          <w:b/>
          <w:sz w:val="24"/>
          <w:szCs w:val="24"/>
        </w:rPr>
        <w:tab/>
        <w:t>D.SP.NR.</w:t>
      </w:r>
    </w:p>
    <w:p w14:paraId="08517F61" w14:textId="271477FC" w:rsidR="009260DE" w:rsidRPr="00155A7C" w:rsidRDefault="001B6D13" w:rsidP="009260DE">
      <w:pPr>
        <w:tabs>
          <w:tab w:val="left" w:pos="851"/>
        </w:tabs>
        <w:ind w:left="851"/>
        <w:rPr>
          <w:sz w:val="24"/>
          <w:szCs w:val="24"/>
        </w:rPr>
      </w:pPr>
      <w:r w:rsidRPr="00155A7C">
        <w:rPr>
          <w:sz w:val="24"/>
          <w:szCs w:val="24"/>
        </w:rPr>
        <w:t>33268</w:t>
      </w:r>
    </w:p>
    <w:p w14:paraId="39907359" w14:textId="77777777" w:rsidR="009260DE" w:rsidRPr="00155A7C" w:rsidRDefault="009260DE" w:rsidP="009260DE">
      <w:pPr>
        <w:tabs>
          <w:tab w:val="left" w:pos="851"/>
        </w:tabs>
        <w:ind w:left="851"/>
        <w:rPr>
          <w:sz w:val="24"/>
          <w:szCs w:val="24"/>
        </w:rPr>
      </w:pPr>
    </w:p>
    <w:p w14:paraId="75A5DF44" w14:textId="77777777" w:rsidR="009260DE" w:rsidRPr="00155A7C" w:rsidRDefault="009260DE" w:rsidP="009260DE">
      <w:pPr>
        <w:tabs>
          <w:tab w:val="left" w:pos="851"/>
        </w:tabs>
        <w:ind w:left="851" w:hanging="851"/>
        <w:rPr>
          <w:b/>
          <w:sz w:val="24"/>
          <w:szCs w:val="24"/>
        </w:rPr>
      </w:pPr>
      <w:r w:rsidRPr="00155A7C">
        <w:rPr>
          <w:b/>
          <w:sz w:val="24"/>
          <w:szCs w:val="24"/>
        </w:rPr>
        <w:t>1.</w:t>
      </w:r>
      <w:r w:rsidRPr="00155A7C">
        <w:rPr>
          <w:b/>
          <w:sz w:val="24"/>
          <w:szCs w:val="24"/>
        </w:rPr>
        <w:tab/>
        <w:t>LÆGEMIDLETS NAVN</w:t>
      </w:r>
    </w:p>
    <w:p w14:paraId="77732DE8" w14:textId="02B85557" w:rsidR="009260DE" w:rsidRPr="00155A7C" w:rsidRDefault="001B6D13" w:rsidP="00E15661">
      <w:pPr>
        <w:ind w:left="851"/>
        <w:rPr>
          <w:sz w:val="24"/>
          <w:szCs w:val="24"/>
        </w:rPr>
      </w:pPr>
      <w:proofErr w:type="spellStart"/>
      <w:r w:rsidRPr="00155A7C">
        <w:rPr>
          <w:sz w:val="24"/>
          <w:szCs w:val="24"/>
        </w:rPr>
        <w:t>Verorab</w:t>
      </w:r>
      <w:proofErr w:type="spellEnd"/>
    </w:p>
    <w:p w14:paraId="18B52760" w14:textId="070C2D65" w:rsidR="009260DE" w:rsidRPr="00155A7C" w:rsidRDefault="009260DE" w:rsidP="00E15661">
      <w:pPr>
        <w:ind w:left="851"/>
        <w:rPr>
          <w:sz w:val="24"/>
          <w:szCs w:val="24"/>
        </w:rPr>
      </w:pPr>
    </w:p>
    <w:p w14:paraId="6D8A3E1E" w14:textId="77777777" w:rsidR="00266E67" w:rsidRPr="00155A7C" w:rsidRDefault="00266E67" w:rsidP="00E15661">
      <w:pPr>
        <w:ind w:left="851"/>
        <w:rPr>
          <w:sz w:val="24"/>
          <w:szCs w:val="24"/>
        </w:rPr>
      </w:pPr>
      <w:r w:rsidRPr="00155A7C">
        <w:rPr>
          <w:sz w:val="24"/>
          <w:szCs w:val="24"/>
        </w:rPr>
        <w:t>Rabiesvaccine, inaktiveret</w:t>
      </w:r>
    </w:p>
    <w:p w14:paraId="79363888" w14:textId="77777777" w:rsidR="00266E67" w:rsidRPr="00155A7C" w:rsidRDefault="00266E67" w:rsidP="009260DE">
      <w:pPr>
        <w:tabs>
          <w:tab w:val="left" w:pos="851"/>
        </w:tabs>
        <w:ind w:left="851"/>
        <w:rPr>
          <w:sz w:val="24"/>
          <w:szCs w:val="24"/>
        </w:rPr>
      </w:pPr>
    </w:p>
    <w:p w14:paraId="78B45EB8" w14:textId="77777777" w:rsidR="009260DE" w:rsidRPr="00155A7C" w:rsidRDefault="009260DE" w:rsidP="009260DE">
      <w:pPr>
        <w:tabs>
          <w:tab w:val="left" w:pos="851"/>
        </w:tabs>
        <w:ind w:left="851" w:hanging="851"/>
        <w:rPr>
          <w:b/>
          <w:sz w:val="24"/>
          <w:szCs w:val="24"/>
        </w:rPr>
      </w:pPr>
      <w:r w:rsidRPr="00155A7C">
        <w:rPr>
          <w:b/>
          <w:sz w:val="24"/>
          <w:szCs w:val="24"/>
        </w:rPr>
        <w:t>2.</w:t>
      </w:r>
      <w:r w:rsidRPr="00155A7C">
        <w:rPr>
          <w:b/>
          <w:sz w:val="24"/>
          <w:szCs w:val="24"/>
        </w:rPr>
        <w:tab/>
        <w:t>KVALITATIV OG KVANTITATIV SAMMENSÆTNING</w:t>
      </w:r>
    </w:p>
    <w:p w14:paraId="453E5165" w14:textId="77777777" w:rsidR="00266E67" w:rsidRPr="00155A7C" w:rsidRDefault="00266E67" w:rsidP="00E15661">
      <w:pPr>
        <w:ind w:left="851"/>
        <w:rPr>
          <w:sz w:val="24"/>
          <w:szCs w:val="24"/>
        </w:rPr>
      </w:pPr>
      <w:bookmarkStart w:id="0" w:name="_Hlk46828688"/>
      <w:r w:rsidRPr="00155A7C">
        <w:rPr>
          <w:sz w:val="24"/>
          <w:szCs w:val="24"/>
        </w:rPr>
        <w:t xml:space="preserve">Efter </w:t>
      </w:r>
      <w:proofErr w:type="spellStart"/>
      <w:r w:rsidRPr="00155A7C">
        <w:rPr>
          <w:sz w:val="24"/>
          <w:szCs w:val="24"/>
        </w:rPr>
        <w:t>rekonstitution</w:t>
      </w:r>
      <w:proofErr w:type="spellEnd"/>
      <w:r w:rsidRPr="00155A7C">
        <w:rPr>
          <w:sz w:val="24"/>
          <w:szCs w:val="24"/>
        </w:rPr>
        <w:t xml:space="preserve"> med 0,5 ml solvens indeholder 1 hætteglas:</w:t>
      </w:r>
      <w:r w:rsidRPr="00155A7C">
        <w:rPr>
          <w:sz w:val="24"/>
          <w:szCs w:val="24"/>
        </w:rPr>
        <w:br/>
      </w:r>
    </w:p>
    <w:p w14:paraId="5E5ED0F8" w14:textId="77777777" w:rsidR="000007DA" w:rsidRDefault="00266E67" w:rsidP="000007DA">
      <w:pPr>
        <w:ind w:left="851"/>
        <w:rPr>
          <w:sz w:val="24"/>
          <w:szCs w:val="24"/>
        </w:rPr>
      </w:pPr>
      <w:proofErr w:type="spellStart"/>
      <w:r w:rsidRPr="00155A7C">
        <w:rPr>
          <w:sz w:val="24"/>
          <w:szCs w:val="24"/>
        </w:rPr>
        <w:t>Rabiesvirus</w:t>
      </w:r>
      <w:r w:rsidRPr="00155A7C">
        <w:rPr>
          <w:sz w:val="24"/>
          <w:szCs w:val="24"/>
          <w:vertAlign w:val="superscript"/>
        </w:rPr>
        <w:t>a</w:t>
      </w:r>
      <w:proofErr w:type="spellEnd"/>
      <w:r w:rsidRPr="00155A7C">
        <w:rPr>
          <w:sz w:val="24"/>
          <w:szCs w:val="24"/>
        </w:rPr>
        <w:t xml:space="preserve">, WISTAR Rabies PM/WI38 1503-3M stamme </w:t>
      </w:r>
    </w:p>
    <w:p w14:paraId="02C56AF5" w14:textId="32D47238" w:rsidR="00266E67" w:rsidRPr="00155A7C" w:rsidRDefault="00266E67" w:rsidP="000007DA">
      <w:pPr>
        <w:tabs>
          <w:tab w:val="right" w:leader="dot" w:pos="9356"/>
        </w:tabs>
        <w:ind w:left="851"/>
        <w:rPr>
          <w:sz w:val="24"/>
          <w:szCs w:val="24"/>
        </w:rPr>
      </w:pPr>
      <w:r w:rsidRPr="00155A7C">
        <w:rPr>
          <w:sz w:val="24"/>
          <w:szCs w:val="24"/>
        </w:rPr>
        <w:t>(inaktiveret)</w:t>
      </w:r>
      <w:r w:rsidR="000007DA">
        <w:rPr>
          <w:sz w:val="24"/>
          <w:szCs w:val="24"/>
        </w:rPr>
        <w:tab/>
        <w:t>3</w:t>
      </w:r>
      <w:r w:rsidRPr="00155A7C">
        <w:rPr>
          <w:sz w:val="24"/>
          <w:szCs w:val="24"/>
        </w:rPr>
        <w:t>,25 </w:t>
      </w:r>
      <w:proofErr w:type="spellStart"/>
      <w:r w:rsidRPr="00155A7C">
        <w:rPr>
          <w:sz w:val="24"/>
          <w:szCs w:val="24"/>
        </w:rPr>
        <w:t>IE</w:t>
      </w:r>
      <w:r w:rsidRPr="00155A7C">
        <w:rPr>
          <w:sz w:val="24"/>
          <w:szCs w:val="24"/>
          <w:vertAlign w:val="superscript"/>
        </w:rPr>
        <w:t>b</w:t>
      </w:r>
      <w:proofErr w:type="spellEnd"/>
    </w:p>
    <w:p w14:paraId="6AA4F59E" w14:textId="24918D83" w:rsidR="00266E67" w:rsidRPr="00155A7C" w:rsidRDefault="00266E67" w:rsidP="000007DA">
      <w:pPr>
        <w:ind w:left="851"/>
        <w:rPr>
          <w:sz w:val="24"/>
          <w:szCs w:val="24"/>
        </w:rPr>
      </w:pPr>
      <w:r w:rsidRPr="00155A7C">
        <w:rPr>
          <w:sz w:val="24"/>
          <w:szCs w:val="24"/>
          <w:vertAlign w:val="superscript"/>
        </w:rPr>
        <w:t>a</w:t>
      </w:r>
      <w:r w:rsidRPr="00155A7C">
        <w:rPr>
          <w:sz w:val="24"/>
          <w:szCs w:val="24"/>
        </w:rPr>
        <w:t xml:space="preserve"> </w:t>
      </w:r>
      <w:r w:rsidR="008446A4" w:rsidRPr="00155A7C">
        <w:rPr>
          <w:sz w:val="24"/>
          <w:szCs w:val="24"/>
        </w:rPr>
        <w:t xml:space="preserve">Produceret i </w:t>
      </w:r>
      <w:proofErr w:type="spellStart"/>
      <w:r w:rsidR="008446A4">
        <w:rPr>
          <w:sz w:val="24"/>
          <w:szCs w:val="24"/>
        </w:rPr>
        <w:t>Vero</w:t>
      </w:r>
      <w:proofErr w:type="spellEnd"/>
      <w:r w:rsidR="008446A4">
        <w:rPr>
          <w:sz w:val="24"/>
          <w:szCs w:val="24"/>
        </w:rPr>
        <w:t xml:space="preserve"> </w:t>
      </w:r>
      <w:r w:rsidR="008446A4" w:rsidRPr="00155A7C">
        <w:rPr>
          <w:sz w:val="24"/>
          <w:szCs w:val="24"/>
        </w:rPr>
        <w:t>celler</w:t>
      </w:r>
    </w:p>
    <w:p w14:paraId="556FAC94" w14:textId="77777777" w:rsidR="00266E67" w:rsidRPr="00155A7C" w:rsidRDefault="00266E67" w:rsidP="000007DA">
      <w:pPr>
        <w:ind w:left="851"/>
        <w:rPr>
          <w:sz w:val="24"/>
          <w:szCs w:val="24"/>
        </w:rPr>
      </w:pPr>
      <w:r w:rsidRPr="00155A7C">
        <w:rPr>
          <w:sz w:val="24"/>
          <w:szCs w:val="24"/>
          <w:vertAlign w:val="superscript"/>
        </w:rPr>
        <w:t>b</w:t>
      </w:r>
      <w:r w:rsidRPr="00155A7C">
        <w:rPr>
          <w:sz w:val="24"/>
          <w:szCs w:val="24"/>
        </w:rPr>
        <w:t xml:space="preserve"> Mængde målt ved ELISA-test i forhold til den internationale standard </w:t>
      </w:r>
    </w:p>
    <w:p w14:paraId="383C961D" w14:textId="77777777" w:rsidR="00266E67" w:rsidRPr="00155A7C" w:rsidRDefault="00266E67" w:rsidP="00E15661">
      <w:pPr>
        <w:ind w:left="851"/>
        <w:rPr>
          <w:sz w:val="24"/>
          <w:szCs w:val="24"/>
        </w:rPr>
      </w:pPr>
    </w:p>
    <w:p w14:paraId="0757A30A" w14:textId="77777777" w:rsidR="00266E67" w:rsidRPr="00155A7C" w:rsidRDefault="00266E67" w:rsidP="00E15661">
      <w:pPr>
        <w:ind w:left="851"/>
        <w:rPr>
          <w:sz w:val="24"/>
          <w:szCs w:val="24"/>
          <w:lang w:eastAsia="fr-FR"/>
        </w:rPr>
      </w:pPr>
      <w:r w:rsidRPr="00155A7C">
        <w:rPr>
          <w:sz w:val="24"/>
          <w:szCs w:val="24"/>
          <w:u w:val="single"/>
        </w:rPr>
        <w:t>Hjælpestof, som behandleren skal være opmærksom på</w:t>
      </w:r>
      <w:r w:rsidRPr="00155A7C">
        <w:rPr>
          <w:sz w:val="24"/>
          <w:szCs w:val="24"/>
          <w:lang w:eastAsia="fr-FR"/>
        </w:rPr>
        <w:t xml:space="preserve">: </w:t>
      </w:r>
    </w:p>
    <w:p w14:paraId="48167B91" w14:textId="77777777" w:rsidR="00266E67" w:rsidRPr="00155A7C" w:rsidRDefault="00266E67" w:rsidP="000007DA">
      <w:pPr>
        <w:tabs>
          <w:tab w:val="right" w:leader="dot" w:pos="9356"/>
        </w:tabs>
        <w:ind w:left="851"/>
        <w:rPr>
          <w:sz w:val="24"/>
          <w:szCs w:val="24"/>
          <w:lang w:eastAsia="fr-FR"/>
        </w:rPr>
      </w:pPr>
      <w:proofErr w:type="spellStart"/>
      <w:r w:rsidRPr="00155A7C">
        <w:rPr>
          <w:sz w:val="24"/>
          <w:szCs w:val="24"/>
        </w:rPr>
        <w:t>Phenylalanin</w:t>
      </w:r>
      <w:proofErr w:type="spellEnd"/>
      <w:r w:rsidRPr="00155A7C">
        <w:rPr>
          <w:sz w:val="24"/>
          <w:szCs w:val="24"/>
          <w:lang w:eastAsia="fr-FR"/>
        </w:rPr>
        <w:tab/>
        <w:t>4,1 mikrogram</w:t>
      </w:r>
    </w:p>
    <w:bookmarkEnd w:id="0"/>
    <w:p w14:paraId="3D3CB16E" w14:textId="77777777" w:rsidR="000007DA" w:rsidRDefault="000007DA" w:rsidP="00E15661">
      <w:pPr>
        <w:ind w:left="851"/>
        <w:rPr>
          <w:sz w:val="24"/>
          <w:szCs w:val="24"/>
        </w:rPr>
      </w:pPr>
    </w:p>
    <w:p w14:paraId="218F47B7" w14:textId="1459346B" w:rsidR="00266E67" w:rsidRPr="00155A7C" w:rsidRDefault="00266E67" w:rsidP="00E15661">
      <w:pPr>
        <w:ind w:left="851"/>
        <w:rPr>
          <w:sz w:val="24"/>
          <w:szCs w:val="24"/>
          <w:lang w:eastAsia="fr-FR"/>
        </w:rPr>
      </w:pPr>
      <w:r w:rsidRPr="00155A7C">
        <w:rPr>
          <w:sz w:val="24"/>
          <w:szCs w:val="24"/>
        </w:rPr>
        <w:t>Alle hjælpestoffer er anført under pkt. 6.1</w:t>
      </w:r>
      <w:r w:rsidRPr="00155A7C">
        <w:rPr>
          <w:sz w:val="24"/>
          <w:szCs w:val="24"/>
          <w:lang w:eastAsia="fr-FR"/>
        </w:rPr>
        <w:t>.</w:t>
      </w:r>
    </w:p>
    <w:p w14:paraId="42ED76D3" w14:textId="77777777" w:rsidR="000007DA" w:rsidRDefault="000007DA" w:rsidP="00E15661">
      <w:pPr>
        <w:ind w:left="851"/>
        <w:rPr>
          <w:sz w:val="24"/>
          <w:szCs w:val="24"/>
        </w:rPr>
      </w:pPr>
    </w:p>
    <w:p w14:paraId="10BEE963" w14:textId="5C6FAA84" w:rsidR="00266E67" w:rsidRPr="00155A7C" w:rsidRDefault="00266E67" w:rsidP="00E15661">
      <w:pPr>
        <w:ind w:left="851"/>
        <w:rPr>
          <w:sz w:val="24"/>
          <w:szCs w:val="24"/>
          <w:lang w:eastAsia="fr-FR"/>
        </w:rPr>
      </w:pPr>
      <w:proofErr w:type="spellStart"/>
      <w:r w:rsidRPr="00155A7C">
        <w:rPr>
          <w:sz w:val="24"/>
          <w:szCs w:val="24"/>
        </w:rPr>
        <w:t>Verorab</w:t>
      </w:r>
      <w:proofErr w:type="spellEnd"/>
      <w:r w:rsidRPr="00155A7C">
        <w:rPr>
          <w:rFonts w:eastAsia="Verdana"/>
          <w:sz w:val="24"/>
          <w:szCs w:val="24"/>
          <w:lang w:eastAsia="en-GB"/>
        </w:rPr>
        <w:t xml:space="preserve"> kan indeholde spor af </w:t>
      </w:r>
      <w:proofErr w:type="spellStart"/>
      <w:r w:rsidRPr="00155A7C">
        <w:rPr>
          <w:rFonts w:eastAsia="Verdana"/>
          <w:sz w:val="24"/>
          <w:szCs w:val="24"/>
          <w:lang w:eastAsia="en-GB"/>
        </w:rPr>
        <w:t>polymyxin</w:t>
      </w:r>
      <w:proofErr w:type="spellEnd"/>
      <w:r w:rsidRPr="00155A7C">
        <w:rPr>
          <w:rFonts w:eastAsia="Verdana"/>
          <w:sz w:val="24"/>
          <w:szCs w:val="24"/>
          <w:lang w:eastAsia="en-GB"/>
        </w:rPr>
        <w:t xml:space="preserve"> B, streptomycin og </w:t>
      </w:r>
      <w:proofErr w:type="spellStart"/>
      <w:r w:rsidRPr="00155A7C">
        <w:rPr>
          <w:rFonts w:eastAsia="Verdana"/>
          <w:sz w:val="24"/>
          <w:szCs w:val="24"/>
          <w:lang w:eastAsia="en-GB"/>
        </w:rPr>
        <w:t>neomycin</w:t>
      </w:r>
      <w:proofErr w:type="spellEnd"/>
      <w:r w:rsidRPr="00155A7C">
        <w:rPr>
          <w:rFonts w:eastAsia="Verdana"/>
          <w:sz w:val="24"/>
          <w:szCs w:val="24"/>
          <w:lang w:eastAsia="en-GB"/>
        </w:rPr>
        <w:t>, der anvendes i fremstillingsprocessen</w:t>
      </w:r>
      <w:r w:rsidRPr="00155A7C">
        <w:rPr>
          <w:sz w:val="24"/>
          <w:szCs w:val="24"/>
          <w:lang w:eastAsia="fr-FR"/>
        </w:rPr>
        <w:t xml:space="preserve"> (se pkt. 4.3).</w:t>
      </w:r>
    </w:p>
    <w:p w14:paraId="0F9373D5" w14:textId="77777777" w:rsidR="009260DE" w:rsidRPr="00155A7C" w:rsidRDefault="009260DE" w:rsidP="000007DA">
      <w:pPr>
        <w:tabs>
          <w:tab w:val="left" w:pos="851"/>
          <w:tab w:val="right" w:leader="dot" w:pos="9356"/>
        </w:tabs>
        <w:ind w:left="851"/>
        <w:rPr>
          <w:sz w:val="24"/>
          <w:szCs w:val="24"/>
        </w:rPr>
      </w:pPr>
    </w:p>
    <w:p w14:paraId="26CF6196" w14:textId="77777777" w:rsidR="009260DE" w:rsidRPr="00155A7C" w:rsidRDefault="009260DE" w:rsidP="009260DE">
      <w:pPr>
        <w:tabs>
          <w:tab w:val="left" w:pos="851"/>
        </w:tabs>
        <w:ind w:left="851" w:hanging="851"/>
        <w:rPr>
          <w:b/>
          <w:sz w:val="24"/>
          <w:szCs w:val="24"/>
        </w:rPr>
      </w:pPr>
      <w:r w:rsidRPr="00155A7C">
        <w:rPr>
          <w:b/>
          <w:sz w:val="24"/>
          <w:szCs w:val="24"/>
        </w:rPr>
        <w:t>3.</w:t>
      </w:r>
      <w:r w:rsidRPr="00155A7C">
        <w:rPr>
          <w:b/>
          <w:sz w:val="24"/>
          <w:szCs w:val="24"/>
        </w:rPr>
        <w:tab/>
        <w:t>LÆGEMIDDELFORM</w:t>
      </w:r>
    </w:p>
    <w:p w14:paraId="1B507553" w14:textId="5BF94E55" w:rsidR="00DC083A" w:rsidRDefault="00266E67" w:rsidP="0094288C">
      <w:pPr>
        <w:ind w:left="851"/>
        <w:rPr>
          <w:sz w:val="24"/>
          <w:szCs w:val="24"/>
        </w:rPr>
      </w:pPr>
      <w:r w:rsidRPr="00155A7C">
        <w:rPr>
          <w:sz w:val="24"/>
          <w:szCs w:val="24"/>
        </w:rPr>
        <w:t>Pulver og solvens til injektionsvæske, suspension.</w:t>
      </w:r>
      <w:r w:rsidR="0094288C">
        <w:rPr>
          <w:sz w:val="24"/>
          <w:szCs w:val="24"/>
        </w:rPr>
        <w:t xml:space="preserve"> (</w:t>
      </w:r>
      <w:proofErr w:type="spellStart"/>
      <w:r w:rsidR="0094288C">
        <w:rPr>
          <w:sz w:val="24"/>
          <w:szCs w:val="24"/>
        </w:rPr>
        <w:t>Orifarm</w:t>
      </w:r>
      <w:proofErr w:type="spellEnd"/>
      <w:r w:rsidR="0094288C">
        <w:rPr>
          <w:sz w:val="24"/>
          <w:szCs w:val="24"/>
        </w:rPr>
        <w:t>)</w:t>
      </w:r>
    </w:p>
    <w:p w14:paraId="5400807F" w14:textId="77777777" w:rsidR="009260DE" w:rsidRPr="00155A7C" w:rsidRDefault="009260DE" w:rsidP="009260DE">
      <w:pPr>
        <w:tabs>
          <w:tab w:val="left" w:pos="851"/>
        </w:tabs>
        <w:ind w:left="851"/>
        <w:rPr>
          <w:sz w:val="24"/>
          <w:szCs w:val="24"/>
        </w:rPr>
      </w:pPr>
    </w:p>
    <w:p w14:paraId="78B19F74" w14:textId="77777777" w:rsidR="009260DE" w:rsidRPr="00155A7C" w:rsidRDefault="009260DE" w:rsidP="009260DE">
      <w:pPr>
        <w:tabs>
          <w:tab w:val="left" w:pos="851"/>
        </w:tabs>
        <w:ind w:left="851" w:hanging="851"/>
        <w:rPr>
          <w:b/>
          <w:sz w:val="24"/>
          <w:szCs w:val="24"/>
        </w:rPr>
      </w:pPr>
      <w:r w:rsidRPr="00155A7C">
        <w:rPr>
          <w:b/>
          <w:sz w:val="24"/>
          <w:szCs w:val="24"/>
        </w:rPr>
        <w:t>4.</w:t>
      </w:r>
      <w:r w:rsidRPr="00155A7C">
        <w:rPr>
          <w:b/>
          <w:sz w:val="24"/>
          <w:szCs w:val="24"/>
        </w:rPr>
        <w:tab/>
        <w:t>KLINISKE OPLYSNINGER</w:t>
      </w:r>
    </w:p>
    <w:p w14:paraId="513F2F15" w14:textId="77777777" w:rsidR="009260DE" w:rsidRPr="00155A7C" w:rsidRDefault="009260DE" w:rsidP="009260DE">
      <w:pPr>
        <w:tabs>
          <w:tab w:val="left" w:pos="851"/>
        </w:tabs>
        <w:ind w:left="851"/>
        <w:rPr>
          <w:b/>
          <w:sz w:val="24"/>
          <w:szCs w:val="24"/>
        </w:rPr>
      </w:pPr>
    </w:p>
    <w:p w14:paraId="7FFE21E6" w14:textId="77777777" w:rsidR="009260DE" w:rsidRPr="00155A7C" w:rsidRDefault="009260DE" w:rsidP="009260DE">
      <w:pPr>
        <w:tabs>
          <w:tab w:val="left" w:pos="851"/>
        </w:tabs>
        <w:ind w:left="851" w:hanging="851"/>
        <w:rPr>
          <w:b/>
          <w:sz w:val="24"/>
          <w:szCs w:val="24"/>
          <w:u w:val="single"/>
        </w:rPr>
      </w:pPr>
      <w:r w:rsidRPr="00155A7C">
        <w:rPr>
          <w:b/>
          <w:sz w:val="24"/>
          <w:szCs w:val="24"/>
        </w:rPr>
        <w:t>4.1</w:t>
      </w:r>
      <w:r w:rsidRPr="00155A7C">
        <w:rPr>
          <w:b/>
          <w:sz w:val="24"/>
          <w:szCs w:val="24"/>
        </w:rPr>
        <w:tab/>
        <w:t>Terapeutiske indikationer</w:t>
      </w:r>
    </w:p>
    <w:p w14:paraId="387FF288" w14:textId="77777777" w:rsidR="00266E67" w:rsidRPr="00155A7C" w:rsidRDefault="00266E67" w:rsidP="00E15661">
      <w:pPr>
        <w:ind w:left="851"/>
        <w:rPr>
          <w:sz w:val="24"/>
          <w:szCs w:val="24"/>
          <w:lang w:eastAsia="fr-FR"/>
        </w:rPr>
      </w:pPr>
      <w:proofErr w:type="spellStart"/>
      <w:r w:rsidRPr="00155A7C">
        <w:rPr>
          <w:sz w:val="24"/>
          <w:szCs w:val="24"/>
          <w:lang w:eastAsia="fr-FR"/>
        </w:rPr>
        <w:t>Verorab</w:t>
      </w:r>
      <w:proofErr w:type="spellEnd"/>
      <w:r w:rsidRPr="00155A7C">
        <w:rPr>
          <w:sz w:val="24"/>
          <w:szCs w:val="24"/>
          <w:lang w:eastAsia="fr-FR"/>
        </w:rPr>
        <w:t xml:space="preserve"> er indiceret til præ- og post-eksponeringsprofylakse mod rabies i alle aldersgrupper (se pkt. 4.2 og 5.1).</w:t>
      </w:r>
    </w:p>
    <w:p w14:paraId="54EAC807" w14:textId="77777777" w:rsidR="00495FC0" w:rsidRDefault="00495FC0" w:rsidP="00E15661">
      <w:pPr>
        <w:ind w:left="851"/>
        <w:rPr>
          <w:sz w:val="24"/>
          <w:szCs w:val="24"/>
          <w:lang w:eastAsia="fr-FR"/>
        </w:rPr>
      </w:pPr>
    </w:p>
    <w:p w14:paraId="1F881B0F" w14:textId="4DC33591" w:rsidR="00266E67" w:rsidRPr="00155A7C" w:rsidRDefault="00266E67" w:rsidP="00E15661">
      <w:pPr>
        <w:ind w:left="851"/>
        <w:rPr>
          <w:sz w:val="24"/>
          <w:szCs w:val="24"/>
          <w:lang w:eastAsia="fr-FR"/>
        </w:rPr>
      </w:pPr>
      <w:proofErr w:type="spellStart"/>
      <w:r w:rsidRPr="00155A7C">
        <w:rPr>
          <w:sz w:val="24"/>
          <w:szCs w:val="24"/>
          <w:lang w:eastAsia="fr-FR"/>
        </w:rPr>
        <w:t>Verorab</w:t>
      </w:r>
      <w:proofErr w:type="spellEnd"/>
      <w:r w:rsidRPr="00155A7C">
        <w:rPr>
          <w:sz w:val="24"/>
          <w:szCs w:val="24"/>
          <w:lang w:eastAsia="fr-FR"/>
        </w:rPr>
        <w:t xml:space="preserve"> skal anvendes i overensstemmelse med officielle anbefalinger.</w:t>
      </w:r>
    </w:p>
    <w:p w14:paraId="4424DA92" w14:textId="77777777" w:rsidR="009260DE" w:rsidRPr="00155A7C" w:rsidRDefault="009260DE" w:rsidP="009260DE">
      <w:pPr>
        <w:tabs>
          <w:tab w:val="left" w:pos="851"/>
        </w:tabs>
        <w:ind w:left="851"/>
        <w:rPr>
          <w:sz w:val="24"/>
          <w:szCs w:val="24"/>
        </w:rPr>
      </w:pPr>
    </w:p>
    <w:p w14:paraId="54E1E1B6" w14:textId="77777777" w:rsidR="009260DE" w:rsidRPr="00155A7C" w:rsidRDefault="009260DE" w:rsidP="009260DE">
      <w:pPr>
        <w:tabs>
          <w:tab w:val="left" w:pos="851"/>
        </w:tabs>
        <w:ind w:left="851" w:hanging="851"/>
        <w:rPr>
          <w:b/>
          <w:sz w:val="24"/>
          <w:szCs w:val="24"/>
        </w:rPr>
      </w:pPr>
      <w:r w:rsidRPr="00155A7C">
        <w:rPr>
          <w:b/>
          <w:sz w:val="24"/>
          <w:szCs w:val="24"/>
        </w:rPr>
        <w:lastRenderedPageBreak/>
        <w:t>4.2</w:t>
      </w:r>
      <w:r w:rsidRPr="00155A7C">
        <w:rPr>
          <w:b/>
          <w:sz w:val="24"/>
          <w:szCs w:val="24"/>
        </w:rPr>
        <w:tab/>
        <w:t xml:space="preserve">Dosering og </w:t>
      </w:r>
      <w:r w:rsidR="002C1EC0" w:rsidRPr="00155A7C">
        <w:rPr>
          <w:b/>
          <w:sz w:val="24"/>
          <w:szCs w:val="24"/>
        </w:rPr>
        <w:t>administration</w:t>
      </w:r>
    </w:p>
    <w:p w14:paraId="39D23132" w14:textId="77777777" w:rsidR="00495FC0" w:rsidRDefault="00495FC0" w:rsidP="00E15661">
      <w:pPr>
        <w:ind w:left="851"/>
        <w:rPr>
          <w:sz w:val="24"/>
          <w:szCs w:val="24"/>
        </w:rPr>
      </w:pPr>
    </w:p>
    <w:p w14:paraId="10FFD31D" w14:textId="77777777" w:rsidR="008446A4" w:rsidRPr="00495FC0" w:rsidRDefault="008446A4" w:rsidP="008446A4">
      <w:pPr>
        <w:ind w:left="851"/>
        <w:rPr>
          <w:sz w:val="24"/>
          <w:szCs w:val="24"/>
          <w:u w:val="single"/>
        </w:rPr>
      </w:pPr>
      <w:r w:rsidRPr="00495FC0">
        <w:rPr>
          <w:sz w:val="24"/>
          <w:szCs w:val="24"/>
          <w:u w:val="single"/>
        </w:rPr>
        <w:t>Dosering</w:t>
      </w:r>
    </w:p>
    <w:p w14:paraId="4152B1AA" w14:textId="77777777" w:rsidR="008446A4" w:rsidRPr="00495FC0" w:rsidRDefault="008446A4" w:rsidP="008446A4">
      <w:pPr>
        <w:ind w:left="851"/>
        <w:rPr>
          <w:sz w:val="24"/>
          <w:szCs w:val="24"/>
        </w:rPr>
      </w:pPr>
      <w:r w:rsidRPr="00495FC0">
        <w:rPr>
          <w:sz w:val="24"/>
          <w:szCs w:val="24"/>
        </w:rPr>
        <w:t xml:space="preserve">Den anbefalede dosis er 0,5 ml </w:t>
      </w:r>
      <w:proofErr w:type="spellStart"/>
      <w:r w:rsidRPr="00495FC0">
        <w:rPr>
          <w:sz w:val="24"/>
          <w:szCs w:val="24"/>
        </w:rPr>
        <w:t>rekonstitueret</w:t>
      </w:r>
      <w:proofErr w:type="spellEnd"/>
      <w:r w:rsidRPr="00495FC0">
        <w:rPr>
          <w:sz w:val="24"/>
          <w:szCs w:val="24"/>
        </w:rPr>
        <w:t xml:space="preserve"> vaccine administreret intramuskulært (</w:t>
      </w:r>
      <w:proofErr w:type="spellStart"/>
      <w:r w:rsidRPr="00495FC0">
        <w:rPr>
          <w:sz w:val="24"/>
          <w:szCs w:val="24"/>
        </w:rPr>
        <w:t>i.m</w:t>
      </w:r>
      <w:proofErr w:type="spellEnd"/>
      <w:r w:rsidRPr="00495FC0">
        <w:rPr>
          <w:sz w:val="24"/>
          <w:szCs w:val="24"/>
        </w:rPr>
        <w:t xml:space="preserve">.) eller 0,1 ml </w:t>
      </w:r>
      <w:proofErr w:type="spellStart"/>
      <w:r w:rsidRPr="00495FC0">
        <w:rPr>
          <w:sz w:val="24"/>
          <w:szCs w:val="24"/>
        </w:rPr>
        <w:t>rekonstitueret</w:t>
      </w:r>
      <w:proofErr w:type="spellEnd"/>
      <w:r w:rsidRPr="00495FC0">
        <w:rPr>
          <w:sz w:val="24"/>
          <w:szCs w:val="24"/>
        </w:rPr>
        <w:t xml:space="preserve"> vaccine administreret </w:t>
      </w:r>
      <w:proofErr w:type="spellStart"/>
      <w:r w:rsidRPr="00495FC0">
        <w:rPr>
          <w:sz w:val="24"/>
          <w:szCs w:val="24"/>
        </w:rPr>
        <w:t>intradermalt</w:t>
      </w:r>
      <w:proofErr w:type="spellEnd"/>
      <w:r w:rsidRPr="00495FC0">
        <w:rPr>
          <w:sz w:val="24"/>
          <w:szCs w:val="24"/>
        </w:rPr>
        <w:t xml:space="preserve"> (</w:t>
      </w:r>
      <w:proofErr w:type="spellStart"/>
      <w:r w:rsidRPr="00495FC0">
        <w:rPr>
          <w:sz w:val="24"/>
          <w:szCs w:val="24"/>
        </w:rPr>
        <w:t>i.d</w:t>
      </w:r>
      <w:proofErr w:type="spellEnd"/>
      <w:r w:rsidRPr="00495FC0">
        <w:rPr>
          <w:sz w:val="24"/>
          <w:szCs w:val="24"/>
        </w:rPr>
        <w:t>.)</w:t>
      </w:r>
      <w:r>
        <w:rPr>
          <w:sz w:val="24"/>
          <w:szCs w:val="24"/>
        </w:rPr>
        <w:t xml:space="preserve"> på hvert injektionssted.</w:t>
      </w:r>
      <w:r w:rsidRPr="00495FC0">
        <w:rPr>
          <w:sz w:val="24"/>
          <w:szCs w:val="24"/>
        </w:rPr>
        <w:t xml:space="preserve"> </w:t>
      </w:r>
    </w:p>
    <w:p w14:paraId="1C768E18" w14:textId="77777777" w:rsidR="008446A4" w:rsidRDefault="008446A4" w:rsidP="008446A4">
      <w:pPr>
        <w:ind w:left="851"/>
        <w:rPr>
          <w:i/>
          <w:sz w:val="24"/>
          <w:szCs w:val="24"/>
        </w:rPr>
      </w:pPr>
    </w:p>
    <w:p w14:paraId="0B35DF33" w14:textId="77777777" w:rsidR="008446A4" w:rsidRPr="00155A7C" w:rsidRDefault="008446A4" w:rsidP="008446A4">
      <w:pPr>
        <w:ind w:left="851"/>
        <w:rPr>
          <w:i/>
          <w:sz w:val="24"/>
          <w:szCs w:val="24"/>
        </w:rPr>
      </w:pPr>
      <w:r w:rsidRPr="00155A7C">
        <w:rPr>
          <w:i/>
          <w:sz w:val="24"/>
          <w:szCs w:val="24"/>
        </w:rPr>
        <w:t>Præ-eksponeringsprofylakse</w:t>
      </w:r>
    </w:p>
    <w:p w14:paraId="2CC06F03" w14:textId="77777777" w:rsidR="008446A4" w:rsidRDefault="008446A4" w:rsidP="008446A4">
      <w:pPr>
        <w:ind w:left="851"/>
        <w:rPr>
          <w:sz w:val="24"/>
          <w:szCs w:val="24"/>
        </w:rPr>
      </w:pPr>
      <w:bookmarkStart w:id="1" w:name="_Hlk71039110"/>
      <w:r>
        <w:rPr>
          <w:sz w:val="24"/>
          <w:szCs w:val="24"/>
        </w:rPr>
        <w:t>Ved primær præ-eksponeringsimmunisering kan immunkompetente personer vaccineres i henhold til en af vaccinationsplanerne, præsenteret i tabel 1, og i henhold til lokale officielle anbefalinger, når de foreligger:</w:t>
      </w:r>
    </w:p>
    <w:p w14:paraId="6D6F8481" w14:textId="77777777" w:rsidR="008446A4" w:rsidRDefault="008446A4" w:rsidP="008446A4">
      <w:pPr>
        <w:ind w:left="851"/>
        <w:rPr>
          <w:sz w:val="24"/>
          <w:szCs w:val="24"/>
        </w:rPr>
      </w:pPr>
    </w:p>
    <w:p w14:paraId="6A3B2E77" w14:textId="08DF42B6" w:rsidR="008446A4" w:rsidRPr="003B582C" w:rsidRDefault="008446A4" w:rsidP="008446A4">
      <w:pPr>
        <w:keepNext/>
        <w:keepLines/>
        <w:spacing w:after="120"/>
        <w:rPr>
          <w:bCs/>
          <w:szCs w:val="22"/>
        </w:rPr>
      </w:pPr>
      <w:bookmarkStart w:id="2" w:name="_Ref73984545"/>
      <w:bookmarkStart w:id="3" w:name="_Toc73978254"/>
      <w:r w:rsidRPr="004C2082">
        <w:rPr>
          <w:bCs/>
          <w:szCs w:val="22"/>
        </w:rPr>
        <w:t>Tabel</w:t>
      </w:r>
      <w:r>
        <w:rPr>
          <w:bCs/>
          <w:szCs w:val="22"/>
        </w:rPr>
        <w:t> </w:t>
      </w:r>
      <w:r w:rsidRPr="004C2082">
        <w:rPr>
          <w:bCs/>
          <w:szCs w:val="22"/>
        </w:rPr>
        <w:fldChar w:fldCharType="begin"/>
      </w:r>
      <w:r w:rsidRPr="004C2082">
        <w:rPr>
          <w:bCs/>
          <w:szCs w:val="22"/>
        </w:rPr>
        <w:instrText xml:space="preserve"> SEQ Table \* ARABIC </w:instrText>
      </w:r>
      <w:r w:rsidRPr="004C2082">
        <w:rPr>
          <w:bCs/>
          <w:szCs w:val="22"/>
        </w:rPr>
        <w:fldChar w:fldCharType="separate"/>
      </w:r>
      <w:r w:rsidR="0094288C">
        <w:rPr>
          <w:bCs/>
          <w:noProof/>
          <w:szCs w:val="22"/>
        </w:rPr>
        <w:t>1</w:t>
      </w:r>
      <w:r w:rsidRPr="004C2082">
        <w:rPr>
          <w:bCs/>
          <w:szCs w:val="22"/>
        </w:rPr>
        <w:fldChar w:fldCharType="end"/>
      </w:r>
      <w:bookmarkEnd w:id="2"/>
      <w:r w:rsidRPr="004C2082">
        <w:rPr>
          <w:bCs/>
          <w:szCs w:val="22"/>
        </w:rPr>
        <w:t xml:space="preserve">: </w:t>
      </w:r>
      <w:bookmarkEnd w:id="3"/>
      <w:r>
        <w:rPr>
          <w:bCs/>
          <w:szCs w:val="22"/>
        </w:rPr>
        <w:t>Præ-eksponerings</w:t>
      </w:r>
      <w:r w:rsidRPr="004C2082">
        <w:rPr>
          <w:bCs/>
          <w:szCs w:val="22"/>
        </w:rPr>
        <w:t>vaccinations</w:t>
      </w:r>
      <w:r>
        <w:rPr>
          <w:bCs/>
          <w:szCs w:val="22"/>
        </w:rPr>
        <w:t>planer</w:t>
      </w:r>
      <w:r w:rsidRPr="004C2082">
        <w:rPr>
          <w:bCs/>
          <w:szCs w:val="22"/>
        </w:rPr>
        <w:fldChar w:fldCharType="begin"/>
      </w:r>
      <w:r w:rsidRPr="004C2082">
        <w:rPr>
          <w:bCs/>
          <w:szCs w:val="22"/>
        </w:rPr>
        <w:instrText xml:space="preserve"> DOCVARIABLE vault_nd_95212fc9-2ce6-45cb-82ff-a55be965fb89 \* MERGEFORMAT </w:instrText>
      </w:r>
      <w:r w:rsidRPr="004C2082">
        <w:rPr>
          <w:bCs/>
          <w:szCs w:val="22"/>
        </w:rPr>
        <w:fldChar w:fldCharType="separate"/>
      </w:r>
      <w:r w:rsidRPr="004C2082">
        <w:rPr>
          <w:bCs/>
          <w:szCs w:val="22"/>
        </w:rPr>
        <w:t xml:space="preserve"> </w:t>
      </w:r>
      <w:r w:rsidRPr="004C2082">
        <w:rPr>
          <w:bCs/>
          <w:szCs w:val="22"/>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032"/>
        <w:gridCol w:w="2032"/>
        <w:gridCol w:w="2032"/>
      </w:tblGrid>
      <w:tr w:rsidR="008446A4" w:rsidRPr="00EE10E0" w14:paraId="3136019C" w14:textId="77777777" w:rsidTr="00A32762">
        <w:tc>
          <w:tcPr>
            <w:tcW w:w="3289" w:type="dxa"/>
            <w:shd w:val="clear" w:color="auto" w:fill="auto"/>
          </w:tcPr>
          <w:p w14:paraId="7B7270C1" w14:textId="77777777" w:rsidR="008446A4" w:rsidRPr="00763905" w:rsidRDefault="008446A4" w:rsidP="00A32762">
            <w:pPr>
              <w:spacing w:before="60"/>
              <w:rPr>
                <w:b/>
                <w:bCs/>
                <w:szCs w:val="22"/>
              </w:rPr>
            </w:pPr>
          </w:p>
        </w:tc>
        <w:tc>
          <w:tcPr>
            <w:tcW w:w="2032" w:type="dxa"/>
            <w:shd w:val="clear" w:color="auto" w:fill="auto"/>
          </w:tcPr>
          <w:p w14:paraId="705CA109" w14:textId="77777777" w:rsidR="008446A4" w:rsidRPr="00763905" w:rsidRDefault="008446A4" w:rsidP="00A32762">
            <w:pPr>
              <w:keepNext/>
              <w:spacing w:before="60"/>
              <w:rPr>
                <w:b/>
                <w:bCs/>
                <w:szCs w:val="22"/>
              </w:rPr>
            </w:pPr>
            <w:r w:rsidRPr="00763905">
              <w:rPr>
                <w:b/>
                <w:bCs/>
                <w:szCs w:val="22"/>
              </w:rPr>
              <w:t>D0</w:t>
            </w:r>
          </w:p>
        </w:tc>
        <w:tc>
          <w:tcPr>
            <w:tcW w:w="2032" w:type="dxa"/>
            <w:shd w:val="clear" w:color="auto" w:fill="auto"/>
          </w:tcPr>
          <w:p w14:paraId="2C9AB91A" w14:textId="77777777" w:rsidR="008446A4" w:rsidRPr="00763905" w:rsidRDefault="008446A4" w:rsidP="00A32762">
            <w:pPr>
              <w:keepNext/>
              <w:spacing w:before="60"/>
              <w:rPr>
                <w:b/>
                <w:bCs/>
                <w:szCs w:val="22"/>
              </w:rPr>
            </w:pPr>
            <w:r w:rsidRPr="00763905">
              <w:rPr>
                <w:b/>
                <w:bCs/>
                <w:szCs w:val="22"/>
              </w:rPr>
              <w:t>D7</w:t>
            </w:r>
          </w:p>
        </w:tc>
        <w:tc>
          <w:tcPr>
            <w:tcW w:w="2032" w:type="dxa"/>
            <w:shd w:val="clear" w:color="auto" w:fill="auto"/>
          </w:tcPr>
          <w:p w14:paraId="46BBE466" w14:textId="77777777" w:rsidR="008446A4" w:rsidRPr="00763905" w:rsidRDefault="008446A4" w:rsidP="00A32762">
            <w:pPr>
              <w:keepNext/>
              <w:spacing w:before="60"/>
              <w:rPr>
                <w:b/>
                <w:bCs/>
                <w:szCs w:val="22"/>
              </w:rPr>
            </w:pPr>
            <w:r w:rsidRPr="00763905">
              <w:rPr>
                <w:b/>
                <w:bCs/>
                <w:szCs w:val="22"/>
              </w:rPr>
              <w:t xml:space="preserve">D21 </w:t>
            </w:r>
            <w:r>
              <w:rPr>
                <w:b/>
                <w:bCs/>
                <w:szCs w:val="22"/>
              </w:rPr>
              <w:t>eller</w:t>
            </w:r>
            <w:r w:rsidRPr="00763905">
              <w:rPr>
                <w:b/>
                <w:bCs/>
                <w:szCs w:val="22"/>
              </w:rPr>
              <w:t xml:space="preserve"> D28</w:t>
            </w:r>
          </w:p>
        </w:tc>
      </w:tr>
      <w:tr w:rsidR="008446A4" w:rsidRPr="00EE10E0" w14:paraId="17AA9E0B" w14:textId="77777777" w:rsidTr="00A32762">
        <w:tc>
          <w:tcPr>
            <w:tcW w:w="9385" w:type="dxa"/>
            <w:gridSpan w:val="4"/>
            <w:shd w:val="clear" w:color="auto" w:fill="auto"/>
          </w:tcPr>
          <w:p w14:paraId="7FE88E5E" w14:textId="77777777" w:rsidR="008446A4" w:rsidRPr="00763905" w:rsidRDefault="008446A4" w:rsidP="00A32762">
            <w:pPr>
              <w:spacing w:before="60" w:after="60"/>
              <w:jc w:val="center"/>
              <w:rPr>
                <w:szCs w:val="22"/>
              </w:rPr>
            </w:pPr>
            <w:r w:rsidRPr="00763905">
              <w:rPr>
                <w:szCs w:val="22"/>
              </w:rPr>
              <w:t>Intramus</w:t>
            </w:r>
            <w:r>
              <w:rPr>
                <w:szCs w:val="22"/>
              </w:rPr>
              <w:t>k</w:t>
            </w:r>
            <w:r w:rsidRPr="00763905">
              <w:rPr>
                <w:szCs w:val="22"/>
              </w:rPr>
              <w:t>ulær</w:t>
            </w:r>
            <w:r>
              <w:rPr>
                <w:szCs w:val="22"/>
              </w:rPr>
              <w:t>t</w:t>
            </w:r>
            <w:r w:rsidRPr="00763905">
              <w:rPr>
                <w:szCs w:val="22"/>
              </w:rPr>
              <w:t xml:space="preserve"> (0,5</w:t>
            </w:r>
            <w:r>
              <w:rPr>
                <w:szCs w:val="22"/>
              </w:rPr>
              <w:t> </w:t>
            </w:r>
            <w:r w:rsidRPr="00763905">
              <w:rPr>
                <w:szCs w:val="22"/>
              </w:rPr>
              <w:t>ml pr. dosis)</w:t>
            </w:r>
          </w:p>
        </w:tc>
      </w:tr>
      <w:tr w:rsidR="008446A4" w:rsidRPr="00EE10E0" w14:paraId="0416E94C" w14:textId="77777777" w:rsidTr="00A32762">
        <w:tc>
          <w:tcPr>
            <w:tcW w:w="3289" w:type="dxa"/>
            <w:shd w:val="clear" w:color="auto" w:fill="auto"/>
          </w:tcPr>
          <w:p w14:paraId="077DC312" w14:textId="77777777" w:rsidR="008446A4" w:rsidRPr="00763905" w:rsidRDefault="008446A4" w:rsidP="00A32762">
            <w:pPr>
              <w:spacing w:before="60"/>
              <w:rPr>
                <w:szCs w:val="22"/>
              </w:rPr>
            </w:pPr>
            <w:r>
              <w:rPr>
                <w:szCs w:val="22"/>
              </w:rPr>
              <w:t>3</w:t>
            </w:r>
            <w:r w:rsidRPr="00763905">
              <w:rPr>
                <w:szCs w:val="22"/>
              </w:rPr>
              <w:t>-dosis</w:t>
            </w:r>
            <w:r>
              <w:rPr>
                <w:szCs w:val="22"/>
              </w:rPr>
              <w:t>-regime</w:t>
            </w:r>
          </w:p>
          <w:p w14:paraId="7EB1506B" w14:textId="77777777" w:rsidR="008446A4" w:rsidRPr="00763905" w:rsidRDefault="008446A4" w:rsidP="00A32762">
            <w:pPr>
              <w:spacing w:after="60"/>
              <w:rPr>
                <w:szCs w:val="22"/>
              </w:rPr>
            </w:pPr>
            <w:proofErr w:type="spellStart"/>
            <w:r w:rsidRPr="00763905">
              <w:rPr>
                <w:szCs w:val="22"/>
              </w:rPr>
              <w:t>i.m</w:t>
            </w:r>
            <w:proofErr w:type="spellEnd"/>
            <w:r>
              <w:rPr>
                <w:szCs w:val="22"/>
              </w:rPr>
              <w:t>. administrationsvej</w:t>
            </w:r>
            <w:r w:rsidRPr="00763905">
              <w:rPr>
                <w:szCs w:val="22"/>
              </w:rPr>
              <w:t xml:space="preserve"> – 0,5</w:t>
            </w:r>
            <w:r>
              <w:rPr>
                <w:szCs w:val="22"/>
              </w:rPr>
              <w:t> </w:t>
            </w:r>
            <w:r w:rsidRPr="00763905">
              <w:rPr>
                <w:szCs w:val="22"/>
              </w:rPr>
              <w:t>ml</w:t>
            </w:r>
          </w:p>
        </w:tc>
        <w:tc>
          <w:tcPr>
            <w:tcW w:w="2032" w:type="dxa"/>
            <w:shd w:val="clear" w:color="auto" w:fill="auto"/>
          </w:tcPr>
          <w:p w14:paraId="736712A0" w14:textId="77777777" w:rsidR="008446A4" w:rsidRPr="00763905" w:rsidRDefault="008446A4" w:rsidP="00A32762">
            <w:pPr>
              <w:spacing w:before="60" w:after="60"/>
              <w:rPr>
                <w:szCs w:val="22"/>
              </w:rPr>
            </w:pPr>
            <w:r w:rsidRPr="00763905">
              <w:rPr>
                <w:szCs w:val="22"/>
              </w:rPr>
              <w:t>1</w:t>
            </w:r>
            <w:r>
              <w:rPr>
                <w:szCs w:val="22"/>
              </w:rPr>
              <w:t> </w:t>
            </w:r>
            <w:r w:rsidRPr="00763905">
              <w:rPr>
                <w:szCs w:val="22"/>
              </w:rPr>
              <w:t>dosis</w:t>
            </w:r>
          </w:p>
        </w:tc>
        <w:tc>
          <w:tcPr>
            <w:tcW w:w="2032" w:type="dxa"/>
            <w:shd w:val="clear" w:color="auto" w:fill="auto"/>
          </w:tcPr>
          <w:p w14:paraId="54428AC5" w14:textId="77777777" w:rsidR="008446A4" w:rsidRPr="00763905" w:rsidRDefault="008446A4" w:rsidP="00A32762">
            <w:pPr>
              <w:spacing w:before="60" w:after="60"/>
              <w:rPr>
                <w:szCs w:val="22"/>
              </w:rPr>
            </w:pPr>
            <w:r w:rsidRPr="00763905">
              <w:rPr>
                <w:szCs w:val="22"/>
              </w:rPr>
              <w:t>1</w:t>
            </w:r>
            <w:r>
              <w:rPr>
                <w:szCs w:val="22"/>
              </w:rPr>
              <w:t> </w:t>
            </w:r>
            <w:r w:rsidRPr="00763905">
              <w:rPr>
                <w:szCs w:val="22"/>
              </w:rPr>
              <w:t>dosis</w:t>
            </w:r>
          </w:p>
        </w:tc>
        <w:tc>
          <w:tcPr>
            <w:tcW w:w="2032" w:type="dxa"/>
            <w:shd w:val="clear" w:color="auto" w:fill="auto"/>
          </w:tcPr>
          <w:p w14:paraId="17D29125" w14:textId="77777777" w:rsidR="008446A4" w:rsidRPr="00763905" w:rsidRDefault="008446A4" w:rsidP="00A32762">
            <w:pPr>
              <w:spacing w:before="60" w:after="60"/>
              <w:rPr>
                <w:szCs w:val="22"/>
              </w:rPr>
            </w:pPr>
            <w:r w:rsidRPr="00763905">
              <w:rPr>
                <w:szCs w:val="22"/>
              </w:rPr>
              <w:t>1</w:t>
            </w:r>
            <w:r>
              <w:rPr>
                <w:szCs w:val="22"/>
              </w:rPr>
              <w:t> </w:t>
            </w:r>
            <w:r w:rsidRPr="00763905">
              <w:rPr>
                <w:szCs w:val="22"/>
              </w:rPr>
              <w:t>dosis</w:t>
            </w:r>
          </w:p>
        </w:tc>
      </w:tr>
      <w:tr w:rsidR="008446A4" w:rsidRPr="00EE10E0" w14:paraId="27DEC716" w14:textId="77777777" w:rsidTr="00A32762">
        <w:tc>
          <w:tcPr>
            <w:tcW w:w="3289" w:type="dxa"/>
            <w:shd w:val="clear" w:color="auto" w:fill="auto"/>
          </w:tcPr>
          <w:p w14:paraId="7E00CC91" w14:textId="77777777" w:rsidR="008446A4" w:rsidRPr="00763905" w:rsidRDefault="008446A4" w:rsidP="00A32762">
            <w:pPr>
              <w:spacing w:before="60"/>
              <w:rPr>
                <w:szCs w:val="22"/>
              </w:rPr>
            </w:pPr>
            <w:r>
              <w:rPr>
                <w:szCs w:val="22"/>
              </w:rPr>
              <w:t>1</w:t>
            </w:r>
            <w:r w:rsidRPr="00763905">
              <w:rPr>
                <w:szCs w:val="22"/>
              </w:rPr>
              <w:t>-uge</w:t>
            </w:r>
            <w:r>
              <w:rPr>
                <w:szCs w:val="22"/>
              </w:rPr>
              <w:t>s-regime</w:t>
            </w:r>
            <w:r w:rsidRPr="00763905">
              <w:rPr>
                <w:b/>
                <w:bCs/>
                <w:szCs w:val="22"/>
                <w:vertAlign w:val="superscript"/>
              </w:rPr>
              <w:t>a</w:t>
            </w:r>
          </w:p>
          <w:p w14:paraId="7FB4CD35" w14:textId="77777777" w:rsidR="008446A4" w:rsidRPr="00763905" w:rsidRDefault="008446A4" w:rsidP="00A32762">
            <w:pPr>
              <w:rPr>
                <w:szCs w:val="22"/>
              </w:rPr>
            </w:pPr>
            <w:proofErr w:type="spellStart"/>
            <w:r w:rsidRPr="00763905">
              <w:rPr>
                <w:szCs w:val="22"/>
              </w:rPr>
              <w:t>i.m</w:t>
            </w:r>
            <w:proofErr w:type="spellEnd"/>
            <w:r>
              <w:rPr>
                <w:szCs w:val="22"/>
              </w:rPr>
              <w:t>. administrationsvej</w:t>
            </w:r>
            <w:r w:rsidRPr="00763905">
              <w:rPr>
                <w:szCs w:val="22"/>
              </w:rPr>
              <w:t xml:space="preserve"> – 0,5 ml</w:t>
            </w:r>
          </w:p>
        </w:tc>
        <w:tc>
          <w:tcPr>
            <w:tcW w:w="2032" w:type="dxa"/>
            <w:shd w:val="clear" w:color="auto" w:fill="auto"/>
          </w:tcPr>
          <w:p w14:paraId="5631783E" w14:textId="77777777" w:rsidR="008446A4" w:rsidRPr="00763905" w:rsidRDefault="008446A4" w:rsidP="00A32762">
            <w:pPr>
              <w:spacing w:before="60" w:after="60"/>
              <w:rPr>
                <w:szCs w:val="22"/>
              </w:rPr>
            </w:pPr>
            <w:r w:rsidRPr="00763905">
              <w:rPr>
                <w:szCs w:val="22"/>
              </w:rPr>
              <w:t>1</w:t>
            </w:r>
            <w:r>
              <w:rPr>
                <w:szCs w:val="22"/>
              </w:rPr>
              <w:t> </w:t>
            </w:r>
            <w:r w:rsidRPr="00763905">
              <w:rPr>
                <w:szCs w:val="22"/>
              </w:rPr>
              <w:t>dosis</w:t>
            </w:r>
          </w:p>
        </w:tc>
        <w:tc>
          <w:tcPr>
            <w:tcW w:w="2032" w:type="dxa"/>
            <w:shd w:val="clear" w:color="auto" w:fill="auto"/>
          </w:tcPr>
          <w:p w14:paraId="42DEC474" w14:textId="77777777" w:rsidR="008446A4" w:rsidRPr="00763905" w:rsidRDefault="008446A4" w:rsidP="00A32762">
            <w:pPr>
              <w:spacing w:before="60" w:after="60"/>
              <w:rPr>
                <w:szCs w:val="22"/>
              </w:rPr>
            </w:pPr>
            <w:r w:rsidRPr="00763905">
              <w:rPr>
                <w:szCs w:val="22"/>
              </w:rPr>
              <w:t>1</w:t>
            </w:r>
            <w:r>
              <w:rPr>
                <w:szCs w:val="22"/>
              </w:rPr>
              <w:t> </w:t>
            </w:r>
            <w:r w:rsidRPr="00763905">
              <w:rPr>
                <w:szCs w:val="22"/>
              </w:rPr>
              <w:t>dosis</w:t>
            </w:r>
          </w:p>
        </w:tc>
        <w:tc>
          <w:tcPr>
            <w:tcW w:w="2032" w:type="dxa"/>
            <w:shd w:val="clear" w:color="auto" w:fill="F2F2F2"/>
          </w:tcPr>
          <w:p w14:paraId="77237F7D" w14:textId="77777777" w:rsidR="008446A4" w:rsidRPr="00763905" w:rsidRDefault="008446A4" w:rsidP="00A32762">
            <w:pPr>
              <w:spacing w:before="60" w:after="60"/>
              <w:rPr>
                <w:szCs w:val="22"/>
              </w:rPr>
            </w:pPr>
          </w:p>
        </w:tc>
      </w:tr>
      <w:tr w:rsidR="008446A4" w:rsidRPr="00EE10E0" w14:paraId="13F33D59" w14:textId="77777777" w:rsidTr="00A32762">
        <w:tc>
          <w:tcPr>
            <w:tcW w:w="9385" w:type="dxa"/>
            <w:gridSpan w:val="4"/>
            <w:shd w:val="clear" w:color="auto" w:fill="auto"/>
          </w:tcPr>
          <w:p w14:paraId="28886764" w14:textId="77777777" w:rsidR="008446A4" w:rsidRPr="00763905" w:rsidRDefault="008446A4" w:rsidP="00A32762">
            <w:pPr>
              <w:spacing w:before="60" w:after="60"/>
              <w:jc w:val="center"/>
              <w:rPr>
                <w:szCs w:val="22"/>
              </w:rPr>
            </w:pPr>
            <w:proofErr w:type="spellStart"/>
            <w:r w:rsidRPr="00763905">
              <w:rPr>
                <w:szCs w:val="22"/>
              </w:rPr>
              <w:t>Intradermal</w:t>
            </w:r>
            <w:r>
              <w:rPr>
                <w:szCs w:val="22"/>
              </w:rPr>
              <w:t>t</w:t>
            </w:r>
            <w:proofErr w:type="spellEnd"/>
            <w:r>
              <w:rPr>
                <w:szCs w:val="22"/>
              </w:rPr>
              <w:t xml:space="preserve"> </w:t>
            </w:r>
            <w:r w:rsidRPr="00763905">
              <w:rPr>
                <w:szCs w:val="22"/>
              </w:rPr>
              <w:t>(0,1</w:t>
            </w:r>
            <w:r>
              <w:rPr>
                <w:szCs w:val="22"/>
              </w:rPr>
              <w:t> </w:t>
            </w:r>
            <w:r w:rsidRPr="00763905">
              <w:rPr>
                <w:szCs w:val="22"/>
              </w:rPr>
              <w:t>ml pr. dosis)</w:t>
            </w:r>
          </w:p>
        </w:tc>
      </w:tr>
      <w:tr w:rsidR="008446A4" w:rsidRPr="00EE10E0" w14:paraId="6454ADF9" w14:textId="77777777" w:rsidTr="00A32762">
        <w:tc>
          <w:tcPr>
            <w:tcW w:w="3289" w:type="dxa"/>
            <w:shd w:val="clear" w:color="auto" w:fill="auto"/>
          </w:tcPr>
          <w:p w14:paraId="758546E3" w14:textId="77777777" w:rsidR="008446A4" w:rsidRPr="003B582C" w:rsidRDefault="008446A4" w:rsidP="00A32762">
            <w:pPr>
              <w:spacing w:before="60"/>
              <w:rPr>
                <w:szCs w:val="22"/>
              </w:rPr>
            </w:pPr>
            <w:r w:rsidRPr="003B582C">
              <w:rPr>
                <w:szCs w:val="22"/>
              </w:rPr>
              <w:t>1-uges-regime</w:t>
            </w:r>
            <w:r w:rsidRPr="003B582C">
              <w:rPr>
                <w:szCs w:val="22"/>
                <w:vertAlign w:val="superscript"/>
              </w:rPr>
              <w:t>a</w:t>
            </w:r>
          </w:p>
          <w:p w14:paraId="14FD5E37" w14:textId="77777777" w:rsidR="008446A4" w:rsidRPr="00763905" w:rsidRDefault="008446A4" w:rsidP="00A32762">
            <w:pPr>
              <w:spacing w:before="60"/>
              <w:rPr>
                <w:szCs w:val="22"/>
              </w:rPr>
            </w:pPr>
            <w:proofErr w:type="spellStart"/>
            <w:r w:rsidRPr="00763905">
              <w:rPr>
                <w:szCs w:val="22"/>
              </w:rPr>
              <w:t>i.d</w:t>
            </w:r>
            <w:proofErr w:type="spellEnd"/>
            <w:r w:rsidRPr="00763905">
              <w:rPr>
                <w:szCs w:val="22"/>
              </w:rPr>
              <w:t>.</w:t>
            </w:r>
            <w:r>
              <w:rPr>
                <w:szCs w:val="22"/>
              </w:rPr>
              <w:t xml:space="preserve"> administrationsvej</w:t>
            </w:r>
            <w:r w:rsidRPr="00763905">
              <w:rPr>
                <w:szCs w:val="22"/>
              </w:rPr>
              <w:t xml:space="preserve"> – 0,1</w:t>
            </w:r>
            <w:r>
              <w:rPr>
                <w:szCs w:val="22"/>
              </w:rPr>
              <w:t> </w:t>
            </w:r>
            <w:r w:rsidRPr="00763905">
              <w:rPr>
                <w:szCs w:val="22"/>
              </w:rPr>
              <w:t>ml</w:t>
            </w:r>
          </w:p>
        </w:tc>
        <w:tc>
          <w:tcPr>
            <w:tcW w:w="2032" w:type="dxa"/>
            <w:shd w:val="clear" w:color="auto" w:fill="auto"/>
          </w:tcPr>
          <w:p w14:paraId="57141F3F" w14:textId="77777777" w:rsidR="008446A4" w:rsidRPr="00763905" w:rsidRDefault="008446A4" w:rsidP="00A32762">
            <w:pPr>
              <w:spacing w:before="60" w:after="60"/>
              <w:rPr>
                <w:szCs w:val="22"/>
              </w:rPr>
            </w:pPr>
            <w:r w:rsidRPr="00763905">
              <w:rPr>
                <w:szCs w:val="22"/>
              </w:rPr>
              <w:t>2</w:t>
            </w:r>
            <w:r>
              <w:rPr>
                <w:szCs w:val="22"/>
              </w:rPr>
              <w:t> </w:t>
            </w:r>
            <w:proofErr w:type="spellStart"/>
            <w:r w:rsidRPr="00763905">
              <w:rPr>
                <w:szCs w:val="22"/>
              </w:rPr>
              <w:t>doser</w:t>
            </w:r>
            <w:r w:rsidRPr="00763905">
              <w:rPr>
                <w:b/>
                <w:bCs/>
                <w:szCs w:val="22"/>
                <w:vertAlign w:val="superscript"/>
              </w:rPr>
              <w:t>b</w:t>
            </w:r>
            <w:proofErr w:type="spellEnd"/>
          </w:p>
        </w:tc>
        <w:tc>
          <w:tcPr>
            <w:tcW w:w="2032" w:type="dxa"/>
            <w:shd w:val="clear" w:color="auto" w:fill="auto"/>
          </w:tcPr>
          <w:p w14:paraId="39FFA7BA" w14:textId="77777777" w:rsidR="008446A4" w:rsidRPr="00763905" w:rsidRDefault="008446A4" w:rsidP="00A32762">
            <w:pPr>
              <w:spacing w:before="60" w:after="60"/>
              <w:rPr>
                <w:szCs w:val="22"/>
              </w:rPr>
            </w:pPr>
            <w:r w:rsidRPr="00763905">
              <w:rPr>
                <w:szCs w:val="22"/>
              </w:rPr>
              <w:t>2</w:t>
            </w:r>
            <w:r>
              <w:rPr>
                <w:szCs w:val="22"/>
              </w:rPr>
              <w:t> </w:t>
            </w:r>
            <w:proofErr w:type="spellStart"/>
            <w:r w:rsidRPr="00763905">
              <w:rPr>
                <w:szCs w:val="22"/>
              </w:rPr>
              <w:t>doser</w:t>
            </w:r>
            <w:r w:rsidRPr="00763905">
              <w:rPr>
                <w:b/>
                <w:bCs/>
                <w:szCs w:val="22"/>
                <w:vertAlign w:val="superscript"/>
              </w:rPr>
              <w:t>b</w:t>
            </w:r>
            <w:proofErr w:type="spellEnd"/>
          </w:p>
        </w:tc>
        <w:tc>
          <w:tcPr>
            <w:tcW w:w="2032" w:type="dxa"/>
            <w:shd w:val="clear" w:color="auto" w:fill="F2F2F2"/>
          </w:tcPr>
          <w:p w14:paraId="1FD25D5E" w14:textId="77777777" w:rsidR="008446A4" w:rsidRPr="00763905" w:rsidRDefault="008446A4" w:rsidP="00A32762">
            <w:pPr>
              <w:spacing w:before="60" w:after="60"/>
              <w:rPr>
                <w:szCs w:val="22"/>
              </w:rPr>
            </w:pPr>
          </w:p>
        </w:tc>
      </w:tr>
    </w:tbl>
    <w:p w14:paraId="1FA30698" w14:textId="77777777" w:rsidR="008446A4" w:rsidRPr="00763905" w:rsidRDefault="008446A4" w:rsidP="008446A4">
      <w:pPr>
        <w:ind w:left="142"/>
        <w:rPr>
          <w:sz w:val="18"/>
          <w:szCs w:val="18"/>
        </w:rPr>
      </w:pPr>
      <w:r w:rsidRPr="003B582C">
        <w:rPr>
          <w:sz w:val="18"/>
          <w:szCs w:val="18"/>
          <w:vertAlign w:val="superscript"/>
        </w:rPr>
        <w:t>a</w:t>
      </w:r>
      <w:r w:rsidRPr="00763905">
        <w:rPr>
          <w:sz w:val="18"/>
          <w:szCs w:val="18"/>
        </w:rPr>
        <w:t xml:space="preserve"> </w:t>
      </w:r>
      <w:r>
        <w:rPr>
          <w:sz w:val="18"/>
          <w:szCs w:val="18"/>
        </w:rPr>
        <w:t>-</w:t>
      </w:r>
      <w:r w:rsidRPr="00763905">
        <w:rPr>
          <w:sz w:val="18"/>
          <w:szCs w:val="18"/>
        </w:rPr>
        <w:t xml:space="preserve"> </w:t>
      </w:r>
      <w:r>
        <w:rPr>
          <w:sz w:val="18"/>
          <w:szCs w:val="18"/>
        </w:rPr>
        <w:t>Dette regime</w:t>
      </w:r>
      <w:r w:rsidRPr="00763905">
        <w:rPr>
          <w:sz w:val="18"/>
          <w:szCs w:val="18"/>
        </w:rPr>
        <w:t xml:space="preserve"> bør ikke </w:t>
      </w:r>
      <w:r>
        <w:rPr>
          <w:sz w:val="18"/>
          <w:szCs w:val="18"/>
        </w:rPr>
        <w:t>anvendes</w:t>
      </w:r>
      <w:r w:rsidRPr="00763905">
        <w:rPr>
          <w:sz w:val="18"/>
          <w:szCs w:val="18"/>
        </w:rPr>
        <w:t xml:space="preserve"> </w:t>
      </w:r>
      <w:r>
        <w:rPr>
          <w:sz w:val="18"/>
          <w:szCs w:val="18"/>
        </w:rPr>
        <w:t>til</w:t>
      </w:r>
      <w:r w:rsidRPr="00763905">
        <w:rPr>
          <w:sz w:val="18"/>
          <w:szCs w:val="18"/>
        </w:rPr>
        <w:t xml:space="preserve"> </w:t>
      </w:r>
      <w:r>
        <w:rPr>
          <w:sz w:val="18"/>
          <w:szCs w:val="18"/>
        </w:rPr>
        <w:t>personer</w:t>
      </w:r>
      <w:r w:rsidRPr="00763905">
        <w:rPr>
          <w:sz w:val="18"/>
          <w:szCs w:val="18"/>
        </w:rPr>
        <w:t xml:space="preserve"> med nedsat immunitet (se underafsnit “</w:t>
      </w:r>
      <w:r>
        <w:rPr>
          <w:sz w:val="18"/>
          <w:szCs w:val="18"/>
        </w:rPr>
        <w:t>Personer</w:t>
      </w:r>
      <w:r w:rsidRPr="00763905">
        <w:rPr>
          <w:sz w:val="18"/>
          <w:szCs w:val="18"/>
        </w:rPr>
        <w:t xml:space="preserve"> med nedsat immunitet”)</w:t>
      </w:r>
    </w:p>
    <w:p w14:paraId="4C40C697" w14:textId="77777777" w:rsidR="008446A4" w:rsidRPr="003B582C" w:rsidRDefault="008446A4" w:rsidP="008446A4">
      <w:pPr>
        <w:ind w:left="142"/>
        <w:rPr>
          <w:i/>
          <w:iCs/>
          <w:sz w:val="18"/>
          <w:szCs w:val="18"/>
        </w:rPr>
      </w:pPr>
      <w:r w:rsidRPr="003B582C">
        <w:rPr>
          <w:sz w:val="18"/>
          <w:szCs w:val="18"/>
          <w:vertAlign w:val="superscript"/>
        </w:rPr>
        <w:t>b</w:t>
      </w:r>
      <w:r w:rsidRPr="00763905">
        <w:rPr>
          <w:sz w:val="18"/>
          <w:szCs w:val="18"/>
        </w:rPr>
        <w:t xml:space="preserve"> </w:t>
      </w:r>
      <w:r>
        <w:rPr>
          <w:sz w:val="18"/>
          <w:szCs w:val="18"/>
        </w:rPr>
        <w:t>-</w:t>
      </w:r>
      <w:r w:rsidRPr="00763905">
        <w:rPr>
          <w:sz w:val="18"/>
          <w:szCs w:val="18"/>
        </w:rPr>
        <w:t xml:space="preserve"> En </w:t>
      </w:r>
      <w:r>
        <w:rPr>
          <w:sz w:val="18"/>
          <w:szCs w:val="18"/>
        </w:rPr>
        <w:t>injektion</w:t>
      </w:r>
      <w:r w:rsidRPr="00763905">
        <w:rPr>
          <w:sz w:val="18"/>
          <w:szCs w:val="18"/>
        </w:rPr>
        <w:t xml:space="preserve"> i hver arm (</w:t>
      </w:r>
      <w:r>
        <w:rPr>
          <w:sz w:val="18"/>
          <w:szCs w:val="18"/>
        </w:rPr>
        <w:t>hos</w:t>
      </w:r>
      <w:r w:rsidRPr="00763905">
        <w:rPr>
          <w:sz w:val="18"/>
          <w:szCs w:val="18"/>
        </w:rPr>
        <w:t xml:space="preserve"> voksne og børn) eller hvert </w:t>
      </w:r>
      <w:proofErr w:type="spellStart"/>
      <w:r w:rsidRPr="00763905">
        <w:rPr>
          <w:sz w:val="18"/>
          <w:szCs w:val="18"/>
        </w:rPr>
        <w:t>anterolateralt</w:t>
      </w:r>
      <w:proofErr w:type="spellEnd"/>
      <w:r w:rsidRPr="00763905">
        <w:rPr>
          <w:sz w:val="18"/>
          <w:szCs w:val="18"/>
        </w:rPr>
        <w:t xml:space="preserve"> lår (spædbørn og småbørn)</w:t>
      </w:r>
    </w:p>
    <w:bookmarkEnd w:id="1"/>
    <w:p w14:paraId="6C0F72BC" w14:textId="77777777" w:rsidR="008446A4" w:rsidRDefault="008446A4" w:rsidP="008446A4">
      <w:pPr>
        <w:ind w:left="851"/>
        <w:rPr>
          <w:sz w:val="24"/>
          <w:szCs w:val="24"/>
        </w:rPr>
      </w:pPr>
    </w:p>
    <w:p w14:paraId="27B17502" w14:textId="77777777" w:rsidR="008446A4" w:rsidRPr="00155A7C" w:rsidRDefault="008446A4" w:rsidP="008446A4">
      <w:pPr>
        <w:ind w:left="851"/>
        <w:rPr>
          <w:sz w:val="24"/>
          <w:szCs w:val="24"/>
        </w:rPr>
      </w:pPr>
      <w:r w:rsidRPr="00155A7C">
        <w:rPr>
          <w:sz w:val="24"/>
          <w:szCs w:val="24"/>
        </w:rPr>
        <w:t xml:space="preserve">Booster-doser bestemmes ud fra risikoen for eksponering og på serologiske tests til at påvise tilstedeværelsen af neutraliserende antistoffer mod rabiesvirus (≥ 0,5 IE/ml). En </w:t>
      </w:r>
      <w:proofErr w:type="spellStart"/>
      <w:r w:rsidRPr="00155A7C">
        <w:rPr>
          <w:sz w:val="24"/>
          <w:szCs w:val="24"/>
        </w:rPr>
        <w:t>boosterdosis</w:t>
      </w:r>
      <w:proofErr w:type="spellEnd"/>
      <w:r w:rsidRPr="00155A7C">
        <w:rPr>
          <w:sz w:val="24"/>
          <w:szCs w:val="24"/>
        </w:rPr>
        <w:t xml:space="preserve"> består af én dosis på 0,5 ml givet intramuskulært</w:t>
      </w:r>
      <w:r>
        <w:rPr>
          <w:sz w:val="24"/>
          <w:szCs w:val="24"/>
        </w:rPr>
        <w:t xml:space="preserve"> </w:t>
      </w:r>
      <w:r>
        <w:rPr>
          <w:szCs w:val="22"/>
          <w:lang w:eastAsia="fr-FR"/>
        </w:rPr>
        <w:t xml:space="preserve">eller én dosis på 0,1 ml givet </w:t>
      </w:r>
      <w:proofErr w:type="spellStart"/>
      <w:r>
        <w:rPr>
          <w:szCs w:val="22"/>
          <w:lang w:eastAsia="fr-FR"/>
        </w:rPr>
        <w:t>intradermalt</w:t>
      </w:r>
      <w:proofErr w:type="spellEnd"/>
      <w:r>
        <w:rPr>
          <w:szCs w:val="22"/>
          <w:lang w:eastAsia="fr-FR"/>
        </w:rPr>
        <w:t xml:space="preserve"> i henhold til WHO’s anbefalinger</w:t>
      </w:r>
      <w:r w:rsidRPr="00155A7C">
        <w:rPr>
          <w:sz w:val="24"/>
          <w:szCs w:val="24"/>
        </w:rPr>
        <w:t>.</w:t>
      </w:r>
    </w:p>
    <w:p w14:paraId="5DE297FB" w14:textId="77777777" w:rsidR="008446A4" w:rsidRDefault="008446A4" w:rsidP="008446A4">
      <w:pPr>
        <w:ind w:left="851"/>
        <w:rPr>
          <w:sz w:val="24"/>
          <w:szCs w:val="24"/>
        </w:rPr>
      </w:pPr>
    </w:p>
    <w:p w14:paraId="58ED523F" w14:textId="77777777" w:rsidR="008446A4" w:rsidRPr="00155A7C" w:rsidRDefault="008446A4" w:rsidP="008446A4">
      <w:pPr>
        <w:ind w:left="851"/>
        <w:rPr>
          <w:sz w:val="24"/>
          <w:szCs w:val="24"/>
        </w:rPr>
      </w:pPr>
      <w:proofErr w:type="spellStart"/>
      <w:r w:rsidRPr="00155A7C">
        <w:rPr>
          <w:sz w:val="24"/>
          <w:szCs w:val="24"/>
        </w:rPr>
        <w:t>Verorab</w:t>
      </w:r>
      <w:proofErr w:type="spellEnd"/>
      <w:r w:rsidRPr="00155A7C">
        <w:rPr>
          <w:sz w:val="24"/>
          <w:szCs w:val="24"/>
        </w:rPr>
        <w:t xml:space="preserve"> kan administreres som en booster-injektion efter primær vaccination med en cellekultur-rabiesvaccine (en rabiesvaccine produceret i </w:t>
      </w:r>
      <w:proofErr w:type="spellStart"/>
      <w:r>
        <w:rPr>
          <w:sz w:val="24"/>
          <w:szCs w:val="24"/>
        </w:rPr>
        <w:t>Vero</w:t>
      </w:r>
      <w:proofErr w:type="spellEnd"/>
      <w:r>
        <w:rPr>
          <w:sz w:val="24"/>
          <w:szCs w:val="24"/>
        </w:rPr>
        <w:t xml:space="preserve"> </w:t>
      </w:r>
      <w:r w:rsidRPr="00155A7C">
        <w:rPr>
          <w:sz w:val="24"/>
          <w:szCs w:val="24"/>
        </w:rPr>
        <w:t xml:space="preserve">celler eller produceret i humane </w:t>
      </w:r>
      <w:proofErr w:type="spellStart"/>
      <w:r w:rsidRPr="00155A7C">
        <w:rPr>
          <w:sz w:val="24"/>
          <w:szCs w:val="24"/>
        </w:rPr>
        <w:t>diploide</w:t>
      </w:r>
      <w:proofErr w:type="spellEnd"/>
      <w:r w:rsidRPr="00155A7C">
        <w:rPr>
          <w:sz w:val="24"/>
          <w:szCs w:val="24"/>
        </w:rPr>
        <w:t xml:space="preserve"> celler (HDCV)).</w:t>
      </w:r>
    </w:p>
    <w:p w14:paraId="23792177" w14:textId="77777777" w:rsidR="008446A4" w:rsidRDefault="008446A4" w:rsidP="008446A4">
      <w:pPr>
        <w:ind w:left="851"/>
        <w:rPr>
          <w:i/>
          <w:sz w:val="24"/>
          <w:szCs w:val="24"/>
        </w:rPr>
      </w:pPr>
      <w:bookmarkStart w:id="4" w:name="_Hlk71726328"/>
    </w:p>
    <w:p w14:paraId="79059F41" w14:textId="77777777" w:rsidR="008446A4" w:rsidRPr="00155A7C" w:rsidRDefault="008446A4" w:rsidP="008446A4">
      <w:pPr>
        <w:ind w:left="851"/>
        <w:rPr>
          <w:i/>
          <w:sz w:val="24"/>
          <w:szCs w:val="24"/>
        </w:rPr>
      </w:pPr>
      <w:r w:rsidRPr="00155A7C">
        <w:rPr>
          <w:i/>
          <w:sz w:val="24"/>
          <w:szCs w:val="24"/>
        </w:rPr>
        <w:t xml:space="preserve">Post-eksponeringsprofylakse </w:t>
      </w:r>
    </w:p>
    <w:bookmarkEnd w:id="4"/>
    <w:p w14:paraId="67BB7653" w14:textId="77777777" w:rsidR="008446A4" w:rsidRDefault="008446A4" w:rsidP="008446A4">
      <w:pPr>
        <w:ind w:left="851"/>
        <w:rPr>
          <w:sz w:val="24"/>
          <w:szCs w:val="24"/>
          <w:lang w:eastAsia="fr-FR"/>
        </w:rPr>
      </w:pPr>
      <w:r w:rsidRPr="00155A7C">
        <w:rPr>
          <w:sz w:val="24"/>
          <w:szCs w:val="24"/>
          <w:lang w:eastAsia="fr-FR"/>
        </w:rPr>
        <w:t>Post-eksponeringsprofylakse bør påbegyndes så hurtigt som muligt efter mistanke om eksponering for rabies. I alle tilfælde skal korrekt sårpleje (omhyggelig vask af alle bid og rifter med sæbe eller detergent og rigelige mængder vand og/eller virusdræbende midler) udføres med det samme eller så hurtigt som muligt efter eksponering. Det skal udføres før administration af vaccine eller rabies-</w:t>
      </w:r>
      <w:proofErr w:type="spellStart"/>
      <w:r w:rsidRPr="00155A7C">
        <w:rPr>
          <w:sz w:val="24"/>
          <w:szCs w:val="24"/>
          <w:lang w:eastAsia="fr-FR"/>
        </w:rPr>
        <w:t>immunglobuliner</w:t>
      </w:r>
      <w:proofErr w:type="spellEnd"/>
      <w:r w:rsidRPr="00155A7C">
        <w:rPr>
          <w:sz w:val="24"/>
          <w:szCs w:val="24"/>
          <w:lang w:eastAsia="fr-FR"/>
        </w:rPr>
        <w:t xml:space="preserve">, hvor det er indiceret. </w:t>
      </w:r>
      <w:bookmarkStart w:id="5" w:name="_Hlk71040016"/>
    </w:p>
    <w:p w14:paraId="1DB735C8" w14:textId="77777777" w:rsidR="008446A4" w:rsidRPr="00155A7C" w:rsidRDefault="008446A4" w:rsidP="008446A4">
      <w:pPr>
        <w:ind w:left="851"/>
        <w:rPr>
          <w:sz w:val="24"/>
          <w:szCs w:val="24"/>
          <w:lang w:eastAsia="fr-FR"/>
        </w:rPr>
      </w:pPr>
    </w:p>
    <w:p w14:paraId="1896F527" w14:textId="77777777" w:rsidR="008446A4" w:rsidRPr="00155A7C" w:rsidRDefault="008446A4" w:rsidP="008446A4">
      <w:pPr>
        <w:keepNext/>
        <w:rPr>
          <w:b/>
          <w:sz w:val="24"/>
          <w:szCs w:val="24"/>
          <w:lang w:eastAsia="fr-FR"/>
        </w:rPr>
      </w:pPr>
      <w:r w:rsidRPr="00155A7C">
        <w:rPr>
          <w:b/>
          <w:sz w:val="24"/>
          <w:szCs w:val="24"/>
          <w:lang w:eastAsia="fr-FR"/>
        </w:rPr>
        <w:lastRenderedPageBreak/>
        <w:t>Tabel </w:t>
      </w:r>
      <w:r>
        <w:rPr>
          <w:b/>
          <w:sz w:val="24"/>
          <w:szCs w:val="24"/>
          <w:lang w:eastAsia="fr-FR"/>
        </w:rPr>
        <w:t>2</w:t>
      </w:r>
      <w:r w:rsidRPr="00155A7C">
        <w:rPr>
          <w:b/>
          <w:sz w:val="24"/>
          <w:szCs w:val="24"/>
          <w:lang w:eastAsia="fr-FR"/>
        </w:rPr>
        <w:t>: WHO-vejledning for post-eksponeringsprofylakse afhængig af eksponeringsniveau (tilpasses i henhold til lokale officielle anbefalinger)</w:t>
      </w:r>
    </w:p>
    <w:tbl>
      <w:tblPr>
        <w:tblW w:w="5000" w:type="pct"/>
        <w:tblCellMar>
          <w:left w:w="70" w:type="dxa"/>
          <w:right w:w="70" w:type="dxa"/>
        </w:tblCellMar>
        <w:tblLook w:val="04A0" w:firstRow="1" w:lastRow="0" w:firstColumn="1" w:lastColumn="0" w:noHBand="0" w:noVBand="1"/>
      </w:tblPr>
      <w:tblGrid>
        <w:gridCol w:w="1702"/>
        <w:gridCol w:w="3788"/>
        <w:gridCol w:w="4132"/>
      </w:tblGrid>
      <w:tr w:rsidR="008446A4" w:rsidRPr="001A5C17" w14:paraId="09146C79" w14:textId="77777777" w:rsidTr="00A32762">
        <w:trPr>
          <w:cantSplit/>
        </w:trPr>
        <w:tc>
          <w:tcPr>
            <w:tcW w:w="884" w:type="pct"/>
            <w:tcBorders>
              <w:top w:val="single" w:sz="6" w:space="0" w:color="auto"/>
              <w:left w:val="single" w:sz="6" w:space="0" w:color="auto"/>
              <w:bottom w:val="single" w:sz="6" w:space="0" w:color="auto"/>
              <w:right w:val="single" w:sz="6" w:space="0" w:color="auto"/>
            </w:tcBorders>
          </w:tcPr>
          <w:p w14:paraId="7247952F" w14:textId="77777777" w:rsidR="008446A4" w:rsidRPr="001A5C17" w:rsidRDefault="008446A4" w:rsidP="00A32762">
            <w:pPr>
              <w:keepNext/>
              <w:keepLines/>
              <w:tabs>
                <w:tab w:val="left" w:pos="1304"/>
              </w:tabs>
              <w:jc w:val="center"/>
              <w:rPr>
                <w:b/>
                <w:sz w:val="22"/>
                <w:szCs w:val="22"/>
              </w:rPr>
            </w:pPr>
            <w:r w:rsidRPr="001A5C17">
              <w:rPr>
                <w:b/>
                <w:sz w:val="22"/>
                <w:szCs w:val="22"/>
              </w:rPr>
              <w:t>Eksponerings-kategori</w:t>
            </w:r>
          </w:p>
          <w:p w14:paraId="3F3318DF" w14:textId="77777777" w:rsidR="008446A4" w:rsidRPr="001A5C17" w:rsidRDefault="008446A4" w:rsidP="00A32762">
            <w:pPr>
              <w:keepNext/>
              <w:keepLines/>
              <w:tabs>
                <w:tab w:val="left" w:pos="1304"/>
              </w:tabs>
              <w:jc w:val="center"/>
              <w:rPr>
                <w:b/>
                <w:sz w:val="22"/>
                <w:szCs w:val="22"/>
              </w:rPr>
            </w:pPr>
          </w:p>
        </w:tc>
        <w:tc>
          <w:tcPr>
            <w:tcW w:w="1968" w:type="pct"/>
            <w:tcBorders>
              <w:top w:val="single" w:sz="6" w:space="0" w:color="auto"/>
              <w:left w:val="single" w:sz="6" w:space="0" w:color="auto"/>
              <w:bottom w:val="single" w:sz="6" w:space="0" w:color="auto"/>
              <w:right w:val="single" w:sz="6" w:space="0" w:color="auto"/>
            </w:tcBorders>
            <w:hideMark/>
          </w:tcPr>
          <w:p w14:paraId="264DF2F6" w14:textId="77777777" w:rsidR="008446A4" w:rsidRPr="001A5C17" w:rsidRDefault="008446A4" w:rsidP="00A32762">
            <w:pPr>
              <w:keepNext/>
              <w:keepLines/>
              <w:tabs>
                <w:tab w:val="left" w:pos="1304"/>
              </w:tabs>
              <w:jc w:val="center"/>
              <w:rPr>
                <w:b/>
                <w:sz w:val="22"/>
                <w:szCs w:val="22"/>
              </w:rPr>
            </w:pPr>
            <w:r w:rsidRPr="001A5C17">
              <w:rPr>
                <w:b/>
                <w:sz w:val="22"/>
                <w:szCs w:val="22"/>
              </w:rPr>
              <w:t>Eksponeringstype for et husdyr eller vildtlevende dyr, mistænkt eller bekræftet for at være rabiessmittet eller ikke tilgængelig til test</w:t>
            </w:r>
          </w:p>
        </w:tc>
        <w:tc>
          <w:tcPr>
            <w:tcW w:w="2147" w:type="pct"/>
            <w:tcBorders>
              <w:top w:val="single" w:sz="6" w:space="0" w:color="auto"/>
              <w:left w:val="single" w:sz="6" w:space="0" w:color="auto"/>
              <w:bottom w:val="single" w:sz="6" w:space="0" w:color="auto"/>
              <w:right w:val="single" w:sz="6" w:space="0" w:color="auto"/>
            </w:tcBorders>
            <w:hideMark/>
          </w:tcPr>
          <w:p w14:paraId="176E99F1" w14:textId="77777777" w:rsidR="008446A4" w:rsidRPr="001A5C17" w:rsidRDefault="008446A4" w:rsidP="00A32762">
            <w:pPr>
              <w:keepNext/>
              <w:keepLines/>
              <w:tabs>
                <w:tab w:val="left" w:pos="1304"/>
              </w:tabs>
              <w:jc w:val="center"/>
              <w:rPr>
                <w:b/>
                <w:sz w:val="22"/>
                <w:szCs w:val="22"/>
              </w:rPr>
            </w:pPr>
            <w:r w:rsidRPr="001A5C17">
              <w:rPr>
                <w:b/>
                <w:sz w:val="22"/>
                <w:szCs w:val="22"/>
              </w:rPr>
              <w:t>Post-eksponeringsprofylakse anbefaling</w:t>
            </w:r>
          </w:p>
        </w:tc>
      </w:tr>
      <w:tr w:rsidR="008446A4" w:rsidRPr="001A5C17" w14:paraId="208E717B" w14:textId="77777777" w:rsidTr="00A32762">
        <w:trPr>
          <w:cantSplit/>
        </w:trPr>
        <w:tc>
          <w:tcPr>
            <w:tcW w:w="884" w:type="pct"/>
            <w:tcBorders>
              <w:top w:val="single" w:sz="6" w:space="0" w:color="auto"/>
              <w:left w:val="single" w:sz="6" w:space="0" w:color="auto"/>
              <w:bottom w:val="single" w:sz="6" w:space="0" w:color="auto"/>
              <w:right w:val="single" w:sz="6" w:space="0" w:color="auto"/>
            </w:tcBorders>
            <w:hideMark/>
          </w:tcPr>
          <w:p w14:paraId="6F922117" w14:textId="77777777" w:rsidR="008446A4" w:rsidRPr="001A5C17" w:rsidRDefault="008446A4" w:rsidP="00A32762">
            <w:pPr>
              <w:keepNext/>
              <w:keepLines/>
              <w:tabs>
                <w:tab w:val="left" w:pos="1304"/>
              </w:tabs>
              <w:jc w:val="center"/>
              <w:rPr>
                <w:b/>
                <w:sz w:val="22"/>
                <w:szCs w:val="22"/>
              </w:rPr>
            </w:pPr>
            <w:r w:rsidRPr="001A5C17">
              <w:rPr>
                <w:b/>
                <w:sz w:val="22"/>
                <w:szCs w:val="22"/>
              </w:rPr>
              <w:t>I</w:t>
            </w:r>
          </w:p>
        </w:tc>
        <w:tc>
          <w:tcPr>
            <w:tcW w:w="1968" w:type="pct"/>
            <w:tcBorders>
              <w:top w:val="single" w:sz="6" w:space="0" w:color="auto"/>
              <w:left w:val="single" w:sz="6" w:space="0" w:color="auto"/>
              <w:bottom w:val="single" w:sz="6" w:space="0" w:color="auto"/>
              <w:right w:val="single" w:sz="6" w:space="0" w:color="auto"/>
            </w:tcBorders>
            <w:hideMark/>
          </w:tcPr>
          <w:p w14:paraId="540C65F7" w14:textId="77777777" w:rsidR="008446A4" w:rsidRPr="001A5C17" w:rsidRDefault="008446A4" w:rsidP="00A32762">
            <w:pPr>
              <w:keepNext/>
              <w:tabs>
                <w:tab w:val="left" w:pos="1304"/>
              </w:tabs>
              <w:rPr>
                <w:sz w:val="22"/>
                <w:szCs w:val="22"/>
                <w:lang w:eastAsia="fr-FR"/>
              </w:rPr>
            </w:pPr>
            <w:r w:rsidRPr="001A5C17">
              <w:rPr>
                <w:sz w:val="22"/>
                <w:szCs w:val="22"/>
                <w:lang w:eastAsia="fr-FR"/>
              </w:rPr>
              <w:t>Berøring eller fodring af dyr</w:t>
            </w:r>
          </w:p>
          <w:p w14:paraId="7AB0A33F" w14:textId="77777777" w:rsidR="008446A4" w:rsidRPr="001A5C17" w:rsidRDefault="008446A4" w:rsidP="00A32762">
            <w:pPr>
              <w:keepNext/>
              <w:tabs>
                <w:tab w:val="left" w:pos="1304"/>
              </w:tabs>
              <w:rPr>
                <w:sz w:val="22"/>
                <w:szCs w:val="22"/>
                <w:lang w:eastAsia="fr-FR"/>
              </w:rPr>
            </w:pPr>
            <w:r w:rsidRPr="001A5C17">
              <w:rPr>
                <w:sz w:val="22"/>
                <w:szCs w:val="22"/>
                <w:lang w:eastAsia="fr-FR"/>
              </w:rPr>
              <w:t>Slikker på intakt hud (ingen eksponering)</w:t>
            </w:r>
          </w:p>
        </w:tc>
        <w:tc>
          <w:tcPr>
            <w:tcW w:w="2147" w:type="pct"/>
            <w:tcBorders>
              <w:top w:val="single" w:sz="6" w:space="0" w:color="auto"/>
              <w:left w:val="single" w:sz="6" w:space="0" w:color="auto"/>
              <w:bottom w:val="single" w:sz="6" w:space="0" w:color="auto"/>
              <w:right w:val="single" w:sz="6" w:space="0" w:color="auto"/>
            </w:tcBorders>
            <w:hideMark/>
          </w:tcPr>
          <w:p w14:paraId="6573A504" w14:textId="77777777" w:rsidR="008446A4" w:rsidRPr="001A5C17" w:rsidRDefault="008446A4" w:rsidP="00A32762">
            <w:pPr>
              <w:keepNext/>
              <w:keepLines/>
              <w:tabs>
                <w:tab w:val="left" w:pos="1304"/>
              </w:tabs>
              <w:rPr>
                <w:sz w:val="22"/>
                <w:szCs w:val="22"/>
              </w:rPr>
            </w:pPr>
            <w:r w:rsidRPr="001A5C17">
              <w:rPr>
                <w:sz w:val="22"/>
                <w:szCs w:val="22"/>
              </w:rPr>
              <w:t xml:space="preserve">Ingen, hvis pålidelig patienthistorie er </w:t>
            </w:r>
            <w:proofErr w:type="gramStart"/>
            <w:r w:rsidRPr="001A5C17">
              <w:rPr>
                <w:sz w:val="22"/>
                <w:szCs w:val="22"/>
              </w:rPr>
              <w:t>tilgængelig.</w:t>
            </w:r>
            <w:r w:rsidRPr="001A5C17">
              <w:rPr>
                <w:sz w:val="22"/>
                <w:szCs w:val="22"/>
                <w:vertAlign w:val="superscript"/>
              </w:rPr>
              <w:t>(</w:t>
            </w:r>
            <w:proofErr w:type="gramEnd"/>
            <w:r w:rsidRPr="001A5C17">
              <w:rPr>
                <w:sz w:val="22"/>
                <w:szCs w:val="22"/>
                <w:vertAlign w:val="superscript"/>
              </w:rPr>
              <w:t>a)</w:t>
            </w:r>
          </w:p>
        </w:tc>
      </w:tr>
      <w:tr w:rsidR="008446A4" w:rsidRPr="001A5C17" w14:paraId="00C768F9" w14:textId="77777777" w:rsidTr="00A32762">
        <w:trPr>
          <w:cantSplit/>
        </w:trPr>
        <w:tc>
          <w:tcPr>
            <w:tcW w:w="884" w:type="pct"/>
            <w:tcBorders>
              <w:top w:val="single" w:sz="6" w:space="0" w:color="auto"/>
              <w:left w:val="single" w:sz="6" w:space="0" w:color="auto"/>
              <w:bottom w:val="single" w:sz="6" w:space="0" w:color="auto"/>
              <w:right w:val="single" w:sz="6" w:space="0" w:color="auto"/>
            </w:tcBorders>
            <w:hideMark/>
          </w:tcPr>
          <w:p w14:paraId="13A44C29" w14:textId="77777777" w:rsidR="008446A4" w:rsidRPr="001A5C17" w:rsidRDefault="008446A4" w:rsidP="00A32762">
            <w:pPr>
              <w:keepNext/>
              <w:keepLines/>
              <w:tabs>
                <w:tab w:val="left" w:pos="1304"/>
              </w:tabs>
              <w:jc w:val="center"/>
              <w:rPr>
                <w:sz w:val="22"/>
                <w:szCs w:val="22"/>
              </w:rPr>
            </w:pPr>
            <w:r w:rsidRPr="001A5C17">
              <w:rPr>
                <w:b/>
                <w:sz w:val="22"/>
                <w:szCs w:val="22"/>
              </w:rPr>
              <w:t>II</w:t>
            </w:r>
          </w:p>
        </w:tc>
        <w:tc>
          <w:tcPr>
            <w:tcW w:w="1968" w:type="pct"/>
            <w:tcBorders>
              <w:top w:val="single" w:sz="6" w:space="0" w:color="auto"/>
              <w:left w:val="single" w:sz="6" w:space="0" w:color="auto"/>
              <w:bottom w:val="single" w:sz="6" w:space="0" w:color="auto"/>
              <w:right w:val="single" w:sz="6" w:space="0" w:color="auto"/>
            </w:tcBorders>
            <w:hideMark/>
          </w:tcPr>
          <w:p w14:paraId="210A7785" w14:textId="77777777" w:rsidR="008446A4" w:rsidRPr="001A5C17" w:rsidRDefault="008446A4" w:rsidP="00A32762">
            <w:pPr>
              <w:keepNext/>
              <w:keepLines/>
              <w:tabs>
                <w:tab w:val="left" w:pos="1304"/>
              </w:tabs>
              <w:rPr>
                <w:sz w:val="22"/>
                <w:szCs w:val="22"/>
              </w:rPr>
            </w:pPr>
            <w:r w:rsidRPr="001A5C17">
              <w:rPr>
                <w:sz w:val="22"/>
                <w:szCs w:val="22"/>
              </w:rPr>
              <w:t>Lille bid af udækket hud</w:t>
            </w:r>
          </w:p>
          <w:p w14:paraId="2997ECC1" w14:textId="77777777" w:rsidR="008446A4" w:rsidRPr="001A5C17" w:rsidRDefault="008446A4" w:rsidP="00A32762">
            <w:pPr>
              <w:keepNext/>
              <w:keepLines/>
              <w:tabs>
                <w:tab w:val="left" w:pos="1304"/>
              </w:tabs>
              <w:rPr>
                <w:sz w:val="22"/>
                <w:szCs w:val="22"/>
              </w:rPr>
            </w:pPr>
            <w:r w:rsidRPr="001A5C17">
              <w:rPr>
                <w:sz w:val="22"/>
                <w:szCs w:val="22"/>
              </w:rPr>
              <w:t>Mindre rifter eller skrammer uden blødning</w:t>
            </w:r>
          </w:p>
          <w:p w14:paraId="44626DDF" w14:textId="77777777" w:rsidR="008446A4" w:rsidRPr="001A5C17" w:rsidRDefault="008446A4" w:rsidP="00A32762">
            <w:pPr>
              <w:keepNext/>
              <w:keepLines/>
              <w:tabs>
                <w:tab w:val="left" w:pos="1304"/>
              </w:tabs>
              <w:rPr>
                <w:sz w:val="22"/>
                <w:szCs w:val="22"/>
              </w:rPr>
            </w:pPr>
            <w:r w:rsidRPr="001A5C17">
              <w:rPr>
                <w:sz w:val="22"/>
                <w:szCs w:val="22"/>
              </w:rPr>
              <w:t>(eksponering)</w:t>
            </w:r>
          </w:p>
        </w:tc>
        <w:tc>
          <w:tcPr>
            <w:tcW w:w="2147" w:type="pct"/>
            <w:tcBorders>
              <w:top w:val="single" w:sz="6" w:space="0" w:color="auto"/>
              <w:left w:val="single" w:sz="6" w:space="0" w:color="auto"/>
              <w:bottom w:val="single" w:sz="6" w:space="0" w:color="auto"/>
              <w:right w:val="single" w:sz="6" w:space="0" w:color="auto"/>
            </w:tcBorders>
          </w:tcPr>
          <w:p w14:paraId="0F1DE1FA" w14:textId="77777777" w:rsidR="008446A4" w:rsidRPr="001A5C17" w:rsidRDefault="008446A4" w:rsidP="00A32762">
            <w:pPr>
              <w:keepNext/>
              <w:keepLines/>
              <w:tabs>
                <w:tab w:val="left" w:pos="1304"/>
              </w:tabs>
              <w:rPr>
                <w:sz w:val="22"/>
                <w:szCs w:val="22"/>
              </w:rPr>
            </w:pPr>
            <w:r w:rsidRPr="001A5C17">
              <w:rPr>
                <w:sz w:val="22"/>
                <w:szCs w:val="22"/>
              </w:rPr>
              <w:t>Administrér rabiesvaccinen med det samme.</w:t>
            </w:r>
          </w:p>
          <w:p w14:paraId="0872DEC2" w14:textId="77777777" w:rsidR="008446A4" w:rsidRPr="001A5C17" w:rsidRDefault="008446A4" w:rsidP="00A32762">
            <w:pPr>
              <w:keepNext/>
              <w:keepLines/>
              <w:tabs>
                <w:tab w:val="left" w:pos="1304"/>
              </w:tabs>
              <w:rPr>
                <w:sz w:val="22"/>
                <w:szCs w:val="22"/>
              </w:rPr>
            </w:pPr>
            <w:r w:rsidRPr="001A5C17">
              <w:rPr>
                <w:sz w:val="22"/>
                <w:szCs w:val="22"/>
              </w:rPr>
              <w:t>Afbryd behandlingen, hvis dyret er ved godt helbred efter 10-dages observationsperiode</w:t>
            </w:r>
            <w:r w:rsidRPr="001A5C17">
              <w:rPr>
                <w:sz w:val="22"/>
                <w:szCs w:val="22"/>
                <w:vertAlign w:val="superscript"/>
              </w:rPr>
              <w:t>(b)</w:t>
            </w:r>
            <w:r w:rsidRPr="001A5C17">
              <w:rPr>
                <w:sz w:val="22"/>
                <w:szCs w:val="22"/>
              </w:rPr>
              <w:t xml:space="preserve"> eller hvis rabiestesten, udført med passende laboratoriemetoder, er negativ.</w:t>
            </w:r>
          </w:p>
          <w:p w14:paraId="39D86F06" w14:textId="77777777" w:rsidR="008446A4" w:rsidRPr="001A5C17" w:rsidRDefault="008446A4" w:rsidP="00A32762">
            <w:pPr>
              <w:keepNext/>
              <w:keepLines/>
              <w:tabs>
                <w:tab w:val="left" w:pos="1304"/>
              </w:tabs>
              <w:rPr>
                <w:sz w:val="22"/>
                <w:szCs w:val="22"/>
              </w:rPr>
            </w:pPr>
          </w:p>
          <w:p w14:paraId="3F281C03" w14:textId="77777777" w:rsidR="008446A4" w:rsidRPr="001A5C17" w:rsidRDefault="008446A4" w:rsidP="00A32762">
            <w:pPr>
              <w:keepNext/>
              <w:keepLines/>
              <w:tabs>
                <w:tab w:val="left" w:pos="1304"/>
              </w:tabs>
              <w:rPr>
                <w:sz w:val="22"/>
                <w:szCs w:val="22"/>
              </w:rPr>
            </w:pPr>
            <w:r w:rsidRPr="001A5C17">
              <w:rPr>
                <w:sz w:val="22"/>
                <w:szCs w:val="22"/>
              </w:rPr>
              <w:t>Behandles som kategori III, hvis eksponering for flagermus er involveret.</w:t>
            </w:r>
          </w:p>
        </w:tc>
      </w:tr>
      <w:tr w:rsidR="008446A4" w:rsidRPr="001A5C17" w14:paraId="16A6276A" w14:textId="77777777" w:rsidTr="00A32762">
        <w:trPr>
          <w:cantSplit/>
        </w:trPr>
        <w:tc>
          <w:tcPr>
            <w:tcW w:w="884" w:type="pct"/>
            <w:tcBorders>
              <w:top w:val="single" w:sz="6" w:space="0" w:color="auto"/>
              <w:left w:val="single" w:sz="6" w:space="0" w:color="auto"/>
              <w:bottom w:val="single" w:sz="6" w:space="0" w:color="auto"/>
              <w:right w:val="single" w:sz="6" w:space="0" w:color="auto"/>
            </w:tcBorders>
            <w:hideMark/>
          </w:tcPr>
          <w:p w14:paraId="7D12CFAD" w14:textId="77777777" w:rsidR="008446A4" w:rsidRPr="001A5C17" w:rsidRDefault="008446A4" w:rsidP="00A32762">
            <w:pPr>
              <w:keepNext/>
              <w:keepLines/>
              <w:tabs>
                <w:tab w:val="left" w:pos="1304"/>
              </w:tabs>
              <w:jc w:val="center"/>
              <w:rPr>
                <w:b/>
                <w:sz w:val="22"/>
                <w:szCs w:val="22"/>
              </w:rPr>
            </w:pPr>
            <w:r w:rsidRPr="001A5C17">
              <w:rPr>
                <w:b/>
                <w:sz w:val="22"/>
                <w:szCs w:val="22"/>
              </w:rPr>
              <w:t>III</w:t>
            </w:r>
          </w:p>
        </w:tc>
        <w:tc>
          <w:tcPr>
            <w:tcW w:w="1968" w:type="pct"/>
            <w:tcBorders>
              <w:top w:val="single" w:sz="6" w:space="0" w:color="auto"/>
              <w:left w:val="single" w:sz="6" w:space="0" w:color="auto"/>
              <w:bottom w:val="single" w:sz="6" w:space="0" w:color="auto"/>
              <w:right w:val="single" w:sz="6" w:space="0" w:color="auto"/>
            </w:tcBorders>
          </w:tcPr>
          <w:p w14:paraId="55B61B08" w14:textId="77777777" w:rsidR="008446A4" w:rsidRPr="001A5C17" w:rsidRDefault="008446A4" w:rsidP="00A32762">
            <w:pPr>
              <w:keepNext/>
              <w:tabs>
                <w:tab w:val="left" w:pos="1304"/>
              </w:tabs>
              <w:rPr>
                <w:sz w:val="22"/>
                <w:szCs w:val="22"/>
                <w:lang w:eastAsia="fr-FR"/>
              </w:rPr>
            </w:pPr>
            <w:r w:rsidRPr="001A5C17">
              <w:rPr>
                <w:sz w:val="22"/>
                <w:szCs w:val="22"/>
                <w:lang w:eastAsia="fr-FR"/>
              </w:rPr>
              <w:t xml:space="preserve">Enkelt eller flere </w:t>
            </w:r>
            <w:proofErr w:type="spellStart"/>
            <w:r w:rsidRPr="001A5C17">
              <w:rPr>
                <w:sz w:val="22"/>
                <w:szCs w:val="22"/>
                <w:lang w:eastAsia="fr-FR"/>
              </w:rPr>
              <w:t>transdermale</w:t>
            </w:r>
            <w:proofErr w:type="spellEnd"/>
            <w:r w:rsidRPr="001A5C17">
              <w:rPr>
                <w:sz w:val="22"/>
                <w:szCs w:val="22"/>
                <w:lang w:eastAsia="fr-FR"/>
              </w:rPr>
              <w:t xml:space="preserve"> bid</w:t>
            </w:r>
            <w:r w:rsidRPr="001A5C17">
              <w:rPr>
                <w:sz w:val="22"/>
                <w:szCs w:val="22"/>
                <w:vertAlign w:val="superscript"/>
                <w:lang w:eastAsia="fr-FR"/>
              </w:rPr>
              <w:t>(c)</w:t>
            </w:r>
            <w:r w:rsidRPr="001A5C17">
              <w:rPr>
                <w:sz w:val="22"/>
                <w:szCs w:val="22"/>
                <w:lang w:eastAsia="fr-FR"/>
              </w:rPr>
              <w:t xml:space="preserve"> eller rifter, slik på beskadiget hud eller kontaminering af slimhinder med spyt (slik), eksponering for flagermus (alvorlig eksponering)</w:t>
            </w:r>
          </w:p>
          <w:p w14:paraId="4637D899" w14:textId="77777777" w:rsidR="008446A4" w:rsidRPr="001A5C17" w:rsidRDefault="008446A4" w:rsidP="00A32762">
            <w:pPr>
              <w:keepNext/>
              <w:tabs>
                <w:tab w:val="left" w:pos="1304"/>
              </w:tabs>
              <w:rPr>
                <w:sz w:val="22"/>
                <w:szCs w:val="22"/>
              </w:rPr>
            </w:pPr>
          </w:p>
        </w:tc>
        <w:tc>
          <w:tcPr>
            <w:tcW w:w="2147" w:type="pct"/>
            <w:tcBorders>
              <w:top w:val="single" w:sz="6" w:space="0" w:color="auto"/>
              <w:left w:val="single" w:sz="6" w:space="0" w:color="auto"/>
              <w:bottom w:val="single" w:sz="6" w:space="0" w:color="auto"/>
              <w:right w:val="single" w:sz="6" w:space="0" w:color="auto"/>
            </w:tcBorders>
          </w:tcPr>
          <w:p w14:paraId="677D457D" w14:textId="77777777" w:rsidR="008446A4" w:rsidRPr="001A5C17" w:rsidRDefault="008446A4" w:rsidP="00A32762">
            <w:pPr>
              <w:keepNext/>
              <w:tabs>
                <w:tab w:val="left" w:pos="1304"/>
              </w:tabs>
              <w:rPr>
                <w:sz w:val="22"/>
                <w:szCs w:val="22"/>
              </w:rPr>
            </w:pPr>
            <w:r w:rsidRPr="001A5C17">
              <w:rPr>
                <w:iCs/>
                <w:sz w:val="22"/>
                <w:szCs w:val="22"/>
              </w:rPr>
              <w:t>Administrér rabiesvaccinen med det samme og rabies-</w:t>
            </w:r>
            <w:proofErr w:type="spellStart"/>
            <w:r w:rsidRPr="001A5C17">
              <w:rPr>
                <w:iCs/>
                <w:sz w:val="22"/>
                <w:szCs w:val="22"/>
              </w:rPr>
              <w:t>immunglobuliner</w:t>
            </w:r>
            <w:proofErr w:type="spellEnd"/>
            <w:r w:rsidRPr="001A5C17">
              <w:rPr>
                <w:iCs/>
                <w:sz w:val="22"/>
                <w:szCs w:val="22"/>
              </w:rPr>
              <w:t>, helst så hurtigt som muligt efter påbegyndelse af post-eksponeringsprofylakse.</w:t>
            </w:r>
          </w:p>
          <w:p w14:paraId="4BDFB96E" w14:textId="77777777" w:rsidR="008446A4" w:rsidRPr="001A5C17" w:rsidRDefault="008446A4" w:rsidP="00A32762">
            <w:pPr>
              <w:keepNext/>
              <w:tabs>
                <w:tab w:val="left" w:pos="1304"/>
              </w:tabs>
              <w:rPr>
                <w:sz w:val="22"/>
                <w:szCs w:val="22"/>
              </w:rPr>
            </w:pPr>
          </w:p>
          <w:p w14:paraId="60D995D0" w14:textId="77777777" w:rsidR="008446A4" w:rsidRPr="001A5C17" w:rsidRDefault="008446A4" w:rsidP="00A32762">
            <w:pPr>
              <w:keepNext/>
              <w:tabs>
                <w:tab w:val="left" w:pos="1304"/>
              </w:tabs>
              <w:rPr>
                <w:sz w:val="22"/>
                <w:szCs w:val="22"/>
              </w:rPr>
            </w:pPr>
            <w:r w:rsidRPr="001A5C17">
              <w:rPr>
                <w:sz w:val="22"/>
                <w:szCs w:val="22"/>
              </w:rPr>
              <w:t>Rabies-</w:t>
            </w:r>
            <w:proofErr w:type="spellStart"/>
            <w:r w:rsidRPr="001A5C17">
              <w:rPr>
                <w:sz w:val="22"/>
                <w:szCs w:val="22"/>
              </w:rPr>
              <w:t>immunglobuliner</w:t>
            </w:r>
            <w:proofErr w:type="spellEnd"/>
            <w:r w:rsidRPr="001A5C17">
              <w:rPr>
                <w:sz w:val="22"/>
                <w:szCs w:val="22"/>
              </w:rPr>
              <w:t xml:space="preserve"> kan injiceres op til 7 dage efter, at den første vaccinedosis er administreret.</w:t>
            </w:r>
          </w:p>
          <w:p w14:paraId="16553923" w14:textId="77777777" w:rsidR="008446A4" w:rsidRPr="001A5C17" w:rsidRDefault="008446A4" w:rsidP="00A32762">
            <w:pPr>
              <w:keepNext/>
              <w:tabs>
                <w:tab w:val="left" w:pos="1304"/>
              </w:tabs>
              <w:rPr>
                <w:sz w:val="22"/>
                <w:szCs w:val="22"/>
              </w:rPr>
            </w:pPr>
          </w:p>
          <w:p w14:paraId="5E7DAEC2" w14:textId="77777777" w:rsidR="008446A4" w:rsidRPr="001A5C17" w:rsidRDefault="008446A4" w:rsidP="00A32762">
            <w:pPr>
              <w:keepNext/>
              <w:keepLines/>
              <w:tabs>
                <w:tab w:val="left" w:pos="1304"/>
              </w:tabs>
              <w:rPr>
                <w:sz w:val="22"/>
                <w:szCs w:val="22"/>
              </w:rPr>
            </w:pPr>
            <w:r w:rsidRPr="001A5C17">
              <w:rPr>
                <w:sz w:val="22"/>
                <w:szCs w:val="22"/>
              </w:rPr>
              <w:t>Afbryd behandlingen, hvis dyret er ved godt helbred efter 10-dages observationsperiode</w:t>
            </w:r>
            <w:r w:rsidRPr="001A5C17">
              <w:rPr>
                <w:sz w:val="22"/>
                <w:szCs w:val="22"/>
                <w:vertAlign w:val="superscript"/>
              </w:rPr>
              <w:t>(b)</w:t>
            </w:r>
            <w:r w:rsidRPr="001A5C17">
              <w:rPr>
                <w:sz w:val="22"/>
                <w:szCs w:val="22"/>
              </w:rPr>
              <w:t>, eller hvis rabiestesten, udført med passende laboratoriemetoder, er negativ.</w:t>
            </w:r>
          </w:p>
        </w:tc>
      </w:tr>
    </w:tbl>
    <w:p w14:paraId="7F42C64D" w14:textId="77777777" w:rsidR="008446A4" w:rsidRPr="001A5C17" w:rsidRDefault="008446A4" w:rsidP="008446A4">
      <w:pPr>
        <w:keepNext/>
        <w:ind w:left="284" w:hanging="284"/>
        <w:rPr>
          <w:sz w:val="20"/>
          <w:lang w:eastAsia="fr-FR"/>
        </w:rPr>
      </w:pPr>
      <w:r w:rsidRPr="001A5C17">
        <w:rPr>
          <w:sz w:val="20"/>
          <w:vertAlign w:val="superscript"/>
          <w:lang w:eastAsia="fr-FR"/>
        </w:rPr>
        <w:t>(a)</w:t>
      </w:r>
      <w:r w:rsidRPr="001A5C17">
        <w:rPr>
          <w:sz w:val="20"/>
          <w:lang w:eastAsia="fr-FR"/>
        </w:rPr>
        <w:t xml:space="preserve"> </w:t>
      </w:r>
      <w:r w:rsidRPr="001A5C17">
        <w:rPr>
          <w:sz w:val="20"/>
          <w:lang w:eastAsia="fr-FR"/>
        </w:rPr>
        <w:tab/>
        <w:t>Hvis dyret er en tilsyneladende sund hund eller kat, der bor i et lavrisikoområde og er sat under veterinær observation, kan behandlingen udsættes.</w:t>
      </w:r>
    </w:p>
    <w:p w14:paraId="3FBE6C09" w14:textId="77777777" w:rsidR="008446A4" w:rsidRPr="001A5C17" w:rsidRDefault="008446A4" w:rsidP="008446A4">
      <w:pPr>
        <w:keepNext/>
        <w:ind w:left="284" w:hanging="284"/>
        <w:rPr>
          <w:sz w:val="20"/>
          <w:lang w:eastAsia="fr-FR"/>
        </w:rPr>
      </w:pPr>
      <w:r w:rsidRPr="001A5C17">
        <w:rPr>
          <w:sz w:val="20"/>
          <w:vertAlign w:val="superscript"/>
          <w:lang w:eastAsia="fr-FR"/>
        </w:rPr>
        <w:t>(b)</w:t>
      </w:r>
      <w:r w:rsidRPr="001A5C17">
        <w:rPr>
          <w:sz w:val="20"/>
          <w:lang w:eastAsia="fr-FR"/>
        </w:rPr>
        <w:t xml:space="preserve"> </w:t>
      </w:r>
      <w:r w:rsidRPr="001A5C17">
        <w:rPr>
          <w:sz w:val="20"/>
          <w:lang w:eastAsia="fr-FR"/>
        </w:rPr>
        <w:tab/>
        <w:t>Denne observationsperiode gælder kun for katte og hunde. Med undtagelse af truede arter bør husdyr og vilde dyr, der mistænkes for at have rabies, aflives, og deres væv undersøges</w:t>
      </w:r>
      <w:r w:rsidRPr="001A5C17">
        <w:rPr>
          <w:sz w:val="20"/>
          <w:lang w:val="nb-NO"/>
        </w:rPr>
        <w:t xml:space="preserve"> </w:t>
      </w:r>
      <w:r w:rsidRPr="001A5C17">
        <w:rPr>
          <w:sz w:val="20"/>
          <w:lang w:eastAsia="fr-FR"/>
        </w:rPr>
        <w:t>for tilstedeværelsen af rabiesvirus ved hjælp af passende laboratoriemetoder.</w:t>
      </w:r>
    </w:p>
    <w:p w14:paraId="07437D0D" w14:textId="77777777" w:rsidR="008446A4" w:rsidRPr="001A5C17" w:rsidRDefault="008446A4" w:rsidP="008446A4">
      <w:pPr>
        <w:keepNext/>
        <w:ind w:left="284" w:hanging="284"/>
        <w:rPr>
          <w:sz w:val="20"/>
          <w:lang w:eastAsia="fr-FR"/>
        </w:rPr>
      </w:pPr>
      <w:r w:rsidRPr="001A5C17">
        <w:rPr>
          <w:sz w:val="20"/>
          <w:vertAlign w:val="superscript"/>
          <w:lang w:eastAsia="fr-FR"/>
        </w:rPr>
        <w:t>(c)</w:t>
      </w:r>
      <w:r w:rsidRPr="001A5C17">
        <w:rPr>
          <w:sz w:val="20"/>
          <w:lang w:eastAsia="fr-FR"/>
        </w:rPr>
        <w:t xml:space="preserve"> </w:t>
      </w:r>
      <w:r w:rsidRPr="001A5C17">
        <w:rPr>
          <w:sz w:val="20"/>
          <w:lang w:eastAsia="fr-FR"/>
        </w:rPr>
        <w:tab/>
        <w:t xml:space="preserve">Bid, især i hoved, nakke, ansigt, hænder og kønsorganer, er klassificeret som kategori III-eksponering på grund af den omfattende </w:t>
      </w:r>
      <w:proofErr w:type="spellStart"/>
      <w:r w:rsidRPr="001A5C17">
        <w:rPr>
          <w:sz w:val="20"/>
          <w:lang w:eastAsia="fr-FR"/>
        </w:rPr>
        <w:t>innervation</w:t>
      </w:r>
      <w:proofErr w:type="spellEnd"/>
      <w:r w:rsidRPr="001A5C17">
        <w:rPr>
          <w:sz w:val="20"/>
          <w:lang w:eastAsia="fr-FR"/>
        </w:rPr>
        <w:t xml:space="preserve"> af disse dele af kroppen.</w:t>
      </w:r>
    </w:p>
    <w:p w14:paraId="4320FECA" w14:textId="77777777" w:rsidR="008446A4" w:rsidRPr="00155A7C" w:rsidRDefault="008446A4" w:rsidP="008446A4">
      <w:pPr>
        <w:ind w:left="851"/>
        <w:rPr>
          <w:i/>
          <w:iCs/>
          <w:sz w:val="24"/>
          <w:szCs w:val="24"/>
          <w:lang w:eastAsia="fr-FR"/>
        </w:rPr>
      </w:pPr>
    </w:p>
    <w:p w14:paraId="63DB6585" w14:textId="77777777" w:rsidR="008446A4" w:rsidRPr="00155A7C" w:rsidRDefault="008446A4" w:rsidP="008446A4">
      <w:pPr>
        <w:ind w:left="851"/>
        <w:rPr>
          <w:i/>
          <w:iCs/>
          <w:sz w:val="24"/>
          <w:szCs w:val="24"/>
          <w:lang w:eastAsia="fr-FR"/>
        </w:rPr>
      </w:pPr>
      <w:r w:rsidRPr="00155A7C">
        <w:rPr>
          <w:i/>
          <w:iCs/>
          <w:sz w:val="24"/>
          <w:szCs w:val="24"/>
          <w:lang w:eastAsia="fr-FR"/>
        </w:rPr>
        <w:t xml:space="preserve">Post-eksponeringsprofylakse hos ikke-immuniserede personer </w:t>
      </w:r>
    </w:p>
    <w:p w14:paraId="72D28CDC" w14:textId="77777777" w:rsidR="008446A4" w:rsidRDefault="008446A4" w:rsidP="008446A4">
      <w:pPr>
        <w:ind w:left="851"/>
        <w:rPr>
          <w:rFonts w:eastAsia="Calibri"/>
          <w:sz w:val="24"/>
          <w:szCs w:val="24"/>
        </w:rPr>
      </w:pPr>
      <w:r w:rsidRPr="00155A7C">
        <w:rPr>
          <w:rFonts w:eastAsia="Calibri"/>
          <w:sz w:val="24"/>
          <w:szCs w:val="24"/>
        </w:rPr>
        <w:t>Ikke-immuniserede personer kan vaccineres i henhold til et af vaccinationsregimerne ved intramuskulær anvendelse (</w:t>
      </w:r>
      <w:proofErr w:type="spellStart"/>
      <w:r w:rsidRPr="00155A7C">
        <w:rPr>
          <w:rFonts w:eastAsia="Calibri"/>
          <w:sz w:val="24"/>
          <w:szCs w:val="24"/>
        </w:rPr>
        <w:t>i.m</w:t>
      </w:r>
      <w:proofErr w:type="spellEnd"/>
      <w:r w:rsidRPr="00155A7C">
        <w:rPr>
          <w:rFonts w:eastAsia="Calibri"/>
          <w:sz w:val="24"/>
          <w:szCs w:val="24"/>
        </w:rPr>
        <w:t xml:space="preserve">.) eller ved </w:t>
      </w:r>
      <w:proofErr w:type="spellStart"/>
      <w:r w:rsidRPr="00155A7C">
        <w:rPr>
          <w:rFonts w:eastAsia="Calibri"/>
          <w:sz w:val="24"/>
          <w:szCs w:val="24"/>
        </w:rPr>
        <w:t>intradermal</w:t>
      </w:r>
      <w:proofErr w:type="spellEnd"/>
      <w:r w:rsidRPr="00155A7C">
        <w:rPr>
          <w:rFonts w:eastAsia="Calibri"/>
          <w:sz w:val="24"/>
          <w:szCs w:val="24"/>
        </w:rPr>
        <w:t xml:space="preserve"> anvendelse (</w:t>
      </w:r>
      <w:proofErr w:type="spellStart"/>
      <w:r w:rsidRPr="00155A7C">
        <w:rPr>
          <w:rFonts w:eastAsia="Calibri"/>
          <w:sz w:val="24"/>
          <w:szCs w:val="24"/>
        </w:rPr>
        <w:t>i.d</w:t>
      </w:r>
      <w:proofErr w:type="spellEnd"/>
      <w:r w:rsidRPr="00155A7C">
        <w:rPr>
          <w:rFonts w:eastAsia="Calibri"/>
          <w:sz w:val="24"/>
          <w:szCs w:val="24"/>
        </w:rPr>
        <w:t>.), som vist i tabel </w:t>
      </w:r>
      <w:r>
        <w:rPr>
          <w:rFonts w:eastAsia="Calibri"/>
          <w:sz w:val="24"/>
          <w:szCs w:val="24"/>
        </w:rPr>
        <w:t>3</w:t>
      </w:r>
      <w:r w:rsidRPr="00155A7C">
        <w:rPr>
          <w:rFonts w:eastAsia="Calibri"/>
          <w:sz w:val="24"/>
          <w:szCs w:val="24"/>
        </w:rPr>
        <w:t>.</w:t>
      </w:r>
    </w:p>
    <w:p w14:paraId="1272C332" w14:textId="77777777" w:rsidR="008446A4" w:rsidRPr="00155A7C" w:rsidRDefault="008446A4" w:rsidP="008446A4">
      <w:pPr>
        <w:ind w:left="851"/>
        <w:rPr>
          <w:rFonts w:eastAsia="Calibri"/>
          <w:sz w:val="24"/>
          <w:szCs w:val="24"/>
        </w:rPr>
      </w:pPr>
    </w:p>
    <w:p w14:paraId="57B6FE99" w14:textId="77777777" w:rsidR="008446A4" w:rsidRPr="00155A7C" w:rsidRDefault="008446A4" w:rsidP="008446A4">
      <w:pPr>
        <w:keepNext/>
        <w:rPr>
          <w:rFonts w:eastAsia="Calibri"/>
          <w:b/>
          <w:sz w:val="24"/>
          <w:szCs w:val="24"/>
        </w:rPr>
      </w:pPr>
      <w:r w:rsidRPr="00155A7C">
        <w:rPr>
          <w:rFonts w:eastAsia="Calibri"/>
          <w:b/>
          <w:sz w:val="24"/>
          <w:szCs w:val="24"/>
        </w:rPr>
        <w:lastRenderedPageBreak/>
        <w:t>Tabel </w:t>
      </w:r>
      <w:r>
        <w:rPr>
          <w:rFonts w:eastAsia="Calibri"/>
          <w:b/>
          <w:sz w:val="24"/>
          <w:szCs w:val="24"/>
        </w:rPr>
        <w:t>3</w:t>
      </w:r>
      <w:r w:rsidRPr="00155A7C">
        <w:rPr>
          <w:rFonts w:eastAsia="Calibri"/>
          <w:b/>
          <w:sz w:val="24"/>
          <w:szCs w:val="24"/>
        </w:rPr>
        <w:t>: Post-eksponeringsprofylakse hos ikke-immuniserede personer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26"/>
        <w:gridCol w:w="1123"/>
        <w:gridCol w:w="1063"/>
        <w:gridCol w:w="967"/>
        <w:gridCol w:w="967"/>
        <w:gridCol w:w="1152"/>
      </w:tblGrid>
      <w:tr w:rsidR="008446A4" w:rsidRPr="001A5C17" w14:paraId="23D54AA8" w14:textId="77777777" w:rsidTr="00A32762">
        <w:tc>
          <w:tcPr>
            <w:tcW w:w="1678" w:type="pct"/>
            <w:tcBorders>
              <w:top w:val="single" w:sz="4" w:space="0" w:color="auto"/>
              <w:left w:val="single" w:sz="4" w:space="0" w:color="auto"/>
              <w:bottom w:val="single" w:sz="4" w:space="0" w:color="auto"/>
              <w:right w:val="single" w:sz="4" w:space="0" w:color="auto"/>
            </w:tcBorders>
          </w:tcPr>
          <w:p w14:paraId="22521E95" w14:textId="77777777" w:rsidR="008446A4" w:rsidRPr="001A5C17" w:rsidRDefault="008446A4" w:rsidP="00A32762">
            <w:pPr>
              <w:keepNext/>
              <w:tabs>
                <w:tab w:val="left" w:pos="1304"/>
              </w:tabs>
              <w:rPr>
                <w:rFonts w:eastAsia="Cambria"/>
                <w:sz w:val="22"/>
                <w:szCs w:val="22"/>
                <w:lang w:eastAsia="fr-FR"/>
              </w:rPr>
            </w:pPr>
          </w:p>
        </w:tc>
        <w:tc>
          <w:tcPr>
            <w:tcW w:w="585" w:type="pct"/>
            <w:tcBorders>
              <w:top w:val="single" w:sz="4" w:space="0" w:color="auto"/>
              <w:left w:val="single" w:sz="4" w:space="0" w:color="auto"/>
              <w:bottom w:val="single" w:sz="4" w:space="0" w:color="auto"/>
              <w:right w:val="single" w:sz="4" w:space="0" w:color="auto"/>
            </w:tcBorders>
            <w:hideMark/>
          </w:tcPr>
          <w:p w14:paraId="436BFC4A"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D0</w:t>
            </w:r>
          </w:p>
        </w:tc>
        <w:tc>
          <w:tcPr>
            <w:tcW w:w="583" w:type="pct"/>
            <w:tcBorders>
              <w:top w:val="single" w:sz="4" w:space="0" w:color="auto"/>
              <w:left w:val="single" w:sz="4" w:space="0" w:color="auto"/>
              <w:bottom w:val="single" w:sz="4" w:space="0" w:color="auto"/>
              <w:right w:val="single" w:sz="4" w:space="0" w:color="auto"/>
            </w:tcBorders>
            <w:hideMark/>
          </w:tcPr>
          <w:p w14:paraId="20BA8BA3"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D3</w:t>
            </w:r>
          </w:p>
        </w:tc>
        <w:tc>
          <w:tcPr>
            <w:tcW w:w="552" w:type="pct"/>
            <w:tcBorders>
              <w:top w:val="single" w:sz="4" w:space="0" w:color="auto"/>
              <w:left w:val="single" w:sz="4" w:space="0" w:color="auto"/>
              <w:bottom w:val="single" w:sz="4" w:space="0" w:color="auto"/>
              <w:right w:val="single" w:sz="4" w:space="0" w:color="auto"/>
            </w:tcBorders>
            <w:hideMark/>
          </w:tcPr>
          <w:p w14:paraId="2F8B9D25"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D7</w:t>
            </w:r>
          </w:p>
        </w:tc>
        <w:tc>
          <w:tcPr>
            <w:tcW w:w="502" w:type="pct"/>
            <w:tcBorders>
              <w:top w:val="single" w:sz="4" w:space="0" w:color="auto"/>
              <w:left w:val="single" w:sz="4" w:space="0" w:color="auto"/>
              <w:bottom w:val="single" w:sz="4" w:space="0" w:color="auto"/>
              <w:right w:val="single" w:sz="4" w:space="0" w:color="auto"/>
            </w:tcBorders>
            <w:hideMark/>
          </w:tcPr>
          <w:p w14:paraId="1A185F5F"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D14</w:t>
            </w:r>
          </w:p>
        </w:tc>
        <w:tc>
          <w:tcPr>
            <w:tcW w:w="502" w:type="pct"/>
            <w:tcBorders>
              <w:top w:val="single" w:sz="4" w:space="0" w:color="auto"/>
              <w:left w:val="single" w:sz="4" w:space="0" w:color="auto"/>
              <w:bottom w:val="single" w:sz="4" w:space="0" w:color="auto"/>
              <w:right w:val="single" w:sz="4" w:space="0" w:color="auto"/>
            </w:tcBorders>
            <w:hideMark/>
          </w:tcPr>
          <w:p w14:paraId="340F8B91"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D21</w:t>
            </w:r>
          </w:p>
        </w:tc>
        <w:tc>
          <w:tcPr>
            <w:tcW w:w="599" w:type="pct"/>
            <w:tcBorders>
              <w:top w:val="single" w:sz="4" w:space="0" w:color="auto"/>
              <w:left w:val="single" w:sz="4" w:space="0" w:color="auto"/>
              <w:bottom w:val="single" w:sz="4" w:space="0" w:color="auto"/>
              <w:right w:val="single" w:sz="4" w:space="0" w:color="auto"/>
            </w:tcBorders>
            <w:hideMark/>
          </w:tcPr>
          <w:p w14:paraId="5369FB2A"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D28</w:t>
            </w:r>
          </w:p>
        </w:tc>
      </w:tr>
      <w:tr w:rsidR="008446A4" w:rsidRPr="001A5C17" w14:paraId="6C68EB47" w14:textId="77777777" w:rsidTr="00A32762">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489DE50C"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b/>
                <w:bCs/>
                <w:sz w:val="22"/>
                <w:szCs w:val="22"/>
                <w:lang w:eastAsia="fr-FR"/>
              </w:rPr>
              <w:t>Intramuskulær anvendelse (0,5 ml pr. dosis)</w:t>
            </w:r>
          </w:p>
        </w:tc>
      </w:tr>
      <w:tr w:rsidR="008446A4" w:rsidRPr="001A5C17" w14:paraId="7DC019D5" w14:textId="77777777" w:rsidTr="00A32762">
        <w:trPr>
          <w:trHeight w:val="605"/>
        </w:trPr>
        <w:tc>
          <w:tcPr>
            <w:tcW w:w="1678" w:type="pct"/>
            <w:tcBorders>
              <w:top w:val="single" w:sz="4" w:space="0" w:color="auto"/>
              <w:left w:val="single" w:sz="4" w:space="0" w:color="auto"/>
              <w:bottom w:val="single" w:sz="4" w:space="0" w:color="auto"/>
              <w:right w:val="single" w:sz="4" w:space="0" w:color="auto"/>
            </w:tcBorders>
            <w:hideMark/>
          </w:tcPr>
          <w:p w14:paraId="1016EE8B" w14:textId="77777777" w:rsidR="008446A4" w:rsidRPr="001A5C17" w:rsidRDefault="008446A4" w:rsidP="00A32762">
            <w:pPr>
              <w:keepNext/>
              <w:tabs>
                <w:tab w:val="left" w:pos="1304"/>
              </w:tabs>
              <w:rPr>
                <w:sz w:val="22"/>
                <w:szCs w:val="22"/>
                <w:lang w:eastAsia="fr-FR"/>
              </w:rPr>
            </w:pPr>
            <w:proofErr w:type="spellStart"/>
            <w:r w:rsidRPr="001A5C17">
              <w:rPr>
                <w:sz w:val="22"/>
                <w:szCs w:val="22"/>
                <w:lang w:eastAsia="fr-FR"/>
              </w:rPr>
              <w:t>i.m</w:t>
            </w:r>
            <w:proofErr w:type="spellEnd"/>
            <w:r w:rsidRPr="001A5C17">
              <w:rPr>
                <w:sz w:val="22"/>
                <w:szCs w:val="22"/>
                <w:lang w:eastAsia="fr-FR"/>
              </w:rPr>
              <w:t>. Essen-protokol</w:t>
            </w:r>
          </w:p>
          <w:p w14:paraId="5ACA05C3" w14:textId="77777777" w:rsidR="008446A4" w:rsidRPr="001A5C17" w:rsidRDefault="008446A4" w:rsidP="00A32762">
            <w:pPr>
              <w:keepNext/>
              <w:tabs>
                <w:tab w:val="left" w:pos="1304"/>
              </w:tabs>
              <w:rPr>
                <w:rFonts w:eastAsia="Calibri"/>
                <w:sz w:val="22"/>
                <w:szCs w:val="22"/>
              </w:rPr>
            </w:pPr>
            <w:proofErr w:type="spellStart"/>
            <w:r w:rsidRPr="001A5C17">
              <w:rPr>
                <w:sz w:val="22"/>
                <w:szCs w:val="22"/>
                <w:lang w:eastAsia="fr-FR"/>
              </w:rPr>
              <w:t>i.m</w:t>
            </w:r>
            <w:proofErr w:type="spellEnd"/>
            <w:r w:rsidRPr="001A5C17">
              <w:rPr>
                <w:sz w:val="22"/>
                <w:szCs w:val="22"/>
                <w:lang w:eastAsia="fr-FR"/>
              </w:rPr>
              <w:t>.-anvendelse – 0,5 ml/dosis</w:t>
            </w:r>
          </w:p>
        </w:tc>
        <w:tc>
          <w:tcPr>
            <w:tcW w:w="585" w:type="pct"/>
            <w:tcBorders>
              <w:top w:val="single" w:sz="4" w:space="0" w:color="auto"/>
              <w:left w:val="single" w:sz="4" w:space="0" w:color="auto"/>
              <w:bottom w:val="single" w:sz="4" w:space="0" w:color="auto"/>
              <w:right w:val="single" w:sz="4" w:space="0" w:color="auto"/>
            </w:tcBorders>
            <w:hideMark/>
          </w:tcPr>
          <w:p w14:paraId="134BFDAF"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83" w:type="pct"/>
            <w:tcBorders>
              <w:top w:val="single" w:sz="4" w:space="0" w:color="auto"/>
              <w:left w:val="single" w:sz="4" w:space="0" w:color="auto"/>
              <w:bottom w:val="single" w:sz="4" w:space="0" w:color="auto"/>
              <w:right w:val="single" w:sz="4" w:space="0" w:color="auto"/>
            </w:tcBorders>
            <w:hideMark/>
          </w:tcPr>
          <w:p w14:paraId="654FCF01"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52" w:type="pct"/>
            <w:tcBorders>
              <w:top w:val="single" w:sz="4" w:space="0" w:color="auto"/>
              <w:left w:val="single" w:sz="4" w:space="0" w:color="auto"/>
              <w:bottom w:val="single" w:sz="4" w:space="0" w:color="auto"/>
              <w:right w:val="single" w:sz="4" w:space="0" w:color="auto"/>
            </w:tcBorders>
            <w:hideMark/>
          </w:tcPr>
          <w:p w14:paraId="41C54E8D"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02" w:type="pct"/>
            <w:tcBorders>
              <w:top w:val="single" w:sz="4" w:space="0" w:color="auto"/>
              <w:left w:val="single" w:sz="4" w:space="0" w:color="auto"/>
              <w:bottom w:val="single" w:sz="4" w:space="0" w:color="auto"/>
              <w:right w:val="single" w:sz="4" w:space="0" w:color="auto"/>
            </w:tcBorders>
            <w:hideMark/>
          </w:tcPr>
          <w:p w14:paraId="4963545C"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02" w:type="pct"/>
            <w:tcBorders>
              <w:top w:val="single" w:sz="4" w:space="0" w:color="auto"/>
              <w:left w:val="single" w:sz="4" w:space="0" w:color="auto"/>
              <w:bottom w:val="single" w:sz="4" w:space="0" w:color="auto"/>
              <w:right w:val="single" w:sz="4" w:space="0" w:color="auto"/>
            </w:tcBorders>
          </w:tcPr>
          <w:p w14:paraId="02A81ECC" w14:textId="77777777" w:rsidR="008446A4" w:rsidRPr="001A5C17" w:rsidRDefault="008446A4" w:rsidP="00A32762">
            <w:pPr>
              <w:keepNext/>
              <w:tabs>
                <w:tab w:val="left" w:pos="1304"/>
              </w:tabs>
              <w:jc w:val="center"/>
              <w:rPr>
                <w:rFonts w:eastAsia="Cambria"/>
                <w:sz w:val="22"/>
                <w:szCs w:val="22"/>
                <w:lang w:eastAsia="fr-FR"/>
              </w:rPr>
            </w:pPr>
          </w:p>
        </w:tc>
        <w:tc>
          <w:tcPr>
            <w:tcW w:w="599" w:type="pct"/>
            <w:tcBorders>
              <w:top w:val="single" w:sz="4" w:space="0" w:color="auto"/>
              <w:left w:val="single" w:sz="4" w:space="0" w:color="auto"/>
              <w:bottom w:val="single" w:sz="4" w:space="0" w:color="auto"/>
              <w:right w:val="single" w:sz="4" w:space="0" w:color="auto"/>
            </w:tcBorders>
            <w:hideMark/>
          </w:tcPr>
          <w:p w14:paraId="06B235A1"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r>
      <w:tr w:rsidR="008446A4" w:rsidRPr="001A5C17" w14:paraId="195C9478" w14:textId="77777777" w:rsidTr="00A32762">
        <w:tc>
          <w:tcPr>
            <w:tcW w:w="1678" w:type="pct"/>
            <w:tcBorders>
              <w:top w:val="single" w:sz="4" w:space="0" w:color="auto"/>
              <w:left w:val="single" w:sz="4" w:space="0" w:color="auto"/>
              <w:bottom w:val="single" w:sz="4" w:space="0" w:color="auto"/>
              <w:right w:val="single" w:sz="4" w:space="0" w:color="auto"/>
            </w:tcBorders>
            <w:hideMark/>
          </w:tcPr>
          <w:p w14:paraId="4DAC07FD" w14:textId="77777777" w:rsidR="008446A4" w:rsidRPr="001A5C17" w:rsidRDefault="008446A4" w:rsidP="00A32762">
            <w:pPr>
              <w:keepNext/>
              <w:tabs>
                <w:tab w:val="left" w:pos="1304"/>
              </w:tabs>
              <w:rPr>
                <w:sz w:val="22"/>
                <w:szCs w:val="22"/>
                <w:lang w:eastAsia="fr-FR"/>
              </w:rPr>
            </w:pPr>
            <w:proofErr w:type="spellStart"/>
            <w:r w:rsidRPr="001A5C17">
              <w:rPr>
                <w:sz w:val="22"/>
                <w:szCs w:val="22"/>
                <w:lang w:eastAsia="fr-FR"/>
              </w:rPr>
              <w:t>i.m</w:t>
            </w:r>
            <w:proofErr w:type="spellEnd"/>
            <w:r w:rsidRPr="001A5C17">
              <w:rPr>
                <w:sz w:val="22"/>
                <w:szCs w:val="22"/>
                <w:lang w:eastAsia="fr-FR"/>
              </w:rPr>
              <w:t>. Zagreb-protokol</w:t>
            </w:r>
          </w:p>
          <w:p w14:paraId="5BBB5D22" w14:textId="77777777" w:rsidR="008446A4" w:rsidRPr="001A5C17" w:rsidRDefault="008446A4" w:rsidP="00A32762">
            <w:pPr>
              <w:keepNext/>
              <w:tabs>
                <w:tab w:val="left" w:pos="1304"/>
              </w:tabs>
              <w:rPr>
                <w:sz w:val="22"/>
                <w:szCs w:val="22"/>
                <w:lang w:eastAsia="fr-FR"/>
              </w:rPr>
            </w:pPr>
            <w:proofErr w:type="spellStart"/>
            <w:r w:rsidRPr="001A5C17">
              <w:rPr>
                <w:sz w:val="22"/>
                <w:szCs w:val="22"/>
                <w:lang w:eastAsia="fr-FR"/>
              </w:rPr>
              <w:t>i.m</w:t>
            </w:r>
            <w:proofErr w:type="spellEnd"/>
            <w:r w:rsidRPr="001A5C17">
              <w:rPr>
                <w:sz w:val="22"/>
                <w:szCs w:val="22"/>
                <w:lang w:eastAsia="fr-FR"/>
              </w:rPr>
              <w:t>.-anvendelse – 0,5 ml/dosis</w:t>
            </w:r>
          </w:p>
        </w:tc>
        <w:tc>
          <w:tcPr>
            <w:tcW w:w="585" w:type="pct"/>
            <w:tcBorders>
              <w:top w:val="single" w:sz="4" w:space="0" w:color="auto"/>
              <w:left w:val="single" w:sz="4" w:space="0" w:color="auto"/>
              <w:bottom w:val="single" w:sz="4" w:space="0" w:color="auto"/>
              <w:right w:val="single" w:sz="4" w:space="0" w:color="auto"/>
            </w:tcBorders>
            <w:hideMark/>
          </w:tcPr>
          <w:p w14:paraId="3DF0D497"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(a)</w:t>
            </w:r>
          </w:p>
        </w:tc>
        <w:tc>
          <w:tcPr>
            <w:tcW w:w="583" w:type="pct"/>
            <w:tcBorders>
              <w:top w:val="single" w:sz="4" w:space="0" w:color="auto"/>
              <w:left w:val="single" w:sz="4" w:space="0" w:color="auto"/>
              <w:bottom w:val="single" w:sz="4" w:space="0" w:color="auto"/>
              <w:right w:val="single" w:sz="4" w:space="0" w:color="auto"/>
            </w:tcBorders>
            <w:hideMark/>
          </w:tcPr>
          <w:p w14:paraId="5B188CA1"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52" w:type="pct"/>
            <w:tcBorders>
              <w:top w:val="single" w:sz="4" w:space="0" w:color="auto"/>
              <w:left w:val="single" w:sz="4" w:space="0" w:color="auto"/>
              <w:bottom w:val="single" w:sz="4" w:space="0" w:color="auto"/>
              <w:right w:val="single" w:sz="4" w:space="0" w:color="auto"/>
            </w:tcBorders>
            <w:hideMark/>
          </w:tcPr>
          <w:p w14:paraId="57D7EC48"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02" w:type="pct"/>
            <w:tcBorders>
              <w:top w:val="single" w:sz="4" w:space="0" w:color="auto"/>
              <w:left w:val="single" w:sz="4" w:space="0" w:color="auto"/>
              <w:bottom w:val="single" w:sz="4" w:space="0" w:color="auto"/>
              <w:right w:val="single" w:sz="4" w:space="0" w:color="auto"/>
            </w:tcBorders>
            <w:hideMark/>
          </w:tcPr>
          <w:p w14:paraId="1190604C"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02" w:type="pct"/>
            <w:tcBorders>
              <w:top w:val="single" w:sz="4" w:space="0" w:color="auto"/>
              <w:left w:val="single" w:sz="4" w:space="0" w:color="auto"/>
              <w:bottom w:val="single" w:sz="4" w:space="0" w:color="auto"/>
              <w:right w:val="single" w:sz="4" w:space="0" w:color="auto"/>
            </w:tcBorders>
            <w:hideMark/>
          </w:tcPr>
          <w:p w14:paraId="6ACB0ACA"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99" w:type="pct"/>
            <w:tcBorders>
              <w:top w:val="single" w:sz="4" w:space="0" w:color="auto"/>
              <w:left w:val="single" w:sz="4" w:space="0" w:color="auto"/>
              <w:bottom w:val="single" w:sz="4" w:space="0" w:color="auto"/>
              <w:right w:val="single" w:sz="4" w:space="0" w:color="auto"/>
            </w:tcBorders>
            <w:hideMark/>
          </w:tcPr>
          <w:p w14:paraId="0A69D6A8"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r>
      <w:tr w:rsidR="008446A4" w:rsidRPr="001A5C17" w14:paraId="34B58D99" w14:textId="77777777" w:rsidTr="00A32762">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0FB8843B" w14:textId="77777777" w:rsidR="008446A4" w:rsidRPr="001A5C17" w:rsidRDefault="008446A4" w:rsidP="00A32762">
            <w:pPr>
              <w:keepNext/>
              <w:tabs>
                <w:tab w:val="left" w:pos="1304"/>
              </w:tabs>
              <w:jc w:val="center"/>
              <w:rPr>
                <w:rFonts w:eastAsia="Cambria"/>
                <w:b/>
                <w:bCs/>
                <w:sz w:val="22"/>
                <w:szCs w:val="22"/>
                <w:lang w:eastAsia="fr-FR"/>
              </w:rPr>
            </w:pPr>
            <w:proofErr w:type="spellStart"/>
            <w:r w:rsidRPr="001A5C17">
              <w:rPr>
                <w:rFonts w:eastAsia="Cambria"/>
                <w:b/>
                <w:bCs/>
                <w:sz w:val="22"/>
                <w:szCs w:val="22"/>
                <w:lang w:eastAsia="fr-FR"/>
              </w:rPr>
              <w:t>Intradermal</w:t>
            </w:r>
            <w:proofErr w:type="spellEnd"/>
            <w:r w:rsidRPr="001A5C17">
              <w:rPr>
                <w:rFonts w:eastAsia="Cambria"/>
                <w:b/>
                <w:bCs/>
                <w:sz w:val="22"/>
                <w:szCs w:val="22"/>
                <w:lang w:eastAsia="fr-FR"/>
              </w:rPr>
              <w:t xml:space="preserve"> anvendelse</w:t>
            </w:r>
            <w:r w:rsidRPr="001A5C17">
              <w:rPr>
                <w:rFonts w:eastAsia="Cambria"/>
                <w:b/>
                <w:bCs/>
                <w:sz w:val="22"/>
                <w:szCs w:val="22"/>
                <w:vertAlign w:val="superscript"/>
                <w:lang w:val="nb-NO" w:eastAsia="fr-FR"/>
              </w:rPr>
              <w:t>(d)</w:t>
            </w:r>
            <w:r w:rsidRPr="001A5C17">
              <w:rPr>
                <w:rFonts w:eastAsia="Cambria"/>
                <w:b/>
                <w:bCs/>
                <w:sz w:val="22"/>
                <w:szCs w:val="22"/>
                <w:lang w:eastAsia="fr-FR"/>
              </w:rPr>
              <w:t xml:space="preserve"> (0,1 ml pr. dosis)</w:t>
            </w:r>
          </w:p>
        </w:tc>
      </w:tr>
      <w:tr w:rsidR="008446A4" w:rsidRPr="001A5C17" w14:paraId="3C783737" w14:textId="77777777" w:rsidTr="00A32762">
        <w:tc>
          <w:tcPr>
            <w:tcW w:w="1678" w:type="pct"/>
            <w:tcBorders>
              <w:top w:val="single" w:sz="4" w:space="0" w:color="auto"/>
              <w:left w:val="single" w:sz="4" w:space="0" w:color="auto"/>
              <w:bottom w:val="single" w:sz="4" w:space="0" w:color="auto"/>
              <w:right w:val="single" w:sz="4" w:space="0" w:color="auto"/>
            </w:tcBorders>
            <w:hideMark/>
          </w:tcPr>
          <w:p w14:paraId="3405E8F8" w14:textId="77777777" w:rsidR="008446A4" w:rsidRPr="001A5C17" w:rsidRDefault="008446A4" w:rsidP="00A32762">
            <w:pPr>
              <w:keepNext/>
              <w:tabs>
                <w:tab w:val="left" w:pos="1304"/>
              </w:tabs>
              <w:rPr>
                <w:sz w:val="22"/>
                <w:szCs w:val="22"/>
                <w:lang w:val="en-US" w:eastAsia="fr-FR"/>
              </w:rPr>
            </w:pPr>
            <w:r w:rsidRPr="001A5C17">
              <w:rPr>
                <w:sz w:val="22"/>
                <w:szCs w:val="22"/>
                <w:lang w:val="en-US" w:eastAsia="fr-FR"/>
              </w:rPr>
              <w:t xml:space="preserve">New Thailand Red Cross (TRC) </w:t>
            </w:r>
          </w:p>
          <w:p w14:paraId="61C74962" w14:textId="77777777" w:rsidR="008446A4" w:rsidRPr="001A5C17" w:rsidRDefault="008446A4" w:rsidP="00A32762">
            <w:pPr>
              <w:keepNext/>
              <w:tabs>
                <w:tab w:val="left" w:pos="1304"/>
              </w:tabs>
              <w:rPr>
                <w:sz w:val="22"/>
                <w:szCs w:val="22"/>
                <w:lang w:eastAsia="fr-FR"/>
              </w:rPr>
            </w:pPr>
            <w:proofErr w:type="spellStart"/>
            <w:r w:rsidRPr="001A5C17">
              <w:rPr>
                <w:sz w:val="22"/>
                <w:szCs w:val="22"/>
                <w:lang w:eastAsia="fr-FR"/>
              </w:rPr>
              <w:t>i.d</w:t>
            </w:r>
            <w:proofErr w:type="spellEnd"/>
            <w:r w:rsidRPr="001A5C17">
              <w:rPr>
                <w:sz w:val="22"/>
                <w:szCs w:val="22"/>
                <w:lang w:eastAsia="fr-FR"/>
              </w:rPr>
              <w:t>.-regime</w:t>
            </w:r>
          </w:p>
          <w:p w14:paraId="355725E5" w14:textId="77777777" w:rsidR="008446A4" w:rsidRPr="001A5C17" w:rsidRDefault="008446A4" w:rsidP="00A32762">
            <w:pPr>
              <w:keepNext/>
              <w:tabs>
                <w:tab w:val="left" w:pos="1304"/>
              </w:tabs>
              <w:rPr>
                <w:rFonts w:eastAsia="Cambria"/>
                <w:sz w:val="22"/>
                <w:szCs w:val="22"/>
                <w:lang w:eastAsia="fr-FR"/>
              </w:rPr>
            </w:pPr>
            <w:proofErr w:type="spellStart"/>
            <w:r w:rsidRPr="001A5C17">
              <w:rPr>
                <w:sz w:val="22"/>
                <w:szCs w:val="22"/>
                <w:lang w:eastAsia="fr-FR"/>
              </w:rPr>
              <w:t>i.d</w:t>
            </w:r>
            <w:proofErr w:type="spellEnd"/>
            <w:r w:rsidRPr="001A5C17">
              <w:rPr>
                <w:sz w:val="22"/>
                <w:szCs w:val="22"/>
                <w:lang w:eastAsia="fr-FR"/>
              </w:rPr>
              <w:t>.-anvendelse – 0,1 ml/dosis</w:t>
            </w:r>
          </w:p>
        </w:tc>
        <w:tc>
          <w:tcPr>
            <w:tcW w:w="585" w:type="pct"/>
            <w:tcBorders>
              <w:top w:val="single" w:sz="4" w:space="0" w:color="auto"/>
              <w:left w:val="single" w:sz="4" w:space="0" w:color="auto"/>
              <w:bottom w:val="single" w:sz="4" w:space="0" w:color="auto"/>
              <w:right w:val="single" w:sz="4" w:space="0" w:color="auto"/>
            </w:tcBorders>
            <w:hideMark/>
          </w:tcPr>
          <w:p w14:paraId="6B558E3E"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83" w:type="pct"/>
            <w:tcBorders>
              <w:top w:val="single" w:sz="4" w:space="0" w:color="auto"/>
              <w:left w:val="single" w:sz="4" w:space="0" w:color="auto"/>
              <w:bottom w:val="single" w:sz="4" w:space="0" w:color="auto"/>
              <w:right w:val="single" w:sz="4" w:space="0" w:color="auto"/>
            </w:tcBorders>
            <w:hideMark/>
          </w:tcPr>
          <w:p w14:paraId="4C3EC860"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52" w:type="pct"/>
            <w:tcBorders>
              <w:top w:val="single" w:sz="4" w:space="0" w:color="auto"/>
              <w:left w:val="single" w:sz="4" w:space="0" w:color="auto"/>
              <w:bottom w:val="single" w:sz="4" w:space="0" w:color="auto"/>
              <w:right w:val="single" w:sz="4" w:space="0" w:color="auto"/>
            </w:tcBorders>
            <w:hideMark/>
          </w:tcPr>
          <w:p w14:paraId="1F99DB6D"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02" w:type="pct"/>
            <w:tcBorders>
              <w:top w:val="single" w:sz="4" w:space="0" w:color="auto"/>
              <w:left w:val="single" w:sz="4" w:space="0" w:color="auto"/>
              <w:bottom w:val="single" w:sz="4" w:space="0" w:color="auto"/>
              <w:right w:val="single" w:sz="4" w:space="0" w:color="auto"/>
            </w:tcBorders>
            <w:hideMark/>
          </w:tcPr>
          <w:p w14:paraId="6C83A230"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02" w:type="pct"/>
            <w:tcBorders>
              <w:top w:val="single" w:sz="4" w:space="0" w:color="auto"/>
              <w:left w:val="single" w:sz="4" w:space="0" w:color="auto"/>
              <w:bottom w:val="single" w:sz="4" w:space="0" w:color="auto"/>
              <w:right w:val="single" w:sz="4" w:space="0" w:color="auto"/>
            </w:tcBorders>
            <w:hideMark/>
          </w:tcPr>
          <w:p w14:paraId="10F1F11E"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99" w:type="pct"/>
            <w:tcBorders>
              <w:top w:val="single" w:sz="4" w:space="0" w:color="auto"/>
              <w:left w:val="single" w:sz="4" w:space="0" w:color="auto"/>
              <w:bottom w:val="single" w:sz="4" w:space="0" w:color="auto"/>
              <w:right w:val="single" w:sz="4" w:space="0" w:color="auto"/>
            </w:tcBorders>
            <w:hideMark/>
          </w:tcPr>
          <w:p w14:paraId="2CBBD21C"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r>
      <w:tr w:rsidR="008446A4" w:rsidRPr="001A5C17" w14:paraId="6B9B5534" w14:textId="77777777" w:rsidTr="00A32762">
        <w:tc>
          <w:tcPr>
            <w:tcW w:w="1678" w:type="pct"/>
            <w:tcBorders>
              <w:top w:val="single" w:sz="4" w:space="0" w:color="auto"/>
              <w:left w:val="single" w:sz="4" w:space="0" w:color="auto"/>
              <w:bottom w:val="single" w:sz="4" w:space="0" w:color="auto"/>
              <w:right w:val="single" w:sz="4" w:space="0" w:color="auto"/>
            </w:tcBorders>
            <w:hideMark/>
          </w:tcPr>
          <w:p w14:paraId="6AEB17EA" w14:textId="77777777" w:rsidR="008446A4" w:rsidRPr="001A5C17" w:rsidRDefault="008446A4" w:rsidP="00A32762">
            <w:pPr>
              <w:keepNext/>
              <w:tabs>
                <w:tab w:val="left" w:pos="1304"/>
              </w:tabs>
              <w:rPr>
                <w:sz w:val="22"/>
                <w:szCs w:val="22"/>
                <w:lang w:val="en-US" w:eastAsia="fr-FR"/>
              </w:rPr>
            </w:pPr>
            <w:r w:rsidRPr="001A5C17">
              <w:rPr>
                <w:sz w:val="22"/>
                <w:szCs w:val="22"/>
                <w:lang w:val="en-US" w:eastAsia="fr-FR"/>
              </w:rPr>
              <w:t>Institute Pasteur of Cambodia (IPC) i.d.-regime</w:t>
            </w:r>
          </w:p>
          <w:p w14:paraId="58014B2A" w14:textId="77777777" w:rsidR="008446A4" w:rsidRPr="001A5C17" w:rsidRDefault="008446A4" w:rsidP="00A32762">
            <w:pPr>
              <w:keepNext/>
              <w:tabs>
                <w:tab w:val="left" w:pos="1304"/>
              </w:tabs>
              <w:rPr>
                <w:rFonts w:eastAsia="Cambria"/>
                <w:sz w:val="22"/>
                <w:szCs w:val="22"/>
                <w:lang w:eastAsia="fr-FR"/>
              </w:rPr>
            </w:pPr>
            <w:proofErr w:type="spellStart"/>
            <w:r w:rsidRPr="001A5C17">
              <w:rPr>
                <w:sz w:val="22"/>
                <w:szCs w:val="22"/>
                <w:lang w:eastAsia="fr-FR"/>
              </w:rPr>
              <w:t>i.d</w:t>
            </w:r>
            <w:proofErr w:type="spellEnd"/>
            <w:r w:rsidRPr="001A5C17">
              <w:rPr>
                <w:sz w:val="22"/>
                <w:szCs w:val="22"/>
                <w:lang w:eastAsia="fr-FR"/>
              </w:rPr>
              <w:t>. – 0,1 ml/dosis</w:t>
            </w:r>
          </w:p>
        </w:tc>
        <w:tc>
          <w:tcPr>
            <w:tcW w:w="585" w:type="pct"/>
            <w:tcBorders>
              <w:top w:val="single" w:sz="4" w:space="0" w:color="auto"/>
              <w:left w:val="single" w:sz="4" w:space="0" w:color="auto"/>
              <w:bottom w:val="single" w:sz="4" w:space="0" w:color="auto"/>
              <w:right w:val="single" w:sz="4" w:space="0" w:color="auto"/>
            </w:tcBorders>
            <w:hideMark/>
          </w:tcPr>
          <w:p w14:paraId="44AD7E79"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83" w:type="pct"/>
            <w:tcBorders>
              <w:top w:val="single" w:sz="4" w:space="0" w:color="auto"/>
              <w:left w:val="single" w:sz="4" w:space="0" w:color="auto"/>
              <w:bottom w:val="single" w:sz="4" w:space="0" w:color="auto"/>
              <w:right w:val="single" w:sz="4" w:space="0" w:color="auto"/>
            </w:tcBorders>
            <w:hideMark/>
          </w:tcPr>
          <w:p w14:paraId="4ED9B73B"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52" w:type="pct"/>
            <w:tcBorders>
              <w:top w:val="single" w:sz="4" w:space="0" w:color="auto"/>
              <w:left w:val="single" w:sz="4" w:space="0" w:color="auto"/>
              <w:bottom w:val="single" w:sz="4" w:space="0" w:color="auto"/>
              <w:right w:val="single" w:sz="4" w:space="0" w:color="auto"/>
            </w:tcBorders>
            <w:hideMark/>
          </w:tcPr>
          <w:p w14:paraId="11573305"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02" w:type="pct"/>
            <w:tcBorders>
              <w:top w:val="single" w:sz="4" w:space="0" w:color="auto"/>
              <w:left w:val="single" w:sz="4" w:space="0" w:color="auto"/>
              <w:bottom w:val="single" w:sz="4" w:space="0" w:color="auto"/>
              <w:right w:val="single" w:sz="4" w:space="0" w:color="auto"/>
            </w:tcBorders>
            <w:hideMark/>
          </w:tcPr>
          <w:p w14:paraId="594CFF76"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02" w:type="pct"/>
            <w:tcBorders>
              <w:top w:val="single" w:sz="4" w:space="0" w:color="auto"/>
              <w:left w:val="single" w:sz="4" w:space="0" w:color="auto"/>
              <w:bottom w:val="single" w:sz="4" w:space="0" w:color="auto"/>
              <w:right w:val="single" w:sz="4" w:space="0" w:color="auto"/>
            </w:tcBorders>
            <w:hideMark/>
          </w:tcPr>
          <w:p w14:paraId="79F137FE"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99" w:type="pct"/>
            <w:tcBorders>
              <w:top w:val="single" w:sz="4" w:space="0" w:color="auto"/>
              <w:left w:val="single" w:sz="4" w:space="0" w:color="auto"/>
              <w:bottom w:val="single" w:sz="4" w:space="0" w:color="auto"/>
              <w:right w:val="single" w:sz="4" w:space="0" w:color="auto"/>
            </w:tcBorders>
            <w:hideMark/>
          </w:tcPr>
          <w:p w14:paraId="35FDFB38"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r>
      <w:tr w:rsidR="008446A4" w:rsidRPr="001A5C17" w14:paraId="571C25DC" w14:textId="77777777" w:rsidTr="00A32762">
        <w:tc>
          <w:tcPr>
            <w:tcW w:w="1678" w:type="pct"/>
            <w:tcBorders>
              <w:top w:val="single" w:sz="4" w:space="0" w:color="auto"/>
              <w:left w:val="single" w:sz="4" w:space="0" w:color="auto"/>
              <w:bottom w:val="single" w:sz="4" w:space="0" w:color="auto"/>
              <w:right w:val="single" w:sz="4" w:space="0" w:color="auto"/>
            </w:tcBorders>
            <w:hideMark/>
          </w:tcPr>
          <w:p w14:paraId="41209F21" w14:textId="77777777" w:rsidR="008446A4" w:rsidRPr="001A5C17" w:rsidRDefault="008446A4" w:rsidP="00A32762">
            <w:pPr>
              <w:keepNext/>
              <w:tabs>
                <w:tab w:val="left" w:pos="1304"/>
              </w:tabs>
              <w:rPr>
                <w:sz w:val="22"/>
                <w:szCs w:val="22"/>
                <w:lang w:eastAsia="fr-FR"/>
              </w:rPr>
            </w:pPr>
            <w:r w:rsidRPr="001A5C17">
              <w:rPr>
                <w:sz w:val="22"/>
                <w:szCs w:val="22"/>
                <w:lang w:eastAsia="fr-FR"/>
              </w:rPr>
              <w:t>4</w:t>
            </w:r>
            <w:r w:rsidRPr="001A5C17">
              <w:rPr>
                <w:rFonts w:eastAsia="Cambria"/>
                <w:b/>
                <w:bCs/>
                <w:sz w:val="22"/>
                <w:szCs w:val="22"/>
                <w:lang w:eastAsia="fr-FR"/>
              </w:rPr>
              <w:t>-</w:t>
            </w:r>
            <w:r w:rsidRPr="001A5C17">
              <w:rPr>
                <w:sz w:val="22"/>
                <w:szCs w:val="22"/>
                <w:lang w:eastAsia="fr-FR"/>
              </w:rPr>
              <w:t>sidet, 1</w:t>
            </w:r>
            <w:r w:rsidRPr="001A5C17">
              <w:rPr>
                <w:rFonts w:eastAsia="Cambria"/>
                <w:sz w:val="22"/>
                <w:szCs w:val="22"/>
                <w:lang w:eastAsia="fr-FR"/>
              </w:rPr>
              <w:t xml:space="preserve">-uges </w:t>
            </w:r>
            <w:proofErr w:type="spellStart"/>
            <w:r w:rsidRPr="001A5C17">
              <w:rPr>
                <w:rFonts w:eastAsia="Cambria"/>
                <w:sz w:val="22"/>
                <w:szCs w:val="22"/>
                <w:lang w:eastAsia="fr-FR"/>
              </w:rPr>
              <w:t>i.d</w:t>
            </w:r>
            <w:proofErr w:type="spellEnd"/>
            <w:r w:rsidRPr="001A5C17">
              <w:rPr>
                <w:rFonts w:eastAsia="Cambria"/>
                <w:sz w:val="22"/>
                <w:szCs w:val="22"/>
                <w:lang w:eastAsia="fr-FR"/>
              </w:rPr>
              <w:t>.-</w:t>
            </w:r>
            <w:r w:rsidRPr="001A5C17">
              <w:rPr>
                <w:sz w:val="22"/>
                <w:szCs w:val="22"/>
                <w:lang w:eastAsia="fr-FR"/>
              </w:rPr>
              <w:t>regime</w:t>
            </w:r>
          </w:p>
          <w:p w14:paraId="1B859CEB" w14:textId="77777777" w:rsidR="008446A4" w:rsidRPr="001A5C17" w:rsidRDefault="008446A4" w:rsidP="00A32762">
            <w:pPr>
              <w:keepNext/>
              <w:tabs>
                <w:tab w:val="left" w:pos="1304"/>
              </w:tabs>
              <w:rPr>
                <w:rFonts w:eastAsia="Cambria"/>
                <w:sz w:val="22"/>
                <w:szCs w:val="22"/>
                <w:lang w:eastAsia="fr-FR"/>
              </w:rPr>
            </w:pPr>
            <w:proofErr w:type="spellStart"/>
            <w:r w:rsidRPr="001A5C17">
              <w:rPr>
                <w:sz w:val="22"/>
                <w:szCs w:val="22"/>
                <w:lang w:eastAsia="fr-FR"/>
              </w:rPr>
              <w:t>i.d</w:t>
            </w:r>
            <w:proofErr w:type="spellEnd"/>
            <w:r w:rsidRPr="001A5C17">
              <w:rPr>
                <w:sz w:val="22"/>
                <w:szCs w:val="22"/>
                <w:lang w:eastAsia="fr-FR"/>
              </w:rPr>
              <w:t>.-anvendelse – 0,1 ml/dosis</w:t>
            </w:r>
          </w:p>
        </w:tc>
        <w:tc>
          <w:tcPr>
            <w:tcW w:w="585" w:type="pct"/>
            <w:tcBorders>
              <w:top w:val="single" w:sz="4" w:space="0" w:color="auto"/>
              <w:left w:val="single" w:sz="4" w:space="0" w:color="auto"/>
              <w:bottom w:val="single" w:sz="4" w:space="0" w:color="auto"/>
              <w:right w:val="single" w:sz="4" w:space="0" w:color="auto"/>
            </w:tcBorders>
            <w:hideMark/>
          </w:tcPr>
          <w:p w14:paraId="6FE1945F"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4</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(c)</w:t>
            </w:r>
          </w:p>
        </w:tc>
        <w:tc>
          <w:tcPr>
            <w:tcW w:w="583" w:type="pct"/>
            <w:tcBorders>
              <w:top w:val="single" w:sz="4" w:space="0" w:color="auto"/>
              <w:left w:val="single" w:sz="4" w:space="0" w:color="auto"/>
              <w:bottom w:val="single" w:sz="4" w:space="0" w:color="auto"/>
              <w:right w:val="single" w:sz="4" w:space="0" w:color="auto"/>
            </w:tcBorders>
            <w:hideMark/>
          </w:tcPr>
          <w:p w14:paraId="3C05F8C6"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4</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(c)</w:t>
            </w:r>
          </w:p>
        </w:tc>
        <w:tc>
          <w:tcPr>
            <w:tcW w:w="552" w:type="pct"/>
            <w:tcBorders>
              <w:top w:val="single" w:sz="4" w:space="0" w:color="auto"/>
              <w:left w:val="single" w:sz="4" w:space="0" w:color="auto"/>
              <w:bottom w:val="single" w:sz="4" w:space="0" w:color="auto"/>
              <w:right w:val="single" w:sz="4" w:space="0" w:color="auto"/>
            </w:tcBorders>
            <w:hideMark/>
          </w:tcPr>
          <w:p w14:paraId="4C258BEF"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4</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(c)</w:t>
            </w:r>
          </w:p>
        </w:tc>
        <w:tc>
          <w:tcPr>
            <w:tcW w:w="502" w:type="pct"/>
            <w:tcBorders>
              <w:top w:val="single" w:sz="4" w:space="0" w:color="auto"/>
              <w:left w:val="single" w:sz="4" w:space="0" w:color="auto"/>
              <w:bottom w:val="single" w:sz="4" w:space="0" w:color="auto"/>
              <w:right w:val="single" w:sz="4" w:space="0" w:color="auto"/>
            </w:tcBorders>
            <w:hideMark/>
          </w:tcPr>
          <w:p w14:paraId="57763F04"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w:t>
            </w:r>
          </w:p>
        </w:tc>
        <w:tc>
          <w:tcPr>
            <w:tcW w:w="502" w:type="pct"/>
            <w:tcBorders>
              <w:top w:val="single" w:sz="4" w:space="0" w:color="auto"/>
              <w:left w:val="single" w:sz="4" w:space="0" w:color="auto"/>
              <w:bottom w:val="single" w:sz="4" w:space="0" w:color="auto"/>
              <w:right w:val="single" w:sz="4" w:space="0" w:color="auto"/>
            </w:tcBorders>
            <w:hideMark/>
          </w:tcPr>
          <w:p w14:paraId="6E5C6B92"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w:t>
            </w:r>
          </w:p>
        </w:tc>
        <w:tc>
          <w:tcPr>
            <w:tcW w:w="599" w:type="pct"/>
            <w:tcBorders>
              <w:top w:val="single" w:sz="4" w:space="0" w:color="auto"/>
              <w:left w:val="single" w:sz="4" w:space="0" w:color="auto"/>
              <w:bottom w:val="single" w:sz="4" w:space="0" w:color="auto"/>
              <w:right w:val="single" w:sz="4" w:space="0" w:color="auto"/>
            </w:tcBorders>
            <w:hideMark/>
          </w:tcPr>
          <w:p w14:paraId="6A97A830"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w:t>
            </w:r>
          </w:p>
        </w:tc>
      </w:tr>
    </w:tbl>
    <w:p w14:paraId="6DE53C64" w14:textId="77777777" w:rsidR="008446A4" w:rsidRPr="001A5C17" w:rsidRDefault="008446A4" w:rsidP="008446A4">
      <w:pPr>
        <w:keepNext/>
        <w:ind w:left="284" w:hanging="284"/>
        <w:rPr>
          <w:rFonts w:eastAsia="Calibri"/>
          <w:sz w:val="20"/>
        </w:rPr>
      </w:pPr>
      <w:r w:rsidRPr="001A5C17">
        <w:rPr>
          <w:rFonts w:eastAsia="Calibri"/>
          <w:sz w:val="20"/>
          <w:vertAlign w:val="superscript"/>
        </w:rPr>
        <w:t>(a)</w:t>
      </w:r>
      <w:r w:rsidRPr="001A5C17">
        <w:rPr>
          <w:rFonts w:eastAsia="Calibri"/>
          <w:sz w:val="20"/>
        </w:rPr>
        <w:t xml:space="preserve"> </w:t>
      </w:r>
      <w:r w:rsidRPr="001A5C17">
        <w:rPr>
          <w:rFonts w:eastAsia="Calibri"/>
          <w:sz w:val="20"/>
        </w:rPr>
        <w:tab/>
        <w:t xml:space="preserve">en </w:t>
      </w:r>
      <w:proofErr w:type="spellStart"/>
      <w:r w:rsidRPr="001A5C17">
        <w:rPr>
          <w:rFonts w:eastAsia="Calibri"/>
          <w:sz w:val="20"/>
        </w:rPr>
        <w:t>i.m</w:t>
      </w:r>
      <w:proofErr w:type="spellEnd"/>
      <w:r w:rsidRPr="001A5C17">
        <w:rPr>
          <w:rFonts w:eastAsia="Calibri"/>
          <w:sz w:val="20"/>
        </w:rPr>
        <w:t xml:space="preserve">.-injektion i det </w:t>
      </w:r>
      <w:proofErr w:type="spellStart"/>
      <w:r w:rsidRPr="001A5C17">
        <w:rPr>
          <w:rFonts w:eastAsia="Calibri"/>
          <w:sz w:val="20"/>
        </w:rPr>
        <w:t>anterolaterale</w:t>
      </w:r>
      <w:proofErr w:type="spellEnd"/>
      <w:r w:rsidRPr="001A5C17">
        <w:rPr>
          <w:rFonts w:eastAsia="Calibri"/>
          <w:sz w:val="20"/>
        </w:rPr>
        <w:t xml:space="preserve"> område af hvert lår (hos spædbørn og småbørn) eller i hver deltamuskel (hos ældre børn og voksne).</w:t>
      </w:r>
    </w:p>
    <w:p w14:paraId="0E4AAF82" w14:textId="77777777" w:rsidR="008446A4" w:rsidRPr="001A5C17" w:rsidRDefault="008446A4" w:rsidP="008446A4">
      <w:pPr>
        <w:keepNext/>
        <w:ind w:left="284" w:hanging="284"/>
        <w:rPr>
          <w:rFonts w:eastAsia="Calibri"/>
          <w:sz w:val="20"/>
        </w:rPr>
      </w:pPr>
      <w:r w:rsidRPr="001A5C17">
        <w:rPr>
          <w:rFonts w:eastAsia="Calibri"/>
          <w:sz w:val="20"/>
          <w:vertAlign w:val="superscript"/>
        </w:rPr>
        <w:t>(b)</w:t>
      </w:r>
      <w:r w:rsidRPr="001A5C17">
        <w:rPr>
          <w:rFonts w:eastAsia="Calibri"/>
          <w:sz w:val="20"/>
        </w:rPr>
        <w:t xml:space="preserve"> </w:t>
      </w:r>
      <w:r w:rsidRPr="001A5C17">
        <w:rPr>
          <w:rFonts w:eastAsia="Calibri"/>
          <w:sz w:val="20"/>
        </w:rPr>
        <w:tab/>
        <w:t>skal injiceres på 2 separate steder, kontralateralt hvis muligt.</w:t>
      </w:r>
    </w:p>
    <w:p w14:paraId="623BC659" w14:textId="77777777" w:rsidR="008446A4" w:rsidRPr="001A5C17" w:rsidRDefault="008446A4" w:rsidP="008446A4">
      <w:pPr>
        <w:keepNext/>
        <w:ind w:left="284" w:hanging="284"/>
        <w:rPr>
          <w:rFonts w:eastAsia="Calibri"/>
          <w:sz w:val="20"/>
        </w:rPr>
      </w:pPr>
      <w:r w:rsidRPr="001A5C17">
        <w:rPr>
          <w:rFonts w:eastAsia="Calibri"/>
          <w:sz w:val="20"/>
          <w:vertAlign w:val="superscript"/>
        </w:rPr>
        <w:t>(c)</w:t>
      </w:r>
      <w:r w:rsidRPr="001A5C17">
        <w:rPr>
          <w:rFonts w:eastAsia="Calibri"/>
          <w:sz w:val="20"/>
        </w:rPr>
        <w:t xml:space="preserve"> </w:t>
      </w:r>
      <w:r w:rsidRPr="001A5C17">
        <w:rPr>
          <w:rFonts w:eastAsia="Calibri"/>
          <w:sz w:val="20"/>
        </w:rPr>
        <w:tab/>
        <w:t>skal injiceres på 4 separate steder.</w:t>
      </w:r>
    </w:p>
    <w:p w14:paraId="2A35200C" w14:textId="77777777" w:rsidR="008446A4" w:rsidRPr="001A5C17" w:rsidRDefault="008446A4" w:rsidP="008446A4">
      <w:pPr>
        <w:keepNext/>
        <w:ind w:left="284" w:hanging="284"/>
        <w:rPr>
          <w:rFonts w:eastAsia="Calibri"/>
          <w:sz w:val="20"/>
        </w:rPr>
      </w:pPr>
      <w:r w:rsidRPr="001A5C17">
        <w:rPr>
          <w:rFonts w:eastAsia="Calibri"/>
          <w:sz w:val="20"/>
          <w:vertAlign w:val="superscript"/>
        </w:rPr>
        <w:t>(d)</w:t>
      </w:r>
      <w:r w:rsidRPr="001A5C17">
        <w:rPr>
          <w:rFonts w:eastAsia="Calibri"/>
          <w:sz w:val="20"/>
        </w:rPr>
        <w:t xml:space="preserve"> </w:t>
      </w:r>
      <w:r w:rsidRPr="001A5C17">
        <w:rPr>
          <w:rFonts w:eastAsia="Calibri"/>
          <w:sz w:val="20"/>
        </w:rPr>
        <w:tab/>
        <w:t>Se pkt. 5.1</w:t>
      </w:r>
    </w:p>
    <w:p w14:paraId="531B2C6C" w14:textId="77777777" w:rsidR="008446A4" w:rsidRPr="00155A7C" w:rsidRDefault="008446A4" w:rsidP="008446A4">
      <w:pPr>
        <w:ind w:left="851"/>
        <w:rPr>
          <w:sz w:val="24"/>
          <w:szCs w:val="24"/>
          <w:lang w:eastAsia="fr-FR"/>
        </w:rPr>
      </w:pPr>
    </w:p>
    <w:p w14:paraId="548410B0" w14:textId="77777777" w:rsidR="008446A4" w:rsidRPr="00155A7C" w:rsidRDefault="008446A4" w:rsidP="008446A4">
      <w:pPr>
        <w:ind w:left="851"/>
        <w:rPr>
          <w:sz w:val="24"/>
          <w:szCs w:val="24"/>
          <w:lang w:eastAsia="fr-FR"/>
        </w:rPr>
      </w:pPr>
      <w:r w:rsidRPr="00155A7C">
        <w:rPr>
          <w:sz w:val="24"/>
          <w:szCs w:val="24"/>
          <w:lang w:eastAsia="fr-FR"/>
        </w:rPr>
        <w:t>Uanset hvilket regime der anvendes, bør vaccination ikke afbrydes, medmindre dyret er erklæret fri for rabies.</w:t>
      </w:r>
    </w:p>
    <w:p w14:paraId="69810787" w14:textId="77777777" w:rsidR="008446A4" w:rsidRDefault="008446A4" w:rsidP="008446A4">
      <w:pPr>
        <w:ind w:left="851"/>
        <w:rPr>
          <w:sz w:val="24"/>
          <w:szCs w:val="24"/>
          <w:lang w:eastAsia="fr-FR"/>
        </w:rPr>
      </w:pPr>
    </w:p>
    <w:p w14:paraId="160AACD9" w14:textId="77777777" w:rsidR="008446A4" w:rsidRPr="00155A7C" w:rsidRDefault="008446A4" w:rsidP="008446A4">
      <w:pPr>
        <w:ind w:left="851"/>
        <w:rPr>
          <w:sz w:val="24"/>
          <w:szCs w:val="24"/>
          <w:lang w:eastAsia="fr-FR"/>
        </w:rPr>
      </w:pPr>
      <w:r w:rsidRPr="00155A7C">
        <w:rPr>
          <w:sz w:val="24"/>
          <w:szCs w:val="24"/>
          <w:lang w:eastAsia="fr-FR"/>
        </w:rPr>
        <w:t>Rabies-</w:t>
      </w:r>
      <w:proofErr w:type="spellStart"/>
      <w:r w:rsidRPr="00155A7C">
        <w:rPr>
          <w:sz w:val="24"/>
          <w:szCs w:val="24"/>
          <w:lang w:eastAsia="fr-FR"/>
        </w:rPr>
        <w:t>immunglobuliner</w:t>
      </w:r>
      <w:proofErr w:type="spellEnd"/>
      <w:r w:rsidRPr="00155A7C">
        <w:rPr>
          <w:sz w:val="24"/>
          <w:szCs w:val="24"/>
          <w:lang w:eastAsia="fr-FR"/>
        </w:rPr>
        <w:t xml:space="preserve"> bør administreres sammen med vaccinen i tilfælde af kategori III-eksponering (WHO-</w:t>
      </w:r>
      <w:bookmarkStart w:id="6" w:name="_Hlk126326037"/>
      <w:r w:rsidRPr="00155A7C">
        <w:rPr>
          <w:sz w:val="24"/>
          <w:szCs w:val="24"/>
          <w:lang w:eastAsia="fr-FR"/>
        </w:rPr>
        <w:t>klassificering, se tabel </w:t>
      </w:r>
      <w:r>
        <w:rPr>
          <w:sz w:val="24"/>
          <w:szCs w:val="24"/>
          <w:lang w:eastAsia="fr-FR"/>
        </w:rPr>
        <w:t>2</w:t>
      </w:r>
      <w:r w:rsidRPr="00155A7C">
        <w:rPr>
          <w:sz w:val="24"/>
          <w:szCs w:val="24"/>
          <w:lang w:eastAsia="fr-FR"/>
        </w:rPr>
        <w:t xml:space="preserve">). Hvis det er muligt, bør hver enkelt dosis af vaccinen administreres på et sted på kroppen, langt fra administrationsstederne for </w:t>
      </w:r>
      <w:proofErr w:type="spellStart"/>
      <w:r w:rsidRPr="00155A7C">
        <w:rPr>
          <w:sz w:val="24"/>
          <w:szCs w:val="24"/>
          <w:lang w:eastAsia="fr-FR"/>
        </w:rPr>
        <w:t>immunglobulin</w:t>
      </w:r>
      <w:proofErr w:type="spellEnd"/>
      <w:r w:rsidRPr="00155A7C">
        <w:rPr>
          <w:sz w:val="24"/>
          <w:szCs w:val="24"/>
          <w:lang w:eastAsia="fr-FR"/>
        </w:rPr>
        <w:t>.</w:t>
      </w:r>
      <w:bookmarkEnd w:id="6"/>
    </w:p>
    <w:p w14:paraId="3295BC67" w14:textId="77777777" w:rsidR="008446A4" w:rsidRDefault="008446A4" w:rsidP="008446A4">
      <w:pPr>
        <w:ind w:left="851"/>
        <w:rPr>
          <w:i/>
          <w:iCs/>
          <w:sz w:val="24"/>
          <w:szCs w:val="24"/>
          <w:lang w:eastAsia="fr-FR"/>
        </w:rPr>
      </w:pPr>
    </w:p>
    <w:p w14:paraId="35697E68" w14:textId="77777777" w:rsidR="008446A4" w:rsidRPr="00155A7C" w:rsidRDefault="008446A4" w:rsidP="008446A4">
      <w:pPr>
        <w:ind w:left="851"/>
        <w:rPr>
          <w:i/>
          <w:iCs/>
          <w:sz w:val="24"/>
          <w:szCs w:val="24"/>
          <w:lang w:eastAsia="fr-FR"/>
        </w:rPr>
      </w:pPr>
      <w:r w:rsidRPr="00155A7C">
        <w:rPr>
          <w:i/>
          <w:iCs/>
          <w:sz w:val="24"/>
          <w:szCs w:val="24"/>
          <w:lang w:eastAsia="fr-FR"/>
        </w:rPr>
        <w:t>Post-eksponeringsprofylakse hos allerede immuniserede personer</w:t>
      </w:r>
    </w:p>
    <w:p w14:paraId="2B231E18" w14:textId="77777777" w:rsidR="008446A4" w:rsidRPr="00155A7C" w:rsidRDefault="008446A4" w:rsidP="008446A4">
      <w:pPr>
        <w:ind w:left="851"/>
        <w:rPr>
          <w:sz w:val="24"/>
          <w:szCs w:val="24"/>
          <w:lang w:eastAsia="fr-FR"/>
        </w:rPr>
      </w:pPr>
      <w:r w:rsidRPr="00155A7C">
        <w:rPr>
          <w:sz w:val="24"/>
          <w:szCs w:val="24"/>
          <w:lang w:eastAsia="fr-FR"/>
        </w:rPr>
        <w:t>I overensstemmelse med officielle anbefalinger gælder dette personer, der allerede har fået præ-eksponeringsprofylakse eller post-eksponeringsprofylakse, eller som ophørte med post-eksponeringsprofylakse efter at have fået mindst to vaccinedoser fremstillet i cellekultur.</w:t>
      </w:r>
    </w:p>
    <w:p w14:paraId="7D464F0A" w14:textId="77777777" w:rsidR="008446A4" w:rsidRDefault="008446A4" w:rsidP="008446A4">
      <w:pPr>
        <w:ind w:left="851"/>
        <w:rPr>
          <w:sz w:val="24"/>
          <w:szCs w:val="24"/>
          <w:lang w:eastAsia="fr-FR"/>
        </w:rPr>
      </w:pPr>
    </w:p>
    <w:p w14:paraId="0D53280D" w14:textId="77777777" w:rsidR="008446A4" w:rsidRPr="00155A7C" w:rsidRDefault="008446A4" w:rsidP="008446A4">
      <w:pPr>
        <w:ind w:left="851"/>
        <w:rPr>
          <w:sz w:val="24"/>
          <w:szCs w:val="24"/>
          <w:lang w:eastAsia="fr-FR"/>
        </w:rPr>
      </w:pPr>
      <w:r w:rsidRPr="00155A7C">
        <w:rPr>
          <w:sz w:val="24"/>
          <w:szCs w:val="24"/>
          <w:lang w:eastAsia="fr-FR"/>
        </w:rPr>
        <w:t xml:space="preserve">Personer, der allerede er blevet immuniseret, skal have 1 vaccinedosis (0,5 ml intramuskulært eller 0,1 ml </w:t>
      </w:r>
      <w:proofErr w:type="spellStart"/>
      <w:r w:rsidRPr="00155A7C">
        <w:rPr>
          <w:sz w:val="24"/>
          <w:szCs w:val="24"/>
          <w:lang w:eastAsia="fr-FR"/>
        </w:rPr>
        <w:t>intradermalt</w:t>
      </w:r>
      <w:proofErr w:type="spellEnd"/>
      <w:r w:rsidRPr="00155A7C">
        <w:rPr>
          <w:sz w:val="24"/>
          <w:szCs w:val="24"/>
          <w:lang w:eastAsia="fr-FR"/>
        </w:rPr>
        <w:t>) på D0 og 1</w:t>
      </w:r>
      <w:r w:rsidRPr="00155A7C">
        <w:rPr>
          <w:sz w:val="24"/>
          <w:szCs w:val="24"/>
        </w:rPr>
        <w:t> </w:t>
      </w:r>
      <w:r w:rsidRPr="00155A7C">
        <w:rPr>
          <w:sz w:val="24"/>
          <w:szCs w:val="24"/>
          <w:lang w:eastAsia="fr-FR"/>
        </w:rPr>
        <w:t>dosis på D3.</w:t>
      </w:r>
    </w:p>
    <w:p w14:paraId="4A34201D" w14:textId="77777777" w:rsidR="008446A4" w:rsidRDefault="008446A4" w:rsidP="008446A4">
      <w:pPr>
        <w:ind w:left="851"/>
        <w:rPr>
          <w:sz w:val="24"/>
          <w:szCs w:val="24"/>
          <w:lang w:eastAsia="fr-FR"/>
        </w:rPr>
      </w:pPr>
    </w:p>
    <w:p w14:paraId="4CC0C483" w14:textId="77777777" w:rsidR="008446A4" w:rsidRPr="00155A7C" w:rsidRDefault="008446A4" w:rsidP="008446A4">
      <w:pPr>
        <w:ind w:left="851"/>
        <w:rPr>
          <w:sz w:val="24"/>
          <w:szCs w:val="24"/>
          <w:lang w:eastAsia="fr-FR"/>
        </w:rPr>
      </w:pPr>
      <w:r w:rsidRPr="00155A7C">
        <w:rPr>
          <w:sz w:val="24"/>
          <w:szCs w:val="24"/>
          <w:lang w:eastAsia="fr-FR"/>
        </w:rPr>
        <w:t>Alternativt kan der administreres 4 </w:t>
      </w:r>
      <w:proofErr w:type="spellStart"/>
      <w:r w:rsidRPr="00155A7C">
        <w:rPr>
          <w:sz w:val="24"/>
          <w:szCs w:val="24"/>
          <w:lang w:eastAsia="fr-FR"/>
        </w:rPr>
        <w:t>intradermale</w:t>
      </w:r>
      <w:proofErr w:type="spellEnd"/>
      <w:r w:rsidRPr="00155A7C">
        <w:rPr>
          <w:sz w:val="24"/>
          <w:szCs w:val="24"/>
          <w:lang w:eastAsia="fr-FR"/>
        </w:rPr>
        <w:t xml:space="preserve"> injektioner på 0,1 ml på 4 separate steder på D0.</w:t>
      </w:r>
    </w:p>
    <w:p w14:paraId="1A3FB67A" w14:textId="77777777" w:rsidR="008446A4" w:rsidRDefault="008446A4" w:rsidP="008446A4">
      <w:pPr>
        <w:ind w:left="851"/>
        <w:rPr>
          <w:sz w:val="24"/>
          <w:szCs w:val="24"/>
          <w:lang w:eastAsia="fr-FR"/>
        </w:rPr>
      </w:pPr>
    </w:p>
    <w:p w14:paraId="1948147B" w14:textId="77777777" w:rsidR="008446A4" w:rsidRPr="00155A7C" w:rsidRDefault="008446A4" w:rsidP="008446A4">
      <w:pPr>
        <w:ind w:left="851"/>
        <w:rPr>
          <w:sz w:val="24"/>
          <w:szCs w:val="24"/>
          <w:lang w:eastAsia="fr-FR"/>
        </w:rPr>
      </w:pPr>
      <w:r w:rsidRPr="00155A7C">
        <w:rPr>
          <w:sz w:val="24"/>
          <w:szCs w:val="24"/>
          <w:lang w:eastAsia="fr-FR"/>
        </w:rPr>
        <w:t>Rabies-</w:t>
      </w:r>
      <w:proofErr w:type="spellStart"/>
      <w:r w:rsidRPr="00155A7C">
        <w:rPr>
          <w:sz w:val="24"/>
          <w:szCs w:val="24"/>
          <w:lang w:eastAsia="fr-FR"/>
        </w:rPr>
        <w:t>immunglobuliner</w:t>
      </w:r>
      <w:proofErr w:type="spellEnd"/>
      <w:r w:rsidRPr="00155A7C">
        <w:rPr>
          <w:sz w:val="24"/>
          <w:szCs w:val="24"/>
          <w:lang w:eastAsia="fr-FR"/>
        </w:rPr>
        <w:t xml:space="preserve"> er ikke indiceret i dette tilfælde.</w:t>
      </w:r>
    </w:p>
    <w:p w14:paraId="7D4661F6" w14:textId="77777777" w:rsidR="008446A4" w:rsidRDefault="008446A4" w:rsidP="008446A4">
      <w:pPr>
        <w:ind w:left="851"/>
        <w:rPr>
          <w:i/>
          <w:iCs/>
          <w:sz w:val="24"/>
          <w:szCs w:val="24"/>
          <w:lang w:eastAsia="fr-FR"/>
        </w:rPr>
      </w:pPr>
    </w:p>
    <w:p w14:paraId="10290BD0" w14:textId="77777777" w:rsidR="008446A4" w:rsidRPr="00155A7C" w:rsidRDefault="008446A4" w:rsidP="008446A4">
      <w:pPr>
        <w:ind w:left="851"/>
        <w:rPr>
          <w:i/>
          <w:iCs/>
          <w:sz w:val="24"/>
          <w:szCs w:val="24"/>
          <w:lang w:eastAsia="fr-FR"/>
        </w:rPr>
      </w:pPr>
      <w:r w:rsidRPr="00155A7C">
        <w:rPr>
          <w:i/>
          <w:iCs/>
          <w:sz w:val="24"/>
          <w:szCs w:val="24"/>
          <w:lang w:eastAsia="fr-FR"/>
        </w:rPr>
        <w:t>Immunkompromitterede personer</w:t>
      </w:r>
    </w:p>
    <w:bookmarkEnd w:id="5"/>
    <w:p w14:paraId="11B6DE57" w14:textId="77777777" w:rsidR="008446A4" w:rsidRPr="00D171A5" w:rsidRDefault="008446A4" w:rsidP="008446A4">
      <w:pPr>
        <w:pStyle w:val="Listeafsnit"/>
        <w:numPr>
          <w:ilvl w:val="0"/>
          <w:numId w:val="13"/>
        </w:numPr>
        <w:tabs>
          <w:tab w:val="clear" w:pos="567"/>
        </w:tabs>
        <w:ind w:left="1276" w:hanging="425"/>
        <w:rPr>
          <w:sz w:val="24"/>
          <w:szCs w:val="24"/>
          <w:u w:val="single"/>
          <w:lang w:eastAsia="fr-FR"/>
        </w:rPr>
      </w:pPr>
      <w:proofErr w:type="spellStart"/>
      <w:r w:rsidRPr="00D171A5">
        <w:rPr>
          <w:sz w:val="24"/>
          <w:szCs w:val="24"/>
          <w:u w:val="single"/>
        </w:rPr>
        <w:t>Præ-eksponeringsprofylakse</w:t>
      </w:r>
      <w:proofErr w:type="spellEnd"/>
    </w:p>
    <w:p w14:paraId="2F7C76CA" w14:textId="77777777" w:rsidR="008446A4" w:rsidRPr="00155A7C" w:rsidRDefault="008446A4" w:rsidP="008446A4">
      <w:pPr>
        <w:ind w:left="851"/>
        <w:rPr>
          <w:sz w:val="24"/>
          <w:szCs w:val="24"/>
        </w:rPr>
      </w:pPr>
      <w:r w:rsidRPr="00155A7C">
        <w:rPr>
          <w:sz w:val="24"/>
          <w:szCs w:val="24"/>
        </w:rPr>
        <w:t>Der bør</w:t>
      </w:r>
      <w:r>
        <w:rPr>
          <w:sz w:val="24"/>
          <w:szCs w:val="24"/>
        </w:rPr>
        <w:t xml:space="preserve"> anvendes et 3-dosis-regime (anført i underafsnit ”Præ-eksponeringsprofylakse”), og der bør udføres serologisk testning </w:t>
      </w:r>
      <w:r w:rsidRPr="00155A7C">
        <w:rPr>
          <w:sz w:val="24"/>
          <w:szCs w:val="24"/>
        </w:rPr>
        <w:t xml:space="preserve">for neutraliserende antistoffer 2 til 4 uger efter </w:t>
      </w:r>
      <w:r>
        <w:rPr>
          <w:sz w:val="24"/>
          <w:szCs w:val="24"/>
        </w:rPr>
        <w:t>den sidste dosis</w:t>
      </w:r>
      <w:r w:rsidRPr="00155A7C">
        <w:rPr>
          <w:sz w:val="24"/>
          <w:szCs w:val="24"/>
        </w:rPr>
        <w:t xml:space="preserve"> for at vurdere behovet for en eventuel yderligere vaccinedosis.</w:t>
      </w:r>
    </w:p>
    <w:p w14:paraId="54E5EC49" w14:textId="77777777" w:rsidR="008446A4" w:rsidRDefault="008446A4" w:rsidP="008446A4">
      <w:pPr>
        <w:ind w:left="851"/>
        <w:rPr>
          <w:sz w:val="24"/>
          <w:szCs w:val="24"/>
          <w:u w:val="single"/>
        </w:rPr>
      </w:pPr>
    </w:p>
    <w:p w14:paraId="13A6A29C" w14:textId="77777777" w:rsidR="008446A4" w:rsidRPr="00D171A5" w:rsidRDefault="008446A4" w:rsidP="008446A4">
      <w:pPr>
        <w:pStyle w:val="Listeafsnit"/>
        <w:keepNext/>
        <w:numPr>
          <w:ilvl w:val="0"/>
          <w:numId w:val="13"/>
        </w:numPr>
        <w:tabs>
          <w:tab w:val="clear" w:pos="567"/>
        </w:tabs>
        <w:ind w:left="1276" w:hanging="425"/>
        <w:rPr>
          <w:sz w:val="24"/>
          <w:szCs w:val="24"/>
          <w:u w:val="single"/>
        </w:rPr>
      </w:pPr>
      <w:r w:rsidRPr="00D171A5">
        <w:rPr>
          <w:sz w:val="24"/>
          <w:szCs w:val="24"/>
          <w:u w:val="single"/>
        </w:rPr>
        <w:lastRenderedPageBreak/>
        <w:t>Post-</w:t>
      </w:r>
      <w:proofErr w:type="spellStart"/>
      <w:r w:rsidRPr="00D171A5">
        <w:rPr>
          <w:sz w:val="24"/>
          <w:szCs w:val="24"/>
          <w:u w:val="single"/>
        </w:rPr>
        <w:t>eksponeringsprofylakse</w:t>
      </w:r>
      <w:proofErr w:type="spellEnd"/>
    </w:p>
    <w:p w14:paraId="7AB8F856" w14:textId="77777777" w:rsidR="008446A4" w:rsidRPr="00155A7C" w:rsidRDefault="008446A4" w:rsidP="008446A4">
      <w:pPr>
        <w:ind w:left="851"/>
        <w:rPr>
          <w:sz w:val="24"/>
          <w:szCs w:val="24"/>
          <w:shd w:val="clear" w:color="auto" w:fill="FFFFFF"/>
        </w:rPr>
      </w:pPr>
      <w:r w:rsidRPr="00155A7C">
        <w:rPr>
          <w:sz w:val="24"/>
          <w:szCs w:val="24"/>
          <w:shd w:val="clear" w:color="auto" w:fill="FFFFFF"/>
        </w:rPr>
        <w:t>Der bør indgives et komplet vaccinationsregime efter eksponering. Rabies-</w:t>
      </w:r>
      <w:proofErr w:type="spellStart"/>
      <w:r w:rsidRPr="00155A7C">
        <w:rPr>
          <w:sz w:val="24"/>
          <w:szCs w:val="24"/>
          <w:shd w:val="clear" w:color="auto" w:fill="FFFFFF"/>
        </w:rPr>
        <w:t>immunglobuliner</w:t>
      </w:r>
      <w:proofErr w:type="spellEnd"/>
      <w:r w:rsidRPr="00155A7C">
        <w:rPr>
          <w:sz w:val="24"/>
          <w:szCs w:val="24"/>
          <w:shd w:val="clear" w:color="auto" w:fill="FFFFFF"/>
        </w:rPr>
        <w:t xml:space="preserve"> bør administreres sammen med vaccinen i tilfælde kategori II- eller III-eksponering (se tabel </w:t>
      </w:r>
      <w:r>
        <w:rPr>
          <w:sz w:val="24"/>
          <w:szCs w:val="24"/>
          <w:shd w:val="clear" w:color="auto" w:fill="FFFFFF"/>
        </w:rPr>
        <w:t>2</w:t>
      </w:r>
      <w:r w:rsidRPr="00155A7C">
        <w:rPr>
          <w:sz w:val="24"/>
          <w:szCs w:val="24"/>
          <w:shd w:val="clear" w:color="auto" w:fill="FFFFFF"/>
        </w:rPr>
        <w:t>).</w:t>
      </w:r>
    </w:p>
    <w:p w14:paraId="251BE7E4" w14:textId="77777777" w:rsidR="008446A4" w:rsidRDefault="008446A4" w:rsidP="008446A4">
      <w:pPr>
        <w:ind w:left="851"/>
        <w:rPr>
          <w:i/>
          <w:sz w:val="24"/>
          <w:szCs w:val="24"/>
          <w:shd w:val="clear" w:color="auto" w:fill="FFFFFF"/>
        </w:rPr>
      </w:pPr>
    </w:p>
    <w:p w14:paraId="3A9BD7FE" w14:textId="77777777" w:rsidR="008446A4" w:rsidRPr="00155A7C" w:rsidRDefault="008446A4" w:rsidP="008446A4">
      <w:pPr>
        <w:ind w:left="851"/>
        <w:rPr>
          <w:i/>
          <w:sz w:val="24"/>
          <w:szCs w:val="24"/>
          <w:shd w:val="clear" w:color="auto" w:fill="FFFFFF"/>
        </w:rPr>
      </w:pPr>
      <w:r w:rsidRPr="00155A7C">
        <w:rPr>
          <w:i/>
          <w:sz w:val="24"/>
          <w:szCs w:val="24"/>
          <w:shd w:val="clear" w:color="auto" w:fill="FFFFFF"/>
        </w:rPr>
        <w:t>Pædiatrisk population</w:t>
      </w:r>
    </w:p>
    <w:p w14:paraId="07B9EDAA" w14:textId="77777777" w:rsidR="008446A4" w:rsidRDefault="008446A4" w:rsidP="008446A4">
      <w:pPr>
        <w:ind w:left="851"/>
        <w:rPr>
          <w:sz w:val="24"/>
          <w:szCs w:val="24"/>
          <w:u w:val="single"/>
          <w:lang w:eastAsia="fr-FR"/>
        </w:rPr>
      </w:pPr>
      <w:r w:rsidRPr="00155A7C">
        <w:rPr>
          <w:sz w:val="24"/>
          <w:szCs w:val="24"/>
          <w:lang w:eastAsia="fr-FR"/>
        </w:rPr>
        <w:t>Børn skal have den samme dosis som voksne.</w:t>
      </w:r>
      <w:r w:rsidRPr="00155A7C">
        <w:rPr>
          <w:sz w:val="24"/>
          <w:szCs w:val="24"/>
          <w:lang w:eastAsia="fr-FR"/>
        </w:rPr>
        <w:br/>
      </w:r>
    </w:p>
    <w:p w14:paraId="02DF43B1" w14:textId="77777777" w:rsidR="008446A4" w:rsidRPr="00155A7C" w:rsidRDefault="008446A4" w:rsidP="008446A4">
      <w:pPr>
        <w:ind w:left="851"/>
        <w:rPr>
          <w:sz w:val="24"/>
          <w:szCs w:val="24"/>
          <w:u w:val="single"/>
          <w:lang w:eastAsia="fr-FR"/>
        </w:rPr>
      </w:pPr>
      <w:r w:rsidRPr="00155A7C">
        <w:rPr>
          <w:sz w:val="24"/>
          <w:szCs w:val="24"/>
          <w:u w:val="single"/>
          <w:lang w:eastAsia="fr-FR"/>
        </w:rPr>
        <w:t>Administration</w:t>
      </w:r>
    </w:p>
    <w:p w14:paraId="4A3481DE" w14:textId="77777777" w:rsidR="008446A4" w:rsidRPr="00155A7C" w:rsidRDefault="008446A4" w:rsidP="008446A4">
      <w:pPr>
        <w:ind w:left="851"/>
        <w:rPr>
          <w:sz w:val="24"/>
          <w:szCs w:val="24"/>
          <w:shd w:val="clear" w:color="auto" w:fill="FFFFFF"/>
          <w:lang w:eastAsia="fr-FR"/>
        </w:rPr>
      </w:pPr>
    </w:p>
    <w:p w14:paraId="5B66EDB4" w14:textId="77777777" w:rsidR="008446A4" w:rsidRPr="00D171A5" w:rsidRDefault="008446A4" w:rsidP="008446A4">
      <w:pPr>
        <w:pStyle w:val="Listeafsnit"/>
        <w:numPr>
          <w:ilvl w:val="0"/>
          <w:numId w:val="13"/>
        </w:numPr>
        <w:tabs>
          <w:tab w:val="clear" w:pos="567"/>
        </w:tabs>
        <w:ind w:left="1276" w:hanging="425"/>
        <w:rPr>
          <w:sz w:val="24"/>
          <w:szCs w:val="24"/>
          <w:lang w:eastAsia="fr-FR"/>
        </w:rPr>
      </w:pPr>
      <w:proofErr w:type="spellStart"/>
      <w:r w:rsidRPr="00D171A5">
        <w:rPr>
          <w:sz w:val="24"/>
          <w:szCs w:val="24"/>
          <w:lang w:eastAsia="fr-FR"/>
        </w:rPr>
        <w:t>Intramuskulær</w:t>
      </w:r>
      <w:proofErr w:type="spellEnd"/>
      <w:r w:rsidRPr="00D171A5">
        <w:rPr>
          <w:sz w:val="24"/>
          <w:szCs w:val="24"/>
          <w:lang w:eastAsia="fr-FR"/>
        </w:rPr>
        <w:t xml:space="preserve"> </w:t>
      </w:r>
      <w:proofErr w:type="spellStart"/>
      <w:r w:rsidRPr="00D171A5">
        <w:rPr>
          <w:sz w:val="24"/>
          <w:szCs w:val="24"/>
          <w:lang w:eastAsia="fr-FR"/>
        </w:rPr>
        <w:t>anvendelse</w:t>
      </w:r>
      <w:proofErr w:type="spellEnd"/>
      <w:r w:rsidRPr="00D171A5">
        <w:rPr>
          <w:sz w:val="24"/>
          <w:szCs w:val="24"/>
          <w:lang w:eastAsia="fr-FR"/>
        </w:rPr>
        <w:t xml:space="preserve"> (</w:t>
      </w:r>
      <w:proofErr w:type="spellStart"/>
      <w:r w:rsidRPr="00D171A5">
        <w:rPr>
          <w:sz w:val="24"/>
          <w:szCs w:val="24"/>
          <w:lang w:eastAsia="fr-FR"/>
        </w:rPr>
        <w:t>i.m.</w:t>
      </w:r>
      <w:proofErr w:type="spellEnd"/>
      <w:r w:rsidRPr="00D171A5">
        <w:rPr>
          <w:sz w:val="24"/>
          <w:szCs w:val="24"/>
          <w:lang w:eastAsia="fr-FR"/>
        </w:rPr>
        <w:t>)</w:t>
      </w:r>
    </w:p>
    <w:p w14:paraId="16B9EAE2" w14:textId="77777777" w:rsidR="008446A4" w:rsidRPr="00155A7C" w:rsidRDefault="008446A4" w:rsidP="008446A4">
      <w:pPr>
        <w:ind w:left="851"/>
        <w:rPr>
          <w:sz w:val="24"/>
          <w:szCs w:val="24"/>
          <w:lang w:eastAsia="fr-FR"/>
        </w:rPr>
      </w:pPr>
      <w:r w:rsidRPr="00155A7C">
        <w:rPr>
          <w:sz w:val="24"/>
          <w:szCs w:val="24"/>
        </w:rPr>
        <w:t xml:space="preserve">Vaccinen administreres i det </w:t>
      </w:r>
      <w:proofErr w:type="spellStart"/>
      <w:r w:rsidRPr="00155A7C">
        <w:rPr>
          <w:sz w:val="24"/>
          <w:szCs w:val="24"/>
        </w:rPr>
        <w:t>anterolaterale</w:t>
      </w:r>
      <w:proofErr w:type="spellEnd"/>
      <w:r w:rsidRPr="00155A7C">
        <w:rPr>
          <w:sz w:val="24"/>
          <w:szCs w:val="24"/>
        </w:rPr>
        <w:t xml:space="preserve"> område af lårmusklen hos spædbørn og småbørn og i deltamusklen hos ældre børn og voksne.</w:t>
      </w:r>
    </w:p>
    <w:p w14:paraId="7574A76E" w14:textId="77777777" w:rsidR="008446A4" w:rsidRDefault="008446A4" w:rsidP="008446A4">
      <w:pPr>
        <w:ind w:left="851"/>
        <w:rPr>
          <w:sz w:val="24"/>
          <w:szCs w:val="24"/>
          <w:lang w:eastAsia="fr-FR"/>
        </w:rPr>
      </w:pPr>
    </w:p>
    <w:p w14:paraId="1748242B" w14:textId="77777777" w:rsidR="008446A4" w:rsidRPr="00D171A5" w:rsidRDefault="008446A4" w:rsidP="008446A4">
      <w:pPr>
        <w:pStyle w:val="Listeafsnit"/>
        <w:numPr>
          <w:ilvl w:val="0"/>
          <w:numId w:val="13"/>
        </w:numPr>
        <w:tabs>
          <w:tab w:val="clear" w:pos="567"/>
        </w:tabs>
        <w:ind w:left="1276" w:hanging="425"/>
        <w:rPr>
          <w:sz w:val="24"/>
          <w:szCs w:val="24"/>
          <w:lang w:eastAsia="fr-FR"/>
        </w:rPr>
      </w:pPr>
      <w:r w:rsidRPr="00D171A5">
        <w:rPr>
          <w:sz w:val="24"/>
          <w:szCs w:val="24"/>
          <w:lang w:eastAsia="fr-FR"/>
        </w:rPr>
        <w:t xml:space="preserve">Intradermal </w:t>
      </w:r>
      <w:proofErr w:type="spellStart"/>
      <w:r w:rsidRPr="00D171A5">
        <w:rPr>
          <w:sz w:val="24"/>
          <w:szCs w:val="24"/>
          <w:lang w:eastAsia="fr-FR"/>
        </w:rPr>
        <w:t>anvendelse</w:t>
      </w:r>
      <w:proofErr w:type="spellEnd"/>
      <w:r w:rsidRPr="00D171A5">
        <w:rPr>
          <w:sz w:val="24"/>
          <w:szCs w:val="24"/>
          <w:lang w:eastAsia="fr-FR"/>
        </w:rPr>
        <w:t xml:space="preserve"> (i.d.)</w:t>
      </w:r>
    </w:p>
    <w:p w14:paraId="45A04D2D" w14:textId="77777777" w:rsidR="008446A4" w:rsidRPr="00155A7C" w:rsidRDefault="008446A4" w:rsidP="008446A4">
      <w:pPr>
        <w:ind w:left="851"/>
        <w:rPr>
          <w:sz w:val="24"/>
          <w:szCs w:val="24"/>
          <w:lang w:eastAsia="fr-FR"/>
        </w:rPr>
      </w:pPr>
      <w:r w:rsidRPr="00155A7C">
        <w:rPr>
          <w:sz w:val="24"/>
          <w:szCs w:val="24"/>
        </w:rPr>
        <w:t>Vaccinen skal helst administreres i overarmen eller underarmen.</w:t>
      </w:r>
    </w:p>
    <w:p w14:paraId="31BDA319" w14:textId="77777777" w:rsidR="008446A4" w:rsidRDefault="008446A4" w:rsidP="008446A4">
      <w:pPr>
        <w:ind w:left="851"/>
        <w:rPr>
          <w:sz w:val="24"/>
          <w:szCs w:val="24"/>
          <w:lang w:eastAsia="fr-FR"/>
        </w:rPr>
      </w:pPr>
    </w:p>
    <w:p w14:paraId="5326B133" w14:textId="77777777" w:rsidR="008446A4" w:rsidRPr="00155A7C" w:rsidRDefault="008446A4" w:rsidP="008446A4">
      <w:pPr>
        <w:ind w:left="851"/>
        <w:rPr>
          <w:sz w:val="24"/>
          <w:szCs w:val="24"/>
          <w:lang w:eastAsia="fr-FR"/>
        </w:rPr>
      </w:pPr>
      <w:r w:rsidRPr="00155A7C">
        <w:rPr>
          <w:sz w:val="24"/>
          <w:szCs w:val="24"/>
          <w:lang w:eastAsia="fr-FR"/>
        </w:rPr>
        <w:t>Må ikke injiceres i balderegionen.</w:t>
      </w:r>
    </w:p>
    <w:p w14:paraId="0E68D76F" w14:textId="77777777" w:rsidR="008446A4" w:rsidRDefault="008446A4" w:rsidP="008446A4">
      <w:pPr>
        <w:ind w:left="851"/>
        <w:rPr>
          <w:sz w:val="24"/>
          <w:szCs w:val="24"/>
          <w:lang w:eastAsia="fr-FR"/>
        </w:rPr>
      </w:pPr>
    </w:p>
    <w:p w14:paraId="671D71FF" w14:textId="77777777" w:rsidR="008446A4" w:rsidRPr="00155A7C" w:rsidRDefault="008446A4" w:rsidP="008446A4">
      <w:pPr>
        <w:ind w:left="851"/>
        <w:rPr>
          <w:sz w:val="24"/>
          <w:szCs w:val="24"/>
          <w:lang w:eastAsia="fr-FR"/>
        </w:rPr>
      </w:pPr>
      <w:r w:rsidRPr="00155A7C">
        <w:rPr>
          <w:sz w:val="24"/>
          <w:szCs w:val="24"/>
          <w:lang w:eastAsia="fr-FR"/>
        </w:rPr>
        <w:t xml:space="preserve">Må ikke injiceres </w:t>
      </w:r>
      <w:proofErr w:type="spellStart"/>
      <w:r w:rsidRPr="00155A7C">
        <w:rPr>
          <w:sz w:val="24"/>
          <w:szCs w:val="24"/>
          <w:lang w:eastAsia="fr-FR"/>
        </w:rPr>
        <w:t>intravaskulært</w:t>
      </w:r>
      <w:proofErr w:type="spellEnd"/>
      <w:r w:rsidRPr="00155A7C">
        <w:rPr>
          <w:sz w:val="24"/>
          <w:szCs w:val="24"/>
          <w:lang w:eastAsia="fr-FR"/>
        </w:rPr>
        <w:t>.</w:t>
      </w:r>
    </w:p>
    <w:p w14:paraId="6FAB3813" w14:textId="77777777" w:rsidR="008446A4" w:rsidRDefault="008446A4" w:rsidP="008446A4">
      <w:pPr>
        <w:ind w:left="851"/>
        <w:rPr>
          <w:i/>
          <w:iCs/>
          <w:sz w:val="24"/>
          <w:szCs w:val="24"/>
          <w:lang w:eastAsia="fr-FR"/>
        </w:rPr>
      </w:pPr>
    </w:p>
    <w:p w14:paraId="16931516" w14:textId="77777777" w:rsidR="008446A4" w:rsidRPr="00155A7C" w:rsidRDefault="008446A4" w:rsidP="008446A4">
      <w:pPr>
        <w:ind w:left="851"/>
        <w:rPr>
          <w:i/>
          <w:iCs/>
          <w:sz w:val="24"/>
          <w:szCs w:val="24"/>
          <w:lang w:eastAsia="fr-FR"/>
        </w:rPr>
      </w:pPr>
      <w:r w:rsidRPr="00155A7C">
        <w:rPr>
          <w:i/>
          <w:iCs/>
          <w:sz w:val="24"/>
          <w:szCs w:val="24"/>
          <w:lang w:eastAsia="fr-FR"/>
        </w:rPr>
        <w:t>Forsigtighedsregler, der skal tages før håndtering eller administration af lægemidlet</w:t>
      </w:r>
    </w:p>
    <w:p w14:paraId="239C9AED" w14:textId="77777777" w:rsidR="008446A4" w:rsidRPr="00155A7C" w:rsidRDefault="008446A4" w:rsidP="008446A4">
      <w:pPr>
        <w:ind w:left="851"/>
        <w:rPr>
          <w:sz w:val="24"/>
          <w:szCs w:val="24"/>
          <w:lang w:eastAsia="fr-FR"/>
        </w:rPr>
      </w:pPr>
      <w:r w:rsidRPr="00155A7C">
        <w:rPr>
          <w:sz w:val="24"/>
          <w:szCs w:val="24"/>
          <w:lang w:eastAsia="fr-FR"/>
        </w:rPr>
        <w:t xml:space="preserve">For instruktioner om </w:t>
      </w:r>
      <w:proofErr w:type="spellStart"/>
      <w:r w:rsidRPr="00155A7C">
        <w:rPr>
          <w:sz w:val="24"/>
          <w:szCs w:val="24"/>
          <w:lang w:eastAsia="fr-FR"/>
        </w:rPr>
        <w:t>rekonstitution</w:t>
      </w:r>
      <w:proofErr w:type="spellEnd"/>
      <w:r w:rsidRPr="00155A7C">
        <w:rPr>
          <w:sz w:val="24"/>
          <w:szCs w:val="24"/>
          <w:lang w:eastAsia="fr-FR"/>
        </w:rPr>
        <w:t xml:space="preserve"> af lægemidlet før administration, se pkt. 6.6.</w:t>
      </w:r>
    </w:p>
    <w:p w14:paraId="38FD04D3" w14:textId="77777777" w:rsidR="009260DE" w:rsidRPr="00155A7C" w:rsidRDefault="009260DE" w:rsidP="009260DE">
      <w:pPr>
        <w:tabs>
          <w:tab w:val="left" w:pos="851"/>
        </w:tabs>
        <w:ind w:left="851"/>
        <w:rPr>
          <w:sz w:val="24"/>
          <w:szCs w:val="24"/>
        </w:rPr>
      </w:pPr>
    </w:p>
    <w:p w14:paraId="5DAEF5C8" w14:textId="77777777" w:rsidR="009260DE" w:rsidRPr="00155A7C" w:rsidRDefault="009260DE" w:rsidP="009260DE">
      <w:pPr>
        <w:tabs>
          <w:tab w:val="left" w:pos="851"/>
        </w:tabs>
        <w:ind w:left="851" w:hanging="851"/>
        <w:rPr>
          <w:b/>
          <w:sz w:val="24"/>
          <w:szCs w:val="24"/>
        </w:rPr>
      </w:pPr>
      <w:r w:rsidRPr="00155A7C">
        <w:rPr>
          <w:b/>
          <w:sz w:val="24"/>
          <w:szCs w:val="24"/>
        </w:rPr>
        <w:t>4.3</w:t>
      </w:r>
      <w:r w:rsidRPr="00155A7C">
        <w:rPr>
          <w:b/>
          <w:sz w:val="24"/>
          <w:szCs w:val="24"/>
        </w:rPr>
        <w:tab/>
        <w:t>Kontraindikationer</w:t>
      </w:r>
    </w:p>
    <w:p w14:paraId="15D6586B" w14:textId="77777777" w:rsidR="00D171A5" w:rsidRDefault="00D171A5" w:rsidP="00E15661">
      <w:pPr>
        <w:ind w:left="851"/>
        <w:rPr>
          <w:sz w:val="24"/>
          <w:szCs w:val="24"/>
          <w:lang w:eastAsia="fr-FR"/>
        </w:rPr>
      </w:pPr>
    </w:p>
    <w:p w14:paraId="482B8CD1" w14:textId="20BD363C" w:rsidR="00266E67" w:rsidRPr="00D171A5" w:rsidRDefault="00266E67" w:rsidP="00E15661">
      <w:pPr>
        <w:ind w:left="851"/>
        <w:rPr>
          <w:sz w:val="24"/>
          <w:szCs w:val="24"/>
          <w:u w:val="single"/>
          <w:lang w:eastAsia="fr-FR"/>
        </w:rPr>
      </w:pPr>
      <w:r w:rsidRPr="00D171A5">
        <w:rPr>
          <w:sz w:val="24"/>
          <w:szCs w:val="24"/>
          <w:u w:val="single"/>
          <w:lang w:eastAsia="fr-FR"/>
        </w:rPr>
        <w:t>Præ-eksponeringsprofylakse</w:t>
      </w:r>
    </w:p>
    <w:p w14:paraId="49C61B05" w14:textId="77777777" w:rsidR="00266E67" w:rsidRPr="00155A7C" w:rsidRDefault="00266E67" w:rsidP="00E15661">
      <w:pPr>
        <w:ind w:left="851"/>
        <w:rPr>
          <w:sz w:val="24"/>
          <w:szCs w:val="24"/>
          <w:lang w:eastAsia="fr-LU"/>
        </w:rPr>
      </w:pPr>
      <w:r w:rsidRPr="00155A7C">
        <w:rPr>
          <w:sz w:val="24"/>
          <w:szCs w:val="24"/>
          <w:lang w:eastAsia="fr-LU"/>
        </w:rPr>
        <w:t xml:space="preserve">Overfølsomhed over for det aktive stof eller over for et eller flere af hjælpestofferne anført i pkt. 6.1, over for </w:t>
      </w:r>
      <w:proofErr w:type="spellStart"/>
      <w:r w:rsidRPr="00155A7C">
        <w:rPr>
          <w:sz w:val="24"/>
          <w:szCs w:val="24"/>
          <w:lang w:eastAsia="fr-FR"/>
        </w:rPr>
        <w:t>polymyxin</w:t>
      </w:r>
      <w:proofErr w:type="spellEnd"/>
      <w:r w:rsidRPr="00155A7C">
        <w:rPr>
          <w:sz w:val="24"/>
          <w:szCs w:val="24"/>
          <w:lang w:eastAsia="fr-FR"/>
        </w:rPr>
        <w:t xml:space="preserve"> B, streptomycin, </w:t>
      </w:r>
      <w:proofErr w:type="spellStart"/>
      <w:r w:rsidRPr="00155A7C">
        <w:rPr>
          <w:sz w:val="24"/>
          <w:szCs w:val="24"/>
          <w:lang w:eastAsia="fr-FR"/>
        </w:rPr>
        <w:t>neomycin</w:t>
      </w:r>
      <w:proofErr w:type="spellEnd"/>
      <w:r w:rsidRPr="00155A7C">
        <w:rPr>
          <w:sz w:val="24"/>
          <w:szCs w:val="24"/>
          <w:lang w:eastAsia="fr-FR"/>
        </w:rPr>
        <w:t xml:space="preserve"> eller ethvert antibiotikum af samme klasse, over for en tidligere administration eller over for enhver vaccine indeholdende de samme komponenter.</w:t>
      </w:r>
    </w:p>
    <w:p w14:paraId="50077AA3" w14:textId="77777777" w:rsidR="00266E67" w:rsidRPr="00155A7C" w:rsidRDefault="00266E67" w:rsidP="00E15661">
      <w:pPr>
        <w:ind w:left="851"/>
        <w:rPr>
          <w:sz w:val="24"/>
          <w:szCs w:val="24"/>
          <w:lang w:eastAsia="fr-LU"/>
        </w:rPr>
      </w:pPr>
    </w:p>
    <w:p w14:paraId="49F8A7AA" w14:textId="77777777" w:rsidR="00266E67" w:rsidRPr="00155A7C" w:rsidRDefault="00266E67" w:rsidP="00E15661">
      <w:pPr>
        <w:ind w:left="851"/>
        <w:rPr>
          <w:sz w:val="24"/>
          <w:szCs w:val="24"/>
          <w:lang w:eastAsia="fr-LU"/>
        </w:rPr>
      </w:pPr>
      <w:r w:rsidRPr="00155A7C">
        <w:rPr>
          <w:sz w:val="24"/>
          <w:szCs w:val="24"/>
          <w:lang w:eastAsia="fr-FR"/>
        </w:rPr>
        <w:t>Vaccination bør udsættes i tilfælde af feber eller akutte sygdomme.</w:t>
      </w:r>
    </w:p>
    <w:p w14:paraId="4467EF7F" w14:textId="77777777" w:rsidR="00D171A5" w:rsidRDefault="00D171A5" w:rsidP="00E15661">
      <w:pPr>
        <w:ind w:left="851"/>
        <w:rPr>
          <w:sz w:val="24"/>
          <w:szCs w:val="24"/>
          <w:lang w:eastAsia="fr-FR"/>
        </w:rPr>
      </w:pPr>
    </w:p>
    <w:p w14:paraId="6345068A" w14:textId="5B0AB253" w:rsidR="00266E67" w:rsidRPr="00D171A5" w:rsidRDefault="00266E67" w:rsidP="00E15661">
      <w:pPr>
        <w:ind w:left="851"/>
        <w:rPr>
          <w:sz w:val="24"/>
          <w:szCs w:val="24"/>
          <w:u w:val="single"/>
          <w:lang w:eastAsia="fr-FR"/>
        </w:rPr>
      </w:pPr>
      <w:r w:rsidRPr="00D171A5">
        <w:rPr>
          <w:sz w:val="24"/>
          <w:szCs w:val="24"/>
          <w:u w:val="single"/>
          <w:lang w:eastAsia="fr-FR"/>
        </w:rPr>
        <w:t>Post-eksponeringsprofylakse</w:t>
      </w:r>
    </w:p>
    <w:p w14:paraId="6A18B78B" w14:textId="77777777" w:rsidR="00266E67" w:rsidRPr="00155A7C" w:rsidRDefault="00266E67" w:rsidP="00E15661">
      <w:pPr>
        <w:ind w:left="851"/>
        <w:rPr>
          <w:sz w:val="24"/>
          <w:szCs w:val="24"/>
        </w:rPr>
      </w:pPr>
      <w:r w:rsidRPr="00155A7C">
        <w:rPr>
          <w:sz w:val="24"/>
          <w:szCs w:val="24"/>
          <w:lang w:eastAsia="fr-FR"/>
        </w:rPr>
        <w:t>I betragtning af det altid dødelige udfald af den erklærede rabiesinfektion, er der ingen kontraindikationer for post-eksponeringsvaccination.</w:t>
      </w:r>
    </w:p>
    <w:p w14:paraId="5AE28C3F" w14:textId="77777777" w:rsidR="009260DE" w:rsidRPr="00155A7C" w:rsidRDefault="009260DE" w:rsidP="009260DE">
      <w:pPr>
        <w:tabs>
          <w:tab w:val="left" w:pos="851"/>
        </w:tabs>
        <w:ind w:left="851"/>
        <w:rPr>
          <w:sz w:val="24"/>
          <w:szCs w:val="24"/>
        </w:rPr>
      </w:pPr>
    </w:p>
    <w:p w14:paraId="402B2334" w14:textId="77777777" w:rsidR="009260DE" w:rsidRPr="00155A7C" w:rsidRDefault="009260DE" w:rsidP="009260DE">
      <w:pPr>
        <w:tabs>
          <w:tab w:val="left" w:pos="851"/>
        </w:tabs>
        <w:ind w:left="851" w:hanging="851"/>
        <w:rPr>
          <w:b/>
          <w:sz w:val="24"/>
          <w:szCs w:val="24"/>
        </w:rPr>
      </w:pPr>
      <w:r w:rsidRPr="00155A7C">
        <w:rPr>
          <w:b/>
          <w:sz w:val="24"/>
          <w:szCs w:val="24"/>
        </w:rPr>
        <w:t>4.4</w:t>
      </w:r>
      <w:r w:rsidRPr="00155A7C">
        <w:rPr>
          <w:b/>
          <w:sz w:val="24"/>
          <w:szCs w:val="24"/>
        </w:rPr>
        <w:tab/>
        <w:t>Særlige advarsler og forsigtighedsregler vedrørende brugen</w:t>
      </w:r>
    </w:p>
    <w:p w14:paraId="7296D3DC" w14:textId="77777777" w:rsidR="00D171A5" w:rsidRDefault="00D171A5" w:rsidP="00E15661">
      <w:pPr>
        <w:ind w:left="851"/>
        <w:rPr>
          <w:sz w:val="24"/>
          <w:szCs w:val="24"/>
          <w:lang w:eastAsia="fr-FR"/>
        </w:rPr>
      </w:pPr>
    </w:p>
    <w:p w14:paraId="25798710" w14:textId="625BB0B4" w:rsidR="00266E67" w:rsidRPr="00D171A5" w:rsidRDefault="00266E67" w:rsidP="00E15661">
      <w:pPr>
        <w:ind w:left="851"/>
        <w:rPr>
          <w:sz w:val="24"/>
          <w:szCs w:val="24"/>
          <w:u w:val="single"/>
          <w:lang w:eastAsia="fr-FR"/>
        </w:rPr>
      </w:pPr>
      <w:r w:rsidRPr="00D171A5">
        <w:rPr>
          <w:sz w:val="24"/>
          <w:szCs w:val="24"/>
          <w:u w:val="single"/>
          <w:lang w:eastAsia="fr-FR"/>
        </w:rPr>
        <w:t>Sporbarhed</w:t>
      </w:r>
    </w:p>
    <w:p w14:paraId="423F3706" w14:textId="77777777" w:rsidR="00266E67" w:rsidRPr="00155A7C" w:rsidRDefault="00266E67" w:rsidP="00E15661">
      <w:pPr>
        <w:ind w:left="851"/>
        <w:rPr>
          <w:sz w:val="24"/>
          <w:szCs w:val="24"/>
          <w:lang w:eastAsia="fr-FR"/>
        </w:rPr>
      </w:pPr>
      <w:r w:rsidRPr="00155A7C">
        <w:rPr>
          <w:sz w:val="24"/>
          <w:szCs w:val="24"/>
          <w:lang w:eastAsia="fr-FR"/>
        </w:rPr>
        <w:t>For at forbedre sporbarheden af biologiske lægemidler skal det administrerede produkts navn og batchnummer tydeligt registreres.</w:t>
      </w:r>
    </w:p>
    <w:p w14:paraId="0D6B38EE" w14:textId="77777777" w:rsidR="00D171A5" w:rsidRDefault="00D171A5" w:rsidP="00E15661">
      <w:pPr>
        <w:ind w:left="851"/>
        <w:rPr>
          <w:sz w:val="24"/>
          <w:szCs w:val="24"/>
          <w:lang w:eastAsia="fr-FR"/>
        </w:rPr>
      </w:pPr>
    </w:p>
    <w:p w14:paraId="0E2EA7BA" w14:textId="1F4AA366" w:rsidR="00266E67" w:rsidRPr="00D171A5" w:rsidRDefault="00266E67" w:rsidP="00E15661">
      <w:pPr>
        <w:ind w:left="851"/>
        <w:rPr>
          <w:sz w:val="24"/>
          <w:szCs w:val="24"/>
          <w:u w:val="single"/>
          <w:lang w:eastAsia="fr-FR"/>
        </w:rPr>
      </w:pPr>
      <w:r w:rsidRPr="00D171A5">
        <w:rPr>
          <w:sz w:val="24"/>
          <w:szCs w:val="24"/>
          <w:u w:val="single"/>
          <w:lang w:eastAsia="fr-FR"/>
        </w:rPr>
        <w:t>Særlige advarsler</w:t>
      </w:r>
    </w:p>
    <w:p w14:paraId="2EE551C1" w14:textId="77777777" w:rsidR="00266E67" w:rsidRPr="00155A7C" w:rsidRDefault="00266E67" w:rsidP="00E15661">
      <w:pPr>
        <w:ind w:left="851"/>
        <w:rPr>
          <w:sz w:val="24"/>
          <w:szCs w:val="24"/>
          <w:lang w:eastAsia="fr-FR"/>
        </w:rPr>
      </w:pPr>
      <w:r w:rsidRPr="00155A7C">
        <w:rPr>
          <w:sz w:val="24"/>
          <w:szCs w:val="24"/>
          <w:lang w:eastAsia="fr-FR"/>
        </w:rPr>
        <w:t xml:space="preserve">Som med alle vacciner beskytter </w:t>
      </w:r>
      <w:proofErr w:type="spellStart"/>
      <w:r w:rsidRPr="00155A7C">
        <w:rPr>
          <w:sz w:val="24"/>
          <w:szCs w:val="24"/>
          <w:lang w:eastAsia="fr-FR"/>
        </w:rPr>
        <w:t>Verorab</w:t>
      </w:r>
      <w:proofErr w:type="spellEnd"/>
      <w:r w:rsidRPr="00155A7C">
        <w:rPr>
          <w:sz w:val="24"/>
          <w:szCs w:val="24"/>
          <w:lang w:eastAsia="fr-FR"/>
        </w:rPr>
        <w:t xml:space="preserve"> muligvis ikke 100 % af de vaccinerede personer.</w:t>
      </w:r>
    </w:p>
    <w:p w14:paraId="08D1AB4D" w14:textId="77777777" w:rsidR="00D171A5" w:rsidRDefault="00D171A5" w:rsidP="00E15661">
      <w:pPr>
        <w:ind w:left="851"/>
        <w:rPr>
          <w:sz w:val="24"/>
          <w:szCs w:val="24"/>
          <w:lang w:eastAsia="fr-FR"/>
        </w:rPr>
      </w:pPr>
    </w:p>
    <w:p w14:paraId="2E7E2205" w14:textId="20160BDC" w:rsidR="00266E67" w:rsidRPr="00155A7C" w:rsidRDefault="00266E67" w:rsidP="00E15661">
      <w:pPr>
        <w:ind w:left="851"/>
        <w:rPr>
          <w:sz w:val="24"/>
          <w:szCs w:val="24"/>
          <w:lang w:eastAsia="fr-FR"/>
        </w:rPr>
      </w:pPr>
      <w:r w:rsidRPr="00155A7C">
        <w:rPr>
          <w:sz w:val="24"/>
          <w:szCs w:val="24"/>
          <w:lang w:eastAsia="fr-FR"/>
        </w:rPr>
        <w:t xml:space="preserve">Anvendes med forsigtighed hos personer, der er overfølsomme over for </w:t>
      </w:r>
      <w:proofErr w:type="spellStart"/>
      <w:r w:rsidRPr="00155A7C">
        <w:rPr>
          <w:sz w:val="24"/>
          <w:szCs w:val="24"/>
          <w:lang w:eastAsia="fr-FR"/>
        </w:rPr>
        <w:t>polymyxin</w:t>
      </w:r>
      <w:proofErr w:type="spellEnd"/>
      <w:r w:rsidRPr="00155A7C">
        <w:rPr>
          <w:sz w:val="24"/>
          <w:szCs w:val="24"/>
          <w:lang w:eastAsia="fr-FR"/>
        </w:rPr>
        <w:t xml:space="preserve"> B, streptomycin eller </w:t>
      </w:r>
      <w:proofErr w:type="spellStart"/>
      <w:r w:rsidRPr="00155A7C">
        <w:rPr>
          <w:sz w:val="24"/>
          <w:szCs w:val="24"/>
          <w:lang w:eastAsia="fr-FR"/>
        </w:rPr>
        <w:t>neomycin</w:t>
      </w:r>
      <w:proofErr w:type="spellEnd"/>
      <w:r w:rsidRPr="00155A7C">
        <w:rPr>
          <w:sz w:val="24"/>
          <w:szCs w:val="24"/>
          <w:lang w:eastAsia="fr-FR"/>
        </w:rPr>
        <w:t xml:space="preserve"> (til stede i spormængder i vaccinen) eller over for ethvert antibiotikum af samme klasse.</w:t>
      </w:r>
    </w:p>
    <w:p w14:paraId="225132C9" w14:textId="77777777" w:rsidR="00D171A5" w:rsidRDefault="00D171A5" w:rsidP="00E15661">
      <w:pPr>
        <w:ind w:left="851"/>
        <w:rPr>
          <w:sz w:val="24"/>
          <w:szCs w:val="24"/>
          <w:lang w:eastAsia="fr-FR"/>
        </w:rPr>
      </w:pPr>
    </w:p>
    <w:p w14:paraId="37EBE98A" w14:textId="6573B0C4" w:rsidR="00266E67" w:rsidRPr="00D171A5" w:rsidRDefault="00266E67" w:rsidP="00E15661">
      <w:pPr>
        <w:ind w:left="851"/>
        <w:rPr>
          <w:sz w:val="24"/>
          <w:szCs w:val="24"/>
          <w:u w:val="single"/>
          <w:lang w:eastAsia="fr-FR"/>
        </w:rPr>
      </w:pPr>
      <w:r w:rsidRPr="00D171A5">
        <w:rPr>
          <w:sz w:val="24"/>
          <w:szCs w:val="24"/>
          <w:u w:val="single"/>
          <w:lang w:eastAsia="fr-FR"/>
        </w:rPr>
        <w:lastRenderedPageBreak/>
        <w:t>Forsigtighedsregler vedrørende brugen</w:t>
      </w:r>
    </w:p>
    <w:p w14:paraId="706B3729" w14:textId="77777777" w:rsidR="00266E67" w:rsidRPr="00155A7C" w:rsidRDefault="00266E67" w:rsidP="00E15661">
      <w:pPr>
        <w:ind w:left="851"/>
        <w:rPr>
          <w:sz w:val="24"/>
          <w:szCs w:val="24"/>
          <w:lang w:eastAsia="fr-FR"/>
        </w:rPr>
      </w:pPr>
      <w:r w:rsidRPr="00155A7C">
        <w:rPr>
          <w:sz w:val="24"/>
          <w:szCs w:val="24"/>
          <w:lang w:eastAsia="fr-FR"/>
        </w:rPr>
        <w:t>Anbefalingerne i injektionsskemaet bør følges nøje.</w:t>
      </w:r>
    </w:p>
    <w:p w14:paraId="58A79BA6" w14:textId="77777777" w:rsidR="00D171A5" w:rsidRDefault="00D171A5" w:rsidP="00E15661">
      <w:pPr>
        <w:ind w:left="851"/>
        <w:rPr>
          <w:sz w:val="24"/>
          <w:szCs w:val="24"/>
          <w:lang w:eastAsia="fr-FR"/>
        </w:rPr>
      </w:pPr>
    </w:p>
    <w:p w14:paraId="5C300C8A" w14:textId="6EA55B2C" w:rsidR="00266E67" w:rsidRPr="00155A7C" w:rsidRDefault="00266E67" w:rsidP="00E15661">
      <w:pPr>
        <w:ind w:left="851"/>
        <w:rPr>
          <w:sz w:val="24"/>
          <w:szCs w:val="24"/>
          <w:lang w:eastAsia="fr-FR"/>
        </w:rPr>
      </w:pPr>
      <w:r w:rsidRPr="00155A7C">
        <w:rPr>
          <w:sz w:val="24"/>
          <w:szCs w:val="24"/>
          <w:lang w:eastAsia="fr-FR"/>
        </w:rPr>
        <w:t xml:space="preserve">Behovet for serologiske tests (for at vurdere </w:t>
      </w:r>
      <w:proofErr w:type="spellStart"/>
      <w:r w:rsidRPr="00155A7C">
        <w:rPr>
          <w:sz w:val="24"/>
          <w:szCs w:val="24"/>
          <w:lang w:eastAsia="fr-FR"/>
        </w:rPr>
        <w:t>serokonvertering</w:t>
      </w:r>
      <w:proofErr w:type="spellEnd"/>
      <w:r w:rsidRPr="00155A7C">
        <w:rPr>
          <w:sz w:val="24"/>
          <w:szCs w:val="24"/>
          <w:lang w:eastAsia="fr-FR"/>
        </w:rPr>
        <w:t xml:space="preserve"> hos personerne) bør bestemmes i overensstemmelse med officielle anbefalinger.</w:t>
      </w:r>
    </w:p>
    <w:p w14:paraId="0E5C6E46" w14:textId="77777777" w:rsidR="00D171A5" w:rsidRDefault="00D171A5" w:rsidP="00E15661">
      <w:pPr>
        <w:ind w:left="851"/>
        <w:rPr>
          <w:sz w:val="24"/>
          <w:szCs w:val="24"/>
        </w:rPr>
      </w:pPr>
    </w:p>
    <w:p w14:paraId="3A5DF2A9" w14:textId="310B021A" w:rsidR="00266E67" w:rsidRPr="00155A7C" w:rsidRDefault="00266E67" w:rsidP="00E15661">
      <w:pPr>
        <w:ind w:left="851"/>
        <w:rPr>
          <w:sz w:val="24"/>
          <w:szCs w:val="24"/>
        </w:rPr>
      </w:pPr>
      <w:r w:rsidRPr="00155A7C">
        <w:rPr>
          <w:sz w:val="24"/>
          <w:szCs w:val="24"/>
        </w:rPr>
        <w:t xml:space="preserve">Når vaccinen gives til personer med en kendt immundefekt, som skyldes en immunsuppressiv sygdom eller en samtidig immunsuppressiv behandling (herunder </w:t>
      </w:r>
      <w:proofErr w:type="spellStart"/>
      <w:r w:rsidRPr="00155A7C">
        <w:rPr>
          <w:sz w:val="24"/>
          <w:szCs w:val="24"/>
        </w:rPr>
        <w:t>kortikosteroider</w:t>
      </w:r>
      <w:proofErr w:type="spellEnd"/>
      <w:r w:rsidRPr="00155A7C">
        <w:rPr>
          <w:sz w:val="24"/>
          <w:szCs w:val="24"/>
        </w:rPr>
        <w:t>), skal der udføres blodprøver 2 til 4 uger efter vaccination for at sikre, at der er opnået et beskyttende immuniserende respons. I tilfælde af vaccination efter eksponering skal der gives et komplet vaccinationsregime. Rabies-</w:t>
      </w:r>
      <w:proofErr w:type="spellStart"/>
      <w:r w:rsidRPr="00155A7C">
        <w:rPr>
          <w:sz w:val="24"/>
          <w:szCs w:val="24"/>
        </w:rPr>
        <w:t>immunglobulin</w:t>
      </w:r>
      <w:proofErr w:type="spellEnd"/>
      <w:r w:rsidRPr="00155A7C">
        <w:rPr>
          <w:sz w:val="24"/>
          <w:szCs w:val="24"/>
        </w:rPr>
        <w:t xml:space="preserve"> skal også administreres sammen med vaccinen i tilfælde af kategori II- eller III-eksponering (se pkt. 4.2).</w:t>
      </w:r>
    </w:p>
    <w:p w14:paraId="7A02DE42" w14:textId="77777777" w:rsidR="00D171A5" w:rsidRDefault="00D171A5" w:rsidP="00E15661">
      <w:pPr>
        <w:ind w:left="851"/>
        <w:rPr>
          <w:sz w:val="24"/>
          <w:szCs w:val="24"/>
          <w:lang w:eastAsia="fr-FR"/>
        </w:rPr>
      </w:pPr>
    </w:p>
    <w:p w14:paraId="4132FFC8" w14:textId="0AFF2A35" w:rsidR="00266E67" w:rsidRPr="00155A7C" w:rsidRDefault="00266E67" w:rsidP="00E15661">
      <w:pPr>
        <w:ind w:left="851"/>
        <w:rPr>
          <w:sz w:val="24"/>
          <w:szCs w:val="24"/>
          <w:lang w:eastAsia="fr-FR"/>
        </w:rPr>
      </w:pPr>
      <w:r w:rsidRPr="00155A7C">
        <w:rPr>
          <w:sz w:val="24"/>
          <w:szCs w:val="24"/>
          <w:lang w:eastAsia="fr-FR"/>
        </w:rPr>
        <w:t xml:space="preserve">Må ikke injiceres </w:t>
      </w:r>
      <w:proofErr w:type="spellStart"/>
      <w:r w:rsidRPr="00155A7C">
        <w:rPr>
          <w:sz w:val="24"/>
          <w:szCs w:val="24"/>
          <w:lang w:eastAsia="fr-FR"/>
        </w:rPr>
        <w:t>intravaskulært</w:t>
      </w:r>
      <w:proofErr w:type="spellEnd"/>
      <w:r w:rsidRPr="00155A7C">
        <w:rPr>
          <w:sz w:val="24"/>
          <w:szCs w:val="24"/>
          <w:lang w:eastAsia="fr-FR"/>
        </w:rPr>
        <w:t>: Sørg for, at kanylen ikke trænger ind i et blodkar.</w:t>
      </w:r>
    </w:p>
    <w:p w14:paraId="65E40720" w14:textId="77777777" w:rsidR="00D171A5" w:rsidRDefault="00D171A5" w:rsidP="00E15661">
      <w:pPr>
        <w:ind w:left="851"/>
        <w:rPr>
          <w:sz w:val="24"/>
          <w:szCs w:val="24"/>
          <w:lang w:eastAsia="fr-FR"/>
        </w:rPr>
      </w:pPr>
    </w:p>
    <w:p w14:paraId="5C8B72F2" w14:textId="5B159438" w:rsidR="00266E67" w:rsidRPr="00155A7C" w:rsidRDefault="00266E67" w:rsidP="00E15661">
      <w:pPr>
        <w:ind w:left="851"/>
        <w:rPr>
          <w:sz w:val="24"/>
          <w:szCs w:val="24"/>
          <w:lang w:eastAsia="fr-FR"/>
        </w:rPr>
      </w:pPr>
      <w:r w:rsidRPr="00155A7C">
        <w:rPr>
          <w:sz w:val="24"/>
          <w:szCs w:val="24"/>
          <w:lang w:eastAsia="fr-FR"/>
        </w:rPr>
        <w:t xml:space="preserve">Som med alle </w:t>
      </w:r>
      <w:proofErr w:type="spellStart"/>
      <w:r w:rsidRPr="00155A7C">
        <w:rPr>
          <w:sz w:val="24"/>
          <w:szCs w:val="24"/>
          <w:lang w:eastAsia="fr-FR"/>
        </w:rPr>
        <w:t>injicerbare</w:t>
      </w:r>
      <w:proofErr w:type="spellEnd"/>
      <w:r w:rsidRPr="00155A7C">
        <w:rPr>
          <w:sz w:val="24"/>
          <w:szCs w:val="24"/>
          <w:lang w:eastAsia="fr-FR"/>
        </w:rPr>
        <w:t xml:space="preserve"> vacciner skal passende medicinsk behandling og overvågning være let tilgængelig i tilfælde af en sjælden </w:t>
      </w:r>
      <w:proofErr w:type="spellStart"/>
      <w:r w:rsidRPr="00155A7C">
        <w:rPr>
          <w:sz w:val="24"/>
          <w:szCs w:val="24"/>
          <w:lang w:eastAsia="fr-FR"/>
        </w:rPr>
        <w:t>anafylaktisk</w:t>
      </w:r>
      <w:proofErr w:type="spellEnd"/>
      <w:r w:rsidRPr="00155A7C">
        <w:rPr>
          <w:sz w:val="24"/>
          <w:szCs w:val="24"/>
          <w:lang w:eastAsia="fr-FR"/>
        </w:rPr>
        <w:t xml:space="preserve"> reaktion efter administration af vaccinen, især i tilfælde af post-eksponering hos personer med kendt overfølsomhed over for </w:t>
      </w:r>
      <w:proofErr w:type="spellStart"/>
      <w:r w:rsidRPr="00155A7C">
        <w:rPr>
          <w:sz w:val="24"/>
          <w:szCs w:val="24"/>
          <w:lang w:eastAsia="fr-FR"/>
        </w:rPr>
        <w:t>polymyxin</w:t>
      </w:r>
      <w:proofErr w:type="spellEnd"/>
      <w:r w:rsidRPr="00155A7C">
        <w:rPr>
          <w:sz w:val="24"/>
          <w:szCs w:val="24"/>
          <w:lang w:eastAsia="fr-FR"/>
        </w:rPr>
        <w:t xml:space="preserve"> B, streptomycin, </w:t>
      </w:r>
      <w:proofErr w:type="spellStart"/>
      <w:r w:rsidRPr="00155A7C">
        <w:rPr>
          <w:sz w:val="24"/>
          <w:szCs w:val="24"/>
          <w:lang w:eastAsia="fr-FR"/>
        </w:rPr>
        <w:t>neomycin</w:t>
      </w:r>
      <w:proofErr w:type="spellEnd"/>
      <w:r w:rsidRPr="00155A7C">
        <w:rPr>
          <w:sz w:val="24"/>
          <w:szCs w:val="24"/>
          <w:lang w:eastAsia="fr-FR"/>
        </w:rPr>
        <w:t xml:space="preserve"> eller ethvert antibiotikum af samme klasse.</w:t>
      </w:r>
    </w:p>
    <w:p w14:paraId="25AF4390" w14:textId="77777777" w:rsidR="00D171A5" w:rsidRDefault="00D171A5" w:rsidP="00E15661">
      <w:pPr>
        <w:ind w:left="851"/>
        <w:rPr>
          <w:sz w:val="24"/>
          <w:szCs w:val="24"/>
          <w:lang w:eastAsia="fr-FR"/>
        </w:rPr>
      </w:pPr>
    </w:p>
    <w:p w14:paraId="6CC59F34" w14:textId="77F24E35" w:rsidR="00266E67" w:rsidRPr="00155A7C" w:rsidRDefault="00266E67" w:rsidP="00E15661">
      <w:pPr>
        <w:ind w:left="851"/>
        <w:rPr>
          <w:sz w:val="24"/>
          <w:szCs w:val="24"/>
          <w:lang w:eastAsia="fr-FR"/>
        </w:rPr>
      </w:pPr>
      <w:r w:rsidRPr="00155A7C">
        <w:rPr>
          <w:sz w:val="24"/>
          <w:szCs w:val="24"/>
          <w:lang w:eastAsia="fr-FR"/>
        </w:rPr>
        <w:t xml:space="preserve">Som med alle </w:t>
      </w:r>
      <w:proofErr w:type="spellStart"/>
      <w:r w:rsidRPr="00155A7C">
        <w:rPr>
          <w:sz w:val="24"/>
          <w:szCs w:val="24"/>
          <w:lang w:eastAsia="fr-FR"/>
        </w:rPr>
        <w:t>injicerbare</w:t>
      </w:r>
      <w:proofErr w:type="spellEnd"/>
      <w:r w:rsidRPr="00155A7C">
        <w:rPr>
          <w:sz w:val="24"/>
          <w:szCs w:val="24"/>
          <w:lang w:eastAsia="fr-FR"/>
        </w:rPr>
        <w:t xml:space="preserve"> vacciner, bør </w:t>
      </w:r>
      <w:proofErr w:type="spellStart"/>
      <w:r w:rsidRPr="00155A7C">
        <w:rPr>
          <w:sz w:val="24"/>
          <w:szCs w:val="24"/>
          <w:lang w:eastAsia="fr-FR"/>
        </w:rPr>
        <w:t>Verorab</w:t>
      </w:r>
      <w:proofErr w:type="spellEnd"/>
      <w:r w:rsidRPr="00155A7C">
        <w:rPr>
          <w:sz w:val="24"/>
          <w:szCs w:val="24"/>
          <w:lang w:eastAsia="fr-FR"/>
        </w:rPr>
        <w:t xml:space="preserve"> administreres med forsigtighed til personer med </w:t>
      </w:r>
      <w:proofErr w:type="spellStart"/>
      <w:r w:rsidRPr="00155A7C">
        <w:rPr>
          <w:sz w:val="24"/>
          <w:szCs w:val="24"/>
          <w:lang w:eastAsia="fr-FR"/>
        </w:rPr>
        <w:t>trombocytopeni</w:t>
      </w:r>
      <w:proofErr w:type="spellEnd"/>
      <w:r w:rsidRPr="00155A7C">
        <w:rPr>
          <w:sz w:val="24"/>
          <w:szCs w:val="24"/>
          <w:lang w:eastAsia="fr-FR"/>
        </w:rPr>
        <w:t xml:space="preserve"> eller koagulationsforstyrrelser, da intramuskulær injektion kan forårsage blødning hos disse personer.</w:t>
      </w:r>
    </w:p>
    <w:p w14:paraId="0735664C" w14:textId="77777777" w:rsidR="00D171A5" w:rsidRDefault="00D171A5" w:rsidP="00E15661">
      <w:pPr>
        <w:ind w:left="851"/>
        <w:rPr>
          <w:sz w:val="24"/>
          <w:szCs w:val="24"/>
          <w:lang w:eastAsia="fr-FR"/>
        </w:rPr>
      </w:pPr>
    </w:p>
    <w:p w14:paraId="7479804E" w14:textId="4FBFABFA" w:rsidR="00266E67" w:rsidRPr="00155A7C" w:rsidRDefault="00266E67" w:rsidP="00E15661">
      <w:pPr>
        <w:ind w:left="851"/>
        <w:rPr>
          <w:sz w:val="24"/>
          <w:szCs w:val="24"/>
          <w:lang w:eastAsia="fr-FR"/>
        </w:rPr>
      </w:pPr>
      <w:r w:rsidRPr="00155A7C">
        <w:rPr>
          <w:sz w:val="24"/>
          <w:szCs w:val="24"/>
          <w:lang w:eastAsia="fr-FR"/>
        </w:rPr>
        <w:t xml:space="preserve">Angstrelaterede reaktioner, herunder </w:t>
      </w:r>
      <w:proofErr w:type="spellStart"/>
      <w:r w:rsidRPr="00155A7C">
        <w:rPr>
          <w:sz w:val="24"/>
          <w:szCs w:val="24"/>
          <w:lang w:eastAsia="fr-FR"/>
        </w:rPr>
        <w:t>vasovagale</w:t>
      </w:r>
      <w:proofErr w:type="spellEnd"/>
      <w:r w:rsidRPr="00155A7C">
        <w:rPr>
          <w:sz w:val="24"/>
          <w:szCs w:val="24"/>
          <w:lang w:eastAsia="fr-FR"/>
        </w:rPr>
        <w:t xml:space="preserve"> reaktioner (synkope), hyperventilation eller stress-relaterede reaktioner kan forekomme efter eller endda før enhver vaccination som en psykogen reaktion på kanyleinjektionen. Dette kan være ledsaget af flere neurologiske tegn, såsom forbigående synsforstyrrelser og </w:t>
      </w:r>
      <w:proofErr w:type="spellStart"/>
      <w:r w:rsidRPr="00155A7C">
        <w:rPr>
          <w:sz w:val="24"/>
          <w:szCs w:val="24"/>
          <w:lang w:eastAsia="fr-FR"/>
        </w:rPr>
        <w:t>paræstesi</w:t>
      </w:r>
      <w:proofErr w:type="spellEnd"/>
      <w:r w:rsidRPr="00155A7C">
        <w:rPr>
          <w:sz w:val="24"/>
          <w:szCs w:val="24"/>
          <w:lang w:eastAsia="fr-FR"/>
        </w:rPr>
        <w:t>. Det er vigtigt, at de nødvendige foranstaltninger er på plads for at undgå skader ved besvimelse.</w:t>
      </w:r>
    </w:p>
    <w:p w14:paraId="35EE493C" w14:textId="77777777" w:rsidR="00D171A5" w:rsidRDefault="00D171A5" w:rsidP="00E15661">
      <w:pPr>
        <w:ind w:left="851"/>
        <w:rPr>
          <w:b/>
          <w:sz w:val="24"/>
          <w:szCs w:val="24"/>
          <w:lang w:eastAsia="fr-FR"/>
        </w:rPr>
      </w:pPr>
    </w:p>
    <w:p w14:paraId="743C1842" w14:textId="26A2283C" w:rsidR="00266E67" w:rsidRPr="00155A7C" w:rsidRDefault="00266E67" w:rsidP="00E15661">
      <w:pPr>
        <w:ind w:left="851"/>
        <w:rPr>
          <w:b/>
          <w:sz w:val="24"/>
          <w:szCs w:val="24"/>
          <w:lang w:eastAsia="fr-FR"/>
        </w:rPr>
      </w:pPr>
      <w:r w:rsidRPr="00155A7C">
        <w:rPr>
          <w:b/>
          <w:sz w:val="24"/>
          <w:szCs w:val="24"/>
          <w:lang w:eastAsia="fr-FR"/>
        </w:rPr>
        <w:t>Fyldte injektionssprøjter uden påsat kanyle</w:t>
      </w:r>
    </w:p>
    <w:p w14:paraId="407B99C8" w14:textId="77777777" w:rsidR="00266E67" w:rsidRPr="00155A7C" w:rsidRDefault="00266E67" w:rsidP="00E15661">
      <w:pPr>
        <w:ind w:left="851"/>
        <w:rPr>
          <w:sz w:val="24"/>
          <w:szCs w:val="24"/>
          <w:lang w:eastAsia="fr-FR"/>
        </w:rPr>
      </w:pPr>
      <w:r w:rsidRPr="00155A7C">
        <w:rPr>
          <w:sz w:val="24"/>
          <w:szCs w:val="24"/>
          <w:lang w:eastAsia="fr-FR"/>
        </w:rPr>
        <w:t>Spidshætterne på de fyldte injektionssprøjter uden påsat kanyle indeholder et naturgummi, som er et derivat af latex, der kan medføre svære allergiske reaktioner hos latexfølsomme personer.</w:t>
      </w:r>
    </w:p>
    <w:p w14:paraId="67F84D8B" w14:textId="77777777" w:rsidR="00D171A5" w:rsidRDefault="00D171A5" w:rsidP="00E15661">
      <w:pPr>
        <w:ind w:left="851"/>
        <w:rPr>
          <w:b/>
          <w:sz w:val="24"/>
          <w:szCs w:val="24"/>
        </w:rPr>
      </w:pPr>
    </w:p>
    <w:p w14:paraId="60C76698" w14:textId="117C488F" w:rsidR="00266E67" w:rsidRPr="00155A7C" w:rsidRDefault="00266E67" w:rsidP="00E15661">
      <w:pPr>
        <w:ind w:left="851"/>
        <w:rPr>
          <w:b/>
          <w:sz w:val="24"/>
          <w:szCs w:val="24"/>
        </w:rPr>
      </w:pPr>
      <w:proofErr w:type="spellStart"/>
      <w:r w:rsidRPr="00155A7C">
        <w:rPr>
          <w:b/>
          <w:sz w:val="24"/>
          <w:szCs w:val="24"/>
        </w:rPr>
        <w:t>Verorab</w:t>
      </w:r>
      <w:proofErr w:type="spellEnd"/>
      <w:r w:rsidRPr="00155A7C">
        <w:rPr>
          <w:b/>
          <w:sz w:val="24"/>
          <w:szCs w:val="24"/>
        </w:rPr>
        <w:t xml:space="preserve"> indeholder </w:t>
      </w:r>
      <w:proofErr w:type="spellStart"/>
      <w:r w:rsidRPr="00155A7C">
        <w:rPr>
          <w:b/>
          <w:sz w:val="24"/>
          <w:szCs w:val="24"/>
        </w:rPr>
        <w:t>phenylalanin</w:t>
      </w:r>
      <w:proofErr w:type="spellEnd"/>
      <w:r w:rsidRPr="00155A7C">
        <w:rPr>
          <w:b/>
          <w:sz w:val="24"/>
          <w:szCs w:val="24"/>
        </w:rPr>
        <w:t>, kalium og natrium</w:t>
      </w:r>
    </w:p>
    <w:p w14:paraId="5CB7C65C" w14:textId="77777777" w:rsidR="00266E67" w:rsidRPr="00155A7C" w:rsidRDefault="00266E67" w:rsidP="00E15661">
      <w:pPr>
        <w:ind w:left="851"/>
        <w:rPr>
          <w:b/>
          <w:sz w:val="24"/>
          <w:szCs w:val="24"/>
          <w:lang w:eastAsia="fr-FR"/>
        </w:rPr>
      </w:pPr>
      <w:proofErr w:type="spellStart"/>
      <w:r w:rsidRPr="00155A7C">
        <w:rPr>
          <w:sz w:val="24"/>
          <w:szCs w:val="24"/>
        </w:rPr>
        <w:t>Verorab</w:t>
      </w:r>
      <w:proofErr w:type="spellEnd"/>
      <w:r w:rsidRPr="00155A7C">
        <w:rPr>
          <w:sz w:val="24"/>
          <w:szCs w:val="24"/>
        </w:rPr>
        <w:t xml:space="preserve"> indeholder 4,1 mikrogram </w:t>
      </w:r>
      <w:proofErr w:type="spellStart"/>
      <w:r w:rsidRPr="00155A7C">
        <w:rPr>
          <w:sz w:val="24"/>
          <w:szCs w:val="24"/>
        </w:rPr>
        <w:t>phenylalanin</w:t>
      </w:r>
      <w:proofErr w:type="spellEnd"/>
      <w:r w:rsidRPr="00155A7C">
        <w:rPr>
          <w:sz w:val="24"/>
          <w:szCs w:val="24"/>
        </w:rPr>
        <w:t xml:space="preserve"> </w:t>
      </w:r>
      <w:r w:rsidRPr="00155A7C">
        <w:rPr>
          <w:noProof/>
          <w:sz w:val="24"/>
          <w:szCs w:val="24"/>
        </w:rPr>
        <w:t xml:space="preserve">i hver </w:t>
      </w:r>
      <w:r w:rsidRPr="00155A7C">
        <w:rPr>
          <w:sz w:val="24"/>
          <w:szCs w:val="24"/>
        </w:rPr>
        <w:t xml:space="preserve">0,5 ml-dosis, svarende til 0,068 mikrogram/kg for en person på 60 kg. </w:t>
      </w:r>
      <w:bookmarkStart w:id="7" w:name="_Hlk126328252"/>
      <w:proofErr w:type="spellStart"/>
      <w:r w:rsidRPr="00155A7C">
        <w:rPr>
          <w:sz w:val="24"/>
          <w:szCs w:val="24"/>
        </w:rPr>
        <w:t>Phenylalanin</w:t>
      </w:r>
      <w:proofErr w:type="spellEnd"/>
      <w:r w:rsidRPr="00155A7C">
        <w:rPr>
          <w:sz w:val="24"/>
          <w:szCs w:val="24"/>
        </w:rPr>
        <w:t xml:space="preserve"> </w:t>
      </w:r>
      <w:bookmarkEnd w:id="7"/>
      <w:r w:rsidRPr="00155A7C">
        <w:rPr>
          <w:sz w:val="24"/>
          <w:szCs w:val="24"/>
        </w:rPr>
        <w:t xml:space="preserve">kan være skadeligt, hvis du har </w:t>
      </w:r>
      <w:proofErr w:type="spellStart"/>
      <w:r w:rsidRPr="00155A7C">
        <w:rPr>
          <w:sz w:val="24"/>
          <w:szCs w:val="24"/>
        </w:rPr>
        <w:t>phenylketonuri</w:t>
      </w:r>
      <w:proofErr w:type="spellEnd"/>
      <w:r w:rsidRPr="00155A7C">
        <w:rPr>
          <w:sz w:val="24"/>
          <w:szCs w:val="24"/>
        </w:rPr>
        <w:t xml:space="preserve"> (PKU, </w:t>
      </w:r>
      <w:proofErr w:type="spellStart"/>
      <w:r w:rsidRPr="00155A7C">
        <w:rPr>
          <w:sz w:val="24"/>
          <w:szCs w:val="24"/>
        </w:rPr>
        <w:t>Føllings</w:t>
      </w:r>
      <w:proofErr w:type="spellEnd"/>
      <w:r w:rsidRPr="00155A7C">
        <w:rPr>
          <w:sz w:val="24"/>
          <w:szCs w:val="24"/>
        </w:rPr>
        <w:t xml:space="preserve"> sygdom), en sjælden genetisk lidelse, hvor </w:t>
      </w:r>
      <w:proofErr w:type="spellStart"/>
      <w:r w:rsidRPr="00155A7C">
        <w:rPr>
          <w:sz w:val="24"/>
          <w:szCs w:val="24"/>
        </w:rPr>
        <w:t>phenylalanin</w:t>
      </w:r>
      <w:proofErr w:type="spellEnd"/>
      <w:r w:rsidRPr="00155A7C">
        <w:rPr>
          <w:sz w:val="24"/>
          <w:szCs w:val="24"/>
        </w:rPr>
        <w:t xml:space="preserve"> ophobes, fordi kroppen ikke kan fjerne det ordentligt.</w:t>
      </w:r>
    </w:p>
    <w:p w14:paraId="606F6C71" w14:textId="77777777" w:rsidR="00D171A5" w:rsidRDefault="00D171A5" w:rsidP="00E15661">
      <w:pPr>
        <w:ind w:left="851"/>
        <w:rPr>
          <w:sz w:val="24"/>
          <w:szCs w:val="24"/>
        </w:rPr>
      </w:pPr>
    </w:p>
    <w:p w14:paraId="11419BE7" w14:textId="3BC3C528" w:rsidR="00266E67" w:rsidRPr="00155A7C" w:rsidRDefault="00266E67" w:rsidP="00E15661">
      <w:pPr>
        <w:ind w:left="851"/>
        <w:rPr>
          <w:sz w:val="24"/>
          <w:szCs w:val="24"/>
        </w:rPr>
      </w:pPr>
      <w:proofErr w:type="spellStart"/>
      <w:r w:rsidRPr="00155A7C">
        <w:rPr>
          <w:sz w:val="24"/>
          <w:szCs w:val="24"/>
        </w:rPr>
        <w:t>Verorab</w:t>
      </w:r>
      <w:proofErr w:type="spellEnd"/>
      <w:r w:rsidRPr="00155A7C">
        <w:rPr>
          <w:sz w:val="24"/>
          <w:szCs w:val="24"/>
        </w:rPr>
        <w:t xml:space="preserve"> indeholder mindre end 1 mmol (39 mg) kalium og mindre end 1 mmol (23 mg) natrium pr. dosis, dvs. det er i det væsentlige kaliumfrit og natriumfrit.</w:t>
      </w:r>
    </w:p>
    <w:p w14:paraId="1D06B6A6" w14:textId="77777777" w:rsidR="00266E67" w:rsidRPr="00155A7C" w:rsidRDefault="00266E67" w:rsidP="00E15661">
      <w:pPr>
        <w:ind w:left="851"/>
        <w:rPr>
          <w:sz w:val="24"/>
          <w:szCs w:val="24"/>
          <w:lang w:eastAsia="en-GB"/>
        </w:rPr>
      </w:pPr>
    </w:p>
    <w:p w14:paraId="2599CDF5" w14:textId="77777777" w:rsidR="00266E67" w:rsidRPr="00D171A5" w:rsidRDefault="00266E67" w:rsidP="00E15661">
      <w:pPr>
        <w:ind w:left="851"/>
        <w:rPr>
          <w:sz w:val="24"/>
          <w:szCs w:val="24"/>
          <w:u w:val="single"/>
          <w:lang w:eastAsia="fr-FR"/>
        </w:rPr>
      </w:pPr>
      <w:r w:rsidRPr="00D171A5">
        <w:rPr>
          <w:sz w:val="24"/>
          <w:szCs w:val="24"/>
          <w:u w:val="single"/>
          <w:lang w:eastAsia="fr-FR"/>
        </w:rPr>
        <w:t>Pædiatrisk population</w:t>
      </w:r>
    </w:p>
    <w:p w14:paraId="187EE6B4" w14:textId="77777777" w:rsidR="00266E67" w:rsidRPr="00155A7C" w:rsidRDefault="00266E67" w:rsidP="00E15661">
      <w:pPr>
        <w:ind w:left="851"/>
        <w:rPr>
          <w:sz w:val="24"/>
          <w:szCs w:val="24"/>
        </w:rPr>
      </w:pPr>
      <w:r w:rsidRPr="00155A7C">
        <w:rPr>
          <w:sz w:val="24"/>
          <w:szCs w:val="24"/>
          <w:lang w:eastAsia="fr-FR"/>
        </w:rPr>
        <w:t xml:space="preserve">Den potentielle risiko for apnø med behov for respiratorisk overvågning i 48-72 t skal nøje tages i betragtning, når de primære vaccinationsdoser administreres til meget tidligt fødte spædbørn (født i 28. svangerskabsuge eller tidligere) og især hos dem med respiratorisk </w:t>
      </w:r>
      <w:proofErr w:type="spellStart"/>
      <w:r w:rsidRPr="00155A7C">
        <w:rPr>
          <w:sz w:val="24"/>
          <w:szCs w:val="24"/>
          <w:lang w:eastAsia="fr-FR"/>
        </w:rPr>
        <w:t>immaturitet</w:t>
      </w:r>
      <w:proofErr w:type="spellEnd"/>
      <w:r w:rsidRPr="00155A7C">
        <w:rPr>
          <w:sz w:val="24"/>
          <w:szCs w:val="24"/>
          <w:lang w:eastAsia="fr-FR"/>
        </w:rPr>
        <w:t xml:space="preserve"> i anamnesen.</w:t>
      </w:r>
    </w:p>
    <w:p w14:paraId="5B25D60D" w14:textId="77777777" w:rsidR="009260DE" w:rsidRPr="00155A7C" w:rsidRDefault="009260DE" w:rsidP="009260DE">
      <w:pPr>
        <w:tabs>
          <w:tab w:val="left" w:pos="851"/>
        </w:tabs>
        <w:ind w:left="851"/>
        <w:rPr>
          <w:sz w:val="24"/>
          <w:szCs w:val="24"/>
        </w:rPr>
      </w:pPr>
    </w:p>
    <w:p w14:paraId="559193B4" w14:textId="77777777" w:rsidR="009260DE" w:rsidRPr="00155A7C" w:rsidRDefault="009260DE" w:rsidP="009260DE">
      <w:pPr>
        <w:tabs>
          <w:tab w:val="left" w:pos="851"/>
        </w:tabs>
        <w:ind w:left="851" w:hanging="851"/>
        <w:rPr>
          <w:b/>
          <w:sz w:val="24"/>
          <w:szCs w:val="24"/>
        </w:rPr>
      </w:pPr>
      <w:r w:rsidRPr="00155A7C">
        <w:rPr>
          <w:b/>
          <w:sz w:val="24"/>
          <w:szCs w:val="24"/>
        </w:rPr>
        <w:lastRenderedPageBreak/>
        <w:t>4.5</w:t>
      </w:r>
      <w:r w:rsidRPr="00155A7C">
        <w:rPr>
          <w:b/>
          <w:sz w:val="24"/>
          <w:szCs w:val="24"/>
        </w:rPr>
        <w:tab/>
        <w:t>Interaktion med andre lægemidler og andre former for interaktion</w:t>
      </w:r>
    </w:p>
    <w:p w14:paraId="159FD0AE" w14:textId="77777777" w:rsidR="00266E67" w:rsidRPr="00155A7C" w:rsidRDefault="00266E67" w:rsidP="00E15661">
      <w:pPr>
        <w:ind w:left="851"/>
        <w:rPr>
          <w:b/>
          <w:bCs/>
          <w:sz w:val="24"/>
          <w:szCs w:val="24"/>
        </w:rPr>
      </w:pPr>
      <w:r w:rsidRPr="00155A7C">
        <w:rPr>
          <w:sz w:val="24"/>
          <w:szCs w:val="24"/>
        </w:rPr>
        <w:t xml:space="preserve">Immunsuppressive behandlinger, herunder langvarig systemisk </w:t>
      </w:r>
      <w:proofErr w:type="spellStart"/>
      <w:r w:rsidRPr="00155A7C">
        <w:rPr>
          <w:sz w:val="24"/>
          <w:szCs w:val="24"/>
        </w:rPr>
        <w:t>kortikosteroidbehandling</w:t>
      </w:r>
      <w:proofErr w:type="spellEnd"/>
      <w:r w:rsidRPr="00155A7C">
        <w:rPr>
          <w:sz w:val="24"/>
          <w:szCs w:val="24"/>
        </w:rPr>
        <w:t>, kan interferere med produktionen af antistoffer og føre til vaccinationssvigt. Det anbefales derfor at udføre en serologisk test 2 til 4 uger efter vaccination (se pkt. 4.2).</w:t>
      </w:r>
    </w:p>
    <w:p w14:paraId="28FF4E8D" w14:textId="77777777" w:rsidR="00D171A5" w:rsidRDefault="00D171A5" w:rsidP="00E15661">
      <w:pPr>
        <w:ind w:left="851"/>
        <w:rPr>
          <w:sz w:val="24"/>
          <w:szCs w:val="24"/>
        </w:rPr>
      </w:pPr>
    </w:p>
    <w:p w14:paraId="2F1562AD" w14:textId="13E73C41" w:rsidR="00266E67" w:rsidRPr="00155A7C" w:rsidRDefault="00266E67" w:rsidP="00E15661">
      <w:pPr>
        <w:ind w:left="851"/>
        <w:rPr>
          <w:sz w:val="24"/>
          <w:szCs w:val="24"/>
        </w:rPr>
      </w:pPr>
      <w:proofErr w:type="spellStart"/>
      <w:r w:rsidRPr="00155A7C">
        <w:rPr>
          <w:sz w:val="24"/>
          <w:szCs w:val="24"/>
        </w:rPr>
        <w:t>Verorab</w:t>
      </w:r>
      <w:proofErr w:type="spellEnd"/>
      <w:r w:rsidRPr="00155A7C">
        <w:rPr>
          <w:sz w:val="24"/>
          <w:szCs w:val="24"/>
        </w:rPr>
        <w:t xml:space="preserve"> kan administreres i forbindelse med en Vi-</w:t>
      </w:r>
      <w:proofErr w:type="spellStart"/>
      <w:r w:rsidRPr="00155A7C">
        <w:rPr>
          <w:sz w:val="24"/>
          <w:szCs w:val="24"/>
        </w:rPr>
        <w:t>polysaccharid</w:t>
      </w:r>
      <w:proofErr w:type="spellEnd"/>
      <w:r w:rsidRPr="00155A7C">
        <w:rPr>
          <w:sz w:val="24"/>
          <w:szCs w:val="24"/>
        </w:rPr>
        <w:t>-tyfusvaccine under det samme vaccinationsbesøg ved brug af to forskellige injektionssteder.</w:t>
      </w:r>
    </w:p>
    <w:p w14:paraId="5B94DF75" w14:textId="77777777" w:rsidR="00D171A5" w:rsidRDefault="00D171A5" w:rsidP="00E15661">
      <w:pPr>
        <w:ind w:left="851"/>
        <w:rPr>
          <w:sz w:val="24"/>
          <w:szCs w:val="24"/>
        </w:rPr>
      </w:pPr>
    </w:p>
    <w:p w14:paraId="62775AEA" w14:textId="65752EE4" w:rsidR="00266E67" w:rsidRPr="00155A7C" w:rsidRDefault="00266E67" w:rsidP="00E15661">
      <w:pPr>
        <w:ind w:left="851"/>
        <w:rPr>
          <w:sz w:val="24"/>
          <w:szCs w:val="24"/>
        </w:rPr>
      </w:pPr>
      <w:r w:rsidRPr="00155A7C">
        <w:rPr>
          <w:sz w:val="24"/>
          <w:szCs w:val="24"/>
        </w:rPr>
        <w:t>Rabies-</w:t>
      </w:r>
      <w:proofErr w:type="spellStart"/>
      <w:r w:rsidRPr="00155A7C">
        <w:rPr>
          <w:sz w:val="24"/>
          <w:szCs w:val="24"/>
        </w:rPr>
        <w:t>immunglobuliner</w:t>
      </w:r>
      <w:proofErr w:type="spellEnd"/>
      <w:r w:rsidRPr="00155A7C">
        <w:rPr>
          <w:sz w:val="24"/>
          <w:szCs w:val="24"/>
        </w:rPr>
        <w:t xml:space="preserve"> eller ethvert andet produkt og rabiesvaccinen må aldrig kombineres i den samme sprøjte eller injiceres på samme sted (se pkt. 6.2).</w:t>
      </w:r>
    </w:p>
    <w:p w14:paraId="290D7474" w14:textId="77777777" w:rsidR="00D171A5" w:rsidRDefault="00D171A5" w:rsidP="00E15661">
      <w:pPr>
        <w:ind w:left="851"/>
        <w:rPr>
          <w:sz w:val="24"/>
          <w:szCs w:val="24"/>
        </w:rPr>
      </w:pPr>
    </w:p>
    <w:p w14:paraId="17E7BB92" w14:textId="794D644A" w:rsidR="00266E67" w:rsidRPr="00155A7C" w:rsidRDefault="00266E67" w:rsidP="00E15661">
      <w:pPr>
        <w:ind w:left="851"/>
        <w:rPr>
          <w:sz w:val="24"/>
          <w:szCs w:val="24"/>
        </w:rPr>
      </w:pPr>
      <w:r w:rsidRPr="00155A7C">
        <w:rPr>
          <w:sz w:val="24"/>
          <w:szCs w:val="24"/>
        </w:rPr>
        <w:t>Da rabies-</w:t>
      </w:r>
      <w:proofErr w:type="spellStart"/>
      <w:r w:rsidRPr="00155A7C">
        <w:rPr>
          <w:sz w:val="24"/>
          <w:szCs w:val="24"/>
        </w:rPr>
        <w:t>immunglobuliner</w:t>
      </w:r>
      <w:proofErr w:type="spellEnd"/>
      <w:r w:rsidRPr="00155A7C">
        <w:rPr>
          <w:sz w:val="24"/>
          <w:szCs w:val="24"/>
        </w:rPr>
        <w:t xml:space="preserve"> interfererer med udviklingen af immunresponset på rabiesvaccinen, bør anbefalingerne for administration af rabies-</w:t>
      </w:r>
      <w:proofErr w:type="spellStart"/>
      <w:r w:rsidRPr="00155A7C">
        <w:rPr>
          <w:sz w:val="24"/>
          <w:szCs w:val="24"/>
        </w:rPr>
        <w:t>immunglobuliner</w:t>
      </w:r>
      <w:proofErr w:type="spellEnd"/>
      <w:r w:rsidRPr="00155A7C">
        <w:rPr>
          <w:sz w:val="24"/>
          <w:szCs w:val="24"/>
        </w:rPr>
        <w:t xml:space="preserve"> følges nøje.</w:t>
      </w:r>
    </w:p>
    <w:p w14:paraId="37651E99" w14:textId="77777777" w:rsidR="009260DE" w:rsidRPr="00155A7C" w:rsidRDefault="009260DE" w:rsidP="00E15661">
      <w:pPr>
        <w:ind w:left="851"/>
        <w:rPr>
          <w:sz w:val="24"/>
          <w:szCs w:val="24"/>
        </w:rPr>
      </w:pPr>
    </w:p>
    <w:p w14:paraId="3D53A927" w14:textId="77777777" w:rsidR="009260DE" w:rsidRPr="00155A7C" w:rsidRDefault="009260DE" w:rsidP="009260DE">
      <w:pPr>
        <w:tabs>
          <w:tab w:val="left" w:pos="851"/>
        </w:tabs>
        <w:ind w:left="851" w:hanging="851"/>
        <w:rPr>
          <w:b/>
          <w:sz w:val="24"/>
          <w:szCs w:val="24"/>
        </w:rPr>
      </w:pPr>
      <w:r w:rsidRPr="00155A7C">
        <w:rPr>
          <w:b/>
          <w:sz w:val="24"/>
          <w:szCs w:val="24"/>
        </w:rPr>
        <w:t>4.6</w:t>
      </w:r>
      <w:r w:rsidRPr="00155A7C">
        <w:rPr>
          <w:b/>
          <w:sz w:val="24"/>
          <w:szCs w:val="24"/>
        </w:rPr>
        <w:tab/>
      </w:r>
      <w:r w:rsidR="0071241E" w:rsidRPr="00155A7C">
        <w:rPr>
          <w:b/>
          <w:sz w:val="24"/>
          <w:szCs w:val="24"/>
        </w:rPr>
        <w:t>Fertilitet, g</w:t>
      </w:r>
      <w:r w:rsidRPr="00155A7C">
        <w:rPr>
          <w:b/>
          <w:sz w:val="24"/>
          <w:szCs w:val="24"/>
        </w:rPr>
        <w:t>raviditet og amning</w:t>
      </w:r>
    </w:p>
    <w:p w14:paraId="58B430B3" w14:textId="77777777" w:rsidR="007E44A7" w:rsidRDefault="007E44A7" w:rsidP="00E15661">
      <w:pPr>
        <w:ind w:left="851"/>
        <w:rPr>
          <w:sz w:val="24"/>
          <w:szCs w:val="24"/>
          <w:lang w:eastAsia="fr-FR"/>
        </w:rPr>
      </w:pPr>
    </w:p>
    <w:p w14:paraId="327E0457" w14:textId="724EEBAD" w:rsidR="00266E67" w:rsidRPr="00DC083A" w:rsidRDefault="00266E67" w:rsidP="00E15661">
      <w:pPr>
        <w:ind w:left="851"/>
        <w:rPr>
          <w:sz w:val="24"/>
          <w:szCs w:val="24"/>
          <w:u w:val="single"/>
          <w:lang w:eastAsia="fr-FR"/>
        </w:rPr>
      </w:pPr>
      <w:r w:rsidRPr="00DC083A">
        <w:rPr>
          <w:sz w:val="24"/>
          <w:szCs w:val="24"/>
          <w:u w:val="single"/>
          <w:lang w:eastAsia="fr-FR"/>
        </w:rPr>
        <w:t>Graviditet</w:t>
      </w:r>
    </w:p>
    <w:p w14:paraId="27795CC4" w14:textId="77777777" w:rsidR="00266E67" w:rsidRPr="00155A7C" w:rsidRDefault="00266E67" w:rsidP="00E15661">
      <w:pPr>
        <w:ind w:left="851"/>
        <w:rPr>
          <w:sz w:val="24"/>
          <w:szCs w:val="24"/>
        </w:rPr>
      </w:pPr>
      <w:r w:rsidRPr="00155A7C">
        <w:rPr>
          <w:sz w:val="24"/>
          <w:szCs w:val="24"/>
        </w:rPr>
        <w:t xml:space="preserve">Data om brugen af </w:t>
      </w:r>
      <w:proofErr w:type="spellStart"/>
      <w:r w:rsidRPr="00155A7C">
        <w:rPr>
          <w:sz w:val="24"/>
          <w:szCs w:val="24"/>
        </w:rPr>
        <w:t>Verorab</w:t>
      </w:r>
      <w:proofErr w:type="spellEnd"/>
      <w:r w:rsidRPr="00155A7C">
        <w:rPr>
          <w:sz w:val="24"/>
          <w:szCs w:val="24"/>
        </w:rPr>
        <w:t xml:space="preserve"> til gravide kvinder er begrænset. Der er ikke blevet udført studier af udviklings- og reproduktionstoksicitet hos dyr med denne vaccine.</w:t>
      </w:r>
    </w:p>
    <w:p w14:paraId="4D6AA8D4" w14:textId="77777777" w:rsidR="000A170D" w:rsidRDefault="000A170D" w:rsidP="00E15661">
      <w:pPr>
        <w:ind w:left="851"/>
        <w:rPr>
          <w:i/>
          <w:iCs/>
          <w:sz w:val="24"/>
          <w:szCs w:val="24"/>
          <w:lang w:eastAsia="fr-FR"/>
        </w:rPr>
      </w:pPr>
    </w:p>
    <w:p w14:paraId="75E898E7" w14:textId="0249345E" w:rsidR="00266E67" w:rsidRPr="00155A7C" w:rsidRDefault="00266E67" w:rsidP="00E15661">
      <w:pPr>
        <w:ind w:left="851"/>
        <w:rPr>
          <w:i/>
          <w:iCs/>
          <w:sz w:val="24"/>
          <w:szCs w:val="24"/>
          <w:lang w:eastAsia="fr-FR"/>
        </w:rPr>
      </w:pPr>
      <w:r w:rsidRPr="00155A7C">
        <w:rPr>
          <w:i/>
          <w:iCs/>
          <w:sz w:val="24"/>
          <w:szCs w:val="24"/>
          <w:lang w:eastAsia="fr-FR"/>
        </w:rPr>
        <w:t>Præ-eksponeringsprofylakse</w:t>
      </w:r>
    </w:p>
    <w:p w14:paraId="773EBD9E" w14:textId="77777777" w:rsidR="00266E67" w:rsidRPr="00155A7C" w:rsidRDefault="00266E67" w:rsidP="00E15661">
      <w:pPr>
        <w:ind w:left="851"/>
        <w:rPr>
          <w:sz w:val="24"/>
          <w:szCs w:val="24"/>
          <w:lang w:eastAsia="fr-FR"/>
        </w:rPr>
      </w:pPr>
      <w:r w:rsidRPr="00155A7C">
        <w:rPr>
          <w:sz w:val="24"/>
          <w:szCs w:val="24"/>
        </w:rPr>
        <w:t>I betragtning af sygdommens alvor bør vaccination kun gives til gravide kvinder, i overensstemmelse med den sædvanlige vaccinationsplan, hvis det er klart nødvendigt og efter en vurdering af risici og fordele.</w:t>
      </w:r>
    </w:p>
    <w:p w14:paraId="7C260B0B" w14:textId="77777777" w:rsidR="000A170D" w:rsidRDefault="000A170D" w:rsidP="00E15661">
      <w:pPr>
        <w:ind w:left="851"/>
        <w:rPr>
          <w:i/>
          <w:iCs/>
          <w:sz w:val="24"/>
          <w:szCs w:val="24"/>
          <w:lang w:eastAsia="fr-FR"/>
        </w:rPr>
      </w:pPr>
    </w:p>
    <w:p w14:paraId="3CFD3F39" w14:textId="798B9D7F" w:rsidR="00266E67" w:rsidRPr="00155A7C" w:rsidRDefault="00266E67" w:rsidP="00E15661">
      <w:pPr>
        <w:ind w:left="851"/>
        <w:rPr>
          <w:i/>
          <w:iCs/>
          <w:sz w:val="24"/>
          <w:szCs w:val="24"/>
          <w:lang w:eastAsia="fr-FR"/>
        </w:rPr>
      </w:pPr>
      <w:r w:rsidRPr="00155A7C">
        <w:rPr>
          <w:i/>
          <w:iCs/>
          <w:sz w:val="24"/>
          <w:szCs w:val="24"/>
          <w:lang w:eastAsia="fr-FR"/>
        </w:rPr>
        <w:t>Post-eksponeringsprofylakse</w:t>
      </w:r>
    </w:p>
    <w:p w14:paraId="5A6F4C0A" w14:textId="77777777" w:rsidR="00266E67" w:rsidRPr="000A170D" w:rsidRDefault="00266E67" w:rsidP="00E15661">
      <w:pPr>
        <w:ind w:left="851"/>
        <w:rPr>
          <w:sz w:val="24"/>
          <w:szCs w:val="24"/>
          <w:lang w:eastAsia="fr-FR"/>
        </w:rPr>
      </w:pPr>
      <w:r w:rsidRPr="000A170D">
        <w:rPr>
          <w:sz w:val="24"/>
          <w:szCs w:val="24"/>
        </w:rPr>
        <w:t>I betragtning af sygdommens alvor kan vaccinen administreres under graviditet.</w:t>
      </w:r>
    </w:p>
    <w:p w14:paraId="7AC50FC5" w14:textId="77777777" w:rsidR="00266E67" w:rsidRPr="00155A7C" w:rsidRDefault="00266E67" w:rsidP="00E15661">
      <w:pPr>
        <w:ind w:left="851"/>
        <w:rPr>
          <w:sz w:val="24"/>
          <w:szCs w:val="24"/>
          <w:lang w:eastAsia="fr-FR"/>
        </w:rPr>
      </w:pPr>
    </w:p>
    <w:p w14:paraId="74FAE73C" w14:textId="77777777" w:rsidR="00266E67" w:rsidRPr="000A170D" w:rsidRDefault="00266E67" w:rsidP="00E15661">
      <w:pPr>
        <w:ind w:left="851"/>
        <w:rPr>
          <w:sz w:val="24"/>
          <w:szCs w:val="24"/>
          <w:u w:val="single"/>
          <w:lang w:eastAsia="fr-FR"/>
        </w:rPr>
      </w:pPr>
      <w:r w:rsidRPr="000A170D">
        <w:rPr>
          <w:sz w:val="24"/>
          <w:szCs w:val="24"/>
          <w:u w:val="single"/>
        </w:rPr>
        <w:t>Amning</w:t>
      </w:r>
    </w:p>
    <w:p w14:paraId="5885CD93" w14:textId="77777777" w:rsidR="00266E67" w:rsidRPr="000A170D" w:rsidRDefault="00266E67" w:rsidP="00E15661">
      <w:pPr>
        <w:ind w:left="851"/>
        <w:rPr>
          <w:sz w:val="24"/>
          <w:szCs w:val="24"/>
          <w:lang w:eastAsia="fr-FR"/>
        </w:rPr>
      </w:pPr>
      <w:r w:rsidRPr="00155A7C">
        <w:rPr>
          <w:sz w:val="24"/>
          <w:szCs w:val="24"/>
        </w:rPr>
        <w:t xml:space="preserve">Det er ukendt, om </w:t>
      </w:r>
      <w:proofErr w:type="spellStart"/>
      <w:r w:rsidRPr="00155A7C">
        <w:rPr>
          <w:sz w:val="24"/>
          <w:szCs w:val="24"/>
        </w:rPr>
        <w:t>Verorab</w:t>
      </w:r>
      <w:proofErr w:type="spellEnd"/>
      <w:r w:rsidRPr="00155A7C">
        <w:rPr>
          <w:sz w:val="24"/>
          <w:szCs w:val="24"/>
        </w:rPr>
        <w:t xml:space="preserve"> udskilles i modermælk. Der er ikke blevet identificeret risici og der forventes ingen risiko for spædbørn, der får modermælk.</w:t>
      </w:r>
    </w:p>
    <w:p w14:paraId="202C6615" w14:textId="77777777" w:rsidR="00266E67" w:rsidRPr="000A170D" w:rsidRDefault="00266E67" w:rsidP="00E15661">
      <w:pPr>
        <w:ind w:left="851"/>
        <w:rPr>
          <w:sz w:val="24"/>
          <w:szCs w:val="24"/>
          <w:lang w:eastAsia="fr-FR"/>
        </w:rPr>
      </w:pPr>
    </w:p>
    <w:p w14:paraId="6254F9C3" w14:textId="77777777" w:rsidR="00266E67" w:rsidRPr="00155A7C" w:rsidRDefault="00266E67" w:rsidP="00E15661">
      <w:pPr>
        <w:ind w:left="851"/>
        <w:rPr>
          <w:sz w:val="24"/>
          <w:szCs w:val="24"/>
          <w:lang w:eastAsia="fr-FR"/>
        </w:rPr>
      </w:pPr>
      <w:proofErr w:type="spellStart"/>
      <w:r w:rsidRPr="00155A7C">
        <w:rPr>
          <w:sz w:val="24"/>
          <w:szCs w:val="24"/>
        </w:rPr>
        <w:t>Verorab</w:t>
      </w:r>
      <w:proofErr w:type="spellEnd"/>
      <w:r w:rsidRPr="00155A7C">
        <w:rPr>
          <w:sz w:val="24"/>
          <w:szCs w:val="24"/>
        </w:rPr>
        <w:t xml:space="preserve"> kan administreres til ammende kvinder efter en vurdering af risici og fordele.</w:t>
      </w:r>
    </w:p>
    <w:p w14:paraId="70FE8847" w14:textId="77777777" w:rsidR="00266E67" w:rsidRPr="000A170D" w:rsidRDefault="00266E67" w:rsidP="00E15661">
      <w:pPr>
        <w:ind w:left="851"/>
        <w:rPr>
          <w:sz w:val="24"/>
          <w:szCs w:val="24"/>
          <w:lang w:eastAsia="fr-FR"/>
        </w:rPr>
      </w:pPr>
    </w:p>
    <w:p w14:paraId="6FBEEED8" w14:textId="77777777" w:rsidR="00266E67" w:rsidRPr="000A170D" w:rsidRDefault="00266E67" w:rsidP="00E15661">
      <w:pPr>
        <w:ind w:left="851"/>
        <w:rPr>
          <w:sz w:val="24"/>
          <w:szCs w:val="24"/>
          <w:u w:val="single"/>
          <w:lang w:eastAsia="fr-FR"/>
        </w:rPr>
      </w:pPr>
      <w:r w:rsidRPr="000A170D">
        <w:rPr>
          <w:sz w:val="24"/>
          <w:szCs w:val="24"/>
          <w:u w:val="single"/>
          <w:lang w:eastAsia="fr-FR"/>
        </w:rPr>
        <w:t>Fertilitet</w:t>
      </w:r>
    </w:p>
    <w:p w14:paraId="4D8D0147" w14:textId="5E568650" w:rsidR="009260DE" w:rsidRPr="00155A7C" w:rsidRDefault="00266E67" w:rsidP="00E15661">
      <w:pPr>
        <w:ind w:left="851"/>
        <w:rPr>
          <w:sz w:val="24"/>
          <w:szCs w:val="24"/>
        </w:rPr>
      </w:pPr>
      <w:proofErr w:type="spellStart"/>
      <w:r w:rsidRPr="00155A7C">
        <w:rPr>
          <w:sz w:val="24"/>
          <w:szCs w:val="24"/>
          <w:lang w:eastAsia="fr-FR"/>
        </w:rPr>
        <w:t>Verorab</w:t>
      </w:r>
      <w:proofErr w:type="spellEnd"/>
      <w:r w:rsidRPr="00155A7C">
        <w:rPr>
          <w:sz w:val="24"/>
          <w:szCs w:val="24"/>
          <w:lang w:eastAsia="fr-FR"/>
        </w:rPr>
        <w:t xml:space="preserve"> er ikke blevet undersøgt i fertilitetsstudier.</w:t>
      </w:r>
    </w:p>
    <w:p w14:paraId="3576DEE7" w14:textId="77777777" w:rsidR="009260DE" w:rsidRPr="00155A7C" w:rsidRDefault="009260DE" w:rsidP="00E15661">
      <w:pPr>
        <w:ind w:left="851"/>
        <w:rPr>
          <w:sz w:val="24"/>
          <w:szCs w:val="24"/>
        </w:rPr>
      </w:pPr>
    </w:p>
    <w:p w14:paraId="2C522327" w14:textId="77777777" w:rsidR="009260DE" w:rsidRPr="00155A7C" w:rsidRDefault="009260DE" w:rsidP="009260DE">
      <w:pPr>
        <w:tabs>
          <w:tab w:val="left" w:pos="851"/>
        </w:tabs>
        <w:ind w:left="851" w:hanging="851"/>
        <w:rPr>
          <w:b/>
          <w:sz w:val="24"/>
          <w:szCs w:val="24"/>
        </w:rPr>
      </w:pPr>
      <w:r w:rsidRPr="00155A7C">
        <w:rPr>
          <w:b/>
          <w:sz w:val="24"/>
          <w:szCs w:val="24"/>
        </w:rPr>
        <w:t>4.7</w:t>
      </w:r>
      <w:r w:rsidRPr="00155A7C">
        <w:rPr>
          <w:b/>
          <w:sz w:val="24"/>
          <w:szCs w:val="24"/>
        </w:rPr>
        <w:tab/>
        <w:t xml:space="preserve">Virkning på evnen til at føre motorkøretøj </w:t>
      </w:r>
      <w:r w:rsidR="0071241E" w:rsidRPr="00155A7C">
        <w:rPr>
          <w:b/>
          <w:sz w:val="24"/>
          <w:szCs w:val="24"/>
        </w:rPr>
        <w:t>og</w:t>
      </w:r>
      <w:r w:rsidRPr="00155A7C">
        <w:rPr>
          <w:b/>
          <w:sz w:val="24"/>
          <w:szCs w:val="24"/>
        </w:rPr>
        <w:t xml:space="preserve"> betjene maskiner</w:t>
      </w:r>
    </w:p>
    <w:p w14:paraId="0933D5CD" w14:textId="77777777" w:rsidR="000A170D" w:rsidRDefault="000A170D" w:rsidP="00E15661">
      <w:pPr>
        <w:ind w:left="851"/>
        <w:rPr>
          <w:sz w:val="24"/>
          <w:szCs w:val="24"/>
        </w:rPr>
      </w:pPr>
      <w:r>
        <w:rPr>
          <w:sz w:val="24"/>
          <w:szCs w:val="24"/>
        </w:rPr>
        <w:t>Ikke mærkning.</w:t>
      </w:r>
    </w:p>
    <w:p w14:paraId="4C65B576" w14:textId="253BFBB3" w:rsidR="00266E67" w:rsidRPr="00155A7C" w:rsidRDefault="00266E67" w:rsidP="00E15661">
      <w:pPr>
        <w:ind w:left="851"/>
        <w:rPr>
          <w:sz w:val="24"/>
          <w:szCs w:val="24"/>
        </w:rPr>
      </w:pPr>
      <w:r w:rsidRPr="00155A7C">
        <w:rPr>
          <w:sz w:val="24"/>
          <w:szCs w:val="24"/>
        </w:rPr>
        <w:t>Svimmelhed blev hyppigt rapporteret efter vaccination (se pkt. 4.8). Dette kan midlertidigt påvirke evnen til at føre motorkøretøj eller betjene maskiner.</w:t>
      </w:r>
    </w:p>
    <w:p w14:paraId="43D1EC52" w14:textId="77777777" w:rsidR="009260DE" w:rsidRPr="00155A7C" w:rsidRDefault="009260DE" w:rsidP="009260DE">
      <w:pPr>
        <w:tabs>
          <w:tab w:val="left" w:pos="851"/>
        </w:tabs>
        <w:ind w:left="851"/>
        <w:rPr>
          <w:sz w:val="24"/>
          <w:szCs w:val="24"/>
        </w:rPr>
      </w:pPr>
    </w:p>
    <w:p w14:paraId="6763EEFC" w14:textId="77777777" w:rsidR="009260DE" w:rsidRPr="00155A7C" w:rsidRDefault="009260DE" w:rsidP="009260DE">
      <w:pPr>
        <w:tabs>
          <w:tab w:val="left" w:pos="851"/>
        </w:tabs>
        <w:ind w:left="851" w:hanging="851"/>
        <w:rPr>
          <w:b/>
          <w:sz w:val="24"/>
          <w:szCs w:val="24"/>
        </w:rPr>
      </w:pPr>
      <w:r w:rsidRPr="00155A7C">
        <w:rPr>
          <w:b/>
          <w:sz w:val="24"/>
          <w:szCs w:val="24"/>
        </w:rPr>
        <w:t>4.8</w:t>
      </w:r>
      <w:r w:rsidRPr="00155A7C">
        <w:rPr>
          <w:b/>
          <w:sz w:val="24"/>
          <w:szCs w:val="24"/>
        </w:rPr>
        <w:tab/>
        <w:t>Bivirkninger</w:t>
      </w:r>
    </w:p>
    <w:p w14:paraId="55399309" w14:textId="77777777" w:rsidR="000A170D" w:rsidRDefault="000A170D" w:rsidP="00E15661">
      <w:pPr>
        <w:ind w:left="851"/>
        <w:rPr>
          <w:sz w:val="24"/>
          <w:szCs w:val="24"/>
        </w:rPr>
      </w:pPr>
    </w:p>
    <w:p w14:paraId="22FBB5D5" w14:textId="249DCFCC" w:rsidR="00266E67" w:rsidRPr="000A170D" w:rsidRDefault="00266E67" w:rsidP="00E15661">
      <w:pPr>
        <w:ind w:left="851"/>
        <w:rPr>
          <w:sz w:val="24"/>
          <w:szCs w:val="24"/>
          <w:u w:val="single"/>
        </w:rPr>
      </w:pPr>
      <w:r w:rsidRPr="000A170D">
        <w:rPr>
          <w:sz w:val="24"/>
          <w:szCs w:val="24"/>
          <w:u w:val="single"/>
        </w:rPr>
        <w:t>Sammendrag af sikkerhedsprofilen</w:t>
      </w:r>
    </w:p>
    <w:p w14:paraId="2D7B7E80" w14:textId="77777777" w:rsidR="00266E67" w:rsidRPr="00155A7C" w:rsidRDefault="00266E67" w:rsidP="00E15661">
      <w:pPr>
        <w:ind w:left="851"/>
        <w:rPr>
          <w:sz w:val="24"/>
          <w:szCs w:val="24"/>
          <w:lang w:eastAsia="fr-FR"/>
        </w:rPr>
      </w:pPr>
      <w:r w:rsidRPr="00155A7C">
        <w:rPr>
          <w:sz w:val="24"/>
          <w:szCs w:val="24"/>
        </w:rPr>
        <w:t xml:space="preserve">Over 13.000 forsøgspersoner, herunder ca. 1.000 børn og unge under 18 år, fik mindst én dosis af </w:t>
      </w:r>
      <w:proofErr w:type="spellStart"/>
      <w:r w:rsidRPr="00155A7C">
        <w:rPr>
          <w:sz w:val="24"/>
          <w:szCs w:val="24"/>
        </w:rPr>
        <w:t>Verorab</w:t>
      </w:r>
      <w:proofErr w:type="spellEnd"/>
      <w:r w:rsidRPr="00155A7C">
        <w:rPr>
          <w:sz w:val="24"/>
          <w:szCs w:val="24"/>
        </w:rPr>
        <w:t xml:space="preserve"> i kliniske studier.</w:t>
      </w:r>
    </w:p>
    <w:p w14:paraId="22FCFC0E" w14:textId="77777777" w:rsidR="000A170D" w:rsidRDefault="000A170D" w:rsidP="00E15661">
      <w:pPr>
        <w:ind w:left="851"/>
        <w:rPr>
          <w:sz w:val="24"/>
          <w:szCs w:val="24"/>
        </w:rPr>
      </w:pPr>
    </w:p>
    <w:p w14:paraId="75B0D155" w14:textId="1CCA9684" w:rsidR="00266E67" w:rsidRPr="00155A7C" w:rsidRDefault="00266E67" w:rsidP="00E15661">
      <w:pPr>
        <w:ind w:left="851"/>
        <w:rPr>
          <w:sz w:val="24"/>
          <w:szCs w:val="24"/>
        </w:rPr>
      </w:pPr>
      <w:r w:rsidRPr="00155A7C">
        <w:rPr>
          <w:sz w:val="24"/>
          <w:szCs w:val="24"/>
        </w:rPr>
        <w:t>Bivirkningerne var generelt moderate i intensitet og forekom inden for 3 dage efter vaccination. De fleste reaktioner forsvandt spontant inden for 1 til 3 dage efter de opstod.</w:t>
      </w:r>
    </w:p>
    <w:p w14:paraId="657ACD90" w14:textId="77777777" w:rsidR="000A170D" w:rsidRDefault="00266E67" w:rsidP="00E15661">
      <w:pPr>
        <w:ind w:left="851"/>
        <w:rPr>
          <w:sz w:val="24"/>
          <w:szCs w:val="24"/>
        </w:rPr>
      </w:pPr>
      <w:r w:rsidRPr="00155A7C">
        <w:rPr>
          <w:sz w:val="24"/>
          <w:szCs w:val="24"/>
        </w:rPr>
        <w:lastRenderedPageBreak/>
        <w:t xml:space="preserve">De mest almindelige bivirkninger i alle aldersgrupper (undtagen hos spædbørn/småbørn under 24 måneder) var hovedpine, utilpashed, myalgi og smerter på injektionsstedet. Reaktioner på injektionsstedet (smerte, </w:t>
      </w:r>
      <w:proofErr w:type="spellStart"/>
      <w:r w:rsidRPr="00155A7C">
        <w:rPr>
          <w:sz w:val="24"/>
          <w:szCs w:val="24"/>
        </w:rPr>
        <w:t>erytem</w:t>
      </w:r>
      <w:proofErr w:type="spellEnd"/>
      <w:r w:rsidRPr="00155A7C">
        <w:rPr>
          <w:sz w:val="24"/>
          <w:szCs w:val="24"/>
        </w:rPr>
        <w:t xml:space="preserve"> og hævelse) var mere almindelige efter en </w:t>
      </w:r>
      <w:proofErr w:type="spellStart"/>
      <w:r w:rsidRPr="00155A7C">
        <w:rPr>
          <w:sz w:val="24"/>
          <w:szCs w:val="24"/>
        </w:rPr>
        <w:t>i.d</w:t>
      </w:r>
      <w:proofErr w:type="spellEnd"/>
      <w:r w:rsidRPr="00155A7C">
        <w:rPr>
          <w:sz w:val="24"/>
          <w:szCs w:val="24"/>
        </w:rPr>
        <w:t xml:space="preserve">.-injektion end en </w:t>
      </w:r>
      <w:proofErr w:type="spellStart"/>
      <w:r w:rsidRPr="00155A7C">
        <w:rPr>
          <w:sz w:val="24"/>
          <w:szCs w:val="24"/>
        </w:rPr>
        <w:t>i.m</w:t>
      </w:r>
      <w:proofErr w:type="spellEnd"/>
      <w:r w:rsidRPr="00155A7C">
        <w:rPr>
          <w:sz w:val="24"/>
          <w:szCs w:val="24"/>
        </w:rPr>
        <w:t>.-injektion. Smerter var den mest almindelige reaktion på injektionsstedet for begge administrationsveje.</w:t>
      </w:r>
    </w:p>
    <w:p w14:paraId="61CE39BC" w14:textId="77777777" w:rsidR="000A170D" w:rsidRDefault="000A170D" w:rsidP="00E15661">
      <w:pPr>
        <w:ind w:left="851"/>
        <w:rPr>
          <w:sz w:val="24"/>
          <w:szCs w:val="24"/>
        </w:rPr>
      </w:pPr>
    </w:p>
    <w:p w14:paraId="1B5BAC1B" w14:textId="332D0965" w:rsidR="00266E67" w:rsidRPr="000A170D" w:rsidRDefault="00266E67" w:rsidP="00E15661">
      <w:pPr>
        <w:ind w:left="851"/>
        <w:rPr>
          <w:sz w:val="24"/>
          <w:szCs w:val="24"/>
          <w:u w:val="single"/>
        </w:rPr>
      </w:pPr>
      <w:r w:rsidRPr="000A170D">
        <w:rPr>
          <w:sz w:val="24"/>
          <w:szCs w:val="24"/>
          <w:u w:val="single"/>
        </w:rPr>
        <w:t>Tabel over bivirkninger</w:t>
      </w:r>
    </w:p>
    <w:p w14:paraId="26E655F6" w14:textId="77777777" w:rsidR="00266E67" w:rsidRPr="00155A7C" w:rsidRDefault="00266E67" w:rsidP="00E15661">
      <w:pPr>
        <w:ind w:left="851"/>
        <w:rPr>
          <w:sz w:val="24"/>
          <w:szCs w:val="24"/>
        </w:rPr>
      </w:pPr>
      <w:r w:rsidRPr="00155A7C">
        <w:rPr>
          <w:sz w:val="24"/>
          <w:szCs w:val="24"/>
        </w:rPr>
        <w:t>Bivirkningerne anført nedenfor blev rapporteret under kliniske studier og overvågning på verdensplan efter markedsføring. Inden for hver systemorganklasse er bivirkningerne rangeret under overskrifter efter hyppighed ved hjælp af følgende konvention:</w:t>
      </w:r>
    </w:p>
    <w:p w14:paraId="6D7C8326" w14:textId="77777777" w:rsidR="00266E67" w:rsidRPr="000A170D" w:rsidRDefault="00266E67" w:rsidP="000A170D">
      <w:pPr>
        <w:pStyle w:val="Listeafsnit"/>
        <w:numPr>
          <w:ilvl w:val="0"/>
          <w:numId w:val="13"/>
        </w:numPr>
        <w:tabs>
          <w:tab w:val="clear" w:pos="567"/>
        </w:tabs>
        <w:ind w:left="1276" w:hanging="425"/>
        <w:rPr>
          <w:sz w:val="24"/>
          <w:szCs w:val="24"/>
        </w:rPr>
      </w:pPr>
      <w:proofErr w:type="spellStart"/>
      <w:r w:rsidRPr="000A170D">
        <w:rPr>
          <w:sz w:val="24"/>
          <w:szCs w:val="24"/>
        </w:rPr>
        <w:t>meget</w:t>
      </w:r>
      <w:proofErr w:type="spellEnd"/>
      <w:r w:rsidRPr="000A170D">
        <w:rPr>
          <w:sz w:val="24"/>
          <w:szCs w:val="24"/>
        </w:rPr>
        <w:t xml:space="preserve"> </w:t>
      </w:r>
      <w:proofErr w:type="spellStart"/>
      <w:r w:rsidRPr="000A170D">
        <w:rPr>
          <w:sz w:val="24"/>
          <w:szCs w:val="24"/>
        </w:rPr>
        <w:t>almindelig</w:t>
      </w:r>
      <w:proofErr w:type="spellEnd"/>
      <w:r w:rsidRPr="000A170D">
        <w:rPr>
          <w:sz w:val="24"/>
          <w:szCs w:val="24"/>
        </w:rPr>
        <w:t xml:space="preserve"> (</w:t>
      </w:r>
      <w:r w:rsidRPr="000A170D">
        <w:rPr>
          <w:sz w:val="24"/>
          <w:szCs w:val="24"/>
        </w:rPr>
        <w:sym w:font="Symbol" w:char="F0B3"/>
      </w:r>
      <w:r w:rsidRPr="000A170D">
        <w:rPr>
          <w:sz w:val="24"/>
          <w:szCs w:val="24"/>
        </w:rPr>
        <w:t> 1/10);</w:t>
      </w:r>
    </w:p>
    <w:p w14:paraId="5CC03F44" w14:textId="77777777" w:rsidR="00266E67" w:rsidRPr="000A170D" w:rsidRDefault="00266E67" w:rsidP="000A170D">
      <w:pPr>
        <w:pStyle w:val="Listeafsnit"/>
        <w:numPr>
          <w:ilvl w:val="0"/>
          <w:numId w:val="13"/>
        </w:numPr>
        <w:tabs>
          <w:tab w:val="clear" w:pos="567"/>
        </w:tabs>
        <w:ind w:left="1276" w:hanging="425"/>
        <w:rPr>
          <w:sz w:val="24"/>
          <w:szCs w:val="24"/>
        </w:rPr>
      </w:pPr>
      <w:r w:rsidRPr="000A170D">
        <w:rPr>
          <w:sz w:val="24"/>
          <w:szCs w:val="24"/>
        </w:rPr>
        <w:t>almindelig (</w:t>
      </w:r>
      <w:r w:rsidRPr="000A170D">
        <w:rPr>
          <w:sz w:val="24"/>
          <w:szCs w:val="24"/>
        </w:rPr>
        <w:sym w:font="Symbol" w:char="F0B3"/>
      </w:r>
      <w:r w:rsidRPr="000A170D">
        <w:rPr>
          <w:sz w:val="24"/>
          <w:szCs w:val="24"/>
        </w:rPr>
        <w:t> 1/100 til &lt; 1/10);</w:t>
      </w:r>
    </w:p>
    <w:p w14:paraId="5647F449" w14:textId="77777777" w:rsidR="00266E67" w:rsidRPr="000A170D" w:rsidRDefault="00266E67" w:rsidP="000A170D">
      <w:pPr>
        <w:pStyle w:val="Listeafsnit"/>
        <w:numPr>
          <w:ilvl w:val="0"/>
          <w:numId w:val="13"/>
        </w:numPr>
        <w:tabs>
          <w:tab w:val="clear" w:pos="567"/>
        </w:tabs>
        <w:ind w:left="1276" w:hanging="425"/>
        <w:rPr>
          <w:sz w:val="24"/>
          <w:szCs w:val="24"/>
        </w:rPr>
      </w:pPr>
      <w:r w:rsidRPr="000A170D">
        <w:rPr>
          <w:sz w:val="24"/>
          <w:szCs w:val="24"/>
        </w:rPr>
        <w:t>ikke almindelig (</w:t>
      </w:r>
      <w:r w:rsidRPr="000A170D">
        <w:rPr>
          <w:sz w:val="24"/>
          <w:szCs w:val="24"/>
        </w:rPr>
        <w:sym w:font="Symbol" w:char="F0B3"/>
      </w:r>
      <w:r w:rsidRPr="000A170D">
        <w:rPr>
          <w:sz w:val="24"/>
          <w:szCs w:val="24"/>
        </w:rPr>
        <w:t xml:space="preserve"> 1/1.000 til </w:t>
      </w:r>
      <w:r w:rsidRPr="000A170D">
        <w:rPr>
          <w:sz w:val="24"/>
          <w:szCs w:val="24"/>
        </w:rPr>
        <w:sym w:font="Symbol" w:char="F03C"/>
      </w:r>
      <w:r w:rsidRPr="000A170D">
        <w:rPr>
          <w:sz w:val="24"/>
          <w:szCs w:val="24"/>
        </w:rPr>
        <w:t> 1/100);</w:t>
      </w:r>
    </w:p>
    <w:p w14:paraId="21737388" w14:textId="77777777" w:rsidR="00266E67" w:rsidRPr="000A170D" w:rsidRDefault="00266E67" w:rsidP="000A170D">
      <w:pPr>
        <w:pStyle w:val="Listeafsnit"/>
        <w:numPr>
          <w:ilvl w:val="0"/>
          <w:numId w:val="13"/>
        </w:numPr>
        <w:tabs>
          <w:tab w:val="clear" w:pos="567"/>
        </w:tabs>
        <w:ind w:left="1276" w:hanging="425"/>
        <w:rPr>
          <w:sz w:val="24"/>
          <w:szCs w:val="24"/>
        </w:rPr>
      </w:pPr>
      <w:r w:rsidRPr="000A170D">
        <w:rPr>
          <w:sz w:val="24"/>
          <w:szCs w:val="24"/>
        </w:rPr>
        <w:t>sjælden (</w:t>
      </w:r>
      <w:r w:rsidRPr="000A170D">
        <w:rPr>
          <w:sz w:val="24"/>
          <w:szCs w:val="24"/>
        </w:rPr>
        <w:sym w:font="Symbol" w:char="F0B3"/>
      </w:r>
      <w:r w:rsidRPr="000A170D">
        <w:rPr>
          <w:sz w:val="24"/>
          <w:szCs w:val="24"/>
        </w:rPr>
        <w:t xml:space="preserve">1 /10.000 til </w:t>
      </w:r>
      <w:r w:rsidRPr="000A170D">
        <w:rPr>
          <w:sz w:val="24"/>
          <w:szCs w:val="24"/>
        </w:rPr>
        <w:sym w:font="Symbol" w:char="F03C"/>
      </w:r>
      <w:r w:rsidRPr="000A170D">
        <w:rPr>
          <w:sz w:val="24"/>
          <w:szCs w:val="24"/>
        </w:rPr>
        <w:t> 1/1.000);</w:t>
      </w:r>
    </w:p>
    <w:p w14:paraId="6523E82B" w14:textId="77777777" w:rsidR="00266E67" w:rsidRPr="000A170D" w:rsidRDefault="00266E67" w:rsidP="000A170D">
      <w:pPr>
        <w:pStyle w:val="Listeafsnit"/>
        <w:numPr>
          <w:ilvl w:val="0"/>
          <w:numId w:val="13"/>
        </w:numPr>
        <w:tabs>
          <w:tab w:val="clear" w:pos="567"/>
        </w:tabs>
        <w:ind w:left="1276" w:hanging="425"/>
        <w:rPr>
          <w:sz w:val="24"/>
          <w:szCs w:val="24"/>
        </w:rPr>
      </w:pPr>
      <w:r w:rsidRPr="000A170D">
        <w:rPr>
          <w:sz w:val="24"/>
          <w:szCs w:val="24"/>
        </w:rPr>
        <w:t>meget sjælden (</w:t>
      </w:r>
      <w:r w:rsidRPr="000A170D">
        <w:rPr>
          <w:sz w:val="24"/>
          <w:szCs w:val="24"/>
        </w:rPr>
        <w:sym w:font="Symbol" w:char="F03C"/>
      </w:r>
      <w:r w:rsidRPr="000A170D">
        <w:rPr>
          <w:sz w:val="24"/>
          <w:szCs w:val="24"/>
        </w:rPr>
        <w:t> 1/10.000);</w:t>
      </w:r>
    </w:p>
    <w:p w14:paraId="2D8EA991" w14:textId="77777777" w:rsidR="00266E67" w:rsidRPr="000D1FDA" w:rsidRDefault="00266E67" w:rsidP="000A170D">
      <w:pPr>
        <w:pStyle w:val="Listeafsnit"/>
        <w:numPr>
          <w:ilvl w:val="0"/>
          <w:numId w:val="13"/>
        </w:numPr>
        <w:tabs>
          <w:tab w:val="clear" w:pos="567"/>
        </w:tabs>
        <w:ind w:left="1276" w:hanging="425"/>
        <w:rPr>
          <w:sz w:val="24"/>
          <w:szCs w:val="24"/>
          <w:lang w:val="da-DK"/>
        </w:rPr>
      </w:pPr>
      <w:r w:rsidRPr="000D1FDA">
        <w:rPr>
          <w:sz w:val="24"/>
          <w:szCs w:val="24"/>
          <w:lang w:val="da-DK"/>
        </w:rPr>
        <w:t>ikke kendt (kan ikke estimeres ud fra forhåndenværende data).</w:t>
      </w:r>
    </w:p>
    <w:p w14:paraId="550BE163" w14:textId="77777777" w:rsidR="00266E67" w:rsidRPr="00155A7C" w:rsidRDefault="00266E67" w:rsidP="00E1566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035"/>
        <w:gridCol w:w="2028"/>
        <w:gridCol w:w="8"/>
      </w:tblGrid>
      <w:tr w:rsidR="00266E67" w:rsidRPr="000A170D" w14:paraId="6FCC7C13" w14:textId="77777777" w:rsidTr="00E15661">
        <w:trPr>
          <w:gridAfter w:val="1"/>
          <w:wAfter w:w="4" w:type="pct"/>
          <w:tblHeader/>
        </w:trPr>
        <w:tc>
          <w:tcPr>
            <w:tcW w:w="2886" w:type="pct"/>
            <w:vMerge w:val="restart"/>
            <w:tcBorders>
              <w:top w:val="single" w:sz="4" w:space="0" w:color="auto"/>
              <w:left w:val="single" w:sz="4" w:space="0" w:color="auto"/>
              <w:bottom w:val="single" w:sz="4" w:space="0" w:color="auto"/>
              <w:right w:val="single" w:sz="4" w:space="0" w:color="auto"/>
            </w:tcBorders>
            <w:vAlign w:val="center"/>
            <w:hideMark/>
          </w:tcPr>
          <w:p w14:paraId="43D27845" w14:textId="77777777" w:rsidR="00266E67" w:rsidRPr="000A170D" w:rsidRDefault="00266E67">
            <w:pPr>
              <w:tabs>
                <w:tab w:val="left" w:pos="1304"/>
              </w:tabs>
              <w:jc w:val="center"/>
              <w:rPr>
                <w:b/>
                <w:bCs/>
                <w:i/>
                <w:sz w:val="22"/>
                <w:szCs w:val="22"/>
              </w:rPr>
            </w:pPr>
            <w:r w:rsidRPr="000A170D">
              <w:rPr>
                <w:b/>
                <w:bCs/>
                <w:sz w:val="22"/>
                <w:szCs w:val="22"/>
                <w:lang w:eastAsia="fr-FR"/>
              </w:rPr>
              <w:t>Bivirkninger</w:t>
            </w:r>
          </w:p>
        </w:tc>
        <w:tc>
          <w:tcPr>
            <w:tcW w:w="1057" w:type="pct"/>
            <w:tcBorders>
              <w:top w:val="single" w:sz="4" w:space="0" w:color="auto"/>
              <w:left w:val="single" w:sz="4" w:space="0" w:color="auto"/>
              <w:bottom w:val="single" w:sz="4" w:space="0" w:color="auto"/>
              <w:right w:val="single" w:sz="4" w:space="0" w:color="auto"/>
            </w:tcBorders>
            <w:vAlign w:val="center"/>
            <w:hideMark/>
          </w:tcPr>
          <w:p w14:paraId="7C5CB8B8" w14:textId="77777777" w:rsidR="00266E67" w:rsidRPr="000A170D" w:rsidRDefault="00266E67">
            <w:pPr>
              <w:tabs>
                <w:tab w:val="left" w:pos="726"/>
                <w:tab w:val="center" w:pos="1380"/>
              </w:tabs>
              <w:jc w:val="center"/>
              <w:rPr>
                <w:sz w:val="22"/>
                <w:szCs w:val="22"/>
              </w:rPr>
            </w:pPr>
            <w:r w:rsidRPr="000A170D">
              <w:rPr>
                <w:b/>
                <w:bCs/>
                <w:sz w:val="22"/>
                <w:szCs w:val="22"/>
                <w:lang w:eastAsia="fr-FR"/>
              </w:rPr>
              <w:t>Voksne</w:t>
            </w:r>
            <w:r w:rsidRPr="000A170D">
              <w:rPr>
                <w:b/>
                <w:bCs/>
                <w:sz w:val="22"/>
                <w:szCs w:val="22"/>
                <w:lang w:eastAsia="fr-FR"/>
              </w:rPr>
              <w:br/>
            </w:r>
            <w:r w:rsidRPr="000A170D">
              <w:rPr>
                <w:sz w:val="22"/>
                <w:szCs w:val="22"/>
                <w:lang w:eastAsia="fr-FR"/>
              </w:rPr>
              <w:t>≥ 18 år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0C2759E4" w14:textId="77777777" w:rsidR="00266E67" w:rsidRPr="000A170D" w:rsidRDefault="00266E67">
            <w:pPr>
              <w:tabs>
                <w:tab w:val="left" w:pos="1304"/>
              </w:tabs>
              <w:jc w:val="center"/>
              <w:rPr>
                <w:b/>
                <w:bCs/>
                <w:sz w:val="22"/>
                <w:szCs w:val="22"/>
              </w:rPr>
            </w:pPr>
            <w:r w:rsidRPr="000A170D">
              <w:rPr>
                <w:b/>
                <w:bCs/>
                <w:sz w:val="22"/>
                <w:szCs w:val="22"/>
                <w:lang w:eastAsia="fr-FR"/>
              </w:rPr>
              <w:t xml:space="preserve">Pædiatrisk population </w:t>
            </w:r>
          </w:p>
          <w:p w14:paraId="5CB03ACC" w14:textId="77777777" w:rsidR="00266E67" w:rsidRPr="000A170D" w:rsidRDefault="00266E67">
            <w:pPr>
              <w:tabs>
                <w:tab w:val="left" w:pos="1304"/>
              </w:tabs>
              <w:jc w:val="center"/>
              <w:rPr>
                <w:sz w:val="22"/>
                <w:szCs w:val="22"/>
                <w:lang w:eastAsia="fr-FR"/>
              </w:rPr>
            </w:pPr>
            <w:r w:rsidRPr="000A170D">
              <w:rPr>
                <w:sz w:val="22"/>
                <w:szCs w:val="22"/>
                <w:lang w:eastAsia="fr-FR"/>
              </w:rPr>
              <w:t>under 18 år</w:t>
            </w:r>
          </w:p>
        </w:tc>
      </w:tr>
      <w:tr w:rsidR="00266E67" w:rsidRPr="000A170D" w14:paraId="756548BF" w14:textId="77777777" w:rsidTr="00E15661">
        <w:trPr>
          <w:gridAfter w:val="1"/>
          <w:wAfter w:w="4" w:type="pct"/>
          <w:trHeight w:val="70"/>
          <w:tblHeader/>
        </w:trPr>
        <w:tc>
          <w:tcPr>
            <w:tcW w:w="2886" w:type="pct"/>
            <w:vMerge/>
            <w:tcBorders>
              <w:top w:val="single" w:sz="4" w:space="0" w:color="auto"/>
              <w:left w:val="single" w:sz="4" w:space="0" w:color="auto"/>
              <w:bottom w:val="single" w:sz="4" w:space="0" w:color="auto"/>
              <w:right w:val="single" w:sz="4" w:space="0" w:color="auto"/>
            </w:tcBorders>
            <w:vAlign w:val="center"/>
            <w:hideMark/>
          </w:tcPr>
          <w:p w14:paraId="12C0C82F" w14:textId="77777777" w:rsidR="00266E67" w:rsidRPr="000A170D" w:rsidRDefault="00266E67">
            <w:pPr>
              <w:spacing w:line="256" w:lineRule="auto"/>
              <w:rPr>
                <w:b/>
                <w:bCs/>
                <w:i/>
                <w:sz w:val="22"/>
                <w:szCs w:val="22"/>
              </w:rPr>
            </w:pPr>
          </w:p>
        </w:tc>
        <w:tc>
          <w:tcPr>
            <w:tcW w:w="1057" w:type="pct"/>
            <w:tcBorders>
              <w:top w:val="single" w:sz="4" w:space="0" w:color="auto"/>
              <w:left w:val="single" w:sz="4" w:space="0" w:color="auto"/>
              <w:bottom w:val="single" w:sz="4" w:space="0" w:color="auto"/>
              <w:right w:val="single" w:sz="4" w:space="0" w:color="auto"/>
            </w:tcBorders>
            <w:hideMark/>
          </w:tcPr>
          <w:p w14:paraId="08CC807B" w14:textId="77777777" w:rsidR="00266E67" w:rsidRPr="000A170D" w:rsidRDefault="00266E67">
            <w:pPr>
              <w:tabs>
                <w:tab w:val="left" w:pos="1304"/>
              </w:tabs>
              <w:jc w:val="center"/>
              <w:rPr>
                <w:b/>
                <w:bCs/>
                <w:sz w:val="22"/>
                <w:szCs w:val="22"/>
              </w:rPr>
            </w:pPr>
            <w:r w:rsidRPr="000A170D">
              <w:rPr>
                <w:b/>
                <w:bCs/>
                <w:sz w:val="22"/>
                <w:szCs w:val="22"/>
                <w:lang w:eastAsia="fr-FR"/>
              </w:rPr>
              <w:t>Hyppighed</w:t>
            </w:r>
          </w:p>
        </w:tc>
        <w:tc>
          <w:tcPr>
            <w:tcW w:w="1053" w:type="pct"/>
            <w:tcBorders>
              <w:top w:val="single" w:sz="4" w:space="0" w:color="auto"/>
              <w:left w:val="single" w:sz="4" w:space="0" w:color="auto"/>
              <w:bottom w:val="single" w:sz="4" w:space="0" w:color="auto"/>
              <w:right w:val="single" w:sz="4" w:space="0" w:color="auto"/>
            </w:tcBorders>
            <w:hideMark/>
          </w:tcPr>
          <w:p w14:paraId="28699426" w14:textId="77777777" w:rsidR="00266E67" w:rsidRPr="000A170D" w:rsidRDefault="00266E67">
            <w:pPr>
              <w:tabs>
                <w:tab w:val="left" w:pos="1304"/>
              </w:tabs>
              <w:jc w:val="center"/>
              <w:rPr>
                <w:b/>
                <w:bCs/>
                <w:sz w:val="22"/>
                <w:szCs w:val="22"/>
              </w:rPr>
            </w:pPr>
            <w:r w:rsidRPr="000A170D">
              <w:rPr>
                <w:b/>
                <w:bCs/>
                <w:sz w:val="22"/>
                <w:szCs w:val="22"/>
                <w:lang w:eastAsia="fr-FR"/>
              </w:rPr>
              <w:t>Hyppighed</w:t>
            </w:r>
          </w:p>
        </w:tc>
      </w:tr>
      <w:tr w:rsidR="00266E67" w:rsidRPr="000A170D" w14:paraId="51F9D8A2"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49A4CA83" w14:textId="77777777" w:rsidR="00266E67" w:rsidRPr="000A170D" w:rsidRDefault="00266E67">
            <w:pPr>
              <w:tabs>
                <w:tab w:val="left" w:pos="1304"/>
              </w:tabs>
              <w:jc w:val="both"/>
              <w:rPr>
                <w:b/>
                <w:iCs/>
                <w:sz w:val="22"/>
                <w:szCs w:val="22"/>
              </w:rPr>
            </w:pPr>
            <w:r w:rsidRPr="000A170D">
              <w:rPr>
                <w:b/>
                <w:sz w:val="22"/>
                <w:szCs w:val="22"/>
              </w:rPr>
              <w:t xml:space="preserve">Blod og lymfesystem </w:t>
            </w:r>
          </w:p>
        </w:tc>
      </w:tr>
      <w:tr w:rsidR="00266E67" w:rsidRPr="000A170D" w14:paraId="21F65FD6"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78F89EE8" w14:textId="77777777" w:rsidR="00266E67" w:rsidRPr="000A170D" w:rsidRDefault="00266E67">
            <w:pPr>
              <w:tabs>
                <w:tab w:val="left" w:pos="1304"/>
              </w:tabs>
              <w:rPr>
                <w:bCs/>
                <w:sz w:val="22"/>
                <w:szCs w:val="22"/>
              </w:rPr>
            </w:pPr>
            <w:proofErr w:type="spellStart"/>
            <w:r w:rsidRPr="000A170D">
              <w:rPr>
                <w:bCs/>
                <w:sz w:val="22"/>
                <w:szCs w:val="22"/>
              </w:rPr>
              <w:t>Lymfadenopati</w:t>
            </w:r>
            <w:proofErr w:type="spellEnd"/>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74F5253C" w14:textId="77777777" w:rsidR="00266E67" w:rsidRPr="000A170D" w:rsidRDefault="00266E67">
            <w:pPr>
              <w:tabs>
                <w:tab w:val="left" w:pos="1304"/>
              </w:tabs>
              <w:jc w:val="center"/>
              <w:rPr>
                <w:sz w:val="22"/>
                <w:szCs w:val="22"/>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7BA271D8" w14:textId="77777777" w:rsidR="00266E67" w:rsidRPr="000A170D" w:rsidRDefault="00266E67">
            <w:pPr>
              <w:tabs>
                <w:tab w:val="left" w:pos="1304"/>
              </w:tabs>
              <w:jc w:val="center"/>
              <w:rPr>
                <w:sz w:val="22"/>
                <w:szCs w:val="22"/>
              </w:rPr>
            </w:pPr>
            <w:r w:rsidRPr="000A170D">
              <w:rPr>
                <w:bCs/>
                <w:sz w:val="22"/>
                <w:szCs w:val="22"/>
              </w:rPr>
              <w:t>Almindelig</w:t>
            </w:r>
          </w:p>
        </w:tc>
      </w:tr>
      <w:tr w:rsidR="00266E67" w:rsidRPr="000A170D" w14:paraId="0FAE9812"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03C74BAB" w14:textId="77777777" w:rsidR="00266E67" w:rsidRPr="000A170D" w:rsidRDefault="00266E67">
            <w:pPr>
              <w:tabs>
                <w:tab w:val="left" w:pos="1304"/>
              </w:tabs>
              <w:jc w:val="both"/>
              <w:rPr>
                <w:b/>
                <w:sz w:val="22"/>
                <w:szCs w:val="22"/>
                <w:lang w:eastAsia="fr-FR"/>
              </w:rPr>
            </w:pPr>
            <w:r w:rsidRPr="000A170D">
              <w:rPr>
                <w:b/>
                <w:sz w:val="22"/>
                <w:szCs w:val="22"/>
                <w:lang w:eastAsia="fr-FR"/>
              </w:rPr>
              <w:t>Immunsystemet</w:t>
            </w:r>
          </w:p>
        </w:tc>
      </w:tr>
      <w:tr w:rsidR="00266E67" w:rsidRPr="000A170D" w14:paraId="0652F68C"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380C9FD0" w14:textId="77777777" w:rsidR="00266E67" w:rsidRPr="000A170D" w:rsidRDefault="00266E67">
            <w:pPr>
              <w:tabs>
                <w:tab w:val="left" w:pos="1304"/>
              </w:tabs>
              <w:rPr>
                <w:bCs/>
                <w:sz w:val="22"/>
                <w:szCs w:val="22"/>
              </w:rPr>
            </w:pPr>
            <w:r w:rsidRPr="000A170D">
              <w:rPr>
                <w:bCs/>
                <w:sz w:val="22"/>
                <w:szCs w:val="22"/>
                <w:lang w:eastAsia="fr-FR"/>
              </w:rPr>
              <w:t xml:space="preserve">Allergiske reaktioner (f.eks. udslæt, </w:t>
            </w:r>
            <w:proofErr w:type="spellStart"/>
            <w:r w:rsidRPr="000A170D">
              <w:rPr>
                <w:bCs/>
                <w:sz w:val="22"/>
                <w:szCs w:val="22"/>
                <w:lang w:eastAsia="fr-FR"/>
              </w:rPr>
              <w:t>urticaria</w:t>
            </w:r>
            <w:proofErr w:type="spellEnd"/>
            <w:r w:rsidRPr="000A170D">
              <w:rPr>
                <w:bCs/>
                <w:sz w:val="22"/>
                <w:szCs w:val="22"/>
                <w:lang w:eastAsia="fr-FR"/>
              </w:rPr>
              <w:t xml:space="preserve">, </w:t>
            </w:r>
            <w:proofErr w:type="spellStart"/>
            <w:r w:rsidRPr="000A170D">
              <w:rPr>
                <w:bCs/>
                <w:sz w:val="22"/>
                <w:szCs w:val="22"/>
                <w:lang w:eastAsia="fr-FR"/>
              </w:rPr>
              <w:t>pruritus</w:t>
            </w:r>
            <w:proofErr w:type="spellEnd"/>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575BCE05" w14:textId="77777777" w:rsidR="00266E67" w:rsidRPr="000A170D" w:rsidRDefault="00266E67">
            <w:pPr>
              <w:tabs>
                <w:tab w:val="left" w:pos="1304"/>
              </w:tabs>
              <w:jc w:val="center"/>
              <w:rPr>
                <w:bCs/>
                <w:sz w:val="22"/>
                <w:szCs w:val="22"/>
              </w:rPr>
            </w:pPr>
            <w:r w:rsidRPr="000A170D">
              <w:rPr>
                <w:bCs/>
                <w:sz w:val="22"/>
                <w:szCs w:val="22"/>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77FB7F63" w14:textId="77777777" w:rsidR="00266E67" w:rsidRPr="000A170D" w:rsidRDefault="00266E67">
            <w:pPr>
              <w:tabs>
                <w:tab w:val="left" w:pos="1304"/>
              </w:tabs>
              <w:jc w:val="center"/>
              <w:rPr>
                <w:bCs/>
                <w:sz w:val="22"/>
                <w:szCs w:val="22"/>
              </w:rPr>
            </w:pPr>
            <w:r w:rsidRPr="000A170D">
              <w:rPr>
                <w:bCs/>
                <w:sz w:val="22"/>
                <w:szCs w:val="22"/>
              </w:rPr>
              <w:t>Ikke almindelig</w:t>
            </w:r>
          </w:p>
        </w:tc>
      </w:tr>
      <w:tr w:rsidR="00266E67" w:rsidRPr="000A170D" w14:paraId="073495E4"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37C91CD2" w14:textId="77777777" w:rsidR="00266E67" w:rsidRPr="000A170D" w:rsidRDefault="00266E67">
            <w:pPr>
              <w:tabs>
                <w:tab w:val="left" w:pos="1304"/>
              </w:tabs>
              <w:rPr>
                <w:bCs/>
                <w:sz w:val="22"/>
                <w:szCs w:val="22"/>
              </w:rPr>
            </w:pPr>
            <w:proofErr w:type="spellStart"/>
            <w:r w:rsidRPr="000A170D">
              <w:rPr>
                <w:bCs/>
                <w:sz w:val="22"/>
                <w:szCs w:val="22"/>
                <w:lang w:eastAsia="fr-FR"/>
              </w:rPr>
              <w:t>Anafylaktiske</w:t>
            </w:r>
            <w:proofErr w:type="spellEnd"/>
            <w:r w:rsidRPr="000A170D">
              <w:rPr>
                <w:bCs/>
                <w:sz w:val="22"/>
                <w:szCs w:val="22"/>
                <w:lang w:eastAsia="fr-FR"/>
              </w:rPr>
              <w:t xml:space="preserve"> reaktioner og </w:t>
            </w:r>
            <w:proofErr w:type="spellStart"/>
            <w:r w:rsidRPr="000A170D">
              <w:rPr>
                <w:bCs/>
                <w:sz w:val="22"/>
                <w:szCs w:val="22"/>
                <w:lang w:eastAsia="fr-FR"/>
              </w:rPr>
              <w:t>angioødem</w:t>
            </w:r>
            <w:proofErr w:type="spellEnd"/>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39637477" w14:textId="77777777" w:rsidR="00266E67" w:rsidRPr="000A170D" w:rsidRDefault="00266E67">
            <w:pPr>
              <w:tabs>
                <w:tab w:val="left" w:pos="1304"/>
              </w:tabs>
              <w:jc w:val="center"/>
              <w:rPr>
                <w:bCs/>
                <w:sz w:val="22"/>
                <w:szCs w:val="22"/>
              </w:rPr>
            </w:pPr>
            <w:r w:rsidRPr="000A170D">
              <w:rPr>
                <w:sz w:val="22"/>
                <w:szCs w:val="22"/>
                <w:lang w:eastAsia="fr-FR"/>
              </w:rPr>
              <w:t>Ikke kendt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3777BA58" w14:textId="77777777" w:rsidR="00266E67" w:rsidRPr="000A170D" w:rsidRDefault="00266E67">
            <w:pPr>
              <w:tabs>
                <w:tab w:val="left" w:pos="1304"/>
              </w:tabs>
              <w:jc w:val="center"/>
              <w:rPr>
                <w:bCs/>
                <w:sz w:val="22"/>
                <w:szCs w:val="22"/>
              </w:rPr>
            </w:pPr>
            <w:r w:rsidRPr="000A170D">
              <w:rPr>
                <w:sz w:val="22"/>
                <w:szCs w:val="22"/>
                <w:lang w:eastAsia="fr-FR"/>
              </w:rPr>
              <w:t>Ikke kendt</w:t>
            </w:r>
          </w:p>
        </w:tc>
      </w:tr>
      <w:tr w:rsidR="00266E67" w:rsidRPr="000A170D" w14:paraId="17E1080B"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07671017" w14:textId="77777777" w:rsidR="00266E67" w:rsidRPr="000A170D" w:rsidRDefault="00266E67">
            <w:pPr>
              <w:tabs>
                <w:tab w:val="left" w:pos="1304"/>
              </w:tabs>
              <w:rPr>
                <w:b/>
                <w:bCs/>
                <w:sz w:val="22"/>
                <w:szCs w:val="22"/>
                <w:lang w:eastAsia="fr-FR"/>
              </w:rPr>
            </w:pPr>
            <w:r w:rsidRPr="000A170D">
              <w:rPr>
                <w:b/>
                <w:bCs/>
                <w:sz w:val="22"/>
                <w:szCs w:val="22"/>
                <w:lang w:eastAsia="fr-FR"/>
              </w:rPr>
              <w:t>Metabolisme og ernæring</w:t>
            </w:r>
          </w:p>
        </w:tc>
      </w:tr>
      <w:tr w:rsidR="00266E67" w:rsidRPr="000A170D" w14:paraId="09B22343"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2EFE3EA0" w14:textId="77777777" w:rsidR="00266E67" w:rsidRPr="000A170D" w:rsidRDefault="00266E67">
            <w:pPr>
              <w:tabs>
                <w:tab w:val="left" w:pos="1304"/>
              </w:tabs>
              <w:rPr>
                <w:bCs/>
                <w:sz w:val="22"/>
                <w:szCs w:val="22"/>
                <w:lang w:eastAsia="fr-FR"/>
              </w:rPr>
            </w:pPr>
            <w:r w:rsidRPr="000A170D">
              <w:rPr>
                <w:bCs/>
                <w:sz w:val="22"/>
                <w:szCs w:val="22"/>
                <w:lang w:eastAsia="fr-FR"/>
              </w:rPr>
              <w:t>Nedsat appetit</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6AB5558A" w14:textId="77777777" w:rsidR="00266E67" w:rsidRPr="000A170D" w:rsidRDefault="00266E67">
            <w:pPr>
              <w:tabs>
                <w:tab w:val="left" w:pos="1304"/>
              </w:tabs>
              <w:jc w:val="center"/>
              <w:rPr>
                <w:sz w:val="22"/>
                <w:szCs w:val="22"/>
                <w:lang w:eastAsia="fr-FR"/>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499F9208" w14:textId="77D4EB25" w:rsidR="00266E67" w:rsidRPr="000A170D" w:rsidRDefault="008446A4">
            <w:pPr>
              <w:tabs>
                <w:tab w:val="left" w:pos="1304"/>
              </w:tabs>
              <w:jc w:val="center"/>
              <w:rPr>
                <w:sz w:val="22"/>
                <w:szCs w:val="22"/>
                <w:lang w:eastAsia="fr-FR"/>
              </w:rPr>
            </w:pPr>
            <w:r>
              <w:rPr>
                <w:sz w:val="22"/>
                <w:szCs w:val="22"/>
                <w:lang w:eastAsia="fr-FR"/>
              </w:rPr>
              <w:t>Ikke a</w:t>
            </w:r>
            <w:r w:rsidRPr="000A170D">
              <w:rPr>
                <w:sz w:val="22"/>
                <w:szCs w:val="22"/>
                <w:lang w:eastAsia="fr-FR"/>
              </w:rPr>
              <w:t>lmindelig</w:t>
            </w:r>
          </w:p>
        </w:tc>
      </w:tr>
      <w:tr w:rsidR="00266E67" w:rsidRPr="000A170D" w14:paraId="10E37F95"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11FF7977" w14:textId="77777777" w:rsidR="00266E67" w:rsidRPr="000A170D" w:rsidRDefault="00266E67">
            <w:pPr>
              <w:tabs>
                <w:tab w:val="left" w:pos="1304"/>
              </w:tabs>
              <w:rPr>
                <w:sz w:val="22"/>
                <w:szCs w:val="22"/>
                <w:lang w:eastAsia="fr-FR"/>
              </w:rPr>
            </w:pPr>
            <w:r w:rsidRPr="000A170D">
              <w:rPr>
                <w:b/>
                <w:bCs/>
                <w:sz w:val="22"/>
                <w:szCs w:val="22"/>
                <w:lang w:eastAsia="fr-FR"/>
              </w:rPr>
              <w:t>Nervesystemet</w:t>
            </w:r>
          </w:p>
        </w:tc>
      </w:tr>
      <w:tr w:rsidR="00266E67" w:rsidRPr="000A170D" w14:paraId="2076E1B3"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02A23732" w14:textId="77777777" w:rsidR="00266E67" w:rsidRPr="000A170D" w:rsidRDefault="00266E67">
            <w:pPr>
              <w:tabs>
                <w:tab w:val="left" w:pos="1304"/>
              </w:tabs>
              <w:rPr>
                <w:bCs/>
                <w:sz w:val="22"/>
                <w:szCs w:val="22"/>
                <w:lang w:eastAsia="fr-FR"/>
              </w:rPr>
            </w:pPr>
            <w:r w:rsidRPr="000A170D">
              <w:rPr>
                <w:bCs/>
                <w:sz w:val="22"/>
                <w:szCs w:val="22"/>
                <w:lang w:eastAsia="fr-FR"/>
              </w:rPr>
              <w:t>Hovedpine</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242C3841" w14:textId="77777777" w:rsidR="00266E67" w:rsidRPr="000A170D" w:rsidRDefault="00266E67">
            <w:pPr>
              <w:tabs>
                <w:tab w:val="left" w:pos="1304"/>
              </w:tabs>
              <w:jc w:val="center"/>
              <w:rPr>
                <w:sz w:val="22"/>
                <w:szCs w:val="22"/>
                <w:lang w:eastAsia="fr-FR"/>
              </w:rPr>
            </w:pPr>
            <w:r w:rsidRPr="000A170D">
              <w:rPr>
                <w:sz w:val="22"/>
                <w:szCs w:val="22"/>
                <w:lang w:eastAsia="fr-FR"/>
              </w:rPr>
              <w:t>Meget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4F76ED35" w14:textId="77777777" w:rsidR="00266E67" w:rsidRPr="000A170D" w:rsidRDefault="00266E67">
            <w:pPr>
              <w:tabs>
                <w:tab w:val="left" w:pos="1304"/>
              </w:tabs>
              <w:jc w:val="center"/>
              <w:rPr>
                <w:sz w:val="22"/>
                <w:szCs w:val="22"/>
                <w:lang w:eastAsia="fr-FR"/>
              </w:rPr>
            </w:pPr>
            <w:r w:rsidRPr="000A170D">
              <w:rPr>
                <w:sz w:val="22"/>
                <w:szCs w:val="22"/>
                <w:lang w:eastAsia="fr-FR"/>
              </w:rPr>
              <w:t>Meget almindelig</w:t>
            </w:r>
          </w:p>
        </w:tc>
      </w:tr>
      <w:tr w:rsidR="00266E67" w:rsidRPr="000A170D" w14:paraId="720F427B"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0BBD4288" w14:textId="77777777" w:rsidR="00266E67" w:rsidRPr="000A170D" w:rsidRDefault="00266E67">
            <w:pPr>
              <w:tabs>
                <w:tab w:val="left" w:pos="1304"/>
              </w:tabs>
              <w:rPr>
                <w:bCs/>
                <w:sz w:val="22"/>
                <w:szCs w:val="22"/>
                <w:lang w:eastAsia="fr-FR"/>
              </w:rPr>
            </w:pPr>
            <w:r w:rsidRPr="000A170D">
              <w:rPr>
                <w:bCs/>
                <w:sz w:val="22"/>
                <w:szCs w:val="22"/>
                <w:lang w:eastAsia="fr-FR"/>
              </w:rPr>
              <w:t>Svimmelhed/</w:t>
            </w:r>
            <w:proofErr w:type="spellStart"/>
            <w:r w:rsidRPr="000A170D">
              <w:rPr>
                <w:bCs/>
                <w:sz w:val="22"/>
                <w:szCs w:val="22"/>
                <w:lang w:eastAsia="fr-FR"/>
              </w:rPr>
              <w:t>vertigo</w:t>
            </w:r>
            <w:proofErr w:type="spellEnd"/>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76AE1F37" w14:textId="77777777" w:rsidR="00266E67" w:rsidRPr="000A170D" w:rsidRDefault="00266E67">
            <w:pPr>
              <w:tabs>
                <w:tab w:val="left" w:pos="1304"/>
              </w:tabs>
              <w:jc w:val="center"/>
              <w:rPr>
                <w:sz w:val="22"/>
                <w:szCs w:val="22"/>
                <w:lang w:eastAsia="fr-FR"/>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10F06995" w14:textId="77777777" w:rsidR="00266E67" w:rsidRPr="000A170D" w:rsidRDefault="00266E67">
            <w:pPr>
              <w:tabs>
                <w:tab w:val="left" w:pos="1304"/>
              </w:tabs>
              <w:jc w:val="center"/>
              <w:rPr>
                <w:sz w:val="22"/>
                <w:szCs w:val="22"/>
                <w:lang w:eastAsia="fr-FR"/>
              </w:rPr>
            </w:pPr>
            <w:r w:rsidRPr="000A170D">
              <w:rPr>
                <w:sz w:val="22"/>
                <w:szCs w:val="22"/>
                <w:lang w:eastAsia="fr-FR"/>
              </w:rPr>
              <w:t>-</w:t>
            </w:r>
          </w:p>
        </w:tc>
      </w:tr>
      <w:tr w:rsidR="00266E67" w:rsidRPr="000A170D" w14:paraId="2E8C91C5"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4E766237" w14:textId="77777777" w:rsidR="00266E67" w:rsidRPr="000A170D" w:rsidRDefault="00266E67">
            <w:pPr>
              <w:tabs>
                <w:tab w:val="left" w:pos="1304"/>
              </w:tabs>
              <w:rPr>
                <w:bCs/>
                <w:sz w:val="22"/>
                <w:szCs w:val="22"/>
                <w:lang w:eastAsia="fr-FR"/>
              </w:rPr>
            </w:pPr>
            <w:r w:rsidRPr="000A170D">
              <w:rPr>
                <w:bCs/>
                <w:sz w:val="22"/>
                <w:szCs w:val="22"/>
                <w:lang w:eastAsia="fr-FR"/>
              </w:rPr>
              <w:t>Irritabilitet (hos spædbørn/småbørn)</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2EA2C9CC" w14:textId="77777777" w:rsidR="00266E67" w:rsidRPr="000A170D" w:rsidRDefault="00266E67">
            <w:pPr>
              <w:tabs>
                <w:tab w:val="left" w:pos="1304"/>
              </w:tabs>
              <w:jc w:val="center"/>
              <w:rPr>
                <w:sz w:val="22"/>
                <w:szCs w:val="22"/>
                <w:lang w:eastAsia="fr-FR"/>
              </w:rPr>
            </w:pPr>
            <w:r w:rsidRPr="000A170D">
              <w:rPr>
                <w:sz w:val="22"/>
                <w:szCs w:val="22"/>
                <w:lang w:eastAsia="fr-FR"/>
              </w:rPr>
              <w: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36246D94" w14:textId="77777777" w:rsidR="00266E67" w:rsidRPr="000A170D" w:rsidRDefault="00266E67">
            <w:pPr>
              <w:tabs>
                <w:tab w:val="left" w:pos="1304"/>
              </w:tabs>
              <w:jc w:val="center"/>
              <w:rPr>
                <w:sz w:val="22"/>
                <w:szCs w:val="22"/>
                <w:lang w:eastAsia="fr-FR"/>
              </w:rPr>
            </w:pPr>
            <w:r w:rsidRPr="000A170D">
              <w:rPr>
                <w:sz w:val="22"/>
                <w:szCs w:val="22"/>
                <w:lang w:eastAsia="fr-FR"/>
              </w:rPr>
              <w:t>Meget almindelig</w:t>
            </w:r>
          </w:p>
        </w:tc>
      </w:tr>
      <w:tr w:rsidR="00266E67" w:rsidRPr="000A170D" w14:paraId="7E3B372D"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61C10596" w14:textId="77777777" w:rsidR="00266E67" w:rsidRPr="000A170D" w:rsidRDefault="00266E67">
            <w:pPr>
              <w:tabs>
                <w:tab w:val="left" w:pos="1304"/>
              </w:tabs>
              <w:rPr>
                <w:bCs/>
                <w:sz w:val="22"/>
                <w:szCs w:val="22"/>
                <w:lang w:eastAsia="fr-FR"/>
              </w:rPr>
            </w:pPr>
            <w:proofErr w:type="spellStart"/>
            <w:r w:rsidRPr="000A170D">
              <w:rPr>
                <w:bCs/>
                <w:sz w:val="22"/>
                <w:szCs w:val="22"/>
                <w:lang w:eastAsia="fr-FR"/>
              </w:rPr>
              <w:t>Somnolens</w:t>
            </w:r>
            <w:proofErr w:type="spellEnd"/>
            <w:r w:rsidRPr="000A170D">
              <w:rPr>
                <w:bCs/>
                <w:sz w:val="22"/>
                <w:szCs w:val="22"/>
                <w:lang w:eastAsia="fr-FR"/>
              </w:rPr>
              <w:t xml:space="preserve"> (hos spædbørn/småbørn)</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45002F39" w14:textId="77777777" w:rsidR="00266E67" w:rsidRPr="000A170D" w:rsidRDefault="00266E67">
            <w:pPr>
              <w:tabs>
                <w:tab w:val="left" w:pos="1304"/>
              </w:tabs>
              <w:jc w:val="center"/>
              <w:rPr>
                <w:sz w:val="22"/>
                <w:szCs w:val="22"/>
                <w:lang w:eastAsia="fr-FR"/>
              </w:rPr>
            </w:pPr>
            <w:r w:rsidRPr="000A170D">
              <w:rPr>
                <w:sz w:val="22"/>
                <w:szCs w:val="22"/>
                <w:lang w:eastAsia="fr-FR"/>
              </w:rPr>
              <w: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33206E7B" w14:textId="77777777" w:rsidR="00266E67" w:rsidRPr="000A170D" w:rsidRDefault="00266E67">
            <w:pPr>
              <w:tabs>
                <w:tab w:val="left" w:pos="1304"/>
              </w:tabs>
              <w:jc w:val="center"/>
              <w:rPr>
                <w:sz w:val="22"/>
                <w:szCs w:val="22"/>
                <w:lang w:eastAsia="fr-FR"/>
              </w:rPr>
            </w:pPr>
            <w:r w:rsidRPr="000A170D">
              <w:rPr>
                <w:sz w:val="22"/>
                <w:szCs w:val="22"/>
                <w:lang w:eastAsia="fr-FR"/>
              </w:rPr>
              <w:t>Meget almindelig</w:t>
            </w:r>
          </w:p>
        </w:tc>
      </w:tr>
      <w:tr w:rsidR="00266E67" w:rsidRPr="000A170D" w14:paraId="1F07D1F0"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40C0B907" w14:textId="77777777" w:rsidR="00266E67" w:rsidRPr="000A170D" w:rsidRDefault="00266E67">
            <w:pPr>
              <w:tabs>
                <w:tab w:val="left" w:pos="1304"/>
              </w:tabs>
              <w:rPr>
                <w:bCs/>
                <w:sz w:val="22"/>
                <w:szCs w:val="22"/>
                <w:lang w:eastAsia="fr-FR"/>
              </w:rPr>
            </w:pPr>
            <w:r w:rsidRPr="000A170D">
              <w:rPr>
                <w:bCs/>
                <w:sz w:val="22"/>
                <w:szCs w:val="22"/>
                <w:lang w:eastAsia="fr-FR"/>
              </w:rPr>
              <w:t>Insomni (hos spædbørn/småbørn)</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3C8708CD" w14:textId="77777777" w:rsidR="00266E67" w:rsidRPr="000A170D" w:rsidRDefault="00266E67">
            <w:pPr>
              <w:tabs>
                <w:tab w:val="left" w:pos="1304"/>
              </w:tabs>
              <w:jc w:val="center"/>
              <w:rPr>
                <w:sz w:val="22"/>
                <w:szCs w:val="22"/>
                <w:lang w:eastAsia="fr-FR"/>
              </w:rPr>
            </w:pPr>
            <w:r w:rsidRPr="000A170D">
              <w:rPr>
                <w:sz w:val="22"/>
                <w:szCs w:val="22"/>
                <w:lang w:eastAsia="fr-FR"/>
              </w:rPr>
              <w: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23697059" w14:textId="77777777" w:rsidR="00266E67" w:rsidRPr="000A170D" w:rsidRDefault="00266E67">
            <w:pPr>
              <w:tabs>
                <w:tab w:val="left" w:pos="1304"/>
              </w:tabs>
              <w:jc w:val="center"/>
              <w:rPr>
                <w:sz w:val="22"/>
                <w:szCs w:val="22"/>
                <w:lang w:eastAsia="fr-FR"/>
              </w:rPr>
            </w:pPr>
            <w:r w:rsidRPr="000A170D">
              <w:rPr>
                <w:sz w:val="22"/>
                <w:szCs w:val="22"/>
                <w:lang w:eastAsia="fr-FR"/>
              </w:rPr>
              <w:t>Almindelig</w:t>
            </w:r>
          </w:p>
        </w:tc>
      </w:tr>
      <w:tr w:rsidR="00266E67" w:rsidRPr="000A170D" w14:paraId="48157432"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0A0DA23B" w14:textId="77777777" w:rsidR="00266E67" w:rsidRPr="000A170D" w:rsidRDefault="00266E67">
            <w:pPr>
              <w:tabs>
                <w:tab w:val="left" w:pos="1304"/>
              </w:tabs>
              <w:jc w:val="both"/>
              <w:rPr>
                <w:b/>
                <w:bCs/>
                <w:iCs/>
                <w:sz w:val="22"/>
                <w:szCs w:val="22"/>
                <w:lang w:eastAsia="fr-FR"/>
              </w:rPr>
            </w:pPr>
            <w:r w:rsidRPr="000A170D">
              <w:rPr>
                <w:b/>
                <w:bCs/>
                <w:iCs/>
                <w:sz w:val="22"/>
                <w:szCs w:val="22"/>
                <w:lang w:eastAsia="fr-FR"/>
              </w:rPr>
              <w:t xml:space="preserve">Øre og labyrint </w:t>
            </w:r>
          </w:p>
        </w:tc>
      </w:tr>
      <w:tr w:rsidR="00266E67" w:rsidRPr="000A170D" w14:paraId="4733EF24"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7A1775EE" w14:textId="77777777" w:rsidR="00266E67" w:rsidRPr="000A170D" w:rsidRDefault="00266E67">
            <w:pPr>
              <w:tabs>
                <w:tab w:val="left" w:pos="1304"/>
              </w:tabs>
              <w:rPr>
                <w:bCs/>
                <w:sz w:val="22"/>
                <w:szCs w:val="22"/>
                <w:lang w:eastAsia="fr-FR"/>
              </w:rPr>
            </w:pPr>
            <w:r w:rsidRPr="000A170D">
              <w:rPr>
                <w:bCs/>
                <w:sz w:val="22"/>
                <w:szCs w:val="22"/>
                <w:lang w:eastAsia="fr-FR"/>
              </w:rPr>
              <w:t>Pludseligt høretab, som kan være vedvarende</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71142E82" w14:textId="77777777" w:rsidR="00266E67" w:rsidRPr="000A170D" w:rsidRDefault="00266E67">
            <w:pPr>
              <w:tabs>
                <w:tab w:val="left" w:pos="1304"/>
              </w:tabs>
              <w:jc w:val="center"/>
              <w:rPr>
                <w:sz w:val="22"/>
                <w:szCs w:val="22"/>
                <w:lang w:eastAsia="fr-FR"/>
              </w:rPr>
            </w:pPr>
            <w:r w:rsidRPr="000A170D">
              <w:rPr>
                <w:sz w:val="22"/>
                <w:szCs w:val="22"/>
                <w:lang w:eastAsia="fr-FR"/>
              </w:rPr>
              <w:t>Ikke kendt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2E492597" w14:textId="77777777" w:rsidR="00266E67" w:rsidRPr="000A170D" w:rsidRDefault="00266E67">
            <w:pPr>
              <w:tabs>
                <w:tab w:val="left" w:pos="1304"/>
              </w:tabs>
              <w:jc w:val="center"/>
              <w:rPr>
                <w:sz w:val="22"/>
                <w:szCs w:val="22"/>
                <w:lang w:eastAsia="fr-FR"/>
              </w:rPr>
            </w:pPr>
            <w:r w:rsidRPr="000A170D">
              <w:rPr>
                <w:sz w:val="22"/>
                <w:szCs w:val="22"/>
                <w:lang w:eastAsia="fr-FR"/>
              </w:rPr>
              <w:t>Ikke kendt</w:t>
            </w:r>
          </w:p>
        </w:tc>
      </w:tr>
      <w:tr w:rsidR="00266E67" w:rsidRPr="000A170D" w14:paraId="37100C9A"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2E6A1763" w14:textId="77777777" w:rsidR="00266E67" w:rsidRPr="000A170D" w:rsidRDefault="00266E67">
            <w:pPr>
              <w:tabs>
                <w:tab w:val="left" w:pos="1304"/>
              </w:tabs>
              <w:jc w:val="both"/>
              <w:rPr>
                <w:b/>
                <w:bCs/>
                <w:sz w:val="22"/>
                <w:szCs w:val="22"/>
                <w:lang w:eastAsia="fr-FR"/>
              </w:rPr>
            </w:pPr>
            <w:r w:rsidRPr="000A170D">
              <w:rPr>
                <w:b/>
                <w:bCs/>
                <w:sz w:val="22"/>
                <w:szCs w:val="22"/>
                <w:lang w:eastAsia="fr-FR"/>
              </w:rPr>
              <w:t xml:space="preserve">Luftveje, thorax og </w:t>
            </w:r>
            <w:proofErr w:type="spellStart"/>
            <w:r w:rsidRPr="000A170D">
              <w:rPr>
                <w:b/>
                <w:bCs/>
                <w:sz w:val="22"/>
                <w:szCs w:val="22"/>
                <w:lang w:eastAsia="fr-FR"/>
              </w:rPr>
              <w:t>mediastinum</w:t>
            </w:r>
            <w:proofErr w:type="spellEnd"/>
            <w:r w:rsidRPr="000A170D">
              <w:rPr>
                <w:b/>
                <w:bCs/>
                <w:sz w:val="22"/>
                <w:szCs w:val="22"/>
                <w:lang w:eastAsia="fr-FR"/>
              </w:rPr>
              <w:t xml:space="preserve"> </w:t>
            </w:r>
          </w:p>
        </w:tc>
      </w:tr>
      <w:tr w:rsidR="00266E67" w:rsidRPr="000A170D" w14:paraId="389D139B"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7DC04F67" w14:textId="77777777" w:rsidR="00266E67" w:rsidRPr="000A170D" w:rsidRDefault="00266E67">
            <w:pPr>
              <w:tabs>
                <w:tab w:val="left" w:pos="1304"/>
              </w:tabs>
              <w:rPr>
                <w:bCs/>
                <w:sz w:val="22"/>
                <w:szCs w:val="22"/>
                <w:lang w:eastAsia="fr-FR"/>
              </w:rPr>
            </w:pPr>
            <w:r w:rsidRPr="000A170D">
              <w:rPr>
                <w:bCs/>
                <w:sz w:val="22"/>
                <w:szCs w:val="22"/>
                <w:lang w:eastAsia="fr-FR"/>
              </w:rPr>
              <w:t>Dyspnø</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55B30BFE" w14:textId="77777777" w:rsidR="00266E67" w:rsidRPr="000A170D" w:rsidRDefault="00266E67">
            <w:pPr>
              <w:tabs>
                <w:tab w:val="left" w:pos="1304"/>
              </w:tabs>
              <w:jc w:val="center"/>
              <w:rPr>
                <w:sz w:val="22"/>
                <w:szCs w:val="22"/>
                <w:lang w:eastAsia="fr-FR"/>
              </w:rPr>
            </w:pPr>
            <w:r w:rsidRPr="000A170D">
              <w:rPr>
                <w:sz w:val="22"/>
                <w:szCs w:val="22"/>
                <w:lang w:eastAsia="fr-FR"/>
              </w:rPr>
              <w:t>Sjælden</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50DFE690" w14:textId="77777777" w:rsidR="00266E67" w:rsidRPr="000A170D" w:rsidRDefault="00266E67">
            <w:pPr>
              <w:tabs>
                <w:tab w:val="left" w:pos="1304"/>
              </w:tabs>
              <w:jc w:val="center"/>
              <w:rPr>
                <w:sz w:val="22"/>
                <w:szCs w:val="22"/>
                <w:lang w:eastAsia="fr-FR"/>
              </w:rPr>
            </w:pPr>
            <w:r w:rsidRPr="000A170D">
              <w:rPr>
                <w:sz w:val="22"/>
                <w:szCs w:val="22"/>
                <w:lang w:eastAsia="fr-FR"/>
              </w:rPr>
              <w:t>-</w:t>
            </w:r>
          </w:p>
        </w:tc>
      </w:tr>
      <w:tr w:rsidR="00266E67" w:rsidRPr="000A170D" w14:paraId="676FCA45"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7D05ED5B" w14:textId="77777777" w:rsidR="00266E67" w:rsidRPr="000A170D" w:rsidRDefault="00266E67">
            <w:pPr>
              <w:tabs>
                <w:tab w:val="left" w:pos="1304"/>
              </w:tabs>
              <w:jc w:val="both"/>
              <w:rPr>
                <w:b/>
                <w:sz w:val="22"/>
                <w:szCs w:val="22"/>
                <w:lang w:eastAsia="fr-FR"/>
              </w:rPr>
            </w:pPr>
            <w:r w:rsidRPr="000A170D">
              <w:rPr>
                <w:b/>
                <w:sz w:val="22"/>
                <w:szCs w:val="22"/>
                <w:lang w:eastAsia="fr-FR"/>
              </w:rPr>
              <w:t>Mave-tarm-kanalen</w:t>
            </w:r>
          </w:p>
        </w:tc>
      </w:tr>
      <w:tr w:rsidR="00266E67" w:rsidRPr="000A170D" w14:paraId="5741E8CE"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46AFAFFA" w14:textId="77777777" w:rsidR="00266E67" w:rsidRPr="000A170D" w:rsidRDefault="00266E67">
            <w:pPr>
              <w:tabs>
                <w:tab w:val="left" w:pos="708"/>
              </w:tabs>
              <w:rPr>
                <w:sz w:val="22"/>
                <w:szCs w:val="22"/>
              </w:rPr>
            </w:pPr>
            <w:r w:rsidRPr="000A170D">
              <w:rPr>
                <w:sz w:val="22"/>
                <w:szCs w:val="22"/>
              </w:rPr>
              <w:t>Kvalme</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5CFEEDC6" w14:textId="77777777" w:rsidR="00266E67" w:rsidRPr="000A170D" w:rsidRDefault="00266E67">
            <w:pPr>
              <w:tabs>
                <w:tab w:val="left" w:pos="1304"/>
              </w:tabs>
              <w:jc w:val="center"/>
              <w:rPr>
                <w:bCs/>
                <w:sz w:val="22"/>
                <w:szCs w:val="22"/>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3AF4AA9C" w14:textId="77777777" w:rsidR="00266E67" w:rsidRPr="000A170D" w:rsidRDefault="00266E67">
            <w:pPr>
              <w:tabs>
                <w:tab w:val="left" w:pos="1304"/>
              </w:tabs>
              <w:jc w:val="center"/>
              <w:rPr>
                <w:bCs/>
                <w:sz w:val="22"/>
                <w:szCs w:val="22"/>
              </w:rPr>
            </w:pPr>
            <w:r w:rsidRPr="000A170D">
              <w:rPr>
                <w:bCs/>
                <w:sz w:val="22"/>
                <w:szCs w:val="22"/>
              </w:rPr>
              <w:t>-</w:t>
            </w:r>
          </w:p>
        </w:tc>
      </w:tr>
      <w:tr w:rsidR="00266E67" w:rsidRPr="000A170D" w14:paraId="346EE89A"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168D0147" w14:textId="77777777" w:rsidR="00266E67" w:rsidRPr="000A170D" w:rsidRDefault="00266E67">
            <w:pPr>
              <w:tabs>
                <w:tab w:val="left" w:pos="708"/>
              </w:tabs>
              <w:rPr>
                <w:sz w:val="22"/>
                <w:szCs w:val="22"/>
              </w:rPr>
            </w:pPr>
            <w:proofErr w:type="spellStart"/>
            <w:r w:rsidRPr="000A170D">
              <w:rPr>
                <w:sz w:val="22"/>
                <w:szCs w:val="22"/>
              </w:rPr>
              <w:t>Abdominalsmerter</w:t>
            </w:r>
            <w:proofErr w:type="spellEnd"/>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3A76BD7C" w14:textId="77777777" w:rsidR="00266E67" w:rsidRPr="000A170D" w:rsidRDefault="00266E67">
            <w:pPr>
              <w:tabs>
                <w:tab w:val="left" w:pos="1304"/>
              </w:tabs>
              <w:jc w:val="center"/>
              <w:rPr>
                <w:bCs/>
                <w:sz w:val="22"/>
                <w:szCs w:val="22"/>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78501CD4" w14:textId="77777777" w:rsidR="00266E67" w:rsidRPr="000A170D" w:rsidRDefault="00266E67">
            <w:pPr>
              <w:tabs>
                <w:tab w:val="left" w:pos="1304"/>
              </w:tabs>
              <w:jc w:val="center"/>
              <w:rPr>
                <w:bCs/>
                <w:sz w:val="22"/>
                <w:szCs w:val="22"/>
              </w:rPr>
            </w:pPr>
            <w:r w:rsidRPr="000A170D">
              <w:rPr>
                <w:sz w:val="22"/>
                <w:szCs w:val="22"/>
                <w:lang w:eastAsia="fr-FR"/>
              </w:rPr>
              <w:t>Ikke almindelig</w:t>
            </w:r>
          </w:p>
        </w:tc>
      </w:tr>
      <w:tr w:rsidR="00266E67" w:rsidRPr="000A170D" w14:paraId="1AB4060F"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1DDE31E4" w14:textId="77777777" w:rsidR="00266E67" w:rsidRPr="000A170D" w:rsidRDefault="00266E67">
            <w:pPr>
              <w:tabs>
                <w:tab w:val="left" w:pos="708"/>
              </w:tabs>
              <w:rPr>
                <w:sz w:val="22"/>
                <w:szCs w:val="22"/>
              </w:rPr>
            </w:pPr>
            <w:r w:rsidRPr="000A170D">
              <w:rPr>
                <w:sz w:val="22"/>
                <w:szCs w:val="22"/>
              </w:rPr>
              <w:t>Diarré</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702CB86A" w14:textId="77777777" w:rsidR="00266E67" w:rsidRPr="000A170D" w:rsidRDefault="00266E67">
            <w:pPr>
              <w:tabs>
                <w:tab w:val="left" w:pos="1304"/>
              </w:tabs>
              <w:jc w:val="center"/>
              <w:rPr>
                <w:bCs/>
                <w:sz w:val="22"/>
                <w:szCs w:val="22"/>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7EABAA5F" w14:textId="77777777" w:rsidR="00266E67" w:rsidRPr="000A170D" w:rsidRDefault="00266E67">
            <w:pPr>
              <w:tabs>
                <w:tab w:val="left" w:pos="1304"/>
              </w:tabs>
              <w:jc w:val="center"/>
              <w:rPr>
                <w:bCs/>
                <w:sz w:val="22"/>
                <w:szCs w:val="22"/>
              </w:rPr>
            </w:pPr>
            <w:r w:rsidRPr="000A170D">
              <w:rPr>
                <w:bCs/>
                <w:sz w:val="22"/>
                <w:szCs w:val="22"/>
              </w:rPr>
              <w:t>-</w:t>
            </w:r>
          </w:p>
        </w:tc>
      </w:tr>
      <w:tr w:rsidR="00266E67" w:rsidRPr="000A170D" w14:paraId="4001A577"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0759378F" w14:textId="77777777" w:rsidR="00266E67" w:rsidRPr="000A170D" w:rsidRDefault="00266E67">
            <w:pPr>
              <w:tabs>
                <w:tab w:val="left" w:pos="708"/>
              </w:tabs>
              <w:rPr>
                <w:sz w:val="22"/>
                <w:szCs w:val="22"/>
              </w:rPr>
            </w:pPr>
            <w:r w:rsidRPr="000A170D">
              <w:rPr>
                <w:sz w:val="22"/>
                <w:szCs w:val="22"/>
              </w:rPr>
              <w:t>Opkastning</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04B50EB8" w14:textId="77777777" w:rsidR="00266E67" w:rsidRPr="000A170D" w:rsidRDefault="00266E67">
            <w:pPr>
              <w:tabs>
                <w:tab w:val="left" w:pos="1304"/>
              </w:tabs>
              <w:jc w:val="center"/>
              <w:rPr>
                <w:bCs/>
                <w:sz w:val="22"/>
                <w:szCs w:val="22"/>
              </w:rPr>
            </w:pPr>
            <w:r w:rsidRPr="000A170D">
              <w:rPr>
                <w:bCs/>
                <w:sz w:val="22"/>
                <w:szCs w:val="22"/>
              </w:rPr>
              <w: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31024AF0" w14:textId="77777777" w:rsidR="00266E67" w:rsidRPr="000A170D" w:rsidRDefault="00266E67">
            <w:pPr>
              <w:tabs>
                <w:tab w:val="left" w:pos="1304"/>
              </w:tabs>
              <w:jc w:val="center"/>
              <w:rPr>
                <w:bCs/>
                <w:sz w:val="22"/>
                <w:szCs w:val="22"/>
              </w:rPr>
            </w:pPr>
            <w:r w:rsidRPr="000A170D">
              <w:rPr>
                <w:sz w:val="22"/>
                <w:szCs w:val="22"/>
                <w:lang w:eastAsia="fr-FR"/>
              </w:rPr>
              <w:t>Ikke almindelig</w:t>
            </w:r>
          </w:p>
        </w:tc>
      </w:tr>
      <w:tr w:rsidR="00266E67" w:rsidRPr="000A170D" w14:paraId="15C66A2A"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1A359CA0" w14:textId="77777777" w:rsidR="00266E67" w:rsidRPr="000A170D" w:rsidRDefault="00266E67">
            <w:pPr>
              <w:tabs>
                <w:tab w:val="left" w:pos="1304"/>
              </w:tabs>
              <w:rPr>
                <w:bCs/>
                <w:sz w:val="22"/>
                <w:szCs w:val="22"/>
              </w:rPr>
            </w:pPr>
            <w:r w:rsidRPr="000A170D">
              <w:rPr>
                <w:b/>
                <w:bCs/>
                <w:sz w:val="22"/>
                <w:szCs w:val="22"/>
                <w:lang w:eastAsia="fr-FR"/>
              </w:rPr>
              <w:t>Knogler, led, muskler og bindevæv</w:t>
            </w:r>
          </w:p>
        </w:tc>
      </w:tr>
      <w:tr w:rsidR="00266E67" w:rsidRPr="000A170D" w14:paraId="5E7017CA"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77E37E08" w14:textId="77777777" w:rsidR="00266E67" w:rsidRPr="000A170D" w:rsidRDefault="00266E67">
            <w:pPr>
              <w:tabs>
                <w:tab w:val="left" w:pos="708"/>
              </w:tabs>
              <w:rPr>
                <w:sz w:val="22"/>
                <w:szCs w:val="22"/>
              </w:rPr>
            </w:pPr>
            <w:r w:rsidRPr="000A170D">
              <w:rPr>
                <w:sz w:val="22"/>
                <w:szCs w:val="22"/>
              </w:rPr>
              <w:t>Myalgi</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6D67029F" w14:textId="77777777" w:rsidR="00266E67" w:rsidRPr="000A170D" w:rsidRDefault="00266E67">
            <w:pPr>
              <w:tabs>
                <w:tab w:val="left" w:pos="1304"/>
              </w:tabs>
              <w:jc w:val="center"/>
              <w:rPr>
                <w:bCs/>
                <w:sz w:val="22"/>
                <w:szCs w:val="22"/>
              </w:rPr>
            </w:pPr>
            <w:r w:rsidRPr="000A170D">
              <w:rPr>
                <w:bCs/>
                <w:sz w:val="22"/>
                <w:szCs w:val="22"/>
              </w:rPr>
              <w:t>Meget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23DC8892" w14:textId="77777777" w:rsidR="00266E67" w:rsidRPr="000A170D" w:rsidRDefault="00266E67">
            <w:pPr>
              <w:tabs>
                <w:tab w:val="left" w:pos="1304"/>
              </w:tabs>
              <w:jc w:val="center"/>
              <w:rPr>
                <w:bCs/>
                <w:sz w:val="22"/>
                <w:szCs w:val="22"/>
              </w:rPr>
            </w:pPr>
            <w:r w:rsidRPr="000A170D">
              <w:rPr>
                <w:bCs/>
                <w:sz w:val="22"/>
                <w:szCs w:val="22"/>
              </w:rPr>
              <w:t>Meget almindelig</w:t>
            </w:r>
          </w:p>
        </w:tc>
      </w:tr>
      <w:tr w:rsidR="00266E67" w:rsidRPr="000A170D" w14:paraId="678CCCC7"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0D4D768E" w14:textId="77777777" w:rsidR="00266E67" w:rsidRPr="000A170D" w:rsidRDefault="00266E67">
            <w:pPr>
              <w:tabs>
                <w:tab w:val="left" w:pos="708"/>
              </w:tabs>
              <w:rPr>
                <w:sz w:val="22"/>
                <w:szCs w:val="22"/>
              </w:rPr>
            </w:pPr>
            <w:proofErr w:type="spellStart"/>
            <w:r w:rsidRPr="000A170D">
              <w:rPr>
                <w:sz w:val="22"/>
                <w:szCs w:val="22"/>
              </w:rPr>
              <w:t>Artralgi</w:t>
            </w:r>
            <w:proofErr w:type="spellEnd"/>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6FC9D4B7" w14:textId="77777777" w:rsidR="00266E67" w:rsidRPr="000A170D" w:rsidRDefault="00266E67">
            <w:pPr>
              <w:tabs>
                <w:tab w:val="left" w:pos="1304"/>
              </w:tabs>
              <w:jc w:val="center"/>
              <w:rPr>
                <w:bCs/>
                <w:sz w:val="22"/>
                <w:szCs w:val="22"/>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2CF253FD" w14:textId="77777777" w:rsidR="00266E67" w:rsidRPr="000A170D" w:rsidRDefault="00266E67">
            <w:pPr>
              <w:tabs>
                <w:tab w:val="left" w:pos="1304"/>
              </w:tabs>
              <w:jc w:val="center"/>
              <w:rPr>
                <w:bCs/>
                <w:sz w:val="22"/>
                <w:szCs w:val="22"/>
              </w:rPr>
            </w:pPr>
            <w:r w:rsidRPr="000A170D">
              <w:rPr>
                <w:bCs/>
                <w:sz w:val="22"/>
                <w:szCs w:val="22"/>
              </w:rPr>
              <w:t>-</w:t>
            </w:r>
          </w:p>
        </w:tc>
      </w:tr>
      <w:tr w:rsidR="00266E67" w:rsidRPr="000A170D" w14:paraId="4403295C"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1F98CD28" w14:textId="77777777" w:rsidR="00266E67" w:rsidRPr="000A170D" w:rsidRDefault="00266E67">
            <w:pPr>
              <w:tabs>
                <w:tab w:val="left" w:pos="1304"/>
              </w:tabs>
              <w:jc w:val="both"/>
              <w:rPr>
                <w:b/>
                <w:sz w:val="22"/>
                <w:szCs w:val="22"/>
                <w:lang w:eastAsia="fr-FR"/>
              </w:rPr>
            </w:pPr>
            <w:r w:rsidRPr="000A170D">
              <w:rPr>
                <w:b/>
                <w:sz w:val="22"/>
                <w:szCs w:val="22"/>
                <w:lang w:eastAsia="fr-FR"/>
              </w:rPr>
              <w:t>Almene symptomer og reaktioner på administrationsstedet</w:t>
            </w:r>
          </w:p>
        </w:tc>
      </w:tr>
      <w:tr w:rsidR="00266E67" w:rsidRPr="000A170D" w14:paraId="6CA5B736"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4856803E" w14:textId="77777777" w:rsidR="00266E67" w:rsidRPr="000A170D" w:rsidRDefault="00266E67">
            <w:pPr>
              <w:tabs>
                <w:tab w:val="left" w:pos="1304"/>
              </w:tabs>
              <w:jc w:val="both"/>
              <w:rPr>
                <w:bCs/>
                <w:sz w:val="22"/>
                <w:szCs w:val="22"/>
                <w:lang w:eastAsia="fr-FR"/>
              </w:rPr>
            </w:pPr>
            <w:r w:rsidRPr="000A170D">
              <w:rPr>
                <w:bCs/>
                <w:sz w:val="22"/>
                <w:szCs w:val="22"/>
                <w:lang w:eastAsia="fr-FR"/>
              </w:rPr>
              <w:t xml:space="preserve">Smerter på injektionsstedet </w:t>
            </w:r>
            <w:r w:rsidRPr="000A170D">
              <w:rPr>
                <w:sz w:val="22"/>
                <w:szCs w:val="22"/>
              </w:rPr>
              <w:t>(</w:t>
            </w:r>
            <w:proofErr w:type="spellStart"/>
            <w:r w:rsidRPr="000A170D">
              <w:rPr>
                <w:sz w:val="22"/>
                <w:szCs w:val="22"/>
              </w:rPr>
              <w:t>i.m</w:t>
            </w:r>
            <w:proofErr w:type="spellEnd"/>
            <w:r w:rsidRPr="000A170D">
              <w:rPr>
                <w:sz w:val="22"/>
                <w:szCs w:val="22"/>
              </w:rPr>
              <w:t>.-anvendelse)</w:t>
            </w:r>
          </w:p>
        </w:tc>
        <w:tc>
          <w:tcPr>
            <w:tcW w:w="1057" w:type="pct"/>
            <w:tcBorders>
              <w:top w:val="single" w:sz="4" w:space="0" w:color="auto"/>
              <w:left w:val="single" w:sz="4" w:space="0" w:color="auto"/>
              <w:bottom w:val="single" w:sz="4" w:space="0" w:color="auto"/>
              <w:right w:val="single" w:sz="4" w:space="0" w:color="auto"/>
            </w:tcBorders>
            <w:hideMark/>
          </w:tcPr>
          <w:p w14:paraId="3982B1DA" w14:textId="77777777" w:rsidR="00266E67" w:rsidRPr="000A170D" w:rsidRDefault="00266E67">
            <w:pPr>
              <w:keepNext/>
              <w:tabs>
                <w:tab w:val="left" w:pos="1304"/>
              </w:tabs>
              <w:jc w:val="center"/>
              <w:rPr>
                <w:bCs/>
                <w:sz w:val="22"/>
                <w:szCs w:val="22"/>
              </w:rPr>
            </w:pPr>
            <w:r w:rsidRPr="000A170D">
              <w:rPr>
                <w:bCs/>
                <w:sz w:val="22"/>
                <w:szCs w:val="22"/>
              </w:rPr>
              <w:t>Meget almindelig</w:t>
            </w:r>
          </w:p>
        </w:tc>
        <w:tc>
          <w:tcPr>
            <w:tcW w:w="1053" w:type="pct"/>
            <w:tcBorders>
              <w:top w:val="single" w:sz="4" w:space="0" w:color="auto"/>
              <w:left w:val="single" w:sz="4" w:space="0" w:color="auto"/>
              <w:bottom w:val="single" w:sz="4" w:space="0" w:color="auto"/>
              <w:right w:val="single" w:sz="4" w:space="0" w:color="auto"/>
            </w:tcBorders>
            <w:hideMark/>
          </w:tcPr>
          <w:p w14:paraId="65EDBE2D" w14:textId="77777777" w:rsidR="00266E67" w:rsidRPr="000A170D" w:rsidRDefault="00266E67">
            <w:pPr>
              <w:keepNext/>
              <w:tabs>
                <w:tab w:val="left" w:pos="1304"/>
              </w:tabs>
              <w:jc w:val="center"/>
              <w:rPr>
                <w:bCs/>
                <w:sz w:val="22"/>
                <w:szCs w:val="22"/>
              </w:rPr>
            </w:pPr>
            <w:r w:rsidRPr="000A170D">
              <w:rPr>
                <w:bCs/>
                <w:sz w:val="22"/>
                <w:szCs w:val="22"/>
              </w:rPr>
              <w:t>Meget almindelig</w:t>
            </w:r>
          </w:p>
        </w:tc>
      </w:tr>
      <w:tr w:rsidR="00266E67" w:rsidRPr="000A170D" w14:paraId="7A08C120"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2C727DEB" w14:textId="77777777" w:rsidR="00266E67" w:rsidRPr="000A170D" w:rsidRDefault="00266E67">
            <w:pPr>
              <w:tabs>
                <w:tab w:val="left" w:pos="1304"/>
              </w:tabs>
              <w:jc w:val="both"/>
              <w:rPr>
                <w:bCs/>
                <w:sz w:val="22"/>
                <w:szCs w:val="22"/>
                <w:lang w:eastAsia="fr-FR"/>
              </w:rPr>
            </w:pPr>
            <w:r w:rsidRPr="000A170D">
              <w:rPr>
                <w:bCs/>
                <w:sz w:val="22"/>
                <w:szCs w:val="22"/>
                <w:lang w:eastAsia="fr-FR"/>
              </w:rPr>
              <w:t xml:space="preserve">Smerter på injektionsstedet </w:t>
            </w:r>
            <w:r w:rsidRPr="000A170D">
              <w:rPr>
                <w:sz w:val="22"/>
                <w:szCs w:val="22"/>
              </w:rPr>
              <w:t>(</w:t>
            </w:r>
            <w:proofErr w:type="spellStart"/>
            <w:r w:rsidRPr="000A170D">
              <w:rPr>
                <w:sz w:val="22"/>
                <w:szCs w:val="22"/>
              </w:rPr>
              <w:t>i.d</w:t>
            </w:r>
            <w:proofErr w:type="spellEnd"/>
            <w:r w:rsidRPr="000A170D">
              <w:rPr>
                <w:sz w:val="22"/>
                <w:szCs w:val="22"/>
              </w:rPr>
              <w:t>.-anvendelse)</w:t>
            </w:r>
          </w:p>
        </w:tc>
        <w:tc>
          <w:tcPr>
            <w:tcW w:w="1057" w:type="pct"/>
            <w:tcBorders>
              <w:top w:val="single" w:sz="4" w:space="0" w:color="auto"/>
              <w:left w:val="single" w:sz="4" w:space="0" w:color="auto"/>
              <w:bottom w:val="single" w:sz="4" w:space="0" w:color="auto"/>
              <w:right w:val="single" w:sz="4" w:space="0" w:color="auto"/>
            </w:tcBorders>
            <w:hideMark/>
          </w:tcPr>
          <w:p w14:paraId="3F55580B" w14:textId="77777777" w:rsidR="00266E67" w:rsidRPr="000A170D" w:rsidRDefault="00266E67">
            <w:pPr>
              <w:keepNext/>
              <w:tabs>
                <w:tab w:val="left" w:pos="1304"/>
              </w:tabs>
              <w:jc w:val="center"/>
              <w:rPr>
                <w:sz w:val="22"/>
                <w:szCs w:val="22"/>
                <w:lang w:eastAsia="fr-FR"/>
              </w:rPr>
            </w:pPr>
            <w:r w:rsidRPr="000A170D">
              <w:rPr>
                <w:bCs/>
                <w:sz w:val="22"/>
                <w:szCs w:val="22"/>
              </w:rPr>
              <w:t>Meget almindelig</w:t>
            </w:r>
          </w:p>
        </w:tc>
        <w:tc>
          <w:tcPr>
            <w:tcW w:w="1053" w:type="pct"/>
            <w:tcBorders>
              <w:top w:val="single" w:sz="4" w:space="0" w:color="auto"/>
              <w:left w:val="single" w:sz="4" w:space="0" w:color="auto"/>
              <w:bottom w:val="single" w:sz="4" w:space="0" w:color="auto"/>
              <w:right w:val="single" w:sz="4" w:space="0" w:color="auto"/>
            </w:tcBorders>
            <w:hideMark/>
          </w:tcPr>
          <w:p w14:paraId="481F7643" w14:textId="77777777" w:rsidR="00266E67" w:rsidRPr="000A170D" w:rsidRDefault="00266E67">
            <w:pPr>
              <w:keepNext/>
              <w:tabs>
                <w:tab w:val="left" w:pos="1304"/>
              </w:tabs>
              <w:jc w:val="center"/>
              <w:rPr>
                <w:sz w:val="22"/>
                <w:szCs w:val="22"/>
                <w:lang w:eastAsia="fr-FR"/>
              </w:rPr>
            </w:pPr>
            <w:r w:rsidRPr="000A170D">
              <w:rPr>
                <w:bCs/>
                <w:sz w:val="22"/>
                <w:szCs w:val="22"/>
              </w:rPr>
              <w:t>Meget almindelig</w:t>
            </w:r>
          </w:p>
        </w:tc>
      </w:tr>
      <w:tr w:rsidR="00266E67" w:rsidRPr="000A170D" w14:paraId="178F9117"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3CE5F232"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Erytem</w:t>
            </w:r>
            <w:proofErr w:type="spellEnd"/>
            <w:r w:rsidRPr="000A170D">
              <w:rPr>
                <w:bCs/>
                <w:sz w:val="22"/>
                <w:szCs w:val="22"/>
                <w:lang w:eastAsia="fr-FR"/>
              </w:rPr>
              <w:t xml:space="preserve"> på injektionsstedet </w:t>
            </w:r>
            <w:r w:rsidRPr="000A170D">
              <w:rPr>
                <w:sz w:val="22"/>
                <w:szCs w:val="22"/>
              </w:rPr>
              <w:t>(</w:t>
            </w:r>
            <w:proofErr w:type="spellStart"/>
            <w:r w:rsidRPr="000A170D">
              <w:rPr>
                <w:sz w:val="22"/>
                <w:szCs w:val="22"/>
              </w:rPr>
              <w:t>i.m</w:t>
            </w:r>
            <w:proofErr w:type="spellEnd"/>
            <w:r w:rsidRPr="000A170D">
              <w:rPr>
                <w:sz w:val="22"/>
                <w:szCs w:val="22"/>
              </w:rPr>
              <w:t>.-anvendelse)</w:t>
            </w:r>
          </w:p>
        </w:tc>
        <w:tc>
          <w:tcPr>
            <w:tcW w:w="1057" w:type="pct"/>
            <w:tcBorders>
              <w:top w:val="single" w:sz="4" w:space="0" w:color="auto"/>
              <w:left w:val="single" w:sz="4" w:space="0" w:color="auto"/>
              <w:bottom w:val="single" w:sz="4" w:space="0" w:color="auto"/>
              <w:right w:val="single" w:sz="4" w:space="0" w:color="auto"/>
            </w:tcBorders>
            <w:hideMark/>
          </w:tcPr>
          <w:p w14:paraId="5C892E85" w14:textId="77777777" w:rsidR="00266E67" w:rsidRPr="000A170D" w:rsidRDefault="00266E67">
            <w:pPr>
              <w:keepNext/>
              <w:tabs>
                <w:tab w:val="left" w:pos="1304"/>
              </w:tabs>
              <w:jc w:val="center"/>
              <w:rPr>
                <w:sz w:val="22"/>
                <w:szCs w:val="22"/>
                <w:lang w:eastAsia="fr-FR"/>
              </w:rPr>
            </w:pPr>
            <w:r w:rsidRPr="000A170D">
              <w:rPr>
                <w:sz w:val="22"/>
                <w:szCs w:val="22"/>
                <w:lang w:eastAsia="fr-FR"/>
              </w:rPr>
              <w:t>Almindelig</w:t>
            </w:r>
          </w:p>
        </w:tc>
        <w:tc>
          <w:tcPr>
            <w:tcW w:w="1053" w:type="pct"/>
            <w:tcBorders>
              <w:top w:val="single" w:sz="4" w:space="0" w:color="auto"/>
              <w:left w:val="single" w:sz="4" w:space="0" w:color="auto"/>
              <w:bottom w:val="single" w:sz="4" w:space="0" w:color="auto"/>
              <w:right w:val="single" w:sz="4" w:space="0" w:color="auto"/>
            </w:tcBorders>
            <w:hideMark/>
          </w:tcPr>
          <w:p w14:paraId="15CA93AA" w14:textId="77777777" w:rsidR="00266E67" w:rsidRPr="000A170D" w:rsidRDefault="00266E67">
            <w:pPr>
              <w:keepNext/>
              <w:tabs>
                <w:tab w:val="left" w:pos="1304"/>
              </w:tabs>
              <w:jc w:val="center"/>
              <w:rPr>
                <w:bCs/>
                <w:sz w:val="22"/>
                <w:szCs w:val="22"/>
              </w:rPr>
            </w:pPr>
            <w:r w:rsidRPr="000A170D">
              <w:rPr>
                <w:bCs/>
                <w:sz w:val="22"/>
                <w:szCs w:val="22"/>
              </w:rPr>
              <w:t>Almindelig</w:t>
            </w:r>
          </w:p>
        </w:tc>
      </w:tr>
      <w:tr w:rsidR="00266E67" w:rsidRPr="000A170D" w14:paraId="5050020F"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79BDD8E6"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Erytem</w:t>
            </w:r>
            <w:proofErr w:type="spellEnd"/>
            <w:r w:rsidRPr="000A170D">
              <w:rPr>
                <w:bCs/>
                <w:sz w:val="22"/>
                <w:szCs w:val="22"/>
                <w:lang w:eastAsia="fr-FR"/>
              </w:rPr>
              <w:t xml:space="preserve"> på injektionsstedet (</w:t>
            </w:r>
            <w:proofErr w:type="spellStart"/>
            <w:r w:rsidRPr="000A170D">
              <w:rPr>
                <w:sz w:val="22"/>
                <w:szCs w:val="22"/>
              </w:rPr>
              <w:t>i.d</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0336DC94" w14:textId="77777777" w:rsidR="00266E67" w:rsidRPr="000A170D" w:rsidRDefault="00266E67">
            <w:pPr>
              <w:keepNext/>
              <w:tabs>
                <w:tab w:val="left" w:pos="1304"/>
              </w:tabs>
              <w:jc w:val="center"/>
              <w:rPr>
                <w:sz w:val="22"/>
                <w:szCs w:val="22"/>
                <w:lang w:eastAsia="fr-FR"/>
              </w:rPr>
            </w:pPr>
            <w:r w:rsidRPr="000A170D">
              <w:rPr>
                <w:bCs/>
                <w:sz w:val="22"/>
                <w:szCs w:val="22"/>
              </w:rPr>
              <w:t>Meget almindelig</w:t>
            </w:r>
          </w:p>
        </w:tc>
        <w:tc>
          <w:tcPr>
            <w:tcW w:w="1053" w:type="pct"/>
            <w:tcBorders>
              <w:top w:val="single" w:sz="4" w:space="0" w:color="auto"/>
              <w:left w:val="single" w:sz="4" w:space="0" w:color="auto"/>
              <w:bottom w:val="single" w:sz="4" w:space="0" w:color="auto"/>
              <w:right w:val="single" w:sz="4" w:space="0" w:color="auto"/>
            </w:tcBorders>
            <w:hideMark/>
          </w:tcPr>
          <w:p w14:paraId="6AB8D854" w14:textId="77777777" w:rsidR="00266E67" w:rsidRPr="000A170D" w:rsidRDefault="00266E67">
            <w:pPr>
              <w:keepNext/>
              <w:tabs>
                <w:tab w:val="left" w:pos="1304"/>
              </w:tabs>
              <w:jc w:val="center"/>
              <w:rPr>
                <w:bCs/>
                <w:sz w:val="22"/>
                <w:szCs w:val="22"/>
              </w:rPr>
            </w:pPr>
            <w:r w:rsidRPr="000A170D">
              <w:rPr>
                <w:bCs/>
                <w:sz w:val="22"/>
                <w:szCs w:val="22"/>
              </w:rPr>
              <w:t>Meget almindelig</w:t>
            </w:r>
          </w:p>
        </w:tc>
      </w:tr>
      <w:tr w:rsidR="00266E67" w:rsidRPr="000A170D" w14:paraId="6EF25BCE"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286BC760"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Pruritus</w:t>
            </w:r>
            <w:proofErr w:type="spellEnd"/>
            <w:r w:rsidRPr="000A170D">
              <w:rPr>
                <w:bCs/>
                <w:sz w:val="22"/>
                <w:szCs w:val="22"/>
                <w:lang w:eastAsia="fr-FR"/>
              </w:rPr>
              <w:t xml:space="preserve"> på injektionsstedet (</w:t>
            </w:r>
            <w:proofErr w:type="spellStart"/>
            <w:r w:rsidRPr="000A170D">
              <w:rPr>
                <w:sz w:val="22"/>
                <w:szCs w:val="22"/>
              </w:rPr>
              <w:t>i.m</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49CC841E" w14:textId="77777777" w:rsidR="00266E67" w:rsidRPr="000A170D" w:rsidRDefault="00266E67">
            <w:pPr>
              <w:keepNext/>
              <w:tabs>
                <w:tab w:val="left" w:pos="1304"/>
              </w:tabs>
              <w:jc w:val="center"/>
              <w:rPr>
                <w:bCs/>
                <w:sz w:val="22"/>
                <w:szCs w:val="22"/>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hideMark/>
          </w:tcPr>
          <w:p w14:paraId="45F54F5C" w14:textId="77777777" w:rsidR="00266E67" w:rsidRPr="000A170D" w:rsidRDefault="00266E67">
            <w:pPr>
              <w:keepNext/>
              <w:tabs>
                <w:tab w:val="left" w:pos="1304"/>
              </w:tabs>
              <w:jc w:val="center"/>
              <w:rPr>
                <w:bCs/>
                <w:sz w:val="22"/>
                <w:szCs w:val="22"/>
              </w:rPr>
            </w:pPr>
            <w:r w:rsidRPr="000A170D">
              <w:rPr>
                <w:bCs/>
                <w:sz w:val="22"/>
                <w:szCs w:val="22"/>
              </w:rPr>
              <w:t>-</w:t>
            </w:r>
          </w:p>
        </w:tc>
      </w:tr>
      <w:tr w:rsidR="00266E67" w:rsidRPr="000A170D" w14:paraId="513FF1B4"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62B8D071"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Pruritus</w:t>
            </w:r>
            <w:proofErr w:type="spellEnd"/>
            <w:r w:rsidRPr="000A170D">
              <w:rPr>
                <w:bCs/>
                <w:sz w:val="22"/>
                <w:szCs w:val="22"/>
                <w:lang w:eastAsia="fr-FR"/>
              </w:rPr>
              <w:t xml:space="preserve"> på injektionsstedet (</w:t>
            </w:r>
            <w:proofErr w:type="spellStart"/>
            <w:r w:rsidRPr="000A170D">
              <w:rPr>
                <w:sz w:val="22"/>
                <w:szCs w:val="22"/>
              </w:rPr>
              <w:t>i.d</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67215A63" w14:textId="77777777" w:rsidR="00266E67" w:rsidRPr="000A170D" w:rsidRDefault="00266E67">
            <w:pPr>
              <w:keepNext/>
              <w:tabs>
                <w:tab w:val="left" w:pos="1304"/>
              </w:tabs>
              <w:jc w:val="center"/>
              <w:rPr>
                <w:sz w:val="22"/>
                <w:szCs w:val="22"/>
                <w:lang w:eastAsia="fr-FR"/>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hideMark/>
          </w:tcPr>
          <w:p w14:paraId="059571EB" w14:textId="77777777" w:rsidR="00266E67" w:rsidRPr="000A170D" w:rsidRDefault="00266E67">
            <w:pPr>
              <w:keepNext/>
              <w:tabs>
                <w:tab w:val="left" w:pos="1304"/>
              </w:tabs>
              <w:jc w:val="center"/>
              <w:rPr>
                <w:bCs/>
                <w:sz w:val="22"/>
                <w:szCs w:val="22"/>
              </w:rPr>
            </w:pPr>
            <w:r w:rsidRPr="000A170D">
              <w:rPr>
                <w:bCs/>
                <w:sz w:val="22"/>
                <w:szCs w:val="22"/>
              </w:rPr>
              <w:t>Ikke almindelig</w:t>
            </w:r>
          </w:p>
        </w:tc>
      </w:tr>
      <w:tr w:rsidR="00266E67" w:rsidRPr="000A170D" w14:paraId="5260F999"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1D285C1C" w14:textId="77777777" w:rsidR="00266E67" w:rsidRPr="000A170D" w:rsidRDefault="00266E67">
            <w:pPr>
              <w:tabs>
                <w:tab w:val="left" w:pos="1304"/>
              </w:tabs>
              <w:jc w:val="both"/>
              <w:rPr>
                <w:bCs/>
                <w:sz w:val="22"/>
                <w:szCs w:val="22"/>
                <w:lang w:eastAsia="fr-FR"/>
              </w:rPr>
            </w:pPr>
            <w:r w:rsidRPr="000A170D">
              <w:rPr>
                <w:bCs/>
                <w:sz w:val="22"/>
                <w:szCs w:val="22"/>
                <w:lang w:eastAsia="fr-FR"/>
              </w:rPr>
              <w:lastRenderedPageBreak/>
              <w:t>Hævelse på injektionsstedet (</w:t>
            </w:r>
            <w:proofErr w:type="spellStart"/>
            <w:r w:rsidRPr="000A170D">
              <w:rPr>
                <w:sz w:val="22"/>
                <w:szCs w:val="22"/>
              </w:rPr>
              <w:t>i.m</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30627038" w14:textId="77777777" w:rsidR="00266E67" w:rsidRPr="000A170D" w:rsidRDefault="00266E67">
            <w:pPr>
              <w:keepNext/>
              <w:tabs>
                <w:tab w:val="left" w:pos="1304"/>
              </w:tabs>
              <w:jc w:val="center"/>
              <w:rPr>
                <w:sz w:val="22"/>
                <w:szCs w:val="22"/>
                <w:lang w:eastAsia="fr-FR"/>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hideMark/>
          </w:tcPr>
          <w:p w14:paraId="4B77EA36" w14:textId="77777777" w:rsidR="00266E67" w:rsidRPr="000A170D" w:rsidRDefault="00266E67">
            <w:pPr>
              <w:keepNext/>
              <w:tabs>
                <w:tab w:val="left" w:pos="1304"/>
              </w:tabs>
              <w:jc w:val="center"/>
              <w:rPr>
                <w:bCs/>
                <w:sz w:val="22"/>
                <w:szCs w:val="22"/>
              </w:rPr>
            </w:pPr>
            <w:r w:rsidRPr="000A170D">
              <w:rPr>
                <w:bCs/>
                <w:sz w:val="22"/>
                <w:szCs w:val="22"/>
              </w:rPr>
              <w:t>Almindelig</w:t>
            </w:r>
          </w:p>
        </w:tc>
      </w:tr>
      <w:tr w:rsidR="00266E67" w:rsidRPr="000A170D" w14:paraId="24170059"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6D545692" w14:textId="77777777" w:rsidR="00266E67" w:rsidRPr="000A170D" w:rsidRDefault="00266E67">
            <w:pPr>
              <w:tabs>
                <w:tab w:val="left" w:pos="1304"/>
              </w:tabs>
              <w:jc w:val="both"/>
              <w:rPr>
                <w:bCs/>
                <w:sz w:val="22"/>
                <w:szCs w:val="22"/>
                <w:lang w:eastAsia="fr-FR"/>
              </w:rPr>
            </w:pPr>
            <w:r w:rsidRPr="000A170D">
              <w:rPr>
                <w:bCs/>
                <w:sz w:val="22"/>
                <w:szCs w:val="22"/>
                <w:lang w:eastAsia="fr-FR"/>
              </w:rPr>
              <w:t>Hævelse på injektionsstedet (</w:t>
            </w:r>
            <w:proofErr w:type="spellStart"/>
            <w:r w:rsidRPr="000A170D">
              <w:rPr>
                <w:sz w:val="22"/>
                <w:szCs w:val="22"/>
              </w:rPr>
              <w:t>i.d</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5789FFC5" w14:textId="77777777" w:rsidR="00266E67" w:rsidRPr="000A170D" w:rsidRDefault="00266E67">
            <w:pPr>
              <w:keepNext/>
              <w:tabs>
                <w:tab w:val="left" w:pos="1304"/>
              </w:tabs>
              <w:jc w:val="center"/>
              <w:rPr>
                <w:sz w:val="22"/>
                <w:szCs w:val="22"/>
                <w:lang w:eastAsia="fr-FR"/>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hideMark/>
          </w:tcPr>
          <w:p w14:paraId="64261596" w14:textId="77777777" w:rsidR="00266E67" w:rsidRPr="000A170D" w:rsidRDefault="00266E67">
            <w:pPr>
              <w:keepNext/>
              <w:tabs>
                <w:tab w:val="left" w:pos="1304"/>
              </w:tabs>
              <w:jc w:val="center"/>
              <w:rPr>
                <w:bCs/>
                <w:sz w:val="22"/>
                <w:szCs w:val="22"/>
              </w:rPr>
            </w:pPr>
            <w:r w:rsidRPr="000A170D">
              <w:rPr>
                <w:bCs/>
                <w:sz w:val="22"/>
                <w:szCs w:val="22"/>
              </w:rPr>
              <w:t>Meget almindelig</w:t>
            </w:r>
          </w:p>
        </w:tc>
      </w:tr>
      <w:tr w:rsidR="00266E67" w:rsidRPr="000A170D" w14:paraId="6F437755"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21751C8B"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Induration</w:t>
            </w:r>
            <w:proofErr w:type="spellEnd"/>
            <w:r w:rsidRPr="000A170D">
              <w:rPr>
                <w:bCs/>
                <w:sz w:val="22"/>
                <w:szCs w:val="22"/>
                <w:lang w:eastAsia="fr-FR"/>
              </w:rPr>
              <w:t xml:space="preserve"> på injektionsstedet (</w:t>
            </w:r>
            <w:proofErr w:type="spellStart"/>
            <w:r w:rsidRPr="000A170D">
              <w:rPr>
                <w:sz w:val="22"/>
                <w:szCs w:val="22"/>
              </w:rPr>
              <w:t>i.m</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24D4BB8B" w14:textId="77777777" w:rsidR="00266E67" w:rsidRPr="000A170D" w:rsidRDefault="00266E67">
            <w:pPr>
              <w:keepNext/>
              <w:tabs>
                <w:tab w:val="left" w:pos="1304"/>
              </w:tabs>
              <w:jc w:val="center"/>
              <w:rPr>
                <w:sz w:val="22"/>
                <w:szCs w:val="22"/>
                <w:lang w:eastAsia="fr-FR"/>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hideMark/>
          </w:tcPr>
          <w:p w14:paraId="102B7C12" w14:textId="77777777" w:rsidR="00266E67" w:rsidRPr="000A170D" w:rsidRDefault="00266E67">
            <w:pPr>
              <w:keepNext/>
              <w:tabs>
                <w:tab w:val="left" w:pos="1304"/>
              </w:tabs>
              <w:jc w:val="center"/>
              <w:rPr>
                <w:bCs/>
                <w:sz w:val="22"/>
                <w:szCs w:val="22"/>
              </w:rPr>
            </w:pPr>
            <w:r w:rsidRPr="000A170D">
              <w:rPr>
                <w:bCs/>
                <w:sz w:val="22"/>
                <w:szCs w:val="22"/>
              </w:rPr>
              <w:t>-</w:t>
            </w:r>
          </w:p>
        </w:tc>
      </w:tr>
      <w:tr w:rsidR="00266E67" w:rsidRPr="000A170D" w14:paraId="00A6250F"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0A45EBF2"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Hæmatom</w:t>
            </w:r>
            <w:proofErr w:type="spellEnd"/>
            <w:r w:rsidRPr="000A170D">
              <w:rPr>
                <w:bCs/>
                <w:sz w:val="22"/>
                <w:szCs w:val="22"/>
                <w:lang w:eastAsia="fr-FR"/>
              </w:rPr>
              <w:t xml:space="preserve"> på injektionsstedet (</w:t>
            </w:r>
            <w:proofErr w:type="spellStart"/>
            <w:r w:rsidRPr="000A170D">
              <w:rPr>
                <w:sz w:val="22"/>
                <w:szCs w:val="22"/>
              </w:rPr>
              <w:t>i.d</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37796454" w14:textId="77777777" w:rsidR="00266E67" w:rsidRPr="000A170D" w:rsidRDefault="00266E67">
            <w:pPr>
              <w:keepNext/>
              <w:tabs>
                <w:tab w:val="left" w:pos="1304"/>
              </w:tabs>
              <w:jc w:val="center"/>
              <w:rPr>
                <w:sz w:val="22"/>
                <w:szCs w:val="22"/>
                <w:lang w:eastAsia="fr-FR"/>
              </w:rPr>
            </w:pPr>
            <w:r w:rsidRPr="000A170D">
              <w:rPr>
                <w:bCs/>
                <w:sz w:val="22"/>
                <w:szCs w:val="22"/>
              </w:rPr>
              <w:t>Ikke almindelig</w:t>
            </w:r>
          </w:p>
        </w:tc>
        <w:tc>
          <w:tcPr>
            <w:tcW w:w="1053" w:type="pct"/>
            <w:tcBorders>
              <w:top w:val="single" w:sz="4" w:space="0" w:color="auto"/>
              <w:left w:val="single" w:sz="4" w:space="0" w:color="auto"/>
              <w:bottom w:val="single" w:sz="4" w:space="0" w:color="auto"/>
              <w:right w:val="single" w:sz="4" w:space="0" w:color="auto"/>
            </w:tcBorders>
          </w:tcPr>
          <w:p w14:paraId="470AB3F2" w14:textId="77777777" w:rsidR="00266E67" w:rsidRPr="000A170D" w:rsidRDefault="00266E67">
            <w:pPr>
              <w:keepNext/>
              <w:tabs>
                <w:tab w:val="left" w:pos="1304"/>
              </w:tabs>
              <w:jc w:val="center"/>
              <w:rPr>
                <w:bCs/>
                <w:sz w:val="22"/>
                <w:szCs w:val="22"/>
              </w:rPr>
            </w:pPr>
          </w:p>
        </w:tc>
      </w:tr>
      <w:tr w:rsidR="00266E67" w:rsidRPr="000A170D" w14:paraId="2D9E7A00"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00E85146" w14:textId="77777777" w:rsidR="00266E67" w:rsidRPr="000A170D" w:rsidRDefault="00266E67">
            <w:pPr>
              <w:tabs>
                <w:tab w:val="left" w:pos="1304"/>
              </w:tabs>
              <w:jc w:val="both"/>
              <w:rPr>
                <w:bCs/>
                <w:sz w:val="22"/>
                <w:szCs w:val="22"/>
                <w:lang w:eastAsia="fr-FR"/>
              </w:rPr>
            </w:pPr>
            <w:r w:rsidRPr="000A170D">
              <w:rPr>
                <w:bCs/>
                <w:sz w:val="22"/>
                <w:szCs w:val="22"/>
                <w:lang w:eastAsia="fr-FR"/>
              </w:rPr>
              <w:t>Utilpashed</w:t>
            </w:r>
          </w:p>
        </w:tc>
        <w:tc>
          <w:tcPr>
            <w:tcW w:w="1057" w:type="pct"/>
            <w:tcBorders>
              <w:top w:val="single" w:sz="4" w:space="0" w:color="auto"/>
              <w:left w:val="single" w:sz="4" w:space="0" w:color="auto"/>
              <w:bottom w:val="single" w:sz="4" w:space="0" w:color="auto"/>
              <w:right w:val="single" w:sz="4" w:space="0" w:color="auto"/>
            </w:tcBorders>
            <w:hideMark/>
          </w:tcPr>
          <w:p w14:paraId="6B828CF8" w14:textId="77777777" w:rsidR="00266E67" w:rsidRPr="000A170D" w:rsidRDefault="00266E67">
            <w:pPr>
              <w:keepNext/>
              <w:tabs>
                <w:tab w:val="left" w:pos="1304"/>
              </w:tabs>
              <w:jc w:val="center"/>
              <w:rPr>
                <w:sz w:val="22"/>
                <w:szCs w:val="22"/>
                <w:lang w:eastAsia="fr-FR"/>
              </w:rPr>
            </w:pPr>
            <w:r w:rsidRPr="000A170D">
              <w:rPr>
                <w:sz w:val="22"/>
                <w:szCs w:val="22"/>
                <w:lang w:eastAsia="fr-FR"/>
              </w:rPr>
              <w:t>Meget almindelig</w:t>
            </w:r>
          </w:p>
        </w:tc>
        <w:tc>
          <w:tcPr>
            <w:tcW w:w="1053" w:type="pct"/>
            <w:tcBorders>
              <w:top w:val="single" w:sz="4" w:space="0" w:color="auto"/>
              <w:left w:val="single" w:sz="4" w:space="0" w:color="auto"/>
              <w:bottom w:val="single" w:sz="4" w:space="0" w:color="auto"/>
              <w:right w:val="single" w:sz="4" w:space="0" w:color="auto"/>
            </w:tcBorders>
            <w:hideMark/>
          </w:tcPr>
          <w:p w14:paraId="0A6707AF" w14:textId="77777777" w:rsidR="00266E67" w:rsidRPr="000A170D" w:rsidRDefault="00266E67">
            <w:pPr>
              <w:keepNext/>
              <w:tabs>
                <w:tab w:val="left" w:pos="1304"/>
              </w:tabs>
              <w:jc w:val="center"/>
              <w:rPr>
                <w:bCs/>
                <w:sz w:val="22"/>
                <w:szCs w:val="22"/>
              </w:rPr>
            </w:pPr>
            <w:r w:rsidRPr="000A170D">
              <w:rPr>
                <w:bCs/>
                <w:sz w:val="22"/>
                <w:szCs w:val="22"/>
              </w:rPr>
              <w:t>Meget almindelig</w:t>
            </w:r>
          </w:p>
        </w:tc>
      </w:tr>
      <w:tr w:rsidR="00266E67" w:rsidRPr="000A170D" w14:paraId="0D776BE9"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33BB1908" w14:textId="77777777" w:rsidR="00266E67" w:rsidRPr="000A170D" w:rsidRDefault="00266E67">
            <w:pPr>
              <w:tabs>
                <w:tab w:val="left" w:pos="1304"/>
              </w:tabs>
              <w:jc w:val="both"/>
              <w:rPr>
                <w:bCs/>
                <w:sz w:val="22"/>
                <w:szCs w:val="22"/>
                <w:lang w:eastAsia="fr-FR"/>
              </w:rPr>
            </w:pPr>
            <w:r w:rsidRPr="000A170D">
              <w:rPr>
                <w:bCs/>
                <w:sz w:val="22"/>
                <w:szCs w:val="22"/>
                <w:lang w:eastAsia="fr-FR"/>
              </w:rPr>
              <w:t>Influenzalignende syndrom</w:t>
            </w:r>
          </w:p>
        </w:tc>
        <w:tc>
          <w:tcPr>
            <w:tcW w:w="1057" w:type="pct"/>
            <w:tcBorders>
              <w:top w:val="single" w:sz="4" w:space="0" w:color="auto"/>
              <w:left w:val="single" w:sz="4" w:space="0" w:color="auto"/>
              <w:bottom w:val="single" w:sz="4" w:space="0" w:color="auto"/>
              <w:right w:val="single" w:sz="4" w:space="0" w:color="auto"/>
            </w:tcBorders>
            <w:hideMark/>
          </w:tcPr>
          <w:p w14:paraId="2BBC293D" w14:textId="77777777" w:rsidR="00266E67" w:rsidRPr="000A170D" w:rsidRDefault="00266E67">
            <w:pPr>
              <w:keepNext/>
              <w:tabs>
                <w:tab w:val="left" w:pos="1304"/>
              </w:tabs>
              <w:jc w:val="center"/>
              <w:rPr>
                <w:sz w:val="22"/>
                <w:szCs w:val="22"/>
                <w:lang w:eastAsia="fr-FR"/>
              </w:rPr>
            </w:pPr>
            <w:r w:rsidRPr="000A170D">
              <w:rPr>
                <w:sz w:val="22"/>
                <w:szCs w:val="22"/>
                <w:lang w:eastAsia="fr-FR"/>
              </w:rPr>
              <w:t>Almindelig</w:t>
            </w:r>
          </w:p>
        </w:tc>
        <w:tc>
          <w:tcPr>
            <w:tcW w:w="1053" w:type="pct"/>
            <w:tcBorders>
              <w:top w:val="single" w:sz="4" w:space="0" w:color="auto"/>
              <w:left w:val="single" w:sz="4" w:space="0" w:color="auto"/>
              <w:bottom w:val="single" w:sz="4" w:space="0" w:color="auto"/>
              <w:right w:val="single" w:sz="4" w:space="0" w:color="auto"/>
            </w:tcBorders>
          </w:tcPr>
          <w:p w14:paraId="6C86E120" w14:textId="77777777" w:rsidR="00266E67" w:rsidRPr="000A170D" w:rsidRDefault="00266E67">
            <w:pPr>
              <w:keepNext/>
              <w:tabs>
                <w:tab w:val="left" w:pos="1304"/>
              </w:tabs>
              <w:jc w:val="center"/>
              <w:rPr>
                <w:bCs/>
                <w:sz w:val="22"/>
                <w:szCs w:val="22"/>
              </w:rPr>
            </w:pPr>
          </w:p>
        </w:tc>
      </w:tr>
      <w:tr w:rsidR="00266E67" w:rsidRPr="000A170D" w14:paraId="203FE38C"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397370AF" w14:textId="77777777" w:rsidR="00266E67" w:rsidRPr="000A170D" w:rsidRDefault="00266E67">
            <w:pPr>
              <w:tabs>
                <w:tab w:val="left" w:pos="1304"/>
              </w:tabs>
              <w:jc w:val="both"/>
              <w:rPr>
                <w:bCs/>
                <w:sz w:val="22"/>
                <w:szCs w:val="22"/>
                <w:lang w:eastAsia="fr-FR"/>
              </w:rPr>
            </w:pPr>
            <w:r w:rsidRPr="000A170D">
              <w:rPr>
                <w:bCs/>
                <w:sz w:val="22"/>
                <w:szCs w:val="22"/>
                <w:lang w:eastAsia="fr-FR"/>
              </w:rPr>
              <w:t>Feber</w:t>
            </w:r>
          </w:p>
        </w:tc>
        <w:tc>
          <w:tcPr>
            <w:tcW w:w="1057" w:type="pct"/>
            <w:tcBorders>
              <w:top w:val="single" w:sz="4" w:space="0" w:color="auto"/>
              <w:left w:val="single" w:sz="4" w:space="0" w:color="auto"/>
              <w:bottom w:val="single" w:sz="4" w:space="0" w:color="auto"/>
              <w:right w:val="single" w:sz="4" w:space="0" w:color="auto"/>
            </w:tcBorders>
            <w:hideMark/>
          </w:tcPr>
          <w:p w14:paraId="1CB6B567" w14:textId="77777777" w:rsidR="00266E67" w:rsidRPr="000A170D" w:rsidRDefault="00266E67">
            <w:pPr>
              <w:keepNext/>
              <w:tabs>
                <w:tab w:val="left" w:pos="1304"/>
              </w:tabs>
              <w:jc w:val="center"/>
              <w:rPr>
                <w:sz w:val="22"/>
                <w:szCs w:val="22"/>
                <w:lang w:eastAsia="fr-FR"/>
              </w:rPr>
            </w:pPr>
            <w:r w:rsidRPr="000A170D">
              <w:rPr>
                <w:sz w:val="22"/>
                <w:szCs w:val="22"/>
                <w:lang w:eastAsia="fr-FR"/>
              </w:rPr>
              <w:t>Almindelig</w:t>
            </w:r>
          </w:p>
        </w:tc>
        <w:tc>
          <w:tcPr>
            <w:tcW w:w="1053" w:type="pct"/>
            <w:tcBorders>
              <w:top w:val="single" w:sz="4" w:space="0" w:color="auto"/>
              <w:left w:val="single" w:sz="4" w:space="0" w:color="auto"/>
              <w:bottom w:val="single" w:sz="4" w:space="0" w:color="auto"/>
              <w:right w:val="single" w:sz="4" w:space="0" w:color="auto"/>
            </w:tcBorders>
            <w:hideMark/>
          </w:tcPr>
          <w:p w14:paraId="285A035E" w14:textId="77777777" w:rsidR="00266E67" w:rsidRPr="000A170D" w:rsidRDefault="00266E67">
            <w:pPr>
              <w:keepNext/>
              <w:tabs>
                <w:tab w:val="left" w:pos="1304"/>
              </w:tabs>
              <w:jc w:val="center"/>
              <w:rPr>
                <w:bCs/>
                <w:sz w:val="22"/>
                <w:szCs w:val="22"/>
              </w:rPr>
            </w:pPr>
            <w:r w:rsidRPr="000A170D">
              <w:rPr>
                <w:bCs/>
                <w:sz w:val="22"/>
                <w:szCs w:val="22"/>
              </w:rPr>
              <w:t>Almindelig</w:t>
            </w:r>
          </w:p>
        </w:tc>
      </w:tr>
      <w:tr w:rsidR="00266E67" w:rsidRPr="000A170D" w14:paraId="0E5BE0B8"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4E0946C1" w14:textId="77777777" w:rsidR="00266E67" w:rsidRPr="000A170D" w:rsidRDefault="00266E67">
            <w:pPr>
              <w:tabs>
                <w:tab w:val="left" w:pos="1304"/>
              </w:tabs>
              <w:jc w:val="both"/>
              <w:rPr>
                <w:bCs/>
                <w:sz w:val="22"/>
                <w:szCs w:val="22"/>
                <w:lang w:eastAsia="fr-FR"/>
              </w:rPr>
            </w:pPr>
            <w:r w:rsidRPr="000A170D">
              <w:rPr>
                <w:bCs/>
                <w:sz w:val="22"/>
                <w:szCs w:val="22"/>
                <w:lang w:eastAsia="fr-FR"/>
              </w:rPr>
              <w:t>Asteni</w:t>
            </w:r>
          </w:p>
        </w:tc>
        <w:tc>
          <w:tcPr>
            <w:tcW w:w="1057" w:type="pct"/>
            <w:tcBorders>
              <w:top w:val="single" w:sz="4" w:space="0" w:color="auto"/>
              <w:left w:val="single" w:sz="4" w:space="0" w:color="auto"/>
              <w:bottom w:val="single" w:sz="4" w:space="0" w:color="auto"/>
              <w:right w:val="single" w:sz="4" w:space="0" w:color="auto"/>
            </w:tcBorders>
            <w:hideMark/>
          </w:tcPr>
          <w:p w14:paraId="54EC2C3C" w14:textId="77777777" w:rsidR="00266E67" w:rsidRPr="000A170D" w:rsidRDefault="00266E67">
            <w:pPr>
              <w:keepNext/>
              <w:tabs>
                <w:tab w:val="left" w:pos="1304"/>
              </w:tabs>
              <w:jc w:val="center"/>
              <w:rPr>
                <w:bCs/>
                <w:sz w:val="22"/>
                <w:szCs w:val="22"/>
              </w:rPr>
            </w:pPr>
            <w:r w:rsidRPr="000A170D">
              <w:rPr>
                <w:bCs/>
                <w:sz w:val="22"/>
                <w:szCs w:val="22"/>
              </w:rPr>
              <w:t>Ikke almindelig</w:t>
            </w:r>
          </w:p>
        </w:tc>
        <w:tc>
          <w:tcPr>
            <w:tcW w:w="1053" w:type="pct"/>
            <w:tcBorders>
              <w:top w:val="single" w:sz="4" w:space="0" w:color="auto"/>
              <w:left w:val="single" w:sz="4" w:space="0" w:color="auto"/>
              <w:bottom w:val="single" w:sz="4" w:space="0" w:color="auto"/>
              <w:right w:val="single" w:sz="4" w:space="0" w:color="auto"/>
            </w:tcBorders>
            <w:hideMark/>
          </w:tcPr>
          <w:p w14:paraId="0369D6A3" w14:textId="77777777" w:rsidR="00266E67" w:rsidRPr="000A170D" w:rsidRDefault="00266E67">
            <w:pPr>
              <w:keepNext/>
              <w:tabs>
                <w:tab w:val="left" w:pos="1304"/>
              </w:tabs>
              <w:jc w:val="center"/>
              <w:rPr>
                <w:bCs/>
                <w:sz w:val="22"/>
                <w:szCs w:val="22"/>
              </w:rPr>
            </w:pPr>
            <w:r w:rsidRPr="000A170D">
              <w:rPr>
                <w:bCs/>
                <w:sz w:val="22"/>
                <w:szCs w:val="22"/>
              </w:rPr>
              <w:t>-</w:t>
            </w:r>
          </w:p>
        </w:tc>
      </w:tr>
      <w:tr w:rsidR="00266E67" w:rsidRPr="000A170D" w14:paraId="49850B2A"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75C89A7A" w14:textId="77777777" w:rsidR="00266E67" w:rsidRPr="000A170D" w:rsidRDefault="00266E67">
            <w:pPr>
              <w:tabs>
                <w:tab w:val="left" w:pos="1304"/>
              </w:tabs>
              <w:jc w:val="both"/>
              <w:rPr>
                <w:bCs/>
                <w:sz w:val="22"/>
                <w:szCs w:val="22"/>
                <w:lang w:eastAsia="fr-FR"/>
              </w:rPr>
            </w:pPr>
            <w:r w:rsidRPr="000A170D">
              <w:rPr>
                <w:bCs/>
                <w:sz w:val="22"/>
                <w:szCs w:val="22"/>
                <w:lang w:eastAsia="fr-FR"/>
              </w:rPr>
              <w:t>Kuldegysninger</w:t>
            </w:r>
          </w:p>
        </w:tc>
        <w:tc>
          <w:tcPr>
            <w:tcW w:w="1057" w:type="pct"/>
            <w:tcBorders>
              <w:top w:val="single" w:sz="4" w:space="0" w:color="auto"/>
              <w:left w:val="single" w:sz="4" w:space="0" w:color="auto"/>
              <w:bottom w:val="single" w:sz="4" w:space="0" w:color="auto"/>
              <w:right w:val="single" w:sz="4" w:space="0" w:color="auto"/>
            </w:tcBorders>
            <w:hideMark/>
          </w:tcPr>
          <w:p w14:paraId="2BDB3DE5" w14:textId="77777777" w:rsidR="00266E67" w:rsidRPr="000A170D" w:rsidRDefault="00266E67">
            <w:pPr>
              <w:keepNext/>
              <w:tabs>
                <w:tab w:val="left" w:pos="1304"/>
              </w:tabs>
              <w:jc w:val="center"/>
              <w:rPr>
                <w:sz w:val="22"/>
                <w:szCs w:val="22"/>
                <w:lang w:eastAsia="fr-FR"/>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hideMark/>
          </w:tcPr>
          <w:p w14:paraId="14E25289" w14:textId="77777777" w:rsidR="00266E67" w:rsidRPr="000A170D" w:rsidRDefault="00266E67">
            <w:pPr>
              <w:keepNext/>
              <w:tabs>
                <w:tab w:val="left" w:pos="1304"/>
              </w:tabs>
              <w:jc w:val="center"/>
              <w:rPr>
                <w:sz w:val="22"/>
                <w:szCs w:val="22"/>
                <w:lang w:eastAsia="fr-FR"/>
              </w:rPr>
            </w:pPr>
            <w:r w:rsidRPr="000A170D">
              <w:rPr>
                <w:sz w:val="22"/>
                <w:szCs w:val="22"/>
                <w:lang w:eastAsia="fr-FR"/>
              </w:rPr>
              <w:t>Ikke almindelig</w:t>
            </w:r>
          </w:p>
        </w:tc>
      </w:tr>
      <w:tr w:rsidR="00266E67" w:rsidRPr="000A170D" w14:paraId="660C665B"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100A2958" w14:textId="77777777" w:rsidR="00266E67" w:rsidRPr="000A170D" w:rsidRDefault="00266E67">
            <w:pPr>
              <w:tabs>
                <w:tab w:val="left" w:pos="1304"/>
              </w:tabs>
              <w:jc w:val="both"/>
              <w:rPr>
                <w:bCs/>
                <w:sz w:val="22"/>
                <w:szCs w:val="22"/>
                <w:lang w:eastAsia="fr-FR"/>
              </w:rPr>
            </w:pPr>
            <w:r w:rsidRPr="000A170D">
              <w:rPr>
                <w:bCs/>
                <w:iCs/>
                <w:sz w:val="22"/>
                <w:szCs w:val="22"/>
                <w:lang w:eastAsia="fr-FR"/>
              </w:rPr>
              <w:t xml:space="preserve">Utrøstelig gråd </w:t>
            </w:r>
            <w:r w:rsidRPr="000A170D">
              <w:rPr>
                <w:bCs/>
                <w:sz w:val="22"/>
                <w:szCs w:val="22"/>
                <w:lang w:eastAsia="fr-FR"/>
              </w:rPr>
              <w:t>(hos spædbørn/småbørn)</w:t>
            </w:r>
          </w:p>
        </w:tc>
        <w:tc>
          <w:tcPr>
            <w:tcW w:w="1057" w:type="pct"/>
            <w:tcBorders>
              <w:top w:val="single" w:sz="4" w:space="0" w:color="auto"/>
              <w:left w:val="single" w:sz="4" w:space="0" w:color="auto"/>
              <w:bottom w:val="single" w:sz="4" w:space="0" w:color="auto"/>
              <w:right w:val="single" w:sz="4" w:space="0" w:color="auto"/>
            </w:tcBorders>
            <w:hideMark/>
          </w:tcPr>
          <w:p w14:paraId="70E0DBB3" w14:textId="77777777" w:rsidR="00266E67" w:rsidRPr="000A170D" w:rsidRDefault="00266E67">
            <w:pPr>
              <w:keepNext/>
              <w:tabs>
                <w:tab w:val="left" w:pos="1304"/>
              </w:tabs>
              <w:jc w:val="center"/>
              <w:rPr>
                <w:sz w:val="22"/>
                <w:szCs w:val="22"/>
                <w:lang w:eastAsia="fr-FR"/>
              </w:rPr>
            </w:pPr>
            <w:r w:rsidRPr="000A170D">
              <w:rPr>
                <w:sz w:val="22"/>
                <w:szCs w:val="22"/>
                <w:lang w:eastAsia="fr-FR"/>
              </w:rPr>
              <w:t>-</w:t>
            </w:r>
          </w:p>
        </w:tc>
        <w:tc>
          <w:tcPr>
            <w:tcW w:w="1053" w:type="pct"/>
            <w:tcBorders>
              <w:top w:val="single" w:sz="4" w:space="0" w:color="auto"/>
              <w:left w:val="single" w:sz="4" w:space="0" w:color="auto"/>
              <w:bottom w:val="single" w:sz="4" w:space="0" w:color="auto"/>
              <w:right w:val="single" w:sz="4" w:space="0" w:color="auto"/>
            </w:tcBorders>
            <w:hideMark/>
          </w:tcPr>
          <w:p w14:paraId="7D594DD9" w14:textId="77777777" w:rsidR="00266E67" w:rsidRPr="000A170D" w:rsidRDefault="00266E67">
            <w:pPr>
              <w:keepNext/>
              <w:tabs>
                <w:tab w:val="left" w:pos="1304"/>
              </w:tabs>
              <w:jc w:val="center"/>
              <w:rPr>
                <w:sz w:val="22"/>
                <w:szCs w:val="22"/>
                <w:lang w:eastAsia="fr-FR"/>
              </w:rPr>
            </w:pPr>
            <w:r w:rsidRPr="000A170D">
              <w:rPr>
                <w:bCs/>
                <w:sz w:val="22"/>
                <w:szCs w:val="22"/>
              </w:rPr>
              <w:t>Meget almindelig</w:t>
            </w:r>
          </w:p>
        </w:tc>
      </w:tr>
    </w:tbl>
    <w:p w14:paraId="04BF99E3" w14:textId="77777777" w:rsidR="00266E67" w:rsidRPr="00155A7C" w:rsidRDefault="00266E67" w:rsidP="00E15661">
      <w:pPr>
        <w:ind w:left="851"/>
        <w:rPr>
          <w:sz w:val="24"/>
          <w:szCs w:val="24"/>
        </w:rPr>
      </w:pPr>
    </w:p>
    <w:p w14:paraId="457F515D" w14:textId="77777777" w:rsidR="00266E67" w:rsidRPr="000A170D" w:rsidRDefault="00266E67" w:rsidP="00E15661">
      <w:pPr>
        <w:ind w:left="851"/>
        <w:rPr>
          <w:sz w:val="24"/>
          <w:szCs w:val="24"/>
          <w:u w:val="single"/>
        </w:rPr>
      </w:pPr>
      <w:r w:rsidRPr="000A170D">
        <w:rPr>
          <w:sz w:val="24"/>
          <w:szCs w:val="24"/>
          <w:u w:val="single"/>
        </w:rPr>
        <w:t>Indberetning af formodede bivirkninger</w:t>
      </w:r>
    </w:p>
    <w:p w14:paraId="40612398" w14:textId="77777777" w:rsidR="00266E67" w:rsidRPr="00155A7C" w:rsidRDefault="00266E67" w:rsidP="00E15661">
      <w:pPr>
        <w:ind w:left="851"/>
        <w:rPr>
          <w:sz w:val="24"/>
          <w:szCs w:val="24"/>
        </w:rPr>
      </w:pPr>
      <w:r w:rsidRPr="00155A7C">
        <w:rPr>
          <w:sz w:val="24"/>
          <w:szCs w:val="24"/>
        </w:rPr>
        <w:t>Når lægemidlet er godkendt, er indberetning af formodede bivirkninger vigtig. Det muliggør løbende overvågning af benefit/</w:t>
      </w:r>
      <w:proofErr w:type="spellStart"/>
      <w:r w:rsidRPr="00155A7C">
        <w:rPr>
          <w:sz w:val="24"/>
          <w:szCs w:val="24"/>
        </w:rPr>
        <w:t>risk</w:t>
      </w:r>
      <w:proofErr w:type="spellEnd"/>
      <w:r w:rsidRPr="00155A7C">
        <w:rPr>
          <w:sz w:val="24"/>
          <w:szCs w:val="24"/>
        </w:rPr>
        <w:t>-forholdet for lægemidlet. Sundhedspersoner anmodes om at indberette alle formodede bivirkninger via</w:t>
      </w:r>
    </w:p>
    <w:p w14:paraId="699F4AA5" w14:textId="77777777" w:rsidR="00266E67" w:rsidRPr="00155A7C" w:rsidRDefault="00266E67" w:rsidP="00E15661">
      <w:pPr>
        <w:ind w:left="851"/>
        <w:rPr>
          <w:sz w:val="24"/>
          <w:szCs w:val="24"/>
        </w:rPr>
      </w:pPr>
    </w:p>
    <w:p w14:paraId="1EFF8046" w14:textId="77777777" w:rsidR="00266E67" w:rsidRPr="00155A7C" w:rsidRDefault="00266E67" w:rsidP="00E15661">
      <w:pPr>
        <w:ind w:left="851"/>
        <w:rPr>
          <w:rFonts w:eastAsia="Calibri"/>
          <w:color w:val="000000"/>
          <w:sz w:val="24"/>
          <w:szCs w:val="24"/>
          <w:lang w:eastAsia="zh-CN"/>
        </w:rPr>
      </w:pPr>
      <w:r w:rsidRPr="00155A7C">
        <w:rPr>
          <w:sz w:val="24"/>
          <w:szCs w:val="24"/>
        </w:rPr>
        <w:t>Lægemiddelstyrelsen</w:t>
      </w:r>
    </w:p>
    <w:p w14:paraId="4AE8B939" w14:textId="77777777" w:rsidR="00266E67" w:rsidRPr="00155A7C" w:rsidRDefault="00266E67" w:rsidP="00E15661">
      <w:pPr>
        <w:ind w:left="851"/>
        <w:rPr>
          <w:rFonts w:eastAsia="Calibri"/>
          <w:sz w:val="24"/>
          <w:szCs w:val="24"/>
          <w:lang w:eastAsia="zh-CN"/>
        </w:rPr>
      </w:pPr>
      <w:r w:rsidRPr="00155A7C">
        <w:rPr>
          <w:rFonts w:eastAsia="Calibri"/>
          <w:sz w:val="24"/>
          <w:szCs w:val="24"/>
          <w:lang w:eastAsia="zh-CN"/>
        </w:rPr>
        <w:t>Axel Heides Gade 1</w:t>
      </w:r>
    </w:p>
    <w:p w14:paraId="5D169799" w14:textId="77777777" w:rsidR="00266E67" w:rsidRPr="00155A7C" w:rsidRDefault="00266E67" w:rsidP="00E15661">
      <w:pPr>
        <w:ind w:left="851"/>
        <w:rPr>
          <w:rFonts w:eastAsia="Calibri"/>
          <w:sz w:val="24"/>
          <w:szCs w:val="24"/>
          <w:lang w:eastAsia="zh-CN"/>
        </w:rPr>
      </w:pPr>
      <w:r w:rsidRPr="00155A7C">
        <w:rPr>
          <w:rFonts w:eastAsia="Calibri"/>
          <w:sz w:val="24"/>
          <w:szCs w:val="24"/>
          <w:lang w:eastAsia="zh-CN"/>
        </w:rPr>
        <w:t>DK-2300 København S</w:t>
      </w:r>
    </w:p>
    <w:p w14:paraId="46C2A4E5" w14:textId="77777777" w:rsidR="00266E67" w:rsidRPr="00155A7C" w:rsidRDefault="00266E67" w:rsidP="00E15661">
      <w:pPr>
        <w:ind w:left="851"/>
        <w:rPr>
          <w:rFonts w:eastAsia="Calibri"/>
          <w:sz w:val="24"/>
          <w:szCs w:val="24"/>
          <w:lang w:eastAsia="zh-CN"/>
        </w:rPr>
      </w:pPr>
      <w:r w:rsidRPr="00155A7C">
        <w:rPr>
          <w:rFonts w:eastAsia="Calibri"/>
          <w:sz w:val="24"/>
          <w:szCs w:val="24"/>
          <w:lang w:eastAsia="zh-CN"/>
        </w:rPr>
        <w:t xml:space="preserve">Websted: </w:t>
      </w:r>
      <w:hyperlink r:id="rId9" w:history="1">
        <w:r w:rsidRPr="00155A7C">
          <w:rPr>
            <w:rStyle w:val="Hyperlink"/>
            <w:rFonts w:eastAsia="Calibri"/>
            <w:color w:val="0000FF"/>
            <w:sz w:val="24"/>
            <w:szCs w:val="24"/>
            <w:lang w:eastAsia="zh-CN"/>
          </w:rPr>
          <w:t>www.meldenbivirkning.dk</w:t>
        </w:r>
      </w:hyperlink>
    </w:p>
    <w:p w14:paraId="0BDACAE0" w14:textId="77777777" w:rsidR="009260DE" w:rsidRPr="00155A7C" w:rsidRDefault="009260DE" w:rsidP="00E15661">
      <w:pPr>
        <w:ind w:left="851"/>
        <w:rPr>
          <w:sz w:val="24"/>
          <w:szCs w:val="24"/>
        </w:rPr>
      </w:pPr>
    </w:p>
    <w:p w14:paraId="63A59B76" w14:textId="77777777" w:rsidR="009260DE" w:rsidRPr="00155A7C" w:rsidRDefault="009260DE" w:rsidP="009260DE">
      <w:pPr>
        <w:tabs>
          <w:tab w:val="left" w:pos="851"/>
        </w:tabs>
        <w:ind w:left="851" w:hanging="851"/>
        <w:rPr>
          <w:b/>
          <w:sz w:val="24"/>
          <w:szCs w:val="24"/>
        </w:rPr>
      </w:pPr>
      <w:r w:rsidRPr="00155A7C">
        <w:rPr>
          <w:b/>
          <w:sz w:val="24"/>
          <w:szCs w:val="24"/>
        </w:rPr>
        <w:t>4.9</w:t>
      </w:r>
      <w:r w:rsidRPr="00155A7C">
        <w:rPr>
          <w:b/>
          <w:sz w:val="24"/>
          <w:szCs w:val="24"/>
        </w:rPr>
        <w:tab/>
        <w:t>Overdosering</w:t>
      </w:r>
    </w:p>
    <w:p w14:paraId="5709696A" w14:textId="77777777" w:rsidR="00266E67" w:rsidRPr="00155A7C" w:rsidRDefault="00266E67" w:rsidP="00E15661">
      <w:pPr>
        <w:ind w:left="851"/>
        <w:rPr>
          <w:sz w:val="24"/>
          <w:szCs w:val="24"/>
          <w:lang w:eastAsia="fr-FR"/>
        </w:rPr>
      </w:pPr>
      <w:r w:rsidRPr="00155A7C">
        <w:rPr>
          <w:sz w:val="24"/>
          <w:szCs w:val="24"/>
          <w:lang w:eastAsia="fr-FR"/>
        </w:rPr>
        <w:t>Der er ikke rapporteret tilfælde af overdosering i kliniske studier.</w:t>
      </w:r>
    </w:p>
    <w:p w14:paraId="23EAA0A9" w14:textId="77777777" w:rsidR="009260DE" w:rsidRPr="00155A7C" w:rsidRDefault="009260DE" w:rsidP="009260DE">
      <w:pPr>
        <w:tabs>
          <w:tab w:val="left" w:pos="851"/>
        </w:tabs>
        <w:ind w:left="851"/>
        <w:rPr>
          <w:sz w:val="24"/>
          <w:szCs w:val="24"/>
        </w:rPr>
      </w:pPr>
    </w:p>
    <w:p w14:paraId="7B222F09" w14:textId="77777777" w:rsidR="009260DE" w:rsidRPr="00155A7C" w:rsidRDefault="009260DE" w:rsidP="009260DE">
      <w:pPr>
        <w:tabs>
          <w:tab w:val="left" w:pos="851"/>
        </w:tabs>
        <w:ind w:left="851" w:hanging="851"/>
        <w:rPr>
          <w:b/>
          <w:sz w:val="24"/>
          <w:szCs w:val="24"/>
        </w:rPr>
      </w:pPr>
      <w:r w:rsidRPr="00155A7C">
        <w:rPr>
          <w:b/>
          <w:sz w:val="24"/>
          <w:szCs w:val="24"/>
        </w:rPr>
        <w:t>4.10</w:t>
      </w:r>
      <w:r w:rsidRPr="00155A7C">
        <w:rPr>
          <w:b/>
          <w:sz w:val="24"/>
          <w:szCs w:val="24"/>
        </w:rPr>
        <w:tab/>
        <w:t>Udlevering</w:t>
      </w:r>
    </w:p>
    <w:p w14:paraId="69735C96" w14:textId="4009AC3C" w:rsidR="009260DE" w:rsidRPr="00155A7C" w:rsidRDefault="000A170D" w:rsidP="009260DE">
      <w:pPr>
        <w:tabs>
          <w:tab w:val="left" w:pos="851"/>
        </w:tabs>
        <w:ind w:left="851"/>
        <w:rPr>
          <w:sz w:val="24"/>
          <w:szCs w:val="24"/>
        </w:rPr>
      </w:pPr>
      <w:r>
        <w:rPr>
          <w:sz w:val="24"/>
          <w:szCs w:val="24"/>
        </w:rPr>
        <w:t>B</w:t>
      </w:r>
    </w:p>
    <w:p w14:paraId="09B3CB20" w14:textId="77777777" w:rsidR="009260DE" w:rsidRPr="00155A7C" w:rsidRDefault="009260DE" w:rsidP="009260DE">
      <w:pPr>
        <w:tabs>
          <w:tab w:val="left" w:pos="851"/>
        </w:tabs>
        <w:ind w:left="851"/>
        <w:rPr>
          <w:sz w:val="24"/>
          <w:szCs w:val="24"/>
        </w:rPr>
      </w:pPr>
    </w:p>
    <w:p w14:paraId="51843BED" w14:textId="77777777" w:rsidR="009260DE" w:rsidRPr="00155A7C" w:rsidRDefault="009260DE" w:rsidP="009260DE">
      <w:pPr>
        <w:tabs>
          <w:tab w:val="left" w:pos="851"/>
        </w:tabs>
        <w:ind w:left="851"/>
        <w:rPr>
          <w:sz w:val="24"/>
          <w:szCs w:val="24"/>
        </w:rPr>
      </w:pPr>
    </w:p>
    <w:p w14:paraId="58FBE0DE" w14:textId="77777777" w:rsidR="009260DE" w:rsidRPr="00155A7C" w:rsidRDefault="009260DE" w:rsidP="009260DE">
      <w:pPr>
        <w:tabs>
          <w:tab w:val="left" w:pos="851"/>
        </w:tabs>
        <w:ind w:left="851" w:hanging="851"/>
        <w:rPr>
          <w:b/>
          <w:sz w:val="24"/>
          <w:szCs w:val="24"/>
        </w:rPr>
      </w:pPr>
      <w:r w:rsidRPr="00155A7C">
        <w:rPr>
          <w:b/>
          <w:sz w:val="24"/>
          <w:szCs w:val="24"/>
        </w:rPr>
        <w:t>5.</w:t>
      </w:r>
      <w:r w:rsidRPr="00155A7C">
        <w:rPr>
          <w:b/>
          <w:sz w:val="24"/>
          <w:szCs w:val="24"/>
        </w:rPr>
        <w:tab/>
        <w:t>FARMAKOLOGISKE EGENSKABER</w:t>
      </w:r>
    </w:p>
    <w:p w14:paraId="51EE8275" w14:textId="77777777" w:rsidR="009260DE" w:rsidRPr="00155A7C" w:rsidRDefault="009260DE" w:rsidP="009260DE">
      <w:pPr>
        <w:tabs>
          <w:tab w:val="left" w:pos="851"/>
        </w:tabs>
        <w:ind w:left="851"/>
        <w:rPr>
          <w:sz w:val="24"/>
          <w:szCs w:val="24"/>
        </w:rPr>
      </w:pPr>
    </w:p>
    <w:p w14:paraId="460FAC3A" w14:textId="77777777" w:rsidR="009260DE" w:rsidRPr="00155A7C" w:rsidRDefault="009260DE" w:rsidP="009260DE">
      <w:pPr>
        <w:tabs>
          <w:tab w:val="num" w:pos="851"/>
        </w:tabs>
        <w:ind w:left="851" w:hanging="851"/>
        <w:rPr>
          <w:b/>
          <w:sz w:val="24"/>
          <w:szCs w:val="24"/>
        </w:rPr>
      </w:pPr>
      <w:r w:rsidRPr="00155A7C">
        <w:rPr>
          <w:b/>
          <w:sz w:val="24"/>
          <w:szCs w:val="24"/>
        </w:rPr>
        <w:t>5.1</w:t>
      </w:r>
      <w:r w:rsidRPr="00155A7C">
        <w:rPr>
          <w:b/>
          <w:sz w:val="24"/>
          <w:szCs w:val="24"/>
        </w:rPr>
        <w:tab/>
      </w:r>
      <w:proofErr w:type="spellStart"/>
      <w:r w:rsidRPr="00155A7C">
        <w:rPr>
          <w:b/>
          <w:sz w:val="24"/>
          <w:szCs w:val="24"/>
        </w:rPr>
        <w:t>Farmakodynamiske</w:t>
      </w:r>
      <w:proofErr w:type="spellEnd"/>
      <w:r w:rsidRPr="00155A7C">
        <w:rPr>
          <w:b/>
          <w:sz w:val="24"/>
          <w:szCs w:val="24"/>
        </w:rPr>
        <w:t xml:space="preserve"> egenskaber</w:t>
      </w:r>
    </w:p>
    <w:p w14:paraId="1707CEF3" w14:textId="77777777" w:rsidR="000A170D" w:rsidRDefault="00266E67" w:rsidP="00E15661">
      <w:pPr>
        <w:ind w:left="851"/>
        <w:rPr>
          <w:sz w:val="24"/>
          <w:szCs w:val="24"/>
          <w:lang w:eastAsia="fr-FR"/>
        </w:rPr>
      </w:pPr>
      <w:proofErr w:type="spellStart"/>
      <w:r w:rsidRPr="00155A7C">
        <w:rPr>
          <w:sz w:val="24"/>
          <w:szCs w:val="24"/>
          <w:lang w:eastAsia="fr-FR"/>
        </w:rPr>
        <w:t>Farmakoterapeutisk</w:t>
      </w:r>
      <w:proofErr w:type="spellEnd"/>
      <w:r w:rsidRPr="00155A7C">
        <w:rPr>
          <w:sz w:val="24"/>
          <w:szCs w:val="24"/>
          <w:lang w:eastAsia="fr-FR"/>
        </w:rPr>
        <w:t xml:space="preserve"> klassifikation: Rabies vacciner, ATC-kode: J07BG01.</w:t>
      </w:r>
    </w:p>
    <w:p w14:paraId="508324EA" w14:textId="77777777" w:rsidR="000A170D" w:rsidRDefault="000A170D" w:rsidP="00E15661">
      <w:pPr>
        <w:ind w:left="851"/>
        <w:rPr>
          <w:sz w:val="24"/>
          <w:szCs w:val="24"/>
          <w:u w:val="single"/>
          <w:lang w:eastAsia="fr-FR"/>
        </w:rPr>
      </w:pPr>
    </w:p>
    <w:p w14:paraId="49F8D19F" w14:textId="219AF3AE" w:rsidR="00266E67" w:rsidRPr="00155A7C" w:rsidRDefault="00266E67" w:rsidP="00E15661">
      <w:pPr>
        <w:ind w:left="851"/>
        <w:rPr>
          <w:sz w:val="24"/>
          <w:szCs w:val="24"/>
          <w:u w:val="single"/>
          <w:lang w:eastAsia="fr-FR"/>
        </w:rPr>
      </w:pPr>
      <w:r w:rsidRPr="00155A7C">
        <w:rPr>
          <w:sz w:val="24"/>
          <w:szCs w:val="24"/>
          <w:u w:val="single"/>
          <w:lang w:eastAsia="fr-FR"/>
        </w:rPr>
        <w:t>Virkningsmekanisme</w:t>
      </w:r>
    </w:p>
    <w:p w14:paraId="698E9DE5" w14:textId="77777777" w:rsidR="00266E67" w:rsidRPr="00155A7C" w:rsidRDefault="00266E67" w:rsidP="00E15661">
      <w:pPr>
        <w:ind w:left="851"/>
        <w:rPr>
          <w:sz w:val="24"/>
          <w:szCs w:val="24"/>
          <w:lang w:eastAsia="fr-FR"/>
        </w:rPr>
      </w:pPr>
      <w:r w:rsidRPr="00155A7C">
        <w:rPr>
          <w:sz w:val="24"/>
          <w:szCs w:val="24"/>
          <w:lang w:eastAsia="fr-FR"/>
        </w:rPr>
        <w:t>Efter vaccination ydes beskyttelse ved induktion af anti-rabies-neutraliserende antistoffer.</w:t>
      </w:r>
    </w:p>
    <w:p w14:paraId="1F4C51EE" w14:textId="77777777" w:rsidR="00266E67" w:rsidRPr="00155A7C" w:rsidRDefault="00266E67" w:rsidP="00E15661">
      <w:pPr>
        <w:ind w:left="851"/>
        <w:rPr>
          <w:sz w:val="24"/>
          <w:szCs w:val="24"/>
        </w:rPr>
      </w:pPr>
      <w:r w:rsidRPr="00155A7C">
        <w:rPr>
          <w:sz w:val="24"/>
          <w:szCs w:val="24"/>
        </w:rPr>
        <w:t xml:space="preserve">Kliniske studier er blevet udført for at vurdere vaccinens </w:t>
      </w:r>
      <w:proofErr w:type="spellStart"/>
      <w:r w:rsidRPr="00155A7C">
        <w:rPr>
          <w:sz w:val="24"/>
          <w:szCs w:val="24"/>
        </w:rPr>
        <w:t>immunogenicitet</w:t>
      </w:r>
      <w:proofErr w:type="spellEnd"/>
      <w:r w:rsidRPr="00155A7C">
        <w:rPr>
          <w:sz w:val="24"/>
          <w:szCs w:val="24"/>
        </w:rPr>
        <w:t xml:space="preserve"> i post-eksponerings- og præ-eksponeringsprofylakse. Rabiesvirus-neutraliserende antistofniveauer på ≥ 0,5 IE/ml anses for at være beskyttende ifølge WHO.</w:t>
      </w:r>
    </w:p>
    <w:p w14:paraId="7D69762A" w14:textId="77777777" w:rsidR="000A170D" w:rsidRDefault="000A170D" w:rsidP="00E15661">
      <w:pPr>
        <w:ind w:left="851"/>
        <w:rPr>
          <w:sz w:val="24"/>
          <w:szCs w:val="24"/>
          <w:u w:val="single"/>
          <w:lang w:eastAsia="fr-FR"/>
        </w:rPr>
      </w:pPr>
    </w:p>
    <w:p w14:paraId="4DEFD4FA" w14:textId="522C0284" w:rsidR="00266E67" w:rsidRPr="00155A7C" w:rsidRDefault="00266E67" w:rsidP="00E15661">
      <w:pPr>
        <w:ind w:left="851"/>
        <w:rPr>
          <w:sz w:val="24"/>
          <w:szCs w:val="24"/>
          <w:u w:val="single"/>
          <w:lang w:eastAsia="fr-FR"/>
        </w:rPr>
      </w:pPr>
      <w:r w:rsidRPr="00155A7C">
        <w:rPr>
          <w:sz w:val="24"/>
          <w:szCs w:val="24"/>
          <w:u w:val="single"/>
          <w:lang w:eastAsia="fr-FR"/>
        </w:rPr>
        <w:t>Præ-eksponeringsprofylakse</w:t>
      </w:r>
    </w:p>
    <w:p w14:paraId="04CA5989" w14:textId="77777777" w:rsidR="00266E67" w:rsidRPr="00155A7C" w:rsidRDefault="00266E67" w:rsidP="00E15661">
      <w:pPr>
        <w:ind w:left="851"/>
        <w:rPr>
          <w:sz w:val="24"/>
          <w:szCs w:val="24"/>
          <w:lang w:eastAsia="fr-FR"/>
        </w:rPr>
      </w:pPr>
      <w:r w:rsidRPr="00155A7C">
        <w:rPr>
          <w:sz w:val="24"/>
          <w:szCs w:val="24"/>
          <w:lang w:eastAsia="fr-FR"/>
        </w:rPr>
        <w:t xml:space="preserve">I kliniske studier, der vurderede et 3-dosis-vaccineregime (D0, D7, D28 [eller D21]) hos både voksne og børn, opnående alle forsøgspersoner et tilstrækkeligt immunrespons med serum-neutraliserende </w:t>
      </w:r>
      <w:proofErr w:type="spellStart"/>
      <w:r w:rsidRPr="00155A7C">
        <w:rPr>
          <w:sz w:val="24"/>
          <w:szCs w:val="24"/>
          <w:lang w:eastAsia="fr-FR"/>
        </w:rPr>
        <w:t>antistoftitre</w:t>
      </w:r>
      <w:proofErr w:type="spellEnd"/>
      <w:r w:rsidRPr="00155A7C">
        <w:rPr>
          <w:sz w:val="24"/>
          <w:szCs w:val="24"/>
          <w:lang w:eastAsia="fr-FR"/>
        </w:rPr>
        <w:t xml:space="preserve"> ≥ 0,5 IE/ml på D14 efter afslutningen af det primære vaccineregime.</w:t>
      </w:r>
    </w:p>
    <w:p w14:paraId="2A9917ED" w14:textId="77777777" w:rsidR="000A170D" w:rsidRDefault="000A170D" w:rsidP="00E15661">
      <w:pPr>
        <w:ind w:left="851"/>
        <w:rPr>
          <w:sz w:val="24"/>
          <w:szCs w:val="24"/>
          <w:lang w:eastAsia="fr-FR"/>
        </w:rPr>
      </w:pPr>
    </w:p>
    <w:p w14:paraId="4294D6AF" w14:textId="77777777" w:rsidR="008446A4" w:rsidRDefault="008446A4" w:rsidP="008446A4">
      <w:pPr>
        <w:ind w:left="851"/>
        <w:rPr>
          <w:sz w:val="24"/>
          <w:szCs w:val="24"/>
          <w:lang w:eastAsia="fr-FR"/>
        </w:rPr>
      </w:pPr>
      <w:r w:rsidRPr="00155A7C">
        <w:rPr>
          <w:sz w:val="24"/>
          <w:szCs w:val="24"/>
          <w:lang w:eastAsia="fr-FR"/>
        </w:rPr>
        <w:t xml:space="preserve">En 10-årig opfølgning hos 49 patienter, som fik et 3-dosis-regime (D0, D7 og D28) efterfulgt af en booster-dosis efter 1 år, viste et vedvarende immunrespons med </w:t>
      </w:r>
      <w:r w:rsidRPr="00155A7C">
        <w:rPr>
          <w:sz w:val="24"/>
          <w:szCs w:val="24"/>
          <w:lang w:eastAsia="fr-FR"/>
        </w:rPr>
        <w:lastRenderedPageBreak/>
        <w:t xml:space="preserve">neutraliserende </w:t>
      </w:r>
      <w:proofErr w:type="spellStart"/>
      <w:r w:rsidRPr="00155A7C">
        <w:rPr>
          <w:sz w:val="24"/>
          <w:szCs w:val="24"/>
          <w:lang w:eastAsia="fr-FR"/>
        </w:rPr>
        <w:t>antistoftitre</w:t>
      </w:r>
      <w:proofErr w:type="spellEnd"/>
      <w:r w:rsidRPr="00155A7C">
        <w:rPr>
          <w:sz w:val="24"/>
          <w:szCs w:val="24"/>
          <w:lang w:eastAsia="fr-FR"/>
        </w:rPr>
        <w:t>, som blev opretholdt i 10 år hos 96,9 % af vaccinerede forsøgspersoner.</w:t>
      </w:r>
    </w:p>
    <w:p w14:paraId="62FCCEA4" w14:textId="77777777" w:rsidR="008446A4" w:rsidRDefault="008446A4" w:rsidP="008446A4">
      <w:pPr>
        <w:ind w:left="851"/>
        <w:rPr>
          <w:sz w:val="24"/>
          <w:szCs w:val="24"/>
          <w:lang w:eastAsia="fr-FR"/>
        </w:rPr>
      </w:pPr>
    </w:p>
    <w:p w14:paraId="179045F8" w14:textId="77777777" w:rsidR="008446A4" w:rsidRDefault="008446A4" w:rsidP="008446A4">
      <w:pPr>
        <w:ind w:left="851"/>
        <w:rPr>
          <w:sz w:val="24"/>
          <w:szCs w:val="24"/>
          <w:lang w:eastAsia="fr-FR"/>
        </w:rPr>
      </w:pPr>
      <w:r>
        <w:rPr>
          <w:sz w:val="24"/>
          <w:szCs w:val="24"/>
          <w:lang w:eastAsia="fr-FR"/>
        </w:rPr>
        <w:t xml:space="preserve">1-uges præ-eksponeringsvaccinationsplanen via </w:t>
      </w:r>
      <w:proofErr w:type="spellStart"/>
      <w:r>
        <w:rPr>
          <w:sz w:val="24"/>
          <w:szCs w:val="24"/>
          <w:lang w:eastAsia="fr-FR"/>
        </w:rPr>
        <w:t>i.m</w:t>
      </w:r>
      <w:proofErr w:type="spellEnd"/>
      <w:r>
        <w:rPr>
          <w:sz w:val="24"/>
          <w:szCs w:val="24"/>
          <w:lang w:eastAsia="fr-FR"/>
        </w:rPr>
        <w:t xml:space="preserve">.-administrationsvej (én 0,5 ml dosis ved D0 og én 0,5 ml dosis ved D7) blev vurderet i ét studie (VAJ00001) med 75 forsøgspersoner (herunder 35 børn fra 2 til 17 år). </w:t>
      </w:r>
    </w:p>
    <w:p w14:paraId="14D8ED26" w14:textId="77777777" w:rsidR="008446A4" w:rsidRDefault="008446A4" w:rsidP="008446A4">
      <w:pPr>
        <w:ind w:left="851"/>
        <w:rPr>
          <w:sz w:val="22"/>
          <w:szCs w:val="22"/>
        </w:rPr>
      </w:pPr>
      <w:r>
        <w:rPr>
          <w:sz w:val="24"/>
          <w:szCs w:val="24"/>
          <w:lang w:eastAsia="fr-FR"/>
        </w:rPr>
        <w:t>Ved D21 opnåede 98,6 % af forsøgspersonerne serum-</w:t>
      </w:r>
      <w:proofErr w:type="spellStart"/>
      <w:r>
        <w:rPr>
          <w:sz w:val="24"/>
          <w:szCs w:val="24"/>
          <w:lang w:eastAsia="fr-FR"/>
        </w:rPr>
        <w:t>antistoftitre</w:t>
      </w:r>
      <w:proofErr w:type="spellEnd"/>
      <w:r>
        <w:rPr>
          <w:sz w:val="24"/>
          <w:szCs w:val="24"/>
          <w:lang w:eastAsia="fr-FR"/>
        </w:rPr>
        <w:t xml:space="preserve"> på </w:t>
      </w:r>
      <w:r w:rsidRPr="000627FE">
        <w:rPr>
          <w:sz w:val="22"/>
          <w:szCs w:val="22"/>
        </w:rPr>
        <w:t>≥</w:t>
      </w:r>
      <w:r>
        <w:rPr>
          <w:sz w:val="22"/>
          <w:szCs w:val="22"/>
        </w:rPr>
        <w:t xml:space="preserve"> 0,5 IE/ml. </w:t>
      </w:r>
    </w:p>
    <w:p w14:paraId="610E8B2B" w14:textId="77777777" w:rsidR="008446A4" w:rsidRDefault="008446A4" w:rsidP="008446A4">
      <w:pPr>
        <w:ind w:left="851"/>
        <w:rPr>
          <w:sz w:val="24"/>
          <w:szCs w:val="24"/>
          <w:lang w:eastAsia="fr-FR"/>
        </w:rPr>
      </w:pPr>
      <w:r>
        <w:rPr>
          <w:sz w:val="24"/>
          <w:szCs w:val="24"/>
          <w:lang w:eastAsia="fr-FR"/>
        </w:rPr>
        <w:t xml:space="preserve">Et år senere, efter en simuleret PEP med to doser på 0,5 ml, injiceret med 3 dages mellemrum (ved D0 og D3) via </w:t>
      </w:r>
      <w:proofErr w:type="spellStart"/>
      <w:r>
        <w:rPr>
          <w:sz w:val="24"/>
          <w:szCs w:val="24"/>
          <w:lang w:eastAsia="fr-FR"/>
        </w:rPr>
        <w:t>i.m</w:t>
      </w:r>
      <w:proofErr w:type="spellEnd"/>
      <w:r>
        <w:rPr>
          <w:sz w:val="24"/>
          <w:szCs w:val="24"/>
          <w:lang w:eastAsia="fr-FR"/>
        </w:rPr>
        <w:t xml:space="preserve">.-administrationsvej, blev der på D7 (7 dage efter 1. PEP dosis) påvist et højt og hurtigt </w:t>
      </w:r>
      <w:proofErr w:type="spellStart"/>
      <w:r>
        <w:rPr>
          <w:sz w:val="24"/>
          <w:szCs w:val="24"/>
          <w:lang w:eastAsia="fr-FR"/>
        </w:rPr>
        <w:t>anamnestisk</w:t>
      </w:r>
      <w:proofErr w:type="spellEnd"/>
      <w:r>
        <w:rPr>
          <w:sz w:val="24"/>
          <w:szCs w:val="24"/>
          <w:lang w:eastAsia="fr-FR"/>
        </w:rPr>
        <w:t xml:space="preserve"> respons hos alle forsøgspersonerne.</w:t>
      </w:r>
    </w:p>
    <w:p w14:paraId="05FDCB97" w14:textId="77777777" w:rsidR="008446A4" w:rsidRDefault="008446A4" w:rsidP="008446A4">
      <w:pPr>
        <w:ind w:left="851"/>
        <w:rPr>
          <w:sz w:val="24"/>
          <w:szCs w:val="24"/>
          <w:lang w:eastAsia="fr-FR"/>
        </w:rPr>
      </w:pPr>
    </w:p>
    <w:p w14:paraId="74780099" w14:textId="77777777" w:rsidR="008446A4" w:rsidRPr="003B582C" w:rsidRDefault="008446A4" w:rsidP="008446A4">
      <w:pPr>
        <w:ind w:left="851"/>
        <w:rPr>
          <w:sz w:val="24"/>
          <w:szCs w:val="24"/>
          <w:lang w:eastAsia="fr-FR"/>
        </w:rPr>
      </w:pPr>
      <w:r>
        <w:rPr>
          <w:sz w:val="24"/>
          <w:szCs w:val="24"/>
          <w:lang w:eastAsia="fr-FR"/>
        </w:rPr>
        <w:t xml:space="preserve">I 5 andre understøttende studier, der blev udført med </w:t>
      </w:r>
      <w:proofErr w:type="spellStart"/>
      <w:r>
        <w:rPr>
          <w:sz w:val="24"/>
          <w:szCs w:val="24"/>
          <w:lang w:eastAsia="fr-FR"/>
        </w:rPr>
        <w:t>Verorab</w:t>
      </w:r>
      <w:proofErr w:type="spellEnd"/>
      <w:r>
        <w:rPr>
          <w:sz w:val="24"/>
          <w:szCs w:val="24"/>
          <w:lang w:eastAsia="fr-FR"/>
        </w:rPr>
        <w:t xml:space="preserve"> med i alt 392 forsøgspersoner i forbindelse med vurdering af et konventionelt 3-dosis-regime (ved D0, D7, D21 eller D28) via </w:t>
      </w:r>
      <w:proofErr w:type="spellStart"/>
      <w:r>
        <w:rPr>
          <w:sz w:val="24"/>
          <w:szCs w:val="24"/>
          <w:lang w:eastAsia="fr-FR"/>
        </w:rPr>
        <w:t>i.m</w:t>
      </w:r>
      <w:proofErr w:type="spellEnd"/>
      <w:r>
        <w:rPr>
          <w:sz w:val="24"/>
          <w:szCs w:val="24"/>
          <w:lang w:eastAsia="fr-FR"/>
        </w:rPr>
        <w:t>. administrationsvej, opnåede alle forsøgspersoner en serum-</w:t>
      </w:r>
      <w:proofErr w:type="spellStart"/>
      <w:r>
        <w:rPr>
          <w:sz w:val="24"/>
          <w:szCs w:val="24"/>
          <w:lang w:eastAsia="fr-FR"/>
        </w:rPr>
        <w:t>antistoftiter</w:t>
      </w:r>
      <w:proofErr w:type="spellEnd"/>
      <w:r>
        <w:rPr>
          <w:sz w:val="24"/>
          <w:szCs w:val="24"/>
          <w:lang w:eastAsia="fr-FR"/>
        </w:rPr>
        <w:t xml:space="preserve"> </w:t>
      </w:r>
      <w:r w:rsidRPr="003B582C">
        <w:rPr>
          <w:sz w:val="24"/>
          <w:szCs w:val="24"/>
        </w:rPr>
        <w:t>≥</w:t>
      </w:r>
      <w:r>
        <w:rPr>
          <w:sz w:val="24"/>
          <w:szCs w:val="24"/>
        </w:rPr>
        <w:t> </w:t>
      </w:r>
      <w:r w:rsidRPr="003B582C">
        <w:rPr>
          <w:sz w:val="24"/>
          <w:szCs w:val="24"/>
        </w:rPr>
        <w:t>0,5</w:t>
      </w:r>
      <w:r>
        <w:rPr>
          <w:sz w:val="24"/>
          <w:szCs w:val="24"/>
        </w:rPr>
        <w:t> </w:t>
      </w:r>
      <w:r w:rsidRPr="003B582C">
        <w:rPr>
          <w:sz w:val="24"/>
          <w:szCs w:val="24"/>
        </w:rPr>
        <w:t>IE/ml, ved D21 eller D28, efter de 2</w:t>
      </w:r>
      <w:r>
        <w:rPr>
          <w:sz w:val="24"/>
          <w:szCs w:val="24"/>
        </w:rPr>
        <w:t> </w:t>
      </w:r>
      <w:r w:rsidRPr="003B582C">
        <w:rPr>
          <w:sz w:val="24"/>
          <w:szCs w:val="24"/>
        </w:rPr>
        <w:t xml:space="preserve">doser (ved D0 og D7), lige før injektion af den tredje dosis. </w:t>
      </w:r>
    </w:p>
    <w:p w14:paraId="3ABBD5E2" w14:textId="77777777" w:rsidR="008446A4" w:rsidRDefault="008446A4" w:rsidP="008446A4">
      <w:pPr>
        <w:ind w:left="851"/>
        <w:rPr>
          <w:sz w:val="24"/>
          <w:szCs w:val="24"/>
          <w:lang w:eastAsia="fr-FR"/>
        </w:rPr>
      </w:pPr>
    </w:p>
    <w:p w14:paraId="530912F2" w14:textId="77777777" w:rsidR="008446A4" w:rsidRDefault="008446A4" w:rsidP="008446A4">
      <w:pPr>
        <w:ind w:left="851"/>
        <w:rPr>
          <w:sz w:val="24"/>
          <w:szCs w:val="24"/>
          <w:lang w:eastAsia="fr-FR"/>
        </w:rPr>
      </w:pPr>
      <w:r>
        <w:rPr>
          <w:sz w:val="24"/>
          <w:szCs w:val="24"/>
          <w:lang w:eastAsia="fr-FR"/>
        </w:rPr>
        <w:t xml:space="preserve">Det 1-uges præ-eksponeringsvaccinationsplan via </w:t>
      </w:r>
      <w:proofErr w:type="spellStart"/>
      <w:r>
        <w:rPr>
          <w:sz w:val="24"/>
          <w:szCs w:val="24"/>
          <w:lang w:eastAsia="fr-FR"/>
        </w:rPr>
        <w:t>intradermal</w:t>
      </w:r>
      <w:proofErr w:type="spellEnd"/>
      <w:r>
        <w:rPr>
          <w:sz w:val="24"/>
          <w:szCs w:val="24"/>
          <w:lang w:eastAsia="fr-FR"/>
        </w:rPr>
        <w:t xml:space="preserve"> administrationsvej (to 0,1 ml doser ved D0 og to 0,1 ml doser ved D7) blev vurderet i ét studie med 75 forsøgspersoner (herunder 36 børn fra 2 til 17 år). </w:t>
      </w:r>
    </w:p>
    <w:p w14:paraId="1E28B192" w14:textId="77777777" w:rsidR="008446A4" w:rsidRDefault="008446A4" w:rsidP="008446A4">
      <w:pPr>
        <w:ind w:left="851"/>
        <w:rPr>
          <w:sz w:val="22"/>
          <w:szCs w:val="22"/>
        </w:rPr>
      </w:pPr>
      <w:r>
        <w:rPr>
          <w:sz w:val="24"/>
          <w:szCs w:val="24"/>
          <w:lang w:eastAsia="fr-FR"/>
        </w:rPr>
        <w:t>Ved D21 opnåede 97,2 % af forsøgspersonerne en serum-</w:t>
      </w:r>
      <w:proofErr w:type="spellStart"/>
      <w:r>
        <w:rPr>
          <w:sz w:val="24"/>
          <w:szCs w:val="24"/>
          <w:lang w:eastAsia="fr-FR"/>
        </w:rPr>
        <w:t>antistoftiter</w:t>
      </w:r>
      <w:proofErr w:type="spellEnd"/>
      <w:r>
        <w:rPr>
          <w:sz w:val="24"/>
          <w:szCs w:val="24"/>
          <w:lang w:eastAsia="fr-FR"/>
        </w:rPr>
        <w:t xml:space="preserve"> på </w:t>
      </w:r>
      <w:r w:rsidRPr="003B582C">
        <w:rPr>
          <w:sz w:val="24"/>
          <w:szCs w:val="24"/>
        </w:rPr>
        <w:t>≥</w:t>
      </w:r>
      <w:r>
        <w:rPr>
          <w:sz w:val="24"/>
          <w:szCs w:val="24"/>
        </w:rPr>
        <w:t> </w:t>
      </w:r>
      <w:r w:rsidRPr="003B582C">
        <w:rPr>
          <w:sz w:val="24"/>
          <w:szCs w:val="24"/>
        </w:rPr>
        <w:t>0,5</w:t>
      </w:r>
      <w:r>
        <w:rPr>
          <w:sz w:val="24"/>
          <w:szCs w:val="24"/>
        </w:rPr>
        <w:t> </w:t>
      </w:r>
      <w:r w:rsidRPr="003B582C">
        <w:rPr>
          <w:sz w:val="24"/>
          <w:szCs w:val="24"/>
        </w:rPr>
        <w:t xml:space="preserve">IE/ml. </w:t>
      </w:r>
    </w:p>
    <w:p w14:paraId="1A30F7D9" w14:textId="77777777" w:rsidR="008446A4" w:rsidRDefault="008446A4" w:rsidP="008446A4">
      <w:pPr>
        <w:ind w:left="851"/>
        <w:rPr>
          <w:sz w:val="24"/>
          <w:szCs w:val="24"/>
          <w:lang w:eastAsia="fr-FR"/>
        </w:rPr>
      </w:pPr>
      <w:r>
        <w:rPr>
          <w:sz w:val="24"/>
          <w:szCs w:val="24"/>
          <w:lang w:eastAsia="fr-FR"/>
        </w:rPr>
        <w:t xml:space="preserve">Et år senere, efter en simuleret PEP med to doser på 0,1 ml injiceret med 3 dages mellemrum (ved D0 og D3) via </w:t>
      </w:r>
      <w:proofErr w:type="spellStart"/>
      <w:r>
        <w:rPr>
          <w:sz w:val="24"/>
          <w:szCs w:val="24"/>
          <w:lang w:eastAsia="fr-FR"/>
        </w:rPr>
        <w:t>i.d</w:t>
      </w:r>
      <w:proofErr w:type="spellEnd"/>
      <w:r>
        <w:rPr>
          <w:sz w:val="24"/>
          <w:szCs w:val="24"/>
          <w:lang w:eastAsia="fr-FR"/>
        </w:rPr>
        <w:t xml:space="preserve">. administrationsvej, blev der på D7 påvist et højt og hurtigt </w:t>
      </w:r>
      <w:proofErr w:type="spellStart"/>
      <w:r>
        <w:rPr>
          <w:sz w:val="24"/>
          <w:szCs w:val="24"/>
          <w:lang w:eastAsia="fr-FR"/>
        </w:rPr>
        <w:t>anamnestisk</w:t>
      </w:r>
      <w:proofErr w:type="spellEnd"/>
      <w:r>
        <w:rPr>
          <w:sz w:val="24"/>
          <w:szCs w:val="24"/>
          <w:lang w:eastAsia="fr-FR"/>
        </w:rPr>
        <w:t xml:space="preserve"> respons hos alle forsøgspersoner, med undtagelse af én forsøgsperson, der forblev </w:t>
      </w:r>
      <w:proofErr w:type="spellStart"/>
      <w:r>
        <w:rPr>
          <w:sz w:val="24"/>
          <w:szCs w:val="24"/>
          <w:lang w:eastAsia="fr-FR"/>
        </w:rPr>
        <w:t>seronegativ</w:t>
      </w:r>
      <w:proofErr w:type="spellEnd"/>
      <w:r>
        <w:rPr>
          <w:sz w:val="24"/>
          <w:szCs w:val="24"/>
          <w:lang w:eastAsia="fr-FR"/>
        </w:rPr>
        <w:t xml:space="preserve"> på alle tidspunkter på trods af at have gennemført alle studievaccinationer. </w:t>
      </w:r>
    </w:p>
    <w:p w14:paraId="63A0F016" w14:textId="77777777" w:rsidR="008446A4" w:rsidRDefault="008446A4" w:rsidP="008446A4">
      <w:pPr>
        <w:ind w:left="851"/>
        <w:rPr>
          <w:sz w:val="24"/>
          <w:szCs w:val="24"/>
          <w:lang w:eastAsia="fr-FR"/>
        </w:rPr>
      </w:pPr>
    </w:p>
    <w:p w14:paraId="302754EF" w14:textId="77777777" w:rsidR="008446A4" w:rsidRPr="00155A7C" w:rsidRDefault="008446A4" w:rsidP="008446A4">
      <w:pPr>
        <w:ind w:left="851"/>
        <w:rPr>
          <w:sz w:val="24"/>
          <w:szCs w:val="24"/>
          <w:lang w:eastAsia="fr-FR"/>
        </w:rPr>
      </w:pPr>
      <w:r>
        <w:rPr>
          <w:sz w:val="24"/>
          <w:szCs w:val="24"/>
          <w:lang w:eastAsia="fr-FR"/>
        </w:rPr>
        <w:t xml:space="preserve">I et andet understøttende studie udført med 430 forsøgspersoner, der modtog én dosis på 0,1 ml </w:t>
      </w:r>
      <w:proofErr w:type="spellStart"/>
      <w:r>
        <w:rPr>
          <w:sz w:val="24"/>
          <w:szCs w:val="24"/>
          <w:lang w:eastAsia="fr-FR"/>
        </w:rPr>
        <w:t>Verorab</w:t>
      </w:r>
      <w:proofErr w:type="spellEnd"/>
      <w:r>
        <w:rPr>
          <w:sz w:val="24"/>
          <w:szCs w:val="24"/>
          <w:lang w:eastAsia="fr-FR"/>
        </w:rPr>
        <w:t xml:space="preserve"> ved D0 og én dosis på 0,1 ml ved D7 via </w:t>
      </w:r>
      <w:proofErr w:type="spellStart"/>
      <w:r>
        <w:rPr>
          <w:sz w:val="24"/>
          <w:szCs w:val="24"/>
          <w:lang w:eastAsia="fr-FR"/>
        </w:rPr>
        <w:t>i.d</w:t>
      </w:r>
      <w:proofErr w:type="spellEnd"/>
      <w:r>
        <w:rPr>
          <w:sz w:val="24"/>
          <w:szCs w:val="24"/>
          <w:lang w:eastAsia="fr-FR"/>
        </w:rPr>
        <w:t>. administrationsvej, opnåede 99,1 % af forsøgspersonerne en serum-</w:t>
      </w:r>
      <w:proofErr w:type="spellStart"/>
      <w:r>
        <w:rPr>
          <w:sz w:val="24"/>
          <w:szCs w:val="24"/>
          <w:lang w:eastAsia="fr-FR"/>
        </w:rPr>
        <w:t>antistoftiter</w:t>
      </w:r>
      <w:proofErr w:type="spellEnd"/>
      <w:r>
        <w:rPr>
          <w:sz w:val="24"/>
          <w:szCs w:val="24"/>
          <w:lang w:eastAsia="fr-FR"/>
        </w:rPr>
        <w:t xml:space="preserve"> </w:t>
      </w:r>
      <w:r w:rsidRPr="003B582C">
        <w:rPr>
          <w:sz w:val="24"/>
          <w:szCs w:val="24"/>
        </w:rPr>
        <w:t>≥</w:t>
      </w:r>
      <w:r>
        <w:rPr>
          <w:sz w:val="24"/>
          <w:szCs w:val="24"/>
        </w:rPr>
        <w:t> </w:t>
      </w:r>
      <w:r w:rsidRPr="003B582C">
        <w:rPr>
          <w:sz w:val="24"/>
          <w:szCs w:val="24"/>
        </w:rPr>
        <w:t>0,5</w:t>
      </w:r>
      <w:r>
        <w:rPr>
          <w:sz w:val="24"/>
          <w:szCs w:val="24"/>
        </w:rPr>
        <w:t> </w:t>
      </w:r>
      <w:r w:rsidRPr="003B582C">
        <w:rPr>
          <w:sz w:val="24"/>
          <w:szCs w:val="24"/>
        </w:rPr>
        <w:t xml:space="preserve">IE/ml ved D21. </w:t>
      </w:r>
    </w:p>
    <w:p w14:paraId="6FF21F9A" w14:textId="77777777" w:rsidR="008446A4" w:rsidRDefault="008446A4" w:rsidP="008446A4">
      <w:pPr>
        <w:ind w:left="851"/>
        <w:rPr>
          <w:sz w:val="24"/>
          <w:szCs w:val="24"/>
          <w:u w:val="single"/>
          <w:lang w:eastAsia="fr-FR"/>
        </w:rPr>
      </w:pPr>
    </w:p>
    <w:p w14:paraId="36B33B6D" w14:textId="77777777" w:rsidR="008446A4" w:rsidRPr="00155A7C" w:rsidRDefault="008446A4" w:rsidP="008446A4">
      <w:pPr>
        <w:ind w:left="851"/>
        <w:rPr>
          <w:sz w:val="24"/>
          <w:szCs w:val="24"/>
          <w:u w:val="single"/>
          <w:lang w:eastAsia="fr-FR"/>
        </w:rPr>
      </w:pPr>
      <w:r w:rsidRPr="00155A7C">
        <w:rPr>
          <w:sz w:val="24"/>
          <w:szCs w:val="24"/>
          <w:u w:val="single"/>
          <w:lang w:eastAsia="fr-FR"/>
        </w:rPr>
        <w:t>Post-eksponeringsprofylakse</w:t>
      </w:r>
    </w:p>
    <w:p w14:paraId="14FB8E68" w14:textId="77777777" w:rsidR="008446A4" w:rsidRPr="00155A7C" w:rsidRDefault="008446A4" w:rsidP="008446A4">
      <w:pPr>
        <w:ind w:left="851"/>
        <w:rPr>
          <w:sz w:val="24"/>
          <w:szCs w:val="24"/>
          <w:lang w:eastAsia="fr-FR"/>
        </w:rPr>
      </w:pPr>
      <w:r w:rsidRPr="00155A7C">
        <w:rPr>
          <w:sz w:val="24"/>
          <w:szCs w:val="24"/>
          <w:lang w:eastAsia="fr-FR"/>
        </w:rPr>
        <w:t xml:space="preserve">I kliniske studier, der vurderede det intramuskulære 5-dosis Essen-regime (D0, D3, D7, D14 og D28) og det intramuskulære 4-dosis Zagreb-regime (2 doser på D0, derefter 1 dosis på D7 og 1 dosis på D21) hos både børn og voksne, fremkaldte </w:t>
      </w:r>
      <w:proofErr w:type="spellStart"/>
      <w:r w:rsidRPr="00155A7C">
        <w:rPr>
          <w:sz w:val="24"/>
          <w:szCs w:val="24"/>
          <w:lang w:eastAsia="fr-FR"/>
        </w:rPr>
        <w:t>Verorab</w:t>
      </w:r>
      <w:proofErr w:type="spellEnd"/>
      <w:r w:rsidRPr="00155A7C">
        <w:rPr>
          <w:sz w:val="24"/>
          <w:szCs w:val="24"/>
          <w:lang w:eastAsia="fr-FR"/>
        </w:rPr>
        <w:t xml:space="preserve"> neutraliserende </w:t>
      </w:r>
      <w:proofErr w:type="spellStart"/>
      <w:r w:rsidRPr="00155A7C">
        <w:rPr>
          <w:sz w:val="24"/>
          <w:szCs w:val="24"/>
          <w:lang w:eastAsia="fr-FR"/>
        </w:rPr>
        <w:t>antistoftitre</w:t>
      </w:r>
      <w:proofErr w:type="spellEnd"/>
      <w:r w:rsidRPr="00155A7C">
        <w:rPr>
          <w:sz w:val="24"/>
          <w:szCs w:val="24"/>
          <w:lang w:eastAsia="fr-FR"/>
        </w:rPr>
        <w:t xml:space="preserve"> ≥ 0,5 IE/ml hos næsten alle vaccinerede forsøgspersoner på D14 og hos alle forsøgspersoner på D28.</w:t>
      </w:r>
    </w:p>
    <w:p w14:paraId="43F2D42D" w14:textId="77777777" w:rsidR="000A170D" w:rsidRDefault="000A170D" w:rsidP="00E15661">
      <w:pPr>
        <w:ind w:left="851"/>
        <w:rPr>
          <w:sz w:val="24"/>
          <w:szCs w:val="24"/>
          <w:lang w:eastAsia="fr-FR"/>
        </w:rPr>
      </w:pPr>
    </w:p>
    <w:p w14:paraId="620A1ABA" w14:textId="597DA369" w:rsidR="00266E67" w:rsidRPr="00155A7C" w:rsidRDefault="00266E67" w:rsidP="00E15661">
      <w:pPr>
        <w:ind w:left="851"/>
        <w:rPr>
          <w:sz w:val="24"/>
          <w:szCs w:val="24"/>
          <w:lang w:eastAsia="fr-FR"/>
        </w:rPr>
      </w:pPr>
      <w:r w:rsidRPr="00155A7C">
        <w:rPr>
          <w:sz w:val="24"/>
          <w:szCs w:val="24"/>
          <w:lang w:eastAsia="fr-FR"/>
        </w:rPr>
        <w:t>I et fase-3-studie med 600 eksponerede forsøgspersoner i alderen fra 11 måneder til 50 år, blev 2 </w:t>
      </w:r>
      <w:proofErr w:type="spellStart"/>
      <w:r w:rsidRPr="00155A7C">
        <w:rPr>
          <w:sz w:val="24"/>
          <w:szCs w:val="24"/>
          <w:lang w:eastAsia="fr-FR"/>
        </w:rPr>
        <w:t>intradermale</w:t>
      </w:r>
      <w:proofErr w:type="spellEnd"/>
      <w:r w:rsidRPr="00155A7C">
        <w:rPr>
          <w:sz w:val="24"/>
          <w:szCs w:val="24"/>
          <w:lang w:eastAsia="fr-FR"/>
        </w:rPr>
        <w:t xml:space="preserve"> post-eksponeringsprofylakse (PEP)-regimer testet: 1 regime på 4 steder på 1 uge (4 doser på D0, 4 doser på D3 og 4 doser på D7) med eller uden </w:t>
      </w:r>
      <w:proofErr w:type="spellStart"/>
      <w:r w:rsidRPr="00155A7C">
        <w:rPr>
          <w:sz w:val="24"/>
          <w:szCs w:val="24"/>
          <w:lang w:eastAsia="fr-FR"/>
        </w:rPr>
        <w:t>equine</w:t>
      </w:r>
      <w:proofErr w:type="spellEnd"/>
      <w:r w:rsidRPr="00155A7C">
        <w:rPr>
          <w:sz w:val="24"/>
          <w:szCs w:val="24"/>
          <w:lang w:eastAsia="fr-FR"/>
        </w:rPr>
        <w:t xml:space="preserve"> rabies </w:t>
      </w:r>
      <w:proofErr w:type="spellStart"/>
      <w:r w:rsidRPr="00155A7C">
        <w:rPr>
          <w:sz w:val="24"/>
          <w:szCs w:val="24"/>
          <w:lang w:eastAsia="fr-FR"/>
        </w:rPr>
        <w:t>immunoglobulin</w:t>
      </w:r>
      <w:proofErr w:type="spellEnd"/>
      <w:r w:rsidRPr="00155A7C">
        <w:rPr>
          <w:sz w:val="24"/>
          <w:szCs w:val="24"/>
          <w:lang w:eastAsia="fr-FR"/>
        </w:rPr>
        <w:t xml:space="preserve"> (ERIG) på D0, og new Thailand Red Cross-regime (2 doser på D0, 2 doser på D3, 2 doser på D7 og 2 doser på D28) med</w:t>
      </w:r>
      <w:r w:rsidRPr="00155A7C">
        <w:rPr>
          <w:i/>
          <w:iCs/>
          <w:sz w:val="24"/>
          <w:szCs w:val="24"/>
          <w:lang w:eastAsia="fr-FR"/>
        </w:rPr>
        <w:t xml:space="preserve"> </w:t>
      </w:r>
      <w:proofErr w:type="spellStart"/>
      <w:r w:rsidRPr="00155A7C">
        <w:rPr>
          <w:sz w:val="24"/>
          <w:szCs w:val="24"/>
          <w:lang w:eastAsia="fr-FR"/>
        </w:rPr>
        <w:t>equine</w:t>
      </w:r>
      <w:proofErr w:type="spellEnd"/>
      <w:r w:rsidRPr="00155A7C">
        <w:rPr>
          <w:sz w:val="24"/>
          <w:szCs w:val="24"/>
          <w:lang w:eastAsia="fr-FR"/>
        </w:rPr>
        <w:t xml:space="preserve"> rabies </w:t>
      </w:r>
      <w:proofErr w:type="spellStart"/>
      <w:r w:rsidRPr="00155A7C">
        <w:rPr>
          <w:sz w:val="24"/>
          <w:szCs w:val="24"/>
          <w:lang w:eastAsia="fr-FR"/>
        </w:rPr>
        <w:t>immunoglobulin</w:t>
      </w:r>
      <w:proofErr w:type="spellEnd"/>
      <w:r w:rsidRPr="00155A7C">
        <w:rPr>
          <w:sz w:val="24"/>
          <w:szCs w:val="24"/>
          <w:lang w:eastAsia="fr-FR"/>
        </w:rPr>
        <w:t xml:space="preserve"> (ERIG) på D0.</w:t>
      </w:r>
      <w:r w:rsidRPr="00155A7C">
        <w:rPr>
          <w:i/>
          <w:iCs/>
          <w:sz w:val="24"/>
          <w:szCs w:val="24"/>
          <w:lang w:eastAsia="fr-FR"/>
        </w:rPr>
        <w:t xml:space="preserve"> </w:t>
      </w:r>
      <w:r w:rsidRPr="00155A7C">
        <w:rPr>
          <w:sz w:val="24"/>
          <w:szCs w:val="24"/>
          <w:lang w:eastAsia="fr-FR"/>
        </w:rPr>
        <w:t xml:space="preserve">Institute </w:t>
      </w:r>
      <w:proofErr w:type="spellStart"/>
      <w:r w:rsidRPr="00155A7C">
        <w:rPr>
          <w:sz w:val="24"/>
          <w:szCs w:val="24"/>
          <w:lang w:eastAsia="fr-FR"/>
        </w:rPr>
        <w:t>Pasteur</w:t>
      </w:r>
      <w:proofErr w:type="spellEnd"/>
      <w:r w:rsidRPr="00155A7C">
        <w:rPr>
          <w:sz w:val="24"/>
          <w:szCs w:val="24"/>
          <w:lang w:eastAsia="fr-FR"/>
        </w:rPr>
        <w:t xml:space="preserve"> of Cambodia</w:t>
      </w:r>
      <w:r w:rsidRPr="00155A7C">
        <w:rPr>
          <w:i/>
          <w:iCs/>
          <w:sz w:val="24"/>
          <w:szCs w:val="24"/>
          <w:lang w:eastAsia="fr-FR"/>
        </w:rPr>
        <w:t xml:space="preserve"> </w:t>
      </w:r>
      <w:r w:rsidRPr="00155A7C">
        <w:rPr>
          <w:sz w:val="24"/>
          <w:szCs w:val="24"/>
          <w:lang w:eastAsia="fr-FR"/>
        </w:rPr>
        <w:t xml:space="preserve">(IPC)-regimet (2 doser på D0, D3 og D7) var også inkluderet i Thailand Red Cross-regimet op til D28. Næsten alle vaccinerede forsøgspersoner (98,8 %) nåede rabies-neutraliserende antistofniveauer ≥ 0,5 IE/ml på D14. Der blev ikke foretaget en direkte sammenligning af </w:t>
      </w:r>
      <w:proofErr w:type="spellStart"/>
      <w:r w:rsidRPr="00155A7C">
        <w:rPr>
          <w:sz w:val="24"/>
          <w:szCs w:val="24"/>
          <w:lang w:eastAsia="fr-FR"/>
        </w:rPr>
        <w:t>immunogeniciteten</w:t>
      </w:r>
      <w:proofErr w:type="spellEnd"/>
      <w:r w:rsidRPr="00155A7C">
        <w:rPr>
          <w:sz w:val="24"/>
          <w:szCs w:val="24"/>
          <w:lang w:eastAsia="fr-FR"/>
        </w:rPr>
        <w:t xml:space="preserve"> efter anvendelse af </w:t>
      </w:r>
      <w:proofErr w:type="spellStart"/>
      <w:r w:rsidRPr="00155A7C">
        <w:rPr>
          <w:sz w:val="24"/>
          <w:szCs w:val="24"/>
          <w:lang w:eastAsia="fr-FR"/>
        </w:rPr>
        <w:t>i.d</w:t>
      </w:r>
      <w:proofErr w:type="spellEnd"/>
      <w:r w:rsidRPr="00155A7C">
        <w:rPr>
          <w:sz w:val="24"/>
          <w:szCs w:val="24"/>
          <w:lang w:eastAsia="fr-FR"/>
        </w:rPr>
        <w:t xml:space="preserve">.- sammenlignet med </w:t>
      </w:r>
      <w:proofErr w:type="spellStart"/>
      <w:r w:rsidRPr="00155A7C">
        <w:rPr>
          <w:sz w:val="24"/>
          <w:szCs w:val="24"/>
          <w:lang w:eastAsia="fr-FR"/>
        </w:rPr>
        <w:t>i.m</w:t>
      </w:r>
      <w:proofErr w:type="spellEnd"/>
      <w:r w:rsidRPr="00155A7C">
        <w:rPr>
          <w:sz w:val="24"/>
          <w:szCs w:val="24"/>
          <w:lang w:eastAsia="fr-FR"/>
        </w:rPr>
        <w:t xml:space="preserve">.-administrationsvej. 5 år senere, og før den simulerede PEP blev modtaget, blev det beskyttende niveau af rabies-neutraliserende antistoffer opretholdt hos mere end 84 % af forsøgspersonerne, som fik et 4-steds 1-uges-regime med eller uden ERIG, og hos 64,1 % (95 % CI): 55,1; 72,3) af forsøgspersoner, der </w:t>
      </w:r>
      <w:r w:rsidRPr="00155A7C">
        <w:rPr>
          <w:sz w:val="24"/>
          <w:szCs w:val="24"/>
          <w:lang w:eastAsia="fr-FR"/>
        </w:rPr>
        <w:lastRenderedPageBreak/>
        <w:t>fik new Thailand Red Cross-regimet med ERIG. 11 dage efter den simulerede PEP med et 4-dosis i-d.-regime udført i ét besøg, nåede alle de vaccinerede forsøgspersoner rabies-neutraliserende antistofniveauer ≥ 0,5 IE/</w:t>
      </w:r>
      <w:proofErr w:type="spellStart"/>
      <w:r w:rsidRPr="00155A7C">
        <w:rPr>
          <w:sz w:val="24"/>
          <w:szCs w:val="24"/>
          <w:lang w:eastAsia="fr-FR"/>
        </w:rPr>
        <w:t>mL</w:t>
      </w:r>
      <w:proofErr w:type="spellEnd"/>
      <w:r w:rsidRPr="00155A7C">
        <w:rPr>
          <w:sz w:val="24"/>
          <w:szCs w:val="24"/>
          <w:lang w:eastAsia="fr-FR"/>
        </w:rPr>
        <w:t xml:space="preserve"> på D14 (geometrisk gennemsnitlig </w:t>
      </w:r>
      <w:proofErr w:type="spellStart"/>
      <w:r w:rsidRPr="00155A7C">
        <w:rPr>
          <w:sz w:val="24"/>
          <w:szCs w:val="24"/>
          <w:lang w:eastAsia="fr-FR"/>
        </w:rPr>
        <w:t>antistoftiter</w:t>
      </w:r>
      <w:proofErr w:type="spellEnd"/>
      <w:r w:rsidRPr="00155A7C">
        <w:rPr>
          <w:sz w:val="24"/>
          <w:szCs w:val="24"/>
          <w:lang w:eastAsia="fr-FR"/>
        </w:rPr>
        <w:t xml:space="preserve"> [GMT] mellem 138 og 193 IE/ml).</w:t>
      </w:r>
    </w:p>
    <w:p w14:paraId="2739403D" w14:textId="77777777" w:rsidR="000A170D" w:rsidRDefault="000A170D" w:rsidP="00E15661">
      <w:pPr>
        <w:ind w:left="851"/>
        <w:rPr>
          <w:sz w:val="24"/>
          <w:szCs w:val="24"/>
          <w:lang w:eastAsia="fr-FR"/>
        </w:rPr>
      </w:pPr>
    </w:p>
    <w:p w14:paraId="38B04E40" w14:textId="55C2A4CD" w:rsidR="00266E67" w:rsidRPr="00155A7C" w:rsidRDefault="00266E67" w:rsidP="00E15661">
      <w:pPr>
        <w:ind w:left="851"/>
        <w:rPr>
          <w:sz w:val="24"/>
          <w:szCs w:val="24"/>
          <w:lang w:eastAsia="fr-FR"/>
        </w:rPr>
      </w:pPr>
      <w:r w:rsidRPr="00155A7C">
        <w:rPr>
          <w:sz w:val="24"/>
          <w:szCs w:val="24"/>
          <w:lang w:eastAsia="fr-FR"/>
        </w:rPr>
        <w:t xml:space="preserve">Administration af human rabies </w:t>
      </w:r>
      <w:proofErr w:type="spellStart"/>
      <w:r w:rsidRPr="00155A7C">
        <w:rPr>
          <w:sz w:val="24"/>
          <w:szCs w:val="24"/>
          <w:lang w:eastAsia="fr-FR"/>
        </w:rPr>
        <w:t>immunoglobulin</w:t>
      </w:r>
      <w:proofErr w:type="spellEnd"/>
      <w:r w:rsidRPr="00155A7C">
        <w:rPr>
          <w:sz w:val="24"/>
          <w:szCs w:val="24"/>
          <w:lang w:eastAsia="fr-FR"/>
        </w:rPr>
        <w:t xml:space="preserve"> (HRIG) eller </w:t>
      </w:r>
      <w:proofErr w:type="spellStart"/>
      <w:r w:rsidRPr="00155A7C">
        <w:rPr>
          <w:sz w:val="24"/>
          <w:szCs w:val="24"/>
          <w:lang w:eastAsia="fr-FR"/>
        </w:rPr>
        <w:t>equine</w:t>
      </w:r>
      <w:proofErr w:type="spellEnd"/>
      <w:r w:rsidRPr="00155A7C">
        <w:rPr>
          <w:sz w:val="24"/>
          <w:szCs w:val="24"/>
          <w:lang w:eastAsia="fr-FR"/>
        </w:rPr>
        <w:t xml:space="preserve"> rabies </w:t>
      </w:r>
      <w:proofErr w:type="spellStart"/>
      <w:r w:rsidRPr="00155A7C">
        <w:rPr>
          <w:sz w:val="24"/>
          <w:szCs w:val="24"/>
          <w:lang w:eastAsia="fr-FR"/>
        </w:rPr>
        <w:t>immunoglobulin</w:t>
      </w:r>
      <w:proofErr w:type="spellEnd"/>
      <w:r w:rsidRPr="00155A7C">
        <w:rPr>
          <w:sz w:val="24"/>
          <w:szCs w:val="24"/>
          <w:lang w:eastAsia="fr-FR"/>
        </w:rPr>
        <w:t xml:space="preserve"> (ERIG) samtidig med rabiesvaccinen kan forårsage lidt lavere gennemsnitlige neutraliserende </w:t>
      </w:r>
      <w:proofErr w:type="spellStart"/>
      <w:r w:rsidRPr="00155A7C">
        <w:rPr>
          <w:sz w:val="24"/>
          <w:szCs w:val="24"/>
          <w:lang w:eastAsia="fr-FR"/>
        </w:rPr>
        <w:t>antistoftitre</w:t>
      </w:r>
      <w:proofErr w:type="spellEnd"/>
      <w:r w:rsidRPr="00155A7C">
        <w:rPr>
          <w:sz w:val="24"/>
          <w:szCs w:val="24"/>
          <w:lang w:eastAsia="fr-FR"/>
        </w:rPr>
        <w:t xml:space="preserve"> på grund af immuninterferens.</w:t>
      </w:r>
    </w:p>
    <w:p w14:paraId="03D7CFDC" w14:textId="77777777" w:rsidR="000A170D" w:rsidRDefault="000A170D" w:rsidP="00E15661">
      <w:pPr>
        <w:ind w:left="851"/>
        <w:rPr>
          <w:sz w:val="24"/>
          <w:szCs w:val="24"/>
          <w:lang w:eastAsia="fr-FR"/>
        </w:rPr>
      </w:pPr>
    </w:p>
    <w:p w14:paraId="5EB6D0AE" w14:textId="5A622FFC" w:rsidR="00266E67" w:rsidRPr="00155A7C" w:rsidRDefault="00266E67" w:rsidP="00E15661">
      <w:pPr>
        <w:ind w:left="851"/>
        <w:rPr>
          <w:sz w:val="24"/>
          <w:szCs w:val="24"/>
          <w:lang w:eastAsia="fr-FR"/>
        </w:rPr>
      </w:pPr>
      <w:r w:rsidRPr="00155A7C">
        <w:rPr>
          <w:sz w:val="24"/>
          <w:szCs w:val="24"/>
          <w:lang w:eastAsia="fr-FR"/>
        </w:rPr>
        <w:t xml:space="preserve">Virkningen af </w:t>
      </w:r>
      <w:proofErr w:type="spellStart"/>
      <w:r w:rsidRPr="00155A7C">
        <w:rPr>
          <w:sz w:val="24"/>
          <w:szCs w:val="24"/>
          <w:lang w:eastAsia="fr-FR"/>
        </w:rPr>
        <w:t>Verorab</w:t>
      </w:r>
      <w:proofErr w:type="spellEnd"/>
      <w:r w:rsidRPr="00155A7C">
        <w:rPr>
          <w:sz w:val="24"/>
          <w:szCs w:val="24"/>
          <w:lang w:eastAsia="fr-FR"/>
        </w:rPr>
        <w:t xml:space="preserve"> blev vurderet hos 44 voksne forsøgspersoner, der blev bidt af dyr med rabies, i et klinisk fase 4-studie. Forsøgspersonerne fik vaccinen i henhold til 5-dosis Essen-regimet (D0, D3, D7, D14 og D28 ved </w:t>
      </w:r>
      <w:proofErr w:type="spellStart"/>
      <w:r w:rsidRPr="00155A7C">
        <w:rPr>
          <w:sz w:val="24"/>
          <w:szCs w:val="24"/>
          <w:lang w:eastAsia="fr-FR"/>
        </w:rPr>
        <w:t>i.m</w:t>
      </w:r>
      <w:proofErr w:type="spellEnd"/>
      <w:r w:rsidRPr="00155A7C">
        <w:rPr>
          <w:sz w:val="24"/>
          <w:szCs w:val="24"/>
          <w:lang w:eastAsia="fr-FR"/>
        </w:rPr>
        <w:t xml:space="preserve">.-anvendelse) og </w:t>
      </w:r>
      <w:proofErr w:type="spellStart"/>
      <w:r w:rsidRPr="00155A7C">
        <w:rPr>
          <w:sz w:val="24"/>
          <w:szCs w:val="24"/>
          <w:lang w:eastAsia="fr-FR"/>
        </w:rPr>
        <w:t>immunglobulin</w:t>
      </w:r>
      <w:proofErr w:type="spellEnd"/>
      <w:r w:rsidRPr="00155A7C">
        <w:rPr>
          <w:sz w:val="24"/>
          <w:szCs w:val="24"/>
          <w:lang w:eastAsia="fr-FR"/>
        </w:rPr>
        <w:t>, hvis det var relevant. Alle forsøgspersoner var i live 3 år efter post-eksponeringsprofylaksen.</w:t>
      </w:r>
    </w:p>
    <w:p w14:paraId="0BC9DBB0" w14:textId="77777777" w:rsidR="000A170D" w:rsidRDefault="000A170D" w:rsidP="00E15661">
      <w:pPr>
        <w:ind w:left="851"/>
        <w:rPr>
          <w:sz w:val="24"/>
          <w:szCs w:val="24"/>
          <w:u w:val="single"/>
          <w:lang w:eastAsia="fr-FR"/>
        </w:rPr>
      </w:pPr>
    </w:p>
    <w:p w14:paraId="2CCF2F76" w14:textId="77777777" w:rsidR="008446A4" w:rsidRPr="00155A7C" w:rsidRDefault="008446A4" w:rsidP="008446A4">
      <w:pPr>
        <w:ind w:left="851"/>
        <w:rPr>
          <w:sz w:val="24"/>
          <w:szCs w:val="24"/>
          <w:u w:val="single"/>
          <w:lang w:eastAsia="fr-FR"/>
        </w:rPr>
      </w:pPr>
      <w:r w:rsidRPr="00155A7C">
        <w:rPr>
          <w:sz w:val="24"/>
          <w:szCs w:val="24"/>
          <w:u w:val="single"/>
          <w:lang w:eastAsia="fr-FR"/>
        </w:rPr>
        <w:t>Pædiatrisk population</w:t>
      </w:r>
    </w:p>
    <w:p w14:paraId="235C8FB8" w14:textId="77777777" w:rsidR="008446A4" w:rsidRDefault="008446A4" w:rsidP="008446A4">
      <w:pPr>
        <w:ind w:left="851"/>
        <w:rPr>
          <w:sz w:val="24"/>
          <w:szCs w:val="24"/>
          <w:lang w:eastAsia="fr-FR"/>
        </w:rPr>
      </w:pPr>
      <w:r w:rsidRPr="00155A7C">
        <w:rPr>
          <w:sz w:val="24"/>
          <w:szCs w:val="24"/>
          <w:lang w:eastAsia="fr-FR"/>
        </w:rPr>
        <w:t xml:space="preserve">Der er ingen klinisk signifikante forskelle i vaccinens </w:t>
      </w:r>
      <w:proofErr w:type="spellStart"/>
      <w:r w:rsidRPr="00155A7C">
        <w:rPr>
          <w:sz w:val="24"/>
          <w:szCs w:val="24"/>
          <w:lang w:eastAsia="fr-FR"/>
        </w:rPr>
        <w:t>immunogenicitet</w:t>
      </w:r>
      <w:proofErr w:type="spellEnd"/>
      <w:r w:rsidRPr="00155A7C">
        <w:rPr>
          <w:sz w:val="24"/>
          <w:szCs w:val="24"/>
          <w:lang w:eastAsia="fr-FR"/>
        </w:rPr>
        <w:t xml:space="preserve"> hos den pædiatriske population sammenlignet med hos voksne.</w:t>
      </w:r>
    </w:p>
    <w:p w14:paraId="3102551E" w14:textId="77777777" w:rsidR="008446A4" w:rsidRDefault="008446A4" w:rsidP="008446A4">
      <w:pPr>
        <w:ind w:left="851"/>
        <w:rPr>
          <w:sz w:val="24"/>
          <w:szCs w:val="24"/>
          <w:lang w:eastAsia="fr-FR"/>
        </w:rPr>
      </w:pPr>
    </w:p>
    <w:p w14:paraId="4188407B" w14:textId="77777777" w:rsidR="008446A4" w:rsidRPr="003B582C" w:rsidRDefault="008446A4" w:rsidP="008446A4">
      <w:pPr>
        <w:ind w:left="851"/>
        <w:rPr>
          <w:iCs/>
          <w:sz w:val="24"/>
          <w:szCs w:val="24"/>
          <w:lang w:eastAsia="fr-FR"/>
        </w:rPr>
      </w:pPr>
      <w:r>
        <w:rPr>
          <w:sz w:val="24"/>
          <w:szCs w:val="24"/>
          <w:lang w:eastAsia="fr-FR"/>
        </w:rPr>
        <w:t xml:space="preserve">I studiet (VAJ00001), der vurderede 1-uges præ-eksponeringsvaccinationsplan via </w:t>
      </w:r>
      <w:proofErr w:type="spellStart"/>
      <w:r>
        <w:rPr>
          <w:sz w:val="24"/>
          <w:szCs w:val="24"/>
          <w:lang w:eastAsia="fr-FR"/>
        </w:rPr>
        <w:t>intradermal</w:t>
      </w:r>
      <w:proofErr w:type="spellEnd"/>
      <w:r>
        <w:rPr>
          <w:sz w:val="24"/>
          <w:szCs w:val="24"/>
          <w:lang w:eastAsia="fr-FR"/>
        </w:rPr>
        <w:t xml:space="preserve"> administrationsvej (to 0,1 ml doser af </w:t>
      </w:r>
      <w:proofErr w:type="spellStart"/>
      <w:r>
        <w:rPr>
          <w:sz w:val="24"/>
          <w:szCs w:val="24"/>
          <w:lang w:eastAsia="fr-FR"/>
        </w:rPr>
        <w:t>Verorab</w:t>
      </w:r>
      <w:proofErr w:type="spellEnd"/>
      <w:r>
        <w:rPr>
          <w:sz w:val="24"/>
          <w:szCs w:val="24"/>
          <w:lang w:eastAsia="fr-FR"/>
        </w:rPr>
        <w:t xml:space="preserve"> ved D0 og to doser af 0,1 ml ved D7) eller via </w:t>
      </w:r>
      <w:proofErr w:type="spellStart"/>
      <w:r>
        <w:rPr>
          <w:sz w:val="24"/>
          <w:szCs w:val="24"/>
          <w:lang w:eastAsia="fr-FR"/>
        </w:rPr>
        <w:t>i.m</w:t>
      </w:r>
      <w:proofErr w:type="spellEnd"/>
      <w:r>
        <w:rPr>
          <w:sz w:val="24"/>
          <w:szCs w:val="24"/>
          <w:lang w:eastAsia="fr-FR"/>
        </w:rPr>
        <w:t xml:space="preserve">. administrationsvej (én dosis på 0,5 ml af </w:t>
      </w:r>
      <w:proofErr w:type="spellStart"/>
      <w:r>
        <w:rPr>
          <w:sz w:val="24"/>
          <w:szCs w:val="24"/>
          <w:lang w:eastAsia="fr-FR"/>
        </w:rPr>
        <w:t>Verorab</w:t>
      </w:r>
      <w:proofErr w:type="spellEnd"/>
      <w:r>
        <w:rPr>
          <w:sz w:val="24"/>
          <w:szCs w:val="24"/>
          <w:lang w:eastAsia="fr-FR"/>
        </w:rPr>
        <w:t xml:space="preserve"> ved D0 og én dosis på 0,5 ml ved D7) hos 71 børn i alderen 2 til 17 år, opnåede alle børnene en serum-</w:t>
      </w:r>
      <w:proofErr w:type="spellStart"/>
      <w:r>
        <w:rPr>
          <w:sz w:val="24"/>
          <w:szCs w:val="24"/>
          <w:lang w:eastAsia="fr-FR"/>
        </w:rPr>
        <w:t>antistoftiter</w:t>
      </w:r>
      <w:proofErr w:type="spellEnd"/>
      <w:r>
        <w:rPr>
          <w:sz w:val="24"/>
          <w:szCs w:val="24"/>
          <w:lang w:eastAsia="fr-FR"/>
        </w:rPr>
        <w:t xml:space="preserve"> </w:t>
      </w:r>
      <w:r w:rsidRPr="003B582C">
        <w:rPr>
          <w:iCs/>
          <w:sz w:val="24"/>
          <w:szCs w:val="24"/>
          <w:lang w:eastAsia="fr-FR"/>
        </w:rPr>
        <w:t>≥</w:t>
      </w:r>
      <w:r>
        <w:rPr>
          <w:iCs/>
          <w:sz w:val="24"/>
          <w:szCs w:val="24"/>
          <w:lang w:eastAsia="fr-FR"/>
        </w:rPr>
        <w:t> </w:t>
      </w:r>
      <w:r w:rsidRPr="003B582C">
        <w:rPr>
          <w:iCs/>
          <w:sz w:val="24"/>
          <w:szCs w:val="24"/>
          <w:lang w:eastAsia="fr-FR"/>
        </w:rPr>
        <w:t>0,5</w:t>
      </w:r>
      <w:r>
        <w:rPr>
          <w:iCs/>
          <w:sz w:val="24"/>
          <w:szCs w:val="24"/>
          <w:lang w:eastAsia="fr-FR"/>
        </w:rPr>
        <w:t> </w:t>
      </w:r>
      <w:r w:rsidRPr="003B582C">
        <w:rPr>
          <w:iCs/>
          <w:sz w:val="24"/>
          <w:szCs w:val="24"/>
          <w:lang w:eastAsia="fr-FR"/>
        </w:rPr>
        <w:t xml:space="preserve">IE/ml ved D21. </w:t>
      </w:r>
    </w:p>
    <w:p w14:paraId="231E8DB2" w14:textId="77777777" w:rsidR="008446A4" w:rsidRPr="00155A7C" w:rsidRDefault="008446A4" w:rsidP="008446A4">
      <w:pPr>
        <w:ind w:left="851"/>
        <w:rPr>
          <w:sz w:val="24"/>
          <w:szCs w:val="24"/>
          <w:lang w:eastAsia="fr-FR"/>
        </w:rPr>
      </w:pPr>
      <w:r>
        <w:rPr>
          <w:sz w:val="24"/>
          <w:szCs w:val="24"/>
          <w:lang w:eastAsia="fr-FR"/>
        </w:rPr>
        <w:t xml:space="preserve">Et år senere, efter en simuleret PEP med to doser injiceret med 3 dages mellemrum (ved D0 og D3) via </w:t>
      </w:r>
      <w:proofErr w:type="spellStart"/>
      <w:r>
        <w:rPr>
          <w:sz w:val="24"/>
          <w:szCs w:val="24"/>
          <w:lang w:eastAsia="fr-FR"/>
        </w:rPr>
        <w:t>i.m</w:t>
      </w:r>
      <w:proofErr w:type="spellEnd"/>
      <w:r>
        <w:rPr>
          <w:sz w:val="24"/>
          <w:szCs w:val="24"/>
          <w:lang w:eastAsia="fr-FR"/>
        </w:rPr>
        <w:t xml:space="preserve">. eller </w:t>
      </w:r>
      <w:proofErr w:type="spellStart"/>
      <w:r>
        <w:rPr>
          <w:sz w:val="24"/>
          <w:szCs w:val="24"/>
          <w:lang w:eastAsia="fr-FR"/>
        </w:rPr>
        <w:t>i.d</w:t>
      </w:r>
      <w:proofErr w:type="spellEnd"/>
      <w:r>
        <w:rPr>
          <w:sz w:val="24"/>
          <w:szCs w:val="24"/>
          <w:lang w:eastAsia="fr-FR"/>
        </w:rPr>
        <w:t xml:space="preserve">. administrationsvej, blev der fra D7 påvist et højt og hurtigt </w:t>
      </w:r>
      <w:proofErr w:type="spellStart"/>
      <w:r>
        <w:rPr>
          <w:sz w:val="24"/>
          <w:szCs w:val="24"/>
          <w:lang w:eastAsia="fr-FR"/>
        </w:rPr>
        <w:t>anamnestisk</w:t>
      </w:r>
      <w:proofErr w:type="spellEnd"/>
      <w:r>
        <w:rPr>
          <w:sz w:val="24"/>
          <w:szCs w:val="24"/>
          <w:lang w:eastAsia="fr-FR"/>
        </w:rPr>
        <w:t xml:space="preserve"> respons hos alle forsøgspersonerne.</w:t>
      </w:r>
    </w:p>
    <w:p w14:paraId="0E7AF6CB" w14:textId="77777777" w:rsidR="009260DE" w:rsidRPr="00155A7C" w:rsidRDefault="009260DE" w:rsidP="009260DE">
      <w:pPr>
        <w:tabs>
          <w:tab w:val="left" w:pos="851"/>
        </w:tabs>
        <w:ind w:left="851"/>
        <w:rPr>
          <w:sz w:val="24"/>
          <w:szCs w:val="24"/>
        </w:rPr>
      </w:pPr>
    </w:p>
    <w:p w14:paraId="1E5A744F" w14:textId="77777777" w:rsidR="009260DE" w:rsidRPr="00155A7C" w:rsidRDefault="009260DE" w:rsidP="009260DE">
      <w:pPr>
        <w:tabs>
          <w:tab w:val="left" w:pos="851"/>
        </w:tabs>
        <w:ind w:left="851" w:hanging="851"/>
        <w:rPr>
          <w:b/>
          <w:sz w:val="24"/>
          <w:szCs w:val="24"/>
        </w:rPr>
      </w:pPr>
      <w:r w:rsidRPr="00155A7C">
        <w:rPr>
          <w:b/>
          <w:sz w:val="24"/>
          <w:szCs w:val="24"/>
        </w:rPr>
        <w:t>5.2</w:t>
      </w:r>
      <w:r w:rsidRPr="00155A7C">
        <w:rPr>
          <w:b/>
          <w:sz w:val="24"/>
          <w:szCs w:val="24"/>
        </w:rPr>
        <w:tab/>
      </w:r>
      <w:proofErr w:type="spellStart"/>
      <w:r w:rsidRPr="00155A7C">
        <w:rPr>
          <w:b/>
          <w:sz w:val="24"/>
          <w:szCs w:val="24"/>
        </w:rPr>
        <w:t>Farmakokinetiske</w:t>
      </w:r>
      <w:proofErr w:type="spellEnd"/>
      <w:r w:rsidRPr="00155A7C">
        <w:rPr>
          <w:b/>
          <w:sz w:val="24"/>
          <w:szCs w:val="24"/>
        </w:rPr>
        <w:t xml:space="preserve"> egenskaber</w:t>
      </w:r>
    </w:p>
    <w:p w14:paraId="5FB66FC2" w14:textId="77777777" w:rsidR="00266E67" w:rsidRPr="00155A7C" w:rsidRDefault="00266E67" w:rsidP="00E15661">
      <w:pPr>
        <w:ind w:left="851"/>
        <w:rPr>
          <w:sz w:val="24"/>
          <w:szCs w:val="24"/>
          <w:lang w:eastAsia="fr-FR"/>
        </w:rPr>
      </w:pPr>
      <w:r w:rsidRPr="00155A7C">
        <w:rPr>
          <w:sz w:val="24"/>
          <w:szCs w:val="24"/>
          <w:lang w:eastAsia="fr-FR"/>
        </w:rPr>
        <w:t xml:space="preserve">Der er ikke udført </w:t>
      </w:r>
      <w:proofErr w:type="spellStart"/>
      <w:r w:rsidRPr="00155A7C">
        <w:rPr>
          <w:sz w:val="24"/>
          <w:szCs w:val="24"/>
          <w:lang w:eastAsia="fr-FR"/>
        </w:rPr>
        <w:t>farmakokinetiske</w:t>
      </w:r>
      <w:proofErr w:type="spellEnd"/>
      <w:r w:rsidRPr="00155A7C">
        <w:rPr>
          <w:sz w:val="24"/>
          <w:szCs w:val="24"/>
          <w:lang w:eastAsia="fr-FR"/>
        </w:rPr>
        <w:t xml:space="preserve"> studier.</w:t>
      </w:r>
    </w:p>
    <w:p w14:paraId="411FBAA4" w14:textId="77777777" w:rsidR="009260DE" w:rsidRPr="00155A7C" w:rsidRDefault="009260DE" w:rsidP="009260DE">
      <w:pPr>
        <w:tabs>
          <w:tab w:val="left" w:pos="851"/>
        </w:tabs>
        <w:ind w:left="851"/>
        <w:rPr>
          <w:sz w:val="24"/>
          <w:szCs w:val="24"/>
        </w:rPr>
      </w:pPr>
    </w:p>
    <w:p w14:paraId="7947ED95" w14:textId="77777777" w:rsidR="009260DE" w:rsidRPr="00155A7C" w:rsidRDefault="009260DE" w:rsidP="009260DE">
      <w:pPr>
        <w:tabs>
          <w:tab w:val="left" w:pos="851"/>
        </w:tabs>
        <w:ind w:left="851" w:hanging="851"/>
        <w:rPr>
          <w:b/>
          <w:sz w:val="24"/>
          <w:szCs w:val="24"/>
        </w:rPr>
      </w:pPr>
      <w:r w:rsidRPr="00155A7C">
        <w:rPr>
          <w:b/>
          <w:sz w:val="24"/>
          <w:szCs w:val="24"/>
        </w:rPr>
        <w:t>5.3</w:t>
      </w:r>
      <w:r w:rsidRPr="00155A7C">
        <w:rPr>
          <w:b/>
          <w:sz w:val="24"/>
          <w:szCs w:val="24"/>
        </w:rPr>
        <w:tab/>
      </w:r>
      <w:r w:rsidR="00BD7931" w:rsidRPr="00155A7C">
        <w:rPr>
          <w:b/>
          <w:sz w:val="24"/>
          <w:szCs w:val="24"/>
        </w:rPr>
        <w:t>Non-</w:t>
      </w:r>
      <w:r w:rsidRPr="00155A7C">
        <w:rPr>
          <w:b/>
          <w:sz w:val="24"/>
          <w:szCs w:val="24"/>
        </w:rPr>
        <w:t>kliniske sikkerhedsdata</w:t>
      </w:r>
    </w:p>
    <w:p w14:paraId="4C217FF4" w14:textId="77777777" w:rsidR="00266E67" w:rsidRPr="00155A7C" w:rsidRDefault="00266E67" w:rsidP="00E15661">
      <w:pPr>
        <w:ind w:left="851"/>
        <w:rPr>
          <w:sz w:val="24"/>
          <w:szCs w:val="24"/>
        </w:rPr>
      </w:pPr>
      <w:r w:rsidRPr="00155A7C">
        <w:rPr>
          <w:sz w:val="24"/>
          <w:szCs w:val="24"/>
        </w:rPr>
        <w:t>Data fra dyr, herunder studier med enkelt og gentagen dosering, viste ingen uventede fund og ingen målorgantoksicitet.</w:t>
      </w:r>
    </w:p>
    <w:p w14:paraId="594CA4E8" w14:textId="40ADF2F0" w:rsidR="009260DE" w:rsidRDefault="00266E67" w:rsidP="00E15661">
      <w:pPr>
        <w:ind w:left="851"/>
        <w:rPr>
          <w:sz w:val="24"/>
          <w:szCs w:val="24"/>
        </w:rPr>
      </w:pPr>
      <w:r w:rsidRPr="00155A7C">
        <w:rPr>
          <w:sz w:val="24"/>
          <w:szCs w:val="24"/>
        </w:rPr>
        <w:t>Der er ikke blevet udført studier af udviklings- og reproduktionstoksicitet hos dyr med denne vaccine.</w:t>
      </w:r>
    </w:p>
    <w:p w14:paraId="6C4DA5F8" w14:textId="77777777" w:rsidR="000A170D" w:rsidRPr="00155A7C" w:rsidRDefault="000A170D" w:rsidP="00E15661">
      <w:pPr>
        <w:ind w:left="851"/>
        <w:rPr>
          <w:sz w:val="24"/>
          <w:szCs w:val="24"/>
        </w:rPr>
      </w:pPr>
    </w:p>
    <w:p w14:paraId="6C5F406E" w14:textId="77777777" w:rsidR="009260DE" w:rsidRPr="00155A7C" w:rsidRDefault="009260DE" w:rsidP="009260DE">
      <w:pPr>
        <w:tabs>
          <w:tab w:val="left" w:pos="851"/>
        </w:tabs>
        <w:ind w:left="851"/>
        <w:rPr>
          <w:sz w:val="24"/>
          <w:szCs w:val="24"/>
        </w:rPr>
      </w:pPr>
    </w:p>
    <w:p w14:paraId="1D37A83C" w14:textId="77777777" w:rsidR="009260DE" w:rsidRPr="00155A7C" w:rsidRDefault="009260DE" w:rsidP="009260DE">
      <w:pPr>
        <w:tabs>
          <w:tab w:val="left" w:pos="851"/>
        </w:tabs>
        <w:ind w:left="851" w:hanging="851"/>
        <w:rPr>
          <w:b/>
          <w:sz w:val="24"/>
          <w:szCs w:val="24"/>
        </w:rPr>
      </w:pPr>
      <w:r w:rsidRPr="00155A7C">
        <w:rPr>
          <w:b/>
          <w:sz w:val="24"/>
          <w:szCs w:val="24"/>
        </w:rPr>
        <w:t>6.</w:t>
      </w:r>
      <w:r w:rsidRPr="00155A7C">
        <w:rPr>
          <w:b/>
          <w:sz w:val="24"/>
          <w:szCs w:val="24"/>
        </w:rPr>
        <w:tab/>
        <w:t>FARMACEUTISKE OPLYSNINGER</w:t>
      </w:r>
    </w:p>
    <w:p w14:paraId="7B3DCB67" w14:textId="77777777" w:rsidR="009260DE" w:rsidRPr="00155A7C" w:rsidRDefault="009260DE" w:rsidP="009260DE">
      <w:pPr>
        <w:tabs>
          <w:tab w:val="left" w:pos="851"/>
        </w:tabs>
        <w:ind w:left="851"/>
        <w:rPr>
          <w:sz w:val="24"/>
          <w:szCs w:val="24"/>
        </w:rPr>
      </w:pPr>
    </w:p>
    <w:p w14:paraId="0CB124CF" w14:textId="77777777" w:rsidR="009260DE" w:rsidRPr="00155A7C" w:rsidRDefault="009260DE" w:rsidP="009260DE">
      <w:pPr>
        <w:tabs>
          <w:tab w:val="left" w:pos="851"/>
        </w:tabs>
        <w:ind w:left="851" w:hanging="851"/>
        <w:rPr>
          <w:b/>
          <w:sz w:val="24"/>
          <w:szCs w:val="24"/>
        </w:rPr>
      </w:pPr>
      <w:r w:rsidRPr="00155A7C">
        <w:rPr>
          <w:b/>
          <w:sz w:val="24"/>
          <w:szCs w:val="24"/>
        </w:rPr>
        <w:t>6.1</w:t>
      </w:r>
      <w:r w:rsidRPr="00155A7C">
        <w:rPr>
          <w:b/>
          <w:sz w:val="24"/>
          <w:szCs w:val="24"/>
        </w:rPr>
        <w:tab/>
        <w:t>Hjælpestoffer</w:t>
      </w:r>
    </w:p>
    <w:p w14:paraId="63DF552B" w14:textId="77777777" w:rsidR="000A170D" w:rsidRDefault="000A170D" w:rsidP="00E15661">
      <w:pPr>
        <w:ind w:left="851"/>
        <w:rPr>
          <w:sz w:val="24"/>
          <w:szCs w:val="24"/>
          <w:lang w:eastAsia="fr-FR"/>
        </w:rPr>
      </w:pPr>
    </w:p>
    <w:p w14:paraId="501F6B08" w14:textId="79E5118D" w:rsidR="00266E67" w:rsidRPr="000A170D" w:rsidRDefault="00266E67" w:rsidP="00E15661">
      <w:pPr>
        <w:ind w:left="851"/>
        <w:rPr>
          <w:b/>
          <w:sz w:val="24"/>
          <w:szCs w:val="24"/>
          <w:u w:val="single"/>
          <w:lang w:eastAsia="fr-FR"/>
        </w:rPr>
      </w:pPr>
      <w:r w:rsidRPr="000A170D">
        <w:rPr>
          <w:b/>
          <w:sz w:val="24"/>
          <w:szCs w:val="24"/>
          <w:u w:val="single"/>
          <w:lang w:eastAsia="fr-FR"/>
        </w:rPr>
        <w:t>Pulver*</w:t>
      </w:r>
    </w:p>
    <w:p w14:paraId="605A012C" w14:textId="77777777" w:rsidR="00266E67" w:rsidRPr="000A170D" w:rsidRDefault="00266E67" w:rsidP="000A170D">
      <w:pPr>
        <w:pStyle w:val="Listeafsnit"/>
        <w:numPr>
          <w:ilvl w:val="0"/>
          <w:numId w:val="14"/>
        </w:numPr>
        <w:tabs>
          <w:tab w:val="clear" w:pos="567"/>
        </w:tabs>
        <w:ind w:left="1276" w:hanging="425"/>
        <w:rPr>
          <w:sz w:val="24"/>
          <w:szCs w:val="24"/>
          <w:lang w:eastAsia="fr-FR"/>
        </w:rPr>
      </w:pPr>
      <w:r w:rsidRPr="000A170D">
        <w:rPr>
          <w:sz w:val="24"/>
          <w:szCs w:val="24"/>
          <w:lang w:eastAsia="fr-FR"/>
        </w:rPr>
        <w:t>Maltose.</w:t>
      </w:r>
    </w:p>
    <w:p w14:paraId="77EBEB11" w14:textId="77777777" w:rsidR="00266E67" w:rsidRPr="000A170D" w:rsidRDefault="00266E67" w:rsidP="000A170D">
      <w:pPr>
        <w:pStyle w:val="Listeafsnit"/>
        <w:numPr>
          <w:ilvl w:val="0"/>
          <w:numId w:val="14"/>
        </w:numPr>
        <w:tabs>
          <w:tab w:val="clear" w:pos="567"/>
        </w:tabs>
        <w:ind w:left="1276" w:hanging="425"/>
        <w:rPr>
          <w:sz w:val="24"/>
          <w:szCs w:val="24"/>
          <w:lang w:eastAsia="fr-FR"/>
        </w:rPr>
      </w:pPr>
      <w:r w:rsidRPr="000A170D">
        <w:rPr>
          <w:sz w:val="24"/>
          <w:szCs w:val="24"/>
          <w:lang w:eastAsia="fr-FR"/>
        </w:rPr>
        <w:t>20 % human albuminopløsning.</w:t>
      </w:r>
    </w:p>
    <w:p w14:paraId="30A5F592" w14:textId="77777777" w:rsidR="00266E67" w:rsidRPr="000D1FDA" w:rsidRDefault="00266E67" w:rsidP="000A170D">
      <w:pPr>
        <w:pStyle w:val="Listeafsnit"/>
        <w:numPr>
          <w:ilvl w:val="0"/>
          <w:numId w:val="14"/>
        </w:numPr>
        <w:tabs>
          <w:tab w:val="clear" w:pos="567"/>
        </w:tabs>
        <w:ind w:left="1276" w:hanging="425"/>
        <w:rPr>
          <w:sz w:val="24"/>
          <w:szCs w:val="24"/>
          <w:lang w:val="da-DK" w:eastAsia="fr-FR"/>
        </w:rPr>
      </w:pPr>
      <w:r w:rsidRPr="000D1FDA">
        <w:rPr>
          <w:sz w:val="24"/>
          <w:szCs w:val="24"/>
          <w:lang w:val="da-DK" w:eastAsia="fr-FR"/>
        </w:rPr>
        <w:t xml:space="preserve">Basal Medium Eagle: blanding af mineralsalte (herunder kalium), vitaminer, </w:t>
      </w:r>
      <w:proofErr w:type="spellStart"/>
      <w:r w:rsidRPr="000D1FDA">
        <w:rPr>
          <w:sz w:val="24"/>
          <w:szCs w:val="24"/>
          <w:lang w:val="da-DK" w:eastAsia="fr-FR"/>
        </w:rPr>
        <w:t>dextrose</w:t>
      </w:r>
      <w:proofErr w:type="spellEnd"/>
      <w:r w:rsidRPr="000D1FDA">
        <w:rPr>
          <w:sz w:val="24"/>
          <w:szCs w:val="24"/>
          <w:lang w:val="da-DK" w:eastAsia="fr-FR"/>
        </w:rPr>
        <w:t xml:space="preserve"> og aminosyrer (herunder L-</w:t>
      </w:r>
      <w:proofErr w:type="spellStart"/>
      <w:r w:rsidRPr="000D1FDA">
        <w:rPr>
          <w:sz w:val="24"/>
          <w:szCs w:val="24"/>
          <w:lang w:val="da-DK" w:eastAsia="fr-FR"/>
        </w:rPr>
        <w:t>phenylalanin</w:t>
      </w:r>
      <w:proofErr w:type="spellEnd"/>
      <w:r w:rsidRPr="000D1FDA">
        <w:rPr>
          <w:sz w:val="24"/>
          <w:szCs w:val="24"/>
          <w:lang w:val="da-DK" w:eastAsia="fr-FR"/>
        </w:rPr>
        <w:t>).</w:t>
      </w:r>
    </w:p>
    <w:p w14:paraId="69CAA865" w14:textId="77777777" w:rsidR="00266E67" w:rsidRPr="000D1FDA" w:rsidRDefault="00266E67" w:rsidP="000A170D">
      <w:pPr>
        <w:pStyle w:val="Listeafsnit"/>
        <w:numPr>
          <w:ilvl w:val="0"/>
          <w:numId w:val="14"/>
        </w:numPr>
        <w:tabs>
          <w:tab w:val="clear" w:pos="567"/>
        </w:tabs>
        <w:ind w:left="1276" w:hanging="425"/>
        <w:rPr>
          <w:sz w:val="24"/>
          <w:szCs w:val="24"/>
          <w:lang w:val="da-DK" w:eastAsia="fr-FR"/>
        </w:rPr>
      </w:pPr>
      <w:r w:rsidRPr="000D1FDA">
        <w:rPr>
          <w:sz w:val="24"/>
          <w:szCs w:val="24"/>
          <w:lang w:val="da-DK" w:eastAsia="fr-FR"/>
        </w:rPr>
        <w:t>Saltsyre og natriumhydroxid til justering af pH.</w:t>
      </w:r>
    </w:p>
    <w:p w14:paraId="1EAB1A0A" w14:textId="77777777" w:rsidR="00266E67" w:rsidRPr="000A170D" w:rsidRDefault="00266E67" w:rsidP="000A170D">
      <w:pPr>
        <w:pStyle w:val="Listeafsnit"/>
        <w:numPr>
          <w:ilvl w:val="0"/>
          <w:numId w:val="14"/>
        </w:numPr>
        <w:tabs>
          <w:tab w:val="clear" w:pos="567"/>
        </w:tabs>
        <w:ind w:left="1276" w:hanging="425"/>
        <w:rPr>
          <w:sz w:val="24"/>
          <w:szCs w:val="24"/>
          <w:lang w:eastAsia="fr-FR"/>
        </w:rPr>
      </w:pPr>
      <w:proofErr w:type="spellStart"/>
      <w:r w:rsidRPr="000A170D">
        <w:rPr>
          <w:sz w:val="24"/>
          <w:szCs w:val="24"/>
          <w:lang w:eastAsia="fr-FR"/>
        </w:rPr>
        <w:t>Vand</w:t>
      </w:r>
      <w:proofErr w:type="spellEnd"/>
      <w:r w:rsidRPr="000A170D">
        <w:rPr>
          <w:sz w:val="24"/>
          <w:szCs w:val="24"/>
          <w:lang w:eastAsia="fr-FR"/>
        </w:rPr>
        <w:t xml:space="preserve"> </w:t>
      </w:r>
      <w:proofErr w:type="spellStart"/>
      <w:r w:rsidRPr="000A170D">
        <w:rPr>
          <w:sz w:val="24"/>
          <w:szCs w:val="24"/>
          <w:lang w:eastAsia="fr-FR"/>
        </w:rPr>
        <w:t>til</w:t>
      </w:r>
      <w:proofErr w:type="spellEnd"/>
      <w:r w:rsidRPr="000A170D">
        <w:rPr>
          <w:sz w:val="24"/>
          <w:szCs w:val="24"/>
          <w:lang w:eastAsia="fr-FR"/>
        </w:rPr>
        <w:t xml:space="preserve"> </w:t>
      </w:r>
      <w:proofErr w:type="spellStart"/>
      <w:r w:rsidRPr="000A170D">
        <w:rPr>
          <w:sz w:val="24"/>
          <w:szCs w:val="24"/>
          <w:lang w:eastAsia="fr-FR"/>
        </w:rPr>
        <w:t>injektionsvæsker</w:t>
      </w:r>
      <w:proofErr w:type="spellEnd"/>
      <w:r w:rsidRPr="000A170D">
        <w:rPr>
          <w:sz w:val="24"/>
          <w:szCs w:val="24"/>
          <w:lang w:eastAsia="fr-FR"/>
        </w:rPr>
        <w:t>.</w:t>
      </w:r>
    </w:p>
    <w:p w14:paraId="2512A1F7" w14:textId="77777777" w:rsidR="00266E67" w:rsidRPr="00155A7C" w:rsidRDefault="00266E67" w:rsidP="00E15661">
      <w:pPr>
        <w:ind w:left="851"/>
        <w:rPr>
          <w:sz w:val="24"/>
          <w:szCs w:val="24"/>
          <w:lang w:eastAsia="fr-FR"/>
        </w:rPr>
      </w:pPr>
    </w:p>
    <w:p w14:paraId="56DC3A46" w14:textId="77777777" w:rsidR="00266E67" w:rsidRPr="00155A7C" w:rsidRDefault="00266E67" w:rsidP="00E15661">
      <w:pPr>
        <w:ind w:left="851"/>
        <w:rPr>
          <w:sz w:val="24"/>
          <w:szCs w:val="24"/>
          <w:lang w:eastAsia="fr-FR"/>
        </w:rPr>
      </w:pPr>
      <w:r w:rsidRPr="00155A7C">
        <w:rPr>
          <w:sz w:val="24"/>
          <w:szCs w:val="24"/>
          <w:lang w:eastAsia="fr-FR"/>
        </w:rPr>
        <w:t>* Sammensætning af pulveret før frysetørringstrinnet.</w:t>
      </w:r>
    </w:p>
    <w:p w14:paraId="1170F340" w14:textId="77777777" w:rsidR="000A170D" w:rsidRDefault="000A170D" w:rsidP="00E15661">
      <w:pPr>
        <w:ind w:left="851"/>
        <w:rPr>
          <w:sz w:val="24"/>
          <w:szCs w:val="24"/>
          <w:lang w:eastAsia="fr-FR"/>
        </w:rPr>
      </w:pPr>
    </w:p>
    <w:p w14:paraId="59B47C73" w14:textId="11269D65" w:rsidR="00266E67" w:rsidRPr="000A170D" w:rsidRDefault="00266E67" w:rsidP="00E15661">
      <w:pPr>
        <w:ind w:left="851"/>
        <w:rPr>
          <w:b/>
          <w:sz w:val="24"/>
          <w:szCs w:val="24"/>
          <w:u w:val="single"/>
          <w:lang w:eastAsia="fr-FR"/>
        </w:rPr>
      </w:pPr>
      <w:r w:rsidRPr="000A170D">
        <w:rPr>
          <w:b/>
          <w:sz w:val="24"/>
          <w:szCs w:val="24"/>
          <w:u w:val="single"/>
          <w:lang w:eastAsia="fr-FR"/>
        </w:rPr>
        <w:t>Solvens</w:t>
      </w:r>
    </w:p>
    <w:p w14:paraId="7C172CA1" w14:textId="77777777" w:rsidR="00266E67" w:rsidRPr="000A170D" w:rsidRDefault="00266E67" w:rsidP="000A170D">
      <w:pPr>
        <w:pStyle w:val="Listeafsnit"/>
        <w:numPr>
          <w:ilvl w:val="0"/>
          <w:numId w:val="15"/>
        </w:numPr>
        <w:tabs>
          <w:tab w:val="clear" w:pos="567"/>
        </w:tabs>
        <w:ind w:left="1276" w:hanging="425"/>
        <w:rPr>
          <w:sz w:val="24"/>
          <w:szCs w:val="24"/>
          <w:lang w:eastAsia="fr-FR"/>
        </w:rPr>
      </w:pPr>
      <w:proofErr w:type="spellStart"/>
      <w:r w:rsidRPr="000A170D">
        <w:rPr>
          <w:sz w:val="24"/>
          <w:szCs w:val="24"/>
        </w:rPr>
        <w:lastRenderedPageBreak/>
        <w:t>Natriumchlorid</w:t>
      </w:r>
      <w:proofErr w:type="spellEnd"/>
      <w:r w:rsidRPr="000A170D">
        <w:rPr>
          <w:sz w:val="24"/>
          <w:szCs w:val="24"/>
        </w:rPr>
        <w:t>.</w:t>
      </w:r>
    </w:p>
    <w:p w14:paraId="20180910" w14:textId="77777777" w:rsidR="00266E67" w:rsidRPr="000A170D" w:rsidRDefault="00266E67" w:rsidP="000A170D">
      <w:pPr>
        <w:pStyle w:val="Listeafsnit"/>
        <w:numPr>
          <w:ilvl w:val="0"/>
          <w:numId w:val="15"/>
        </w:numPr>
        <w:tabs>
          <w:tab w:val="clear" w:pos="567"/>
        </w:tabs>
        <w:ind w:left="1276" w:hanging="425"/>
        <w:rPr>
          <w:sz w:val="24"/>
          <w:szCs w:val="24"/>
        </w:rPr>
      </w:pPr>
      <w:r w:rsidRPr="000A170D">
        <w:rPr>
          <w:sz w:val="24"/>
          <w:szCs w:val="24"/>
        </w:rPr>
        <w:t>Vand til injektionsvæsker.</w:t>
      </w:r>
    </w:p>
    <w:p w14:paraId="11F65B0A" w14:textId="77777777" w:rsidR="009260DE" w:rsidRPr="00155A7C" w:rsidRDefault="009260DE" w:rsidP="009260DE">
      <w:pPr>
        <w:tabs>
          <w:tab w:val="left" w:pos="851"/>
        </w:tabs>
        <w:ind w:left="851"/>
        <w:rPr>
          <w:sz w:val="24"/>
          <w:szCs w:val="24"/>
        </w:rPr>
      </w:pPr>
    </w:p>
    <w:p w14:paraId="330F5226" w14:textId="77777777" w:rsidR="009260DE" w:rsidRPr="00155A7C" w:rsidRDefault="009260DE" w:rsidP="009260DE">
      <w:pPr>
        <w:tabs>
          <w:tab w:val="left" w:pos="851"/>
        </w:tabs>
        <w:ind w:left="851" w:hanging="851"/>
        <w:rPr>
          <w:b/>
          <w:sz w:val="24"/>
          <w:szCs w:val="24"/>
        </w:rPr>
      </w:pPr>
      <w:r w:rsidRPr="00155A7C">
        <w:rPr>
          <w:b/>
          <w:sz w:val="24"/>
          <w:szCs w:val="24"/>
        </w:rPr>
        <w:t>6.2</w:t>
      </w:r>
      <w:r w:rsidRPr="00155A7C">
        <w:rPr>
          <w:b/>
          <w:sz w:val="24"/>
          <w:szCs w:val="24"/>
        </w:rPr>
        <w:tab/>
        <w:t>Uforligeligheder</w:t>
      </w:r>
    </w:p>
    <w:p w14:paraId="474EED3A" w14:textId="77777777" w:rsidR="00266E67" w:rsidRPr="00155A7C" w:rsidRDefault="00266E67" w:rsidP="00E15661">
      <w:pPr>
        <w:ind w:left="851"/>
        <w:rPr>
          <w:sz w:val="24"/>
          <w:szCs w:val="24"/>
          <w:lang w:eastAsia="fr-FR"/>
        </w:rPr>
      </w:pPr>
      <w:r w:rsidRPr="00155A7C">
        <w:rPr>
          <w:sz w:val="24"/>
          <w:szCs w:val="24"/>
          <w:lang w:eastAsia="fr-FR"/>
        </w:rPr>
        <w:t>Rabies-</w:t>
      </w:r>
      <w:proofErr w:type="spellStart"/>
      <w:r w:rsidRPr="00155A7C">
        <w:rPr>
          <w:sz w:val="24"/>
          <w:szCs w:val="24"/>
          <w:lang w:eastAsia="fr-FR"/>
        </w:rPr>
        <w:t>immunglobuliner</w:t>
      </w:r>
      <w:proofErr w:type="spellEnd"/>
      <w:r w:rsidRPr="00155A7C">
        <w:rPr>
          <w:sz w:val="24"/>
          <w:szCs w:val="24"/>
          <w:lang w:eastAsia="fr-FR"/>
        </w:rPr>
        <w:t xml:space="preserve"> eller ethvert andet produkt og rabiesvaccinen må aldrig kombineres i den samme sprøjte eller injiceres på samme sted.</w:t>
      </w:r>
    </w:p>
    <w:p w14:paraId="41D11DC2" w14:textId="77777777" w:rsidR="009260DE" w:rsidRPr="00155A7C" w:rsidRDefault="009260DE" w:rsidP="00E15661">
      <w:pPr>
        <w:ind w:left="851"/>
        <w:rPr>
          <w:sz w:val="24"/>
          <w:szCs w:val="24"/>
        </w:rPr>
      </w:pPr>
    </w:p>
    <w:p w14:paraId="0E6F6E20" w14:textId="77777777" w:rsidR="009260DE" w:rsidRPr="00155A7C" w:rsidRDefault="009260DE" w:rsidP="009260DE">
      <w:pPr>
        <w:tabs>
          <w:tab w:val="left" w:pos="851"/>
        </w:tabs>
        <w:ind w:left="851" w:hanging="851"/>
        <w:rPr>
          <w:b/>
          <w:sz w:val="24"/>
          <w:szCs w:val="24"/>
        </w:rPr>
      </w:pPr>
      <w:r w:rsidRPr="00155A7C">
        <w:rPr>
          <w:b/>
          <w:sz w:val="24"/>
          <w:szCs w:val="24"/>
        </w:rPr>
        <w:t>6.3</w:t>
      </w:r>
      <w:r w:rsidRPr="00155A7C">
        <w:rPr>
          <w:b/>
          <w:sz w:val="24"/>
          <w:szCs w:val="24"/>
        </w:rPr>
        <w:tab/>
        <w:t>Opbevaringstid</w:t>
      </w:r>
    </w:p>
    <w:p w14:paraId="70AE2727" w14:textId="3389BDF7" w:rsidR="00266E67" w:rsidRPr="00155A7C" w:rsidRDefault="00266E67" w:rsidP="00E15661">
      <w:pPr>
        <w:ind w:left="851"/>
        <w:rPr>
          <w:sz w:val="24"/>
          <w:szCs w:val="24"/>
        </w:rPr>
      </w:pPr>
      <w:r w:rsidRPr="00155A7C">
        <w:rPr>
          <w:sz w:val="24"/>
          <w:szCs w:val="24"/>
        </w:rPr>
        <w:t>3 år</w:t>
      </w:r>
    </w:p>
    <w:p w14:paraId="0E1B3C72" w14:textId="77777777" w:rsidR="000A170D" w:rsidRDefault="000A170D" w:rsidP="00E15661">
      <w:pPr>
        <w:ind w:left="851"/>
        <w:rPr>
          <w:sz w:val="24"/>
          <w:szCs w:val="24"/>
        </w:rPr>
      </w:pPr>
    </w:p>
    <w:p w14:paraId="6420F6EE" w14:textId="4649890B" w:rsidR="00266E67" w:rsidRPr="00155A7C" w:rsidRDefault="00266E67" w:rsidP="00E15661">
      <w:pPr>
        <w:ind w:left="851"/>
        <w:rPr>
          <w:sz w:val="24"/>
          <w:szCs w:val="24"/>
        </w:rPr>
      </w:pPr>
      <w:r w:rsidRPr="00155A7C">
        <w:rPr>
          <w:sz w:val="24"/>
          <w:szCs w:val="24"/>
        </w:rPr>
        <w:t>Efter den første åbning/</w:t>
      </w:r>
      <w:proofErr w:type="spellStart"/>
      <w:r w:rsidRPr="00155A7C">
        <w:rPr>
          <w:sz w:val="24"/>
          <w:szCs w:val="24"/>
        </w:rPr>
        <w:t>rekonstitution</w:t>
      </w:r>
      <w:proofErr w:type="spellEnd"/>
      <w:r w:rsidRPr="00155A7C">
        <w:rPr>
          <w:sz w:val="24"/>
          <w:szCs w:val="24"/>
        </w:rPr>
        <w:t>:</w:t>
      </w:r>
    </w:p>
    <w:p w14:paraId="55EB4324" w14:textId="77777777" w:rsidR="000A170D" w:rsidRDefault="000A170D" w:rsidP="00E15661">
      <w:pPr>
        <w:ind w:left="851"/>
        <w:rPr>
          <w:sz w:val="24"/>
          <w:szCs w:val="24"/>
        </w:rPr>
      </w:pPr>
    </w:p>
    <w:p w14:paraId="5FADFABA" w14:textId="45EAA5E6" w:rsidR="00266E67" w:rsidRPr="00155A7C" w:rsidRDefault="00266E67" w:rsidP="00E15661">
      <w:pPr>
        <w:ind w:left="851"/>
        <w:rPr>
          <w:sz w:val="24"/>
          <w:szCs w:val="24"/>
        </w:rPr>
      </w:pPr>
      <w:r w:rsidRPr="00155A7C">
        <w:rPr>
          <w:sz w:val="24"/>
          <w:szCs w:val="24"/>
        </w:rPr>
        <w:t>Ved intramuskulær anvendelse: Produktet skal anvendes straks.</w:t>
      </w:r>
    </w:p>
    <w:p w14:paraId="30788B7C" w14:textId="77777777" w:rsidR="00266E67" w:rsidRPr="00155A7C" w:rsidRDefault="00266E67" w:rsidP="00E15661">
      <w:pPr>
        <w:ind w:left="851"/>
        <w:rPr>
          <w:sz w:val="24"/>
          <w:szCs w:val="24"/>
        </w:rPr>
      </w:pPr>
    </w:p>
    <w:p w14:paraId="1B8BECB1" w14:textId="77777777" w:rsidR="00266E67" w:rsidRPr="00155A7C" w:rsidRDefault="00266E67" w:rsidP="00E15661">
      <w:pPr>
        <w:ind w:left="851"/>
        <w:rPr>
          <w:sz w:val="24"/>
          <w:szCs w:val="24"/>
        </w:rPr>
      </w:pPr>
      <w:r w:rsidRPr="00155A7C">
        <w:rPr>
          <w:sz w:val="24"/>
          <w:szCs w:val="24"/>
        </w:rPr>
        <w:t xml:space="preserve">Ved </w:t>
      </w:r>
      <w:proofErr w:type="spellStart"/>
      <w:r w:rsidRPr="00155A7C">
        <w:rPr>
          <w:sz w:val="24"/>
          <w:szCs w:val="24"/>
        </w:rPr>
        <w:t>intradermal</w:t>
      </w:r>
      <w:proofErr w:type="spellEnd"/>
      <w:r w:rsidRPr="00155A7C">
        <w:rPr>
          <w:sz w:val="24"/>
          <w:szCs w:val="24"/>
        </w:rPr>
        <w:t xml:space="preserve"> anvendelse blev det vist, at den fysisk-kemiske stabilitet efter </w:t>
      </w:r>
      <w:proofErr w:type="spellStart"/>
      <w:r w:rsidRPr="00155A7C">
        <w:rPr>
          <w:sz w:val="24"/>
          <w:szCs w:val="24"/>
        </w:rPr>
        <w:t>rekonstitution</w:t>
      </w:r>
      <w:proofErr w:type="spellEnd"/>
      <w:r w:rsidRPr="00155A7C">
        <w:rPr>
          <w:sz w:val="24"/>
          <w:szCs w:val="24"/>
        </w:rPr>
        <w:t xml:space="preserve"> varer i 6 timer ved 25 °C beskyttet mod lys. Fra et mikrobiologisk perspektiv skal produktet anvendes straks. I tilfælde af at det ikke anvendes straks, er varigheden og betingelserne for opbevaring og anvendelse (se pkt. 6.6) brugerens ansvar.</w:t>
      </w:r>
    </w:p>
    <w:p w14:paraId="36FBC0F8" w14:textId="77777777" w:rsidR="009260DE" w:rsidRPr="00155A7C" w:rsidRDefault="009260DE" w:rsidP="00E15661">
      <w:pPr>
        <w:ind w:left="851"/>
        <w:rPr>
          <w:sz w:val="24"/>
          <w:szCs w:val="24"/>
        </w:rPr>
      </w:pPr>
    </w:p>
    <w:p w14:paraId="7326BAB7" w14:textId="77777777" w:rsidR="009260DE" w:rsidRPr="00155A7C" w:rsidRDefault="009260DE" w:rsidP="009260DE">
      <w:pPr>
        <w:tabs>
          <w:tab w:val="left" w:pos="851"/>
        </w:tabs>
        <w:ind w:left="851" w:hanging="851"/>
        <w:rPr>
          <w:b/>
          <w:sz w:val="24"/>
          <w:szCs w:val="24"/>
        </w:rPr>
      </w:pPr>
      <w:r w:rsidRPr="00155A7C">
        <w:rPr>
          <w:b/>
          <w:sz w:val="24"/>
          <w:szCs w:val="24"/>
        </w:rPr>
        <w:t>6.4</w:t>
      </w:r>
      <w:r w:rsidRPr="00155A7C">
        <w:rPr>
          <w:b/>
          <w:sz w:val="24"/>
          <w:szCs w:val="24"/>
        </w:rPr>
        <w:tab/>
        <w:t>Særlige opbevaringsforhold</w:t>
      </w:r>
    </w:p>
    <w:p w14:paraId="1CF6C4C9" w14:textId="77777777" w:rsidR="00266E67" w:rsidRPr="00155A7C" w:rsidRDefault="00266E67" w:rsidP="00E15661">
      <w:pPr>
        <w:ind w:left="851"/>
        <w:rPr>
          <w:sz w:val="24"/>
          <w:szCs w:val="24"/>
          <w:lang w:eastAsia="fr-FR"/>
        </w:rPr>
      </w:pPr>
      <w:r w:rsidRPr="00155A7C">
        <w:rPr>
          <w:sz w:val="24"/>
          <w:szCs w:val="24"/>
          <w:lang w:eastAsia="fr-FR"/>
        </w:rPr>
        <w:t>Opbevares i køleskab (2 °C – 8 °C). Må ikke nedfryses.</w:t>
      </w:r>
    </w:p>
    <w:p w14:paraId="41E82644" w14:textId="77777777" w:rsidR="00266E67" w:rsidRPr="00155A7C" w:rsidRDefault="00266E67" w:rsidP="00E15661">
      <w:pPr>
        <w:ind w:left="851"/>
        <w:rPr>
          <w:sz w:val="24"/>
          <w:szCs w:val="24"/>
          <w:lang w:eastAsia="fr-FR"/>
        </w:rPr>
      </w:pPr>
      <w:r w:rsidRPr="00155A7C">
        <w:rPr>
          <w:sz w:val="24"/>
          <w:szCs w:val="24"/>
          <w:lang w:eastAsia="fr-FR"/>
        </w:rPr>
        <w:t>Opbevares i den originale yderpakning</w:t>
      </w:r>
      <w:r w:rsidRPr="00155A7C">
        <w:rPr>
          <w:sz w:val="24"/>
          <w:szCs w:val="24"/>
        </w:rPr>
        <w:t xml:space="preserve"> for at beskytte mod lys</w:t>
      </w:r>
      <w:r w:rsidRPr="00155A7C">
        <w:rPr>
          <w:sz w:val="24"/>
          <w:szCs w:val="24"/>
          <w:lang w:eastAsia="fr-FR"/>
        </w:rPr>
        <w:t>.</w:t>
      </w:r>
    </w:p>
    <w:p w14:paraId="0210D0FA" w14:textId="77777777" w:rsidR="00266E67" w:rsidRPr="00155A7C" w:rsidRDefault="00266E67" w:rsidP="00E15661">
      <w:pPr>
        <w:ind w:left="851"/>
        <w:rPr>
          <w:sz w:val="24"/>
          <w:szCs w:val="24"/>
          <w:lang w:eastAsia="fr-FR"/>
        </w:rPr>
      </w:pPr>
      <w:r w:rsidRPr="00155A7C">
        <w:rPr>
          <w:sz w:val="24"/>
          <w:szCs w:val="24"/>
          <w:lang w:eastAsia="fr-FR"/>
        </w:rPr>
        <w:t xml:space="preserve">Opbevaringsforhold efter </w:t>
      </w:r>
      <w:proofErr w:type="spellStart"/>
      <w:r w:rsidRPr="00155A7C">
        <w:rPr>
          <w:sz w:val="24"/>
          <w:szCs w:val="24"/>
          <w:lang w:eastAsia="fr-FR"/>
        </w:rPr>
        <w:t>rekonstitution</w:t>
      </w:r>
      <w:proofErr w:type="spellEnd"/>
      <w:r w:rsidRPr="00155A7C">
        <w:rPr>
          <w:sz w:val="24"/>
          <w:szCs w:val="24"/>
          <w:lang w:eastAsia="fr-FR"/>
        </w:rPr>
        <w:t xml:space="preserve"> af lægemidlet, se pkt. 6.3.</w:t>
      </w:r>
    </w:p>
    <w:p w14:paraId="3C67F60D" w14:textId="77777777" w:rsidR="009260DE" w:rsidRPr="00155A7C" w:rsidRDefault="009260DE" w:rsidP="00E15661">
      <w:pPr>
        <w:ind w:left="851"/>
        <w:rPr>
          <w:sz w:val="24"/>
          <w:szCs w:val="24"/>
        </w:rPr>
      </w:pPr>
    </w:p>
    <w:p w14:paraId="7B571E32" w14:textId="77777777" w:rsidR="009260DE" w:rsidRPr="00155A7C" w:rsidRDefault="009260DE" w:rsidP="009260DE">
      <w:pPr>
        <w:tabs>
          <w:tab w:val="left" w:pos="851"/>
        </w:tabs>
        <w:ind w:left="851" w:hanging="851"/>
        <w:rPr>
          <w:b/>
          <w:sz w:val="24"/>
          <w:szCs w:val="24"/>
        </w:rPr>
      </w:pPr>
      <w:r w:rsidRPr="00155A7C">
        <w:rPr>
          <w:b/>
          <w:sz w:val="24"/>
          <w:szCs w:val="24"/>
        </w:rPr>
        <w:t>6.5</w:t>
      </w:r>
      <w:r w:rsidRPr="00155A7C">
        <w:rPr>
          <w:b/>
          <w:sz w:val="24"/>
          <w:szCs w:val="24"/>
        </w:rPr>
        <w:tab/>
        <w:t>Emballagetype og pakningsstørrelser</w:t>
      </w:r>
    </w:p>
    <w:p w14:paraId="05BF080E" w14:textId="394DC9D0" w:rsidR="009260DE" w:rsidRDefault="0094288C" w:rsidP="009260DE">
      <w:pPr>
        <w:tabs>
          <w:tab w:val="left" w:pos="851"/>
        </w:tabs>
        <w:ind w:left="851"/>
        <w:rPr>
          <w:sz w:val="24"/>
          <w:szCs w:val="24"/>
        </w:rPr>
      </w:pPr>
      <w:r w:rsidRPr="0094288C">
        <w:rPr>
          <w:sz w:val="24"/>
          <w:szCs w:val="24"/>
        </w:rPr>
        <w:t>Pulver i hætteglas med en prop og en hætte + 0,5 ml solvens i fyldt injektionssprøjte med en stempelprop og en påsat kanyle med en kanylehætte.</w:t>
      </w:r>
    </w:p>
    <w:p w14:paraId="36C443C0" w14:textId="77777777" w:rsidR="0094288C" w:rsidRPr="00155A7C" w:rsidRDefault="0094288C" w:rsidP="009260DE">
      <w:pPr>
        <w:tabs>
          <w:tab w:val="left" w:pos="851"/>
        </w:tabs>
        <w:ind w:left="851"/>
        <w:rPr>
          <w:sz w:val="24"/>
          <w:szCs w:val="24"/>
        </w:rPr>
      </w:pPr>
    </w:p>
    <w:p w14:paraId="0CA4BED5" w14:textId="77777777" w:rsidR="009260DE" w:rsidRPr="00155A7C" w:rsidRDefault="009260DE" w:rsidP="009260DE">
      <w:pPr>
        <w:tabs>
          <w:tab w:val="left" w:pos="851"/>
        </w:tabs>
        <w:ind w:left="851" w:hanging="851"/>
        <w:rPr>
          <w:b/>
          <w:sz w:val="24"/>
          <w:szCs w:val="24"/>
        </w:rPr>
      </w:pPr>
      <w:r w:rsidRPr="00155A7C">
        <w:rPr>
          <w:b/>
          <w:sz w:val="24"/>
          <w:szCs w:val="24"/>
        </w:rPr>
        <w:t>6.6</w:t>
      </w:r>
      <w:r w:rsidRPr="00155A7C">
        <w:rPr>
          <w:b/>
          <w:sz w:val="24"/>
          <w:szCs w:val="24"/>
        </w:rPr>
        <w:tab/>
        <w:t xml:space="preserve">Regler for </w:t>
      </w:r>
      <w:r w:rsidR="00BD7931" w:rsidRPr="00155A7C">
        <w:rPr>
          <w:b/>
          <w:sz w:val="24"/>
          <w:szCs w:val="24"/>
        </w:rPr>
        <w:t>bortskaffelse</w:t>
      </w:r>
      <w:r w:rsidRPr="00155A7C">
        <w:rPr>
          <w:b/>
          <w:sz w:val="24"/>
          <w:szCs w:val="24"/>
        </w:rPr>
        <w:t xml:space="preserve"> og anden håndtering</w:t>
      </w:r>
    </w:p>
    <w:p w14:paraId="2B0A502E" w14:textId="77777777" w:rsidR="00266E67" w:rsidRPr="00155A7C" w:rsidRDefault="00266E67" w:rsidP="00DC083A">
      <w:pPr>
        <w:ind w:left="851"/>
        <w:rPr>
          <w:sz w:val="24"/>
          <w:szCs w:val="24"/>
          <w:lang w:eastAsia="fr-FR"/>
        </w:rPr>
      </w:pPr>
      <w:r w:rsidRPr="00155A7C">
        <w:rPr>
          <w:sz w:val="24"/>
          <w:szCs w:val="24"/>
          <w:lang w:eastAsia="fr-FR"/>
        </w:rPr>
        <w:t>Håndteringsinstruktioner:</w:t>
      </w:r>
    </w:p>
    <w:p w14:paraId="45B2AD22"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Fjern hætten på hætteglasset med det frysetørrede pulver.</w:t>
      </w:r>
    </w:p>
    <w:p w14:paraId="72A8C292"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Skru stempelstangen ind i sprøjten, hvis den leveres separat.</w:t>
      </w:r>
    </w:p>
    <w:p w14:paraId="4F3D5758"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 xml:space="preserve">For sprøjte uden kanyle: Fastgør kanylen til </w:t>
      </w:r>
      <w:proofErr w:type="spellStart"/>
      <w:r w:rsidRPr="000D1FDA">
        <w:rPr>
          <w:sz w:val="24"/>
          <w:szCs w:val="24"/>
          <w:lang w:val="da-DK" w:eastAsia="fr-FR"/>
        </w:rPr>
        <w:t>rekonstitution</w:t>
      </w:r>
      <w:proofErr w:type="spellEnd"/>
      <w:r w:rsidRPr="000D1FDA">
        <w:rPr>
          <w:sz w:val="24"/>
          <w:szCs w:val="24"/>
          <w:lang w:val="da-DK" w:eastAsia="fr-FR"/>
        </w:rPr>
        <w:t xml:space="preserve"> til sprøjten</w:t>
      </w:r>
    </w:p>
    <w:p w14:paraId="12723436" w14:textId="77777777" w:rsidR="008446A4" w:rsidRPr="000D1FDA" w:rsidRDefault="008446A4" w:rsidP="008446A4">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 xml:space="preserve">Injicér </w:t>
      </w:r>
      <w:r>
        <w:rPr>
          <w:sz w:val="24"/>
          <w:szCs w:val="24"/>
          <w:lang w:val="da-DK" w:eastAsia="fr-FR"/>
        </w:rPr>
        <w:t xml:space="preserve">0,5 ml </w:t>
      </w:r>
      <w:r w:rsidRPr="000D1FDA">
        <w:rPr>
          <w:sz w:val="24"/>
          <w:szCs w:val="24"/>
          <w:lang w:val="da-DK" w:eastAsia="fr-FR"/>
        </w:rPr>
        <w:t>solven</w:t>
      </w:r>
      <w:r>
        <w:rPr>
          <w:sz w:val="24"/>
          <w:szCs w:val="24"/>
          <w:lang w:val="da-DK" w:eastAsia="fr-FR"/>
        </w:rPr>
        <w:t>s</w:t>
      </w:r>
      <w:r w:rsidRPr="000D1FDA">
        <w:rPr>
          <w:sz w:val="24"/>
          <w:szCs w:val="24"/>
          <w:lang w:val="da-DK" w:eastAsia="fr-FR"/>
        </w:rPr>
        <w:t xml:space="preserve"> i hætteglasset med det frysetørrede pulver.</w:t>
      </w:r>
    </w:p>
    <w:p w14:paraId="3C55541C"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Ryst hætteglasset forsigtigt, indtil der opnås en homogen suspension af pulveret.</w:t>
      </w:r>
    </w:p>
    <w:p w14:paraId="3088934F"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 xml:space="preserve">Den </w:t>
      </w:r>
      <w:proofErr w:type="spellStart"/>
      <w:r w:rsidRPr="000D1FDA">
        <w:rPr>
          <w:sz w:val="24"/>
          <w:szCs w:val="24"/>
          <w:lang w:val="da-DK" w:eastAsia="fr-FR"/>
        </w:rPr>
        <w:t>rekonstituerede</w:t>
      </w:r>
      <w:proofErr w:type="spellEnd"/>
      <w:r w:rsidRPr="000D1FDA">
        <w:rPr>
          <w:sz w:val="24"/>
          <w:szCs w:val="24"/>
          <w:lang w:val="da-DK" w:eastAsia="fr-FR"/>
        </w:rPr>
        <w:t xml:space="preserve"> vaccine skal være klar, homogen og fri for partikler.</w:t>
      </w:r>
    </w:p>
    <w:p w14:paraId="02880F13" w14:textId="77777777" w:rsidR="00266E67" w:rsidRPr="000A170D" w:rsidRDefault="00266E67" w:rsidP="00DC083A">
      <w:pPr>
        <w:pStyle w:val="Listeafsnit"/>
        <w:numPr>
          <w:ilvl w:val="0"/>
          <w:numId w:val="18"/>
        </w:numPr>
        <w:tabs>
          <w:tab w:val="clear" w:pos="567"/>
        </w:tabs>
        <w:spacing w:line="240" w:lineRule="auto"/>
        <w:ind w:left="1701" w:hanging="425"/>
        <w:rPr>
          <w:sz w:val="24"/>
          <w:szCs w:val="24"/>
          <w:lang w:eastAsia="fr-FR"/>
        </w:rPr>
      </w:pPr>
      <w:r w:rsidRPr="000A170D">
        <w:rPr>
          <w:sz w:val="24"/>
          <w:szCs w:val="24"/>
          <w:lang w:eastAsia="fr-FR"/>
        </w:rPr>
        <w:t xml:space="preserve">For </w:t>
      </w:r>
      <w:proofErr w:type="spellStart"/>
      <w:r w:rsidRPr="000A170D">
        <w:rPr>
          <w:sz w:val="24"/>
          <w:szCs w:val="24"/>
          <w:lang w:eastAsia="fr-FR"/>
        </w:rPr>
        <w:t>sprøjte</w:t>
      </w:r>
      <w:proofErr w:type="spellEnd"/>
      <w:r w:rsidRPr="000A170D">
        <w:rPr>
          <w:sz w:val="24"/>
          <w:szCs w:val="24"/>
          <w:lang w:eastAsia="fr-FR"/>
        </w:rPr>
        <w:t xml:space="preserve"> med </w:t>
      </w:r>
      <w:proofErr w:type="spellStart"/>
      <w:r w:rsidRPr="000A170D">
        <w:rPr>
          <w:sz w:val="24"/>
          <w:szCs w:val="24"/>
          <w:lang w:eastAsia="fr-FR"/>
        </w:rPr>
        <w:t>påsat</w:t>
      </w:r>
      <w:proofErr w:type="spellEnd"/>
      <w:r w:rsidRPr="000A170D">
        <w:rPr>
          <w:sz w:val="24"/>
          <w:szCs w:val="24"/>
          <w:lang w:eastAsia="fr-FR"/>
        </w:rPr>
        <w:t xml:space="preserve"> </w:t>
      </w:r>
      <w:proofErr w:type="spellStart"/>
      <w:r w:rsidRPr="000A170D">
        <w:rPr>
          <w:sz w:val="24"/>
          <w:szCs w:val="24"/>
          <w:lang w:eastAsia="fr-FR"/>
        </w:rPr>
        <w:t>kanyle</w:t>
      </w:r>
      <w:proofErr w:type="spellEnd"/>
    </w:p>
    <w:p w14:paraId="38B7096B" w14:textId="77777777" w:rsidR="00266E67" w:rsidRPr="000D1FDA" w:rsidRDefault="00266E67" w:rsidP="00DC083A">
      <w:pPr>
        <w:pStyle w:val="Listeafsnit"/>
        <w:numPr>
          <w:ilvl w:val="0"/>
          <w:numId w:val="19"/>
        </w:numPr>
        <w:tabs>
          <w:tab w:val="clear" w:pos="567"/>
        </w:tabs>
        <w:spacing w:line="240" w:lineRule="auto"/>
        <w:ind w:left="1985" w:hanging="284"/>
        <w:rPr>
          <w:sz w:val="24"/>
          <w:szCs w:val="24"/>
          <w:lang w:val="da-DK" w:eastAsia="fr-FR"/>
        </w:rPr>
      </w:pPr>
      <w:r w:rsidRPr="000D1FDA">
        <w:rPr>
          <w:sz w:val="24"/>
          <w:szCs w:val="24"/>
          <w:lang w:val="da-DK" w:eastAsia="fr-FR"/>
        </w:rPr>
        <w:t xml:space="preserve">Fjern og kassér sprøjten, der blev brugt til </w:t>
      </w:r>
      <w:proofErr w:type="spellStart"/>
      <w:r w:rsidRPr="000D1FDA">
        <w:rPr>
          <w:sz w:val="24"/>
          <w:szCs w:val="24"/>
          <w:lang w:val="da-DK" w:eastAsia="fr-FR"/>
        </w:rPr>
        <w:t>rekonstitution</w:t>
      </w:r>
      <w:proofErr w:type="spellEnd"/>
      <w:r w:rsidRPr="000D1FDA">
        <w:rPr>
          <w:sz w:val="24"/>
          <w:szCs w:val="24"/>
          <w:lang w:val="da-DK" w:eastAsia="fr-FR"/>
        </w:rPr>
        <w:t xml:space="preserve"> af vaccinen.</w:t>
      </w:r>
    </w:p>
    <w:p w14:paraId="60F12C95" w14:textId="77777777" w:rsidR="00266E67" w:rsidRPr="000D1FDA" w:rsidRDefault="00266E67" w:rsidP="00DC083A">
      <w:pPr>
        <w:pStyle w:val="Listeafsnit"/>
        <w:numPr>
          <w:ilvl w:val="0"/>
          <w:numId w:val="19"/>
        </w:numPr>
        <w:tabs>
          <w:tab w:val="clear" w:pos="567"/>
        </w:tabs>
        <w:spacing w:line="240" w:lineRule="auto"/>
        <w:ind w:left="1985" w:hanging="284"/>
        <w:rPr>
          <w:sz w:val="24"/>
          <w:szCs w:val="24"/>
          <w:lang w:val="da-DK" w:eastAsia="fr-FR"/>
        </w:rPr>
      </w:pPr>
      <w:r w:rsidRPr="000D1FDA">
        <w:rPr>
          <w:sz w:val="24"/>
          <w:szCs w:val="24"/>
          <w:lang w:val="da-DK" w:eastAsia="fr-FR"/>
        </w:rPr>
        <w:t xml:space="preserve">Brug en ny sprøjte med en ny kanyle til at trække den </w:t>
      </w:r>
      <w:proofErr w:type="spellStart"/>
      <w:r w:rsidRPr="000D1FDA">
        <w:rPr>
          <w:sz w:val="24"/>
          <w:szCs w:val="24"/>
          <w:lang w:val="da-DK" w:eastAsia="fr-FR"/>
        </w:rPr>
        <w:t>rekonstituerede</w:t>
      </w:r>
      <w:proofErr w:type="spellEnd"/>
      <w:r w:rsidRPr="000D1FDA">
        <w:rPr>
          <w:sz w:val="24"/>
          <w:szCs w:val="24"/>
          <w:lang w:val="da-DK" w:eastAsia="fr-FR"/>
        </w:rPr>
        <w:t xml:space="preserve"> vaccine op.</w:t>
      </w:r>
    </w:p>
    <w:p w14:paraId="1F483163" w14:textId="77777777" w:rsidR="00266E67" w:rsidRPr="000A170D" w:rsidRDefault="00266E67" w:rsidP="00DC083A">
      <w:pPr>
        <w:pStyle w:val="Listeafsnit"/>
        <w:numPr>
          <w:ilvl w:val="0"/>
          <w:numId w:val="18"/>
        </w:numPr>
        <w:tabs>
          <w:tab w:val="clear" w:pos="567"/>
        </w:tabs>
        <w:spacing w:line="240" w:lineRule="auto"/>
        <w:ind w:left="1701" w:hanging="425"/>
        <w:rPr>
          <w:sz w:val="24"/>
          <w:szCs w:val="24"/>
          <w:lang w:eastAsia="fr-FR"/>
        </w:rPr>
      </w:pPr>
      <w:r w:rsidRPr="000A170D">
        <w:rPr>
          <w:sz w:val="24"/>
          <w:szCs w:val="24"/>
          <w:lang w:eastAsia="fr-FR"/>
        </w:rPr>
        <w:t xml:space="preserve">For </w:t>
      </w:r>
      <w:proofErr w:type="spellStart"/>
      <w:r w:rsidRPr="000A170D">
        <w:rPr>
          <w:sz w:val="24"/>
          <w:szCs w:val="24"/>
          <w:lang w:eastAsia="fr-FR"/>
        </w:rPr>
        <w:t>sprøjte</w:t>
      </w:r>
      <w:proofErr w:type="spellEnd"/>
      <w:r w:rsidRPr="000A170D">
        <w:rPr>
          <w:sz w:val="24"/>
          <w:szCs w:val="24"/>
          <w:lang w:eastAsia="fr-FR"/>
        </w:rPr>
        <w:t xml:space="preserve"> </w:t>
      </w:r>
      <w:proofErr w:type="spellStart"/>
      <w:r w:rsidRPr="000A170D">
        <w:rPr>
          <w:sz w:val="24"/>
          <w:szCs w:val="24"/>
          <w:lang w:eastAsia="fr-FR"/>
        </w:rPr>
        <w:t>uden</w:t>
      </w:r>
      <w:proofErr w:type="spellEnd"/>
      <w:r w:rsidRPr="000A170D">
        <w:rPr>
          <w:sz w:val="24"/>
          <w:szCs w:val="24"/>
          <w:lang w:eastAsia="fr-FR"/>
        </w:rPr>
        <w:t xml:space="preserve"> </w:t>
      </w:r>
      <w:proofErr w:type="spellStart"/>
      <w:r w:rsidRPr="000A170D">
        <w:rPr>
          <w:sz w:val="24"/>
          <w:szCs w:val="24"/>
          <w:lang w:eastAsia="fr-FR"/>
        </w:rPr>
        <w:t>kanyle</w:t>
      </w:r>
      <w:proofErr w:type="spellEnd"/>
    </w:p>
    <w:p w14:paraId="2F9B73F7" w14:textId="77777777" w:rsidR="00266E67" w:rsidRPr="000D1FDA" w:rsidRDefault="00266E67" w:rsidP="00DC083A">
      <w:pPr>
        <w:pStyle w:val="Listeafsnit"/>
        <w:numPr>
          <w:ilvl w:val="0"/>
          <w:numId w:val="20"/>
        </w:numPr>
        <w:tabs>
          <w:tab w:val="clear" w:pos="567"/>
        </w:tabs>
        <w:spacing w:line="240" w:lineRule="auto"/>
        <w:ind w:left="1985" w:hanging="284"/>
        <w:rPr>
          <w:sz w:val="24"/>
          <w:szCs w:val="24"/>
          <w:lang w:val="da-DK" w:eastAsia="fr-FR"/>
        </w:rPr>
      </w:pPr>
      <w:r w:rsidRPr="000D1FDA">
        <w:rPr>
          <w:sz w:val="24"/>
          <w:szCs w:val="24"/>
          <w:lang w:val="da-DK" w:eastAsia="fr-FR"/>
        </w:rPr>
        <w:t>Træk suspensionen op med en sprøjte.</w:t>
      </w:r>
    </w:p>
    <w:p w14:paraId="79BC8BC4" w14:textId="77777777" w:rsidR="00266E67" w:rsidRPr="000A170D"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A170D">
        <w:rPr>
          <w:sz w:val="24"/>
          <w:szCs w:val="24"/>
          <w:lang w:val="da-DK" w:eastAsia="fr-FR"/>
        </w:rPr>
        <w:t xml:space="preserve">Udskift den kanyle, der blev brugt til at trække vaccinen op, med en ny kanyle til intramuskulær eller </w:t>
      </w:r>
      <w:proofErr w:type="spellStart"/>
      <w:r w:rsidRPr="000A170D">
        <w:rPr>
          <w:sz w:val="24"/>
          <w:szCs w:val="24"/>
          <w:lang w:val="da-DK" w:eastAsia="fr-FR"/>
        </w:rPr>
        <w:t>intradermal</w:t>
      </w:r>
      <w:proofErr w:type="spellEnd"/>
      <w:r w:rsidRPr="000A170D">
        <w:rPr>
          <w:sz w:val="24"/>
          <w:szCs w:val="24"/>
          <w:lang w:val="da-DK" w:eastAsia="fr-FR"/>
        </w:rPr>
        <w:t xml:space="preserve"> injektion.</w:t>
      </w:r>
    </w:p>
    <w:p w14:paraId="514AD184"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Længden af den kanyle, der bruges til administration af vaccinen, bør tilpasses patienten.</w:t>
      </w:r>
    </w:p>
    <w:p w14:paraId="3E54A3C6" w14:textId="77777777" w:rsidR="00266E67" w:rsidRPr="00155A7C" w:rsidRDefault="00266E67" w:rsidP="00DC083A">
      <w:pPr>
        <w:ind w:left="851"/>
        <w:rPr>
          <w:sz w:val="24"/>
          <w:szCs w:val="24"/>
          <w:lang w:eastAsia="fr-FR"/>
        </w:rPr>
      </w:pPr>
    </w:p>
    <w:p w14:paraId="501BAF35" w14:textId="77777777" w:rsidR="00266E67" w:rsidRPr="00155A7C" w:rsidRDefault="00266E67" w:rsidP="00E15661">
      <w:pPr>
        <w:ind w:left="851"/>
        <w:rPr>
          <w:sz w:val="24"/>
          <w:szCs w:val="24"/>
          <w:lang w:eastAsia="fr-FR"/>
        </w:rPr>
      </w:pPr>
      <w:r w:rsidRPr="00155A7C">
        <w:rPr>
          <w:sz w:val="24"/>
          <w:szCs w:val="24"/>
          <w:lang w:eastAsia="fr-FR"/>
        </w:rPr>
        <w:t xml:space="preserve">Hvis </w:t>
      </w:r>
      <w:proofErr w:type="spellStart"/>
      <w:r w:rsidRPr="00155A7C">
        <w:rPr>
          <w:sz w:val="24"/>
          <w:szCs w:val="24"/>
          <w:lang w:eastAsia="fr-FR"/>
        </w:rPr>
        <w:t>Verorab</w:t>
      </w:r>
      <w:proofErr w:type="spellEnd"/>
      <w:r w:rsidRPr="00155A7C">
        <w:rPr>
          <w:sz w:val="24"/>
          <w:szCs w:val="24"/>
          <w:lang w:eastAsia="fr-FR"/>
        </w:rPr>
        <w:t xml:space="preserve"> administreres intramuskulært, skal vaccinen anvendes umiddelbart efter </w:t>
      </w:r>
      <w:proofErr w:type="spellStart"/>
      <w:r w:rsidRPr="00155A7C">
        <w:rPr>
          <w:sz w:val="24"/>
          <w:szCs w:val="24"/>
          <w:lang w:eastAsia="fr-FR"/>
        </w:rPr>
        <w:t>rekonstitution</w:t>
      </w:r>
      <w:proofErr w:type="spellEnd"/>
      <w:r w:rsidRPr="00155A7C">
        <w:rPr>
          <w:sz w:val="24"/>
          <w:szCs w:val="24"/>
          <w:lang w:eastAsia="fr-FR"/>
        </w:rPr>
        <w:t>.</w:t>
      </w:r>
    </w:p>
    <w:p w14:paraId="511D5AA5" w14:textId="77777777" w:rsidR="00266E67" w:rsidRPr="00155A7C" w:rsidRDefault="00266E67" w:rsidP="00E15661">
      <w:pPr>
        <w:ind w:left="851"/>
        <w:rPr>
          <w:sz w:val="24"/>
          <w:szCs w:val="24"/>
          <w:lang w:eastAsia="fr-FR"/>
        </w:rPr>
      </w:pPr>
    </w:p>
    <w:p w14:paraId="2A277939" w14:textId="77777777" w:rsidR="008446A4" w:rsidRPr="00155A7C" w:rsidRDefault="008446A4" w:rsidP="008446A4">
      <w:pPr>
        <w:ind w:left="851"/>
        <w:rPr>
          <w:sz w:val="24"/>
          <w:szCs w:val="24"/>
          <w:lang w:eastAsia="fr-FR"/>
        </w:rPr>
      </w:pPr>
      <w:r w:rsidRPr="00155A7C">
        <w:rPr>
          <w:sz w:val="24"/>
          <w:szCs w:val="24"/>
          <w:lang w:eastAsia="fr-FR"/>
        </w:rPr>
        <w:lastRenderedPageBreak/>
        <w:t xml:space="preserve">Hvis </w:t>
      </w:r>
      <w:proofErr w:type="spellStart"/>
      <w:r w:rsidRPr="00155A7C">
        <w:rPr>
          <w:sz w:val="24"/>
          <w:szCs w:val="24"/>
          <w:lang w:eastAsia="fr-FR"/>
        </w:rPr>
        <w:t>Verorab</w:t>
      </w:r>
      <w:proofErr w:type="spellEnd"/>
      <w:r w:rsidRPr="00155A7C">
        <w:rPr>
          <w:sz w:val="24"/>
          <w:szCs w:val="24"/>
          <w:lang w:eastAsia="fr-FR"/>
        </w:rPr>
        <w:t xml:space="preserve"> administreres </w:t>
      </w:r>
      <w:proofErr w:type="spellStart"/>
      <w:r w:rsidRPr="00155A7C">
        <w:rPr>
          <w:sz w:val="24"/>
          <w:szCs w:val="24"/>
          <w:lang w:eastAsia="fr-FR"/>
        </w:rPr>
        <w:t>intradermalt</w:t>
      </w:r>
      <w:proofErr w:type="spellEnd"/>
      <w:r w:rsidRPr="00155A7C">
        <w:rPr>
          <w:sz w:val="24"/>
          <w:szCs w:val="24"/>
          <w:lang w:eastAsia="fr-FR"/>
        </w:rPr>
        <w:t xml:space="preserve">, kan vaccinen anvendes op til 6 timer efter </w:t>
      </w:r>
      <w:proofErr w:type="spellStart"/>
      <w:r w:rsidRPr="00155A7C">
        <w:rPr>
          <w:sz w:val="24"/>
          <w:szCs w:val="24"/>
          <w:lang w:eastAsia="fr-FR"/>
        </w:rPr>
        <w:t>rekonstitution</w:t>
      </w:r>
      <w:proofErr w:type="spellEnd"/>
      <w:r w:rsidRPr="00155A7C">
        <w:rPr>
          <w:sz w:val="24"/>
          <w:szCs w:val="24"/>
          <w:lang w:eastAsia="fr-FR"/>
        </w:rPr>
        <w:t xml:space="preserve"> på betingelse af, at den opbevares ved en temperatur under 25 °C og beskyttet mod lys. Efter </w:t>
      </w:r>
      <w:proofErr w:type="spellStart"/>
      <w:r w:rsidRPr="00155A7C">
        <w:rPr>
          <w:sz w:val="24"/>
          <w:szCs w:val="24"/>
          <w:lang w:eastAsia="fr-FR"/>
        </w:rPr>
        <w:t>rekonstitution</w:t>
      </w:r>
      <w:proofErr w:type="spellEnd"/>
      <w:r w:rsidRPr="00155A7C">
        <w:rPr>
          <w:sz w:val="24"/>
          <w:szCs w:val="24"/>
          <w:lang w:eastAsia="fr-FR"/>
        </w:rPr>
        <w:t xml:space="preserve"> </w:t>
      </w:r>
      <w:r>
        <w:rPr>
          <w:sz w:val="24"/>
          <w:szCs w:val="24"/>
          <w:lang w:eastAsia="fr-FR"/>
        </w:rPr>
        <w:t xml:space="preserve">med 0,5 ml solvens </w:t>
      </w:r>
      <w:r w:rsidRPr="00155A7C">
        <w:rPr>
          <w:sz w:val="24"/>
          <w:szCs w:val="24"/>
          <w:lang w:eastAsia="fr-FR"/>
        </w:rPr>
        <w:t xml:space="preserve">ved brug af aseptiske teknikker </w:t>
      </w:r>
      <w:r>
        <w:rPr>
          <w:sz w:val="24"/>
          <w:szCs w:val="24"/>
          <w:lang w:eastAsia="fr-FR"/>
        </w:rPr>
        <w:t xml:space="preserve">skal hver </w:t>
      </w:r>
      <w:r w:rsidRPr="00155A7C">
        <w:rPr>
          <w:sz w:val="24"/>
          <w:szCs w:val="24"/>
          <w:lang w:eastAsia="fr-FR"/>
        </w:rPr>
        <w:t>dosis</w:t>
      </w:r>
      <w:r>
        <w:rPr>
          <w:sz w:val="24"/>
          <w:szCs w:val="24"/>
          <w:lang w:eastAsia="fr-FR"/>
        </w:rPr>
        <w:t xml:space="preserve"> på 0,1 ml</w:t>
      </w:r>
      <w:r w:rsidRPr="00155A7C">
        <w:rPr>
          <w:sz w:val="24"/>
          <w:szCs w:val="24"/>
          <w:lang w:eastAsia="fr-FR"/>
        </w:rPr>
        <w:t xml:space="preserve"> </w:t>
      </w:r>
      <w:r>
        <w:rPr>
          <w:sz w:val="24"/>
          <w:szCs w:val="24"/>
          <w:lang w:eastAsia="fr-FR"/>
        </w:rPr>
        <w:t xml:space="preserve">tages </w:t>
      </w:r>
      <w:r w:rsidRPr="00155A7C">
        <w:rPr>
          <w:sz w:val="24"/>
          <w:szCs w:val="24"/>
          <w:lang w:eastAsia="fr-FR"/>
        </w:rPr>
        <w:t xml:space="preserve">fra hætteglasset. Resten kan anvendes til en anden patient. Før hver udtagning rystes hætteglasset forsigtigt, for at opnå en homogen suspension. Der skal anvendes en ny steril kanyle og en ny steril sprøjte til at optrække og administrere hver vaccinedosis til hver patient for at undgå krydsinfektion. Den ubrugte </w:t>
      </w:r>
      <w:proofErr w:type="spellStart"/>
      <w:r w:rsidRPr="00155A7C">
        <w:rPr>
          <w:sz w:val="24"/>
          <w:szCs w:val="24"/>
          <w:lang w:eastAsia="fr-FR"/>
        </w:rPr>
        <w:t>rekonstituerede</w:t>
      </w:r>
      <w:proofErr w:type="spellEnd"/>
      <w:r w:rsidRPr="00155A7C">
        <w:rPr>
          <w:sz w:val="24"/>
          <w:szCs w:val="24"/>
          <w:lang w:eastAsia="fr-FR"/>
        </w:rPr>
        <w:t xml:space="preserve"> vaccine skal kasseres efter 6 timer.</w:t>
      </w:r>
    </w:p>
    <w:p w14:paraId="0F9C1EC0" w14:textId="77777777" w:rsidR="00266E67" w:rsidRPr="00155A7C" w:rsidRDefault="00266E67" w:rsidP="00E15661">
      <w:pPr>
        <w:ind w:left="851"/>
        <w:rPr>
          <w:sz w:val="24"/>
          <w:szCs w:val="24"/>
          <w:lang w:eastAsia="fr-FR"/>
        </w:rPr>
      </w:pPr>
    </w:p>
    <w:p w14:paraId="735468D0" w14:textId="77777777" w:rsidR="00266E67" w:rsidRPr="00155A7C" w:rsidRDefault="00266E67" w:rsidP="00E15661">
      <w:pPr>
        <w:ind w:left="851"/>
        <w:rPr>
          <w:sz w:val="24"/>
          <w:szCs w:val="24"/>
          <w:lang w:eastAsia="fr-FR"/>
        </w:rPr>
      </w:pPr>
      <w:r w:rsidRPr="00155A7C">
        <w:rPr>
          <w:sz w:val="24"/>
          <w:szCs w:val="24"/>
        </w:rPr>
        <w:t>Ikke anvendt lægemiddel samt affald heraf skal bortskaffes i henhold til lokale retningslinjer</w:t>
      </w:r>
      <w:r w:rsidRPr="00155A7C">
        <w:rPr>
          <w:sz w:val="24"/>
          <w:szCs w:val="24"/>
          <w:lang w:eastAsia="fr-FR"/>
        </w:rPr>
        <w:t>.</w:t>
      </w:r>
    </w:p>
    <w:p w14:paraId="67934CF5" w14:textId="77777777" w:rsidR="009260DE" w:rsidRPr="00155A7C" w:rsidRDefault="009260DE" w:rsidP="000730CA">
      <w:pPr>
        <w:tabs>
          <w:tab w:val="left" w:pos="851"/>
        </w:tabs>
        <w:ind w:left="851"/>
        <w:rPr>
          <w:sz w:val="24"/>
          <w:szCs w:val="24"/>
        </w:rPr>
      </w:pPr>
    </w:p>
    <w:p w14:paraId="18FC2E32" w14:textId="77777777" w:rsidR="009260DE" w:rsidRPr="00155A7C" w:rsidRDefault="009260DE" w:rsidP="009260DE">
      <w:pPr>
        <w:tabs>
          <w:tab w:val="left" w:pos="851"/>
        </w:tabs>
        <w:ind w:left="851" w:hanging="851"/>
        <w:rPr>
          <w:b/>
          <w:sz w:val="24"/>
          <w:szCs w:val="24"/>
        </w:rPr>
      </w:pPr>
      <w:r w:rsidRPr="00155A7C">
        <w:rPr>
          <w:b/>
          <w:sz w:val="24"/>
          <w:szCs w:val="24"/>
        </w:rPr>
        <w:t>7.</w:t>
      </w:r>
      <w:r w:rsidRPr="00155A7C">
        <w:rPr>
          <w:b/>
          <w:sz w:val="24"/>
          <w:szCs w:val="24"/>
        </w:rPr>
        <w:tab/>
        <w:t>INDEHAVER AF MARKEDSFØRINGSTILLADELSEN</w:t>
      </w:r>
    </w:p>
    <w:p w14:paraId="6FDC16FA" w14:textId="77777777" w:rsidR="0094288C" w:rsidRPr="00617FDB" w:rsidRDefault="0094288C" w:rsidP="0094288C">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14:paraId="696A69A2" w14:textId="77777777" w:rsidR="0094288C" w:rsidRPr="00617FDB" w:rsidRDefault="0094288C" w:rsidP="0094288C">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14:paraId="32634C96" w14:textId="77777777" w:rsidR="0094288C" w:rsidRPr="00617FDB" w:rsidRDefault="0094288C" w:rsidP="0094288C">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14:paraId="1D84E9D1" w14:textId="59D97519" w:rsidR="009260DE" w:rsidRPr="0094288C" w:rsidRDefault="009260DE" w:rsidP="009260DE">
      <w:pPr>
        <w:tabs>
          <w:tab w:val="left" w:pos="851"/>
        </w:tabs>
        <w:ind w:left="851"/>
        <w:rPr>
          <w:sz w:val="24"/>
          <w:szCs w:val="24"/>
          <w:lang w:val="en-US"/>
        </w:rPr>
      </w:pPr>
    </w:p>
    <w:p w14:paraId="14906C1F" w14:textId="77777777" w:rsidR="009260DE" w:rsidRPr="00155A7C" w:rsidRDefault="009260DE" w:rsidP="009260DE">
      <w:pPr>
        <w:tabs>
          <w:tab w:val="left" w:pos="851"/>
        </w:tabs>
        <w:ind w:left="851" w:hanging="851"/>
        <w:rPr>
          <w:b/>
          <w:sz w:val="24"/>
          <w:szCs w:val="24"/>
        </w:rPr>
      </w:pPr>
      <w:r w:rsidRPr="00155A7C">
        <w:rPr>
          <w:b/>
          <w:sz w:val="24"/>
          <w:szCs w:val="24"/>
        </w:rPr>
        <w:t>8.</w:t>
      </w:r>
      <w:r w:rsidRPr="00155A7C">
        <w:rPr>
          <w:b/>
          <w:sz w:val="24"/>
          <w:szCs w:val="24"/>
        </w:rPr>
        <w:tab/>
        <w:t>MARKEDSFØRINGSTILLADELSESNUMMER (</w:t>
      </w:r>
      <w:r w:rsidR="00BF6243" w:rsidRPr="00155A7C">
        <w:rPr>
          <w:b/>
          <w:sz w:val="24"/>
          <w:szCs w:val="24"/>
        </w:rPr>
        <w:t>-</w:t>
      </w:r>
      <w:r w:rsidRPr="00155A7C">
        <w:rPr>
          <w:b/>
          <w:sz w:val="24"/>
          <w:szCs w:val="24"/>
        </w:rPr>
        <w:t>NUMRE)</w:t>
      </w:r>
    </w:p>
    <w:p w14:paraId="0390ABBF" w14:textId="37D25A2D" w:rsidR="009260DE" w:rsidRPr="00155A7C" w:rsidRDefault="0094288C" w:rsidP="009260DE">
      <w:pPr>
        <w:tabs>
          <w:tab w:val="left" w:pos="851"/>
        </w:tabs>
        <w:ind w:left="851"/>
        <w:rPr>
          <w:sz w:val="24"/>
          <w:szCs w:val="24"/>
        </w:rPr>
      </w:pPr>
      <w:r>
        <w:rPr>
          <w:sz w:val="24"/>
          <w:szCs w:val="24"/>
        </w:rPr>
        <w:t>72533</w:t>
      </w:r>
      <w:bookmarkStart w:id="8" w:name="_GoBack"/>
      <w:bookmarkEnd w:id="8"/>
    </w:p>
    <w:p w14:paraId="601960A1" w14:textId="77777777" w:rsidR="009260DE" w:rsidRPr="00155A7C" w:rsidRDefault="009260DE" w:rsidP="009260DE">
      <w:pPr>
        <w:tabs>
          <w:tab w:val="left" w:pos="851"/>
        </w:tabs>
        <w:ind w:left="851"/>
        <w:jc w:val="both"/>
        <w:rPr>
          <w:sz w:val="24"/>
          <w:szCs w:val="24"/>
        </w:rPr>
      </w:pPr>
    </w:p>
    <w:p w14:paraId="489CDAB4" w14:textId="77777777" w:rsidR="009260DE" w:rsidRPr="00155A7C" w:rsidRDefault="009260DE" w:rsidP="009260DE">
      <w:pPr>
        <w:tabs>
          <w:tab w:val="left" w:pos="851"/>
        </w:tabs>
        <w:ind w:left="851" w:hanging="851"/>
        <w:rPr>
          <w:b/>
          <w:sz w:val="24"/>
          <w:szCs w:val="24"/>
        </w:rPr>
      </w:pPr>
      <w:r w:rsidRPr="00155A7C">
        <w:rPr>
          <w:b/>
          <w:sz w:val="24"/>
          <w:szCs w:val="24"/>
        </w:rPr>
        <w:t>9.</w:t>
      </w:r>
      <w:r w:rsidRPr="00155A7C">
        <w:rPr>
          <w:b/>
          <w:sz w:val="24"/>
          <w:szCs w:val="24"/>
        </w:rPr>
        <w:tab/>
        <w:t>DATO FOR FØRSTE MARKEDSFØRINGSTILLADELSE</w:t>
      </w:r>
    </w:p>
    <w:p w14:paraId="447EF98A" w14:textId="6C679D77" w:rsidR="009260DE" w:rsidRPr="00155A7C" w:rsidRDefault="0094288C" w:rsidP="009260DE">
      <w:pPr>
        <w:tabs>
          <w:tab w:val="left" w:pos="851"/>
        </w:tabs>
        <w:ind w:left="851"/>
        <w:rPr>
          <w:sz w:val="24"/>
          <w:szCs w:val="24"/>
        </w:rPr>
      </w:pPr>
      <w:r>
        <w:rPr>
          <w:sz w:val="24"/>
          <w:szCs w:val="24"/>
        </w:rPr>
        <w:t>16. december 2024</w:t>
      </w:r>
    </w:p>
    <w:p w14:paraId="56380E47" w14:textId="77777777" w:rsidR="009260DE" w:rsidRPr="00155A7C" w:rsidRDefault="009260DE" w:rsidP="009260DE">
      <w:pPr>
        <w:tabs>
          <w:tab w:val="left" w:pos="851"/>
        </w:tabs>
        <w:ind w:left="851"/>
        <w:rPr>
          <w:sz w:val="24"/>
          <w:szCs w:val="24"/>
        </w:rPr>
      </w:pPr>
    </w:p>
    <w:p w14:paraId="3F88B041" w14:textId="77777777" w:rsidR="009260DE" w:rsidRPr="00155A7C" w:rsidRDefault="009260DE" w:rsidP="009260DE">
      <w:pPr>
        <w:tabs>
          <w:tab w:val="left" w:pos="851"/>
        </w:tabs>
        <w:ind w:left="851" w:hanging="851"/>
        <w:rPr>
          <w:b/>
          <w:sz w:val="24"/>
          <w:szCs w:val="24"/>
        </w:rPr>
      </w:pPr>
      <w:r w:rsidRPr="00155A7C">
        <w:rPr>
          <w:b/>
          <w:sz w:val="24"/>
          <w:szCs w:val="24"/>
        </w:rPr>
        <w:t>10.</w:t>
      </w:r>
      <w:r w:rsidRPr="00155A7C">
        <w:rPr>
          <w:b/>
          <w:sz w:val="24"/>
          <w:szCs w:val="24"/>
        </w:rPr>
        <w:tab/>
        <w:t>DATO FOR ÆNDRING AF TEKSTEN</w:t>
      </w:r>
    </w:p>
    <w:p w14:paraId="79DE8E1E" w14:textId="474664AD" w:rsidR="009260DE" w:rsidRPr="00155A7C" w:rsidRDefault="0094288C" w:rsidP="009260DE">
      <w:pPr>
        <w:tabs>
          <w:tab w:val="left" w:pos="851"/>
        </w:tabs>
        <w:ind w:left="851"/>
        <w:rPr>
          <w:sz w:val="24"/>
          <w:szCs w:val="24"/>
        </w:rPr>
      </w:pPr>
      <w:r>
        <w:rPr>
          <w:sz w:val="24"/>
          <w:szCs w:val="24"/>
        </w:rPr>
        <w:t>-</w:t>
      </w:r>
    </w:p>
    <w:sectPr w:rsidR="009260DE" w:rsidRPr="00155A7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67CA8" w14:textId="77777777" w:rsidR="00155A7C" w:rsidRDefault="00155A7C">
      <w:r>
        <w:separator/>
      </w:r>
    </w:p>
  </w:endnote>
  <w:endnote w:type="continuationSeparator" w:id="0">
    <w:p w14:paraId="33172D2B" w14:textId="77777777" w:rsidR="00155A7C" w:rsidRDefault="0015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F1373" w14:textId="77777777" w:rsidR="00155A7C" w:rsidRDefault="00155A7C">
    <w:pPr>
      <w:pStyle w:val="Sidefod"/>
      <w:pBdr>
        <w:bottom w:val="single" w:sz="6" w:space="1" w:color="auto"/>
      </w:pBdr>
    </w:pPr>
  </w:p>
  <w:p w14:paraId="2F99EFA8" w14:textId="77777777" w:rsidR="00155A7C" w:rsidRDefault="00155A7C" w:rsidP="00C42586">
    <w:pPr>
      <w:pStyle w:val="Sidefod"/>
      <w:tabs>
        <w:tab w:val="clear" w:pos="4819"/>
        <w:tab w:val="left" w:pos="8505"/>
      </w:tabs>
      <w:rPr>
        <w:i/>
        <w:sz w:val="18"/>
        <w:szCs w:val="18"/>
      </w:rPr>
    </w:pPr>
  </w:p>
  <w:p w14:paraId="3F8BC172" w14:textId="28245FC2" w:rsidR="00155A7C" w:rsidRPr="00B373D7" w:rsidRDefault="00155A7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4288C">
      <w:rPr>
        <w:i/>
        <w:noProof/>
        <w:sz w:val="18"/>
        <w:szCs w:val="18"/>
      </w:rPr>
      <w:t>Verorab (Orifarm), pulver og solvens til injektionsvæske, suspension, fyldt injektionssprøjte 3,25 IE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FBCF" w14:textId="77777777" w:rsidR="00155A7C" w:rsidRDefault="00155A7C">
      <w:r>
        <w:separator/>
      </w:r>
    </w:p>
  </w:footnote>
  <w:footnote w:type="continuationSeparator" w:id="0">
    <w:p w14:paraId="6FFD3367" w14:textId="77777777" w:rsidR="00155A7C" w:rsidRDefault="00155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475"/>
    <w:multiLevelType w:val="hybridMultilevel"/>
    <w:tmpl w:val="1F3CB640"/>
    <w:lvl w:ilvl="0" w:tplc="04060003">
      <w:start w:val="1"/>
      <w:numFmt w:val="bullet"/>
      <w:lvlText w:val="o"/>
      <w:lvlJc w:val="left"/>
      <w:pPr>
        <w:ind w:left="1571" w:hanging="360"/>
      </w:pPr>
      <w:rPr>
        <w:rFonts w:ascii="Courier New" w:hAnsi="Courier New" w:cs="Courier New" w:hint="default"/>
        <w:b w:val="0"/>
        <w:bCs w:val="0"/>
        <w:i w:val="0"/>
        <w:iCs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9D30626"/>
    <w:multiLevelType w:val="hybridMultilevel"/>
    <w:tmpl w:val="2B802C5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5BB6C3F"/>
    <w:multiLevelType w:val="hybridMultilevel"/>
    <w:tmpl w:val="821E46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62C228C"/>
    <w:multiLevelType w:val="hybridMultilevel"/>
    <w:tmpl w:val="2B14E616"/>
    <w:lvl w:ilvl="0" w:tplc="58BCA15A">
      <w:numFmt w:val="bullet"/>
      <w:lvlText w:val="-"/>
      <w:lvlJc w:val="left"/>
      <w:pPr>
        <w:ind w:left="1571" w:hanging="360"/>
      </w:pPr>
      <w:rPr>
        <w:rFonts w:ascii="Times New Roman" w:eastAsia="Times New Roman" w:hAnsi="Times New Roman" w:cs="Times New Roman" w:hint="default"/>
        <w:b w:val="0"/>
        <w:bCs w:val="0"/>
        <w:i w:val="0"/>
        <w:iCs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6636111"/>
    <w:multiLevelType w:val="hybridMultilevel"/>
    <w:tmpl w:val="7F124E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5302602"/>
    <w:multiLevelType w:val="hybridMultilevel"/>
    <w:tmpl w:val="881E75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6D30390"/>
    <w:multiLevelType w:val="hybridMultilevel"/>
    <w:tmpl w:val="2CD8A4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8BF2911"/>
    <w:multiLevelType w:val="hybridMultilevel"/>
    <w:tmpl w:val="F5AC55D6"/>
    <w:lvl w:ilvl="0" w:tplc="58BCA15A">
      <w:numFmt w:val="bullet"/>
      <w:lvlText w:val="-"/>
      <w:lvlJc w:val="left"/>
      <w:pPr>
        <w:ind w:left="720" w:hanging="360"/>
      </w:pPr>
      <w:rPr>
        <w:rFonts w:ascii="Times New Roman" w:eastAsia="Times New Roman" w:hAnsi="Times New Roman" w:cs="Times New Roman" w:hint="default"/>
        <w:b w:val="0"/>
        <w:bCs w:val="0"/>
        <w:i w:val="0"/>
        <w:iCs w:val="0"/>
        <w:w w:val="99"/>
        <w:sz w:val="22"/>
        <w:szCs w:val="22"/>
        <w:lang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D29062C"/>
    <w:multiLevelType w:val="hybridMultilevel"/>
    <w:tmpl w:val="023AA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4181D92"/>
    <w:multiLevelType w:val="hybridMultilevel"/>
    <w:tmpl w:val="64241222"/>
    <w:lvl w:ilvl="0" w:tplc="040C0005">
      <w:start w:val="1"/>
      <w:numFmt w:val="bullet"/>
      <w:lvlText w:val=""/>
      <w:lvlJc w:val="left"/>
      <w:pPr>
        <w:ind w:left="1571" w:hanging="360"/>
      </w:pPr>
      <w:rPr>
        <w:rFonts w:ascii="Wingdings" w:hAnsi="Wingdings" w:hint="default"/>
        <w:b w:val="0"/>
        <w:bCs w:val="0"/>
        <w:i w:val="0"/>
        <w:iCs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451D2C6F"/>
    <w:multiLevelType w:val="hybridMultilevel"/>
    <w:tmpl w:val="8DC064F8"/>
    <w:lvl w:ilvl="0" w:tplc="040C0005">
      <w:start w:val="1"/>
      <w:numFmt w:val="bullet"/>
      <w:lvlText w:val=""/>
      <w:lvlJc w:val="left"/>
      <w:pPr>
        <w:ind w:left="1571" w:hanging="360"/>
      </w:pPr>
      <w:rPr>
        <w:rFonts w:ascii="Wingdings" w:hAnsi="Wingdings" w:hint="default"/>
        <w:b w:val="0"/>
        <w:bCs w:val="0"/>
        <w:i w:val="0"/>
        <w:iCs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7C24833"/>
    <w:multiLevelType w:val="hybridMultilevel"/>
    <w:tmpl w:val="921E2F9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88D7FF8"/>
    <w:multiLevelType w:val="hybridMultilevel"/>
    <w:tmpl w:val="FE28D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 w:numId="12">
    <w:abstractNumId w:val="17"/>
  </w:num>
  <w:num w:numId="13">
    <w:abstractNumId w:val="5"/>
  </w:num>
  <w:num w:numId="14">
    <w:abstractNumId w:val="1"/>
  </w:num>
  <w:num w:numId="15">
    <w:abstractNumId w:val="7"/>
  </w:num>
  <w:num w:numId="16">
    <w:abstractNumId w:val="10"/>
  </w:num>
  <w:num w:numId="17">
    <w:abstractNumId w:val="4"/>
  </w:num>
  <w:num w:numId="18">
    <w:abstractNumId w:val="0"/>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D6"/>
    <w:rsid w:val="000007DA"/>
    <w:rsid w:val="000259B9"/>
    <w:rsid w:val="00041491"/>
    <w:rsid w:val="00050D16"/>
    <w:rsid w:val="000730CA"/>
    <w:rsid w:val="00074F2A"/>
    <w:rsid w:val="000A170D"/>
    <w:rsid w:val="000A1CA8"/>
    <w:rsid w:val="000A466B"/>
    <w:rsid w:val="000B058C"/>
    <w:rsid w:val="000D1FDA"/>
    <w:rsid w:val="000D68B0"/>
    <w:rsid w:val="000E4EE6"/>
    <w:rsid w:val="001454E2"/>
    <w:rsid w:val="00155A7C"/>
    <w:rsid w:val="001A5C17"/>
    <w:rsid w:val="001B6D13"/>
    <w:rsid w:val="00206CE8"/>
    <w:rsid w:val="0021526C"/>
    <w:rsid w:val="00266E67"/>
    <w:rsid w:val="00283A2B"/>
    <w:rsid w:val="002B30AD"/>
    <w:rsid w:val="002C1EC0"/>
    <w:rsid w:val="002C2C01"/>
    <w:rsid w:val="003A29AE"/>
    <w:rsid w:val="003A32D7"/>
    <w:rsid w:val="003B4074"/>
    <w:rsid w:val="003C769A"/>
    <w:rsid w:val="003D3A90"/>
    <w:rsid w:val="003F1838"/>
    <w:rsid w:val="0045746C"/>
    <w:rsid w:val="00485876"/>
    <w:rsid w:val="0049104B"/>
    <w:rsid w:val="00495FC0"/>
    <w:rsid w:val="004E3B12"/>
    <w:rsid w:val="00532310"/>
    <w:rsid w:val="00565F0F"/>
    <w:rsid w:val="00594A86"/>
    <w:rsid w:val="00596D86"/>
    <w:rsid w:val="00637F5A"/>
    <w:rsid w:val="00641C65"/>
    <w:rsid w:val="006560B1"/>
    <w:rsid w:val="006576F5"/>
    <w:rsid w:val="006756DD"/>
    <w:rsid w:val="0071241E"/>
    <w:rsid w:val="00737275"/>
    <w:rsid w:val="00740EEC"/>
    <w:rsid w:val="0078011A"/>
    <w:rsid w:val="00782AF4"/>
    <w:rsid w:val="00790EE7"/>
    <w:rsid w:val="007B43CB"/>
    <w:rsid w:val="007B6649"/>
    <w:rsid w:val="007E44A7"/>
    <w:rsid w:val="0082576E"/>
    <w:rsid w:val="008446A4"/>
    <w:rsid w:val="008E7C7D"/>
    <w:rsid w:val="00907F75"/>
    <w:rsid w:val="009260DE"/>
    <w:rsid w:val="0093258A"/>
    <w:rsid w:val="0094288C"/>
    <w:rsid w:val="009C7BA3"/>
    <w:rsid w:val="009D1F5A"/>
    <w:rsid w:val="00A10294"/>
    <w:rsid w:val="00B003BF"/>
    <w:rsid w:val="00B373D7"/>
    <w:rsid w:val="00B55271"/>
    <w:rsid w:val="00BD7931"/>
    <w:rsid w:val="00BF39D3"/>
    <w:rsid w:val="00BF6243"/>
    <w:rsid w:val="00C36276"/>
    <w:rsid w:val="00C42586"/>
    <w:rsid w:val="00C45F6B"/>
    <w:rsid w:val="00C60CCD"/>
    <w:rsid w:val="00C84483"/>
    <w:rsid w:val="00C95551"/>
    <w:rsid w:val="00CB20D7"/>
    <w:rsid w:val="00D020B0"/>
    <w:rsid w:val="00D11748"/>
    <w:rsid w:val="00D171A5"/>
    <w:rsid w:val="00D237F6"/>
    <w:rsid w:val="00D34D98"/>
    <w:rsid w:val="00D366CF"/>
    <w:rsid w:val="00D72849"/>
    <w:rsid w:val="00D93992"/>
    <w:rsid w:val="00DC083A"/>
    <w:rsid w:val="00E108AA"/>
    <w:rsid w:val="00E15661"/>
    <w:rsid w:val="00E3749A"/>
    <w:rsid w:val="00E7437F"/>
    <w:rsid w:val="00E865B8"/>
    <w:rsid w:val="00EC0B9B"/>
    <w:rsid w:val="00ED5E9F"/>
    <w:rsid w:val="00F1497E"/>
    <w:rsid w:val="00F327E9"/>
    <w:rsid w:val="00F66D4F"/>
    <w:rsid w:val="00F979D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A8468"/>
  <w15:chartTrackingRefBased/>
  <w15:docId w15:val="{F386BCC1-6EF8-4043-8824-2C7E03AC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AmmCorpsTexteCar">
    <w:name w:val="AmmCorpsTexte Car"/>
    <w:link w:val="AmmCorpsTexte"/>
    <w:locked/>
    <w:rsid w:val="00266E67"/>
    <w:rPr>
      <w:rFonts w:ascii="Arial" w:hAnsi="Arial"/>
      <w:lang w:val="en-GB" w:eastAsia="fr-FR"/>
    </w:rPr>
  </w:style>
  <w:style w:type="paragraph" w:customStyle="1" w:styleId="AmmCorpsTexte">
    <w:name w:val="AmmCorpsTexte"/>
    <w:basedOn w:val="Normal"/>
    <w:link w:val="AmmCorpsTexteCar"/>
    <w:qFormat/>
    <w:rsid w:val="00266E67"/>
    <w:pPr>
      <w:spacing w:after="120"/>
      <w:jc w:val="both"/>
    </w:pPr>
    <w:rPr>
      <w:rFonts w:ascii="Arial" w:hAnsi="Arial"/>
      <w:sz w:val="20"/>
      <w:lang w:val="en-GB" w:eastAsia="fr-FR"/>
    </w:rPr>
  </w:style>
  <w:style w:type="paragraph" w:customStyle="1" w:styleId="AmmAnnexeTitre4">
    <w:name w:val="AmmAnnexeTitre4"/>
    <w:basedOn w:val="AmmCorpsTexte"/>
    <w:next w:val="AmmCorpsTexte"/>
    <w:rsid w:val="00266E67"/>
    <w:rPr>
      <w:i/>
      <w:u w:val="single"/>
    </w:rPr>
  </w:style>
  <w:style w:type="character" w:customStyle="1" w:styleId="AmmCorpsTexteGrasCar">
    <w:name w:val="AmmCorpsTexteGras Car"/>
    <w:link w:val="AmmCorpsTexteGras"/>
    <w:locked/>
    <w:rsid w:val="00266E67"/>
    <w:rPr>
      <w:rFonts w:ascii="Arial" w:hAnsi="Arial"/>
      <w:b/>
      <w:bCs/>
      <w:lang w:val="en-GB" w:eastAsia="fr-FR"/>
    </w:rPr>
  </w:style>
  <w:style w:type="paragraph" w:customStyle="1" w:styleId="AmmCorpsTexteGras">
    <w:name w:val="AmmCorpsTexteGras"/>
    <w:basedOn w:val="AmmCorpsTexte"/>
    <w:link w:val="AmmCorpsTexteGrasCar"/>
    <w:rsid w:val="00266E67"/>
    <w:rPr>
      <w:b/>
      <w:bCs/>
    </w:rPr>
  </w:style>
  <w:style w:type="character" w:styleId="Hyperlink">
    <w:name w:val="Hyperlink"/>
    <w:basedOn w:val="Standardskrifttypeiafsnit"/>
    <w:uiPriority w:val="99"/>
    <w:semiHidden/>
    <w:unhideWhenUsed/>
    <w:rsid w:val="00266E67"/>
    <w:rPr>
      <w:color w:val="0563C1" w:themeColor="hyperlink"/>
      <w:u w:val="single"/>
    </w:rPr>
  </w:style>
  <w:style w:type="paragraph" w:customStyle="1" w:styleId="AmmListePuces1">
    <w:name w:val="AmmListePuces1"/>
    <w:basedOn w:val="AmmCorpsTexte"/>
    <w:rsid w:val="00266E67"/>
    <w:pPr>
      <w:tabs>
        <w:tab w:val="num" w:pos="360"/>
      </w:tabs>
      <w:spacing w:after="0"/>
      <w:ind w:left="360" w:hanging="360"/>
      <w:jc w:val="left"/>
    </w:pPr>
  </w:style>
  <w:style w:type="paragraph" w:styleId="Listeafsnit">
    <w:name w:val="List Paragraph"/>
    <w:basedOn w:val="Normal"/>
    <w:uiPriority w:val="34"/>
    <w:qFormat/>
    <w:rsid w:val="00266E67"/>
    <w:pPr>
      <w:tabs>
        <w:tab w:val="left" w:pos="567"/>
      </w:tabs>
      <w:spacing w:line="260" w:lineRule="exact"/>
      <w:ind w:left="720"/>
      <w:contextualSpacing/>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7426">
      <w:bodyDiv w:val="1"/>
      <w:marLeft w:val="0"/>
      <w:marRight w:val="0"/>
      <w:marTop w:val="0"/>
      <w:marBottom w:val="0"/>
      <w:divBdr>
        <w:top w:val="none" w:sz="0" w:space="0" w:color="auto"/>
        <w:left w:val="none" w:sz="0" w:space="0" w:color="auto"/>
        <w:bottom w:val="none" w:sz="0" w:space="0" w:color="auto"/>
        <w:right w:val="none" w:sz="0" w:space="0" w:color="auto"/>
      </w:divBdr>
    </w:div>
    <w:div w:id="1643684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4333483">
      <w:bodyDiv w:val="1"/>
      <w:marLeft w:val="0"/>
      <w:marRight w:val="0"/>
      <w:marTop w:val="0"/>
      <w:marBottom w:val="0"/>
      <w:divBdr>
        <w:top w:val="none" w:sz="0" w:space="0" w:color="auto"/>
        <w:left w:val="none" w:sz="0" w:space="0" w:color="auto"/>
        <w:bottom w:val="none" w:sz="0" w:space="0" w:color="auto"/>
        <w:right w:val="none" w:sz="0" w:space="0" w:color="auto"/>
      </w:divBdr>
    </w:div>
    <w:div w:id="422578100">
      <w:bodyDiv w:val="1"/>
      <w:marLeft w:val="0"/>
      <w:marRight w:val="0"/>
      <w:marTop w:val="0"/>
      <w:marBottom w:val="0"/>
      <w:divBdr>
        <w:top w:val="none" w:sz="0" w:space="0" w:color="auto"/>
        <w:left w:val="none" w:sz="0" w:space="0" w:color="auto"/>
        <w:bottom w:val="none" w:sz="0" w:space="0" w:color="auto"/>
        <w:right w:val="none" w:sz="0" w:space="0" w:color="auto"/>
      </w:divBdr>
    </w:div>
    <w:div w:id="579484354">
      <w:bodyDiv w:val="1"/>
      <w:marLeft w:val="0"/>
      <w:marRight w:val="0"/>
      <w:marTop w:val="0"/>
      <w:marBottom w:val="0"/>
      <w:divBdr>
        <w:top w:val="none" w:sz="0" w:space="0" w:color="auto"/>
        <w:left w:val="none" w:sz="0" w:space="0" w:color="auto"/>
        <w:bottom w:val="none" w:sz="0" w:space="0" w:color="auto"/>
        <w:right w:val="none" w:sz="0" w:space="0" w:color="auto"/>
      </w:divBdr>
    </w:div>
    <w:div w:id="609242762">
      <w:bodyDiv w:val="1"/>
      <w:marLeft w:val="0"/>
      <w:marRight w:val="0"/>
      <w:marTop w:val="0"/>
      <w:marBottom w:val="0"/>
      <w:divBdr>
        <w:top w:val="none" w:sz="0" w:space="0" w:color="auto"/>
        <w:left w:val="none" w:sz="0" w:space="0" w:color="auto"/>
        <w:bottom w:val="none" w:sz="0" w:space="0" w:color="auto"/>
        <w:right w:val="none" w:sz="0" w:space="0" w:color="auto"/>
      </w:divBdr>
    </w:div>
    <w:div w:id="852375771">
      <w:bodyDiv w:val="1"/>
      <w:marLeft w:val="0"/>
      <w:marRight w:val="0"/>
      <w:marTop w:val="0"/>
      <w:marBottom w:val="0"/>
      <w:divBdr>
        <w:top w:val="none" w:sz="0" w:space="0" w:color="auto"/>
        <w:left w:val="none" w:sz="0" w:space="0" w:color="auto"/>
        <w:bottom w:val="none" w:sz="0" w:space="0" w:color="auto"/>
        <w:right w:val="none" w:sz="0" w:space="0" w:color="auto"/>
      </w:divBdr>
    </w:div>
    <w:div w:id="852456810">
      <w:bodyDiv w:val="1"/>
      <w:marLeft w:val="0"/>
      <w:marRight w:val="0"/>
      <w:marTop w:val="0"/>
      <w:marBottom w:val="0"/>
      <w:divBdr>
        <w:top w:val="none" w:sz="0" w:space="0" w:color="auto"/>
        <w:left w:val="none" w:sz="0" w:space="0" w:color="auto"/>
        <w:bottom w:val="none" w:sz="0" w:space="0" w:color="auto"/>
        <w:right w:val="none" w:sz="0" w:space="0" w:color="auto"/>
      </w:divBdr>
    </w:div>
    <w:div w:id="857044506">
      <w:bodyDiv w:val="1"/>
      <w:marLeft w:val="0"/>
      <w:marRight w:val="0"/>
      <w:marTop w:val="0"/>
      <w:marBottom w:val="0"/>
      <w:divBdr>
        <w:top w:val="none" w:sz="0" w:space="0" w:color="auto"/>
        <w:left w:val="none" w:sz="0" w:space="0" w:color="auto"/>
        <w:bottom w:val="none" w:sz="0" w:space="0" w:color="auto"/>
        <w:right w:val="none" w:sz="0" w:space="0" w:color="auto"/>
      </w:divBdr>
    </w:div>
    <w:div w:id="895353460">
      <w:bodyDiv w:val="1"/>
      <w:marLeft w:val="0"/>
      <w:marRight w:val="0"/>
      <w:marTop w:val="0"/>
      <w:marBottom w:val="0"/>
      <w:divBdr>
        <w:top w:val="none" w:sz="0" w:space="0" w:color="auto"/>
        <w:left w:val="none" w:sz="0" w:space="0" w:color="auto"/>
        <w:bottom w:val="none" w:sz="0" w:space="0" w:color="auto"/>
        <w:right w:val="none" w:sz="0" w:space="0" w:color="auto"/>
      </w:divBdr>
    </w:div>
    <w:div w:id="921983973">
      <w:bodyDiv w:val="1"/>
      <w:marLeft w:val="0"/>
      <w:marRight w:val="0"/>
      <w:marTop w:val="0"/>
      <w:marBottom w:val="0"/>
      <w:divBdr>
        <w:top w:val="none" w:sz="0" w:space="0" w:color="auto"/>
        <w:left w:val="none" w:sz="0" w:space="0" w:color="auto"/>
        <w:bottom w:val="none" w:sz="0" w:space="0" w:color="auto"/>
        <w:right w:val="none" w:sz="0" w:space="0" w:color="auto"/>
      </w:divBdr>
    </w:div>
    <w:div w:id="1167139264">
      <w:bodyDiv w:val="1"/>
      <w:marLeft w:val="0"/>
      <w:marRight w:val="0"/>
      <w:marTop w:val="0"/>
      <w:marBottom w:val="0"/>
      <w:divBdr>
        <w:top w:val="none" w:sz="0" w:space="0" w:color="auto"/>
        <w:left w:val="none" w:sz="0" w:space="0" w:color="auto"/>
        <w:bottom w:val="none" w:sz="0" w:space="0" w:color="auto"/>
        <w:right w:val="none" w:sz="0" w:space="0" w:color="auto"/>
      </w:divBdr>
    </w:div>
    <w:div w:id="1293830367">
      <w:bodyDiv w:val="1"/>
      <w:marLeft w:val="0"/>
      <w:marRight w:val="0"/>
      <w:marTop w:val="0"/>
      <w:marBottom w:val="0"/>
      <w:divBdr>
        <w:top w:val="none" w:sz="0" w:space="0" w:color="auto"/>
        <w:left w:val="none" w:sz="0" w:space="0" w:color="auto"/>
        <w:bottom w:val="none" w:sz="0" w:space="0" w:color="auto"/>
        <w:right w:val="none" w:sz="0" w:space="0" w:color="auto"/>
      </w:divBdr>
    </w:div>
    <w:div w:id="1360353833">
      <w:bodyDiv w:val="1"/>
      <w:marLeft w:val="0"/>
      <w:marRight w:val="0"/>
      <w:marTop w:val="0"/>
      <w:marBottom w:val="0"/>
      <w:divBdr>
        <w:top w:val="none" w:sz="0" w:space="0" w:color="auto"/>
        <w:left w:val="none" w:sz="0" w:space="0" w:color="auto"/>
        <w:bottom w:val="none" w:sz="0" w:space="0" w:color="auto"/>
        <w:right w:val="none" w:sz="0" w:space="0" w:color="auto"/>
      </w:divBdr>
    </w:div>
    <w:div w:id="1521235575">
      <w:bodyDiv w:val="1"/>
      <w:marLeft w:val="0"/>
      <w:marRight w:val="0"/>
      <w:marTop w:val="0"/>
      <w:marBottom w:val="0"/>
      <w:divBdr>
        <w:top w:val="none" w:sz="0" w:space="0" w:color="auto"/>
        <w:left w:val="none" w:sz="0" w:space="0" w:color="auto"/>
        <w:bottom w:val="none" w:sz="0" w:space="0" w:color="auto"/>
        <w:right w:val="none" w:sz="0" w:space="0" w:color="auto"/>
      </w:divBdr>
    </w:div>
    <w:div w:id="1544637837">
      <w:bodyDiv w:val="1"/>
      <w:marLeft w:val="0"/>
      <w:marRight w:val="0"/>
      <w:marTop w:val="0"/>
      <w:marBottom w:val="0"/>
      <w:divBdr>
        <w:top w:val="none" w:sz="0" w:space="0" w:color="auto"/>
        <w:left w:val="none" w:sz="0" w:space="0" w:color="auto"/>
        <w:bottom w:val="none" w:sz="0" w:space="0" w:color="auto"/>
        <w:right w:val="none" w:sz="0" w:space="0" w:color="auto"/>
      </w:divBdr>
    </w:div>
    <w:div w:id="1556813203">
      <w:bodyDiv w:val="1"/>
      <w:marLeft w:val="0"/>
      <w:marRight w:val="0"/>
      <w:marTop w:val="0"/>
      <w:marBottom w:val="0"/>
      <w:divBdr>
        <w:top w:val="none" w:sz="0" w:space="0" w:color="auto"/>
        <w:left w:val="none" w:sz="0" w:space="0" w:color="auto"/>
        <w:bottom w:val="none" w:sz="0" w:space="0" w:color="auto"/>
        <w:right w:val="none" w:sz="0" w:space="0" w:color="auto"/>
      </w:divBdr>
    </w:div>
    <w:div w:id="1689209019">
      <w:bodyDiv w:val="1"/>
      <w:marLeft w:val="0"/>
      <w:marRight w:val="0"/>
      <w:marTop w:val="0"/>
      <w:marBottom w:val="0"/>
      <w:divBdr>
        <w:top w:val="none" w:sz="0" w:space="0" w:color="auto"/>
        <w:left w:val="none" w:sz="0" w:space="0" w:color="auto"/>
        <w:bottom w:val="none" w:sz="0" w:space="0" w:color="auto"/>
        <w:right w:val="none" w:sz="0" w:space="0" w:color="auto"/>
      </w:divBdr>
    </w:div>
    <w:div w:id="2068795839">
      <w:bodyDiv w:val="1"/>
      <w:marLeft w:val="0"/>
      <w:marRight w:val="0"/>
      <w:marTop w:val="0"/>
      <w:marBottom w:val="0"/>
      <w:divBdr>
        <w:top w:val="none" w:sz="0" w:space="0" w:color="auto"/>
        <w:left w:val="none" w:sz="0" w:space="0" w:color="auto"/>
        <w:bottom w:val="none" w:sz="0" w:space="0" w:color="auto"/>
        <w:right w:val="none" w:sz="0" w:space="0" w:color="auto"/>
      </w:divBdr>
    </w:div>
    <w:div w:id="2120955373">
      <w:bodyDiv w:val="1"/>
      <w:marLeft w:val="0"/>
      <w:marRight w:val="0"/>
      <w:marTop w:val="0"/>
      <w:marBottom w:val="0"/>
      <w:divBdr>
        <w:top w:val="none" w:sz="0" w:space="0" w:color="auto"/>
        <w:left w:val="none" w:sz="0" w:space="0" w:color="auto"/>
        <w:bottom w:val="none" w:sz="0" w:space="0" w:color="auto"/>
        <w:right w:val="none" w:sz="0" w:space="0" w:color="auto"/>
      </w:divBdr>
    </w:div>
    <w:div w:id="2133328080">
      <w:bodyDiv w:val="1"/>
      <w:marLeft w:val="0"/>
      <w:marRight w:val="0"/>
      <w:marTop w:val="0"/>
      <w:marBottom w:val="0"/>
      <w:divBdr>
        <w:top w:val="none" w:sz="0" w:space="0" w:color="auto"/>
        <w:left w:val="none" w:sz="0" w:space="0" w:color="auto"/>
        <w:bottom w:val="none" w:sz="0" w:space="0" w:color="auto"/>
        <w:right w:val="none" w:sz="0" w:space="0" w:color="auto"/>
      </w:divBdr>
    </w:div>
    <w:div w:id="21362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20FD-A29A-482B-930D-483B669F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13</Pages>
  <Words>3816</Words>
  <Characters>24371</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2024093542, 2024100346 - Nyt PI SPC_x000d_
</dc:description>
  <cp:lastModifiedBy>Camilla Sværke Hansen</cp:lastModifiedBy>
  <cp:revision>3</cp:revision>
  <cp:lastPrinted>2012-08-22T08:53:00Z</cp:lastPrinted>
  <dcterms:created xsi:type="dcterms:W3CDTF">2024-08-12T10:08:00Z</dcterms:created>
  <dcterms:modified xsi:type="dcterms:W3CDTF">2024-12-15T10:54:00Z</dcterms:modified>
</cp:coreProperties>
</file>