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CED" w:rsidRDefault="001F1CED" w:rsidP="001F1CED">
      <w:pPr>
        <w:rPr>
          <w:sz w:val="24"/>
          <w:szCs w:val="24"/>
        </w:rPr>
      </w:pPr>
      <w:bookmarkStart w:id="0" w:name="_GoBack"/>
      <w:bookmarkEnd w:id="0"/>
      <w:r>
        <w:rPr>
          <w:noProof/>
          <w:sz w:val="24"/>
          <w:szCs w:val="24"/>
          <w:lang w:eastAsia="da-DK"/>
        </w:rPr>
        <w:drawing>
          <wp:inline distT="0" distB="0" distL="0" distR="0" wp14:anchorId="771D2C67" wp14:editId="353D7510">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E6ABD" w:rsidRPr="00C84483" w:rsidRDefault="008E6ABD" w:rsidP="001F1CED">
      <w:pPr>
        <w:rPr>
          <w:sz w:val="24"/>
          <w:szCs w:val="24"/>
        </w:rPr>
      </w:pPr>
    </w:p>
    <w:p w:rsidR="001F1CED" w:rsidRDefault="001F1CED" w:rsidP="001F1CED">
      <w:pPr>
        <w:pStyle w:val="Titel"/>
        <w:tabs>
          <w:tab w:val="right" w:pos="9356"/>
        </w:tabs>
        <w:jc w:val="left"/>
        <w:rPr>
          <w:szCs w:val="24"/>
        </w:rPr>
      </w:pPr>
      <w:r w:rsidRPr="00C84483">
        <w:rPr>
          <w:b w:val="0"/>
          <w:szCs w:val="24"/>
          <w:lang w:eastAsia="en-US"/>
        </w:rPr>
        <w:tab/>
      </w:r>
      <w:r w:rsidR="00A87F7C">
        <w:rPr>
          <w:szCs w:val="24"/>
        </w:rPr>
        <w:t>23. oktober 2023</w:t>
      </w:r>
    </w:p>
    <w:p w:rsidR="008E6ABD" w:rsidRPr="00C84483" w:rsidRDefault="008E6ABD" w:rsidP="001F1CED">
      <w:pPr>
        <w:pStyle w:val="Titel"/>
        <w:tabs>
          <w:tab w:val="right" w:pos="9356"/>
        </w:tabs>
        <w:jc w:val="left"/>
        <w:rPr>
          <w:b w:val="0"/>
          <w:szCs w:val="24"/>
          <w:lang w:eastAsia="en-US"/>
        </w:rPr>
      </w:pPr>
    </w:p>
    <w:p w:rsidR="001F1CED" w:rsidRPr="00C84483" w:rsidRDefault="001F1CED" w:rsidP="001F1CED">
      <w:pPr>
        <w:pStyle w:val="Titel"/>
        <w:jc w:val="left"/>
        <w:rPr>
          <w:b w:val="0"/>
          <w:szCs w:val="24"/>
        </w:rPr>
      </w:pPr>
    </w:p>
    <w:p w:rsidR="001F1CED" w:rsidRPr="00C84483" w:rsidRDefault="001F1CED" w:rsidP="001F1CED">
      <w:pPr>
        <w:jc w:val="center"/>
        <w:rPr>
          <w:b/>
          <w:sz w:val="24"/>
          <w:szCs w:val="24"/>
        </w:rPr>
      </w:pPr>
      <w:r w:rsidRPr="00C84483">
        <w:rPr>
          <w:b/>
          <w:sz w:val="24"/>
          <w:szCs w:val="24"/>
        </w:rPr>
        <w:t>PRODUKTRESUMÉ</w:t>
      </w:r>
    </w:p>
    <w:p w:rsidR="001F1CED" w:rsidRPr="00C84483" w:rsidRDefault="001F1CED" w:rsidP="001F1CED">
      <w:pPr>
        <w:jc w:val="center"/>
        <w:rPr>
          <w:b/>
          <w:sz w:val="24"/>
          <w:szCs w:val="24"/>
        </w:rPr>
      </w:pPr>
    </w:p>
    <w:p w:rsidR="001F1CED" w:rsidRPr="00C84483" w:rsidRDefault="001F1CED" w:rsidP="001F1CED">
      <w:pPr>
        <w:jc w:val="center"/>
        <w:rPr>
          <w:b/>
          <w:sz w:val="24"/>
          <w:szCs w:val="24"/>
        </w:rPr>
      </w:pPr>
      <w:r w:rsidRPr="00C84483">
        <w:rPr>
          <w:b/>
          <w:sz w:val="24"/>
          <w:szCs w:val="24"/>
        </w:rPr>
        <w:t>for</w:t>
      </w:r>
    </w:p>
    <w:p w:rsidR="001F1CED" w:rsidRPr="00C84483" w:rsidRDefault="001F1CED" w:rsidP="001F1CED">
      <w:pPr>
        <w:jc w:val="center"/>
        <w:rPr>
          <w:b/>
          <w:sz w:val="24"/>
          <w:szCs w:val="24"/>
        </w:rPr>
      </w:pPr>
    </w:p>
    <w:p w:rsidR="001F1CED" w:rsidRPr="00C84483" w:rsidRDefault="001F1CED" w:rsidP="001F1CED">
      <w:pPr>
        <w:jc w:val="center"/>
        <w:rPr>
          <w:b/>
          <w:sz w:val="24"/>
          <w:szCs w:val="24"/>
        </w:rPr>
      </w:pPr>
      <w:proofErr w:type="spellStart"/>
      <w:r>
        <w:rPr>
          <w:b/>
          <w:sz w:val="24"/>
          <w:szCs w:val="24"/>
        </w:rPr>
        <w:t>Vesicare</w:t>
      </w:r>
      <w:proofErr w:type="spellEnd"/>
      <w:r>
        <w:rPr>
          <w:b/>
          <w:sz w:val="24"/>
          <w:szCs w:val="24"/>
        </w:rPr>
        <w:t>, oral suspension</w:t>
      </w:r>
    </w:p>
    <w:p w:rsidR="001F1CED" w:rsidRPr="00C84483" w:rsidRDefault="001F1CED" w:rsidP="001F1CED">
      <w:pPr>
        <w:jc w:val="both"/>
        <w:rPr>
          <w:sz w:val="24"/>
          <w:szCs w:val="24"/>
        </w:rPr>
      </w:pPr>
    </w:p>
    <w:p w:rsidR="001F1CED" w:rsidRPr="00577A7E" w:rsidRDefault="001F1CED" w:rsidP="001F1CED">
      <w:pPr>
        <w:ind w:left="851" w:hanging="851"/>
        <w:jc w:val="both"/>
        <w:rPr>
          <w:sz w:val="24"/>
          <w:szCs w:val="24"/>
        </w:rPr>
      </w:pPr>
    </w:p>
    <w:p w:rsidR="001F1CED" w:rsidRPr="00577A7E" w:rsidRDefault="001F1CED" w:rsidP="001F1CED">
      <w:pPr>
        <w:ind w:left="851" w:hanging="851"/>
        <w:rPr>
          <w:b/>
          <w:sz w:val="24"/>
          <w:szCs w:val="24"/>
        </w:rPr>
      </w:pPr>
      <w:r w:rsidRPr="00577A7E">
        <w:rPr>
          <w:b/>
          <w:sz w:val="24"/>
          <w:szCs w:val="24"/>
        </w:rPr>
        <w:t>0.</w:t>
      </w:r>
      <w:r w:rsidRPr="00577A7E">
        <w:rPr>
          <w:b/>
          <w:sz w:val="24"/>
          <w:szCs w:val="24"/>
        </w:rPr>
        <w:tab/>
        <w:t>D.SP.NR.</w:t>
      </w:r>
    </w:p>
    <w:p w:rsidR="001F1CED" w:rsidRPr="00577A7E" w:rsidRDefault="001F1CED" w:rsidP="001F1CED">
      <w:pPr>
        <w:ind w:left="851" w:hanging="851"/>
        <w:rPr>
          <w:sz w:val="24"/>
          <w:szCs w:val="24"/>
        </w:rPr>
      </w:pPr>
      <w:r w:rsidRPr="00577A7E">
        <w:rPr>
          <w:sz w:val="24"/>
          <w:szCs w:val="24"/>
        </w:rPr>
        <w:tab/>
        <w:t>22320</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1.</w:t>
      </w:r>
      <w:r w:rsidRPr="00577A7E">
        <w:rPr>
          <w:b/>
          <w:sz w:val="24"/>
          <w:szCs w:val="24"/>
        </w:rPr>
        <w:tab/>
        <w:t>LÆGEMIDLETS NAVN</w:t>
      </w:r>
    </w:p>
    <w:p w:rsidR="001F1CED" w:rsidRPr="0071576B" w:rsidRDefault="001F1CED" w:rsidP="001F1CED">
      <w:pPr>
        <w:ind w:left="851" w:hanging="851"/>
        <w:rPr>
          <w:sz w:val="24"/>
          <w:szCs w:val="24"/>
        </w:rPr>
      </w:pPr>
      <w:r w:rsidRPr="00577A7E">
        <w:rPr>
          <w:sz w:val="24"/>
          <w:szCs w:val="24"/>
        </w:rPr>
        <w:tab/>
      </w:r>
      <w:proofErr w:type="spellStart"/>
      <w:r w:rsidR="00A1222E">
        <w:rPr>
          <w:sz w:val="24"/>
          <w:szCs w:val="24"/>
        </w:rPr>
        <w:t>Vesicare</w:t>
      </w:r>
      <w:proofErr w:type="spellEnd"/>
      <w:r w:rsidR="00A1222E">
        <w:rPr>
          <w:sz w:val="24"/>
          <w:szCs w:val="24"/>
        </w:rPr>
        <w:t xml:space="preserve"> 1 mg/ml oral suspension</w:t>
      </w:r>
    </w:p>
    <w:p w:rsidR="001F1CED" w:rsidRPr="0071576B" w:rsidRDefault="001F1CED" w:rsidP="001F1CED">
      <w:pPr>
        <w:ind w:left="851" w:hanging="851"/>
        <w:rPr>
          <w:sz w:val="24"/>
          <w:szCs w:val="24"/>
        </w:rPr>
      </w:pPr>
      <w:r w:rsidRPr="0071576B">
        <w:rPr>
          <w:sz w:val="24"/>
          <w:szCs w:val="24"/>
        </w:rPr>
        <w:tab/>
      </w:r>
    </w:p>
    <w:p w:rsidR="001F1CED" w:rsidRPr="00577A7E" w:rsidRDefault="001F1CED" w:rsidP="001F1CED">
      <w:pPr>
        <w:ind w:left="851" w:hanging="851"/>
        <w:rPr>
          <w:b/>
          <w:sz w:val="24"/>
          <w:szCs w:val="24"/>
        </w:rPr>
      </w:pPr>
      <w:r w:rsidRPr="00577A7E">
        <w:rPr>
          <w:b/>
          <w:sz w:val="24"/>
          <w:szCs w:val="24"/>
        </w:rPr>
        <w:t>2.</w:t>
      </w:r>
      <w:r w:rsidRPr="00577A7E">
        <w:rPr>
          <w:b/>
          <w:sz w:val="24"/>
          <w:szCs w:val="24"/>
        </w:rPr>
        <w:tab/>
        <w:t>KVALITATIV OG KVANTITATIV SAMMENSÆTNING</w:t>
      </w:r>
    </w:p>
    <w:p w:rsidR="001F1CED" w:rsidRPr="00577A7E" w:rsidRDefault="001F1CED" w:rsidP="001F1CED">
      <w:pPr>
        <w:pStyle w:val="EMEAEnBodyText"/>
        <w:autoSpaceDE w:val="0"/>
        <w:autoSpaceDN w:val="0"/>
        <w:adjustRightInd w:val="0"/>
        <w:spacing w:before="0" w:after="0"/>
        <w:ind w:left="851" w:hanging="851"/>
        <w:jc w:val="left"/>
        <w:rPr>
          <w:sz w:val="24"/>
          <w:szCs w:val="24"/>
          <w:lang w:val="da-DK"/>
        </w:rPr>
      </w:pPr>
      <w:r w:rsidRPr="00577A7E">
        <w:rPr>
          <w:sz w:val="24"/>
          <w:szCs w:val="24"/>
          <w:lang w:val="da-DK"/>
        </w:rPr>
        <w:tab/>
      </w:r>
      <w:proofErr w:type="spellStart"/>
      <w:r w:rsidRPr="00577A7E">
        <w:rPr>
          <w:sz w:val="24"/>
          <w:szCs w:val="24"/>
          <w:lang w:val="da-DK"/>
        </w:rPr>
        <w:t>Vesicare</w:t>
      </w:r>
      <w:proofErr w:type="spellEnd"/>
      <w:r w:rsidRPr="00577A7E">
        <w:rPr>
          <w:sz w:val="24"/>
          <w:szCs w:val="24"/>
          <w:lang w:val="da-DK"/>
        </w:rPr>
        <w:t xml:space="preserve"> oral suspension indeholder 1 mg/ml </w:t>
      </w:r>
      <w:proofErr w:type="spellStart"/>
      <w:r w:rsidRPr="00577A7E">
        <w:rPr>
          <w:sz w:val="24"/>
          <w:szCs w:val="24"/>
          <w:lang w:val="da-DK"/>
        </w:rPr>
        <w:t>solifenacinsuccinat</w:t>
      </w:r>
      <w:proofErr w:type="spellEnd"/>
      <w:r w:rsidRPr="00577A7E">
        <w:rPr>
          <w:sz w:val="24"/>
          <w:szCs w:val="24"/>
          <w:lang w:val="da-DK"/>
        </w:rPr>
        <w:t xml:space="preserve">, svarende til 0,75 mg/ml </w:t>
      </w:r>
      <w:proofErr w:type="spellStart"/>
      <w:r w:rsidRPr="00577A7E">
        <w:rPr>
          <w:sz w:val="24"/>
          <w:szCs w:val="24"/>
          <w:lang w:val="da-DK"/>
        </w:rPr>
        <w:t>solifenacin</w:t>
      </w:r>
      <w:proofErr w:type="spellEnd"/>
      <w:r w:rsidRPr="00577A7E">
        <w:rPr>
          <w:sz w:val="24"/>
          <w:szCs w:val="24"/>
          <w:lang w:val="da-DK"/>
        </w:rPr>
        <w:t>.</w:t>
      </w:r>
    </w:p>
    <w:p w:rsidR="001F1CED" w:rsidRPr="00577A7E" w:rsidRDefault="001F1CED" w:rsidP="001F1CED">
      <w:pPr>
        <w:ind w:left="851" w:hanging="851"/>
        <w:rPr>
          <w:sz w:val="24"/>
          <w:szCs w:val="24"/>
        </w:rPr>
      </w:pPr>
    </w:p>
    <w:p w:rsidR="001F1CED" w:rsidRDefault="001F1CED" w:rsidP="001F1CED">
      <w:pPr>
        <w:ind w:left="851"/>
        <w:rPr>
          <w:sz w:val="24"/>
          <w:szCs w:val="24"/>
        </w:rPr>
      </w:pPr>
      <w:r>
        <w:rPr>
          <w:sz w:val="24"/>
          <w:szCs w:val="24"/>
          <w:u w:val="single"/>
        </w:rPr>
        <w:t>Hjælpestoffer, som behandleren skal være opmærksom på</w:t>
      </w:r>
      <w:r>
        <w:rPr>
          <w:sz w:val="24"/>
          <w:szCs w:val="24"/>
        </w:rPr>
        <w:t xml:space="preserve">: </w:t>
      </w:r>
    </w:p>
    <w:p w:rsidR="00A1222E" w:rsidRDefault="00A1222E" w:rsidP="00A1222E">
      <w:pPr>
        <w:ind w:left="851"/>
        <w:rPr>
          <w:sz w:val="24"/>
          <w:szCs w:val="24"/>
        </w:rPr>
      </w:pPr>
      <w:r>
        <w:rPr>
          <w:sz w:val="24"/>
          <w:szCs w:val="24"/>
        </w:rPr>
        <w:t>Benzoesyre (E210) 0,015 mg/ml.</w:t>
      </w:r>
    </w:p>
    <w:p w:rsidR="00A1222E" w:rsidRDefault="00A1222E" w:rsidP="00A1222E">
      <w:pPr>
        <w:ind w:left="851"/>
        <w:rPr>
          <w:sz w:val="24"/>
          <w:szCs w:val="24"/>
        </w:rPr>
      </w:pPr>
      <w:proofErr w:type="spellStart"/>
      <w:r>
        <w:rPr>
          <w:sz w:val="24"/>
          <w:szCs w:val="24"/>
        </w:rPr>
        <w:t>Methylparahydroxybenzoat</w:t>
      </w:r>
      <w:proofErr w:type="spellEnd"/>
      <w:r>
        <w:rPr>
          <w:sz w:val="24"/>
          <w:szCs w:val="24"/>
        </w:rPr>
        <w:t xml:space="preserve"> (E218) 1,6 mg/ml</w:t>
      </w:r>
    </w:p>
    <w:p w:rsidR="00A1222E" w:rsidRDefault="00A1222E" w:rsidP="00A1222E">
      <w:pPr>
        <w:ind w:left="851"/>
        <w:rPr>
          <w:sz w:val="24"/>
          <w:szCs w:val="24"/>
        </w:rPr>
      </w:pPr>
      <w:r>
        <w:rPr>
          <w:sz w:val="24"/>
          <w:szCs w:val="24"/>
        </w:rPr>
        <w:t>Propylenglycol (E1520) 20 mg/ml.</w:t>
      </w:r>
    </w:p>
    <w:p w:rsidR="00A1222E" w:rsidRDefault="00A1222E" w:rsidP="00A1222E">
      <w:pPr>
        <w:ind w:left="851"/>
        <w:rPr>
          <w:sz w:val="24"/>
          <w:szCs w:val="24"/>
        </w:rPr>
      </w:pPr>
      <w:proofErr w:type="spellStart"/>
      <w:r>
        <w:rPr>
          <w:sz w:val="24"/>
          <w:szCs w:val="24"/>
        </w:rPr>
        <w:t>Propylparahydroxybenzoat</w:t>
      </w:r>
      <w:proofErr w:type="spellEnd"/>
      <w:r>
        <w:rPr>
          <w:sz w:val="24"/>
          <w:szCs w:val="24"/>
        </w:rPr>
        <w:t xml:space="preserve"> (E216) 0,2 mg/ml</w:t>
      </w:r>
    </w:p>
    <w:p w:rsidR="00A1222E" w:rsidRDefault="00A1222E" w:rsidP="00A1222E">
      <w:pPr>
        <w:pStyle w:val="EMEAEnBodyText"/>
        <w:autoSpaceDE w:val="0"/>
        <w:autoSpaceDN w:val="0"/>
        <w:adjustRightInd w:val="0"/>
        <w:spacing w:before="0" w:after="0"/>
        <w:ind w:left="851"/>
        <w:jc w:val="left"/>
        <w:rPr>
          <w:sz w:val="24"/>
          <w:szCs w:val="24"/>
          <w:lang w:val="da-DK"/>
        </w:rPr>
      </w:pPr>
      <w:r>
        <w:rPr>
          <w:sz w:val="24"/>
          <w:szCs w:val="24"/>
          <w:lang w:val="da-DK"/>
        </w:rPr>
        <w:t>Dette lægemiddel indeholder 48,</w:t>
      </w:r>
      <w:r w:rsidR="00F340F3">
        <w:rPr>
          <w:sz w:val="24"/>
          <w:szCs w:val="24"/>
          <w:lang w:val="da-DK"/>
        </w:rPr>
        <w:t>4</w:t>
      </w:r>
      <w:r>
        <w:rPr>
          <w:sz w:val="24"/>
          <w:szCs w:val="24"/>
          <w:lang w:val="da-DK"/>
        </w:rPr>
        <w:t xml:space="preserve"> mg alkohol (</w:t>
      </w:r>
      <w:proofErr w:type="spellStart"/>
      <w:r>
        <w:rPr>
          <w:sz w:val="24"/>
          <w:szCs w:val="24"/>
          <w:lang w:val="da-DK"/>
        </w:rPr>
        <w:t>ethanol</w:t>
      </w:r>
      <w:proofErr w:type="spellEnd"/>
      <w:r>
        <w:rPr>
          <w:sz w:val="24"/>
          <w:szCs w:val="24"/>
          <w:lang w:val="da-DK"/>
        </w:rPr>
        <w:t>) pr. maksimal dosis på 10 ml. Ethanolen stammer fra den naturlige appelsinsmag.</w:t>
      </w:r>
    </w:p>
    <w:p w:rsidR="00A1222E" w:rsidRDefault="00A1222E" w:rsidP="00A1222E">
      <w:pPr>
        <w:ind w:left="851" w:hanging="851"/>
        <w:rPr>
          <w:sz w:val="24"/>
          <w:szCs w:val="24"/>
        </w:rPr>
      </w:pPr>
    </w:p>
    <w:p w:rsidR="00A1222E" w:rsidRDefault="00A1222E" w:rsidP="00A1222E">
      <w:pPr>
        <w:ind w:left="851"/>
        <w:rPr>
          <w:sz w:val="24"/>
          <w:szCs w:val="24"/>
        </w:rPr>
      </w:pPr>
      <w:r>
        <w:rPr>
          <w:sz w:val="24"/>
          <w:szCs w:val="24"/>
        </w:rPr>
        <w:t>Alle hjælpestoffer er anført under pkt. 6.1.</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3.</w:t>
      </w:r>
      <w:r w:rsidRPr="00577A7E">
        <w:rPr>
          <w:b/>
          <w:sz w:val="24"/>
          <w:szCs w:val="24"/>
        </w:rPr>
        <w:tab/>
        <w:t>LÆGEMIDDELFORM</w:t>
      </w:r>
    </w:p>
    <w:p w:rsidR="001F1CED" w:rsidRPr="00577A7E" w:rsidRDefault="001F1CED" w:rsidP="001F1CED">
      <w:pPr>
        <w:pStyle w:val="Brdtekstindrykning3"/>
        <w:spacing w:after="0"/>
        <w:ind w:left="851" w:hanging="851"/>
        <w:rPr>
          <w:sz w:val="24"/>
          <w:szCs w:val="24"/>
        </w:rPr>
      </w:pPr>
      <w:r w:rsidRPr="00577A7E">
        <w:rPr>
          <w:sz w:val="24"/>
          <w:szCs w:val="24"/>
        </w:rPr>
        <w:tab/>
        <w:t>Oral suspension.</w:t>
      </w:r>
    </w:p>
    <w:p w:rsidR="001F1CED" w:rsidRPr="00577A7E" w:rsidRDefault="001F1CED" w:rsidP="001F1CED">
      <w:pPr>
        <w:suppressAutoHyphens/>
        <w:ind w:left="851"/>
        <w:rPr>
          <w:sz w:val="24"/>
          <w:szCs w:val="24"/>
        </w:rPr>
      </w:pPr>
      <w:r w:rsidRPr="00577A7E">
        <w:rPr>
          <w:sz w:val="24"/>
          <w:szCs w:val="24"/>
        </w:rPr>
        <w:t>En hvid til offwhite vandig, homogen suspension med appelsinsmag.</w:t>
      </w:r>
    </w:p>
    <w:p w:rsidR="001F1CED" w:rsidRPr="00577A7E" w:rsidRDefault="001F1CED" w:rsidP="001F1CED">
      <w:pPr>
        <w:ind w:left="851" w:hanging="851"/>
        <w:rPr>
          <w:sz w:val="24"/>
          <w:szCs w:val="24"/>
        </w:rPr>
      </w:pP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4.</w:t>
      </w:r>
      <w:r w:rsidRPr="00577A7E">
        <w:rPr>
          <w:b/>
          <w:sz w:val="24"/>
          <w:szCs w:val="24"/>
        </w:rPr>
        <w:tab/>
        <w:t>KLINISKE OPLYSNINGER</w:t>
      </w:r>
    </w:p>
    <w:p w:rsidR="001F1CED" w:rsidRPr="00577A7E" w:rsidRDefault="001F1CED" w:rsidP="001F1CED">
      <w:pPr>
        <w:ind w:left="851" w:hanging="851"/>
        <w:rPr>
          <w:b/>
          <w:sz w:val="24"/>
          <w:szCs w:val="24"/>
        </w:rPr>
      </w:pPr>
    </w:p>
    <w:p w:rsidR="001F1CED" w:rsidRPr="00577A7E" w:rsidRDefault="001F1CED" w:rsidP="001F1CED">
      <w:pPr>
        <w:ind w:left="851" w:hanging="851"/>
        <w:rPr>
          <w:b/>
          <w:sz w:val="24"/>
          <w:szCs w:val="24"/>
          <w:u w:val="single"/>
        </w:rPr>
      </w:pPr>
      <w:r w:rsidRPr="00577A7E">
        <w:rPr>
          <w:b/>
          <w:sz w:val="24"/>
          <w:szCs w:val="24"/>
        </w:rPr>
        <w:t>4.1</w:t>
      </w:r>
      <w:r w:rsidRPr="00577A7E">
        <w:rPr>
          <w:b/>
          <w:sz w:val="24"/>
          <w:szCs w:val="24"/>
        </w:rPr>
        <w:tab/>
        <w:t>Terapeutiske indikationer</w:t>
      </w:r>
    </w:p>
    <w:p w:rsidR="001F1CED" w:rsidRDefault="001F1CED" w:rsidP="001F1CED">
      <w:pPr>
        <w:ind w:left="851" w:hanging="851"/>
        <w:rPr>
          <w:sz w:val="24"/>
          <w:szCs w:val="24"/>
        </w:rPr>
      </w:pPr>
    </w:p>
    <w:p w:rsidR="001F1CED" w:rsidRDefault="001F1CED" w:rsidP="001F1CED">
      <w:pPr>
        <w:ind w:left="851" w:hanging="851"/>
        <w:rPr>
          <w:i/>
          <w:sz w:val="24"/>
          <w:szCs w:val="24"/>
          <w:u w:val="single"/>
        </w:rPr>
      </w:pPr>
      <w:r w:rsidRPr="00577A7E">
        <w:rPr>
          <w:sz w:val="24"/>
          <w:szCs w:val="24"/>
        </w:rPr>
        <w:tab/>
      </w:r>
      <w:r>
        <w:rPr>
          <w:i/>
          <w:sz w:val="24"/>
          <w:szCs w:val="24"/>
          <w:u w:val="single"/>
        </w:rPr>
        <w:t>Overaktiv blære hos voksne</w:t>
      </w:r>
    </w:p>
    <w:p w:rsidR="001F1CED" w:rsidRDefault="001F1CED" w:rsidP="001F1CED">
      <w:pPr>
        <w:ind w:left="851"/>
        <w:rPr>
          <w:sz w:val="24"/>
          <w:szCs w:val="24"/>
        </w:rPr>
      </w:pPr>
      <w:proofErr w:type="spellStart"/>
      <w:r>
        <w:rPr>
          <w:sz w:val="24"/>
          <w:szCs w:val="24"/>
        </w:rPr>
        <w:t>Vesicare</w:t>
      </w:r>
      <w:proofErr w:type="spellEnd"/>
      <w:r>
        <w:rPr>
          <w:sz w:val="24"/>
          <w:szCs w:val="24"/>
        </w:rPr>
        <w:t xml:space="preserve"> oral suspension er indiceret til symptomatisk behandling af tranginkontinens og/eller hyppig vandladning og </w:t>
      </w:r>
      <w:proofErr w:type="spellStart"/>
      <w:r>
        <w:rPr>
          <w:sz w:val="24"/>
          <w:szCs w:val="24"/>
        </w:rPr>
        <w:t>imperiøs</w:t>
      </w:r>
      <w:proofErr w:type="spellEnd"/>
      <w:r>
        <w:rPr>
          <w:sz w:val="24"/>
          <w:szCs w:val="24"/>
        </w:rPr>
        <w:t xml:space="preserve"> vandladningstrang, som kan forekomme hos patienter med overaktiv blære (OAB).</w:t>
      </w:r>
    </w:p>
    <w:p w:rsidR="001F1CED" w:rsidRDefault="001F1CED" w:rsidP="001F1CED">
      <w:pPr>
        <w:ind w:left="851"/>
        <w:rPr>
          <w:sz w:val="24"/>
          <w:szCs w:val="24"/>
        </w:rPr>
      </w:pPr>
    </w:p>
    <w:p w:rsidR="001F1CED" w:rsidRDefault="001F1CED" w:rsidP="001F1CED">
      <w:pPr>
        <w:keepNext/>
        <w:ind w:left="851"/>
        <w:rPr>
          <w:i/>
          <w:sz w:val="24"/>
          <w:szCs w:val="24"/>
          <w:u w:val="single"/>
        </w:rPr>
      </w:pPr>
      <w:proofErr w:type="spellStart"/>
      <w:r>
        <w:rPr>
          <w:i/>
          <w:sz w:val="24"/>
          <w:szCs w:val="24"/>
          <w:u w:val="single"/>
        </w:rPr>
        <w:lastRenderedPageBreak/>
        <w:t>Neurogen</w:t>
      </w:r>
      <w:proofErr w:type="spellEnd"/>
      <w:r>
        <w:rPr>
          <w:i/>
          <w:sz w:val="24"/>
          <w:szCs w:val="24"/>
          <w:u w:val="single"/>
        </w:rPr>
        <w:t xml:space="preserve"> </w:t>
      </w:r>
      <w:proofErr w:type="spellStart"/>
      <w:r>
        <w:rPr>
          <w:i/>
          <w:sz w:val="24"/>
          <w:szCs w:val="24"/>
          <w:u w:val="single"/>
        </w:rPr>
        <w:t>detrusoroveraktivitet</w:t>
      </w:r>
      <w:proofErr w:type="spellEnd"/>
    </w:p>
    <w:p w:rsidR="001F1CED" w:rsidRDefault="001F1CED" w:rsidP="001F1CED">
      <w:pPr>
        <w:ind w:left="851"/>
        <w:rPr>
          <w:sz w:val="24"/>
          <w:szCs w:val="24"/>
        </w:rPr>
      </w:pPr>
      <w:proofErr w:type="spellStart"/>
      <w:r>
        <w:rPr>
          <w:sz w:val="24"/>
          <w:szCs w:val="24"/>
        </w:rPr>
        <w:t>Vesicare</w:t>
      </w:r>
      <w:proofErr w:type="spellEnd"/>
      <w:r>
        <w:rPr>
          <w:sz w:val="24"/>
          <w:szCs w:val="24"/>
        </w:rPr>
        <w:t xml:space="preserve"> oral suspension er indiceret til behandling af </w:t>
      </w:r>
      <w:proofErr w:type="spellStart"/>
      <w:r>
        <w:rPr>
          <w:sz w:val="24"/>
          <w:szCs w:val="24"/>
        </w:rPr>
        <w:t>neurogen</w:t>
      </w:r>
      <w:proofErr w:type="spellEnd"/>
      <w:r>
        <w:rPr>
          <w:sz w:val="24"/>
          <w:szCs w:val="24"/>
        </w:rPr>
        <w:t xml:space="preserve"> </w:t>
      </w:r>
      <w:proofErr w:type="spellStart"/>
      <w:r>
        <w:rPr>
          <w:sz w:val="24"/>
          <w:szCs w:val="24"/>
        </w:rPr>
        <w:t>detrusoroveraktivitet</w:t>
      </w:r>
      <w:proofErr w:type="spellEnd"/>
      <w:r>
        <w:rPr>
          <w:sz w:val="24"/>
          <w:szCs w:val="24"/>
        </w:rPr>
        <w:t xml:space="preserve"> (NDO) hos pædiatriske patienter i alderen 2 til 18 år.</w:t>
      </w:r>
    </w:p>
    <w:p w:rsidR="001F1CED" w:rsidRPr="00577A7E" w:rsidRDefault="001F1CED" w:rsidP="001F1CED">
      <w:pPr>
        <w:ind w:left="851" w:hanging="851"/>
        <w:rPr>
          <w:sz w:val="24"/>
          <w:szCs w:val="24"/>
        </w:rPr>
      </w:pPr>
    </w:p>
    <w:p w:rsidR="001F1CED" w:rsidRPr="00577A7E" w:rsidRDefault="001F1CED" w:rsidP="001F1CED">
      <w:pPr>
        <w:keepNext/>
        <w:ind w:left="851" w:hanging="851"/>
        <w:rPr>
          <w:b/>
          <w:sz w:val="24"/>
          <w:szCs w:val="24"/>
        </w:rPr>
      </w:pPr>
      <w:r w:rsidRPr="00577A7E">
        <w:rPr>
          <w:b/>
          <w:sz w:val="24"/>
          <w:szCs w:val="24"/>
        </w:rPr>
        <w:t>4.2</w:t>
      </w:r>
      <w:r w:rsidRPr="00577A7E">
        <w:rPr>
          <w:b/>
          <w:sz w:val="24"/>
          <w:szCs w:val="24"/>
        </w:rPr>
        <w:tab/>
        <w:t xml:space="preserve">Dosering og </w:t>
      </w:r>
      <w:r w:rsidR="00A87F7C">
        <w:rPr>
          <w:b/>
          <w:sz w:val="24"/>
          <w:szCs w:val="24"/>
        </w:rPr>
        <w:t>administration</w:t>
      </w:r>
    </w:p>
    <w:p w:rsidR="001F1CED" w:rsidRDefault="001F1CED" w:rsidP="001F1CED">
      <w:pPr>
        <w:ind w:left="851" w:hanging="851"/>
        <w:rPr>
          <w:sz w:val="24"/>
          <w:szCs w:val="24"/>
        </w:rPr>
      </w:pPr>
    </w:p>
    <w:p w:rsidR="001F1CED" w:rsidRDefault="001F1CED" w:rsidP="001F1CED">
      <w:pPr>
        <w:ind w:left="851" w:hanging="851"/>
        <w:rPr>
          <w:sz w:val="24"/>
          <w:szCs w:val="24"/>
          <w:u w:val="single"/>
        </w:rPr>
      </w:pPr>
      <w:r w:rsidRPr="00577A7E">
        <w:rPr>
          <w:sz w:val="24"/>
          <w:szCs w:val="24"/>
        </w:rPr>
        <w:tab/>
      </w:r>
      <w:r>
        <w:rPr>
          <w:sz w:val="24"/>
          <w:szCs w:val="24"/>
          <w:u w:val="single"/>
        </w:rPr>
        <w:t>Dosering</w:t>
      </w:r>
    </w:p>
    <w:p w:rsidR="001F1CED" w:rsidRDefault="001F1CED" w:rsidP="001F1CED">
      <w:pPr>
        <w:ind w:left="851" w:hanging="851"/>
        <w:rPr>
          <w:sz w:val="24"/>
          <w:szCs w:val="24"/>
          <w:u w:val="single"/>
        </w:rPr>
      </w:pPr>
    </w:p>
    <w:p w:rsidR="001F1CED" w:rsidRDefault="001F1CED" w:rsidP="001F1CED">
      <w:pPr>
        <w:ind w:left="851" w:hanging="851"/>
        <w:rPr>
          <w:b/>
          <w:sz w:val="24"/>
          <w:szCs w:val="24"/>
        </w:rPr>
      </w:pPr>
      <w:r w:rsidRPr="00BF1D66">
        <w:rPr>
          <w:sz w:val="24"/>
          <w:szCs w:val="24"/>
        </w:rPr>
        <w:tab/>
      </w:r>
      <w:r>
        <w:rPr>
          <w:b/>
          <w:sz w:val="24"/>
          <w:szCs w:val="24"/>
        </w:rPr>
        <w:t>Overaktiv blære</w:t>
      </w:r>
    </w:p>
    <w:p w:rsidR="001F1CED" w:rsidRDefault="001F1CED" w:rsidP="001F1CED">
      <w:pPr>
        <w:ind w:left="851" w:hanging="851"/>
        <w:rPr>
          <w:sz w:val="24"/>
          <w:szCs w:val="24"/>
          <w:u w:val="single"/>
        </w:rPr>
      </w:pPr>
    </w:p>
    <w:p w:rsidR="001F1CED" w:rsidRDefault="001F1CED" w:rsidP="001F1CED">
      <w:pPr>
        <w:ind w:left="851"/>
        <w:rPr>
          <w:sz w:val="24"/>
          <w:szCs w:val="24"/>
        </w:rPr>
      </w:pPr>
      <w:r>
        <w:rPr>
          <w:sz w:val="24"/>
          <w:szCs w:val="24"/>
        </w:rPr>
        <w:t>Voksne, inklusive ældre:</w:t>
      </w:r>
    </w:p>
    <w:p w:rsidR="001F1CED" w:rsidRDefault="001F1CED" w:rsidP="001F1CED">
      <w:pPr>
        <w:ind w:left="851"/>
        <w:rPr>
          <w:sz w:val="24"/>
          <w:szCs w:val="24"/>
        </w:rPr>
      </w:pPr>
      <w:r>
        <w:rPr>
          <w:sz w:val="24"/>
          <w:szCs w:val="24"/>
        </w:rPr>
        <w:t xml:space="preserve">Den anbefalede dosis er 5 mg (5 ml) </w:t>
      </w:r>
      <w:proofErr w:type="spellStart"/>
      <w:r>
        <w:rPr>
          <w:sz w:val="24"/>
          <w:szCs w:val="24"/>
        </w:rPr>
        <w:t>solifenacinsuccinat</w:t>
      </w:r>
      <w:proofErr w:type="spellEnd"/>
      <w:r>
        <w:rPr>
          <w:sz w:val="24"/>
          <w:szCs w:val="24"/>
        </w:rPr>
        <w:t xml:space="preserve"> én gang daglig. Dosis kan øges til 10 mg (10 ml) </w:t>
      </w:r>
      <w:proofErr w:type="spellStart"/>
      <w:r>
        <w:rPr>
          <w:sz w:val="24"/>
          <w:szCs w:val="24"/>
        </w:rPr>
        <w:t>solifenacinsuccinat</w:t>
      </w:r>
      <w:proofErr w:type="spellEnd"/>
      <w:r>
        <w:rPr>
          <w:sz w:val="24"/>
          <w:szCs w:val="24"/>
        </w:rPr>
        <w:t xml:space="preserve"> én gang daglig, hvis der er behov for det.</w:t>
      </w:r>
    </w:p>
    <w:p w:rsidR="001F1CED" w:rsidRDefault="001F1CED" w:rsidP="001F1CED">
      <w:pPr>
        <w:ind w:left="851"/>
        <w:rPr>
          <w:sz w:val="24"/>
          <w:szCs w:val="24"/>
        </w:rPr>
      </w:pPr>
    </w:p>
    <w:p w:rsidR="001F1CED" w:rsidRPr="00A87F7C" w:rsidRDefault="001F1CED" w:rsidP="001F1CED">
      <w:pPr>
        <w:ind w:left="851"/>
        <w:rPr>
          <w:i/>
          <w:sz w:val="24"/>
          <w:szCs w:val="24"/>
        </w:rPr>
      </w:pPr>
      <w:r w:rsidRPr="00A87F7C">
        <w:rPr>
          <w:i/>
          <w:sz w:val="24"/>
          <w:szCs w:val="24"/>
        </w:rPr>
        <w:t>Pædiatrisk population</w:t>
      </w:r>
    </w:p>
    <w:p w:rsidR="001F1CED" w:rsidRDefault="001F1CED" w:rsidP="001F1CED">
      <w:pPr>
        <w:ind w:left="851"/>
        <w:rPr>
          <w:color w:val="222222"/>
          <w:sz w:val="24"/>
          <w:szCs w:val="24"/>
        </w:rPr>
      </w:pPr>
      <w:r>
        <w:rPr>
          <w:sz w:val="24"/>
          <w:szCs w:val="24"/>
        </w:rPr>
        <w:t xml:space="preserve">Virkningen af </w:t>
      </w:r>
      <w:proofErr w:type="spellStart"/>
      <w:r>
        <w:rPr>
          <w:sz w:val="24"/>
          <w:szCs w:val="24"/>
        </w:rPr>
        <w:t>Vesicare</w:t>
      </w:r>
      <w:proofErr w:type="spellEnd"/>
      <w:r>
        <w:rPr>
          <w:sz w:val="24"/>
          <w:szCs w:val="24"/>
        </w:rPr>
        <w:t xml:space="preserve"> hos børn og unge med overaktiv blære er ikke fastslået. </w:t>
      </w:r>
      <w:proofErr w:type="spellStart"/>
      <w:r>
        <w:rPr>
          <w:sz w:val="24"/>
          <w:szCs w:val="24"/>
        </w:rPr>
        <w:t>Vesicare</w:t>
      </w:r>
      <w:proofErr w:type="spellEnd"/>
      <w:r>
        <w:rPr>
          <w:sz w:val="24"/>
          <w:szCs w:val="24"/>
        </w:rPr>
        <w:t xml:space="preserve"> bør derfor ikke bruges til behandling af overaktiv blære hos børn og unge under 18 år. </w:t>
      </w:r>
      <w:r>
        <w:rPr>
          <w:color w:val="222222"/>
          <w:sz w:val="24"/>
          <w:szCs w:val="24"/>
        </w:rPr>
        <w:t>De tilgængelige data er beskrevet under pkt. 5.1 og 5.2.</w:t>
      </w:r>
    </w:p>
    <w:p w:rsidR="001F1CED" w:rsidRDefault="001F1CED" w:rsidP="001F1CED">
      <w:pPr>
        <w:ind w:left="851"/>
        <w:rPr>
          <w:color w:val="222222"/>
          <w:sz w:val="24"/>
          <w:szCs w:val="24"/>
        </w:rPr>
      </w:pPr>
    </w:p>
    <w:p w:rsidR="001F1CED" w:rsidRDefault="001F1CED" w:rsidP="001F1CED">
      <w:pPr>
        <w:ind w:left="851"/>
        <w:rPr>
          <w:b/>
          <w:color w:val="222222"/>
          <w:sz w:val="24"/>
          <w:szCs w:val="24"/>
        </w:rPr>
      </w:pPr>
      <w:proofErr w:type="spellStart"/>
      <w:r>
        <w:rPr>
          <w:b/>
          <w:color w:val="222222"/>
          <w:sz w:val="24"/>
          <w:szCs w:val="24"/>
        </w:rPr>
        <w:t>Neurogen</w:t>
      </w:r>
      <w:proofErr w:type="spellEnd"/>
      <w:r>
        <w:rPr>
          <w:b/>
          <w:color w:val="222222"/>
          <w:sz w:val="24"/>
          <w:szCs w:val="24"/>
        </w:rPr>
        <w:t xml:space="preserve"> </w:t>
      </w:r>
      <w:proofErr w:type="spellStart"/>
      <w:r>
        <w:rPr>
          <w:b/>
          <w:color w:val="222222"/>
          <w:sz w:val="24"/>
          <w:szCs w:val="24"/>
        </w:rPr>
        <w:t>detrusoroveraktivitet</w:t>
      </w:r>
      <w:proofErr w:type="spellEnd"/>
    </w:p>
    <w:p w:rsidR="001F1CED" w:rsidRDefault="001F1CED" w:rsidP="001F1CED">
      <w:pPr>
        <w:ind w:left="851"/>
        <w:rPr>
          <w:b/>
          <w:color w:val="222222"/>
          <w:sz w:val="24"/>
          <w:szCs w:val="24"/>
        </w:rPr>
      </w:pPr>
    </w:p>
    <w:p w:rsidR="001F1CED" w:rsidRDefault="001F1CED" w:rsidP="001F1CED">
      <w:pPr>
        <w:ind w:left="851"/>
        <w:rPr>
          <w:sz w:val="24"/>
          <w:szCs w:val="24"/>
        </w:rPr>
      </w:pPr>
      <w:r>
        <w:rPr>
          <w:sz w:val="24"/>
          <w:szCs w:val="24"/>
        </w:rPr>
        <w:t>Pædiatrisk population (2 til 18 år):</w:t>
      </w:r>
    </w:p>
    <w:p w:rsidR="001F1CED" w:rsidRDefault="001F1CED" w:rsidP="001F1CED">
      <w:pPr>
        <w:ind w:left="851"/>
        <w:rPr>
          <w:sz w:val="24"/>
          <w:szCs w:val="24"/>
        </w:rPr>
      </w:pPr>
      <w:r>
        <w:rPr>
          <w:sz w:val="24"/>
          <w:szCs w:val="24"/>
        </w:rPr>
        <w:t xml:space="preserve">Den anbefalede dosis af </w:t>
      </w:r>
      <w:proofErr w:type="spellStart"/>
      <w:r>
        <w:rPr>
          <w:sz w:val="24"/>
          <w:szCs w:val="24"/>
        </w:rPr>
        <w:t>Vesicare</w:t>
      </w:r>
      <w:proofErr w:type="spellEnd"/>
      <w:r>
        <w:rPr>
          <w:sz w:val="24"/>
          <w:szCs w:val="24"/>
        </w:rPr>
        <w:t xml:space="preserve"> oral suspension bestemmes ud fra patientens vægt. Behandlingen skal påbegyndes ved den anbefalede startdosis. Dosis kan derefter øges til den lavest effektive dosis. Den maksimale dosis må ikke overskrides. Ved længerevarende behandling skal patienterne regelmæssigt vurderes med henblik på behandlingsophør og eventuel dosisjustering, mindst en gang om året eller om nødvendigt oftere. Doserne i henhold til patientens kropsvægt ses i skemaet nedenfor.</w:t>
      </w:r>
    </w:p>
    <w:p w:rsidR="001F1CED" w:rsidRDefault="001F1CED" w:rsidP="001F1CED">
      <w:pPr>
        <w:ind w:left="851"/>
        <w:rPr>
          <w:sz w:val="24"/>
          <w:szCs w:val="24"/>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2477"/>
      </w:tblGrid>
      <w:tr w:rsidR="001F1CED" w:rsidTr="00A87F7C">
        <w:tc>
          <w:tcPr>
            <w:tcW w:w="212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Vægtinterval (kg)</w:t>
            </w:r>
          </w:p>
        </w:tc>
        <w:tc>
          <w:tcPr>
            <w:tcW w:w="2126"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Startdosis (ml) §</w:t>
            </w:r>
            <w:r>
              <w:rPr>
                <w:vertAlign w:val="superscript"/>
              </w:rPr>
              <w:t>1</w:t>
            </w:r>
          </w:p>
        </w:tc>
        <w:tc>
          <w:tcPr>
            <w:tcW w:w="247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Maksimale dosis (ml) §</w:t>
            </w:r>
            <w:r>
              <w:rPr>
                <w:vertAlign w:val="superscript"/>
              </w:rPr>
              <w:t>2</w:t>
            </w:r>
          </w:p>
        </w:tc>
      </w:tr>
      <w:tr w:rsidR="001F1CED" w:rsidTr="00A87F7C">
        <w:tc>
          <w:tcPr>
            <w:tcW w:w="212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9 til 15</w:t>
            </w:r>
          </w:p>
        </w:tc>
        <w:tc>
          <w:tcPr>
            <w:tcW w:w="2126"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2</w:t>
            </w:r>
          </w:p>
        </w:tc>
        <w:tc>
          <w:tcPr>
            <w:tcW w:w="247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4</w:t>
            </w:r>
          </w:p>
        </w:tc>
      </w:tr>
      <w:tr w:rsidR="001F1CED" w:rsidTr="00A87F7C">
        <w:tc>
          <w:tcPr>
            <w:tcW w:w="212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&gt;15 til 30</w:t>
            </w:r>
          </w:p>
        </w:tc>
        <w:tc>
          <w:tcPr>
            <w:tcW w:w="2126"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3</w:t>
            </w:r>
          </w:p>
        </w:tc>
        <w:tc>
          <w:tcPr>
            <w:tcW w:w="247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5</w:t>
            </w:r>
          </w:p>
        </w:tc>
      </w:tr>
      <w:tr w:rsidR="001F1CED" w:rsidTr="00A87F7C">
        <w:tc>
          <w:tcPr>
            <w:tcW w:w="212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&gt;30 til 45</w:t>
            </w:r>
          </w:p>
        </w:tc>
        <w:tc>
          <w:tcPr>
            <w:tcW w:w="2126"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3</w:t>
            </w:r>
          </w:p>
        </w:tc>
        <w:tc>
          <w:tcPr>
            <w:tcW w:w="247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6</w:t>
            </w:r>
          </w:p>
        </w:tc>
      </w:tr>
      <w:tr w:rsidR="001F1CED" w:rsidTr="00A87F7C">
        <w:tc>
          <w:tcPr>
            <w:tcW w:w="212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&gt;45 til 60</w:t>
            </w:r>
          </w:p>
        </w:tc>
        <w:tc>
          <w:tcPr>
            <w:tcW w:w="2126"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4</w:t>
            </w:r>
          </w:p>
        </w:tc>
        <w:tc>
          <w:tcPr>
            <w:tcW w:w="247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rPr>
                <w:rFonts w:ascii="Cambria" w:eastAsia="MS Gothic" w:hAnsi="Cambria"/>
                <w:b/>
                <w:bCs/>
              </w:rPr>
            </w:pPr>
            <w:r>
              <w:t>8</w:t>
            </w:r>
          </w:p>
        </w:tc>
      </w:tr>
      <w:tr w:rsidR="001F1CED" w:rsidTr="00A87F7C">
        <w:tc>
          <w:tcPr>
            <w:tcW w:w="212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&gt;60</w:t>
            </w:r>
          </w:p>
        </w:tc>
        <w:tc>
          <w:tcPr>
            <w:tcW w:w="2126"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5</w:t>
            </w:r>
          </w:p>
        </w:tc>
        <w:tc>
          <w:tcPr>
            <w:tcW w:w="2477" w:type="dxa"/>
            <w:tcBorders>
              <w:top w:val="single" w:sz="4" w:space="0" w:color="auto"/>
              <w:left w:val="single" w:sz="4" w:space="0" w:color="auto"/>
              <w:bottom w:val="single" w:sz="4" w:space="0" w:color="auto"/>
              <w:right w:val="single" w:sz="4" w:space="0" w:color="auto"/>
            </w:tcBorders>
            <w:hideMark/>
          </w:tcPr>
          <w:p w:rsidR="001F1CED" w:rsidRDefault="001F1CED" w:rsidP="00A87F7C">
            <w:pPr>
              <w:jc w:val="center"/>
            </w:pPr>
            <w:r>
              <w:t>10</w:t>
            </w:r>
          </w:p>
        </w:tc>
      </w:tr>
    </w:tbl>
    <w:p w:rsidR="001F1CED" w:rsidRDefault="001F1CED" w:rsidP="001F1CED">
      <w:pPr>
        <w:ind w:left="851"/>
        <w:rPr>
          <w:sz w:val="24"/>
          <w:szCs w:val="24"/>
        </w:rPr>
      </w:pPr>
      <w:r>
        <w:rPr>
          <w:sz w:val="24"/>
          <w:szCs w:val="24"/>
        </w:rPr>
        <w:t xml:space="preserve">§ Den orale suspension af </w:t>
      </w:r>
      <w:proofErr w:type="spellStart"/>
      <w:r>
        <w:rPr>
          <w:sz w:val="24"/>
          <w:szCs w:val="24"/>
        </w:rPr>
        <w:t>Vesicare</w:t>
      </w:r>
      <w:proofErr w:type="spellEnd"/>
      <w:r>
        <w:rPr>
          <w:sz w:val="24"/>
          <w:szCs w:val="24"/>
        </w:rPr>
        <w:t xml:space="preserve"> har en koncentration på 1 mg/ml.</w:t>
      </w:r>
    </w:p>
    <w:p w:rsidR="001F1CED" w:rsidRDefault="001F1CED" w:rsidP="001F1CED">
      <w:pPr>
        <w:ind w:left="851"/>
        <w:rPr>
          <w:sz w:val="24"/>
          <w:szCs w:val="24"/>
        </w:rPr>
      </w:pPr>
      <w:r>
        <w:rPr>
          <w:sz w:val="24"/>
          <w:szCs w:val="24"/>
          <w:vertAlign w:val="superscript"/>
        </w:rPr>
        <w:t>1</w:t>
      </w:r>
      <w:r>
        <w:rPr>
          <w:sz w:val="24"/>
          <w:szCs w:val="24"/>
        </w:rPr>
        <w:t xml:space="preserve"> Svarende til </w:t>
      </w:r>
      <w:proofErr w:type="spellStart"/>
      <w:r>
        <w:rPr>
          <w:sz w:val="24"/>
          <w:szCs w:val="24"/>
        </w:rPr>
        <w:t>steady</w:t>
      </w:r>
      <w:proofErr w:type="spellEnd"/>
      <w:r>
        <w:rPr>
          <w:sz w:val="24"/>
          <w:szCs w:val="24"/>
        </w:rPr>
        <w:t xml:space="preserve"> state-eksponering efter en daglig dosis på 5 mg hos voksne</w:t>
      </w:r>
    </w:p>
    <w:p w:rsidR="001F1CED" w:rsidRDefault="001F1CED" w:rsidP="001F1CED">
      <w:pPr>
        <w:ind w:left="851"/>
        <w:rPr>
          <w:sz w:val="24"/>
          <w:szCs w:val="24"/>
        </w:rPr>
      </w:pPr>
      <w:r>
        <w:rPr>
          <w:sz w:val="24"/>
          <w:szCs w:val="24"/>
          <w:vertAlign w:val="superscript"/>
        </w:rPr>
        <w:t>2</w:t>
      </w:r>
      <w:r>
        <w:rPr>
          <w:sz w:val="24"/>
          <w:szCs w:val="24"/>
        </w:rPr>
        <w:t xml:space="preserve"> Svarende til </w:t>
      </w:r>
      <w:proofErr w:type="spellStart"/>
      <w:r>
        <w:rPr>
          <w:sz w:val="24"/>
          <w:szCs w:val="24"/>
        </w:rPr>
        <w:t>steady</w:t>
      </w:r>
      <w:proofErr w:type="spellEnd"/>
      <w:r>
        <w:rPr>
          <w:sz w:val="24"/>
          <w:szCs w:val="24"/>
        </w:rPr>
        <w:t xml:space="preserve"> state-eksponering efter en daglig dosis på 10 mg hos voksne</w:t>
      </w:r>
    </w:p>
    <w:p w:rsidR="001F1CED" w:rsidRDefault="001F1CED" w:rsidP="001F1CED">
      <w:pPr>
        <w:ind w:left="851"/>
        <w:rPr>
          <w:sz w:val="24"/>
          <w:szCs w:val="24"/>
        </w:rPr>
      </w:pPr>
    </w:p>
    <w:p w:rsidR="001F1CED" w:rsidRDefault="001F1CED" w:rsidP="001F1CED">
      <w:pPr>
        <w:ind w:left="851"/>
        <w:rPr>
          <w:sz w:val="24"/>
          <w:szCs w:val="24"/>
        </w:rPr>
      </w:pPr>
      <w:proofErr w:type="spellStart"/>
      <w:r>
        <w:rPr>
          <w:sz w:val="24"/>
          <w:szCs w:val="24"/>
        </w:rPr>
        <w:t>Vesicare</w:t>
      </w:r>
      <w:proofErr w:type="spellEnd"/>
      <w:r>
        <w:rPr>
          <w:sz w:val="24"/>
          <w:szCs w:val="24"/>
        </w:rPr>
        <w:t xml:space="preserve"> oral suspension skal tages en gang dagligt gennem munden.</w:t>
      </w:r>
    </w:p>
    <w:p w:rsidR="001F1CED" w:rsidRDefault="001F1CED" w:rsidP="001F1CED">
      <w:pPr>
        <w:ind w:left="851"/>
        <w:rPr>
          <w:sz w:val="24"/>
          <w:szCs w:val="24"/>
        </w:rPr>
      </w:pPr>
    </w:p>
    <w:p w:rsidR="001F1CED" w:rsidRDefault="001F1CED" w:rsidP="001F1CED">
      <w:pPr>
        <w:ind w:left="851"/>
        <w:rPr>
          <w:sz w:val="24"/>
          <w:szCs w:val="24"/>
        </w:rPr>
      </w:pPr>
      <w:proofErr w:type="spellStart"/>
      <w:r>
        <w:rPr>
          <w:sz w:val="24"/>
          <w:szCs w:val="24"/>
        </w:rPr>
        <w:t>Vesicare</w:t>
      </w:r>
      <w:proofErr w:type="spellEnd"/>
      <w:r>
        <w:rPr>
          <w:sz w:val="24"/>
          <w:szCs w:val="24"/>
        </w:rPr>
        <w:t xml:space="preserve"> oral suspension må ikke anvendes til børn under 2 år.</w:t>
      </w:r>
    </w:p>
    <w:p w:rsidR="001F1CED" w:rsidRDefault="001F1CED" w:rsidP="001F1CED">
      <w:pPr>
        <w:ind w:left="851" w:hanging="851"/>
        <w:rPr>
          <w:sz w:val="24"/>
          <w:szCs w:val="24"/>
          <w:u w:val="single"/>
        </w:rPr>
      </w:pPr>
    </w:p>
    <w:p w:rsidR="001F1CED" w:rsidRDefault="001F1CED" w:rsidP="001F1CED">
      <w:pPr>
        <w:ind w:left="851"/>
        <w:rPr>
          <w:i/>
          <w:sz w:val="24"/>
          <w:szCs w:val="24"/>
        </w:rPr>
      </w:pPr>
      <w:r>
        <w:rPr>
          <w:i/>
          <w:sz w:val="24"/>
          <w:szCs w:val="24"/>
        </w:rPr>
        <w:t>Patienter med nedsat nyrefunktion</w:t>
      </w:r>
    </w:p>
    <w:p w:rsidR="001F1CED" w:rsidRDefault="001F1CED" w:rsidP="001F1CED">
      <w:pPr>
        <w:ind w:left="851"/>
        <w:rPr>
          <w:sz w:val="24"/>
          <w:szCs w:val="24"/>
        </w:rPr>
      </w:pPr>
      <w:r>
        <w:rPr>
          <w:sz w:val="24"/>
          <w:szCs w:val="24"/>
        </w:rPr>
        <w:t>Dosisjustering er ikke nødvendig for patienter med let til moderat nedsat nyrefunktion (</w:t>
      </w:r>
      <w:proofErr w:type="spellStart"/>
      <w:r>
        <w:rPr>
          <w:sz w:val="24"/>
          <w:szCs w:val="24"/>
        </w:rPr>
        <w:t>kreatininclearance</w:t>
      </w:r>
      <w:proofErr w:type="spellEnd"/>
      <w:r>
        <w:rPr>
          <w:sz w:val="24"/>
          <w:szCs w:val="24"/>
        </w:rPr>
        <w:t xml:space="preserve"> &gt; 30 ml/min). Patienter med svært nedsat nyrefunktion (</w:t>
      </w:r>
      <w:proofErr w:type="spellStart"/>
      <w:r>
        <w:rPr>
          <w:sz w:val="24"/>
          <w:szCs w:val="24"/>
        </w:rPr>
        <w:t>kreatininclearance</w:t>
      </w:r>
      <w:proofErr w:type="spellEnd"/>
      <w:r>
        <w:rPr>
          <w:sz w:val="24"/>
          <w:szCs w:val="24"/>
        </w:rPr>
        <w:t xml:space="preserve"> </w:t>
      </w:r>
      <w:r>
        <w:rPr>
          <w:sz w:val="24"/>
          <w:szCs w:val="24"/>
          <w:u w:val="single"/>
        </w:rPr>
        <w:t>&lt;</w:t>
      </w:r>
      <w:r>
        <w:rPr>
          <w:sz w:val="24"/>
          <w:szCs w:val="24"/>
        </w:rPr>
        <w:t xml:space="preserve"> 30 ml/min) skal behandles med forsigtighed, og dosis må ikke overskride 5 mg (5 ml) én gang daglig (voksne), og startdosis må ikke overskrides (børn og unge) (se pkt. 5.2). </w:t>
      </w:r>
    </w:p>
    <w:p w:rsidR="001F1CED" w:rsidRDefault="001F1CED" w:rsidP="001F1CED">
      <w:pPr>
        <w:ind w:left="851" w:hanging="851"/>
        <w:rPr>
          <w:sz w:val="24"/>
          <w:szCs w:val="24"/>
        </w:rPr>
      </w:pPr>
    </w:p>
    <w:p w:rsidR="001F1CED" w:rsidRDefault="001F1CED" w:rsidP="001F1CED">
      <w:pPr>
        <w:keepNext/>
        <w:ind w:left="851"/>
        <w:rPr>
          <w:i/>
          <w:sz w:val="24"/>
          <w:szCs w:val="24"/>
        </w:rPr>
      </w:pPr>
      <w:r>
        <w:rPr>
          <w:i/>
          <w:sz w:val="24"/>
          <w:szCs w:val="24"/>
        </w:rPr>
        <w:lastRenderedPageBreak/>
        <w:t>Patienter med nedsat leverfunktion</w:t>
      </w:r>
    </w:p>
    <w:p w:rsidR="001F1CED" w:rsidRDefault="001F1CED" w:rsidP="001F1CED">
      <w:pPr>
        <w:ind w:left="851"/>
        <w:rPr>
          <w:sz w:val="24"/>
          <w:szCs w:val="24"/>
        </w:rPr>
      </w:pPr>
      <w:r>
        <w:rPr>
          <w:sz w:val="24"/>
          <w:szCs w:val="24"/>
        </w:rPr>
        <w:t>Dosisjustering er ikke nødvendig for patienter med let nedsat leverfunktion. Patienter med moderat nedsat leverfunktion (Child-</w:t>
      </w:r>
      <w:proofErr w:type="spellStart"/>
      <w:r>
        <w:rPr>
          <w:sz w:val="24"/>
          <w:szCs w:val="24"/>
        </w:rPr>
        <w:t>Pugh</w:t>
      </w:r>
      <w:proofErr w:type="spellEnd"/>
      <w:r>
        <w:rPr>
          <w:sz w:val="24"/>
          <w:szCs w:val="24"/>
        </w:rPr>
        <w:t xml:space="preserve"> score 7-9) skal behandles med forsigtighed, og dosis må ikke overskride 5 mg (5 ml) én gang daglig (voksne), og startdosis må ikke overskrides (børn og unge) (se pkt. 5.2). </w:t>
      </w:r>
    </w:p>
    <w:p w:rsidR="001F1CED" w:rsidRDefault="001F1CED" w:rsidP="001F1CED">
      <w:pPr>
        <w:ind w:left="851" w:hanging="851"/>
        <w:rPr>
          <w:sz w:val="24"/>
          <w:szCs w:val="24"/>
        </w:rPr>
      </w:pPr>
    </w:p>
    <w:p w:rsidR="001F1CED" w:rsidRDefault="001F1CED" w:rsidP="001F1CED">
      <w:pPr>
        <w:ind w:left="851"/>
        <w:rPr>
          <w:sz w:val="24"/>
          <w:szCs w:val="24"/>
        </w:rPr>
      </w:pPr>
      <w:r>
        <w:rPr>
          <w:i/>
          <w:sz w:val="24"/>
          <w:szCs w:val="24"/>
        </w:rPr>
        <w:t xml:space="preserve">Potente </w:t>
      </w:r>
      <w:proofErr w:type="spellStart"/>
      <w:r>
        <w:rPr>
          <w:i/>
          <w:sz w:val="24"/>
          <w:szCs w:val="24"/>
        </w:rPr>
        <w:t>cytochrom</w:t>
      </w:r>
      <w:proofErr w:type="spellEnd"/>
      <w:r>
        <w:rPr>
          <w:i/>
          <w:sz w:val="24"/>
          <w:szCs w:val="24"/>
        </w:rPr>
        <w:t xml:space="preserve"> P450 3A4-hæmmere</w:t>
      </w:r>
    </w:p>
    <w:p w:rsidR="001F1CED" w:rsidRDefault="001F1CED" w:rsidP="001F1CED">
      <w:pPr>
        <w:ind w:left="851"/>
        <w:rPr>
          <w:sz w:val="24"/>
          <w:szCs w:val="24"/>
        </w:rPr>
      </w:pPr>
      <w:r>
        <w:rPr>
          <w:sz w:val="24"/>
          <w:szCs w:val="24"/>
        </w:rPr>
        <w:t xml:space="preserve">Den maksimale dosis af </w:t>
      </w:r>
      <w:proofErr w:type="spellStart"/>
      <w:r>
        <w:rPr>
          <w:sz w:val="24"/>
          <w:szCs w:val="24"/>
        </w:rPr>
        <w:t>Vesicare</w:t>
      </w:r>
      <w:proofErr w:type="spellEnd"/>
      <w:r>
        <w:rPr>
          <w:sz w:val="24"/>
          <w:szCs w:val="24"/>
        </w:rPr>
        <w:t xml:space="preserve"> oral suspension bør begrænses til 5 mg (5 ml) (voksne) og højst til startdosis (børn og unge) ved samtidig behandling med </w:t>
      </w:r>
      <w:proofErr w:type="spellStart"/>
      <w:r>
        <w:rPr>
          <w:sz w:val="24"/>
          <w:szCs w:val="24"/>
        </w:rPr>
        <w:t>ketoconazol</w:t>
      </w:r>
      <w:proofErr w:type="spellEnd"/>
      <w:r>
        <w:rPr>
          <w:sz w:val="24"/>
          <w:szCs w:val="24"/>
        </w:rPr>
        <w:t xml:space="preserve"> eller terapeutiske doser af andre potente CYP3A4-hæmmere f.eks. </w:t>
      </w:r>
      <w:proofErr w:type="spellStart"/>
      <w:r>
        <w:rPr>
          <w:sz w:val="24"/>
          <w:szCs w:val="24"/>
        </w:rPr>
        <w:t>ritonavir</w:t>
      </w:r>
      <w:proofErr w:type="spellEnd"/>
      <w:r>
        <w:rPr>
          <w:sz w:val="24"/>
          <w:szCs w:val="24"/>
        </w:rPr>
        <w:t xml:space="preserve">, </w:t>
      </w:r>
      <w:proofErr w:type="spellStart"/>
      <w:r>
        <w:rPr>
          <w:sz w:val="24"/>
          <w:szCs w:val="24"/>
        </w:rPr>
        <w:t>nelfinavir</w:t>
      </w:r>
      <w:proofErr w:type="spellEnd"/>
      <w:r>
        <w:rPr>
          <w:sz w:val="24"/>
          <w:szCs w:val="24"/>
        </w:rPr>
        <w:t xml:space="preserve">, </w:t>
      </w:r>
      <w:proofErr w:type="spellStart"/>
      <w:r>
        <w:rPr>
          <w:sz w:val="24"/>
          <w:szCs w:val="24"/>
        </w:rPr>
        <w:t>itraconazol</w:t>
      </w:r>
      <w:proofErr w:type="spellEnd"/>
      <w:r>
        <w:rPr>
          <w:sz w:val="24"/>
          <w:szCs w:val="24"/>
        </w:rPr>
        <w:t xml:space="preserve"> (se pkt. 4.5).</w:t>
      </w:r>
    </w:p>
    <w:p w:rsidR="001F1CED" w:rsidRDefault="001F1CED" w:rsidP="001F1CED">
      <w:pPr>
        <w:rPr>
          <w:sz w:val="24"/>
          <w:szCs w:val="24"/>
        </w:rPr>
      </w:pPr>
    </w:p>
    <w:p w:rsidR="001F1CED" w:rsidRDefault="001F1CED" w:rsidP="001F1CED">
      <w:pPr>
        <w:ind w:left="851"/>
        <w:rPr>
          <w:sz w:val="24"/>
          <w:szCs w:val="24"/>
          <w:u w:val="single"/>
        </w:rPr>
      </w:pPr>
      <w:r>
        <w:rPr>
          <w:sz w:val="24"/>
          <w:szCs w:val="24"/>
          <w:u w:val="single"/>
        </w:rPr>
        <w:t>Administration</w:t>
      </w:r>
    </w:p>
    <w:p w:rsidR="00A1222E" w:rsidRDefault="00A1222E" w:rsidP="00A1222E">
      <w:pPr>
        <w:ind w:left="851"/>
        <w:rPr>
          <w:sz w:val="24"/>
          <w:szCs w:val="24"/>
        </w:rPr>
      </w:pPr>
      <w:proofErr w:type="spellStart"/>
      <w:r>
        <w:rPr>
          <w:sz w:val="24"/>
          <w:szCs w:val="24"/>
        </w:rPr>
        <w:t>Vesicare</w:t>
      </w:r>
      <w:proofErr w:type="spellEnd"/>
      <w:r>
        <w:rPr>
          <w:sz w:val="24"/>
          <w:szCs w:val="24"/>
        </w:rPr>
        <w:t xml:space="preserve"> oral suspension skal tages oralt efterfulgt af et glas vand. Den må ikke indtages sammen med mad og/eller andre drikkevarer. Samtidig indtagelse af mad og/eller drikkevarer kan medføre frigivelse af </w:t>
      </w:r>
      <w:proofErr w:type="spellStart"/>
      <w:r>
        <w:rPr>
          <w:sz w:val="24"/>
          <w:szCs w:val="24"/>
        </w:rPr>
        <w:t>solifenacin</w:t>
      </w:r>
      <w:proofErr w:type="spellEnd"/>
      <w:r>
        <w:rPr>
          <w:sz w:val="24"/>
          <w:szCs w:val="24"/>
        </w:rPr>
        <w:t xml:space="preserve"> i munden, hvilket giver en bitter smag og en følelsesløs fornemmelse i munden. </w:t>
      </w:r>
    </w:p>
    <w:p w:rsidR="00A1222E" w:rsidRDefault="00A1222E" w:rsidP="00A1222E">
      <w:pPr>
        <w:ind w:left="851"/>
        <w:rPr>
          <w:noProof/>
          <w:sz w:val="24"/>
          <w:szCs w:val="24"/>
        </w:rPr>
      </w:pPr>
      <w:r>
        <w:rPr>
          <w:sz w:val="24"/>
          <w:szCs w:val="24"/>
        </w:rPr>
        <w:t xml:space="preserve">Anvend sprøjte og adapter der følger med </w:t>
      </w:r>
      <w:proofErr w:type="spellStart"/>
      <w:r>
        <w:rPr>
          <w:sz w:val="24"/>
          <w:szCs w:val="24"/>
        </w:rPr>
        <w:t>Vesicare</w:t>
      </w:r>
      <w:proofErr w:type="spellEnd"/>
      <w:r>
        <w:rPr>
          <w:sz w:val="24"/>
          <w:szCs w:val="24"/>
        </w:rPr>
        <w:t xml:space="preserve"> oral suspen</w:t>
      </w:r>
      <w:r>
        <w:rPr>
          <w:sz w:val="24"/>
          <w:szCs w:val="24"/>
        </w:rPr>
        <w:softHyphen/>
        <w:t>sion til afmåling af den korrekte dosis (se pkt. 6.6).</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4.3</w:t>
      </w:r>
      <w:r w:rsidRPr="00577A7E">
        <w:rPr>
          <w:b/>
          <w:sz w:val="24"/>
          <w:szCs w:val="24"/>
        </w:rPr>
        <w:tab/>
        <w:t>Kontraindikationer</w:t>
      </w:r>
    </w:p>
    <w:p w:rsidR="001F1CED" w:rsidRDefault="001F1CED" w:rsidP="001F1CED">
      <w:pPr>
        <w:ind w:left="851"/>
        <w:rPr>
          <w:sz w:val="24"/>
          <w:szCs w:val="24"/>
        </w:rPr>
      </w:pPr>
      <w:r>
        <w:rPr>
          <w:sz w:val="24"/>
          <w:szCs w:val="24"/>
        </w:rPr>
        <w:t xml:space="preserve">Ved brug til behandling af overaktiv blære er </w:t>
      </w:r>
      <w:proofErr w:type="spellStart"/>
      <w:r>
        <w:rPr>
          <w:sz w:val="24"/>
          <w:szCs w:val="24"/>
        </w:rPr>
        <w:t>solifenacin</w:t>
      </w:r>
      <w:proofErr w:type="spellEnd"/>
      <w:r>
        <w:rPr>
          <w:sz w:val="24"/>
          <w:szCs w:val="24"/>
        </w:rPr>
        <w:t xml:space="preserve"> kontraindiceret hos patienter med urinretention.</w:t>
      </w:r>
    </w:p>
    <w:p w:rsidR="001F1CED" w:rsidRDefault="001F1CED" w:rsidP="001F1CED">
      <w:pPr>
        <w:ind w:left="851"/>
        <w:rPr>
          <w:sz w:val="24"/>
          <w:szCs w:val="24"/>
        </w:rPr>
      </w:pPr>
    </w:p>
    <w:p w:rsidR="001F1CED" w:rsidRDefault="001F1CED" w:rsidP="001F1CED">
      <w:pPr>
        <w:ind w:left="851"/>
        <w:rPr>
          <w:sz w:val="24"/>
          <w:szCs w:val="24"/>
        </w:rPr>
      </w:pPr>
      <w:r>
        <w:rPr>
          <w:sz w:val="24"/>
          <w:szCs w:val="24"/>
        </w:rPr>
        <w:t xml:space="preserve">Ved brug til behandling af overaktiv blære eller </w:t>
      </w:r>
      <w:proofErr w:type="spellStart"/>
      <w:r>
        <w:rPr>
          <w:sz w:val="24"/>
          <w:szCs w:val="24"/>
        </w:rPr>
        <w:t>neurogen</w:t>
      </w:r>
      <w:proofErr w:type="spellEnd"/>
      <w:r>
        <w:rPr>
          <w:sz w:val="24"/>
          <w:szCs w:val="24"/>
        </w:rPr>
        <w:t xml:space="preserve"> </w:t>
      </w:r>
      <w:proofErr w:type="spellStart"/>
      <w:r>
        <w:rPr>
          <w:sz w:val="24"/>
          <w:szCs w:val="24"/>
        </w:rPr>
        <w:t>detrusoroveraktivitet</w:t>
      </w:r>
      <w:proofErr w:type="spellEnd"/>
      <w:r>
        <w:rPr>
          <w:sz w:val="24"/>
          <w:szCs w:val="24"/>
        </w:rPr>
        <w:t xml:space="preserve"> er </w:t>
      </w:r>
      <w:proofErr w:type="spellStart"/>
      <w:r>
        <w:rPr>
          <w:sz w:val="24"/>
          <w:szCs w:val="24"/>
        </w:rPr>
        <w:t>solifenacin</w:t>
      </w:r>
      <w:proofErr w:type="spellEnd"/>
      <w:r>
        <w:rPr>
          <w:sz w:val="24"/>
          <w:szCs w:val="24"/>
        </w:rPr>
        <w:t xml:space="preserve"> kontraindiceret hos</w:t>
      </w:r>
    </w:p>
    <w:p w:rsidR="001F1CED" w:rsidRDefault="001F1CED" w:rsidP="001F1CED">
      <w:pPr>
        <w:pStyle w:val="Listeafsnit"/>
        <w:numPr>
          <w:ilvl w:val="0"/>
          <w:numId w:val="6"/>
        </w:numPr>
        <w:ind w:left="1276" w:hanging="425"/>
        <w:rPr>
          <w:sz w:val="24"/>
          <w:szCs w:val="24"/>
        </w:rPr>
      </w:pPr>
      <w:r>
        <w:rPr>
          <w:sz w:val="24"/>
          <w:szCs w:val="24"/>
        </w:rPr>
        <w:t xml:space="preserve">Patienter med, svær </w:t>
      </w:r>
      <w:proofErr w:type="spellStart"/>
      <w:r>
        <w:rPr>
          <w:sz w:val="24"/>
          <w:szCs w:val="24"/>
        </w:rPr>
        <w:t>gastrointestinal</w:t>
      </w:r>
      <w:proofErr w:type="spellEnd"/>
      <w:r>
        <w:rPr>
          <w:sz w:val="24"/>
          <w:szCs w:val="24"/>
        </w:rPr>
        <w:t xml:space="preserve"> lidelse (inkl. toksisk </w:t>
      </w:r>
      <w:proofErr w:type="spellStart"/>
      <w:r>
        <w:rPr>
          <w:sz w:val="24"/>
          <w:szCs w:val="24"/>
        </w:rPr>
        <w:t>megacolon</w:t>
      </w:r>
      <w:proofErr w:type="spellEnd"/>
      <w:r>
        <w:rPr>
          <w:sz w:val="24"/>
          <w:szCs w:val="24"/>
        </w:rPr>
        <w:t xml:space="preserve">), </w:t>
      </w:r>
      <w:proofErr w:type="spellStart"/>
      <w:r>
        <w:rPr>
          <w:sz w:val="24"/>
          <w:szCs w:val="24"/>
        </w:rPr>
        <w:t>myastenia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snævervinkelglaukom</w:t>
      </w:r>
      <w:proofErr w:type="spellEnd"/>
      <w:r>
        <w:rPr>
          <w:sz w:val="24"/>
          <w:szCs w:val="24"/>
        </w:rPr>
        <w:t xml:space="preserve"> og hos patienter med risiko for disse lidelser.</w:t>
      </w:r>
    </w:p>
    <w:p w:rsidR="001F1CED" w:rsidRDefault="001F1CED" w:rsidP="001F1CED">
      <w:pPr>
        <w:numPr>
          <w:ilvl w:val="0"/>
          <w:numId w:val="6"/>
        </w:numPr>
        <w:ind w:left="1276" w:hanging="425"/>
        <w:rPr>
          <w:sz w:val="24"/>
          <w:szCs w:val="24"/>
        </w:rPr>
      </w:pPr>
      <w:r>
        <w:rPr>
          <w:sz w:val="24"/>
          <w:szCs w:val="24"/>
        </w:rPr>
        <w:t>Patienter med overfølsomhed over for det aktive stof eller over for et eller flere af hjælpestofferne anført i pkt. 6.1</w:t>
      </w:r>
    </w:p>
    <w:p w:rsidR="001F1CED" w:rsidRDefault="001F1CED" w:rsidP="001F1CED">
      <w:pPr>
        <w:numPr>
          <w:ilvl w:val="0"/>
          <w:numId w:val="6"/>
        </w:numPr>
        <w:ind w:left="1276" w:hanging="425"/>
        <w:rPr>
          <w:sz w:val="24"/>
          <w:szCs w:val="24"/>
        </w:rPr>
      </w:pPr>
      <w:r>
        <w:rPr>
          <w:sz w:val="24"/>
          <w:szCs w:val="24"/>
        </w:rPr>
        <w:t>Patienter, der er i hæmodialysebehandling (se pkt. 5.2)</w:t>
      </w:r>
    </w:p>
    <w:p w:rsidR="001F1CED" w:rsidRDefault="001F1CED" w:rsidP="001F1CED">
      <w:pPr>
        <w:numPr>
          <w:ilvl w:val="0"/>
          <w:numId w:val="6"/>
        </w:numPr>
        <w:ind w:left="1276" w:hanging="425"/>
        <w:rPr>
          <w:sz w:val="24"/>
          <w:szCs w:val="24"/>
        </w:rPr>
      </w:pPr>
      <w:r>
        <w:rPr>
          <w:sz w:val="24"/>
          <w:szCs w:val="24"/>
        </w:rPr>
        <w:t>Patienter med svært nedsat leverfunktion (se pkt. 5.2)</w:t>
      </w:r>
    </w:p>
    <w:p w:rsidR="001F1CED" w:rsidRDefault="001F1CED" w:rsidP="001F1CED">
      <w:pPr>
        <w:numPr>
          <w:ilvl w:val="0"/>
          <w:numId w:val="6"/>
        </w:numPr>
        <w:ind w:left="1276" w:hanging="425"/>
        <w:rPr>
          <w:sz w:val="24"/>
          <w:szCs w:val="24"/>
        </w:rPr>
      </w:pPr>
      <w:r>
        <w:rPr>
          <w:sz w:val="24"/>
          <w:szCs w:val="24"/>
        </w:rPr>
        <w:t xml:space="preserve">Patienter med svær nedsat nyrefunktion eller moderat nedsat leverfunktion, som er i samtidig behandling med en stærk CYP3A4-hæmmer f.eks. </w:t>
      </w:r>
      <w:proofErr w:type="spellStart"/>
      <w:r>
        <w:rPr>
          <w:sz w:val="24"/>
          <w:szCs w:val="24"/>
        </w:rPr>
        <w:t>ketoconazol</w:t>
      </w:r>
      <w:proofErr w:type="spellEnd"/>
      <w:r>
        <w:rPr>
          <w:sz w:val="24"/>
          <w:szCs w:val="24"/>
        </w:rPr>
        <w:t xml:space="preserve"> (se pkt. 4.5).</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4.4</w:t>
      </w:r>
      <w:r w:rsidRPr="00577A7E">
        <w:rPr>
          <w:b/>
          <w:sz w:val="24"/>
          <w:szCs w:val="24"/>
        </w:rPr>
        <w:tab/>
        <w:t>Særlige advarsler og forsigtighedsregler vedrørende brugen</w:t>
      </w:r>
    </w:p>
    <w:p w:rsidR="001F1CED" w:rsidRDefault="001F1CED" w:rsidP="001F1CED">
      <w:pPr>
        <w:ind w:left="851" w:hanging="851"/>
        <w:rPr>
          <w:sz w:val="24"/>
          <w:szCs w:val="24"/>
        </w:rPr>
      </w:pPr>
      <w:r w:rsidRPr="00577A7E">
        <w:rPr>
          <w:sz w:val="24"/>
          <w:szCs w:val="24"/>
        </w:rPr>
        <w:tab/>
      </w:r>
      <w:r>
        <w:rPr>
          <w:sz w:val="24"/>
          <w:szCs w:val="24"/>
        </w:rPr>
        <w:t xml:space="preserve">Andre årsager til hyppig vandladning (hjertesvigt eller nyrelidelser) bør undersøges før behandling med </w:t>
      </w:r>
      <w:proofErr w:type="spellStart"/>
      <w:r>
        <w:rPr>
          <w:sz w:val="24"/>
          <w:szCs w:val="24"/>
        </w:rPr>
        <w:t>solifenacin</w:t>
      </w:r>
      <w:proofErr w:type="spellEnd"/>
      <w:r>
        <w:rPr>
          <w:sz w:val="24"/>
          <w:szCs w:val="24"/>
        </w:rPr>
        <w:t xml:space="preserve"> påbegyndes. Ved samtidig urinvejsinfektion bør passende antibiotisk behandling igangsættes.</w:t>
      </w:r>
    </w:p>
    <w:p w:rsidR="001F1CED" w:rsidRDefault="001F1CED" w:rsidP="001F1CED">
      <w:pPr>
        <w:ind w:left="851" w:hanging="851"/>
        <w:rPr>
          <w:sz w:val="24"/>
          <w:szCs w:val="24"/>
        </w:rPr>
      </w:pPr>
    </w:p>
    <w:p w:rsidR="001F1CED" w:rsidRDefault="001F1CED" w:rsidP="001F1CED">
      <w:pPr>
        <w:ind w:left="851"/>
        <w:rPr>
          <w:sz w:val="24"/>
          <w:szCs w:val="24"/>
        </w:rPr>
      </w:pPr>
      <w:proofErr w:type="spellStart"/>
      <w:r>
        <w:rPr>
          <w:sz w:val="24"/>
          <w:szCs w:val="24"/>
        </w:rPr>
        <w:t>Solifenacin</w:t>
      </w:r>
      <w:proofErr w:type="spellEnd"/>
      <w:r>
        <w:rPr>
          <w:sz w:val="24"/>
          <w:szCs w:val="24"/>
        </w:rPr>
        <w:t xml:space="preserve"> skal anvendes med forsigtighed til patienter med:</w:t>
      </w:r>
    </w:p>
    <w:p w:rsidR="001F1CED" w:rsidRDefault="001F1CED" w:rsidP="001F1CED">
      <w:pPr>
        <w:pStyle w:val="Brdtekstindrykning"/>
        <w:numPr>
          <w:ilvl w:val="0"/>
          <w:numId w:val="7"/>
        </w:numPr>
        <w:spacing w:after="0"/>
        <w:ind w:left="1276"/>
        <w:rPr>
          <w:sz w:val="24"/>
          <w:szCs w:val="24"/>
        </w:rPr>
      </w:pPr>
      <w:r>
        <w:rPr>
          <w:sz w:val="24"/>
          <w:szCs w:val="24"/>
        </w:rPr>
        <w:t xml:space="preserve">klinisk signifikant blæreobstruktion hvor der ikke er ren intermitterende </w:t>
      </w:r>
      <w:proofErr w:type="spellStart"/>
      <w:r>
        <w:rPr>
          <w:sz w:val="24"/>
          <w:szCs w:val="24"/>
        </w:rPr>
        <w:t>kateterisering</w:t>
      </w:r>
      <w:proofErr w:type="spellEnd"/>
      <w:r>
        <w:rPr>
          <w:sz w:val="24"/>
          <w:szCs w:val="24"/>
        </w:rPr>
        <w:t xml:space="preserve"> på grund af risiko for urinretention</w:t>
      </w:r>
    </w:p>
    <w:p w:rsidR="001F1CED" w:rsidRDefault="001F1CED" w:rsidP="001F1CED">
      <w:pPr>
        <w:pStyle w:val="Brdtekstindrykning"/>
        <w:numPr>
          <w:ilvl w:val="0"/>
          <w:numId w:val="7"/>
        </w:numPr>
        <w:spacing w:after="0"/>
        <w:ind w:left="1276" w:hanging="425"/>
        <w:rPr>
          <w:sz w:val="24"/>
          <w:szCs w:val="24"/>
        </w:rPr>
      </w:pPr>
      <w:proofErr w:type="spellStart"/>
      <w:r>
        <w:rPr>
          <w:sz w:val="24"/>
          <w:szCs w:val="24"/>
        </w:rPr>
        <w:t>gastrointestinale</w:t>
      </w:r>
      <w:proofErr w:type="spellEnd"/>
      <w:r>
        <w:rPr>
          <w:sz w:val="24"/>
          <w:szCs w:val="24"/>
        </w:rPr>
        <w:t xml:space="preserve"> obstruktive lidelser</w:t>
      </w:r>
    </w:p>
    <w:p w:rsidR="001F1CED" w:rsidRDefault="001F1CED" w:rsidP="001F1CED">
      <w:pPr>
        <w:pStyle w:val="Brdtekstindrykning"/>
        <w:numPr>
          <w:ilvl w:val="0"/>
          <w:numId w:val="7"/>
        </w:numPr>
        <w:spacing w:after="0"/>
        <w:ind w:left="1276" w:hanging="425"/>
        <w:rPr>
          <w:sz w:val="24"/>
          <w:szCs w:val="24"/>
        </w:rPr>
      </w:pPr>
      <w:r>
        <w:rPr>
          <w:sz w:val="24"/>
          <w:szCs w:val="24"/>
        </w:rPr>
        <w:t xml:space="preserve">risiko for nedsat </w:t>
      </w:r>
      <w:proofErr w:type="spellStart"/>
      <w:r>
        <w:rPr>
          <w:sz w:val="24"/>
          <w:szCs w:val="24"/>
        </w:rPr>
        <w:t>gastrointestinal</w:t>
      </w:r>
      <w:proofErr w:type="spellEnd"/>
      <w:r>
        <w:rPr>
          <w:sz w:val="24"/>
          <w:szCs w:val="24"/>
        </w:rPr>
        <w:t xml:space="preserve"> </w:t>
      </w:r>
      <w:proofErr w:type="spellStart"/>
      <w:r>
        <w:rPr>
          <w:sz w:val="24"/>
          <w:szCs w:val="24"/>
        </w:rPr>
        <w:t>motilitet</w:t>
      </w:r>
      <w:proofErr w:type="spellEnd"/>
    </w:p>
    <w:p w:rsidR="001F1CED" w:rsidRDefault="001F1CED" w:rsidP="001F1CED">
      <w:pPr>
        <w:pStyle w:val="Brdtekstindrykning"/>
        <w:numPr>
          <w:ilvl w:val="0"/>
          <w:numId w:val="7"/>
        </w:numPr>
        <w:spacing w:after="0"/>
        <w:ind w:left="1276" w:hanging="425"/>
        <w:rPr>
          <w:sz w:val="24"/>
          <w:szCs w:val="24"/>
        </w:rPr>
      </w:pPr>
      <w:r>
        <w:rPr>
          <w:sz w:val="24"/>
          <w:szCs w:val="24"/>
        </w:rPr>
        <w:t>svært nedsat nyrefunktion (</w:t>
      </w:r>
      <w:proofErr w:type="spellStart"/>
      <w:r>
        <w:rPr>
          <w:sz w:val="24"/>
          <w:szCs w:val="24"/>
        </w:rPr>
        <w:t>kreatininclearance</w:t>
      </w:r>
      <w:proofErr w:type="spellEnd"/>
      <w:r>
        <w:rPr>
          <w:sz w:val="24"/>
          <w:szCs w:val="24"/>
        </w:rPr>
        <w:t xml:space="preserve"> ≤ 30 ml/min). Dosis bør ikke overskride 5 mg (5 ml) for voksne og startdosis for børn og unge hos disse patienter (se pkt. 4.2 og 5.2).</w:t>
      </w:r>
    </w:p>
    <w:p w:rsidR="001F1CED" w:rsidRDefault="001F1CED" w:rsidP="001F1CED">
      <w:pPr>
        <w:pStyle w:val="Brdtekstindrykning"/>
        <w:numPr>
          <w:ilvl w:val="0"/>
          <w:numId w:val="7"/>
        </w:numPr>
        <w:spacing w:after="0"/>
        <w:ind w:left="1276" w:hanging="425"/>
        <w:rPr>
          <w:sz w:val="24"/>
          <w:szCs w:val="24"/>
        </w:rPr>
      </w:pPr>
      <w:r>
        <w:rPr>
          <w:sz w:val="24"/>
          <w:szCs w:val="24"/>
        </w:rPr>
        <w:t>moderat nedsat leverfunktion (Child-</w:t>
      </w:r>
      <w:proofErr w:type="spellStart"/>
      <w:r>
        <w:rPr>
          <w:sz w:val="24"/>
          <w:szCs w:val="24"/>
        </w:rPr>
        <w:t>Pugh</w:t>
      </w:r>
      <w:proofErr w:type="spellEnd"/>
      <w:r>
        <w:rPr>
          <w:sz w:val="24"/>
          <w:szCs w:val="24"/>
        </w:rPr>
        <w:t xml:space="preserve"> score 7-9). Dosis bør ikke overskride 5 mg (5 ml) for voksne og startdosis for børn og unge hos disse patienter (se pkt. 5.2 og 5.2).</w:t>
      </w:r>
    </w:p>
    <w:p w:rsidR="001F1CED" w:rsidRDefault="001F1CED" w:rsidP="001F1CED">
      <w:pPr>
        <w:pStyle w:val="Brdtekstindrykning"/>
        <w:numPr>
          <w:ilvl w:val="0"/>
          <w:numId w:val="7"/>
        </w:numPr>
        <w:spacing w:after="0"/>
        <w:ind w:left="1276" w:hanging="425"/>
        <w:rPr>
          <w:sz w:val="24"/>
          <w:szCs w:val="24"/>
        </w:rPr>
      </w:pPr>
      <w:r>
        <w:rPr>
          <w:sz w:val="24"/>
          <w:szCs w:val="24"/>
        </w:rPr>
        <w:lastRenderedPageBreak/>
        <w:t xml:space="preserve">samtidig brug af en stærk CYP3A4-hæmmer f.eks. </w:t>
      </w:r>
      <w:proofErr w:type="spellStart"/>
      <w:r>
        <w:rPr>
          <w:sz w:val="24"/>
          <w:szCs w:val="24"/>
        </w:rPr>
        <w:t>ketoconazol</w:t>
      </w:r>
      <w:proofErr w:type="spellEnd"/>
      <w:r>
        <w:rPr>
          <w:sz w:val="24"/>
          <w:szCs w:val="24"/>
        </w:rPr>
        <w:t>. Dosis bør ikke overskride 5 mg (5 ml) for voksne og startdosis for børn og unge hos disse patienter (se pkt. 4.2 og 4.5).</w:t>
      </w:r>
    </w:p>
    <w:p w:rsidR="001F1CED" w:rsidRDefault="001F1CED" w:rsidP="001F1CED">
      <w:pPr>
        <w:pStyle w:val="Brdtekstindrykning"/>
        <w:numPr>
          <w:ilvl w:val="0"/>
          <w:numId w:val="7"/>
        </w:numPr>
        <w:spacing w:after="0"/>
        <w:ind w:left="1276" w:hanging="425"/>
        <w:rPr>
          <w:sz w:val="24"/>
          <w:szCs w:val="24"/>
        </w:rPr>
      </w:pPr>
      <w:proofErr w:type="spellStart"/>
      <w:r>
        <w:rPr>
          <w:sz w:val="24"/>
          <w:szCs w:val="24"/>
        </w:rPr>
        <w:t>hiatushernie</w:t>
      </w:r>
      <w:proofErr w:type="spellEnd"/>
      <w:r>
        <w:rPr>
          <w:sz w:val="24"/>
          <w:szCs w:val="24"/>
        </w:rPr>
        <w:t>/</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 xml:space="preserve"> og/eller til patienter, der samtidig tager medicin, som kan forårsage eller forværre </w:t>
      </w:r>
      <w:proofErr w:type="spellStart"/>
      <w:r>
        <w:rPr>
          <w:sz w:val="24"/>
          <w:szCs w:val="24"/>
        </w:rPr>
        <w:t>øsofagitis</w:t>
      </w:r>
      <w:proofErr w:type="spellEnd"/>
      <w:r>
        <w:rPr>
          <w:sz w:val="24"/>
          <w:szCs w:val="24"/>
        </w:rPr>
        <w:t xml:space="preserve"> (såsom </w:t>
      </w:r>
      <w:proofErr w:type="spellStart"/>
      <w:r>
        <w:rPr>
          <w:sz w:val="24"/>
          <w:szCs w:val="24"/>
        </w:rPr>
        <w:t>bisfosfonater</w:t>
      </w:r>
      <w:proofErr w:type="spellEnd"/>
      <w:r>
        <w:rPr>
          <w:sz w:val="24"/>
          <w:szCs w:val="24"/>
        </w:rPr>
        <w:t>)</w:t>
      </w:r>
    </w:p>
    <w:p w:rsidR="001F1CED" w:rsidRDefault="001F1CED" w:rsidP="001F1CED">
      <w:pPr>
        <w:pStyle w:val="Brdtekstindrykning"/>
        <w:numPr>
          <w:ilvl w:val="0"/>
          <w:numId w:val="7"/>
        </w:numPr>
        <w:spacing w:after="0"/>
        <w:ind w:left="1276" w:hanging="425"/>
        <w:rPr>
          <w:sz w:val="24"/>
          <w:szCs w:val="24"/>
        </w:rPr>
      </w:pPr>
      <w:r>
        <w:rPr>
          <w:sz w:val="24"/>
          <w:szCs w:val="24"/>
        </w:rPr>
        <w:t xml:space="preserve">autonom </w:t>
      </w:r>
      <w:proofErr w:type="spellStart"/>
      <w:r>
        <w:rPr>
          <w:sz w:val="24"/>
          <w:szCs w:val="24"/>
        </w:rPr>
        <w:t>neuropati</w:t>
      </w:r>
      <w:proofErr w:type="spellEnd"/>
    </w:p>
    <w:p w:rsidR="001F1CED" w:rsidRDefault="001F1CED" w:rsidP="001F1CED">
      <w:pPr>
        <w:ind w:left="851" w:hanging="851"/>
        <w:rPr>
          <w:sz w:val="24"/>
          <w:szCs w:val="24"/>
        </w:rPr>
      </w:pPr>
    </w:p>
    <w:p w:rsidR="001F1CED" w:rsidRDefault="001F1CED" w:rsidP="001F1CED">
      <w:pPr>
        <w:ind w:left="851"/>
        <w:rPr>
          <w:sz w:val="24"/>
          <w:szCs w:val="24"/>
        </w:rPr>
      </w:pPr>
      <w:r>
        <w:rPr>
          <w:sz w:val="24"/>
          <w:szCs w:val="24"/>
        </w:rPr>
        <w:t xml:space="preserve">QT-forlængelse og </w:t>
      </w:r>
      <w:proofErr w:type="spellStart"/>
      <w:r w:rsidRPr="00A87F7C">
        <w:rPr>
          <w:i/>
          <w:sz w:val="24"/>
          <w:szCs w:val="24"/>
        </w:rPr>
        <w:t>Torsade</w:t>
      </w:r>
      <w:r w:rsidR="00A87F7C" w:rsidRPr="00A87F7C">
        <w:rPr>
          <w:i/>
          <w:sz w:val="24"/>
          <w:szCs w:val="24"/>
        </w:rPr>
        <w:t>s</w:t>
      </w:r>
      <w:proofErr w:type="spellEnd"/>
      <w:r w:rsidRPr="00A87F7C">
        <w:rPr>
          <w:i/>
          <w:sz w:val="24"/>
          <w:szCs w:val="24"/>
        </w:rPr>
        <w:t xml:space="preserve"> de </w:t>
      </w:r>
      <w:r w:rsidR="00EC02E2" w:rsidRPr="00A87F7C">
        <w:rPr>
          <w:i/>
          <w:sz w:val="24"/>
          <w:szCs w:val="24"/>
        </w:rPr>
        <w:t>p</w:t>
      </w:r>
      <w:r w:rsidRPr="00A87F7C">
        <w:rPr>
          <w:i/>
          <w:sz w:val="24"/>
          <w:szCs w:val="24"/>
        </w:rPr>
        <w:t>ointes</w:t>
      </w:r>
      <w:r>
        <w:rPr>
          <w:sz w:val="24"/>
          <w:szCs w:val="24"/>
        </w:rPr>
        <w:t xml:space="preserve"> er blevet observeret hos patienter med risikofaktorer såsom allerede eksisterende langt QT-syndrom eller </w:t>
      </w:r>
      <w:proofErr w:type="spellStart"/>
      <w:r>
        <w:rPr>
          <w:sz w:val="24"/>
          <w:szCs w:val="24"/>
        </w:rPr>
        <w:t>hypokaliæmi</w:t>
      </w:r>
      <w:proofErr w:type="spellEnd"/>
      <w:r>
        <w:rPr>
          <w:sz w:val="24"/>
          <w:szCs w:val="24"/>
        </w:rPr>
        <w:t xml:space="preserve">. </w:t>
      </w:r>
    </w:p>
    <w:p w:rsidR="001F1CED" w:rsidRDefault="001F1CED" w:rsidP="001F1CED">
      <w:pPr>
        <w:ind w:left="851" w:hanging="851"/>
        <w:rPr>
          <w:sz w:val="24"/>
          <w:szCs w:val="24"/>
        </w:rPr>
      </w:pPr>
    </w:p>
    <w:p w:rsidR="001F1CED" w:rsidRDefault="001F1CED" w:rsidP="001F1CED">
      <w:pPr>
        <w:ind w:left="851"/>
        <w:rPr>
          <w:sz w:val="24"/>
          <w:szCs w:val="24"/>
        </w:rPr>
      </w:pPr>
      <w:proofErr w:type="spellStart"/>
      <w:r>
        <w:rPr>
          <w:sz w:val="24"/>
          <w:szCs w:val="24"/>
        </w:rPr>
        <w:t>Angioødem</w:t>
      </w:r>
      <w:proofErr w:type="spellEnd"/>
      <w:r>
        <w:rPr>
          <w:sz w:val="24"/>
          <w:szCs w:val="24"/>
        </w:rPr>
        <w:t xml:space="preserve"> med luftvejsobstruktion er rapporteret hos nogle patienter i behandling med </w:t>
      </w:r>
      <w:proofErr w:type="spellStart"/>
      <w:r>
        <w:rPr>
          <w:sz w:val="24"/>
          <w:szCs w:val="24"/>
        </w:rPr>
        <w:t>solifenacin</w:t>
      </w:r>
      <w:proofErr w:type="spellEnd"/>
      <w:r>
        <w:rPr>
          <w:sz w:val="24"/>
          <w:szCs w:val="24"/>
        </w:rPr>
        <w:t xml:space="preserve">. Såfremt </w:t>
      </w:r>
      <w:proofErr w:type="spellStart"/>
      <w:r>
        <w:rPr>
          <w:sz w:val="24"/>
          <w:szCs w:val="24"/>
        </w:rPr>
        <w:t>angioødem</w:t>
      </w:r>
      <w:proofErr w:type="spellEnd"/>
      <w:r>
        <w:rPr>
          <w:sz w:val="24"/>
          <w:szCs w:val="24"/>
        </w:rPr>
        <w:t xml:space="preserve"> opstår bør behandling med </w:t>
      </w:r>
      <w:proofErr w:type="spellStart"/>
      <w:r>
        <w:rPr>
          <w:sz w:val="24"/>
          <w:szCs w:val="24"/>
        </w:rPr>
        <w:t>solifenacin</w:t>
      </w:r>
      <w:proofErr w:type="spellEnd"/>
      <w:r>
        <w:rPr>
          <w:sz w:val="24"/>
          <w:szCs w:val="24"/>
        </w:rPr>
        <w:t xml:space="preserve"> seponeres og anden relevant behandling og/eller foranstaltninger igangsættes.</w:t>
      </w:r>
    </w:p>
    <w:p w:rsidR="001F1CED" w:rsidRDefault="001F1CED" w:rsidP="001F1CED">
      <w:pPr>
        <w:ind w:left="851" w:hanging="851"/>
        <w:rPr>
          <w:sz w:val="24"/>
          <w:szCs w:val="24"/>
        </w:rPr>
      </w:pPr>
    </w:p>
    <w:p w:rsidR="001F1CED" w:rsidRDefault="001F1CED" w:rsidP="001F1CED">
      <w:pPr>
        <w:ind w:left="851"/>
        <w:rPr>
          <w:sz w:val="24"/>
          <w:szCs w:val="24"/>
        </w:rPr>
      </w:pPr>
      <w:proofErr w:type="spellStart"/>
      <w:r>
        <w:rPr>
          <w:sz w:val="24"/>
          <w:szCs w:val="24"/>
        </w:rPr>
        <w:t>Anafylaktisk</w:t>
      </w:r>
      <w:proofErr w:type="spellEnd"/>
      <w:r>
        <w:rPr>
          <w:sz w:val="24"/>
          <w:szCs w:val="24"/>
        </w:rPr>
        <w:t xml:space="preserve"> reaktion er blevet rapporteret hos nogle patienter i behandling med </w:t>
      </w:r>
      <w:proofErr w:type="spellStart"/>
      <w:r>
        <w:rPr>
          <w:sz w:val="24"/>
          <w:szCs w:val="24"/>
        </w:rPr>
        <w:t>solifenacin</w:t>
      </w:r>
      <w:proofErr w:type="spellEnd"/>
      <w:r>
        <w:rPr>
          <w:sz w:val="24"/>
          <w:szCs w:val="24"/>
        </w:rPr>
        <w:t xml:space="preserve">. Hos patienter, der udvikler anafylaktiske reaktioner, bør behandling med </w:t>
      </w:r>
      <w:proofErr w:type="spellStart"/>
      <w:r>
        <w:rPr>
          <w:sz w:val="24"/>
          <w:szCs w:val="24"/>
        </w:rPr>
        <w:t>solifenacin</w:t>
      </w:r>
      <w:proofErr w:type="spellEnd"/>
      <w:r>
        <w:rPr>
          <w:sz w:val="24"/>
          <w:szCs w:val="24"/>
        </w:rPr>
        <w:t xml:space="preserve"> seponeres og anden relevant behandling og/eller foranstaltninger igangsættes.</w:t>
      </w:r>
    </w:p>
    <w:p w:rsidR="001F1CED" w:rsidRDefault="001F1CED" w:rsidP="001F1CED">
      <w:pPr>
        <w:ind w:left="851" w:hanging="851"/>
        <w:rPr>
          <w:sz w:val="24"/>
          <w:szCs w:val="24"/>
        </w:rPr>
      </w:pPr>
    </w:p>
    <w:p w:rsidR="001F1CED" w:rsidRDefault="001F1CED" w:rsidP="001F1CED">
      <w:pPr>
        <w:ind w:left="851"/>
        <w:rPr>
          <w:sz w:val="24"/>
          <w:szCs w:val="24"/>
        </w:rPr>
      </w:pPr>
      <w:r>
        <w:rPr>
          <w:sz w:val="24"/>
          <w:szCs w:val="24"/>
        </w:rPr>
        <w:t xml:space="preserve">Den maksimale virkning af </w:t>
      </w:r>
      <w:proofErr w:type="spellStart"/>
      <w:r>
        <w:rPr>
          <w:sz w:val="24"/>
          <w:szCs w:val="24"/>
        </w:rPr>
        <w:t>solifenacin</w:t>
      </w:r>
      <w:proofErr w:type="spellEnd"/>
      <w:r>
        <w:rPr>
          <w:sz w:val="24"/>
          <w:szCs w:val="24"/>
        </w:rPr>
        <w:t xml:space="preserve"> kan tidligst fastslås efter 4 ugers behandling.</w:t>
      </w:r>
    </w:p>
    <w:p w:rsidR="001F1CED" w:rsidRDefault="001F1CED" w:rsidP="001F1CED">
      <w:pPr>
        <w:ind w:left="851" w:hanging="851"/>
        <w:rPr>
          <w:sz w:val="24"/>
          <w:szCs w:val="24"/>
        </w:rPr>
      </w:pPr>
    </w:p>
    <w:p w:rsidR="001F1CED" w:rsidRDefault="001F1CED" w:rsidP="001F1CED">
      <w:pPr>
        <w:ind w:left="851"/>
        <w:rPr>
          <w:sz w:val="24"/>
          <w:szCs w:val="24"/>
        </w:rPr>
      </w:pPr>
      <w:proofErr w:type="spellStart"/>
      <w:r>
        <w:rPr>
          <w:sz w:val="24"/>
          <w:szCs w:val="24"/>
        </w:rPr>
        <w:t>Vesicare</w:t>
      </w:r>
      <w:proofErr w:type="spellEnd"/>
      <w:r>
        <w:rPr>
          <w:sz w:val="24"/>
          <w:szCs w:val="24"/>
        </w:rPr>
        <w:t xml:space="preserve"> oral suspension indeholder </w:t>
      </w:r>
      <w:proofErr w:type="spellStart"/>
      <w:r>
        <w:rPr>
          <w:sz w:val="24"/>
          <w:szCs w:val="24"/>
        </w:rPr>
        <w:t>methylparahydroxybenzoat</w:t>
      </w:r>
      <w:proofErr w:type="spellEnd"/>
      <w:r>
        <w:rPr>
          <w:sz w:val="24"/>
          <w:szCs w:val="24"/>
        </w:rPr>
        <w:t xml:space="preserve"> og </w:t>
      </w:r>
      <w:proofErr w:type="spellStart"/>
      <w:r>
        <w:rPr>
          <w:sz w:val="24"/>
          <w:szCs w:val="24"/>
        </w:rPr>
        <w:t>propylparahydroxybenzoat</w:t>
      </w:r>
      <w:proofErr w:type="spellEnd"/>
      <w:r>
        <w:rPr>
          <w:sz w:val="24"/>
          <w:szCs w:val="24"/>
        </w:rPr>
        <w:t>, som kan fremkalde allergiske reaktioner (muligvis forsinkede).</w:t>
      </w:r>
    </w:p>
    <w:p w:rsidR="001F1CED" w:rsidRDefault="001F1CED" w:rsidP="001F1CED">
      <w:pPr>
        <w:suppressAutoHyphens/>
        <w:ind w:left="851"/>
        <w:rPr>
          <w:sz w:val="24"/>
          <w:szCs w:val="24"/>
        </w:rPr>
      </w:pPr>
    </w:p>
    <w:p w:rsidR="00A1222E" w:rsidRDefault="00A1222E" w:rsidP="00A1222E">
      <w:pPr>
        <w:suppressAutoHyphens/>
        <w:ind w:left="851"/>
        <w:rPr>
          <w:sz w:val="24"/>
          <w:szCs w:val="24"/>
        </w:rPr>
      </w:pPr>
      <w:proofErr w:type="spellStart"/>
      <w:r>
        <w:rPr>
          <w:sz w:val="24"/>
          <w:szCs w:val="24"/>
        </w:rPr>
        <w:t>Vesicare</w:t>
      </w:r>
      <w:proofErr w:type="spellEnd"/>
      <w:r>
        <w:rPr>
          <w:sz w:val="24"/>
          <w:szCs w:val="24"/>
        </w:rPr>
        <w:t xml:space="preserve"> oral suspension indeholder 48,</w:t>
      </w:r>
      <w:r w:rsidR="00F340F3">
        <w:rPr>
          <w:sz w:val="24"/>
          <w:szCs w:val="24"/>
        </w:rPr>
        <w:t>4</w:t>
      </w:r>
      <w:r>
        <w:rPr>
          <w:sz w:val="24"/>
          <w:szCs w:val="24"/>
        </w:rPr>
        <w:t xml:space="preserve"> mg alkohol (</w:t>
      </w:r>
      <w:proofErr w:type="spellStart"/>
      <w:r>
        <w:rPr>
          <w:sz w:val="24"/>
          <w:szCs w:val="24"/>
        </w:rPr>
        <w:t>ethanol</w:t>
      </w:r>
      <w:proofErr w:type="spellEnd"/>
      <w:r>
        <w:rPr>
          <w:sz w:val="24"/>
          <w:szCs w:val="24"/>
        </w:rPr>
        <w:t xml:space="preserve">) pr. maksimal dosis på 10 ml. Mængden af </w:t>
      </w:r>
      <w:proofErr w:type="spellStart"/>
      <w:r>
        <w:rPr>
          <w:sz w:val="24"/>
          <w:szCs w:val="24"/>
        </w:rPr>
        <w:t>ethanol</w:t>
      </w:r>
      <w:proofErr w:type="spellEnd"/>
      <w:r>
        <w:rPr>
          <w:sz w:val="24"/>
          <w:szCs w:val="24"/>
        </w:rPr>
        <w:t xml:space="preserve"> i 10 ml </w:t>
      </w:r>
      <w:proofErr w:type="spellStart"/>
      <w:r>
        <w:rPr>
          <w:sz w:val="24"/>
          <w:szCs w:val="24"/>
        </w:rPr>
        <w:t>Vesicare</w:t>
      </w:r>
      <w:proofErr w:type="spellEnd"/>
      <w:r>
        <w:rPr>
          <w:sz w:val="24"/>
          <w:szCs w:val="24"/>
        </w:rPr>
        <w:t xml:space="preserve"> oral suspension svarer til 1 ml øl (4 % w/v) eller mindre end 1 ml vin (10 % w/v). Den lille mængde af alkohol i dette lægemiddel vil ikke have nogen mærkbare effekter. </w:t>
      </w:r>
    </w:p>
    <w:p w:rsidR="001F1CED" w:rsidRDefault="001F1CED" w:rsidP="001F1CED">
      <w:pPr>
        <w:suppressAutoHyphens/>
        <w:ind w:left="851"/>
        <w:rPr>
          <w:sz w:val="24"/>
          <w:szCs w:val="24"/>
        </w:rPr>
      </w:pPr>
    </w:p>
    <w:p w:rsidR="001F1CED" w:rsidRDefault="001F1CED" w:rsidP="001F1CED">
      <w:pPr>
        <w:suppressAutoHyphens/>
        <w:ind w:left="851"/>
        <w:rPr>
          <w:szCs w:val="22"/>
        </w:rPr>
      </w:pPr>
      <w:proofErr w:type="spellStart"/>
      <w:r>
        <w:rPr>
          <w:szCs w:val="24"/>
        </w:rPr>
        <w:t>Vesicare</w:t>
      </w:r>
      <w:proofErr w:type="spellEnd"/>
      <w:r>
        <w:rPr>
          <w:szCs w:val="24"/>
        </w:rPr>
        <w:t xml:space="preserve"> oral suspension </w:t>
      </w:r>
      <w:r>
        <w:rPr>
          <w:szCs w:val="22"/>
        </w:rPr>
        <w:t>indeholder mindre end 1 mmol (23 mg) natrium pr. ml, dvs. det er i det væsentlige natriumfri.</w:t>
      </w:r>
    </w:p>
    <w:p w:rsidR="001F1CED" w:rsidRDefault="001F1CED" w:rsidP="001F1CED">
      <w:pPr>
        <w:suppressAutoHyphens/>
        <w:ind w:left="851"/>
        <w:rPr>
          <w:szCs w:val="22"/>
        </w:rPr>
      </w:pPr>
    </w:p>
    <w:p w:rsidR="001F1CED" w:rsidRDefault="001F1CED" w:rsidP="001F1CED">
      <w:pPr>
        <w:suppressAutoHyphens/>
        <w:ind w:left="851"/>
        <w:rPr>
          <w:szCs w:val="22"/>
        </w:rPr>
      </w:pPr>
      <w:proofErr w:type="spellStart"/>
      <w:r>
        <w:rPr>
          <w:szCs w:val="24"/>
        </w:rPr>
        <w:t>Vesicare</w:t>
      </w:r>
      <w:proofErr w:type="spellEnd"/>
      <w:r>
        <w:rPr>
          <w:szCs w:val="24"/>
        </w:rPr>
        <w:t xml:space="preserve"> oral suspension</w:t>
      </w:r>
      <w:r>
        <w:rPr>
          <w:b/>
          <w:szCs w:val="24"/>
        </w:rPr>
        <w:t xml:space="preserve"> </w:t>
      </w:r>
      <w:r>
        <w:rPr>
          <w:szCs w:val="22"/>
        </w:rPr>
        <w:t>indeholder 0,015 mg benzoesyre pr. ml, hvilket svarer til 0,15 mg/10 ml.</w:t>
      </w:r>
    </w:p>
    <w:p w:rsidR="001F1CED" w:rsidRDefault="001F1CED" w:rsidP="001F1CED">
      <w:pPr>
        <w:suppressAutoHyphens/>
        <w:ind w:left="1702"/>
        <w:rPr>
          <w:noProof/>
          <w:sz w:val="24"/>
          <w:szCs w:val="24"/>
        </w:rPr>
      </w:pPr>
    </w:p>
    <w:p w:rsidR="001F1CED" w:rsidRDefault="001F1CED" w:rsidP="001F1CED">
      <w:pPr>
        <w:suppressAutoHyphens/>
        <w:ind w:left="851"/>
        <w:rPr>
          <w:szCs w:val="22"/>
        </w:rPr>
      </w:pPr>
      <w:proofErr w:type="spellStart"/>
      <w:r>
        <w:rPr>
          <w:szCs w:val="24"/>
        </w:rPr>
        <w:t>Vesicare</w:t>
      </w:r>
      <w:proofErr w:type="spellEnd"/>
      <w:r>
        <w:rPr>
          <w:szCs w:val="24"/>
        </w:rPr>
        <w:t xml:space="preserve"> oral suspension</w:t>
      </w:r>
      <w:r>
        <w:rPr>
          <w:b/>
          <w:szCs w:val="24"/>
        </w:rPr>
        <w:t xml:space="preserve"> </w:t>
      </w:r>
      <w:r>
        <w:rPr>
          <w:szCs w:val="22"/>
        </w:rPr>
        <w:t>indeholder 20 mg propylenglycol pr. ml, hvilket svarer til 200 mg/10 ml.</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4.5</w:t>
      </w:r>
      <w:r w:rsidRPr="00577A7E">
        <w:rPr>
          <w:b/>
          <w:sz w:val="24"/>
          <w:szCs w:val="24"/>
        </w:rPr>
        <w:tab/>
        <w:t>Interaktion med andre lægemidler og andre former for interaktion</w:t>
      </w:r>
    </w:p>
    <w:p w:rsidR="001F1CED" w:rsidRDefault="001F1CED" w:rsidP="001F1CED">
      <w:pPr>
        <w:ind w:firstLine="851"/>
        <w:rPr>
          <w:sz w:val="24"/>
          <w:szCs w:val="24"/>
          <w:u w:val="single"/>
        </w:rPr>
      </w:pPr>
    </w:p>
    <w:p w:rsidR="001F1CED" w:rsidRDefault="001F1CED" w:rsidP="001F1CED">
      <w:pPr>
        <w:ind w:firstLine="851"/>
        <w:rPr>
          <w:sz w:val="24"/>
          <w:szCs w:val="24"/>
          <w:u w:val="single"/>
        </w:rPr>
      </w:pPr>
      <w:r>
        <w:rPr>
          <w:sz w:val="24"/>
          <w:szCs w:val="24"/>
          <w:u w:val="single"/>
        </w:rPr>
        <w:t>Farmakologiske interaktioner</w:t>
      </w:r>
    </w:p>
    <w:p w:rsidR="001F1CED" w:rsidRDefault="001F1CED" w:rsidP="001F1CED">
      <w:pPr>
        <w:pStyle w:val="Brdtekstindrykning3"/>
        <w:spacing w:after="0"/>
        <w:ind w:left="851"/>
        <w:rPr>
          <w:sz w:val="24"/>
          <w:szCs w:val="24"/>
        </w:rPr>
      </w:pPr>
      <w:r>
        <w:rPr>
          <w:sz w:val="24"/>
          <w:szCs w:val="24"/>
        </w:rPr>
        <w:t xml:space="preserve">Samtidig behandling med andre lægemidler, der har </w:t>
      </w:r>
      <w:proofErr w:type="spellStart"/>
      <w:r>
        <w:rPr>
          <w:sz w:val="24"/>
          <w:szCs w:val="24"/>
        </w:rPr>
        <w:t>antikolinerge</w:t>
      </w:r>
      <w:proofErr w:type="spellEnd"/>
      <w:r>
        <w:rPr>
          <w:sz w:val="24"/>
          <w:szCs w:val="24"/>
        </w:rPr>
        <w:t xml:space="preserve"> egenskaber kan resultere i mere udtalte terapeutiske virkninger og bivirkninger. Der skal gå ca. en uge efter ophør af </w:t>
      </w:r>
      <w:proofErr w:type="spellStart"/>
      <w:r>
        <w:rPr>
          <w:sz w:val="24"/>
          <w:szCs w:val="24"/>
        </w:rPr>
        <w:t>solifenacin</w:t>
      </w:r>
      <w:proofErr w:type="spellEnd"/>
      <w:r>
        <w:rPr>
          <w:sz w:val="24"/>
          <w:szCs w:val="24"/>
        </w:rPr>
        <w:t xml:space="preserve">-behandling inden en anden </w:t>
      </w:r>
      <w:proofErr w:type="spellStart"/>
      <w:r>
        <w:rPr>
          <w:sz w:val="24"/>
          <w:szCs w:val="24"/>
        </w:rPr>
        <w:t>antikolinerg</w:t>
      </w:r>
      <w:proofErr w:type="spellEnd"/>
      <w:r>
        <w:rPr>
          <w:sz w:val="24"/>
          <w:szCs w:val="24"/>
        </w:rPr>
        <w:t xml:space="preserve"> behandling påbegyndes. Den terapeutiske virkning af </w:t>
      </w:r>
      <w:proofErr w:type="spellStart"/>
      <w:r>
        <w:rPr>
          <w:sz w:val="24"/>
          <w:szCs w:val="24"/>
        </w:rPr>
        <w:t>solifenacin</w:t>
      </w:r>
      <w:proofErr w:type="spellEnd"/>
      <w:r>
        <w:rPr>
          <w:sz w:val="24"/>
          <w:szCs w:val="24"/>
        </w:rPr>
        <w:t xml:space="preserve"> kan nedsættes ved samtidig administration af </w:t>
      </w:r>
      <w:proofErr w:type="spellStart"/>
      <w:r>
        <w:rPr>
          <w:sz w:val="24"/>
          <w:szCs w:val="24"/>
        </w:rPr>
        <w:t>kolinerge</w:t>
      </w:r>
      <w:proofErr w:type="spellEnd"/>
      <w:r>
        <w:rPr>
          <w:sz w:val="24"/>
          <w:szCs w:val="24"/>
        </w:rPr>
        <w:t xml:space="preserve"> receptoragonister. </w:t>
      </w:r>
    </w:p>
    <w:p w:rsidR="001F1CED" w:rsidRDefault="001F1CED" w:rsidP="001F1CED">
      <w:pPr>
        <w:pStyle w:val="Brdtekstindrykning3"/>
        <w:spacing w:after="0"/>
        <w:ind w:left="851"/>
        <w:rPr>
          <w:sz w:val="24"/>
          <w:szCs w:val="24"/>
        </w:rPr>
      </w:pPr>
      <w:proofErr w:type="spellStart"/>
      <w:r>
        <w:rPr>
          <w:sz w:val="24"/>
          <w:szCs w:val="24"/>
        </w:rPr>
        <w:t>Solifenacin</w:t>
      </w:r>
      <w:proofErr w:type="spellEnd"/>
      <w:r>
        <w:rPr>
          <w:sz w:val="24"/>
          <w:szCs w:val="24"/>
        </w:rPr>
        <w:t xml:space="preserve"> kan reducere virkningen af lægemidler, der stimulerer den </w:t>
      </w:r>
      <w:proofErr w:type="spellStart"/>
      <w:r>
        <w:rPr>
          <w:sz w:val="24"/>
          <w:szCs w:val="24"/>
        </w:rPr>
        <w:t>gastrointestinale</w:t>
      </w:r>
      <w:proofErr w:type="spellEnd"/>
      <w:r>
        <w:rPr>
          <w:sz w:val="24"/>
          <w:szCs w:val="24"/>
        </w:rPr>
        <w:t xml:space="preserve"> </w:t>
      </w:r>
      <w:proofErr w:type="spellStart"/>
      <w:r>
        <w:rPr>
          <w:sz w:val="24"/>
          <w:szCs w:val="24"/>
        </w:rPr>
        <w:t>motilitet</w:t>
      </w:r>
      <w:proofErr w:type="spellEnd"/>
      <w:r>
        <w:rPr>
          <w:sz w:val="24"/>
          <w:szCs w:val="24"/>
        </w:rPr>
        <w:t xml:space="preserve">, f.eks. </w:t>
      </w:r>
      <w:proofErr w:type="spellStart"/>
      <w:r>
        <w:rPr>
          <w:sz w:val="24"/>
          <w:szCs w:val="24"/>
        </w:rPr>
        <w:t>metoclopramid</w:t>
      </w:r>
      <w:proofErr w:type="spellEnd"/>
      <w:r>
        <w:rPr>
          <w:sz w:val="24"/>
          <w:szCs w:val="24"/>
        </w:rPr>
        <w:t xml:space="preserve"> og </w:t>
      </w:r>
      <w:proofErr w:type="spellStart"/>
      <w:r>
        <w:rPr>
          <w:sz w:val="24"/>
          <w:szCs w:val="24"/>
        </w:rPr>
        <w:t>cisaprid</w:t>
      </w:r>
      <w:proofErr w:type="spellEnd"/>
      <w:r>
        <w:rPr>
          <w:sz w:val="24"/>
          <w:szCs w:val="24"/>
        </w:rPr>
        <w:t>.</w:t>
      </w:r>
    </w:p>
    <w:p w:rsidR="001F1CED" w:rsidRDefault="001F1CED" w:rsidP="001F1CED">
      <w:pPr>
        <w:pStyle w:val="Brdtekstindrykning3"/>
        <w:spacing w:after="0"/>
        <w:ind w:left="851" w:hanging="851"/>
        <w:rPr>
          <w:sz w:val="24"/>
          <w:szCs w:val="24"/>
        </w:rPr>
      </w:pPr>
    </w:p>
    <w:p w:rsidR="001F1CED" w:rsidRDefault="001F1CED" w:rsidP="001F1CED">
      <w:pPr>
        <w:ind w:left="851"/>
        <w:rPr>
          <w:sz w:val="24"/>
          <w:szCs w:val="24"/>
          <w:u w:val="single"/>
        </w:rPr>
      </w:pPr>
      <w:proofErr w:type="spellStart"/>
      <w:r>
        <w:rPr>
          <w:sz w:val="24"/>
          <w:szCs w:val="24"/>
          <w:u w:val="single"/>
        </w:rPr>
        <w:t>Farmakokinetiske</w:t>
      </w:r>
      <w:proofErr w:type="spellEnd"/>
      <w:r>
        <w:rPr>
          <w:sz w:val="24"/>
          <w:szCs w:val="24"/>
          <w:u w:val="single"/>
        </w:rPr>
        <w:t xml:space="preserve"> interaktioner</w:t>
      </w:r>
    </w:p>
    <w:p w:rsidR="001F1CED" w:rsidRDefault="001F1CED" w:rsidP="001F1CED">
      <w:pPr>
        <w:pStyle w:val="Brdtekstindrykning3"/>
        <w:spacing w:after="0"/>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-studier har vist, at </w:t>
      </w:r>
      <w:proofErr w:type="spellStart"/>
      <w:r>
        <w:rPr>
          <w:sz w:val="24"/>
          <w:szCs w:val="24"/>
        </w:rPr>
        <w:t>solifenacin</w:t>
      </w:r>
      <w:proofErr w:type="spellEnd"/>
      <w:r>
        <w:rPr>
          <w:sz w:val="24"/>
          <w:szCs w:val="24"/>
        </w:rPr>
        <w:t xml:space="preserve"> ikke hæmmer CYP1A1/2, 2C9, 2C19, 2D6 eller 3A4 fra humane </w:t>
      </w:r>
      <w:proofErr w:type="spellStart"/>
      <w:r>
        <w:rPr>
          <w:sz w:val="24"/>
          <w:szCs w:val="24"/>
        </w:rPr>
        <w:t>levermicrosomer</w:t>
      </w:r>
      <w:proofErr w:type="spellEnd"/>
      <w:r>
        <w:rPr>
          <w:sz w:val="24"/>
          <w:szCs w:val="24"/>
        </w:rPr>
        <w:t xml:space="preserve"> ved terapeutiske koncentrationer. Det er derfor usandsynligt, at </w:t>
      </w:r>
      <w:proofErr w:type="spellStart"/>
      <w:r>
        <w:rPr>
          <w:sz w:val="24"/>
          <w:szCs w:val="24"/>
        </w:rPr>
        <w:t>solifenacin</w:t>
      </w:r>
      <w:proofErr w:type="spellEnd"/>
      <w:r>
        <w:rPr>
          <w:sz w:val="24"/>
          <w:szCs w:val="24"/>
        </w:rPr>
        <w:t xml:space="preserve"> ændrer </w:t>
      </w:r>
      <w:proofErr w:type="spellStart"/>
      <w:r>
        <w:rPr>
          <w:sz w:val="24"/>
          <w:szCs w:val="24"/>
        </w:rPr>
        <w:t>clearance</w:t>
      </w:r>
      <w:proofErr w:type="spellEnd"/>
      <w:r>
        <w:rPr>
          <w:sz w:val="24"/>
          <w:szCs w:val="24"/>
        </w:rPr>
        <w:t xml:space="preserve"> for lægemidler, der </w:t>
      </w:r>
      <w:proofErr w:type="spellStart"/>
      <w:r>
        <w:rPr>
          <w:sz w:val="24"/>
          <w:szCs w:val="24"/>
        </w:rPr>
        <w:t>metaboliseres</w:t>
      </w:r>
      <w:proofErr w:type="spellEnd"/>
      <w:r>
        <w:rPr>
          <w:sz w:val="24"/>
          <w:szCs w:val="24"/>
        </w:rPr>
        <w:t xml:space="preserve"> af disse CYP-enzymer.</w:t>
      </w:r>
    </w:p>
    <w:p w:rsidR="001F1CED" w:rsidRDefault="001F1CED" w:rsidP="001F1CED">
      <w:pPr>
        <w:pStyle w:val="Brdtekstindrykning3"/>
        <w:spacing w:after="0"/>
        <w:ind w:left="851" w:hanging="851"/>
        <w:rPr>
          <w:sz w:val="24"/>
          <w:szCs w:val="24"/>
        </w:rPr>
      </w:pPr>
    </w:p>
    <w:p w:rsidR="001F1CED" w:rsidRDefault="001F1CED" w:rsidP="001F1CED">
      <w:pPr>
        <w:keepNext/>
        <w:ind w:firstLine="851"/>
        <w:rPr>
          <w:sz w:val="24"/>
          <w:szCs w:val="24"/>
          <w:u w:val="single"/>
        </w:rPr>
      </w:pPr>
      <w:r>
        <w:rPr>
          <w:sz w:val="24"/>
          <w:szCs w:val="24"/>
          <w:u w:val="single"/>
        </w:rPr>
        <w:t xml:space="preserve">Andre lægemidlers virkning på </w:t>
      </w:r>
      <w:proofErr w:type="spellStart"/>
      <w:r>
        <w:rPr>
          <w:sz w:val="24"/>
          <w:szCs w:val="24"/>
          <w:u w:val="single"/>
        </w:rPr>
        <w:t>solifenacins</w:t>
      </w:r>
      <w:proofErr w:type="spellEnd"/>
      <w:r>
        <w:rPr>
          <w:sz w:val="24"/>
          <w:szCs w:val="24"/>
          <w:u w:val="single"/>
        </w:rPr>
        <w:t xml:space="preserve"> farmakokinetik</w:t>
      </w:r>
    </w:p>
    <w:p w:rsidR="001F1CED" w:rsidRDefault="001F1CED" w:rsidP="001F1CED">
      <w:pPr>
        <w:pStyle w:val="Brdtekstindrykning3"/>
        <w:spacing w:after="0"/>
        <w:ind w:left="851"/>
        <w:rPr>
          <w:sz w:val="24"/>
          <w:szCs w:val="24"/>
        </w:rPr>
      </w:pPr>
      <w:proofErr w:type="spellStart"/>
      <w:r>
        <w:rPr>
          <w:sz w:val="24"/>
          <w:szCs w:val="24"/>
        </w:rPr>
        <w:t>Solifenacin</w:t>
      </w:r>
      <w:proofErr w:type="spellEnd"/>
      <w:r>
        <w:rPr>
          <w:sz w:val="24"/>
          <w:szCs w:val="24"/>
        </w:rPr>
        <w:t xml:space="preserve"> </w:t>
      </w:r>
      <w:proofErr w:type="spellStart"/>
      <w:r>
        <w:rPr>
          <w:sz w:val="24"/>
          <w:szCs w:val="24"/>
        </w:rPr>
        <w:t>metaboliseres</w:t>
      </w:r>
      <w:proofErr w:type="spellEnd"/>
      <w:r>
        <w:rPr>
          <w:sz w:val="24"/>
          <w:szCs w:val="24"/>
        </w:rPr>
        <w:t xml:space="preserve"> af CYP3A4. Samtidig administration af </w:t>
      </w:r>
      <w:proofErr w:type="spellStart"/>
      <w:r>
        <w:rPr>
          <w:sz w:val="24"/>
          <w:szCs w:val="24"/>
        </w:rPr>
        <w:t>ketoconazol</w:t>
      </w:r>
      <w:proofErr w:type="spellEnd"/>
      <w:r>
        <w:rPr>
          <w:sz w:val="24"/>
          <w:szCs w:val="24"/>
        </w:rPr>
        <w:t xml:space="preserve"> (200 mg/dag), en stærk CYP3A4-hæmmer, resulterede i en fordobling af </w:t>
      </w:r>
      <w:proofErr w:type="spellStart"/>
      <w:r>
        <w:rPr>
          <w:sz w:val="24"/>
          <w:szCs w:val="24"/>
        </w:rPr>
        <w:t>solifenacins</w:t>
      </w:r>
      <w:proofErr w:type="spellEnd"/>
      <w:r>
        <w:rPr>
          <w:sz w:val="24"/>
          <w:szCs w:val="24"/>
        </w:rPr>
        <w:t xml:space="preserve"> AUC, mens </w:t>
      </w:r>
      <w:proofErr w:type="spellStart"/>
      <w:r>
        <w:rPr>
          <w:sz w:val="24"/>
          <w:szCs w:val="24"/>
        </w:rPr>
        <w:t>ketoconazol</w:t>
      </w:r>
      <w:proofErr w:type="spellEnd"/>
      <w:r>
        <w:rPr>
          <w:sz w:val="24"/>
          <w:szCs w:val="24"/>
        </w:rPr>
        <w:t xml:space="preserve"> 400 mg/dag resulterede i en tredobbelt stigning af </w:t>
      </w:r>
      <w:proofErr w:type="spellStart"/>
      <w:r>
        <w:rPr>
          <w:sz w:val="24"/>
          <w:szCs w:val="24"/>
        </w:rPr>
        <w:t>solifenacins</w:t>
      </w:r>
      <w:proofErr w:type="spellEnd"/>
      <w:r>
        <w:rPr>
          <w:sz w:val="24"/>
          <w:szCs w:val="24"/>
        </w:rPr>
        <w:t xml:space="preserve"> AUC.  Derfor bør maksimal </w:t>
      </w:r>
      <w:proofErr w:type="spellStart"/>
      <w:r>
        <w:rPr>
          <w:sz w:val="24"/>
          <w:szCs w:val="24"/>
        </w:rPr>
        <w:t>solifenacin</w:t>
      </w:r>
      <w:proofErr w:type="spellEnd"/>
      <w:r>
        <w:rPr>
          <w:sz w:val="24"/>
          <w:szCs w:val="24"/>
        </w:rPr>
        <w:t xml:space="preserve">-dosis begrænses til 5 mg (5 ml) for voksne og til startdosis for børn og unge ved samtidig behandling med </w:t>
      </w:r>
      <w:proofErr w:type="spellStart"/>
      <w:r>
        <w:rPr>
          <w:sz w:val="24"/>
          <w:szCs w:val="24"/>
        </w:rPr>
        <w:t>ketoconazol</w:t>
      </w:r>
      <w:proofErr w:type="spellEnd"/>
      <w:r>
        <w:rPr>
          <w:sz w:val="24"/>
          <w:szCs w:val="24"/>
        </w:rPr>
        <w:t xml:space="preserve"> eller terapeutiske doser af andre stærke CYP3A4-hæmmere (f.eks. </w:t>
      </w:r>
      <w:proofErr w:type="spellStart"/>
      <w:r>
        <w:rPr>
          <w:sz w:val="24"/>
          <w:szCs w:val="24"/>
        </w:rPr>
        <w:t>ritonavir</w:t>
      </w:r>
      <w:proofErr w:type="spellEnd"/>
      <w:r>
        <w:rPr>
          <w:sz w:val="24"/>
          <w:szCs w:val="24"/>
        </w:rPr>
        <w:t xml:space="preserve">, </w:t>
      </w:r>
      <w:proofErr w:type="spellStart"/>
      <w:r>
        <w:rPr>
          <w:sz w:val="24"/>
          <w:szCs w:val="24"/>
        </w:rPr>
        <w:t>nelfinavir</w:t>
      </w:r>
      <w:proofErr w:type="spellEnd"/>
      <w:r>
        <w:rPr>
          <w:sz w:val="24"/>
          <w:szCs w:val="24"/>
        </w:rPr>
        <w:t xml:space="preserve">, </w:t>
      </w:r>
      <w:proofErr w:type="spellStart"/>
      <w:r>
        <w:rPr>
          <w:sz w:val="24"/>
          <w:szCs w:val="24"/>
        </w:rPr>
        <w:t>itraconazol</w:t>
      </w:r>
      <w:proofErr w:type="spellEnd"/>
      <w:r>
        <w:rPr>
          <w:sz w:val="24"/>
          <w:szCs w:val="24"/>
        </w:rPr>
        <w:t xml:space="preserve">) (se pkt. 4.2). </w:t>
      </w:r>
    </w:p>
    <w:p w:rsidR="001F1CED" w:rsidRDefault="001F1CED" w:rsidP="001F1CED">
      <w:pPr>
        <w:pStyle w:val="Brdtekstindrykning3"/>
        <w:spacing w:after="0"/>
        <w:ind w:left="851"/>
        <w:rPr>
          <w:sz w:val="24"/>
          <w:szCs w:val="24"/>
        </w:rPr>
      </w:pPr>
      <w:r>
        <w:rPr>
          <w:sz w:val="24"/>
          <w:szCs w:val="24"/>
        </w:rPr>
        <w:t xml:space="preserve">Samtidig behandling med </w:t>
      </w:r>
      <w:proofErr w:type="spellStart"/>
      <w:r>
        <w:rPr>
          <w:sz w:val="24"/>
          <w:szCs w:val="24"/>
        </w:rPr>
        <w:t>solifenacin</w:t>
      </w:r>
      <w:proofErr w:type="spellEnd"/>
      <w:r>
        <w:rPr>
          <w:sz w:val="24"/>
          <w:szCs w:val="24"/>
        </w:rPr>
        <w:t xml:space="preserve"> og en stærk CYP3A4-hæmmer er kontraindiceret hos patienter med svær nedsat nyrefunktion eller moderat nedsat leverfunktion.</w:t>
      </w:r>
    </w:p>
    <w:p w:rsidR="001F1CED" w:rsidRDefault="001F1CED" w:rsidP="001F1CED">
      <w:pPr>
        <w:pStyle w:val="Brdtekstindrykning3"/>
        <w:spacing w:after="0"/>
        <w:ind w:left="851"/>
        <w:rPr>
          <w:sz w:val="24"/>
          <w:szCs w:val="24"/>
        </w:rPr>
      </w:pPr>
      <w:r>
        <w:rPr>
          <w:sz w:val="24"/>
          <w:szCs w:val="24"/>
        </w:rPr>
        <w:t xml:space="preserve">Virkningen af enzyminduktion på </w:t>
      </w:r>
      <w:proofErr w:type="spellStart"/>
      <w:r>
        <w:rPr>
          <w:sz w:val="24"/>
          <w:szCs w:val="24"/>
        </w:rPr>
        <w:t>solifenacins</w:t>
      </w:r>
      <w:proofErr w:type="spellEnd"/>
      <w:r>
        <w:rPr>
          <w:sz w:val="24"/>
          <w:szCs w:val="24"/>
        </w:rPr>
        <w:t xml:space="preserve"> og dets metabolitters farmakokinetik er ikke undersøgt tillige med effekten af højaffinitet CYP3A4-substrater på </w:t>
      </w:r>
      <w:proofErr w:type="spellStart"/>
      <w:r>
        <w:rPr>
          <w:sz w:val="24"/>
          <w:szCs w:val="24"/>
        </w:rPr>
        <w:t>solifenacin</w:t>
      </w:r>
      <w:proofErr w:type="spellEnd"/>
      <w:r>
        <w:rPr>
          <w:sz w:val="24"/>
          <w:szCs w:val="24"/>
        </w:rPr>
        <w:t xml:space="preserve">. Da </w:t>
      </w:r>
      <w:proofErr w:type="spellStart"/>
      <w:r>
        <w:rPr>
          <w:sz w:val="24"/>
          <w:szCs w:val="24"/>
        </w:rPr>
        <w:t>solifenacin</w:t>
      </w:r>
      <w:proofErr w:type="spellEnd"/>
      <w:r>
        <w:rPr>
          <w:sz w:val="24"/>
          <w:szCs w:val="24"/>
        </w:rPr>
        <w:t xml:space="preserve"> </w:t>
      </w:r>
      <w:proofErr w:type="spellStart"/>
      <w:r>
        <w:rPr>
          <w:sz w:val="24"/>
          <w:szCs w:val="24"/>
        </w:rPr>
        <w:t>metaboliseres</w:t>
      </w:r>
      <w:proofErr w:type="spellEnd"/>
      <w:r>
        <w:rPr>
          <w:sz w:val="24"/>
          <w:szCs w:val="24"/>
        </w:rPr>
        <w:t xml:space="preserve"> af CYP3A4 er </w:t>
      </w:r>
      <w:proofErr w:type="spellStart"/>
      <w:r>
        <w:rPr>
          <w:sz w:val="24"/>
          <w:szCs w:val="24"/>
        </w:rPr>
        <w:t>farmakokinetiske</w:t>
      </w:r>
      <w:proofErr w:type="spellEnd"/>
      <w:r>
        <w:rPr>
          <w:sz w:val="24"/>
          <w:szCs w:val="24"/>
        </w:rPr>
        <w:t xml:space="preserve"> interaktioner mulige med andre CYP3A4-substrater med højere affinitet (f.eks. </w:t>
      </w:r>
      <w:proofErr w:type="spellStart"/>
      <w:r>
        <w:rPr>
          <w:sz w:val="24"/>
          <w:szCs w:val="24"/>
        </w:rPr>
        <w:t>verapamil</w:t>
      </w:r>
      <w:proofErr w:type="spellEnd"/>
      <w:r>
        <w:rPr>
          <w:sz w:val="24"/>
          <w:szCs w:val="24"/>
        </w:rPr>
        <w:t xml:space="preserve">, </w:t>
      </w:r>
      <w:proofErr w:type="spellStart"/>
      <w:r>
        <w:rPr>
          <w:sz w:val="24"/>
          <w:szCs w:val="24"/>
        </w:rPr>
        <w:t>diltiazem</w:t>
      </w:r>
      <w:proofErr w:type="spellEnd"/>
      <w:r>
        <w:rPr>
          <w:sz w:val="24"/>
          <w:szCs w:val="24"/>
        </w:rPr>
        <w:t xml:space="preserve">) og CYP3A4-inducere (f.eks. </w:t>
      </w:r>
      <w:proofErr w:type="spellStart"/>
      <w:r>
        <w:rPr>
          <w:sz w:val="24"/>
          <w:szCs w:val="24"/>
        </w:rPr>
        <w:t>rifampicin</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
    <w:p w:rsidR="001F1CED" w:rsidRDefault="001F1CED" w:rsidP="001F1CED">
      <w:pPr>
        <w:ind w:left="851"/>
        <w:rPr>
          <w:sz w:val="24"/>
          <w:szCs w:val="24"/>
        </w:rPr>
      </w:pPr>
    </w:p>
    <w:p w:rsidR="001F1CED" w:rsidRDefault="001F1CED" w:rsidP="001F1CED">
      <w:pPr>
        <w:ind w:left="851"/>
        <w:rPr>
          <w:sz w:val="24"/>
          <w:szCs w:val="24"/>
          <w:u w:val="single"/>
        </w:rPr>
      </w:pPr>
      <w:proofErr w:type="spellStart"/>
      <w:r>
        <w:rPr>
          <w:sz w:val="24"/>
          <w:szCs w:val="24"/>
          <w:u w:val="single"/>
        </w:rPr>
        <w:t>Solifenacins</w:t>
      </w:r>
      <w:proofErr w:type="spellEnd"/>
      <w:r>
        <w:rPr>
          <w:sz w:val="24"/>
          <w:szCs w:val="24"/>
          <w:u w:val="single"/>
        </w:rPr>
        <w:t xml:space="preserve"> virkning på andre lægemidlers farmakokinetik</w:t>
      </w:r>
    </w:p>
    <w:p w:rsidR="001F1CED" w:rsidRDefault="001F1CED" w:rsidP="001F1CED">
      <w:pPr>
        <w:ind w:left="851"/>
        <w:rPr>
          <w:i/>
          <w:sz w:val="24"/>
          <w:szCs w:val="24"/>
        </w:rPr>
      </w:pPr>
    </w:p>
    <w:p w:rsidR="001F1CED" w:rsidRDefault="001F1CED" w:rsidP="001F1CED">
      <w:pPr>
        <w:ind w:left="851"/>
        <w:rPr>
          <w:i/>
          <w:sz w:val="24"/>
          <w:szCs w:val="24"/>
        </w:rPr>
      </w:pPr>
      <w:r>
        <w:rPr>
          <w:i/>
          <w:sz w:val="24"/>
          <w:szCs w:val="24"/>
        </w:rPr>
        <w:t xml:space="preserve">Orale </w:t>
      </w:r>
      <w:proofErr w:type="spellStart"/>
      <w:r>
        <w:rPr>
          <w:i/>
          <w:sz w:val="24"/>
          <w:szCs w:val="24"/>
        </w:rPr>
        <w:t>kontraceptiva</w:t>
      </w:r>
      <w:proofErr w:type="spellEnd"/>
    </w:p>
    <w:p w:rsidR="001F1CED" w:rsidRDefault="001F1CED" w:rsidP="001F1CED">
      <w:pPr>
        <w:ind w:left="851"/>
        <w:rPr>
          <w:sz w:val="24"/>
          <w:szCs w:val="24"/>
        </w:rPr>
      </w:pPr>
      <w:r>
        <w:rPr>
          <w:sz w:val="24"/>
          <w:szCs w:val="24"/>
        </w:rPr>
        <w:t xml:space="preserve">Indtag af </w:t>
      </w:r>
      <w:proofErr w:type="spellStart"/>
      <w:r>
        <w:rPr>
          <w:sz w:val="24"/>
          <w:szCs w:val="24"/>
        </w:rPr>
        <w:t>solifenacin</w:t>
      </w:r>
      <w:proofErr w:type="spellEnd"/>
      <w:r>
        <w:rPr>
          <w:sz w:val="24"/>
          <w:szCs w:val="24"/>
        </w:rPr>
        <w:t xml:space="preserve"> har ikke vist </w:t>
      </w:r>
      <w:proofErr w:type="spellStart"/>
      <w:r>
        <w:rPr>
          <w:sz w:val="24"/>
          <w:szCs w:val="24"/>
        </w:rPr>
        <w:t>farmakokinetisk</w:t>
      </w:r>
      <w:proofErr w:type="spellEnd"/>
      <w:r>
        <w:rPr>
          <w:sz w:val="24"/>
          <w:szCs w:val="24"/>
        </w:rPr>
        <w:t xml:space="preserve"> interaktion af </w:t>
      </w:r>
      <w:proofErr w:type="spellStart"/>
      <w:r>
        <w:rPr>
          <w:sz w:val="24"/>
          <w:szCs w:val="24"/>
        </w:rPr>
        <w:t>solifenacin</w:t>
      </w:r>
      <w:proofErr w:type="spellEnd"/>
      <w:r>
        <w:rPr>
          <w:sz w:val="24"/>
          <w:szCs w:val="24"/>
        </w:rPr>
        <w:t xml:space="preserve"> med orale </w:t>
      </w:r>
      <w:proofErr w:type="spellStart"/>
      <w:r>
        <w:rPr>
          <w:sz w:val="24"/>
          <w:szCs w:val="24"/>
        </w:rPr>
        <w:t>kombinationskontraceptiva</w:t>
      </w:r>
      <w:proofErr w:type="spellEnd"/>
      <w:r>
        <w:rPr>
          <w:sz w:val="24"/>
          <w:szCs w:val="24"/>
        </w:rPr>
        <w:t xml:space="preserve"> (</w:t>
      </w:r>
      <w:proofErr w:type="spellStart"/>
      <w:r>
        <w:rPr>
          <w:sz w:val="24"/>
          <w:szCs w:val="24"/>
        </w:rPr>
        <w:t>ethinylestradiol</w:t>
      </w:r>
      <w:proofErr w:type="spellEnd"/>
      <w:r>
        <w:rPr>
          <w:sz w:val="24"/>
          <w:szCs w:val="24"/>
        </w:rPr>
        <w:t>/</w:t>
      </w:r>
      <w:proofErr w:type="spellStart"/>
      <w:r>
        <w:rPr>
          <w:sz w:val="24"/>
          <w:szCs w:val="24"/>
        </w:rPr>
        <w:t>levonorgestrel</w:t>
      </w:r>
      <w:proofErr w:type="spellEnd"/>
      <w:r>
        <w:rPr>
          <w:sz w:val="24"/>
          <w:szCs w:val="24"/>
        </w:rPr>
        <w:t>).</w:t>
      </w:r>
    </w:p>
    <w:p w:rsidR="001F1CED" w:rsidRDefault="001F1CED" w:rsidP="001F1CED">
      <w:pPr>
        <w:ind w:left="851"/>
        <w:rPr>
          <w:i/>
          <w:sz w:val="24"/>
          <w:szCs w:val="24"/>
        </w:rPr>
      </w:pPr>
    </w:p>
    <w:p w:rsidR="001F1CED" w:rsidRDefault="001F1CED" w:rsidP="001F1CED">
      <w:pPr>
        <w:ind w:left="851"/>
        <w:rPr>
          <w:i/>
          <w:sz w:val="24"/>
          <w:szCs w:val="24"/>
        </w:rPr>
      </w:pPr>
      <w:proofErr w:type="spellStart"/>
      <w:r>
        <w:rPr>
          <w:i/>
          <w:sz w:val="24"/>
          <w:szCs w:val="24"/>
        </w:rPr>
        <w:t>Warfarin</w:t>
      </w:r>
      <w:proofErr w:type="spellEnd"/>
    </w:p>
    <w:p w:rsidR="001F1CED" w:rsidRDefault="001F1CED" w:rsidP="001F1CED">
      <w:pPr>
        <w:ind w:left="851"/>
        <w:rPr>
          <w:sz w:val="24"/>
          <w:szCs w:val="24"/>
        </w:rPr>
      </w:pPr>
      <w:r>
        <w:rPr>
          <w:sz w:val="24"/>
          <w:szCs w:val="24"/>
        </w:rPr>
        <w:t xml:space="preserve">Indtag af </w:t>
      </w:r>
      <w:proofErr w:type="spellStart"/>
      <w:r>
        <w:rPr>
          <w:sz w:val="24"/>
          <w:szCs w:val="24"/>
        </w:rPr>
        <w:t>solifenacin</w:t>
      </w:r>
      <w:proofErr w:type="spellEnd"/>
      <w:r>
        <w:rPr>
          <w:sz w:val="24"/>
          <w:szCs w:val="24"/>
        </w:rPr>
        <w:t xml:space="preserve"> ændrede ikke på </w:t>
      </w:r>
      <w:r>
        <w:rPr>
          <w:i/>
          <w:sz w:val="24"/>
          <w:szCs w:val="24"/>
        </w:rPr>
        <w:t>R</w:t>
      </w:r>
      <w:r>
        <w:rPr>
          <w:sz w:val="24"/>
          <w:szCs w:val="24"/>
        </w:rPr>
        <w:t>-</w:t>
      </w:r>
      <w:proofErr w:type="spellStart"/>
      <w:r>
        <w:rPr>
          <w:sz w:val="24"/>
          <w:szCs w:val="24"/>
        </w:rPr>
        <w:t>warfarins</w:t>
      </w:r>
      <w:proofErr w:type="spellEnd"/>
      <w:r>
        <w:rPr>
          <w:sz w:val="24"/>
          <w:szCs w:val="24"/>
        </w:rPr>
        <w:t xml:space="preserve"> eller </w:t>
      </w:r>
      <w:r>
        <w:rPr>
          <w:i/>
          <w:sz w:val="24"/>
          <w:szCs w:val="24"/>
        </w:rPr>
        <w:t>S</w:t>
      </w:r>
      <w:r>
        <w:rPr>
          <w:sz w:val="24"/>
          <w:szCs w:val="24"/>
        </w:rPr>
        <w:t>-</w:t>
      </w:r>
      <w:proofErr w:type="spellStart"/>
      <w:r>
        <w:rPr>
          <w:sz w:val="24"/>
          <w:szCs w:val="24"/>
        </w:rPr>
        <w:t>warfarins</w:t>
      </w:r>
      <w:proofErr w:type="spellEnd"/>
      <w:r>
        <w:rPr>
          <w:sz w:val="24"/>
          <w:szCs w:val="24"/>
        </w:rPr>
        <w:t xml:space="preserve"> farmakokinetik eller deres virkning på </w:t>
      </w:r>
      <w:proofErr w:type="spellStart"/>
      <w:r>
        <w:rPr>
          <w:sz w:val="24"/>
          <w:szCs w:val="24"/>
        </w:rPr>
        <w:t>protrombintiden</w:t>
      </w:r>
      <w:proofErr w:type="spellEnd"/>
      <w:r>
        <w:rPr>
          <w:sz w:val="24"/>
          <w:szCs w:val="24"/>
        </w:rPr>
        <w:t>.</w:t>
      </w:r>
    </w:p>
    <w:p w:rsidR="001F1CED" w:rsidRDefault="001F1CED" w:rsidP="001F1CED">
      <w:pPr>
        <w:ind w:left="851"/>
        <w:rPr>
          <w:i/>
          <w:sz w:val="24"/>
          <w:szCs w:val="24"/>
        </w:rPr>
      </w:pPr>
    </w:p>
    <w:p w:rsidR="001F1CED" w:rsidRDefault="001F1CED" w:rsidP="001F1CED">
      <w:pPr>
        <w:ind w:left="851"/>
        <w:rPr>
          <w:i/>
          <w:sz w:val="24"/>
          <w:szCs w:val="24"/>
        </w:rPr>
      </w:pPr>
      <w:proofErr w:type="spellStart"/>
      <w:r>
        <w:rPr>
          <w:i/>
          <w:sz w:val="24"/>
          <w:szCs w:val="24"/>
        </w:rPr>
        <w:t>Digoxin</w:t>
      </w:r>
      <w:proofErr w:type="spellEnd"/>
    </w:p>
    <w:p w:rsidR="001F1CED" w:rsidRDefault="001F1CED" w:rsidP="001F1CED">
      <w:pPr>
        <w:ind w:left="851"/>
        <w:rPr>
          <w:sz w:val="24"/>
          <w:szCs w:val="24"/>
        </w:rPr>
      </w:pPr>
      <w:r>
        <w:rPr>
          <w:sz w:val="24"/>
          <w:szCs w:val="24"/>
        </w:rPr>
        <w:t xml:space="preserve">Indtag af </w:t>
      </w:r>
      <w:proofErr w:type="spellStart"/>
      <w:r>
        <w:rPr>
          <w:sz w:val="24"/>
          <w:szCs w:val="24"/>
        </w:rPr>
        <w:t>solifenacin</w:t>
      </w:r>
      <w:proofErr w:type="spellEnd"/>
      <w:r>
        <w:rPr>
          <w:sz w:val="24"/>
          <w:szCs w:val="24"/>
        </w:rPr>
        <w:t xml:space="preserve"> viste ikke nogen virkning på </w:t>
      </w:r>
      <w:proofErr w:type="spellStart"/>
      <w:r>
        <w:rPr>
          <w:sz w:val="24"/>
          <w:szCs w:val="24"/>
        </w:rPr>
        <w:t>digoxins</w:t>
      </w:r>
      <w:proofErr w:type="spellEnd"/>
      <w:r>
        <w:rPr>
          <w:sz w:val="24"/>
          <w:szCs w:val="24"/>
        </w:rPr>
        <w:t xml:space="preserve"> farmakokinetik.</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4.6</w:t>
      </w:r>
      <w:r w:rsidRPr="00577A7E">
        <w:rPr>
          <w:b/>
          <w:sz w:val="24"/>
          <w:szCs w:val="24"/>
        </w:rPr>
        <w:tab/>
      </w:r>
      <w:r w:rsidR="00A87F7C">
        <w:rPr>
          <w:b/>
          <w:sz w:val="24"/>
          <w:szCs w:val="24"/>
        </w:rPr>
        <w:t>Fertilitet, g</w:t>
      </w:r>
      <w:r w:rsidRPr="00577A7E">
        <w:rPr>
          <w:b/>
          <w:sz w:val="24"/>
          <w:szCs w:val="24"/>
        </w:rPr>
        <w:t>raviditet og amning</w:t>
      </w:r>
    </w:p>
    <w:p w:rsidR="001F1CED" w:rsidRPr="00A87F7C" w:rsidRDefault="001F1CED" w:rsidP="00A87F7C">
      <w:pPr>
        <w:ind w:left="851"/>
        <w:rPr>
          <w:color w:val="222222"/>
          <w:sz w:val="24"/>
          <w:szCs w:val="24"/>
        </w:rPr>
      </w:pPr>
    </w:p>
    <w:p w:rsidR="00A87F7C" w:rsidRPr="00A87F7C" w:rsidRDefault="00A87F7C" w:rsidP="00A87F7C">
      <w:pPr>
        <w:ind w:left="851"/>
        <w:rPr>
          <w:sz w:val="24"/>
          <w:szCs w:val="24"/>
          <w:u w:val="single"/>
        </w:rPr>
      </w:pPr>
      <w:r w:rsidRPr="00A87F7C">
        <w:rPr>
          <w:sz w:val="24"/>
          <w:szCs w:val="24"/>
          <w:u w:val="single"/>
        </w:rPr>
        <w:t>Graviditet</w:t>
      </w:r>
    </w:p>
    <w:p w:rsidR="00A87F7C" w:rsidRDefault="00A87F7C" w:rsidP="00A87F7C">
      <w:pPr>
        <w:pStyle w:val="Brdtekstindrykning2"/>
        <w:spacing w:after="0" w:line="240" w:lineRule="auto"/>
        <w:ind w:left="851"/>
        <w:rPr>
          <w:sz w:val="24"/>
          <w:szCs w:val="24"/>
          <w:lang w:val="da-DK"/>
        </w:rPr>
      </w:pPr>
      <w:r w:rsidRPr="00A87F7C">
        <w:rPr>
          <w:sz w:val="24"/>
          <w:szCs w:val="24"/>
          <w:lang w:val="da-DK"/>
        </w:rPr>
        <w:t xml:space="preserve">Der findes ingen tilgængelige data fra kvinder, som er blevet gravide under behandling med </w:t>
      </w:r>
      <w:proofErr w:type="spellStart"/>
      <w:r w:rsidRPr="00A87F7C">
        <w:rPr>
          <w:sz w:val="24"/>
          <w:szCs w:val="24"/>
          <w:lang w:val="da-DK"/>
        </w:rPr>
        <w:t>solifenacin</w:t>
      </w:r>
      <w:proofErr w:type="spellEnd"/>
      <w:r w:rsidRPr="00A87F7C">
        <w:rPr>
          <w:sz w:val="24"/>
          <w:szCs w:val="24"/>
          <w:lang w:val="da-DK"/>
        </w:rPr>
        <w:t>. Dyreforsøg indikerer ikke direkte skadelige virkninger på fertilitet, embryoets/fostrets udvikling eller fødsel (se pkt. 5.3). Den potentielle risiko for mennesker kendes ikke. Bør kun anvendes med forsigtighed til gravide.</w:t>
      </w:r>
    </w:p>
    <w:p w:rsidR="00A87F7C" w:rsidRPr="00A87F7C" w:rsidRDefault="00A87F7C" w:rsidP="00A87F7C">
      <w:pPr>
        <w:pStyle w:val="Brdtekstindrykning2"/>
        <w:spacing w:after="0" w:line="240" w:lineRule="auto"/>
        <w:ind w:left="851"/>
        <w:rPr>
          <w:rFonts w:eastAsiaTheme="minorEastAsia"/>
          <w:sz w:val="24"/>
          <w:szCs w:val="24"/>
          <w:lang w:val="da-DK"/>
        </w:rPr>
      </w:pPr>
    </w:p>
    <w:p w:rsidR="00A87F7C" w:rsidRPr="00A87F7C" w:rsidRDefault="00A87F7C" w:rsidP="00A87F7C">
      <w:pPr>
        <w:pStyle w:val="Overskrift3"/>
        <w:spacing w:before="0" w:after="0"/>
        <w:ind w:left="851"/>
        <w:rPr>
          <w:rFonts w:ascii="Times New Roman" w:hAnsi="Times New Roman"/>
          <w:szCs w:val="24"/>
        </w:rPr>
      </w:pPr>
      <w:r w:rsidRPr="00A87F7C">
        <w:rPr>
          <w:rFonts w:ascii="Times New Roman" w:hAnsi="Times New Roman"/>
          <w:bCs/>
          <w:szCs w:val="24"/>
          <w:u w:val="single"/>
        </w:rPr>
        <w:t>Amning</w:t>
      </w:r>
      <w:r w:rsidRPr="00A87F7C">
        <w:rPr>
          <w:rFonts w:ascii="Times New Roman" w:hAnsi="Times New Roman"/>
          <w:szCs w:val="24"/>
        </w:rPr>
        <w:t xml:space="preserve">  </w:t>
      </w:r>
    </w:p>
    <w:p w:rsidR="00A87F7C" w:rsidRDefault="00A87F7C" w:rsidP="00A87F7C">
      <w:pPr>
        <w:ind w:left="851"/>
        <w:rPr>
          <w:sz w:val="24"/>
          <w:szCs w:val="24"/>
        </w:rPr>
      </w:pPr>
      <w:r w:rsidRPr="00A87F7C">
        <w:rPr>
          <w:sz w:val="24"/>
          <w:szCs w:val="24"/>
        </w:rPr>
        <w:t xml:space="preserve">Der er ingen tilgængelige data vedrørende udskillelsen af </w:t>
      </w:r>
      <w:proofErr w:type="spellStart"/>
      <w:r w:rsidRPr="00A87F7C">
        <w:rPr>
          <w:sz w:val="24"/>
          <w:szCs w:val="24"/>
        </w:rPr>
        <w:t>solifenacin</w:t>
      </w:r>
      <w:proofErr w:type="spellEnd"/>
      <w:r w:rsidRPr="00A87F7C">
        <w:rPr>
          <w:sz w:val="24"/>
          <w:szCs w:val="24"/>
        </w:rPr>
        <w:t xml:space="preserve"> i modermælk hos mennesker. </w:t>
      </w:r>
      <w:proofErr w:type="spellStart"/>
      <w:r w:rsidRPr="00A87F7C">
        <w:rPr>
          <w:sz w:val="24"/>
          <w:szCs w:val="24"/>
        </w:rPr>
        <w:t>Solifenacin</w:t>
      </w:r>
      <w:proofErr w:type="spellEnd"/>
      <w:r w:rsidRPr="00A87F7C">
        <w:rPr>
          <w:sz w:val="24"/>
          <w:szCs w:val="24"/>
        </w:rPr>
        <w:t xml:space="preserve"> og/eller dets metabolitter udskilles i mælk hos mus og forårsager en dosisafhængig mangel på trivsel hos nyfødte mus (se pkt. 5.3). </w:t>
      </w:r>
      <w:proofErr w:type="spellStart"/>
      <w:r w:rsidRPr="00A87F7C">
        <w:rPr>
          <w:sz w:val="24"/>
          <w:szCs w:val="24"/>
        </w:rPr>
        <w:t>Solifenacin</w:t>
      </w:r>
      <w:proofErr w:type="spellEnd"/>
      <w:r w:rsidRPr="00A87F7C">
        <w:rPr>
          <w:sz w:val="24"/>
          <w:szCs w:val="24"/>
        </w:rPr>
        <w:t xml:space="preserve"> bør derfor undgås ved amning.</w:t>
      </w:r>
    </w:p>
    <w:p w:rsidR="00A87F7C" w:rsidRPr="00A87F7C" w:rsidRDefault="00A87F7C" w:rsidP="00A87F7C">
      <w:pPr>
        <w:ind w:left="851"/>
        <w:rPr>
          <w:sz w:val="24"/>
          <w:szCs w:val="24"/>
        </w:rPr>
      </w:pPr>
    </w:p>
    <w:p w:rsidR="00A87F7C" w:rsidRPr="00A87F7C" w:rsidRDefault="00A87F7C" w:rsidP="00A87F7C">
      <w:pPr>
        <w:pStyle w:val="Overskrift3"/>
        <w:spacing w:before="0" w:after="0"/>
        <w:ind w:left="851"/>
        <w:rPr>
          <w:rFonts w:ascii="Times New Roman" w:hAnsi="Times New Roman"/>
          <w:szCs w:val="24"/>
        </w:rPr>
      </w:pPr>
      <w:r w:rsidRPr="00A87F7C">
        <w:rPr>
          <w:rFonts w:ascii="Times New Roman" w:hAnsi="Times New Roman"/>
          <w:bCs/>
          <w:color w:val="222222"/>
          <w:szCs w:val="24"/>
          <w:u w:val="single"/>
        </w:rPr>
        <w:t>Fertilitet</w:t>
      </w:r>
    </w:p>
    <w:p w:rsidR="00A87F7C" w:rsidRPr="00A87F7C" w:rsidRDefault="00A87F7C" w:rsidP="00A87F7C">
      <w:pPr>
        <w:ind w:left="851"/>
        <w:rPr>
          <w:color w:val="222222"/>
          <w:sz w:val="24"/>
          <w:szCs w:val="24"/>
        </w:rPr>
      </w:pPr>
      <w:r w:rsidRPr="00A87F7C">
        <w:rPr>
          <w:color w:val="222222"/>
          <w:sz w:val="24"/>
          <w:szCs w:val="24"/>
        </w:rPr>
        <w:t xml:space="preserve">Der er ingen kliniske data om effekt af </w:t>
      </w:r>
      <w:proofErr w:type="spellStart"/>
      <w:r w:rsidRPr="00A87F7C">
        <w:rPr>
          <w:color w:val="222222"/>
          <w:sz w:val="24"/>
          <w:szCs w:val="24"/>
        </w:rPr>
        <w:t>solifenacin</w:t>
      </w:r>
      <w:proofErr w:type="spellEnd"/>
      <w:r w:rsidRPr="00A87F7C">
        <w:rPr>
          <w:color w:val="222222"/>
          <w:sz w:val="24"/>
          <w:szCs w:val="24"/>
        </w:rPr>
        <w:t xml:space="preserve"> på fertilitet. Der blev ikke </w:t>
      </w:r>
      <w:proofErr w:type="spellStart"/>
      <w:r w:rsidRPr="00A87F7C">
        <w:rPr>
          <w:color w:val="222222"/>
          <w:sz w:val="24"/>
          <w:szCs w:val="24"/>
        </w:rPr>
        <w:t>oberserveret</w:t>
      </w:r>
      <w:proofErr w:type="spellEnd"/>
      <w:r w:rsidRPr="00A87F7C">
        <w:rPr>
          <w:color w:val="222222"/>
          <w:sz w:val="24"/>
          <w:szCs w:val="24"/>
        </w:rPr>
        <w:t xml:space="preserve"> påvirkning af fertilitet hos dyr.</w:t>
      </w:r>
    </w:p>
    <w:p w:rsidR="00A87F7C" w:rsidRPr="00A87F7C" w:rsidRDefault="00A87F7C" w:rsidP="00A87F7C">
      <w:pPr>
        <w:ind w:left="851"/>
        <w:rPr>
          <w:sz w:val="24"/>
          <w:szCs w:val="24"/>
          <w:u w:val="single"/>
        </w:rPr>
      </w:pPr>
    </w:p>
    <w:p w:rsidR="001F1CED" w:rsidRPr="00577A7E" w:rsidRDefault="001F1CED" w:rsidP="001F1CED">
      <w:pPr>
        <w:ind w:left="851" w:hanging="851"/>
        <w:rPr>
          <w:b/>
          <w:sz w:val="24"/>
          <w:szCs w:val="24"/>
        </w:rPr>
      </w:pPr>
      <w:r w:rsidRPr="00577A7E">
        <w:rPr>
          <w:b/>
          <w:sz w:val="24"/>
          <w:szCs w:val="24"/>
        </w:rPr>
        <w:t>4.7</w:t>
      </w:r>
      <w:r w:rsidRPr="00577A7E">
        <w:rPr>
          <w:b/>
          <w:sz w:val="24"/>
          <w:szCs w:val="24"/>
        </w:rPr>
        <w:tab/>
        <w:t>Virkninger på evnen til at føre motorkøretøj eller betjene maskiner</w:t>
      </w:r>
    </w:p>
    <w:p w:rsidR="001F1CED" w:rsidRDefault="001F1CED" w:rsidP="001F1CED">
      <w:pPr>
        <w:ind w:left="851" w:hanging="851"/>
        <w:rPr>
          <w:sz w:val="24"/>
          <w:szCs w:val="24"/>
        </w:rPr>
      </w:pPr>
      <w:r w:rsidRPr="00577A7E">
        <w:rPr>
          <w:sz w:val="24"/>
          <w:szCs w:val="24"/>
        </w:rPr>
        <w:tab/>
      </w:r>
      <w:r>
        <w:rPr>
          <w:sz w:val="24"/>
          <w:szCs w:val="24"/>
        </w:rPr>
        <w:t>Ikke mærkning.</w:t>
      </w:r>
    </w:p>
    <w:p w:rsidR="001F1CED" w:rsidRDefault="001F1CED" w:rsidP="001F1CED">
      <w:pPr>
        <w:ind w:left="851"/>
        <w:rPr>
          <w:sz w:val="24"/>
          <w:szCs w:val="24"/>
        </w:rPr>
      </w:pPr>
      <w:r>
        <w:rPr>
          <w:sz w:val="24"/>
          <w:szCs w:val="24"/>
        </w:rPr>
        <w:lastRenderedPageBreak/>
        <w:t xml:space="preserve">Da </w:t>
      </w:r>
      <w:proofErr w:type="spellStart"/>
      <w:r>
        <w:rPr>
          <w:sz w:val="24"/>
          <w:szCs w:val="24"/>
        </w:rPr>
        <w:t>solifenacin</w:t>
      </w:r>
      <w:proofErr w:type="spellEnd"/>
      <w:r>
        <w:rPr>
          <w:sz w:val="24"/>
          <w:szCs w:val="24"/>
        </w:rPr>
        <w:t xml:space="preserve">, som øvrige </w:t>
      </w:r>
      <w:proofErr w:type="spellStart"/>
      <w:r>
        <w:rPr>
          <w:sz w:val="24"/>
          <w:szCs w:val="24"/>
        </w:rPr>
        <w:t>antikolinergika</w:t>
      </w:r>
      <w:proofErr w:type="spellEnd"/>
      <w:r>
        <w:rPr>
          <w:sz w:val="24"/>
          <w:szCs w:val="24"/>
        </w:rPr>
        <w:t xml:space="preserve">, kan forårsage </w:t>
      </w:r>
      <w:proofErr w:type="spellStart"/>
      <w:r>
        <w:rPr>
          <w:sz w:val="24"/>
          <w:szCs w:val="24"/>
        </w:rPr>
        <w:t>akkomodationsforstyrrelser</w:t>
      </w:r>
      <w:proofErr w:type="spellEnd"/>
      <w:r>
        <w:rPr>
          <w:sz w:val="24"/>
          <w:szCs w:val="24"/>
        </w:rPr>
        <w:t xml:space="preserve"> og i ikke almindelige tilfælde </w:t>
      </w:r>
      <w:proofErr w:type="spellStart"/>
      <w:r>
        <w:rPr>
          <w:sz w:val="24"/>
          <w:szCs w:val="24"/>
        </w:rPr>
        <w:t>somnolens</w:t>
      </w:r>
      <w:proofErr w:type="spellEnd"/>
      <w:r>
        <w:rPr>
          <w:sz w:val="24"/>
          <w:szCs w:val="24"/>
        </w:rPr>
        <w:t xml:space="preserve"> og træthed (se pkt. 4.8 Bivirkninger), kan evnen til at køre bil og betjene maskiner påvirkes negativt.</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4.8</w:t>
      </w:r>
      <w:r w:rsidRPr="00577A7E">
        <w:rPr>
          <w:b/>
          <w:sz w:val="24"/>
          <w:szCs w:val="24"/>
        </w:rPr>
        <w:tab/>
        <w:t>Bivirkninger</w:t>
      </w:r>
    </w:p>
    <w:p w:rsidR="001F1CED" w:rsidRDefault="001F1CED" w:rsidP="001F1CED">
      <w:pPr>
        <w:ind w:left="851" w:hanging="851"/>
        <w:rPr>
          <w:sz w:val="24"/>
          <w:szCs w:val="24"/>
        </w:rPr>
      </w:pPr>
      <w:r w:rsidRPr="00577A7E">
        <w:rPr>
          <w:sz w:val="24"/>
          <w:szCs w:val="24"/>
        </w:rPr>
        <w:tab/>
      </w:r>
    </w:p>
    <w:p w:rsidR="001F1CED" w:rsidRDefault="001F1CED" w:rsidP="001F1CED">
      <w:pPr>
        <w:ind w:left="851"/>
        <w:rPr>
          <w:sz w:val="24"/>
          <w:szCs w:val="24"/>
          <w:u w:val="single"/>
        </w:rPr>
      </w:pPr>
      <w:r>
        <w:rPr>
          <w:sz w:val="24"/>
          <w:szCs w:val="24"/>
          <w:u w:val="single"/>
        </w:rPr>
        <w:t>Sammendrag af sikkerhedsprofilen</w:t>
      </w:r>
    </w:p>
    <w:p w:rsidR="001F1CED" w:rsidRDefault="001F1CED" w:rsidP="001F1CED">
      <w:pPr>
        <w:ind w:left="851"/>
        <w:rPr>
          <w:sz w:val="24"/>
          <w:szCs w:val="24"/>
        </w:rPr>
      </w:pPr>
      <w:r>
        <w:rPr>
          <w:sz w:val="24"/>
          <w:szCs w:val="24"/>
        </w:rPr>
        <w:t xml:space="preserve">Som følge af den farmakologiske effekt af </w:t>
      </w:r>
      <w:proofErr w:type="spellStart"/>
      <w:r>
        <w:rPr>
          <w:sz w:val="24"/>
          <w:szCs w:val="24"/>
        </w:rPr>
        <w:t>solifenacin</w:t>
      </w:r>
      <w:proofErr w:type="spellEnd"/>
      <w:r>
        <w:rPr>
          <w:sz w:val="24"/>
          <w:szCs w:val="24"/>
        </w:rPr>
        <w:t xml:space="preserve"> kan </w:t>
      </w:r>
      <w:proofErr w:type="spellStart"/>
      <w:r>
        <w:rPr>
          <w:sz w:val="24"/>
          <w:szCs w:val="24"/>
        </w:rPr>
        <w:t>solifenacin</w:t>
      </w:r>
      <w:proofErr w:type="spellEnd"/>
      <w:r>
        <w:rPr>
          <w:sz w:val="24"/>
          <w:szCs w:val="24"/>
        </w:rPr>
        <w:t xml:space="preserve"> forårsage </w:t>
      </w:r>
      <w:proofErr w:type="spellStart"/>
      <w:r>
        <w:rPr>
          <w:sz w:val="24"/>
          <w:szCs w:val="24"/>
        </w:rPr>
        <w:t>antikolinerge</w:t>
      </w:r>
      <w:proofErr w:type="spellEnd"/>
      <w:r>
        <w:rPr>
          <w:sz w:val="24"/>
          <w:szCs w:val="24"/>
        </w:rPr>
        <w:t xml:space="preserve"> bivirkninger, som (generelt) er af mild eller moderat grad. Forekomsten af disse </w:t>
      </w:r>
      <w:proofErr w:type="spellStart"/>
      <w:r>
        <w:rPr>
          <w:sz w:val="24"/>
          <w:szCs w:val="24"/>
        </w:rPr>
        <w:t>antikolinerge</w:t>
      </w:r>
      <w:proofErr w:type="spellEnd"/>
      <w:r>
        <w:rPr>
          <w:sz w:val="24"/>
          <w:szCs w:val="24"/>
        </w:rPr>
        <w:t xml:space="preserve"> bivirkninger er dosisrelateret. Den hyppigst rapporterede bivirkning for </w:t>
      </w:r>
      <w:proofErr w:type="spellStart"/>
      <w:r>
        <w:rPr>
          <w:sz w:val="24"/>
          <w:szCs w:val="24"/>
        </w:rPr>
        <w:t>solifenacin</w:t>
      </w:r>
      <w:proofErr w:type="spellEnd"/>
      <w:r>
        <w:rPr>
          <w:sz w:val="24"/>
          <w:szCs w:val="24"/>
        </w:rPr>
        <w:t xml:space="preserve"> er mundtørhed, som forekom hos 11% af patienterne behandlet med 5 mg én gang daglig, 22% af patienterne behandlet med 10 mg én gang daglig og 4% af patienterne behandlet med placebo. Graden af</w:t>
      </w:r>
      <w:r>
        <w:rPr>
          <w:color w:val="FF0000"/>
          <w:sz w:val="24"/>
          <w:szCs w:val="24"/>
        </w:rPr>
        <w:t xml:space="preserve"> </w:t>
      </w:r>
      <w:r>
        <w:rPr>
          <w:sz w:val="24"/>
          <w:szCs w:val="24"/>
        </w:rPr>
        <w:t xml:space="preserve">mundtørhed var generelt mild og førte kun lejlighedsvis til, at behandlingen blev afbrudt. Generelt var compliance meget høj (ca. 99%), og ca. 90% af patienterne, der blev behandlet med </w:t>
      </w:r>
      <w:proofErr w:type="spellStart"/>
      <w:r>
        <w:rPr>
          <w:sz w:val="24"/>
          <w:szCs w:val="24"/>
        </w:rPr>
        <w:t>solifenacin</w:t>
      </w:r>
      <w:proofErr w:type="spellEnd"/>
      <w:r>
        <w:rPr>
          <w:sz w:val="24"/>
          <w:szCs w:val="24"/>
        </w:rPr>
        <w:t>, gennemførte den fulde behandlingsperiode på 12 uger.</w:t>
      </w:r>
    </w:p>
    <w:p w:rsidR="001F1CED" w:rsidRPr="00577A7E" w:rsidRDefault="001F1CED" w:rsidP="001F1CED">
      <w:pPr>
        <w:pStyle w:val="Sidehoved"/>
        <w:tabs>
          <w:tab w:val="clear" w:pos="4819"/>
          <w:tab w:val="clear" w:pos="9638"/>
        </w:tabs>
        <w:ind w:left="851" w:hanging="851"/>
        <w:jc w:val="both"/>
        <w:rPr>
          <w:szCs w:val="24"/>
        </w:rPr>
      </w:pPr>
    </w:p>
    <w:p w:rsidR="001F1CED" w:rsidRPr="00577A7E" w:rsidRDefault="001F1CED" w:rsidP="001F1CED">
      <w:pPr>
        <w:pStyle w:val="Sidehoved"/>
        <w:tabs>
          <w:tab w:val="clear" w:pos="4819"/>
          <w:tab w:val="clear" w:pos="9638"/>
        </w:tabs>
        <w:ind w:left="851" w:hanging="851"/>
        <w:jc w:val="both"/>
        <w:rPr>
          <w:szCs w:val="24"/>
          <w:u w:val="single"/>
        </w:rPr>
      </w:pPr>
      <w:r w:rsidRPr="00577A7E">
        <w:rPr>
          <w:szCs w:val="24"/>
          <w:u w:val="single"/>
        </w:rPr>
        <w:t>Bivirkningstabel</w:t>
      </w:r>
    </w:p>
    <w:p w:rsidR="001F1CED" w:rsidRPr="00577A7E" w:rsidRDefault="001F1CED" w:rsidP="001F1CED">
      <w:pPr>
        <w:pStyle w:val="Sidehoved"/>
        <w:tabs>
          <w:tab w:val="clear" w:pos="4819"/>
          <w:tab w:val="clear" w:pos="9638"/>
        </w:tabs>
        <w:ind w:left="851" w:hanging="851"/>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1079"/>
        <w:gridCol w:w="1266"/>
        <w:gridCol w:w="1364"/>
        <w:gridCol w:w="1393"/>
        <w:gridCol w:w="1096"/>
        <w:gridCol w:w="1733"/>
      </w:tblGrid>
      <w:tr w:rsidR="001F1CED" w:rsidRPr="00A87F7C" w:rsidTr="00A87F7C">
        <w:trPr>
          <w:cantSplit/>
          <w:tblHeader/>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b/>
                <w:sz w:val="22"/>
                <w:szCs w:val="22"/>
              </w:rPr>
            </w:pPr>
            <w:r w:rsidRPr="00A87F7C">
              <w:rPr>
                <w:b/>
                <w:sz w:val="22"/>
                <w:szCs w:val="22"/>
              </w:rPr>
              <w:t xml:space="preserve">Systemorgan-klasser i henhold til </w:t>
            </w:r>
            <w:proofErr w:type="spellStart"/>
            <w:r w:rsidRPr="00A87F7C">
              <w:rPr>
                <w:b/>
                <w:sz w:val="22"/>
                <w:szCs w:val="22"/>
              </w:rPr>
              <w:t>MedDRA</w:t>
            </w:r>
            <w:proofErr w:type="spellEnd"/>
            <w:r w:rsidRPr="00A87F7C">
              <w:rPr>
                <w:b/>
                <w:sz w:val="22"/>
                <w:szCs w:val="22"/>
              </w:rPr>
              <w:t xml:space="preserve"> </w:t>
            </w:r>
          </w:p>
        </w:tc>
        <w:tc>
          <w:tcPr>
            <w:tcW w:w="56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ind w:right="-120"/>
              <w:rPr>
                <w:b/>
                <w:sz w:val="22"/>
                <w:szCs w:val="22"/>
              </w:rPr>
            </w:pPr>
            <w:r w:rsidRPr="00A87F7C">
              <w:rPr>
                <w:b/>
                <w:sz w:val="22"/>
                <w:szCs w:val="22"/>
              </w:rPr>
              <w:t>Meget almindelig ≥1/10</w:t>
            </w:r>
          </w:p>
        </w:tc>
        <w:tc>
          <w:tcPr>
            <w:tcW w:w="657"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b/>
                <w:sz w:val="22"/>
                <w:szCs w:val="22"/>
              </w:rPr>
            </w:pPr>
            <w:r w:rsidRPr="00A87F7C">
              <w:rPr>
                <w:b/>
                <w:sz w:val="22"/>
                <w:szCs w:val="22"/>
              </w:rPr>
              <w:t>Almindelig</w:t>
            </w:r>
          </w:p>
          <w:p w:rsidR="001F1CED" w:rsidRPr="00A87F7C" w:rsidRDefault="001F1CED" w:rsidP="00A87F7C">
            <w:pPr>
              <w:rPr>
                <w:b/>
                <w:sz w:val="22"/>
                <w:szCs w:val="22"/>
              </w:rPr>
            </w:pPr>
            <w:r w:rsidRPr="00A87F7C">
              <w:rPr>
                <w:b/>
                <w:sz w:val="22"/>
                <w:szCs w:val="22"/>
              </w:rPr>
              <w:t>≥1/100, &lt;1/10</w:t>
            </w: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b/>
                <w:sz w:val="22"/>
                <w:szCs w:val="22"/>
              </w:rPr>
            </w:pPr>
            <w:r w:rsidRPr="00A87F7C">
              <w:rPr>
                <w:b/>
                <w:sz w:val="22"/>
                <w:szCs w:val="22"/>
              </w:rPr>
              <w:t>Ikke almindelig</w:t>
            </w:r>
          </w:p>
          <w:p w:rsidR="001F1CED" w:rsidRPr="00A87F7C" w:rsidRDefault="001F1CED" w:rsidP="00A87F7C">
            <w:pPr>
              <w:rPr>
                <w:b/>
                <w:sz w:val="22"/>
                <w:szCs w:val="22"/>
              </w:rPr>
            </w:pPr>
            <w:r w:rsidRPr="00A87F7C">
              <w:rPr>
                <w:b/>
                <w:sz w:val="22"/>
                <w:szCs w:val="22"/>
              </w:rPr>
              <w:t>≥1/1000, &lt;1/100</w:t>
            </w:r>
          </w:p>
        </w:tc>
        <w:tc>
          <w:tcPr>
            <w:tcW w:w="723"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b/>
                <w:sz w:val="22"/>
                <w:szCs w:val="22"/>
              </w:rPr>
            </w:pPr>
            <w:r w:rsidRPr="00A87F7C">
              <w:rPr>
                <w:b/>
                <w:sz w:val="22"/>
                <w:szCs w:val="22"/>
              </w:rPr>
              <w:t>Sjælden</w:t>
            </w:r>
          </w:p>
          <w:p w:rsidR="001F1CED" w:rsidRPr="00A87F7C" w:rsidRDefault="001F1CED" w:rsidP="00A87F7C">
            <w:pPr>
              <w:rPr>
                <w:b/>
                <w:sz w:val="22"/>
                <w:szCs w:val="22"/>
              </w:rPr>
            </w:pPr>
            <w:r w:rsidRPr="00A87F7C">
              <w:rPr>
                <w:b/>
                <w:sz w:val="22"/>
                <w:szCs w:val="22"/>
              </w:rPr>
              <w:t>≥ 1/10.000, &lt;1/1000</w:t>
            </w:r>
          </w:p>
        </w:tc>
        <w:tc>
          <w:tcPr>
            <w:tcW w:w="569"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b/>
                <w:sz w:val="22"/>
                <w:szCs w:val="22"/>
              </w:rPr>
            </w:pPr>
            <w:r w:rsidRPr="00A87F7C">
              <w:rPr>
                <w:b/>
                <w:sz w:val="22"/>
                <w:szCs w:val="22"/>
              </w:rPr>
              <w:t>Meget sjælden</w:t>
            </w:r>
          </w:p>
          <w:p w:rsidR="001F1CED" w:rsidRPr="00A87F7C" w:rsidRDefault="001F1CED" w:rsidP="00A87F7C">
            <w:pPr>
              <w:rPr>
                <w:b/>
                <w:sz w:val="22"/>
                <w:szCs w:val="22"/>
              </w:rPr>
            </w:pPr>
            <w:r w:rsidRPr="00A87F7C">
              <w:rPr>
                <w:b/>
                <w:sz w:val="22"/>
                <w:szCs w:val="22"/>
              </w:rPr>
              <w:t>&lt;1/10.000</w:t>
            </w: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b/>
                <w:sz w:val="22"/>
                <w:szCs w:val="22"/>
              </w:rPr>
            </w:pPr>
            <w:r w:rsidRPr="00A87F7C">
              <w:rPr>
                <w:b/>
                <w:sz w:val="22"/>
                <w:szCs w:val="22"/>
              </w:rPr>
              <w:t xml:space="preserve">Ikke kendt (kan ikke estimeres ud fra </w:t>
            </w:r>
            <w:proofErr w:type="spellStart"/>
            <w:r w:rsidRPr="00A87F7C">
              <w:rPr>
                <w:b/>
                <w:sz w:val="22"/>
                <w:szCs w:val="22"/>
              </w:rPr>
              <w:t>forhånden-værende</w:t>
            </w:r>
            <w:proofErr w:type="spellEnd"/>
            <w:r w:rsidRPr="00A87F7C">
              <w:rPr>
                <w:b/>
                <w:sz w:val="22"/>
                <w:szCs w:val="22"/>
              </w:rPr>
              <w:t xml:space="preserve"> data)</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Infektioner og parasitære sygdomme</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 xml:space="preserve">Urinvejsinfektion, </w:t>
            </w:r>
            <w:proofErr w:type="spellStart"/>
            <w:r w:rsidRPr="00A87F7C">
              <w:rPr>
                <w:sz w:val="22"/>
                <w:szCs w:val="22"/>
              </w:rPr>
              <w:t>blære-betændelse</w:t>
            </w:r>
            <w:proofErr w:type="spellEnd"/>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Immunsystemet</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Anafylaktisk</w:t>
            </w:r>
            <w:proofErr w:type="spellEnd"/>
            <w:r w:rsidRPr="00A87F7C">
              <w:rPr>
                <w:sz w:val="22"/>
                <w:szCs w:val="22"/>
              </w:rPr>
              <w:t xml:space="preserve"> reaktion*</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Metabolisme og ernæring</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Nedsat appetit*</w:t>
            </w:r>
          </w:p>
          <w:p w:rsidR="001F1CED" w:rsidRPr="00A87F7C" w:rsidRDefault="001F1CED" w:rsidP="00A87F7C">
            <w:pPr>
              <w:rPr>
                <w:sz w:val="22"/>
                <w:szCs w:val="22"/>
              </w:rPr>
            </w:pPr>
            <w:proofErr w:type="spellStart"/>
            <w:r w:rsidRPr="00A87F7C">
              <w:rPr>
                <w:sz w:val="22"/>
                <w:szCs w:val="22"/>
              </w:rPr>
              <w:t>Hyperkaliæmi</w:t>
            </w:r>
            <w:proofErr w:type="spellEnd"/>
            <w:r w:rsidRPr="00A87F7C">
              <w:rPr>
                <w:sz w:val="22"/>
                <w:szCs w:val="22"/>
              </w:rPr>
              <w:t>*</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Psykiske forstyrrelser</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Hallucina</w:t>
            </w:r>
            <w:r w:rsidRPr="00A87F7C">
              <w:rPr>
                <w:sz w:val="22"/>
                <w:szCs w:val="22"/>
              </w:rPr>
              <w:softHyphen/>
              <w:t>tioner*</w:t>
            </w:r>
          </w:p>
          <w:p w:rsidR="001F1CED" w:rsidRPr="00A87F7C" w:rsidRDefault="001F1CED" w:rsidP="00A87F7C">
            <w:pPr>
              <w:rPr>
                <w:sz w:val="22"/>
                <w:szCs w:val="22"/>
              </w:rPr>
            </w:pPr>
            <w:r w:rsidRPr="00A87F7C">
              <w:rPr>
                <w:sz w:val="22"/>
                <w:szCs w:val="22"/>
              </w:rPr>
              <w:t>Forvirrings</w:t>
            </w:r>
            <w:r w:rsidRPr="00A87F7C">
              <w:rPr>
                <w:sz w:val="22"/>
                <w:szCs w:val="22"/>
              </w:rPr>
              <w:softHyphen/>
              <w:t>tilstand*</w:t>
            </w: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Delirium*</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Nervesystemet</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Somnolens</w:t>
            </w:r>
            <w:proofErr w:type="spellEnd"/>
            <w:r w:rsidRPr="00A87F7C">
              <w:rPr>
                <w:sz w:val="22"/>
                <w:szCs w:val="22"/>
              </w:rPr>
              <w:t>, ændret smags-opfattelse</w:t>
            </w:r>
          </w:p>
        </w:tc>
        <w:tc>
          <w:tcPr>
            <w:tcW w:w="723"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Svimmelhed*</w:t>
            </w:r>
          </w:p>
          <w:p w:rsidR="001F1CED" w:rsidRPr="00A87F7C" w:rsidRDefault="001F1CED" w:rsidP="00A87F7C">
            <w:pPr>
              <w:rPr>
                <w:sz w:val="22"/>
                <w:szCs w:val="22"/>
              </w:rPr>
            </w:pPr>
            <w:r w:rsidRPr="00A87F7C">
              <w:rPr>
                <w:sz w:val="22"/>
                <w:szCs w:val="22"/>
              </w:rPr>
              <w:t>Hovedpine*</w:t>
            </w: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Øjne</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Sløret syn</w:t>
            </w: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 xml:space="preserve">Tørre øjne </w:t>
            </w: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Glaukom</w:t>
            </w:r>
            <w:proofErr w:type="spellEnd"/>
            <w:r w:rsidRPr="00A87F7C">
              <w:rPr>
                <w:sz w:val="22"/>
                <w:szCs w:val="22"/>
              </w:rPr>
              <w:t>*</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Hjerte</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i/>
                <w:sz w:val="22"/>
                <w:szCs w:val="22"/>
              </w:rPr>
              <w:t>Torsade</w:t>
            </w:r>
            <w:r w:rsidR="00EC02E2" w:rsidRPr="00A87F7C">
              <w:rPr>
                <w:i/>
                <w:sz w:val="22"/>
                <w:szCs w:val="22"/>
              </w:rPr>
              <w:t>s</w:t>
            </w:r>
            <w:proofErr w:type="spellEnd"/>
            <w:r w:rsidRPr="00A87F7C">
              <w:rPr>
                <w:i/>
                <w:sz w:val="22"/>
                <w:szCs w:val="22"/>
              </w:rPr>
              <w:t xml:space="preserve"> de </w:t>
            </w:r>
            <w:r w:rsidR="00EC02E2" w:rsidRPr="00A87F7C">
              <w:rPr>
                <w:i/>
                <w:sz w:val="22"/>
                <w:szCs w:val="22"/>
              </w:rPr>
              <w:t>p</w:t>
            </w:r>
            <w:r w:rsidRPr="00A87F7C">
              <w:rPr>
                <w:i/>
                <w:sz w:val="22"/>
                <w:szCs w:val="22"/>
              </w:rPr>
              <w:t>ointes</w:t>
            </w:r>
            <w:r w:rsidRPr="00A87F7C">
              <w:rPr>
                <w:sz w:val="22"/>
                <w:szCs w:val="22"/>
              </w:rPr>
              <w:t>*</w:t>
            </w:r>
          </w:p>
          <w:p w:rsidR="001F1CED" w:rsidRPr="00A87F7C" w:rsidRDefault="001F1CED" w:rsidP="00A87F7C">
            <w:pPr>
              <w:rPr>
                <w:sz w:val="22"/>
                <w:szCs w:val="22"/>
              </w:rPr>
            </w:pPr>
            <w:r w:rsidRPr="00A87F7C">
              <w:rPr>
                <w:sz w:val="22"/>
                <w:szCs w:val="22"/>
              </w:rPr>
              <w:t>EKG visende QT-forlængelse*</w:t>
            </w:r>
          </w:p>
          <w:p w:rsidR="001F1CED" w:rsidRPr="00A87F7C" w:rsidRDefault="001F1CED" w:rsidP="00A87F7C">
            <w:pPr>
              <w:rPr>
                <w:sz w:val="22"/>
                <w:szCs w:val="22"/>
              </w:rPr>
            </w:pPr>
            <w:proofErr w:type="spellStart"/>
            <w:r w:rsidRPr="00A87F7C">
              <w:rPr>
                <w:sz w:val="22"/>
                <w:szCs w:val="22"/>
              </w:rPr>
              <w:t>Atrieflimmer</w:t>
            </w:r>
            <w:proofErr w:type="spellEnd"/>
            <w:r w:rsidRPr="00A87F7C">
              <w:rPr>
                <w:sz w:val="22"/>
                <w:szCs w:val="22"/>
              </w:rPr>
              <w:t>*</w:t>
            </w:r>
          </w:p>
          <w:p w:rsidR="001F1CED" w:rsidRPr="00A87F7C" w:rsidRDefault="001F1CED" w:rsidP="00A87F7C">
            <w:pPr>
              <w:rPr>
                <w:sz w:val="22"/>
                <w:szCs w:val="22"/>
              </w:rPr>
            </w:pPr>
            <w:proofErr w:type="spellStart"/>
            <w:r w:rsidRPr="00A87F7C">
              <w:rPr>
                <w:sz w:val="22"/>
                <w:szCs w:val="22"/>
              </w:rPr>
              <w:t>Palpitationer</w:t>
            </w:r>
            <w:proofErr w:type="spellEnd"/>
            <w:r w:rsidRPr="00A87F7C">
              <w:rPr>
                <w:sz w:val="22"/>
                <w:szCs w:val="22"/>
              </w:rPr>
              <w:t>*</w:t>
            </w:r>
          </w:p>
          <w:p w:rsidR="001F1CED" w:rsidRPr="00A87F7C" w:rsidRDefault="001F1CED" w:rsidP="00A87F7C">
            <w:pPr>
              <w:rPr>
                <w:sz w:val="22"/>
                <w:szCs w:val="22"/>
              </w:rPr>
            </w:pPr>
            <w:proofErr w:type="spellStart"/>
            <w:r w:rsidRPr="00A87F7C">
              <w:rPr>
                <w:sz w:val="22"/>
                <w:szCs w:val="22"/>
              </w:rPr>
              <w:t>Takykardi</w:t>
            </w:r>
            <w:proofErr w:type="spellEnd"/>
            <w:r w:rsidRPr="00A87F7C">
              <w:rPr>
                <w:sz w:val="22"/>
                <w:szCs w:val="22"/>
              </w:rPr>
              <w:t>*</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 xml:space="preserve">Luftveje, thorax og </w:t>
            </w:r>
            <w:proofErr w:type="spellStart"/>
            <w:r w:rsidRPr="00A87F7C">
              <w:rPr>
                <w:b/>
                <w:sz w:val="22"/>
                <w:szCs w:val="22"/>
              </w:rPr>
              <w:t>mediastinum</w:t>
            </w:r>
            <w:proofErr w:type="spellEnd"/>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Nasal tørhed</w:t>
            </w: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Dysfoni</w:t>
            </w:r>
            <w:proofErr w:type="spellEnd"/>
            <w:r w:rsidRPr="00A87F7C">
              <w:rPr>
                <w:sz w:val="22"/>
                <w:szCs w:val="22"/>
              </w:rPr>
              <w:t>*</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lastRenderedPageBreak/>
              <w:t>Mave-tarm-kanalen</w:t>
            </w:r>
          </w:p>
        </w:tc>
        <w:tc>
          <w:tcPr>
            <w:tcW w:w="56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Mundtør-hed</w:t>
            </w:r>
          </w:p>
        </w:tc>
        <w:tc>
          <w:tcPr>
            <w:tcW w:w="657"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Konstipa-tion</w:t>
            </w:r>
            <w:proofErr w:type="spellEnd"/>
            <w:r w:rsidRPr="00A87F7C">
              <w:rPr>
                <w:sz w:val="22"/>
                <w:szCs w:val="22"/>
              </w:rPr>
              <w:t xml:space="preserve">, kvalme, dyspepsi, </w:t>
            </w:r>
            <w:proofErr w:type="spellStart"/>
            <w:r w:rsidRPr="00A87F7C">
              <w:rPr>
                <w:sz w:val="22"/>
                <w:szCs w:val="22"/>
              </w:rPr>
              <w:t>abdominal</w:t>
            </w:r>
            <w:proofErr w:type="spellEnd"/>
            <w:r w:rsidRPr="00A87F7C">
              <w:rPr>
                <w:sz w:val="22"/>
                <w:szCs w:val="22"/>
              </w:rPr>
              <w:t>-smerter</w:t>
            </w: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Gastro</w:t>
            </w:r>
            <w:proofErr w:type="spellEnd"/>
            <w:r w:rsidRPr="00A87F7C">
              <w:rPr>
                <w:sz w:val="22"/>
                <w:szCs w:val="22"/>
              </w:rPr>
              <w:t>-</w:t>
            </w:r>
            <w:r w:rsidRPr="00A87F7C">
              <w:rPr>
                <w:sz w:val="22"/>
                <w:szCs w:val="22"/>
              </w:rPr>
              <w:br/>
            </w:r>
            <w:proofErr w:type="spellStart"/>
            <w:r w:rsidRPr="00A87F7C">
              <w:rPr>
                <w:sz w:val="22"/>
                <w:szCs w:val="22"/>
              </w:rPr>
              <w:t>øsofageal</w:t>
            </w:r>
            <w:proofErr w:type="spellEnd"/>
            <w:r w:rsidRPr="00A87F7C">
              <w:rPr>
                <w:sz w:val="22"/>
                <w:szCs w:val="22"/>
              </w:rPr>
              <w:t xml:space="preserve"> </w:t>
            </w:r>
            <w:proofErr w:type="spellStart"/>
            <w:r w:rsidRPr="00A87F7C">
              <w:rPr>
                <w:sz w:val="22"/>
                <w:szCs w:val="22"/>
              </w:rPr>
              <w:t>refluks</w:t>
            </w:r>
            <w:proofErr w:type="spellEnd"/>
            <w:r w:rsidRPr="00A87F7C">
              <w:rPr>
                <w:sz w:val="22"/>
                <w:szCs w:val="22"/>
              </w:rPr>
              <w:t>, tør hals</w:t>
            </w:r>
          </w:p>
        </w:tc>
        <w:tc>
          <w:tcPr>
            <w:tcW w:w="723"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Colon</w:t>
            </w:r>
            <w:proofErr w:type="spellEnd"/>
            <w:r w:rsidRPr="00A87F7C">
              <w:rPr>
                <w:sz w:val="22"/>
                <w:szCs w:val="22"/>
              </w:rPr>
              <w:t>-</w:t>
            </w:r>
            <w:r w:rsidRPr="00A87F7C">
              <w:rPr>
                <w:sz w:val="22"/>
                <w:szCs w:val="22"/>
              </w:rPr>
              <w:br/>
              <w:t>obstruktion, påvirkning af afføring</w:t>
            </w:r>
          </w:p>
          <w:p w:rsidR="001F1CED" w:rsidRPr="00A87F7C" w:rsidRDefault="001F1CED" w:rsidP="00A87F7C">
            <w:pPr>
              <w:rPr>
                <w:sz w:val="22"/>
                <w:szCs w:val="22"/>
              </w:rPr>
            </w:pPr>
            <w:r w:rsidRPr="00A87F7C">
              <w:rPr>
                <w:sz w:val="22"/>
                <w:szCs w:val="22"/>
              </w:rPr>
              <w:t>Opkastning*</w:t>
            </w: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Ileus</w:t>
            </w:r>
            <w:proofErr w:type="spellEnd"/>
            <w:r w:rsidRPr="00A87F7C">
              <w:rPr>
                <w:sz w:val="22"/>
                <w:szCs w:val="22"/>
              </w:rPr>
              <w:t>*</w:t>
            </w:r>
          </w:p>
          <w:p w:rsidR="001F1CED" w:rsidRPr="00A87F7C" w:rsidRDefault="001F1CED" w:rsidP="00A87F7C">
            <w:pPr>
              <w:rPr>
                <w:sz w:val="22"/>
                <w:szCs w:val="22"/>
              </w:rPr>
            </w:pPr>
            <w:proofErr w:type="spellStart"/>
            <w:r w:rsidRPr="00A87F7C">
              <w:rPr>
                <w:sz w:val="22"/>
                <w:szCs w:val="22"/>
              </w:rPr>
              <w:t>Abdominalt</w:t>
            </w:r>
            <w:proofErr w:type="spellEnd"/>
            <w:r w:rsidRPr="00A87F7C">
              <w:rPr>
                <w:sz w:val="22"/>
                <w:szCs w:val="22"/>
              </w:rPr>
              <w:t xml:space="preserve"> ubehag*</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Lever og galdeveje</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Leversygdom*</w:t>
            </w:r>
          </w:p>
          <w:p w:rsidR="001F1CED" w:rsidRPr="00A87F7C" w:rsidRDefault="001F1CED" w:rsidP="00A87F7C">
            <w:pPr>
              <w:rPr>
                <w:sz w:val="22"/>
                <w:szCs w:val="22"/>
              </w:rPr>
            </w:pPr>
            <w:r w:rsidRPr="00A87F7C">
              <w:rPr>
                <w:sz w:val="22"/>
                <w:szCs w:val="22"/>
              </w:rPr>
              <w:t>Unormal leverfunktionstest*</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Hud og subkutane væv</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Tør hud</w:t>
            </w:r>
          </w:p>
        </w:tc>
        <w:tc>
          <w:tcPr>
            <w:tcW w:w="723"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Kløe*, udslæt*</w:t>
            </w:r>
          </w:p>
        </w:tc>
        <w:tc>
          <w:tcPr>
            <w:tcW w:w="569"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Erythema</w:t>
            </w:r>
            <w:proofErr w:type="spellEnd"/>
            <w:r w:rsidRPr="00A87F7C">
              <w:rPr>
                <w:sz w:val="22"/>
                <w:szCs w:val="22"/>
              </w:rPr>
              <w:t xml:space="preserve"> </w:t>
            </w:r>
            <w:proofErr w:type="spellStart"/>
            <w:r w:rsidRPr="00A87F7C">
              <w:rPr>
                <w:sz w:val="22"/>
                <w:szCs w:val="22"/>
              </w:rPr>
              <w:t>multi</w:t>
            </w:r>
            <w:proofErr w:type="spellEnd"/>
            <w:r w:rsidRPr="00A87F7C">
              <w:rPr>
                <w:sz w:val="22"/>
                <w:szCs w:val="22"/>
              </w:rPr>
              <w:t xml:space="preserve">-forme*, </w:t>
            </w:r>
            <w:proofErr w:type="spellStart"/>
            <w:r w:rsidRPr="00A87F7C">
              <w:rPr>
                <w:sz w:val="22"/>
                <w:szCs w:val="22"/>
              </w:rPr>
              <w:t>nældefe-ber</w:t>
            </w:r>
            <w:proofErr w:type="spellEnd"/>
            <w:r w:rsidRPr="00A87F7C">
              <w:rPr>
                <w:sz w:val="22"/>
                <w:szCs w:val="22"/>
              </w:rPr>
              <w:t>*</w:t>
            </w:r>
          </w:p>
          <w:p w:rsidR="001F1CED" w:rsidRPr="00A87F7C" w:rsidRDefault="001F1CED" w:rsidP="00A87F7C">
            <w:pPr>
              <w:rPr>
                <w:sz w:val="22"/>
                <w:szCs w:val="22"/>
              </w:rPr>
            </w:pPr>
            <w:proofErr w:type="spellStart"/>
            <w:r w:rsidRPr="00A87F7C">
              <w:rPr>
                <w:sz w:val="22"/>
                <w:szCs w:val="22"/>
              </w:rPr>
              <w:t>Angioø</w:t>
            </w:r>
            <w:proofErr w:type="spellEnd"/>
            <w:r w:rsidRPr="00A87F7C">
              <w:rPr>
                <w:sz w:val="22"/>
                <w:szCs w:val="22"/>
              </w:rPr>
              <w:t>-dem*</w:t>
            </w: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proofErr w:type="spellStart"/>
            <w:r w:rsidRPr="00A87F7C">
              <w:rPr>
                <w:sz w:val="22"/>
                <w:szCs w:val="22"/>
              </w:rPr>
              <w:t>Eksfoliativ</w:t>
            </w:r>
            <w:proofErr w:type="spellEnd"/>
            <w:r w:rsidRPr="00A87F7C">
              <w:rPr>
                <w:sz w:val="22"/>
                <w:szCs w:val="22"/>
              </w:rPr>
              <w:t xml:space="preserve"> </w:t>
            </w:r>
            <w:proofErr w:type="spellStart"/>
            <w:r w:rsidRPr="00A87F7C">
              <w:rPr>
                <w:sz w:val="22"/>
                <w:szCs w:val="22"/>
              </w:rPr>
              <w:t>dermatitis</w:t>
            </w:r>
            <w:proofErr w:type="spellEnd"/>
            <w:r w:rsidRPr="00A87F7C">
              <w:rPr>
                <w:sz w:val="22"/>
                <w:szCs w:val="22"/>
              </w:rPr>
              <w:t>*</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Knogler, led, muskler og bindevæv</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Muskelsvaghed*</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Nyrer og urinveje</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Vandladnings</w:t>
            </w:r>
            <w:r w:rsidRPr="00A87F7C">
              <w:rPr>
                <w:sz w:val="22"/>
                <w:szCs w:val="22"/>
              </w:rPr>
              <w:softHyphen/>
              <w:t xml:space="preserve">besvær </w:t>
            </w:r>
          </w:p>
        </w:tc>
        <w:tc>
          <w:tcPr>
            <w:tcW w:w="723"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 xml:space="preserve">Urinretention </w:t>
            </w: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Nedsat nyrefunktion*</w:t>
            </w:r>
          </w:p>
        </w:tc>
      </w:tr>
      <w:tr w:rsidR="001F1CED" w:rsidRPr="00A87F7C" w:rsidTr="00A87F7C">
        <w:trPr>
          <w:cantSplit/>
        </w:trPr>
        <w:tc>
          <w:tcPr>
            <w:tcW w:w="881"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b/>
                <w:sz w:val="22"/>
                <w:szCs w:val="22"/>
              </w:rPr>
              <w:t>Almene symptomer og reaktioner på administrations-stedet</w:t>
            </w:r>
          </w:p>
        </w:tc>
        <w:tc>
          <w:tcPr>
            <w:tcW w:w="56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657"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1F1CED" w:rsidRPr="00A87F7C" w:rsidRDefault="001F1CED" w:rsidP="00A87F7C">
            <w:pPr>
              <w:rPr>
                <w:sz w:val="22"/>
                <w:szCs w:val="22"/>
              </w:rPr>
            </w:pPr>
            <w:r w:rsidRPr="00A87F7C">
              <w:rPr>
                <w:sz w:val="22"/>
                <w:szCs w:val="22"/>
              </w:rPr>
              <w:t>Træthed, perifere ødemer</w:t>
            </w:r>
          </w:p>
        </w:tc>
        <w:tc>
          <w:tcPr>
            <w:tcW w:w="723"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1F1CED" w:rsidRPr="00A87F7C" w:rsidRDefault="001F1CED" w:rsidP="00A87F7C">
            <w:pPr>
              <w:rPr>
                <w:sz w:val="22"/>
                <w:szCs w:val="22"/>
              </w:rPr>
            </w:pPr>
          </w:p>
        </w:tc>
      </w:tr>
    </w:tbl>
    <w:p w:rsidR="001F1CED" w:rsidRPr="00577A7E" w:rsidRDefault="001F1CED" w:rsidP="001F1CED">
      <w:pPr>
        <w:ind w:left="851" w:hanging="851"/>
        <w:rPr>
          <w:i/>
          <w:noProof/>
          <w:sz w:val="24"/>
          <w:szCs w:val="24"/>
        </w:rPr>
      </w:pPr>
      <w:r w:rsidRPr="00577A7E">
        <w:rPr>
          <w:sz w:val="24"/>
          <w:szCs w:val="24"/>
        </w:rPr>
        <w:t>* observeret efter markedsføring</w:t>
      </w:r>
    </w:p>
    <w:p w:rsidR="001F1CED" w:rsidRDefault="001F1CED" w:rsidP="001F1CED">
      <w:pPr>
        <w:ind w:left="851" w:hanging="851"/>
        <w:rPr>
          <w:sz w:val="24"/>
          <w:szCs w:val="24"/>
        </w:rPr>
      </w:pPr>
    </w:p>
    <w:p w:rsidR="001F1CED" w:rsidRDefault="001F1CED" w:rsidP="001F1CED">
      <w:pPr>
        <w:ind w:left="851"/>
        <w:rPr>
          <w:i/>
          <w:sz w:val="24"/>
          <w:szCs w:val="24"/>
        </w:rPr>
      </w:pPr>
      <w:r>
        <w:rPr>
          <w:i/>
          <w:sz w:val="24"/>
          <w:szCs w:val="24"/>
        </w:rPr>
        <w:t>Pædiatrisk population</w:t>
      </w:r>
    </w:p>
    <w:p w:rsidR="001F1CED" w:rsidRDefault="001F1CED" w:rsidP="001F1CED">
      <w:pPr>
        <w:ind w:left="851"/>
        <w:rPr>
          <w:noProof/>
          <w:sz w:val="24"/>
          <w:szCs w:val="24"/>
        </w:rPr>
      </w:pPr>
      <w:r>
        <w:rPr>
          <w:noProof/>
          <w:sz w:val="24"/>
          <w:szCs w:val="24"/>
        </w:rPr>
        <w:t>Sikkerheden af solifenacin oral suspension er blevet evalueret hos 95 pædiatriske patienter fra 2 år til under 18 år med neurogen detrusoroveraktivitet i to åbne forsøg. Almindelige bivirkninger observeret hos den pædiatriske population med NDO omfatter: konstipation, mundtørhed, abdominalsmerter, somnolens, urinvejsinfektion, positiv bakterietest og QT-forlængelse. Forekomsten af konstipation hos patienter, som fik behandling med solifenacin oral suspension, var højere i gruppen, der fik den maksimale dosis, i forhold til gruppen, der fik startdosis.</w:t>
      </w:r>
    </w:p>
    <w:p w:rsidR="001F1CED" w:rsidRDefault="001F1CED" w:rsidP="001F1CED">
      <w:pPr>
        <w:ind w:left="851"/>
        <w:rPr>
          <w:noProof/>
          <w:sz w:val="24"/>
          <w:szCs w:val="24"/>
        </w:rPr>
      </w:pPr>
    </w:p>
    <w:p w:rsidR="001F1CED" w:rsidRDefault="001F1CED" w:rsidP="001F1CED">
      <w:pPr>
        <w:ind w:left="851"/>
        <w:rPr>
          <w:noProof/>
          <w:sz w:val="24"/>
          <w:szCs w:val="24"/>
        </w:rPr>
      </w:pPr>
      <w:r>
        <w:rPr>
          <w:noProof/>
          <w:sz w:val="24"/>
          <w:szCs w:val="24"/>
        </w:rPr>
        <w:t>Hos pædiatriske patienter med NDO er der ikke indberettet alvorlige bivirkninger. Den bivirkning, som hyppigst førte til behandlingsophør, var QT-forlængelse.</w:t>
      </w:r>
    </w:p>
    <w:p w:rsidR="001F1CED" w:rsidRDefault="001F1CED" w:rsidP="001F1CED">
      <w:pPr>
        <w:ind w:left="851"/>
        <w:rPr>
          <w:noProof/>
          <w:sz w:val="24"/>
          <w:szCs w:val="24"/>
        </w:rPr>
      </w:pPr>
    </w:p>
    <w:p w:rsidR="001F1CED" w:rsidRDefault="001F1CED" w:rsidP="001F1CED">
      <w:pPr>
        <w:ind w:left="851"/>
        <w:rPr>
          <w:noProof/>
          <w:sz w:val="24"/>
          <w:szCs w:val="24"/>
        </w:rPr>
      </w:pPr>
      <w:r>
        <w:rPr>
          <w:noProof/>
          <w:sz w:val="24"/>
          <w:szCs w:val="24"/>
        </w:rPr>
        <w:t>Generelt svarer sikkerhedsprofilen hos børn og unge til sikkerhedsprofilen hos voksne.</w:t>
      </w:r>
    </w:p>
    <w:p w:rsidR="001F1CED" w:rsidRDefault="001F1CED" w:rsidP="001F1CED">
      <w:pPr>
        <w:ind w:left="851" w:hanging="851"/>
        <w:rPr>
          <w:i/>
          <w:noProof/>
          <w:sz w:val="24"/>
          <w:szCs w:val="24"/>
        </w:rPr>
      </w:pPr>
    </w:p>
    <w:p w:rsidR="001F1CED" w:rsidRDefault="001F1CED" w:rsidP="001F1CED">
      <w:pPr>
        <w:autoSpaceDE w:val="0"/>
        <w:autoSpaceDN w:val="0"/>
        <w:adjustRightInd w:val="0"/>
        <w:ind w:left="851"/>
        <w:rPr>
          <w:sz w:val="24"/>
          <w:szCs w:val="24"/>
          <w:u w:val="single"/>
        </w:rPr>
      </w:pPr>
      <w:r>
        <w:rPr>
          <w:noProof/>
          <w:sz w:val="24"/>
          <w:szCs w:val="24"/>
          <w:u w:val="single"/>
        </w:rPr>
        <w:t>Indberetning af formodede bivirkninger</w:t>
      </w:r>
    </w:p>
    <w:p w:rsidR="001F1CED" w:rsidRDefault="001F1CED" w:rsidP="001F1CED">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8E6ABD">
        <w:rPr>
          <w:sz w:val="24"/>
          <w:szCs w:val="24"/>
        </w:rPr>
        <w:t>S</w:t>
      </w:r>
      <w:r>
        <w:rPr>
          <w:noProof/>
          <w:sz w:val="24"/>
          <w:szCs w:val="24"/>
        </w:rPr>
        <w:t>undhedsperso</w:t>
      </w:r>
      <w:r w:rsidR="00A1222E">
        <w:rPr>
          <w:noProof/>
          <w:sz w:val="24"/>
          <w:szCs w:val="24"/>
        </w:rPr>
        <w:t>ner</w:t>
      </w:r>
      <w:r>
        <w:rPr>
          <w:noProof/>
          <w:sz w:val="24"/>
          <w:szCs w:val="24"/>
        </w:rPr>
        <w:t xml:space="preserve"> anmodes om at indberette alle formodede bivirkninger via:</w:t>
      </w:r>
    </w:p>
    <w:p w:rsidR="001F1CED" w:rsidRDefault="001F1CED" w:rsidP="001F1CED">
      <w:pPr>
        <w:autoSpaceDE w:val="0"/>
        <w:autoSpaceDN w:val="0"/>
        <w:adjustRightInd w:val="0"/>
        <w:ind w:left="851"/>
        <w:rPr>
          <w:noProof/>
          <w:sz w:val="24"/>
          <w:szCs w:val="24"/>
        </w:rPr>
      </w:pPr>
    </w:p>
    <w:p w:rsidR="001F1CED" w:rsidRDefault="001F1CED" w:rsidP="001F1CED">
      <w:pPr>
        <w:keepNext/>
        <w:autoSpaceDE w:val="0"/>
        <w:autoSpaceDN w:val="0"/>
        <w:adjustRightInd w:val="0"/>
        <w:ind w:left="851"/>
        <w:rPr>
          <w:noProof/>
          <w:sz w:val="24"/>
          <w:szCs w:val="24"/>
        </w:rPr>
      </w:pPr>
      <w:r>
        <w:rPr>
          <w:noProof/>
          <w:sz w:val="24"/>
          <w:szCs w:val="24"/>
        </w:rPr>
        <w:lastRenderedPageBreak/>
        <w:t>Lægemiddelstyrelsen</w:t>
      </w:r>
    </w:p>
    <w:p w:rsidR="001F1CED" w:rsidRDefault="001F1CED" w:rsidP="001F1CED">
      <w:pPr>
        <w:keepNext/>
        <w:autoSpaceDE w:val="0"/>
        <w:autoSpaceDN w:val="0"/>
        <w:adjustRightInd w:val="0"/>
        <w:ind w:left="851"/>
        <w:rPr>
          <w:noProof/>
          <w:sz w:val="24"/>
          <w:szCs w:val="24"/>
        </w:rPr>
      </w:pPr>
      <w:r>
        <w:rPr>
          <w:noProof/>
          <w:sz w:val="24"/>
          <w:szCs w:val="24"/>
        </w:rPr>
        <w:t>Axel Heides Gade 1</w:t>
      </w:r>
    </w:p>
    <w:p w:rsidR="001F1CED" w:rsidRDefault="001F1CED" w:rsidP="001F1CED">
      <w:pPr>
        <w:autoSpaceDE w:val="0"/>
        <w:autoSpaceDN w:val="0"/>
        <w:adjustRightInd w:val="0"/>
        <w:ind w:left="851"/>
        <w:rPr>
          <w:noProof/>
          <w:sz w:val="24"/>
          <w:szCs w:val="24"/>
        </w:rPr>
      </w:pPr>
      <w:r>
        <w:rPr>
          <w:noProof/>
          <w:sz w:val="24"/>
          <w:szCs w:val="24"/>
        </w:rPr>
        <w:t>DK-2300 København S</w:t>
      </w:r>
    </w:p>
    <w:p w:rsidR="001F1CED" w:rsidRPr="00A37241" w:rsidRDefault="001F1CED" w:rsidP="001F1CED">
      <w:pPr>
        <w:autoSpaceDE w:val="0"/>
        <w:autoSpaceDN w:val="0"/>
        <w:adjustRightInd w:val="0"/>
        <w:ind w:left="851"/>
        <w:rPr>
          <w:noProof/>
          <w:sz w:val="24"/>
          <w:szCs w:val="24"/>
        </w:rPr>
      </w:pPr>
      <w:r w:rsidRPr="00A37241">
        <w:rPr>
          <w:noProof/>
          <w:sz w:val="24"/>
          <w:szCs w:val="24"/>
        </w:rPr>
        <w:t xml:space="preserve">Websted: </w:t>
      </w:r>
      <w:hyperlink r:id="rId10" w:history="1">
        <w:r w:rsidRPr="00A37241">
          <w:rPr>
            <w:rStyle w:val="Hyperlink"/>
            <w:noProof/>
            <w:sz w:val="24"/>
            <w:szCs w:val="24"/>
          </w:rPr>
          <w:t>www.meldenbivirkning.dk</w:t>
        </w:r>
      </w:hyperlink>
    </w:p>
    <w:p w:rsidR="001F1CED" w:rsidRPr="00A37241" w:rsidRDefault="001F1CED" w:rsidP="001F1CED">
      <w:pPr>
        <w:pStyle w:val="Sidehoved"/>
        <w:tabs>
          <w:tab w:val="clear" w:pos="4819"/>
          <w:tab w:val="clear" w:pos="9638"/>
        </w:tabs>
        <w:ind w:left="851" w:hanging="851"/>
        <w:rPr>
          <w:szCs w:val="24"/>
        </w:rPr>
      </w:pPr>
    </w:p>
    <w:p w:rsidR="001F1CED" w:rsidRPr="00A37241" w:rsidRDefault="001F1CED" w:rsidP="001F1CED">
      <w:pPr>
        <w:ind w:left="851" w:hanging="851"/>
        <w:rPr>
          <w:b/>
          <w:sz w:val="24"/>
          <w:szCs w:val="24"/>
        </w:rPr>
      </w:pPr>
      <w:r w:rsidRPr="00A37241">
        <w:rPr>
          <w:b/>
          <w:sz w:val="24"/>
          <w:szCs w:val="24"/>
        </w:rPr>
        <w:t>4.9</w:t>
      </w:r>
      <w:r w:rsidRPr="00A37241">
        <w:rPr>
          <w:b/>
          <w:sz w:val="24"/>
          <w:szCs w:val="24"/>
        </w:rPr>
        <w:tab/>
        <w:t>Overdosering</w:t>
      </w:r>
    </w:p>
    <w:p w:rsidR="001F1CED" w:rsidRPr="00A37241" w:rsidRDefault="001F1CED" w:rsidP="001F1CED">
      <w:pPr>
        <w:ind w:left="851" w:hanging="851"/>
        <w:rPr>
          <w:sz w:val="24"/>
          <w:szCs w:val="24"/>
          <w:u w:val="single"/>
        </w:rPr>
      </w:pPr>
      <w:r w:rsidRPr="00A37241">
        <w:rPr>
          <w:sz w:val="24"/>
          <w:szCs w:val="24"/>
        </w:rPr>
        <w:tab/>
      </w:r>
      <w:r w:rsidRPr="00A37241">
        <w:rPr>
          <w:sz w:val="24"/>
          <w:szCs w:val="24"/>
          <w:u w:val="single"/>
        </w:rPr>
        <w:t>Symptomer</w:t>
      </w:r>
    </w:p>
    <w:p w:rsidR="001F1CED" w:rsidRDefault="001F1CED" w:rsidP="001F1CED">
      <w:pPr>
        <w:ind w:left="851"/>
        <w:rPr>
          <w:sz w:val="24"/>
          <w:szCs w:val="24"/>
        </w:rPr>
      </w:pPr>
      <w:r>
        <w:rPr>
          <w:sz w:val="24"/>
          <w:szCs w:val="24"/>
        </w:rPr>
        <w:t xml:space="preserve">Overdosering med </w:t>
      </w:r>
      <w:proofErr w:type="spellStart"/>
      <w:r>
        <w:rPr>
          <w:sz w:val="24"/>
          <w:szCs w:val="24"/>
        </w:rPr>
        <w:t>solifenacin</w:t>
      </w:r>
      <w:proofErr w:type="spellEnd"/>
      <w:r>
        <w:rPr>
          <w:sz w:val="24"/>
          <w:szCs w:val="24"/>
        </w:rPr>
        <w:t xml:space="preserve"> kan potentielt give alvorlige </w:t>
      </w:r>
      <w:proofErr w:type="spellStart"/>
      <w:r>
        <w:rPr>
          <w:sz w:val="24"/>
          <w:szCs w:val="24"/>
        </w:rPr>
        <w:t>antikolinerge</w:t>
      </w:r>
      <w:proofErr w:type="spellEnd"/>
      <w:r>
        <w:rPr>
          <w:sz w:val="24"/>
          <w:szCs w:val="24"/>
        </w:rPr>
        <w:t xml:space="preserve"> bivirkninger. Den højeste dosis af </w:t>
      </w:r>
      <w:proofErr w:type="spellStart"/>
      <w:r>
        <w:rPr>
          <w:sz w:val="24"/>
          <w:szCs w:val="24"/>
        </w:rPr>
        <w:t>solifenacin</w:t>
      </w:r>
      <w:proofErr w:type="spellEnd"/>
      <w:r>
        <w:rPr>
          <w:sz w:val="24"/>
          <w:szCs w:val="24"/>
        </w:rPr>
        <w:t xml:space="preserve">, der ved et uheld blev givet en patient var 280 mg i et tidsrum på 5 timer, hvilket ændrede patientens mentale status, men uden behov for indlæggelse. </w:t>
      </w:r>
    </w:p>
    <w:p w:rsidR="001F1CED" w:rsidRDefault="001F1CED" w:rsidP="001F1CED">
      <w:pPr>
        <w:ind w:left="851" w:hanging="851"/>
        <w:rPr>
          <w:sz w:val="24"/>
          <w:szCs w:val="24"/>
        </w:rPr>
      </w:pPr>
    </w:p>
    <w:p w:rsidR="001F1CED" w:rsidRDefault="001F1CED" w:rsidP="001F1CED">
      <w:pPr>
        <w:ind w:left="851"/>
        <w:rPr>
          <w:sz w:val="24"/>
          <w:szCs w:val="24"/>
          <w:u w:val="single"/>
        </w:rPr>
      </w:pPr>
      <w:r>
        <w:rPr>
          <w:sz w:val="24"/>
          <w:szCs w:val="24"/>
          <w:u w:val="single"/>
        </w:rPr>
        <w:t>Behandling</w:t>
      </w:r>
    </w:p>
    <w:p w:rsidR="001F1CED" w:rsidRDefault="001F1CED" w:rsidP="001F1CED">
      <w:pPr>
        <w:ind w:left="851"/>
        <w:rPr>
          <w:sz w:val="24"/>
          <w:szCs w:val="24"/>
        </w:rPr>
      </w:pPr>
      <w:r>
        <w:rPr>
          <w:sz w:val="24"/>
          <w:szCs w:val="24"/>
        </w:rPr>
        <w:t xml:space="preserve">I tilfælde af overdosering med </w:t>
      </w:r>
      <w:proofErr w:type="spellStart"/>
      <w:r>
        <w:rPr>
          <w:sz w:val="24"/>
          <w:szCs w:val="24"/>
        </w:rPr>
        <w:t>solifenacin</w:t>
      </w:r>
      <w:proofErr w:type="spellEnd"/>
      <w:r>
        <w:rPr>
          <w:sz w:val="24"/>
          <w:szCs w:val="24"/>
        </w:rPr>
        <w:t xml:space="preserve"> skal patienten behandles med aktivt kul. Ventrikelskylning er gavnligt, hvis den udføres inden for 1 time, men opkastning bør ikke induceres.</w:t>
      </w:r>
    </w:p>
    <w:p w:rsidR="001F1CED" w:rsidRDefault="001F1CED" w:rsidP="001F1CED">
      <w:pPr>
        <w:ind w:left="851"/>
        <w:rPr>
          <w:sz w:val="24"/>
          <w:szCs w:val="24"/>
        </w:rPr>
      </w:pPr>
      <w:r>
        <w:rPr>
          <w:sz w:val="24"/>
          <w:szCs w:val="24"/>
        </w:rPr>
        <w:t xml:space="preserve">Som med øvrige </w:t>
      </w:r>
      <w:proofErr w:type="spellStart"/>
      <w:r>
        <w:rPr>
          <w:sz w:val="24"/>
          <w:szCs w:val="24"/>
        </w:rPr>
        <w:t>antikolinerge</w:t>
      </w:r>
      <w:proofErr w:type="spellEnd"/>
      <w:r>
        <w:rPr>
          <w:sz w:val="24"/>
          <w:szCs w:val="24"/>
        </w:rPr>
        <w:t xml:space="preserve"> midler, kan symptomerne behandles som følger:</w:t>
      </w:r>
    </w:p>
    <w:p w:rsidR="001F1CED" w:rsidRDefault="001F1CED" w:rsidP="001F1CED">
      <w:pPr>
        <w:numPr>
          <w:ilvl w:val="0"/>
          <w:numId w:val="8"/>
        </w:numPr>
        <w:ind w:left="1276" w:hanging="425"/>
        <w:rPr>
          <w:sz w:val="24"/>
          <w:szCs w:val="24"/>
        </w:rPr>
      </w:pPr>
      <w:r>
        <w:rPr>
          <w:sz w:val="24"/>
          <w:szCs w:val="24"/>
        </w:rPr>
        <w:t xml:space="preserve">Alvorlige centrale </w:t>
      </w:r>
      <w:proofErr w:type="spellStart"/>
      <w:r>
        <w:rPr>
          <w:sz w:val="24"/>
          <w:szCs w:val="24"/>
        </w:rPr>
        <w:t>antikolinerge</w:t>
      </w:r>
      <w:proofErr w:type="spellEnd"/>
      <w:r>
        <w:rPr>
          <w:sz w:val="24"/>
          <w:szCs w:val="24"/>
        </w:rPr>
        <w:t xml:space="preserve"> virkninger som hallucinationer eller udtalt </w:t>
      </w:r>
      <w:proofErr w:type="spellStart"/>
      <w:r>
        <w:rPr>
          <w:sz w:val="24"/>
          <w:szCs w:val="24"/>
        </w:rPr>
        <w:t>excitation</w:t>
      </w:r>
      <w:proofErr w:type="spellEnd"/>
      <w:r>
        <w:rPr>
          <w:sz w:val="24"/>
          <w:szCs w:val="24"/>
        </w:rPr>
        <w:t xml:space="preserve"> behandles med </w:t>
      </w:r>
      <w:proofErr w:type="spellStart"/>
      <w:r>
        <w:rPr>
          <w:sz w:val="24"/>
          <w:szCs w:val="24"/>
        </w:rPr>
        <w:t>physostigmin</w:t>
      </w:r>
      <w:proofErr w:type="spellEnd"/>
      <w:r>
        <w:rPr>
          <w:sz w:val="24"/>
          <w:szCs w:val="24"/>
        </w:rPr>
        <w:t xml:space="preserve"> eller </w:t>
      </w:r>
      <w:proofErr w:type="spellStart"/>
      <w:r>
        <w:rPr>
          <w:sz w:val="24"/>
          <w:szCs w:val="24"/>
        </w:rPr>
        <w:t>carbachol</w:t>
      </w:r>
      <w:proofErr w:type="spellEnd"/>
      <w:r>
        <w:rPr>
          <w:sz w:val="24"/>
          <w:szCs w:val="24"/>
        </w:rPr>
        <w:t>.</w:t>
      </w:r>
    </w:p>
    <w:p w:rsidR="001F1CED" w:rsidRDefault="001F1CED" w:rsidP="001F1CED">
      <w:pPr>
        <w:numPr>
          <w:ilvl w:val="0"/>
          <w:numId w:val="8"/>
        </w:numPr>
        <w:ind w:left="1276" w:hanging="425"/>
        <w:rPr>
          <w:sz w:val="24"/>
          <w:szCs w:val="24"/>
        </w:rPr>
      </w:pPr>
      <w:r>
        <w:rPr>
          <w:sz w:val="24"/>
          <w:szCs w:val="24"/>
        </w:rPr>
        <w:t xml:space="preserve">Kramper eller udtalt </w:t>
      </w:r>
      <w:proofErr w:type="spellStart"/>
      <w:r>
        <w:rPr>
          <w:sz w:val="24"/>
          <w:szCs w:val="24"/>
        </w:rPr>
        <w:t>excitation</w:t>
      </w:r>
      <w:proofErr w:type="spellEnd"/>
      <w:r>
        <w:rPr>
          <w:sz w:val="24"/>
          <w:szCs w:val="24"/>
        </w:rPr>
        <w:t xml:space="preserve"> behandles med benzodiazepiner.</w:t>
      </w:r>
    </w:p>
    <w:p w:rsidR="001F1CED" w:rsidRDefault="001F1CED" w:rsidP="001F1CED">
      <w:pPr>
        <w:numPr>
          <w:ilvl w:val="0"/>
          <w:numId w:val="8"/>
        </w:numPr>
        <w:ind w:left="1276" w:hanging="425"/>
        <w:rPr>
          <w:sz w:val="24"/>
          <w:szCs w:val="24"/>
        </w:rPr>
      </w:pPr>
      <w:r>
        <w:rPr>
          <w:sz w:val="24"/>
          <w:szCs w:val="24"/>
        </w:rPr>
        <w:t>Respirationsinsufficiens behandles med kunstigt åndedræt.</w:t>
      </w:r>
    </w:p>
    <w:p w:rsidR="001F1CED" w:rsidRDefault="001F1CED" w:rsidP="001F1CED">
      <w:pPr>
        <w:numPr>
          <w:ilvl w:val="0"/>
          <w:numId w:val="8"/>
        </w:numPr>
        <w:ind w:left="1276" w:hanging="425"/>
        <w:rPr>
          <w:sz w:val="24"/>
          <w:szCs w:val="24"/>
        </w:rPr>
      </w:pPr>
      <w:proofErr w:type="spellStart"/>
      <w:r>
        <w:rPr>
          <w:sz w:val="24"/>
          <w:szCs w:val="24"/>
        </w:rPr>
        <w:t>Takykardi</w:t>
      </w:r>
      <w:proofErr w:type="spellEnd"/>
      <w:r>
        <w:rPr>
          <w:sz w:val="24"/>
          <w:szCs w:val="24"/>
        </w:rPr>
        <w:t xml:space="preserve"> behandles med beta-</w:t>
      </w:r>
      <w:proofErr w:type="spellStart"/>
      <w:r>
        <w:rPr>
          <w:sz w:val="24"/>
          <w:szCs w:val="24"/>
        </w:rPr>
        <w:t>blokkere</w:t>
      </w:r>
      <w:proofErr w:type="spellEnd"/>
      <w:r>
        <w:rPr>
          <w:sz w:val="24"/>
          <w:szCs w:val="24"/>
        </w:rPr>
        <w:t>.</w:t>
      </w:r>
    </w:p>
    <w:p w:rsidR="001F1CED" w:rsidRDefault="001F1CED" w:rsidP="001F1CED">
      <w:pPr>
        <w:numPr>
          <w:ilvl w:val="0"/>
          <w:numId w:val="8"/>
        </w:numPr>
        <w:ind w:left="1276" w:hanging="425"/>
        <w:rPr>
          <w:sz w:val="24"/>
          <w:szCs w:val="24"/>
        </w:rPr>
      </w:pPr>
      <w:r>
        <w:rPr>
          <w:sz w:val="24"/>
          <w:szCs w:val="24"/>
        </w:rPr>
        <w:t xml:space="preserve">Urinretention behandles med </w:t>
      </w:r>
      <w:proofErr w:type="spellStart"/>
      <w:r>
        <w:rPr>
          <w:sz w:val="24"/>
          <w:szCs w:val="24"/>
        </w:rPr>
        <w:t>kateterisation</w:t>
      </w:r>
      <w:proofErr w:type="spellEnd"/>
      <w:r>
        <w:rPr>
          <w:sz w:val="24"/>
          <w:szCs w:val="24"/>
        </w:rPr>
        <w:t>.</w:t>
      </w:r>
    </w:p>
    <w:p w:rsidR="001F1CED" w:rsidRDefault="001F1CED" w:rsidP="001F1CED">
      <w:pPr>
        <w:numPr>
          <w:ilvl w:val="0"/>
          <w:numId w:val="8"/>
        </w:numPr>
        <w:ind w:left="1276" w:hanging="425"/>
        <w:rPr>
          <w:sz w:val="24"/>
          <w:szCs w:val="24"/>
        </w:rPr>
      </w:pPr>
      <w:proofErr w:type="spellStart"/>
      <w:r>
        <w:rPr>
          <w:sz w:val="24"/>
          <w:szCs w:val="24"/>
        </w:rPr>
        <w:t>Mydriasis</w:t>
      </w:r>
      <w:proofErr w:type="spellEnd"/>
      <w:r>
        <w:rPr>
          <w:sz w:val="24"/>
          <w:szCs w:val="24"/>
        </w:rPr>
        <w:t xml:space="preserve"> behandles med </w:t>
      </w:r>
      <w:proofErr w:type="spellStart"/>
      <w:r>
        <w:rPr>
          <w:sz w:val="24"/>
          <w:szCs w:val="24"/>
        </w:rPr>
        <w:t>pilocarpin</w:t>
      </w:r>
      <w:proofErr w:type="spellEnd"/>
      <w:r>
        <w:rPr>
          <w:sz w:val="24"/>
          <w:szCs w:val="24"/>
        </w:rPr>
        <w:t xml:space="preserve">-øjendråber, og/eller patienten placeres i et mørkt rum. </w:t>
      </w:r>
    </w:p>
    <w:p w:rsidR="001F1CED" w:rsidRDefault="001F1CED" w:rsidP="001F1CED">
      <w:pPr>
        <w:ind w:left="851"/>
        <w:rPr>
          <w:sz w:val="24"/>
          <w:szCs w:val="24"/>
        </w:rPr>
      </w:pPr>
    </w:p>
    <w:p w:rsidR="001F1CED" w:rsidRDefault="001F1CED" w:rsidP="001F1CED">
      <w:pPr>
        <w:ind w:left="851"/>
        <w:rPr>
          <w:noProof/>
          <w:sz w:val="24"/>
          <w:szCs w:val="24"/>
        </w:rPr>
      </w:pPr>
      <w:r>
        <w:rPr>
          <w:sz w:val="24"/>
          <w:szCs w:val="24"/>
        </w:rPr>
        <w:t xml:space="preserve">Som med øvrige </w:t>
      </w:r>
      <w:proofErr w:type="spellStart"/>
      <w:r>
        <w:rPr>
          <w:sz w:val="24"/>
          <w:szCs w:val="24"/>
        </w:rPr>
        <w:t>antimuskarine</w:t>
      </w:r>
      <w:proofErr w:type="spellEnd"/>
      <w:r>
        <w:rPr>
          <w:sz w:val="24"/>
          <w:szCs w:val="24"/>
        </w:rPr>
        <w:t xml:space="preserve"> midler bør man i tilfælde af overdosering være ekstra opmærksom på patienter med kendt risiko for QT-forlængelse (dvs. </w:t>
      </w:r>
      <w:proofErr w:type="spellStart"/>
      <w:r>
        <w:rPr>
          <w:sz w:val="24"/>
          <w:szCs w:val="24"/>
        </w:rPr>
        <w:t>hypokaliæmi</w:t>
      </w:r>
      <w:proofErr w:type="spellEnd"/>
      <w:r>
        <w:rPr>
          <w:sz w:val="24"/>
          <w:szCs w:val="24"/>
        </w:rPr>
        <w:t xml:space="preserve">, bradykardi og samtidig administration af lægemidler, der forlænger QT-intervallet) og eksisterende relevante hjertelidelser (dvs. </w:t>
      </w:r>
      <w:proofErr w:type="spellStart"/>
      <w:r>
        <w:rPr>
          <w:sz w:val="24"/>
          <w:szCs w:val="24"/>
        </w:rPr>
        <w:t>myokardieiskæmi</w:t>
      </w:r>
      <w:proofErr w:type="spellEnd"/>
      <w:r>
        <w:rPr>
          <w:sz w:val="24"/>
          <w:szCs w:val="24"/>
        </w:rPr>
        <w:t xml:space="preserve">, </w:t>
      </w:r>
      <w:proofErr w:type="spellStart"/>
      <w:r>
        <w:rPr>
          <w:sz w:val="24"/>
          <w:szCs w:val="24"/>
        </w:rPr>
        <w:t>arytmi</w:t>
      </w:r>
      <w:proofErr w:type="spellEnd"/>
      <w:r>
        <w:rPr>
          <w:sz w:val="24"/>
          <w:szCs w:val="24"/>
        </w:rPr>
        <w:t>, hjertesvigt).</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4.10</w:t>
      </w:r>
      <w:r w:rsidRPr="00577A7E">
        <w:rPr>
          <w:b/>
          <w:sz w:val="24"/>
          <w:szCs w:val="24"/>
        </w:rPr>
        <w:tab/>
        <w:t>Udlevering</w:t>
      </w:r>
    </w:p>
    <w:p w:rsidR="001F1CED" w:rsidRPr="00577A7E" w:rsidRDefault="001F1CED" w:rsidP="001F1CED">
      <w:pPr>
        <w:ind w:left="851" w:hanging="851"/>
        <w:rPr>
          <w:sz w:val="24"/>
          <w:szCs w:val="24"/>
        </w:rPr>
      </w:pPr>
      <w:r w:rsidRPr="00577A7E">
        <w:rPr>
          <w:sz w:val="24"/>
          <w:szCs w:val="24"/>
        </w:rPr>
        <w:tab/>
      </w:r>
      <w:r>
        <w:rPr>
          <w:sz w:val="24"/>
          <w:szCs w:val="24"/>
        </w:rPr>
        <w:t>B</w:t>
      </w:r>
    </w:p>
    <w:p w:rsidR="001F1CED" w:rsidRPr="00577A7E" w:rsidRDefault="001F1CED" w:rsidP="001F1CED">
      <w:pPr>
        <w:ind w:left="851" w:hanging="851"/>
        <w:rPr>
          <w:sz w:val="24"/>
          <w:szCs w:val="24"/>
        </w:rPr>
      </w:pP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5.</w:t>
      </w:r>
      <w:r w:rsidRPr="00577A7E">
        <w:rPr>
          <w:b/>
          <w:sz w:val="24"/>
          <w:szCs w:val="24"/>
        </w:rPr>
        <w:tab/>
        <w:t>FARMAKOLOGISKE EGENSKABER</w:t>
      </w:r>
    </w:p>
    <w:p w:rsidR="001F1CED" w:rsidRDefault="001F1CED" w:rsidP="001F1CED">
      <w:pPr>
        <w:tabs>
          <w:tab w:val="left" w:pos="851"/>
        </w:tabs>
        <w:ind w:left="851" w:hanging="851"/>
        <w:rPr>
          <w:sz w:val="24"/>
          <w:szCs w:val="24"/>
        </w:rPr>
      </w:pPr>
    </w:p>
    <w:p w:rsidR="001F1CED" w:rsidRDefault="001F1CED" w:rsidP="001F1CED">
      <w:pPr>
        <w:ind w:left="851" w:hanging="851"/>
        <w:rPr>
          <w:b/>
          <w:sz w:val="24"/>
          <w:szCs w:val="24"/>
        </w:rPr>
      </w:pPr>
      <w:r w:rsidRPr="00577A7E">
        <w:rPr>
          <w:b/>
          <w:sz w:val="24"/>
          <w:szCs w:val="24"/>
        </w:rPr>
        <w:t>5.1</w:t>
      </w:r>
      <w:r w:rsidRPr="00577A7E">
        <w:rPr>
          <w:b/>
          <w:sz w:val="24"/>
          <w:szCs w:val="24"/>
        </w:rPr>
        <w:tab/>
      </w:r>
      <w:proofErr w:type="spellStart"/>
      <w:r w:rsidRPr="00577A7E">
        <w:rPr>
          <w:b/>
          <w:sz w:val="24"/>
          <w:szCs w:val="24"/>
        </w:rPr>
        <w:t>Farmakodynamiske</w:t>
      </w:r>
      <w:proofErr w:type="spellEnd"/>
      <w:r w:rsidRPr="00577A7E">
        <w:rPr>
          <w:b/>
          <w:sz w:val="24"/>
          <w:szCs w:val="24"/>
        </w:rPr>
        <w:t xml:space="preserve"> egenskaber</w:t>
      </w:r>
    </w:p>
    <w:p w:rsidR="00A87F7C" w:rsidRPr="00577A7E" w:rsidRDefault="00A87F7C" w:rsidP="00A87F7C">
      <w:pPr>
        <w:tabs>
          <w:tab w:val="left" w:pos="851"/>
        </w:tabs>
        <w:ind w:left="851"/>
        <w:rPr>
          <w:sz w:val="24"/>
          <w:szCs w:val="24"/>
        </w:rPr>
      </w:pPr>
      <w:proofErr w:type="spellStart"/>
      <w:r w:rsidRPr="00A87F7C">
        <w:rPr>
          <w:sz w:val="24"/>
          <w:szCs w:val="24"/>
        </w:rPr>
        <w:t>Farmakoterapeutisk</w:t>
      </w:r>
      <w:proofErr w:type="spellEnd"/>
      <w:r w:rsidRPr="00A87F7C">
        <w:rPr>
          <w:sz w:val="24"/>
          <w:szCs w:val="24"/>
        </w:rPr>
        <w:t xml:space="preserve"> klassifikation</w:t>
      </w:r>
      <w:r>
        <w:rPr>
          <w:sz w:val="24"/>
          <w:szCs w:val="24"/>
        </w:rPr>
        <w:t xml:space="preserve">: </w:t>
      </w:r>
      <w:r w:rsidRPr="00577A7E">
        <w:rPr>
          <w:sz w:val="24"/>
          <w:szCs w:val="24"/>
        </w:rPr>
        <w:t xml:space="preserve">Urologiske midler, Midler mod hyppig </w:t>
      </w:r>
      <w:proofErr w:type="spellStart"/>
      <w:r w:rsidRPr="00577A7E">
        <w:rPr>
          <w:sz w:val="24"/>
          <w:szCs w:val="24"/>
        </w:rPr>
        <w:t>urinering</w:t>
      </w:r>
      <w:proofErr w:type="spellEnd"/>
      <w:r w:rsidRPr="00577A7E">
        <w:rPr>
          <w:sz w:val="24"/>
          <w:szCs w:val="24"/>
        </w:rPr>
        <w:t xml:space="preserve"> og inkontinens</w:t>
      </w:r>
      <w:r>
        <w:rPr>
          <w:sz w:val="24"/>
          <w:szCs w:val="24"/>
        </w:rPr>
        <w:t xml:space="preserve">. </w:t>
      </w:r>
      <w:r w:rsidRPr="00577A7E">
        <w:rPr>
          <w:sz w:val="24"/>
          <w:szCs w:val="24"/>
        </w:rPr>
        <w:t>ATC-kode: G</w:t>
      </w:r>
      <w:r>
        <w:rPr>
          <w:sz w:val="24"/>
          <w:szCs w:val="24"/>
        </w:rPr>
        <w:t xml:space="preserve"> </w:t>
      </w:r>
      <w:r w:rsidRPr="00577A7E">
        <w:rPr>
          <w:sz w:val="24"/>
          <w:szCs w:val="24"/>
        </w:rPr>
        <w:t>04</w:t>
      </w:r>
      <w:r>
        <w:rPr>
          <w:sz w:val="24"/>
          <w:szCs w:val="24"/>
        </w:rPr>
        <w:t xml:space="preserve"> </w:t>
      </w:r>
      <w:r w:rsidRPr="00577A7E">
        <w:rPr>
          <w:sz w:val="24"/>
          <w:szCs w:val="24"/>
        </w:rPr>
        <w:t>BD</w:t>
      </w:r>
      <w:r>
        <w:rPr>
          <w:sz w:val="24"/>
          <w:szCs w:val="24"/>
        </w:rPr>
        <w:t xml:space="preserve"> </w:t>
      </w:r>
      <w:r w:rsidRPr="00577A7E">
        <w:rPr>
          <w:sz w:val="24"/>
          <w:szCs w:val="24"/>
        </w:rPr>
        <w:t>08</w:t>
      </w:r>
      <w:r>
        <w:rPr>
          <w:sz w:val="24"/>
          <w:szCs w:val="24"/>
        </w:rPr>
        <w:t>.</w:t>
      </w:r>
    </w:p>
    <w:p w:rsidR="00A87F7C" w:rsidRDefault="00A87F7C" w:rsidP="001F1CED">
      <w:pPr>
        <w:ind w:left="851"/>
        <w:rPr>
          <w:sz w:val="24"/>
          <w:szCs w:val="24"/>
          <w:u w:val="single"/>
        </w:rPr>
      </w:pPr>
    </w:p>
    <w:p w:rsidR="001F1CED" w:rsidRDefault="001F1CED" w:rsidP="001F1CED">
      <w:pPr>
        <w:ind w:left="851"/>
        <w:rPr>
          <w:sz w:val="24"/>
          <w:szCs w:val="24"/>
          <w:u w:val="single"/>
        </w:rPr>
      </w:pPr>
      <w:r>
        <w:rPr>
          <w:sz w:val="24"/>
          <w:szCs w:val="24"/>
          <w:u w:val="single"/>
        </w:rPr>
        <w:t>Virkningsmekanisme</w:t>
      </w:r>
    </w:p>
    <w:p w:rsidR="001F1CED" w:rsidRDefault="001F1CED" w:rsidP="001F1CED">
      <w:pPr>
        <w:ind w:left="851"/>
        <w:rPr>
          <w:sz w:val="24"/>
          <w:szCs w:val="24"/>
        </w:rPr>
      </w:pPr>
      <w:proofErr w:type="spellStart"/>
      <w:r>
        <w:rPr>
          <w:sz w:val="24"/>
          <w:szCs w:val="24"/>
        </w:rPr>
        <w:t>Solifenacin</w:t>
      </w:r>
      <w:proofErr w:type="spellEnd"/>
      <w:r>
        <w:rPr>
          <w:sz w:val="24"/>
          <w:szCs w:val="24"/>
        </w:rPr>
        <w:t xml:space="preserve"> er en </w:t>
      </w:r>
      <w:proofErr w:type="spellStart"/>
      <w:r>
        <w:rPr>
          <w:sz w:val="24"/>
          <w:szCs w:val="24"/>
        </w:rPr>
        <w:t>kompetitiv</w:t>
      </w:r>
      <w:proofErr w:type="spellEnd"/>
      <w:r>
        <w:rPr>
          <w:sz w:val="24"/>
          <w:szCs w:val="24"/>
        </w:rPr>
        <w:t xml:space="preserve">, specifik </w:t>
      </w:r>
      <w:proofErr w:type="spellStart"/>
      <w:r>
        <w:rPr>
          <w:sz w:val="24"/>
          <w:szCs w:val="24"/>
        </w:rPr>
        <w:t>kolinerg</w:t>
      </w:r>
      <w:proofErr w:type="spellEnd"/>
      <w:r>
        <w:rPr>
          <w:sz w:val="24"/>
          <w:szCs w:val="24"/>
        </w:rPr>
        <w:t xml:space="preserve">-receptorantagonist. </w:t>
      </w:r>
    </w:p>
    <w:p w:rsidR="001F1CED" w:rsidRDefault="001F1CED" w:rsidP="001F1CED">
      <w:pPr>
        <w:ind w:left="851"/>
        <w:rPr>
          <w:sz w:val="24"/>
          <w:szCs w:val="24"/>
        </w:rPr>
      </w:pPr>
      <w:r>
        <w:rPr>
          <w:sz w:val="24"/>
          <w:szCs w:val="24"/>
        </w:rPr>
        <w:t xml:space="preserve">Urinblæren </w:t>
      </w:r>
      <w:proofErr w:type="spellStart"/>
      <w:r>
        <w:rPr>
          <w:sz w:val="24"/>
          <w:szCs w:val="24"/>
        </w:rPr>
        <w:t>innerveres</w:t>
      </w:r>
      <w:proofErr w:type="spellEnd"/>
      <w:r>
        <w:rPr>
          <w:sz w:val="24"/>
          <w:szCs w:val="24"/>
        </w:rPr>
        <w:t xml:space="preserve"> af parasympatiske </w:t>
      </w:r>
      <w:proofErr w:type="spellStart"/>
      <w:r>
        <w:rPr>
          <w:sz w:val="24"/>
          <w:szCs w:val="24"/>
        </w:rPr>
        <w:t>kolinerge</w:t>
      </w:r>
      <w:proofErr w:type="spellEnd"/>
      <w:r>
        <w:rPr>
          <w:sz w:val="24"/>
          <w:szCs w:val="24"/>
        </w:rPr>
        <w:t xml:space="preserve"> nerver. </w:t>
      </w:r>
      <w:proofErr w:type="spellStart"/>
      <w:r>
        <w:rPr>
          <w:sz w:val="24"/>
          <w:szCs w:val="24"/>
        </w:rPr>
        <w:t>Acetylcholin</w:t>
      </w:r>
      <w:proofErr w:type="spellEnd"/>
      <w:r>
        <w:rPr>
          <w:sz w:val="24"/>
          <w:szCs w:val="24"/>
        </w:rPr>
        <w:t xml:space="preserve"> sammentrækker den glatte </w:t>
      </w:r>
      <w:proofErr w:type="spellStart"/>
      <w:r>
        <w:rPr>
          <w:sz w:val="24"/>
          <w:szCs w:val="24"/>
        </w:rPr>
        <w:t>detrusormuskel</w:t>
      </w:r>
      <w:proofErr w:type="spellEnd"/>
      <w:r>
        <w:rPr>
          <w:sz w:val="24"/>
          <w:szCs w:val="24"/>
        </w:rPr>
        <w:t xml:space="preserve"> via </w:t>
      </w:r>
      <w:proofErr w:type="spellStart"/>
      <w:r>
        <w:rPr>
          <w:sz w:val="24"/>
          <w:szCs w:val="24"/>
        </w:rPr>
        <w:t>muskarinreceptorer</w:t>
      </w:r>
      <w:proofErr w:type="spellEnd"/>
      <w:r>
        <w:rPr>
          <w:sz w:val="24"/>
          <w:szCs w:val="24"/>
        </w:rPr>
        <w:t xml:space="preserve">, for hvilke M3-subtypen overvejende er involveret. Farmakologiske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-undersøgelser viser, at </w:t>
      </w:r>
      <w:proofErr w:type="spellStart"/>
      <w:r>
        <w:rPr>
          <w:sz w:val="24"/>
          <w:szCs w:val="24"/>
        </w:rPr>
        <w:t>solifenacin</w:t>
      </w:r>
      <w:proofErr w:type="spellEnd"/>
      <w:r>
        <w:rPr>
          <w:sz w:val="24"/>
          <w:szCs w:val="24"/>
        </w:rPr>
        <w:t xml:space="preserve"> er en </w:t>
      </w:r>
      <w:proofErr w:type="spellStart"/>
      <w:r>
        <w:rPr>
          <w:sz w:val="24"/>
          <w:szCs w:val="24"/>
        </w:rPr>
        <w:t>kompetitiv</w:t>
      </w:r>
      <w:proofErr w:type="spellEnd"/>
      <w:r>
        <w:rPr>
          <w:sz w:val="24"/>
          <w:szCs w:val="24"/>
        </w:rPr>
        <w:t xml:space="preserve"> hæmmer af den </w:t>
      </w:r>
      <w:proofErr w:type="spellStart"/>
      <w:r>
        <w:rPr>
          <w:sz w:val="24"/>
          <w:szCs w:val="24"/>
        </w:rPr>
        <w:t>muskarine</w:t>
      </w:r>
      <w:proofErr w:type="spellEnd"/>
      <w:r>
        <w:rPr>
          <w:sz w:val="24"/>
          <w:szCs w:val="24"/>
        </w:rPr>
        <w:t xml:space="preserve"> M3-subtypereceptor. Det er desuden vist, at </w:t>
      </w:r>
      <w:proofErr w:type="spellStart"/>
      <w:r>
        <w:rPr>
          <w:sz w:val="24"/>
          <w:szCs w:val="24"/>
        </w:rPr>
        <w:t>solifenacin</w:t>
      </w:r>
      <w:proofErr w:type="spellEnd"/>
      <w:r>
        <w:rPr>
          <w:sz w:val="24"/>
          <w:szCs w:val="24"/>
        </w:rPr>
        <w:t xml:space="preserve"> er en specifik </w:t>
      </w:r>
      <w:proofErr w:type="spellStart"/>
      <w:r>
        <w:rPr>
          <w:sz w:val="24"/>
          <w:szCs w:val="24"/>
        </w:rPr>
        <w:t>muskarin</w:t>
      </w:r>
      <w:proofErr w:type="spellEnd"/>
      <w:r>
        <w:rPr>
          <w:sz w:val="24"/>
          <w:szCs w:val="24"/>
        </w:rPr>
        <w:t xml:space="preserve"> receptorantagonist idet det har lav eller ingen affinitet for andre undersøgte receptorer og ionkanaler.</w:t>
      </w:r>
    </w:p>
    <w:p w:rsidR="001F1CED" w:rsidRDefault="001F1CED" w:rsidP="001F1CED">
      <w:pPr>
        <w:ind w:left="851" w:hanging="851"/>
        <w:rPr>
          <w:sz w:val="24"/>
          <w:szCs w:val="24"/>
        </w:rPr>
      </w:pPr>
    </w:p>
    <w:p w:rsidR="001F1CED" w:rsidRDefault="001F1CED" w:rsidP="00C83C5E">
      <w:pPr>
        <w:keepNext/>
        <w:ind w:left="851"/>
        <w:rPr>
          <w:sz w:val="24"/>
          <w:szCs w:val="24"/>
          <w:u w:val="single"/>
        </w:rPr>
      </w:pPr>
      <w:proofErr w:type="spellStart"/>
      <w:r>
        <w:rPr>
          <w:sz w:val="24"/>
          <w:szCs w:val="24"/>
          <w:u w:val="single"/>
        </w:rPr>
        <w:lastRenderedPageBreak/>
        <w:t>Farmakodynamisk</w:t>
      </w:r>
      <w:proofErr w:type="spellEnd"/>
      <w:r>
        <w:rPr>
          <w:sz w:val="24"/>
          <w:szCs w:val="24"/>
          <w:u w:val="single"/>
        </w:rPr>
        <w:t xml:space="preserve"> </w:t>
      </w:r>
      <w:r w:rsidR="00A87F7C">
        <w:rPr>
          <w:sz w:val="24"/>
          <w:szCs w:val="24"/>
          <w:u w:val="single"/>
        </w:rPr>
        <w:t>virkning</w:t>
      </w:r>
    </w:p>
    <w:p w:rsidR="001F1CED" w:rsidRDefault="001F1CED" w:rsidP="00C83C5E">
      <w:pPr>
        <w:keepNext/>
        <w:ind w:left="851"/>
        <w:rPr>
          <w:sz w:val="24"/>
          <w:szCs w:val="24"/>
          <w:u w:val="single"/>
        </w:rPr>
      </w:pPr>
    </w:p>
    <w:p w:rsidR="001F1CED" w:rsidRDefault="001F1CED" w:rsidP="001F1CED">
      <w:pPr>
        <w:ind w:left="851"/>
        <w:rPr>
          <w:i/>
          <w:sz w:val="24"/>
          <w:szCs w:val="24"/>
          <w:u w:val="single"/>
        </w:rPr>
      </w:pPr>
      <w:r>
        <w:rPr>
          <w:i/>
          <w:sz w:val="24"/>
          <w:szCs w:val="24"/>
          <w:u w:val="single"/>
        </w:rPr>
        <w:t>Voksne:</w:t>
      </w:r>
    </w:p>
    <w:p w:rsidR="001F1CED" w:rsidRDefault="001F1CED" w:rsidP="001F1CED">
      <w:pPr>
        <w:ind w:left="851"/>
        <w:rPr>
          <w:sz w:val="24"/>
          <w:szCs w:val="24"/>
        </w:rPr>
      </w:pPr>
      <w:r>
        <w:rPr>
          <w:sz w:val="24"/>
          <w:szCs w:val="24"/>
        </w:rPr>
        <w:t xml:space="preserve">Behandling med </w:t>
      </w:r>
      <w:proofErr w:type="spellStart"/>
      <w:r>
        <w:rPr>
          <w:sz w:val="24"/>
          <w:szCs w:val="24"/>
        </w:rPr>
        <w:t>Vesicare</w:t>
      </w:r>
      <w:proofErr w:type="spellEnd"/>
      <w:r>
        <w:rPr>
          <w:sz w:val="24"/>
          <w:szCs w:val="24"/>
        </w:rPr>
        <w:t xml:space="preserve"> i doser på 5 mg og 10 mg daglig er blevet undersøgt i adskillige dobbeltblindede, randomiserede, kontrollerede kliniske studier hos mænd og kvinder med overaktiv blære. </w:t>
      </w:r>
    </w:p>
    <w:p w:rsidR="001F1CED" w:rsidRDefault="001F1CED" w:rsidP="001F1CED">
      <w:pPr>
        <w:ind w:left="851"/>
        <w:rPr>
          <w:sz w:val="24"/>
          <w:szCs w:val="24"/>
        </w:rPr>
      </w:pPr>
      <w:r>
        <w:rPr>
          <w:sz w:val="24"/>
          <w:szCs w:val="24"/>
        </w:rPr>
        <w:t xml:space="preserve">Som vist i nedenstående tabel giver både 5 mg og 10 mg </w:t>
      </w:r>
      <w:proofErr w:type="spellStart"/>
      <w:r>
        <w:rPr>
          <w:sz w:val="24"/>
          <w:szCs w:val="24"/>
        </w:rPr>
        <w:t>Vesicare</w:t>
      </w:r>
      <w:proofErr w:type="spellEnd"/>
      <w:r>
        <w:rPr>
          <w:sz w:val="24"/>
          <w:szCs w:val="24"/>
        </w:rPr>
        <w:t xml:space="preserve">-doser statistisk signifikante forbedringer i primære og sekundære </w:t>
      </w:r>
      <w:proofErr w:type="spellStart"/>
      <w:r>
        <w:rPr>
          <w:sz w:val="24"/>
          <w:szCs w:val="24"/>
        </w:rPr>
        <w:t>endpoints</w:t>
      </w:r>
      <w:proofErr w:type="spellEnd"/>
      <w:r>
        <w:rPr>
          <w:sz w:val="24"/>
          <w:szCs w:val="24"/>
        </w:rPr>
        <w:t xml:space="preserve"> sammenlignet med placebo. Effekten ses inden for en uges behandling efter start af behandlingen og stabiliseres i løbet af de næste 12 uger. Et åbent langtidsstudie viste, at effekten opretholdes i mindst 12 måneder. Efter 12 ugers behandling var ca. 50% af patienterne, der før behandling led af inkontinens, fri for inkontinensepisoder, og 35% af patienterne opnåede desuden en vandladningsfrekvens på mindre end 8 vandladninger per dag. Behandling af symptomerne forbundet med overaktiv blære forbedrede også livskvaliteten, såsom generel sundhedsopfattelse, betydningen af at være inkontinent, rollebegrænsninger, fysiske begrænsninger, sociale begrænsninger, følelser, sværhedsgrad af symptomer, sværhedsgradsmålinger og søvn/energi.</w:t>
      </w:r>
    </w:p>
    <w:p w:rsidR="001F1CED" w:rsidRDefault="001F1CED" w:rsidP="001F1CED">
      <w:pPr>
        <w:ind w:left="851"/>
        <w:rPr>
          <w:sz w:val="24"/>
          <w:szCs w:val="24"/>
        </w:rPr>
      </w:pPr>
      <w:r>
        <w:rPr>
          <w:sz w:val="24"/>
          <w:szCs w:val="24"/>
        </w:rPr>
        <w:t xml:space="preserve">    </w:t>
      </w:r>
    </w:p>
    <w:p w:rsidR="001F1CED" w:rsidRDefault="001F1CED" w:rsidP="001F1CED">
      <w:pPr>
        <w:keepNext/>
        <w:rPr>
          <w:b/>
          <w:i/>
          <w:sz w:val="24"/>
          <w:szCs w:val="24"/>
        </w:rPr>
      </w:pPr>
      <w:r>
        <w:rPr>
          <w:b/>
          <w:i/>
          <w:sz w:val="24"/>
          <w:szCs w:val="24"/>
        </w:rPr>
        <w:t>Resultater (</w:t>
      </w:r>
      <w:proofErr w:type="spellStart"/>
      <w:r>
        <w:rPr>
          <w:b/>
          <w:i/>
          <w:sz w:val="24"/>
          <w:szCs w:val="24"/>
        </w:rPr>
        <w:t>poolede</w:t>
      </w:r>
      <w:proofErr w:type="spellEnd"/>
      <w:r>
        <w:rPr>
          <w:b/>
          <w:i/>
          <w:sz w:val="24"/>
          <w:szCs w:val="24"/>
        </w:rPr>
        <w:t xml:space="preserve"> data) fra 4 kontrollerede fase 3-studier med 12 ugers behandlingsvarighed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298"/>
        <w:gridCol w:w="1298"/>
        <w:gridCol w:w="1298"/>
        <w:gridCol w:w="1442"/>
      </w:tblGrid>
      <w:tr w:rsidR="001F1CED" w:rsidTr="00A87F7C">
        <w:trPr>
          <w:cantSplit/>
        </w:trPr>
        <w:tc>
          <w:tcPr>
            <w:tcW w:w="2229" w:type="pct"/>
            <w:tcBorders>
              <w:top w:val="single" w:sz="4" w:space="0" w:color="auto"/>
              <w:left w:val="single" w:sz="4" w:space="0" w:color="auto"/>
              <w:bottom w:val="single" w:sz="4" w:space="0" w:color="auto"/>
              <w:right w:val="single" w:sz="4" w:space="0" w:color="auto"/>
            </w:tcBorders>
          </w:tcPr>
          <w:p w:rsidR="001F1CED" w:rsidRDefault="001F1CED" w:rsidP="00A87F7C">
            <w:pPr>
              <w:rPr>
                <w:b/>
              </w:rPr>
            </w:pP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b/>
                <w:lang w:val="en-GB"/>
              </w:rPr>
            </w:pPr>
            <w:r>
              <w:rPr>
                <w:b/>
                <w:lang w:val="en-GB"/>
              </w:rPr>
              <w:t>Placebo</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b/>
                <w:lang w:val="nb-NO"/>
              </w:rPr>
            </w:pPr>
            <w:r>
              <w:rPr>
                <w:b/>
                <w:lang w:val="nb-NO"/>
              </w:rPr>
              <w:t>Vesicare 5 mg en gang daglig</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b/>
                <w:lang w:val="nb-NO"/>
              </w:rPr>
            </w:pPr>
            <w:r>
              <w:rPr>
                <w:b/>
                <w:lang w:val="nb-NO"/>
              </w:rPr>
              <w:t>Vesicare 10 mg en gang daglig</w:t>
            </w:r>
          </w:p>
        </w:tc>
        <w:tc>
          <w:tcPr>
            <w:tcW w:w="750"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b/>
              </w:rPr>
            </w:pPr>
            <w:proofErr w:type="spellStart"/>
            <w:r>
              <w:rPr>
                <w:b/>
              </w:rPr>
              <w:t>Tolterodin</w:t>
            </w:r>
            <w:proofErr w:type="spellEnd"/>
            <w:r>
              <w:rPr>
                <w:b/>
              </w:rPr>
              <w:t xml:space="preserve"> </w:t>
            </w:r>
          </w:p>
          <w:p w:rsidR="001F1CED" w:rsidRDefault="001F1CED" w:rsidP="00A87F7C">
            <w:pPr>
              <w:rPr>
                <w:b/>
              </w:rPr>
            </w:pPr>
            <w:r>
              <w:rPr>
                <w:b/>
              </w:rPr>
              <w:t>2 mg to gange daglig</w:t>
            </w:r>
          </w:p>
        </w:tc>
      </w:tr>
      <w:tr w:rsidR="001F1CED" w:rsidTr="00A87F7C">
        <w:trPr>
          <w:cantSplit/>
        </w:trPr>
        <w:tc>
          <w:tcPr>
            <w:tcW w:w="2229" w:type="pct"/>
            <w:tcBorders>
              <w:top w:val="single" w:sz="4" w:space="0" w:color="auto"/>
              <w:left w:val="single" w:sz="4" w:space="0" w:color="auto"/>
              <w:bottom w:val="single" w:sz="4" w:space="0" w:color="auto"/>
              <w:right w:val="nil"/>
            </w:tcBorders>
            <w:hideMark/>
          </w:tcPr>
          <w:p w:rsidR="001F1CED" w:rsidRDefault="001F1CED" w:rsidP="00A87F7C">
            <w:pPr>
              <w:rPr>
                <w:lang w:val="en-GB"/>
              </w:rPr>
            </w:pPr>
            <w:proofErr w:type="spellStart"/>
            <w:r>
              <w:rPr>
                <w:lang w:val="en-GB"/>
              </w:rPr>
              <w:t>Antal</w:t>
            </w:r>
            <w:proofErr w:type="spellEnd"/>
            <w:r>
              <w:rPr>
                <w:lang w:val="en-GB"/>
              </w:rPr>
              <w:t xml:space="preserve"> </w:t>
            </w:r>
            <w:proofErr w:type="spellStart"/>
            <w:r>
              <w:rPr>
                <w:lang w:val="en-GB"/>
              </w:rPr>
              <w:t>vandladninger</w:t>
            </w:r>
            <w:proofErr w:type="spellEnd"/>
            <w:r>
              <w:rPr>
                <w:lang w:val="en-GB"/>
              </w:rPr>
              <w:t xml:space="preserve"> pr. 24 timer</w:t>
            </w:r>
          </w:p>
        </w:tc>
        <w:tc>
          <w:tcPr>
            <w:tcW w:w="674" w:type="pct"/>
            <w:tcBorders>
              <w:top w:val="single" w:sz="4" w:space="0" w:color="auto"/>
              <w:left w:val="nil"/>
              <w:bottom w:val="single" w:sz="4" w:space="0" w:color="auto"/>
              <w:right w:val="nil"/>
            </w:tcBorders>
          </w:tcPr>
          <w:p w:rsidR="001F1CED" w:rsidRDefault="001F1CED" w:rsidP="00A87F7C">
            <w:pPr>
              <w:rPr>
                <w:lang w:val="en-GB"/>
              </w:rPr>
            </w:pPr>
          </w:p>
        </w:tc>
        <w:tc>
          <w:tcPr>
            <w:tcW w:w="674" w:type="pct"/>
            <w:tcBorders>
              <w:top w:val="single" w:sz="4" w:space="0" w:color="auto"/>
              <w:left w:val="nil"/>
              <w:bottom w:val="single" w:sz="4" w:space="0" w:color="auto"/>
              <w:right w:val="nil"/>
            </w:tcBorders>
          </w:tcPr>
          <w:p w:rsidR="001F1CED" w:rsidRDefault="001F1CED" w:rsidP="00A87F7C">
            <w:pPr>
              <w:rPr>
                <w:lang w:val="en-GB"/>
              </w:rPr>
            </w:pPr>
          </w:p>
        </w:tc>
        <w:tc>
          <w:tcPr>
            <w:tcW w:w="674" w:type="pct"/>
            <w:tcBorders>
              <w:top w:val="single" w:sz="4" w:space="0" w:color="auto"/>
              <w:left w:val="nil"/>
              <w:bottom w:val="single" w:sz="4" w:space="0" w:color="auto"/>
              <w:right w:val="nil"/>
            </w:tcBorders>
          </w:tcPr>
          <w:p w:rsidR="001F1CED" w:rsidRDefault="001F1CED" w:rsidP="00A87F7C">
            <w:pPr>
              <w:rPr>
                <w:lang w:val="en-GB"/>
              </w:rPr>
            </w:pPr>
          </w:p>
        </w:tc>
        <w:tc>
          <w:tcPr>
            <w:tcW w:w="750" w:type="pct"/>
            <w:tcBorders>
              <w:top w:val="single" w:sz="4" w:space="0" w:color="auto"/>
              <w:left w:val="nil"/>
              <w:bottom w:val="single" w:sz="4" w:space="0" w:color="auto"/>
              <w:right w:val="single" w:sz="4" w:space="0" w:color="auto"/>
            </w:tcBorders>
          </w:tcPr>
          <w:p w:rsidR="001F1CED" w:rsidRDefault="001F1CED" w:rsidP="00A87F7C">
            <w:pPr>
              <w:rPr>
                <w:lang w:val="en-GB"/>
              </w:rPr>
            </w:pPr>
          </w:p>
        </w:tc>
      </w:tr>
      <w:tr w:rsidR="001F1CED" w:rsidTr="00A87F7C">
        <w:tc>
          <w:tcPr>
            <w:tcW w:w="2229" w:type="pct"/>
            <w:tcBorders>
              <w:top w:val="single" w:sz="4" w:space="0" w:color="auto"/>
              <w:left w:val="single" w:sz="4" w:space="0" w:color="auto"/>
              <w:bottom w:val="single" w:sz="4" w:space="0" w:color="auto"/>
              <w:right w:val="single" w:sz="4" w:space="0" w:color="auto"/>
            </w:tcBorders>
            <w:hideMark/>
          </w:tcPr>
          <w:p w:rsidR="001F1CED" w:rsidRDefault="001F1CED" w:rsidP="00A87F7C">
            <w:pPr>
              <w:tabs>
                <w:tab w:val="left" w:pos="709"/>
              </w:tabs>
            </w:pPr>
            <w:r>
              <w:tab/>
              <w:t xml:space="preserve">Gennemsnitlig </w:t>
            </w:r>
            <w:r>
              <w:rPr>
                <w:i/>
              </w:rPr>
              <w:t>baseline</w:t>
            </w:r>
            <w:r>
              <w:br/>
            </w:r>
            <w:r>
              <w:tab/>
              <w:t xml:space="preserve">Gennemsnitlig reduktion fra </w:t>
            </w:r>
            <w:r>
              <w:rPr>
                <w:i/>
              </w:rPr>
              <w:t>baseline</w:t>
            </w:r>
            <w:r>
              <w:br/>
            </w:r>
            <w:r>
              <w:tab/>
              <w:t xml:space="preserve">% ændring fra </w:t>
            </w:r>
            <w:r>
              <w:rPr>
                <w:i/>
              </w:rPr>
              <w:t>baseline</w:t>
            </w:r>
          </w:p>
          <w:p w:rsidR="001F1CED" w:rsidRDefault="001F1CED" w:rsidP="00A87F7C">
            <w:pPr>
              <w:tabs>
                <w:tab w:val="left" w:pos="709"/>
              </w:tabs>
            </w:pPr>
            <w:r>
              <w:tab/>
              <w:t>n</w:t>
            </w:r>
            <w:r>
              <w:br/>
            </w:r>
            <w:r>
              <w:tab/>
            </w:r>
            <w:proofErr w:type="spellStart"/>
            <w:r>
              <w:t>p-værdi</w:t>
            </w:r>
            <w:proofErr w:type="spellEnd"/>
            <w:r>
              <w:t>*</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11,9</w:t>
            </w:r>
          </w:p>
          <w:p w:rsidR="001F1CED" w:rsidRDefault="001F1CED" w:rsidP="00A87F7C">
            <w:pPr>
              <w:rPr>
                <w:lang w:val="en-GB"/>
              </w:rPr>
            </w:pPr>
            <w:r>
              <w:rPr>
                <w:lang w:val="en-GB"/>
              </w:rPr>
              <w:t xml:space="preserve">1,4  </w:t>
            </w:r>
          </w:p>
          <w:p w:rsidR="001F1CED" w:rsidRDefault="001F1CED" w:rsidP="00A87F7C">
            <w:pPr>
              <w:rPr>
                <w:lang w:val="en-GB"/>
              </w:rPr>
            </w:pPr>
            <w:r>
              <w:rPr>
                <w:lang w:val="en-GB"/>
              </w:rPr>
              <w:t>(12%)</w:t>
            </w:r>
            <w:r>
              <w:rPr>
                <w:lang w:val="en-GB"/>
              </w:rPr>
              <w:br/>
              <w:t>1138</w:t>
            </w:r>
            <w:r>
              <w:rPr>
                <w:lang w:val="en-GB"/>
              </w:rPr>
              <w:br/>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12,1</w:t>
            </w:r>
          </w:p>
          <w:p w:rsidR="001F1CED" w:rsidRDefault="001F1CED" w:rsidP="00A87F7C">
            <w:pPr>
              <w:rPr>
                <w:lang w:val="en-GB"/>
              </w:rPr>
            </w:pPr>
            <w:r>
              <w:rPr>
                <w:lang w:val="en-GB"/>
              </w:rPr>
              <w:t xml:space="preserve">2,3 </w:t>
            </w:r>
          </w:p>
          <w:p w:rsidR="001F1CED" w:rsidRDefault="001F1CED" w:rsidP="00A87F7C">
            <w:pPr>
              <w:rPr>
                <w:lang w:val="en-GB"/>
              </w:rPr>
            </w:pPr>
            <w:r>
              <w:rPr>
                <w:lang w:val="en-GB"/>
              </w:rPr>
              <w:t>(19%)</w:t>
            </w:r>
            <w:r>
              <w:rPr>
                <w:lang w:val="en-GB"/>
              </w:rPr>
              <w:br/>
              <w:t>552</w:t>
            </w:r>
            <w:r>
              <w:rPr>
                <w:lang w:val="en-GB"/>
              </w:rPr>
              <w:br/>
              <w:t>&lt;0,001</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11,9</w:t>
            </w:r>
          </w:p>
          <w:p w:rsidR="001F1CED" w:rsidRDefault="001F1CED" w:rsidP="00A87F7C">
            <w:pPr>
              <w:rPr>
                <w:lang w:val="en-GB"/>
              </w:rPr>
            </w:pPr>
            <w:r>
              <w:rPr>
                <w:lang w:val="en-GB"/>
              </w:rPr>
              <w:t xml:space="preserve">2,7 </w:t>
            </w:r>
          </w:p>
          <w:p w:rsidR="001F1CED" w:rsidRDefault="001F1CED" w:rsidP="00A87F7C">
            <w:pPr>
              <w:rPr>
                <w:lang w:val="en-GB"/>
              </w:rPr>
            </w:pPr>
            <w:r>
              <w:rPr>
                <w:lang w:val="en-GB"/>
              </w:rPr>
              <w:t>(23%)</w:t>
            </w:r>
            <w:r>
              <w:rPr>
                <w:lang w:val="en-GB"/>
              </w:rPr>
              <w:br/>
              <w:t>1158</w:t>
            </w:r>
            <w:r>
              <w:rPr>
                <w:lang w:val="en-GB"/>
              </w:rPr>
              <w:br/>
              <w:t>&lt;0,001</w:t>
            </w:r>
          </w:p>
        </w:tc>
        <w:tc>
          <w:tcPr>
            <w:tcW w:w="750"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12,1</w:t>
            </w:r>
          </w:p>
          <w:p w:rsidR="001F1CED" w:rsidRDefault="001F1CED" w:rsidP="00A87F7C">
            <w:pPr>
              <w:rPr>
                <w:lang w:val="en-GB"/>
              </w:rPr>
            </w:pPr>
            <w:r>
              <w:rPr>
                <w:lang w:val="en-GB"/>
              </w:rPr>
              <w:t xml:space="preserve">1,9 </w:t>
            </w:r>
          </w:p>
          <w:p w:rsidR="001F1CED" w:rsidRDefault="001F1CED" w:rsidP="00A87F7C">
            <w:pPr>
              <w:rPr>
                <w:lang w:val="en-GB"/>
              </w:rPr>
            </w:pPr>
            <w:r>
              <w:rPr>
                <w:lang w:val="en-GB"/>
              </w:rPr>
              <w:t>(16%)</w:t>
            </w:r>
            <w:r>
              <w:rPr>
                <w:lang w:val="en-GB"/>
              </w:rPr>
              <w:br/>
              <w:t>250</w:t>
            </w:r>
            <w:r>
              <w:rPr>
                <w:lang w:val="en-GB"/>
              </w:rPr>
              <w:br/>
              <w:t>0,004</w:t>
            </w:r>
          </w:p>
        </w:tc>
      </w:tr>
      <w:tr w:rsidR="001F1CED" w:rsidTr="00A87F7C">
        <w:trPr>
          <w:cantSplit/>
        </w:trPr>
        <w:tc>
          <w:tcPr>
            <w:tcW w:w="2229" w:type="pct"/>
            <w:tcBorders>
              <w:top w:val="single" w:sz="4" w:space="0" w:color="auto"/>
              <w:left w:val="single" w:sz="4" w:space="0" w:color="auto"/>
              <w:bottom w:val="single" w:sz="4" w:space="0" w:color="auto"/>
              <w:right w:val="nil"/>
            </w:tcBorders>
            <w:hideMark/>
          </w:tcPr>
          <w:p w:rsidR="001F1CED" w:rsidRDefault="001F1CED" w:rsidP="00A87F7C">
            <w:pPr>
              <w:rPr>
                <w:lang w:val="en-GB"/>
              </w:rPr>
            </w:pPr>
            <w:proofErr w:type="spellStart"/>
            <w:r>
              <w:rPr>
                <w:lang w:val="en-GB"/>
              </w:rPr>
              <w:t>Antal</w:t>
            </w:r>
            <w:proofErr w:type="spellEnd"/>
            <w:r>
              <w:rPr>
                <w:lang w:val="en-GB"/>
              </w:rPr>
              <w:t xml:space="preserve"> </w:t>
            </w:r>
            <w:proofErr w:type="spellStart"/>
            <w:r>
              <w:rPr>
                <w:lang w:val="en-GB"/>
              </w:rPr>
              <w:t>urgeepisoder</w:t>
            </w:r>
            <w:proofErr w:type="spellEnd"/>
            <w:r>
              <w:rPr>
                <w:lang w:val="en-GB"/>
              </w:rPr>
              <w:t xml:space="preserve"> pr. 24 timer</w:t>
            </w:r>
          </w:p>
        </w:tc>
        <w:tc>
          <w:tcPr>
            <w:tcW w:w="674" w:type="pct"/>
            <w:tcBorders>
              <w:top w:val="single" w:sz="4" w:space="0" w:color="auto"/>
              <w:left w:val="nil"/>
              <w:bottom w:val="single" w:sz="4" w:space="0" w:color="auto"/>
              <w:right w:val="nil"/>
            </w:tcBorders>
          </w:tcPr>
          <w:p w:rsidR="001F1CED" w:rsidRDefault="001F1CED" w:rsidP="00A87F7C">
            <w:pPr>
              <w:rPr>
                <w:lang w:val="en-GB"/>
              </w:rPr>
            </w:pPr>
          </w:p>
        </w:tc>
        <w:tc>
          <w:tcPr>
            <w:tcW w:w="674" w:type="pct"/>
            <w:tcBorders>
              <w:top w:val="single" w:sz="4" w:space="0" w:color="auto"/>
              <w:left w:val="nil"/>
              <w:bottom w:val="single" w:sz="4" w:space="0" w:color="auto"/>
              <w:right w:val="nil"/>
            </w:tcBorders>
          </w:tcPr>
          <w:p w:rsidR="001F1CED" w:rsidRDefault="001F1CED" w:rsidP="00A87F7C">
            <w:pPr>
              <w:rPr>
                <w:lang w:val="en-GB"/>
              </w:rPr>
            </w:pPr>
          </w:p>
        </w:tc>
        <w:tc>
          <w:tcPr>
            <w:tcW w:w="674" w:type="pct"/>
            <w:tcBorders>
              <w:top w:val="single" w:sz="4" w:space="0" w:color="auto"/>
              <w:left w:val="nil"/>
              <w:bottom w:val="single" w:sz="4" w:space="0" w:color="auto"/>
              <w:right w:val="nil"/>
            </w:tcBorders>
          </w:tcPr>
          <w:p w:rsidR="001F1CED" w:rsidRDefault="001F1CED" w:rsidP="00A87F7C">
            <w:pPr>
              <w:rPr>
                <w:lang w:val="en-GB"/>
              </w:rPr>
            </w:pPr>
          </w:p>
        </w:tc>
        <w:tc>
          <w:tcPr>
            <w:tcW w:w="750" w:type="pct"/>
            <w:tcBorders>
              <w:top w:val="single" w:sz="4" w:space="0" w:color="auto"/>
              <w:left w:val="nil"/>
              <w:bottom w:val="single" w:sz="4" w:space="0" w:color="auto"/>
              <w:right w:val="single" w:sz="4" w:space="0" w:color="auto"/>
            </w:tcBorders>
          </w:tcPr>
          <w:p w:rsidR="001F1CED" w:rsidRDefault="001F1CED" w:rsidP="00A87F7C">
            <w:pPr>
              <w:rPr>
                <w:lang w:val="en-GB"/>
              </w:rPr>
            </w:pPr>
          </w:p>
        </w:tc>
      </w:tr>
      <w:tr w:rsidR="001F1CED" w:rsidTr="00A87F7C">
        <w:tc>
          <w:tcPr>
            <w:tcW w:w="2229" w:type="pct"/>
            <w:tcBorders>
              <w:top w:val="single" w:sz="4" w:space="0" w:color="auto"/>
              <w:left w:val="single" w:sz="4" w:space="0" w:color="auto"/>
              <w:bottom w:val="single" w:sz="4" w:space="0" w:color="auto"/>
              <w:right w:val="single" w:sz="4" w:space="0" w:color="auto"/>
            </w:tcBorders>
            <w:hideMark/>
          </w:tcPr>
          <w:p w:rsidR="001F1CED" w:rsidRDefault="001F1CED" w:rsidP="00A87F7C">
            <w:pPr>
              <w:tabs>
                <w:tab w:val="left" w:pos="709"/>
              </w:tabs>
            </w:pPr>
            <w:r>
              <w:tab/>
              <w:t xml:space="preserve">Gennemsnitlig </w:t>
            </w:r>
            <w:r>
              <w:rPr>
                <w:i/>
              </w:rPr>
              <w:t>baseline</w:t>
            </w:r>
            <w:r>
              <w:br/>
            </w:r>
            <w:r>
              <w:tab/>
              <w:t xml:space="preserve">Gennemsnitlig reduktion fra </w:t>
            </w:r>
            <w:r>
              <w:rPr>
                <w:i/>
              </w:rPr>
              <w:t>baseline</w:t>
            </w:r>
            <w:r>
              <w:br/>
            </w:r>
            <w:r>
              <w:tab/>
              <w:t xml:space="preserve">% ændring fra </w:t>
            </w:r>
            <w:r>
              <w:rPr>
                <w:i/>
              </w:rPr>
              <w:t>baseline</w:t>
            </w:r>
          </w:p>
          <w:p w:rsidR="001F1CED" w:rsidRDefault="001F1CED" w:rsidP="00A87F7C">
            <w:pPr>
              <w:tabs>
                <w:tab w:val="left" w:pos="709"/>
              </w:tabs>
              <w:rPr>
                <w:lang w:val="en-GB"/>
              </w:rPr>
            </w:pPr>
            <w:r>
              <w:tab/>
            </w:r>
            <w:r>
              <w:rPr>
                <w:lang w:val="en-GB"/>
              </w:rPr>
              <w:t>n</w:t>
            </w:r>
            <w:r>
              <w:rPr>
                <w:lang w:val="en-GB"/>
              </w:rPr>
              <w:br/>
            </w:r>
            <w:r>
              <w:rPr>
                <w:lang w:val="en-GB"/>
              </w:rPr>
              <w:tab/>
              <w:t>p-</w:t>
            </w:r>
            <w:proofErr w:type="spellStart"/>
            <w:r>
              <w:rPr>
                <w:lang w:val="en-GB"/>
              </w:rPr>
              <w:t>værdi</w:t>
            </w:r>
            <w:proofErr w:type="spellEnd"/>
            <w:r>
              <w:rPr>
                <w:lang w:val="en-GB"/>
              </w:rPr>
              <w:t>*</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6,3</w:t>
            </w:r>
          </w:p>
          <w:p w:rsidR="001F1CED" w:rsidRDefault="001F1CED" w:rsidP="00A87F7C">
            <w:pPr>
              <w:rPr>
                <w:lang w:val="en-GB"/>
              </w:rPr>
            </w:pPr>
            <w:r>
              <w:rPr>
                <w:lang w:val="en-GB"/>
              </w:rPr>
              <w:t xml:space="preserve">2,0 </w:t>
            </w:r>
          </w:p>
          <w:p w:rsidR="001F1CED" w:rsidRDefault="001F1CED" w:rsidP="00A87F7C">
            <w:pPr>
              <w:rPr>
                <w:lang w:val="en-GB"/>
              </w:rPr>
            </w:pPr>
            <w:r>
              <w:rPr>
                <w:lang w:val="en-GB"/>
              </w:rPr>
              <w:t>(32%)</w:t>
            </w:r>
            <w:r>
              <w:rPr>
                <w:lang w:val="en-GB"/>
              </w:rPr>
              <w:br/>
              <w:t>1124</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5,9</w:t>
            </w:r>
          </w:p>
          <w:p w:rsidR="001F1CED" w:rsidRDefault="001F1CED" w:rsidP="00A87F7C">
            <w:pPr>
              <w:rPr>
                <w:lang w:val="en-GB"/>
              </w:rPr>
            </w:pPr>
            <w:r>
              <w:rPr>
                <w:lang w:val="en-GB"/>
              </w:rPr>
              <w:t xml:space="preserve">2,9 </w:t>
            </w:r>
          </w:p>
          <w:p w:rsidR="001F1CED" w:rsidRDefault="001F1CED" w:rsidP="00A87F7C">
            <w:pPr>
              <w:rPr>
                <w:lang w:val="en-GB"/>
              </w:rPr>
            </w:pPr>
            <w:r>
              <w:rPr>
                <w:lang w:val="en-GB"/>
              </w:rPr>
              <w:t>(49%)</w:t>
            </w:r>
            <w:r>
              <w:rPr>
                <w:lang w:val="en-GB"/>
              </w:rPr>
              <w:br/>
              <w:t>548</w:t>
            </w:r>
            <w:r>
              <w:rPr>
                <w:lang w:val="en-GB"/>
              </w:rPr>
              <w:br/>
              <w:t>&lt;0,001</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6,2</w:t>
            </w:r>
          </w:p>
          <w:p w:rsidR="001F1CED" w:rsidRDefault="001F1CED" w:rsidP="00A87F7C">
            <w:pPr>
              <w:rPr>
                <w:lang w:val="en-GB"/>
              </w:rPr>
            </w:pPr>
            <w:r>
              <w:rPr>
                <w:lang w:val="en-GB"/>
              </w:rPr>
              <w:t xml:space="preserve">3,4 </w:t>
            </w:r>
          </w:p>
          <w:p w:rsidR="001F1CED" w:rsidRDefault="001F1CED" w:rsidP="00A87F7C">
            <w:pPr>
              <w:rPr>
                <w:lang w:val="en-GB"/>
              </w:rPr>
            </w:pPr>
            <w:r>
              <w:rPr>
                <w:lang w:val="en-GB"/>
              </w:rPr>
              <w:t>(55%)</w:t>
            </w:r>
            <w:r>
              <w:rPr>
                <w:lang w:val="en-GB"/>
              </w:rPr>
              <w:br/>
              <w:t>1151</w:t>
            </w:r>
            <w:r>
              <w:rPr>
                <w:lang w:val="en-GB"/>
              </w:rPr>
              <w:br/>
              <w:t>&lt;0,001</w:t>
            </w:r>
          </w:p>
        </w:tc>
        <w:tc>
          <w:tcPr>
            <w:tcW w:w="750"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5,4</w:t>
            </w:r>
          </w:p>
          <w:p w:rsidR="001F1CED" w:rsidRDefault="001F1CED" w:rsidP="00A87F7C">
            <w:pPr>
              <w:rPr>
                <w:lang w:val="en-GB"/>
              </w:rPr>
            </w:pPr>
            <w:r>
              <w:rPr>
                <w:lang w:val="en-GB"/>
              </w:rPr>
              <w:t xml:space="preserve">2,1 </w:t>
            </w:r>
          </w:p>
          <w:p w:rsidR="001F1CED" w:rsidRDefault="001F1CED" w:rsidP="00A87F7C">
            <w:pPr>
              <w:rPr>
                <w:lang w:val="en-GB"/>
              </w:rPr>
            </w:pPr>
            <w:r>
              <w:rPr>
                <w:lang w:val="en-GB"/>
              </w:rPr>
              <w:t>(39%)</w:t>
            </w:r>
            <w:r>
              <w:rPr>
                <w:lang w:val="en-GB"/>
              </w:rPr>
              <w:br/>
              <w:t>250</w:t>
            </w:r>
            <w:r>
              <w:rPr>
                <w:lang w:val="en-GB"/>
              </w:rPr>
              <w:br/>
              <w:t>0,031</w:t>
            </w:r>
          </w:p>
        </w:tc>
      </w:tr>
      <w:tr w:rsidR="001F1CED" w:rsidTr="00A87F7C">
        <w:trPr>
          <w:cantSplit/>
        </w:trPr>
        <w:tc>
          <w:tcPr>
            <w:tcW w:w="2229" w:type="pct"/>
            <w:tcBorders>
              <w:top w:val="single" w:sz="4" w:space="0" w:color="auto"/>
              <w:left w:val="single" w:sz="4" w:space="0" w:color="auto"/>
              <w:bottom w:val="single" w:sz="4" w:space="0" w:color="auto"/>
              <w:right w:val="nil"/>
            </w:tcBorders>
            <w:hideMark/>
          </w:tcPr>
          <w:p w:rsidR="001F1CED" w:rsidRDefault="001F1CED" w:rsidP="00A87F7C">
            <w:r>
              <w:t>Antal episoder af inkontinens pr. 24 timer</w:t>
            </w:r>
          </w:p>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750" w:type="pct"/>
            <w:tcBorders>
              <w:top w:val="single" w:sz="4" w:space="0" w:color="auto"/>
              <w:left w:val="nil"/>
              <w:bottom w:val="single" w:sz="4" w:space="0" w:color="auto"/>
              <w:right w:val="single" w:sz="4" w:space="0" w:color="auto"/>
            </w:tcBorders>
          </w:tcPr>
          <w:p w:rsidR="001F1CED" w:rsidRDefault="001F1CED" w:rsidP="00A87F7C"/>
        </w:tc>
      </w:tr>
      <w:tr w:rsidR="001F1CED" w:rsidTr="00A87F7C">
        <w:trPr>
          <w:cantSplit/>
        </w:trPr>
        <w:tc>
          <w:tcPr>
            <w:tcW w:w="2229" w:type="pct"/>
            <w:tcBorders>
              <w:top w:val="single" w:sz="4" w:space="0" w:color="auto"/>
              <w:left w:val="single" w:sz="4" w:space="0" w:color="auto"/>
              <w:bottom w:val="single" w:sz="4" w:space="0" w:color="auto"/>
              <w:right w:val="single" w:sz="4" w:space="0" w:color="auto"/>
            </w:tcBorders>
            <w:hideMark/>
          </w:tcPr>
          <w:p w:rsidR="001F1CED" w:rsidRDefault="001F1CED" w:rsidP="00A87F7C">
            <w:pPr>
              <w:tabs>
                <w:tab w:val="left" w:pos="709"/>
              </w:tabs>
            </w:pPr>
            <w:r>
              <w:tab/>
              <w:t xml:space="preserve">Gennemsnitlig </w:t>
            </w:r>
            <w:r>
              <w:rPr>
                <w:i/>
              </w:rPr>
              <w:t>baseline</w:t>
            </w:r>
            <w:r>
              <w:br/>
            </w:r>
            <w:r>
              <w:tab/>
              <w:t xml:space="preserve">Gennemsnitlig reduktion fra </w:t>
            </w:r>
            <w:r>
              <w:rPr>
                <w:i/>
              </w:rPr>
              <w:t>baseline</w:t>
            </w:r>
            <w:r>
              <w:br/>
            </w:r>
            <w:r>
              <w:tab/>
              <w:t xml:space="preserve">% ændring fra </w:t>
            </w:r>
            <w:r>
              <w:rPr>
                <w:i/>
              </w:rPr>
              <w:t>baseline</w:t>
            </w:r>
          </w:p>
          <w:p w:rsidR="001F1CED" w:rsidRDefault="001F1CED" w:rsidP="00A87F7C">
            <w:pPr>
              <w:tabs>
                <w:tab w:val="left" w:pos="709"/>
              </w:tabs>
              <w:rPr>
                <w:lang w:val="en-GB"/>
              </w:rPr>
            </w:pPr>
            <w:r>
              <w:tab/>
            </w:r>
            <w:r>
              <w:rPr>
                <w:lang w:val="en-GB"/>
              </w:rPr>
              <w:t>n</w:t>
            </w:r>
            <w:r>
              <w:rPr>
                <w:lang w:val="en-GB"/>
              </w:rPr>
              <w:br/>
            </w:r>
            <w:r>
              <w:rPr>
                <w:lang w:val="en-GB"/>
              </w:rPr>
              <w:tab/>
              <w:t>p-</w:t>
            </w:r>
            <w:proofErr w:type="spellStart"/>
            <w:r>
              <w:rPr>
                <w:lang w:val="en-GB"/>
              </w:rPr>
              <w:t>værdi</w:t>
            </w:r>
            <w:proofErr w:type="spellEnd"/>
            <w:r>
              <w:rPr>
                <w:lang w:val="en-GB"/>
              </w:rPr>
              <w:t>*</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2,9</w:t>
            </w:r>
          </w:p>
          <w:p w:rsidR="001F1CED" w:rsidRDefault="001F1CED" w:rsidP="00A87F7C">
            <w:pPr>
              <w:rPr>
                <w:lang w:val="en-GB"/>
              </w:rPr>
            </w:pPr>
            <w:r>
              <w:rPr>
                <w:lang w:val="en-GB"/>
              </w:rPr>
              <w:t>1,1</w:t>
            </w:r>
          </w:p>
          <w:p w:rsidR="001F1CED" w:rsidRDefault="001F1CED" w:rsidP="00A87F7C">
            <w:pPr>
              <w:rPr>
                <w:lang w:val="en-GB"/>
              </w:rPr>
            </w:pPr>
            <w:r>
              <w:rPr>
                <w:lang w:val="en-GB"/>
              </w:rPr>
              <w:t xml:space="preserve"> (38%)</w:t>
            </w:r>
            <w:r>
              <w:rPr>
                <w:lang w:val="en-GB"/>
              </w:rPr>
              <w:br/>
              <w:t>781</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2,6</w:t>
            </w:r>
          </w:p>
          <w:p w:rsidR="001F1CED" w:rsidRDefault="001F1CED" w:rsidP="00A87F7C">
            <w:pPr>
              <w:rPr>
                <w:lang w:val="en-GB"/>
              </w:rPr>
            </w:pPr>
            <w:r>
              <w:rPr>
                <w:lang w:val="en-GB"/>
              </w:rPr>
              <w:t xml:space="preserve">1,5 </w:t>
            </w:r>
          </w:p>
          <w:p w:rsidR="001F1CED" w:rsidRDefault="001F1CED" w:rsidP="00A87F7C">
            <w:pPr>
              <w:rPr>
                <w:lang w:val="en-GB"/>
              </w:rPr>
            </w:pPr>
            <w:r>
              <w:rPr>
                <w:lang w:val="en-GB"/>
              </w:rPr>
              <w:t>(58%)</w:t>
            </w:r>
            <w:r>
              <w:rPr>
                <w:lang w:val="en-GB"/>
              </w:rPr>
              <w:br/>
              <w:t>314</w:t>
            </w:r>
            <w:r>
              <w:rPr>
                <w:lang w:val="en-GB"/>
              </w:rPr>
              <w:br/>
              <w:t>&lt;0,001</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2,9</w:t>
            </w:r>
          </w:p>
          <w:p w:rsidR="001F1CED" w:rsidRDefault="001F1CED" w:rsidP="00A87F7C">
            <w:pPr>
              <w:rPr>
                <w:lang w:val="en-GB"/>
              </w:rPr>
            </w:pPr>
            <w:r>
              <w:rPr>
                <w:lang w:val="en-GB"/>
              </w:rPr>
              <w:t xml:space="preserve">1,8 </w:t>
            </w:r>
          </w:p>
          <w:p w:rsidR="001F1CED" w:rsidRDefault="001F1CED" w:rsidP="00A87F7C">
            <w:pPr>
              <w:rPr>
                <w:lang w:val="en-GB"/>
              </w:rPr>
            </w:pPr>
            <w:r>
              <w:rPr>
                <w:lang w:val="en-GB"/>
              </w:rPr>
              <w:t>(62%)</w:t>
            </w:r>
            <w:r>
              <w:rPr>
                <w:lang w:val="en-GB"/>
              </w:rPr>
              <w:br/>
              <w:t>778</w:t>
            </w:r>
            <w:r>
              <w:rPr>
                <w:lang w:val="en-GB"/>
              </w:rPr>
              <w:br/>
              <w:t>&lt;0,001</w:t>
            </w:r>
          </w:p>
        </w:tc>
        <w:tc>
          <w:tcPr>
            <w:tcW w:w="750"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2,3</w:t>
            </w:r>
          </w:p>
          <w:p w:rsidR="001F1CED" w:rsidRDefault="001F1CED" w:rsidP="00A87F7C">
            <w:pPr>
              <w:rPr>
                <w:lang w:val="en-GB"/>
              </w:rPr>
            </w:pPr>
            <w:r>
              <w:rPr>
                <w:lang w:val="en-GB"/>
              </w:rPr>
              <w:t xml:space="preserve">1,1 </w:t>
            </w:r>
          </w:p>
          <w:p w:rsidR="001F1CED" w:rsidRDefault="001F1CED" w:rsidP="00A87F7C">
            <w:pPr>
              <w:rPr>
                <w:lang w:val="en-GB"/>
              </w:rPr>
            </w:pPr>
            <w:r>
              <w:rPr>
                <w:lang w:val="en-GB"/>
              </w:rPr>
              <w:t>(48%)</w:t>
            </w:r>
            <w:r>
              <w:rPr>
                <w:lang w:val="en-GB"/>
              </w:rPr>
              <w:br/>
              <w:t>157</w:t>
            </w:r>
            <w:r>
              <w:rPr>
                <w:lang w:val="en-GB"/>
              </w:rPr>
              <w:br/>
              <w:t>0,009</w:t>
            </w:r>
          </w:p>
        </w:tc>
      </w:tr>
      <w:tr w:rsidR="001F1CED" w:rsidTr="00A87F7C">
        <w:trPr>
          <w:cantSplit/>
        </w:trPr>
        <w:tc>
          <w:tcPr>
            <w:tcW w:w="2229" w:type="pct"/>
            <w:tcBorders>
              <w:top w:val="single" w:sz="4" w:space="0" w:color="auto"/>
              <w:left w:val="single" w:sz="4" w:space="0" w:color="auto"/>
              <w:bottom w:val="single" w:sz="4" w:space="0" w:color="auto"/>
              <w:right w:val="nil"/>
            </w:tcBorders>
            <w:hideMark/>
          </w:tcPr>
          <w:p w:rsidR="001F1CED" w:rsidRDefault="001F1CED" w:rsidP="00A87F7C">
            <w:r>
              <w:t xml:space="preserve">Antal episoder af </w:t>
            </w:r>
            <w:proofErr w:type="spellStart"/>
            <w:r>
              <w:t>nocturi</w:t>
            </w:r>
            <w:proofErr w:type="spellEnd"/>
            <w:r>
              <w:t xml:space="preserve"> pr. 24 timer</w:t>
            </w:r>
          </w:p>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750" w:type="pct"/>
            <w:tcBorders>
              <w:top w:val="single" w:sz="4" w:space="0" w:color="auto"/>
              <w:left w:val="nil"/>
              <w:bottom w:val="single" w:sz="4" w:space="0" w:color="auto"/>
              <w:right w:val="single" w:sz="4" w:space="0" w:color="auto"/>
            </w:tcBorders>
          </w:tcPr>
          <w:p w:rsidR="001F1CED" w:rsidRDefault="001F1CED" w:rsidP="00A87F7C"/>
        </w:tc>
      </w:tr>
      <w:tr w:rsidR="001F1CED" w:rsidTr="00A87F7C">
        <w:trPr>
          <w:cantSplit/>
        </w:trPr>
        <w:tc>
          <w:tcPr>
            <w:tcW w:w="2229" w:type="pct"/>
            <w:tcBorders>
              <w:top w:val="single" w:sz="4" w:space="0" w:color="auto"/>
              <w:left w:val="single" w:sz="4" w:space="0" w:color="auto"/>
              <w:bottom w:val="single" w:sz="4" w:space="0" w:color="auto"/>
              <w:right w:val="single" w:sz="4" w:space="0" w:color="auto"/>
            </w:tcBorders>
            <w:hideMark/>
          </w:tcPr>
          <w:p w:rsidR="001F1CED" w:rsidRDefault="001F1CED" w:rsidP="00A87F7C">
            <w:pPr>
              <w:tabs>
                <w:tab w:val="left" w:pos="709"/>
              </w:tabs>
            </w:pPr>
            <w:r>
              <w:tab/>
              <w:t xml:space="preserve">Gennemsnitlig </w:t>
            </w:r>
            <w:r>
              <w:rPr>
                <w:i/>
              </w:rPr>
              <w:t>baseline</w:t>
            </w:r>
            <w:r>
              <w:br/>
            </w:r>
            <w:r>
              <w:tab/>
              <w:t xml:space="preserve">Gennemsnitlig reduktion fra </w:t>
            </w:r>
            <w:r>
              <w:rPr>
                <w:i/>
              </w:rPr>
              <w:t>baseline</w:t>
            </w:r>
            <w:r>
              <w:br/>
            </w:r>
            <w:r>
              <w:tab/>
              <w:t xml:space="preserve">% ændring fra </w:t>
            </w:r>
            <w:r>
              <w:rPr>
                <w:i/>
              </w:rPr>
              <w:t>baseline</w:t>
            </w:r>
          </w:p>
          <w:p w:rsidR="001F1CED" w:rsidRDefault="001F1CED" w:rsidP="00A87F7C">
            <w:pPr>
              <w:tabs>
                <w:tab w:val="left" w:pos="709"/>
              </w:tabs>
            </w:pPr>
            <w:r>
              <w:tab/>
              <w:t>n</w:t>
            </w:r>
            <w:r>
              <w:br/>
            </w:r>
            <w:r>
              <w:tab/>
            </w:r>
            <w:proofErr w:type="spellStart"/>
            <w:r>
              <w:t>p-værdi</w:t>
            </w:r>
            <w:proofErr w:type="spellEnd"/>
            <w:r>
              <w:t>*</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1,8</w:t>
            </w:r>
          </w:p>
          <w:p w:rsidR="001F1CED" w:rsidRDefault="001F1CED" w:rsidP="00A87F7C">
            <w:pPr>
              <w:rPr>
                <w:lang w:val="en-GB"/>
              </w:rPr>
            </w:pPr>
            <w:r>
              <w:rPr>
                <w:lang w:val="en-GB"/>
              </w:rPr>
              <w:t xml:space="preserve">0,4 </w:t>
            </w:r>
          </w:p>
          <w:p w:rsidR="001F1CED" w:rsidRDefault="001F1CED" w:rsidP="00A87F7C">
            <w:pPr>
              <w:rPr>
                <w:lang w:val="en-GB"/>
              </w:rPr>
            </w:pPr>
            <w:r>
              <w:rPr>
                <w:lang w:val="en-GB"/>
              </w:rPr>
              <w:t>(22%)</w:t>
            </w:r>
            <w:r>
              <w:rPr>
                <w:lang w:val="en-GB"/>
              </w:rPr>
              <w:br/>
              <w:t>1005</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2,0</w:t>
            </w:r>
          </w:p>
          <w:p w:rsidR="001F1CED" w:rsidRDefault="001F1CED" w:rsidP="00A87F7C">
            <w:pPr>
              <w:rPr>
                <w:lang w:val="en-GB"/>
              </w:rPr>
            </w:pPr>
            <w:r>
              <w:rPr>
                <w:lang w:val="en-GB"/>
              </w:rPr>
              <w:t xml:space="preserve">0,6 </w:t>
            </w:r>
          </w:p>
          <w:p w:rsidR="001F1CED" w:rsidRDefault="001F1CED" w:rsidP="00A87F7C">
            <w:pPr>
              <w:rPr>
                <w:lang w:val="en-GB"/>
              </w:rPr>
            </w:pPr>
            <w:r>
              <w:rPr>
                <w:lang w:val="en-GB"/>
              </w:rPr>
              <w:t>(30%)</w:t>
            </w:r>
            <w:r>
              <w:rPr>
                <w:lang w:val="en-GB"/>
              </w:rPr>
              <w:br/>
              <w:t>494</w:t>
            </w:r>
            <w:r>
              <w:rPr>
                <w:lang w:val="en-GB"/>
              </w:rPr>
              <w:br/>
              <w:t>0,025</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1,8</w:t>
            </w:r>
          </w:p>
          <w:p w:rsidR="001F1CED" w:rsidRDefault="001F1CED" w:rsidP="00A87F7C">
            <w:pPr>
              <w:rPr>
                <w:lang w:val="en-GB"/>
              </w:rPr>
            </w:pPr>
            <w:r>
              <w:rPr>
                <w:lang w:val="en-GB"/>
              </w:rPr>
              <w:t>0,6</w:t>
            </w:r>
          </w:p>
          <w:p w:rsidR="001F1CED" w:rsidRDefault="001F1CED" w:rsidP="00A87F7C">
            <w:pPr>
              <w:rPr>
                <w:lang w:val="en-GB"/>
              </w:rPr>
            </w:pPr>
            <w:r>
              <w:rPr>
                <w:lang w:val="en-GB"/>
              </w:rPr>
              <w:t xml:space="preserve"> (33%)</w:t>
            </w:r>
            <w:r>
              <w:rPr>
                <w:lang w:val="en-GB"/>
              </w:rPr>
              <w:br/>
              <w:t>1035</w:t>
            </w:r>
            <w:r>
              <w:rPr>
                <w:lang w:val="en-GB"/>
              </w:rPr>
              <w:br/>
              <w:t>&lt;0,001</w:t>
            </w:r>
          </w:p>
        </w:tc>
        <w:tc>
          <w:tcPr>
            <w:tcW w:w="750"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1,9</w:t>
            </w:r>
          </w:p>
          <w:p w:rsidR="001F1CED" w:rsidRDefault="001F1CED" w:rsidP="00A87F7C">
            <w:pPr>
              <w:rPr>
                <w:lang w:val="en-GB"/>
              </w:rPr>
            </w:pPr>
            <w:r>
              <w:rPr>
                <w:lang w:val="en-GB"/>
              </w:rPr>
              <w:t xml:space="preserve">0,5 </w:t>
            </w:r>
          </w:p>
          <w:p w:rsidR="001F1CED" w:rsidRDefault="001F1CED" w:rsidP="00A87F7C">
            <w:pPr>
              <w:rPr>
                <w:lang w:val="en-GB"/>
              </w:rPr>
            </w:pPr>
            <w:r>
              <w:rPr>
                <w:lang w:val="en-GB"/>
              </w:rPr>
              <w:t>(26%)</w:t>
            </w:r>
            <w:r>
              <w:rPr>
                <w:lang w:val="en-GB"/>
              </w:rPr>
              <w:br/>
              <w:t>232</w:t>
            </w:r>
            <w:r>
              <w:rPr>
                <w:lang w:val="en-GB"/>
              </w:rPr>
              <w:br/>
              <w:t>0,199</w:t>
            </w:r>
          </w:p>
        </w:tc>
      </w:tr>
      <w:tr w:rsidR="001F1CED" w:rsidTr="00A87F7C">
        <w:trPr>
          <w:cantSplit/>
        </w:trPr>
        <w:tc>
          <w:tcPr>
            <w:tcW w:w="2229" w:type="pct"/>
            <w:tcBorders>
              <w:top w:val="single" w:sz="4" w:space="0" w:color="auto"/>
              <w:left w:val="single" w:sz="4" w:space="0" w:color="auto"/>
              <w:bottom w:val="single" w:sz="4" w:space="0" w:color="auto"/>
              <w:right w:val="nil"/>
            </w:tcBorders>
            <w:hideMark/>
          </w:tcPr>
          <w:p w:rsidR="001F1CED" w:rsidRDefault="001F1CED" w:rsidP="00A87F7C">
            <w:pPr>
              <w:keepNext/>
            </w:pPr>
            <w:r>
              <w:lastRenderedPageBreak/>
              <w:t>Mængde af udtømning pr. vandladning</w:t>
            </w:r>
          </w:p>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750" w:type="pct"/>
            <w:tcBorders>
              <w:top w:val="single" w:sz="4" w:space="0" w:color="auto"/>
              <w:left w:val="nil"/>
              <w:bottom w:val="single" w:sz="4" w:space="0" w:color="auto"/>
              <w:right w:val="single" w:sz="4" w:space="0" w:color="auto"/>
            </w:tcBorders>
          </w:tcPr>
          <w:p w:rsidR="001F1CED" w:rsidRDefault="001F1CED" w:rsidP="00A87F7C"/>
        </w:tc>
      </w:tr>
      <w:tr w:rsidR="001F1CED" w:rsidTr="00A87F7C">
        <w:tc>
          <w:tcPr>
            <w:tcW w:w="2229" w:type="pct"/>
            <w:tcBorders>
              <w:top w:val="single" w:sz="4" w:space="0" w:color="auto"/>
              <w:left w:val="single" w:sz="4" w:space="0" w:color="auto"/>
              <w:bottom w:val="single" w:sz="4" w:space="0" w:color="auto"/>
              <w:right w:val="single" w:sz="4" w:space="0" w:color="auto"/>
            </w:tcBorders>
            <w:hideMark/>
          </w:tcPr>
          <w:p w:rsidR="001F1CED" w:rsidRDefault="001F1CED" w:rsidP="00A87F7C">
            <w:pPr>
              <w:tabs>
                <w:tab w:val="left" w:pos="709"/>
              </w:tabs>
            </w:pPr>
            <w:r>
              <w:tab/>
              <w:t xml:space="preserve">Gennemsnitlig </w:t>
            </w:r>
            <w:r>
              <w:rPr>
                <w:i/>
              </w:rPr>
              <w:t>baseline</w:t>
            </w:r>
            <w:r>
              <w:br/>
            </w:r>
            <w:r>
              <w:tab/>
              <w:t xml:space="preserve">Gennemsnitlig øgning fra </w:t>
            </w:r>
            <w:r>
              <w:rPr>
                <w:i/>
              </w:rPr>
              <w:t>baseline</w:t>
            </w:r>
            <w:r>
              <w:br/>
            </w:r>
            <w:r>
              <w:tab/>
              <w:t xml:space="preserve">% ændring fra </w:t>
            </w:r>
            <w:r>
              <w:rPr>
                <w:i/>
              </w:rPr>
              <w:t>baseline</w:t>
            </w:r>
          </w:p>
          <w:p w:rsidR="001F1CED" w:rsidRDefault="001F1CED" w:rsidP="00A87F7C">
            <w:pPr>
              <w:tabs>
                <w:tab w:val="left" w:pos="709"/>
              </w:tabs>
            </w:pPr>
            <w:r>
              <w:tab/>
              <w:t>n</w:t>
            </w:r>
            <w:r>
              <w:br/>
            </w:r>
            <w:r>
              <w:tab/>
            </w:r>
            <w:proofErr w:type="spellStart"/>
            <w:r>
              <w:t>p-værdi</w:t>
            </w:r>
            <w:proofErr w:type="spellEnd"/>
            <w:r>
              <w:t>*</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166 ml</w:t>
            </w:r>
          </w:p>
          <w:p w:rsidR="001F1CED" w:rsidRDefault="001F1CED" w:rsidP="00A87F7C">
            <w:pPr>
              <w:rPr>
                <w:lang w:val="en-GB"/>
              </w:rPr>
            </w:pPr>
            <w:r>
              <w:rPr>
                <w:lang w:val="en-GB"/>
              </w:rPr>
              <w:t xml:space="preserve">9 ml </w:t>
            </w:r>
          </w:p>
          <w:p w:rsidR="001F1CED" w:rsidRDefault="001F1CED" w:rsidP="00A87F7C">
            <w:pPr>
              <w:rPr>
                <w:lang w:val="en-GB"/>
              </w:rPr>
            </w:pPr>
            <w:r>
              <w:rPr>
                <w:lang w:val="en-GB"/>
              </w:rPr>
              <w:t>(5%)</w:t>
            </w:r>
            <w:r>
              <w:rPr>
                <w:lang w:val="en-GB"/>
              </w:rPr>
              <w:br/>
              <w:t>1135</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146 ml</w:t>
            </w:r>
          </w:p>
          <w:p w:rsidR="001F1CED" w:rsidRDefault="001F1CED" w:rsidP="00A87F7C">
            <w:pPr>
              <w:rPr>
                <w:lang w:val="en-GB"/>
              </w:rPr>
            </w:pPr>
            <w:r>
              <w:rPr>
                <w:lang w:val="en-GB"/>
              </w:rPr>
              <w:t xml:space="preserve">32 ml </w:t>
            </w:r>
          </w:p>
          <w:p w:rsidR="001F1CED" w:rsidRDefault="001F1CED" w:rsidP="00A87F7C">
            <w:pPr>
              <w:rPr>
                <w:lang w:val="en-GB"/>
              </w:rPr>
            </w:pPr>
            <w:r>
              <w:rPr>
                <w:lang w:val="en-GB"/>
              </w:rPr>
              <w:t>(21%)</w:t>
            </w:r>
            <w:r>
              <w:rPr>
                <w:lang w:val="en-GB"/>
              </w:rPr>
              <w:br/>
              <w:t>552</w:t>
            </w:r>
            <w:r>
              <w:rPr>
                <w:lang w:val="en-GB"/>
              </w:rPr>
              <w:br/>
              <w:t>&lt;0,001</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163 ml</w:t>
            </w:r>
          </w:p>
          <w:p w:rsidR="001F1CED" w:rsidRDefault="001F1CED" w:rsidP="00A87F7C">
            <w:pPr>
              <w:rPr>
                <w:lang w:val="en-GB"/>
              </w:rPr>
            </w:pPr>
            <w:r>
              <w:rPr>
                <w:lang w:val="en-GB"/>
              </w:rPr>
              <w:t xml:space="preserve">43 ml </w:t>
            </w:r>
          </w:p>
          <w:p w:rsidR="001F1CED" w:rsidRDefault="001F1CED" w:rsidP="00A87F7C">
            <w:pPr>
              <w:rPr>
                <w:lang w:val="en-GB"/>
              </w:rPr>
            </w:pPr>
            <w:r>
              <w:rPr>
                <w:lang w:val="en-GB"/>
              </w:rPr>
              <w:t>(26%)</w:t>
            </w:r>
            <w:r>
              <w:rPr>
                <w:lang w:val="en-GB"/>
              </w:rPr>
              <w:br/>
              <w:t>1156</w:t>
            </w:r>
            <w:r>
              <w:rPr>
                <w:lang w:val="en-GB"/>
              </w:rPr>
              <w:br/>
              <w:t>&lt;0,001</w:t>
            </w:r>
          </w:p>
        </w:tc>
        <w:tc>
          <w:tcPr>
            <w:tcW w:w="750"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147 ml</w:t>
            </w:r>
          </w:p>
          <w:p w:rsidR="001F1CED" w:rsidRDefault="001F1CED" w:rsidP="00A87F7C">
            <w:pPr>
              <w:rPr>
                <w:lang w:val="en-GB"/>
              </w:rPr>
            </w:pPr>
            <w:r>
              <w:rPr>
                <w:lang w:val="en-GB"/>
              </w:rPr>
              <w:t xml:space="preserve">24 ml </w:t>
            </w:r>
          </w:p>
          <w:p w:rsidR="001F1CED" w:rsidRDefault="001F1CED" w:rsidP="00A87F7C">
            <w:pPr>
              <w:rPr>
                <w:lang w:val="en-GB"/>
              </w:rPr>
            </w:pPr>
            <w:r>
              <w:rPr>
                <w:lang w:val="en-GB"/>
              </w:rPr>
              <w:t>(16%)</w:t>
            </w:r>
            <w:r>
              <w:rPr>
                <w:lang w:val="en-GB"/>
              </w:rPr>
              <w:br/>
              <w:t>250</w:t>
            </w:r>
            <w:r>
              <w:rPr>
                <w:lang w:val="en-GB"/>
              </w:rPr>
              <w:br/>
              <w:t>&lt;0,001</w:t>
            </w:r>
          </w:p>
        </w:tc>
      </w:tr>
      <w:tr w:rsidR="001F1CED" w:rsidTr="00A87F7C">
        <w:trPr>
          <w:cantSplit/>
        </w:trPr>
        <w:tc>
          <w:tcPr>
            <w:tcW w:w="2229" w:type="pct"/>
            <w:tcBorders>
              <w:top w:val="single" w:sz="4" w:space="0" w:color="auto"/>
              <w:left w:val="single" w:sz="4" w:space="0" w:color="auto"/>
              <w:bottom w:val="single" w:sz="4" w:space="0" w:color="auto"/>
              <w:right w:val="nil"/>
            </w:tcBorders>
            <w:hideMark/>
          </w:tcPr>
          <w:p w:rsidR="001F1CED" w:rsidRDefault="001F1CED" w:rsidP="00A87F7C">
            <w:r>
              <w:t>Antal af bind pr. 24 timer</w:t>
            </w:r>
          </w:p>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674" w:type="pct"/>
            <w:tcBorders>
              <w:top w:val="single" w:sz="4" w:space="0" w:color="auto"/>
              <w:left w:val="nil"/>
              <w:bottom w:val="single" w:sz="4" w:space="0" w:color="auto"/>
              <w:right w:val="nil"/>
            </w:tcBorders>
          </w:tcPr>
          <w:p w:rsidR="001F1CED" w:rsidRDefault="001F1CED" w:rsidP="00A87F7C"/>
        </w:tc>
        <w:tc>
          <w:tcPr>
            <w:tcW w:w="750" w:type="pct"/>
            <w:tcBorders>
              <w:top w:val="single" w:sz="4" w:space="0" w:color="auto"/>
              <w:left w:val="nil"/>
              <w:bottom w:val="single" w:sz="4" w:space="0" w:color="auto"/>
              <w:right w:val="single" w:sz="4" w:space="0" w:color="auto"/>
            </w:tcBorders>
          </w:tcPr>
          <w:p w:rsidR="001F1CED" w:rsidRDefault="001F1CED" w:rsidP="00A87F7C"/>
        </w:tc>
      </w:tr>
      <w:tr w:rsidR="001F1CED" w:rsidTr="00A87F7C">
        <w:tc>
          <w:tcPr>
            <w:tcW w:w="2229" w:type="pct"/>
            <w:tcBorders>
              <w:top w:val="single" w:sz="4" w:space="0" w:color="auto"/>
              <w:left w:val="single" w:sz="4" w:space="0" w:color="auto"/>
              <w:bottom w:val="single" w:sz="4" w:space="0" w:color="auto"/>
              <w:right w:val="single" w:sz="4" w:space="0" w:color="auto"/>
            </w:tcBorders>
            <w:hideMark/>
          </w:tcPr>
          <w:p w:rsidR="001F1CED" w:rsidRDefault="001F1CED" w:rsidP="00A87F7C">
            <w:pPr>
              <w:tabs>
                <w:tab w:val="left" w:pos="709"/>
              </w:tabs>
            </w:pPr>
            <w:r>
              <w:tab/>
              <w:t xml:space="preserve">Gennemsnitlig </w:t>
            </w:r>
            <w:r>
              <w:rPr>
                <w:i/>
              </w:rPr>
              <w:t>baseline</w:t>
            </w:r>
            <w:r>
              <w:br/>
            </w:r>
            <w:r>
              <w:tab/>
              <w:t xml:space="preserve">Gennemsnitlig reduktion fra </w:t>
            </w:r>
            <w:r>
              <w:rPr>
                <w:i/>
              </w:rPr>
              <w:t>baseline</w:t>
            </w:r>
            <w:r>
              <w:br/>
            </w:r>
            <w:r>
              <w:tab/>
              <w:t xml:space="preserve">% ændring fra </w:t>
            </w:r>
            <w:r>
              <w:rPr>
                <w:i/>
              </w:rPr>
              <w:t>baseline</w:t>
            </w:r>
          </w:p>
          <w:p w:rsidR="001F1CED" w:rsidRDefault="001F1CED" w:rsidP="00A87F7C">
            <w:pPr>
              <w:tabs>
                <w:tab w:val="left" w:pos="709"/>
              </w:tabs>
            </w:pPr>
            <w:r>
              <w:tab/>
              <w:t>n</w:t>
            </w:r>
            <w:r>
              <w:br/>
            </w:r>
            <w:r>
              <w:tab/>
            </w:r>
            <w:proofErr w:type="spellStart"/>
            <w:r>
              <w:t>p-værdi</w:t>
            </w:r>
            <w:proofErr w:type="spellEnd"/>
            <w:r>
              <w:t>*</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3,0</w:t>
            </w:r>
          </w:p>
          <w:p w:rsidR="001F1CED" w:rsidRDefault="001F1CED" w:rsidP="00A87F7C">
            <w:pPr>
              <w:rPr>
                <w:lang w:val="en-GB"/>
              </w:rPr>
            </w:pPr>
            <w:r>
              <w:rPr>
                <w:lang w:val="en-GB"/>
              </w:rPr>
              <w:t xml:space="preserve">0,8 </w:t>
            </w:r>
          </w:p>
          <w:p w:rsidR="001F1CED" w:rsidRDefault="001F1CED" w:rsidP="00A87F7C">
            <w:pPr>
              <w:rPr>
                <w:lang w:val="en-GB"/>
              </w:rPr>
            </w:pPr>
            <w:r>
              <w:rPr>
                <w:lang w:val="en-GB"/>
              </w:rPr>
              <w:t>(27%)</w:t>
            </w:r>
            <w:r>
              <w:rPr>
                <w:lang w:val="en-GB"/>
              </w:rPr>
              <w:br/>
              <w:t>238</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2,8</w:t>
            </w:r>
          </w:p>
          <w:p w:rsidR="001F1CED" w:rsidRDefault="001F1CED" w:rsidP="00A87F7C">
            <w:pPr>
              <w:rPr>
                <w:lang w:val="en-GB"/>
              </w:rPr>
            </w:pPr>
            <w:r>
              <w:rPr>
                <w:lang w:val="en-GB"/>
              </w:rPr>
              <w:t>1,3</w:t>
            </w:r>
          </w:p>
          <w:p w:rsidR="001F1CED" w:rsidRDefault="001F1CED" w:rsidP="00A87F7C">
            <w:pPr>
              <w:rPr>
                <w:lang w:val="en-GB"/>
              </w:rPr>
            </w:pPr>
            <w:r>
              <w:rPr>
                <w:lang w:val="en-GB"/>
              </w:rPr>
              <w:t>(46%)</w:t>
            </w:r>
            <w:r>
              <w:rPr>
                <w:lang w:val="en-GB"/>
              </w:rPr>
              <w:br/>
              <w:t>236</w:t>
            </w:r>
            <w:r>
              <w:rPr>
                <w:lang w:val="en-GB"/>
              </w:rPr>
              <w:br/>
              <w:t>&lt;0,001</w:t>
            </w:r>
          </w:p>
        </w:tc>
        <w:tc>
          <w:tcPr>
            <w:tcW w:w="674"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2,7</w:t>
            </w:r>
          </w:p>
          <w:p w:rsidR="001F1CED" w:rsidRDefault="001F1CED" w:rsidP="00A87F7C">
            <w:pPr>
              <w:rPr>
                <w:lang w:val="en-GB"/>
              </w:rPr>
            </w:pPr>
            <w:r>
              <w:rPr>
                <w:lang w:val="en-GB"/>
              </w:rPr>
              <w:t xml:space="preserve">1,3 </w:t>
            </w:r>
          </w:p>
          <w:p w:rsidR="001F1CED" w:rsidRDefault="001F1CED" w:rsidP="00A87F7C">
            <w:pPr>
              <w:rPr>
                <w:lang w:val="en-GB"/>
              </w:rPr>
            </w:pPr>
            <w:r>
              <w:rPr>
                <w:lang w:val="en-GB"/>
              </w:rPr>
              <w:t>(48%)</w:t>
            </w:r>
            <w:r>
              <w:rPr>
                <w:lang w:val="en-GB"/>
              </w:rPr>
              <w:br/>
              <w:t>242</w:t>
            </w:r>
            <w:r>
              <w:rPr>
                <w:lang w:val="en-GB"/>
              </w:rPr>
              <w:br/>
              <w:t>&lt;0,001</w:t>
            </w:r>
          </w:p>
        </w:tc>
        <w:tc>
          <w:tcPr>
            <w:tcW w:w="750" w:type="pct"/>
            <w:tcBorders>
              <w:top w:val="single" w:sz="4" w:space="0" w:color="auto"/>
              <w:left w:val="single" w:sz="4" w:space="0" w:color="auto"/>
              <w:bottom w:val="single" w:sz="4" w:space="0" w:color="auto"/>
              <w:right w:val="single" w:sz="4" w:space="0" w:color="auto"/>
            </w:tcBorders>
            <w:hideMark/>
          </w:tcPr>
          <w:p w:rsidR="001F1CED" w:rsidRDefault="001F1CED" w:rsidP="00A87F7C">
            <w:pPr>
              <w:rPr>
                <w:lang w:val="en-GB"/>
              </w:rPr>
            </w:pPr>
            <w:r>
              <w:rPr>
                <w:lang w:val="en-GB"/>
              </w:rPr>
              <w:t>2,7</w:t>
            </w:r>
          </w:p>
          <w:p w:rsidR="001F1CED" w:rsidRDefault="001F1CED" w:rsidP="00A87F7C">
            <w:pPr>
              <w:rPr>
                <w:lang w:val="en-GB"/>
              </w:rPr>
            </w:pPr>
            <w:r>
              <w:rPr>
                <w:lang w:val="en-GB"/>
              </w:rPr>
              <w:t xml:space="preserve">1,0 </w:t>
            </w:r>
          </w:p>
          <w:p w:rsidR="001F1CED" w:rsidRDefault="001F1CED" w:rsidP="00A87F7C">
            <w:pPr>
              <w:rPr>
                <w:lang w:val="en-GB"/>
              </w:rPr>
            </w:pPr>
            <w:r>
              <w:rPr>
                <w:lang w:val="en-GB"/>
              </w:rPr>
              <w:t>(37%)</w:t>
            </w:r>
            <w:r>
              <w:rPr>
                <w:lang w:val="en-GB"/>
              </w:rPr>
              <w:br/>
              <w:t>250</w:t>
            </w:r>
            <w:r>
              <w:rPr>
                <w:lang w:val="en-GB"/>
              </w:rPr>
              <w:br/>
              <w:t>0,010</w:t>
            </w:r>
          </w:p>
        </w:tc>
      </w:tr>
    </w:tbl>
    <w:p w:rsidR="001F1CED" w:rsidRDefault="001F1CED" w:rsidP="001F1CED">
      <w:pPr>
        <w:ind w:left="1304" w:hanging="1304"/>
        <w:rPr>
          <w:sz w:val="24"/>
          <w:szCs w:val="24"/>
        </w:rPr>
      </w:pPr>
      <w:r>
        <w:rPr>
          <w:sz w:val="24"/>
          <w:szCs w:val="24"/>
          <w:u w:val="single"/>
        </w:rPr>
        <w:t>Bemærk</w:t>
      </w:r>
      <w:r>
        <w:rPr>
          <w:sz w:val="24"/>
          <w:szCs w:val="24"/>
        </w:rPr>
        <w:t xml:space="preserve">: </w:t>
      </w:r>
      <w:r>
        <w:rPr>
          <w:sz w:val="24"/>
          <w:szCs w:val="24"/>
        </w:rPr>
        <w:tab/>
        <w:t xml:space="preserve">I 4 af de pivotale studier blev der brugt </w:t>
      </w:r>
      <w:proofErr w:type="spellStart"/>
      <w:r>
        <w:rPr>
          <w:sz w:val="24"/>
          <w:szCs w:val="24"/>
        </w:rPr>
        <w:t>Vesicare</w:t>
      </w:r>
      <w:proofErr w:type="spellEnd"/>
      <w:r>
        <w:rPr>
          <w:sz w:val="24"/>
          <w:szCs w:val="24"/>
        </w:rPr>
        <w:t xml:space="preserve"> 10 mg og placebo. I 2 ud af 4 studier blev også </w:t>
      </w:r>
      <w:proofErr w:type="spellStart"/>
      <w:r>
        <w:rPr>
          <w:sz w:val="24"/>
          <w:szCs w:val="24"/>
        </w:rPr>
        <w:t>Vesicare</w:t>
      </w:r>
      <w:proofErr w:type="spellEnd"/>
      <w:r>
        <w:rPr>
          <w:sz w:val="24"/>
          <w:szCs w:val="24"/>
        </w:rPr>
        <w:t xml:space="preserve"> 5 mg brugt, og ét af studierne inkluderede </w:t>
      </w:r>
      <w:proofErr w:type="spellStart"/>
      <w:r>
        <w:rPr>
          <w:sz w:val="24"/>
          <w:szCs w:val="24"/>
        </w:rPr>
        <w:t>tolterodin</w:t>
      </w:r>
      <w:proofErr w:type="spellEnd"/>
      <w:r>
        <w:rPr>
          <w:sz w:val="24"/>
          <w:szCs w:val="24"/>
        </w:rPr>
        <w:t xml:space="preserve"> 2 mg 2 gange daglig. Ikke alle parametre og behandlingsgrupper er evalueret for de enkelte studier. Derfor kan antallet af patienter afvige pr. parameter og behandlingsgruppe.</w:t>
      </w:r>
    </w:p>
    <w:p w:rsidR="001F1CED" w:rsidRDefault="001F1CED" w:rsidP="001F1CED">
      <w:pPr>
        <w:suppressAutoHyphens/>
        <w:ind w:firstLine="1304"/>
        <w:rPr>
          <w:sz w:val="24"/>
          <w:szCs w:val="24"/>
        </w:rPr>
      </w:pPr>
      <w:r>
        <w:rPr>
          <w:sz w:val="24"/>
          <w:szCs w:val="24"/>
        </w:rPr>
        <w:t>*</w:t>
      </w:r>
      <w:proofErr w:type="spellStart"/>
      <w:r>
        <w:rPr>
          <w:sz w:val="24"/>
          <w:szCs w:val="24"/>
        </w:rPr>
        <w:t>p-værdi</w:t>
      </w:r>
      <w:proofErr w:type="spellEnd"/>
      <w:r>
        <w:rPr>
          <w:sz w:val="24"/>
          <w:szCs w:val="24"/>
        </w:rPr>
        <w:t xml:space="preserve"> for den parvise sammenligning med placebo</w:t>
      </w:r>
    </w:p>
    <w:p w:rsidR="001F1CED" w:rsidRDefault="001F1CED" w:rsidP="001F1CED">
      <w:pPr>
        <w:ind w:left="851"/>
        <w:rPr>
          <w:i/>
          <w:color w:val="222222"/>
          <w:sz w:val="24"/>
          <w:szCs w:val="24"/>
        </w:rPr>
      </w:pPr>
    </w:p>
    <w:p w:rsidR="001F1CED" w:rsidRDefault="001F1CED" w:rsidP="001F1CED">
      <w:pPr>
        <w:ind w:left="851"/>
        <w:rPr>
          <w:i/>
          <w:color w:val="222222"/>
          <w:sz w:val="24"/>
          <w:szCs w:val="24"/>
        </w:rPr>
      </w:pPr>
      <w:r>
        <w:rPr>
          <w:i/>
          <w:color w:val="222222"/>
          <w:sz w:val="24"/>
          <w:szCs w:val="24"/>
        </w:rPr>
        <w:t>Pædiatrisk population:</w:t>
      </w:r>
    </w:p>
    <w:p w:rsidR="001F1CED" w:rsidRDefault="001F1CED" w:rsidP="001F1CED">
      <w:pPr>
        <w:ind w:left="851"/>
        <w:rPr>
          <w:i/>
          <w:color w:val="222222"/>
          <w:sz w:val="24"/>
          <w:szCs w:val="24"/>
        </w:rPr>
      </w:pPr>
    </w:p>
    <w:p w:rsidR="001F1CED" w:rsidRDefault="001F1CED" w:rsidP="001F1CED">
      <w:pPr>
        <w:ind w:left="851"/>
        <w:rPr>
          <w:color w:val="222222"/>
          <w:sz w:val="24"/>
          <w:szCs w:val="24"/>
          <w:u w:val="single"/>
        </w:rPr>
      </w:pPr>
      <w:r>
        <w:rPr>
          <w:color w:val="222222"/>
          <w:sz w:val="24"/>
          <w:szCs w:val="24"/>
          <w:u w:val="single"/>
        </w:rPr>
        <w:t>Overaktiv blære</w:t>
      </w:r>
    </w:p>
    <w:p w:rsidR="001F1CED" w:rsidRDefault="001F1CED" w:rsidP="001F1CED">
      <w:pPr>
        <w:ind w:left="851"/>
        <w:rPr>
          <w:i/>
          <w:color w:val="222222"/>
          <w:sz w:val="24"/>
          <w:szCs w:val="24"/>
        </w:rPr>
      </w:pPr>
    </w:p>
    <w:p w:rsidR="001F1CED" w:rsidRDefault="001F1CED" w:rsidP="001F1CED">
      <w:pPr>
        <w:ind w:left="851"/>
        <w:rPr>
          <w:i/>
          <w:color w:val="222222"/>
          <w:sz w:val="24"/>
          <w:szCs w:val="24"/>
        </w:rPr>
      </w:pPr>
      <w:r>
        <w:rPr>
          <w:rStyle w:val="shorttext"/>
          <w:i/>
          <w:color w:val="222222"/>
          <w:sz w:val="24"/>
          <w:szCs w:val="24"/>
        </w:rPr>
        <w:t>Børn og unge (5 år og ældre):</w:t>
      </w:r>
    </w:p>
    <w:p w:rsidR="001F1CED" w:rsidRDefault="001F1CED" w:rsidP="001F1CED">
      <w:pPr>
        <w:ind w:left="851"/>
        <w:rPr>
          <w:color w:val="222222"/>
          <w:sz w:val="24"/>
          <w:szCs w:val="24"/>
        </w:rPr>
      </w:pPr>
      <w:r>
        <w:rPr>
          <w:color w:val="222222"/>
          <w:sz w:val="24"/>
          <w:szCs w:val="24"/>
        </w:rPr>
        <w:t xml:space="preserve">Behandling med </w:t>
      </w:r>
      <w:proofErr w:type="spellStart"/>
      <w:r>
        <w:rPr>
          <w:color w:val="222222"/>
          <w:sz w:val="24"/>
          <w:szCs w:val="24"/>
        </w:rPr>
        <w:t>Vesicare</w:t>
      </w:r>
      <w:proofErr w:type="spellEnd"/>
      <w:r>
        <w:rPr>
          <w:color w:val="222222"/>
          <w:sz w:val="24"/>
          <w:szCs w:val="24"/>
        </w:rPr>
        <w:t xml:space="preserve"> oral suspension blev undersøgt i to kliniske studier. Et 12-ugers </w:t>
      </w:r>
    </w:p>
    <w:p w:rsidR="001F1CED" w:rsidRDefault="001F1CED" w:rsidP="001F1CED">
      <w:pPr>
        <w:ind w:left="851"/>
        <w:rPr>
          <w:color w:val="222222"/>
          <w:sz w:val="24"/>
          <w:szCs w:val="24"/>
        </w:rPr>
      </w:pPr>
      <w:r>
        <w:rPr>
          <w:color w:val="222222"/>
          <w:sz w:val="24"/>
          <w:szCs w:val="24"/>
        </w:rPr>
        <w:t xml:space="preserve">dobbeltblindet, randomiseret, placebo-kontrolleret, klinisk forsøg (905-CL-076) blev udført i 189 pædiatriske patienter med OAB (73 børn i alderen 5 til 11 år og 22 unge i alderen 12 til 17 år blev behandlet med </w:t>
      </w:r>
      <w:proofErr w:type="spellStart"/>
      <w:r>
        <w:rPr>
          <w:color w:val="222222"/>
          <w:sz w:val="24"/>
          <w:szCs w:val="24"/>
        </w:rPr>
        <w:t>solifenacin</w:t>
      </w:r>
      <w:proofErr w:type="spellEnd"/>
      <w:r>
        <w:rPr>
          <w:color w:val="222222"/>
          <w:sz w:val="24"/>
          <w:szCs w:val="24"/>
        </w:rPr>
        <w:t xml:space="preserve">). Dette blev efterfulgt af et 40-ugers langsigtet, åbent forlængelsesstudie (905-CL-077) i 148 pædiatriske patienter (119 børn og 29 unge blev behandlet med </w:t>
      </w:r>
      <w:proofErr w:type="spellStart"/>
      <w:r>
        <w:rPr>
          <w:color w:val="222222"/>
          <w:sz w:val="24"/>
          <w:szCs w:val="24"/>
        </w:rPr>
        <w:t>solifenacin</w:t>
      </w:r>
      <w:proofErr w:type="spellEnd"/>
      <w:r>
        <w:rPr>
          <w:color w:val="222222"/>
          <w:sz w:val="24"/>
          <w:szCs w:val="24"/>
        </w:rPr>
        <w:t xml:space="preserve">). I begge studier blev størstedelen af ​​patienterne </w:t>
      </w:r>
      <w:proofErr w:type="spellStart"/>
      <w:r>
        <w:rPr>
          <w:color w:val="222222"/>
          <w:sz w:val="24"/>
          <w:szCs w:val="24"/>
        </w:rPr>
        <w:t>optitreret</w:t>
      </w:r>
      <w:proofErr w:type="spellEnd"/>
      <w:r>
        <w:rPr>
          <w:color w:val="222222"/>
          <w:sz w:val="24"/>
          <w:szCs w:val="24"/>
        </w:rPr>
        <w:t xml:space="preserve"> til den vægtbaserede dosis svarende til 10 mg hos voksne.</w:t>
      </w:r>
    </w:p>
    <w:p w:rsidR="001F1CED" w:rsidRDefault="001F1CED" w:rsidP="001F1CED">
      <w:pPr>
        <w:ind w:left="851"/>
        <w:rPr>
          <w:color w:val="222222"/>
          <w:sz w:val="24"/>
          <w:szCs w:val="24"/>
        </w:rPr>
      </w:pPr>
      <w:r>
        <w:rPr>
          <w:color w:val="222222"/>
          <w:sz w:val="24"/>
          <w:szCs w:val="24"/>
        </w:rPr>
        <w:t xml:space="preserve">I studie 905-CL-076 viste </w:t>
      </w:r>
      <w:proofErr w:type="spellStart"/>
      <w:r>
        <w:rPr>
          <w:color w:val="222222"/>
          <w:sz w:val="24"/>
          <w:szCs w:val="24"/>
        </w:rPr>
        <w:t>Vesicare</w:t>
      </w:r>
      <w:proofErr w:type="spellEnd"/>
      <w:r>
        <w:rPr>
          <w:color w:val="222222"/>
          <w:sz w:val="24"/>
          <w:szCs w:val="24"/>
        </w:rPr>
        <w:t xml:space="preserve"> oral suspension ikke en statistisk signifikant forbedring i det primære </w:t>
      </w:r>
      <w:proofErr w:type="spellStart"/>
      <w:r>
        <w:rPr>
          <w:color w:val="222222"/>
          <w:sz w:val="24"/>
          <w:szCs w:val="24"/>
        </w:rPr>
        <w:t>endpoint</w:t>
      </w:r>
      <w:proofErr w:type="spellEnd"/>
      <w:r>
        <w:rPr>
          <w:color w:val="222222"/>
          <w:sz w:val="24"/>
          <w:szCs w:val="24"/>
        </w:rPr>
        <w:t xml:space="preserve">, gennemsnitlig mængde af udtømning pr vandladning sammenlignet med placebo i den samlede population. Hos børn (i alderen 5 til 11 år) blev der observeret en statistisk signifikant forskel for dette primære </w:t>
      </w:r>
      <w:proofErr w:type="spellStart"/>
      <w:r>
        <w:rPr>
          <w:color w:val="222222"/>
          <w:sz w:val="24"/>
          <w:szCs w:val="24"/>
        </w:rPr>
        <w:t>endpoint</w:t>
      </w:r>
      <w:proofErr w:type="spellEnd"/>
      <w:r>
        <w:rPr>
          <w:color w:val="222222"/>
          <w:sz w:val="24"/>
          <w:szCs w:val="24"/>
        </w:rPr>
        <w:t xml:space="preserve">. Der blev ikke observeret signifikant forbedring i de sekundære </w:t>
      </w:r>
      <w:proofErr w:type="spellStart"/>
      <w:r>
        <w:rPr>
          <w:color w:val="222222"/>
          <w:sz w:val="24"/>
          <w:szCs w:val="24"/>
        </w:rPr>
        <w:t>endpoints</w:t>
      </w:r>
      <w:proofErr w:type="spellEnd"/>
      <w:r>
        <w:rPr>
          <w:color w:val="222222"/>
          <w:sz w:val="24"/>
          <w:szCs w:val="24"/>
        </w:rPr>
        <w:t xml:space="preserve"> for vandladningsfrekvens, antal inkontinens episoder per dag og antal tørre dage om ugen. Ingen uventede eller ikke-listede bivirkninger blev rapporteret for hele det testede dosisinterval.</w:t>
      </w:r>
    </w:p>
    <w:p w:rsidR="001F1CED" w:rsidRDefault="001F1CED" w:rsidP="001F1CED">
      <w:pPr>
        <w:ind w:left="851"/>
        <w:rPr>
          <w:color w:val="222222"/>
          <w:sz w:val="24"/>
          <w:szCs w:val="24"/>
        </w:rPr>
      </w:pPr>
      <w:r>
        <w:rPr>
          <w:color w:val="222222"/>
          <w:sz w:val="24"/>
          <w:szCs w:val="24"/>
        </w:rPr>
        <w:t xml:space="preserve">I det åbne forlængelsesstudie, blev der ikke rapporteret nogen uventede eller ikke-listede bivirkninger. Sikkerhedsprofilen for </w:t>
      </w:r>
      <w:proofErr w:type="spellStart"/>
      <w:r>
        <w:rPr>
          <w:color w:val="222222"/>
          <w:sz w:val="24"/>
          <w:szCs w:val="24"/>
        </w:rPr>
        <w:t>solifenacin</w:t>
      </w:r>
      <w:proofErr w:type="spellEnd"/>
      <w:r>
        <w:rPr>
          <w:color w:val="222222"/>
          <w:sz w:val="24"/>
          <w:szCs w:val="24"/>
        </w:rPr>
        <w:t xml:space="preserve"> hos pædiatriske patienter under langvarig eksponering var sammenlignelig med sikkerhedsprofilen observeret hos voksne.</w:t>
      </w:r>
    </w:p>
    <w:p w:rsidR="001F1CED" w:rsidRDefault="001F1CED" w:rsidP="001F1CED">
      <w:pPr>
        <w:ind w:left="851"/>
        <w:rPr>
          <w:color w:val="222222"/>
          <w:sz w:val="24"/>
          <w:szCs w:val="24"/>
        </w:rPr>
      </w:pPr>
    </w:p>
    <w:p w:rsidR="001F1CED" w:rsidRDefault="001F1CED" w:rsidP="001F1CED">
      <w:pPr>
        <w:ind w:left="851"/>
        <w:rPr>
          <w:color w:val="222222"/>
          <w:sz w:val="24"/>
          <w:szCs w:val="24"/>
        </w:rPr>
      </w:pPr>
      <w:proofErr w:type="spellStart"/>
      <w:r>
        <w:rPr>
          <w:color w:val="222222"/>
          <w:sz w:val="24"/>
          <w:szCs w:val="24"/>
        </w:rPr>
        <w:t>Neurogen</w:t>
      </w:r>
      <w:proofErr w:type="spellEnd"/>
      <w:r>
        <w:rPr>
          <w:color w:val="222222"/>
          <w:sz w:val="24"/>
          <w:szCs w:val="24"/>
        </w:rPr>
        <w:t xml:space="preserve"> </w:t>
      </w:r>
      <w:proofErr w:type="spellStart"/>
      <w:r>
        <w:rPr>
          <w:color w:val="222222"/>
          <w:sz w:val="24"/>
          <w:szCs w:val="24"/>
        </w:rPr>
        <w:t>detrusoroveraktivitet</w:t>
      </w:r>
      <w:proofErr w:type="spellEnd"/>
    </w:p>
    <w:p w:rsidR="001F1CED" w:rsidRDefault="001F1CED" w:rsidP="001F1CED">
      <w:pPr>
        <w:ind w:left="851"/>
        <w:rPr>
          <w:color w:val="222222"/>
          <w:sz w:val="24"/>
          <w:szCs w:val="24"/>
        </w:rPr>
      </w:pPr>
    </w:p>
    <w:p w:rsidR="001F1CED" w:rsidRDefault="001F1CED" w:rsidP="001F1CED">
      <w:pPr>
        <w:ind w:left="851"/>
        <w:rPr>
          <w:color w:val="222222"/>
          <w:sz w:val="24"/>
          <w:szCs w:val="24"/>
        </w:rPr>
      </w:pPr>
      <w:r>
        <w:rPr>
          <w:i/>
          <w:color w:val="222222"/>
          <w:sz w:val="24"/>
          <w:szCs w:val="24"/>
        </w:rPr>
        <w:t>Børn og unge (6 måneder til under 18 år):</w:t>
      </w:r>
      <w:r>
        <w:rPr>
          <w:i/>
          <w:color w:val="222222"/>
          <w:sz w:val="24"/>
          <w:szCs w:val="24"/>
        </w:rPr>
        <w:br/>
      </w:r>
      <w:r>
        <w:rPr>
          <w:color w:val="222222"/>
          <w:sz w:val="24"/>
          <w:szCs w:val="24"/>
        </w:rPr>
        <w:t xml:space="preserve">To 52-ugers åbne, baseline-kontrollerede, sekventielle dosistitreringsforsøg undersøgte </w:t>
      </w:r>
      <w:proofErr w:type="spellStart"/>
      <w:r>
        <w:rPr>
          <w:color w:val="222222"/>
          <w:sz w:val="24"/>
          <w:szCs w:val="24"/>
        </w:rPr>
        <w:t>Vesicare</w:t>
      </w:r>
      <w:proofErr w:type="spellEnd"/>
      <w:r>
        <w:rPr>
          <w:color w:val="222222"/>
          <w:sz w:val="24"/>
          <w:szCs w:val="24"/>
        </w:rPr>
        <w:t xml:space="preserve"> oral suspension til behandling af </w:t>
      </w:r>
      <w:proofErr w:type="spellStart"/>
      <w:r>
        <w:rPr>
          <w:color w:val="222222"/>
          <w:sz w:val="24"/>
          <w:szCs w:val="24"/>
        </w:rPr>
        <w:t>neurogen</w:t>
      </w:r>
      <w:proofErr w:type="spellEnd"/>
      <w:r>
        <w:rPr>
          <w:color w:val="222222"/>
          <w:sz w:val="24"/>
          <w:szCs w:val="24"/>
        </w:rPr>
        <w:t xml:space="preserve"> </w:t>
      </w:r>
      <w:proofErr w:type="spellStart"/>
      <w:r>
        <w:rPr>
          <w:color w:val="222222"/>
          <w:sz w:val="24"/>
          <w:szCs w:val="24"/>
        </w:rPr>
        <w:t>detrusoroveraktivitet</w:t>
      </w:r>
      <w:proofErr w:type="spellEnd"/>
      <w:r>
        <w:rPr>
          <w:color w:val="222222"/>
          <w:sz w:val="24"/>
          <w:szCs w:val="24"/>
        </w:rPr>
        <w:t xml:space="preserve"> (NDO) hos pædiatriske patienter fra 6 måneder til under 18 år (forsøg 905-CL-074 og 905-CL-047).</w:t>
      </w:r>
    </w:p>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t xml:space="preserve">I forsøg 905-CL-074 fik i alt 4 forsøgsdeltagere fra 6 måneder til under 2 år og 19 forsøgsdeltagere fra 2 år til under 5 år behandling med </w:t>
      </w:r>
      <w:proofErr w:type="spellStart"/>
      <w:r>
        <w:rPr>
          <w:color w:val="222222"/>
          <w:sz w:val="24"/>
          <w:szCs w:val="24"/>
        </w:rPr>
        <w:t>Vesicare</w:t>
      </w:r>
      <w:proofErr w:type="spellEnd"/>
      <w:r>
        <w:rPr>
          <w:color w:val="222222"/>
          <w:sz w:val="24"/>
          <w:szCs w:val="24"/>
        </w:rPr>
        <w:t xml:space="preserve"> oral suspension. I forsøg </w:t>
      </w:r>
      <w:r>
        <w:rPr>
          <w:color w:val="222222"/>
          <w:sz w:val="24"/>
          <w:szCs w:val="24"/>
        </w:rPr>
        <w:lastRenderedPageBreak/>
        <w:t xml:space="preserve">905-CL-047 fik i alt 76 forsøgsdeltagere fra 5 år til under 18 år behandling med </w:t>
      </w:r>
      <w:proofErr w:type="spellStart"/>
      <w:r>
        <w:rPr>
          <w:color w:val="222222"/>
          <w:sz w:val="24"/>
          <w:szCs w:val="24"/>
        </w:rPr>
        <w:t>Vesicare</w:t>
      </w:r>
      <w:proofErr w:type="spellEnd"/>
      <w:r>
        <w:rPr>
          <w:color w:val="222222"/>
          <w:sz w:val="24"/>
          <w:szCs w:val="24"/>
        </w:rPr>
        <w:t xml:space="preserve"> oral suspension.</w:t>
      </w:r>
    </w:p>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t xml:space="preserve">I begge forsøg var det primære </w:t>
      </w:r>
      <w:proofErr w:type="spellStart"/>
      <w:r>
        <w:rPr>
          <w:color w:val="222222"/>
          <w:sz w:val="24"/>
          <w:szCs w:val="24"/>
        </w:rPr>
        <w:t>endpoint</w:t>
      </w:r>
      <w:proofErr w:type="spellEnd"/>
      <w:r>
        <w:rPr>
          <w:color w:val="222222"/>
          <w:sz w:val="24"/>
          <w:szCs w:val="24"/>
        </w:rPr>
        <w:t xml:space="preserve"> ændringen fra baseline i den maksimale </w:t>
      </w:r>
      <w:proofErr w:type="spellStart"/>
      <w:r>
        <w:rPr>
          <w:color w:val="222222"/>
          <w:sz w:val="24"/>
          <w:szCs w:val="24"/>
        </w:rPr>
        <w:t>cystometriske</w:t>
      </w:r>
      <w:proofErr w:type="spellEnd"/>
      <w:r>
        <w:rPr>
          <w:color w:val="222222"/>
          <w:sz w:val="24"/>
          <w:szCs w:val="24"/>
        </w:rPr>
        <w:t xml:space="preserve"> kapacitet (MCC) efter 24 ugers behandling med </w:t>
      </w:r>
      <w:proofErr w:type="spellStart"/>
      <w:r>
        <w:rPr>
          <w:color w:val="222222"/>
          <w:sz w:val="24"/>
          <w:szCs w:val="24"/>
        </w:rPr>
        <w:t>Vesicare</w:t>
      </w:r>
      <w:proofErr w:type="spellEnd"/>
      <w:r>
        <w:rPr>
          <w:color w:val="222222"/>
          <w:sz w:val="24"/>
          <w:szCs w:val="24"/>
        </w:rPr>
        <w:t xml:space="preserve"> oral suspension. Hos børn, der blev behandlet med </w:t>
      </w:r>
      <w:proofErr w:type="spellStart"/>
      <w:r>
        <w:rPr>
          <w:color w:val="222222"/>
          <w:sz w:val="24"/>
          <w:szCs w:val="24"/>
        </w:rPr>
        <w:t>Vesicare</w:t>
      </w:r>
      <w:proofErr w:type="spellEnd"/>
      <w:r>
        <w:rPr>
          <w:color w:val="222222"/>
          <w:sz w:val="24"/>
          <w:szCs w:val="24"/>
        </w:rPr>
        <w:t xml:space="preserve"> oral suspension, sås en signifikant stigning i MCC sammenlignet med baseline efter 24 ugers behandling. Omfanget af de observerede ændringer i både primære og sekundære </w:t>
      </w:r>
      <w:proofErr w:type="spellStart"/>
      <w:r>
        <w:rPr>
          <w:color w:val="222222"/>
          <w:sz w:val="24"/>
          <w:szCs w:val="24"/>
        </w:rPr>
        <w:t>endpoints</w:t>
      </w:r>
      <w:proofErr w:type="spellEnd"/>
      <w:r>
        <w:rPr>
          <w:color w:val="222222"/>
          <w:sz w:val="24"/>
          <w:szCs w:val="24"/>
        </w:rPr>
        <w:t xml:space="preserve"> hos børn (fra 5 år til under 12 år) og unge (fra 12 år til under 18 år) var stort set ens.</w:t>
      </w:r>
    </w:p>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t xml:space="preserve">Resultaterne for de primære </w:t>
      </w:r>
      <w:proofErr w:type="spellStart"/>
      <w:r>
        <w:rPr>
          <w:color w:val="222222"/>
          <w:sz w:val="24"/>
          <w:szCs w:val="24"/>
        </w:rPr>
        <w:t>endpoints</w:t>
      </w:r>
      <w:proofErr w:type="spellEnd"/>
      <w:r>
        <w:rPr>
          <w:color w:val="222222"/>
          <w:sz w:val="24"/>
          <w:szCs w:val="24"/>
        </w:rPr>
        <w:t xml:space="preserve"> i de kliniske forsøg med </w:t>
      </w:r>
      <w:proofErr w:type="spellStart"/>
      <w:r>
        <w:rPr>
          <w:color w:val="222222"/>
          <w:sz w:val="24"/>
          <w:szCs w:val="24"/>
        </w:rPr>
        <w:t>Vesicare</w:t>
      </w:r>
      <w:proofErr w:type="spellEnd"/>
      <w:r>
        <w:rPr>
          <w:color w:val="222222"/>
          <w:sz w:val="24"/>
          <w:szCs w:val="24"/>
        </w:rPr>
        <w:t xml:space="preserve"> oral suspension hos pædiatriske patienter med NDO er angivet i nedenstående tabel. Behandlingseffekten blev opretholdt i over 52 uger. </w:t>
      </w:r>
    </w:p>
    <w:p w:rsidR="001F1CED" w:rsidRDefault="001F1CED" w:rsidP="001F1CED">
      <w:pPr>
        <w:ind w:left="851"/>
        <w:rPr>
          <w:color w:val="222222"/>
          <w:sz w:val="24"/>
          <w:szCs w:val="24"/>
        </w:rPr>
      </w:pPr>
    </w:p>
    <w:p w:rsidR="001F1CED" w:rsidRDefault="001F1CED" w:rsidP="001F1CED">
      <w:pPr>
        <w:keepNext/>
        <w:ind w:left="851"/>
        <w:rPr>
          <w:i/>
          <w:color w:val="222222"/>
          <w:sz w:val="24"/>
          <w:szCs w:val="24"/>
        </w:rPr>
      </w:pPr>
      <w:r>
        <w:rPr>
          <w:i/>
          <w:color w:val="222222"/>
          <w:sz w:val="24"/>
          <w:szCs w:val="24"/>
        </w:rPr>
        <w:t xml:space="preserve">Ændring fra baseline til 24 uger for </w:t>
      </w:r>
      <w:proofErr w:type="spellStart"/>
      <w:r>
        <w:rPr>
          <w:i/>
          <w:color w:val="222222"/>
          <w:sz w:val="24"/>
          <w:szCs w:val="24"/>
        </w:rPr>
        <w:t>Vesicare</w:t>
      </w:r>
      <w:proofErr w:type="spellEnd"/>
      <w:r>
        <w:rPr>
          <w:i/>
          <w:color w:val="222222"/>
          <w:sz w:val="24"/>
          <w:szCs w:val="24"/>
        </w:rPr>
        <w:t xml:space="preserve"> oral suspension</w:t>
      </w:r>
    </w:p>
    <w:p w:rsidR="001F1CED" w:rsidRDefault="001F1CED" w:rsidP="001F1CED">
      <w:pPr>
        <w:keepNext/>
        <w:ind w:left="851"/>
        <w:rPr>
          <w:color w:val="222222"/>
          <w:sz w:val="24"/>
          <w:szCs w:val="24"/>
        </w:rPr>
      </w:pPr>
    </w:p>
    <w:tbl>
      <w:tblPr>
        <w:tblW w:w="0" w:type="dxa"/>
        <w:tblInd w:w="847" w:type="dxa"/>
        <w:tblBorders>
          <w:top w:val="single" w:sz="8" w:space="0" w:color="000000"/>
          <w:left w:val="single" w:sz="8" w:space="0" w:color="000000"/>
          <w:bottom w:val="single" w:sz="8" w:space="0" w:color="000000"/>
          <w:right w:val="single" w:sz="8" w:space="0" w:color="000000"/>
        </w:tblBorders>
        <w:tblLayout w:type="fixed"/>
        <w:tblCellMar>
          <w:left w:w="115" w:type="dxa"/>
          <w:right w:w="115" w:type="dxa"/>
        </w:tblCellMar>
        <w:tblLook w:val="04A0" w:firstRow="1" w:lastRow="0" w:firstColumn="1" w:lastColumn="0" w:noHBand="0" w:noVBand="1"/>
      </w:tblPr>
      <w:tblGrid>
        <w:gridCol w:w="4410"/>
        <w:gridCol w:w="2250"/>
        <w:gridCol w:w="2140"/>
      </w:tblGrid>
      <w:tr w:rsidR="001F1CED" w:rsidTr="00A87F7C">
        <w:trPr>
          <w:trHeight w:val="785"/>
          <w:tblHeader/>
        </w:trPr>
        <w:tc>
          <w:tcPr>
            <w:tcW w:w="4410" w:type="dxa"/>
            <w:tcBorders>
              <w:top w:val="single" w:sz="2" w:space="0" w:color="auto"/>
              <w:left w:val="single" w:sz="2" w:space="0" w:color="auto"/>
              <w:bottom w:val="single" w:sz="2" w:space="0" w:color="auto"/>
              <w:right w:val="single" w:sz="2" w:space="0" w:color="auto"/>
            </w:tcBorders>
            <w:hideMark/>
          </w:tcPr>
          <w:p w:rsidR="001F1CED" w:rsidRDefault="001F1CED" w:rsidP="00A87F7C">
            <w:pPr>
              <w:pStyle w:val="TableHeader"/>
              <w:keepNext/>
              <w:jc w:val="left"/>
              <w:rPr>
                <w:rFonts w:ascii="Times New Roman" w:hAnsi="Times New Roman"/>
              </w:rPr>
            </w:pPr>
            <w:r>
              <w:rPr>
                <w:rFonts w:ascii="Times New Roman" w:hAnsi="Times New Roman"/>
              </w:rPr>
              <w:t>Parameter</w:t>
            </w:r>
          </w:p>
        </w:tc>
        <w:tc>
          <w:tcPr>
            <w:tcW w:w="2250" w:type="dxa"/>
            <w:tcBorders>
              <w:top w:val="single" w:sz="2" w:space="0" w:color="auto"/>
              <w:left w:val="nil"/>
              <w:bottom w:val="single" w:sz="4" w:space="0" w:color="auto"/>
              <w:right w:val="single" w:sz="2" w:space="0" w:color="auto"/>
            </w:tcBorders>
            <w:hideMark/>
          </w:tcPr>
          <w:p w:rsidR="001F1CED" w:rsidRDefault="001F1CED" w:rsidP="00A87F7C">
            <w:pPr>
              <w:pStyle w:val="TableHeader"/>
              <w:keepNext/>
              <w:rPr>
                <w:rFonts w:ascii="Times New Roman" w:hAnsi="Times New Roman"/>
                <w:lang w:val="da-DK"/>
              </w:rPr>
            </w:pPr>
            <w:r>
              <w:rPr>
                <w:rFonts w:ascii="Times New Roman" w:hAnsi="Times New Roman"/>
                <w:lang w:val="da-DK"/>
              </w:rPr>
              <w:t>Fra 6 måneder til under 5 år</w:t>
            </w:r>
          </w:p>
          <w:p w:rsidR="001F1CED" w:rsidRDefault="001F1CED" w:rsidP="00A87F7C">
            <w:pPr>
              <w:pStyle w:val="TableHeader"/>
              <w:keepNext/>
              <w:rPr>
                <w:rFonts w:ascii="Times New Roman" w:hAnsi="Times New Roman"/>
                <w:lang w:val="da-DK"/>
              </w:rPr>
            </w:pPr>
            <w:r>
              <w:rPr>
                <w:rFonts w:ascii="Times New Roman" w:hAnsi="Times New Roman"/>
                <w:lang w:val="da-DK"/>
              </w:rPr>
              <w:t>gennemsnit (SD, n)</w:t>
            </w:r>
          </w:p>
        </w:tc>
        <w:tc>
          <w:tcPr>
            <w:tcW w:w="2140" w:type="dxa"/>
            <w:tcBorders>
              <w:top w:val="single" w:sz="2" w:space="0" w:color="auto"/>
              <w:left w:val="nil"/>
              <w:bottom w:val="single" w:sz="2" w:space="0" w:color="auto"/>
              <w:right w:val="single" w:sz="2" w:space="0" w:color="auto"/>
            </w:tcBorders>
            <w:hideMark/>
          </w:tcPr>
          <w:p w:rsidR="001F1CED" w:rsidRDefault="001F1CED" w:rsidP="00A87F7C">
            <w:pPr>
              <w:pStyle w:val="TableHeader"/>
              <w:keepNext/>
              <w:rPr>
                <w:rFonts w:ascii="Times New Roman" w:hAnsi="Times New Roman"/>
                <w:lang w:val="da-DK"/>
              </w:rPr>
            </w:pPr>
            <w:r>
              <w:rPr>
                <w:rFonts w:ascii="Times New Roman" w:hAnsi="Times New Roman"/>
                <w:lang w:val="da-DK"/>
              </w:rPr>
              <w:t>Fra 5 år til under 18 år</w:t>
            </w:r>
          </w:p>
          <w:p w:rsidR="001F1CED" w:rsidRDefault="001F1CED" w:rsidP="00A87F7C">
            <w:pPr>
              <w:pStyle w:val="TableHeader"/>
              <w:keepNext/>
              <w:rPr>
                <w:rFonts w:ascii="Times New Roman" w:hAnsi="Times New Roman"/>
                <w:lang w:val="da-DK"/>
              </w:rPr>
            </w:pPr>
            <w:r>
              <w:rPr>
                <w:rFonts w:ascii="Times New Roman" w:hAnsi="Times New Roman"/>
                <w:lang w:val="da-DK"/>
              </w:rPr>
              <w:t>gennemsnit (SD, n)</w:t>
            </w:r>
          </w:p>
        </w:tc>
      </w:tr>
      <w:tr w:rsidR="001F1CED" w:rsidTr="00A87F7C">
        <w:trPr>
          <w:trHeight w:val="288"/>
        </w:trPr>
        <w:tc>
          <w:tcPr>
            <w:tcW w:w="8800" w:type="dxa"/>
            <w:gridSpan w:val="3"/>
            <w:tcBorders>
              <w:top w:val="single" w:sz="2" w:space="0" w:color="auto"/>
              <w:left w:val="single" w:sz="2" w:space="0" w:color="auto"/>
              <w:bottom w:val="single" w:sz="2" w:space="0" w:color="auto"/>
              <w:right w:val="single" w:sz="2" w:space="0" w:color="auto"/>
            </w:tcBorders>
            <w:hideMark/>
          </w:tcPr>
          <w:p w:rsidR="001F1CED" w:rsidRDefault="001F1CED" w:rsidP="00A87F7C">
            <w:pPr>
              <w:pStyle w:val="TableHeader"/>
              <w:keepNext/>
              <w:jc w:val="left"/>
              <w:rPr>
                <w:rFonts w:ascii="Times New Roman" w:hAnsi="Times New Roman"/>
              </w:rPr>
            </w:pPr>
            <w:r>
              <w:rPr>
                <w:rFonts w:ascii="Times New Roman" w:hAnsi="Times New Roman"/>
                <w:lang w:val="da-DK"/>
              </w:rPr>
              <w:t>Primært</w:t>
            </w:r>
            <w:r>
              <w:rPr>
                <w:rFonts w:ascii="Times New Roman" w:hAnsi="Times New Roman"/>
              </w:rPr>
              <w:t xml:space="preserve"> endpoint</w:t>
            </w:r>
          </w:p>
        </w:tc>
      </w:tr>
      <w:tr w:rsidR="001F1CED" w:rsidTr="00A87F7C">
        <w:trPr>
          <w:trHeight w:val="288"/>
        </w:trPr>
        <w:tc>
          <w:tcPr>
            <w:tcW w:w="8800" w:type="dxa"/>
            <w:gridSpan w:val="3"/>
            <w:tcBorders>
              <w:top w:val="nil"/>
              <w:left w:val="single" w:sz="2" w:space="0" w:color="auto"/>
              <w:bottom w:val="single" w:sz="2" w:space="0" w:color="auto"/>
              <w:right w:val="single" w:sz="2" w:space="0" w:color="auto"/>
            </w:tcBorders>
            <w:hideMark/>
          </w:tcPr>
          <w:p w:rsidR="001F1CED" w:rsidRDefault="001F1CED" w:rsidP="00A87F7C">
            <w:pPr>
              <w:keepNext/>
              <w:autoSpaceDE w:val="0"/>
              <w:autoSpaceDN w:val="0"/>
              <w:adjustRightInd w:val="0"/>
              <w:rPr>
                <w:rStyle w:val="TableText"/>
                <w:szCs w:val="22"/>
              </w:rPr>
            </w:pPr>
            <w:r>
              <w:rPr>
                <w:szCs w:val="22"/>
              </w:rPr>
              <w:t xml:space="preserve">Maksimal </w:t>
            </w:r>
            <w:proofErr w:type="spellStart"/>
            <w:r>
              <w:rPr>
                <w:szCs w:val="22"/>
              </w:rPr>
              <w:t>cystometrisk</w:t>
            </w:r>
            <w:proofErr w:type="spellEnd"/>
            <w:r>
              <w:rPr>
                <w:szCs w:val="22"/>
              </w:rPr>
              <w:t xml:space="preserve"> kapacitet (ml)</w:t>
            </w:r>
          </w:p>
        </w:tc>
      </w:tr>
      <w:tr w:rsidR="001F1CED" w:rsidTr="00A87F7C">
        <w:trPr>
          <w:trHeight w:val="769"/>
        </w:trPr>
        <w:tc>
          <w:tcPr>
            <w:tcW w:w="4410" w:type="dxa"/>
            <w:tcBorders>
              <w:top w:val="nil"/>
              <w:left w:val="single" w:sz="2" w:space="0" w:color="auto"/>
              <w:bottom w:val="single" w:sz="2" w:space="0" w:color="auto"/>
              <w:right w:val="single" w:sz="2" w:space="0" w:color="auto"/>
            </w:tcBorders>
          </w:tcPr>
          <w:p w:rsidR="001F1CED" w:rsidRDefault="001F1CED" w:rsidP="00A87F7C">
            <w:pPr>
              <w:pStyle w:val="Brdtekst"/>
              <w:keepNext/>
            </w:pPr>
            <w:r>
              <w:rPr>
                <w:rStyle w:val="TableText"/>
                <w:szCs w:val="22"/>
              </w:rPr>
              <w:t>     </w:t>
            </w:r>
            <w:r>
              <w:rPr>
                <w:szCs w:val="22"/>
              </w:rPr>
              <w:t>Baseline</w:t>
            </w:r>
          </w:p>
          <w:p w:rsidR="001F1CED" w:rsidRDefault="001F1CED" w:rsidP="00A87F7C">
            <w:pPr>
              <w:pStyle w:val="Brdtekst"/>
              <w:keepNext/>
              <w:rPr>
                <w:szCs w:val="22"/>
              </w:rPr>
            </w:pPr>
            <w:r>
              <w:rPr>
                <w:szCs w:val="22"/>
              </w:rPr>
              <w:t>     Uge 24</w:t>
            </w:r>
          </w:p>
          <w:p w:rsidR="001F1CED" w:rsidRDefault="001F1CED" w:rsidP="00A87F7C">
            <w:pPr>
              <w:pStyle w:val="Brdtekst"/>
              <w:keepNext/>
              <w:rPr>
                <w:szCs w:val="22"/>
              </w:rPr>
            </w:pPr>
            <w:r>
              <w:rPr>
                <w:rStyle w:val="TableText"/>
                <w:szCs w:val="22"/>
              </w:rPr>
              <w:t>     </w:t>
            </w:r>
            <w:r>
              <w:rPr>
                <w:szCs w:val="22"/>
              </w:rPr>
              <w:t>Ændring fra baseline</w:t>
            </w:r>
          </w:p>
          <w:p w:rsidR="001F1CED" w:rsidRDefault="001F1CED" w:rsidP="00A87F7C">
            <w:pPr>
              <w:keepNext/>
              <w:spacing w:before="40" w:after="40"/>
              <w:jc w:val="both"/>
              <w:rPr>
                <w:rStyle w:val="TableText"/>
              </w:rPr>
            </w:pPr>
          </w:p>
        </w:tc>
        <w:tc>
          <w:tcPr>
            <w:tcW w:w="2250" w:type="dxa"/>
            <w:tcBorders>
              <w:top w:val="nil"/>
              <w:left w:val="nil"/>
              <w:bottom w:val="single" w:sz="2" w:space="0" w:color="auto"/>
              <w:right w:val="single" w:sz="2" w:space="0" w:color="auto"/>
            </w:tcBorders>
            <w:hideMark/>
          </w:tcPr>
          <w:p w:rsidR="001F1CED" w:rsidRDefault="001F1CED" w:rsidP="00A87F7C">
            <w:pPr>
              <w:keepNext/>
              <w:spacing w:before="40" w:after="40"/>
              <w:jc w:val="both"/>
              <w:rPr>
                <w:rStyle w:val="TableText"/>
                <w:szCs w:val="22"/>
              </w:rPr>
            </w:pPr>
            <w:r>
              <w:rPr>
                <w:rStyle w:val="TableText"/>
                <w:szCs w:val="22"/>
              </w:rPr>
              <w:t>92,3 (38,2, 21)</w:t>
            </w:r>
          </w:p>
          <w:p w:rsidR="001F1CED" w:rsidRDefault="001F1CED" w:rsidP="00A87F7C">
            <w:pPr>
              <w:keepNext/>
              <w:spacing w:before="40" w:after="40"/>
              <w:jc w:val="both"/>
              <w:rPr>
                <w:rStyle w:val="TableText"/>
                <w:szCs w:val="22"/>
              </w:rPr>
            </w:pPr>
            <w:r>
              <w:rPr>
                <w:rStyle w:val="TableText"/>
                <w:szCs w:val="22"/>
              </w:rPr>
              <w:t>129,4 (40,2, 21)</w:t>
            </w:r>
          </w:p>
          <w:p w:rsidR="001F1CED" w:rsidRDefault="001F1CED" w:rsidP="00A87F7C">
            <w:pPr>
              <w:keepNext/>
              <w:spacing w:before="40" w:after="40"/>
              <w:jc w:val="both"/>
              <w:rPr>
                <w:rStyle w:val="TableText"/>
                <w:szCs w:val="22"/>
              </w:rPr>
            </w:pPr>
            <w:r>
              <w:rPr>
                <w:rStyle w:val="TableText"/>
                <w:szCs w:val="22"/>
              </w:rPr>
              <w:t>37,0 (35,9, 21)</w:t>
            </w:r>
          </w:p>
          <w:p w:rsidR="001F1CED" w:rsidRDefault="001F1CED" w:rsidP="00A87F7C">
            <w:pPr>
              <w:keepNext/>
              <w:spacing w:before="40" w:after="40"/>
              <w:jc w:val="both"/>
              <w:rPr>
                <w:rStyle w:val="TableText"/>
                <w:szCs w:val="22"/>
              </w:rPr>
            </w:pPr>
            <w:r>
              <w:rPr>
                <w:rStyle w:val="TableText"/>
                <w:szCs w:val="22"/>
              </w:rPr>
              <w:t>P = &lt; 0,001</w:t>
            </w:r>
          </w:p>
          <w:p w:rsidR="001F1CED" w:rsidRDefault="001F1CED" w:rsidP="00A87F7C">
            <w:pPr>
              <w:keepNext/>
              <w:spacing w:before="40" w:after="40"/>
              <w:jc w:val="both"/>
              <w:rPr>
                <w:rStyle w:val="TableText"/>
                <w:szCs w:val="22"/>
              </w:rPr>
            </w:pPr>
            <w:r>
              <w:t>95 % CI: 20,7, 53,4</w:t>
            </w:r>
          </w:p>
        </w:tc>
        <w:tc>
          <w:tcPr>
            <w:tcW w:w="2140" w:type="dxa"/>
            <w:tcBorders>
              <w:top w:val="nil"/>
              <w:left w:val="nil"/>
              <w:bottom w:val="single" w:sz="2" w:space="0" w:color="auto"/>
              <w:right w:val="single" w:sz="2" w:space="0" w:color="auto"/>
            </w:tcBorders>
            <w:hideMark/>
          </w:tcPr>
          <w:p w:rsidR="001F1CED" w:rsidRDefault="001F1CED" w:rsidP="00A87F7C">
            <w:pPr>
              <w:pStyle w:val="Brdtekst"/>
              <w:keepNext/>
            </w:pPr>
            <w:r>
              <w:rPr>
                <w:szCs w:val="22"/>
              </w:rPr>
              <w:t>223,7 (132,9, 55)</w:t>
            </w:r>
          </w:p>
          <w:p w:rsidR="001F1CED" w:rsidRDefault="001F1CED" w:rsidP="00A87F7C">
            <w:pPr>
              <w:pStyle w:val="Brdtekst"/>
              <w:keepNext/>
              <w:rPr>
                <w:szCs w:val="22"/>
              </w:rPr>
            </w:pPr>
            <w:r>
              <w:rPr>
                <w:szCs w:val="22"/>
              </w:rPr>
              <w:t>279,1 (126,8, 49)</w:t>
            </w:r>
          </w:p>
          <w:p w:rsidR="001F1CED" w:rsidRDefault="001F1CED" w:rsidP="00A87F7C">
            <w:pPr>
              <w:keepNext/>
              <w:spacing w:before="40" w:after="40"/>
              <w:jc w:val="both"/>
              <w:rPr>
                <w:rStyle w:val="TableText"/>
              </w:rPr>
            </w:pPr>
            <w:r>
              <w:rPr>
                <w:rStyle w:val="TableText"/>
                <w:szCs w:val="22"/>
              </w:rPr>
              <w:t>57,2 (107,7, 49)</w:t>
            </w:r>
          </w:p>
          <w:p w:rsidR="001F1CED" w:rsidRDefault="001F1CED" w:rsidP="00A87F7C">
            <w:pPr>
              <w:keepNext/>
              <w:spacing w:before="40" w:after="40"/>
              <w:jc w:val="both"/>
              <w:rPr>
                <w:rStyle w:val="TableText"/>
                <w:szCs w:val="22"/>
              </w:rPr>
            </w:pPr>
            <w:r>
              <w:rPr>
                <w:rStyle w:val="TableText"/>
                <w:szCs w:val="22"/>
              </w:rPr>
              <w:t>P = &lt; 0,001</w:t>
            </w:r>
          </w:p>
          <w:p w:rsidR="001F1CED" w:rsidRDefault="001F1CED" w:rsidP="00A87F7C">
            <w:pPr>
              <w:keepNext/>
              <w:spacing w:before="40" w:after="40"/>
              <w:jc w:val="both"/>
              <w:rPr>
                <w:rStyle w:val="TableText"/>
                <w:szCs w:val="22"/>
              </w:rPr>
            </w:pPr>
            <w:r>
              <w:rPr>
                <w:rStyle w:val="TableText"/>
                <w:szCs w:val="22"/>
              </w:rPr>
              <w:t>95 % CI: 26,3, 88,1</w:t>
            </w:r>
          </w:p>
        </w:tc>
      </w:tr>
    </w:tbl>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t>Sekundære urodynamiske målinger viste også en forbedring fra baseline til uge 24 i begge grupper. Hos forsøgsdeltagerne fra 6 måneder til under 5 år steg blære-compliance (gennemsnitlig ændring 5,1 ml/cmH</w:t>
      </w:r>
      <w:r>
        <w:rPr>
          <w:color w:val="222222"/>
          <w:sz w:val="24"/>
          <w:szCs w:val="24"/>
          <w:vertAlign w:val="subscript"/>
        </w:rPr>
        <w:t>2</w:t>
      </w:r>
      <w:r>
        <w:rPr>
          <w:color w:val="222222"/>
          <w:sz w:val="24"/>
          <w:szCs w:val="24"/>
        </w:rPr>
        <w:t>O; SD: 6,82; 95 % CI: 2,0, 8,2), antal overaktive kontraktioner &gt; 15 cm H</w:t>
      </w:r>
      <w:r>
        <w:rPr>
          <w:color w:val="222222"/>
          <w:sz w:val="24"/>
          <w:szCs w:val="24"/>
          <w:vertAlign w:val="subscript"/>
        </w:rPr>
        <w:t>2</w:t>
      </w:r>
      <w:r>
        <w:rPr>
          <w:color w:val="222222"/>
          <w:sz w:val="24"/>
          <w:szCs w:val="24"/>
        </w:rPr>
        <w:t xml:space="preserve">O faldt (gennemsnitlig ændring: -7,0; SD: 8,6; 95 % CI: -11,0, -3,1) og blærevolumen indtil første </w:t>
      </w:r>
      <w:proofErr w:type="spellStart"/>
      <w:r>
        <w:rPr>
          <w:color w:val="222222"/>
          <w:sz w:val="24"/>
          <w:szCs w:val="24"/>
        </w:rPr>
        <w:t>detrusorkontraktion</w:t>
      </w:r>
      <w:proofErr w:type="spellEnd"/>
      <w:r>
        <w:rPr>
          <w:color w:val="222222"/>
          <w:sz w:val="24"/>
          <w:szCs w:val="24"/>
        </w:rPr>
        <w:t xml:space="preserve"> &gt; 15 cmH</w:t>
      </w:r>
      <w:r>
        <w:rPr>
          <w:color w:val="222222"/>
          <w:sz w:val="24"/>
          <w:szCs w:val="24"/>
          <w:vertAlign w:val="subscript"/>
        </w:rPr>
        <w:t>2</w:t>
      </w:r>
      <w:r>
        <w:rPr>
          <w:color w:val="222222"/>
          <w:sz w:val="24"/>
          <w:szCs w:val="24"/>
        </w:rPr>
        <w:t>O, udtrykt i % af den forventede blærekapacitet, blev forbedret (baselinemedian: 38,00 %; uge 24-median 99,89 %). Hos forsøgsdeltagerne fra 5 år til under 18 år steg blære-compliance (gennemsnitlig ændring: 9,1 ml/cmH</w:t>
      </w:r>
      <w:r>
        <w:rPr>
          <w:color w:val="222222"/>
          <w:sz w:val="24"/>
          <w:szCs w:val="24"/>
          <w:vertAlign w:val="subscript"/>
        </w:rPr>
        <w:t>2</w:t>
      </w:r>
      <w:r>
        <w:rPr>
          <w:color w:val="222222"/>
          <w:sz w:val="24"/>
          <w:szCs w:val="24"/>
        </w:rPr>
        <w:t>O; SD: 28,6; 95 % CI: 1,0, 17,2), antal overaktive kontraktioner &gt; 15 cmH</w:t>
      </w:r>
      <w:r>
        <w:rPr>
          <w:color w:val="222222"/>
          <w:sz w:val="24"/>
          <w:szCs w:val="24"/>
          <w:vertAlign w:val="subscript"/>
        </w:rPr>
        <w:t>2</w:t>
      </w:r>
      <w:r>
        <w:rPr>
          <w:color w:val="222222"/>
          <w:sz w:val="24"/>
          <w:szCs w:val="24"/>
        </w:rPr>
        <w:t xml:space="preserve">O faldt (gennemsnitlig ændring: -2,3; SD: 5,1; 95 % CI: -3,7, -0,8) og blærevolumen indtil første </w:t>
      </w:r>
      <w:proofErr w:type="spellStart"/>
      <w:r>
        <w:rPr>
          <w:color w:val="222222"/>
          <w:sz w:val="24"/>
          <w:szCs w:val="24"/>
        </w:rPr>
        <w:t>detrusorkontraktion</w:t>
      </w:r>
      <w:proofErr w:type="spellEnd"/>
      <w:r>
        <w:rPr>
          <w:color w:val="222222"/>
          <w:sz w:val="24"/>
          <w:szCs w:val="24"/>
        </w:rPr>
        <w:t xml:space="preserve"> &gt; 15 cmH</w:t>
      </w:r>
      <w:r>
        <w:rPr>
          <w:color w:val="222222"/>
          <w:sz w:val="24"/>
          <w:szCs w:val="24"/>
          <w:vertAlign w:val="subscript"/>
        </w:rPr>
        <w:t>2</w:t>
      </w:r>
      <w:r>
        <w:rPr>
          <w:color w:val="222222"/>
          <w:sz w:val="24"/>
          <w:szCs w:val="24"/>
        </w:rPr>
        <w:t>O, udtrykt i % af den forventede blærekapacitet, blev forbedret (baselinemedian: 28,25 %; uge 24-median 58,28 %).</w:t>
      </w:r>
    </w:p>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t xml:space="preserve">Yderligere dagbogsbaserede målinger viste forbedring fra baseline til uge 24 i begge aldersgrupper. Hos forsøgsdeltagere fra 6 måneder til under 5 år steg den gennemsnitlige maksimale </w:t>
      </w:r>
      <w:proofErr w:type="spellStart"/>
      <w:r>
        <w:rPr>
          <w:color w:val="222222"/>
          <w:sz w:val="24"/>
          <w:szCs w:val="24"/>
        </w:rPr>
        <w:t>kateteriserede</w:t>
      </w:r>
      <w:proofErr w:type="spellEnd"/>
      <w:r>
        <w:rPr>
          <w:color w:val="222222"/>
          <w:sz w:val="24"/>
          <w:szCs w:val="24"/>
        </w:rPr>
        <w:t xml:space="preserve"> volumen pr. dag (gennemsnitlig ændring: 40,3 ml; SD: 50,0; 95 % CI: 16,2, 64,4), og det gennemsnitlige antal perioder mellem rene intermitterende </w:t>
      </w:r>
      <w:proofErr w:type="spellStart"/>
      <w:r>
        <w:rPr>
          <w:color w:val="222222"/>
          <w:sz w:val="24"/>
          <w:szCs w:val="24"/>
        </w:rPr>
        <w:t>kateteriseringer</w:t>
      </w:r>
      <w:proofErr w:type="spellEnd"/>
      <w:r>
        <w:rPr>
          <w:color w:val="222222"/>
          <w:sz w:val="24"/>
          <w:szCs w:val="24"/>
        </w:rPr>
        <w:t xml:space="preserve"> med inkontinensepisoder pr. 24 timer faldt (gennemsnitlig ændring: -1,31; SD: 1,35; 95 % CI: -1,99, -0,64). Hos forsøgsdeltagere fra 5 år til under 18 år steg den gennemsnitlige maksimale </w:t>
      </w:r>
      <w:proofErr w:type="spellStart"/>
      <w:r>
        <w:rPr>
          <w:color w:val="222222"/>
          <w:sz w:val="24"/>
          <w:szCs w:val="24"/>
        </w:rPr>
        <w:t>kateteriserede</w:t>
      </w:r>
      <w:proofErr w:type="spellEnd"/>
      <w:r>
        <w:rPr>
          <w:color w:val="222222"/>
          <w:sz w:val="24"/>
          <w:szCs w:val="24"/>
        </w:rPr>
        <w:t xml:space="preserve"> volumen pr. dag (gennemsnitlig ændring: 67,45 ml; SD: 88,07; 95 % CI: 42,68, 92,22), og det gennemsnitlige antal inkontinensepisoder pr. 24 timer faldt (gennemsnitlig ændring: -1,60; SD: 2,04; 95 % CI: -2,18, -1,03).</w:t>
      </w:r>
    </w:p>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lastRenderedPageBreak/>
        <w:t xml:space="preserve">Behandlingen med </w:t>
      </w:r>
      <w:proofErr w:type="spellStart"/>
      <w:r>
        <w:rPr>
          <w:color w:val="222222"/>
          <w:sz w:val="24"/>
          <w:szCs w:val="24"/>
        </w:rPr>
        <w:t>Vesicare</w:t>
      </w:r>
      <w:proofErr w:type="spellEnd"/>
      <w:r>
        <w:rPr>
          <w:color w:val="222222"/>
          <w:sz w:val="24"/>
          <w:szCs w:val="24"/>
        </w:rPr>
        <w:t xml:space="preserve"> oral suspension hos børn og unge var veltolereret på alle dosisniveauer. Der blev ikke identificeret nogen nye sikkerhedsmæssige problemer med den kendte sikkerhedsprofil for </w:t>
      </w:r>
      <w:proofErr w:type="spellStart"/>
      <w:r>
        <w:rPr>
          <w:color w:val="222222"/>
          <w:sz w:val="24"/>
          <w:szCs w:val="24"/>
        </w:rPr>
        <w:t>solifenacin</w:t>
      </w:r>
      <w:proofErr w:type="spellEnd"/>
      <w:r>
        <w:rPr>
          <w:color w:val="222222"/>
          <w:sz w:val="24"/>
          <w:szCs w:val="24"/>
        </w:rPr>
        <w:t xml:space="preserve"> hos voksne.</w:t>
      </w:r>
    </w:p>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t>Der findes ikke data fra kliniske forsøg udover et års behandling for NDO hos børn og unge.</w:t>
      </w:r>
    </w:p>
    <w:p w:rsidR="001F1CED" w:rsidRDefault="001F1CED" w:rsidP="001F1CED">
      <w:pPr>
        <w:ind w:left="851"/>
        <w:rPr>
          <w:color w:val="222222"/>
          <w:sz w:val="24"/>
          <w:szCs w:val="24"/>
        </w:rPr>
      </w:pPr>
    </w:p>
    <w:p w:rsidR="001F1CED" w:rsidRDefault="001F1CED" w:rsidP="001F1CED">
      <w:pPr>
        <w:ind w:left="851"/>
        <w:rPr>
          <w:color w:val="222222"/>
          <w:sz w:val="24"/>
          <w:szCs w:val="24"/>
        </w:rPr>
      </w:pPr>
      <w:r>
        <w:rPr>
          <w:color w:val="222222"/>
          <w:sz w:val="24"/>
          <w:szCs w:val="24"/>
        </w:rPr>
        <w:t>Der er utilstrækkelig klinisk erfaring med pædiatriske patienter med NDO, der er under 2 år. Der er ikke udført kliniske forsøg med pædiatriske patienter med NDO, der er under 6 måneder.</w:t>
      </w:r>
    </w:p>
    <w:p w:rsidR="001F1CED" w:rsidRPr="00577A7E" w:rsidRDefault="001F1CED" w:rsidP="001F1CED">
      <w:pPr>
        <w:ind w:left="851" w:hanging="851"/>
        <w:rPr>
          <w:sz w:val="24"/>
          <w:szCs w:val="24"/>
        </w:rPr>
      </w:pPr>
    </w:p>
    <w:p w:rsidR="001F1CED" w:rsidRPr="00577A7E" w:rsidRDefault="001F1CED" w:rsidP="001F1CED">
      <w:pPr>
        <w:keepNext/>
        <w:ind w:left="851" w:hanging="851"/>
        <w:rPr>
          <w:b/>
          <w:sz w:val="24"/>
          <w:szCs w:val="24"/>
        </w:rPr>
      </w:pPr>
      <w:r w:rsidRPr="00577A7E">
        <w:rPr>
          <w:b/>
          <w:sz w:val="24"/>
          <w:szCs w:val="24"/>
        </w:rPr>
        <w:t>5.2</w:t>
      </w:r>
      <w:r w:rsidRPr="00577A7E">
        <w:rPr>
          <w:b/>
          <w:sz w:val="24"/>
          <w:szCs w:val="24"/>
        </w:rPr>
        <w:tab/>
      </w:r>
      <w:proofErr w:type="spellStart"/>
      <w:r w:rsidRPr="00577A7E">
        <w:rPr>
          <w:b/>
          <w:sz w:val="24"/>
          <w:szCs w:val="24"/>
        </w:rPr>
        <w:t>Farmakokinetiske</w:t>
      </w:r>
      <w:proofErr w:type="spellEnd"/>
      <w:r w:rsidRPr="00577A7E">
        <w:rPr>
          <w:b/>
          <w:sz w:val="24"/>
          <w:szCs w:val="24"/>
        </w:rPr>
        <w:t xml:space="preserve"> egenskaber</w:t>
      </w:r>
    </w:p>
    <w:p w:rsidR="001F1CED" w:rsidRDefault="001F1CED" w:rsidP="001F1CED">
      <w:pPr>
        <w:keepNext/>
        <w:ind w:left="851"/>
        <w:rPr>
          <w:sz w:val="24"/>
          <w:szCs w:val="24"/>
          <w:u w:val="single"/>
        </w:rPr>
      </w:pPr>
    </w:p>
    <w:p w:rsidR="001F1CED" w:rsidRDefault="001F1CED" w:rsidP="001F1CED">
      <w:pPr>
        <w:keepNext/>
        <w:ind w:left="851"/>
        <w:rPr>
          <w:sz w:val="24"/>
          <w:szCs w:val="24"/>
          <w:u w:val="single"/>
        </w:rPr>
      </w:pPr>
      <w:r>
        <w:rPr>
          <w:sz w:val="24"/>
          <w:szCs w:val="24"/>
          <w:u w:val="single"/>
        </w:rPr>
        <w:t>Absorption</w:t>
      </w:r>
    </w:p>
    <w:p w:rsidR="001F1CED" w:rsidRDefault="001F1CED" w:rsidP="001F1CED">
      <w:pPr>
        <w:ind w:left="851"/>
        <w:rPr>
          <w:sz w:val="24"/>
          <w:szCs w:val="24"/>
        </w:rPr>
      </w:pPr>
      <w:r>
        <w:rPr>
          <w:sz w:val="24"/>
          <w:szCs w:val="24"/>
        </w:rPr>
        <w:t xml:space="preserve">Efter oral indgift af </w:t>
      </w:r>
      <w:proofErr w:type="spellStart"/>
      <w:r>
        <w:rPr>
          <w:sz w:val="24"/>
          <w:szCs w:val="24"/>
        </w:rPr>
        <w:t>solifenacin</w:t>
      </w:r>
      <w:proofErr w:type="spellEnd"/>
      <w:r>
        <w:rPr>
          <w:sz w:val="24"/>
          <w:szCs w:val="24"/>
        </w:rPr>
        <w:t xml:space="preserve"> hos voksne nås maksimal </w:t>
      </w:r>
      <w:proofErr w:type="spellStart"/>
      <w:r>
        <w:rPr>
          <w:sz w:val="24"/>
          <w:szCs w:val="24"/>
        </w:rPr>
        <w:t>solifenacin</w:t>
      </w:r>
      <w:proofErr w:type="spellEnd"/>
      <w:r>
        <w:rPr>
          <w:sz w:val="24"/>
          <w:szCs w:val="24"/>
        </w:rPr>
        <w:t>-plasmakoncentration (</w:t>
      </w:r>
      <w:proofErr w:type="spellStart"/>
      <w:r>
        <w:rPr>
          <w:sz w:val="24"/>
          <w:szCs w:val="24"/>
        </w:rPr>
        <w:t>C</w:t>
      </w:r>
      <w:r>
        <w:rPr>
          <w:sz w:val="24"/>
          <w:szCs w:val="24"/>
          <w:vertAlign w:val="subscript"/>
        </w:rPr>
        <w:t>max</w:t>
      </w:r>
      <w:proofErr w:type="spellEnd"/>
      <w:r>
        <w:rPr>
          <w:sz w:val="24"/>
          <w:szCs w:val="24"/>
        </w:rPr>
        <w:t xml:space="preserve">) efter 4 til 12 timer. </w:t>
      </w:r>
      <w:proofErr w:type="spellStart"/>
      <w:r>
        <w:rPr>
          <w:sz w:val="24"/>
          <w:szCs w:val="24"/>
        </w:rPr>
        <w:t>T</w:t>
      </w:r>
      <w:r>
        <w:rPr>
          <w:sz w:val="24"/>
          <w:szCs w:val="24"/>
          <w:vertAlign w:val="subscript"/>
        </w:rPr>
        <w:t>max</w:t>
      </w:r>
      <w:proofErr w:type="spellEnd"/>
      <w:r>
        <w:rPr>
          <w:sz w:val="24"/>
          <w:szCs w:val="24"/>
        </w:rPr>
        <w:t xml:space="preserve"> er uafhængig af dosis. </w:t>
      </w:r>
      <w:proofErr w:type="spellStart"/>
      <w:r>
        <w:rPr>
          <w:sz w:val="24"/>
          <w:szCs w:val="24"/>
        </w:rPr>
        <w:t>C</w:t>
      </w:r>
      <w:r>
        <w:rPr>
          <w:sz w:val="24"/>
          <w:szCs w:val="24"/>
          <w:vertAlign w:val="subscript"/>
        </w:rPr>
        <w:t>max</w:t>
      </w:r>
      <w:proofErr w:type="spellEnd"/>
      <w:r>
        <w:rPr>
          <w:sz w:val="24"/>
          <w:szCs w:val="24"/>
        </w:rPr>
        <w:t xml:space="preserve"> og areal under kurven (AUC) stiger proportionalt med dosis fra 5 mg til 40 mg. Den absolutte biotilgængelighed er ca. 90%. </w:t>
      </w:r>
    </w:p>
    <w:p w:rsidR="001F1CED" w:rsidRDefault="001F1CED" w:rsidP="001F1CED">
      <w:pPr>
        <w:ind w:left="851"/>
        <w:rPr>
          <w:sz w:val="24"/>
          <w:szCs w:val="24"/>
        </w:rPr>
      </w:pPr>
      <w:proofErr w:type="spellStart"/>
      <w:r>
        <w:rPr>
          <w:sz w:val="24"/>
          <w:szCs w:val="24"/>
        </w:rPr>
        <w:t>C</w:t>
      </w:r>
      <w:r>
        <w:rPr>
          <w:sz w:val="24"/>
          <w:szCs w:val="24"/>
          <w:vertAlign w:val="subscript"/>
        </w:rPr>
        <w:t>max</w:t>
      </w:r>
      <w:proofErr w:type="spellEnd"/>
      <w:r>
        <w:rPr>
          <w:sz w:val="24"/>
          <w:szCs w:val="24"/>
        </w:rPr>
        <w:t xml:space="preserve"> og AUC-værdier for </w:t>
      </w:r>
      <w:proofErr w:type="spellStart"/>
      <w:r>
        <w:rPr>
          <w:sz w:val="24"/>
          <w:szCs w:val="24"/>
        </w:rPr>
        <w:t>solifenacin</w:t>
      </w:r>
      <w:proofErr w:type="spellEnd"/>
      <w:r>
        <w:rPr>
          <w:sz w:val="24"/>
          <w:szCs w:val="24"/>
        </w:rPr>
        <w:t xml:space="preserve"> påvirkes ikke af fødeindtagelse.</w:t>
      </w:r>
    </w:p>
    <w:p w:rsidR="001F1CED" w:rsidRDefault="001F1CED" w:rsidP="001F1CED">
      <w:pPr>
        <w:ind w:left="851"/>
        <w:rPr>
          <w:sz w:val="24"/>
          <w:szCs w:val="24"/>
        </w:rPr>
      </w:pPr>
    </w:p>
    <w:p w:rsidR="001F1CED" w:rsidRDefault="001F1CED" w:rsidP="001F1CED">
      <w:pPr>
        <w:ind w:left="851"/>
        <w:rPr>
          <w:sz w:val="24"/>
          <w:szCs w:val="24"/>
          <w:u w:val="single"/>
        </w:rPr>
      </w:pPr>
      <w:r>
        <w:rPr>
          <w:sz w:val="24"/>
          <w:szCs w:val="24"/>
          <w:u w:val="single"/>
        </w:rPr>
        <w:t>Fordeling</w:t>
      </w:r>
    </w:p>
    <w:p w:rsidR="001F1CED" w:rsidRDefault="001F1CED" w:rsidP="001F1CED">
      <w:pPr>
        <w:ind w:left="851"/>
        <w:rPr>
          <w:sz w:val="24"/>
          <w:szCs w:val="24"/>
        </w:rPr>
      </w:pPr>
      <w:proofErr w:type="spellStart"/>
      <w:r>
        <w:rPr>
          <w:sz w:val="24"/>
          <w:szCs w:val="24"/>
        </w:rPr>
        <w:t>Solifenacins</w:t>
      </w:r>
      <w:proofErr w:type="spellEnd"/>
      <w:r>
        <w:rPr>
          <w:sz w:val="24"/>
          <w:szCs w:val="24"/>
        </w:rPr>
        <w:t xml:space="preserve"> tilsyneladende fordelingsvolumen efter intravenøs administration er ca. 600 l. En stor del af </w:t>
      </w:r>
      <w:proofErr w:type="spellStart"/>
      <w:r>
        <w:rPr>
          <w:sz w:val="24"/>
          <w:szCs w:val="24"/>
        </w:rPr>
        <w:t>solifenacin</w:t>
      </w:r>
      <w:proofErr w:type="spellEnd"/>
      <w:r>
        <w:rPr>
          <w:sz w:val="24"/>
          <w:szCs w:val="24"/>
        </w:rPr>
        <w:t xml:space="preserve"> (ca. 98%) er bundet til plasmaproteiner, primært α</w:t>
      </w:r>
      <w:r>
        <w:rPr>
          <w:sz w:val="24"/>
          <w:szCs w:val="24"/>
          <w:vertAlign w:val="subscript"/>
        </w:rPr>
        <w:t>1</w:t>
      </w:r>
      <w:r>
        <w:rPr>
          <w:sz w:val="24"/>
          <w:szCs w:val="24"/>
        </w:rPr>
        <w:t>-syreglyco</w:t>
      </w:r>
      <w:r>
        <w:rPr>
          <w:sz w:val="24"/>
          <w:szCs w:val="24"/>
        </w:rPr>
        <w:softHyphen/>
        <w:t>protein.</w:t>
      </w:r>
    </w:p>
    <w:p w:rsidR="001F1CED" w:rsidRDefault="001F1CED" w:rsidP="001F1CED">
      <w:pPr>
        <w:ind w:left="851"/>
        <w:rPr>
          <w:sz w:val="24"/>
          <w:szCs w:val="24"/>
        </w:rPr>
      </w:pPr>
    </w:p>
    <w:p w:rsidR="001F1CED" w:rsidRDefault="001F1CED" w:rsidP="001F1CED">
      <w:pPr>
        <w:ind w:left="851"/>
        <w:rPr>
          <w:sz w:val="24"/>
          <w:szCs w:val="24"/>
          <w:u w:val="single"/>
        </w:rPr>
      </w:pPr>
      <w:r>
        <w:rPr>
          <w:sz w:val="24"/>
          <w:szCs w:val="24"/>
          <w:u w:val="single"/>
        </w:rPr>
        <w:t>Biotransformation</w:t>
      </w:r>
    </w:p>
    <w:p w:rsidR="001F1CED" w:rsidRDefault="001F1CED" w:rsidP="001F1CED">
      <w:pPr>
        <w:ind w:left="851"/>
        <w:rPr>
          <w:sz w:val="24"/>
          <w:szCs w:val="24"/>
        </w:rPr>
      </w:pPr>
      <w:proofErr w:type="spellStart"/>
      <w:r>
        <w:rPr>
          <w:sz w:val="24"/>
          <w:szCs w:val="24"/>
        </w:rPr>
        <w:t>Solifenacin</w:t>
      </w:r>
      <w:proofErr w:type="spellEnd"/>
      <w:r>
        <w:rPr>
          <w:sz w:val="24"/>
          <w:szCs w:val="24"/>
        </w:rPr>
        <w:t xml:space="preserve"> </w:t>
      </w:r>
      <w:proofErr w:type="spellStart"/>
      <w:r>
        <w:rPr>
          <w:sz w:val="24"/>
          <w:szCs w:val="24"/>
        </w:rPr>
        <w:t>metaboliseres</w:t>
      </w:r>
      <w:proofErr w:type="spellEnd"/>
      <w:r>
        <w:rPr>
          <w:sz w:val="24"/>
          <w:szCs w:val="24"/>
        </w:rPr>
        <w:t xml:space="preserve"> hovedsageligt i leveren af </w:t>
      </w:r>
      <w:proofErr w:type="spellStart"/>
      <w:r>
        <w:rPr>
          <w:sz w:val="24"/>
          <w:szCs w:val="24"/>
        </w:rPr>
        <w:t>cytochrom</w:t>
      </w:r>
      <w:proofErr w:type="spellEnd"/>
      <w:r>
        <w:rPr>
          <w:sz w:val="24"/>
          <w:szCs w:val="24"/>
        </w:rPr>
        <w:t xml:space="preserve"> P450 3A4 (CYP3A4). Der eksisterer dog alternative </w:t>
      </w:r>
      <w:proofErr w:type="spellStart"/>
      <w:r>
        <w:rPr>
          <w:sz w:val="24"/>
          <w:szCs w:val="24"/>
        </w:rPr>
        <w:t>metaboliseringsveje</w:t>
      </w:r>
      <w:proofErr w:type="spellEnd"/>
      <w:r>
        <w:rPr>
          <w:sz w:val="24"/>
          <w:szCs w:val="24"/>
        </w:rPr>
        <w:t xml:space="preserve">, som kan bidrage til </w:t>
      </w:r>
      <w:proofErr w:type="spellStart"/>
      <w:r>
        <w:rPr>
          <w:sz w:val="24"/>
          <w:szCs w:val="24"/>
        </w:rPr>
        <w:t>solifenacins</w:t>
      </w:r>
      <w:proofErr w:type="spellEnd"/>
      <w:r>
        <w:rPr>
          <w:sz w:val="24"/>
          <w:szCs w:val="24"/>
        </w:rPr>
        <w:t xml:space="preserve"> metabolisme. Den systemiske </w:t>
      </w:r>
      <w:proofErr w:type="spellStart"/>
      <w:r>
        <w:rPr>
          <w:sz w:val="24"/>
          <w:szCs w:val="24"/>
        </w:rPr>
        <w:t>clearance</w:t>
      </w:r>
      <w:proofErr w:type="spellEnd"/>
      <w:r>
        <w:rPr>
          <w:sz w:val="24"/>
          <w:szCs w:val="24"/>
        </w:rPr>
        <w:t xml:space="preserve"> af </w:t>
      </w:r>
      <w:proofErr w:type="spellStart"/>
      <w:r>
        <w:rPr>
          <w:sz w:val="24"/>
          <w:szCs w:val="24"/>
        </w:rPr>
        <w:t>solifenacin</w:t>
      </w:r>
      <w:proofErr w:type="spellEnd"/>
      <w:r>
        <w:rPr>
          <w:sz w:val="24"/>
          <w:szCs w:val="24"/>
        </w:rPr>
        <w:t xml:space="preserve"> er omkring 9,5 l/t og </w:t>
      </w:r>
      <w:proofErr w:type="spellStart"/>
      <w:r>
        <w:rPr>
          <w:sz w:val="24"/>
          <w:szCs w:val="24"/>
        </w:rPr>
        <w:t>solifenacins</w:t>
      </w:r>
      <w:proofErr w:type="spellEnd"/>
      <w:r>
        <w:rPr>
          <w:sz w:val="24"/>
          <w:szCs w:val="24"/>
        </w:rPr>
        <w:t xml:space="preserve"> terminale halveringstid er 45-68 timer. Efter oral administration er en farmakologisk aktiv (4R-hydroxysolifenacin) og tre inaktive metabolitter (N-</w:t>
      </w:r>
      <w:proofErr w:type="spellStart"/>
      <w:r>
        <w:rPr>
          <w:sz w:val="24"/>
          <w:szCs w:val="24"/>
        </w:rPr>
        <w:t>glucuronid</w:t>
      </w:r>
      <w:proofErr w:type="spellEnd"/>
      <w:r>
        <w:rPr>
          <w:sz w:val="24"/>
          <w:szCs w:val="24"/>
        </w:rPr>
        <w:t xml:space="preserve">, N-oxid og 4R-hydroxy-N-oxid af </w:t>
      </w:r>
      <w:proofErr w:type="spellStart"/>
      <w:r>
        <w:rPr>
          <w:sz w:val="24"/>
          <w:szCs w:val="24"/>
        </w:rPr>
        <w:t>solifenacin</w:t>
      </w:r>
      <w:proofErr w:type="spellEnd"/>
      <w:r>
        <w:rPr>
          <w:sz w:val="24"/>
          <w:szCs w:val="24"/>
        </w:rPr>
        <w:t xml:space="preserve">) blevet identificeret i plasma ud over </w:t>
      </w:r>
      <w:proofErr w:type="spellStart"/>
      <w:r>
        <w:rPr>
          <w:sz w:val="24"/>
          <w:szCs w:val="24"/>
        </w:rPr>
        <w:t>solifenacin</w:t>
      </w:r>
      <w:proofErr w:type="spellEnd"/>
      <w:r>
        <w:rPr>
          <w:sz w:val="24"/>
          <w:szCs w:val="24"/>
        </w:rPr>
        <w:t>.</w:t>
      </w:r>
    </w:p>
    <w:p w:rsidR="001F1CED" w:rsidRDefault="001F1CED" w:rsidP="001F1CED">
      <w:pPr>
        <w:ind w:left="851"/>
        <w:rPr>
          <w:sz w:val="24"/>
          <w:szCs w:val="24"/>
        </w:rPr>
      </w:pPr>
    </w:p>
    <w:p w:rsidR="001F1CED" w:rsidRDefault="001F1CED" w:rsidP="001F1CED">
      <w:pPr>
        <w:ind w:left="851"/>
        <w:rPr>
          <w:sz w:val="24"/>
          <w:szCs w:val="24"/>
          <w:u w:val="single"/>
        </w:rPr>
      </w:pPr>
      <w:r>
        <w:rPr>
          <w:sz w:val="24"/>
          <w:szCs w:val="24"/>
          <w:u w:val="single"/>
        </w:rPr>
        <w:t>Elimination</w:t>
      </w:r>
    </w:p>
    <w:p w:rsidR="001F1CED" w:rsidRDefault="001F1CED" w:rsidP="001F1CED">
      <w:pPr>
        <w:ind w:left="851"/>
        <w:rPr>
          <w:i/>
          <w:sz w:val="24"/>
          <w:szCs w:val="24"/>
        </w:rPr>
      </w:pPr>
      <w:r>
        <w:rPr>
          <w:sz w:val="24"/>
          <w:szCs w:val="24"/>
        </w:rPr>
        <w:t xml:space="preserve">Efter en enkelt administration af 10 mg </w:t>
      </w:r>
      <w:proofErr w:type="spellStart"/>
      <w:r>
        <w:rPr>
          <w:sz w:val="24"/>
          <w:szCs w:val="24"/>
        </w:rPr>
        <w:t>solifenacin</w:t>
      </w:r>
      <w:proofErr w:type="spellEnd"/>
      <w:r>
        <w:rPr>
          <w:sz w:val="24"/>
          <w:szCs w:val="24"/>
        </w:rPr>
        <w:t xml:space="preserve"> (</w:t>
      </w:r>
      <w:r>
        <w:rPr>
          <w:sz w:val="24"/>
          <w:szCs w:val="24"/>
          <w:vertAlign w:val="superscript"/>
        </w:rPr>
        <w:t>14</w:t>
      </w:r>
      <w:r>
        <w:rPr>
          <w:sz w:val="24"/>
          <w:szCs w:val="24"/>
        </w:rPr>
        <w:t xml:space="preserve">C-mærket), udskilles ca. 70% radioaktivitet i urin og 23% i fæces i løbet af 26 dage. I urinen udskilles ca. 11% radioaktivitet som </w:t>
      </w:r>
      <w:proofErr w:type="spellStart"/>
      <w:r>
        <w:rPr>
          <w:sz w:val="24"/>
          <w:szCs w:val="24"/>
        </w:rPr>
        <w:t>uomdannet</w:t>
      </w:r>
      <w:proofErr w:type="spellEnd"/>
      <w:r>
        <w:rPr>
          <w:sz w:val="24"/>
          <w:szCs w:val="24"/>
        </w:rPr>
        <w:t xml:space="preserve"> aktiv substans, ca. 18% som N-oxidmetabolit, 9% som 4R-hydroxy-N-oxidmetabolit og 8% som 4R-hydroxymetabolit (aktiv metabolit). </w:t>
      </w:r>
    </w:p>
    <w:p w:rsidR="001F1CED" w:rsidRDefault="001F1CED" w:rsidP="001F1CED">
      <w:pPr>
        <w:ind w:left="851"/>
        <w:rPr>
          <w:sz w:val="24"/>
          <w:szCs w:val="24"/>
        </w:rPr>
      </w:pPr>
      <w:r>
        <w:rPr>
          <w:sz w:val="24"/>
          <w:szCs w:val="24"/>
        </w:rPr>
        <w:tab/>
      </w:r>
    </w:p>
    <w:p w:rsidR="001F1CED" w:rsidRDefault="001F1CED" w:rsidP="001F1CED">
      <w:pPr>
        <w:ind w:left="851"/>
        <w:rPr>
          <w:sz w:val="24"/>
          <w:szCs w:val="24"/>
        </w:rPr>
      </w:pPr>
      <w:r>
        <w:rPr>
          <w:sz w:val="24"/>
          <w:szCs w:val="24"/>
          <w:u w:val="single"/>
        </w:rPr>
        <w:t>Linearitet/non-linearitet</w:t>
      </w:r>
    </w:p>
    <w:p w:rsidR="001F1CED" w:rsidRDefault="001F1CED" w:rsidP="001F1CED">
      <w:pPr>
        <w:ind w:left="851"/>
        <w:rPr>
          <w:sz w:val="24"/>
          <w:szCs w:val="24"/>
        </w:rPr>
      </w:pPr>
      <w:r>
        <w:rPr>
          <w:sz w:val="24"/>
          <w:szCs w:val="24"/>
        </w:rPr>
        <w:t>Der er lineær farmakokinetik i det terapeutiske dosisinterval.</w:t>
      </w:r>
    </w:p>
    <w:p w:rsidR="001F1CED" w:rsidRDefault="001F1CED" w:rsidP="001F1CED">
      <w:pPr>
        <w:ind w:left="851"/>
        <w:rPr>
          <w:i/>
          <w:sz w:val="24"/>
          <w:szCs w:val="24"/>
          <w:u w:val="single"/>
        </w:rPr>
      </w:pPr>
    </w:p>
    <w:p w:rsidR="001F1CED" w:rsidRDefault="001F1CED" w:rsidP="001F1CED">
      <w:pPr>
        <w:ind w:left="851"/>
        <w:rPr>
          <w:sz w:val="24"/>
          <w:szCs w:val="24"/>
          <w:u w:val="single"/>
        </w:rPr>
      </w:pPr>
      <w:r>
        <w:rPr>
          <w:sz w:val="24"/>
          <w:szCs w:val="24"/>
          <w:u w:val="single"/>
        </w:rPr>
        <w:t>Andre særlige populationer</w:t>
      </w:r>
    </w:p>
    <w:p w:rsidR="001F1CED" w:rsidRDefault="001F1CED" w:rsidP="001F1CED">
      <w:pPr>
        <w:ind w:left="851"/>
        <w:rPr>
          <w:i/>
          <w:sz w:val="24"/>
          <w:szCs w:val="24"/>
        </w:rPr>
      </w:pPr>
      <w:r>
        <w:rPr>
          <w:i/>
          <w:sz w:val="24"/>
          <w:szCs w:val="24"/>
        </w:rPr>
        <w:t>Ældre</w:t>
      </w:r>
    </w:p>
    <w:p w:rsidR="001F1CED" w:rsidRDefault="001F1CED" w:rsidP="001F1CED">
      <w:pPr>
        <w:ind w:left="851"/>
        <w:rPr>
          <w:sz w:val="24"/>
          <w:szCs w:val="24"/>
        </w:rPr>
      </w:pPr>
      <w:r>
        <w:rPr>
          <w:sz w:val="24"/>
          <w:szCs w:val="24"/>
        </w:rPr>
        <w:t xml:space="preserve">Dosisjustering baseret på patientens alder er ikke nødvendig. Undersøgelser hos ældre har vist, at eksponering for </w:t>
      </w:r>
      <w:proofErr w:type="spellStart"/>
      <w:r>
        <w:rPr>
          <w:sz w:val="24"/>
          <w:szCs w:val="24"/>
        </w:rPr>
        <w:t>solifenacin</w:t>
      </w:r>
      <w:proofErr w:type="spellEnd"/>
      <w:r>
        <w:rPr>
          <w:sz w:val="24"/>
          <w:szCs w:val="24"/>
        </w:rPr>
        <w:t xml:space="preserve">, udtrykt som AUC, efter administration af </w:t>
      </w:r>
      <w:proofErr w:type="spellStart"/>
      <w:r>
        <w:rPr>
          <w:sz w:val="24"/>
          <w:szCs w:val="24"/>
        </w:rPr>
        <w:t>solifenacinsuccinat</w:t>
      </w:r>
      <w:proofErr w:type="spellEnd"/>
      <w:r>
        <w:rPr>
          <w:sz w:val="24"/>
          <w:szCs w:val="24"/>
        </w:rPr>
        <w:t xml:space="preserve"> (5 mg og 10 mg en gang daglig), var ens hos raske ældre patienter (fra 65 til 80 år) og raske yngre forsøgspersoner (under 55 år). Den gennemsnitlige absorptionshastighed, udtrykt som </w:t>
      </w:r>
      <w:proofErr w:type="spellStart"/>
      <w:r>
        <w:rPr>
          <w:sz w:val="24"/>
          <w:szCs w:val="24"/>
        </w:rPr>
        <w:t>t</w:t>
      </w:r>
      <w:r>
        <w:rPr>
          <w:sz w:val="24"/>
          <w:szCs w:val="24"/>
          <w:vertAlign w:val="subscript"/>
        </w:rPr>
        <w:t>max</w:t>
      </w:r>
      <w:proofErr w:type="spellEnd"/>
      <w:r>
        <w:rPr>
          <w:sz w:val="24"/>
          <w:szCs w:val="24"/>
        </w:rPr>
        <w:t xml:space="preserve">, var lidt lavere blandt ældre patienter, og den terminale halveringstid var ca. 20% længere blandt ældre patienter. Disse mindre forskelle anses ikke for at være klinisk signifikante. </w:t>
      </w:r>
    </w:p>
    <w:p w:rsidR="001F1CED" w:rsidRDefault="001F1CED" w:rsidP="001F1CED">
      <w:pPr>
        <w:ind w:left="851"/>
        <w:rPr>
          <w:sz w:val="24"/>
          <w:szCs w:val="24"/>
        </w:rPr>
      </w:pPr>
    </w:p>
    <w:p w:rsidR="001F1CED" w:rsidRDefault="001F1CED" w:rsidP="001F1CED">
      <w:pPr>
        <w:ind w:left="851"/>
        <w:rPr>
          <w:sz w:val="24"/>
          <w:szCs w:val="24"/>
        </w:rPr>
      </w:pPr>
      <w:r>
        <w:rPr>
          <w:i/>
          <w:color w:val="222222"/>
          <w:sz w:val="24"/>
          <w:szCs w:val="24"/>
        </w:rPr>
        <w:t>Børn og unge (2 til 18 år):</w:t>
      </w:r>
      <w:r>
        <w:rPr>
          <w:color w:val="222222"/>
          <w:sz w:val="24"/>
          <w:szCs w:val="24"/>
        </w:rPr>
        <w:br/>
        <w:t xml:space="preserve">Farmakokinetikken af </w:t>
      </w:r>
      <w:proofErr w:type="spellStart"/>
      <w:r>
        <w:rPr>
          <w:color w:val="222222"/>
          <w:sz w:val="24"/>
          <w:szCs w:val="24"/>
        </w:rPr>
        <w:t>solifenacin</w:t>
      </w:r>
      <w:proofErr w:type="spellEnd"/>
      <w:r>
        <w:rPr>
          <w:color w:val="222222"/>
          <w:sz w:val="24"/>
          <w:szCs w:val="24"/>
        </w:rPr>
        <w:t xml:space="preserve"> efter vægt-justeret dosering hos børn og unge med OAB (5 år og ældre) og NDO (2 til 18 år) </w:t>
      </w:r>
      <w:proofErr w:type="spellStart"/>
      <w:r>
        <w:rPr>
          <w:color w:val="222222"/>
          <w:sz w:val="24"/>
          <w:szCs w:val="24"/>
        </w:rPr>
        <w:t>tilsvarede</w:t>
      </w:r>
      <w:proofErr w:type="spellEnd"/>
      <w:r>
        <w:rPr>
          <w:color w:val="222222"/>
          <w:sz w:val="24"/>
          <w:szCs w:val="24"/>
        </w:rPr>
        <w:t xml:space="preserve"> den der blev observeret hos voksne efter vægtjustering, med en lidt kortere </w:t>
      </w:r>
      <w:proofErr w:type="spellStart"/>
      <w:r>
        <w:t>t</w:t>
      </w:r>
      <w:r>
        <w:rPr>
          <w:vertAlign w:val="subscript"/>
        </w:rPr>
        <w:t>max</w:t>
      </w:r>
      <w:proofErr w:type="spellEnd"/>
      <w:r>
        <w:t xml:space="preserve"> og t</w:t>
      </w:r>
      <w:r>
        <w:rPr>
          <w:vertAlign w:val="subscript"/>
        </w:rPr>
        <w:t>1/2</w:t>
      </w:r>
      <w:r>
        <w:rPr>
          <w:color w:val="222222"/>
          <w:sz w:val="24"/>
          <w:szCs w:val="24"/>
        </w:rPr>
        <w:t>: disse forskelle blev ikke betragtet som værende klinisk signifikante.</w:t>
      </w:r>
    </w:p>
    <w:p w:rsidR="001F1CED" w:rsidRDefault="001F1CED" w:rsidP="001F1CED">
      <w:pPr>
        <w:ind w:left="851"/>
        <w:rPr>
          <w:sz w:val="24"/>
          <w:szCs w:val="24"/>
        </w:rPr>
      </w:pPr>
    </w:p>
    <w:p w:rsidR="001F1CED" w:rsidRDefault="001F1CED" w:rsidP="001F1CED">
      <w:pPr>
        <w:ind w:left="851"/>
        <w:rPr>
          <w:i/>
          <w:sz w:val="24"/>
          <w:szCs w:val="24"/>
        </w:rPr>
      </w:pPr>
      <w:r>
        <w:rPr>
          <w:i/>
          <w:sz w:val="24"/>
          <w:szCs w:val="24"/>
        </w:rPr>
        <w:t>Køn</w:t>
      </w:r>
    </w:p>
    <w:p w:rsidR="001F1CED" w:rsidRDefault="001F1CED" w:rsidP="001F1CED">
      <w:pPr>
        <w:ind w:left="851"/>
        <w:rPr>
          <w:sz w:val="24"/>
          <w:szCs w:val="24"/>
        </w:rPr>
      </w:pPr>
      <w:proofErr w:type="spellStart"/>
      <w:r>
        <w:rPr>
          <w:sz w:val="24"/>
          <w:szCs w:val="24"/>
        </w:rPr>
        <w:t>Solifenacins</w:t>
      </w:r>
      <w:proofErr w:type="spellEnd"/>
      <w:r>
        <w:rPr>
          <w:sz w:val="24"/>
          <w:szCs w:val="24"/>
        </w:rPr>
        <w:t xml:space="preserve"> farmakokinetik påvirkes ikke af køn.</w:t>
      </w:r>
    </w:p>
    <w:p w:rsidR="001F1CED" w:rsidRDefault="001F1CED" w:rsidP="001F1CED">
      <w:pPr>
        <w:ind w:left="851"/>
        <w:rPr>
          <w:sz w:val="24"/>
          <w:szCs w:val="24"/>
        </w:rPr>
      </w:pPr>
    </w:p>
    <w:p w:rsidR="001F1CED" w:rsidRDefault="001F1CED" w:rsidP="001F1CED">
      <w:pPr>
        <w:keepNext/>
        <w:ind w:left="851"/>
        <w:rPr>
          <w:i/>
          <w:sz w:val="24"/>
          <w:szCs w:val="24"/>
        </w:rPr>
      </w:pPr>
      <w:r>
        <w:rPr>
          <w:i/>
          <w:sz w:val="24"/>
          <w:szCs w:val="24"/>
        </w:rPr>
        <w:t>Race</w:t>
      </w:r>
    </w:p>
    <w:p w:rsidR="001F1CED" w:rsidRDefault="001F1CED" w:rsidP="001F1CED">
      <w:pPr>
        <w:ind w:left="851"/>
        <w:rPr>
          <w:sz w:val="24"/>
          <w:szCs w:val="24"/>
        </w:rPr>
      </w:pPr>
      <w:proofErr w:type="spellStart"/>
      <w:r>
        <w:rPr>
          <w:sz w:val="24"/>
          <w:szCs w:val="24"/>
        </w:rPr>
        <w:t>Solifenacins</w:t>
      </w:r>
      <w:proofErr w:type="spellEnd"/>
      <w:r>
        <w:rPr>
          <w:sz w:val="24"/>
          <w:szCs w:val="24"/>
        </w:rPr>
        <w:t xml:space="preserve"> farmakokinetik påvirkes ikke af race.</w:t>
      </w:r>
    </w:p>
    <w:p w:rsidR="001F1CED" w:rsidRDefault="001F1CED" w:rsidP="001F1CED">
      <w:pPr>
        <w:ind w:left="851"/>
        <w:rPr>
          <w:sz w:val="24"/>
          <w:szCs w:val="24"/>
        </w:rPr>
      </w:pPr>
    </w:p>
    <w:p w:rsidR="001F1CED" w:rsidRDefault="001F1CED" w:rsidP="001F1CED">
      <w:pPr>
        <w:ind w:left="851"/>
        <w:rPr>
          <w:i/>
          <w:sz w:val="24"/>
          <w:szCs w:val="24"/>
        </w:rPr>
      </w:pPr>
      <w:r>
        <w:rPr>
          <w:i/>
          <w:sz w:val="24"/>
          <w:szCs w:val="24"/>
        </w:rPr>
        <w:t>Nedsat nyrefunktion</w:t>
      </w:r>
    </w:p>
    <w:p w:rsidR="001F1CED" w:rsidRDefault="001F1CED" w:rsidP="001F1CED">
      <w:pPr>
        <w:ind w:left="851"/>
        <w:rPr>
          <w:sz w:val="24"/>
          <w:szCs w:val="24"/>
        </w:rPr>
      </w:pPr>
      <w:proofErr w:type="spellStart"/>
      <w:r>
        <w:rPr>
          <w:sz w:val="24"/>
          <w:szCs w:val="24"/>
        </w:rPr>
        <w:t>Solifenacins</w:t>
      </w:r>
      <w:proofErr w:type="spellEnd"/>
      <w:r>
        <w:rPr>
          <w:sz w:val="24"/>
          <w:szCs w:val="24"/>
        </w:rPr>
        <w:t xml:space="preserve"> AUC og </w:t>
      </w:r>
      <w:proofErr w:type="spellStart"/>
      <w:r>
        <w:rPr>
          <w:sz w:val="24"/>
          <w:szCs w:val="24"/>
        </w:rPr>
        <w:t>C</w:t>
      </w:r>
      <w:r>
        <w:rPr>
          <w:sz w:val="24"/>
          <w:szCs w:val="24"/>
          <w:vertAlign w:val="subscript"/>
        </w:rPr>
        <w:t>max</w:t>
      </w:r>
      <w:proofErr w:type="spellEnd"/>
      <w:r>
        <w:rPr>
          <w:sz w:val="24"/>
          <w:szCs w:val="24"/>
        </w:rPr>
        <w:t xml:space="preserve"> hos patienter med let til moderat nedsat nyrefunktion er ikke signifikant forskellig fra værdierne fundet hos raske frivillige. Hos patienter med svært nedsat nyrefunktion (</w:t>
      </w:r>
      <w:proofErr w:type="spellStart"/>
      <w:r>
        <w:rPr>
          <w:sz w:val="24"/>
          <w:szCs w:val="24"/>
        </w:rPr>
        <w:t>kreatininclearance</w:t>
      </w:r>
      <w:proofErr w:type="spellEnd"/>
      <w:r>
        <w:rPr>
          <w:sz w:val="24"/>
          <w:szCs w:val="24"/>
        </w:rPr>
        <w:t xml:space="preserve"> </w:t>
      </w:r>
      <w:r>
        <w:rPr>
          <w:sz w:val="24"/>
          <w:szCs w:val="24"/>
          <w:u w:val="single"/>
        </w:rPr>
        <w:t>&lt;</w:t>
      </w:r>
      <w:r>
        <w:rPr>
          <w:sz w:val="24"/>
          <w:szCs w:val="24"/>
        </w:rPr>
        <w:t xml:space="preserve"> 30 ml/min) er </w:t>
      </w:r>
      <w:proofErr w:type="spellStart"/>
      <w:r>
        <w:rPr>
          <w:sz w:val="24"/>
          <w:szCs w:val="24"/>
        </w:rPr>
        <w:t>solifenacineksponeringen</w:t>
      </w:r>
      <w:proofErr w:type="spellEnd"/>
      <w:r>
        <w:rPr>
          <w:sz w:val="24"/>
          <w:szCs w:val="24"/>
        </w:rPr>
        <w:t xml:space="preserve"> signifikant højere end i kontrolgruppen med stigninger i </w:t>
      </w:r>
      <w:proofErr w:type="spellStart"/>
      <w:r>
        <w:rPr>
          <w:sz w:val="24"/>
          <w:szCs w:val="24"/>
        </w:rPr>
        <w:t>C</w:t>
      </w:r>
      <w:r>
        <w:rPr>
          <w:sz w:val="24"/>
          <w:szCs w:val="24"/>
          <w:vertAlign w:val="subscript"/>
        </w:rPr>
        <w:t>max</w:t>
      </w:r>
      <w:proofErr w:type="spellEnd"/>
      <w:r>
        <w:rPr>
          <w:sz w:val="24"/>
          <w:szCs w:val="24"/>
        </w:rPr>
        <w:t xml:space="preserve"> på ca. 30%, AUC mere end 100% og t</w:t>
      </w:r>
      <w:r>
        <w:rPr>
          <w:sz w:val="24"/>
          <w:szCs w:val="24"/>
          <w:vertAlign w:val="subscript"/>
        </w:rPr>
        <w:t xml:space="preserve">½ </w:t>
      </w:r>
      <w:r>
        <w:rPr>
          <w:sz w:val="24"/>
          <w:szCs w:val="24"/>
        </w:rPr>
        <w:t xml:space="preserve">mere end 60%. Der er set en statistisk signifikant sammenhæng mellem </w:t>
      </w:r>
      <w:proofErr w:type="spellStart"/>
      <w:r>
        <w:rPr>
          <w:sz w:val="24"/>
          <w:szCs w:val="24"/>
        </w:rPr>
        <w:t>kreatininclearance</w:t>
      </w:r>
      <w:proofErr w:type="spellEnd"/>
      <w:r>
        <w:rPr>
          <w:sz w:val="24"/>
          <w:szCs w:val="24"/>
        </w:rPr>
        <w:t xml:space="preserve"> og </w:t>
      </w:r>
      <w:proofErr w:type="spellStart"/>
      <w:r>
        <w:rPr>
          <w:sz w:val="24"/>
          <w:szCs w:val="24"/>
        </w:rPr>
        <w:t>solifenacinclearance</w:t>
      </w:r>
      <w:proofErr w:type="spellEnd"/>
      <w:r>
        <w:rPr>
          <w:sz w:val="24"/>
          <w:szCs w:val="24"/>
        </w:rPr>
        <w:t>.</w:t>
      </w:r>
    </w:p>
    <w:p w:rsidR="001F1CED" w:rsidRDefault="001F1CED" w:rsidP="001F1CED">
      <w:pPr>
        <w:ind w:left="851"/>
        <w:rPr>
          <w:sz w:val="24"/>
          <w:szCs w:val="24"/>
        </w:rPr>
      </w:pPr>
      <w:proofErr w:type="spellStart"/>
      <w:r>
        <w:rPr>
          <w:sz w:val="24"/>
          <w:szCs w:val="24"/>
        </w:rPr>
        <w:t>Solifenacins</w:t>
      </w:r>
      <w:proofErr w:type="spellEnd"/>
      <w:r>
        <w:rPr>
          <w:sz w:val="24"/>
          <w:szCs w:val="24"/>
        </w:rPr>
        <w:t xml:space="preserve"> farmakokinetik er ikke undersøgt hos patienter i hæmodialyse.</w:t>
      </w:r>
    </w:p>
    <w:p w:rsidR="001F1CED" w:rsidRDefault="001F1CED" w:rsidP="001F1CED">
      <w:pPr>
        <w:ind w:left="851"/>
        <w:rPr>
          <w:sz w:val="24"/>
          <w:szCs w:val="24"/>
        </w:rPr>
      </w:pPr>
    </w:p>
    <w:p w:rsidR="001F1CED" w:rsidRDefault="001F1CED" w:rsidP="001F1CED">
      <w:pPr>
        <w:ind w:left="851"/>
        <w:rPr>
          <w:i/>
          <w:sz w:val="24"/>
          <w:szCs w:val="24"/>
        </w:rPr>
      </w:pPr>
      <w:r>
        <w:rPr>
          <w:i/>
          <w:sz w:val="24"/>
          <w:szCs w:val="24"/>
        </w:rPr>
        <w:t>Nedsat leverfunktion</w:t>
      </w:r>
    </w:p>
    <w:p w:rsidR="001F1CED" w:rsidRDefault="001F1CED" w:rsidP="001F1CED">
      <w:pPr>
        <w:ind w:left="851"/>
        <w:rPr>
          <w:noProof/>
          <w:sz w:val="24"/>
          <w:szCs w:val="24"/>
        </w:rPr>
      </w:pPr>
      <w:r>
        <w:rPr>
          <w:sz w:val="24"/>
          <w:szCs w:val="24"/>
        </w:rPr>
        <w:t>Hos patienter med moderat nedsat leverfunktion (Child-</w:t>
      </w:r>
      <w:proofErr w:type="spellStart"/>
      <w:r>
        <w:rPr>
          <w:sz w:val="24"/>
          <w:szCs w:val="24"/>
        </w:rPr>
        <w:t>Pugh</w:t>
      </w:r>
      <w:proofErr w:type="spellEnd"/>
      <w:r>
        <w:rPr>
          <w:sz w:val="24"/>
          <w:szCs w:val="24"/>
        </w:rPr>
        <w:t xml:space="preserve"> score 7-9) påvirkes </w:t>
      </w:r>
      <w:proofErr w:type="spellStart"/>
      <w:r>
        <w:rPr>
          <w:sz w:val="24"/>
          <w:szCs w:val="24"/>
        </w:rPr>
        <w:t>C</w:t>
      </w:r>
      <w:r>
        <w:rPr>
          <w:sz w:val="24"/>
          <w:szCs w:val="24"/>
          <w:vertAlign w:val="subscript"/>
        </w:rPr>
        <w:t>max</w:t>
      </w:r>
      <w:proofErr w:type="spellEnd"/>
      <w:r>
        <w:rPr>
          <w:sz w:val="24"/>
          <w:szCs w:val="24"/>
        </w:rPr>
        <w:t xml:space="preserve"> ikke, AUC stiger med 60 % og t</w:t>
      </w:r>
      <w:r>
        <w:rPr>
          <w:sz w:val="24"/>
          <w:szCs w:val="24"/>
          <w:vertAlign w:val="subscript"/>
        </w:rPr>
        <w:t>½</w:t>
      </w:r>
      <w:r>
        <w:rPr>
          <w:sz w:val="24"/>
          <w:szCs w:val="24"/>
        </w:rPr>
        <w:t xml:space="preserve"> fordobles. </w:t>
      </w:r>
      <w:proofErr w:type="spellStart"/>
      <w:r>
        <w:rPr>
          <w:sz w:val="24"/>
          <w:szCs w:val="24"/>
        </w:rPr>
        <w:t>Solifenacins</w:t>
      </w:r>
      <w:proofErr w:type="spellEnd"/>
      <w:r>
        <w:rPr>
          <w:sz w:val="24"/>
          <w:szCs w:val="24"/>
        </w:rPr>
        <w:t xml:space="preserve"> farmakokinetik er ikke undersøgt hos patienter med svær nedsat leverfunktion.</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5.3</w:t>
      </w:r>
      <w:r w:rsidRPr="00577A7E">
        <w:rPr>
          <w:b/>
          <w:sz w:val="24"/>
          <w:szCs w:val="24"/>
        </w:rPr>
        <w:tab/>
      </w:r>
      <w:r w:rsidR="00A87F7C">
        <w:rPr>
          <w:b/>
          <w:sz w:val="24"/>
          <w:szCs w:val="24"/>
        </w:rPr>
        <w:t>Non-</w:t>
      </w:r>
      <w:r w:rsidRPr="00577A7E">
        <w:rPr>
          <w:b/>
          <w:sz w:val="24"/>
          <w:szCs w:val="24"/>
        </w:rPr>
        <w:t>kliniske sikkerhedsdata</w:t>
      </w:r>
    </w:p>
    <w:p w:rsidR="001F1CED" w:rsidRPr="00577A7E" w:rsidRDefault="001F1CED" w:rsidP="001F1CED">
      <w:pPr>
        <w:ind w:left="851" w:hanging="851"/>
        <w:rPr>
          <w:noProof/>
          <w:sz w:val="24"/>
          <w:szCs w:val="24"/>
          <w:u w:val="single"/>
        </w:rPr>
      </w:pPr>
      <w:r w:rsidRPr="00577A7E">
        <w:rPr>
          <w:sz w:val="24"/>
          <w:szCs w:val="24"/>
        </w:rPr>
        <w:tab/>
        <w:t xml:space="preserve">De prækliniske data viser ingen særlig risiko for mennesker vurderet ud fra konventionelle undersøgelser af sikkerhedsfarmakologi, toksicitet efter gentagne doser, fertilitet, fosterudvikling, genotoksicitet og </w:t>
      </w:r>
      <w:proofErr w:type="spellStart"/>
      <w:r w:rsidRPr="00577A7E">
        <w:rPr>
          <w:sz w:val="24"/>
          <w:szCs w:val="24"/>
        </w:rPr>
        <w:t>karcinogenicitet</w:t>
      </w:r>
      <w:proofErr w:type="spellEnd"/>
      <w:r w:rsidRPr="00577A7E">
        <w:rPr>
          <w:sz w:val="24"/>
          <w:szCs w:val="24"/>
        </w:rPr>
        <w:t xml:space="preserve">. I præ- og </w:t>
      </w:r>
      <w:proofErr w:type="spellStart"/>
      <w:r w:rsidRPr="00577A7E">
        <w:rPr>
          <w:sz w:val="24"/>
          <w:szCs w:val="24"/>
        </w:rPr>
        <w:t>postnatale</w:t>
      </w:r>
      <w:proofErr w:type="spellEnd"/>
      <w:r w:rsidRPr="00577A7E">
        <w:rPr>
          <w:sz w:val="24"/>
          <w:szCs w:val="24"/>
        </w:rPr>
        <w:t xml:space="preserve"> udviklingsstudier hos mus forårsager </w:t>
      </w:r>
      <w:proofErr w:type="spellStart"/>
      <w:r w:rsidRPr="00577A7E">
        <w:rPr>
          <w:sz w:val="24"/>
          <w:szCs w:val="24"/>
        </w:rPr>
        <w:t>solifenacinbehandling</w:t>
      </w:r>
      <w:proofErr w:type="spellEnd"/>
      <w:r w:rsidRPr="00577A7E">
        <w:rPr>
          <w:sz w:val="24"/>
          <w:szCs w:val="24"/>
        </w:rPr>
        <w:t xml:space="preserve"> af moderen ved diegivning et dosisafhængigt fald i </w:t>
      </w:r>
      <w:proofErr w:type="spellStart"/>
      <w:r w:rsidRPr="00577A7E">
        <w:rPr>
          <w:sz w:val="24"/>
          <w:szCs w:val="24"/>
        </w:rPr>
        <w:t>postpartum</w:t>
      </w:r>
      <w:proofErr w:type="spellEnd"/>
      <w:r w:rsidRPr="00577A7E">
        <w:rPr>
          <w:sz w:val="24"/>
          <w:szCs w:val="24"/>
        </w:rPr>
        <w:t xml:space="preserve"> overlevelsesratio, nedsat fødselsvægt, og nedsat fysisk udvikling ved kliniske relevante niveauer. Dosisrelateret øget dødelighed uden forudgående kliniske tegn forekom hos juvenile mus, som blev behandlet fra dag 10 eller 21 efter fødslen med doser, som gav farmakologisk effekt, og begge grupper havde højere dødelighed i forhold til voksne mus. Hos juvenile mus behandlet fra dag 10 </w:t>
      </w:r>
      <w:proofErr w:type="spellStart"/>
      <w:r w:rsidRPr="00577A7E">
        <w:rPr>
          <w:sz w:val="24"/>
          <w:szCs w:val="24"/>
        </w:rPr>
        <w:t>postnatalt</w:t>
      </w:r>
      <w:proofErr w:type="spellEnd"/>
      <w:r w:rsidRPr="00577A7E">
        <w:rPr>
          <w:sz w:val="24"/>
          <w:szCs w:val="24"/>
        </w:rPr>
        <w:t xml:space="preserve"> var plasmaeksponeringen højere end hos voksne mus; fra dag 21 </w:t>
      </w:r>
      <w:proofErr w:type="spellStart"/>
      <w:r w:rsidRPr="00577A7E">
        <w:rPr>
          <w:sz w:val="24"/>
          <w:szCs w:val="24"/>
        </w:rPr>
        <w:t>postnatalt</w:t>
      </w:r>
      <w:proofErr w:type="spellEnd"/>
      <w:r w:rsidRPr="00577A7E">
        <w:rPr>
          <w:sz w:val="24"/>
          <w:szCs w:val="24"/>
        </w:rPr>
        <w:t xml:space="preserve"> og fremefter var den systemiske eksponering sammenlignelig med den hos voksne mus. De kliniske implikationer af den øgede dødelighed hos juvenile mus er ikke kendt. </w:t>
      </w:r>
      <w:proofErr w:type="spellStart"/>
      <w:r w:rsidRPr="00577A7E">
        <w:rPr>
          <w:sz w:val="24"/>
          <w:szCs w:val="24"/>
        </w:rPr>
        <w:t>Vesicare</w:t>
      </w:r>
      <w:proofErr w:type="spellEnd"/>
      <w:r w:rsidRPr="00577A7E">
        <w:rPr>
          <w:sz w:val="24"/>
          <w:szCs w:val="24"/>
        </w:rPr>
        <w:t xml:space="preserve"> oral suspension viste ingen risiko for øjenirritation ved forsøg med kaniner.</w:t>
      </w:r>
    </w:p>
    <w:p w:rsidR="001F1CED" w:rsidRPr="00577A7E" w:rsidRDefault="001F1CED" w:rsidP="001F1CED">
      <w:pPr>
        <w:ind w:left="851" w:hanging="851"/>
        <w:rPr>
          <w:sz w:val="24"/>
          <w:szCs w:val="24"/>
        </w:rPr>
      </w:pP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6.</w:t>
      </w:r>
      <w:r w:rsidRPr="00577A7E">
        <w:rPr>
          <w:b/>
          <w:sz w:val="24"/>
          <w:szCs w:val="24"/>
        </w:rPr>
        <w:tab/>
        <w:t>FARMACEUTISKE OPLYSNINGER</w:t>
      </w:r>
    </w:p>
    <w:p w:rsidR="001F1CED" w:rsidRPr="00577A7E" w:rsidRDefault="001F1CED" w:rsidP="001F1CED">
      <w:pPr>
        <w:ind w:left="851" w:hanging="851"/>
        <w:rPr>
          <w:b/>
          <w:sz w:val="24"/>
          <w:szCs w:val="24"/>
        </w:rPr>
      </w:pPr>
    </w:p>
    <w:p w:rsidR="001F1CED" w:rsidRPr="00577A7E" w:rsidRDefault="001F1CED" w:rsidP="001F1CED">
      <w:pPr>
        <w:ind w:left="851" w:hanging="851"/>
        <w:rPr>
          <w:b/>
          <w:sz w:val="24"/>
          <w:szCs w:val="24"/>
        </w:rPr>
      </w:pPr>
      <w:r w:rsidRPr="00577A7E">
        <w:rPr>
          <w:b/>
          <w:sz w:val="24"/>
          <w:szCs w:val="24"/>
        </w:rPr>
        <w:t>6.1</w:t>
      </w:r>
      <w:r w:rsidRPr="00577A7E">
        <w:rPr>
          <w:b/>
          <w:sz w:val="24"/>
          <w:szCs w:val="24"/>
        </w:rPr>
        <w:tab/>
        <w:t>Hjælpestoffer</w:t>
      </w:r>
    </w:p>
    <w:p w:rsidR="001F1CED" w:rsidRPr="00577A7E" w:rsidRDefault="001F1CED" w:rsidP="001F1CED">
      <w:pPr>
        <w:ind w:left="851"/>
        <w:rPr>
          <w:sz w:val="24"/>
          <w:szCs w:val="24"/>
        </w:rPr>
      </w:pPr>
      <w:proofErr w:type="spellStart"/>
      <w:r w:rsidRPr="00577A7E">
        <w:rPr>
          <w:sz w:val="24"/>
          <w:szCs w:val="24"/>
        </w:rPr>
        <w:t>Polacrilinkalium</w:t>
      </w:r>
      <w:proofErr w:type="spellEnd"/>
    </w:p>
    <w:p w:rsidR="001F1CED" w:rsidRPr="00577A7E" w:rsidRDefault="001F1CED" w:rsidP="001F1CED">
      <w:pPr>
        <w:ind w:left="851"/>
        <w:rPr>
          <w:sz w:val="24"/>
          <w:szCs w:val="24"/>
        </w:rPr>
      </w:pPr>
      <w:proofErr w:type="spellStart"/>
      <w:r w:rsidRPr="00577A7E">
        <w:rPr>
          <w:sz w:val="24"/>
          <w:szCs w:val="24"/>
        </w:rPr>
        <w:t>Methylparahydroxybenzoat</w:t>
      </w:r>
      <w:proofErr w:type="spellEnd"/>
      <w:r w:rsidRPr="00577A7E">
        <w:rPr>
          <w:sz w:val="24"/>
          <w:szCs w:val="24"/>
        </w:rPr>
        <w:t xml:space="preserve"> (E218)</w:t>
      </w:r>
    </w:p>
    <w:p w:rsidR="001F1CED" w:rsidRPr="00577A7E" w:rsidRDefault="001F1CED" w:rsidP="001F1CED">
      <w:pPr>
        <w:ind w:left="851"/>
        <w:rPr>
          <w:sz w:val="24"/>
          <w:szCs w:val="24"/>
        </w:rPr>
      </w:pPr>
      <w:proofErr w:type="spellStart"/>
      <w:r w:rsidRPr="00577A7E">
        <w:rPr>
          <w:sz w:val="24"/>
          <w:szCs w:val="24"/>
        </w:rPr>
        <w:t>Propylparahydroxybenzoat</w:t>
      </w:r>
      <w:proofErr w:type="spellEnd"/>
      <w:r w:rsidRPr="00577A7E">
        <w:rPr>
          <w:sz w:val="24"/>
          <w:szCs w:val="24"/>
        </w:rPr>
        <w:t xml:space="preserve"> (E216)</w:t>
      </w:r>
    </w:p>
    <w:p w:rsidR="001F1CED" w:rsidRPr="00577A7E" w:rsidRDefault="001F1CED" w:rsidP="001F1CED">
      <w:pPr>
        <w:ind w:left="851"/>
        <w:rPr>
          <w:sz w:val="24"/>
          <w:szCs w:val="24"/>
        </w:rPr>
      </w:pPr>
      <w:r w:rsidRPr="00577A7E">
        <w:rPr>
          <w:sz w:val="24"/>
          <w:szCs w:val="24"/>
        </w:rPr>
        <w:t>Propylenglycol (E1520)</w:t>
      </w:r>
    </w:p>
    <w:p w:rsidR="00A87F7C" w:rsidRPr="00A87F7C" w:rsidRDefault="00A87F7C" w:rsidP="00A87F7C">
      <w:pPr>
        <w:ind w:left="851"/>
        <w:rPr>
          <w:sz w:val="24"/>
          <w:szCs w:val="24"/>
        </w:rPr>
      </w:pPr>
      <w:proofErr w:type="spellStart"/>
      <w:r w:rsidRPr="00A87F7C">
        <w:rPr>
          <w:sz w:val="24"/>
          <w:szCs w:val="24"/>
        </w:rPr>
        <w:lastRenderedPageBreak/>
        <w:t>Simeticonemulsion</w:t>
      </w:r>
      <w:proofErr w:type="spellEnd"/>
      <w:r w:rsidRPr="00A87F7C">
        <w:rPr>
          <w:sz w:val="24"/>
          <w:szCs w:val="24"/>
        </w:rPr>
        <w:t xml:space="preserve"> 30% bestående af </w:t>
      </w:r>
      <w:proofErr w:type="spellStart"/>
      <w:r w:rsidRPr="00A87F7C">
        <w:rPr>
          <w:sz w:val="24"/>
          <w:szCs w:val="24"/>
        </w:rPr>
        <w:t>simeticon</w:t>
      </w:r>
      <w:proofErr w:type="spellEnd"/>
      <w:r w:rsidRPr="00A87F7C">
        <w:rPr>
          <w:sz w:val="24"/>
          <w:szCs w:val="24"/>
        </w:rPr>
        <w:t xml:space="preserve">, </w:t>
      </w:r>
      <w:proofErr w:type="spellStart"/>
      <w:r w:rsidRPr="00A87F7C">
        <w:rPr>
          <w:sz w:val="24"/>
          <w:szCs w:val="24"/>
        </w:rPr>
        <w:t>polyethylenglycolsorbitantristearat</w:t>
      </w:r>
      <w:proofErr w:type="spellEnd"/>
      <w:r w:rsidRPr="00A87F7C">
        <w:rPr>
          <w:sz w:val="24"/>
          <w:szCs w:val="24"/>
        </w:rPr>
        <w:t xml:space="preserve"> (E436), </w:t>
      </w:r>
      <w:proofErr w:type="spellStart"/>
      <w:r w:rsidRPr="00A87F7C">
        <w:rPr>
          <w:sz w:val="24"/>
          <w:szCs w:val="24"/>
        </w:rPr>
        <w:t>methylcellulose</w:t>
      </w:r>
      <w:proofErr w:type="spellEnd"/>
      <w:r w:rsidRPr="00A87F7C">
        <w:rPr>
          <w:sz w:val="24"/>
          <w:szCs w:val="24"/>
        </w:rPr>
        <w:t xml:space="preserve"> (E461), </w:t>
      </w:r>
      <w:proofErr w:type="spellStart"/>
      <w:r w:rsidRPr="00A87F7C">
        <w:rPr>
          <w:sz w:val="24"/>
          <w:szCs w:val="24"/>
        </w:rPr>
        <w:t>polyethylenglycolstearat</w:t>
      </w:r>
      <w:proofErr w:type="spellEnd"/>
      <w:r w:rsidRPr="00A87F7C">
        <w:rPr>
          <w:sz w:val="24"/>
          <w:szCs w:val="24"/>
        </w:rPr>
        <w:t xml:space="preserve">, </w:t>
      </w:r>
      <w:proofErr w:type="spellStart"/>
      <w:r w:rsidRPr="00A87F7C">
        <w:rPr>
          <w:sz w:val="24"/>
          <w:szCs w:val="24"/>
        </w:rPr>
        <w:t>glycerider</w:t>
      </w:r>
      <w:proofErr w:type="spellEnd"/>
      <w:r w:rsidRPr="00A87F7C">
        <w:rPr>
          <w:sz w:val="24"/>
          <w:szCs w:val="24"/>
        </w:rPr>
        <w:t xml:space="preserve">, </w:t>
      </w:r>
      <w:proofErr w:type="spellStart"/>
      <w:r w:rsidRPr="00A87F7C">
        <w:rPr>
          <w:sz w:val="24"/>
          <w:szCs w:val="24"/>
        </w:rPr>
        <w:t>xanthangummi</w:t>
      </w:r>
      <w:proofErr w:type="spellEnd"/>
      <w:r w:rsidRPr="00A87F7C">
        <w:rPr>
          <w:sz w:val="24"/>
          <w:szCs w:val="24"/>
        </w:rPr>
        <w:t xml:space="preserve"> (E415), benzoesyre (E210), </w:t>
      </w:r>
      <w:proofErr w:type="spellStart"/>
      <w:r w:rsidRPr="00A87F7C">
        <w:rPr>
          <w:sz w:val="24"/>
          <w:szCs w:val="24"/>
        </w:rPr>
        <w:t>sorbinsyre</w:t>
      </w:r>
      <w:proofErr w:type="spellEnd"/>
      <w:r w:rsidRPr="00A87F7C">
        <w:rPr>
          <w:sz w:val="24"/>
          <w:szCs w:val="24"/>
        </w:rPr>
        <w:t xml:space="preserve"> (E200), svovlsyre (E513) og vand</w:t>
      </w:r>
    </w:p>
    <w:p w:rsidR="001F1CED" w:rsidRPr="00B973D2" w:rsidRDefault="001F1CED" w:rsidP="001F1CED">
      <w:pPr>
        <w:ind w:left="851"/>
        <w:rPr>
          <w:sz w:val="24"/>
          <w:szCs w:val="24"/>
        </w:rPr>
      </w:pPr>
      <w:proofErr w:type="spellStart"/>
      <w:r w:rsidRPr="00B973D2">
        <w:rPr>
          <w:sz w:val="24"/>
          <w:szCs w:val="24"/>
        </w:rPr>
        <w:t>Carbomer</w:t>
      </w:r>
      <w:proofErr w:type="spellEnd"/>
    </w:p>
    <w:p w:rsidR="001F1CED" w:rsidRPr="00B973D2" w:rsidRDefault="001F1CED" w:rsidP="001F1CED">
      <w:pPr>
        <w:ind w:left="851"/>
        <w:rPr>
          <w:sz w:val="24"/>
          <w:szCs w:val="24"/>
        </w:rPr>
      </w:pPr>
      <w:proofErr w:type="spellStart"/>
      <w:r w:rsidRPr="00B973D2">
        <w:rPr>
          <w:sz w:val="24"/>
          <w:szCs w:val="24"/>
        </w:rPr>
        <w:t>Xylitol</w:t>
      </w:r>
      <w:proofErr w:type="spellEnd"/>
      <w:r w:rsidRPr="00B973D2">
        <w:rPr>
          <w:sz w:val="24"/>
          <w:szCs w:val="24"/>
        </w:rPr>
        <w:t xml:space="preserve"> (E967)</w:t>
      </w:r>
    </w:p>
    <w:p w:rsidR="001F1CED" w:rsidRPr="00B973D2" w:rsidRDefault="001F1CED" w:rsidP="001F1CED">
      <w:pPr>
        <w:ind w:left="851"/>
        <w:rPr>
          <w:sz w:val="24"/>
          <w:szCs w:val="24"/>
        </w:rPr>
      </w:pPr>
      <w:proofErr w:type="spellStart"/>
      <w:r w:rsidRPr="00B973D2">
        <w:rPr>
          <w:sz w:val="24"/>
          <w:szCs w:val="24"/>
        </w:rPr>
        <w:t>Acesulfamkalium</w:t>
      </w:r>
      <w:proofErr w:type="spellEnd"/>
      <w:r w:rsidR="00B2719C" w:rsidRPr="00B2719C">
        <w:rPr>
          <w:sz w:val="24"/>
          <w:szCs w:val="24"/>
        </w:rPr>
        <w:t xml:space="preserve"> (E950)</w:t>
      </w:r>
    </w:p>
    <w:p w:rsidR="001F1CED" w:rsidRPr="004E3984" w:rsidRDefault="001F1CED" w:rsidP="001F1CED">
      <w:pPr>
        <w:ind w:left="851"/>
        <w:rPr>
          <w:sz w:val="24"/>
          <w:szCs w:val="24"/>
        </w:rPr>
      </w:pPr>
      <w:r w:rsidRPr="004E3984">
        <w:rPr>
          <w:sz w:val="24"/>
          <w:szCs w:val="24"/>
        </w:rPr>
        <w:t xml:space="preserve">Naturlig appelsinsmag bestående af æteriske olier med appelsin, naturlige smagsstoffer, </w:t>
      </w:r>
      <w:proofErr w:type="spellStart"/>
      <w:r w:rsidRPr="004E3984">
        <w:rPr>
          <w:sz w:val="24"/>
          <w:szCs w:val="24"/>
        </w:rPr>
        <w:t>ethanol</w:t>
      </w:r>
      <w:proofErr w:type="spellEnd"/>
      <w:r w:rsidRPr="004E3984">
        <w:rPr>
          <w:sz w:val="24"/>
          <w:szCs w:val="24"/>
        </w:rPr>
        <w:t xml:space="preserve">, propylenglycol (E1520), </w:t>
      </w:r>
      <w:proofErr w:type="spellStart"/>
      <w:r w:rsidRPr="004E3984">
        <w:rPr>
          <w:sz w:val="24"/>
          <w:szCs w:val="24"/>
        </w:rPr>
        <w:t>butylhydroxyanisol</w:t>
      </w:r>
      <w:proofErr w:type="spellEnd"/>
      <w:r w:rsidRPr="004E3984">
        <w:rPr>
          <w:sz w:val="24"/>
          <w:szCs w:val="24"/>
        </w:rPr>
        <w:t xml:space="preserve"> (E320) og vand</w:t>
      </w:r>
    </w:p>
    <w:p w:rsidR="001F1CED" w:rsidRPr="00577A7E" w:rsidRDefault="001F1CED" w:rsidP="001F1CED">
      <w:pPr>
        <w:ind w:left="851"/>
        <w:rPr>
          <w:sz w:val="24"/>
          <w:szCs w:val="24"/>
        </w:rPr>
      </w:pPr>
      <w:r w:rsidRPr="00577A7E">
        <w:rPr>
          <w:sz w:val="24"/>
          <w:szCs w:val="24"/>
        </w:rPr>
        <w:t>Natriumhydroxid</w:t>
      </w:r>
    </w:p>
    <w:p w:rsidR="001F1CED" w:rsidRPr="00577A7E" w:rsidRDefault="001F1CED" w:rsidP="001F1CED">
      <w:pPr>
        <w:ind w:left="851"/>
        <w:rPr>
          <w:sz w:val="24"/>
          <w:szCs w:val="24"/>
        </w:rPr>
      </w:pPr>
      <w:r w:rsidRPr="00577A7E">
        <w:rPr>
          <w:sz w:val="24"/>
          <w:szCs w:val="24"/>
        </w:rPr>
        <w:t>Renset vand</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6.2</w:t>
      </w:r>
      <w:r w:rsidRPr="00577A7E">
        <w:rPr>
          <w:b/>
          <w:sz w:val="24"/>
          <w:szCs w:val="24"/>
        </w:rPr>
        <w:tab/>
        <w:t>Uforligeligheder</w:t>
      </w:r>
    </w:p>
    <w:p w:rsidR="001F1CED" w:rsidRPr="00577A7E" w:rsidRDefault="001F1CED" w:rsidP="001F1CED">
      <w:pPr>
        <w:ind w:left="851" w:hanging="851"/>
        <w:rPr>
          <w:sz w:val="24"/>
          <w:szCs w:val="24"/>
        </w:rPr>
      </w:pPr>
      <w:r w:rsidRPr="00577A7E">
        <w:rPr>
          <w:sz w:val="24"/>
          <w:szCs w:val="24"/>
        </w:rPr>
        <w:tab/>
        <w:t>Da der ikke foreligger studier af eventuelle uforligeligheder, må dette lægemiddel ikke blandes med andre lægemidler eller fødevarer.</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6.3</w:t>
      </w:r>
      <w:r w:rsidRPr="00577A7E">
        <w:rPr>
          <w:b/>
          <w:sz w:val="24"/>
          <w:szCs w:val="24"/>
        </w:rPr>
        <w:tab/>
        <w:t>Opbevaringstid</w:t>
      </w:r>
    </w:p>
    <w:p w:rsidR="001F1CED" w:rsidRPr="00577A7E" w:rsidRDefault="001F1CED" w:rsidP="001F1CED">
      <w:pPr>
        <w:ind w:left="851" w:hanging="851"/>
        <w:rPr>
          <w:sz w:val="24"/>
          <w:szCs w:val="24"/>
        </w:rPr>
      </w:pPr>
      <w:r w:rsidRPr="00577A7E">
        <w:rPr>
          <w:sz w:val="24"/>
          <w:szCs w:val="24"/>
        </w:rPr>
        <w:tab/>
      </w:r>
      <w:r w:rsidR="00EC02E2">
        <w:rPr>
          <w:sz w:val="24"/>
          <w:szCs w:val="24"/>
        </w:rPr>
        <w:t>3</w:t>
      </w:r>
      <w:r w:rsidRPr="00577A7E">
        <w:rPr>
          <w:sz w:val="24"/>
          <w:szCs w:val="24"/>
        </w:rPr>
        <w:t xml:space="preserve"> år.</w:t>
      </w:r>
    </w:p>
    <w:p w:rsidR="001F1CED" w:rsidRPr="00577A7E" w:rsidRDefault="001F1CED" w:rsidP="001F1CED">
      <w:pPr>
        <w:ind w:left="851" w:hanging="851"/>
        <w:rPr>
          <w:sz w:val="24"/>
          <w:szCs w:val="24"/>
        </w:rPr>
      </w:pPr>
    </w:p>
    <w:p w:rsidR="001F1CED" w:rsidRPr="00577A7E" w:rsidRDefault="001F1CED" w:rsidP="001F1CED">
      <w:pPr>
        <w:ind w:left="851"/>
        <w:rPr>
          <w:sz w:val="24"/>
          <w:szCs w:val="24"/>
        </w:rPr>
      </w:pPr>
      <w:r w:rsidRPr="00577A7E">
        <w:rPr>
          <w:sz w:val="24"/>
          <w:szCs w:val="24"/>
        </w:rPr>
        <w:t>Efter første åbning af flasken skal den orale suspension anvendes inden for 28 dage.</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6.4</w:t>
      </w:r>
      <w:r w:rsidRPr="00577A7E">
        <w:rPr>
          <w:b/>
          <w:sz w:val="24"/>
          <w:szCs w:val="24"/>
        </w:rPr>
        <w:tab/>
        <w:t>Særlige opbevaringsforhold</w:t>
      </w:r>
    </w:p>
    <w:p w:rsidR="00A1222E" w:rsidRDefault="001F1CED" w:rsidP="00A1222E">
      <w:pPr>
        <w:ind w:left="851" w:hanging="851"/>
        <w:rPr>
          <w:sz w:val="24"/>
          <w:szCs w:val="24"/>
        </w:rPr>
      </w:pPr>
      <w:r w:rsidRPr="00577A7E">
        <w:rPr>
          <w:sz w:val="24"/>
          <w:szCs w:val="24"/>
        </w:rPr>
        <w:tab/>
      </w:r>
      <w:r w:rsidR="00A1222E">
        <w:rPr>
          <w:sz w:val="24"/>
          <w:szCs w:val="24"/>
        </w:rPr>
        <w:t>Opbevares i originalflasken for at beskytte mod lys.</w:t>
      </w:r>
    </w:p>
    <w:p w:rsidR="00A1222E" w:rsidRDefault="00A1222E" w:rsidP="00A1222E">
      <w:pPr>
        <w:ind w:left="851" w:hanging="851"/>
        <w:rPr>
          <w:sz w:val="24"/>
          <w:szCs w:val="24"/>
        </w:rPr>
      </w:pPr>
      <w:r>
        <w:rPr>
          <w:sz w:val="24"/>
          <w:szCs w:val="24"/>
        </w:rPr>
        <w:tab/>
      </w:r>
      <w:r>
        <w:rPr>
          <w:noProof/>
          <w:sz w:val="24"/>
          <w:szCs w:val="24"/>
        </w:rPr>
        <w:t>Opbevar den orale sprøjte under rene og tørre forhold og beskyt den mod sollys og varme.</w:t>
      </w:r>
    </w:p>
    <w:p w:rsidR="00A1222E" w:rsidRDefault="00A1222E" w:rsidP="00A1222E">
      <w:pPr>
        <w:ind w:left="851"/>
        <w:rPr>
          <w:sz w:val="24"/>
          <w:szCs w:val="24"/>
        </w:rPr>
      </w:pPr>
      <w:r>
        <w:rPr>
          <w:sz w:val="24"/>
          <w:szCs w:val="24"/>
        </w:rPr>
        <w:t>Dette lægemiddel kræver ingen særlige forholdsregler vedrørende opbevaringstemperatur.</w:t>
      </w:r>
    </w:p>
    <w:p w:rsidR="001F1CED" w:rsidRPr="00577A7E" w:rsidRDefault="001F1CED" w:rsidP="00A1222E">
      <w:pPr>
        <w:ind w:left="851" w:hanging="851"/>
        <w:rPr>
          <w:sz w:val="24"/>
          <w:szCs w:val="24"/>
        </w:rPr>
      </w:pPr>
    </w:p>
    <w:p w:rsidR="001F1CED" w:rsidRPr="00577A7E" w:rsidRDefault="001F1CED" w:rsidP="001F1CED">
      <w:pPr>
        <w:ind w:left="851" w:hanging="851"/>
        <w:rPr>
          <w:b/>
          <w:sz w:val="24"/>
          <w:szCs w:val="24"/>
        </w:rPr>
      </w:pPr>
      <w:r w:rsidRPr="00577A7E">
        <w:rPr>
          <w:b/>
          <w:sz w:val="24"/>
          <w:szCs w:val="24"/>
        </w:rPr>
        <w:t>6.5</w:t>
      </w:r>
      <w:r w:rsidRPr="00577A7E">
        <w:rPr>
          <w:b/>
          <w:sz w:val="24"/>
          <w:szCs w:val="24"/>
        </w:rPr>
        <w:tab/>
        <w:t>Emballagetype og pakningsstørrelser</w:t>
      </w:r>
    </w:p>
    <w:p w:rsidR="001F1CED" w:rsidRDefault="001F1CED" w:rsidP="00A1222E">
      <w:pPr>
        <w:suppressAutoHyphens/>
        <w:ind w:left="851" w:hanging="851"/>
        <w:rPr>
          <w:szCs w:val="22"/>
        </w:rPr>
      </w:pPr>
      <w:r w:rsidRPr="00577A7E">
        <w:rPr>
          <w:sz w:val="24"/>
          <w:szCs w:val="24"/>
        </w:rPr>
        <w:tab/>
      </w:r>
      <w:r w:rsidR="00EC02E2">
        <w:rPr>
          <w:sz w:val="24"/>
          <w:szCs w:val="24"/>
        </w:rPr>
        <w:t xml:space="preserve">150 ml </w:t>
      </w:r>
      <w:proofErr w:type="spellStart"/>
      <w:r w:rsidR="00EC02E2">
        <w:rPr>
          <w:sz w:val="24"/>
          <w:szCs w:val="24"/>
        </w:rPr>
        <w:t>Vesicare</w:t>
      </w:r>
      <w:proofErr w:type="spellEnd"/>
      <w:r w:rsidR="00EC02E2">
        <w:rPr>
          <w:sz w:val="24"/>
          <w:szCs w:val="24"/>
        </w:rPr>
        <w:t xml:space="preserve"> oral suspension i en ravfarvet </w:t>
      </w:r>
      <w:proofErr w:type="spellStart"/>
      <w:r w:rsidR="00EC02E2">
        <w:rPr>
          <w:sz w:val="24"/>
          <w:szCs w:val="24"/>
        </w:rPr>
        <w:t>polyethylenterephthalat</w:t>
      </w:r>
      <w:proofErr w:type="spellEnd"/>
      <w:r w:rsidR="00EC02E2">
        <w:rPr>
          <w:sz w:val="24"/>
          <w:szCs w:val="24"/>
        </w:rPr>
        <w:t xml:space="preserve"> (PET)-flaske med et</w:t>
      </w:r>
      <w:r w:rsidR="00EC02E2" w:rsidRPr="00B2719C">
        <w:rPr>
          <w:sz w:val="24"/>
          <w:szCs w:val="24"/>
        </w:rPr>
        <w:t xml:space="preserve"> </w:t>
      </w:r>
      <w:r w:rsidR="00B2719C" w:rsidRPr="00B2719C">
        <w:rPr>
          <w:sz w:val="24"/>
          <w:szCs w:val="24"/>
        </w:rPr>
        <w:t xml:space="preserve">børnesikret </w:t>
      </w:r>
      <w:r w:rsidR="00EC02E2">
        <w:rPr>
          <w:sz w:val="24"/>
          <w:szCs w:val="24"/>
        </w:rPr>
        <w:t xml:space="preserve">højdensitets </w:t>
      </w:r>
      <w:proofErr w:type="spellStart"/>
      <w:r w:rsidR="00EC02E2">
        <w:rPr>
          <w:sz w:val="24"/>
          <w:szCs w:val="24"/>
        </w:rPr>
        <w:t>polyethylen</w:t>
      </w:r>
      <w:proofErr w:type="spellEnd"/>
      <w:r w:rsidR="00EC02E2">
        <w:rPr>
          <w:sz w:val="24"/>
          <w:szCs w:val="24"/>
        </w:rPr>
        <w:t xml:space="preserve">-polypropylen-låg med vinylforet forsegling, pakket i en æske. Tilbehør til dosering og administration findes i æsken: 5 ml oral sprøjte og </w:t>
      </w:r>
      <w:r w:rsidR="00EC02E2">
        <w:rPr>
          <w:szCs w:val="22"/>
        </w:rPr>
        <w:t>adapter til indsættelse i flaskehalsen.</w:t>
      </w:r>
    </w:p>
    <w:p w:rsidR="00A1222E" w:rsidRPr="00577A7E" w:rsidRDefault="00A1222E" w:rsidP="00A1222E">
      <w:pPr>
        <w:suppressAutoHyphens/>
        <w:ind w:left="851" w:hanging="851"/>
        <w:rPr>
          <w:sz w:val="24"/>
          <w:szCs w:val="24"/>
        </w:rPr>
      </w:pPr>
    </w:p>
    <w:p w:rsidR="001F1CED" w:rsidRPr="00577A7E" w:rsidRDefault="001F1CED" w:rsidP="001F1CED">
      <w:pPr>
        <w:ind w:left="851" w:hanging="851"/>
        <w:rPr>
          <w:b/>
          <w:sz w:val="24"/>
          <w:szCs w:val="24"/>
        </w:rPr>
      </w:pPr>
      <w:r w:rsidRPr="00577A7E">
        <w:rPr>
          <w:b/>
          <w:sz w:val="24"/>
          <w:szCs w:val="24"/>
        </w:rPr>
        <w:t>6.6</w:t>
      </w:r>
      <w:r w:rsidRPr="00577A7E">
        <w:rPr>
          <w:b/>
          <w:sz w:val="24"/>
          <w:szCs w:val="24"/>
        </w:rPr>
        <w:tab/>
        <w:t xml:space="preserve">Regler for </w:t>
      </w:r>
      <w:r w:rsidR="00B2719C">
        <w:rPr>
          <w:b/>
          <w:sz w:val="24"/>
          <w:szCs w:val="24"/>
        </w:rPr>
        <w:t>bortskaffelse</w:t>
      </w:r>
      <w:r w:rsidRPr="00577A7E">
        <w:rPr>
          <w:b/>
          <w:sz w:val="24"/>
          <w:szCs w:val="24"/>
        </w:rPr>
        <w:t xml:space="preserve"> og anden håndtering</w:t>
      </w:r>
    </w:p>
    <w:p w:rsidR="00A1222E" w:rsidRDefault="001F1CED" w:rsidP="00A1222E">
      <w:pPr>
        <w:ind w:left="851" w:hanging="851"/>
        <w:rPr>
          <w:sz w:val="24"/>
          <w:szCs w:val="24"/>
        </w:rPr>
      </w:pPr>
      <w:r w:rsidRPr="00577A7E">
        <w:rPr>
          <w:sz w:val="24"/>
          <w:szCs w:val="24"/>
        </w:rPr>
        <w:tab/>
      </w:r>
    </w:p>
    <w:p w:rsidR="00A1222E" w:rsidRDefault="00A1222E" w:rsidP="00A1222E">
      <w:pPr>
        <w:ind w:left="851" w:hanging="851"/>
        <w:rPr>
          <w:b/>
          <w:sz w:val="24"/>
          <w:szCs w:val="24"/>
        </w:rPr>
      </w:pPr>
      <w:r>
        <w:rPr>
          <w:sz w:val="24"/>
          <w:szCs w:val="24"/>
        </w:rPr>
        <w:tab/>
      </w:r>
      <w:r>
        <w:rPr>
          <w:b/>
          <w:sz w:val="24"/>
          <w:szCs w:val="24"/>
        </w:rPr>
        <w:t xml:space="preserve">Den orale sprøjte, der følger med </w:t>
      </w:r>
      <w:proofErr w:type="spellStart"/>
      <w:r>
        <w:rPr>
          <w:b/>
          <w:sz w:val="24"/>
          <w:szCs w:val="24"/>
        </w:rPr>
        <w:t>Vesicare</w:t>
      </w:r>
      <w:proofErr w:type="spellEnd"/>
      <w:r>
        <w:rPr>
          <w:b/>
          <w:sz w:val="24"/>
          <w:szCs w:val="24"/>
        </w:rPr>
        <w:t xml:space="preserve"> oral suspension, skal anvendes med adapteren for at afmåle den korrekte dosis. </w:t>
      </w:r>
    </w:p>
    <w:p w:rsidR="00A1222E" w:rsidRDefault="00A1222E" w:rsidP="00A1222E">
      <w:pPr>
        <w:ind w:left="851" w:hanging="851"/>
        <w:rPr>
          <w:sz w:val="24"/>
          <w:szCs w:val="24"/>
        </w:rPr>
      </w:pPr>
    </w:p>
    <w:p w:rsidR="00A1222E" w:rsidRDefault="00A1222E" w:rsidP="00A1222E">
      <w:pPr>
        <w:autoSpaceDE w:val="0"/>
        <w:autoSpaceDN w:val="0"/>
        <w:adjustRightInd w:val="0"/>
        <w:ind w:firstLine="851"/>
        <w:rPr>
          <w:szCs w:val="22"/>
          <w:u w:val="single"/>
        </w:rPr>
      </w:pPr>
      <w:r>
        <w:rPr>
          <w:szCs w:val="22"/>
          <w:u w:val="single"/>
        </w:rPr>
        <w:t xml:space="preserve">Sådan klargøres en flaske med </w:t>
      </w:r>
      <w:proofErr w:type="spellStart"/>
      <w:r>
        <w:rPr>
          <w:szCs w:val="22"/>
          <w:u w:val="single"/>
        </w:rPr>
        <w:t>Vesicare</w:t>
      </w:r>
      <w:proofErr w:type="spellEnd"/>
      <w:r>
        <w:rPr>
          <w:szCs w:val="22"/>
          <w:u w:val="single"/>
        </w:rPr>
        <w:t xml:space="preserve"> oral suspension til første anvendelse</w:t>
      </w:r>
    </w:p>
    <w:p w:rsidR="00A1222E" w:rsidRDefault="00A1222E" w:rsidP="00A1222E">
      <w:pPr>
        <w:pStyle w:val="Listeafsnit"/>
        <w:numPr>
          <w:ilvl w:val="0"/>
          <w:numId w:val="9"/>
        </w:numPr>
        <w:autoSpaceDE w:val="0"/>
        <w:autoSpaceDN w:val="0"/>
        <w:adjustRightInd w:val="0"/>
        <w:spacing w:after="200" w:line="276" w:lineRule="auto"/>
      </w:pPr>
      <w:r>
        <w:t>Vask dine hænder grundigt.</w:t>
      </w:r>
    </w:p>
    <w:p w:rsidR="00A1222E" w:rsidRDefault="00A1222E" w:rsidP="00A1222E">
      <w:pPr>
        <w:pStyle w:val="Listeafsnit"/>
        <w:numPr>
          <w:ilvl w:val="0"/>
          <w:numId w:val="9"/>
        </w:numPr>
        <w:autoSpaceDE w:val="0"/>
        <w:autoSpaceDN w:val="0"/>
        <w:adjustRightInd w:val="0"/>
        <w:spacing w:after="200" w:line="276" w:lineRule="auto"/>
      </w:pPr>
      <w:r>
        <w:t xml:space="preserve">Åben æsken og tag flasken, sprøjten og adapteren ud. </w:t>
      </w:r>
    </w:p>
    <w:p w:rsidR="00A1222E" w:rsidRDefault="00A1222E" w:rsidP="00A1222E">
      <w:pPr>
        <w:pStyle w:val="Listeafsnit"/>
        <w:numPr>
          <w:ilvl w:val="0"/>
          <w:numId w:val="9"/>
        </w:numPr>
        <w:autoSpaceDE w:val="0"/>
        <w:autoSpaceDN w:val="0"/>
        <w:adjustRightInd w:val="0"/>
        <w:spacing w:after="200" w:line="276" w:lineRule="auto"/>
      </w:pPr>
      <w:r>
        <w:t xml:space="preserve">Placér flasken på en jævn overflade og skru låget af. </w:t>
      </w:r>
    </w:p>
    <w:p w:rsidR="00A1222E" w:rsidRDefault="00A1222E" w:rsidP="00A1222E">
      <w:pPr>
        <w:pStyle w:val="Listeafsnit"/>
        <w:numPr>
          <w:ilvl w:val="0"/>
          <w:numId w:val="9"/>
        </w:numPr>
        <w:autoSpaceDE w:val="0"/>
        <w:autoSpaceDN w:val="0"/>
        <w:adjustRightInd w:val="0"/>
        <w:spacing w:after="200" w:line="276" w:lineRule="auto"/>
      </w:pPr>
      <w:r>
        <w:t xml:space="preserve">Tryk adapteren godt ned i flaskehalsen. </w:t>
      </w:r>
    </w:p>
    <w:p w:rsidR="00A1222E" w:rsidRDefault="00A1222E" w:rsidP="00A1222E">
      <w:pPr>
        <w:pStyle w:val="Listeafsnit"/>
        <w:numPr>
          <w:ilvl w:val="0"/>
          <w:numId w:val="9"/>
        </w:numPr>
        <w:autoSpaceDE w:val="0"/>
        <w:autoSpaceDN w:val="0"/>
        <w:adjustRightInd w:val="0"/>
        <w:spacing w:after="200" w:line="276" w:lineRule="auto"/>
      </w:pPr>
      <w:r>
        <w:t xml:space="preserve">Tjek at toppen af adapteren flugter med flaskehalsens top. </w:t>
      </w:r>
    </w:p>
    <w:p w:rsidR="00A1222E" w:rsidRDefault="00A1222E" w:rsidP="00A1222E">
      <w:pPr>
        <w:pStyle w:val="Listeafsnit"/>
        <w:numPr>
          <w:ilvl w:val="0"/>
          <w:numId w:val="9"/>
        </w:numPr>
        <w:autoSpaceDE w:val="0"/>
        <w:autoSpaceDN w:val="0"/>
        <w:adjustRightInd w:val="0"/>
        <w:spacing w:after="200" w:line="276" w:lineRule="auto"/>
      </w:pPr>
      <w:r>
        <w:t xml:space="preserve">Adapteren skal nu blive siddende i flasken under lægemidlets holdbarhedstid på 28 dage. </w:t>
      </w:r>
    </w:p>
    <w:p w:rsidR="00A1222E" w:rsidRDefault="00A1222E" w:rsidP="00A1222E">
      <w:pPr>
        <w:pStyle w:val="Listeafsnit"/>
        <w:numPr>
          <w:ilvl w:val="0"/>
          <w:numId w:val="9"/>
        </w:numPr>
        <w:autoSpaceDE w:val="0"/>
        <w:autoSpaceDN w:val="0"/>
        <w:adjustRightInd w:val="0"/>
        <w:spacing w:after="200" w:line="276" w:lineRule="auto"/>
        <w:rPr>
          <w:rFonts w:eastAsia="MS Mincho"/>
          <w:szCs w:val="22"/>
          <w:lang w:eastAsia="ja-JP"/>
        </w:rPr>
      </w:pPr>
      <w:r>
        <w:t xml:space="preserve">Skru låget på flasken igen. </w:t>
      </w:r>
    </w:p>
    <w:p w:rsidR="00A1222E" w:rsidRDefault="00A1222E" w:rsidP="00A1222E">
      <w:pPr>
        <w:ind w:firstLine="851"/>
        <w:rPr>
          <w:u w:val="single"/>
        </w:rPr>
      </w:pPr>
      <w:r>
        <w:rPr>
          <w:u w:val="single"/>
        </w:rPr>
        <w:t>Før hver oral administration</w:t>
      </w:r>
    </w:p>
    <w:p w:rsidR="00A1222E" w:rsidRDefault="00A1222E" w:rsidP="00A1222E">
      <w:pPr>
        <w:pStyle w:val="Listeafsnit"/>
        <w:numPr>
          <w:ilvl w:val="0"/>
          <w:numId w:val="10"/>
        </w:numPr>
        <w:spacing w:after="200" w:line="276" w:lineRule="auto"/>
      </w:pPr>
      <w:r>
        <w:t xml:space="preserve">Vask dine hænder grundigt. </w:t>
      </w:r>
    </w:p>
    <w:p w:rsidR="00A1222E" w:rsidRDefault="00A1222E" w:rsidP="00A1222E">
      <w:pPr>
        <w:pStyle w:val="Listeafsnit"/>
        <w:numPr>
          <w:ilvl w:val="0"/>
          <w:numId w:val="10"/>
        </w:numPr>
        <w:spacing w:after="200" w:line="276" w:lineRule="auto"/>
      </w:pPr>
      <w:r>
        <w:t xml:space="preserve">Ryst flasken med </w:t>
      </w:r>
      <w:proofErr w:type="spellStart"/>
      <w:r>
        <w:t>Vesicare</w:t>
      </w:r>
      <w:proofErr w:type="spellEnd"/>
      <w:r>
        <w:t xml:space="preserve"> oral suspension mindst 20 gange.</w:t>
      </w:r>
    </w:p>
    <w:p w:rsidR="00A1222E" w:rsidRDefault="00A1222E" w:rsidP="00A1222E">
      <w:pPr>
        <w:pStyle w:val="Listeafsnit"/>
        <w:numPr>
          <w:ilvl w:val="0"/>
          <w:numId w:val="10"/>
        </w:numPr>
        <w:spacing w:after="200" w:line="276" w:lineRule="auto"/>
      </w:pPr>
      <w:r>
        <w:t>Skru låget af flasken og tjek at adapteren sidder i flaskehalsen. Indsæt den orale sprøjte i hullet i adapteren, så den sidder ordentlig fast.</w:t>
      </w:r>
    </w:p>
    <w:p w:rsidR="00A1222E" w:rsidRDefault="00A1222E" w:rsidP="00A1222E">
      <w:pPr>
        <w:pStyle w:val="Listeafsnit"/>
        <w:numPr>
          <w:ilvl w:val="0"/>
          <w:numId w:val="10"/>
        </w:numPr>
        <w:spacing w:after="200" w:line="276" w:lineRule="auto"/>
      </w:pPr>
      <w:r>
        <w:lastRenderedPageBreak/>
        <w:t xml:space="preserve">Vend forsigtigt flasken og sprøjten på hovedet, mens du sørger for at den orale sprøjte holdes på plads i adapteren. </w:t>
      </w:r>
    </w:p>
    <w:p w:rsidR="00A1222E" w:rsidRDefault="00A1222E" w:rsidP="00A1222E">
      <w:pPr>
        <w:pStyle w:val="Listeafsnit"/>
        <w:numPr>
          <w:ilvl w:val="0"/>
          <w:numId w:val="10"/>
        </w:numPr>
        <w:spacing w:after="200" w:line="276" w:lineRule="auto"/>
      </w:pPr>
      <w:r>
        <w:t xml:space="preserve">Træk langsomt i stemplet i sprøjten for at trække den dosis ud som din læge har ordineret, mens flasken vender på hovedet. </w:t>
      </w:r>
    </w:p>
    <w:p w:rsidR="00A1222E" w:rsidRDefault="00A1222E" w:rsidP="00A1222E">
      <w:pPr>
        <w:pStyle w:val="Listeafsnit"/>
        <w:numPr>
          <w:ilvl w:val="0"/>
          <w:numId w:val="10"/>
        </w:numPr>
        <w:spacing w:after="200" w:line="276" w:lineRule="auto"/>
      </w:pPr>
      <w:r>
        <w:t xml:space="preserve">Kassér overskud hvis du ved et uheld har fået udtaget for meget medicin i sprøjten. </w:t>
      </w:r>
    </w:p>
    <w:p w:rsidR="00A1222E" w:rsidRDefault="00A1222E" w:rsidP="00A1222E">
      <w:pPr>
        <w:pStyle w:val="Listeafsnit"/>
        <w:numPr>
          <w:ilvl w:val="0"/>
          <w:numId w:val="10"/>
        </w:numPr>
        <w:spacing w:after="200" w:line="276" w:lineRule="auto"/>
      </w:pPr>
      <w:r>
        <w:t xml:space="preserve">Sørg for at der ikke er luftbobler i sprøjten. Hvis der opstår luftbobler, skub stemplet ind for at fjerne potentielle bobler. </w:t>
      </w:r>
    </w:p>
    <w:p w:rsidR="00A1222E" w:rsidRDefault="00A1222E" w:rsidP="00A1222E">
      <w:pPr>
        <w:pStyle w:val="Listeafsnit"/>
        <w:numPr>
          <w:ilvl w:val="0"/>
          <w:numId w:val="10"/>
        </w:numPr>
        <w:spacing w:after="200" w:line="276" w:lineRule="auto"/>
      </w:pPr>
      <w:r>
        <w:t xml:space="preserve">Lad sprøjten sidde i adapteren og vend flasken, sørg samtidig for at stemplet i sprøjten ikke bevæger sig. Fjern forsigtigt sprøjten fra adapteren. Adapteren skal blive siddende i flaskehalsen. </w:t>
      </w:r>
    </w:p>
    <w:p w:rsidR="00A1222E" w:rsidRDefault="00A1222E" w:rsidP="00A1222E">
      <w:pPr>
        <w:pStyle w:val="Listeafsnit"/>
        <w:numPr>
          <w:ilvl w:val="0"/>
          <w:numId w:val="10"/>
        </w:numPr>
        <w:spacing w:after="200" w:line="276" w:lineRule="auto"/>
      </w:pPr>
      <w:r>
        <w:t xml:space="preserve">Tjek at dosis er afmålt rigtigt. Placér sprøjten i munden og skub forsigtigt stemplet i bund for at administrere lægemidlet til patienten. </w:t>
      </w:r>
    </w:p>
    <w:p w:rsidR="00A1222E" w:rsidRDefault="00A1222E" w:rsidP="00A1222E">
      <w:pPr>
        <w:pStyle w:val="Listeafsnit"/>
        <w:numPr>
          <w:ilvl w:val="0"/>
          <w:numId w:val="10"/>
        </w:numPr>
        <w:spacing w:after="200" w:line="276" w:lineRule="auto"/>
      </w:pPr>
      <w:r>
        <w:t xml:space="preserve">Efter fuldført dosering; skru låget på flasken. </w:t>
      </w:r>
    </w:p>
    <w:p w:rsidR="00A1222E" w:rsidRDefault="00A1222E" w:rsidP="00A1222E">
      <w:pPr>
        <w:pStyle w:val="Listeafsnit"/>
        <w:numPr>
          <w:ilvl w:val="0"/>
          <w:numId w:val="10"/>
        </w:numPr>
        <w:spacing w:after="200" w:line="276" w:lineRule="auto"/>
      </w:pPr>
      <w:r>
        <w:t xml:space="preserve">Vask sprøjten med varmt vand. Lad sprøjten tørre. </w:t>
      </w:r>
    </w:p>
    <w:p w:rsidR="00A1222E" w:rsidRPr="00B2719C" w:rsidRDefault="00A1222E" w:rsidP="00A1222E">
      <w:pPr>
        <w:ind w:left="851"/>
        <w:rPr>
          <w:sz w:val="24"/>
          <w:szCs w:val="24"/>
        </w:rPr>
      </w:pPr>
      <w:r w:rsidRPr="00B2719C">
        <w:rPr>
          <w:sz w:val="24"/>
          <w:szCs w:val="24"/>
        </w:rPr>
        <w:t xml:space="preserve">NB: Hvis patienten skal have en dosis &gt; 5 ml, skal spidsen af sprøjten rengøres med varmt vand før en ny dosis udtages fra flasken. </w:t>
      </w:r>
    </w:p>
    <w:p w:rsidR="00A1222E" w:rsidRPr="00B2719C" w:rsidRDefault="00A1222E" w:rsidP="00A1222E">
      <w:pPr>
        <w:rPr>
          <w:sz w:val="24"/>
          <w:szCs w:val="24"/>
        </w:rPr>
      </w:pPr>
    </w:p>
    <w:p w:rsidR="00A1222E" w:rsidRPr="00B2719C" w:rsidRDefault="00A1222E" w:rsidP="00A1222E">
      <w:pPr>
        <w:ind w:firstLine="851"/>
        <w:rPr>
          <w:sz w:val="24"/>
          <w:szCs w:val="24"/>
          <w:u w:val="single"/>
        </w:rPr>
      </w:pPr>
      <w:r w:rsidRPr="00B2719C">
        <w:rPr>
          <w:sz w:val="24"/>
          <w:szCs w:val="24"/>
          <w:u w:val="single"/>
        </w:rPr>
        <w:t>Rengøring af den orale sprøjte</w:t>
      </w:r>
    </w:p>
    <w:p w:rsidR="00A1222E" w:rsidRPr="00B2719C" w:rsidRDefault="00A1222E" w:rsidP="00A1222E">
      <w:pPr>
        <w:ind w:firstLine="851"/>
        <w:rPr>
          <w:sz w:val="24"/>
          <w:szCs w:val="24"/>
        </w:rPr>
      </w:pPr>
      <w:r w:rsidRPr="00B2719C">
        <w:rPr>
          <w:sz w:val="24"/>
          <w:szCs w:val="24"/>
        </w:rPr>
        <w:t xml:space="preserve">Efter brug, rengøres den orale sprøjte udelukkende med varmt vand.  </w:t>
      </w:r>
    </w:p>
    <w:p w:rsidR="00A1222E" w:rsidRPr="00B2719C" w:rsidRDefault="00A1222E" w:rsidP="00A1222E">
      <w:pPr>
        <w:ind w:left="851"/>
        <w:rPr>
          <w:sz w:val="24"/>
          <w:szCs w:val="24"/>
        </w:rPr>
      </w:pPr>
      <w:r w:rsidRPr="00B2719C">
        <w:rPr>
          <w:sz w:val="24"/>
          <w:szCs w:val="24"/>
        </w:rPr>
        <w:t xml:space="preserve">Den orale sprøjte kan anvendes under hele holdbarhedsperioden på 28 dage efter første åbning (se pkt. 6.3).  </w:t>
      </w:r>
    </w:p>
    <w:p w:rsidR="00A1222E" w:rsidRPr="00B2719C" w:rsidRDefault="00A1222E" w:rsidP="00A1222E">
      <w:pPr>
        <w:ind w:firstLine="851"/>
        <w:rPr>
          <w:sz w:val="24"/>
          <w:szCs w:val="24"/>
        </w:rPr>
      </w:pPr>
    </w:p>
    <w:p w:rsidR="00A1222E" w:rsidRDefault="00A1222E" w:rsidP="00A1222E">
      <w:pPr>
        <w:ind w:left="851" w:hanging="851"/>
        <w:rPr>
          <w:sz w:val="24"/>
          <w:szCs w:val="24"/>
          <w:u w:val="single"/>
        </w:rPr>
      </w:pPr>
      <w:r>
        <w:rPr>
          <w:sz w:val="24"/>
          <w:szCs w:val="24"/>
        </w:rPr>
        <w:tab/>
      </w:r>
      <w:r>
        <w:rPr>
          <w:sz w:val="24"/>
          <w:szCs w:val="24"/>
          <w:u w:val="single"/>
        </w:rPr>
        <w:t>Destruktion</w:t>
      </w:r>
    </w:p>
    <w:p w:rsidR="00A1222E" w:rsidRDefault="00A1222E" w:rsidP="00A1222E">
      <w:pPr>
        <w:ind w:left="851"/>
        <w:rPr>
          <w:sz w:val="24"/>
          <w:szCs w:val="24"/>
        </w:rPr>
      </w:pPr>
      <w:r>
        <w:rPr>
          <w:sz w:val="24"/>
          <w:szCs w:val="24"/>
        </w:rPr>
        <w:t>Flasken, sprøjten, adapteren og tiloversbleven medicin eller affald skal bortskaffes i henhold til lokale retningslinjer. Spørg på apoteket hvordan du skal bortskaffe medicinrester. Af hensyn til miljøet må du ikke smide medicinrester i afløbet, toilettet eller skraldespanden.</w:t>
      </w:r>
    </w:p>
    <w:p w:rsidR="001F1CED" w:rsidRPr="00577A7E" w:rsidRDefault="001F1CED" w:rsidP="00A1222E">
      <w:pPr>
        <w:ind w:left="851" w:hanging="851"/>
        <w:rPr>
          <w:sz w:val="24"/>
          <w:szCs w:val="24"/>
        </w:rPr>
      </w:pPr>
    </w:p>
    <w:p w:rsidR="008E6ABD" w:rsidRPr="008E6ABD" w:rsidRDefault="001F1CED" w:rsidP="008E6ABD">
      <w:pPr>
        <w:ind w:left="851" w:hanging="851"/>
        <w:rPr>
          <w:b/>
          <w:sz w:val="24"/>
          <w:szCs w:val="24"/>
        </w:rPr>
      </w:pPr>
      <w:r w:rsidRPr="00577A7E">
        <w:rPr>
          <w:b/>
          <w:sz w:val="24"/>
          <w:szCs w:val="24"/>
        </w:rPr>
        <w:t>7.</w:t>
      </w:r>
      <w:r w:rsidRPr="00577A7E">
        <w:rPr>
          <w:b/>
          <w:sz w:val="24"/>
          <w:szCs w:val="24"/>
        </w:rPr>
        <w:tab/>
        <w:t>INDEHAVER AF MARKEDSFØRINGSTILLADELSEN</w:t>
      </w:r>
    </w:p>
    <w:p w:rsidR="008E6ABD" w:rsidRPr="00A37241" w:rsidRDefault="008E6ABD" w:rsidP="008E6ABD">
      <w:pPr>
        <w:tabs>
          <w:tab w:val="left" w:pos="0"/>
          <w:tab w:val="left" w:pos="851"/>
        </w:tabs>
        <w:ind w:left="850" w:hanging="850"/>
        <w:jc w:val="both"/>
        <w:rPr>
          <w:spacing w:val="-3"/>
          <w:sz w:val="24"/>
          <w:szCs w:val="24"/>
        </w:rPr>
      </w:pPr>
      <w:r w:rsidRPr="00A37241">
        <w:rPr>
          <w:spacing w:val="-3"/>
        </w:rPr>
        <w:tab/>
      </w:r>
      <w:proofErr w:type="spellStart"/>
      <w:r w:rsidRPr="00A37241">
        <w:rPr>
          <w:spacing w:val="-3"/>
          <w:sz w:val="24"/>
          <w:szCs w:val="24"/>
        </w:rPr>
        <w:t>Astellas</w:t>
      </w:r>
      <w:proofErr w:type="spellEnd"/>
      <w:r w:rsidRPr="00A37241">
        <w:rPr>
          <w:spacing w:val="-3"/>
          <w:sz w:val="24"/>
          <w:szCs w:val="24"/>
        </w:rPr>
        <w:t xml:space="preserve"> Pharma A/S</w:t>
      </w:r>
    </w:p>
    <w:p w:rsidR="008E6ABD" w:rsidRPr="00A37241" w:rsidRDefault="008E6ABD" w:rsidP="008E6ABD">
      <w:pPr>
        <w:tabs>
          <w:tab w:val="left" w:pos="851"/>
        </w:tabs>
        <w:jc w:val="both"/>
        <w:rPr>
          <w:sz w:val="24"/>
          <w:szCs w:val="24"/>
        </w:rPr>
      </w:pPr>
      <w:r w:rsidRPr="00A37241">
        <w:rPr>
          <w:sz w:val="24"/>
          <w:szCs w:val="24"/>
        </w:rPr>
        <w:tab/>
        <w:t>Arne Jacobsens Allé 15</w:t>
      </w:r>
    </w:p>
    <w:p w:rsidR="001F1CED" w:rsidRPr="008E6ABD" w:rsidRDefault="008E6ABD" w:rsidP="008E6ABD">
      <w:pPr>
        <w:ind w:left="851" w:hanging="851"/>
        <w:rPr>
          <w:sz w:val="24"/>
          <w:szCs w:val="24"/>
        </w:rPr>
      </w:pPr>
      <w:r w:rsidRPr="00A37241">
        <w:rPr>
          <w:sz w:val="24"/>
          <w:szCs w:val="24"/>
        </w:rPr>
        <w:tab/>
      </w:r>
      <w:r w:rsidRPr="008E6ABD">
        <w:rPr>
          <w:sz w:val="24"/>
          <w:szCs w:val="24"/>
        </w:rPr>
        <w:t xml:space="preserve">2300 </w:t>
      </w:r>
      <w:r w:rsidR="006A6B99">
        <w:rPr>
          <w:sz w:val="24"/>
          <w:szCs w:val="24"/>
        </w:rPr>
        <w:t>København</w:t>
      </w:r>
      <w:r w:rsidRPr="008E6ABD">
        <w:rPr>
          <w:sz w:val="24"/>
          <w:szCs w:val="24"/>
        </w:rPr>
        <w:t xml:space="preserve"> S</w:t>
      </w:r>
    </w:p>
    <w:p w:rsidR="008E6ABD" w:rsidRPr="00577A7E" w:rsidRDefault="008E6ABD" w:rsidP="008E6ABD">
      <w:pPr>
        <w:ind w:left="851" w:hanging="851"/>
        <w:rPr>
          <w:sz w:val="24"/>
          <w:szCs w:val="24"/>
        </w:rPr>
      </w:pPr>
    </w:p>
    <w:p w:rsidR="001F1CED" w:rsidRPr="00577A7E" w:rsidRDefault="001F1CED" w:rsidP="001F1CED">
      <w:pPr>
        <w:ind w:left="851" w:hanging="851"/>
        <w:rPr>
          <w:b/>
          <w:sz w:val="24"/>
          <w:szCs w:val="24"/>
        </w:rPr>
      </w:pPr>
      <w:r w:rsidRPr="00577A7E">
        <w:rPr>
          <w:b/>
          <w:sz w:val="24"/>
          <w:szCs w:val="24"/>
        </w:rPr>
        <w:t>8.</w:t>
      </w:r>
      <w:r w:rsidRPr="00577A7E">
        <w:rPr>
          <w:b/>
          <w:sz w:val="24"/>
          <w:szCs w:val="24"/>
        </w:rPr>
        <w:tab/>
        <w:t>MARKEDSFØRINGSTILLADELSESNUMMER (</w:t>
      </w:r>
      <w:r w:rsidR="00B2719C">
        <w:rPr>
          <w:b/>
          <w:sz w:val="24"/>
          <w:szCs w:val="24"/>
        </w:rPr>
        <w:t>-</w:t>
      </w:r>
      <w:r w:rsidRPr="00577A7E">
        <w:rPr>
          <w:b/>
          <w:sz w:val="24"/>
          <w:szCs w:val="24"/>
        </w:rPr>
        <w:t>NUMRE)</w:t>
      </w:r>
    </w:p>
    <w:p w:rsidR="001F1CED" w:rsidRPr="00577A7E" w:rsidRDefault="001F1CED" w:rsidP="001F1CED">
      <w:pPr>
        <w:ind w:left="851" w:hanging="851"/>
        <w:rPr>
          <w:sz w:val="24"/>
          <w:szCs w:val="24"/>
        </w:rPr>
      </w:pPr>
      <w:r w:rsidRPr="00577A7E">
        <w:rPr>
          <w:sz w:val="24"/>
          <w:szCs w:val="24"/>
        </w:rPr>
        <w:tab/>
        <w:t>55030</w:t>
      </w:r>
    </w:p>
    <w:p w:rsidR="001F1CED" w:rsidRPr="00577A7E" w:rsidRDefault="001F1CED" w:rsidP="001F1CED">
      <w:pPr>
        <w:ind w:left="851" w:hanging="851"/>
        <w:jc w:val="both"/>
        <w:rPr>
          <w:sz w:val="24"/>
          <w:szCs w:val="24"/>
        </w:rPr>
      </w:pPr>
    </w:p>
    <w:p w:rsidR="001F1CED" w:rsidRPr="00577A7E" w:rsidRDefault="001F1CED" w:rsidP="001F1CED">
      <w:pPr>
        <w:keepNext/>
        <w:ind w:left="851" w:hanging="851"/>
        <w:rPr>
          <w:b/>
          <w:sz w:val="24"/>
          <w:szCs w:val="24"/>
        </w:rPr>
      </w:pPr>
      <w:r w:rsidRPr="00577A7E">
        <w:rPr>
          <w:b/>
          <w:sz w:val="24"/>
          <w:szCs w:val="24"/>
        </w:rPr>
        <w:t>9.</w:t>
      </w:r>
      <w:r w:rsidRPr="00577A7E">
        <w:rPr>
          <w:b/>
          <w:sz w:val="24"/>
          <w:szCs w:val="24"/>
        </w:rPr>
        <w:tab/>
        <w:t>DATO FOR FØRSTE MARKEDSFØRINGSTILLADELSE</w:t>
      </w:r>
    </w:p>
    <w:p w:rsidR="001F1CED" w:rsidRPr="00577A7E" w:rsidRDefault="001F1CED" w:rsidP="001F1CED">
      <w:pPr>
        <w:ind w:left="851" w:hanging="851"/>
        <w:rPr>
          <w:sz w:val="24"/>
          <w:szCs w:val="24"/>
        </w:rPr>
      </w:pPr>
      <w:r w:rsidRPr="00577A7E">
        <w:rPr>
          <w:sz w:val="24"/>
          <w:szCs w:val="24"/>
        </w:rPr>
        <w:tab/>
        <w:t>24. juni 2004 (filmovertrukne tabletter)</w:t>
      </w:r>
    </w:p>
    <w:p w:rsidR="001F1CED" w:rsidRPr="00577A7E" w:rsidRDefault="001F1CED" w:rsidP="001F1CED">
      <w:pPr>
        <w:ind w:left="851" w:hanging="851"/>
        <w:rPr>
          <w:sz w:val="24"/>
          <w:szCs w:val="24"/>
        </w:rPr>
      </w:pPr>
    </w:p>
    <w:p w:rsidR="001F1CED" w:rsidRPr="00577A7E" w:rsidRDefault="001F1CED" w:rsidP="001F1CED">
      <w:pPr>
        <w:ind w:left="851" w:hanging="851"/>
        <w:rPr>
          <w:b/>
          <w:sz w:val="24"/>
          <w:szCs w:val="24"/>
        </w:rPr>
      </w:pPr>
      <w:r w:rsidRPr="00577A7E">
        <w:rPr>
          <w:b/>
          <w:sz w:val="24"/>
          <w:szCs w:val="24"/>
        </w:rPr>
        <w:t>10.</w:t>
      </w:r>
      <w:r w:rsidRPr="00577A7E">
        <w:rPr>
          <w:b/>
          <w:sz w:val="24"/>
          <w:szCs w:val="24"/>
        </w:rPr>
        <w:tab/>
        <w:t>DATO FOR ÆNDRING AF TEKSTEN</w:t>
      </w:r>
    </w:p>
    <w:p w:rsidR="001F1CED" w:rsidRPr="00C7548D" w:rsidRDefault="001F1CED" w:rsidP="001F1CED">
      <w:pPr>
        <w:ind w:left="851" w:hanging="851"/>
        <w:rPr>
          <w:sz w:val="24"/>
          <w:szCs w:val="24"/>
        </w:rPr>
      </w:pPr>
      <w:r w:rsidRPr="00C7548D">
        <w:rPr>
          <w:sz w:val="24"/>
          <w:szCs w:val="24"/>
        </w:rPr>
        <w:tab/>
      </w:r>
      <w:r w:rsidR="00A87F7C" w:rsidRPr="00A87F7C">
        <w:rPr>
          <w:sz w:val="24"/>
          <w:szCs w:val="24"/>
        </w:rPr>
        <w:t>23. oktober 2023</w:t>
      </w:r>
    </w:p>
    <w:p w:rsidR="001F1CED" w:rsidRPr="00F71791" w:rsidRDefault="001F1CED" w:rsidP="001F1CED"/>
    <w:p w:rsidR="001F1CED" w:rsidRPr="001B7658" w:rsidRDefault="001F1CED" w:rsidP="001F1CED"/>
    <w:p w:rsidR="009260DE" w:rsidRPr="001F1CED" w:rsidRDefault="009260DE" w:rsidP="001F1CED"/>
    <w:sectPr w:rsidR="009260DE" w:rsidRPr="001F1CE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F7C" w:rsidRDefault="00A87F7C">
      <w:r>
        <w:separator/>
      </w:r>
    </w:p>
  </w:endnote>
  <w:endnote w:type="continuationSeparator" w:id="0">
    <w:p w:rsidR="00A87F7C" w:rsidRDefault="00A8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F7C" w:rsidRDefault="00A87F7C">
    <w:pPr>
      <w:pStyle w:val="Sidefod"/>
      <w:pBdr>
        <w:bottom w:val="single" w:sz="6" w:space="1" w:color="auto"/>
      </w:pBdr>
    </w:pPr>
  </w:p>
  <w:p w:rsidR="00A87F7C" w:rsidRDefault="00A87F7C" w:rsidP="00C42586">
    <w:pPr>
      <w:pStyle w:val="Sidefod"/>
      <w:tabs>
        <w:tab w:val="clear" w:pos="4819"/>
        <w:tab w:val="left" w:pos="8505"/>
      </w:tabs>
      <w:rPr>
        <w:i/>
        <w:sz w:val="18"/>
        <w:szCs w:val="18"/>
      </w:rPr>
    </w:pPr>
  </w:p>
  <w:p w:rsidR="00A87F7C" w:rsidRPr="00B373D7" w:rsidRDefault="00A87F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Vesicare, oral suspension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F7C" w:rsidRDefault="00A87F7C">
      <w:r>
        <w:separator/>
      </w:r>
    </w:p>
  </w:footnote>
  <w:footnote w:type="continuationSeparator" w:id="0">
    <w:p w:rsidR="00A87F7C" w:rsidRDefault="00A87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8D4"/>
    <w:multiLevelType w:val="hybridMultilevel"/>
    <w:tmpl w:val="0600A128"/>
    <w:lvl w:ilvl="0" w:tplc="0406000F">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08DA470E"/>
    <w:multiLevelType w:val="hybridMultilevel"/>
    <w:tmpl w:val="B324224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64D5444"/>
    <w:multiLevelType w:val="hybridMultilevel"/>
    <w:tmpl w:val="E5FC8952"/>
    <w:lvl w:ilvl="0" w:tplc="A73C276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F21237A"/>
    <w:multiLevelType w:val="hybridMultilevel"/>
    <w:tmpl w:val="624421FA"/>
    <w:lvl w:ilvl="0" w:tplc="A73C276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D8677E0"/>
    <w:multiLevelType w:val="hybridMultilevel"/>
    <w:tmpl w:val="4F48D4BE"/>
    <w:lvl w:ilvl="0" w:tplc="A73C2764">
      <w:start w:val="1"/>
      <w:numFmt w:val="bullet"/>
      <w:lvlText w:val="-"/>
      <w:lvlJc w:val="left"/>
      <w:pPr>
        <w:ind w:left="788" w:hanging="360"/>
      </w:pPr>
      <w:rPr>
        <w:rFonts w:ascii="Times New Roman" w:hAnsi="Times New Roman" w:cs="Times New Roman" w:hint="default"/>
      </w:rPr>
    </w:lvl>
    <w:lvl w:ilvl="1" w:tplc="04060003">
      <w:start w:val="1"/>
      <w:numFmt w:val="bullet"/>
      <w:lvlText w:val="o"/>
      <w:lvlJc w:val="left"/>
      <w:pPr>
        <w:ind w:left="1508" w:hanging="360"/>
      </w:pPr>
      <w:rPr>
        <w:rFonts w:ascii="Courier New" w:hAnsi="Courier New" w:cs="Courier New" w:hint="default"/>
      </w:rPr>
    </w:lvl>
    <w:lvl w:ilvl="2" w:tplc="04060005">
      <w:start w:val="1"/>
      <w:numFmt w:val="bullet"/>
      <w:lvlText w:val=""/>
      <w:lvlJc w:val="left"/>
      <w:pPr>
        <w:ind w:left="2228" w:hanging="360"/>
      </w:pPr>
      <w:rPr>
        <w:rFonts w:ascii="Wingdings" w:hAnsi="Wingdings" w:hint="default"/>
      </w:rPr>
    </w:lvl>
    <w:lvl w:ilvl="3" w:tplc="04060001">
      <w:start w:val="1"/>
      <w:numFmt w:val="bullet"/>
      <w:lvlText w:val=""/>
      <w:lvlJc w:val="left"/>
      <w:pPr>
        <w:ind w:left="2948" w:hanging="360"/>
      </w:pPr>
      <w:rPr>
        <w:rFonts w:ascii="Symbol" w:hAnsi="Symbol" w:hint="default"/>
      </w:rPr>
    </w:lvl>
    <w:lvl w:ilvl="4" w:tplc="04060003">
      <w:start w:val="1"/>
      <w:numFmt w:val="bullet"/>
      <w:lvlText w:val="o"/>
      <w:lvlJc w:val="left"/>
      <w:pPr>
        <w:ind w:left="3668" w:hanging="360"/>
      </w:pPr>
      <w:rPr>
        <w:rFonts w:ascii="Courier New" w:hAnsi="Courier New" w:cs="Courier New" w:hint="default"/>
      </w:rPr>
    </w:lvl>
    <w:lvl w:ilvl="5" w:tplc="04060005">
      <w:start w:val="1"/>
      <w:numFmt w:val="bullet"/>
      <w:lvlText w:val=""/>
      <w:lvlJc w:val="left"/>
      <w:pPr>
        <w:ind w:left="4388" w:hanging="360"/>
      </w:pPr>
      <w:rPr>
        <w:rFonts w:ascii="Wingdings" w:hAnsi="Wingdings" w:hint="default"/>
      </w:rPr>
    </w:lvl>
    <w:lvl w:ilvl="6" w:tplc="04060001">
      <w:start w:val="1"/>
      <w:numFmt w:val="bullet"/>
      <w:lvlText w:val=""/>
      <w:lvlJc w:val="left"/>
      <w:pPr>
        <w:ind w:left="5108" w:hanging="360"/>
      </w:pPr>
      <w:rPr>
        <w:rFonts w:ascii="Symbol" w:hAnsi="Symbol" w:hint="default"/>
      </w:rPr>
    </w:lvl>
    <w:lvl w:ilvl="7" w:tplc="04060003">
      <w:start w:val="1"/>
      <w:numFmt w:val="bullet"/>
      <w:lvlText w:val="o"/>
      <w:lvlJc w:val="left"/>
      <w:pPr>
        <w:ind w:left="5828" w:hanging="360"/>
      </w:pPr>
      <w:rPr>
        <w:rFonts w:ascii="Courier New" w:hAnsi="Courier New" w:cs="Courier New" w:hint="default"/>
      </w:rPr>
    </w:lvl>
    <w:lvl w:ilvl="8" w:tplc="04060005">
      <w:start w:val="1"/>
      <w:numFmt w:val="bullet"/>
      <w:lvlText w:val=""/>
      <w:lvlJc w:val="left"/>
      <w:pPr>
        <w:ind w:left="6548"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ED"/>
    <w:rsid w:val="00004130"/>
    <w:rsid w:val="000259B9"/>
    <w:rsid w:val="00041491"/>
    <w:rsid w:val="00050D16"/>
    <w:rsid w:val="00074F2A"/>
    <w:rsid w:val="000A1CA8"/>
    <w:rsid w:val="000A466B"/>
    <w:rsid w:val="000B058C"/>
    <w:rsid w:val="000E4EE6"/>
    <w:rsid w:val="001454E2"/>
    <w:rsid w:val="001D3102"/>
    <w:rsid w:val="001F1CED"/>
    <w:rsid w:val="00206CE8"/>
    <w:rsid w:val="0021526C"/>
    <w:rsid w:val="00283A2B"/>
    <w:rsid w:val="002A3B93"/>
    <w:rsid w:val="002B30AD"/>
    <w:rsid w:val="002C2C01"/>
    <w:rsid w:val="00355317"/>
    <w:rsid w:val="003A29AE"/>
    <w:rsid w:val="003A32D7"/>
    <w:rsid w:val="003B4074"/>
    <w:rsid w:val="003C769A"/>
    <w:rsid w:val="003F1838"/>
    <w:rsid w:val="004367F8"/>
    <w:rsid w:val="00455F80"/>
    <w:rsid w:val="0045746C"/>
    <w:rsid w:val="0049104B"/>
    <w:rsid w:val="004E3B12"/>
    <w:rsid w:val="00532310"/>
    <w:rsid w:val="00560ECC"/>
    <w:rsid w:val="00565F0F"/>
    <w:rsid w:val="00594A86"/>
    <w:rsid w:val="00596D86"/>
    <w:rsid w:val="005C218D"/>
    <w:rsid w:val="00637F5A"/>
    <w:rsid w:val="006560B1"/>
    <w:rsid w:val="006756DD"/>
    <w:rsid w:val="006A3A77"/>
    <w:rsid w:val="006A6B99"/>
    <w:rsid w:val="00737275"/>
    <w:rsid w:val="00740EEC"/>
    <w:rsid w:val="0078011A"/>
    <w:rsid w:val="00782AF4"/>
    <w:rsid w:val="00790EE7"/>
    <w:rsid w:val="007B6649"/>
    <w:rsid w:val="0081546F"/>
    <w:rsid w:val="0082576E"/>
    <w:rsid w:val="008E6ABD"/>
    <w:rsid w:val="00907F75"/>
    <w:rsid w:val="009260DE"/>
    <w:rsid w:val="0093258A"/>
    <w:rsid w:val="00934E3C"/>
    <w:rsid w:val="00997CE8"/>
    <w:rsid w:val="009C7BA3"/>
    <w:rsid w:val="009D1F5A"/>
    <w:rsid w:val="00A1222E"/>
    <w:rsid w:val="00A37241"/>
    <w:rsid w:val="00A87F7C"/>
    <w:rsid w:val="00B003BF"/>
    <w:rsid w:val="00B2719C"/>
    <w:rsid w:val="00B373D7"/>
    <w:rsid w:val="00B973D2"/>
    <w:rsid w:val="00C12AF3"/>
    <w:rsid w:val="00C36276"/>
    <w:rsid w:val="00C42586"/>
    <w:rsid w:val="00C60CCD"/>
    <w:rsid w:val="00C83C5E"/>
    <w:rsid w:val="00C84483"/>
    <w:rsid w:val="00C95551"/>
    <w:rsid w:val="00CB20D7"/>
    <w:rsid w:val="00D020B0"/>
    <w:rsid w:val="00D11748"/>
    <w:rsid w:val="00D366CF"/>
    <w:rsid w:val="00E108AA"/>
    <w:rsid w:val="00E31812"/>
    <w:rsid w:val="00E3749A"/>
    <w:rsid w:val="00E7437F"/>
    <w:rsid w:val="00E865B8"/>
    <w:rsid w:val="00EC02E2"/>
    <w:rsid w:val="00EC0B9B"/>
    <w:rsid w:val="00ED5E9F"/>
    <w:rsid w:val="00F340F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C7EC2"/>
  <w15:chartTrackingRefBased/>
  <w15:docId w15:val="{153C3305-AACC-4302-9FB0-14C41D6F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aliases w:val="H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1F1CED"/>
    <w:pPr>
      <w:spacing w:before="120" w:after="120"/>
      <w:jc w:val="both"/>
    </w:pPr>
    <w:rPr>
      <w:sz w:val="22"/>
      <w:lang w:val="en-US"/>
    </w:rPr>
  </w:style>
  <w:style w:type="paragraph" w:styleId="Brdtekstindrykning3">
    <w:name w:val="Body Text Indent 3"/>
    <w:basedOn w:val="Normal"/>
    <w:link w:val="Brdtekstindrykning3Tegn"/>
    <w:semiHidden/>
    <w:unhideWhenUsed/>
    <w:rsid w:val="001F1CED"/>
    <w:pPr>
      <w:spacing w:after="120"/>
      <w:ind w:left="283"/>
    </w:pPr>
    <w:rPr>
      <w:sz w:val="16"/>
      <w:szCs w:val="16"/>
      <w:lang w:val="x-none"/>
    </w:rPr>
  </w:style>
  <w:style w:type="character" w:customStyle="1" w:styleId="Brdtekstindrykning3Tegn">
    <w:name w:val="Brødtekstindrykning 3 Tegn"/>
    <w:basedOn w:val="Standardskrifttypeiafsnit"/>
    <w:link w:val="Brdtekstindrykning3"/>
    <w:semiHidden/>
    <w:rsid w:val="001F1CED"/>
    <w:rPr>
      <w:sz w:val="16"/>
      <w:szCs w:val="16"/>
      <w:lang w:val="x-none" w:eastAsia="en-US"/>
    </w:rPr>
  </w:style>
  <w:style w:type="paragraph" w:styleId="Brdtekstindrykning">
    <w:name w:val="Body Text Indent"/>
    <w:basedOn w:val="Normal"/>
    <w:link w:val="BrdtekstindrykningTegn"/>
    <w:uiPriority w:val="99"/>
    <w:semiHidden/>
    <w:unhideWhenUsed/>
    <w:rsid w:val="001F1CED"/>
    <w:pPr>
      <w:spacing w:after="120"/>
      <w:ind w:left="283"/>
    </w:pPr>
  </w:style>
  <w:style w:type="character" w:customStyle="1" w:styleId="BrdtekstindrykningTegn">
    <w:name w:val="Brødtekstindrykning Tegn"/>
    <w:basedOn w:val="Standardskrifttypeiafsnit"/>
    <w:link w:val="Brdtekstindrykning"/>
    <w:uiPriority w:val="99"/>
    <w:semiHidden/>
    <w:rsid w:val="001F1CED"/>
    <w:rPr>
      <w:sz w:val="23"/>
      <w:lang w:eastAsia="en-US"/>
    </w:rPr>
  </w:style>
  <w:style w:type="paragraph" w:styleId="Brdtekstindrykning2">
    <w:name w:val="Body Text Indent 2"/>
    <w:basedOn w:val="Normal"/>
    <w:link w:val="Brdtekstindrykning2Tegn"/>
    <w:semiHidden/>
    <w:unhideWhenUsed/>
    <w:rsid w:val="001F1CED"/>
    <w:pPr>
      <w:spacing w:after="120" w:line="480" w:lineRule="auto"/>
      <w:ind w:left="283"/>
    </w:pPr>
    <w:rPr>
      <w:sz w:val="22"/>
      <w:lang w:val="x-none"/>
    </w:rPr>
  </w:style>
  <w:style w:type="character" w:customStyle="1" w:styleId="Brdtekstindrykning2Tegn">
    <w:name w:val="Brødtekstindrykning 2 Tegn"/>
    <w:basedOn w:val="Standardskrifttypeiafsnit"/>
    <w:link w:val="Brdtekstindrykning2"/>
    <w:semiHidden/>
    <w:rsid w:val="001F1CED"/>
    <w:rPr>
      <w:sz w:val="22"/>
      <w:lang w:val="x-none" w:eastAsia="en-US"/>
    </w:rPr>
  </w:style>
  <w:style w:type="character" w:styleId="Hyperlink">
    <w:name w:val="Hyperlink"/>
    <w:uiPriority w:val="99"/>
    <w:semiHidden/>
    <w:unhideWhenUsed/>
    <w:rsid w:val="001F1CED"/>
    <w:rPr>
      <w:color w:val="0000FF"/>
      <w:u w:val="single"/>
    </w:rPr>
  </w:style>
  <w:style w:type="character" w:customStyle="1" w:styleId="shorttext">
    <w:name w:val="short_text"/>
    <w:basedOn w:val="Standardskrifttypeiafsnit"/>
    <w:rsid w:val="001F1CED"/>
  </w:style>
  <w:style w:type="paragraph" w:styleId="Listeafsnit">
    <w:name w:val="List Paragraph"/>
    <w:basedOn w:val="Normal"/>
    <w:uiPriority w:val="34"/>
    <w:qFormat/>
    <w:rsid w:val="001F1CED"/>
    <w:pPr>
      <w:ind w:left="720"/>
      <w:contextualSpacing/>
    </w:pPr>
  </w:style>
  <w:style w:type="paragraph" w:styleId="Brdtekst">
    <w:name w:val="Body Text"/>
    <w:basedOn w:val="Normal"/>
    <w:link w:val="BrdtekstTegn"/>
    <w:uiPriority w:val="99"/>
    <w:semiHidden/>
    <w:unhideWhenUsed/>
    <w:rsid w:val="001F1CED"/>
    <w:pPr>
      <w:spacing w:after="120"/>
    </w:pPr>
  </w:style>
  <w:style w:type="character" w:customStyle="1" w:styleId="BrdtekstTegn">
    <w:name w:val="Brødtekst Tegn"/>
    <w:basedOn w:val="Standardskrifttypeiafsnit"/>
    <w:link w:val="Brdtekst"/>
    <w:uiPriority w:val="99"/>
    <w:semiHidden/>
    <w:rsid w:val="001F1CED"/>
    <w:rPr>
      <w:sz w:val="23"/>
      <w:lang w:eastAsia="en-US"/>
    </w:rPr>
  </w:style>
  <w:style w:type="paragraph" w:customStyle="1" w:styleId="TableHeader">
    <w:name w:val="Table Header"/>
    <w:basedOn w:val="Normal"/>
    <w:rsid w:val="001F1CED"/>
    <w:pPr>
      <w:jc w:val="center"/>
    </w:pPr>
    <w:rPr>
      <w:rFonts w:ascii="Times New Roman Bold" w:eastAsia="Batang" w:hAnsi="Times New Roman Bold"/>
      <w:b/>
      <w:sz w:val="22"/>
      <w:szCs w:val="22"/>
      <w:lang w:val="en-US"/>
    </w:rPr>
  </w:style>
  <w:style w:type="character" w:customStyle="1" w:styleId="TableText">
    <w:name w:val="Table Text"/>
    <w:rsid w:val="001F1CED"/>
    <w:rPr>
      <w:rFonts w:ascii="Times New Roman" w:hAnsi="Times New Roman" w:cs="Times New Roman" w:hint="default"/>
      <w:sz w:val="22"/>
    </w:rPr>
  </w:style>
  <w:style w:type="character" w:customStyle="1" w:styleId="Overskrift3Tegn">
    <w:name w:val="Overskrift 3 Tegn"/>
    <w:aliases w:val="H3 Tegn"/>
    <w:basedOn w:val="Standardskrifttypeiafsnit"/>
    <w:link w:val="Overskrift3"/>
    <w:uiPriority w:val="9"/>
    <w:rsid w:val="00A87F7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56942146">
      <w:bodyDiv w:val="1"/>
      <w:marLeft w:val="0"/>
      <w:marRight w:val="0"/>
      <w:marTop w:val="0"/>
      <w:marBottom w:val="0"/>
      <w:divBdr>
        <w:top w:val="none" w:sz="0" w:space="0" w:color="auto"/>
        <w:left w:val="none" w:sz="0" w:space="0" w:color="auto"/>
        <w:bottom w:val="none" w:sz="0" w:space="0" w:color="auto"/>
        <w:right w:val="none" w:sz="0" w:space="0" w:color="auto"/>
      </w:divBdr>
    </w:div>
    <w:div w:id="1080565946">
      <w:bodyDiv w:val="1"/>
      <w:marLeft w:val="0"/>
      <w:marRight w:val="0"/>
      <w:marTop w:val="0"/>
      <w:marBottom w:val="0"/>
      <w:divBdr>
        <w:top w:val="none" w:sz="0" w:space="0" w:color="auto"/>
        <w:left w:val="none" w:sz="0" w:space="0" w:color="auto"/>
        <w:bottom w:val="none" w:sz="0" w:space="0" w:color="auto"/>
        <w:right w:val="none" w:sz="0" w:space="0" w:color="auto"/>
      </w:divBdr>
    </w:div>
    <w:div w:id="1191382966">
      <w:bodyDiv w:val="1"/>
      <w:marLeft w:val="0"/>
      <w:marRight w:val="0"/>
      <w:marTop w:val="0"/>
      <w:marBottom w:val="0"/>
      <w:divBdr>
        <w:top w:val="none" w:sz="0" w:space="0" w:color="auto"/>
        <w:left w:val="none" w:sz="0" w:space="0" w:color="auto"/>
        <w:bottom w:val="none" w:sz="0" w:space="0" w:color="auto"/>
        <w:right w:val="none" w:sz="0" w:space="0" w:color="auto"/>
      </w:divBdr>
    </w:div>
    <w:div w:id="1433086113">
      <w:bodyDiv w:val="1"/>
      <w:marLeft w:val="0"/>
      <w:marRight w:val="0"/>
      <w:marTop w:val="0"/>
      <w:marBottom w:val="0"/>
      <w:divBdr>
        <w:top w:val="none" w:sz="0" w:space="0" w:color="auto"/>
        <w:left w:val="none" w:sz="0" w:space="0" w:color="auto"/>
        <w:bottom w:val="none" w:sz="0" w:space="0" w:color="auto"/>
        <w:right w:val="none" w:sz="0" w:space="0" w:color="auto"/>
      </w:divBdr>
    </w:div>
    <w:div w:id="1613970625">
      <w:bodyDiv w:val="1"/>
      <w:marLeft w:val="0"/>
      <w:marRight w:val="0"/>
      <w:marTop w:val="0"/>
      <w:marBottom w:val="0"/>
      <w:divBdr>
        <w:top w:val="none" w:sz="0" w:space="0" w:color="auto"/>
        <w:left w:val="none" w:sz="0" w:space="0" w:color="auto"/>
        <w:bottom w:val="none" w:sz="0" w:space="0" w:color="auto"/>
        <w:right w:val="none" w:sz="0" w:space="0" w:color="auto"/>
      </w:divBdr>
    </w:div>
    <w:div w:id="1805854786">
      <w:bodyDiv w:val="1"/>
      <w:marLeft w:val="0"/>
      <w:marRight w:val="0"/>
      <w:marTop w:val="0"/>
      <w:marBottom w:val="0"/>
      <w:divBdr>
        <w:top w:val="none" w:sz="0" w:space="0" w:color="auto"/>
        <w:left w:val="none" w:sz="0" w:space="0" w:color="auto"/>
        <w:bottom w:val="none" w:sz="0" w:space="0" w:color="auto"/>
        <w:right w:val="none" w:sz="0" w:space="0" w:color="auto"/>
      </w:divBdr>
    </w:div>
    <w:div w:id="1952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1.jpg@01D1601C.B3FB0B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FADC-BE13-48F0-A5DD-24E39701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11</TotalTime>
  <Pages>15</Pages>
  <Words>4768</Words>
  <Characters>29630</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2023051679_x000d_
SPC pkt. 4.2, 4.4, 4.6, 5.1, 6.1, 6.5 samt overskrifter iht. QRD9</dc:description>
  <cp:lastModifiedBy>Betty Winther Andersen</cp:lastModifiedBy>
  <cp:revision>6</cp:revision>
  <cp:lastPrinted>2012-08-22T08:53:00Z</cp:lastPrinted>
  <dcterms:created xsi:type="dcterms:W3CDTF">2023-10-19T12:38:00Z</dcterms:created>
  <dcterms:modified xsi:type="dcterms:W3CDTF">2023-10-19T12:54:00Z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