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65AFB" w14:textId="77777777" w:rsidR="009260DE" w:rsidRPr="008F49E1" w:rsidRDefault="0021526C" w:rsidP="009260DE">
      <w:pPr>
        <w:rPr>
          <w:sz w:val="24"/>
          <w:szCs w:val="24"/>
        </w:rPr>
      </w:pPr>
      <w:r w:rsidRPr="009260DE">
        <w:rPr>
          <w:noProof/>
          <w:sz w:val="24"/>
          <w:szCs w:val="24"/>
          <w:lang w:eastAsia="da-DK"/>
        </w:rPr>
        <w:drawing>
          <wp:anchor distT="0" distB="0" distL="114300" distR="114300" simplePos="0" relativeHeight="251658240" behindDoc="0" locked="0" layoutInCell="1" allowOverlap="1" wp14:anchorId="7D4B52C6" wp14:editId="4DB364D3">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Pr>
          <w:sz w:val="24"/>
          <w:szCs w:val="24"/>
        </w:rPr>
        <w:br w:type="textWrapping" w:clear="all"/>
      </w:r>
    </w:p>
    <w:p w14:paraId="6B9D03DB" w14:textId="77777777" w:rsidR="009260DE" w:rsidRPr="00C84483" w:rsidRDefault="009260DE" w:rsidP="009260DE">
      <w:pPr>
        <w:pStyle w:val="Titel"/>
        <w:tabs>
          <w:tab w:val="right" w:pos="9356"/>
        </w:tabs>
        <w:jc w:val="left"/>
        <w:rPr>
          <w:b w:val="0"/>
          <w:szCs w:val="24"/>
          <w:lang w:eastAsia="en-US"/>
        </w:rPr>
      </w:pPr>
    </w:p>
    <w:p w14:paraId="01A9DD00" w14:textId="0C34D837" w:rsidR="009260DE" w:rsidRPr="00C84483" w:rsidRDefault="009260DE" w:rsidP="009260DE">
      <w:pPr>
        <w:pStyle w:val="Titel"/>
        <w:tabs>
          <w:tab w:val="right" w:pos="9356"/>
        </w:tabs>
        <w:jc w:val="left"/>
        <w:rPr>
          <w:b w:val="0"/>
          <w:szCs w:val="24"/>
          <w:lang w:eastAsia="en-US"/>
        </w:rPr>
      </w:pPr>
      <w:r w:rsidRPr="00C84483">
        <w:rPr>
          <w:b w:val="0"/>
          <w:szCs w:val="24"/>
          <w:lang w:eastAsia="en-US"/>
        </w:rPr>
        <w:tab/>
      </w:r>
      <w:r w:rsidR="00633909">
        <w:rPr>
          <w:szCs w:val="24"/>
        </w:rPr>
        <w:t>7. september 2026</w:t>
      </w:r>
    </w:p>
    <w:p w14:paraId="6C9006F7" w14:textId="77777777" w:rsidR="009260DE" w:rsidRPr="00C84483" w:rsidRDefault="009260DE" w:rsidP="009260DE">
      <w:pPr>
        <w:pStyle w:val="Titel"/>
        <w:tabs>
          <w:tab w:val="left" w:pos="8222"/>
        </w:tabs>
        <w:jc w:val="left"/>
        <w:rPr>
          <w:b w:val="0"/>
          <w:szCs w:val="24"/>
        </w:rPr>
      </w:pPr>
    </w:p>
    <w:p w14:paraId="6C6813E3" w14:textId="77777777" w:rsidR="009260DE" w:rsidRPr="00C84483" w:rsidRDefault="009260DE" w:rsidP="009260DE">
      <w:pPr>
        <w:pStyle w:val="Titel"/>
        <w:jc w:val="left"/>
        <w:rPr>
          <w:b w:val="0"/>
          <w:szCs w:val="24"/>
        </w:rPr>
      </w:pPr>
    </w:p>
    <w:p w14:paraId="6FCFCEE4" w14:textId="77777777" w:rsidR="009260DE" w:rsidRPr="00C84483" w:rsidRDefault="009260DE" w:rsidP="009260DE">
      <w:pPr>
        <w:pStyle w:val="Titel"/>
        <w:jc w:val="left"/>
        <w:rPr>
          <w:b w:val="0"/>
          <w:szCs w:val="24"/>
        </w:rPr>
      </w:pPr>
    </w:p>
    <w:p w14:paraId="12410288" w14:textId="77777777" w:rsidR="009260DE" w:rsidRPr="00C84483" w:rsidRDefault="009260DE" w:rsidP="009260DE">
      <w:pPr>
        <w:jc w:val="center"/>
        <w:rPr>
          <w:b/>
          <w:sz w:val="24"/>
          <w:szCs w:val="24"/>
        </w:rPr>
      </w:pPr>
      <w:r w:rsidRPr="00C84483">
        <w:rPr>
          <w:b/>
          <w:sz w:val="24"/>
          <w:szCs w:val="24"/>
        </w:rPr>
        <w:t>PRODUKTRESUMÉ</w:t>
      </w:r>
    </w:p>
    <w:p w14:paraId="630ADF11" w14:textId="77777777" w:rsidR="009260DE" w:rsidRPr="00C84483" w:rsidRDefault="009260DE" w:rsidP="009260DE">
      <w:pPr>
        <w:jc w:val="center"/>
        <w:rPr>
          <w:b/>
          <w:sz w:val="24"/>
          <w:szCs w:val="24"/>
        </w:rPr>
      </w:pPr>
    </w:p>
    <w:p w14:paraId="331C69D7" w14:textId="77777777" w:rsidR="009260DE" w:rsidRDefault="009260DE" w:rsidP="009260DE">
      <w:pPr>
        <w:jc w:val="center"/>
        <w:rPr>
          <w:b/>
          <w:sz w:val="24"/>
          <w:szCs w:val="24"/>
        </w:rPr>
      </w:pPr>
      <w:r w:rsidRPr="00C84483">
        <w:rPr>
          <w:b/>
          <w:sz w:val="24"/>
          <w:szCs w:val="24"/>
        </w:rPr>
        <w:t>for</w:t>
      </w:r>
    </w:p>
    <w:p w14:paraId="64152EB3" w14:textId="77777777" w:rsidR="000B058C" w:rsidRPr="00C84483" w:rsidRDefault="000B058C" w:rsidP="009260DE">
      <w:pPr>
        <w:jc w:val="center"/>
        <w:rPr>
          <w:b/>
          <w:sz w:val="24"/>
          <w:szCs w:val="24"/>
        </w:rPr>
      </w:pPr>
    </w:p>
    <w:p w14:paraId="1BAD81D0" w14:textId="1A3E2523" w:rsidR="009260DE" w:rsidRPr="00C84483" w:rsidRDefault="00F06C6C" w:rsidP="009260DE">
      <w:pPr>
        <w:jc w:val="center"/>
        <w:rPr>
          <w:b/>
          <w:sz w:val="24"/>
          <w:szCs w:val="24"/>
        </w:rPr>
      </w:pPr>
      <w:r>
        <w:rPr>
          <w:b/>
          <w:sz w:val="24"/>
          <w:szCs w:val="24"/>
        </w:rPr>
        <w:t>Vesolox, intravesikal opløsning</w:t>
      </w:r>
    </w:p>
    <w:p w14:paraId="6A59DAE8" w14:textId="77777777" w:rsidR="009260DE" w:rsidRPr="00C84483" w:rsidRDefault="009260DE" w:rsidP="009260DE">
      <w:pPr>
        <w:jc w:val="both"/>
        <w:rPr>
          <w:sz w:val="24"/>
          <w:szCs w:val="24"/>
        </w:rPr>
      </w:pPr>
    </w:p>
    <w:p w14:paraId="142FE807" w14:textId="77777777" w:rsidR="009260DE" w:rsidRPr="00C84483" w:rsidRDefault="009260DE" w:rsidP="009260DE">
      <w:pPr>
        <w:jc w:val="both"/>
        <w:rPr>
          <w:sz w:val="24"/>
          <w:szCs w:val="24"/>
        </w:rPr>
      </w:pPr>
    </w:p>
    <w:p w14:paraId="0CE4FDAF" w14:textId="77777777" w:rsidR="009260DE" w:rsidRPr="00C84483" w:rsidRDefault="009260DE" w:rsidP="009260DE">
      <w:pPr>
        <w:tabs>
          <w:tab w:val="left" w:pos="851"/>
        </w:tabs>
        <w:ind w:left="851" w:hanging="851"/>
        <w:rPr>
          <w:b/>
          <w:sz w:val="24"/>
          <w:szCs w:val="24"/>
        </w:rPr>
      </w:pPr>
      <w:r w:rsidRPr="00C84483">
        <w:rPr>
          <w:b/>
          <w:sz w:val="24"/>
          <w:szCs w:val="24"/>
        </w:rPr>
        <w:t>0.</w:t>
      </w:r>
      <w:r w:rsidRPr="00C84483">
        <w:rPr>
          <w:b/>
          <w:sz w:val="24"/>
          <w:szCs w:val="24"/>
        </w:rPr>
        <w:tab/>
        <w:t>D.SP.NR.</w:t>
      </w:r>
    </w:p>
    <w:p w14:paraId="47E4CB56" w14:textId="06474519" w:rsidR="009260DE" w:rsidRPr="00C84483" w:rsidRDefault="00F06C6C" w:rsidP="009260DE">
      <w:pPr>
        <w:tabs>
          <w:tab w:val="left" w:pos="851"/>
        </w:tabs>
        <w:ind w:left="851"/>
        <w:rPr>
          <w:sz w:val="24"/>
          <w:szCs w:val="24"/>
        </w:rPr>
      </w:pPr>
      <w:r>
        <w:rPr>
          <w:sz w:val="24"/>
          <w:szCs w:val="24"/>
        </w:rPr>
        <w:t>34938</w:t>
      </w:r>
    </w:p>
    <w:p w14:paraId="2F5974E4" w14:textId="77777777" w:rsidR="009260DE" w:rsidRPr="00C84483" w:rsidRDefault="009260DE" w:rsidP="009260DE">
      <w:pPr>
        <w:tabs>
          <w:tab w:val="left" w:pos="851"/>
        </w:tabs>
        <w:ind w:left="851"/>
        <w:rPr>
          <w:sz w:val="24"/>
          <w:szCs w:val="24"/>
        </w:rPr>
      </w:pPr>
    </w:p>
    <w:p w14:paraId="15E60FB8" w14:textId="77777777" w:rsidR="009260DE" w:rsidRPr="00C84483" w:rsidRDefault="009260DE" w:rsidP="009260DE">
      <w:pPr>
        <w:tabs>
          <w:tab w:val="left" w:pos="851"/>
        </w:tabs>
        <w:ind w:left="851" w:hanging="851"/>
        <w:rPr>
          <w:b/>
          <w:sz w:val="24"/>
          <w:szCs w:val="24"/>
        </w:rPr>
      </w:pPr>
      <w:r w:rsidRPr="00C84483">
        <w:rPr>
          <w:b/>
          <w:sz w:val="24"/>
          <w:szCs w:val="24"/>
        </w:rPr>
        <w:t>1.</w:t>
      </w:r>
      <w:r w:rsidRPr="00C84483">
        <w:rPr>
          <w:b/>
          <w:sz w:val="24"/>
          <w:szCs w:val="24"/>
        </w:rPr>
        <w:tab/>
        <w:t>LÆGEMIDLETS NAVN</w:t>
      </w:r>
    </w:p>
    <w:p w14:paraId="35F5C4DC" w14:textId="3F1C8896" w:rsidR="009260DE" w:rsidRPr="00C84483" w:rsidRDefault="00F06C6C" w:rsidP="009260DE">
      <w:pPr>
        <w:tabs>
          <w:tab w:val="left" w:pos="851"/>
        </w:tabs>
        <w:ind w:left="851"/>
        <w:rPr>
          <w:sz w:val="24"/>
          <w:szCs w:val="24"/>
        </w:rPr>
      </w:pPr>
      <w:r>
        <w:rPr>
          <w:sz w:val="24"/>
          <w:szCs w:val="24"/>
        </w:rPr>
        <w:t>Vesolox</w:t>
      </w:r>
    </w:p>
    <w:p w14:paraId="308DFC8C" w14:textId="77777777" w:rsidR="009260DE" w:rsidRPr="00C84483" w:rsidRDefault="009260DE" w:rsidP="009260DE">
      <w:pPr>
        <w:tabs>
          <w:tab w:val="left" w:pos="851"/>
        </w:tabs>
        <w:ind w:left="851"/>
        <w:rPr>
          <w:sz w:val="24"/>
          <w:szCs w:val="24"/>
        </w:rPr>
      </w:pPr>
    </w:p>
    <w:p w14:paraId="521E4B6B" w14:textId="77777777" w:rsidR="009260DE" w:rsidRPr="00C84483" w:rsidRDefault="009260DE" w:rsidP="009260DE">
      <w:pPr>
        <w:tabs>
          <w:tab w:val="left" w:pos="851"/>
        </w:tabs>
        <w:ind w:left="851" w:hanging="851"/>
        <w:rPr>
          <w:b/>
          <w:sz w:val="24"/>
          <w:szCs w:val="24"/>
        </w:rPr>
      </w:pPr>
      <w:r w:rsidRPr="00C84483">
        <w:rPr>
          <w:b/>
          <w:sz w:val="24"/>
          <w:szCs w:val="24"/>
        </w:rPr>
        <w:t>2.</w:t>
      </w:r>
      <w:r w:rsidRPr="00C84483">
        <w:rPr>
          <w:b/>
          <w:sz w:val="24"/>
          <w:szCs w:val="24"/>
        </w:rPr>
        <w:tab/>
        <w:t>KVALITATIV OG KVANTITATIV SAMMENSÆTNING</w:t>
      </w:r>
    </w:p>
    <w:p w14:paraId="36A64D87" w14:textId="77777777" w:rsidR="005B68A3" w:rsidRPr="005B68A3" w:rsidRDefault="005B68A3" w:rsidP="005B68A3">
      <w:pPr>
        <w:tabs>
          <w:tab w:val="left" w:pos="851"/>
        </w:tabs>
        <w:ind w:left="851"/>
        <w:rPr>
          <w:sz w:val="24"/>
          <w:szCs w:val="24"/>
        </w:rPr>
      </w:pPr>
      <w:r w:rsidRPr="005B68A3">
        <w:rPr>
          <w:sz w:val="24"/>
          <w:szCs w:val="24"/>
        </w:rPr>
        <w:t>1 ml opløsning indeholder 1 mg oxybutyninhydrochlorid.</w:t>
      </w:r>
    </w:p>
    <w:p w14:paraId="24F8F5E8" w14:textId="77777777" w:rsidR="005B68A3" w:rsidRPr="005B68A3" w:rsidRDefault="005B68A3" w:rsidP="005B68A3">
      <w:pPr>
        <w:tabs>
          <w:tab w:val="left" w:pos="851"/>
        </w:tabs>
        <w:ind w:left="851"/>
        <w:rPr>
          <w:sz w:val="24"/>
          <w:szCs w:val="24"/>
        </w:rPr>
      </w:pPr>
    </w:p>
    <w:p w14:paraId="7DFE9227" w14:textId="7F642E50" w:rsidR="005B68A3" w:rsidRPr="005B68A3" w:rsidRDefault="005B68A3" w:rsidP="005B68A3">
      <w:pPr>
        <w:tabs>
          <w:tab w:val="left" w:pos="851"/>
        </w:tabs>
        <w:ind w:left="851"/>
        <w:rPr>
          <w:sz w:val="24"/>
          <w:szCs w:val="24"/>
        </w:rPr>
      </w:pPr>
      <w:r>
        <w:rPr>
          <w:sz w:val="24"/>
          <w:szCs w:val="24"/>
        </w:rPr>
        <w:t>E</w:t>
      </w:r>
      <w:r w:rsidRPr="005B68A3">
        <w:rPr>
          <w:sz w:val="24"/>
          <w:szCs w:val="24"/>
        </w:rPr>
        <w:t>n gradueret, brugsklar fyldt sprøjte med 10 ml opløsning indeholder 10 mg oxybutyninhydrochlorid.</w:t>
      </w:r>
    </w:p>
    <w:p w14:paraId="2A39F04F" w14:textId="77777777" w:rsidR="005B68A3" w:rsidRPr="005B68A3" w:rsidRDefault="005B68A3" w:rsidP="005B68A3">
      <w:pPr>
        <w:tabs>
          <w:tab w:val="left" w:pos="851"/>
        </w:tabs>
        <w:ind w:left="851"/>
        <w:rPr>
          <w:sz w:val="24"/>
          <w:szCs w:val="24"/>
        </w:rPr>
      </w:pPr>
    </w:p>
    <w:p w14:paraId="0BC4D035" w14:textId="4151A255" w:rsidR="005B68A3" w:rsidRPr="005B68A3" w:rsidRDefault="005B68A3" w:rsidP="005B68A3">
      <w:pPr>
        <w:tabs>
          <w:tab w:val="left" w:pos="851"/>
        </w:tabs>
        <w:ind w:left="851"/>
        <w:rPr>
          <w:sz w:val="24"/>
          <w:szCs w:val="24"/>
        </w:rPr>
      </w:pPr>
      <w:r w:rsidRPr="005B68A3">
        <w:rPr>
          <w:sz w:val="24"/>
          <w:szCs w:val="24"/>
          <w:u w:val="single"/>
        </w:rPr>
        <w:t>Hjælpestof, som behandleren skal være opmærksom på</w:t>
      </w:r>
    </w:p>
    <w:p w14:paraId="18743C00" w14:textId="66C677FE" w:rsidR="005B68A3" w:rsidRPr="005B68A3" w:rsidRDefault="005B68A3" w:rsidP="005B68A3">
      <w:pPr>
        <w:tabs>
          <w:tab w:val="left" w:pos="851"/>
        </w:tabs>
        <w:ind w:left="851"/>
        <w:rPr>
          <w:sz w:val="24"/>
          <w:szCs w:val="24"/>
        </w:rPr>
      </w:pPr>
      <w:r w:rsidRPr="005B68A3">
        <w:rPr>
          <w:sz w:val="24"/>
          <w:szCs w:val="24"/>
        </w:rPr>
        <w:t>Natrium 3,56 mg/ml</w:t>
      </w:r>
      <w:r>
        <w:rPr>
          <w:sz w:val="24"/>
          <w:szCs w:val="24"/>
        </w:rPr>
        <w:t>.</w:t>
      </w:r>
    </w:p>
    <w:p w14:paraId="3E2E8F10" w14:textId="77777777" w:rsidR="005B68A3" w:rsidRPr="005B68A3" w:rsidRDefault="005B68A3" w:rsidP="005B68A3">
      <w:pPr>
        <w:tabs>
          <w:tab w:val="left" w:pos="851"/>
        </w:tabs>
        <w:ind w:left="851"/>
        <w:rPr>
          <w:sz w:val="24"/>
          <w:szCs w:val="24"/>
        </w:rPr>
      </w:pPr>
    </w:p>
    <w:p w14:paraId="1B332218" w14:textId="77777777" w:rsidR="005B68A3" w:rsidRPr="005B68A3" w:rsidRDefault="005B68A3" w:rsidP="005B68A3">
      <w:pPr>
        <w:tabs>
          <w:tab w:val="left" w:pos="851"/>
        </w:tabs>
        <w:ind w:left="851"/>
        <w:rPr>
          <w:sz w:val="24"/>
          <w:szCs w:val="24"/>
        </w:rPr>
      </w:pPr>
      <w:r w:rsidRPr="005B68A3">
        <w:rPr>
          <w:sz w:val="24"/>
          <w:szCs w:val="24"/>
        </w:rPr>
        <w:t>Alle hjælpestoffer er anført under pkt. 6.1.</w:t>
      </w:r>
    </w:p>
    <w:p w14:paraId="6F40296D" w14:textId="24D91278" w:rsidR="009260DE" w:rsidRPr="00C84483" w:rsidRDefault="009260DE" w:rsidP="009260DE">
      <w:pPr>
        <w:tabs>
          <w:tab w:val="left" w:pos="851"/>
        </w:tabs>
        <w:ind w:left="851"/>
        <w:rPr>
          <w:sz w:val="24"/>
          <w:szCs w:val="24"/>
        </w:rPr>
      </w:pPr>
    </w:p>
    <w:p w14:paraId="0B822779" w14:textId="77777777" w:rsidR="009260DE" w:rsidRPr="00C84483" w:rsidRDefault="009260DE" w:rsidP="009260DE">
      <w:pPr>
        <w:tabs>
          <w:tab w:val="left" w:pos="851"/>
        </w:tabs>
        <w:ind w:left="851"/>
        <w:rPr>
          <w:sz w:val="24"/>
          <w:szCs w:val="24"/>
        </w:rPr>
      </w:pPr>
    </w:p>
    <w:p w14:paraId="1B30FD97" w14:textId="77777777" w:rsidR="009260DE" w:rsidRPr="00C84483" w:rsidRDefault="009260DE" w:rsidP="009260DE">
      <w:pPr>
        <w:tabs>
          <w:tab w:val="left" w:pos="851"/>
        </w:tabs>
        <w:ind w:left="851" w:hanging="851"/>
        <w:rPr>
          <w:b/>
          <w:sz w:val="24"/>
          <w:szCs w:val="24"/>
        </w:rPr>
      </w:pPr>
      <w:r w:rsidRPr="00C84483">
        <w:rPr>
          <w:b/>
          <w:sz w:val="24"/>
          <w:szCs w:val="24"/>
        </w:rPr>
        <w:t>3.</w:t>
      </w:r>
      <w:r w:rsidRPr="00C84483">
        <w:rPr>
          <w:b/>
          <w:sz w:val="24"/>
          <w:szCs w:val="24"/>
        </w:rPr>
        <w:tab/>
        <w:t>LÆGEMIDDELFORM</w:t>
      </w:r>
    </w:p>
    <w:p w14:paraId="19954E73" w14:textId="66F63405" w:rsidR="005B68A3" w:rsidRPr="005B68A3" w:rsidRDefault="005B68A3" w:rsidP="005B68A3">
      <w:pPr>
        <w:tabs>
          <w:tab w:val="left" w:pos="851"/>
        </w:tabs>
        <w:ind w:left="851"/>
        <w:rPr>
          <w:sz w:val="24"/>
          <w:szCs w:val="24"/>
        </w:rPr>
      </w:pPr>
      <w:r w:rsidRPr="005B68A3">
        <w:rPr>
          <w:sz w:val="24"/>
          <w:szCs w:val="24"/>
        </w:rPr>
        <w:t>Intravesikal opløsning</w:t>
      </w:r>
    </w:p>
    <w:p w14:paraId="0FEF59A3" w14:textId="77777777" w:rsidR="005B68A3" w:rsidRPr="005B68A3" w:rsidRDefault="005B68A3" w:rsidP="005B68A3">
      <w:pPr>
        <w:tabs>
          <w:tab w:val="left" w:pos="851"/>
        </w:tabs>
        <w:ind w:left="851"/>
        <w:rPr>
          <w:sz w:val="24"/>
          <w:szCs w:val="24"/>
        </w:rPr>
      </w:pPr>
    </w:p>
    <w:p w14:paraId="6C4E7D1B" w14:textId="77777777" w:rsidR="005B68A3" w:rsidRPr="005B68A3" w:rsidRDefault="005B68A3" w:rsidP="005B68A3">
      <w:pPr>
        <w:tabs>
          <w:tab w:val="left" w:pos="851"/>
        </w:tabs>
        <w:ind w:left="851"/>
        <w:rPr>
          <w:sz w:val="24"/>
          <w:szCs w:val="24"/>
        </w:rPr>
      </w:pPr>
      <w:r w:rsidRPr="005B68A3">
        <w:rPr>
          <w:sz w:val="24"/>
          <w:szCs w:val="24"/>
        </w:rPr>
        <w:t>Klar, farveløs opløsning med en pH-værdi på 3,6 til 4,5.</w:t>
      </w:r>
    </w:p>
    <w:p w14:paraId="7BFD1F2D" w14:textId="77777777" w:rsidR="009260DE" w:rsidRPr="00C84483" w:rsidRDefault="009260DE" w:rsidP="009260DE">
      <w:pPr>
        <w:tabs>
          <w:tab w:val="left" w:pos="851"/>
        </w:tabs>
        <w:ind w:left="851"/>
        <w:rPr>
          <w:sz w:val="24"/>
          <w:szCs w:val="24"/>
        </w:rPr>
      </w:pPr>
    </w:p>
    <w:p w14:paraId="38A20E10" w14:textId="77777777" w:rsidR="009260DE" w:rsidRPr="00C84483" w:rsidRDefault="009260DE" w:rsidP="009260DE">
      <w:pPr>
        <w:tabs>
          <w:tab w:val="left" w:pos="851"/>
        </w:tabs>
        <w:ind w:left="851"/>
        <w:rPr>
          <w:sz w:val="24"/>
          <w:szCs w:val="24"/>
        </w:rPr>
      </w:pPr>
    </w:p>
    <w:p w14:paraId="3C025A73" w14:textId="77777777" w:rsidR="009260DE" w:rsidRPr="00C84483" w:rsidRDefault="009260DE" w:rsidP="009260DE">
      <w:pPr>
        <w:tabs>
          <w:tab w:val="left" w:pos="851"/>
        </w:tabs>
        <w:ind w:left="851" w:hanging="851"/>
        <w:rPr>
          <w:b/>
          <w:sz w:val="24"/>
          <w:szCs w:val="24"/>
        </w:rPr>
      </w:pPr>
      <w:r w:rsidRPr="00C84483">
        <w:rPr>
          <w:b/>
          <w:sz w:val="24"/>
          <w:szCs w:val="24"/>
        </w:rPr>
        <w:t>4.</w:t>
      </w:r>
      <w:r w:rsidRPr="00C84483">
        <w:rPr>
          <w:b/>
          <w:sz w:val="24"/>
          <w:szCs w:val="24"/>
        </w:rPr>
        <w:tab/>
        <w:t>KLINISKE OPLYSNINGER</w:t>
      </w:r>
    </w:p>
    <w:p w14:paraId="4154B110" w14:textId="77777777" w:rsidR="009260DE" w:rsidRPr="00C84483" w:rsidRDefault="009260DE" w:rsidP="009260DE">
      <w:pPr>
        <w:tabs>
          <w:tab w:val="left" w:pos="851"/>
        </w:tabs>
        <w:ind w:left="851"/>
        <w:rPr>
          <w:b/>
          <w:sz w:val="24"/>
          <w:szCs w:val="24"/>
        </w:rPr>
      </w:pPr>
    </w:p>
    <w:p w14:paraId="691990FF" w14:textId="77777777" w:rsidR="009260DE" w:rsidRPr="00C84483" w:rsidRDefault="009260DE" w:rsidP="009260DE">
      <w:pPr>
        <w:tabs>
          <w:tab w:val="left" w:pos="851"/>
        </w:tabs>
        <w:ind w:left="851" w:hanging="851"/>
        <w:rPr>
          <w:b/>
          <w:sz w:val="24"/>
          <w:szCs w:val="24"/>
          <w:u w:val="single"/>
        </w:rPr>
      </w:pPr>
      <w:r w:rsidRPr="00C84483">
        <w:rPr>
          <w:b/>
          <w:sz w:val="24"/>
          <w:szCs w:val="24"/>
        </w:rPr>
        <w:t>4.1</w:t>
      </w:r>
      <w:r w:rsidRPr="00C84483">
        <w:rPr>
          <w:b/>
          <w:sz w:val="24"/>
          <w:szCs w:val="24"/>
        </w:rPr>
        <w:tab/>
        <w:t>Terapeutiske indikationer</w:t>
      </w:r>
    </w:p>
    <w:p w14:paraId="745F37AC" w14:textId="77777777" w:rsidR="005B68A3" w:rsidRPr="005B68A3" w:rsidRDefault="005B68A3" w:rsidP="005B68A3">
      <w:pPr>
        <w:tabs>
          <w:tab w:val="left" w:pos="851"/>
        </w:tabs>
        <w:ind w:left="851"/>
        <w:rPr>
          <w:sz w:val="24"/>
          <w:szCs w:val="24"/>
        </w:rPr>
      </w:pPr>
      <w:r w:rsidRPr="005B68A3">
        <w:rPr>
          <w:sz w:val="24"/>
          <w:szCs w:val="24"/>
        </w:rPr>
        <w:t>Vesolox er indiceret til at hæmme neurogen detrusoroveraktivitet (NDO) hos børn fra 6 år og voksne, hvor tømning af blæren udføres ved ren intermitterende kateterisering (RIK), hvis de ikke kan behandles tilstrækkeligt med et oralt antikolinergt middel på grund af manglende effekt og/eller uacceptable bivirkninger.</w:t>
      </w:r>
    </w:p>
    <w:p w14:paraId="674844A7" w14:textId="2933F585" w:rsidR="005B68A3" w:rsidRDefault="005B68A3">
      <w:pPr>
        <w:rPr>
          <w:sz w:val="24"/>
          <w:szCs w:val="24"/>
        </w:rPr>
      </w:pPr>
      <w:r>
        <w:rPr>
          <w:sz w:val="24"/>
          <w:szCs w:val="24"/>
        </w:rPr>
        <w:br w:type="page"/>
      </w:r>
    </w:p>
    <w:p w14:paraId="495EB0CE" w14:textId="77777777" w:rsidR="009260DE" w:rsidRPr="00C84483" w:rsidRDefault="009260DE" w:rsidP="009260DE">
      <w:pPr>
        <w:tabs>
          <w:tab w:val="left" w:pos="851"/>
        </w:tabs>
        <w:ind w:left="851"/>
        <w:rPr>
          <w:sz w:val="24"/>
          <w:szCs w:val="24"/>
        </w:rPr>
      </w:pPr>
    </w:p>
    <w:p w14:paraId="5A7E9E9F" w14:textId="77777777" w:rsidR="009260DE" w:rsidRPr="00C84483" w:rsidRDefault="009260DE" w:rsidP="009260DE">
      <w:pPr>
        <w:tabs>
          <w:tab w:val="left" w:pos="851"/>
        </w:tabs>
        <w:ind w:left="851" w:hanging="851"/>
        <w:rPr>
          <w:b/>
          <w:sz w:val="24"/>
          <w:szCs w:val="24"/>
        </w:rPr>
      </w:pPr>
      <w:r w:rsidRPr="00C84483">
        <w:rPr>
          <w:b/>
          <w:sz w:val="24"/>
          <w:szCs w:val="24"/>
        </w:rPr>
        <w:t>4.2</w:t>
      </w:r>
      <w:r w:rsidRPr="00C84483">
        <w:rPr>
          <w:b/>
          <w:sz w:val="24"/>
          <w:szCs w:val="24"/>
        </w:rPr>
        <w:tab/>
        <w:t xml:space="preserve">Dosering og </w:t>
      </w:r>
      <w:r w:rsidR="002C1EC0">
        <w:rPr>
          <w:b/>
          <w:sz w:val="24"/>
          <w:szCs w:val="24"/>
        </w:rPr>
        <w:t>administration</w:t>
      </w:r>
    </w:p>
    <w:p w14:paraId="60DD69E2" w14:textId="77777777" w:rsidR="005B68A3" w:rsidRDefault="005B68A3" w:rsidP="005B68A3">
      <w:pPr>
        <w:tabs>
          <w:tab w:val="left" w:pos="851"/>
        </w:tabs>
        <w:ind w:left="851"/>
        <w:rPr>
          <w:sz w:val="24"/>
          <w:szCs w:val="24"/>
          <w:u w:val="single"/>
        </w:rPr>
      </w:pPr>
    </w:p>
    <w:p w14:paraId="7BA435D1" w14:textId="0E36A179" w:rsidR="005B68A3" w:rsidRPr="005B68A3" w:rsidRDefault="005B68A3" w:rsidP="005B68A3">
      <w:pPr>
        <w:tabs>
          <w:tab w:val="left" w:pos="851"/>
        </w:tabs>
        <w:ind w:left="851"/>
        <w:rPr>
          <w:sz w:val="24"/>
          <w:szCs w:val="24"/>
        </w:rPr>
      </w:pPr>
      <w:r w:rsidRPr="005B68A3">
        <w:rPr>
          <w:sz w:val="24"/>
          <w:szCs w:val="24"/>
          <w:u w:val="single"/>
        </w:rPr>
        <w:t>Dosering</w:t>
      </w:r>
    </w:p>
    <w:p w14:paraId="65B19500" w14:textId="77777777" w:rsidR="005B68A3" w:rsidRPr="005B68A3" w:rsidRDefault="005B68A3" w:rsidP="005B68A3">
      <w:pPr>
        <w:tabs>
          <w:tab w:val="left" w:pos="851"/>
        </w:tabs>
        <w:ind w:left="851"/>
        <w:rPr>
          <w:sz w:val="24"/>
          <w:szCs w:val="24"/>
        </w:rPr>
      </w:pPr>
      <w:r w:rsidRPr="005B68A3">
        <w:rPr>
          <w:sz w:val="24"/>
          <w:szCs w:val="24"/>
        </w:rPr>
        <w:t>Indledende dosisjustering skal foretages af en neuro-urolog under omhyggelig urodynamisk kontrol.</w:t>
      </w:r>
    </w:p>
    <w:p w14:paraId="68AE076D" w14:textId="77777777" w:rsidR="005B68A3" w:rsidRPr="005B68A3" w:rsidRDefault="005B68A3" w:rsidP="005B68A3">
      <w:pPr>
        <w:tabs>
          <w:tab w:val="left" w:pos="851"/>
        </w:tabs>
        <w:ind w:left="851"/>
        <w:rPr>
          <w:sz w:val="24"/>
          <w:szCs w:val="24"/>
        </w:rPr>
      </w:pPr>
    </w:p>
    <w:p w14:paraId="775FC60C" w14:textId="77777777" w:rsidR="005B68A3" w:rsidRPr="005B68A3" w:rsidRDefault="005B68A3" w:rsidP="005B68A3">
      <w:pPr>
        <w:tabs>
          <w:tab w:val="left" w:pos="851"/>
        </w:tabs>
        <w:ind w:left="851"/>
        <w:rPr>
          <w:sz w:val="24"/>
          <w:szCs w:val="24"/>
        </w:rPr>
      </w:pPr>
      <w:r w:rsidRPr="005B68A3">
        <w:rPr>
          <w:sz w:val="24"/>
          <w:szCs w:val="24"/>
        </w:rPr>
        <w:t>Der er ingen faste regler for dosisregime, da der er store individuelle forskelle i blæretryk og dosisbehov til bedring af neurogen detrusoroveraktivitet. Dosisregimet (doser og doseringstidspunkter) skal derfor bestemmes individuelt efter patientens behov.</w:t>
      </w:r>
    </w:p>
    <w:p w14:paraId="303DB851" w14:textId="77777777" w:rsidR="005B68A3" w:rsidRPr="005B68A3" w:rsidRDefault="005B68A3" w:rsidP="005B68A3">
      <w:pPr>
        <w:tabs>
          <w:tab w:val="left" w:pos="851"/>
        </w:tabs>
        <w:ind w:left="851"/>
        <w:rPr>
          <w:sz w:val="24"/>
          <w:szCs w:val="24"/>
        </w:rPr>
      </w:pPr>
    </w:p>
    <w:p w14:paraId="4AD4BBF0" w14:textId="77777777" w:rsidR="005B68A3" w:rsidRPr="005B68A3" w:rsidRDefault="005B68A3" w:rsidP="005B68A3">
      <w:pPr>
        <w:tabs>
          <w:tab w:val="left" w:pos="851"/>
        </w:tabs>
        <w:ind w:left="851"/>
        <w:rPr>
          <w:sz w:val="24"/>
          <w:szCs w:val="24"/>
        </w:rPr>
      </w:pPr>
      <w:r w:rsidRPr="005B68A3">
        <w:rPr>
          <w:sz w:val="24"/>
          <w:szCs w:val="24"/>
        </w:rPr>
        <w:t>Der skal anvendes individuel dosering for at kontrollere urodynamiske parametre tilstrækkeligt (maksimalt detrusortryk &lt; 40 cm H</w:t>
      </w:r>
      <w:r w:rsidRPr="005B68A3">
        <w:rPr>
          <w:sz w:val="24"/>
          <w:szCs w:val="24"/>
          <w:vertAlign w:val="subscript"/>
        </w:rPr>
        <w:t>2</w:t>
      </w:r>
      <w:r w:rsidRPr="005B68A3">
        <w:rPr>
          <w:sz w:val="24"/>
          <w:szCs w:val="24"/>
        </w:rPr>
        <w:t>O) med henblik på fuldstændig hæmning af neurogen detrusoroveraktivitet.</w:t>
      </w:r>
    </w:p>
    <w:p w14:paraId="5E3ACF16" w14:textId="77777777" w:rsidR="005B68A3" w:rsidRPr="005B68A3" w:rsidRDefault="005B68A3" w:rsidP="005B68A3">
      <w:pPr>
        <w:tabs>
          <w:tab w:val="left" w:pos="851"/>
        </w:tabs>
        <w:ind w:left="851"/>
        <w:rPr>
          <w:sz w:val="24"/>
          <w:szCs w:val="24"/>
        </w:rPr>
      </w:pPr>
    </w:p>
    <w:p w14:paraId="11276439" w14:textId="77777777" w:rsidR="005B68A3" w:rsidRPr="005B68A3" w:rsidRDefault="005B68A3" w:rsidP="005B68A3">
      <w:pPr>
        <w:tabs>
          <w:tab w:val="left" w:pos="851"/>
        </w:tabs>
        <w:ind w:left="851"/>
        <w:rPr>
          <w:sz w:val="24"/>
          <w:szCs w:val="24"/>
        </w:rPr>
      </w:pPr>
      <w:r w:rsidRPr="005B68A3">
        <w:rPr>
          <w:sz w:val="24"/>
          <w:szCs w:val="24"/>
        </w:rPr>
        <w:t>I løbet af intravesikal oxybutynin-behandling, skal urodynamiske parametre kontrolleres med regelmæssige mellemrum, som defineret af den behandlende urolog.</w:t>
      </w:r>
    </w:p>
    <w:p w14:paraId="2F3CA165" w14:textId="77777777" w:rsidR="005B68A3" w:rsidRPr="005B68A3" w:rsidRDefault="005B68A3" w:rsidP="005B68A3">
      <w:pPr>
        <w:tabs>
          <w:tab w:val="left" w:pos="851"/>
        </w:tabs>
        <w:ind w:left="851"/>
        <w:rPr>
          <w:sz w:val="24"/>
          <w:szCs w:val="24"/>
        </w:rPr>
      </w:pPr>
    </w:p>
    <w:p w14:paraId="44086C7E" w14:textId="77777777" w:rsidR="005B68A3" w:rsidRPr="005B68A3" w:rsidRDefault="005B68A3" w:rsidP="005B68A3">
      <w:pPr>
        <w:tabs>
          <w:tab w:val="left" w:pos="851"/>
        </w:tabs>
        <w:ind w:left="851"/>
        <w:rPr>
          <w:i/>
          <w:sz w:val="24"/>
          <w:szCs w:val="24"/>
        </w:rPr>
      </w:pPr>
      <w:r w:rsidRPr="005B68A3">
        <w:rPr>
          <w:i/>
          <w:sz w:val="24"/>
          <w:szCs w:val="24"/>
        </w:rPr>
        <w:t>Pædiatrisk population</w:t>
      </w:r>
    </w:p>
    <w:p w14:paraId="1236FE95" w14:textId="77777777" w:rsidR="005B68A3" w:rsidRPr="005B68A3" w:rsidRDefault="005B68A3" w:rsidP="005B68A3">
      <w:pPr>
        <w:tabs>
          <w:tab w:val="left" w:pos="851"/>
        </w:tabs>
        <w:ind w:left="851"/>
        <w:rPr>
          <w:sz w:val="24"/>
          <w:szCs w:val="24"/>
        </w:rPr>
      </w:pPr>
      <w:r w:rsidRPr="005B68A3">
        <w:rPr>
          <w:sz w:val="24"/>
          <w:szCs w:val="24"/>
        </w:rPr>
        <w:t>Sikkerheden og virkningen ved oxybutyninhydrochlorid hos børn i alderen 0 til 5 år er endnu ikke klarlagt.</w:t>
      </w:r>
    </w:p>
    <w:p w14:paraId="62D167AE" w14:textId="77777777" w:rsidR="005B68A3" w:rsidRPr="005B68A3" w:rsidRDefault="005B68A3" w:rsidP="005B68A3">
      <w:pPr>
        <w:tabs>
          <w:tab w:val="left" w:pos="851"/>
        </w:tabs>
        <w:ind w:left="851"/>
        <w:rPr>
          <w:sz w:val="24"/>
          <w:szCs w:val="24"/>
        </w:rPr>
      </w:pPr>
    </w:p>
    <w:p w14:paraId="168357FA" w14:textId="77777777" w:rsidR="005B68A3" w:rsidRPr="005B68A3" w:rsidRDefault="005B68A3" w:rsidP="005B68A3">
      <w:pPr>
        <w:tabs>
          <w:tab w:val="left" w:pos="851"/>
        </w:tabs>
        <w:ind w:left="851"/>
        <w:rPr>
          <w:i/>
          <w:sz w:val="24"/>
          <w:szCs w:val="24"/>
        </w:rPr>
      </w:pPr>
      <w:r w:rsidRPr="005B68A3">
        <w:rPr>
          <w:i/>
          <w:sz w:val="24"/>
          <w:szCs w:val="24"/>
        </w:rPr>
        <w:t xml:space="preserve">Dosisanbefalinger til unge i alderen 12 år eller derover, voksne og ældre </w:t>
      </w:r>
    </w:p>
    <w:p w14:paraId="47D2DC86" w14:textId="77777777" w:rsidR="005B68A3" w:rsidRPr="005B68A3" w:rsidRDefault="005B68A3" w:rsidP="005B68A3">
      <w:pPr>
        <w:tabs>
          <w:tab w:val="left" w:pos="851"/>
        </w:tabs>
        <w:ind w:left="851"/>
        <w:rPr>
          <w:sz w:val="24"/>
          <w:szCs w:val="24"/>
        </w:rPr>
      </w:pPr>
      <w:r w:rsidRPr="005B68A3">
        <w:rPr>
          <w:sz w:val="24"/>
          <w:szCs w:val="24"/>
        </w:rPr>
        <w:t>Dosisanbefalingerne er beregnet ud fra legemsvægt-percentilerne for de forskellige aldersgrupper (tabel 1).</w:t>
      </w:r>
    </w:p>
    <w:p w14:paraId="7F62DE30" w14:textId="77777777" w:rsidR="005B68A3" w:rsidRPr="005B68A3" w:rsidRDefault="005B68A3" w:rsidP="005B68A3">
      <w:pPr>
        <w:tabs>
          <w:tab w:val="left" w:pos="851"/>
        </w:tabs>
        <w:ind w:left="851"/>
        <w:rPr>
          <w:sz w:val="24"/>
          <w:szCs w:val="24"/>
        </w:rPr>
      </w:pPr>
    </w:p>
    <w:p w14:paraId="0EF2CBA8" w14:textId="77777777" w:rsidR="005B68A3" w:rsidRPr="005B68A3" w:rsidRDefault="005B68A3" w:rsidP="004B6B18">
      <w:pPr>
        <w:tabs>
          <w:tab w:val="left" w:pos="851"/>
        </w:tabs>
        <w:ind w:left="142"/>
        <w:rPr>
          <w:i/>
          <w:sz w:val="24"/>
          <w:szCs w:val="24"/>
        </w:rPr>
      </w:pPr>
      <w:r w:rsidRPr="005B68A3">
        <w:rPr>
          <w:i/>
          <w:sz w:val="24"/>
          <w:szCs w:val="24"/>
        </w:rPr>
        <w:t>Tabel 1: Dosisanbefalinger i følgende aldersgrupper</w:t>
      </w:r>
    </w:p>
    <w:p w14:paraId="137B9505" w14:textId="77777777" w:rsidR="005B68A3" w:rsidRPr="005B68A3" w:rsidRDefault="005B68A3" w:rsidP="005B68A3">
      <w:pPr>
        <w:tabs>
          <w:tab w:val="left" w:pos="851"/>
        </w:tabs>
        <w:ind w:left="851"/>
        <w:rPr>
          <w:i/>
          <w:sz w:val="24"/>
          <w:szCs w:val="24"/>
        </w:rPr>
      </w:pP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1E0" w:firstRow="1" w:lastRow="1" w:firstColumn="1" w:lastColumn="1" w:noHBand="0" w:noVBand="0"/>
      </w:tblPr>
      <w:tblGrid>
        <w:gridCol w:w="2266"/>
        <w:gridCol w:w="2266"/>
        <w:gridCol w:w="2264"/>
        <w:gridCol w:w="2266"/>
      </w:tblGrid>
      <w:tr w:rsidR="005B68A3" w:rsidRPr="005B68A3" w14:paraId="04618175" w14:textId="77777777" w:rsidTr="005B68A3">
        <w:trPr>
          <w:cantSplit/>
          <w:trHeight w:val="23"/>
        </w:trPr>
        <w:tc>
          <w:tcPr>
            <w:tcW w:w="2266"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0710A202" w14:textId="77777777" w:rsidR="005B68A3" w:rsidRPr="005B68A3" w:rsidRDefault="005B68A3" w:rsidP="005B68A3">
            <w:pPr>
              <w:ind w:left="44"/>
              <w:rPr>
                <w:b/>
                <w:sz w:val="22"/>
                <w:szCs w:val="22"/>
              </w:rPr>
            </w:pPr>
            <w:r w:rsidRPr="005B68A3">
              <w:rPr>
                <w:b/>
                <w:sz w:val="22"/>
                <w:szCs w:val="22"/>
              </w:rPr>
              <w:t>Aldersgruppe</w:t>
            </w:r>
          </w:p>
        </w:tc>
        <w:tc>
          <w:tcPr>
            <w:tcW w:w="2266"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2423DB41" w14:textId="77777777" w:rsidR="005B68A3" w:rsidRPr="005B68A3" w:rsidRDefault="005B68A3" w:rsidP="005B68A3">
            <w:pPr>
              <w:ind w:left="184"/>
              <w:rPr>
                <w:b/>
                <w:sz w:val="22"/>
                <w:szCs w:val="22"/>
              </w:rPr>
            </w:pPr>
            <w:r w:rsidRPr="005B68A3">
              <w:rPr>
                <w:b/>
                <w:sz w:val="22"/>
                <w:szCs w:val="22"/>
              </w:rPr>
              <w:t>Alder [år]</w:t>
            </w:r>
          </w:p>
        </w:tc>
        <w:tc>
          <w:tcPr>
            <w:tcW w:w="2264"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0E9F0CC1" w14:textId="77777777" w:rsidR="005B68A3" w:rsidRPr="005B68A3" w:rsidRDefault="005B68A3" w:rsidP="005B68A3">
            <w:pPr>
              <w:ind w:left="192"/>
              <w:rPr>
                <w:b/>
                <w:sz w:val="22"/>
                <w:szCs w:val="22"/>
              </w:rPr>
            </w:pPr>
            <w:r w:rsidRPr="005B68A3">
              <w:rPr>
                <w:b/>
                <w:sz w:val="22"/>
                <w:szCs w:val="22"/>
              </w:rPr>
              <w:t>Anbefalet daglig startdosis [mg]</w:t>
            </w:r>
          </w:p>
        </w:tc>
        <w:tc>
          <w:tcPr>
            <w:tcW w:w="2266"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06B90E2D" w14:textId="77777777" w:rsidR="005B68A3" w:rsidRPr="005B68A3" w:rsidRDefault="005B68A3" w:rsidP="005B68A3">
            <w:pPr>
              <w:ind w:left="48"/>
              <w:rPr>
                <w:b/>
                <w:sz w:val="22"/>
                <w:szCs w:val="22"/>
              </w:rPr>
            </w:pPr>
            <w:r w:rsidRPr="005B68A3">
              <w:rPr>
                <w:b/>
                <w:sz w:val="22"/>
                <w:szCs w:val="22"/>
              </w:rPr>
              <w:t>Anbefalet samlet daglig dosis [mg]</w:t>
            </w:r>
          </w:p>
        </w:tc>
      </w:tr>
      <w:tr w:rsidR="005B68A3" w:rsidRPr="005B68A3" w14:paraId="65DB704C" w14:textId="77777777" w:rsidTr="005B68A3">
        <w:trPr>
          <w:cantSplit/>
          <w:trHeight w:val="23"/>
        </w:trPr>
        <w:tc>
          <w:tcPr>
            <w:tcW w:w="2266" w:type="dxa"/>
            <w:tcBorders>
              <w:top w:val="single" w:sz="4" w:space="0" w:color="000000"/>
              <w:left w:val="single" w:sz="4" w:space="0" w:color="000000"/>
              <w:bottom w:val="single" w:sz="4" w:space="0" w:color="000000"/>
              <w:right w:val="single" w:sz="4" w:space="0" w:color="000000"/>
            </w:tcBorders>
            <w:vAlign w:val="center"/>
            <w:hideMark/>
          </w:tcPr>
          <w:p w14:paraId="2BB02652" w14:textId="77777777" w:rsidR="005B68A3" w:rsidRPr="005B68A3" w:rsidRDefault="005B68A3" w:rsidP="005B68A3">
            <w:pPr>
              <w:ind w:left="44"/>
              <w:rPr>
                <w:b/>
                <w:sz w:val="22"/>
                <w:szCs w:val="22"/>
              </w:rPr>
            </w:pPr>
            <w:r w:rsidRPr="005B68A3">
              <w:rPr>
                <w:b/>
                <w:sz w:val="22"/>
                <w:szCs w:val="22"/>
              </w:rPr>
              <w:t>Børn</w:t>
            </w:r>
          </w:p>
        </w:tc>
        <w:tc>
          <w:tcPr>
            <w:tcW w:w="2266" w:type="dxa"/>
            <w:tcBorders>
              <w:top w:val="single" w:sz="4" w:space="0" w:color="000000"/>
              <w:left w:val="single" w:sz="4" w:space="0" w:color="000000"/>
              <w:bottom w:val="single" w:sz="4" w:space="0" w:color="000000"/>
              <w:right w:val="single" w:sz="4" w:space="0" w:color="000000"/>
            </w:tcBorders>
            <w:vAlign w:val="center"/>
            <w:hideMark/>
          </w:tcPr>
          <w:p w14:paraId="1FBACFD6" w14:textId="77777777" w:rsidR="005B68A3" w:rsidRPr="005B68A3" w:rsidRDefault="005B68A3" w:rsidP="005B68A3">
            <w:pPr>
              <w:ind w:left="184"/>
              <w:rPr>
                <w:sz w:val="22"/>
                <w:szCs w:val="22"/>
              </w:rPr>
            </w:pPr>
            <w:r w:rsidRPr="005B68A3">
              <w:rPr>
                <w:sz w:val="22"/>
                <w:szCs w:val="22"/>
              </w:rPr>
              <w:t>6-12</w:t>
            </w:r>
          </w:p>
        </w:tc>
        <w:tc>
          <w:tcPr>
            <w:tcW w:w="2264" w:type="dxa"/>
            <w:tcBorders>
              <w:top w:val="single" w:sz="4" w:space="0" w:color="000000"/>
              <w:left w:val="single" w:sz="4" w:space="0" w:color="000000"/>
              <w:bottom w:val="single" w:sz="4" w:space="0" w:color="000000"/>
              <w:right w:val="single" w:sz="4" w:space="0" w:color="000000"/>
            </w:tcBorders>
            <w:vAlign w:val="center"/>
            <w:hideMark/>
          </w:tcPr>
          <w:p w14:paraId="5CC4197C" w14:textId="77777777" w:rsidR="005B68A3" w:rsidRPr="005B68A3" w:rsidRDefault="005B68A3" w:rsidP="005B68A3">
            <w:pPr>
              <w:ind w:left="192"/>
              <w:rPr>
                <w:sz w:val="22"/>
                <w:szCs w:val="22"/>
              </w:rPr>
            </w:pPr>
            <w:r w:rsidRPr="005B68A3">
              <w:rPr>
                <w:sz w:val="22"/>
                <w:szCs w:val="22"/>
              </w:rPr>
              <w:t>individuelt, se nedenfor</w:t>
            </w:r>
          </w:p>
        </w:tc>
        <w:tc>
          <w:tcPr>
            <w:tcW w:w="2266" w:type="dxa"/>
            <w:tcBorders>
              <w:top w:val="single" w:sz="4" w:space="0" w:color="000000"/>
              <w:left w:val="single" w:sz="4" w:space="0" w:color="000000"/>
              <w:bottom w:val="single" w:sz="4" w:space="0" w:color="000000"/>
              <w:right w:val="single" w:sz="4" w:space="0" w:color="000000"/>
            </w:tcBorders>
            <w:vAlign w:val="center"/>
            <w:hideMark/>
          </w:tcPr>
          <w:p w14:paraId="6A129498" w14:textId="77777777" w:rsidR="005B68A3" w:rsidRPr="005B68A3" w:rsidRDefault="005B68A3" w:rsidP="005B68A3">
            <w:pPr>
              <w:ind w:left="48"/>
              <w:rPr>
                <w:sz w:val="22"/>
                <w:szCs w:val="22"/>
              </w:rPr>
            </w:pPr>
            <w:r w:rsidRPr="005B68A3">
              <w:rPr>
                <w:sz w:val="22"/>
                <w:szCs w:val="22"/>
              </w:rPr>
              <w:t>2-30</w:t>
            </w:r>
          </w:p>
        </w:tc>
      </w:tr>
      <w:tr w:rsidR="005B68A3" w:rsidRPr="005B68A3" w14:paraId="32CCBBDC" w14:textId="77777777" w:rsidTr="005B68A3">
        <w:trPr>
          <w:cantSplit/>
          <w:trHeight w:val="23"/>
        </w:trPr>
        <w:tc>
          <w:tcPr>
            <w:tcW w:w="2266" w:type="dxa"/>
            <w:tcBorders>
              <w:top w:val="single" w:sz="4" w:space="0" w:color="000000"/>
              <w:left w:val="single" w:sz="4" w:space="0" w:color="000000"/>
              <w:bottom w:val="single" w:sz="4" w:space="0" w:color="000000"/>
              <w:right w:val="single" w:sz="4" w:space="0" w:color="000000"/>
            </w:tcBorders>
            <w:vAlign w:val="center"/>
            <w:hideMark/>
          </w:tcPr>
          <w:p w14:paraId="2E6FEEB9" w14:textId="77777777" w:rsidR="005B68A3" w:rsidRPr="005B68A3" w:rsidRDefault="005B68A3" w:rsidP="005B68A3">
            <w:pPr>
              <w:ind w:left="44"/>
              <w:rPr>
                <w:b/>
                <w:sz w:val="22"/>
                <w:szCs w:val="22"/>
              </w:rPr>
            </w:pPr>
            <w:r w:rsidRPr="005B68A3">
              <w:rPr>
                <w:b/>
                <w:sz w:val="22"/>
                <w:szCs w:val="22"/>
              </w:rPr>
              <w:t>Unge</w:t>
            </w:r>
          </w:p>
        </w:tc>
        <w:tc>
          <w:tcPr>
            <w:tcW w:w="2266" w:type="dxa"/>
            <w:tcBorders>
              <w:top w:val="single" w:sz="4" w:space="0" w:color="000000"/>
              <w:left w:val="single" w:sz="4" w:space="0" w:color="000000"/>
              <w:bottom w:val="single" w:sz="4" w:space="0" w:color="000000"/>
              <w:right w:val="single" w:sz="4" w:space="0" w:color="000000"/>
            </w:tcBorders>
            <w:vAlign w:val="center"/>
            <w:hideMark/>
          </w:tcPr>
          <w:p w14:paraId="17260441" w14:textId="77777777" w:rsidR="005B68A3" w:rsidRPr="005B68A3" w:rsidRDefault="005B68A3" w:rsidP="005B68A3">
            <w:pPr>
              <w:ind w:left="184"/>
              <w:rPr>
                <w:sz w:val="22"/>
                <w:szCs w:val="22"/>
              </w:rPr>
            </w:pPr>
            <w:r w:rsidRPr="005B68A3">
              <w:rPr>
                <w:sz w:val="22"/>
                <w:szCs w:val="22"/>
              </w:rPr>
              <w:t>12-18</w:t>
            </w:r>
          </w:p>
        </w:tc>
        <w:tc>
          <w:tcPr>
            <w:tcW w:w="2264" w:type="dxa"/>
            <w:tcBorders>
              <w:top w:val="single" w:sz="4" w:space="0" w:color="000000"/>
              <w:left w:val="single" w:sz="4" w:space="0" w:color="000000"/>
              <w:bottom w:val="single" w:sz="4" w:space="0" w:color="000000"/>
              <w:right w:val="single" w:sz="4" w:space="0" w:color="000000"/>
            </w:tcBorders>
            <w:vAlign w:val="center"/>
            <w:hideMark/>
          </w:tcPr>
          <w:p w14:paraId="287DEB4F" w14:textId="77777777" w:rsidR="005B68A3" w:rsidRPr="005B68A3" w:rsidRDefault="005B68A3" w:rsidP="005B68A3">
            <w:pPr>
              <w:ind w:left="192"/>
              <w:rPr>
                <w:sz w:val="22"/>
                <w:szCs w:val="22"/>
              </w:rPr>
            </w:pPr>
            <w:r w:rsidRPr="005B68A3">
              <w:rPr>
                <w:sz w:val="22"/>
                <w:szCs w:val="22"/>
              </w:rPr>
              <w:t>10</w:t>
            </w:r>
          </w:p>
        </w:tc>
        <w:tc>
          <w:tcPr>
            <w:tcW w:w="2266" w:type="dxa"/>
            <w:tcBorders>
              <w:top w:val="single" w:sz="4" w:space="0" w:color="000000"/>
              <w:left w:val="single" w:sz="4" w:space="0" w:color="000000"/>
              <w:bottom w:val="single" w:sz="4" w:space="0" w:color="000000"/>
              <w:right w:val="single" w:sz="4" w:space="0" w:color="000000"/>
            </w:tcBorders>
            <w:vAlign w:val="center"/>
            <w:hideMark/>
          </w:tcPr>
          <w:p w14:paraId="01B90A4C" w14:textId="77777777" w:rsidR="005B68A3" w:rsidRPr="005B68A3" w:rsidRDefault="005B68A3" w:rsidP="005B68A3">
            <w:pPr>
              <w:ind w:left="48"/>
              <w:rPr>
                <w:sz w:val="22"/>
                <w:szCs w:val="22"/>
              </w:rPr>
            </w:pPr>
            <w:r w:rsidRPr="005B68A3">
              <w:rPr>
                <w:sz w:val="22"/>
                <w:szCs w:val="22"/>
              </w:rPr>
              <w:t>10-40</w:t>
            </w:r>
          </w:p>
        </w:tc>
      </w:tr>
      <w:tr w:rsidR="005B68A3" w:rsidRPr="005B68A3" w14:paraId="7955BA0C" w14:textId="77777777" w:rsidTr="005B68A3">
        <w:trPr>
          <w:cantSplit/>
          <w:trHeight w:val="23"/>
        </w:trPr>
        <w:tc>
          <w:tcPr>
            <w:tcW w:w="2266" w:type="dxa"/>
            <w:tcBorders>
              <w:top w:val="single" w:sz="4" w:space="0" w:color="000000"/>
              <w:left w:val="single" w:sz="4" w:space="0" w:color="000000"/>
              <w:bottom w:val="single" w:sz="4" w:space="0" w:color="000000"/>
              <w:right w:val="single" w:sz="4" w:space="0" w:color="000000"/>
            </w:tcBorders>
            <w:vAlign w:val="center"/>
            <w:hideMark/>
          </w:tcPr>
          <w:p w14:paraId="734FADE1" w14:textId="77777777" w:rsidR="005B68A3" w:rsidRPr="005B68A3" w:rsidRDefault="005B68A3" w:rsidP="005B68A3">
            <w:pPr>
              <w:ind w:left="44"/>
              <w:rPr>
                <w:b/>
                <w:sz w:val="22"/>
                <w:szCs w:val="22"/>
              </w:rPr>
            </w:pPr>
            <w:r w:rsidRPr="005B68A3">
              <w:rPr>
                <w:b/>
                <w:sz w:val="22"/>
                <w:szCs w:val="22"/>
              </w:rPr>
              <w:t>Voksne</w:t>
            </w:r>
          </w:p>
        </w:tc>
        <w:tc>
          <w:tcPr>
            <w:tcW w:w="2266" w:type="dxa"/>
            <w:tcBorders>
              <w:top w:val="single" w:sz="4" w:space="0" w:color="000000"/>
              <w:left w:val="single" w:sz="4" w:space="0" w:color="000000"/>
              <w:bottom w:val="single" w:sz="4" w:space="0" w:color="000000"/>
              <w:right w:val="single" w:sz="4" w:space="0" w:color="000000"/>
            </w:tcBorders>
            <w:vAlign w:val="center"/>
            <w:hideMark/>
          </w:tcPr>
          <w:p w14:paraId="52CE821B" w14:textId="77777777" w:rsidR="005B68A3" w:rsidRPr="005B68A3" w:rsidRDefault="005B68A3" w:rsidP="005B68A3">
            <w:pPr>
              <w:ind w:left="184"/>
              <w:rPr>
                <w:sz w:val="22"/>
                <w:szCs w:val="22"/>
              </w:rPr>
            </w:pPr>
            <w:r w:rsidRPr="005B68A3">
              <w:rPr>
                <w:sz w:val="22"/>
                <w:szCs w:val="22"/>
              </w:rPr>
              <w:t>19-65</w:t>
            </w:r>
          </w:p>
        </w:tc>
        <w:tc>
          <w:tcPr>
            <w:tcW w:w="2264" w:type="dxa"/>
            <w:tcBorders>
              <w:top w:val="single" w:sz="4" w:space="0" w:color="000000"/>
              <w:left w:val="single" w:sz="4" w:space="0" w:color="000000"/>
              <w:bottom w:val="single" w:sz="4" w:space="0" w:color="000000"/>
              <w:right w:val="single" w:sz="4" w:space="0" w:color="000000"/>
            </w:tcBorders>
            <w:vAlign w:val="center"/>
            <w:hideMark/>
          </w:tcPr>
          <w:p w14:paraId="576218E7" w14:textId="77777777" w:rsidR="005B68A3" w:rsidRPr="005B68A3" w:rsidRDefault="005B68A3" w:rsidP="005B68A3">
            <w:pPr>
              <w:ind w:left="192"/>
              <w:rPr>
                <w:sz w:val="22"/>
                <w:szCs w:val="22"/>
              </w:rPr>
            </w:pPr>
            <w:r w:rsidRPr="005B68A3">
              <w:rPr>
                <w:sz w:val="22"/>
                <w:szCs w:val="22"/>
              </w:rPr>
              <w:t>10</w:t>
            </w:r>
          </w:p>
        </w:tc>
        <w:tc>
          <w:tcPr>
            <w:tcW w:w="2266" w:type="dxa"/>
            <w:tcBorders>
              <w:top w:val="single" w:sz="4" w:space="0" w:color="000000"/>
              <w:left w:val="single" w:sz="4" w:space="0" w:color="000000"/>
              <w:bottom w:val="single" w:sz="4" w:space="0" w:color="000000"/>
              <w:right w:val="single" w:sz="4" w:space="0" w:color="000000"/>
            </w:tcBorders>
            <w:vAlign w:val="center"/>
            <w:hideMark/>
          </w:tcPr>
          <w:p w14:paraId="6962409D" w14:textId="77777777" w:rsidR="005B68A3" w:rsidRPr="005B68A3" w:rsidRDefault="005B68A3" w:rsidP="005B68A3">
            <w:pPr>
              <w:ind w:left="48"/>
              <w:rPr>
                <w:sz w:val="22"/>
                <w:szCs w:val="22"/>
              </w:rPr>
            </w:pPr>
            <w:r w:rsidRPr="005B68A3">
              <w:rPr>
                <w:sz w:val="22"/>
                <w:szCs w:val="22"/>
              </w:rPr>
              <w:t>10-40</w:t>
            </w:r>
          </w:p>
        </w:tc>
      </w:tr>
      <w:tr w:rsidR="005B68A3" w:rsidRPr="005B68A3" w14:paraId="58DC9517" w14:textId="77777777" w:rsidTr="005B68A3">
        <w:trPr>
          <w:cantSplit/>
          <w:trHeight w:val="23"/>
        </w:trPr>
        <w:tc>
          <w:tcPr>
            <w:tcW w:w="2266" w:type="dxa"/>
            <w:tcBorders>
              <w:top w:val="single" w:sz="4" w:space="0" w:color="000000"/>
              <w:left w:val="single" w:sz="4" w:space="0" w:color="000000"/>
              <w:bottom w:val="single" w:sz="4" w:space="0" w:color="000000"/>
              <w:right w:val="single" w:sz="4" w:space="0" w:color="000000"/>
            </w:tcBorders>
            <w:vAlign w:val="center"/>
            <w:hideMark/>
          </w:tcPr>
          <w:p w14:paraId="68CF5797" w14:textId="77777777" w:rsidR="005B68A3" w:rsidRPr="005B68A3" w:rsidRDefault="005B68A3" w:rsidP="005B68A3">
            <w:pPr>
              <w:ind w:left="44"/>
              <w:rPr>
                <w:b/>
                <w:sz w:val="22"/>
                <w:szCs w:val="22"/>
              </w:rPr>
            </w:pPr>
            <w:r w:rsidRPr="005B68A3">
              <w:rPr>
                <w:b/>
                <w:sz w:val="22"/>
                <w:szCs w:val="22"/>
              </w:rPr>
              <w:t>Ældre</w:t>
            </w:r>
          </w:p>
        </w:tc>
        <w:tc>
          <w:tcPr>
            <w:tcW w:w="2266" w:type="dxa"/>
            <w:tcBorders>
              <w:top w:val="single" w:sz="4" w:space="0" w:color="000000"/>
              <w:left w:val="single" w:sz="4" w:space="0" w:color="000000"/>
              <w:bottom w:val="single" w:sz="4" w:space="0" w:color="000000"/>
              <w:right w:val="single" w:sz="4" w:space="0" w:color="000000"/>
            </w:tcBorders>
            <w:vAlign w:val="center"/>
            <w:hideMark/>
          </w:tcPr>
          <w:p w14:paraId="75603829" w14:textId="77777777" w:rsidR="005B68A3" w:rsidRPr="005B68A3" w:rsidRDefault="005B68A3" w:rsidP="005B68A3">
            <w:pPr>
              <w:ind w:left="184"/>
              <w:rPr>
                <w:sz w:val="22"/>
                <w:szCs w:val="22"/>
              </w:rPr>
            </w:pPr>
            <w:r w:rsidRPr="005B68A3">
              <w:rPr>
                <w:sz w:val="22"/>
                <w:szCs w:val="22"/>
              </w:rPr>
              <w:t>over 65</w:t>
            </w:r>
          </w:p>
        </w:tc>
        <w:tc>
          <w:tcPr>
            <w:tcW w:w="2264" w:type="dxa"/>
            <w:tcBorders>
              <w:top w:val="single" w:sz="4" w:space="0" w:color="000000"/>
              <w:left w:val="single" w:sz="4" w:space="0" w:color="000000"/>
              <w:bottom w:val="single" w:sz="4" w:space="0" w:color="000000"/>
              <w:right w:val="single" w:sz="4" w:space="0" w:color="000000"/>
            </w:tcBorders>
            <w:vAlign w:val="center"/>
            <w:hideMark/>
          </w:tcPr>
          <w:p w14:paraId="075763DA" w14:textId="77777777" w:rsidR="005B68A3" w:rsidRPr="005B68A3" w:rsidRDefault="005B68A3" w:rsidP="005B68A3">
            <w:pPr>
              <w:ind w:left="192"/>
              <w:rPr>
                <w:sz w:val="22"/>
                <w:szCs w:val="22"/>
              </w:rPr>
            </w:pPr>
            <w:r w:rsidRPr="005B68A3">
              <w:rPr>
                <w:sz w:val="22"/>
                <w:szCs w:val="22"/>
              </w:rPr>
              <w:t>10</w:t>
            </w:r>
          </w:p>
        </w:tc>
        <w:tc>
          <w:tcPr>
            <w:tcW w:w="2266" w:type="dxa"/>
            <w:tcBorders>
              <w:top w:val="single" w:sz="4" w:space="0" w:color="000000"/>
              <w:left w:val="single" w:sz="4" w:space="0" w:color="000000"/>
              <w:bottom w:val="single" w:sz="4" w:space="0" w:color="000000"/>
              <w:right w:val="single" w:sz="4" w:space="0" w:color="000000"/>
            </w:tcBorders>
            <w:vAlign w:val="center"/>
            <w:hideMark/>
          </w:tcPr>
          <w:p w14:paraId="3E9E457D" w14:textId="77777777" w:rsidR="005B68A3" w:rsidRPr="005B68A3" w:rsidRDefault="005B68A3" w:rsidP="005B68A3">
            <w:pPr>
              <w:ind w:left="48"/>
              <w:rPr>
                <w:sz w:val="22"/>
                <w:szCs w:val="22"/>
              </w:rPr>
            </w:pPr>
            <w:r w:rsidRPr="005B68A3">
              <w:rPr>
                <w:sz w:val="22"/>
                <w:szCs w:val="22"/>
              </w:rPr>
              <w:t>10-30</w:t>
            </w:r>
          </w:p>
        </w:tc>
      </w:tr>
    </w:tbl>
    <w:p w14:paraId="2150748A" w14:textId="77777777" w:rsidR="005B68A3" w:rsidRPr="005B68A3" w:rsidRDefault="005B68A3" w:rsidP="005B68A3">
      <w:pPr>
        <w:tabs>
          <w:tab w:val="left" w:pos="851"/>
        </w:tabs>
        <w:ind w:left="851"/>
        <w:rPr>
          <w:i/>
          <w:sz w:val="24"/>
          <w:szCs w:val="24"/>
        </w:rPr>
      </w:pPr>
    </w:p>
    <w:p w14:paraId="26939C2A" w14:textId="77777777" w:rsidR="005B68A3" w:rsidRPr="005B68A3" w:rsidRDefault="005B68A3" w:rsidP="005B68A3">
      <w:pPr>
        <w:tabs>
          <w:tab w:val="left" w:pos="851"/>
        </w:tabs>
        <w:ind w:left="851"/>
        <w:rPr>
          <w:sz w:val="24"/>
          <w:szCs w:val="24"/>
        </w:rPr>
      </w:pPr>
      <w:r w:rsidRPr="005B68A3">
        <w:rPr>
          <w:sz w:val="24"/>
          <w:szCs w:val="24"/>
        </w:rPr>
        <w:t>Hvis højere doser end startdosen vurderes påkrævet, bør dosen øges trinvis, indtil den neurogene detrusoroveraktivitet er under tilstrækkelig kontrol, så det er muligt at overvåge både virkning og sikkerhed tæt. De påkrævede daglige vedligeholdelsesdoser kan eventuelt opdeles i flere instillationer (tabel 2 og 3). I tilfælde af 6 rene intermitterende kateteriseringer (RIK'er) pr. dag anbefales følgende doseringsplan:</w:t>
      </w:r>
    </w:p>
    <w:p w14:paraId="07DABC6C" w14:textId="77777777" w:rsidR="005B68A3" w:rsidRPr="005B68A3" w:rsidRDefault="005B68A3" w:rsidP="005B68A3">
      <w:pPr>
        <w:tabs>
          <w:tab w:val="left" w:pos="851"/>
        </w:tabs>
        <w:ind w:left="851"/>
        <w:rPr>
          <w:sz w:val="24"/>
          <w:szCs w:val="24"/>
        </w:rPr>
      </w:pPr>
    </w:p>
    <w:p w14:paraId="6D7B2172" w14:textId="77777777" w:rsidR="005B68A3" w:rsidRPr="005B68A3" w:rsidRDefault="005B68A3" w:rsidP="004B6B18">
      <w:pPr>
        <w:ind w:left="142"/>
        <w:rPr>
          <w:i/>
          <w:sz w:val="24"/>
          <w:szCs w:val="24"/>
        </w:rPr>
      </w:pPr>
      <w:r w:rsidRPr="005B68A3">
        <w:rPr>
          <w:i/>
          <w:sz w:val="24"/>
          <w:szCs w:val="24"/>
        </w:rPr>
        <w:t>Tabel 2: Anbefalet doseringsplan (børn fra 6 til 12 år)</w:t>
      </w:r>
    </w:p>
    <w:p w14:paraId="27BF04AE" w14:textId="77777777" w:rsidR="005B68A3" w:rsidRPr="005B68A3" w:rsidRDefault="005B68A3" w:rsidP="005B68A3">
      <w:pPr>
        <w:tabs>
          <w:tab w:val="left" w:pos="851"/>
        </w:tabs>
        <w:ind w:left="851"/>
        <w:rPr>
          <w:i/>
          <w:sz w:val="24"/>
          <w:szCs w:val="24"/>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1E0" w:firstRow="1" w:lastRow="1" w:firstColumn="1" w:lastColumn="1" w:noHBand="0" w:noVBand="0"/>
      </w:tblPr>
      <w:tblGrid>
        <w:gridCol w:w="1646"/>
        <w:gridCol w:w="1236"/>
        <w:gridCol w:w="1238"/>
        <w:gridCol w:w="1238"/>
        <w:gridCol w:w="1236"/>
        <w:gridCol w:w="1238"/>
        <w:gridCol w:w="1238"/>
      </w:tblGrid>
      <w:tr w:rsidR="005B68A3" w:rsidRPr="005B68A3" w14:paraId="2C822CDD" w14:textId="77777777" w:rsidTr="004B6B18">
        <w:trPr>
          <w:cantSplit/>
          <w:trHeight w:val="23"/>
        </w:trPr>
        <w:tc>
          <w:tcPr>
            <w:tcW w:w="1646" w:type="dxa"/>
            <w:vMerge w:val="restart"/>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66236133" w14:textId="69A29D16" w:rsidR="005B68A3" w:rsidRPr="005B68A3" w:rsidRDefault="005B68A3" w:rsidP="005B68A3">
            <w:pPr>
              <w:ind w:left="32"/>
              <w:rPr>
                <w:b/>
                <w:sz w:val="22"/>
                <w:szCs w:val="22"/>
              </w:rPr>
            </w:pPr>
            <w:r w:rsidRPr="005B68A3">
              <w:rPr>
                <w:b/>
                <w:sz w:val="22"/>
                <w:szCs w:val="22"/>
              </w:rPr>
              <w:t>Daglig</w:t>
            </w:r>
            <w:r>
              <w:rPr>
                <w:b/>
                <w:sz w:val="22"/>
                <w:szCs w:val="22"/>
              </w:rPr>
              <w:t xml:space="preserve"> </w:t>
            </w:r>
            <w:r w:rsidRPr="005B68A3">
              <w:rPr>
                <w:b/>
                <w:sz w:val="22"/>
                <w:szCs w:val="22"/>
              </w:rPr>
              <w:t>dosis [mg]</w:t>
            </w:r>
          </w:p>
        </w:tc>
        <w:tc>
          <w:tcPr>
            <w:tcW w:w="7424" w:type="dxa"/>
            <w:gridSpan w:val="6"/>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7654C122" w14:textId="77777777" w:rsidR="005B68A3" w:rsidRPr="005B68A3" w:rsidRDefault="005B68A3" w:rsidP="005B68A3">
            <w:pPr>
              <w:ind w:left="83"/>
              <w:rPr>
                <w:b/>
                <w:sz w:val="22"/>
                <w:szCs w:val="22"/>
              </w:rPr>
            </w:pPr>
            <w:r w:rsidRPr="005B68A3">
              <w:rPr>
                <w:b/>
                <w:sz w:val="22"/>
                <w:szCs w:val="22"/>
              </w:rPr>
              <w:t>Administreret dosis pr. indgivelse [mg]</w:t>
            </w:r>
          </w:p>
        </w:tc>
      </w:tr>
      <w:tr w:rsidR="005B68A3" w:rsidRPr="005B68A3" w14:paraId="5A73CF1A" w14:textId="77777777" w:rsidTr="004B6B18">
        <w:trPr>
          <w:cantSplit/>
          <w:trHeight w:val="23"/>
        </w:trPr>
        <w:tc>
          <w:tcPr>
            <w:tcW w:w="1646" w:type="dxa"/>
            <w:vMerge/>
            <w:tcBorders>
              <w:top w:val="single" w:sz="4" w:space="0" w:color="000000"/>
              <w:left w:val="single" w:sz="4" w:space="0" w:color="000000"/>
              <w:bottom w:val="single" w:sz="4" w:space="0" w:color="000000"/>
              <w:right w:val="single" w:sz="4" w:space="0" w:color="000000"/>
            </w:tcBorders>
            <w:vAlign w:val="center"/>
            <w:hideMark/>
          </w:tcPr>
          <w:p w14:paraId="18FFE956" w14:textId="77777777" w:rsidR="005B68A3" w:rsidRPr="005B68A3" w:rsidRDefault="005B68A3" w:rsidP="005B68A3">
            <w:pPr>
              <w:ind w:left="32"/>
              <w:rPr>
                <w:b/>
                <w:sz w:val="22"/>
                <w:szCs w:val="22"/>
              </w:rPr>
            </w:pPr>
          </w:p>
        </w:tc>
        <w:tc>
          <w:tcPr>
            <w:tcW w:w="1236"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2CA753EC" w14:textId="77777777" w:rsidR="005B68A3" w:rsidRPr="005B68A3" w:rsidRDefault="005B68A3" w:rsidP="005B68A3">
            <w:pPr>
              <w:ind w:left="83"/>
              <w:rPr>
                <w:b/>
                <w:sz w:val="22"/>
                <w:szCs w:val="22"/>
              </w:rPr>
            </w:pPr>
            <w:r w:rsidRPr="005B68A3">
              <w:rPr>
                <w:b/>
                <w:sz w:val="22"/>
                <w:szCs w:val="22"/>
              </w:rPr>
              <w:t>RIK 1</w:t>
            </w:r>
          </w:p>
        </w:tc>
        <w:tc>
          <w:tcPr>
            <w:tcW w:w="1238"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2A4B49BF" w14:textId="77777777" w:rsidR="005B68A3" w:rsidRPr="005B68A3" w:rsidRDefault="005B68A3" w:rsidP="005B68A3">
            <w:pPr>
              <w:ind w:left="83"/>
              <w:rPr>
                <w:b/>
                <w:sz w:val="22"/>
                <w:szCs w:val="22"/>
              </w:rPr>
            </w:pPr>
            <w:r w:rsidRPr="005B68A3">
              <w:rPr>
                <w:b/>
                <w:sz w:val="22"/>
                <w:szCs w:val="22"/>
              </w:rPr>
              <w:t>RIK 2</w:t>
            </w:r>
          </w:p>
        </w:tc>
        <w:tc>
          <w:tcPr>
            <w:tcW w:w="1238"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2558E307" w14:textId="77777777" w:rsidR="005B68A3" w:rsidRPr="005B68A3" w:rsidRDefault="005B68A3" w:rsidP="005B68A3">
            <w:pPr>
              <w:ind w:left="83"/>
              <w:rPr>
                <w:b/>
                <w:sz w:val="22"/>
                <w:szCs w:val="22"/>
              </w:rPr>
            </w:pPr>
            <w:r w:rsidRPr="005B68A3">
              <w:rPr>
                <w:b/>
                <w:sz w:val="22"/>
                <w:szCs w:val="22"/>
              </w:rPr>
              <w:t>RIK 3</w:t>
            </w:r>
          </w:p>
        </w:tc>
        <w:tc>
          <w:tcPr>
            <w:tcW w:w="1236"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5E0A57B0" w14:textId="77777777" w:rsidR="005B68A3" w:rsidRPr="005B68A3" w:rsidRDefault="005B68A3" w:rsidP="005B68A3">
            <w:pPr>
              <w:ind w:left="83"/>
              <w:rPr>
                <w:b/>
                <w:sz w:val="22"/>
                <w:szCs w:val="22"/>
              </w:rPr>
            </w:pPr>
            <w:r w:rsidRPr="005B68A3">
              <w:rPr>
                <w:b/>
                <w:sz w:val="22"/>
                <w:szCs w:val="22"/>
              </w:rPr>
              <w:t>RIK 4</w:t>
            </w:r>
          </w:p>
        </w:tc>
        <w:tc>
          <w:tcPr>
            <w:tcW w:w="1238"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4DD2D41A" w14:textId="77777777" w:rsidR="005B68A3" w:rsidRPr="005B68A3" w:rsidRDefault="005B68A3" w:rsidP="005B68A3">
            <w:pPr>
              <w:ind w:left="83"/>
              <w:rPr>
                <w:b/>
                <w:sz w:val="22"/>
                <w:szCs w:val="22"/>
              </w:rPr>
            </w:pPr>
            <w:r w:rsidRPr="005B68A3">
              <w:rPr>
                <w:b/>
                <w:sz w:val="22"/>
                <w:szCs w:val="22"/>
              </w:rPr>
              <w:t>RIK 5</w:t>
            </w:r>
          </w:p>
        </w:tc>
        <w:tc>
          <w:tcPr>
            <w:tcW w:w="1238"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2C1FC921" w14:textId="77777777" w:rsidR="005B68A3" w:rsidRPr="005B68A3" w:rsidRDefault="005B68A3" w:rsidP="005B68A3">
            <w:pPr>
              <w:ind w:left="83"/>
              <w:rPr>
                <w:b/>
                <w:sz w:val="22"/>
                <w:szCs w:val="22"/>
              </w:rPr>
            </w:pPr>
            <w:r w:rsidRPr="005B68A3">
              <w:rPr>
                <w:b/>
                <w:sz w:val="22"/>
                <w:szCs w:val="22"/>
              </w:rPr>
              <w:t>RIK 6</w:t>
            </w:r>
          </w:p>
        </w:tc>
      </w:tr>
      <w:tr w:rsidR="005B68A3" w:rsidRPr="005B68A3" w14:paraId="1E751439" w14:textId="77777777" w:rsidTr="004B6B18">
        <w:trPr>
          <w:cantSplit/>
          <w:trHeight w:val="23"/>
        </w:trPr>
        <w:tc>
          <w:tcPr>
            <w:tcW w:w="1646" w:type="dxa"/>
            <w:tcBorders>
              <w:top w:val="single" w:sz="4" w:space="0" w:color="000000"/>
              <w:left w:val="single" w:sz="4" w:space="0" w:color="000000"/>
              <w:bottom w:val="single" w:sz="4" w:space="0" w:color="000000"/>
              <w:right w:val="single" w:sz="4" w:space="0" w:color="000000"/>
            </w:tcBorders>
            <w:vAlign w:val="center"/>
            <w:hideMark/>
          </w:tcPr>
          <w:p w14:paraId="27DD09AA" w14:textId="77777777" w:rsidR="005B68A3" w:rsidRPr="005B68A3" w:rsidRDefault="005B68A3" w:rsidP="005B68A3">
            <w:pPr>
              <w:ind w:left="32"/>
              <w:rPr>
                <w:b/>
                <w:sz w:val="22"/>
                <w:szCs w:val="22"/>
              </w:rPr>
            </w:pPr>
            <w:r w:rsidRPr="005B68A3">
              <w:rPr>
                <w:b/>
                <w:sz w:val="22"/>
                <w:szCs w:val="22"/>
              </w:rPr>
              <w:t>2</w:t>
            </w:r>
          </w:p>
        </w:tc>
        <w:tc>
          <w:tcPr>
            <w:tcW w:w="1236" w:type="dxa"/>
            <w:tcBorders>
              <w:top w:val="single" w:sz="4" w:space="0" w:color="000000"/>
              <w:left w:val="single" w:sz="4" w:space="0" w:color="000000"/>
              <w:bottom w:val="single" w:sz="4" w:space="0" w:color="000000"/>
              <w:right w:val="single" w:sz="4" w:space="0" w:color="000000"/>
            </w:tcBorders>
            <w:vAlign w:val="center"/>
            <w:hideMark/>
          </w:tcPr>
          <w:p w14:paraId="65C883D7" w14:textId="77777777" w:rsidR="005B68A3" w:rsidRPr="005B68A3" w:rsidRDefault="005B68A3" w:rsidP="005B68A3">
            <w:pPr>
              <w:ind w:left="83"/>
              <w:rPr>
                <w:sz w:val="22"/>
                <w:szCs w:val="22"/>
              </w:rPr>
            </w:pPr>
            <w:r w:rsidRPr="005B68A3">
              <w:rPr>
                <w:sz w:val="22"/>
                <w:szCs w:val="22"/>
              </w:rPr>
              <w:t>2</w:t>
            </w:r>
          </w:p>
        </w:tc>
        <w:tc>
          <w:tcPr>
            <w:tcW w:w="1238" w:type="dxa"/>
            <w:tcBorders>
              <w:top w:val="single" w:sz="4" w:space="0" w:color="000000"/>
              <w:left w:val="single" w:sz="4" w:space="0" w:color="000000"/>
              <w:bottom w:val="single" w:sz="4" w:space="0" w:color="000000"/>
              <w:right w:val="single" w:sz="4" w:space="0" w:color="000000"/>
            </w:tcBorders>
            <w:vAlign w:val="center"/>
            <w:hideMark/>
          </w:tcPr>
          <w:p w14:paraId="5876BB13" w14:textId="77777777" w:rsidR="005B68A3" w:rsidRPr="005B68A3" w:rsidRDefault="005B68A3" w:rsidP="005B68A3">
            <w:pPr>
              <w:ind w:left="83"/>
              <w:rPr>
                <w:sz w:val="22"/>
                <w:szCs w:val="22"/>
              </w:rPr>
            </w:pPr>
            <w:r w:rsidRPr="005B68A3">
              <w:rPr>
                <w:sz w:val="22"/>
                <w:szCs w:val="22"/>
              </w:rPr>
              <w:t>-</w:t>
            </w:r>
          </w:p>
        </w:tc>
        <w:tc>
          <w:tcPr>
            <w:tcW w:w="1238" w:type="dxa"/>
            <w:tcBorders>
              <w:top w:val="single" w:sz="4" w:space="0" w:color="000000"/>
              <w:left w:val="single" w:sz="4" w:space="0" w:color="000000"/>
              <w:bottom w:val="single" w:sz="4" w:space="0" w:color="000000"/>
              <w:right w:val="single" w:sz="4" w:space="0" w:color="000000"/>
            </w:tcBorders>
            <w:vAlign w:val="center"/>
            <w:hideMark/>
          </w:tcPr>
          <w:p w14:paraId="5DF3BE4A" w14:textId="77777777" w:rsidR="005B68A3" w:rsidRPr="005B68A3" w:rsidRDefault="005B68A3" w:rsidP="005B68A3">
            <w:pPr>
              <w:ind w:left="83"/>
              <w:rPr>
                <w:sz w:val="22"/>
                <w:szCs w:val="22"/>
              </w:rPr>
            </w:pPr>
            <w:r w:rsidRPr="005B68A3">
              <w:rPr>
                <w:sz w:val="22"/>
                <w:szCs w:val="22"/>
              </w:rPr>
              <w:t>-</w:t>
            </w:r>
          </w:p>
        </w:tc>
        <w:tc>
          <w:tcPr>
            <w:tcW w:w="1236" w:type="dxa"/>
            <w:tcBorders>
              <w:top w:val="single" w:sz="4" w:space="0" w:color="000000"/>
              <w:left w:val="single" w:sz="4" w:space="0" w:color="000000"/>
              <w:bottom w:val="single" w:sz="4" w:space="0" w:color="000000"/>
              <w:right w:val="single" w:sz="4" w:space="0" w:color="000000"/>
            </w:tcBorders>
            <w:vAlign w:val="center"/>
            <w:hideMark/>
          </w:tcPr>
          <w:p w14:paraId="6AD7F66B" w14:textId="77777777" w:rsidR="005B68A3" w:rsidRPr="005B68A3" w:rsidRDefault="005B68A3" w:rsidP="005B68A3">
            <w:pPr>
              <w:ind w:left="83"/>
              <w:rPr>
                <w:sz w:val="22"/>
                <w:szCs w:val="22"/>
              </w:rPr>
            </w:pPr>
            <w:r w:rsidRPr="005B68A3">
              <w:rPr>
                <w:sz w:val="22"/>
                <w:szCs w:val="22"/>
              </w:rPr>
              <w:t>-</w:t>
            </w:r>
          </w:p>
        </w:tc>
        <w:tc>
          <w:tcPr>
            <w:tcW w:w="1238" w:type="dxa"/>
            <w:tcBorders>
              <w:top w:val="single" w:sz="4" w:space="0" w:color="000000"/>
              <w:left w:val="single" w:sz="4" w:space="0" w:color="000000"/>
              <w:bottom w:val="single" w:sz="4" w:space="0" w:color="000000"/>
              <w:right w:val="single" w:sz="4" w:space="0" w:color="000000"/>
            </w:tcBorders>
            <w:vAlign w:val="center"/>
            <w:hideMark/>
          </w:tcPr>
          <w:p w14:paraId="7A156965" w14:textId="77777777" w:rsidR="005B68A3" w:rsidRPr="005B68A3" w:rsidRDefault="005B68A3" w:rsidP="005B68A3">
            <w:pPr>
              <w:ind w:left="83"/>
              <w:rPr>
                <w:sz w:val="22"/>
                <w:szCs w:val="22"/>
              </w:rPr>
            </w:pPr>
            <w:r w:rsidRPr="005B68A3">
              <w:rPr>
                <w:sz w:val="22"/>
                <w:szCs w:val="22"/>
              </w:rPr>
              <w:t>-</w:t>
            </w:r>
          </w:p>
        </w:tc>
        <w:tc>
          <w:tcPr>
            <w:tcW w:w="1238" w:type="dxa"/>
            <w:tcBorders>
              <w:top w:val="single" w:sz="4" w:space="0" w:color="000000"/>
              <w:left w:val="single" w:sz="4" w:space="0" w:color="000000"/>
              <w:bottom w:val="single" w:sz="4" w:space="0" w:color="000000"/>
              <w:right w:val="single" w:sz="4" w:space="0" w:color="000000"/>
            </w:tcBorders>
            <w:vAlign w:val="center"/>
            <w:hideMark/>
          </w:tcPr>
          <w:p w14:paraId="227931B8" w14:textId="77777777" w:rsidR="005B68A3" w:rsidRPr="005B68A3" w:rsidRDefault="005B68A3" w:rsidP="005B68A3">
            <w:pPr>
              <w:ind w:left="83"/>
              <w:rPr>
                <w:sz w:val="22"/>
                <w:szCs w:val="22"/>
              </w:rPr>
            </w:pPr>
            <w:r w:rsidRPr="005B68A3">
              <w:rPr>
                <w:sz w:val="22"/>
                <w:szCs w:val="22"/>
              </w:rPr>
              <w:t>-</w:t>
            </w:r>
          </w:p>
        </w:tc>
      </w:tr>
      <w:tr w:rsidR="005B68A3" w:rsidRPr="005B68A3" w14:paraId="27D5E092" w14:textId="77777777" w:rsidTr="004B6B18">
        <w:trPr>
          <w:cantSplit/>
          <w:trHeight w:val="23"/>
        </w:trPr>
        <w:tc>
          <w:tcPr>
            <w:tcW w:w="1646" w:type="dxa"/>
            <w:tcBorders>
              <w:top w:val="single" w:sz="4" w:space="0" w:color="000000"/>
              <w:left w:val="single" w:sz="4" w:space="0" w:color="000000"/>
              <w:bottom w:val="single" w:sz="4" w:space="0" w:color="000000"/>
              <w:right w:val="single" w:sz="4" w:space="0" w:color="000000"/>
            </w:tcBorders>
            <w:vAlign w:val="center"/>
            <w:hideMark/>
          </w:tcPr>
          <w:p w14:paraId="0C9580EA" w14:textId="77777777" w:rsidR="005B68A3" w:rsidRPr="005B68A3" w:rsidRDefault="005B68A3" w:rsidP="005B68A3">
            <w:pPr>
              <w:ind w:left="32"/>
              <w:rPr>
                <w:b/>
                <w:sz w:val="22"/>
                <w:szCs w:val="22"/>
              </w:rPr>
            </w:pPr>
            <w:r w:rsidRPr="005B68A3">
              <w:rPr>
                <w:b/>
                <w:sz w:val="22"/>
                <w:szCs w:val="22"/>
              </w:rPr>
              <w:t>5</w:t>
            </w:r>
          </w:p>
        </w:tc>
        <w:tc>
          <w:tcPr>
            <w:tcW w:w="1236" w:type="dxa"/>
            <w:tcBorders>
              <w:top w:val="single" w:sz="4" w:space="0" w:color="000000"/>
              <w:left w:val="single" w:sz="4" w:space="0" w:color="000000"/>
              <w:bottom w:val="single" w:sz="4" w:space="0" w:color="000000"/>
              <w:right w:val="single" w:sz="4" w:space="0" w:color="000000"/>
            </w:tcBorders>
            <w:vAlign w:val="center"/>
            <w:hideMark/>
          </w:tcPr>
          <w:p w14:paraId="5E7F38F1" w14:textId="77777777" w:rsidR="005B68A3" w:rsidRPr="005B68A3" w:rsidRDefault="005B68A3" w:rsidP="005B68A3">
            <w:pPr>
              <w:ind w:left="83"/>
              <w:rPr>
                <w:sz w:val="22"/>
                <w:szCs w:val="22"/>
              </w:rPr>
            </w:pPr>
            <w:r w:rsidRPr="005B68A3">
              <w:rPr>
                <w:sz w:val="22"/>
                <w:szCs w:val="22"/>
              </w:rPr>
              <w:t>5</w:t>
            </w:r>
          </w:p>
        </w:tc>
        <w:tc>
          <w:tcPr>
            <w:tcW w:w="1238" w:type="dxa"/>
            <w:tcBorders>
              <w:top w:val="single" w:sz="4" w:space="0" w:color="000000"/>
              <w:left w:val="single" w:sz="4" w:space="0" w:color="000000"/>
              <w:bottom w:val="single" w:sz="4" w:space="0" w:color="000000"/>
              <w:right w:val="single" w:sz="4" w:space="0" w:color="000000"/>
            </w:tcBorders>
            <w:vAlign w:val="center"/>
            <w:hideMark/>
          </w:tcPr>
          <w:p w14:paraId="51B86EA2" w14:textId="77777777" w:rsidR="005B68A3" w:rsidRPr="005B68A3" w:rsidRDefault="005B68A3" w:rsidP="005B68A3">
            <w:pPr>
              <w:ind w:left="83"/>
              <w:rPr>
                <w:sz w:val="22"/>
                <w:szCs w:val="22"/>
              </w:rPr>
            </w:pPr>
            <w:r w:rsidRPr="005B68A3">
              <w:rPr>
                <w:sz w:val="22"/>
                <w:szCs w:val="22"/>
              </w:rPr>
              <w:t>-</w:t>
            </w:r>
          </w:p>
        </w:tc>
        <w:tc>
          <w:tcPr>
            <w:tcW w:w="1238" w:type="dxa"/>
            <w:tcBorders>
              <w:top w:val="single" w:sz="4" w:space="0" w:color="000000"/>
              <w:left w:val="single" w:sz="4" w:space="0" w:color="000000"/>
              <w:bottom w:val="single" w:sz="4" w:space="0" w:color="000000"/>
              <w:right w:val="single" w:sz="4" w:space="0" w:color="000000"/>
            </w:tcBorders>
            <w:vAlign w:val="center"/>
            <w:hideMark/>
          </w:tcPr>
          <w:p w14:paraId="2B792B13" w14:textId="77777777" w:rsidR="005B68A3" w:rsidRPr="005B68A3" w:rsidRDefault="005B68A3" w:rsidP="005B68A3">
            <w:pPr>
              <w:ind w:left="83"/>
              <w:rPr>
                <w:sz w:val="22"/>
                <w:szCs w:val="22"/>
              </w:rPr>
            </w:pPr>
            <w:r w:rsidRPr="005B68A3">
              <w:rPr>
                <w:sz w:val="22"/>
                <w:szCs w:val="22"/>
              </w:rPr>
              <w:t>-</w:t>
            </w:r>
          </w:p>
        </w:tc>
        <w:tc>
          <w:tcPr>
            <w:tcW w:w="1236" w:type="dxa"/>
            <w:tcBorders>
              <w:top w:val="single" w:sz="4" w:space="0" w:color="000000"/>
              <w:left w:val="single" w:sz="4" w:space="0" w:color="000000"/>
              <w:bottom w:val="single" w:sz="4" w:space="0" w:color="000000"/>
              <w:right w:val="single" w:sz="4" w:space="0" w:color="000000"/>
            </w:tcBorders>
            <w:vAlign w:val="center"/>
            <w:hideMark/>
          </w:tcPr>
          <w:p w14:paraId="627632CB" w14:textId="77777777" w:rsidR="005B68A3" w:rsidRPr="005B68A3" w:rsidRDefault="005B68A3" w:rsidP="005B68A3">
            <w:pPr>
              <w:ind w:left="83"/>
              <w:rPr>
                <w:sz w:val="22"/>
                <w:szCs w:val="22"/>
              </w:rPr>
            </w:pPr>
            <w:r w:rsidRPr="005B68A3">
              <w:rPr>
                <w:sz w:val="22"/>
                <w:szCs w:val="22"/>
              </w:rPr>
              <w:t>-</w:t>
            </w:r>
          </w:p>
        </w:tc>
        <w:tc>
          <w:tcPr>
            <w:tcW w:w="1238" w:type="dxa"/>
            <w:tcBorders>
              <w:top w:val="single" w:sz="4" w:space="0" w:color="000000"/>
              <w:left w:val="single" w:sz="4" w:space="0" w:color="000000"/>
              <w:bottom w:val="single" w:sz="4" w:space="0" w:color="000000"/>
              <w:right w:val="single" w:sz="4" w:space="0" w:color="000000"/>
            </w:tcBorders>
            <w:vAlign w:val="center"/>
            <w:hideMark/>
          </w:tcPr>
          <w:p w14:paraId="6B878D1B" w14:textId="77777777" w:rsidR="005B68A3" w:rsidRPr="005B68A3" w:rsidRDefault="005B68A3" w:rsidP="005B68A3">
            <w:pPr>
              <w:ind w:left="83"/>
              <w:rPr>
                <w:sz w:val="22"/>
                <w:szCs w:val="22"/>
              </w:rPr>
            </w:pPr>
            <w:r w:rsidRPr="005B68A3">
              <w:rPr>
                <w:sz w:val="22"/>
                <w:szCs w:val="22"/>
              </w:rPr>
              <w:t>-</w:t>
            </w:r>
          </w:p>
        </w:tc>
        <w:tc>
          <w:tcPr>
            <w:tcW w:w="1238" w:type="dxa"/>
            <w:tcBorders>
              <w:top w:val="single" w:sz="4" w:space="0" w:color="000000"/>
              <w:left w:val="single" w:sz="4" w:space="0" w:color="000000"/>
              <w:bottom w:val="single" w:sz="4" w:space="0" w:color="000000"/>
              <w:right w:val="single" w:sz="4" w:space="0" w:color="000000"/>
            </w:tcBorders>
            <w:vAlign w:val="center"/>
            <w:hideMark/>
          </w:tcPr>
          <w:p w14:paraId="4A3D2C36" w14:textId="77777777" w:rsidR="005B68A3" w:rsidRPr="005B68A3" w:rsidRDefault="005B68A3" w:rsidP="005B68A3">
            <w:pPr>
              <w:ind w:left="83"/>
              <w:rPr>
                <w:sz w:val="22"/>
                <w:szCs w:val="22"/>
              </w:rPr>
            </w:pPr>
            <w:r w:rsidRPr="005B68A3">
              <w:rPr>
                <w:sz w:val="22"/>
                <w:szCs w:val="22"/>
              </w:rPr>
              <w:t>-</w:t>
            </w:r>
          </w:p>
        </w:tc>
      </w:tr>
      <w:tr w:rsidR="005B68A3" w:rsidRPr="005B68A3" w14:paraId="56326DC7" w14:textId="77777777" w:rsidTr="004B6B18">
        <w:trPr>
          <w:cantSplit/>
          <w:trHeight w:val="23"/>
        </w:trPr>
        <w:tc>
          <w:tcPr>
            <w:tcW w:w="1646" w:type="dxa"/>
            <w:tcBorders>
              <w:top w:val="single" w:sz="4" w:space="0" w:color="000000"/>
              <w:left w:val="single" w:sz="4" w:space="0" w:color="000000"/>
              <w:bottom w:val="single" w:sz="4" w:space="0" w:color="000000"/>
              <w:right w:val="single" w:sz="4" w:space="0" w:color="000000"/>
            </w:tcBorders>
            <w:vAlign w:val="center"/>
            <w:hideMark/>
          </w:tcPr>
          <w:p w14:paraId="5315096B" w14:textId="77777777" w:rsidR="005B68A3" w:rsidRPr="005B68A3" w:rsidRDefault="005B68A3" w:rsidP="005B68A3">
            <w:pPr>
              <w:ind w:left="32"/>
              <w:rPr>
                <w:b/>
                <w:sz w:val="22"/>
                <w:szCs w:val="22"/>
              </w:rPr>
            </w:pPr>
            <w:r w:rsidRPr="005B68A3">
              <w:rPr>
                <w:b/>
                <w:sz w:val="22"/>
                <w:szCs w:val="22"/>
              </w:rPr>
              <w:t>10</w:t>
            </w:r>
          </w:p>
        </w:tc>
        <w:tc>
          <w:tcPr>
            <w:tcW w:w="1236" w:type="dxa"/>
            <w:tcBorders>
              <w:top w:val="single" w:sz="4" w:space="0" w:color="000000"/>
              <w:left w:val="single" w:sz="4" w:space="0" w:color="000000"/>
              <w:bottom w:val="single" w:sz="4" w:space="0" w:color="000000"/>
              <w:right w:val="single" w:sz="4" w:space="0" w:color="000000"/>
            </w:tcBorders>
            <w:vAlign w:val="center"/>
            <w:hideMark/>
          </w:tcPr>
          <w:p w14:paraId="6917398A" w14:textId="77777777" w:rsidR="005B68A3" w:rsidRPr="005B68A3" w:rsidRDefault="005B68A3" w:rsidP="005B68A3">
            <w:pPr>
              <w:ind w:left="83"/>
              <w:rPr>
                <w:sz w:val="22"/>
                <w:szCs w:val="22"/>
              </w:rPr>
            </w:pPr>
            <w:r w:rsidRPr="005B68A3">
              <w:rPr>
                <w:sz w:val="22"/>
                <w:szCs w:val="22"/>
              </w:rPr>
              <w:t>5</w:t>
            </w:r>
          </w:p>
        </w:tc>
        <w:tc>
          <w:tcPr>
            <w:tcW w:w="1238" w:type="dxa"/>
            <w:tcBorders>
              <w:top w:val="single" w:sz="4" w:space="0" w:color="000000"/>
              <w:left w:val="single" w:sz="4" w:space="0" w:color="000000"/>
              <w:bottom w:val="single" w:sz="4" w:space="0" w:color="000000"/>
              <w:right w:val="single" w:sz="4" w:space="0" w:color="000000"/>
            </w:tcBorders>
            <w:vAlign w:val="center"/>
            <w:hideMark/>
          </w:tcPr>
          <w:p w14:paraId="3B076403" w14:textId="77777777" w:rsidR="005B68A3" w:rsidRPr="005B68A3" w:rsidRDefault="005B68A3" w:rsidP="005B68A3">
            <w:pPr>
              <w:ind w:left="83"/>
              <w:rPr>
                <w:sz w:val="22"/>
                <w:szCs w:val="22"/>
              </w:rPr>
            </w:pPr>
            <w:r w:rsidRPr="005B68A3">
              <w:rPr>
                <w:sz w:val="22"/>
                <w:szCs w:val="22"/>
              </w:rPr>
              <w:t>-</w:t>
            </w:r>
          </w:p>
        </w:tc>
        <w:tc>
          <w:tcPr>
            <w:tcW w:w="1238" w:type="dxa"/>
            <w:tcBorders>
              <w:top w:val="single" w:sz="4" w:space="0" w:color="000000"/>
              <w:left w:val="single" w:sz="4" w:space="0" w:color="000000"/>
              <w:bottom w:val="single" w:sz="4" w:space="0" w:color="000000"/>
              <w:right w:val="single" w:sz="4" w:space="0" w:color="000000"/>
            </w:tcBorders>
            <w:vAlign w:val="center"/>
            <w:hideMark/>
          </w:tcPr>
          <w:p w14:paraId="25948AC1" w14:textId="77777777" w:rsidR="005B68A3" w:rsidRPr="005B68A3" w:rsidRDefault="005B68A3" w:rsidP="005B68A3">
            <w:pPr>
              <w:ind w:left="83"/>
              <w:rPr>
                <w:sz w:val="22"/>
                <w:szCs w:val="22"/>
              </w:rPr>
            </w:pPr>
            <w:r w:rsidRPr="005B68A3">
              <w:rPr>
                <w:sz w:val="22"/>
                <w:szCs w:val="22"/>
              </w:rPr>
              <w:t>5</w:t>
            </w:r>
          </w:p>
        </w:tc>
        <w:tc>
          <w:tcPr>
            <w:tcW w:w="1236" w:type="dxa"/>
            <w:tcBorders>
              <w:top w:val="single" w:sz="4" w:space="0" w:color="000000"/>
              <w:left w:val="single" w:sz="4" w:space="0" w:color="000000"/>
              <w:bottom w:val="single" w:sz="4" w:space="0" w:color="000000"/>
              <w:right w:val="single" w:sz="4" w:space="0" w:color="000000"/>
            </w:tcBorders>
            <w:vAlign w:val="center"/>
            <w:hideMark/>
          </w:tcPr>
          <w:p w14:paraId="4E9BC26A" w14:textId="77777777" w:rsidR="005B68A3" w:rsidRPr="005B68A3" w:rsidRDefault="005B68A3" w:rsidP="005B68A3">
            <w:pPr>
              <w:ind w:left="83"/>
              <w:rPr>
                <w:sz w:val="22"/>
                <w:szCs w:val="22"/>
              </w:rPr>
            </w:pPr>
            <w:r w:rsidRPr="005B68A3">
              <w:rPr>
                <w:sz w:val="22"/>
                <w:szCs w:val="22"/>
              </w:rPr>
              <w:t>-</w:t>
            </w:r>
          </w:p>
        </w:tc>
        <w:tc>
          <w:tcPr>
            <w:tcW w:w="1238" w:type="dxa"/>
            <w:tcBorders>
              <w:top w:val="single" w:sz="4" w:space="0" w:color="000000"/>
              <w:left w:val="single" w:sz="4" w:space="0" w:color="000000"/>
              <w:bottom w:val="single" w:sz="4" w:space="0" w:color="000000"/>
              <w:right w:val="single" w:sz="4" w:space="0" w:color="000000"/>
            </w:tcBorders>
            <w:vAlign w:val="center"/>
            <w:hideMark/>
          </w:tcPr>
          <w:p w14:paraId="487E2E1B" w14:textId="77777777" w:rsidR="005B68A3" w:rsidRPr="005B68A3" w:rsidRDefault="005B68A3" w:rsidP="005B68A3">
            <w:pPr>
              <w:ind w:left="83"/>
              <w:rPr>
                <w:sz w:val="22"/>
                <w:szCs w:val="22"/>
              </w:rPr>
            </w:pPr>
            <w:r w:rsidRPr="005B68A3">
              <w:rPr>
                <w:sz w:val="22"/>
                <w:szCs w:val="22"/>
              </w:rPr>
              <w:t>-</w:t>
            </w:r>
          </w:p>
        </w:tc>
        <w:tc>
          <w:tcPr>
            <w:tcW w:w="1238" w:type="dxa"/>
            <w:tcBorders>
              <w:top w:val="single" w:sz="4" w:space="0" w:color="000000"/>
              <w:left w:val="single" w:sz="4" w:space="0" w:color="000000"/>
              <w:bottom w:val="single" w:sz="4" w:space="0" w:color="000000"/>
              <w:right w:val="single" w:sz="4" w:space="0" w:color="000000"/>
            </w:tcBorders>
            <w:vAlign w:val="center"/>
            <w:hideMark/>
          </w:tcPr>
          <w:p w14:paraId="2BBB943B" w14:textId="77777777" w:rsidR="005B68A3" w:rsidRPr="005B68A3" w:rsidRDefault="005B68A3" w:rsidP="005B68A3">
            <w:pPr>
              <w:ind w:left="83"/>
              <w:rPr>
                <w:sz w:val="22"/>
                <w:szCs w:val="22"/>
              </w:rPr>
            </w:pPr>
            <w:r w:rsidRPr="005B68A3">
              <w:rPr>
                <w:sz w:val="22"/>
                <w:szCs w:val="22"/>
              </w:rPr>
              <w:t>-</w:t>
            </w:r>
          </w:p>
        </w:tc>
      </w:tr>
      <w:tr w:rsidR="005B68A3" w:rsidRPr="005B68A3" w14:paraId="71C8B188" w14:textId="77777777" w:rsidTr="004B6B18">
        <w:trPr>
          <w:cantSplit/>
          <w:trHeight w:val="23"/>
        </w:trPr>
        <w:tc>
          <w:tcPr>
            <w:tcW w:w="1646" w:type="dxa"/>
            <w:tcBorders>
              <w:top w:val="single" w:sz="4" w:space="0" w:color="000000"/>
              <w:left w:val="single" w:sz="4" w:space="0" w:color="000000"/>
              <w:bottom w:val="single" w:sz="4" w:space="0" w:color="000000"/>
              <w:right w:val="single" w:sz="4" w:space="0" w:color="000000"/>
            </w:tcBorders>
            <w:vAlign w:val="center"/>
            <w:hideMark/>
          </w:tcPr>
          <w:p w14:paraId="67AA5D08" w14:textId="77777777" w:rsidR="005B68A3" w:rsidRPr="005B68A3" w:rsidRDefault="005B68A3" w:rsidP="005B68A3">
            <w:pPr>
              <w:ind w:left="32"/>
              <w:rPr>
                <w:b/>
                <w:sz w:val="22"/>
                <w:szCs w:val="22"/>
              </w:rPr>
            </w:pPr>
            <w:r w:rsidRPr="005B68A3">
              <w:rPr>
                <w:b/>
                <w:sz w:val="22"/>
                <w:szCs w:val="22"/>
              </w:rPr>
              <w:t>15</w:t>
            </w:r>
          </w:p>
        </w:tc>
        <w:tc>
          <w:tcPr>
            <w:tcW w:w="1236" w:type="dxa"/>
            <w:tcBorders>
              <w:top w:val="single" w:sz="4" w:space="0" w:color="000000"/>
              <w:left w:val="single" w:sz="4" w:space="0" w:color="000000"/>
              <w:bottom w:val="single" w:sz="4" w:space="0" w:color="000000"/>
              <w:right w:val="single" w:sz="4" w:space="0" w:color="000000"/>
            </w:tcBorders>
            <w:vAlign w:val="center"/>
            <w:hideMark/>
          </w:tcPr>
          <w:p w14:paraId="0DBFF1C6" w14:textId="77777777" w:rsidR="005B68A3" w:rsidRPr="005B68A3" w:rsidRDefault="005B68A3" w:rsidP="005B68A3">
            <w:pPr>
              <w:ind w:left="83"/>
              <w:rPr>
                <w:sz w:val="22"/>
                <w:szCs w:val="22"/>
              </w:rPr>
            </w:pPr>
            <w:r w:rsidRPr="005B68A3">
              <w:rPr>
                <w:sz w:val="22"/>
                <w:szCs w:val="22"/>
              </w:rPr>
              <w:t>5</w:t>
            </w:r>
          </w:p>
        </w:tc>
        <w:tc>
          <w:tcPr>
            <w:tcW w:w="1238" w:type="dxa"/>
            <w:tcBorders>
              <w:top w:val="single" w:sz="4" w:space="0" w:color="000000"/>
              <w:left w:val="single" w:sz="4" w:space="0" w:color="000000"/>
              <w:bottom w:val="single" w:sz="4" w:space="0" w:color="000000"/>
              <w:right w:val="single" w:sz="4" w:space="0" w:color="000000"/>
            </w:tcBorders>
            <w:vAlign w:val="center"/>
            <w:hideMark/>
          </w:tcPr>
          <w:p w14:paraId="17AAE1B2" w14:textId="77777777" w:rsidR="005B68A3" w:rsidRPr="005B68A3" w:rsidRDefault="005B68A3" w:rsidP="005B68A3">
            <w:pPr>
              <w:ind w:left="83"/>
              <w:rPr>
                <w:sz w:val="22"/>
                <w:szCs w:val="22"/>
              </w:rPr>
            </w:pPr>
            <w:r w:rsidRPr="005B68A3">
              <w:rPr>
                <w:sz w:val="22"/>
                <w:szCs w:val="22"/>
              </w:rPr>
              <w:t>-</w:t>
            </w:r>
          </w:p>
        </w:tc>
        <w:tc>
          <w:tcPr>
            <w:tcW w:w="1238" w:type="dxa"/>
            <w:tcBorders>
              <w:top w:val="single" w:sz="4" w:space="0" w:color="000000"/>
              <w:left w:val="single" w:sz="4" w:space="0" w:color="000000"/>
              <w:bottom w:val="single" w:sz="4" w:space="0" w:color="000000"/>
              <w:right w:val="single" w:sz="4" w:space="0" w:color="000000"/>
            </w:tcBorders>
            <w:vAlign w:val="center"/>
            <w:hideMark/>
          </w:tcPr>
          <w:p w14:paraId="11A115F3" w14:textId="77777777" w:rsidR="005B68A3" w:rsidRPr="005B68A3" w:rsidRDefault="005B68A3" w:rsidP="005B68A3">
            <w:pPr>
              <w:ind w:left="83"/>
              <w:rPr>
                <w:sz w:val="22"/>
                <w:szCs w:val="22"/>
              </w:rPr>
            </w:pPr>
            <w:r w:rsidRPr="005B68A3">
              <w:rPr>
                <w:sz w:val="22"/>
                <w:szCs w:val="22"/>
              </w:rPr>
              <w:t>5</w:t>
            </w:r>
          </w:p>
        </w:tc>
        <w:tc>
          <w:tcPr>
            <w:tcW w:w="1236" w:type="dxa"/>
            <w:tcBorders>
              <w:top w:val="single" w:sz="4" w:space="0" w:color="000000"/>
              <w:left w:val="single" w:sz="4" w:space="0" w:color="000000"/>
              <w:bottom w:val="single" w:sz="4" w:space="0" w:color="000000"/>
              <w:right w:val="single" w:sz="4" w:space="0" w:color="000000"/>
            </w:tcBorders>
            <w:vAlign w:val="center"/>
            <w:hideMark/>
          </w:tcPr>
          <w:p w14:paraId="6BD3CC2A" w14:textId="77777777" w:rsidR="005B68A3" w:rsidRPr="005B68A3" w:rsidRDefault="005B68A3" w:rsidP="005B68A3">
            <w:pPr>
              <w:ind w:left="83"/>
              <w:rPr>
                <w:sz w:val="22"/>
                <w:szCs w:val="22"/>
              </w:rPr>
            </w:pPr>
            <w:r w:rsidRPr="005B68A3">
              <w:rPr>
                <w:sz w:val="22"/>
                <w:szCs w:val="22"/>
              </w:rPr>
              <w:t>-</w:t>
            </w:r>
          </w:p>
        </w:tc>
        <w:tc>
          <w:tcPr>
            <w:tcW w:w="1238" w:type="dxa"/>
            <w:tcBorders>
              <w:top w:val="single" w:sz="4" w:space="0" w:color="000000"/>
              <w:left w:val="single" w:sz="4" w:space="0" w:color="000000"/>
              <w:bottom w:val="single" w:sz="4" w:space="0" w:color="000000"/>
              <w:right w:val="single" w:sz="4" w:space="0" w:color="000000"/>
            </w:tcBorders>
            <w:vAlign w:val="center"/>
            <w:hideMark/>
          </w:tcPr>
          <w:p w14:paraId="374C4CA3" w14:textId="77777777" w:rsidR="005B68A3" w:rsidRPr="005B68A3" w:rsidRDefault="005B68A3" w:rsidP="005B68A3">
            <w:pPr>
              <w:ind w:left="83"/>
              <w:rPr>
                <w:sz w:val="22"/>
                <w:szCs w:val="22"/>
              </w:rPr>
            </w:pPr>
            <w:r w:rsidRPr="005B68A3">
              <w:rPr>
                <w:sz w:val="22"/>
                <w:szCs w:val="22"/>
              </w:rPr>
              <w:t>5</w:t>
            </w:r>
          </w:p>
        </w:tc>
        <w:tc>
          <w:tcPr>
            <w:tcW w:w="1238" w:type="dxa"/>
            <w:tcBorders>
              <w:top w:val="single" w:sz="4" w:space="0" w:color="000000"/>
              <w:left w:val="single" w:sz="4" w:space="0" w:color="000000"/>
              <w:bottom w:val="single" w:sz="4" w:space="0" w:color="000000"/>
              <w:right w:val="single" w:sz="4" w:space="0" w:color="000000"/>
            </w:tcBorders>
            <w:vAlign w:val="center"/>
            <w:hideMark/>
          </w:tcPr>
          <w:p w14:paraId="0524D9EB" w14:textId="77777777" w:rsidR="005B68A3" w:rsidRPr="005B68A3" w:rsidRDefault="005B68A3" w:rsidP="005B68A3">
            <w:pPr>
              <w:ind w:left="83"/>
              <w:rPr>
                <w:sz w:val="22"/>
                <w:szCs w:val="22"/>
              </w:rPr>
            </w:pPr>
            <w:r w:rsidRPr="005B68A3">
              <w:rPr>
                <w:sz w:val="22"/>
                <w:szCs w:val="22"/>
              </w:rPr>
              <w:t>-</w:t>
            </w:r>
          </w:p>
        </w:tc>
      </w:tr>
      <w:tr w:rsidR="005B68A3" w:rsidRPr="005B68A3" w14:paraId="33A27F68" w14:textId="77777777" w:rsidTr="004B6B18">
        <w:trPr>
          <w:cantSplit/>
          <w:trHeight w:val="23"/>
        </w:trPr>
        <w:tc>
          <w:tcPr>
            <w:tcW w:w="1646" w:type="dxa"/>
            <w:tcBorders>
              <w:top w:val="single" w:sz="4" w:space="0" w:color="000000"/>
              <w:left w:val="single" w:sz="4" w:space="0" w:color="000000"/>
              <w:bottom w:val="single" w:sz="4" w:space="0" w:color="000000"/>
              <w:right w:val="single" w:sz="4" w:space="0" w:color="000000"/>
            </w:tcBorders>
            <w:vAlign w:val="center"/>
            <w:hideMark/>
          </w:tcPr>
          <w:p w14:paraId="3B4FB235" w14:textId="77777777" w:rsidR="005B68A3" w:rsidRPr="005B68A3" w:rsidRDefault="005B68A3" w:rsidP="005B68A3">
            <w:pPr>
              <w:ind w:left="32"/>
              <w:rPr>
                <w:b/>
                <w:sz w:val="22"/>
                <w:szCs w:val="22"/>
              </w:rPr>
            </w:pPr>
            <w:r w:rsidRPr="005B68A3">
              <w:rPr>
                <w:b/>
                <w:sz w:val="22"/>
                <w:szCs w:val="22"/>
              </w:rPr>
              <w:lastRenderedPageBreak/>
              <w:t>20</w:t>
            </w:r>
          </w:p>
        </w:tc>
        <w:tc>
          <w:tcPr>
            <w:tcW w:w="1236" w:type="dxa"/>
            <w:tcBorders>
              <w:top w:val="single" w:sz="4" w:space="0" w:color="000000"/>
              <w:left w:val="single" w:sz="4" w:space="0" w:color="000000"/>
              <w:bottom w:val="single" w:sz="4" w:space="0" w:color="000000"/>
              <w:right w:val="single" w:sz="4" w:space="0" w:color="000000"/>
            </w:tcBorders>
            <w:vAlign w:val="center"/>
            <w:hideMark/>
          </w:tcPr>
          <w:p w14:paraId="7B746235" w14:textId="77777777" w:rsidR="005B68A3" w:rsidRPr="005B68A3" w:rsidRDefault="005B68A3" w:rsidP="005B68A3">
            <w:pPr>
              <w:ind w:left="83"/>
              <w:rPr>
                <w:sz w:val="22"/>
                <w:szCs w:val="22"/>
              </w:rPr>
            </w:pPr>
            <w:r w:rsidRPr="005B68A3">
              <w:rPr>
                <w:sz w:val="22"/>
                <w:szCs w:val="22"/>
              </w:rPr>
              <w:t>10</w:t>
            </w:r>
          </w:p>
        </w:tc>
        <w:tc>
          <w:tcPr>
            <w:tcW w:w="1238" w:type="dxa"/>
            <w:tcBorders>
              <w:top w:val="single" w:sz="4" w:space="0" w:color="000000"/>
              <w:left w:val="single" w:sz="4" w:space="0" w:color="000000"/>
              <w:bottom w:val="single" w:sz="4" w:space="0" w:color="000000"/>
              <w:right w:val="single" w:sz="4" w:space="0" w:color="000000"/>
            </w:tcBorders>
            <w:vAlign w:val="center"/>
            <w:hideMark/>
          </w:tcPr>
          <w:p w14:paraId="3AE88BFB" w14:textId="77777777" w:rsidR="005B68A3" w:rsidRPr="005B68A3" w:rsidRDefault="005B68A3" w:rsidP="005B68A3">
            <w:pPr>
              <w:ind w:left="83"/>
              <w:rPr>
                <w:sz w:val="22"/>
                <w:szCs w:val="22"/>
              </w:rPr>
            </w:pPr>
            <w:r w:rsidRPr="005B68A3">
              <w:rPr>
                <w:sz w:val="22"/>
                <w:szCs w:val="22"/>
              </w:rPr>
              <w:t>-</w:t>
            </w:r>
          </w:p>
        </w:tc>
        <w:tc>
          <w:tcPr>
            <w:tcW w:w="1238" w:type="dxa"/>
            <w:tcBorders>
              <w:top w:val="single" w:sz="4" w:space="0" w:color="000000"/>
              <w:left w:val="single" w:sz="4" w:space="0" w:color="000000"/>
              <w:bottom w:val="single" w:sz="4" w:space="0" w:color="000000"/>
              <w:right w:val="single" w:sz="4" w:space="0" w:color="000000"/>
            </w:tcBorders>
            <w:vAlign w:val="center"/>
            <w:hideMark/>
          </w:tcPr>
          <w:p w14:paraId="064EF86D" w14:textId="77777777" w:rsidR="005B68A3" w:rsidRPr="005B68A3" w:rsidRDefault="005B68A3" w:rsidP="005B68A3">
            <w:pPr>
              <w:ind w:left="83"/>
              <w:rPr>
                <w:sz w:val="22"/>
                <w:szCs w:val="22"/>
              </w:rPr>
            </w:pPr>
            <w:r w:rsidRPr="005B68A3">
              <w:rPr>
                <w:sz w:val="22"/>
                <w:szCs w:val="22"/>
              </w:rPr>
              <w:t>10</w:t>
            </w:r>
          </w:p>
        </w:tc>
        <w:tc>
          <w:tcPr>
            <w:tcW w:w="1236" w:type="dxa"/>
            <w:tcBorders>
              <w:top w:val="single" w:sz="4" w:space="0" w:color="000000"/>
              <w:left w:val="single" w:sz="4" w:space="0" w:color="000000"/>
              <w:bottom w:val="single" w:sz="4" w:space="0" w:color="000000"/>
              <w:right w:val="single" w:sz="4" w:space="0" w:color="000000"/>
            </w:tcBorders>
            <w:vAlign w:val="center"/>
            <w:hideMark/>
          </w:tcPr>
          <w:p w14:paraId="1E9D11B7" w14:textId="77777777" w:rsidR="005B68A3" w:rsidRPr="005B68A3" w:rsidRDefault="005B68A3" w:rsidP="005B68A3">
            <w:pPr>
              <w:ind w:left="83"/>
              <w:rPr>
                <w:sz w:val="22"/>
                <w:szCs w:val="22"/>
              </w:rPr>
            </w:pPr>
            <w:r w:rsidRPr="005B68A3">
              <w:rPr>
                <w:sz w:val="22"/>
                <w:szCs w:val="22"/>
              </w:rPr>
              <w:t>-</w:t>
            </w:r>
          </w:p>
        </w:tc>
        <w:tc>
          <w:tcPr>
            <w:tcW w:w="1238" w:type="dxa"/>
            <w:tcBorders>
              <w:top w:val="single" w:sz="4" w:space="0" w:color="000000"/>
              <w:left w:val="single" w:sz="4" w:space="0" w:color="000000"/>
              <w:bottom w:val="single" w:sz="4" w:space="0" w:color="000000"/>
              <w:right w:val="single" w:sz="4" w:space="0" w:color="000000"/>
            </w:tcBorders>
            <w:vAlign w:val="center"/>
            <w:hideMark/>
          </w:tcPr>
          <w:p w14:paraId="0ABD6217" w14:textId="77777777" w:rsidR="005B68A3" w:rsidRPr="005B68A3" w:rsidRDefault="005B68A3" w:rsidP="005B68A3">
            <w:pPr>
              <w:ind w:left="83"/>
              <w:rPr>
                <w:sz w:val="22"/>
                <w:szCs w:val="22"/>
              </w:rPr>
            </w:pPr>
            <w:r w:rsidRPr="005B68A3">
              <w:rPr>
                <w:sz w:val="22"/>
                <w:szCs w:val="22"/>
              </w:rPr>
              <w:t>-</w:t>
            </w:r>
          </w:p>
        </w:tc>
        <w:tc>
          <w:tcPr>
            <w:tcW w:w="1238" w:type="dxa"/>
            <w:tcBorders>
              <w:top w:val="single" w:sz="4" w:space="0" w:color="000000"/>
              <w:left w:val="single" w:sz="4" w:space="0" w:color="000000"/>
              <w:bottom w:val="single" w:sz="4" w:space="0" w:color="000000"/>
              <w:right w:val="single" w:sz="4" w:space="0" w:color="000000"/>
            </w:tcBorders>
            <w:vAlign w:val="center"/>
            <w:hideMark/>
          </w:tcPr>
          <w:p w14:paraId="1E68C035" w14:textId="77777777" w:rsidR="005B68A3" w:rsidRPr="005B68A3" w:rsidRDefault="005B68A3" w:rsidP="005B68A3">
            <w:pPr>
              <w:ind w:left="83"/>
              <w:rPr>
                <w:sz w:val="22"/>
                <w:szCs w:val="22"/>
              </w:rPr>
            </w:pPr>
            <w:r w:rsidRPr="005B68A3">
              <w:rPr>
                <w:sz w:val="22"/>
                <w:szCs w:val="22"/>
              </w:rPr>
              <w:t>-</w:t>
            </w:r>
          </w:p>
        </w:tc>
      </w:tr>
      <w:tr w:rsidR="005B68A3" w:rsidRPr="005B68A3" w14:paraId="46667034" w14:textId="77777777" w:rsidTr="004B6B18">
        <w:trPr>
          <w:cantSplit/>
          <w:trHeight w:val="23"/>
        </w:trPr>
        <w:tc>
          <w:tcPr>
            <w:tcW w:w="1646" w:type="dxa"/>
            <w:tcBorders>
              <w:top w:val="single" w:sz="4" w:space="0" w:color="000000"/>
              <w:left w:val="single" w:sz="4" w:space="0" w:color="000000"/>
              <w:bottom w:val="single" w:sz="4" w:space="0" w:color="000000"/>
              <w:right w:val="single" w:sz="4" w:space="0" w:color="000000"/>
            </w:tcBorders>
            <w:vAlign w:val="center"/>
            <w:hideMark/>
          </w:tcPr>
          <w:p w14:paraId="7BFE7D90" w14:textId="77777777" w:rsidR="005B68A3" w:rsidRPr="005B68A3" w:rsidRDefault="005B68A3" w:rsidP="005B68A3">
            <w:pPr>
              <w:ind w:left="32"/>
              <w:rPr>
                <w:b/>
                <w:sz w:val="22"/>
                <w:szCs w:val="22"/>
              </w:rPr>
            </w:pPr>
            <w:r w:rsidRPr="005B68A3">
              <w:rPr>
                <w:b/>
                <w:sz w:val="22"/>
                <w:szCs w:val="22"/>
              </w:rPr>
              <w:t>30</w:t>
            </w:r>
          </w:p>
        </w:tc>
        <w:tc>
          <w:tcPr>
            <w:tcW w:w="1236" w:type="dxa"/>
            <w:tcBorders>
              <w:top w:val="single" w:sz="4" w:space="0" w:color="000000"/>
              <w:left w:val="single" w:sz="4" w:space="0" w:color="000000"/>
              <w:bottom w:val="single" w:sz="4" w:space="0" w:color="000000"/>
              <w:right w:val="single" w:sz="4" w:space="0" w:color="000000"/>
            </w:tcBorders>
            <w:vAlign w:val="center"/>
            <w:hideMark/>
          </w:tcPr>
          <w:p w14:paraId="6D23F3C6" w14:textId="77777777" w:rsidR="005B68A3" w:rsidRPr="005B68A3" w:rsidRDefault="005B68A3" w:rsidP="005B68A3">
            <w:pPr>
              <w:ind w:left="83"/>
              <w:rPr>
                <w:sz w:val="22"/>
                <w:szCs w:val="22"/>
              </w:rPr>
            </w:pPr>
            <w:r w:rsidRPr="005B68A3">
              <w:rPr>
                <w:sz w:val="22"/>
                <w:szCs w:val="22"/>
              </w:rPr>
              <w:t>10</w:t>
            </w:r>
          </w:p>
        </w:tc>
        <w:tc>
          <w:tcPr>
            <w:tcW w:w="1238" w:type="dxa"/>
            <w:tcBorders>
              <w:top w:val="single" w:sz="4" w:space="0" w:color="000000"/>
              <w:left w:val="single" w:sz="4" w:space="0" w:color="000000"/>
              <w:bottom w:val="single" w:sz="4" w:space="0" w:color="000000"/>
              <w:right w:val="single" w:sz="4" w:space="0" w:color="000000"/>
            </w:tcBorders>
            <w:vAlign w:val="center"/>
            <w:hideMark/>
          </w:tcPr>
          <w:p w14:paraId="174BD384" w14:textId="77777777" w:rsidR="005B68A3" w:rsidRPr="005B68A3" w:rsidRDefault="005B68A3" w:rsidP="005B68A3">
            <w:pPr>
              <w:ind w:left="83"/>
              <w:rPr>
                <w:sz w:val="22"/>
                <w:szCs w:val="22"/>
              </w:rPr>
            </w:pPr>
            <w:r w:rsidRPr="005B68A3">
              <w:rPr>
                <w:sz w:val="22"/>
                <w:szCs w:val="22"/>
              </w:rPr>
              <w:t>-</w:t>
            </w:r>
          </w:p>
        </w:tc>
        <w:tc>
          <w:tcPr>
            <w:tcW w:w="1238" w:type="dxa"/>
            <w:tcBorders>
              <w:top w:val="single" w:sz="4" w:space="0" w:color="000000"/>
              <w:left w:val="single" w:sz="4" w:space="0" w:color="000000"/>
              <w:bottom w:val="single" w:sz="4" w:space="0" w:color="000000"/>
              <w:right w:val="single" w:sz="4" w:space="0" w:color="000000"/>
            </w:tcBorders>
            <w:vAlign w:val="center"/>
            <w:hideMark/>
          </w:tcPr>
          <w:p w14:paraId="52FE27AC" w14:textId="77777777" w:rsidR="005B68A3" w:rsidRPr="005B68A3" w:rsidRDefault="005B68A3" w:rsidP="005B68A3">
            <w:pPr>
              <w:ind w:left="83"/>
              <w:rPr>
                <w:sz w:val="22"/>
                <w:szCs w:val="22"/>
              </w:rPr>
            </w:pPr>
            <w:r w:rsidRPr="005B68A3">
              <w:rPr>
                <w:sz w:val="22"/>
                <w:szCs w:val="22"/>
              </w:rPr>
              <w:t>10</w:t>
            </w:r>
          </w:p>
        </w:tc>
        <w:tc>
          <w:tcPr>
            <w:tcW w:w="1236" w:type="dxa"/>
            <w:tcBorders>
              <w:top w:val="single" w:sz="4" w:space="0" w:color="000000"/>
              <w:left w:val="single" w:sz="4" w:space="0" w:color="000000"/>
              <w:bottom w:val="single" w:sz="4" w:space="0" w:color="000000"/>
              <w:right w:val="single" w:sz="4" w:space="0" w:color="000000"/>
            </w:tcBorders>
            <w:vAlign w:val="center"/>
            <w:hideMark/>
          </w:tcPr>
          <w:p w14:paraId="7B44DE94" w14:textId="77777777" w:rsidR="005B68A3" w:rsidRPr="005B68A3" w:rsidRDefault="005B68A3" w:rsidP="005B68A3">
            <w:pPr>
              <w:ind w:left="83"/>
              <w:rPr>
                <w:sz w:val="22"/>
                <w:szCs w:val="22"/>
              </w:rPr>
            </w:pPr>
            <w:r w:rsidRPr="005B68A3">
              <w:rPr>
                <w:sz w:val="22"/>
                <w:szCs w:val="22"/>
              </w:rPr>
              <w:t>-</w:t>
            </w:r>
          </w:p>
        </w:tc>
        <w:tc>
          <w:tcPr>
            <w:tcW w:w="1238" w:type="dxa"/>
            <w:tcBorders>
              <w:top w:val="single" w:sz="4" w:space="0" w:color="000000"/>
              <w:left w:val="single" w:sz="4" w:space="0" w:color="000000"/>
              <w:bottom w:val="single" w:sz="4" w:space="0" w:color="000000"/>
              <w:right w:val="single" w:sz="4" w:space="0" w:color="000000"/>
            </w:tcBorders>
            <w:vAlign w:val="center"/>
            <w:hideMark/>
          </w:tcPr>
          <w:p w14:paraId="1C1BBF97" w14:textId="77777777" w:rsidR="005B68A3" w:rsidRPr="005B68A3" w:rsidRDefault="005B68A3" w:rsidP="005B68A3">
            <w:pPr>
              <w:ind w:left="83"/>
              <w:rPr>
                <w:sz w:val="22"/>
                <w:szCs w:val="22"/>
              </w:rPr>
            </w:pPr>
            <w:r w:rsidRPr="005B68A3">
              <w:rPr>
                <w:sz w:val="22"/>
                <w:szCs w:val="22"/>
              </w:rPr>
              <w:t>10</w:t>
            </w:r>
          </w:p>
        </w:tc>
        <w:tc>
          <w:tcPr>
            <w:tcW w:w="1238" w:type="dxa"/>
            <w:tcBorders>
              <w:top w:val="single" w:sz="4" w:space="0" w:color="000000"/>
              <w:left w:val="single" w:sz="4" w:space="0" w:color="000000"/>
              <w:bottom w:val="single" w:sz="4" w:space="0" w:color="000000"/>
              <w:right w:val="single" w:sz="4" w:space="0" w:color="000000"/>
            </w:tcBorders>
            <w:vAlign w:val="center"/>
            <w:hideMark/>
          </w:tcPr>
          <w:p w14:paraId="6F91C604" w14:textId="77777777" w:rsidR="005B68A3" w:rsidRPr="005B68A3" w:rsidRDefault="005B68A3" w:rsidP="005B68A3">
            <w:pPr>
              <w:ind w:left="83"/>
              <w:rPr>
                <w:sz w:val="22"/>
                <w:szCs w:val="22"/>
              </w:rPr>
            </w:pPr>
            <w:r w:rsidRPr="005B68A3">
              <w:rPr>
                <w:sz w:val="22"/>
                <w:szCs w:val="22"/>
              </w:rPr>
              <w:t>-</w:t>
            </w:r>
          </w:p>
        </w:tc>
      </w:tr>
    </w:tbl>
    <w:p w14:paraId="62EB5255" w14:textId="77777777" w:rsidR="005B68A3" w:rsidRPr="005B68A3" w:rsidRDefault="005B68A3" w:rsidP="005B68A3">
      <w:pPr>
        <w:tabs>
          <w:tab w:val="left" w:pos="851"/>
        </w:tabs>
        <w:ind w:left="851"/>
        <w:rPr>
          <w:i/>
          <w:sz w:val="24"/>
          <w:szCs w:val="24"/>
        </w:rPr>
      </w:pPr>
    </w:p>
    <w:p w14:paraId="78C25FBE" w14:textId="77777777" w:rsidR="005B68A3" w:rsidRPr="005B68A3" w:rsidRDefault="005B68A3" w:rsidP="004B6B18">
      <w:pPr>
        <w:tabs>
          <w:tab w:val="left" w:pos="851"/>
        </w:tabs>
        <w:ind w:left="142"/>
        <w:rPr>
          <w:i/>
          <w:sz w:val="24"/>
          <w:szCs w:val="24"/>
        </w:rPr>
      </w:pPr>
      <w:r w:rsidRPr="005B68A3">
        <w:rPr>
          <w:i/>
          <w:sz w:val="24"/>
          <w:szCs w:val="24"/>
        </w:rPr>
        <w:t>Tabel 3: Anbefalet doseringsplan for startdoser på 10 mg (unge fra 12 år eller derover, voksne og ældre)</w:t>
      </w:r>
    </w:p>
    <w:p w14:paraId="53DFE632" w14:textId="77777777" w:rsidR="005B68A3" w:rsidRPr="005B68A3" w:rsidRDefault="005B68A3" w:rsidP="005B68A3">
      <w:pPr>
        <w:tabs>
          <w:tab w:val="left" w:pos="851"/>
        </w:tabs>
        <w:ind w:left="851"/>
        <w:rPr>
          <w:i/>
          <w:sz w:val="24"/>
          <w:szCs w:val="24"/>
        </w:rPr>
      </w:pP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1E0" w:firstRow="1" w:lastRow="1" w:firstColumn="1" w:lastColumn="1" w:noHBand="0" w:noVBand="0"/>
      </w:tblPr>
      <w:tblGrid>
        <w:gridCol w:w="1646"/>
        <w:gridCol w:w="1236"/>
        <w:gridCol w:w="1238"/>
        <w:gridCol w:w="1238"/>
        <w:gridCol w:w="1236"/>
        <w:gridCol w:w="1238"/>
        <w:gridCol w:w="1238"/>
      </w:tblGrid>
      <w:tr w:rsidR="005B68A3" w:rsidRPr="005B68A3" w14:paraId="370AC703" w14:textId="77777777" w:rsidTr="005B68A3">
        <w:trPr>
          <w:cantSplit/>
          <w:trHeight w:val="23"/>
        </w:trPr>
        <w:tc>
          <w:tcPr>
            <w:tcW w:w="1646" w:type="dxa"/>
            <w:vMerge w:val="restart"/>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4F8EF4D7" w14:textId="77777777" w:rsidR="005B68A3" w:rsidRPr="005B68A3" w:rsidRDefault="005B68A3" w:rsidP="004B6B18">
            <w:pPr>
              <w:ind w:left="186"/>
              <w:rPr>
                <w:b/>
                <w:sz w:val="24"/>
                <w:szCs w:val="24"/>
              </w:rPr>
            </w:pPr>
            <w:r w:rsidRPr="005B68A3">
              <w:rPr>
                <w:b/>
                <w:sz w:val="24"/>
                <w:szCs w:val="24"/>
              </w:rPr>
              <w:t>Daglig dosis [mg]</w:t>
            </w:r>
          </w:p>
        </w:tc>
        <w:tc>
          <w:tcPr>
            <w:tcW w:w="7424" w:type="dxa"/>
            <w:gridSpan w:val="6"/>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3A53AC6E" w14:textId="77777777" w:rsidR="005B68A3" w:rsidRPr="005B68A3" w:rsidRDefault="005B68A3" w:rsidP="004B6B18">
            <w:pPr>
              <w:ind w:left="95"/>
              <w:rPr>
                <w:b/>
                <w:sz w:val="24"/>
                <w:szCs w:val="24"/>
              </w:rPr>
            </w:pPr>
            <w:r w:rsidRPr="005B68A3">
              <w:rPr>
                <w:b/>
                <w:sz w:val="24"/>
                <w:szCs w:val="24"/>
              </w:rPr>
              <w:t>Administreret dosis pr. indgivelse [mg]</w:t>
            </w:r>
          </w:p>
        </w:tc>
      </w:tr>
      <w:tr w:rsidR="005B68A3" w:rsidRPr="005B68A3" w14:paraId="3BE16B77" w14:textId="77777777" w:rsidTr="005B68A3">
        <w:trPr>
          <w:cantSplit/>
          <w:trHeight w:val="23"/>
        </w:trPr>
        <w:tc>
          <w:tcPr>
            <w:tcW w:w="1646" w:type="dxa"/>
            <w:vMerge/>
            <w:tcBorders>
              <w:top w:val="single" w:sz="4" w:space="0" w:color="000000"/>
              <w:left w:val="single" w:sz="4" w:space="0" w:color="000000"/>
              <w:bottom w:val="single" w:sz="4" w:space="0" w:color="000000"/>
              <w:right w:val="single" w:sz="4" w:space="0" w:color="000000"/>
            </w:tcBorders>
            <w:vAlign w:val="center"/>
            <w:hideMark/>
          </w:tcPr>
          <w:p w14:paraId="338189C5" w14:textId="77777777" w:rsidR="005B68A3" w:rsidRPr="005B68A3" w:rsidRDefault="005B68A3" w:rsidP="004B6B18">
            <w:pPr>
              <w:ind w:left="186"/>
              <w:rPr>
                <w:b/>
                <w:sz w:val="24"/>
                <w:szCs w:val="24"/>
              </w:rPr>
            </w:pPr>
          </w:p>
        </w:tc>
        <w:tc>
          <w:tcPr>
            <w:tcW w:w="1236"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0B8F0F94" w14:textId="77777777" w:rsidR="005B68A3" w:rsidRPr="005B68A3" w:rsidRDefault="005B68A3" w:rsidP="004B6B18">
            <w:pPr>
              <w:ind w:left="95"/>
              <w:rPr>
                <w:b/>
                <w:sz w:val="24"/>
                <w:szCs w:val="24"/>
              </w:rPr>
            </w:pPr>
            <w:r w:rsidRPr="005B68A3">
              <w:rPr>
                <w:b/>
                <w:sz w:val="24"/>
                <w:szCs w:val="24"/>
              </w:rPr>
              <w:t>RIK 1</w:t>
            </w:r>
          </w:p>
        </w:tc>
        <w:tc>
          <w:tcPr>
            <w:tcW w:w="1238"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0A555F69" w14:textId="77777777" w:rsidR="005B68A3" w:rsidRPr="005B68A3" w:rsidRDefault="005B68A3" w:rsidP="004B6B18">
            <w:pPr>
              <w:ind w:left="95"/>
              <w:rPr>
                <w:b/>
                <w:sz w:val="24"/>
                <w:szCs w:val="24"/>
              </w:rPr>
            </w:pPr>
            <w:r w:rsidRPr="005B68A3">
              <w:rPr>
                <w:b/>
                <w:sz w:val="24"/>
                <w:szCs w:val="24"/>
              </w:rPr>
              <w:t>RIK 2</w:t>
            </w:r>
          </w:p>
        </w:tc>
        <w:tc>
          <w:tcPr>
            <w:tcW w:w="1238"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0839ECEE" w14:textId="77777777" w:rsidR="005B68A3" w:rsidRPr="005B68A3" w:rsidRDefault="005B68A3" w:rsidP="004B6B18">
            <w:pPr>
              <w:ind w:left="95"/>
              <w:rPr>
                <w:b/>
                <w:sz w:val="24"/>
                <w:szCs w:val="24"/>
              </w:rPr>
            </w:pPr>
            <w:r w:rsidRPr="005B68A3">
              <w:rPr>
                <w:b/>
                <w:sz w:val="24"/>
                <w:szCs w:val="24"/>
              </w:rPr>
              <w:t>RIK 3</w:t>
            </w:r>
          </w:p>
        </w:tc>
        <w:tc>
          <w:tcPr>
            <w:tcW w:w="1236"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31431943" w14:textId="77777777" w:rsidR="005B68A3" w:rsidRPr="005B68A3" w:rsidRDefault="005B68A3" w:rsidP="004B6B18">
            <w:pPr>
              <w:ind w:left="95"/>
              <w:rPr>
                <w:b/>
                <w:sz w:val="24"/>
                <w:szCs w:val="24"/>
              </w:rPr>
            </w:pPr>
            <w:r w:rsidRPr="005B68A3">
              <w:rPr>
                <w:b/>
                <w:sz w:val="24"/>
                <w:szCs w:val="24"/>
              </w:rPr>
              <w:t>RIK 4</w:t>
            </w:r>
          </w:p>
        </w:tc>
        <w:tc>
          <w:tcPr>
            <w:tcW w:w="1238"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762CFF05" w14:textId="77777777" w:rsidR="005B68A3" w:rsidRPr="005B68A3" w:rsidRDefault="005B68A3" w:rsidP="004B6B18">
            <w:pPr>
              <w:ind w:left="95"/>
              <w:rPr>
                <w:b/>
                <w:sz w:val="24"/>
                <w:szCs w:val="24"/>
              </w:rPr>
            </w:pPr>
            <w:r w:rsidRPr="005B68A3">
              <w:rPr>
                <w:b/>
                <w:sz w:val="24"/>
                <w:szCs w:val="24"/>
              </w:rPr>
              <w:t>RIK 5</w:t>
            </w:r>
          </w:p>
        </w:tc>
        <w:tc>
          <w:tcPr>
            <w:tcW w:w="1238"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3740614C" w14:textId="77777777" w:rsidR="005B68A3" w:rsidRPr="005B68A3" w:rsidRDefault="005B68A3" w:rsidP="004B6B18">
            <w:pPr>
              <w:ind w:left="95"/>
              <w:rPr>
                <w:b/>
                <w:sz w:val="24"/>
                <w:szCs w:val="24"/>
              </w:rPr>
            </w:pPr>
            <w:r w:rsidRPr="005B68A3">
              <w:rPr>
                <w:b/>
                <w:sz w:val="24"/>
                <w:szCs w:val="24"/>
              </w:rPr>
              <w:t>RIK 6</w:t>
            </w:r>
          </w:p>
        </w:tc>
      </w:tr>
      <w:tr w:rsidR="005B68A3" w:rsidRPr="005B68A3" w14:paraId="4C91472F" w14:textId="77777777" w:rsidTr="005B68A3">
        <w:trPr>
          <w:cantSplit/>
          <w:trHeight w:val="23"/>
        </w:trPr>
        <w:tc>
          <w:tcPr>
            <w:tcW w:w="1646" w:type="dxa"/>
            <w:tcBorders>
              <w:top w:val="single" w:sz="4" w:space="0" w:color="000000"/>
              <w:left w:val="single" w:sz="4" w:space="0" w:color="000000"/>
              <w:bottom w:val="single" w:sz="4" w:space="0" w:color="000000"/>
              <w:right w:val="single" w:sz="4" w:space="0" w:color="000000"/>
            </w:tcBorders>
            <w:vAlign w:val="center"/>
            <w:hideMark/>
          </w:tcPr>
          <w:p w14:paraId="51E47950" w14:textId="77777777" w:rsidR="005B68A3" w:rsidRPr="005B68A3" w:rsidRDefault="005B68A3" w:rsidP="004B6B18">
            <w:pPr>
              <w:ind w:left="186"/>
              <w:rPr>
                <w:b/>
                <w:sz w:val="24"/>
                <w:szCs w:val="24"/>
              </w:rPr>
            </w:pPr>
            <w:r w:rsidRPr="005B68A3">
              <w:rPr>
                <w:b/>
                <w:sz w:val="24"/>
                <w:szCs w:val="24"/>
              </w:rPr>
              <w:t>10</w:t>
            </w:r>
          </w:p>
        </w:tc>
        <w:tc>
          <w:tcPr>
            <w:tcW w:w="1236" w:type="dxa"/>
            <w:tcBorders>
              <w:top w:val="single" w:sz="4" w:space="0" w:color="000000"/>
              <w:left w:val="single" w:sz="4" w:space="0" w:color="000000"/>
              <w:bottom w:val="single" w:sz="4" w:space="0" w:color="000000"/>
              <w:right w:val="single" w:sz="4" w:space="0" w:color="000000"/>
            </w:tcBorders>
            <w:vAlign w:val="center"/>
            <w:hideMark/>
          </w:tcPr>
          <w:p w14:paraId="450EDE09" w14:textId="77777777" w:rsidR="005B68A3" w:rsidRPr="005B68A3" w:rsidRDefault="005B68A3" w:rsidP="004B6B18">
            <w:pPr>
              <w:ind w:left="95"/>
              <w:rPr>
                <w:sz w:val="24"/>
                <w:szCs w:val="24"/>
              </w:rPr>
            </w:pPr>
            <w:r w:rsidRPr="005B68A3">
              <w:rPr>
                <w:sz w:val="24"/>
                <w:szCs w:val="24"/>
              </w:rPr>
              <w:t>5</w:t>
            </w:r>
          </w:p>
        </w:tc>
        <w:tc>
          <w:tcPr>
            <w:tcW w:w="1238" w:type="dxa"/>
            <w:tcBorders>
              <w:top w:val="single" w:sz="4" w:space="0" w:color="000000"/>
              <w:left w:val="single" w:sz="4" w:space="0" w:color="000000"/>
              <w:bottom w:val="single" w:sz="4" w:space="0" w:color="000000"/>
              <w:right w:val="single" w:sz="4" w:space="0" w:color="000000"/>
            </w:tcBorders>
            <w:vAlign w:val="center"/>
            <w:hideMark/>
          </w:tcPr>
          <w:p w14:paraId="6668CF4A" w14:textId="77777777" w:rsidR="005B68A3" w:rsidRPr="005B68A3" w:rsidRDefault="005B68A3" w:rsidP="004B6B18">
            <w:pPr>
              <w:ind w:left="95"/>
              <w:rPr>
                <w:sz w:val="24"/>
                <w:szCs w:val="24"/>
              </w:rPr>
            </w:pPr>
            <w:r w:rsidRPr="005B68A3">
              <w:rPr>
                <w:sz w:val="24"/>
                <w:szCs w:val="24"/>
              </w:rPr>
              <w:t>-</w:t>
            </w:r>
          </w:p>
        </w:tc>
        <w:tc>
          <w:tcPr>
            <w:tcW w:w="1238" w:type="dxa"/>
            <w:tcBorders>
              <w:top w:val="single" w:sz="4" w:space="0" w:color="000000"/>
              <w:left w:val="single" w:sz="4" w:space="0" w:color="000000"/>
              <w:bottom w:val="single" w:sz="4" w:space="0" w:color="000000"/>
              <w:right w:val="single" w:sz="4" w:space="0" w:color="000000"/>
            </w:tcBorders>
            <w:vAlign w:val="center"/>
            <w:hideMark/>
          </w:tcPr>
          <w:p w14:paraId="5DE549C9" w14:textId="77777777" w:rsidR="005B68A3" w:rsidRPr="005B68A3" w:rsidRDefault="005B68A3" w:rsidP="004B6B18">
            <w:pPr>
              <w:ind w:left="95"/>
              <w:rPr>
                <w:sz w:val="24"/>
                <w:szCs w:val="24"/>
              </w:rPr>
            </w:pPr>
            <w:r w:rsidRPr="005B68A3">
              <w:rPr>
                <w:sz w:val="24"/>
                <w:szCs w:val="24"/>
              </w:rPr>
              <w:t>5</w:t>
            </w:r>
          </w:p>
        </w:tc>
        <w:tc>
          <w:tcPr>
            <w:tcW w:w="1236" w:type="dxa"/>
            <w:tcBorders>
              <w:top w:val="single" w:sz="4" w:space="0" w:color="000000"/>
              <w:left w:val="single" w:sz="4" w:space="0" w:color="000000"/>
              <w:bottom w:val="single" w:sz="4" w:space="0" w:color="000000"/>
              <w:right w:val="single" w:sz="4" w:space="0" w:color="000000"/>
            </w:tcBorders>
            <w:vAlign w:val="center"/>
            <w:hideMark/>
          </w:tcPr>
          <w:p w14:paraId="404C802E" w14:textId="77777777" w:rsidR="005B68A3" w:rsidRPr="005B68A3" w:rsidRDefault="005B68A3" w:rsidP="004B6B18">
            <w:pPr>
              <w:ind w:left="95"/>
              <w:rPr>
                <w:sz w:val="24"/>
                <w:szCs w:val="24"/>
              </w:rPr>
            </w:pPr>
            <w:r w:rsidRPr="005B68A3">
              <w:rPr>
                <w:sz w:val="24"/>
                <w:szCs w:val="24"/>
              </w:rPr>
              <w:t>-</w:t>
            </w:r>
          </w:p>
        </w:tc>
        <w:tc>
          <w:tcPr>
            <w:tcW w:w="1238" w:type="dxa"/>
            <w:tcBorders>
              <w:top w:val="single" w:sz="4" w:space="0" w:color="000000"/>
              <w:left w:val="single" w:sz="4" w:space="0" w:color="000000"/>
              <w:bottom w:val="single" w:sz="4" w:space="0" w:color="000000"/>
              <w:right w:val="single" w:sz="4" w:space="0" w:color="000000"/>
            </w:tcBorders>
            <w:vAlign w:val="center"/>
            <w:hideMark/>
          </w:tcPr>
          <w:p w14:paraId="51DE4E95" w14:textId="77777777" w:rsidR="005B68A3" w:rsidRPr="005B68A3" w:rsidRDefault="005B68A3" w:rsidP="004B6B18">
            <w:pPr>
              <w:ind w:left="95"/>
              <w:rPr>
                <w:sz w:val="24"/>
                <w:szCs w:val="24"/>
              </w:rPr>
            </w:pPr>
            <w:r w:rsidRPr="005B68A3">
              <w:rPr>
                <w:sz w:val="24"/>
                <w:szCs w:val="24"/>
              </w:rPr>
              <w:t>-</w:t>
            </w:r>
          </w:p>
        </w:tc>
        <w:tc>
          <w:tcPr>
            <w:tcW w:w="1238" w:type="dxa"/>
            <w:tcBorders>
              <w:top w:val="single" w:sz="4" w:space="0" w:color="000000"/>
              <w:left w:val="single" w:sz="4" w:space="0" w:color="000000"/>
              <w:bottom w:val="single" w:sz="4" w:space="0" w:color="000000"/>
              <w:right w:val="single" w:sz="4" w:space="0" w:color="000000"/>
            </w:tcBorders>
            <w:vAlign w:val="center"/>
            <w:hideMark/>
          </w:tcPr>
          <w:p w14:paraId="58799D38" w14:textId="77777777" w:rsidR="005B68A3" w:rsidRPr="005B68A3" w:rsidRDefault="005B68A3" w:rsidP="004B6B18">
            <w:pPr>
              <w:ind w:left="95"/>
              <w:rPr>
                <w:sz w:val="24"/>
                <w:szCs w:val="24"/>
              </w:rPr>
            </w:pPr>
            <w:r w:rsidRPr="005B68A3">
              <w:rPr>
                <w:sz w:val="24"/>
                <w:szCs w:val="24"/>
              </w:rPr>
              <w:t>-</w:t>
            </w:r>
          </w:p>
        </w:tc>
      </w:tr>
      <w:tr w:rsidR="005B68A3" w:rsidRPr="005B68A3" w14:paraId="507BDDC8" w14:textId="77777777" w:rsidTr="005B68A3">
        <w:trPr>
          <w:cantSplit/>
          <w:trHeight w:val="23"/>
        </w:trPr>
        <w:tc>
          <w:tcPr>
            <w:tcW w:w="1646" w:type="dxa"/>
            <w:tcBorders>
              <w:top w:val="single" w:sz="4" w:space="0" w:color="000000"/>
              <w:left w:val="single" w:sz="4" w:space="0" w:color="000000"/>
              <w:bottom w:val="single" w:sz="4" w:space="0" w:color="000000"/>
              <w:right w:val="single" w:sz="4" w:space="0" w:color="000000"/>
            </w:tcBorders>
            <w:vAlign w:val="center"/>
            <w:hideMark/>
          </w:tcPr>
          <w:p w14:paraId="7C64A7BE" w14:textId="77777777" w:rsidR="005B68A3" w:rsidRPr="005B68A3" w:rsidRDefault="005B68A3" w:rsidP="004B6B18">
            <w:pPr>
              <w:ind w:left="186"/>
              <w:rPr>
                <w:b/>
                <w:sz w:val="24"/>
                <w:szCs w:val="24"/>
              </w:rPr>
            </w:pPr>
            <w:r w:rsidRPr="005B68A3">
              <w:rPr>
                <w:b/>
                <w:sz w:val="24"/>
                <w:szCs w:val="24"/>
              </w:rPr>
              <w:t>20</w:t>
            </w:r>
          </w:p>
        </w:tc>
        <w:tc>
          <w:tcPr>
            <w:tcW w:w="1236" w:type="dxa"/>
            <w:tcBorders>
              <w:top w:val="single" w:sz="4" w:space="0" w:color="000000"/>
              <w:left w:val="single" w:sz="4" w:space="0" w:color="000000"/>
              <w:bottom w:val="single" w:sz="4" w:space="0" w:color="000000"/>
              <w:right w:val="single" w:sz="4" w:space="0" w:color="000000"/>
            </w:tcBorders>
            <w:vAlign w:val="center"/>
            <w:hideMark/>
          </w:tcPr>
          <w:p w14:paraId="3C8423C7" w14:textId="77777777" w:rsidR="005B68A3" w:rsidRPr="005B68A3" w:rsidRDefault="005B68A3" w:rsidP="004B6B18">
            <w:pPr>
              <w:ind w:left="95"/>
              <w:rPr>
                <w:sz w:val="24"/>
                <w:szCs w:val="24"/>
              </w:rPr>
            </w:pPr>
            <w:r w:rsidRPr="005B68A3">
              <w:rPr>
                <w:sz w:val="24"/>
                <w:szCs w:val="24"/>
              </w:rPr>
              <w:t>10</w:t>
            </w:r>
          </w:p>
        </w:tc>
        <w:tc>
          <w:tcPr>
            <w:tcW w:w="1238" w:type="dxa"/>
            <w:tcBorders>
              <w:top w:val="single" w:sz="4" w:space="0" w:color="000000"/>
              <w:left w:val="single" w:sz="4" w:space="0" w:color="000000"/>
              <w:bottom w:val="single" w:sz="4" w:space="0" w:color="000000"/>
              <w:right w:val="single" w:sz="4" w:space="0" w:color="000000"/>
            </w:tcBorders>
            <w:vAlign w:val="center"/>
            <w:hideMark/>
          </w:tcPr>
          <w:p w14:paraId="345D5798" w14:textId="77777777" w:rsidR="005B68A3" w:rsidRPr="005B68A3" w:rsidRDefault="005B68A3" w:rsidP="004B6B18">
            <w:pPr>
              <w:ind w:left="95"/>
              <w:rPr>
                <w:sz w:val="24"/>
                <w:szCs w:val="24"/>
              </w:rPr>
            </w:pPr>
            <w:r w:rsidRPr="005B68A3">
              <w:rPr>
                <w:sz w:val="24"/>
                <w:szCs w:val="24"/>
              </w:rPr>
              <w:t>-</w:t>
            </w:r>
          </w:p>
        </w:tc>
        <w:tc>
          <w:tcPr>
            <w:tcW w:w="1238" w:type="dxa"/>
            <w:tcBorders>
              <w:top w:val="single" w:sz="4" w:space="0" w:color="000000"/>
              <w:left w:val="single" w:sz="4" w:space="0" w:color="000000"/>
              <w:bottom w:val="single" w:sz="4" w:space="0" w:color="000000"/>
              <w:right w:val="single" w:sz="4" w:space="0" w:color="000000"/>
            </w:tcBorders>
            <w:vAlign w:val="center"/>
            <w:hideMark/>
          </w:tcPr>
          <w:p w14:paraId="7BF634F0" w14:textId="77777777" w:rsidR="005B68A3" w:rsidRPr="005B68A3" w:rsidRDefault="005B68A3" w:rsidP="004B6B18">
            <w:pPr>
              <w:ind w:left="95"/>
              <w:rPr>
                <w:sz w:val="24"/>
                <w:szCs w:val="24"/>
              </w:rPr>
            </w:pPr>
            <w:r w:rsidRPr="005B68A3">
              <w:rPr>
                <w:sz w:val="24"/>
                <w:szCs w:val="24"/>
              </w:rPr>
              <w:t>10</w:t>
            </w:r>
          </w:p>
        </w:tc>
        <w:tc>
          <w:tcPr>
            <w:tcW w:w="1236" w:type="dxa"/>
            <w:tcBorders>
              <w:top w:val="single" w:sz="4" w:space="0" w:color="000000"/>
              <w:left w:val="single" w:sz="4" w:space="0" w:color="000000"/>
              <w:bottom w:val="single" w:sz="4" w:space="0" w:color="000000"/>
              <w:right w:val="single" w:sz="4" w:space="0" w:color="000000"/>
            </w:tcBorders>
            <w:vAlign w:val="center"/>
            <w:hideMark/>
          </w:tcPr>
          <w:p w14:paraId="2F59C969" w14:textId="77777777" w:rsidR="005B68A3" w:rsidRPr="005B68A3" w:rsidRDefault="005B68A3" w:rsidP="004B6B18">
            <w:pPr>
              <w:ind w:left="95"/>
              <w:rPr>
                <w:sz w:val="24"/>
                <w:szCs w:val="24"/>
              </w:rPr>
            </w:pPr>
            <w:r w:rsidRPr="005B68A3">
              <w:rPr>
                <w:sz w:val="24"/>
                <w:szCs w:val="24"/>
              </w:rPr>
              <w:t>-</w:t>
            </w:r>
          </w:p>
        </w:tc>
        <w:tc>
          <w:tcPr>
            <w:tcW w:w="1238" w:type="dxa"/>
            <w:tcBorders>
              <w:top w:val="single" w:sz="4" w:space="0" w:color="000000"/>
              <w:left w:val="single" w:sz="4" w:space="0" w:color="000000"/>
              <w:bottom w:val="single" w:sz="4" w:space="0" w:color="000000"/>
              <w:right w:val="single" w:sz="4" w:space="0" w:color="000000"/>
            </w:tcBorders>
            <w:vAlign w:val="center"/>
            <w:hideMark/>
          </w:tcPr>
          <w:p w14:paraId="22907C1D" w14:textId="77777777" w:rsidR="005B68A3" w:rsidRPr="005B68A3" w:rsidRDefault="005B68A3" w:rsidP="004B6B18">
            <w:pPr>
              <w:ind w:left="95"/>
              <w:rPr>
                <w:sz w:val="24"/>
                <w:szCs w:val="24"/>
              </w:rPr>
            </w:pPr>
            <w:r w:rsidRPr="005B68A3">
              <w:rPr>
                <w:sz w:val="24"/>
                <w:szCs w:val="24"/>
              </w:rPr>
              <w:t>-</w:t>
            </w:r>
          </w:p>
        </w:tc>
        <w:tc>
          <w:tcPr>
            <w:tcW w:w="1238" w:type="dxa"/>
            <w:tcBorders>
              <w:top w:val="single" w:sz="4" w:space="0" w:color="000000"/>
              <w:left w:val="single" w:sz="4" w:space="0" w:color="000000"/>
              <w:bottom w:val="single" w:sz="4" w:space="0" w:color="000000"/>
              <w:right w:val="single" w:sz="4" w:space="0" w:color="000000"/>
            </w:tcBorders>
            <w:vAlign w:val="center"/>
            <w:hideMark/>
          </w:tcPr>
          <w:p w14:paraId="1BF63C81" w14:textId="77777777" w:rsidR="005B68A3" w:rsidRPr="005B68A3" w:rsidRDefault="005B68A3" w:rsidP="004B6B18">
            <w:pPr>
              <w:ind w:left="95"/>
              <w:rPr>
                <w:sz w:val="24"/>
                <w:szCs w:val="24"/>
              </w:rPr>
            </w:pPr>
            <w:r w:rsidRPr="005B68A3">
              <w:rPr>
                <w:sz w:val="24"/>
                <w:szCs w:val="24"/>
              </w:rPr>
              <w:t>-</w:t>
            </w:r>
          </w:p>
        </w:tc>
      </w:tr>
      <w:tr w:rsidR="005B68A3" w:rsidRPr="005B68A3" w14:paraId="600CD1AA" w14:textId="77777777" w:rsidTr="005B68A3">
        <w:trPr>
          <w:cantSplit/>
          <w:trHeight w:val="23"/>
        </w:trPr>
        <w:tc>
          <w:tcPr>
            <w:tcW w:w="1646" w:type="dxa"/>
            <w:tcBorders>
              <w:top w:val="single" w:sz="4" w:space="0" w:color="000000"/>
              <w:left w:val="single" w:sz="4" w:space="0" w:color="000000"/>
              <w:bottom w:val="single" w:sz="4" w:space="0" w:color="000000"/>
              <w:right w:val="single" w:sz="4" w:space="0" w:color="000000"/>
            </w:tcBorders>
            <w:vAlign w:val="center"/>
            <w:hideMark/>
          </w:tcPr>
          <w:p w14:paraId="3AF80EFC" w14:textId="77777777" w:rsidR="005B68A3" w:rsidRPr="005B68A3" w:rsidRDefault="005B68A3" w:rsidP="004B6B18">
            <w:pPr>
              <w:ind w:left="186"/>
              <w:rPr>
                <w:b/>
                <w:sz w:val="24"/>
                <w:szCs w:val="24"/>
              </w:rPr>
            </w:pPr>
            <w:r w:rsidRPr="005B68A3">
              <w:rPr>
                <w:b/>
                <w:sz w:val="24"/>
                <w:szCs w:val="24"/>
              </w:rPr>
              <w:t>30</w:t>
            </w:r>
          </w:p>
        </w:tc>
        <w:tc>
          <w:tcPr>
            <w:tcW w:w="1236" w:type="dxa"/>
            <w:tcBorders>
              <w:top w:val="single" w:sz="4" w:space="0" w:color="000000"/>
              <w:left w:val="single" w:sz="4" w:space="0" w:color="000000"/>
              <w:bottom w:val="single" w:sz="4" w:space="0" w:color="000000"/>
              <w:right w:val="single" w:sz="4" w:space="0" w:color="000000"/>
            </w:tcBorders>
            <w:vAlign w:val="center"/>
            <w:hideMark/>
          </w:tcPr>
          <w:p w14:paraId="59639E68" w14:textId="77777777" w:rsidR="005B68A3" w:rsidRPr="005B68A3" w:rsidRDefault="005B68A3" w:rsidP="004B6B18">
            <w:pPr>
              <w:ind w:left="95"/>
              <w:rPr>
                <w:sz w:val="24"/>
                <w:szCs w:val="24"/>
              </w:rPr>
            </w:pPr>
            <w:r w:rsidRPr="005B68A3">
              <w:rPr>
                <w:sz w:val="24"/>
                <w:szCs w:val="24"/>
              </w:rPr>
              <w:t>10</w:t>
            </w:r>
          </w:p>
        </w:tc>
        <w:tc>
          <w:tcPr>
            <w:tcW w:w="1238" w:type="dxa"/>
            <w:tcBorders>
              <w:top w:val="single" w:sz="4" w:space="0" w:color="000000"/>
              <w:left w:val="single" w:sz="4" w:space="0" w:color="000000"/>
              <w:bottom w:val="single" w:sz="4" w:space="0" w:color="000000"/>
              <w:right w:val="single" w:sz="4" w:space="0" w:color="000000"/>
            </w:tcBorders>
            <w:vAlign w:val="center"/>
            <w:hideMark/>
          </w:tcPr>
          <w:p w14:paraId="5DC0D2D9" w14:textId="77777777" w:rsidR="005B68A3" w:rsidRPr="005B68A3" w:rsidRDefault="005B68A3" w:rsidP="004B6B18">
            <w:pPr>
              <w:ind w:left="95"/>
              <w:rPr>
                <w:sz w:val="24"/>
                <w:szCs w:val="24"/>
              </w:rPr>
            </w:pPr>
            <w:r w:rsidRPr="005B68A3">
              <w:rPr>
                <w:sz w:val="24"/>
                <w:szCs w:val="24"/>
              </w:rPr>
              <w:t>-</w:t>
            </w:r>
          </w:p>
        </w:tc>
        <w:tc>
          <w:tcPr>
            <w:tcW w:w="1238" w:type="dxa"/>
            <w:tcBorders>
              <w:top w:val="single" w:sz="4" w:space="0" w:color="000000"/>
              <w:left w:val="single" w:sz="4" w:space="0" w:color="000000"/>
              <w:bottom w:val="single" w:sz="4" w:space="0" w:color="000000"/>
              <w:right w:val="single" w:sz="4" w:space="0" w:color="000000"/>
            </w:tcBorders>
            <w:vAlign w:val="center"/>
            <w:hideMark/>
          </w:tcPr>
          <w:p w14:paraId="4965AB38" w14:textId="77777777" w:rsidR="005B68A3" w:rsidRPr="005B68A3" w:rsidRDefault="005B68A3" w:rsidP="004B6B18">
            <w:pPr>
              <w:ind w:left="95"/>
              <w:rPr>
                <w:sz w:val="24"/>
                <w:szCs w:val="24"/>
              </w:rPr>
            </w:pPr>
            <w:r w:rsidRPr="005B68A3">
              <w:rPr>
                <w:sz w:val="24"/>
                <w:szCs w:val="24"/>
              </w:rPr>
              <w:t>10</w:t>
            </w:r>
          </w:p>
        </w:tc>
        <w:tc>
          <w:tcPr>
            <w:tcW w:w="1236" w:type="dxa"/>
            <w:tcBorders>
              <w:top w:val="single" w:sz="4" w:space="0" w:color="000000"/>
              <w:left w:val="single" w:sz="4" w:space="0" w:color="000000"/>
              <w:bottom w:val="single" w:sz="4" w:space="0" w:color="000000"/>
              <w:right w:val="single" w:sz="4" w:space="0" w:color="000000"/>
            </w:tcBorders>
            <w:vAlign w:val="center"/>
            <w:hideMark/>
          </w:tcPr>
          <w:p w14:paraId="5C665BC2" w14:textId="77777777" w:rsidR="005B68A3" w:rsidRPr="005B68A3" w:rsidRDefault="005B68A3" w:rsidP="004B6B18">
            <w:pPr>
              <w:ind w:left="95"/>
              <w:rPr>
                <w:sz w:val="24"/>
                <w:szCs w:val="24"/>
              </w:rPr>
            </w:pPr>
            <w:r w:rsidRPr="005B68A3">
              <w:rPr>
                <w:sz w:val="24"/>
                <w:szCs w:val="24"/>
              </w:rPr>
              <w:t>-</w:t>
            </w:r>
          </w:p>
        </w:tc>
        <w:tc>
          <w:tcPr>
            <w:tcW w:w="1238" w:type="dxa"/>
            <w:tcBorders>
              <w:top w:val="single" w:sz="4" w:space="0" w:color="000000"/>
              <w:left w:val="single" w:sz="4" w:space="0" w:color="000000"/>
              <w:bottom w:val="single" w:sz="4" w:space="0" w:color="000000"/>
              <w:right w:val="single" w:sz="4" w:space="0" w:color="000000"/>
            </w:tcBorders>
            <w:vAlign w:val="center"/>
            <w:hideMark/>
          </w:tcPr>
          <w:p w14:paraId="5DDB0834" w14:textId="77777777" w:rsidR="005B68A3" w:rsidRPr="005B68A3" w:rsidRDefault="005B68A3" w:rsidP="004B6B18">
            <w:pPr>
              <w:ind w:left="95"/>
              <w:rPr>
                <w:sz w:val="24"/>
                <w:szCs w:val="24"/>
              </w:rPr>
            </w:pPr>
            <w:r w:rsidRPr="005B68A3">
              <w:rPr>
                <w:sz w:val="24"/>
                <w:szCs w:val="24"/>
              </w:rPr>
              <w:t>10</w:t>
            </w:r>
          </w:p>
        </w:tc>
        <w:tc>
          <w:tcPr>
            <w:tcW w:w="1238" w:type="dxa"/>
            <w:tcBorders>
              <w:top w:val="single" w:sz="4" w:space="0" w:color="000000"/>
              <w:left w:val="single" w:sz="4" w:space="0" w:color="000000"/>
              <w:bottom w:val="single" w:sz="4" w:space="0" w:color="000000"/>
              <w:right w:val="single" w:sz="4" w:space="0" w:color="000000"/>
            </w:tcBorders>
            <w:vAlign w:val="center"/>
            <w:hideMark/>
          </w:tcPr>
          <w:p w14:paraId="36D68DDB" w14:textId="77777777" w:rsidR="005B68A3" w:rsidRPr="005B68A3" w:rsidRDefault="005B68A3" w:rsidP="004B6B18">
            <w:pPr>
              <w:ind w:left="95"/>
              <w:rPr>
                <w:sz w:val="24"/>
                <w:szCs w:val="24"/>
              </w:rPr>
            </w:pPr>
            <w:r w:rsidRPr="005B68A3">
              <w:rPr>
                <w:sz w:val="24"/>
                <w:szCs w:val="24"/>
              </w:rPr>
              <w:t>-</w:t>
            </w:r>
          </w:p>
        </w:tc>
      </w:tr>
      <w:tr w:rsidR="005B68A3" w:rsidRPr="005B68A3" w14:paraId="3ADBBDDB" w14:textId="77777777" w:rsidTr="005B68A3">
        <w:trPr>
          <w:cantSplit/>
          <w:trHeight w:val="23"/>
        </w:trPr>
        <w:tc>
          <w:tcPr>
            <w:tcW w:w="1646" w:type="dxa"/>
            <w:tcBorders>
              <w:top w:val="single" w:sz="4" w:space="0" w:color="000000"/>
              <w:left w:val="single" w:sz="4" w:space="0" w:color="000000"/>
              <w:bottom w:val="single" w:sz="4" w:space="0" w:color="000000"/>
              <w:right w:val="single" w:sz="4" w:space="0" w:color="000000"/>
            </w:tcBorders>
            <w:vAlign w:val="center"/>
            <w:hideMark/>
          </w:tcPr>
          <w:p w14:paraId="66D44F0E" w14:textId="77777777" w:rsidR="005B68A3" w:rsidRPr="005B68A3" w:rsidRDefault="005B68A3" w:rsidP="004B6B18">
            <w:pPr>
              <w:ind w:left="186"/>
              <w:rPr>
                <w:b/>
                <w:sz w:val="24"/>
                <w:szCs w:val="24"/>
              </w:rPr>
            </w:pPr>
            <w:r w:rsidRPr="005B68A3">
              <w:rPr>
                <w:b/>
                <w:sz w:val="24"/>
                <w:szCs w:val="24"/>
              </w:rPr>
              <w:t>40</w:t>
            </w:r>
          </w:p>
        </w:tc>
        <w:tc>
          <w:tcPr>
            <w:tcW w:w="1236" w:type="dxa"/>
            <w:tcBorders>
              <w:top w:val="single" w:sz="4" w:space="0" w:color="000000"/>
              <w:left w:val="single" w:sz="4" w:space="0" w:color="000000"/>
              <w:bottom w:val="single" w:sz="4" w:space="0" w:color="000000"/>
              <w:right w:val="single" w:sz="4" w:space="0" w:color="000000"/>
            </w:tcBorders>
            <w:vAlign w:val="center"/>
            <w:hideMark/>
          </w:tcPr>
          <w:p w14:paraId="79E9C64A" w14:textId="77777777" w:rsidR="005B68A3" w:rsidRPr="005B68A3" w:rsidRDefault="005B68A3" w:rsidP="004B6B18">
            <w:pPr>
              <w:ind w:left="95"/>
              <w:rPr>
                <w:sz w:val="24"/>
                <w:szCs w:val="24"/>
              </w:rPr>
            </w:pPr>
            <w:r w:rsidRPr="005B68A3">
              <w:rPr>
                <w:sz w:val="24"/>
                <w:szCs w:val="24"/>
              </w:rPr>
              <w:t>10</w:t>
            </w:r>
          </w:p>
        </w:tc>
        <w:tc>
          <w:tcPr>
            <w:tcW w:w="1238" w:type="dxa"/>
            <w:tcBorders>
              <w:top w:val="single" w:sz="4" w:space="0" w:color="000000"/>
              <w:left w:val="single" w:sz="4" w:space="0" w:color="000000"/>
              <w:bottom w:val="single" w:sz="4" w:space="0" w:color="000000"/>
              <w:right w:val="single" w:sz="4" w:space="0" w:color="000000"/>
            </w:tcBorders>
            <w:vAlign w:val="center"/>
            <w:hideMark/>
          </w:tcPr>
          <w:p w14:paraId="18690EE7" w14:textId="77777777" w:rsidR="005B68A3" w:rsidRPr="005B68A3" w:rsidRDefault="005B68A3" w:rsidP="004B6B18">
            <w:pPr>
              <w:ind w:left="95"/>
              <w:rPr>
                <w:sz w:val="24"/>
                <w:szCs w:val="24"/>
              </w:rPr>
            </w:pPr>
            <w:r w:rsidRPr="005B68A3">
              <w:rPr>
                <w:sz w:val="24"/>
                <w:szCs w:val="24"/>
              </w:rPr>
              <w:t>10</w:t>
            </w:r>
          </w:p>
        </w:tc>
        <w:tc>
          <w:tcPr>
            <w:tcW w:w="1238" w:type="dxa"/>
            <w:tcBorders>
              <w:top w:val="single" w:sz="4" w:space="0" w:color="000000"/>
              <w:left w:val="single" w:sz="4" w:space="0" w:color="000000"/>
              <w:bottom w:val="single" w:sz="4" w:space="0" w:color="000000"/>
              <w:right w:val="single" w:sz="4" w:space="0" w:color="000000"/>
            </w:tcBorders>
            <w:vAlign w:val="center"/>
            <w:hideMark/>
          </w:tcPr>
          <w:p w14:paraId="116D7DE0" w14:textId="77777777" w:rsidR="005B68A3" w:rsidRPr="005B68A3" w:rsidRDefault="005B68A3" w:rsidP="004B6B18">
            <w:pPr>
              <w:ind w:left="95"/>
              <w:rPr>
                <w:sz w:val="24"/>
                <w:szCs w:val="24"/>
              </w:rPr>
            </w:pPr>
            <w:r w:rsidRPr="005B68A3">
              <w:rPr>
                <w:sz w:val="24"/>
                <w:szCs w:val="24"/>
              </w:rPr>
              <w:t>10</w:t>
            </w:r>
          </w:p>
        </w:tc>
        <w:tc>
          <w:tcPr>
            <w:tcW w:w="1236" w:type="dxa"/>
            <w:tcBorders>
              <w:top w:val="single" w:sz="4" w:space="0" w:color="000000"/>
              <w:left w:val="single" w:sz="4" w:space="0" w:color="000000"/>
              <w:bottom w:val="single" w:sz="4" w:space="0" w:color="000000"/>
              <w:right w:val="single" w:sz="4" w:space="0" w:color="000000"/>
            </w:tcBorders>
            <w:vAlign w:val="center"/>
            <w:hideMark/>
          </w:tcPr>
          <w:p w14:paraId="3082B891" w14:textId="77777777" w:rsidR="005B68A3" w:rsidRPr="005B68A3" w:rsidRDefault="005B68A3" w:rsidP="004B6B18">
            <w:pPr>
              <w:ind w:left="95"/>
              <w:rPr>
                <w:sz w:val="24"/>
                <w:szCs w:val="24"/>
              </w:rPr>
            </w:pPr>
            <w:r w:rsidRPr="005B68A3">
              <w:rPr>
                <w:sz w:val="24"/>
                <w:szCs w:val="24"/>
              </w:rPr>
              <w:t>-</w:t>
            </w:r>
          </w:p>
        </w:tc>
        <w:tc>
          <w:tcPr>
            <w:tcW w:w="1238" w:type="dxa"/>
            <w:tcBorders>
              <w:top w:val="single" w:sz="4" w:space="0" w:color="000000"/>
              <w:left w:val="single" w:sz="4" w:space="0" w:color="000000"/>
              <w:bottom w:val="single" w:sz="4" w:space="0" w:color="000000"/>
              <w:right w:val="single" w:sz="4" w:space="0" w:color="000000"/>
            </w:tcBorders>
            <w:vAlign w:val="center"/>
            <w:hideMark/>
          </w:tcPr>
          <w:p w14:paraId="21EF6360" w14:textId="77777777" w:rsidR="005B68A3" w:rsidRPr="005B68A3" w:rsidRDefault="005B68A3" w:rsidP="004B6B18">
            <w:pPr>
              <w:ind w:left="95"/>
              <w:rPr>
                <w:sz w:val="24"/>
                <w:szCs w:val="24"/>
              </w:rPr>
            </w:pPr>
            <w:r w:rsidRPr="005B68A3">
              <w:rPr>
                <w:sz w:val="24"/>
                <w:szCs w:val="24"/>
              </w:rPr>
              <w:t>10</w:t>
            </w:r>
          </w:p>
        </w:tc>
        <w:tc>
          <w:tcPr>
            <w:tcW w:w="1238" w:type="dxa"/>
            <w:tcBorders>
              <w:top w:val="single" w:sz="4" w:space="0" w:color="000000"/>
              <w:left w:val="single" w:sz="4" w:space="0" w:color="000000"/>
              <w:bottom w:val="single" w:sz="4" w:space="0" w:color="000000"/>
              <w:right w:val="single" w:sz="4" w:space="0" w:color="000000"/>
            </w:tcBorders>
            <w:vAlign w:val="center"/>
            <w:hideMark/>
          </w:tcPr>
          <w:p w14:paraId="77C42566" w14:textId="77777777" w:rsidR="005B68A3" w:rsidRPr="005B68A3" w:rsidRDefault="005B68A3" w:rsidP="004B6B18">
            <w:pPr>
              <w:ind w:left="95"/>
              <w:rPr>
                <w:sz w:val="24"/>
                <w:szCs w:val="24"/>
              </w:rPr>
            </w:pPr>
            <w:r w:rsidRPr="005B68A3">
              <w:rPr>
                <w:sz w:val="24"/>
                <w:szCs w:val="24"/>
              </w:rPr>
              <w:t>-</w:t>
            </w:r>
          </w:p>
        </w:tc>
      </w:tr>
    </w:tbl>
    <w:p w14:paraId="1B0F4185" w14:textId="77777777" w:rsidR="005B68A3" w:rsidRPr="005B68A3" w:rsidRDefault="005B68A3" w:rsidP="005B68A3">
      <w:pPr>
        <w:tabs>
          <w:tab w:val="left" w:pos="851"/>
        </w:tabs>
        <w:ind w:left="851"/>
        <w:rPr>
          <w:i/>
          <w:sz w:val="24"/>
          <w:szCs w:val="24"/>
        </w:rPr>
      </w:pPr>
    </w:p>
    <w:p w14:paraId="33513F51" w14:textId="77777777" w:rsidR="005B68A3" w:rsidRPr="005B68A3" w:rsidRDefault="005B68A3" w:rsidP="005B68A3">
      <w:pPr>
        <w:tabs>
          <w:tab w:val="left" w:pos="851"/>
        </w:tabs>
        <w:ind w:left="851"/>
        <w:rPr>
          <w:i/>
          <w:sz w:val="24"/>
          <w:szCs w:val="24"/>
        </w:rPr>
      </w:pPr>
      <w:r w:rsidRPr="005B68A3">
        <w:rPr>
          <w:i/>
          <w:sz w:val="24"/>
          <w:szCs w:val="24"/>
        </w:rPr>
        <w:t xml:space="preserve">Børn (fra 6 til 12 år) </w:t>
      </w:r>
    </w:p>
    <w:p w14:paraId="4EF6E283" w14:textId="77777777" w:rsidR="005B68A3" w:rsidRPr="005B68A3" w:rsidRDefault="005B68A3" w:rsidP="005B68A3">
      <w:pPr>
        <w:tabs>
          <w:tab w:val="left" w:pos="851"/>
        </w:tabs>
        <w:ind w:left="851"/>
        <w:rPr>
          <w:sz w:val="24"/>
          <w:szCs w:val="24"/>
        </w:rPr>
      </w:pPr>
      <w:r w:rsidRPr="005B68A3">
        <w:rPr>
          <w:sz w:val="24"/>
          <w:szCs w:val="24"/>
        </w:rPr>
        <w:t>Doseringen er individuel med en startdosis på 0,1 mg/kg intravesikalt om morgenen. Dosen kan justeres efter én uges behandling. Den laveste effektive dosis bør vælges. Den daglige dosis kan øges til op til 30 mg dagligt for at opnå tilstrækkelig effekt, forudsat at bivirkningerne tolereres. Der bør højst indgives 10 mg pr. enkeltdosis.</w:t>
      </w:r>
    </w:p>
    <w:p w14:paraId="705C9E7E" w14:textId="77777777" w:rsidR="005B68A3" w:rsidRPr="005B68A3" w:rsidRDefault="005B68A3" w:rsidP="005B68A3">
      <w:pPr>
        <w:tabs>
          <w:tab w:val="left" w:pos="851"/>
        </w:tabs>
        <w:ind w:left="851"/>
        <w:rPr>
          <w:sz w:val="24"/>
          <w:szCs w:val="24"/>
        </w:rPr>
      </w:pPr>
      <w:r w:rsidRPr="005B68A3">
        <w:rPr>
          <w:sz w:val="24"/>
          <w:szCs w:val="24"/>
        </w:rPr>
        <w:t>Sikkerheden og virkningen ved oxybutyninhydrochlorid hos børn under 6 år er endnu ikke klarlagt.</w:t>
      </w:r>
    </w:p>
    <w:p w14:paraId="2C393EFC" w14:textId="77777777" w:rsidR="005B68A3" w:rsidRPr="005B68A3" w:rsidRDefault="005B68A3" w:rsidP="005B68A3">
      <w:pPr>
        <w:tabs>
          <w:tab w:val="left" w:pos="851"/>
        </w:tabs>
        <w:ind w:left="851"/>
        <w:rPr>
          <w:sz w:val="24"/>
          <w:szCs w:val="24"/>
        </w:rPr>
      </w:pPr>
      <w:r w:rsidRPr="005B68A3">
        <w:rPr>
          <w:sz w:val="24"/>
          <w:szCs w:val="24"/>
        </w:rPr>
        <w:t xml:space="preserve"> </w:t>
      </w:r>
    </w:p>
    <w:p w14:paraId="2B322316" w14:textId="77777777" w:rsidR="005B68A3" w:rsidRPr="005B68A3" w:rsidRDefault="005B68A3" w:rsidP="005B68A3">
      <w:pPr>
        <w:tabs>
          <w:tab w:val="left" w:pos="851"/>
        </w:tabs>
        <w:ind w:left="851"/>
        <w:rPr>
          <w:i/>
          <w:sz w:val="24"/>
          <w:szCs w:val="24"/>
        </w:rPr>
      </w:pPr>
      <w:r w:rsidRPr="005B68A3">
        <w:rPr>
          <w:i/>
          <w:sz w:val="24"/>
          <w:szCs w:val="24"/>
        </w:rPr>
        <w:t>Ældre (over 65 år)</w:t>
      </w:r>
    </w:p>
    <w:p w14:paraId="3D78DF28" w14:textId="77777777" w:rsidR="005B68A3" w:rsidRPr="005B68A3" w:rsidRDefault="005B68A3" w:rsidP="005B68A3">
      <w:pPr>
        <w:tabs>
          <w:tab w:val="left" w:pos="851"/>
        </w:tabs>
        <w:ind w:left="851"/>
        <w:rPr>
          <w:sz w:val="24"/>
          <w:szCs w:val="24"/>
        </w:rPr>
      </w:pPr>
      <w:r w:rsidRPr="005B68A3">
        <w:rPr>
          <w:sz w:val="24"/>
          <w:szCs w:val="24"/>
        </w:rPr>
        <w:t>Ligesom med andre antikolinerge lægemidler bør der udvises forsigtighed hos svagelige og ældre patienter, navnlig hvis doser over 30 mg pr. dag vurderes påkrævet (se pkt. 4.4).</w:t>
      </w:r>
    </w:p>
    <w:p w14:paraId="6115C50A" w14:textId="77777777" w:rsidR="005B68A3" w:rsidRPr="005B68A3" w:rsidRDefault="005B68A3" w:rsidP="005B68A3">
      <w:pPr>
        <w:tabs>
          <w:tab w:val="left" w:pos="851"/>
        </w:tabs>
        <w:ind w:left="851"/>
        <w:rPr>
          <w:sz w:val="24"/>
          <w:szCs w:val="24"/>
        </w:rPr>
      </w:pPr>
    </w:p>
    <w:p w14:paraId="1B3503BA" w14:textId="77777777" w:rsidR="005B68A3" w:rsidRPr="005B68A3" w:rsidRDefault="005B68A3" w:rsidP="005B68A3">
      <w:pPr>
        <w:tabs>
          <w:tab w:val="left" w:pos="851"/>
        </w:tabs>
        <w:ind w:left="851"/>
        <w:rPr>
          <w:i/>
          <w:sz w:val="24"/>
          <w:szCs w:val="24"/>
        </w:rPr>
      </w:pPr>
      <w:r w:rsidRPr="005B68A3">
        <w:rPr>
          <w:i/>
          <w:sz w:val="24"/>
          <w:szCs w:val="24"/>
        </w:rPr>
        <w:t>Nedsat lever- eller nyrefunktion</w:t>
      </w:r>
    </w:p>
    <w:p w14:paraId="5BDCAA0B" w14:textId="77777777" w:rsidR="005B68A3" w:rsidRPr="005B68A3" w:rsidRDefault="005B68A3" w:rsidP="005B68A3">
      <w:pPr>
        <w:tabs>
          <w:tab w:val="left" w:pos="851"/>
        </w:tabs>
        <w:ind w:left="851"/>
        <w:rPr>
          <w:sz w:val="24"/>
          <w:szCs w:val="24"/>
        </w:rPr>
      </w:pPr>
      <w:r w:rsidRPr="005B68A3">
        <w:rPr>
          <w:sz w:val="24"/>
          <w:szCs w:val="24"/>
        </w:rPr>
        <w:t>Vesolox bør anvendes med forsigtighed hos patienter med nedsat lever- eller nyrefunktion. Brug af Vesolox hos disse patienter bør overvåges nøje, og det kan være nødvendigt at reducere dosis (se pkt. 4.4).</w:t>
      </w:r>
    </w:p>
    <w:p w14:paraId="3B746008" w14:textId="77777777" w:rsidR="005B68A3" w:rsidRPr="005B68A3" w:rsidRDefault="005B68A3" w:rsidP="005B68A3">
      <w:pPr>
        <w:tabs>
          <w:tab w:val="left" w:pos="851"/>
        </w:tabs>
        <w:ind w:left="851"/>
        <w:rPr>
          <w:sz w:val="24"/>
          <w:szCs w:val="24"/>
        </w:rPr>
      </w:pPr>
    </w:p>
    <w:p w14:paraId="7A94EC4B" w14:textId="77777777" w:rsidR="005B68A3" w:rsidRPr="005B68A3" w:rsidRDefault="005B68A3" w:rsidP="005B68A3">
      <w:pPr>
        <w:tabs>
          <w:tab w:val="left" w:pos="851"/>
        </w:tabs>
        <w:ind w:left="851"/>
        <w:rPr>
          <w:sz w:val="24"/>
          <w:szCs w:val="24"/>
        </w:rPr>
      </w:pPr>
      <w:r w:rsidRPr="005B68A3">
        <w:rPr>
          <w:sz w:val="24"/>
          <w:szCs w:val="24"/>
          <w:u w:val="single"/>
        </w:rPr>
        <w:t>Administration</w:t>
      </w:r>
    </w:p>
    <w:p w14:paraId="3E39EDD6" w14:textId="77777777" w:rsidR="005B68A3" w:rsidRPr="005B68A3" w:rsidRDefault="005B68A3" w:rsidP="005B68A3">
      <w:pPr>
        <w:tabs>
          <w:tab w:val="left" w:pos="851"/>
        </w:tabs>
        <w:ind w:left="851"/>
        <w:rPr>
          <w:sz w:val="24"/>
          <w:szCs w:val="24"/>
        </w:rPr>
      </w:pPr>
      <w:r w:rsidRPr="005B68A3">
        <w:rPr>
          <w:sz w:val="24"/>
          <w:szCs w:val="24"/>
        </w:rPr>
        <w:t>Intravesikal anvendelse.</w:t>
      </w:r>
    </w:p>
    <w:p w14:paraId="4F65F67E" w14:textId="77777777" w:rsidR="005B68A3" w:rsidRPr="005B68A3" w:rsidRDefault="005B68A3" w:rsidP="005B68A3">
      <w:pPr>
        <w:tabs>
          <w:tab w:val="left" w:pos="851"/>
        </w:tabs>
        <w:ind w:left="851"/>
        <w:rPr>
          <w:sz w:val="24"/>
          <w:szCs w:val="24"/>
        </w:rPr>
      </w:pPr>
    </w:p>
    <w:p w14:paraId="15AE321E" w14:textId="77777777" w:rsidR="005B68A3" w:rsidRPr="005B68A3" w:rsidRDefault="005B68A3" w:rsidP="005B68A3">
      <w:pPr>
        <w:tabs>
          <w:tab w:val="left" w:pos="851"/>
        </w:tabs>
        <w:ind w:left="851"/>
        <w:rPr>
          <w:sz w:val="24"/>
          <w:szCs w:val="24"/>
        </w:rPr>
      </w:pPr>
      <w:r w:rsidRPr="005B68A3">
        <w:rPr>
          <w:sz w:val="24"/>
          <w:szCs w:val="24"/>
        </w:rPr>
        <w:t>Sprøjten er beregnet til brug én eller to gange. Brug anden gang er strengt begrænset til samme patient og skal ske inden for 24 timer efter første åbning, og produktet må kun håndteres af sundhedspersoner. Tjek omhyggeligt, om det tilbageværende volumen er tilstrækkeligt til brug anden gang.</w:t>
      </w:r>
    </w:p>
    <w:p w14:paraId="56C5636B" w14:textId="77777777" w:rsidR="005B68A3" w:rsidRPr="005B68A3" w:rsidRDefault="005B68A3" w:rsidP="005B68A3">
      <w:pPr>
        <w:tabs>
          <w:tab w:val="left" w:pos="851"/>
        </w:tabs>
        <w:ind w:left="851"/>
        <w:rPr>
          <w:sz w:val="24"/>
          <w:szCs w:val="24"/>
        </w:rPr>
      </w:pPr>
    </w:p>
    <w:p w14:paraId="6D83D463" w14:textId="77777777" w:rsidR="005B68A3" w:rsidRPr="005B68A3" w:rsidRDefault="005B68A3" w:rsidP="005B68A3">
      <w:pPr>
        <w:tabs>
          <w:tab w:val="left" w:pos="851"/>
        </w:tabs>
        <w:ind w:left="851"/>
        <w:rPr>
          <w:sz w:val="24"/>
          <w:szCs w:val="24"/>
        </w:rPr>
      </w:pPr>
      <w:r w:rsidRPr="005B68A3">
        <w:rPr>
          <w:sz w:val="24"/>
          <w:szCs w:val="24"/>
        </w:rPr>
        <w:t>For at sikre sikker og effektiv behandling skal patienterne være fortrolige med proceduren med ren intermitterende kateterisering (RIK). Patienten, en pårørende og/eller en omsorgsperson skal oplæres i RIK og administrationsproceduren af specialuddannede sundhedspersoner.</w:t>
      </w:r>
    </w:p>
    <w:p w14:paraId="7577D5F8" w14:textId="77777777" w:rsidR="005B68A3" w:rsidRPr="005B68A3" w:rsidRDefault="005B68A3" w:rsidP="005B68A3">
      <w:pPr>
        <w:tabs>
          <w:tab w:val="left" w:pos="851"/>
        </w:tabs>
        <w:ind w:left="851"/>
        <w:rPr>
          <w:sz w:val="24"/>
          <w:szCs w:val="24"/>
        </w:rPr>
      </w:pPr>
    </w:p>
    <w:p w14:paraId="11587C9D" w14:textId="77777777" w:rsidR="005B68A3" w:rsidRPr="005B68A3" w:rsidRDefault="005B68A3" w:rsidP="005B68A3">
      <w:pPr>
        <w:tabs>
          <w:tab w:val="left" w:pos="851"/>
        </w:tabs>
        <w:ind w:left="851"/>
        <w:rPr>
          <w:sz w:val="24"/>
          <w:szCs w:val="24"/>
        </w:rPr>
      </w:pPr>
      <w:r w:rsidRPr="005B68A3">
        <w:rPr>
          <w:sz w:val="24"/>
          <w:szCs w:val="24"/>
        </w:rPr>
        <w:t>Så snart forholdene er aseptiske, indføres et sterilt ureterkateter til engangsbrug i blæren. Blæren skal drænes fuldstændigt inden instillationen.</w:t>
      </w:r>
    </w:p>
    <w:p w14:paraId="0AB14DB5" w14:textId="77777777" w:rsidR="005B68A3" w:rsidRPr="005B68A3" w:rsidRDefault="005B68A3" w:rsidP="005B68A3">
      <w:pPr>
        <w:tabs>
          <w:tab w:val="left" w:pos="851"/>
        </w:tabs>
        <w:ind w:left="851"/>
        <w:rPr>
          <w:sz w:val="24"/>
          <w:szCs w:val="24"/>
        </w:rPr>
      </w:pPr>
    </w:p>
    <w:p w14:paraId="4EFED4D9" w14:textId="77777777" w:rsidR="005B68A3" w:rsidRPr="005B68A3" w:rsidRDefault="005B68A3" w:rsidP="005B68A3">
      <w:pPr>
        <w:tabs>
          <w:tab w:val="left" w:pos="851"/>
        </w:tabs>
        <w:ind w:left="851"/>
        <w:rPr>
          <w:sz w:val="24"/>
          <w:szCs w:val="24"/>
        </w:rPr>
      </w:pPr>
      <w:r w:rsidRPr="005B68A3">
        <w:rPr>
          <w:sz w:val="24"/>
          <w:szCs w:val="24"/>
        </w:rPr>
        <w:t>Den graduerede fyldte sprøjte tages ud af blisterpakningen, og hætten fjernes fra sprøjten. Tryk på stemplet for at frigøre trykpunktet, inden forseglingshætten fjernes. Derved sikres det, at sprøjten kan håndteres nemt og ensartet.</w:t>
      </w:r>
    </w:p>
    <w:p w14:paraId="2138563C" w14:textId="77777777" w:rsidR="005B68A3" w:rsidRPr="005B68A3" w:rsidRDefault="005B68A3" w:rsidP="005B68A3">
      <w:pPr>
        <w:tabs>
          <w:tab w:val="left" w:pos="851"/>
        </w:tabs>
        <w:ind w:left="851"/>
        <w:rPr>
          <w:sz w:val="24"/>
          <w:szCs w:val="24"/>
        </w:rPr>
      </w:pPr>
    </w:p>
    <w:p w14:paraId="095107A1" w14:textId="77777777" w:rsidR="005B68A3" w:rsidRPr="005B68A3" w:rsidRDefault="005B68A3" w:rsidP="005B68A3">
      <w:pPr>
        <w:tabs>
          <w:tab w:val="left" w:pos="851"/>
        </w:tabs>
        <w:ind w:left="851"/>
        <w:rPr>
          <w:sz w:val="24"/>
          <w:szCs w:val="24"/>
        </w:rPr>
      </w:pPr>
      <w:r w:rsidRPr="005B68A3">
        <w:rPr>
          <w:sz w:val="24"/>
          <w:szCs w:val="24"/>
        </w:rPr>
        <w:t>Sprøjtens kegleformerede spids tilsluttes direkte til kateteret. Den ønskede mængde oxybutynin-opløsning instilleres i blæren ved et konstant tryk på sprøjtens stempel.</w:t>
      </w:r>
    </w:p>
    <w:p w14:paraId="049E5813" w14:textId="77777777" w:rsidR="005B68A3" w:rsidRPr="005B68A3" w:rsidRDefault="005B68A3" w:rsidP="005B68A3">
      <w:pPr>
        <w:tabs>
          <w:tab w:val="left" w:pos="851"/>
        </w:tabs>
        <w:ind w:left="851"/>
        <w:rPr>
          <w:sz w:val="24"/>
          <w:szCs w:val="24"/>
        </w:rPr>
      </w:pPr>
    </w:p>
    <w:p w14:paraId="49A5874D" w14:textId="77777777" w:rsidR="005B68A3" w:rsidRPr="005B68A3" w:rsidRDefault="005B68A3" w:rsidP="005B68A3">
      <w:pPr>
        <w:tabs>
          <w:tab w:val="left" w:pos="851"/>
        </w:tabs>
        <w:ind w:left="851"/>
        <w:rPr>
          <w:sz w:val="24"/>
          <w:szCs w:val="24"/>
        </w:rPr>
      </w:pPr>
      <w:r w:rsidRPr="005B68A3">
        <w:rPr>
          <w:sz w:val="24"/>
          <w:szCs w:val="24"/>
        </w:rPr>
        <w:t>Hvis indgivelse af mindre end 10 ml (indholdet i én sprøjte) er påkrævet, og genbrug ikke anbefales, forbliver ikkeanvendt opløsning i sprøjten, som senere skal indleveres på et apotek med henblik på bortskaffelse.</w:t>
      </w:r>
    </w:p>
    <w:p w14:paraId="6E4469DD" w14:textId="77777777" w:rsidR="005B68A3" w:rsidRPr="005B68A3" w:rsidRDefault="005B68A3" w:rsidP="005B68A3">
      <w:pPr>
        <w:tabs>
          <w:tab w:val="left" w:pos="851"/>
        </w:tabs>
        <w:ind w:left="851"/>
        <w:rPr>
          <w:sz w:val="24"/>
          <w:szCs w:val="24"/>
        </w:rPr>
      </w:pPr>
    </w:p>
    <w:p w14:paraId="519E3BC5" w14:textId="77777777" w:rsidR="005B68A3" w:rsidRPr="005B68A3" w:rsidRDefault="005B68A3" w:rsidP="005B68A3">
      <w:pPr>
        <w:tabs>
          <w:tab w:val="left" w:pos="851"/>
        </w:tabs>
        <w:ind w:left="851"/>
        <w:rPr>
          <w:sz w:val="24"/>
          <w:szCs w:val="24"/>
        </w:rPr>
      </w:pPr>
      <w:r w:rsidRPr="005B68A3">
        <w:rPr>
          <w:sz w:val="24"/>
          <w:szCs w:val="24"/>
        </w:rPr>
        <w:t xml:space="preserve">Hvis sprøjten skal anvendes to gange, må den kun anvendes anden gang, hvis det er til den samme patient, og kun hvis den håndteres af en sundhedsperson under rene og kontrollerede forhold. </w:t>
      </w:r>
    </w:p>
    <w:p w14:paraId="3E67D167" w14:textId="77777777" w:rsidR="005B68A3" w:rsidRPr="005B68A3" w:rsidRDefault="005B68A3" w:rsidP="005B68A3">
      <w:pPr>
        <w:tabs>
          <w:tab w:val="left" w:pos="851"/>
        </w:tabs>
        <w:ind w:left="851"/>
        <w:rPr>
          <w:sz w:val="24"/>
          <w:szCs w:val="24"/>
        </w:rPr>
      </w:pPr>
      <w:r w:rsidRPr="005B68A3">
        <w:rPr>
          <w:sz w:val="24"/>
          <w:szCs w:val="24"/>
        </w:rPr>
        <w:t>Efter den første instillation bør kateteret bortskaffes, og et nyt sterilt kateter bør anvendes til den anden instillation med samme sprøjte.</w:t>
      </w:r>
    </w:p>
    <w:p w14:paraId="2FD93848" w14:textId="77777777" w:rsidR="005B68A3" w:rsidRPr="005B68A3" w:rsidRDefault="005B68A3" w:rsidP="005B68A3">
      <w:pPr>
        <w:tabs>
          <w:tab w:val="left" w:pos="851"/>
        </w:tabs>
        <w:ind w:left="851"/>
        <w:rPr>
          <w:sz w:val="24"/>
          <w:szCs w:val="24"/>
        </w:rPr>
      </w:pPr>
    </w:p>
    <w:p w14:paraId="3B50F028" w14:textId="77777777" w:rsidR="005B68A3" w:rsidRPr="005B68A3" w:rsidRDefault="005B68A3" w:rsidP="005B68A3">
      <w:pPr>
        <w:tabs>
          <w:tab w:val="left" w:pos="851"/>
        </w:tabs>
        <w:ind w:left="851"/>
        <w:rPr>
          <w:sz w:val="24"/>
          <w:szCs w:val="24"/>
        </w:rPr>
      </w:pPr>
      <w:r w:rsidRPr="005B68A3">
        <w:rPr>
          <w:sz w:val="24"/>
          <w:szCs w:val="24"/>
        </w:rPr>
        <w:t xml:space="preserve">Det skal sikres, at spidshætten placeres sikkert på sprøjten straks efter brug, og at sprøjten opbevares hensigtsmæssigt med henblik på senere brug. Sprøjten skal opbevares utilgængeligt for uautoriserede personer. Man må kun anvende én fyldt sprøjte til genbrug ad gangen. </w:t>
      </w:r>
    </w:p>
    <w:p w14:paraId="2B1A0BBE" w14:textId="77777777" w:rsidR="005B68A3" w:rsidRPr="005B68A3" w:rsidRDefault="005B68A3" w:rsidP="005B68A3">
      <w:pPr>
        <w:tabs>
          <w:tab w:val="left" w:pos="851"/>
        </w:tabs>
        <w:ind w:left="851"/>
        <w:rPr>
          <w:sz w:val="24"/>
          <w:szCs w:val="24"/>
        </w:rPr>
      </w:pPr>
      <w:r w:rsidRPr="005B68A3">
        <w:rPr>
          <w:sz w:val="24"/>
          <w:szCs w:val="24"/>
        </w:rPr>
        <w:t>Sprøjten skal bortskaffes efter brug anden gang (dvs. efter 24 timer), hvorefter en ny sprøjte skal tages i brug.</w:t>
      </w:r>
    </w:p>
    <w:p w14:paraId="2141505E" w14:textId="77777777" w:rsidR="005B68A3" w:rsidRPr="005B68A3" w:rsidRDefault="005B68A3" w:rsidP="005B68A3">
      <w:pPr>
        <w:tabs>
          <w:tab w:val="left" w:pos="851"/>
        </w:tabs>
        <w:ind w:left="851"/>
        <w:rPr>
          <w:sz w:val="24"/>
          <w:szCs w:val="24"/>
        </w:rPr>
      </w:pPr>
    </w:p>
    <w:p w14:paraId="61B4DF8B" w14:textId="77777777" w:rsidR="005B68A3" w:rsidRPr="005B68A3" w:rsidRDefault="005B68A3" w:rsidP="005B68A3">
      <w:pPr>
        <w:tabs>
          <w:tab w:val="left" w:pos="851"/>
        </w:tabs>
        <w:ind w:left="851"/>
        <w:rPr>
          <w:sz w:val="24"/>
          <w:szCs w:val="24"/>
        </w:rPr>
      </w:pPr>
      <w:r w:rsidRPr="005B68A3">
        <w:rPr>
          <w:sz w:val="24"/>
          <w:szCs w:val="24"/>
        </w:rPr>
        <w:t>Efter instillationen skal kateteret fjernes og bortskaffes.</w:t>
      </w:r>
    </w:p>
    <w:p w14:paraId="72F0B694" w14:textId="77777777" w:rsidR="005B68A3" w:rsidRPr="005B68A3" w:rsidRDefault="005B68A3" w:rsidP="005B68A3">
      <w:pPr>
        <w:tabs>
          <w:tab w:val="left" w:pos="851"/>
        </w:tabs>
        <w:ind w:left="851"/>
        <w:rPr>
          <w:sz w:val="24"/>
          <w:szCs w:val="24"/>
        </w:rPr>
      </w:pPr>
    </w:p>
    <w:p w14:paraId="179938DD" w14:textId="77777777" w:rsidR="005B68A3" w:rsidRPr="005B68A3" w:rsidRDefault="005B68A3" w:rsidP="005B68A3">
      <w:pPr>
        <w:tabs>
          <w:tab w:val="left" w:pos="851"/>
        </w:tabs>
        <w:ind w:left="851"/>
        <w:rPr>
          <w:sz w:val="24"/>
          <w:szCs w:val="24"/>
        </w:rPr>
      </w:pPr>
      <w:r w:rsidRPr="005B68A3">
        <w:rPr>
          <w:sz w:val="24"/>
          <w:szCs w:val="24"/>
        </w:rPr>
        <w:t>Den instillerede opløsning bliver i blæren indtil næste kateterisering.</w:t>
      </w:r>
    </w:p>
    <w:p w14:paraId="6C273BBE" w14:textId="77777777" w:rsidR="005B68A3" w:rsidRPr="005B68A3" w:rsidRDefault="005B68A3" w:rsidP="005B68A3">
      <w:pPr>
        <w:tabs>
          <w:tab w:val="left" w:pos="851"/>
        </w:tabs>
        <w:ind w:left="851"/>
        <w:rPr>
          <w:sz w:val="24"/>
          <w:szCs w:val="24"/>
        </w:rPr>
      </w:pPr>
    </w:p>
    <w:p w14:paraId="382BD079" w14:textId="77777777" w:rsidR="005B68A3" w:rsidRPr="005B68A3" w:rsidRDefault="005B68A3" w:rsidP="005B68A3">
      <w:pPr>
        <w:tabs>
          <w:tab w:val="left" w:pos="851"/>
        </w:tabs>
        <w:ind w:left="851"/>
        <w:rPr>
          <w:sz w:val="24"/>
          <w:szCs w:val="24"/>
        </w:rPr>
      </w:pPr>
      <w:r w:rsidRPr="005B68A3">
        <w:rPr>
          <w:sz w:val="24"/>
          <w:szCs w:val="24"/>
        </w:rPr>
        <w:t xml:space="preserve">Al ubrugt medicin og ureterkateteret skal bortskaffes i henhold til nationale krav. </w:t>
      </w:r>
    </w:p>
    <w:p w14:paraId="03E993E4" w14:textId="77777777" w:rsidR="005B68A3" w:rsidRPr="005B68A3" w:rsidRDefault="005B68A3" w:rsidP="005B68A3">
      <w:pPr>
        <w:tabs>
          <w:tab w:val="left" w:pos="851"/>
        </w:tabs>
        <w:ind w:left="851"/>
        <w:rPr>
          <w:sz w:val="24"/>
          <w:szCs w:val="24"/>
        </w:rPr>
      </w:pPr>
    </w:p>
    <w:p w14:paraId="32DB54D1" w14:textId="77777777" w:rsidR="005B68A3" w:rsidRPr="005B68A3" w:rsidRDefault="005B68A3" w:rsidP="005B68A3">
      <w:pPr>
        <w:tabs>
          <w:tab w:val="left" w:pos="851"/>
        </w:tabs>
        <w:ind w:left="851"/>
        <w:rPr>
          <w:sz w:val="24"/>
          <w:szCs w:val="24"/>
        </w:rPr>
      </w:pPr>
      <w:r w:rsidRPr="005B68A3">
        <w:rPr>
          <w:sz w:val="24"/>
          <w:szCs w:val="24"/>
        </w:rPr>
        <w:t>Behandlingens varighed afhænger af symptomerne, den underliggende sygdom og/eller behandlingsmålet og afgøres af den behandlende læge.</w:t>
      </w:r>
    </w:p>
    <w:p w14:paraId="54FAF82F" w14:textId="77777777" w:rsidR="009260DE" w:rsidRPr="00C84483" w:rsidRDefault="009260DE" w:rsidP="009260DE">
      <w:pPr>
        <w:tabs>
          <w:tab w:val="left" w:pos="851"/>
        </w:tabs>
        <w:ind w:left="851"/>
        <w:rPr>
          <w:sz w:val="24"/>
          <w:szCs w:val="24"/>
        </w:rPr>
      </w:pPr>
    </w:p>
    <w:p w14:paraId="3B0FFD83" w14:textId="77777777" w:rsidR="009260DE" w:rsidRPr="00C84483" w:rsidRDefault="009260DE" w:rsidP="009260DE">
      <w:pPr>
        <w:tabs>
          <w:tab w:val="left" w:pos="851"/>
        </w:tabs>
        <w:ind w:left="851" w:hanging="851"/>
        <w:rPr>
          <w:b/>
          <w:sz w:val="24"/>
          <w:szCs w:val="24"/>
        </w:rPr>
      </w:pPr>
      <w:r w:rsidRPr="00C84483">
        <w:rPr>
          <w:b/>
          <w:sz w:val="24"/>
          <w:szCs w:val="24"/>
        </w:rPr>
        <w:t>4.3</w:t>
      </w:r>
      <w:r w:rsidRPr="00C84483">
        <w:rPr>
          <w:b/>
          <w:sz w:val="24"/>
          <w:szCs w:val="24"/>
        </w:rPr>
        <w:tab/>
        <w:t>Kontraindikationer</w:t>
      </w:r>
    </w:p>
    <w:p w14:paraId="36733D35" w14:textId="77777777" w:rsidR="005B68A3" w:rsidRPr="005B68A3" w:rsidRDefault="005B68A3" w:rsidP="004B6B18">
      <w:pPr>
        <w:numPr>
          <w:ilvl w:val="2"/>
          <w:numId w:val="6"/>
        </w:numPr>
        <w:tabs>
          <w:tab w:val="left" w:pos="851"/>
        </w:tabs>
        <w:ind w:left="1134" w:hanging="283"/>
        <w:rPr>
          <w:sz w:val="24"/>
          <w:szCs w:val="24"/>
        </w:rPr>
      </w:pPr>
      <w:r w:rsidRPr="005B68A3">
        <w:rPr>
          <w:sz w:val="24"/>
          <w:szCs w:val="24"/>
        </w:rPr>
        <w:t>Overfølsomhed over for det aktive stof eller over for et eller flere af hjælpestofferne anført i pkt. 6.1</w:t>
      </w:r>
    </w:p>
    <w:p w14:paraId="7DFFFB22" w14:textId="77777777" w:rsidR="005B68A3" w:rsidRPr="005B68A3" w:rsidRDefault="005B68A3" w:rsidP="004B6B18">
      <w:pPr>
        <w:numPr>
          <w:ilvl w:val="2"/>
          <w:numId w:val="6"/>
        </w:numPr>
        <w:tabs>
          <w:tab w:val="left" w:pos="851"/>
        </w:tabs>
        <w:ind w:left="1134" w:hanging="283"/>
        <w:rPr>
          <w:sz w:val="24"/>
          <w:szCs w:val="24"/>
        </w:rPr>
      </w:pPr>
      <w:r w:rsidRPr="005B68A3">
        <w:rPr>
          <w:sz w:val="24"/>
          <w:szCs w:val="24"/>
        </w:rPr>
        <w:t>Svære gastrointestinale problemer (f.eks. svær colitis ulcerosa eller toksisk megakolon)</w:t>
      </w:r>
    </w:p>
    <w:p w14:paraId="6052423B" w14:textId="77777777" w:rsidR="005B68A3" w:rsidRPr="005B68A3" w:rsidRDefault="005B68A3" w:rsidP="004B6B18">
      <w:pPr>
        <w:numPr>
          <w:ilvl w:val="2"/>
          <w:numId w:val="6"/>
        </w:numPr>
        <w:tabs>
          <w:tab w:val="left" w:pos="851"/>
        </w:tabs>
        <w:ind w:left="1134" w:hanging="283"/>
        <w:rPr>
          <w:sz w:val="24"/>
          <w:szCs w:val="24"/>
        </w:rPr>
      </w:pPr>
      <w:r w:rsidRPr="005B68A3">
        <w:rPr>
          <w:sz w:val="24"/>
          <w:szCs w:val="24"/>
        </w:rPr>
        <w:t>Myasthenia gravis</w:t>
      </w:r>
    </w:p>
    <w:p w14:paraId="4EC3CD70" w14:textId="77777777" w:rsidR="005B68A3" w:rsidRPr="005B68A3" w:rsidRDefault="005B68A3" w:rsidP="004B6B18">
      <w:pPr>
        <w:numPr>
          <w:ilvl w:val="2"/>
          <w:numId w:val="6"/>
        </w:numPr>
        <w:tabs>
          <w:tab w:val="left" w:pos="851"/>
        </w:tabs>
        <w:ind w:left="1134" w:hanging="283"/>
        <w:rPr>
          <w:sz w:val="24"/>
          <w:szCs w:val="24"/>
        </w:rPr>
      </w:pPr>
      <w:r w:rsidRPr="005B68A3">
        <w:rPr>
          <w:sz w:val="24"/>
          <w:szCs w:val="24"/>
        </w:rPr>
        <w:t>Snævervinklet glaukom og patienter med risiko for dette.</w:t>
      </w:r>
    </w:p>
    <w:p w14:paraId="48AD3321" w14:textId="77777777" w:rsidR="005B68A3" w:rsidRPr="005B68A3" w:rsidRDefault="005B68A3" w:rsidP="004B6B18">
      <w:pPr>
        <w:numPr>
          <w:ilvl w:val="2"/>
          <w:numId w:val="6"/>
        </w:numPr>
        <w:tabs>
          <w:tab w:val="left" w:pos="851"/>
        </w:tabs>
        <w:ind w:left="1134" w:hanging="283"/>
        <w:rPr>
          <w:sz w:val="24"/>
          <w:szCs w:val="24"/>
        </w:rPr>
      </w:pPr>
      <w:r w:rsidRPr="005B68A3">
        <w:rPr>
          <w:sz w:val="24"/>
          <w:szCs w:val="24"/>
        </w:rPr>
        <w:t>Patienter med urinobstruktion, hvor der kan forekomme urinretention.</w:t>
      </w:r>
    </w:p>
    <w:p w14:paraId="378F52FA" w14:textId="77777777" w:rsidR="005B68A3" w:rsidRPr="005B68A3" w:rsidRDefault="005B68A3" w:rsidP="004B6B18">
      <w:pPr>
        <w:numPr>
          <w:ilvl w:val="2"/>
          <w:numId w:val="6"/>
        </w:numPr>
        <w:tabs>
          <w:tab w:val="left" w:pos="851"/>
        </w:tabs>
        <w:ind w:left="1134" w:hanging="283"/>
        <w:rPr>
          <w:sz w:val="24"/>
          <w:szCs w:val="24"/>
        </w:rPr>
      </w:pPr>
      <w:r w:rsidRPr="005B68A3">
        <w:rPr>
          <w:sz w:val="24"/>
          <w:szCs w:val="24"/>
        </w:rPr>
        <w:t>Hyppig vandladning om natten forårsaget af hjerte- eller nyresygdom.</w:t>
      </w:r>
    </w:p>
    <w:p w14:paraId="106F206F" w14:textId="77777777" w:rsidR="005B68A3" w:rsidRPr="005B68A3" w:rsidRDefault="005B68A3" w:rsidP="004B6B18">
      <w:pPr>
        <w:numPr>
          <w:ilvl w:val="2"/>
          <w:numId w:val="6"/>
        </w:numPr>
        <w:tabs>
          <w:tab w:val="left" w:pos="851"/>
        </w:tabs>
        <w:ind w:left="1134" w:hanging="283"/>
        <w:rPr>
          <w:sz w:val="24"/>
          <w:szCs w:val="24"/>
        </w:rPr>
      </w:pPr>
      <w:r w:rsidRPr="005B68A3">
        <w:rPr>
          <w:sz w:val="24"/>
          <w:szCs w:val="24"/>
        </w:rPr>
        <w:t>Samtidig iltbehandling</w:t>
      </w:r>
    </w:p>
    <w:p w14:paraId="39E431BA" w14:textId="77777777" w:rsidR="009260DE" w:rsidRPr="00C84483" w:rsidRDefault="009260DE" w:rsidP="009260DE">
      <w:pPr>
        <w:tabs>
          <w:tab w:val="left" w:pos="851"/>
        </w:tabs>
        <w:ind w:left="851"/>
        <w:rPr>
          <w:sz w:val="24"/>
          <w:szCs w:val="24"/>
        </w:rPr>
      </w:pPr>
    </w:p>
    <w:p w14:paraId="02547DDF" w14:textId="77777777" w:rsidR="009260DE" w:rsidRPr="00C84483" w:rsidRDefault="009260DE" w:rsidP="009260DE">
      <w:pPr>
        <w:tabs>
          <w:tab w:val="left" w:pos="851"/>
        </w:tabs>
        <w:ind w:left="851" w:hanging="851"/>
        <w:rPr>
          <w:b/>
          <w:sz w:val="24"/>
          <w:szCs w:val="24"/>
        </w:rPr>
      </w:pPr>
      <w:r w:rsidRPr="00C84483">
        <w:rPr>
          <w:b/>
          <w:sz w:val="24"/>
          <w:szCs w:val="24"/>
        </w:rPr>
        <w:t>4.4</w:t>
      </w:r>
      <w:r w:rsidRPr="00C84483">
        <w:rPr>
          <w:b/>
          <w:sz w:val="24"/>
          <w:szCs w:val="24"/>
        </w:rPr>
        <w:tab/>
        <w:t>Særlige advarsler og forsigtighedsregler vedrørende brugen</w:t>
      </w:r>
    </w:p>
    <w:p w14:paraId="2C0D2494" w14:textId="77777777" w:rsidR="005B68A3" w:rsidRPr="005B68A3" w:rsidRDefault="005B68A3" w:rsidP="005B68A3">
      <w:pPr>
        <w:tabs>
          <w:tab w:val="left" w:pos="851"/>
        </w:tabs>
        <w:ind w:left="851"/>
        <w:rPr>
          <w:sz w:val="24"/>
          <w:szCs w:val="24"/>
        </w:rPr>
      </w:pPr>
      <w:r w:rsidRPr="005B68A3">
        <w:rPr>
          <w:sz w:val="24"/>
          <w:szCs w:val="24"/>
        </w:rPr>
        <w:t>I tilfælde af urinvejsinfektion skal en passende antibakteriel behandling igangsættes.</w:t>
      </w:r>
    </w:p>
    <w:p w14:paraId="0F410820" w14:textId="77777777" w:rsidR="005B68A3" w:rsidRPr="005B68A3" w:rsidRDefault="005B68A3" w:rsidP="005B68A3">
      <w:pPr>
        <w:tabs>
          <w:tab w:val="left" w:pos="851"/>
        </w:tabs>
        <w:ind w:left="851"/>
        <w:rPr>
          <w:sz w:val="24"/>
          <w:szCs w:val="24"/>
        </w:rPr>
      </w:pPr>
    </w:p>
    <w:p w14:paraId="4CE17C9B" w14:textId="77777777" w:rsidR="005B68A3" w:rsidRPr="005B68A3" w:rsidRDefault="005B68A3" w:rsidP="005B68A3">
      <w:pPr>
        <w:tabs>
          <w:tab w:val="left" w:pos="851"/>
        </w:tabs>
        <w:ind w:left="851"/>
        <w:rPr>
          <w:sz w:val="24"/>
          <w:szCs w:val="24"/>
        </w:rPr>
      </w:pPr>
      <w:r w:rsidRPr="005B68A3">
        <w:rPr>
          <w:sz w:val="24"/>
          <w:szCs w:val="24"/>
        </w:rPr>
        <w:t>Vesolox bør anvendes med forsigtighed hos ældre patienter, der kan være mere følsomme over for effekten af centralt virkende antikolinergika.</w:t>
      </w:r>
    </w:p>
    <w:p w14:paraId="01761D01" w14:textId="77777777" w:rsidR="005B68A3" w:rsidRPr="005B68A3" w:rsidRDefault="005B68A3" w:rsidP="005B68A3">
      <w:pPr>
        <w:tabs>
          <w:tab w:val="left" w:pos="851"/>
        </w:tabs>
        <w:ind w:left="851"/>
        <w:rPr>
          <w:sz w:val="24"/>
          <w:szCs w:val="24"/>
        </w:rPr>
      </w:pPr>
    </w:p>
    <w:p w14:paraId="2B4368E9" w14:textId="77777777" w:rsidR="005B68A3" w:rsidRPr="005B68A3" w:rsidRDefault="005B68A3" w:rsidP="005B68A3">
      <w:pPr>
        <w:tabs>
          <w:tab w:val="left" w:pos="851"/>
        </w:tabs>
        <w:ind w:left="851"/>
        <w:rPr>
          <w:sz w:val="24"/>
          <w:szCs w:val="24"/>
        </w:rPr>
      </w:pPr>
      <w:r w:rsidRPr="005B68A3">
        <w:rPr>
          <w:sz w:val="24"/>
          <w:szCs w:val="24"/>
        </w:rPr>
        <w:t xml:space="preserve">Antikolinerge effekter som psykiatriske bivirkninger og bivirkninger i centralnervesystemet, f.eks. søvnforstyrrelser (såsom søvnløshed) og kognitive forstyrrelser, har været forbundet med brug af oxybutynin, navnlig hos ældre patienter (over 65 år). Der skal udvises forsigtighed, når oxybutynin administreres samtidig med </w:t>
      </w:r>
      <w:r w:rsidRPr="005B68A3">
        <w:rPr>
          <w:sz w:val="24"/>
          <w:szCs w:val="24"/>
        </w:rPr>
        <w:lastRenderedPageBreak/>
        <w:t>andre antikolinerge lægemidler (se også pkt. 4.5). Hvis en patient oplever sådanne bivirkninger, bør seponering af medicinen overvejes.</w:t>
      </w:r>
    </w:p>
    <w:p w14:paraId="541C794D" w14:textId="77777777" w:rsidR="005B68A3" w:rsidRPr="005B68A3" w:rsidRDefault="005B68A3" w:rsidP="005B68A3">
      <w:pPr>
        <w:tabs>
          <w:tab w:val="left" w:pos="851"/>
        </w:tabs>
        <w:ind w:left="851"/>
        <w:rPr>
          <w:sz w:val="24"/>
          <w:szCs w:val="24"/>
        </w:rPr>
      </w:pPr>
    </w:p>
    <w:p w14:paraId="63666F53" w14:textId="77777777" w:rsidR="005B68A3" w:rsidRPr="005B68A3" w:rsidRDefault="005B68A3" w:rsidP="005B68A3">
      <w:pPr>
        <w:tabs>
          <w:tab w:val="left" w:pos="851"/>
        </w:tabs>
        <w:ind w:left="851"/>
        <w:rPr>
          <w:sz w:val="24"/>
          <w:szCs w:val="24"/>
        </w:rPr>
      </w:pPr>
      <w:r w:rsidRPr="005B68A3">
        <w:rPr>
          <w:sz w:val="24"/>
          <w:szCs w:val="24"/>
        </w:rPr>
        <w:t>Sublinguale nitrater kan måske ikke blive opløst under tungen på grund af mundtørhed, hvilket kan føre til nedsat terapeutisk effekt (se pkt. 4.5).</w:t>
      </w:r>
    </w:p>
    <w:p w14:paraId="6BC9BE55" w14:textId="77777777" w:rsidR="005B68A3" w:rsidRPr="005B68A3" w:rsidRDefault="005B68A3" w:rsidP="005B68A3">
      <w:pPr>
        <w:tabs>
          <w:tab w:val="left" w:pos="851"/>
        </w:tabs>
        <w:ind w:left="851"/>
        <w:rPr>
          <w:sz w:val="24"/>
          <w:szCs w:val="24"/>
        </w:rPr>
      </w:pPr>
    </w:p>
    <w:p w14:paraId="3597B465" w14:textId="77777777" w:rsidR="005B68A3" w:rsidRPr="005B68A3" w:rsidRDefault="005B68A3" w:rsidP="005B68A3">
      <w:pPr>
        <w:tabs>
          <w:tab w:val="left" w:pos="851"/>
        </w:tabs>
        <w:ind w:left="851"/>
        <w:rPr>
          <w:sz w:val="24"/>
          <w:szCs w:val="24"/>
        </w:rPr>
      </w:pPr>
      <w:r w:rsidRPr="005B68A3">
        <w:rPr>
          <w:sz w:val="24"/>
          <w:szCs w:val="24"/>
        </w:rPr>
        <w:t>Brug/administration af oxybutynin-produkter kan kræve følgende forsigtighedsregler:</w:t>
      </w:r>
    </w:p>
    <w:p w14:paraId="17F067BA" w14:textId="77777777" w:rsidR="005B68A3" w:rsidRPr="005B68A3" w:rsidRDefault="005B68A3" w:rsidP="005B68A3">
      <w:pPr>
        <w:tabs>
          <w:tab w:val="left" w:pos="851"/>
        </w:tabs>
        <w:ind w:left="851"/>
        <w:rPr>
          <w:sz w:val="24"/>
          <w:szCs w:val="24"/>
        </w:rPr>
      </w:pPr>
    </w:p>
    <w:p w14:paraId="7CC806A9" w14:textId="77777777" w:rsidR="005B68A3" w:rsidRPr="005B68A3" w:rsidRDefault="005B68A3" w:rsidP="005B68A3">
      <w:pPr>
        <w:tabs>
          <w:tab w:val="left" w:pos="851"/>
        </w:tabs>
        <w:ind w:left="851"/>
        <w:rPr>
          <w:i/>
          <w:sz w:val="24"/>
          <w:szCs w:val="24"/>
        </w:rPr>
      </w:pPr>
      <w:r w:rsidRPr="005B68A3">
        <w:rPr>
          <w:i/>
          <w:sz w:val="24"/>
          <w:szCs w:val="24"/>
        </w:rPr>
        <w:t>Mave-tarm-kanalen</w:t>
      </w:r>
    </w:p>
    <w:p w14:paraId="20B47529" w14:textId="77777777" w:rsidR="005B68A3" w:rsidRPr="005B68A3" w:rsidRDefault="005B68A3" w:rsidP="005B68A3">
      <w:pPr>
        <w:tabs>
          <w:tab w:val="left" w:pos="851"/>
        </w:tabs>
        <w:ind w:left="851"/>
        <w:rPr>
          <w:sz w:val="24"/>
          <w:szCs w:val="24"/>
        </w:rPr>
      </w:pPr>
      <w:r w:rsidRPr="005B68A3">
        <w:rPr>
          <w:sz w:val="24"/>
          <w:szCs w:val="24"/>
        </w:rPr>
        <w:t>Antikolinergika kan nedsætte den gastrointestinale motilitet og bør ordineres med forsigtighed til patienter med obstruktive forstyrrelser i mave-tarm-kanalen på grund af risikoen for gastrisk retention. De bør også anvendes med forsigtighed hos patienter, der har hiatus hernia/gastroøsofageal refluks.</w:t>
      </w:r>
    </w:p>
    <w:p w14:paraId="45FF71CC" w14:textId="77777777" w:rsidR="005B68A3" w:rsidRPr="005B68A3" w:rsidRDefault="005B68A3" w:rsidP="005B68A3">
      <w:pPr>
        <w:tabs>
          <w:tab w:val="left" w:pos="851"/>
        </w:tabs>
        <w:ind w:left="851"/>
        <w:rPr>
          <w:sz w:val="24"/>
          <w:szCs w:val="24"/>
        </w:rPr>
      </w:pPr>
    </w:p>
    <w:p w14:paraId="73BD7905" w14:textId="77777777" w:rsidR="005B68A3" w:rsidRPr="005B68A3" w:rsidRDefault="005B68A3" w:rsidP="005B68A3">
      <w:pPr>
        <w:tabs>
          <w:tab w:val="left" w:pos="851"/>
        </w:tabs>
        <w:ind w:left="851"/>
        <w:rPr>
          <w:sz w:val="24"/>
          <w:szCs w:val="24"/>
        </w:rPr>
      </w:pPr>
      <w:r w:rsidRPr="005B68A3">
        <w:rPr>
          <w:sz w:val="24"/>
          <w:szCs w:val="24"/>
        </w:rPr>
        <w:t>Antikolinerge lægemidler bør også anvendes med forsigtighed hos patienter, der lider af autonom neuropati eller kognitiv svækkelse, og hos patienter med lever- eller nyresygdom (se pkt. 4.2).</w:t>
      </w:r>
    </w:p>
    <w:p w14:paraId="46D8B3D2" w14:textId="77777777" w:rsidR="005B68A3" w:rsidRPr="005B68A3" w:rsidRDefault="005B68A3" w:rsidP="005B68A3">
      <w:pPr>
        <w:tabs>
          <w:tab w:val="left" w:pos="851"/>
        </w:tabs>
        <w:ind w:left="851"/>
        <w:rPr>
          <w:sz w:val="24"/>
          <w:szCs w:val="24"/>
        </w:rPr>
      </w:pPr>
    </w:p>
    <w:p w14:paraId="027754A3" w14:textId="77777777" w:rsidR="005B68A3" w:rsidRPr="005B68A3" w:rsidRDefault="005B68A3" w:rsidP="005B68A3">
      <w:pPr>
        <w:tabs>
          <w:tab w:val="left" w:pos="851"/>
        </w:tabs>
        <w:ind w:left="851"/>
        <w:rPr>
          <w:sz w:val="24"/>
          <w:szCs w:val="24"/>
        </w:rPr>
      </w:pPr>
      <w:r w:rsidRPr="005B68A3">
        <w:rPr>
          <w:sz w:val="24"/>
          <w:szCs w:val="24"/>
        </w:rPr>
        <w:t>Patienterne skal oplyses om, at prostration (feber og hedeslag på grund af nedsat svedproduktion) kan forekomme, når antikolinergika som f.eks. oxybutynin anvendes i varme omgivelser.</w:t>
      </w:r>
    </w:p>
    <w:p w14:paraId="36F6A06C" w14:textId="77777777" w:rsidR="005B68A3" w:rsidRPr="005B68A3" w:rsidRDefault="005B68A3" w:rsidP="005B68A3">
      <w:pPr>
        <w:tabs>
          <w:tab w:val="left" w:pos="851"/>
        </w:tabs>
        <w:ind w:left="851"/>
        <w:rPr>
          <w:sz w:val="24"/>
          <w:szCs w:val="24"/>
        </w:rPr>
      </w:pPr>
    </w:p>
    <w:p w14:paraId="2E751359" w14:textId="77777777" w:rsidR="005B68A3" w:rsidRPr="005B68A3" w:rsidRDefault="005B68A3" w:rsidP="005B68A3">
      <w:pPr>
        <w:tabs>
          <w:tab w:val="left" w:pos="851"/>
        </w:tabs>
        <w:ind w:left="851"/>
        <w:rPr>
          <w:sz w:val="24"/>
          <w:szCs w:val="24"/>
        </w:rPr>
      </w:pPr>
      <w:r w:rsidRPr="005B68A3">
        <w:rPr>
          <w:sz w:val="24"/>
          <w:szCs w:val="24"/>
        </w:rPr>
        <w:t>Oxybutynin kan forværre symptomer på hyperthyroidisme, koronar hjertesygdom, kongestivt hjertesvigt, hjertearytmier, takykardi, hypertension og prostatahypertrofi.</w:t>
      </w:r>
    </w:p>
    <w:p w14:paraId="5C740C15" w14:textId="77777777" w:rsidR="005B68A3" w:rsidRPr="005B68A3" w:rsidRDefault="005B68A3" w:rsidP="005B68A3">
      <w:pPr>
        <w:tabs>
          <w:tab w:val="left" w:pos="851"/>
        </w:tabs>
        <w:ind w:left="851"/>
        <w:rPr>
          <w:sz w:val="24"/>
          <w:szCs w:val="24"/>
        </w:rPr>
      </w:pPr>
    </w:p>
    <w:p w14:paraId="6B0057CB" w14:textId="77777777" w:rsidR="005B68A3" w:rsidRPr="005B68A3" w:rsidRDefault="005B68A3" w:rsidP="005B68A3">
      <w:pPr>
        <w:tabs>
          <w:tab w:val="left" w:pos="851"/>
        </w:tabs>
        <w:ind w:left="851"/>
        <w:rPr>
          <w:sz w:val="24"/>
          <w:szCs w:val="24"/>
        </w:rPr>
      </w:pPr>
      <w:r w:rsidRPr="005B68A3">
        <w:rPr>
          <w:sz w:val="24"/>
          <w:szCs w:val="24"/>
        </w:rPr>
        <w:t>Da oxybutynin kan udløse snævervinklet glaukom, bør patienterne instrueres i straks at søge læge, hvis de bemærker et pludseligt tab af synsskarphed eller smerter i øjnene. Synsskarphed og intraokulært tryk bør indimellem tjekkes under behandlingen.</w:t>
      </w:r>
    </w:p>
    <w:p w14:paraId="0735029B" w14:textId="77777777" w:rsidR="005B68A3" w:rsidRPr="005B68A3" w:rsidRDefault="005B68A3" w:rsidP="005B68A3">
      <w:pPr>
        <w:tabs>
          <w:tab w:val="left" w:pos="851"/>
        </w:tabs>
        <w:ind w:left="851"/>
        <w:rPr>
          <w:sz w:val="24"/>
          <w:szCs w:val="24"/>
        </w:rPr>
      </w:pPr>
    </w:p>
    <w:p w14:paraId="17B1B187" w14:textId="77777777" w:rsidR="005B68A3" w:rsidRPr="005B68A3" w:rsidRDefault="005B68A3" w:rsidP="005B68A3">
      <w:pPr>
        <w:tabs>
          <w:tab w:val="left" w:pos="851"/>
        </w:tabs>
        <w:ind w:left="851"/>
        <w:rPr>
          <w:sz w:val="24"/>
          <w:szCs w:val="24"/>
        </w:rPr>
      </w:pPr>
      <w:r w:rsidRPr="005B68A3">
        <w:rPr>
          <w:sz w:val="24"/>
          <w:szCs w:val="24"/>
        </w:rPr>
        <w:t>Oxybutynin kan medføre undertrykkelse af spytsekretionen, hvilket kan forårsage caries, parodontose eller svamp i munden.</w:t>
      </w:r>
    </w:p>
    <w:p w14:paraId="16F44AE2" w14:textId="77777777" w:rsidR="005B68A3" w:rsidRPr="005B68A3" w:rsidRDefault="005B68A3" w:rsidP="005B68A3">
      <w:pPr>
        <w:tabs>
          <w:tab w:val="left" w:pos="851"/>
        </w:tabs>
        <w:ind w:left="851"/>
        <w:rPr>
          <w:sz w:val="24"/>
          <w:szCs w:val="24"/>
        </w:rPr>
      </w:pPr>
    </w:p>
    <w:p w14:paraId="34E9747A" w14:textId="77777777" w:rsidR="005B68A3" w:rsidRPr="005B68A3" w:rsidRDefault="005B68A3" w:rsidP="005B68A3">
      <w:pPr>
        <w:tabs>
          <w:tab w:val="left" w:pos="851"/>
        </w:tabs>
        <w:ind w:left="851"/>
        <w:rPr>
          <w:sz w:val="24"/>
          <w:szCs w:val="24"/>
        </w:rPr>
      </w:pPr>
      <w:r w:rsidRPr="005B68A3">
        <w:rPr>
          <w:sz w:val="24"/>
          <w:szCs w:val="24"/>
        </w:rPr>
        <w:t>Risikoen for antikolinerge bivirkninger er markant lavere ved intravesikal anvendelse end ved oral administration. Dette skyldes sandsynligvis, at oxybutynin absorberes over en længere periode med et forsinket maksimalt serumniveau og med en lavere grad af metabolisering til den aktive metabolit N-desethyloxybutynin, som er den væsentligste årsag til disse bivirkninger.</w:t>
      </w:r>
    </w:p>
    <w:p w14:paraId="7B2644E2" w14:textId="77777777" w:rsidR="005B68A3" w:rsidRPr="005B68A3" w:rsidRDefault="005B68A3" w:rsidP="005B68A3">
      <w:pPr>
        <w:tabs>
          <w:tab w:val="left" w:pos="851"/>
        </w:tabs>
        <w:ind w:left="851"/>
        <w:rPr>
          <w:sz w:val="24"/>
          <w:szCs w:val="24"/>
        </w:rPr>
      </w:pPr>
    </w:p>
    <w:p w14:paraId="062D86C5" w14:textId="77777777" w:rsidR="005B68A3" w:rsidRPr="005B68A3" w:rsidRDefault="005B68A3" w:rsidP="005B68A3">
      <w:pPr>
        <w:tabs>
          <w:tab w:val="left" w:pos="851"/>
        </w:tabs>
        <w:ind w:left="851"/>
        <w:rPr>
          <w:sz w:val="24"/>
          <w:szCs w:val="24"/>
        </w:rPr>
      </w:pPr>
      <w:r w:rsidRPr="005B68A3">
        <w:rPr>
          <w:sz w:val="24"/>
          <w:szCs w:val="24"/>
          <w:u w:val="single"/>
        </w:rPr>
        <w:t>Pædiatrisk population</w:t>
      </w:r>
    </w:p>
    <w:p w14:paraId="1B97E000" w14:textId="77777777" w:rsidR="005B68A3" w:rsidRPr="005B68A3" w:rsidRDefault="005B68A3" w:rsidP="005B68A3">
      <w:pPr>
        <w:tabs>
          <w:tab w:val="left" w:pos="851"/>
        </w:tabs>
        <w:ind w:left="851"/>
        <w:rPr>
          <w:sz w:val="24"/>
          <w:szCs w:val="24"/>
        </w:rPr>
      </w:pPr>
      <w:r w:rsidRPr="005B68A3">
        <w:rPr>
          <w:sz w:val="24"/>
          <w:szCs w:val="24"/>
        </w:rPr>
        <w:t>Vesolox bør anvendes med forsigtighed til børn, da de kan være mere følsomme over for produktets effekt, navnlig bivirkninger i centralnervesystemet og psykiatriske bivirkninger.</w:t>
      </w:r>
    </w:p>
    <w:p w14:paraId="2C792ED3" w14:textId="77777777" w:rsidR="005B68A3" w:rsidRPr="005B68A3" w:rsidRDefault="005B68A3" w:rsidP="005B68A3">
      <w:pPr>
        <w:tabs>
          <w:tab w:val="left" w:pos="851"/>
        </w:tabs>
        <w:ind w:left="851"/>
        <w:rPr>
          <w:sz w:val="24"/>
          <w:szCs w:val="24"/>
        </w:rPr>
      </w:pPr>
    </w:p>
    <w:p w14:paraId="400631CA" w14:textId="77777777" w:rsidR="005B68A3" w:rsidRPr="005B68A3" w:rsidRDefault="005B68A3" w:rsidP="005B68A3">
      <w:pPr>
        <w:tabs>
          <w:tab w:val="left" w:pos="851"/>
        </w:tabs>
        <w:ind w:left="851"/>
        <w:rPr>
          <w:sz w:val="24"/>
          <w:szCs w:val="24"/>
        </w:rPr>
      </w:pPr>
      <w:r w:rsidRPr="005B68A3">
        <w:rPr>
          <w:sz w:val="24"/>
          <w:szCs w:val="24"/>
        </w:rPr>
        <w:t>Hos børn i længerevarende behandling med intravesikal oxybutynin er der observeret øget forekomst af asymptomatisk bakteriuri og nedre urinvejsinfektioner. Ved urinvejsinfektioner under behandling med oxybutynin skal der igangsættes passende antibakteriel behandling.</w:t>
      </w:r>
    </w:p>
    <w:p w14:paraId="48B0E3C1" w14:textId="77777777" w:rsidR="005B68A3" w:rsidRPr="005B68A3" w:rsidRDefault="005B68A3" w:rsidP="005B68A3">
      <w:pPr>
        <w:tabs>
          <w:tab w:val="left" w:pos="851"/>
        </w:tabs>
        <w:ind w:left="851"/>
        <w:rPr>
          <w:sz w:val="24"/>
          <w:szCs w:val="24"/>
        </w:rPr>
      </w:pPr>
    </w:p>
    <w:p w14:paraId="451E46FE" w14:textId="77777777" w:rsidR="005B68A3" w:rsidRPr="005B68A3" w:rsidRDefault="005B68A3" w:rsidP="005B68A3">
      <w:pPr>
        <w:tabs>
          <w:tab w:val="left" w:pos="851"/>
        </w:tabs>
        <w:ind w:left="851"/>
        <w:rPr>
          <w:sz w:val="24"/>
          <w:szCs w:val="24"/>
        </w:rPr>
      </w:pPr>
      <w:r w:rsidRPr="005B68A3">
        <w:rPr>
          <w:sz w:val="24"/>
          <w:szCs w:val="24"/>
        </w:rPr>
        <w:t>Dette lægemiddel indeholder 3,56 mg natrium pr. ml, svarende til 0,18 % af den WHO-anbefalede maksimale daglige indtagelse af 2 g natrium for en voksen.</w:t>
      </w:r>
    </w:p>
    <w:p w14:paraId="35965CFC" w14:textId="042031B4" w:rsidR="004B6B18" w:rsidRDefault="004B6B18">
      <w:pPr>
        <w:rPr>
          <w:sz w:val="24"/>
          <w:szCs w:val="24"/>
        </w:rPr>
      </w:pPr>
      <w:r>
        <w:rPr>
          <w:sz w:val="24"/>
          <w:szCs w:val="24"/>
        </w:rPr>
        <w:br w:type="page"/>
      </w:r>
    </w:p>
    <w:p w14:paraId="621F797D" w14:textId="77777777" w:rsidR="005B68A3" w:rsidRPr="005B68A3" w:rsidRDefault="005B68A3" w:rsidP="005B68A3">
      <w:pPr>
        <w:tabs>
          <w:tab w:val="left" w:pos="851"/>
        </w:tabs>
        <w:ind w:left="851"/>
        <w:rPr>
          <w:sz w:val="24"/>
          <w:szCs w:val="24"/>
        </w:rPr>
      </w:pPr>
    </w:p>
    <w:p w14:paraId="2765438A" w14:textId="77777777" w:rsidR="009260DE" w:rsidRPr="00C84483" w:rsidRDefault="009260DE" w:rsidP="009260DE">
      <w:pPr>
        <w:tabs>
          <w:tab w:val="left" w:pos="851"/>
        </w:tabs>
        <w:ind w:left="851" w:hanging="851"/>
        <w:rPr>
          <w:b/>
          <w:sz w:val="24"/>
          <w:szCs w:val="24"/>
        </w:rPr>
      </w:pPr>
      <w:r w:rsidRPr="00C84483">
        <w:rPr>
          <w:b/>
          <w:sz w:val="24"/>
          <w:szCs w:val="24"/>
        </w:rPr>
        <w:t>4.5</w:t>
      </w:r>
      <w:r w:rsidRPr="00C84483">
        <w:rPr>
          <w:b/>
          <w:sz w:val="24"/>
          <w:szCs w:val="24"/>
        </w:rPr>
        <w:tab/>
        <w:t>Interaktion med andre lægemidler og andre former for interaktion</w:t>
      </w:r>
    </w:p>
    <w:p w14:paraId="378F4363" w14:textId="77777777" w:rsidR="005B68A3" w:rsidRPr="005B68A3" w:rsidRDefault="005B68A3" w:rsidP="005B68A3">
      <w:pPr>
        <w:tabs>
          <w:tab w:val="left" w:pos="851"/>
        </w:tabs>
        <w:ind w:left="851"/>
        <w:rPr>
          <w:sz w:val="24"/>
          <w:szCs w:val="24"/>
        </w:rPr>
      </w:pPr>
      <w:r w:rsidRPr="005B68A3">
        <w:rPr>
          <w:sz w:val="24"/>
          <w:szCs w:val="24"/>
        </w:rPr>
        <w:t>Antikolinergika kan potentielt ændre absorptionen af visse samtidigt administrerede lægemidler på grund af den antikolinerge effekt på den gastrointestinale motilitet.</w:t>
      </w:r>
    </w:p>
    <w:p w14:paraId="0E18F01B" w14:textId="77777777" w:rsidR="005B68A3" w:rsidRPr="005B68A3" w:rsidRDefault="005B68A3" w:rsidP="005B68A3">
      <w:pPr>
        <w:tabs>
          <w:tab w:val="left" w:pos="851"/>
        </w:tabs>
        <w:ind w:left="851"/>
        <w:rPr>
          <w:sz w:val="24"/>
          <w:szCs w:val="24"/>
        </w:rPr>
      </w:pPr>
    </w:p>
    <w:p w14:paraId="6DBFE5B1" w14:textId="77777777" w:rsidR="005B68A3" w:rsidRPr="005B68A3" w:rsidRDefault="005B68A3" w:rsidP="005B68A3">
      <w:pPr>
        <w:tabs>
          <w:tab w:val="left" w:pos="851"/>
        </w:tabs>
        <w:ind w:left="851"/>
        <w:rPr>
          <w:sz w:val="24"/>
          <w:szCs w:val="24"/>
        </w:rPr>
      </w:pPr>
      <w:r w:rsidRPr="005B68A3">
        <w:rPr>
          <w:sz w:val="24"/>
          <w:szCs w:val="24"/>
        </w:rPr>
        <w:t>Antikolinergika skal anvendes med forsigtighed hos patienter, der samtidig indtager lægemidler, som kan forårsage eller forværre øsofagitis (f.eks. bisfosfonater).</w:t>
      </w:r>
    </w:p>
    <w:p w14:paraId="75DBA5BE" w14:textId="77777777" w:rsidR="005B68A3" w:rsidRPr="005B68A3" w:rsidRDefault="005B68A3" w:rsidP="005B68A3">
      <w:pPr>
        <w:tabs>
          <w:tab w:val="left" w:pos="851"/>
        </w:tabs>
        <w:ind w:left="851"/>
        <w:rPr>
          <w:sz w:val="24"/>
          <w:szCs w:val="24"/>
        </w:rPr>
      </w:pPr>
    </w:p>
    <w:p w14:paraId="06726057" w14:textId="77777777" w:rsidR="005B68A3" w:rsidRPr="005B68A3" w:rsidRDefault="005B68A3" w:rsidP="005B68A3">
      <w:pPr>
        <w:tabs>
          <w:tab w:val="left" w:pos="851"/>
        </w:tabs>
        <w:ind w:left="851"/>
        <w:rPr>
          <w:sz w:val="24"/>
          <w:szCs w:val="24"/>
        </w:rPr>
      </w:pPr>
      <w:r w:rsidRPr="005B68A3">
        <w:rPr>
          <w:sz w:val="24"/>
          <w:szCs w:val="24"/>
        </w:rPr>
        <w:t>På grund af mundtørhed kan sublingualt administrerede nitrater blive opløst i mindre grad, hvilket kan føre til nedsat terapeutisk effekt af nitraterne. Patienter i behandling med sublinguale nitrater bør derfor instrueres i at fugte mundslimhinden inden brug (se pkt. 4.4).</w:t>
      </w:r>
    </w:p>
    <w:p w14:paraId="6CE695E3" w14:textId="77777777" w:rsidR="005B68A3" w:rsidRPr="005B68A3" w:rsidRDefault="005B68A3" w:rsidP="005B68A3">
      <w:pPr>
        <w:tabs>
          <w:tab w:val="left" w:pos="851"/>
        </w:tabs>
        <w:ind w:left="851"/>
        <w:rPr>
          <w:sz w:val="24"/>
          <w:szCs w:val="24"/>
        </w:rPr>
      </w:pPr>
    </w:p>
    <w:p w14:paraId="65110CB7" w14:textId="77777777" w:rsidR="005B68A3" w:rsidRPr="005B68A3" w:rsidRDefault="005B68A3" w:rsidP="005B68A3">
      <w:pPr>
        <w:tabs>
          <w:tab w:val="left" w:pos="851"/>
        </w:tabs>
        <w:ind w:left="851"/>
        <w:rPr>
          <w:sz w:val="24"/>
          <w:szCs w:val="24"/>
        </w:rPr>
      </w:pPr>
      <w:r w:rsidRPr="005B68A3">
        <w:rPr>
          <w:sz w:val="24"/>
          <w:szCs w:val="24"/>
        </w:rPr>
        <w:t>Oxybutynin metaboliseres af cytokrom P450-isoenzymet CYP3A4. Ved at indgive oxybutynin intravesikalt vil denne førstepassage-metabolisering overvejende blive omgået. Interaktioner med lægemidler, der hæmmer cytokrom P450-isoenzymet CYP3A4, kan dog ikke udelukkes. Der skal tages hensyn til dette ved brug af antimykotika fra azolgruppen (f.eks. ketoconazol) eller makrolidantibiotika (f.eks. erythromycin) samtidig med oxybutynin.</w:t>
      </w:r>
    </w:p>
    <w:p w14:paraId="5A21AE02" w14:textId="77777777" w:rsidR="005B68A3" w:rsidRPr="005B68A3" w:rsidRDefault="005B68A3" w:rsidP="005B68A3">
      <w:pPr>
        <w:tabs>
          <w:tab w:val="left" w:pos="851"/>
        </w:tabs>
        <w:ind w:left="851"/>
        <w:rPr>
          <w:sz w:val="24"/>
          <w:szCs w:val="24"/>
        </w:rPr>
      </w:pPr>
    </w:p>
    <w:p w14:paraId="591D6149" w14:textId="77777777" w:rsidR="005B68A3" w:rsidRPr="005B68A3" w:rsidRDefault="005B68A3" w:rsidP="005B68A3">
      <w:pPr>
        <w:tabs>
          <w:tab w:val="left" w:pos="851"/>
        </w:tabs>
        <w:ind w:left="851"/>
        <w:rPr>
          <w:sz w:val="24"/>
          <w:szCs w:val="24"/>
        </w:rPr>
      </w:pPr>
      <w:r w:rsidRPr="005B68A3">
        <w:rPr>
          <w:sz w:val="24"/>
          <w:szCs w:val="24"/>
        </w:rPr>
        <w:t>Oxybutynins antikolinerge aktivitet øges ved samtidig brug af andre antikolinergika eller lægemidler med antikolinerg aktivitet, f.eks. amantadin og andre antikolinerge lægemidler til behandling af parkinsonisme (f.eks. biperiden, levodopa), antihistaminer, antipsykotika (f.eks. fentiaziner, butyrophenoner, clozapin), kinidin, tricykliske antidepressiva, atropin og lignende stoffer som f.eks. atropin-spasmolytika og dipyridamol.</w:t>
      </w:r>
    </w:p>
    <w:p w14:paraId="572A1033" w14:textId="77777777" w:rsidR="005B68A3" w:rsidRPr="005B68A3" w:rsidRDefault="005B68A3" w:rsidP="005B68A3">
      <w:pPr>
        <w:tabs>
          <w:tab w:val="left" w:pos="851"/>
        </w:tabs>
        <w:ind w:left="851"/>
        <w:rPr>
          <w:sz w:val="24"/>
          <w:szCs w:val="24"/>
        </w:rPr>
      </w:pPr>
    </w:p>
    <w:p w14:paraId="03BC56D6" w14:textId="77777777" w:rsidR="005B68A3" w:rsidRPr="005B68A3" w:rsidRDefault="005B68A3" w:rsidP="005B68A3">
      <w:pPr>
        <w:tabs>
          <w:tab w:val="left" w:pos="851"/>
        </w:tabs>
        <w:ind w:left="851"/>
        <w:rPr>
          <w:sz w:val="24"/>
          <w:szCs w:val="24"/>
        </w:rPr>
      </w:pPr>
      <w:r w:rsidRPr="005B68A3">
        <w:rPr>
          <w:sz w:val="24"/>
          <w:szCs w:val="24"/>
        </w:rPr>
        <w:t>Oxybutynin kan modvirke prokinetiske behandlinger.</w:t>
      </w:r>
    </w:p>
    <w:p w14:paraId="6B5C0F34" w14:textId="77777777" w:rsidR="005B68A3" w:rsidRPr="005B68A3" w:rsidRDefault="005B68A3" w:rsidP="005B68A3">
      <w:pPr>
        <w:tabs>
          <w:tab w:val="left" w:pos="851"/>
        </w:tabs>
        <w:ind w:left="851"/>
        <w:rPr>
          <w:sz w:val="24"/>
          <w:szCs w:val="24"/>
        </w:rPr>
      </w:pPr>
    </w:p>
    <w:p w14:paraId="45C03853" w14:textId="77777777" w:rsidR="005B68A3" w:rsidRPr="005B68A3" w:rsidRDefault="005B68A3" w:rsidP="005B68A3">
      <w:pPr>
        <w:tabs>
          <w:tab w:val="left" w:pos="851"/>
        </w:tabs>
        <w:ind w:left="851"/>
        <w:rPr>
          <w:sz w:val="24"/>
          <w:szCs w:val="24"/>
        </w:rPr>
      </w:pPr>
      <w:r w:rsidRPr="005B68A3">
        <w:rPr>
          <w:sz w:val="24"/>
          <w:szCs w:val="24"/>
        </w:rPr>
        <w:t>Samtidig anvendelse af kolinesterase-hæmmere kan medføre nedsat effekt af kolinesterase-hæmmerne.</w:t>
      </w:r>
    </w:p>
    <w:p w14:paraId="7A3D9A7F" w14:textId="77777777" w:rsidR="005B68A3" w:rsidRPr="005B68A3" w:rsidRDefault="005B68A3" w:rsidP="005B68A3">
      <w:pPr>
        <w:tabs>
          <w:tab w:val="left" w:pos="851"/>
        </w:tabs>
        <w:ind w:left="851"/>
        <w:rPr>
          <w:sz w:val="24"/>
          <w:szCs w:val="24"/>
        </w:rPr>
      </w:pPr>
    </w:p>
    <w:p w14:paraId="285CEBE1" w14:textId="77777777" w:rsidR="005B68A3" w:rsidRPr="005B68A3" w:rsidRDefault="005B68A3" w:rsidP="005B68A3">
      <w:pPr>
        <w:tabs>
          <w:tab w:val="left" w:pos="851"/>
        </w:tabs>
        <w:ind w:left="851"/>
        <w:rPr>
          <w:sz w:val="24"/>
          <w:szCs w:val="24"/>
        </w:rPr>
      </w:pPr>
      <w:r w:rsidRPr="005B68A3">
        <w:rPr>
          <w:sz w:val="24"/>
          <w:szCs w:val="24"/>
        </w:rPr>
        <w:t>Patienterne bør informeres om, at alkohol kan forstærke den døsighed, der forårsages af antikolinerge midler som oxybutynin (se pkt. 4.7).</w:t>
      </w:r>
    </w:p>
    <w:p w14:paraId="1D96B150" w14:textId="77777777" w:rsidR="009260DE" w:rsidRPr="00C84483" w:rsidRDefault="009260DE" w:rsidP="009260DE">
      <w:pPr>
        <w:tabs>
          <w:tab w:val="left" w:pos="851"/>
        </w:tabs>
        <w:ind w:left="851"/>
        <w:rPr>
          <w:sz w:val="24"/>
          <w:szCs w:val="24"/>
        </w:rPr>
      </w:pPr>
    </w:p>
    <w:p w14:paraId="391D1537" w14:textId="77777777" w:rsidR="009260DE" w:rsidRPr="00C84483" w:rsidRDefault="009260DE" w:rsidP="009260DE">
      <w:pPr>
        <w:tabs>
          <w:tab w:val="left" w:pos="851"/>
        </w:tabs>
        <w:ind w:left="851" w:hanging="851"/>
        <w:rPr>
          <w:b/>
          <w:sz w:val="24"/>
          <w:szCs w:val="24"/>
        </w:rPr>
      </w:pPr>
      <w:r w:rsidRPr="00C84483">
        <w:rPr>
          <w:b/>
          <w:sz w:val="24"/>
          <w:szCs w:val="24"/>
        </w:rPr>
        <w:t>4.6</w:t>
      </w:r>
      <w:r w:rsidRPr="00C84483">
        <w:rPr>
          <w:b/>
          <w:sz w:val="24"/>
          <w:szCs w:val="24"/>
        </w:rPr>
        <w:tab/>
      </w:r>
      <w:r w:rsidR="0071241E">
        <w:rPr>
          <w:b/>
          <w:sz w:val="24"/>
          <w:szCs w:val="24"/>
        </w:rPr>
        <w:t>Fertilitet, g</w:t>
      </w:r>
      <w:r w:rsidRPr="00C84483">
        <w:rPr>
          <w:b/>
          <w:sz w:val="24"/>
          <w:szCs w:val="24"/>
        </w:rPr>
        <w:t>raviditet og amning</w:t>
      </w:r>
    </w:p>
    <w:p w14:paraId="38C610BA" w14:textId="77777777" w:rsidR="004B6B18" w:rsidRDefault="004B6B18" w:rsidP="005B68A3">
      <w:pPr>
        <w:tabs>
          <w:tab w:val="left" w:pos="851"/>
        </w:tabs>
        <w:ind w:left="851"/>
        <w:rPr>
          <w:sz w:val="24"/>
          <w:szCs w:val="24"/>
          <w:u w:val="single"/>
        </w:rPr>
      </w:pPr>
    </w:p>
    <w:p w14:paraId="5EA609E3" w14:textId="6C84ABF7" w:rsidR="005B68A3" w:rsidRPr="005B68A3" w:rsidRDefault="005B68A3" w:rsidP="005B68A3">
      <w:pPr>
        <w:tabs>
          <w:tab w:val="left" w:pos="851"/>
        </w:tabs>
        <w:ind w:left="851"/>
        <w:rPr>
          <w:sz w:val="24"/>
          <w:szCs w:val="24"/>
        </w:rPr>
      </w:pPr>
      <w:r w:rsidRPr="005B68A3">
        <w:rPr>
          <w:sz w:val="24"/>
          <w:szCs w:val="24"/>
          <w:u w:val="single"/>
        </w:rPr>
        <w:t>Graviditet</w:t>
      </w:r>
    </w:p>
    <w:p w14:paraId="22D63A9C" w14:textId="77777777" w:rsidR="005B68A3" w:rsidRPr="005B68A3" w:rsidRDefault="005B68A3" w:rsidP="005B68A3">
      <w:pPr>
        <w:tabs>
          <w:tab w:val="left" w:pos="851"/>
        </w:tabs>
        <w:ind w:left="851"/>
        <w:rPr>
          <w:sz w:val="24"/>
          <w:szCs w:val="24"/>
        </w:rPr>
      </w:pPr>
      <w:r w:rsidRPr="005B68A3">
        <w:rPr>
          <w:sz w:val="24"/>
          <w:szCs w:val="24"/>
        </w:rPr>
        <w:t>Der er ingen data fra intravesikal anvendelse af oxybutynin til gravide kvinder. Dyreforsøg har påvist let reproduktionstoksicitet (se pkt. 5.3). Vesolox bør ikke anvendes under graviditet, medmindre kvindens kliniske tilstand kræver behandling.</w:t>
      </w:r>
    </w:p>
    <w:p w14:paraId="0F9330CA" w14:textId="77777777" w:rsidR="005B68A3" w:rsidRPr="005B68A3" w:rsidRDefault="005B68A3" w:rsidP="005B68A3">
      <w:pPr>
        <w:tabs>
          <w:tab w:val="left" w:pos="851"/>
        </w:tabs>
        <w:ind w:left="851"/>
        <w:rPr>
          <w:sz w:val="24"/>
          <w:szCs w:val="24"/>
        </w:rPr>
      </w:pPr>
    </w:p>
    <w:p w14:paraId="1CC37F1D" w14:textId="77777777" w:rsidR="005B68A3" w:rsidRPr="005B68A3" w:rsidRDefault="005B68A3" w:rsidP="005B68A3">
      <w:pPr>
        <w:tabs>
          <w:tab w:val="left" w:pos="851"/>
        </w:tabs>
        <w:ind w:left="851"/>
        <w:rPr>
          <w:sz w:val="24"/>
          <w:szCs w:val="24"/>
        </w:rPr>
      </w:pPr>
      <w:r w:rsidRPr="005B68A3">
        <w:rPr>
          <w:sz w:val="24"/>
          <w:szCs w:val="24"/>
          <w:u w:val="single"/>
        </w:rPr>
        <w:t>Amning</w:t>
      </w:r>
    </w:p>
    <w:p w14:paraId="12F04B30" w14:textId="77777777" w:rsidR="005B68A3" w:rsidRPr="005B68A3" w:rsidRDefault="005B68A3" w:rsidP="005B68A3">
      <w:pPr>
        <w:tabs>
          <w:tab w:val="left" w:pos="851"/>
        </w:tabs>
        <w:ind w:left="851"/>
        <w:rPr>
          <w:sz w:val="24"/>
          <w:szCs w:val="24"/>
        </w:rPr>
      </w:pPr>
      <w:r w:rsidRPr="005B68A3">
        <w:rPr>
          <w:sz w:val="24"/>
          <w:szCs w:val="24"/>
        </w:rPr>
        <w:t>Tilgængelige data viser, at oxybutynin udskilles i mælk hos rotter, men det vides ikke, om oxybutynin udskilles i human mælk. Brug af oxybutynin frarådes under amning.</w:t>
      </w:r>
    </w:p>
    <w:p w14:paraId="27812723" w14:textId="77777777" w:rsidR="005B68A3" w:rsidRPr="005B68A3" w:rsidRDefault="005B68A3" w:rsidP="005B68A3">
      <w:pPr>
        <w:tabs>
          <w:tab w:val="left" w:pos="851"/>
        </w:tabs>
        <w:ind w:left="851"/>
        <w:rPr>
          <w:sz w:val="24"/>
          <w:szCs w:val="24"/>
        </w:rPr>
      </w:pPr>
    </w:p>
    <w:p w14:paraId="20C7341F" w14:textId="77777777" w:rsidR="005B68A3" w:rsidRPr="005B68A3" w:rsidRDefault="005B68A3" w:rsidP="005B68A3">
      <w:pPr>
        <w:tabs>
          <w:tab w:val="left" w:pos="851"/>
        </w:tabs>
        <w:ind w:left="851"/>
        <w:rPr>
          <w:sz w:val="24"/>
          <w:szCs w:val="24"/>
        </w:rPr>
      </w:pPr>
      <w:r w:rsidRPr="005B68A3">
        <w:rPr>
          <w:sz w:val="24"/>
          <w:szCs w:val="24"/>
          <w:u w:val="single"/>
        </w:rPr>
        <w:t>Fertilitet</w:t>
      </w:r>
    </w:p>
    <w:p w14:paraId="15274AE7" w14:textId="77777777" w:rsidR="005B68A3" w:rsidRPr="005B68A3" w:rsidRDefault="005B68A3" w:rsidP="005B68A3">
      <w:pPr>
        <w:tabs>
          <w:tab w:val="left" w:pos="851"/>
        </w:tabs>
        <w:ind w:left="851"/>
        <w:rPr>
          <w:sz w:val="24"/>
          <w:szCs w:val="24"/>
        </w:rPr>
      </w:pPr>
      <w:r w:rsidRPr="005B68A3">
        <w:rPr>
          <w:sz w:val="24"/>
          <w:szCs w:val="24"/>
        </w:rPr>
        <w:t>Data vedrørende eventuel indvirkning af brugen af oxybutynin på den mandlige og kvindelige fertilitet er ikke tilgængelige.</w:t>
      </w:r>
    </w:p>
    <w:p w14:paraId="0FA735AE" w14:textId="77777777" w:rsidR="009260DE" w:rsidRPr="00C84483" w:rsidRDefault="009260DE" w:rsidP="009260DE">
      <w:pPr>
        <w:tabs>
          <w:tab w:val="left" w:pos="851"/>
        </w:tabs>
        <w:ind w:left="851"/>
        <w:rPr>
          <w:sz w:val="24"/>
          <w:szCs w:val="24"/>
        </w:rPr>
      </w:pPr>
    </w:p>
    <w:p w14:paraId="1CC2FF5F" w14:textId="77777777" w:rsidR="009260DE" w:rsidRPr="00C84483" w:rsidRDefault="009260DE" w:rsidP="009260DE">
      <w:pPr>
        <w:tabs>
          <w:tab w:val="left" w:pos="851"/>
        </w:tabs>
        <w:ind w:left="851" w:hanging="851"/>
        <w:rPr>
          <w:b/>
          <w:sz w:val="24"/>
          <w:szCs w:val="24"/>
        </w:rPr>
      </w:pPr>
      <w:r w:rsidRPr="00C84483">
        <w:rPr>
          <w:b/>
          <w:sz w:val="24"/>
          <w:szCs w:val="24"/>
        </w:rPr>
        <w:t>4.7</w:t>
      </w:r>
      <w:r w:rsidRPr="00C84483">
        <w:rPr>
          <w:b/>
          <w:sz w:val="24"/>
          <w:szCs w:val="24"/>
        </w:rPr>
        <w:tab/>
        <w:t xml:space="preserve">Virkning på evnen til at føre motorkøretøj </w:t>
      </w:r>
      <w:r w:rsidR="0071241E">
        <w:rPr>
          <w:b/>
          <w:sz w:val="24"/>
          <w:szCs w:val="24"/>
        </w:rPr>
        <w:t>og</w:t>
      </w:r>
      <w:r w:rsidRPr="00C84483">
        <w:rPr>
          <w:b/>
          <w:sz w:val="24"/>
          <w:szCs w:val="24"/>
        </w:rPr>
        <w:t xml:space="preserve"> betjene maskiner</w:t>
      </w:r>
    </w:p>
    <w:p w14:paraId="5911DB35" w14:textId="77777777" w:rsidR="005B68A3" w:rsidRPr="005B68A3" w:rsidRDefault="005B68A3" w:rsidP="005B68A3">
      <w:pPr>
        <w:tabs>
          <w:tab w:val="left" w:pos="851"/>
        </w:tabs>
        <w:ind w:left="851"/>
        <w:rPr>
          <w:sz w:val="24"/>
          <w:szCs w:val="24"/>
        </w:rPr>
      </w:pPr>
      <w:r w:rsidRPr="005B68A3">
        <w:rPr>
          <w:sz w:val="24"/>
          <w:szCs w:val="24"/>
        </w:rPr>
        <w:t>Ikke mærkning.</w:t>
      </w:r>
    </w:p>
    <w:p w14:paraId="1D13784B" w14:textId="77777777" w:rsidR="005B68A3" w:rsidRPr="005B68A3" w:rsidRDefault="005B68A3" w:rsidP="005B68A3">
      <w:pPr>
        <w:tabs>
          <w:tab w:val="left" w:pos="851"/>
        </w:tabs>
        <w:ind w:left="851"/>
        <w:rPr>
          <w:sz w:val="24"/>
          <w:szCs w:val="24"/>
        </w:rPr>
      </w:pPr>
      <w:r w:rsidRPr="005B68A3">
        <w:rPr>
          <w:sz w:val="24"/>
          <w:szCs w:val="24"/>
        </w:rPr>
        <w:lastRenderedPageBreak/>
        <w:t>Da Vesolox kan medføre døsighed eller akkommodationsforstyrrelser, bør patienterne rådes til at udvise forsigtighed, når de fører motorkøretøj eller betjener maskiner.</w:t>
      </w:r>
    </w:p>
    <w:p w14:paraId="436A9C33" w14:textId="77777777" w:rsidR="009260DE" w:rsidRPr="00C84483" w:rsidRDefault="009260DE" w:rsidP="009260DE">
      <w:pPr>
        <w:tabs>
          <w:tab w:val="left" w:pos="851"/>
        </w:tabs>
        <w:ind w:left="851"/>
        <w:rPr>
          <w:sz w:val="24"/>
          <w:szCs w:val="24"/>
        </w:rPr>
      </w:pPr>
    </w:p>
    <w:p w14:paraId="6BF71BAE" w14:textId="77777777" w:rsidR="009260DE" w:rsidRPr="00C84483" w:rsidRDefault="009260DE" w:rsidP="009260DE">
      <w:pPr>
        <w:tabs>
          <w:tab w:val="left" w:pos="851"/>
        </w:tabs>
        <w:ind w:left="851" w:hanging="851"/>
        <w:rPr>
          <w:b/>
          <w:sz w:val="24"/>
          <w:szCs w:val="24"/>
        </w:rPr>
      </w:pPr>
      <w:r w:rsidRPr="00C84483">
        <w:rPr>
          <w:b/>
          <w:sz w:val="24"/>
          <w:szCs w:val="24"/>
        </w:rPr>
        <w:t>4.8</w:t>
      </w:r>
      <w:r w:rsidRPr="00C84483">
        <w:rPr>
          <w:b/>
          <w:sz w:val="24"/>
          <w:szCs w:val="24"/>
        </w:rPr>
        <w:tab/>
        <w:t>Bivirkninger</w:t>
      </w:r>
    </w:p>
    <w:p w14:paraId="318E2359" w14:textId="77777777" w:rsidR="005B68A3" w:rsidRPr="005B68A3" w:rsidRDefault="005B68A3" w:rsidP="005B68A3">
      <w:pPr>
        <w:tabs>
          <w:tab w:val="left" w:pos="851"/>
        </w:tabs>
        <w:ind w:left="851"/>
        <w:rPr>
          <w:sz w:val="24"/>
          <w:szCs w:val="24"/>
        </w:rPr>
      </w:pPr>
      <w:r w:rsidRPr="005B68A3">
        <w:rPr>
          <w:sz w:val="24"/>
          <w:szCs w:val="24"/>
        </w:rPr>
        <w:t>Bivirkninger, der er observeret ved brug af oxybutyninhydrochlorid, f.eks. mundtørhed, døsighed og forstoppelse, afspejler hovedsagelig de typiske antikolinerge egenskaber ved det aktive stof.</w:t>
      </w:r>
    </w:p>
    <w:p w14:paraId="34EEE706" w14:textId="77777777" w:rsidR="005B68A3" w:rsidRPr="005B68A3" w:rsidRDefault="005B68A3" w:rsidP="005B68A3">
      <w:pPr>
        <w:tabs>
          <w:tab w:val="left" w:pos="851"/>
        </w:tabs>
        <w:ind w:left="851"/>
        <w:rPr>
          <w:sz w:val="24"/>
          <w:szCs w:val="24"/>
        </w:rPr>
      </w:pPr>
    </w:p>
    <w:p w14:paraId="4C2194EA" w14:textId="77777777" w:rsidR="005B68A3" w:rsidRPr="005B68A3" w:rsidRDefault="005B68A3" w:rsidP="005B68A3">
      <w:pPr>
        <w:tabs>
          <w:tab w:val="left" w:pos="851"/>
        </w:tabs>
        <w:ind w:left="851"/>
        <w:rPr>
          <w:sz w:val="24"/>
          <w:szCs w:val="24"/>
        </w:rPr>
      </w:pPr>
      <w:r w:rsidRPr="005B68A3">
        <w:rPr>
          <w:sz w:val="24"/>
          <w:szCs w:val="24"/>
        </w:rPr>
        <w:t>Tabel 4 omfatter bivirkninger fra kliniske forsøg med intravesikal anvendelse af oxybutyninhydrochlorid. Bivirkningerne er opdelt efter systemorganklasse og hyppighed i henhold til følgende konvention: Meget almindelig (≥ 1/10), almindelig (≥ 1/100 til &lt; 1/10), ikke almindelig (≥ 1/1.000 til &lt; 1/100), sjælden (≥ 1/10.000 til &lt; 1/1.000), meget sjælden (&lt; 1/10.000), ikke kendt (kan ikke estimeres ud fra forhåndenværende data).</w:t>
      </w:r>
    </w:p>
    <w:p w14:paraId="3F5AB6A4" w14:textId="77777777" w:rsidR="005B68A3" w:rsidRPr="005B68A3" w:rsidRDefault="005B68A3" w:rsidP="005B68A3">
      <w:pPr>
        <w:tabs>
          <w:tab w:val="left" w:pos="851"/>
        </w:tabs>
        <w:ind w:left="851"/>
        <w:rPr>
          <w:sz w:val="24"/>
          <w:szCs w:val="24"/>
        </w:rPr>
      </w:pPr>
    </w:p>
    <w:p w14:paraId="161D7F0F" w14:textId="77777777" w:rsidR="005B68A3" w:rsidRPr="005B68A3" w:rsidRDefault="005B68A3" w:rsidP="004B6B18">
      <w:pPr>
        <w:ind w:left="142"/>
        <w:rPr>
          <w:i/>
          <w:sz w:val="24"/>
          <w:szCs w:val="24"/>
        </w:rPr>
      </w:pPr>
      <w:r w:rsidRPr="005B68A3">
        <w:rPr>
          <w:i/>
          <w:sz w:val="24"/>
          <w:szCs w:val="24"/>
        </w:rPr>
        <w:t>Tabel 4: Bivirkninger fra kliniske forsøg med intravesikal anvendelse af oxybutyninhydrochlorid</w:t>
      </w:r>
    </w:p>
    <w:p w14:paraId="04A00EE3" w14:textId="77777777" w:rsidR="005B68A3" w:rsidRPr="005B68A3" w:rsidRDefault="005B68A3" w:rsidP="005B68A3">
      <w:pPr>
        <w:tabs>
          <w:tab w:val="left" w:pos="851"/>
        </w:tabs>
        <w:ind w:left="851"/>
        <w:rPr>
          <w:i/>
          <w:sz w:val="24"/>
          <w:szCs w:val="24"/>
        </w:rPr>
      </w:pPr>
    </w:p>
    <w:tbl>
      <w:tblPr>
        <w:tblW w:w="0" w:type="auto"/>
        <w:tblInd w:w="13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28" w:type="dxa"/>
          <w:left w:w="57" w:type="dxa"/>
          <w:bottom w:w="28" w:type="dxa"/>
          <w:right w:w="57" w:type="dxa"/>
        </w:tblCellMar>
        <w:tblLook w:val="01E0" w:firstRow="1" w:lastRow="1" w:firstColumn="1" w:lastColumn="1" w:noHBand="0" w:noVBand="0"/>
      </w:tblPr>
      <w:tblGrid>
        <w:gridCol w:w="2553"/>
        <w:gridCol w:w="5244"/>
        <w:gridCol w:w="1486"/>
      </w:tblGrid>
      <w:tr w:rsidR="005B68A3" w:rsidRPr="005B68A3" w14:paraId="4CE97B80" w14:textId="77777777" w:rsidTr="004B6B18">
        <w:trPr>
          <w:trHeight w:val="368"/>
          <w:tblHeader/>
        </w:trPr>
        <w:tc>
          <w:tcPr>
            <w:tcW w:w="2553" w:type="dxa"/>
            <w:tcBorders>
              <w:top w:val="single" w:sz="6" w:space="0" w:color="000000"/>
              <w:left w:val="single" w:sz="6" w:space="0" w:color="000000"/>
              <w:bottom w:val="single" w:sz="6" w:space="0" w:color="000000"/>
              <w:right w:val="single" w:sz="6" w:space="0" w:color="000000"/>
            </w:tcBorders>
            <w:hideMark/>
          </w:tcPr>
          <w:p w14:paraId="0B67C2EE" w14:textId="77777777" w:rsidR="005B68A3" w:rsidRPr="005B68A3" w:rsidRDefault="005B68A3" w:rsidP="004B6B18">
            <w:pPr>
              <w:ind w:left="86"/>
              <w:rPr>
                <w:b/>
                <w:sz w:val="24"/>
                <w:szCs w:val="24"/>
              </w:rPr>
            </w:pPr>
            <w:r w:rsidRPr="005B68A3">
              <w:rPr>
                <w:b/>
                <w:sz w:val="24"/>
                <w:szCs w:val="24"/>
              </w:rPr>
              <w:t>Systemorganklasse</w:t>
            </w:r>
          </w:p>
        </w:tc>
        <w:tc>
          <w:tcPr>
            <w:tcW w:w="5244" w:type="dxa"/>
            <w:tcBorders>
              <w:top w:val="single" w:sz="6" w:space="0" w:color="000000"/>
              <w:left w:val="single" w:sz="6" w:space="0" w:color="000000"/>
              <w:bottom w:val="single" w:sz="6" w:space="0" w:color="000000"/>
              <w:right w:val="single" w:sz="6" w:space="0" w:color="000000"/>
            </w:tcBorders>
            <w:hideMark/>
          </w:tcPr>
          <w:p w14:paraId="26ADDB3C" w14:textId="77777777" w:rsidR="005B68A3" w:rsidRPr="005B68A3" w:rsidRDefault="005B68A3" w:rsidP="004B6B18">
            <w:pPr>
              <w:ind w:left="94"/>
              <w:rPr>
                <w:b/>
                <w:sz w:val="24"/>
                <w:szCs w:val="24"/>
              </w:rPr>
            </w:pPr>
            <w:r w:rsidRPr="005B68A3">
              <w:rPr>
                <w:b/>
                <w:sz w:val="24"/>
                <w:szCs w:val="24"/>
              </w:rPr>
              <w:t>Bivirkning</w:t>
            </w:r>
          </w:p>
        </w:tc>
        <w:tc>
          <w:tcPr>
            <w:tcW w:w="1486" w:type="dxa"/>
            <w:tcBorders>
              <w:top w:val="single" w:sz="6" w:space="0" w:color="000000"/>
              <w:left w:val="single" w:sz="6" w:space="0" w:color="000000"/>
              <w:bottom w:val="single" w:sz="6" w:space="0" w:color="000000"/>
              <w:right w:val="single" w:sz="6" w:space="0" w:color="000000"/>
            </w:tcBorders>
            <w:hideMark/>
          </w:tcPr>
          <w:p w14:paraId="76C05E2A" w14:textId="77777777" w:rsidR="005B68A3" w:rsidRPr="005B68A3" w:rsidRDefault="005B68A3" w:rsidP="004B6B18">
            <w:pPr>
              <w:ind w:left="98" w:hanging="4"/>
              <w:rPr>
                <w:b/>
                <w:sz w:val="24"/>
                <w:szCs w:val="24"/>
              </w:rPr>
            </w:pPr>
            <w:r w:rsidRPr="005B68A3">
              <w:rPr>
                <w:b/>
                <w:sz w:val="24"/>
                <w:szCs w:val="24"/>
              </w:rPr>
              <w:t>Hyppighed</w:t>
            </w:r>
          </w:p>
        </w:tc>
      </w:tr>
      <w:tr w:rsidR="005B68A3" w:rsidRPr="005B68A3" w14:paraId="4CCD75AE" w14:textId="77777777" w:rsidTr="004B6B18">
        <w:trPr>
          <w:trHeight w:val="618"/>
        </w:trPr>
        <w:tc>
          <w:tcPr>
            <w:tcW w:w="2553" w:type="dxa"/>
            <w:tcBorders>
              <w:top w:val="single" w:sz="6" w:space="0" w:color="000000"/>
              <w:left w:val="single" w:sz="6" w:space="0" w:color="000000"/>
              <w:bottom w:val="single" w:sz="6" w:space="0" w:color="000000"/>
              <w:right w:val="single" w:sz="6" w:space="0" w:color="000000"/>
            </w:tcBorders>
            <w:hideMark/>
          </w:tcPr>
          <w:p w14:paraId="3433BC49" w14:textId="77777777" w:rsidR="005B68A3" w:rsidRPr="005B68A3" w:rsidRDefault="005B68A3" w:rsidP="004B6B18">
            <w:pPr>
              <w:ind w:left="86"/>
              <w:rPr>
                <w:b/>
                <w:sz w:val="24"/>
                <w:szCs w:val="24"/>
              </w:rPr>
            </w:pPr>
            <w:r w:rsidRPr="005B68A3">
              <w:rPr>
                <w:b/>
                <w:sz w:val="24"/>
                <w:szCs w:val="24"/>
              </w:rPr>
              <w:t>Infektioner og parasitære sygdomme</w:t>
            </w:r>
          </w:p>
        </w:tc>
        <w:tc>
          <w:tcPr>
            <w:tcW w:w="5244" w:type="dxa"/>
            <w:tcBorders>
              <w:top w:val="single" w:sz="6" w:space="0" w:color="000000"/>
              <w:left w:val="single" w:sz="6" w:space="0" w:color="000000"/>
              <w:bottom w:val="single" w:sz="6" w:space="0" w:color="000000"/>
              <w:right w:val="single" w:sz="6" w:space="0" w:color="000000"/>
            </w:tcBorders>
            <w:hideMark/>
          </w:tcPr>
          <w:p w14:paraId="3FCB0DBE" w14:textId="77777777" w:rsidR="005B68A3" w:rsidRPr="005B68A3" w:rsidRDefault="005B68A3" w:rsidP="004B6B18">
            <w:pPr>
              <w:ind w:left="94"/>
              <w:rPr>
                <w:sz w:val="24"/>
                <w:szCs w:val="24"/>
              </w:rPr>
            </w:pPr>
            <w:r w:rsidRPr="005B68A3">
              <w:rPr>
                <w:sz w:val="24"/>
                <w:szCs w:val="24"/>
              </w:rPr>
              <w:t>Urinvejsinfektion, asymptomatisk bakteriuri</w:t>
            </w:r>
          </w:p>
        </w:tc>
        <w:tc>
          <w:tcPr>
            <w:tcW w:w="1486" w:type="dxa"/>
            <w:tcBorders>
              <w:top w:val="single" w:sz="6" w:space="0" w:color="000000"/>
              <w:left w:val="single" w:sz="6" w:space="0" w:color="000000"/>
              <w:bottom w:val="single" w:sz="6" w:space="0" w:color="000000"/>
              <w:right w:val="single" w:sz="6" w:space="0" w:color="000000"/>
            </w:tcBorders>
            <w:hideMark/>
          </w:tcPr>
          <w:p w14:paraId="6BDB07F7" w14:textId="77777777" w:rsidR="005B68A3" w:rsidRPr="005B68A3" w:rsidRDefault="005B68A3" w:rsidP="004B6B18">
            <w:pPr>
              <w:ind w:left="98" w:hanging="4"/>
              <w:rPr>
                <w:sz w:val="24"/>
                <w:szCs w:val="24"/>
              </w:rPr>
            </w:pPr>
            <w:r w:rsidRPr="005B68A3">
              <w:rPr>
                <w:sz w:val="24"/>
                <w:szCs w:val="24"/>
              </w:rPr>
              <w:t>Ikke kendt</w:t>
            </w:r>
          </w:p>
        </w:tc>
      </w:tr>
      <w:tr w:rsidR="005B68A3" w:rsidRPr="005B68A3" w14:paraId="12E55161" w14:textId="77777777" w:rsidTr="004B6B18">
        <w:trPr>
          <w:trHeight w:val="366"/>
        </w:trPr>
        <w:tc>
          <w:tcPr>
            <w:tcW w:w="2553" w:type="dxa"/>
            <w:tcBorders>
              <w:top w:val="single" w:sz="6" w:space="0" w:color="000000"/>
              <w:left w:val="single" w:sz="6" w:space="0" w:color="000000"/>
              <w:bottom w:val="single" w:sz="6" w:space="0" w:color="000000"/>
              <w:right w:val="single" w:sz="6" w:space="0" w:color="000000"/>
            </w:tcBorders>
            <w:hideMark/>
          </w:tcPr>
          <w:p w14:paraId="0128843C" w14:textId="77777777" w:rsidR="005B68A3" w:rsidRPr="005B68A3" w:rsidRDefault="005B68A3" w:rsidP="004B6B18">
            <w:pPr>
              <w:ind w:left="86"/>
              <w:rPr>
                <w:b/>
                <w:sz w:val="24"/>
                <w:szCs w:val="24"/>
              </w:rPr>
            </w:pPr>
            <w:r w:rsidRPr="005B68A3">
              <w:rPr>
                <w:b/>
                <w:sz w:val="24"/>
                <w:szCs w:val="24"/>
              </w:rPr>
              <w:t>Det endokrine system</w:t>
            </w:r>
          </w:p>
        </w:tc>
        <w:tc>
          <w:tcPr>
            <w:tcW w:w="5244" w:type="dxa"/>
            <w:tcBorders>
              <w:top w:val="single" w:sz="6" w:space="0" w:color="000000"/>
              <w:left w:val="single" w:sz="6" w:space="0" w:color="000000"/>
              <w:bottom w:val="single" w:sz="6" w:space="0" w:color="000000"/>
              <w:right w:val="single" w:sz="6" w:space="0" w:color="000000"/>
            </w:tcBorders>
            <w:hideMark/>
          </w:tcPr>
          <w:p w14:paraId="0A65941E" w14:textId="77777777" w:rsidR="005B68A3" w:rsidRPr="005B68A3" w:rsidRDefault="005B68A3" w:rsidP="004B6B18">
            <w:pPr>
              <w:ind w:left="94"/>
              <w:rPr>
                <w:sz w:val="24"/>
                <w:szCs w:val="24"/>
              </w:rPr>
            </w:pPr>
            <w:r w:rsidRPr="005B68A3">
              <w:rPr>
                <w:sz w:val="24"/>
                <w:szCs w:val="24"/>
              </w:rPr>
              <w:t>Hyperprolaktinæmi, forhøjet prolaktin</w:t>
            </w:r>
          </w:p>
        </w:tc>
        <w:tc>
          <w:tcPr>
            <w:tcW w:w="1486" w:type="dxa"/>
            <w:tcBorders>
              <w:top w:val="single" w:sz="6" w:space="0" w:color="000000"/>
              <w:left w:val="single" w:sz="6" w:space="0" w:color="000000"/>
              <w:bottom w:val="single" w:sz="6" w:space="0" w:color="000000"/>
              <w:right w:val="single" w:sz="6" w:space="0" w:color="000000"/>
            </w:tcBorders>
            <w:hideMark/>
          </w:tcPr>
          <w:p w14:paraId="75EFFDB7" w14:textId="77777777" w:rsidR="005B68A3" w:rsidRPr="005B68A3" w:rsidRDefault="005B68A3" w:rsidP="004B6B18">
            <w:pPr>
              <w:ind w:left="98" w:hanging="4"/>
              <w:rPr>
                <w:sz w:val="24"/>
                <w:szCs w:val="24"/>
              </w:rPr>
            </w:pPr>
            <w:r w:rsidRPr="005B68A3">
              <w:rPr>
                <w:sz w:val="24"/>
                <w:szCs w:val="24"/>
              </w:rPr>
              <w:t>Ikke kendt</w:t>
            </w:r>
          </w:p>
        </w:tc>
      </w:tr>
      <w:tr w:rsidR="005B68A3" w:rsidRPr="005B68A3" w14:paraId="0CEE8AF6" w14:textId="77777777" w:rsidTr="004B6B18">
        <w:trPr>
          <w:trHeight w:val="621"/>
        </w:trPr>
        <w:tc>
          <w:tcPr>
            <w:tcW w:w="2553" w:type="dxa"/>
            <w:tcBorders>
              <w:top w:val="single" w:sz="6" w:space="0" w:color="000000"/>
              <w:left w:val="single" w:sz="6" w:space="0" w:color="000000"/>
              <w:bottom w:val="single" w:sz="6" w:space="0" w:color="000000"/>
              <w:right w:val="single" w:sz="6" w:space="0" w:color="000000"/>
            </w:tcBorders>
            <w:hideMark/>
          </w:tcPr>
          <w:p w14:paraId="026FA3B9" w14:textId="77777777" w:rsidR="005B68A3" w:rsidRPr="005B68A3" w:rsidRDefault="005B68A3" w:rsidP="004B6B18">
            <w:pPr>
              <w:ind w:left="86"/>
              <w:rPr>
                <w:b/>
                <w:sz w:val="24"/>
                <w:szCs w:val="24"/>
              </w:rPr>
            </w:pPr>
            <w:r w:rsidRPr="005B68A3">
              <w:rPr>
                <w:b/>
                <w:sz w:val="24"/>
                <w:szCs w:val="24"/>
              </w:rPr>
              <w:t>Psykiske forstyrrelser</w:t>
            </w:r>
          </w:p>
        </w:tc>
        <w:tc>
          <w:tcPr>
            <w:tcW w:w="5244" w:type="dxa"/>
            <w:tcBorders>
              <w:top w:val="single" w:sz="6" w:space="0" w:color="000000"/>
              <w:left w:val="single" w:sz="6" w:space="0" w:color="000000"/>
              <w:bottom w:val="single" w:sz="6" w:space="0" w:color="000000"/>
              <w:right w:val="single" w:sz="6" w:space="0" w:color="000000"/>
            </w:tcBorders>
            <w:hideMark/>
          </w:tcPr>
          <w:p w14:paraId="0FE8AD80" w14:textId="77777777" w:rsidR="005B68A3" w:rsidRPr="005B68A3" w:rsidRDefault="005B68A3" w:rsidP="004B6B18">
            <w:pPr>
              <w:ind w:left="94"/>
              <w:rPr>
                <w:sz w:val="24"/>
                <w:szCs w:val="24"/>
              </w:rPr>
            </w:pPr>
            <w:r w:rsidRPr="005B68A3">
              <w:rPr>
                <w:sz w:val="24"/>
                <w:szCs w:val="24"/>
              </w:rPr>
              <w:t>Mathed, hallucinationer, kognitive forstyrrelser, hyperaktivitet, søvnløshed, agorafobi, disorientering</w:t>
            </w:r>
          </w:p>
        </w:tc>
        <w:tc>
          <w:tcPr>
            <w:tcW w:w="1486" w:type="dxa"/>
            <w:tcBorders>
              <w:top w:val="single" w:sz="6" w:space="0" w:color="000000"/>
              <w:left w:val="single" w:sz="6" w:space="0" w:color="000000"/>
              <w:bottom w:val="single" w:sz="6" w:space="0" w:color="000000"/>
              <w:right w:val="single" w:sz="6" w:space="0" w:color="000000"/>
            </w:tcBorders>
            <w:hideMark/>
          </w:tcPr>
          <w:p w14:paraId="6C54D14E" w14:textId="77777777" w:rsidR="005B68A3" w:rsidRPr="005B68A3" w:rsidRDefault="005B68A3" w:rsidP="004B6B18">
            <w:pPr>
              <w:ind w:left="98" w:hanging="4"/>
              <w:rPr>
                <w:sz w:val="24"/>
                <w:szCs w:val="24"/>
              </w:rPr>
            </w:pPr>
            <w:r w:rsidRPr="005B68A3">
              <w:rPr>
                <w:sz w:val="24"/>
                <w:szCs w:val="24"/>
              </w:rPr>
              <w:t>Ikke kendt</w:t>
            </w:r>
          </w:p>
        </w:tc>
      </w:tr>
      <w:tr w:rsidR="005B68A3" w:rsidRPr="005B68A3" w14:paraId="2E411F0E" w14:textId="77777777" w:rsidTr="004B6B18">
        <w:trPr>
          <w:trHeight w:val="872"/>
        </w:trPr>
        <w:tc>
          <w:tcPr>
            <w:tcW w:w="2553" w:type="dxa"/>
            <w:tcBorders>
              <w:top w:val="single" w:sz="6" w:space="0" w:color="000000"/>
              <w:left w:val="single" w:sz="6" w:space="0" w:color="000000"/>
              <w:bottom w:val="single" w:sz="6" w:space="0" w:color="000000"/>
              <w:right w:val="single" w:sz="6" w:space="0" w:color="000000"/>
            </w:tcBorders>
            <w:hideMark/>
          </w:tcPr>
          <w:p w14:paraId="3655A8F4" w14:textId="77777777" w:rsidR="005B68A3" w:rsidRPr="005B68A3" w:rsidRDefault="005B68A3" w:rsidP="004B6B18">
            <w:pPr>
              <w:ind w:left="86"/>
              <w:rPr>
                <w:b/>
                <w:sz w:val="24"/>
                <w:szCs w:val="24"/>
              </w:rPr>
            </w:pPr>
            <w:r w:rsidRPr="005B68A3">
              <w:rPr>
                <w:b/>
                <w:sz w:val="24"/>
                <w:szCs w:val="24"/>
              </w:rPr>
              <w:t>Nervesystemet</w:t>
            </w:r>
          </w:p>
        </w:tc>
        <w:tc>
          <w:tcPr>
            <w:tcW w:w="5244" w:type="dxa"/>
            <w:tcBorders>
              <w:top w:val="single" w:sz="6" w:space="0" w:color="000000"/>
              <w:left w:val="single" w:sz="6" w:space="0" w:color="000000"/>
              <w:bottom w:val="single" w:sz="6" w:space="0" w:color="000000"/>
              <w:right w:val="single" w:sz="6" w:space="0" w:color="000000"/>
            </w:tcBorders>
            <w:hideMark/>
          </w:tcPr>
          <w:p w14:paraId="0F3F6B37" w14:textId="77777777" w:rsidR="005B68A3" w:rsidRPr="005B68A3" w:rsidRDefault="005B68A3" w:rsidP="004B6B18">
            <w:pPr>
              <w:ind w:left="94"/>
              <w:rPr>
                <w:sz w:val="24"/>
                <w:szCs w:val="24"/>
              </w:rPr>
            </w:pPr>
            <w:r w:rsidRPr="005B68A3">
              <w:rPr>
                <w:sz w:val="24"/>
                <w:szCs w:val="24"/>
              </w:rPr>
              <w:t>Forstyrret opmærksomhed, svimmelhed, hovedpine, døsighed, træthed, dysgeusi, nedsat bevidsthedsniveau, bevidsthedstab, antikolinergt syndrom, krampeanfald</w:t>
            </w:r>
          </w:p>
        </w:tc>
        <w:tc>
          <w:tcPr>
            <w:tcW w:w="1486" w:type="dxa"/>
            <w:tcBorders>
              <w:top w:val="single" w:sz="6" w:space="0" w:color="000000"/>
              <w:left w:val="single" w:sz="6" w:space="0" w:color="000000"/>
              <w:bottom w:val="single" w:sz="6" w:space="0" w:color="000000"/>
              <w:right w:val="single" w:sz="6" w:space="0" w:color="000000"/>
            </w:tcBorders>
            <w:hideMark/>
          </w:tcPr>
          <w:p w14:paraId="0F00D6E7" w14:textId="77777777" w:rsidR="005B68A3" w:rsidRPr="005B68A3" w:rsidRDefault="005B68A3" w:rsidP="004B6B18">
            <w:pPr>
              <w:ind w:left="98" w:hanging="4"/>
              <w:rPr>
                <w:sz w:val="24"/>
                <w:szCs w:val="24"/>
              </w:rPr>
            </w:pPr>
            <w:r w:rsidRPr="005B68A3">
              <w:rPr>
                <w:sz w:val="24"/>
                <w:szCs w:val="24"/>
              </w:rPr>
              <w:t>Ikke kendt</w:t>
            </w:r>
          </w:p>
        </w:tc>
      </w:tr>
      <w:tr w:rsidR="005B68A3" w:rsidRPr="005B68A3" w14:paraId="11135747" w14:textId="77777777" w:rsidTr="004B6B18">
        <w:trPr>
          <w:trHeight w:val="618"/>
        </w:trPr>
        <w:tc>
          <w:tcPr>
            <w:tcW w:w="2553" w:type="dxa"/>
            <w:tcBorders>
              <w:top w:val="single" w:sz="6" w:space="0" w:color="000000"/>
              <w:left w:val="single" w:sz="6" w:space="0" w:color="000000"/>
              <w:bottom w:val="single" w:sz="6" w:space="0" w:color="000000"/>
              <w:right w:val="single" w:sz="6" w:space="0" w:color="000000"/>
            </w:tcBorders>
            <w:hideMark/>
          </w:tcPr>
          <w:p w14:paraId="13512C56" w14:textId="77777777" w:rsidR="005B68A3" w:rsidRPr="005B68A3" w:rsidRDefault="005B68A3" w:rsidP="004B6B18">
            <w:pPr>
              <w:ind w:left="86"/>
              <w:rPr>
                <w:b/>
                <w:sz w:val="24"/>
                <w:szCs w:val="24"/>
              </w:rPr>
            </w:pPr>
            <w:r w:rsidRPr="005B68A3">
              <w:rPr>
                <w:b/>
                <w:sz w:val="24"/>
                <w:szCs w:val="24"/>
              </w:rPr>
              <w:t>Øre og labyrint</w:t>
            </w:r>
          </w:p>
        </w:tc>
        <w:tc>
          <w:tcPr>
            <w:tcW w:w="5244" w:type="dxa"/>
            <w:tcBorders>
              <w:top w:val="single" w:sz="6" w:space="0" w:color="000000"/>
              <w:left w:val="single" w:sz="6" w:space="0" w:color="000000"/>
              <w:bottom w:val="single" w:sz="6" w:space="0" w:color="000000"/>
              <w:right w:val="single" w:sz="6" w:space="0" w:color="000000"/>
            </w:tcBorders>
            <w:hideMark/>
          </w:tcPr>
          <w:p w14:paraId="2C1EA753" w14:textId="77777777" w:rsidR="005B68A3" w:rsidRPr="005B68A3" w:rsidRDefault="005B68A3" w:rsidP="004B6B18">
            <w:pPr>
              <w:ind w:left="94"/>
              <w:rPr>
                <w:sz w:val="24"/>
                <w:szCs w:val="24"/>
              </w:rPr>
            </w:pPr>
            <w:r w:rsidRPr="005B68A3">
              <w:rPr>
                <w:sz w:val="24"/>
                <w:szCs w:val="24"/>
              </w:rPr>
              <w:t>Vertigo</w:t>
            </w:r>
          </w:p>
        </w:tc>
        <w:tc>
          <w:tcPr>
            <w:tcW w:w="1486" w:type="dxa"/>
            <w:tcBorders>
              <w:top w:val="single" w:sz="6" w:space="0" w:color="000000"/>
              <w:left w:val="single" w:sz="6" w:space="0" w:color="000000"/>
              <w:bottom w:val="single" w:sz="6" w:space="0" w:color="000000"/>
              <w:right w:val="single" w:sz="6" w:space="0" w:color="000000"/>
            </w:tcBorders>
            <w:hideMark/>
          </w:tcPr>
          <w:p w14:paraId="2F05EAF4" w14:textId="77777777" w:rsidR="005B68A3" w:rsidRPr="005B68A3" w:rsidRDefault="005B68A3" w:rsidP="004B6B18">
            <w:pPr>
              <w:ind w:left="98" w:hanging="4"/>
              <w:rPr>
                <w:sz w:val="24"/>
                <w:szCs w:val="24"/>
              </w:rPr>
            </w:pPr>
            <w:r w:rsidRPr="005B68A3">
              <w:rPr>
                <w:sz w:val="24"/>
                <w:szCs w:val="24"/>
              </w:rPr>
              <w:t>Ikke kendt</w:t>
            </w:r>
          </w:p>
        </w:tc>
      </w:tr>
      <w:tr w:rsidR="005B68A3" w:rsidRPr="005B68A3" w14:paraId="62E746B0" w14:textId="77777777" w:rsidTr="004B6B18">
        <w:trPr>
          <w:trHeight w:val="621"/>
        </w:trPr>
        <w:tc>
          <w:tcPr>
            <w:tcW w:w="2553" w:type="dxa"/>
            <w:tcBorders>
              <w:top w:val="single" w:sz="6" w:space="0" w:color="000000"/>
              <w:left w:val="single" w:sz="6" w:space="0" w:color="000000"/>
              <w:bottom w:val="single" w:sz="6" w:space="0" w:color="000000"/>
              <w:right w:val="single" w:sz="6" w:space="0" w:color="000000"/>
            </w:tcBorders>
            <w:hideMark/>
          </w:tcPr>
          <w:p w14:paraId="2E0800F5" w14:textId="77777777" w:rsidR="005B68A3" w:rsidRPr="005B68A3" w:rsidRDefault="005B68A3" w:rsidP="004B6B18">
            <w:pPr>
              <w:ind w:left="86"/>
              <w:rPr>
                <w:b/>
                <w:sz w:val="24"/>
                <w:szCs w:val="24"/>
              </w:rPr>
            </w:pPr>
            <w:r w:rsidRPr="005B68A3">
              <w:rPr>
                <w:b/>
                <w:sz w:val="24"/>
                <w:szCs w:val="24"/>
              </w:rPr>
              <w:t>Øjne</w:t>
            </w:r>
          </w:p>
        </w:tc>
        <w:tc>
          <w:tcPr>
            <w:tcW w:w="5244" w:type="dxa"/>
            <w:tcBorders>
              <w:top w:val="single" w:sz="6" w:space="0" w:color="000000"/>
              <w:left w:val="single" w:sz="6" w:space="0" w:color="000000"/>
              <w:bottom w:val="single" w:sz="6" w:space="0" w:color="000000"/>
              <w:right w:val="single" w:sz="6" w:space="0" w:color="000000"/>
            </w:tcBorders>
            <w:hideMark/>
          </w:tcPr>
          <w:p w14:paraId="04197965" w14:textId="77777777" w:rsidR="005B68A3" w:rsidRPr="005B68A3" w:rsidRDefault="005B68A3" w:rsidP="004B6B18">
            <w:pPr>
              <w:ind w:left="94"/>
              <w:rPr>
                <w:sz w:val="24"/>
                <w:szCs w:val="24"/>
              </w:rPr>
            </w:pPr>
            <w:r w:rsidRPr="005B68A3">
              <w:rPr>
                <w:sz w:val="24"/>
                <w:szCs w:val="24"/>
              </w:rPr>
              <w:t>Tørre øjne, unormal fornemmelse i øjnene, akkommodationsforstyrrelse</w:t>
            </w:r>
          </w:p>
        </w:tc>
        <w:tc>
          <w:tcPr>
            <w:tcW w:w="1486" w:type="dxa"/>
            <w:tcBorders>
              <w:top w:val="single" w:sz="6" w:space="0" w:color="000000"/>
              <w:left w:val="single" w:sz="6" w:space="0" w:color="000000"/>
              <w:bottom w:val="single" w:sz="6" w:space="0" w:color="000000"/>
              <w:right w:val="single" w:sz="6" w:space="0" w:color="000000"/>
            </w:tcBorders>
            <w:hideMark/>
          </w:tcPr>
          <w:p w14:paraId="6052C89E" w14:textId="77777777" w:rsidR="005B68A3" w:rsidRPr="005B68A3" w:rsidRDefault="005B68A3" w:rsidP="004B6B18">
            <w:pPr>
              <w:ind w:left="98" w:hanging="4"/>
              <w:rPr>
                <w:sz w:val="24"/>
                <w:szCs w:val="24"/>
              </w:rPr>
            </w:pPr>
            <w:r w:rsidRPr="005B68A3">
              <w:rPr>
                <w:sz w:val="24"/>
                <w:szCs w:val="24"/>
              </w:rPr>
              <w:t>Ikke kendt</w:t>
            </w:r>
          </w:p>
        </w:tc>
      </w:tr>
      <w:tr w:rsidR="005B68A3" w:rsidRPr="005B68A3" w14:paraId="3BDABD12" w14:textId="77777777" w:rsidTr="004B6B18">
        <w:trPr>
          <w:trHeight w:val="366"/>
        </w:trPr>
        <w:tc>
          <w:tcPr>
            <w:tcW w:w="2553" w:type="dxa"/>
            <w:tcBorders>
              <w:top w:val="single" w:sz="6" w:space="0" w:color="000000"/>
              <w:left w:val="single" w:sz="6" w:space="0" w:color="000000"/>
              <w:bottom w:val="single" w:sz="6" w:space="0" w:color="000000"/>
              <w:right w:val="single" w:sz="6" w:space="0" w:color="000000"/>
            </w:tcBorders>
            <w:hideMark/>
          </w:tcPr>
          <w:p w14:paraId="5D8FC05A" w14:textId="77777777" w:rsidR="005B68A3" w:rsidRPr="005B68A3" w:rsidRDefault="005B68A3" w:rsidP="004B6B18">
            <w:pPr>
              <w:ind w:left="86"/>
              <w:rPr>
                <w:b/>
                <w:sz w:val="24"/>
                <w:szCs w:val="24"/>
              </w:rPr>
            </w:pPr>
            <w:r w:rsidRPr="005B68A3">
              <w:rPr>
                <w:b/>
                <w:sz w:val="24"/>
                <w:szCs w:val="24"/>
              </w:rPr>
              <w:t>Hjerte</w:t>
            </w:r>
          </w:p>
        </w:tc>
        <w:tc>
          <w:tcPr>
            <w:tcW w:w="5244" w:type="dxa"/>
            <w:tcBorders>
              <w:top w:val="single" w:sz="6" w:space="0" w:color="000000"/>
              <w:left w:val="single" w:sz="6" w:space="0" w:color="000000"/>
              <w:bottom w:val="single" w:sz="6" w:space="0" w:color="000000"/>
              <w:right w:val="single" w:sz="6" w:space="0" w:color="000000"/>
            </w:tcBorders>
            <w:hideMark/>
          </w:tcPr>
          <w:p w14:paraId="6ED3248B" w14:textId="77777777" w:rsidR="005B68A3" w:rsidRPr="005B68A3" w:rsidRDefault="005B68A3" w:rsidP="004B6B18">
            <w:pPr>
              <w:ind w:left="94"/>
              <w:rPr>
                <w:sz w:val="24"/>
                <w:szCs w:val="24"/>
              </w:rPr>
            </w:pPr>
            <w:r w:rsidRPr="005B68A3">
              <w:rPr>
                <w:sz w:val="24"/>
                <w:szCs w:val="24"/>
              </w:rPr>
              <w:t>Supraventrikulær takykardi</w:t>
            </w:r>
          </w:p>
        </w:tc>
        <w:tc>
          <w:tcPr>
            <w:tcW w:w="1486" w:type="dxa"/>
            <w:tcBorders>
              <w:top w:val="single" w:sz="6" w:space="0" w:color="000000"/>
              <w:left w:val="single" w:sz="6" w:space="0" w:color="000000"/>
              <w:bottom w:val="single" w:sz="6" w:space="0" w:color="000000"/>
              <w:right w:val="single" w:sz="6" w:space="0" w:color="000000"/>
            </w:tcBorders>
            <w:hideMark/>
          </w:tcPr>
          <w:p w14:paraId="352DDF42" w14:textId="77777777" w:rsidR="005B68A3" w:rsidRPr="005B68A3" w:rsidRDefault="005B68A3" w:rsidP="004B6B18">
            <w:pPr>
              <w:ind w:left="98" w:hanging="4"/>
              <w:rPr>
                <w:sz w:val="24"/>
                <w:szCs w:val="24"/>
              </w:rPr>
            </w:pPr>
            <w:r w:rsidRPr="005B68A3">
              <w:rPr>
                <w:sz w:val="24"/>
                <w:szCs w:val="24"/>
              </w:rPr>
              <w:t>Ikke kendt</w:t>
            </w:r>
          </w:p>
        </w:tc>
      </w:tr>
      <w:tr w:rsidR="005B68A3" w:rsidRPr="005B68A3" w14:paraId="50B5BFE0" w14:textId="77777777" w:rsidTr="004B6B18">
        <w:trPr>
          <w:trHeight w:val="366"/>
        </w:trPr>
        <w:tc>
          <w:tcPr>
            <w:tcW w:w="2553" w:type="dxa"/>
            <w:tcBorders>
              <w:top w:val="single" w:sz="6" w:space="0" w:color="000000"/>
              <w:left w:val="single" w:sz="6" w:space="0" w:color="000000"/>
              <w:bottom w:val="single" w:sz="6" w:space="0" w:color="000000"/>
              <w:right w:val="single" w:sz="6" w:space="0" w:color="000000"/>
            </w:tcBorders>
            <w:hideMark/>
          </w:tcPr>
          <w:p w14:paraId="51942A10" w14:textId="77777777" w:rsidR="005B68A3" w:rsidRPr="005B68A3" w:rsidRDefault="005B68A3" w:rsidP="004B6B18">
            <w:pPr>
              <w:ind w:left="86"/>
              <w:rPr>
                <w:b/>
                <w:sz w:val="24"/>
                <w:szCs w:val="24"/>
              </w:rPr>
            </w:pPr>
            <w:r w:rsidRPr="005B68A3">
              <w:rPr>
                <w:b/>
                <w:sz w:val="24"/>
                <w:szCs w:val="24"/>
              </w:rPr>
              <w:t>Vaskulære sygdomme</w:t>
            </w:r>
          </w:p>
        </w:tc>
        <w:tc>
          <w:tcPr>
            <w:tcW w:w="5244" w:type="dxa"/>
            <w:tcBorders>
              <w:top w:val="single" w:sz="6" w:space="0" w:color="000000"/>
              <w:left w:val="single" w:sz="6" w:space="0" w:color="000000"/>
              <w:bottom w:val="single" w:sz="6" w:space="0" w:color="000000"/>
              <w:right w:val="single" w:sz="6" w:space="0" w:color="000000"/>
            </w:tcBorders>
            <w:hideMark/>
          </w:tcPr>
          <w:p w14:paraId="3C1E8F70" w14:textId="77777777" w:rsidR="005B68A3" w:rsidRPr="005B68A3" w:rsidRDefault="005B68A3" w:rsidP="004B6B18">
            <w:pPr>
              <w:ind w:left="94"/>
              <w:rPr>
                <w:sz w:val="24"/>
                <w:szCs w:val="24"/>
              </w:rPr>
            </w:pPr>
            <w:r w:rsidRPr="005B68A3">
              <w:rPr>
                <w:sz w:val="24"/>
                <w:szCs w:val="24"/>
              </w:rPr>
              <w:t>Hypotension, ansigtsrødme</w:t>
            </w:r>
          </w:p>
        </w:tc>
        <w:tc>
          <w:tcPr>
            <w:tcW w:w="1486" w:type="dxa"/>
            <w:tcBorders>
              <w:top w:val="single" w:sz="6" w:space="0" w:color="000000"/>
              <w:left w:val="single" w:sz="6" w:space="0" w:color="000000"/>
              <w:bottom w:val="single" w:sz="6" w:space="0" w:color="000000"/>
              <w:right w:val="single" w:sz="6" w:space="0" w:color="000000"/>
            </w:tcBorders>
            <w:hideMark/>
          </w:tcPr>
          <w:p w14:paraId="7B719D8A" w14:textId="77777777" w:rsidR="005B68A3" w:rsidRPr="005B68A3" w:rsidRDefault="005B68A3" w:rsidP="004B6B18">
            <w:pPr>
              <w:ind w:left="98" w:hanging="4"/>
              <w:rPr>
                <w:sz w:val="24"/>
                <w:szCs w:val="24"/>
              </w:rPr>
            </w:pPr>
            <w:r w:rsidRPr="005B68A3">
              <w:rPr>
                <w:sz w:val="24"/>
                <w:szCs w:val="24"/>
              </w:rPr>
              <w:t>Ikke kendt</w:t>
            </w:r>
          </w:p>
        </w:tc>
      </w:tr>
      <w:tr w:rsidR="005B68A3" w:rsidRPr="005B68A3" w14:paraId="3E1ECE41" w14:textId="77777777" w:rsidTr="004B6B18">
        <w:trPr>
          <w:trHeight w:val="873"/>
        </w:trPr>
        <w:tc>
          <w:tcPr>
            <w:tcW w:w="2553" w:type="dxa"/>
            <w:tcBorders>
              <w:top w:val="single" w:sz="6" w:space="0" w:color="000000"/>
              <w:left w:val="single" w:sz="6" w:space="0" w:color="000000"/>
              <w:bottom w:val="single" w:sz="6" w:space="0" w:color="000000"/>
              <w:right w:val="single" w:sz="6" w:space="0" w:color="000000"/>
            </w:tcBorders>
            <w:hideMark/>
          </w:tcPr>
          <w:p w14:paraId="678EE13E" w14:textId="77777777" w:rsidR="005B68A3" w:rsidRPr="005B68A3" w:rsidRDefault="005B68A3" w:rsidP="004B6B18">
            <w:pPr>
              <w:ind w:left="86"/>
              <w:rPr>
                <w:b/>
                <w:sz w:val="24"/>
                <w:szCs w:val="24"/>
              </w:rPr>
            </w:pPr>
            <w:r w:rsidRPr="005B68A3">
              <w:rPr>
                <w:b/>
                <w:sz w:val="24"/>
                <w:szCs w:val="24"/>
              </w:rPr>
              <w:t>Mave-tarm-kanalen</w:t>
            </w:r>
          </w:p>
        </w:tc>
        <w:tc>
          <w:tcPr>
            <w:tcW w:w="5244" w:type="dxa"/>
            <w:tcBorders>
              <w:top w:val="single" w:sz="6" w:space="0" w:color="000000"/>
              <w:left w:val="single" w:sz="6" w:space="0" w:color="000000"/>
              <w:bottom w:val="single" w:sz="6" w:space="0" w:color="000000"/>
              <w:right w:val="single" w:sz="6" w:space="0" w:color="000000"/>
            </w:tcBorders>
            <w:hideMark/>
          </w:tcPr>
          <w:p w14:paraId="6F6404CD" w14:textId="77777777" w:rsidR="005B68A3" w:rsidRPr="005B68A3" w:rsidRDefault="005B68A3" w:rsidP="004B6B18">
            <w:pPr>
              <w:ind w:left="94"/>
              <w:rPr>
                <w:sz w:val="24"/>
                <w:szCs w:val="24"/>
              </w:rPr>
            </w:pPr>
            <w:r w:rsidRPr="005B68A3">
              <w:rPr>
                <w:sz w:val="24"/>
                <w:szCs w:val="24"/>
              </w:rPr>
              <w:t>Forstoppelse, mundtørhed, ubehag i maven, smerter i nedre maveregion, smerter i øvre maveregion, kvalme, dyspepsi, diarré</w:t>
            </w:r>
          </w:p>
        </w:tc>
        <w:tc>
          <w:tcPr>
            <w:tcW w:w="1486" w:type="dxa"/>
            <w:tcBorders>
              <w:top w:val="single" w:sz="6" w:space="0" w:color="000000"/>
              <w:left w:val="single" w:sz="6" w:space="0" w:color="000000"/>
              <w:bottom w:val="single" w:sz="6" w:space="0" w:color="000000"/>
              <w:right w:val="single" w:sz="6" w:space="0" w:color="000000"/>
            </w:tcBorders>
            <w:hideMark/>
          </w:tcPr>
          <w:p w14:paraId="6B192149" w14:textId="77777777" w:rsidR="005B68A3" w:rsidRPr="005B68A3" w:rsidRDefault="005B68A3" w:rsidP="004B6B18">
            <w:pPr>
              <w:ind w:left="98" w:hanging="4"/>
              <w:rPr>
                <w:sz w:val="24"/>
                <w:szCs w:val="24"/>
              </w:rPr>
            </w:pPr>
            <w:r w:rsidRPr="005B68A3">
              <w:rPr>
                <w:sz w:val="24"/>
                <w:szCs w:val="24"/>
              </w:rPr>
              <w:t>Ikke kendt</w:t>
            </w:r>
          </w:p>
        </w:tc>
      </w:tr>
      <w:tr w:rsidR="005B68A3" w:rsidRPr="005B68A3" w14:paraId="5844CAF5" w14:textId="77777777" w:rsidTr="004B6B18">
        <w:trPr>
          <w:trHeight w:val="621"/>
        </w:trPr>
        <w:tc>
          <w:tcPr>
            <w:tcW w:w="2553" w:type="dxa"/>
            <w:tcBorders>
              <w:top w:val="single" w:sz="6" w:space="0" w:color="000000"/>
              <w:left w:val="single" w:sz="6" w:space="0" w:color="000000"/>
              <w:bottom w:val="single" w:sz="6" w:space="0" w:color="000000"/>
              <w:right w:val="single" w:sz="6" w:space="0" w:color="000000"/>
            </w:tcBorders>
            <w:hideMark/>
          </w:tcPr>
          <w:p w14:paraId="3EDB5A45" w14:textId="77777777" w:rsidR="005B68A3" w:rsidRPr="005B68A3" w:rsidRDefault="005B68A3" w:rsidP="004B6B18">
            <w:pPr>
              <w:ind w:left="86"/>
              <w:rPr>
                <w:b/>
                <w:sz w:val="24"/>
                <w:szCs w:val="24"/>
              </w:rPr>
            </w:pPr>
            <w:r w:rsidRPr="005B68A3">
              <w:rPr>
                <w:b/>
                <w:sz w:val="24"/>
                <w:szCs w:val="24"/>
              </w:rPr>
              <w:t>Hud og subkutane væv</w:t>
            </w:r>
          </w:p>
        </w:tc>
        <w:tc>
          <w:tcPr>
            <w:tcW w:w="5244" w:type="dxa"/>
            <w:tcBorders>
              <w:top w:val="single" w:sz="6" w:space="0" w:color="000000"/>
              <w:left w:val="single" w:sz="6" w:space="0" w:color="000000"/>
              <w:bottom w:val="single" w:sz="6" w:space="0" w:color="000000"/>
              <w:right w:val="single" w:sz="6" w:space="0" w:color="000000"/>
            </w:tcBorders>
            <w:hideMark/>
          </w:tcPr>
          <w:p w14:paraId="0022EDED" w14:textId="77777777" w:rsidR="005B68A3" w:rsidRPr="005B68A3" w:rsidRDefault="005B68A3" w:rsidP="004B6B18">
            <w:pPr>
              <w:ind w:left="94"/>
              <w:rPr>
                <w:sz w:val="24"/>
                <w:szCs w:val="24"/>
              </w:rPr>
            </w:pPr>
            <w:r w:rsidRPr="005B68A3">
              <w:rPr>
                <w:sz w:val="24"/>
                <w:szCs w:val="24"/>
              </w:rPr>
              <w:t>Hypohidrose, udslæt, øget svedtendens om natten</w:t>
            </w:r>
          </w:p>
        </w:tc>
        <w:tc>
          <w:tcPr>
            <w:tcW w:w="1486" w:type="dxa"/>
            <w:tcBorders>
              <w:top w:val="single" w:sz="6" w:space="0" w:color="000000"/>
              <w:left w:val="single" w:sz="6" w:space="0" w:color="000000"/>
              <w:bottom w:val="single" w:sz="6" w:space="0" w:color="000000"/>
              <w:right w:val="single" w:sz="6" w:space="0" w:color="000000"/>
            </w:tcBorders>
            <w:hideMark/>
          </w:tcPr>
          <w:p w14:paraId="570E3CF1" w14:textId="77777777" w:rsidR="005B68A3" w:rsidRPr="005B68A3" w:rsidRDefault="005B68A3" w:rsidP="004B6B18">
            <w:pPr>
              <w:ind w:left="98" w:hanging="4"/>
              <w:rPr>
                <w:sz w:val="24"/>
                <w:szCs w:val="24"/>
              </w:rPr>
            </w:pPr>
            <w:r w:rsidRPr="005B68A3">
              <w:rPr>
                <w:sz w:val="24"/>
                <w:szCs w:val="24"/>
              </w:rPr>
              <w:t>Ikke kendt</w:t>
            </w:r>
          </w:p>
        </w:tc>
      </w:tr>
      <w:tr w:rsidR="005B68A3" w:rsidRPr="005B68A3" w14:paraId="70462E89" w14:textId="77777777" w:rsidTr="004B6B18">
        <w:trPr>
          <w:trHeight w:val="618"/>
        </w:trPr>
        <w:tc>
          <w:tcPr>
            <w:tcW w:w="2553" w:type="dxa"/>
            <w:tcBorders>
              <w:top w:val="single" w:sz="6" w:space="0" w:color="000000"/>
              <w:left w:val="single" w:sz="6" w:space="0" w:color="000000"/>
              <w:bottom w:val="single" w:sz="6" w:space="0" w:color="000000"/>
              <w:right w:val="single" w:sz="6" w:space="0" w:color="000000"/>
            </w:tcBorders>
            <w:hideMark/>
          </w:tcPr>
          <w:p w14:paraId="622B0653" w14:textId="77777777" w:rsidR="005B68A3" w:rsidRPr="005B68A3" w:rsidRDefault="005B68A3" w:rsidP="004B6B18">
            <w:pPr>
              <w:ind w:left="86"/>
              <w:rPr>
                <w:b/>
                <w:sz w:val="24"/>
                <w:szCs w:val="24"/>
              </w:rPr>
            </w:pPr>
            <w:r w:rsidRPr="005B68A3">
              <w:rPr>
                <w:b/>
                <w:sz w:val="24"/>
                <w:szCs w:val="24"/>
              </w:rPr>
              <w:t>Nyrer og urinveje</w:t>
            </w:r>
          </w:p>
        </w:tc>
        <w:tc>
          <w:tcPr>
            <w:tcW w:w="5244" w:type="dxa"/>
            <w:tcBorders>
              <w:top w:val="single" w:sz="6" w:space="0" w:color="000000"/>
              <w:left w:val="single" w:sz="6" w:space="0" w:color="000000"/>
              <w:bottom w:val="single" w:sz="6" w:space="0" w:color="000000"/>
              <w:right w:val="single" w:sz="6" w:space="0" w:color="000000"/>
            </w:tcBorders>
            <w:hideMark/>
          </w:tcPr>
          <w:p w14:paraId="279E7885" w14:textId="77777777" w:rsidR="005B68A3" w:rsidRPr="005B68A3" w:rsidRDefault="005B68A3" w:rsidP="004B6B18">
            <w:pPr>
              <w:ind w:left="94"/>
              <w:rPr>
                <w:sz w:val="24"/>
                <w:szCs w:val="24"/>
              </w:rPr>
            </w:pPr>
            <w:r w:rsidRPr="005B68A3">
              <w:rPr>
                <w:sz w:val="24"/>
                <w:szCs w:val="24"/>
              </w:rPr>
              <w:t>Vandladningstrang, proteinuri, hæmaturi, vandladningsforstyrrelser</w:t>
            </w:r>
          </w:p>
        </w:tc>
        <w:tc>
          <w:tcPr>
            <w:tcW w:w="1486" w:type="dxa"/>
            <w:tcBorders>
              <w:top w:val="single" w:sz="6" w:space="0" w:color="000000"/>
              <w:left w:val="single" w:sz="6" w:space="0" w:color="000000"/>
              <w:bottom w:val="single" w:sz="6" w:space="0" w:color="000000"/>
              <w:right w:val="single" w:sz="6" w:space="0" w:color="000000"/>
            </w:tcBorders>
            <w:hideMark/>
          </w:tcPr>
          <w:p w14:paraId="05823C0B" w14:textId="77777777" w:rsidR="005B68A3" w:rsidRPr="005B68A3" w:rsidRDefault="005B68A3" w:rsidP="004B6B18">
            <w:pPr>
              <w:ind w:left="98" w:hanging="4"/>
              <w:rPr>
                <w:sz w:val="24"/>
                <w:szCs w:val="24"/>
              </w:rPr>
            </w:pPr>
            <w:r w:rsidRPr="005B68A3">
              <w:rPr>
                <w:sz w:val="24"/>
                <w:szCs w:val="24"/>
              </w:rPr>
              <w:t>Ikke kendt</w:t>
            </w:r>
          </w:p>
        </w:tc>
      </w:tr>
      <w:tr w:rsidR="005B68A3" w:rsidRPr="005B68A3" w14:paraId="3EB171FB" w14:textId="77777777" w:rsidTr="004B6B18">
        <w:trPr>
          <w:trHeight w:val="875"/>
        </w:trPr>
        <w:tc>
          <w:tcPr>
            <w:tcW w:w="2553" w:type="dxa"/>
            <w:tcBorders>
              <w:top w:val="single" w:sz="6" w:space="0" w:color="000000"/>
              <w:left w:val="single" w:sz="6" w:space="0" w:color="000000"/>
              <w:bottom w:val="single" w:sz="6" w:space="0" w:color="000000"/>
              <w:right w:val="single" w:sz="6" w:space="0" w:color="000000"/>
            </w:tcBorders>
          </w:tcPr>
          <w:p w14:paraId="4F7434FB" w14:textId="77777777" w:rsidR="005B68A3" w:rsidRPr="005B68A3" w:rsidRDefault="005B68A3" w:rsidP="004B6B18">
            <w:pPr>
              <w:ind w:left="86"/>
              <w:rPr>
                <w:b/>
                <w:sz w:val="24"/>
                <w:szCs w:val="24"/>
              </w:rPr>
            </w:pPr>
            <w:r w:rsidRPr="005B68A3">
              <w:rPr>
                <w:b/>
                <w:sz w:val="24"/>
                <w:szCs w:val="24"/>
              </w:rPr>
              <w:t>Almene symptomer og reaktioner på administrationsstedet</w:t>
            </w:r>
          </w:p>
          <w:p w14:paraId="38215AB9" w14:textId="77777777" w:rsidR="005B68A3" w:rsidRPr="005B68A3" w:rsidRDefault="005B68A3" w:rsidP="004B6B18">
            <w:pPr>
              <w:ind w:left="86"/>
              <w:rPr>
                <w:b/>
                <w:sz w:val="24"/>
                <w:szCs w:val="24"/>
              </w:rPr>
            </w:pPr>
          </w:p>
        </w:tc>
        <w:tc>
          <w:tcPr>
            <w:tcW w:w="5244" w:type="dxa"/>
            <w:tcBorders>
              <w:top w:val="single" w:sz="6" w:space="0" w:color="000000"/>
              <w:left w:val="single" w:sz="6" w:space="0" w:color="000000"/>
              <w:bottom w:val="single" w:sz="6" w:space="0" w:color="000000"/>
              <w:right w:val="single" w:sz="6" w:space="0" w:color="000000"/>
            </w:tcBorders>
            <w:hideMark/>
          </w:tcPr>
          <w:p w14:paraId="72A2475E" w14:textId="77777777" w:rsidR="005B68A3" w:rsidRPr="005B68A3" w:rsidRDefault="005B68A3" w:rsidP="004B6B18">
            <w:pPr>
              <w:ind w:left="94"/>
              <w:rPr>
                <w:sz w:val="24"/>
                <w:szCs w:val="24"/>
              </w:rPr>
            </w:pPr>
            <w:r w:rsidRPr="005B68A3">
              <w:rPr>
                <w:sz w:val="24"/>
                <w:szCs w:val="24"/>
              </w:rPr>
              <w:t>Smerter ved instillationsstedet, tørst, ubehag i brystet, kuldefølelse</w:t>
            </w:r>
          </w:p>
        </w:tc>
        <w:tc>
          <w:tcPr>
            <w:tcW w:w="1486" w:type="dxa"/>
            <w:tcBorders>
              <w:top w:val="single" w:sz="6" w:space="0" w:color="000000"/>
              <w:left w:val="single" w:sz="6" w:space="0" w:color="000000"/>
              <w:bottom w:val="single" w:sz="6" w:space="0" w:color="000000"/>
              <w:right w:val="single" w:sz="6" w:space="0" w:color="000000"/>
            </w:tcBorders>
            <w:hideMark/>
          </w:tcPr>
          <w:p w14:paraId="5698CB05" w14:textId="77777777" w:rsidR="005B68A3" w:rsidRPr="005B68A3" w:rsidRDefault="005B68A3" w:rsidP="004B6B18">
            <w:pPr>
              <w:ind w:left="98" w:hanging="4"/>
              <w:rPr>
                <w:sz w:val="24"/>
                <w:szCs w:val="24"/>
              </w:rPr>
            </w:pPr>
            <w:r w:rsidRPr="005B68A3">
              <w:rPr>
                <w:sz w:val="24"/>
                <w:szCs w:val="24"/>
              </w:rPr>
              <w:t>Ikke kendt</w:t>
            </w:r>
          </w:p>
        </w:tc>
      </w:tr>
    </w:tbl>
    <w:p w14:paraId="386E8AFE" w14:textId="77777777" w:rsidR="005B68A3" w:rsidRPr="005B68A3" w:rsidRDefault="005B68A3" w:rsidP="005B68A3">
      <w:pPr>
        <w:tabs>
          <w:tab w:val="left" w:pos="851"/>
        </w:tabs>
        <w:ind w:left="851"/>
        <w:rPr>
          <w:sz w:val="24"/>
          <w:szCs w:val="24"/>
        </w:rPr>
      </w:pPr>
    </w:p>
    <w:p w14:paraId="03D6FFD4" w14:textId="77777777" w:rsidR="005B68A3" w:rsidRPr="005B68A3" w:rsidRDefault="005B68A3" w:rsidP="005B68A3">
      <w:pPr>
        <w:tabs>
          <w:tab w:val="left" w:pos="851"/>
        </w:tabs>
        <w:ind w:left="851"/>
        <w:rPr>
          <w:sz w:val="24"/>
          <w:szCs w:val="24"/>
        </w:rPr>
      </w:pPr>
      <w:r w:rsidRPr="005B68A3">
        <w:rPr>
          <w:sz w:val="24"/>
          <w:szCs w:val="24"/>
        </w:rPr>
        <w:t>Én patient har oplevet nedsat iltmætning under iltbehandling i hjemmet (se pkt. 4.3).</w:t>
      </w:r>
    </w:p>
    <w:p w14:paraId="6A211B6A" w14:textId="77777777" w:rsidR="005B68A3" w:rsidRPr="005B68A3" w:rsidRDefault="005B68A3" w:rsidP="005B68A3">
      <w:pPr>
        <w:tabs>
          <w:tab w:val="left" w:pos="851"/>
        </w:tabs>
        <w:ind w:left="851"/>
        <w:rPr>
          <w:sz w:val="24"/>
          <w:szCs w:val="24"/>
        </w:rPr>
      </w:pPr>
    </w:p>
    <w:p w14:paraId="1325A294" w14:textId="77777777" w:rsidR="005B68A3" w:rsidRPr="005B68A3" w:rsidRDefault="005B68A3" w:rsidP="005B68A3">
      <w:pPr>
        <w:tabs>
          <w:tab w:val="left" w:pos="851"/>
        </w:tabs>
        <w:ind w:left="851"/>
        <w:rPr>
          <w:sz w:val="24"/>
          <w:szCs w:val="24"/>
        </w:rPr>
      </w:pPr>
      <w:r w:rsidRPr="005B68A3">
        <w:rPr>
          <w:sz w:val="24"/>
          <w:szCs w:val="24"/>
          <w:u w:val="single"/>
        </w:rPr>
        <w:t>Pædiatrisk population</w:t>
      </w:r>
    </w:p>
    <w:p w14:paraId="25DABEEA" w14:textId="77777777" w:rsidR="005B68A3" w:rsidRPr="005B68A3" w:rsidRDefault="005B68A3" w:rsidP="005B68A3">
      <w:pPr>
        <w:tabs>
          <w:tab w:val="left" w:pos="851"/>
        </w:tabs>
        <w:ind w:left="851"/>
        <w:rPr>
          <w:sz w:val="24"/>
          <w:szCs w:val="24"/>
        </w:rPr>
      </w:pPr>
      <w:r w:rsidRPr="005B68A3">
        <w:rPr>
          <w:sz w:val="24"/>
          <w:szCs w:val="24"/>
        </w:rPr>
        <w:t>Børn kan være mere følsomme over for produktets effekt, navnlig bivirkninger i centralnervesystem og psykiatriske bivirkninger.</w:t>
      </w:r>
    </w:p>
    <w:p w14:paraId="53DAE4DC" w14:textId="77777777" w:rsidR="005B68A3" w:rsidRPr="005B68A3" w:rsidRDefault="005B68A3" w:rsidP="005B68A3">
      <w:pPr>
        <w:tabs>
          <w:tab w:val="left" w:pos="851"/>
        </w:tabs>
        <w:ind w:left="851"/>
        <w:rPr>
          <w:sz w:val="24"/>
          <w:szCs w:val="24"/>
        </w:rPr>
      </w:pPr>
    </w:p>
    <w:p w14:paraId="0F8A9B33" w14:textId="77777777" w:rsidR="005B68A3" w:rsidRPr="005B68A3" w:rsidRDefault="005B68A3" w:rsidP="005B68A3">
      <w:pPr>
        <w:tabs>
          <w:tab w:val="left" w:pos="851"/>
        </w:tabs>
        <w:ind w:left="851"/>
        <w:rPr>
          <w:sz w:val="24"/>
          <w:szCs w:val="24"/>
        </w:rPr>
      </w:pPr>
      <w:r w:rsidRPr="005B68A3">
        <w:rPr>
          <w:sz w:val="24"/>
          <w:szCs w:val="24"/>
        </w:rPr>
        <w:t>Bivirkninger, der er kendt ved antikolinerg behandling, men som ikke er observeret ved intravesikal anvendelse af oxybutynin i kliniske forsøg, er opkastning, anoreksi, nedsat appetit, dysfagi, gastroøsofageal reflukssygdom, pseudoobstruktion hos risiko-patienter (ældre patienter eller patienter med forstoppelse i behandling med andre lægemidler, der nedsætter tarmmotiliteten), forvirring, uro, angst, mareridt, paranoia, depressionssymptomer, afhængighed af oxybutynin (hos patienter med tidligere medicin- eller stofmisbrug), arytmi, hedeslag, snævervinklet glaukom, forhøjet øjentryk, tør hud, angioødem, urticaria, lysfølsomhed, hypersensitivitet.</w:t>
      </w:r>
    </w:p>
    <w:p w14:paraId="5370ADBF" w14:textId="77777777" w:rsidR="005B68A3" w:rsidRPr="005B68A3" w:rsidRDefault="005B68A3" w:rsidP="005B68A3">
      <w:pPr>
        <w:tabs>
          <w:tab w:val="left" w:pos="851"/>
        </w:tabs>
        <w:ind w:left="851"/>
        <w:rPr>
          <w:sz w:val="24"/>
          <w:szCs w:val="24"/>
        </w:rPr>
      </w:pPr>
    </w:p>
    <w:p w14:paraId="24C65766" w14:textId="77777777" w:rsidR="005B68A3" w:rsidRPr="005B68A3" w:rsidRDefault="005B68A3" w:rsidP="005B68A3">
      <w:pPr>
        <w:tabs>
          <w:tab w:val="left" w:pos="851"/>
        </w:tabs>
        <w:ind w:left="851"/>
        <w:rPr>
          <w:sz w:val="24"/>
          <w:szCs w:val="24"/>
        </w:rPr>
      </w:pPr>
      <w:r w:rsidRPr="005B68A3">
        <w:rPr>
          <w:sz w:val="24"/>
          <w:szCs w:val="24"/>
          <w:u w:val="single"/>
        </w:rPr>
        <w:t>Indberetning af formodede bivirkninger</w:t>
      </w:r>
    </w:p>
    <w:p w14:paraId="6813A3D1" w14:textId="77777777" w:rsidR="005B68A3" w:rsidRDefault="005B68A3" w:rsidP="005B68A3">
      <w:pPr>
        <w:tabs>
          <w:tab w:val="left" w:pos="851"/>
        </w:tabs>
        <w:ind w:left="851"/>
        <w:rPr>
          <w:sz w:val="24"/>
          <w:szCs w:val="24"/>
        </w:rPr>
      </w:pPr>
      <w:r w:rsidRPr="005B68A3">
        <w:rPr>
          <w:sz w:val="24"/>
          <w:szCs w:val="24"/>
        </w:rPr>
        <w:t>Når lægemidlet er godkendt, er indberetning af formodede bivirkninger vigtig. Det muliggør løbende overvågning af benefit/risk-forholdet for lægemidlet. Sundhedspersoner anmodes om at indberette alle formodede bivirkninger via:</w:t>
      </w:r>
    </w:p>
    <w:p w14:paraId="3561B65E" w14:textId="77777777" w:rsidR="004B6B18" w:rsidRPr="005B68A3" w:rsidRDefault="004B6B18" w:rsidP="005B68A3">
      <w:pPr>
        <w:tabs>
          <w:tab w:val="left" w:pos="851"/>
        </w:tabs>
        <w:ind w:left="851"/>
        <w:rPr>
          <w:sz w:val="24"/>
          <w:szCs w:val="24"/>
        </w:rPr>
      </w:pPr>
    </w:p>
    <w:p w14:paraId="548078DE" w14:textId="77777777" w:rsidR="005B68A3" w:rsidRPr="005B68A3" w:rsidRDefault="005B68A3" w:rsidP="005B68A3">
      <w:pPr>
        <w:tabs>
          <w:tab w:val="left" w:pos="851"/>
        </w:tabs>
        <w:ind w:left="851"/>
        <w:rPr>
          <w:sz w:val="24"/>
          <w:szCs w:val="24"/>
        </w:rPr>
      </w:pPr>
      <w:r w:rsidRPr="005B68A3">
        <w:rPr>
          <w:sz w:val="24"/>
          <w:szCs w:val="24"/>
        </w:rPr>
        <w:t>Lægemiddelstyrelsen</w:t>
      </w:r>
    </w:p>
    <w:p w14:paraId="5FA9C4B9" w14:textId="77777777" w:rsidR="005B68A3" w:rsidRPr="005B68A3" w:rsidRDefault="005B68A3" w:rsidP="005B68A3">
      <w:pPr>
        <w:tabs>
          <w:tab w:val="left" w:pos="851"/>
        </w:tabs>
        <w:ind w:left="851"/>
        <w:rPr>
          <w:sz w:val="24"/>
          <w:szCs w:val="24"/>
        </w:rPr>
      </w:pPr>
      <w:r w:rsidRPr="005B68A3">
        <w:rPr>
          <w:sz w:val="24"/>
          <w:szCs w:val="24"/>
        </w:rPr>
        <w:t>Axel Heides Gade 1</w:t>
      </w:r>
    </w:p>
    <w:p w14:paraId="0EECD283" w14:textId="77777777" w:rsidR="005B68A3" w:rsidRPr="005B68A3" w:rsidRDefault="005B68A3" w:rsidP="005B68A3">
      <w:pPr>
        <w:tabs>
          <w:tab w:val="left" w:pos="851"/>
        </w:tabs>
        <w:ind w:left="851"/>
        <w:rPr>
          <w:sz w:val="24"/>
          <w:szCs w:val="24"/>
        </w:rPr>
      </w:pPr>
      <w:r w:rsidRPr="005B68A3">
        <w:rPr>
          <w:sz w:val="24"/>
          <w:szCs w:val="24"/>
        </w:rPr>
        <w:t>DK-2300 København S</w:t>
      </w:r>
    </w:p>
    <w:p w14:paraId="2E54B53F" w14:textId="4AA5536B" w:rsidR="005B68A3" w:rsidRPr="005B68A3" w:rsidRDefault="005B68A3" w:rsidP="005B68A3">
      <w:pPr>
        <w:tabs>
          <w:tab w:val="left" w:pos="851"/>
        </w:tabs>
        <w:ind w:left="851"/>
        <w:rPr>
          <w:sz w:val="24"/>
          <w:szCs w:val="24"/>
        </w:rPr>
      </w:pPr>
      <w:r w:rsidRPr="005B68A3">
        <w:rPr>
          <w:sz w:val="24"/>
          <w:szCs w:val="24"/>
        </w:rPr>
        <w:t>Websted: www.meldenbivirkning.dk</w:t>
      </w:r>
    </w:p>
    <w:p w14:paraId="19652443" w14:textId="77777777" w:rsidR="009260DE" w:rsidRPr="00A10294" w:rsidRDefault="009260DE" w:rsidP="00A10294">
      <w:pPr>
        <w:tabs>
          <w:tab w:val="left" w:pos="851"/>
        </w:tabs>
        <w:ind w:left="851"/>
        <w:rPr>
          <w:sz w:val="24"/>
          <w:szCs w:val="24"/>
        </w:rPr>
      </w:pPr>
    </w:p>
    <w:p w14:paraId="582CD770" w14:textId="77777777" w:rsidR="009260DE" w:rsidRPr="00C84483" w:rsidRDefault="009260DE" w:rsidP="009260DE">
      <w:pPr>
        <w:tabs>
          <w:tab w:val="left" w:pos="851"/>
        </w:tabs>
        <w:ind w:left="851" w:hanging="851"/>
        <w:rPr>
          <w:b/>
          <w:sz w:val="24"/>
          <w:szCs w:val="24"/>
        </w:rPr>
      </w:pPr>
      <w:r w:rsidRPr="00C84483">
        <w:rPr>
          <w:b/>
          <w:sz w:val="24"/>
          <w:szCs w:val="24"/>
        </w:rPr>
        <w:t>4.9</w:t>
      </w:r>
      <w:r w:rsidRPr="00C84483">
        <w:rPr>
          <w:b/>
          <w:sz w:val="24"/>
          <w:szCs w:val="24"/>
        </w:rPr>
        <w:tab/>
        <w:t>Overdosering</w:t>
      </w:r>
    </w:p>
    <w:p w14:paraId="42CAA7B8" w14:textId="77777777" w:rsidR="005B68A3" w:rsidRPr="005B68A3" w:rsidRDefault="005B68A3" w:rsidP="005B68A3">
      <w:pPr>
        <w:tabs>
          <w:tab w:val="left" w:pos="851"/>
        </w:tabs>
        <w:ind w:left="851"/>
        <w:rPr>
          <w:sz w:val="24"/>
          <w:szCs w:val="24"/>
        </w:rPr>
      </w:pPr>
      <w:r w:rsidRPr="005B68A3">
        <w:rPr>
          <w:sz w:val="24"/>
          <w:szCs w:val="24"/>
        </w:rPr>
        <w:t>Der er ikke rapporteret om tilfælde af overdosering ved intravesikal anvendelse af oxybutynin.</w:t>
      </w:r>
    </w:p>
    <w:p w14:paraId="73911236" w14:textId="77777777" w:rsidR="005B68A3" w:rsidRPr="005B68A3" w:rsidRDefault="005B68A3" w:rsidP="005B68A3">
      <w:pPr>
        <w:tabs>
          <w:tab w:val="left" w:pos="851"/>
        </w:tabs>
        <w:ind w:left="851"/>
        <w:rPr>
          <w:sz w:val="24"/>
          <w:szCs w:val="24"/>
        </w:rPr>
      </w:pPr>
    </w:p>
    <w:p w14:paraId="1F748FB0" w14:textId="77777777" w:rsidR="005B68A3" w:rsidRPr="005B68A3" w:rsidRDefault="005B68A3" w:rsidP="005B68A3">
      <w:pPr>
        <w:tabs>
          <w:tab w:val="left" w:pos="851"/>
        </w:tabs>
        <w:ind w:left="851"/>
        <w:rPr>
          <w:sz w:val="24"/>
          <w:szCs w:val="24"/>
        </w:rPr>
      </w:pPr>
      <w:r w:rsidRPr="005B68A3">
        <w:rPr>
          <w:sz w:val="24"/>
          <w:szCs w:val="24"/>
          <w:u w:val="single"/>
        </w:rPr>
        <w:t>Symptomer</w:t>
      </w:r>
    </w:p>
    <w:p w14:paraId="55B92655" w14:textId="77777777" w:rsidR="005B68A3" w:rsidRPr="005B68A3" w:rsidRDefault="005B68A3" w:rsidP="005B68A3">
      <w:pPr>
        <w:tabs>
          <w:tab w:val="left" w:pos="851"/>
        </w:tabs>
        <w:ind w:left="851"/>
        <w:rPr>
          <w:sz w:val="24"/>
          <w:szCs w:val="24"/>
        </w:rPr>
      </w:pPr>
      <w:r w:rsidRPr="005B68A3">
        <w:rPr>
          <w:sz w:val="24"/>
          <w:szCs w:val="24"/>
        </w:rPr>
        <w:t>Symptomerne på overdosering af oxybutynin udvikler sig som en intensivering af de sædvanlige bivirkninger med forstyrrelser i centralnervesystemet (fra rastløshed og ekscitation til psykotisk adfærd), kredsløbsforstyrrelser (hedeture, blodtryksfald, kredsløbssvigt osv.), respirationssvigt, paralyse og koma.</w:t>
      </w:r>
    </w:p>
    <w:p w14:paraId="3B006B16" w14:textId="77777777" w:rsidR="005B68A3" w:rsidRPr="005B68A3" w:rsidRDefault="005B68A3" w:rsidP="005B68A3">
      <w:pPr>
        <w:tabs>
          <w:tab w:val="left" w:pos="851"/>
        </w:tabs>
        <w:ind w:left="851"/>
        <w:rPr>
          <w:sz w:val="24"/>
          <w:szCs w:val="24"/>
        </w:rPr>
      </w:pPr>
    </w:p>
    <w:p w14:paraId="1A190D87" w14:textId="77777777" w:rsidR="005B68A3" w:rsidRPr="005B68A3" w:rsidRDefault="005B68A3" w:rsidP="005B68A3">
      <w:pPr>
        <w:tabs>
          <w:tab w:val="left" w:pos="851"/>
        </w:tabs>
        <w:ind w:left="851"/>
        <w:rPr>
          <w:sz w:val="24"/>
          <w:szCs w:val="24"/>
        </w:rPr>
      </w:pPr>
      <w:r w:rsidRPr="005B68A3">
        <w:rPr>
          <w:sz w:val="24"/>
          <w:szCs w:val="24"/>
          <w:u w:val="single"/>
        </w:rPr>
        <w:t>Behandling</w:t>
      </w:r>
    </w:p>
    <w:p w14:paraId="4E28A20C" w14:textId="77777777" w:rsidR="005B68A3" w:rsidRPr="005B68A3" w:rsidRDefault="005B68A3" w:rsidP="005B68A3">
      <w:pPr>
        <w:tabs>
          <w:tab w:val="left" w:pos="851"/>
        </w:tabs>
        <w:ind w:left="851"/>
        <w:rPr>
          <w:sz w:val="24"/>
          <w:szCs w:val="24"/>
        </w:rPr>
      </w:pPr>
      <w:r w:rsidRPr="005B68A3">
        <w:rPr>
          <w:sz w:val="24"/>
          <w:szCs w:val="24"/>
        </w:rPr>
        <w:t>Blæren bør straks tømmes via kateteret.</w:t>
      </w:r>
    </w:p>
    <w:p w14:paraId="07DD946F" w14:textId="77777777" w:rsidR="005B68A3" w:rsidRPr="005B68A3" w:rsidRDefault="005B68A3" w:rsidP="005B68A3">
      <w:pPr>
        <w:tabs>
          <w:tab w:val="left" w:pos="851"/>
        </w:tabs>
        <w:ind w:left="851"/>
        <w:rPr>
          <w:sz w:val="24"/>
          <w:szCs w:val="24"/>
        </w:rPr>
      </w:pPr>
    </w:p>
    <w:p w14:paraId="5A941348" w14:textId="77777777" w:rsidR="005B68A3" w:rsidRPr="005B68A3" w:rsidRDefault="005B68A3" w:rsidP="005B68A3">
      <w:pPr>
        <w:tabs>
          <w:tab w:val="left" w:pos="851"/>
        </w:tabs>
        <w:ind w:left="851"/>
        <w:rPr>
          <w:sz w:val="24"/>
          <w:szCs w:val="24"/>
        </w:rPr>
      </w:pPr>
      <w:r w:rsidRPr="005B68A3">
        <w:rPr>
          <w:sz w:val="24"/>
          <w:szCs w:val="24"/>
        </w:rPr>
        <w:t>I tilfælde af overdosering bør patienten overvåges tæt og behandles symptomatisk.</w:t>
      </w:r>
    </w:p>
    <w:p w14:paraId="19EF1512" w14:textId="77777777" w:rsidR="009260DE" w:rsidRPr="00C84483" w:rsidRDefault="009260DE" w:rsidP="009260DE">
      <w:pPr>
        <w:tabs>
          <w:tab w:val="left" w:pos="851"/>
        </w:tabs>
        <w:ind w:left="851"/>
        <w:rPr>
          <w:sz w:val="24"/>
          <w:szCs w:val="24"/>
        </w:rPr>
      </w:pPr>
    </w:p>
    <w:p w14:paraId="04081854" w14:textId="77777777" w:rsidR="009260DE" w:rsidRPr="00C84483" w:rsidRDefault="009260DE" w:rsidP="009260DE">
      <w:pPr>
        <w:tabs>
          <w:tab w:val="left" w:pos="851"/>
        </w:tabs>
        <w:ind w:left="851" w:hanging="851"/>
        <w:rPr>
          <w:b/>
          <w:sz w:val="24"/>
          <w:szCs w:val="24"/>
        </w:rPr>
      </w:pPr>
      <w:r w:rsidRPr="00C84483">
        <w:rPr>
          <w:b/>
          <w:sz w:val="24"/>
          <w:szCs w:val="24"/>
        </w:rPr>
        <w:t>4.10</w:t>
      </w:r>
      <w:r w:rsidRPr="00C84483">
        <w:rPr>
          <w:b/>
          <w:sz w:val="24"/>
          <w:szCs w:val="24"/>
        </w:rPr>
        <w:tab/>
        <w:t>Udlevering</w:t>
      </w:r>
    </w:p>
    <w:p w14:paraId="4599F840" w14:textId="16FB3FDD" w:rsidR="009260DE" w:rsidRPr="00C84483" w:rsidRDefault="005B68A3" w:rsidP="009260DE">
      <w:pPr>
        <w:tabs>
          <w:tab w:val="left" w:pos="851"/>
        </w:tabs>
        <w:ind w:left="851"/>
        <w:rPr>
          <w:sz w:val="24"/>
          <w:szCs w:val="24"/>
        </w:rPr>
      </w:pPr>
      <w:r>
        <w:rPr>
          <w:sz w:val="24"/>
          <w:szCs w:val="24"/>
        </w:rPr>
        <w:t>B</w:t>
      </w:r>
    </w:p>
    <w:p w14:paraId="3ED58FC2" w14:textId="77777777" w:rsidR="009260DE" w:rsidRPr="00C84483" w:rsidRDefault="009260DE" w:rsidP="009260DE">
      <w:pPr>
        <w:tabs>
          <w:tab w:val="left" w:pos="851"/>
        </w:tabs>
        <w:ind w:left="851"/>
        <w:rPr>
          <w:sz w:val="24"/>
          <w:szCs w:val="24"/>
        </w:rPr>
      </w:pPr>
    </w:p>
    <w:p w14:paraId="21F8DD85" w14:textId="77777777" w:rsidR="009260DE" w:rsidRPr="00C84483" w:rsidRDefault="009260DE" w:rsidP="009260DE">
      <w:pPr>
        <w:tabs>
          <w:tab w:val="left" w:pos="851"/>
        </w:tabs>
        <w:ind w:left="851"/>
        <w:rPr>
          <w:sz w:val="24"/>
          <w:szCs w:val="24"/>
        </w:rPr>
      </w:pPr>
    </w:p>
    <w:p w14:paraId="6356FB33" w14:textId="77777777" w:rsidR="009260DE" w:rsidRPr="00C84483" w:rsidRDefault="009260DE" w:rsidP="009260DE">
      <w:pPr>
        <w:tabs>
          <w:tab w:val="left" w:pos="851"/>
        </w:tabs>
        <w:ind w:left="851" w:hanging="851"/>
        <w:rPr>
          <w:b/>
          <w:sz w:val="24"/>
          <w:szCs w:val="24"/>
        </w:rPr>
      </w:pPr>
      <w:r w:rsidRPr="00C84483">
        <w:rPr>
          <w:b/>
          <w:sz w:val="24"/>
          <w:szCs w:val="24"/>
        </w:rPr>
        <w:t>5.</w:t>
      </w:r>
      <w:r w:rsidRPr="00C84483">
        <w:rPr>
          <w:b/>
          <w:sz w:val="24"/>
          <w:szCs w:val="24"/>
        </w:rPr>
        <w:tab/>
        <w:t>FARMAKOLOGISKE EGENSKABER</w:t>
      </w:r>
    </w:p>
    <w:p w14:paraId="1AEFC319" w14:textId="77777777" w:rsidR="009260DE" w:rsidRPr="00C84483" w:rsidRDefault="009260DE" w:rsidP="009260DE">
      <w:pPr>
        <w:tabs>
          <w:tab w:val="left" w:pos="851"/>
        </w:tabs>
        <w:ind w:left="851"/>
        <w:rPr>
          <w:sz w:val="24"/>
          <w:szCs w:val="24"/>
        </w:rPr>
      </w:pPr>
    </w:p>
    <w:p w14:paraId="7B1C5B50" w14:textId="77777777" w:rsidR="009260DE" w:rsidRPr="00C84483" w:rsidRDefault="009260DE" w:rsidP="009260DE">
      <w:pPr>
        <w:tabs>
          <w:tab w:val="num" w:pos="851"/>
        </w:tabs>
        <w:ind w:left="851" w:hanging="851"/>
        <w:rPr>
          <w:b/>
          <w:sz w:val="24"/>
          <w:szCs w:val="24"/>
        </w:rPr>
      </w:pPr>
      <w:r w:rsidRPr="00C84483">
        <w:rPr>
          <w:b/>
          <w:sz w:val="24"/>
          <w:szCs w:val="24"/>
        </w:rPr>
        <w:t>5.1</w:t>
      </w:r>
      <w:r w:rsidRPr="00C84483">
        <w:rPr>
          <w:b/>
          <w:sz w:val="24"/>
          <w:szCs w:val="24"/>
        </w:rPr>
        <w:tab/>
        <w:t>Farmakodynamiske egenskaber</w:t>
      </w:r>
    </w:p>
    <w:p w14:paraId="5EF87FDC" w14:textId="5A2DB316" w:rsidR="005B68A3" w:rsidRPr="005B68A3" w:rsidRDefault="005B68A3" w:rsidP="005B68A3">
      <w:pPr>
        <w:tabs>
          <w:tab w:val="left" w:pos="851"/>
        </w:tabs>
        <w:ind w:left="851"/>
        <w:rPr>
          <w:sz w:val="24"/>
          <w:szCs w:val="24"/>
        </w:rPr>
      </w:pPr>
      <w:r w:rsidRPr="005B68A3">
        <w:rPr>
          <w:sz w:val="24"/>
          <w:szCs w:val="24"/>
        </w:rPr>
        <w:t>Farmakoterapeutisk klassifikation: Urologika</w:t>
      </w:r>
      <w:r w:rsidR="00654D95">
        <w:rPr>
          <w:sz w:val="24"/>
          <w:szCs w:val="24"/>
        </w:rPr>
        <w:t>, m</w:t>
      </w:r>
      <w:r w:rsidRPr="005B68A3">
        <w:rPr>
          <w:sz w:val="24"/>
          <w:szCs w:val="24"/>
        </w:rPr>
        <w:t>idler mod hyppig urinering og inkontinens, ATC-kode: G04BD04.</w:t>
      </w:r>
    </w:p>
    <w:p w14:paraId="7E4E03AB" w14:textId="263C38AC" w:rsidR="00654D95" w:rsidRDefault="00654D95">
      <w:pPr>
        <w:rPr>
          <w:sz w:val="24"/>
          <w:szCs w:val="24"/>
        </w:rPr>
      </w:pPr>
      <w:r>
        <w:rPr>
          <w:sz w:val="24"/>
          <w:szCs w:val="24"/>
        </w:rPr>
        <w:br w:type="page"/>
      </w:r>
    </w:p>
    <w:p w14:paraId="6F56E49D" w14:textId="77777777" w:rsidR="005B68A3" w:rsidRPr="005B68A3" w:rsidRDefault="005B68A3" w:rsidP="005B68A3">
      <w:pPr>
        <w:tabs>
          <w:tab w:val="left" w:pos="851"/>
        </w:tabs>
        <w:ind w:left="851"/>
        <w:rPr>
          <w:sz w:val="24"/>
          <w:szCs w:val="24"/>
        </w:rPr>
      </w:pPr>
    </w:p>
    <w:p w14:paraId="11EFB4C7" w14:textId="77777777" w:rsidR="005B68A3" w:rsidRPr="005B68A3" w:rsidRDefault="005B68A3" w:rsidP="005B68A3">
      <w:pPr>
        <w:tabs>
          <w:tab w:val="left" w:pos="851"/>
        </w:tabs>
        <w:ind w:left="851"/>
        <w:rPr>
          <w:sz w:val="24"/>
          <w:szCs w:val="24"/>
        </w:rPr>
      </w:pPr>
      <w:r w:rsidRPr="005B68A3">
        <w:rPr>
          <w:sz w:val="24"/>
          <w:szCs w:val="24"/>
          <w:u w:val="single"/>
        </w:rPr>
        <w:t>Virkningsmekanisme</w:t>
      </w:r>
    </w:p>
    <w:p w14:paraId="33F7014C" w14:textId="77777777" w:rsidR="005B68A3" w:rsidRPr="005B68A3" w:rsidRDefault="005B68A3" w:rsidP="005B68A3">
      <w:pPr>
        <w:tabs>
          <w:tab w:val="left" w:pos="851"/>
        </w:tabs>
        <w:ind w:left="851"/>
        <w:rPr>
          <w:sz w:val="24"/>
          <w:szCs w:val="24"/>
        </w:rPr>
      </w:pPr>
      <w:r w:rsidRPr="005B68A3">
        <w:rPr>
          <w:sz w:val="24"/>
          <w:szCs w:val="24"/>
        </w:rPr>
        <w:t>Oxybutynin virker som en kompetitiv antagonist for acetylkolin på post-ganglionære, muskarine receptorer, hvilket medfører afslapning af den glatte muskulatur i blæren.</w:t>
      </w:r>
    </w:p>
    <w:p w14:paraId="25F993A2" w14:textId="77777777" w:rsidR="005B68A3" w:rsidRPr="005B68A3" w:rsidRDefault="005B68A3" w:rsidP="005B68A3">
      <w:pPr>
        <w:tabs>
          <w:tab w:val="left" w:pos="851"/>
        </w:tabs>
        <w:ind w:left="851"/>
        <w:rPr>
          <w:sz w:val="24"/>
          <w:szCs w:val="24"/>
        </w:rPr>
      </w:pPr>
    </w:p>
    <w:p w14:paraId="72A16B37" w14:textId="77777777" w:rsidR="005B68A3" w:rsidRPr="005B68A3" w:rsidRDefault="005B68A3" w:rsidP="005B68A3">
      <w:pPr>
        <w:tabs>
          <w:tab w:val="left" w:pos="851"/>
        </w:tabs>
        <w:ind w:left="851"/>
        <w:rPr>
          <w:sz w:val="24"/>
          <w:szCs w:val="24"/>
        </w:rPr>
      </w:pPr>
      <w:r w:rsidRPr="005B68A3">
        <w:rPr>
          <w:sz w:val="24"/>
          <w:szCs w:val="24"/>
        </w:rPr>
        <w:t>Oxybutyninhydrochlorid er et antikolinergt middel, der også har direkte spasmolytisk effekt på glat muskulatur. Det hæmmer blærekontraktion og lindrer spasmer induceret af diverse stimuli; det øger blærevolumen, mindsker kontraktionshyppigheden og forsinker trangen til at tømme blæren ved neurogen blæreforstyrrelse. Afslapningen af glat muskulatur skyldes den papaverin-lignende effekt af antagonismen af processerne distalt for den neuromuskulære forbindelse i tillæg til de muskarinerge receptorers antikolinerge blokerende virkning. Derudover har oxybutyninhydrochlorid lokalbedøvende egenskaber.</w:t>
      </w:r>
    </w:p>
    <w:p w14:paraId="359B141E" w14:textId="77777777" w:rsidR="005B68A3" w:rsidRPr="005B68A3" w:rsidRDefault="005B68A3" w:rsidP="005B68A3">
      <w:pPr>
        <w:tabs>
          <w:tab w:val="left" w:pos="851"/>
        </w:tabs>
        <w:ind w:left="851"/>
        <w:rPr>
          <w:sz w:val="24"/>
          <w:szCs w:val="24"/>
        </w:rPr>
      </w:pPr>
    </w:p>
    <w:p w14:paraId="195F958C" w14:textId="77777777" w:rsidR="005B68A3" w:rsidRPr="005B68A3" w:rsidRDefault="005B68A3" w:rsidP="005B68A3">
      <w:pPr>
        <w:tabs>
          <w:tab w:val="left" w:pos="851"/>
        </w:tabs>
        <w:ind w:left="851"/>
        <w:rPr>
          <w:sz w:val="24"/>
          <w:szCs w:val="24"/>
        </w:rPr>
      </w:pPr>
      <w:r w:rsidRPr="005B68A3">
        <w:rPr>
          <w:sz w:val="24"/>
          <w:szCs w:val="24"/>
          <w:u w:val="single"/>
        </w:rPr>
        <w:t>Farmakodynamisk virkning</w:t>
      </w:r>
    </w:p>
    <w:p w14:paraId="02F8DCC0" w14:textId="77777777" w:rsidR="005B68A3" w:rsidRPr="005B68A3" w:rsidRDefault="005B68A3" w:rsidP="005B68A3">
      <w:pPr>
        <w:tabs>
          <w:tab w:val="left" w:pos="851"/>
        </w:tabs>
        <w:ind w:left="851"/>
        <w:rPr>
          <w:sz w:val="24"/>
          <w:szCs w:val="24"/>
        </w:rPr>
      </w:pPr>
      <w:r w:rsidRPr="005B68A3">
        <w:rPr>
          <w:sz w:val="24"/>
          <w:szCs w:val="24"/>
        </w:rPr>
        <w:t>Oxybutynins farmakodynamiske egenskaber er undersøgt efter intravesikal indgivelse hos børn med neurogen detrusoroveraktivitet. Effekten på inkontinens og urodynamiske variable var udtalt, idet begge bedredes i størstedelen af tilfældene. Antallet af hyperaktive kontraktioner faldt signifikant. Der sås en stigning i den gennemsnitlige cystometriske blærekapacitet og den gennemsnitlige cystometriske-til-forventede blærekapacitet, mens blæretrykket ved slutfyldning faldt.</w:t>
      </w:r>
    </w:p>
    <w:p w14:paraId="203970C4" w14:textId="77777777" w:rsidR="005B68A3" w:rsidRPr="005B68A3" w:rsidRDefault="005B68A3" w:rsidP="005B68A3">
      <w:pPr>
        <w:tabs>
          <w:tab w:val="left" w:pos="851"/>
        </w:tabs>
        <w:ind w:left="851"/>
        <w:rPr>
          <w:sz w:val="24"/>
          <w:szCs w:val="24"/>
        </w:rPr>
      </w:pPr>
    </w:p>
    <w:p w14:paraId="56A7DFD4" w14:textId="77777777" w:rsidR="005B68A3" w:rsidRPr="005B68A3" w:rsidRDefault="005B68A3" w:rsidP="005B68A3">
      <w:pPr>
        <w:tabs>
          <w:tab w:val="left" w:pos="851"/>
        </w:tabs>
        <w:ind w:left="851"/>
        <w:rPr>
          <w:sz w:val="24"/>
          <w:szCs w:val="24"/>
        </w:rPr>
      </w:pPr>
      <w:r w:rsidRPr="005B68A3">
        <w:rPr>
          <w:sz w:val="24"/>
          <w:szCs w:val="24"/>
          <w:u w:val="single"/>
        </w:rPr>
        <w:t>Klinisk virkning og sikkerhed</w:t>
      </w:r>
    </w:p>
    <w:p w14:paraId="0142A395" w14:textId="77777777" w:rsidR="005B68A3" w:rsidRPr="005B68A3" w:rsidRDefault="005B68A3" w:rsidP="005B68A3">
      <w:pPr>
        <w:tabs>
          <w:tab w:val="left" w:pos="851"/>
        </w:tabs>
        <w:ind w:left="851"/>
        <w:rPr>
          <w:sz w:val="24"/>
          <w:szCs w:val="24"/>
        </w:rPr>
      </w:pPr>
      <w:r w:rsidRPr="005B68A3">
        <w:rPr>
          <w:sz w:val="24"/>
          <w:szCs w:val="24"/>
        </w:rPr>
        <w:t>Effekten af intravesikal oxybutynin-behandling af neurogen blæredysfunktion er undersøgt i kliniske forsøg ved både korttids- og langtidsbrug.</w:t>
      </w:r>
    </w:p>
    <w:p w14:paraId="748A3D41" w14:textId="77777777" w:rsidR="005B68A3" w:rsidRPr="005B68A3" w:rsidRDefault="005B68A3" w:rsidP="005B68A3">
      <w:pPr>
        <w:tabs>
          <w:tab w:val="left" w:pos="851"/>
        </w:tabs>
        <w:ind w:left="851"/>
        <w:rPr>
          <w:sz w:val="24"/>
          <w:szCs w:val="24"/>
        </w:rPr>
      </w:pPr>
    </w:p>
    <w:p w14:paraId="765CD44E" w14:textId="77777777" w:rsidR="005B68A3" w:rsidRPr="005B68A3" w:rsidRDefault="005B68A3" w:rsidP="005B68A3">
      <w:pPr>
        <w:tabs>
          <w:tab w:val="left" w:pos="851"/>
        </w:tabs>
        <w:ind w:left="851"/>
        <w:rPr>
          <w:sz w:val="24"/>
          <w:szCs w:val="24"/>
        </w:rPr>
      </w:pPr>
      <w:r w:rsidRPr="005B68A3">
        <w:rPr>
          <w:sz w:val="24"/>
          <w:szCs w:val="24"/>
        </w:rPr>
        <w:t>I næsten alle forsøg var intravesikal behandling med oxybutyninhydrochlorid effektivt og dokumenteret veltolereret hos patienter (voksne og børn) med neurogen detrusoroveraktivitet. Den neurogene detrusoroveraktivitet skyldtes primært en rygmarvsskade eller meningomyelocele, men patienter med tetraplegi, paraplegi, multipel sklerose og Parkinsons sygdom var også inkluderet i forsøgene.</w:t>
      </w:r>
    </w:p>
    <w:p w14:paraId="6249BD14" w14:textId="77777777" w:rsidR="005B68A3" w:rsidRPr="005B68A3" w:rsidRDefault="005B68A3" w:rsidP="005B68A3">
      <w:pPr>
        <w:tabs>
          <w:tab w:val="left" w:pos="851"/>
        </w:tabs>
        <w:ind w:left="851"/>
        <w:rPr>
          <w:sz w:val="24"/>
          <w:szCs w:val="24"/>
        </w:rPr>
      </w:pPr>
    </w:p>
    <w:p w14:paraId="41E79523" w14:textId="77777777" w:rsidR="005B68A3" w:rsidRPr="005B68A3" w:rsidRDefault="005B68A3" w:rsidP="005B68A3">
      <w:pPr>
        <w:tabs>
          <w:tab w:val="left" w:pos="851"/>
        </w:tabs>
        <w:ind w:left="851"/>
        <w:rPr>
          <w:sz w:val="24"/>
          <w:szCs w:val="24"/>
        </w:rPr>
      </w:pPr>
      <w:r w:rsidRPr="005B68A3">
        <w:rPr>
          <w:sz w:val="24"/>
          <w:szCs w:val="24"/>
        </w:rPr>
        <w:t>I et prospektivt klinisk forsøg med 15 børn steg den gennemsnitlige cystometriske blærekapacitet fra 114,2 ml ved baseline til 127,4 ml (p &gt; 0,05) og 161,1 ml (p = 0,0091) efter hhv. 1,5 timers og 4 måneders intravesikal behandling (Buyse et al., 1995). Den gennemsnitlige blærekomplians steg signifikant fra 2,5 ml/cm H</w:t>
      </w:r>
      <w:r w:rsidRPr="005B68A3">
        <w:rPr>
          <w:sz w:val="24"/>
          <w:szCs w:val="24"/>
          <w:vertAlign w:val="subscript"/>
        </w:rPr>
        <w:t>2</w:t>
      </w:r>
      <w:r w:rsidRPr="005B68A3">
        <w:rPr>
          <w:sz w:val="24"/>
          <w:szCs w:val="24"/>
        </w:rPr>
        <w:t>O ved baseline til 11,495 ml/cm H</w:t>
      </w:r>
      <w:r w:rsidRPr="005B68A3">
        <w:rPr>
          <w:sz w:val="24"/>
          <w:szCs w:val="24"/>
          <w:vertAlign w:val="subscript"/>
        </w:rPr>
        <w:t>2</w:t>
      </w:r>
      <w:r w:rsidRPr="005B68A3">
        <w:rPr>
          <w:sz w:val="24"/>
          <w:szCs w:val="24"/>
        </w:rPr>
        <w:t>O (p = 0,0114) efter 4 måneders behandling. I et yderligere prospektivt forsøg med 13 børn udviste 12 markant forbedret kontinens efter intravesikal behandling (Åmark et al., 1998). I en retrospektiv langvarig evaluering af 13 børn faldt det gennemsnitlige blæretryk ved slutfyldning fra 52,5 ± 24 til 24,5 ± 14,4 cm H</w:t>
      </w:r>
      <w:r w:rsidRPr="005B68A3">
        <w:rPr>
          <w:sz w:val="24"/>
          <w:szCs w:val="24"/>
          <w:vertAlign w:val="subscript"/>
        </w:rPr>
        <w:t>2</w:t>
      </w:r>
      <w:r w:rsidRPr="005B68A3">
        <w:rPr>
          <w:sz w:val="24"/>
          <w:szCs w:val="24"/>
        </w:rPr>
        <w:t>O (Humblet et al., 2014).</w:t>
      </w:r>
    </w:p>
    <w:p w14:paraId="6C5136A1" w14:textId="77777777" w:rsidR="005B68A3" w:rsidRPr="005B68A3" w:rsidRDefault="005B68A3" w:rsidP="005B68A3">
      <w:pPr>
        <w:tabs>
          <w:tab w:val="left" w:pos="851"/>
        </w:tabs>
        <w:ind w:left="851"/>
        <w:rPr>
          <w:sz w:val="24"/>
          <w:szCs w:val="24"/>
        </w:rPr>
      </w:pPr>
    </w:p>
    <w:p w14:paraId="02A9B34E" w14:textId="77777777" w:rsidR="005B68A3" w:rsidRPr="005B68A3" w:rsidRDefault="005B68A3" w:rsidP="005B68A3">
      <w:pPr>
        <w:tabs>
          <w:tab w:val="left" w:pos="851"/>
        </w:tabs>
        <w:ind w:left="851"/>
        <w:rPr>
          <w:sz w:val="24"/>
          <w:szCs w:val="24"/>
        </w:rPr>
      </w:pPr>
      <w:r w:rsidRPr="005B68A3">
        <w:rPr>
          <w:sz w:val="24"/>
          <w:szCs w:val="24"/>
        </w:rPr>
        <w:t>Virkningen ved intravesikal vs. oral administration af oxybutynin er undersøgt i et yderligere klinisk prospektivt forsøg på flere centre med 35 patienter (i alderen mellem 18 og 70 år) med neurogen detrusoroveraktivitet bekræftet ved tidligere urodynamiske forsøg og mindst 6 ugers RIK-erfaring (Schröder et al., 2016). Forsøget bekræftede, at den maksimale blærekapacitet steg signifikant efter intravesikal behandling fra 18,1 ml (efter oral administration) til 116,6 ml (efter intravesikal indgivelse).</w:t>
      </w:r>
    </w:p>
    <w:p w14:paraId="435071B5" w14:textId="77777777" w:rsidR="005B68A3" w:rsidRPr="005B68A3" w:rsidRDefault="005B68A3" w:rsidP="005B68A3">
      <w:pPr>
        <w:tabs>
          <w:tab w:val="left" w:pos="851"/>
        </w:tabs>
        <w:ind w:left="851"/>
        <w:rPr>
          <w:sz w:val="24"/>
          <w:szCs w:val="24"/>
        </w:rPr>
      </w:pPr>
    </w:p>
    <w:p w14:paraId="0026F358" w14:textId="77777777" w:rsidR="005B68A3" w:rsidRPr="005B68A3" w:rsidRDefault="005B68A3" w:rsidP="005B68A3">
      <w:pPr>
        <w:tabs>
          <w:tab w:val="left" w:pos="851"/>
        </w:tabs>
        <w:ind w:left="851"/>
        <w:rPr>
          <w:sz w:val="24"/>
          <w:szCs w:val="24"/>
        </w:rPr>
      </w:pPr>
      <w:r w:rsidRPr="005B68A3">
        <w:rPr>
          <w:sz w:val="24"/>
          <w:szCs w:val="24"/>
        </w:rPr>
        <w:t xml:space="preserve">I et yderligere forsøg med en varighed på 6 måneder gennemgik 25 voksne patienter (i alderen mellem 18 og 64 år og hos hvem standardbehandling med oralt oxybutynin havde fejlet) med rygmarvsskade intravesikal behandling med oxybutynin (Pannek et al., 2000). </w:t>
      </w:r>
      <w:r w:rsidRPr="005B68A3">
        <w:rPr>
          <w:sz w:val="24"/>
          <w:szCs w:val="24"/>
        </w:rPr>
        <w:lastRenderedPageBreak/>
        <w:t>Intravesikal behandling øgede blærevolumen fra 349 til 420 ml. Det gennemsnitlige maksimalopbevaringstryk blev reduceret signifikant fra 54 til 26,5 cm H</w:t>
      </w:r>
      <w:r w:rsidRPr="005B68A3">
        <w:rPr>
          <w:sz w:val="24"/>
          <w:szCs w:val="24"/>
          <w:vertAlign w:val="subscript"/>
        </w:rPr>
        <w:t>2</w:t>
      </w:r>
      <w:r w:rsidRPr="005B68A3">
        <w:rPr>
          <w:sz w:val="24"/>
          <w:szCs w:val="24"/>
        </w:rPr>
        <w:t>O. Detrusormusklens opbevaringstryk vendte tilbage til værdier under 40 cm H</w:t>
      </w:r>
      <w:r w:rsidRPr="005B68A3">
        <w:rPr>
          <w:sz w:val="24"/>
          <w:szCs w:val="24"/>
          <w:vertAlign w:val="subscript"/>
        </w:rPr>
        <w:t>2</w:t>
      </w:r>
      <w:r w:rsidRPr="005B68A3">
        <w:rPr>
          <w:sz w:val="24"/>
          <w:szCs w:val="24"/>
        </w:rPr>
        <w:t>O hos 21 ud af 25 patienter i løbet af forsøget.</w:t>
      </w:r>
    </w:p>
    <w:p w14:paraId="2539E951" w14:textId="77777777" w:rsidR="009260DE" w:rsidRPr="00C84483" w:rsidRDefault="009260DE" w:rsidP="009260DE">
      <w:pPr>
        <w:tabs>
          <w:tab w:val="left" w:pos="851"/>
        </w:tabs>
        <w:ind w:left="851"/>
        <w:rPr>
          <w:sz w:val="24"/>
          <w:szCs w:val="24"/>
        </w:rPr>
      </w:pPr>
    </w:p>
    <w:p w14:paraId="39B88352" w14:textId="77777777" w:rsidR="009260DE" w:rsidRPr="00C84483" w:rsidRDefault="009260DE" w:rsidP="009260DE">
      <w:pPr>
        <w:tabs>
          <w:tab w:val="left" w:pos="851"/>
        </w:tabs>
        <w:ind w:left="851" w:hanging="851"/>
        <w:rPr>
          <w:b/>
          <w:sz w:val="24"/>
          <w:szCs w:val="24"/>
        </w:rPr>
      </w:pPr>
      <w:r w:rsidRPr="00C84483">
        <w:rPr>
          <w:b/>
          <w:sz w:val="24"/>
          <w:szCs w:val="24"/>
        </w:rPr>
        <w:t>5.2</w:t>
      </w:r>
      <w:r w:rsidRPr="00C84483">
        <w:rPr>
          <w:b/>
          <w:sz w:val="24"/>
          <w:szCs w:val="24"/>
        </w:rPr>
        <w:tab/>
        <w:t>Farmakokinetiske egenskaber</w:t>
      </w:r>
    </w:p>
    <w:p w14:paraId="110903E0" w14:textId="77777777" w:rsidR="00654D95" w:rsidRDefault="00654D95" w:rsidP="005B68A3">
      <w:pPr>
        <w:tabs>
          <w:tab w:val="left" w:pos="851"/>
        </w:tabs>
        <w:ind w:left="851"/>
        <w:rPr>
          <w:sz w:val="24"/>
          <w:szCs w:val="24"/>
          <w:u w:val="single"/>
        </w:rPr>
      </w:pPr>
    </w:p>
    <w:p w14:paraId="45862155" w14:textId="738D5BD6" w:rsidR="005B68A3" w:rsidRPr="005B68A3" w:rsidRDefault="005B68A3" w:rsidP="005B68A3">
      <w:pPr>
        <w:tabs>
          <w:tab w:val="left" w:pos="851"/>
        </w:tabs>
        <w:ind w:left="851"/>
        <w:rPr>
          <w:sz w:val="24"/>
          <w:szCs w:val="24"/>
        </w:rPr>
      </w:pPr>
      <w:r w:rsidRPr="005B68A3">
        <w:rPr>
          <w:sz w:val="24"/>
          <w:szCs w:val="24"/>
          <w:u w:val="single"/>
        </w:rPr>
        <w:t>Absorption</w:t>
      </w:r>
    </w:p>
    <w:p w14:paraId="45B98721" w14:textId="77777777" w:rsidR="005B68A3" w:rsidRPr="005B68A3" w:rsidRDefault="005B68A3" w:rsidP="005B68A3">
      <w:pPr>
        <w:tabs>
          <w:tab w:val="left" w:pos="851"/>
        </w:tabs>
        <w:ind w:left="851"/>
        <w:rPr>
          <w:sz w:val="24"/>
          <w:szCs w:val="24"/>
        </w:rPr>
      </w:pPr>
      <w:r w:rsidRPr="005B68A3">
        <w:rPr>
          <w:sz w:val="24"/>
          <w:szCs w:val="24"/>
        </w:rPr>
        <w:t>Intravesikalt oxybutynin absorberes godt gennem blærevæggen til det systemiske kredsløb. Målinger af oxybutynins plasmakoncentrationer efter intravesikal administration viste omfattende individuel variabilitet, men der sås også væsentlig absorption af lægemidlet efter intravesikal indgivelse med opnåelse af maksimale koncentrationer i plasma efter ca. en time.</w:t>
      </w:r>
    </w:p>
    <w:p w14:paraId="7981E13D" w14:textId="77777777" w:rsidR="005B68A3" w:rsidRPr="005B68A3" w:rsidRDefault="005B68A3" w:rsidP="005B68A3">
      <w:pPr>
        <w:tabs>
          <w:tab w:val="left" w:pos="851"/>
        </w:tabs>
        <w:ind w:left="851"/>
        <w:rPr>
          <w:sz w:val="24"/>
          <w:szCs w:val="24"/>
        </w:rPr>
      </w:pPr>
    </w:p>
    <w:p w14:paraId="06AAE2B7" w14:textId="77777777" w:rsidR="005B68A3" w:rsidRPr="005B68A3" w:rsidRDefault="005B68A3" w:rsidP="005B68A3">
      <w:pPr>
        <w:tabs>
          <w:tab w:val="left" w:pos="851"/>
        </w:tabs>
        <w:ind w:left="851"/>
        <w:rPr>
          <w:sz w:val="24"/>
          <w:szCs w:val="24"/>
        </w:rPr>
      </w:pPr>
      <w:r w:rsidRPr="005B68A3">
        <w:rPr>
          <w:sz w:val="24"/>
          <w:szCs w:val="24"/>
        </w:rPr>
        <w:t>Farmakokinetikken for intravesikalt oxybutyninhydrochlorid er undersøgt hos raske forsøgsdeltagere. Den systemiske eksponering (AUC) for racemisk oxybutynin var signifikant større efter instillation (294 %) end efter oral administration. Til gengæld var den systemiske eksponering for metabolitten N-desethyloxybutynin signifikant lavere efter instillation (21 % af eksponeringen efter oral administration). Metabolit/moderstof-ratioen var således 14 gange lavere ved intravesikal indgivelse.</w:t>
      </w:r>
    </w:p>
    <w:p w14:paraId="64C83C34" w14:textId="77777777" w:rsidR="005B68A3" w:rsidRPr="005B68A3" w:rsidRDefault="005B68A3" w:rsidP="005B68A3">
      <w:pPr>
        <w:tabs>
          <w:tab w:val="left" w:pos="851"/>
        </w:tabs>
        <w:ind w:left="851"/>
        <w:rPr>
          <w:sz w:val="24"/>
          <w:szCs w:val="24"/>
        </w:rPr>
      </w:pPr>
    </w:p>
    <w:p w14:paraId="70BA79CB" w14:textId="77777777" w:rsidR="005B68A3" w:rsidRPr="005B68A3" w:rsidRDefault="005B68A3" w:rsidP="005B68A3">
      <w:pPr>
        <w:tabs>
          <w:tab w:val="left" w:pos="851"/>
        </w:tabs>
        <w:ind w:left="851"/>
        <w:rPr>
          <w:sz w:val="24"/>
          <w:szCs w:val="24"/>
        </w:rPr>
      </w:pPr>
      <w:r w:rsidRPr="005B68A3">
        <w:rPr>
          <w:sz w:val="24"/>
          <w:szCs w:val="24"/>
        </w:rPr>
        <w:t>Disse observationer viser tydeligt, at administrationsmåden har stor betydning for absorptionen af oxybutynin og navnlig oxybutynins førstepassage-metabolisering. Det er åbenlyst, at førstepassage-virkningen reduceres signifikant ved intravesikal indgivelse.</w:t>
      </w:r>
    </w:p>
    <w:p w14:paraId="3CDF57F5" w14:textId="77777777" w:rsidR="005B68A3" w:rsidRPr="005B68A3" w:rsidRDefault="005B68A3" w:rsidP="005B68A3">
      <w:pPr>
        <w:tabs>
          <w:tab w:val="left" w:pos="851"/>
        </w:tabs>
        <w:ind w:left="851"/>
        <w:rPr>
          <w:sz w:val="24"/>
          <w:szCs w:val="24"/>
        </w:rPr>
      </w:pPr>
    </w:p>
    <w:p w14:paraId="5F3E2B8B" w14:textId="77777777" w:rsidR="005B68A3" w:rsidRPr="005B68A3" w:rsidRDefault="005B68A3" w:rsidP="005B68A3">
      <w:pPr>
        <w:tabs>
          <w:tab w:val="left" w:pos="851"/>
        </w:tabs>
        <w:ind w:left="851"/>
        <w:rPr>
          <w:sz w:val="24"/>
          <w:szCs w:val="24"/>
        </w:rPr>
      </w:pPr>
      <w:r w:rsidRPr="005B68A3">
        <w:rPr>
          <w:sz w:val="24"/>
          <w:szCs w:val="24"/>
        </w:rPr>
        <w:t>I lyset af den rapporterede biotilgængelighed af oxybutynin på cirka 6 % efter oral administration kan en absolut biotilgængelighed på cirka 20 % estimeres for moderstoffet efter intravesikal instillation.</w:t>
      </w:r>
    </w:p>
    <w:p w14:paraId="6F194FA8" w14:textId="77777777" w:rsidR="005B68A3" w:rsidRPr="005B68A3" w:rsidRDefault="005B68A3" w:rsidP="005B68A3">
      <w:pPr>
        <w:tabs>
          <w:tab w:val="left" w:pos="851"/>
        </w:tabs>
        <w:ind w:left="851"/>
        <w:rPr>
          <w:sz w:val="24"/>
          <w:szCs w:val="24"/>
        </w:rPr>
      </w:pPr>
    </w:p>
    <w:p w14:paraId="3911C9E8" w14:textId="77777777" w:rsidR="005B68A3" w:rsidRPr="005B68A3" w:rsidRDefault="005B68A3" w:rsidP="005B68A3">
      <w:pPr>
        <w:tabs>
          <w:tab w:val="left" w:pos="851"/>
        </w:tabs>
        <w:ind w:left="851"/>
        <w:rPr>
          <w:sz w:val="24"/>
          <w:szCs w:val="24"/>
        </w:rPr>
      </w:pPr>
      <w:r w:rsidRPr="005B68A3">
        <w:rPr>
          <w:sz w:val="24"/>
          <w:szCs w:val="24"/>
          <w:u w:val="single"/>
        </w:rPr>
        <w:t>Fordeling</w:t>
      </w:r>
    </w:p>
    <w:p w14:paraId="7A7B9614" w14:textId="77777777" w:rsidR="005B68A3" w:rsidRPr="005B68A3" w:rsidRDefault="005B68A3" w:rsidP="005B68A3">
      <w:pPr>
        <w:tabs>
          <w:tab w:val="left" w:pos="851"/>
        </w:tabs>
        <w:ind w:left="851"/>
        <w:rPr>
          <w:sz w:val="24"/>
          <w:szCs w:val="24"/>
        </w:rPr>
      </w:pPr>
      <w:r w:rsidRPr="005B68A3">
        <w:rPr>
          <w:sz w:val="24"/>
          <w:szCs w:val="24"/>
        </w:rPr>
        <w:t>Oxybutynin fordeles i vid udstrækning i kroppens væv efter den systemiske absorption. Fordelingsvolumenet blev estimeret til at være 193 liter efter intravenøs indgivelse af 5 mg oxybutyninhydrochlorid.</w:t>
      </w:r>
    </w:p>
    <w:p w14:paraId="7239846F" w14:textId="77777777" w:rsidR="005B68A3" w:rsidRPr="005B68A3" w:rsidRDefault="005B68A3" w:rsidP="005B68A3">
      <w:pPr>
        <w:tabs>
          <w:tab w:val="left" w:pos="851"/>
        </w:tabs>
        <w:ind w:left="851"/>
        <w:rPr>
          <w:sz w:val="24"/>
          <w:szCs w:val="24"/>
          <w:u w:val="single"/>
        </w:rPr>
      </w:pPr>
    </w:p>
    <w:p w14:paraId="239A8A3E" w14:textId="77777777" w:rsidR="005B68A3" w:rsidRPr="005B68A3" w:rsidRDefault="005B68A3" w:rsidP="005B68A3">
      <w:pPr>
        <w:tabs>
          <w:tab w:val="left" w:pos="851"/>
        </w:tabs>
        <w:ind w:left="851"/>
        <w:rPr>
          <w:sz w:val="24"/>
          <w:szCs w:val="24"/>
        </w:rPr>
      </w:pPr>
      <w:r w:rsidRPr="005B68A3">
        <w:rPr>
          <w:sz w:val="24"/>
          <w:szCs w:val="24"/>
          <w:u w:val="single"/>
        </w:rPr>
        <w:t>Biotransformation</w:t>
      </w:r>
    </w:p>
    <w:p w14:paraId="7AB61FFF" w14:textId="77777777" w:rsidR="005B68A3" w:rsidRPr="005B68A3" w:rsidRDefault="005B68A3" w:rsidP="005B68A3">
      <w:pPr>
        <w:tabs>
          <w:tab w:val="left" w:pos="851"/>
        </w:tabs>
        <w:ind w:left="851"/>
        <w:rPr>
          <w:sz w:val="24"/>
          <w:szCs w:val="24"/>
        </w:rPr>
      </w:pPr>
      <w:r w:rsidRPr="005B68A3">
        <w:rPr>
          <w:sz w:val="24"/>
          <w:szCs w:val="24"/>
        </w:rPr>
        <w:t>Oxybutynin, der administreres oralt, metaboliseres primært af cytokrom P450-enzymsystemerne, især CYP3A4, som fortrinsvis findes i lever og tarmvægge. Metabolitterne omfatter phenylcyclohexylglycolsyre, som er farmakologisk inaktivt, og N-desethyloxybutynin, som er farmakologisk aktivt.</w:t>
      </w:r>
    </w:p>
    <w:p w14:paraId="37F671AC" w14:textId="77777777" w:rsidR="005B68A3" w:rsidRPr="005B68A3" w:rsidRDefault="005B68A3" w:rsidP="005B68A3">
      <w:pPr>
        <w:tabs>
          <w:tab w:val="left" w:pos="851"/>
        </w:tabs>
        <w:ind w:left="851"/>
        <w:rPr>
          <w:sz w:val="24"/>
          <w:szCs w:val="24"/>
        </w:rPr>
      </w:pPr>
    </w:p>
    <w:p w14:paraId="0473AD07" w14:textId="77777777" w:rsidR="005B68A3" w:rsidRPr="005B68A3" w:rsidRDefault="005B68A3" w:rsidP="005B68A3">
      <w:pPr>
        <w:tabs>
          <w:tab w:val="left" w:pos="851"/>
        </w:tabs>
        <w:ind w:left="851"/>
        <w:rPr>
          <w:sz w:val="24"/>
          <w:szCs w:val="24"/>
        </w:rPr>
      </w:pPr>
      <w:r w:rsidRPr="005B68A3">
        <w:rPr>
          <w:sz w:val="24"/>
          <w:szCs w:val="24"/>
        </w:rPr>
        <w:t>Ved intravesikal indgivelse af oxybutynin vil førstepassage-metabolisering i mave-tarm-kanal og lever overvejende blive omgået, hvilket reducerer dannelsen af N-desethyl-metabolitten.</w:t>
      </w:r>
    </w:p>
    <w:p w14:paraId="64C19B57" w14:textId="77777777" w:rsidR="005B68A3" w:rsidRPr="005B68A3" w:rsidRDefault="005B68A3" w:rsidP="005B68A3">
      <w:pPr>
        <w:tabs>
          <w:tab w:val="left" w:pos="851"/>
        </w:tabs>
        <w:ind w:left="851"/>
        <w:rPr>
          <w:sz w:val="24"/>
          <w:szCs w:val="24"/>
        </w:rPr>
      </w:pPr>
    </w:p>
    <w:p w14:paraId="7271427A" w14:textId="77777777" w:rsidR="005B68A3" w:rsidRPr="005B68A3" w:rsidRDefault="005B68A3" w:rsidP="005B68A3">
      <w:pPr>
        <w:tabs>
          <w:tab w:val="left" w:pos="851"/>
        </w:tabs>
        <w:ind w:left="851"/>
        <w:rPr>
          <w:sz w:val="24"/>
          <w:szCs w:val="24"/>
        </w:rPr>
      </w:pPr>
      <w:r w:rsidRPr="005B68A3">
        <w:rPr>
          <w:sz w:val="24"/>
          <w:szCs w:val="24"/>
        </w:rPr>
        <w:t>N-desethyl-metabolitten ser ud til at give større antikolinerge bivirkninger end moderstoffet, navnlig for spytkirtlerne.</w:t>
      </w:r>
    </w:p>
    <w:p w14:paraId="7E103568" w14:textId="77777777" w:rsidR="005B68A3" w:rsidRPr="005B68A3" w:rsidRDefault="005B68A3" w:rsidP="005B68A3">
      <w:pPr>
        <w:tabs>
          <w:tab w:val="left" w:pos="851"/>
        </w:tabs>
        <w:ind w:left="851"/>
        <w:rPr>
          <w:sz w:val="24"/>
          <w:szCs w:val="24"/>
        </w:rPr>
      </w:pPr>
    </w:p>
    <w:p w14:paraId="4EDDD6FC" w14:textId="77777777" w:rsidR="005B68A3" w:rsidRPr="005B68A3" w:rsidRDefault="005B68A3" w:rsidP="005B68A3">
      <w:pPr>
        <w:tabs>
          <w:tab w:val="left" w:pos="851"/>
        </w:tabs>
        <w:ind w:left="851"/>
        <w:rPr>
          <w:sz w:val="24"/>
          <w:szCs w:val="24"/>
        </w:rPr>
      </w:pPr>
      <w:r w:rsidRPr="005B68A3">
        <w:rPr>
          <w:sz w:val="24"/>
          <w:szCs w:val="24"/>
          <w:u w:val="single"/>
        </w:rPr>
        <w:t>Elimination</w:t>
      </w:r>
    </w:p>
    <w:p w14:paraId="2F8D534C" w14:textId="77777777" w:rsidR="005B68A3" w:rsidRPr="005B68A3" w:rsidRDefault="005B68A3" w:rsidP="005B68A3">
      <w:pPr>
        <w:tabs>
          <w:tab w:val="left" w:pos="851"/>
        </w:tabs>
        <w:ind w:left="851"/>
        <w:rPr>
          <w:sz w:val="24"/>
          <w:szCs w:val="24"/>
        </w:rPr>
      </w:pPr>
      <w:r w:rsidRPr="005B68A3">
        <w:rPr>
          <w:sz w:val="24"/>
          <w:szCs w:val="24"/>
        </w:rPr>
        <w:t xml:space="preserve">Oxybutynin udskilles hurtigt fra kroppen efter oral og intravesikal administration. PK-forsøg har vist, at intravesikalt oxybutynin har en forlænget elimination sammenholdt med </w:t>
      </w:r>
      <w:r w:rsidRPr="005B68A3">
        <w:rPr>
          <w:sz w:val="24"/>
          <w:szCs w:val="24"/>
        </w:rPr>
        <w:lastRenderedPageBreak/>
        <w:t>oral administration, idet de rapporterede eliminationshalveringstider er på hhv. 2,56 og 1,48 t.</w:t>
      </w:r>
    </w:p>
    <w:p w14:paraId="5BC1449A" w14:textId="77777777" w:rsidR="005B68A3" w:rsidRPr="005B68A3" w:rsidRDefault="005B68A3" w:rsidP="005B68A3">
      <w:pPr>
        <w:tabs>
          <w:tab w:val="left" w:pos="851"/>
        </w:tabs>
        <w:ind w:left="851"/>
        <w:rPr>
          <w:sz w:val="24"/>
          <w:szCs w:val="24"/>
        </w:rPr>
      </w:pPr>
      <w:r w:rsidRPr="005B68A3">
        <w:rPr>
          <w:sz w:val="24"/>
          <w:szCs w:val="24"/>
        </w:rPr>
        <w:t>Koncentrationer af både oxybutynin og hovedmetabolitten N-desethyloxybutynin kunne stadig detekteres i serum 24 t efter intravesikal administration.</w:t>
      </w:r>
    </w:p>
    <w:p w14:paraId="74BB536B" w14:textId="77777777" w:rsidR="009260DE" w:rsidRPr="00C84483" w:rsidRDefault="009260DE" w:rsidP="009260DE">
      <w:pPr>
        <w:tabs>
          <w:tab w:val="left" w:pos="851"/>
        </w:tabs>
        <w:ind w:left="851"/>
        <w:rPr>
          <w:sz w:val="24"/>
          <w:szCs w:val="24"/>
        </w:rPr>
      </w:pPr>
    </w:p>
    <w:p w14:paraId="517C232F" w14:textId="77777777" w:rsidR="009260DE" w:rsidRPr="00C84483" w:rsidRDefault="009260DE" w:rsidP="009260DE">
      <w:pPr>
        <w:tabs>
          <w:tab w:val="left" w:pos="851"/>
        </w:tabs>
        <w:ind w:left="851" w:hanging="851"/>
        <w:rPr>
          <w:b/>
          <w:sz w:val="24"/>
          <w:szCs w:val="24"/>
        </w:rPr>
      </w:pPr>
      <w:r w:rsidRPr="00C84483">
        <w:rPr>
          <w:b/>
          <w:sz w:val="24"/>
          <w:szCs w:val="24"/>
        </w:rPr>
        <w:t>5.3</w:t>
      </w:r>
      <w:r w:rsidRPr="00C84483">
        <w:rPr>
          <w:b/>
          <w:sz w:val="24"/>
          <w:szCs w:val="24"/>
        </w:rPr>
        <w:tab/>
      </w:r>
      <w:r w:rsidR="00BD7931">
        <w:rPr>
          <w:b/>
          <w:sz w:val="24"/>
          <w:szCs w:val="24"/>
        </w:rPr>
        <w:t>Non-</w:t>
      </w:r>
      <w:r w:rsidRPr="00C84483">
        <w:rPr>
          <w:b/>
          <w:sz w:val="24"/>
          <w:szCs w:val="24"/>
        </w:rPr>
        <w:t>kliniske sikkerhedsdata</w:t>
      </w:r>
    </w:p>
    <w:p w14:paraId="6C70248F" w14:textId="77777777" w:rsidR="005B68A3" w:rsidRPr="005B68A3" w:rsidRDefault="005B68A3" w:rsidP="005B68A3">
      <w:pPr>
        <w:tabs>
          <w:tab w:val="left" w:pos="851"/>
        </w:tabs>
        <w:ind w:left="851"/>
        <w:rPr>
          <w:sz w:val="24"/>
          <w:szCs w:val="24"/>
        </w:rPr>
      </w:pPr>
      <w:r w:rsidRPr="005B68A3">
        <w:rPr>
          <w:sz w:val="24"/>
          <w:szCs w:val="24"/>
        </w:rPr>
        <w:t>Non-kliniske data viser ingen speciel risiko for mennesker vurderet ud fra studier af akut toksikologi, toksicitet efter gentagne doser, genotoksicitet, karcinogenicitet og lokal toksicitet.</w:t>
      </w:r>
    </w:p>
    <w:p w14:paraId="253775F1" w14:textId="77777777" w:rsidR="005B68A3" w:rsidRPr="005B68A3" w:rsidRDefault="005B68A3" w:rsidP="005B68A3">
      <w:pPr>
        <w:tabs>
          <w:tab w:val="left" w:pos="851"/>
        </w:tabs>
        <w:ind w:left="851"/>
        <w:rPr>
          <w:sz w:val="24"/>
          <w:szCs w:val="24"/>
        </w:rPr>
      </w:pPr>
    </w:p>
    <w:p w14:paraId="5BB458EB" w14:textId="77777777" w:rsidR="005B68A3" w:rsidRPr="005B68A3" w:rsidRDefault="005B68A3" w:rsidP="005B68A3">
      <w:pPr>
        <w:tabs>
          <w:tab w:val="left" w:pos="851"/>
        </w:tabs>
        <w:ind w:left="851"/>
        <w:rPr>
          <w:sz w:val="24"/>
          <w:szCs w:val="24"/>
        </w:rPr>
      </w:pPr>
      <w:r w:rsidRPr="005B68A3">
        <w:rPr>
          <w:sz w:val="24"/>
          <w:szCs w:val="24"/>
        </w:rPr>
        <w:t>Ved maternelt toksiske doser kan oralt administreret oxybutynin forårsage fostermisdannelser hos rotter.</w:t>
      </w:r>
    </w:p>
    <w:p w14:paraId="25B50D78" w14:textId="77777777" w:rsidR="009260DE" w:rsidRPr="00C84483" w:rsidRDefault="009260DE" w:rsidP="009260DE">
      <w:pPr>
        <w:tabs>
          <w:tab w:val="left" w:pos="851"/>
        </w:tabs>
        <w:ind w:left="851"/>
        <w:rPr>
          <w:sz w:val="24"/>
          <w:szCs w:val="24"/>
        </w:rPr>
      </w:pPr>
    </w:p>
    <w:p w14:paraId="2DD28AFD" w14:textId="77777777" w:rsidR="009260DE" w:rsidRPr="00C84483" w:rsidRDefault="009260DE" w:rsidP="009260DE">
      <w:pPr>
        <w:tabs>
          <w:tab w:val="left" w:pos="851"/>
        </w:tabs>
        <w:ind w:left="851"/>
        <w:rPr>
          <w:sz w:val="24"/>
          <w:szCs w:val="24"/>
        </w:rPr>
      </w:pPr>
    </w:p>
    <w:p w14:paraId="012ACFF3" w14:textId="77777777" w:rsidR="009260DE" w:rsidRPr="00C84483" w:rsidRDefault="009260DE" w:rsidP="009260DE">
      <w:pPr>
        <w:tabs>
          <w:tab w:val="left" w:pos="851"/>
        </w:tabs>
        <w:ind w:left="851" w:hanging="851"/>
        <w:rPr>
          <w:b/>
          <w:sz w:val="24"/>
          <w:szCs w:val="24"/>
        </w:rPr>
      </w:pPr>
      <w:r w:rsidRPr="00C84483">
        <w:rPr>
          <w:b/>
          <w:sz w:val="24"/>
          <w:szCs w:val="24"/>
        </w:rPr>
        <w:t>6.</w:t>
      </w:r>
      <w:r w:rsidRPr="00C84483">
        <w:rPr>
          <w:b/>
          <w:sz w:val="24"/>
          <w:szCs w:val="24"/>
        </w:rPr>
        <w:tab/>
        <w:t>FARMACEUTISKE OPLYSNINGER</w:t>
      </w:r>
    </w:p>
    <w:p w14:paraId="62784E0E" w14:textId="77777777" w:rsidR="009260DE" w:rsidRPr="00BA09F1" w:rsidRDefault="009260DE" w:rsidP="009260DE">
      <w:pPr>
        <w:tabs>
          <w:tab w:val="left" w:pos="851"/>
        </w:tabs>
        <w:ind w:left="851"/>
        <w:rPr>
          <w:sz w:val="24"/>
          <w:szCs w:val="24"/>
        </w:rPr>
      </w:pPr>
    </w:p>
    <w:p w14:paraId="3C575271" w14:textId="77777777" w:rsidR="009260DE" w:rsidRPr="00C84483" w:rsidRDefault="009260DE" w:rsidP="009260DE">
      <w:pPr>
        <w:tabs>
          <w:tab w:val="left" w:pos="851"/>
        </w:tabs>
        <w:ind w:left="851" w:hanging="851"/>
        <w:rPr>
          <w:b/>
          <w:sz w:val="24"/>
          <w:szCs w:val="24"/>
        </w:rPr>
      </w:pPr>
      <w:r w:rsidRPr="00C84483">
        <w:rPr>
          <w:b/>
          <w:sz w:val="24"/>
          <w:szCs w:val="24"/>
        </w:rPr>
        <w:t>6.1</w:t>
      </w:r>
      <w:r w:rsidRPr="00C84483">
        <w:rPr>
          <w:b/>
          <w:sz w:val="24"/>
          <w:szCs w:val="24"/>
        </w:rPr>
        <w:tab/>
        <w:t>Hjælpestoffer</w:t>
      </w:r>
    </w:p>
    <w:p w14:paraId="47D1A3BF" w14:textId="77777777" w:rsidR="005B68A3" w:rsidRPr="005B68A3" w:rsidRDefault="005B68A3" w:rsidP="005B68A3">
      <w:pPr>
        <w:tabs>
          <w:tab w:val="left" w:pos="851"/>
        </w:tabs>
        <w:ind w:left="851"/>
        <w:rPr>
          <w:sz w:val="24"/>
          <w:szCs w:val="24"/>
        </w:rPr>
      </w:pPr>
      <w:r w:rsidRPr="005B68A3">
        <w:rPr>
          <w:sz w:val="24"/>
          <w:szCs w:val="24"/>
        </w:rPr>
        <w:t xml:space="preserve">Saltsyre </w:t>
      </w:r>
    </w:p>
    <w:p w14:paraId="5083C026" w14:textId="77777777" w:rsidR="005B68A3" w:rsidRPr="005B68A3" w:rsidRDefault="005B68A3" w:rsidP="005B68A3">
      <w:pPr>
        <w:tabs>
          <w:tab w:val="left" w:pos="851"/>
        </w:tabs>
        <w:ind w:left="851"/>
        <w:rPr>
          <w:sz w:val="24"/>
          <w:szCs w:val="24"/>
        </w:rPr>
      </w:pPr>
      <w:r w:rsidRPr="005B68A3">
        <w:rPr>
          <w:sz w:val="24"/>
          <w:szCs w:val="24"/>
        </w:rPr>
        <w:t xml:space="preserve">Natriumchlorid </w:t>
      </w:r>
    </w:p>
    <w:p w14:paraId="696F4739" w14:textId="77777777" w:rsidR="005B68A3" w:rsidRPr="005B68A3" w:rsidRDefault="005B68A3" w:rsidP="005B68A3">
      <w:pPr>
        <w:tabs>
          <w:tab w:val="left" w:pos="851"/>
        </w:tabs>
        <w:ind w:left="851"/>
        <w:rPr>
          <w:sz w:val="24"/>
          <w:szCs w:val="24"/>
        </w:rPr>
      </w:pPr>
      <w:r w:rsidRPr="005B68A3">
        <w:rPr>
          <w:sz w:val="24"/>
          <w:szCs w:val="24"/>
        </w:rPr>
        <w:t>Vand til injektionsvæsker</w:t>
      </w:r>
    </w:p>
    <w:p w14:paraId="67AD1C48" w14:textId="77777777" w:rsidR="009260DE" w:rsidRPr="00C84483" w:rsidRDefault="009260DE" w:rsidP="009260DE">
      <w:pPr>
        <w:tabs>
          <w:tab w:val="left" w:pos="851"/>
        </w:tabs>
        <w:ind w:left="851"/>
        <w:rPr>
          <w:sz w:val="24"/>
          <w:szCs w:val="24"/>
        </w:rPr>
      </w:pPr>
    </w:p>
    <w:p w14:paraId="7722E353" w14:textId="77777777" w:rsidR="009260DE" w:rsidRPr="00C84483" w:rsidRDefault="009260DE" w:rsidP="009260DE">
      <w:pPr>
        <w:tabs>
          <w:tab w:val="left" w:pos="851"/>
        </w:tabs>
        <w:ind w:left="851" w:hanging="851"/>
        <w:rPr>
          <w:b/>
          <w:sz w:val="24"/>
          <w:szCs w:val="24"/>
        </w:rPr>
      </w:pPr>
      <w:r w:rsidRPr="00C84483">
        <w:rPr>
          <w:b/>
          <w:sz w:val="24"/>
          <w:szCs w:val="24"/>
        </w:rPr>
        <w:t>6.2</w:t>
      </w:r>
      <w:r w:rsidRPr="00C84483">
        <w:rPr>
          <w:b/>
          <w:sz w:val="24"/>
          <w:szCs w:val="24"/>
        </w:rPr>
        <w:tab/>
        <w:t>Uforligeligheder</w:t>
      </w:r>
    </w:p>
    <w:p w14:paraId="18119FD2" w14:textId="77777777" w:rsidR="005B68A3" w:rsidRPr="005B68A3" w:rsidRDefault="005B68A3" w:rsidP="005B68A3">
      <w:pPr>
        <w:tabs>
          <w:tab w:val="left" w:pos="851"/>
        </w:tabs>
        <w:ind w:left="851"/>
        <w:rPr>
          <w:sz w:val="24"/>
          <w:szCs w:val="24"/>
        </w:rPr>
      </w:pPr>
      <w:r w:rsidRPr="005B68A3">
        <w:rPr>
          <w:sz w:val="24"/>
          <w:szCs w:val="24"/>
        </w:rPr>
        <w:t>Ingen kendte.</w:t>
      </w:r>
    </w:p>
    <w:p w14:paraId="60F0D6E1" w14:textId="77777777" w:rsidR="009260DE" w:rsidRPr="00C84483" w:rsidRDefault="009260DE" w:rsidP="009260DE">
      <w:pPr>
        <w:tabs>
          <w:tab w:val="left" w:pos="851"/>
        </w:tabs>
        <w:ind w:left="851"/>
        <w:rPr>
          <w:sz w:val="24"/>
          <w:szCs w:val="24"/>
        </w:rPr>
      </w:pPr>
    </w:p>
    <w:p w14:paraId="127057E6" w14:textId="77777777" w:rsidR="009260DE" w:rsidRPr="00C84483" w:rsidRDefault="009260DE" w:rsidP="009260DE">
      <w:pPr>
        <w:tabs>
          <w:tab w:val="left" w:pos="851"/>
        </w:tabs>
        <w:ind w:left="851" w:hanging="851"/>
        <w:rPr>
          <w:b/>
          <w:sz w:val="24"/>
          <w:szCs w:val="24"/>
        </w:rPr>
      </w:pPr>
      <w:r w:rsidRPr="00C84483">
        <w:rPr>
          <w:b/>
          <w:sz w:val="24"/>
          <w:szCs w:val="24"/>
        </w:rPr>
        <w:t>6.3</w:t>
      </w:r>
      <w:r w:rsidRPr="00C84483">
        <w:rPr>
          <w:b/>
          <w:sz w:val="24"/>
          <w:szCs w:val="24"/>
        </w:rPr>
        <w:tab/>
        <w:t>Opbevaringstid</w:t>
      </w:r>
    </w:p>
    <w:p w14:paraId="4E7EB131" w14:textId="77777777" w:rsidR="005B68A3" w:rsidRPr="005B68A3" w:rsidRDefault="005B68A3" w:rsidP="005B68A3">
      <w:pPr>
        <w:tabs>
          <w:tab w:val="left" w:pos="851"/>
        </w:tabs>
        <w:ind w:left="851"/>
        <w:rPr>
          <w:sz w:val="24"/>
          <w:szCs w:val="24"/>
        </w:rPr>
      </w:pPr>
      <w:r w:rsidRPr="005B68A3">
        <w:rPr>
          <w:sz w:val="24"/>
          <w:szCs w:val="24"/>
        </w:rPr>
        <w:t>3 år.</w:t>
      </w:r>
    </w:p>
    <w:p w14:paraId="6D607246" w14:textId="77777777" w:rsidR="005B68A3" w:rsidRPr="005B68A3" w:rsidRDefault="005B68A3" w:rsidP="005B68A3">
      <w:pPr>
        <w:tabs>
          <w:tab w:val="left" w:pos="851"/>
        </w:tabs>
        <w:ind w:left="851"/>
        <w:rPr>
          <w:sz w:val="24"/>
          <w:szCs w:val="24"/>
        </w:rPr>
      </w:pPr>
    </w:p>
    <w:p w14:paraId="280CE097" w14:textId="73CF774C" w:rsidR="005B68A3" w:rsidRPr="005B68A3" w:rsidRDefault="005B68A3" w:rsidP="005B68A3">
      <w:pPr>
        <w:tabs>
          <w:tab w:val="left" w:pos="851"/>
        </w:tabs>
        <w:ind w:left="851"/>
        <w:rPr>
          <w:sz w:val="24"/>
          <w:szCs w:val="24"/>
        </w:rPr>
      </w:pPr>
      <w:r w:rsidRPr="005B68A3">
        <w:rPr>
          <w:sz w:val="24"/>
          <w:szCs w:val="24"/>
        </w:rPr>
        <w:t xml:space="preserve">Den fyldte sprøjte er egnet til brug </w:t>
      </w:r>
      <w:r w:rsidR="00654D95">
        <w:rPr>
          <w:sz w:val="24"/>
          <w:szCs w:val="24"/>
        </w:rPr>
        <w:t>en</w:t>
      </w:r>
      <w:r w:rsidRPr="005B68A3">
        <w:rPr>
          <w:sz w:val="24"/>
          <w:szCs w:val="24"/>
        </w:rPr>
        <w:t xml:space="preserve"> eller to gange. Hver sprøjte skal bruges inden for 24 timer efter første åbning.</w:t>
      </w:r>
    </w:p>
    <w:p w14:paraId="4EB735F1" w14:textId="77777777" w:rsidR="009260DE" w:rsidRPr="00C84483" w:rsidRDefault="009260DE" w:rsidP="009260DE">
      <w:pPr>
        <w:tabs>
          <w:tab w:val="left" w:pos="851"/>
        </w:tabs>
        <w:ind w:left="851"/>
        <w:rPr>
          <w:sz w:val="24"/>
          <w:szCs w:val="24"/>
        </w:rPr>
      </w:pPr>
    </w:p>
    <w:p w14:paraId="659D2FFF" w14:textId="77777777" w:rsidR="009260DE" w:rsidRPr="00C84483" w:rsidRDefault="009260DE" w:rsidP="009260DE">
      <w:pPr>
        <w:tabs>
          <w:tab w:val="left" w:pos="851"/>
        </w:tabs>
        <w:ind w:left="851" w:hanging="851"/>
        <w:rPr>
          <w:b/>
          <w:sz w:val="24"/>
          <w:szCs w:val="24"/>
        </w:rPr>
      </w:pPr>
      <w:r w:rsidRPr="00C84483">
        <w:rPr>
          <w:b/>
          <w:sz w:val="24"/>
          <w:szCs w:val="24"/>
        </w:rPr>
        <w:t>6.4</w:t>
      </w:r>
      <w:r w:rsidRPr="00C84483">
        <w:rPr>
          <w:b/>
          <w:sz w:val="24"/>
          <w:szCs w:val="24"/>
        </w:rPr>
        <w:tab/>
        <w:t>Særlige opbevaringsforhold</w:t>
      </w:r>
    </w:p>
    <w:p w14:paraId="5BC4F50A" w14:textId="77777777" w:rsidR="005B68A3" w:rsidRPr="005B68A3" w:rsidRDefault="005B68A3" w:rsidP="005B68A3">
      <w:pPr>
        <w:tabs>
          <w:tab w:val="left" w:pos="851"/>
        </w:tabs>
        <w:ind w:left="851"/>
        <w:rPr>
          <w:sz w:val="24"/>
          <w:szCs w:val="24"/>
        </w:rPr>
      </w:pPr>
      <w:r w:rsidRPr="005B68A3">
        <w:rPr>
          <w:sz w:val="24"/>
          <w:szCs w:val="24"/>
        </w:rPr>
        <w:t>Der er ingen særlige krav vedrørende opbevaringstemperaturer for dette lægemiddel.</w:t>
      </w:r>
    </w:p>
    <w:p w14:paraId="78B553A2" w14:textId="77777777" w:rsidR="009260DE" w:rsidRPr="00C84483" w:rsidRDefault="009260DE" w:rsidP="009260DE">
      <w:pPr>
        <w:tabs>
          <w:tab w:val="left" w:pos="851"/>
        </w:tabs>
        <w:ind w:left="851"/>
        <w:rPr>
          <w:sz w:val="24"/>
          <w:szCs w:val="24"/>
        </w:rPr>
      </w:pPr>
    </w:p>
    <w:p w14:paraId="5F565ED8" w14:textId="77777777" w:rsidR="009260DE" w:rsidRPr="00C84483" w:rsidRDefault="009260DE" w:rsidP="009260DE">
      <w:pPr>
        <w:tabs>
          <w:tab w:val="left" w:pos="851"/>
        </w:tabs>
        <w:ind w:left="851" w:hanging="851"/>
        <w:rPr>
          <w:b/>
          <w:sz w:val="24"/>
          <w:szCs w:val="24"/>
        </w:rPr>
      </w:pPr>
      <w:r w:rsidRPr="00C84483">
        <w:rPr>
          <w:b/>
          <w:sz w:val="24"/>
          <w:szCs w:val="24"/>
        </w:rPr>
        <w:t>6.5</w:t>
      </w:r>
      <w:r w:rsidRPr="00C84483">
        <w:rPr>
          <w:b/>
          <w:sz w:val="24"/>
          <w:szCs w:val="24"/>
        </w:rPr>
        <w:tab/>
        <w:t>Emballagetype og pakningsstørrelser</w:t>
      </w:r>
    </w:p>
    <w:p w14:paraId="5A6D4ED3" w14:textId="77777777" w:rsidR="005B68A3" w:rsidRPr="005B68A3" w:rsidRDefault="005B68A3" w:rsidP="005B68A3">
      <w:pPr>
        <w:tabs>
          <w:tab w:val="left" w:pos="851"/>
        </w:tabs>
        <w:ind w:left="851"/>
        <w:rPr>
          <w:sz w:val="24"/>
          <w:szCs w:val="24"/>
        </w:rPr>
      </w:pPr>
      <w:r w:rsidRPr="005B68A3">
        <w:rPr>
          <w:sz w:val="24"/>
          <w:szCs w:val="24"/>
        </w:rPr>
        <w:t>10 ml opløsning i en fyldt sprøjte (polypropylen) med en stempelprop (syntetisk bromobutylgummi) og en spidshætte (syntetisk bromobutylgummi).</w:t>
      </w:r>
    </w:p>
    <w:p w14:paraId="2E75D456" w14:textId="77777777" w:rsidR="005B68A3" w:rsidRPr="005B68A3" w:rsidRDefault="005B68A3" w:rsidP="005B68A3">
      <w:pPr>
        <w:tabs>
          <w:tab w:val="left" w:pos="851"/>
        </w:tabs>
        <w:ind w:left="851"/>
        <w:rPr>
          <w:sz w:val="24"/>
          <w:szCs w:val="24"/>
        </w:rPr>
      </w:pPr>
    </w:p>
    <w:p w14:paraId="795FBF5B" w14:textId="03301933" w:rsidR="005B68A3" w:rsidRPr="005B68A3" w:rsidRDefault="005B68A3" w:rsidP="005B68A3">
      <w:pPr>
        <w:tabs>
          <w:tab w:val="left" w:pos="851"/>
        </w:tabs>
        <w:ind w:left="851"/>
        <w:rPr>
          <w:sz w:val="24"/>
          <w:szCs w:val="24"/>
        </w:rPr>
      </w:pPr>
      <w:r w:rsidRPr="005B68A3">
        <w:rPr>
          <w:sz w:val="24"/>
          <w:szCs w:val="24"/>
        </w:rPr>
        <w:t xml:space="preserve">Pakningsstørrelser: 12 </w:t>
      </w:r>
      <w:r w:rsidR="00654D95">
        <w:rPr>
          <w:sz w:val="24"/>
          <w:szCs w:val="24"/>
        </w:rPr>
        <w:t>og</w:t>
      </w:r>
      <w:r w:rsidRPr="005B68A3">
        <w:rPr>
          <w:sz w:val="24"/>
          <w:szCs w:val="24"/>
        </w:rPr>
        <w:t xml:space="preserve"> 100 fyldte sprøjter.</w:t>
      </w:r>
    </w:p>
    <w:p w14:paraId="693CF746" w14:textId="77777777" w:rsidR="005B68A3" w:rsidRPr="005B68A3" w:rsidRDefault="005B68A3" w:rsidP="005B68A3">
      <w:pPr>
        <w:tabs>
          <w:tab w:val="left" w:pos="851"/>
        </w:tabs>
        <w:ind w:left="851"/>
        <w:rPr>
          <w:sz w:val="24"/>
          <w:szCs w:val="24"/>
        </w:rPr>
      </w:pPr>
    </w:p>
    <w:p w14:paraId="62E723F3" w14:textId="77777777" w:rsidR="005B68A3" w:rsidRPr="005B68A3" w:rsidRDefault="005B68A3" w:rsidP="005B68A3">
      <w:pPr>
        <w:tabs>
          <w:tab w:val="left" w:pos="851"/>
        </w:tabs>
        <w:ind w:left="851"/>
        <w:rPr>
          <w:sz w:val="24"/>
          <w:szCs w:val="24"/>
        </w:rPr>
      </w:pPr>
      <w:r w:rsidRPr="005B68A3">
        <w:rPr>
          <w:sz w:val="24"/>
          <w:szCs w:val="24"/>
        </w:rPr>
        <w:t>Ikke alle pakningsstørrelser er nødvendigvis markedsført.</w:t>
      </w:r>
    </w:p>
    <w:p w14:paraId="708D540F" w14:textId="77777777" w:rsidR="009260DE" w:rsidRPr="00C84483" w:rsidRDefault="009260DE" w:rsidP="009260DE">
      <w:pPr>
        <w:tabs>
          <w:tab w:val="left" w:pos="851"/>
        </w:tabs>
        <w:ind w:left="851"/>
        <w:rPr>
          <w:sz w:val="24"/>
          <w:szCs w:val="24"/>
        </w:rPr>
      </w:pPr>
    </w:p>
    <w:p w14:paraId="78DEB8B5" w14:textId="77777777" w:rsidR="009260DE" w:rsidRPr="00C84483" w:rsidRDefault="009260DE" w:rsidP="009260DE">
      <w:pPr>
        <w:tabs>
          <w:tab w:val="left" w:pos="851"/>
        </w:tabs>
        <w:ind w:left="851" w:hanging="851"/>
        <w:rPr>
          <w:b/>
          <w:sz w:val="24"/>
          <w:szCs w:val="24"/>
        </w:rPr>
      </w:pPr>
      <w:r w:rsidRPr="00C84483">
        <w:rPr>
          <w:b/>
          <w:sz w:val="24"/>
          <w:szCs w:val="24"/>
        </w:rPr>
        <w:t>6.6</w:t>
      </w:r>
      <w:r w:rsidRPr="00C84483">
        <w:rPr>
          <w:b/>
          <w:sz w:val="24"/>
          <w:szCs w:val="24"/>
        </w:rPr>
        <w:tab/>
        <w:t xml:space="preserve">Regler for </w:t>
      </w:r>
      <w:r w:rsidR="00BD7931">
        <w:rPr>
          <w:b/>
          <w:sz w:val="24"/>
          <w:szCs w:val="24"/>
        </w:rPr>
        <w:t>bortskaffelse</w:t>
      </w:r>
      <w:r w:rsidRPr="00C84483">
        <w:rPr>
          <w:b/>
          <w:sz w:val="24"/>
          <w:szCs w:val="24"/>
        </w:rPr>
        <w:t xml:space="preserve"> og anden håndtering</w:t>
      </w:r>
    </w:p>
    <w:p w14:paraId="656D8C8B" w14:textId="77777777" w:rsidR="005B68A3" w:rsidRPr="005B68A3" w:rsidRDefault="005B68A3" w:rsidP="005B68A3">
      <w:pPr>
        <w:tabs>
          <w:tab w:val="left" w:pos="851"/>
        </w:tabs>
        <w:ind w:left="851"/>
        <w:rPr>
          <w:sz w:val="24"/>
          <w:szCs w:val="24"/>
        </w:rPr>
      </w:pPr>
      <w:r w:rsidRPr="005B68A3">
        <w:rPr>
          <w:sz w:val="24"/>
          <w:szCs w:val="24"/>
        </w:rPr>
        <w:t>Ikke anvendt lægemiddel samt affald heraf skal bortskaffes i henhold til lokale retningslinjer.</w:t>
      </w:r>
    </w:p>
    <w:p w14:paraId="0BA1F1E8" w14:textId="77777777" w:rsidR="009260DE" w:rsidRPr="00C84483" w:rsidRDefault="009260DE" w:rsidP="000730CA">
      <w:pPr>
        <w:tabs>
          <w:tab w:val="left" w:pos="851"/>
        </w:tabs>
        <w:ind w:left="851"/>
        <w:rPr>
          <w:sz w:val="24"/>
          <w:szCs w:val="24"/>
        </w:rPr>
      </w:pPr>
    </w:p>
    <w:p w14:paraId="5ECA1205" w14:textId="77777777" w:rsidR="009260DE" w:rsidRPr="00C84483" w:rsidRDefault="009260DE" w:rsidP="009260DE">
      <w:pPr>
        <w:tabs>
          <w:tab w:val="left" w:pos="851"/>
        </w:tabs>
        <w:ind w:left="851" w:hanging="851"/>
        <w:rPr>
          <w:b/>
          <w:sz w:val="24"/>
          <w:szCs w:val="24"/>
        </w:rPr>
      </w:pPr>
      <w:r w:rsidRPr="00C84483">
        <w:rPr>
          <w:b/>
          <w:sz w:val="24"/>
          <w:szCs w:val="24"/>
        </w:rPr>
        <w:t>7.</w:t>
      </w:r>
      <w:r w:rsidRPr="00C84483">
        <w:rPr>
          <w:b/>
          <w:sz w:val="24"/>
          <w:szCs w:val="24"/>
        </w:rPr>
        <w:tab/>
        <w:t>INDEHAVER AF MARKEDSFØRINGSTILLADELSEN</w:t>
      </w:r>
    </w:p>
    <w:p w14:paraId="4FCEB7EE" w14:textId="62A5F323" w:rsidR="005B68A3" w:rsidRPr="005B68A3" w:rsidRDefault="005B68A3" w:rsidP="005B68A3">
      <w:pPr>
        <w:tabs>
          <w:tab w:val="left" w:pos="851"/>
        </w:tabs>
        <w:ind w:left="851"/>
        <w:rPr>
          <w:sz w:val="24"/>
          <w:szCs w:val="24"/>
        </w:rPr>
      </w:pPr>
      <w:r w:rsidRPr="005B68A3">
        <w:rPr>
          <w:sz w:val="24"/>
          <w:szCs w:val="24"/>
        </w:rPr>
        <w:t>F</w:t>
      </w:r>
      <w:r>
        <w:rPr>
          <w:sz w:val="24"/>
          <w:szCs w:val="24"/>
        </w:rPr>
        <w:t>arco</w:t>
      </w:r>
      <w:r w:rsidRPr="005B68A3">
        <w:rPr>
          <w:sz w:val="24"/>
          <w:szCs w:val="24"/>
        </w:rPr>
        <w:t>-P</w:t>
      </w:r>
      <w:r>
        <w:rPr>
          <w:sz w:val="24"/>
          <w:szCs w:val="24"/>
        </w:rPr>
        <w:t>harma</w:t>
      </w:r>
      <w:r w:rsidRPr="005B68A3">
        <w:rPr>
          <w:sz w:val="24"/>
          <w:szCs w:val="24"/>
        </w:rPr>
        <w:t xml:space="preserve"> GmbH</w:t>
      </w:r>
    </w:p>
    <w:p w14:paraId="4872F329" w14:textId="77777777" w:rsidR="005B68A3" w:rsidRPr="005B68A3" w:rsidRDefault="005B68A3" w:rsidP="005B68A3">
      <w:pPr>
        <w:tabs>
          <w:tab w:val="left" w:pos="851"/>
        </w:tabs>
        <w:ind w:left="851"/>
        <w:rPr>
          <w:sz w:val="24"/>
          <w:szCs w:val="24"/>
        </w:rPr>
      </w:pPr>
      <w:r w:rsidRPr="005B68A3">
        <w:rPr>
          <w:sz w:val="24"/>
          <w:szCs w:val="24"/>
        </w:rPr>
        <w:t>Gereonsmühlengasse 1-11</w:t>
      </w:r>
    </w:p>
    <w:p w14:paraId="7CE75398" w14:textId="77777777" w:rsidR="005B68A3" w:rsidRPr="005B68A3" w:rsidRDefault="005B68A3" w:rsidP="005B68A3">
      <w:pPr>
        <w:tabs>
          <w:tab w:val="left" w:pos="851"/>
        </w:tabs>
        <w:ind w:left="851"/>
        <w:rPr>
          <w:sz w:val="24"/>
          <w:szCs w:val="24"/>
        </w:rPr>
      </w:pPr>
      <w:r w:rsidRPr="005B68A3">
        <w:rPr>
          <w:sz w:val="24"/>
          <w:szCs w:val="24"/>
        </w:rPr>
        <w:t>50670 Køln</w:t>
      </w:r>
    </w:p>
    <w:p w14:paraId="517ED70B" w14:textId="77777777" w:rsidR="005B68A3" w:rsidRPr="005B68A3" w:rsidRDefault="005B68A3" w:rsidP="005B68A3">
      <w:pPr>
        <w:tabs>
          <w:tab w:val="left" w:pos="851"/>
        </w:tabs>
        <w:ind w:left="851"/>
        <w:rPr>
          <w:sz w:val="24"/>
          <w:szCs w:val="24"/>
        </w:rPr>
      </w:pPr>
      <w:r w:rsidRPr="005B68A3">
        <w:rPr>
          <w:sz w:val="24"/>
          <w:szCs w:val="24"/>
        </w:rPr>
        <w:t>Tyskland</w:t>
      </w:r>
    </w:p>
    <w:p w14:paraId="7D62B9D7" w14:textId="77777777" w:rsidR="009260DE" w:rsidRDefault="009260DE" w:rsidP="009260DE">
      <w:pPr>
        <w:tabs>
          <w:tab w:val="left" w:pos="851"/>
        </w:tabs>
        <w:ind w:left="851"/>
        <w:rPr>
          <w:sz w:val="24"/>
          <w:szCs w:val="24"/>
        </w:rPr>
      </w:pPr>
    </w:p>
    <w:p w14:paraId="29D4646C" w14:textId="77777777" w:rsidR="009260DE" w:rsidRPr="00C84483" w:rsidRDefault="009260DE" w:rsidP="009260DE">
      <w:pPr>
        <w:tabs>
          <w:tab w:val="left" w:pos="851"/>
        </w:tabs>
        <w:ind w:left="851" w:hanging="851"/>
        <w:rPr>
          <w:b/>
          <w:sz w:val="24"/>
          <w:szCs w:val="24"/>
        </w:rPr>
      </w:pPr>
      <w:r w:rsidRPr="00C84483">
        <w:rPr>
          <w:b/>
          <w:sz w:val="24"/>
          <w:szCs w:val="24"/>
        </w:rPr>
        <w:lastRenderedPageBreak/>
        <w:t>8.</w:t>
      </w:r>
      <w:r w:rsidRPr="00C84483">
        <w:rPr>
          <w:b/>
          <w:sz w:val="24"/>
          <w:szCs w:val="24"/>
        </w:rPr>
        <w:tab/>
        <w:t>MARKEDSFØRINGSTILLADELSESNUMMER (</w:t>
      </w:r>
      <w:r w:rsidR="00BF6243">
        <w:rPr>
          <w:b/>
          <w:sz w:val="24"/>
          <w:szCs w:val="24"/>
        </w:rPr>
        <w:t>-</w:t>
      </w:r>
      <w:r w:rsidRPr="00C84483">
        <w:rPr>
          <w:b/>
          <w:sz w:val="24"/>
          <w:szCs w:val="24"/>
        </w:rPr>
        <w:t>NUMRE)</w:t>
      </w:r>
    </w:p>
    <w:p w14:paraId="541D4EE9" w14:textId="18A15A12" w:rsidR="009260DE" w:rsidRPr="00C84483" w:rsidRDefault="005B68A3" w:rsidP="009260DE">
      <w:pPr>
        <w:tabs>
          <w:tab w:val="left" w:pos="851"/>
        </w:tabs>
        <w:ind w:left="851"/>
        <w:rPr>
          <w:sz w:val="24"/>
          <w:szCs w:val="24"/>
        </w:rPr>
      </w:pPr>
      <w:r>
        <w:rPr>
          <w:sz w:val="24"/>
          <w:szCs w:val="24"/>
        </w:rPr>
        <w:t>75289</w:t>
      </w:r>
    </w:p>
    <w:p w14:paraId="03692C05" w14:textId="77777777" w:rsidR="009260DE" w:rsidRPr="00C84483" w:rsidRDefault="009260DE" w:rsidP="009260DE">
      <w:pPr>
        <w:tabs>
          <w:tab w:val="left" w:pos="851"/>
        </w:tabs>
        <w:ind w:left="851"/>
        <w:jc w:val="both"/>
        <w:rPr>
          <w:sz w:val="24"/>
          <w:szCs w:val="24"/>
        </w:rPr>
      </w:pPr>
    </w:p>
    <w:p w14:paraId="74CA7A74" w14:textId="77777777" w:rsidR="009260DE" w:rsidRPr="00C84483" w:rsidRDefault="009260DE" w:rsidP="009260DE">
      <w:pPr>
        <w:tabs>
          <w:tab w:val="left" w:pos="851"/>
        </w:tabs>
        <w:ind w:left="851" w:hanging="851"/>
        <w:rPr>
          <w:b/>
          <w:sz w:val="24"/>
          <w:szCs w:val="24"/>
        </w:rPr>
      </w:pPr>
      <w:r w:rsidRPr="00C84483">
        <w:rPr>
          <w:b/>
          <w:sz w:val="24"/>
          <w:szCs w:val="24"/>
        </w:rPr>
        <w:t>9.</w:t>
      </w:r>
      <w:r w:rsidRPr="00C84483">
        <w:rPr>
          <w:b/>
          <w:sz w:val="24"/>
          <w:szCs w:val="24"/>
        </w:rPr>
        <w:tab/>
        <w:t>DATO FOR FØRSTE MARKEDSFØRINGSTILLADELSE</w:t>
      </w:r>
    </w:p>
    <w:p w14:paraId="16C8AEA7" w14:textId="371CB058" w:rsidR="009260DE" w:rsidRPr="00C84483" w:rsidRDefault="00633909" w:rsidP="009260DE">
      <w:pPr>
        <w:tabs>
          <w:tab w:val="left" w:pos="851"/>
        </w:tabs>
        <w:ind w:left="851"/>
        <w:rPr>
          <w:sz w:val="24"/>
          <w:szCs w:val="24"/>
        </w:rPr>
      </w:pPr>
      <w:r>
        <w:rPr>
          <w:sz w:val="24"/>
          <w:szCs w:val="24"/>
        </w:rPr>
        <w:t>7. september 2026</w:t>
      </w:r>
    </w:p>
    <w:p w14:paraId="2BE0EF8C" w14:textId="77777777" w:rsidR="009260DE" w:rsidRPr="00C84483" w:rsidRDefault="009260DE" w:rsidP="009260DE">
      <w:pPr>
        <w:tabs>
          <w:tab w:val="left" w:pos="851"/>
        </w:tabs>
        <w:ind w:left="851"/>
        <w:rPr>
          <w:sz w:val="24"/>
          <w:szCs w:val="24"/>
        </w:rPr>
      </w:pPr>
    </w:p>
    <w:p w14:paraId="6F528E25" w14:textId="77777777" w:rsidR="009260DE" w:rsidRPr="00C84483" w:rsidRDefault="009260DE" w:rsidP="009260DE">
      <w:pPr>
        <w:tabs>
          <w:tab w:val="left" w:pos="851"/>
        </w:tabs>
        <w:ind w:left="851" w:hanging="851"/>
        <w:rPr>
          <w:b/>
          <w:sz w:val="24"/>
          <w:szCs w:val="24"/>
        </w:rPr>
      </w:pPr>
      <w:r w:rsidRPr="00C84483">
        <w:rPr>
          <w:b/>
          <w:sz w:val="24"/>
          <w:szCs w:val="24"/>
        </w:rPr>
        <w:t>10.</w:t>
      </w:r>
      <w:r w:rsidRPr="00C84483">
        <w:rPr>
          <w:b/>
          <w:sz w:val="24"/>
          <w:szCs w:val="24"/>
        </w:rPr>
        <w:tab/>
        <w:t>DATO FOR ÆNDRING AF TEKSTEN</w:t>
      </w:r>
    </w:p>
    <w:p w14:paraId="4D241BCD" w14:textId="0784464F" w:rsidR="009260DE" w:rsidRPr="00C84483" w:rsidRDefault="005B68A3" w:rsidP="009260DE">
      <w:pPr>
        <w:tabs>
          <w:tab w:val="left" w:pos="851"/>
        </w:tabs>
        <w:ind w:left="851"/>
        <w:rPr>
          <w:sz w:val="24"/>
          <w:szCs w:val="24"/>
        </w:rPr>
      </w:pPr>
      <w:r>
        <w:rPr>
          <w:sz w:val="24"/>
          <w:szCs w:val="24"/>
        </w:rPr>
        <w:t>-</w:t>
      </w:r>
    </w:p>
    <w:sectPr w:rsidR="009260DE" w:rsidRPr="00C84483" w:rsidSect="000259B9">
      <w:footerReference w:type="default" r:id="rId8"/>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9B8A9B" w14:textId="77777777" w:rsidR="00F06C6C" w:rsidRDefault="00F06C6C">
      <w:r>
        <w:separator/>
      </w:r>
    </w:p>
  </w:endnote>
  <w:endnote w:type="continuationSeparator" w:id="0">
    <w:p w14:paraId="0C49F6F3" w14:textId="77777777" w:rsidR="00F06C6C" w:rsidRDefault="00F06C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6F8B0" w14:textId="77777777" w:rsidR="000259B9" w:rsidRDefault="000259B9">
    <w:pPr>
      <w:pStyle w:val="Sidefod"/>
      <w:pBdr>
        <w:bottom w:val="single" w:sz="6" w:space="1" w:color="auto"/>
      </w:pBdr>
    </w:pPr>
  </w:p>
  <w:p w14:paraId="10AF2679" w14:textId="77777777" w:rsidR="000259B9" w:rsidRDefault="000259B9" w:rsidP="00C42586">
    <w:pPr>
      <w:pStyle w:val="Sidefod"/>
      <w:tabs>
        <w:tab w:val="clear" w:pos="4819"/>
        <w:tab w:val="left" w:pos="8505"/>
      </w:tabs>
      <w:rPr>
        <w:i/>
        <w:sz w:val="18"/>
        <w:szCs w:val="18"/>
      </w:rPr>
    </w:pPr>
  </w:p>
  <w:p w14:paraId="2A639BB8" w14:textId="3D0DAB1A"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5B68A3">
      <w:rPr>
        <w:i/>
        <w:noProof/>
        <w:sz w:val="18"/>
        <w:szCs w:val="18"/>
      </w:rPr>
      <w:t>Vesolox, intravesikal opløsning 1 mg-ml</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A01B2" w14:textId="77777777" w:rsidR="00F06C6C" w:rsidRDefault="00F06C6C">
      <w:r>
        <w:separator/>
      </w:r>
    </w:p>
  </w:footnote>
  <w:footnote w:type="continuationSeparator" w:id="0">
    <w:p w14:paraId="06AD3D4F" w14:textId="77777777" w:rsidR="00F06C6C" w:rsidRDefault="00F06C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30846BD9"/>
    <w:multiLevelType w:val="multilevel"/>
    <w:tmpl w:val="D17ADF66"/>
    <w:lvl w:ilvl="0">
      <w:start w:val="1"/>
      <w:numFmt w:val="decimal"/>
      <w:lvlText w:val="%1."/>
      <w:lvlJc w:val="left"/>
      <w:pPr>
        <w:ind w:left="684" w:hanging="567"/>
      </w:pPr>
      <w:rPr>
        <w:rFonts w:ascii="Times New Roman" w:eastAsia="Times New Roman" w:hAnsi="Times New Roman" w:cs="Times New Roman" w:hint="default"/>
        <w:b/>
        <w:bCs/>
        <w:i w:val="0"/>
        <w:iCs w:val="0"/>
        <w:spacing w:val="0"/>
        <w:w w:val="100"/>
        <w:sz w:val="22"/>
        <w:szCs w:val="22"/>
        <w:lang w:val="en-US" w:eastAsia="en-US" w:bidi="ar-SA"/>
      </w:rPr>
    </w:lvl>
    <w:lvl w:ilvl="1">
      <w:start w:val="1"/>
      <w:numFmt w:val="decimal"/>
      <w:lvlText w:val="%1.%2"/>
      <w:lvlJc w:val="left"/>
      <w:pPr>
        <w:ind w:left="684" w:hanging="567"/>
      </w:pPr>
      <w:rPr>
        <w:rFonts w:ascii="Times New Roman" w:eastAsia="Times New Roman" w:hAnsi="Times New Roman" w:cs="Times New Roman" w:hint="default"/>
        <w:b/>
        <w:bCs/>
        <w:i w:val="0"/>
        <w:iCs w:val="0"/>
        <w:spacing w:val="0"/>
        <w:w w:val="100"/>
        <w:sz w:val="22"/>
        <w:szCs w:val="22"/>
        <w:lang w:val="en-US" w:eastAsia="en-US" w:bidi="ar-SA"/>
      </w:rPr>
    </w:lvl>
    <w:lvl w:ilvl="2">
      <w:numFmt w:val="bullet"/>
      <w:lvlText w:val="-"/>
      <w:lvlJc w:val="left"/>
      <w:pPr>
        <w:ind w:left="684" w:hanging="567"/>
      </w:pPr>
      <w:rPr>
        <w:rFonts w:ascii="Times New Roman" w:eastAsia="Times New Roman" w:hAnsi="Times New Roman" w:cs="Times New Roman" w:hint="default"/>
        <w:b w:val="0"/>
        <w:bCs w:val="0"/>
        <w:i w:val="0"/>
        <w:iCs w:val="0"/>
        <w:spacing w:val="0"/>
        <w:w w:val="100"/>
        <w:sz w:val="22"/>
        <w:szCs w:val="22"/>
        <w:lang w:val="en-US" w:eastAsia="en-US" w:bidi="ar-SA"/>
      </w:rPr>
    </w:lvl>
    <w:lvl w:ilvl="3">
      <w:numFmt w:val="bullet"/>
      <w:lvlText w:val="•"/>
      <w:lvlJc w:val="left"/>
      <w:pPr>
        <w:ind w:left="3285" w:hanging="567"/>
      </w:pPr>
      <w:rPr>
        <w:lang w:val="en-US" w:eastAsia="en-US" w:bidi="ar-SA"/>
      </w:rPr>
    </w:lvl>
    <w:lvl w:ilvl="4">
      <w:numFmt w:val="bullet"/>
      <w:lvlText w:val="•"/>
      <w:lvlJc w:val="left"/>
      <w:pPr>
        <w:ind w:left="4154" w:hanging="567"/>
      </w:pPr>
      <w:rPr>
        <w:lang w:val="en-US" w:eastAsia="en-US" w:bidi="ar-SA"/>
      </w:rPr>
    </w:lvl>
    <w:lvl w:ilvl="5">
      <w:numFmt w:val="bullet"/>
      <w:lvlText w:val="•"/>
      <w:lvlJc w:val="left"/>
      <w:pPr>
        <w:ind w:left="5023" w:hanging="567"/>
      </w:pPr>
      <w:rPr>
        <w:lang w:val="en-US" w:eastAsia="en-US" w:bidi="ar-SA"/>
      </w:rPr>
    </w:lvl>
    <w:lvl w:ilvl="6">
      <w:numFmt w:val="bullet"/>
      <w:lvlText w:val="•"/>
      <w:lvlJc w:val="left"/>
      <w:pPr>
        <w:ind w:left="5891" w:hanging="567"/>
      </w:pPr>
      <w:rPr>
        <w:lang w:val="en-US" w:eastAsia="en-US" w:bidi="ar-SA"/>
      </w:rPr>
    </w:lvl>
    <w:lvl w:ilvl="7">
      <w:numFmt w:val="bullet"/>
      <w:lvlText w:val="•"/>
      <w:lvlJc w:val="left"/>
      <w:pPr>
        <w:ind w:left="6760" w:hanging="567"/>
      </w:pPr>
      <w:rPr>
        <w:lang w:val="en-US" w:eastAsia="en-US" w:bidi="ar-SA"/>
      </w:rPr>
    </w:lvl>
    <w:lvl w:ilvl="8">
      <w:numFmt w:val="bullet"/>
      <w:lvlText w:val="•"/>
      <w:lvlJc w:val="left"/>
      <w:pPr>
        <w:ind w:left="7629" w:hanging="567"/>
      </w:pPr>
      <w:rPr>
        <w:lang w:val="en-US" w:eastAsia="en-US" w:bidi="ar-SA"/>
      </w:rPr>
    </w:lvl>
  </w:abstractNum>
  <w:abstractNum w:abstractNumId="2"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4"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5"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16cid:durableId="184111885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36899580">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13050893">
    <w:abstractNumId w:val="5"/>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50789943">
    <w:abstractNumId w:val="2"/>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0541932">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58432049">
    <w:abstractNumId w:val="1"/>
    <w:lvlOverride w:ilvl="0">
      <w:startOverride w:val="1"/>
    </w:lvlOverride>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C6C"/>
    <w:rsid w:val="000259B9"/>
    <w:rsid w:val="00041491"/>
    <w:rsid w:val="00050D16"/>
    <w:rsid w:val="000730CA"/>
    <w:rsid w:val="00074F2A"/>
    <w:rsid w:val="000A1CA8"/>
    <w:rsid w:val="000A466B"/>
    <w:rsid w:val="000B058C"/>
    <w:rsid w:val="000D68B0"/>
    <w:rsid w:val="000E4EE6"/>
    <w:rsid w:val="001454E2"/>
    <w:rsid w:val="00206CE8"/>
    <w:rsid w:val="0021526C"/>
    <w:rsid w:val="00283A2B"/>
    <w:rsid w:val="002B30AD"/>
    <w:rsid w:val="002C1EC0"/>
    <w:rsid w:val="002C2C01"/>
    <w:rsid w:val="003A29AE"/>
    <w:rsid w:val="003A32D7"/>
    <w:rsid w:val="003B4074"/>
    <w:rsid w:val="003C769A"/>
    <w:rsid w:val="003D3A90"/>
    <w:rsid w:val="003F1838"/>
    <w:rsid w:val="004251C1"/>
    <w:rsid w:val="0045746C"/>
    <w:rsid w:val="0049104B"/>
    <w:rsid w:val="004B6B18"/>
    <w:rsid w:val="004E3B12"/>
    <w:rsid w:val="00532310"/>
    <w:rsid w:val="00565F0F"/>
    <w:rsid w:val="00594A86"/>
    <w:rsid w:val="00596D86"/>
    <w:rsid w:val="005B68A3"/>
    <w:rsid w:val="00633909"/>
    <w:rsid w:val="00637F5A"/>
    <w:rsid w:val="00641C65"/>
    <w:rsid w:val="00654D95"/>
    <w:rsid w:val="006560B1"/>
    <w:rsid w:val="006756DD"/>
    <w:rsid w:val="0071241E"/>
    <w:rsid w:val="00737275"/>
    <w:rsid w:val="00740EEC"/>
    <w:rsid w:val="0078011A"/>
    <w:rsid w:val="00782AF4"/>
    <w:rsid w:val="00790EE7"/>
    <w:rsid w:val="007B6649"/>
    <w:rsid w:val="0082576E"/>
    <w:rsid w:val="0089346F"/>
    <w:rsid w:val="00907F75"/>
    <w:rsid w:val="009260DE"/>
    <w:rsid w:val="0093258A"/>
    <w:rsid w:val="009C7BA3"/>
    <w:rsid w:val="009D1F5A"/>
    <w:rsid w:val="00A10294"/>
    <w:rsid w:val="00AD68D3"/>
    <w:rsid w:val="00B003BF"/>
    <w:rsid w:val="00B373D7"/>
    <w:rsid w:val="00B55271"/>
    <w:rsid w:val="00BD7931"/>
    <w:rsid w:val="00BF6243"/>
    <w:rsid w:val="00C36276"/>
    <w:rsid w:val="00C42586"/>
    <w:rsid w:val="00C45F6B"/>
    <w:rsid w:val="00C60CCD"/>
    <w:rsid w:val="00C84483"/>
    <w:rsid w:val="00C95551"/>
    <w:rsid w:val="00CB20D7"/>
    <w:rsid w:val="00D020B0"/>
    <w:rsid w:val="00D11748"/>
    <w:rsid w:val="00D237F6"/>
    <w:rsid w:val="00D34D98"/>
    <w:rsid w:val="00D366CF"/>
    <w:rsid w:val="00D93992"/>
    <w:rsid w:val="00E108AA"/>
    <w:rsid w:val="00E3749A"/>
    <w:rsid w:val="00E7437F"/>
    <w:rsid w:val="00E865B8"/>
    <w:rsid w:val="00E878CB"/>
    <w:rsid w:val="00EC0B9B"/>
    <w:rsid w:val="00ED5E9F"/>
    <w:rsid w:val="00F06C6C"/>
    <w:rsid w:val="00F66D4F"/>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17BE50"/>
  <w15:chartTrackingRefBased/>
  <w15:docId w15:val="{EFD94C0D-C04E-4576-8285-BE2BAAE8A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uiPriority w:val="99"/>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character" w:styleId="Hyperlink">
    <w:name w:val="Hyperlink"/>
    <w:basedOn w:val="Standardskrifttypeiafsnit"/>
    <w:uiPriority w:val="99"/>
    <w:unhideWhenUsed/>
    <w:rsid w:val="005B68A3"/>
    <w:rPr>
      <w:color w:val="0563C1" w:themeColor="hyperlink"/>
      <w:u w:val="single"/>
    </w:rPr>
  </w:style>
  <w:style w:type="character" w:styleId="Ulstomtale">
    <w:name w:val="Unresolved Mention"/>
    <w:basedOn w:val="Standardskrifttypeiafsnit"/>
    <w:uiPriority w:val="99"/>
    <w:semiHidden/>
    <w:unhideWhenUsed/>
    <w:rsid w:val="005B68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00556">
      <w:bodyDiv w:val="1"/>
      <w:marLeft w:val="0"/>
      <w:marRight w:val="0"/>
      <w:marTop w:val="0"/>
      <w:marBottom w:val="0"/>
      <w:divBdr>
        <w:top w:val="none" w:sz="0" w:space="0" w:color="auto"/>
        <w:left w:val="none" w:sz="0" w:space="0" w:color="auto"/>
        <w:bottom w:val="none" w:sz="0" w:space="0" w:color="auto"/>
        <w:right w:val="none" w:sz="0" w:space="0" w:color="auto"/>
      </w:divBdr>
    </w:div>
    <w:div w:id="84812453">
      <w:bodyDiv w:val="1"/>
      <w:marLeft w:val="0"/>
      <w:marRight w:val="0"/>
      <w:marTop w:val="0"/>
      <w:marBottom w:val="0"/>
      <w:divBdr>
        <w:top w:val="none" w:sz="0" w:space="0" w:color="auto"/>
        <w:left w:val="none" w:sz="0" w:space="0" w:color="auto"/>
        <w:bottom w:val="none" w:sz="0" w:space="0" w:color="auto"/>
        <w:right w:val="none" w:sz="0" w:space="0" w:color="auto"/>
      </w:divBdr>
    </w:div>
    <w:div w:id="148596718">
      <w:bodyDiv w:val="1"/>
      <w:marLeft w:val="0"/>
      <w:marRight w:val="0"/>
      <w:marTop w:val="0"/>
      <w:marBottom w:val="0"/>
      <w:divBdr>
        <w:top w:val="none" w:sz="0" w:space="0" w:color="auto"/>
        <w:left w:val="none" w:sz="0" w:space="0" w:color="auto"/>
        <w:bottom w:val="none" w:sz="0" w:space="0" w:color="auto"/>
        <w:right w:val="none" w:sz="0" w:space="0" w:color="auto"/>
      </w:divBdr>
    </w:div>
    <w:div w:id="166411739">
      <w:bodyDiv w:val="1"/>
      <w:marLeft w:val="0"/>
      <w:marRight w:val="0"/>
      <w:marTop w:val="0"/>
      <w:marBottom w:val="0"/>
      <w:divBdr>
        <w:top w:val="none" w:sz="0" w:space="0" w:color="auto"/>
        <w:left w:val="none" w:sz="0" w:space="0" w:color="auto"/>
        <w:bottom w:val="none" w:sz="0" w:space="0" w:color="auto"/>
        <w:right w:val="none" w:sz="0" w:space="0" w:color="auto"/>
      </w:divBdr>
    </w:div>
    <w:div w:id="177817903">
      <w:bodyDiv w:val="1"/>
      <w:marLeft w:val="0"/>
      <w:marRight w:val="0"/>
      <w:marTop w:val="0"/>
      <w:marBottom w:val="0"/>
      <w:divBdr>
        <w:top w:val="none" w:sz="0" w:space="0" w:color="auto"/>
        <w:left w:val="none" w:sz="0" w:space="0" w:color="auto"/>
        <w:bottom w:val="none" w:sz="0" w:space="0" w:color="auto"/>
        <w:right w:val="none" w:sz="0" w:space="0" w:color="auto"/>
      </w:divBdr>
    </w:div>
    <w:div w:id="205728574">
      <w:bodyDiv w:val="1"/>
      <w:marLeft w:val="0"/>
      <w:marRight w:val="0"/>
      <w:marTop w:val="0"/>
      <w:marBottom w:val="0"/>
      <w:divBdr>
        <w:top w:val="none" w:sz="0" w:space="0" w:color="auto"/>
        <w:left w:val="none" w:sz="0" w:space="0" w:color="auto"/>
        <w:bottom w:val="none" w:sz="0" w:space="0" w:color="auto"/>
        <w:right w:val="none" w:sz="0" w:space="0" w:color="auto"/>
      </w:divBdr>
    </w:div>
    <w:div w:id="296226245">
      <w:bodyDiv w:val="1"/>
      <w:marLeft w:val="0"/>
      <w:marRight w:val="0"/>
      <w:marTop w:val="0"/>
      <w:marBottom w:val="0"/>
      <w:divBdr>
        <w:top w:val="none" w:sz="0" w:space="0" w:color="auto"/>
        <w:left w:val="none" w:sz="0" w:space="0" w:color="auto"/>
        <w:bottom w:val="none" w:sz="0" w:space="0" w:color="auto"/>
        <w:right w:val="none" w:sz="0" w:space="0" w:color="auto"/>
      </w:divBdr>
    </w:div>
    <w:div w:id="423571615">
      <w:bodyDiv w:val="1"/>
      <w:marLeft w:val="0"/>
      <w:marRight w:val="0"/>
      <w:marTop w:val="0"/>
      <w:marBottom w:val="0"/>
      <w:divBdr>
        <w:top w:val="none" w:sz="0" w:space="0" w:color="auto"/>
        <w:left w:val="none" w:sz="0" w:space="0" w:color="auto"/>
        <w:bottom w:val="none" w:sz="0" w:space="0" w:color="auto"/>
        <w:right w:val="none" w:sz="0" w:space="0" w:color="auto"/>
      </w:divBdr>
    </w:div>
    <w:div w:id="473521867">
      <w:bodyDiv w:val="1"/>
      <w:marLeft w:val="0"/>
      <w:marRight w:val="0"/>
      <w:marTop w:val="0"/>
      <w:marBottom w:val="0"/>
      <w:divBdr>
        <w:top w:val="none" w:sz="0" w:space="0" w:color="auto"/>
        <w:left w:val="none" w:sz="0" w:space="0" w:color="auto"/>
        <w:bottom w:val="none" w:sz="0" w:space="0" w:color="auto"/>
        <w:right w:val="none" w:sz="0" w:space="0" w:color="auto"/>
      </w:divBdr>
    </w:div>
    <w:div w:id="502547918">
      <w:bodyDiv w:val="1"/>
      <w:marLeft w:val="0"/>
      <w:marRight w:val="0"/>
      <w:marTop w:val="0"/>
      <w:marBottom w:val="0"/>
      <w:divBdr>
        <w:top w:val="none" w:sz="0" w:space="0" w:color="auto"/>
        <w:left w:val="none" w:sz="0" w:space="0" w:color="auto"/>
        <w:bottom w:val="none" w:sz="0" w:space="0" w:color="auto"/>
        <w:right w:val="none" w:sz="0" w:space="0" w:color="auto"/>
      </w:divBdr>
    </w:div>
    <w:div w:id="651178901">
      <w:bodyDiv w:val="1"/>
      <w:marLeft w:val="0"/>
      <w:marRight w:val="0"/>
      <w:marTop w:val="0"/>
      <w:marBottom w:val="0"/>
      <w:divBdr>
        <w:top w:val="none" w:sz="0" w:space="0" w:color="auto"/>
        <w:left w:val="none" w:sz="0" w:space="0" w:color="auto"/>
        <w:bottom w:val="none" w:sz="0" w:space="0" w:color="auto"/>
        <w:right w:val="none" w:sz="0" w:space="0" w:color="auto"/>
      </w:divBdr>
    </w:div>
    <w:div w:id="738792769">
      <w:bodyDiv w:val="1"/>
      <w:marLeft w:val="0"/>
      <w:marRight w:val="0"/>
      <w:marTop w:val="0"/>
      <w:marBottom w:val="0"/>
      <w:divBdr>
        <w:top w:val="none" w:sz="0" w:space="0" w:color="auto"/>
        <w:left w:val="none" w:sz="0" w:space="0" w:color="auto"/>
        <w:bottom w:val="none" w:sz="0" w:space="0" w:color="auto"/>
        <w:right w:val="none" w:sz="0" w:space="0" w:color="auto"/>
      </w:divBdr>
    </w:div>
    <w:div w:id="789475891">
      <w:bodyDiv w:val="1"/>
      <w:marLeft w:val="0"/>
      <w:marRight w:val="0"/>
      <w:marTop w:val="0"/>
      <w:marBottom w:val="0"/>
      <w:divBdr>
        <w:top w:val="none" w:sz="0" w:space="0" w:color="auto"/>
        <w:left w:val="none" w:sz="0" w:space="0" w:color="auto"/>
        <w:bottom w:val="none" w:sz="0" w:space="0" w:color="auto"/>
        <w:right w:val="none" w:sz="0" w:space="0" w:color="auto"/>
      </w:divBdr>
    </w:div>
    <w:div w:id="790444404">
      <w:bodyDiv w:val="1"/>
      <w:marLeft w:val="0"/>
      <w:marRight w:val="0"/>
      <w:marTop w:val="0"/>
      <w:marBottom w:val="0"/>
      <w:divBdr>
        <w:top w:val="none" w:sz="0" w:space="0" w:color="auto"/>
        <w:left w:val="none" w:sz="0" w:space="0" w:color="auto"/>
        <w:bottom w:val="none" w:sz="0" w:space="0" w:color="auto"/>
        <w:right w:val="none" w:sz="0" w:space="0" w:color="auto"/>
      </w:divBdr>
    </w:div>
    <w:div w:id="811757300">
      <w:bodyDiv w:val="1"/>
      <w:marLeft w:val="0"/>
      <w:marRight w:val="0"/>
      <w:marTop w:val="0"/>
      <w:marBottom w:val="0"/>
      <w:divBdr>
        <w:top w:val="none" w:sz="0" w:space="0" w:color="auto"/>
        <w:left w:val="none" w:sz="0" w:space="0" w:color="auto"/>
        <w:bottom w:val="none" w:sz="0" w:space="0" w:color="auto"/>
        <w:right w:val="none" w:sz="0" w:space="0" w:color="auto"/>
      </w:divBdr>
    </w:div>
    <w:div w:id="880440054">
      <w:bodyDiv w:val="1"/>
      <w:marLeft w:val="0"/>
      <w:marRight w:val="0"/>
      <w:marTop w:val="0"/>
      <w:marBottom w:val="0"/>
      <w:divBdr>
        <w:top w:val="none" w:sz="0" w:space="0" w:color="auto"/>
        <w:left w:val="none" w:sz="0" w:space="0" w:color="auto"/>
        <w:bottom w:val="none" w:sz="0" w:space="0" w:color="auto"/>
        <w:right w:val="none" w:sz="0" w:space="0" w:color="auto"/>
      </w:divBdr>
    </w:div>
    <w:div w:id="1003703633">
      <w:bodyDiv w:val="1"/>
      <w:marLeft w:val="0"/>
      <w:marRight w:val="0"/>
      <w:marTop w:val="0"/>
      <w:marBottom w:val="0"/>
      <w:divBdr>
        <w:top w:val="none" w:sz="0" w:space="0" w:color="auto"/>
        <w:left w:val="none" w:sz="0" w:space="0" w:color="auto"/>
        <w:bottom w:val="none" w:sz="0" w:space="0" w:color="auto"/>
        <w:right w:val="none" w:sz="0" w:space="0" w:color="auto"/>
      </w:divBdr>
    </w:div>
    <w:div w:id="1120346455">
      <w:bodyDiv w:val="1"/>
      <w:marLeft w:val="0"/>
      <w:marRight w:val="0"/>
      <w:marTop w:val="0"/>
      <w:marBottom w:val="0"/>
      <w:divBdr>
        <w:top w:val="none" w:sz="0" w:space="0" w:color="auto"/>
        <w:left w:val="none" w:sz="0" w:space="0" w:color="auto"/>
        <w:bottom w:val="none" w:sz="0" w:space="0" w:color="auto"/>
        <w:right w:val="none" w:sz="0" w:space="0" w:color="auto"/>
      </w:divBdr>
    </w:div>
    <w:div w:id="1217542760">
      <w:bodyDiv w:val="1"/>
      <w:marLeft w:val="0"/>
      <w:marRight w:val="0"/>
      <w:marTop w:val="0"/>
      <w:marBottom w:val="0"/>
      <w:divBdr>
        <w:top w:val="none" w:sz="0" w:space="0" w:color="auto"/>
        <w:left w:val="none" w:sz="0" w:space="0" w:color="auto"/>
        <w:bottom w:val="none" w:sz="0" w:space="0" w:color="auto"/>
        <w:right w:val="none" w:sz="0" w:space="0" w:color="auto"/>
      </w:divBdr>
    </w:div>
    <w:div w:id="1295023102">
      <w:bodyDiv w:val="1"/>
      <w:marLeft w:val="0"/>
      <w:marRight w:val="0"/>
      <w:marTop w:val="0"/>
      <w:marBottom w:val="0"/>
      <w:divBdr>
        <w:top w:val="none" w:sz="0" w:space="0" w:color="auto"/>
        <w:left w:val="none" w:sz="0" w:space="0" w:color="auto"/>
        <w:bottom w:val="none" w:sz="0" w:space="0" w:color="auto"/>
        <w:right w:val="none" w:sz="0" w:space="0" w:color="auto"/>
      </w:divBdr>
    </w:div>
    <w:div w:id="1321352939">
      <w:bodyDiv w:val="1"/>
      <w:marLeft w:val="0"/>
      <w:marRight w:val="0"/>
      <w:marTop w:val="0"/>
      <w:marBottom w:val="0"/>
      <w:divBdr>
        <w:top w:val="none" w:sz="0" w:space="0" w:color="auto"/>
        <w:left w:val="none" w:sz="0" w:space="0" w:color="auto"/>
        <w:bottom w:val="none" w:sz="0" w:space="0" w:color="auto"/>
        <w:right w:val="none" w:sz="0" w:space="0" w:color="auto"/>
      </w:divBdr>
    </w:div>
    <w:div w:id="1330324741">
      <w:bodyDiv w:val="1"/>
      <w:marLeft w:val="0"/>
      <w:marRight w:val="0"/>
      <w:marTop w:val="0"/>
      <w:marBottom w:val="0"/>
      <w:divBdr>
        <w:top w:val="none" w:sz="0" w:space="0" w:color="auto"/>
        <w:left w:val="none" w:sz="0" w:space="0" w:color="auto"/>
        <w:bottom w:val="none" w:sz="0" w:space="0" w:color="auto"/>
        <w:right w:val="none" w:sz="0" w:space="0" w:color="auto"/>
      </w:divBdr>
    </w:div>
    <w:div w:id="1357273694">
      <w:bodyDiv w:val="1"/>
      <w:marLeft w:val="0"/>
      <w:marRight w:val="0"/>
      <w:marTop w:val="0"/>
      <w:marBottom w:val="0"/>
      <w:divBdr>
        <w:top w:val="none" w:sz="0" w:space="0" w:color="auto"/>
        <w:left w:val="none" w:sz="0" w:space="0" w:color="auto"/>
        <w:bottom w:val="none" w:sz="0" w:space="0" w:color="auto"/>
        <w:right w:val="none" w:sz="0" w:space="0" w:color="auto"/>
      </w:divBdr>
    </w:div>
    <w:div w:id="1366561494">
      <w:bodyDiv w:val="1"/>
      <w:marLeft w:val="0"/>
      <w:marRight w:val="0"/>
      <w:marTop w:val="0"/>
      <w:marBottom w:val="0"/>
      <w:divBdr>
        <w:top w:val="none" w:sz="0" w:space="0" w:color="auto"/>
        <w:left w:val="none" w:sz="0" w:space="0" w:color="auto"/>
        <w:bottom w:val="none" w:sz="0" w:space="0" w:color="auto"/>
        <w:right w:val="none" w:sz="0" w:space="0" w:color="auto"/>
      </w:divBdr>
    </w:div>
    <w:div w:id="1401293746">
      <w:bodyDiv w:val="1"/>
      <w:marLeft w:val="0"/>
      <w:marRight w:val="0"/>
      <w:marTop w:val="0"/>
      <w:marBottom w:val="0"/>
      <w:divBdr>
        <w:top w:val="none" w:sz="0" w:space="0" w:color="auto"/>
        <w:left w:val="none" w:sz="0" w:space="0" w:color="auto"/>
        <w:bottom w:val="none" w:sz="0" w:space="0" w:color="auto"/>
        <w:right w:val="none" w:sz="0" w:space="0" w:color="auto"/>
      </w:divBdr>
    </w:div>
    <w:div w:id="1406489454">
      <w:bodyDiv w:val="1"/>
      <w:marLeft w:val="0"/>
      <w:marRight w:val="0"/>
      <w:marTop w:val="0"/>
      <w:marBottom w:val="0"/>
      <w:divBdr>
        <w:top w:val="none" w:sz="0" w:space="0" w:color="auto"/>
        <w:left w:val="none" w:sz="0" w:space="0" w:color="auto"/>
        <w:bottom w:val="none" w:sz="0" w:space="0" w:color="auto"/>
        <w:right w:val="none" w:sz="0" w:space="0" w:color="auto"/>
      </w:divBdr>
    </w:div>
    <w:div w:id="1650398775">
      <w:bodyDiv w:val="1"/>
      <w:marLeft w:val="0"/>
      <w:marRight w:val="0"/>
      <w:marTop w:val="0"/>
      <w:marBottom w:val="0"/>
      <w:divBdr>
        <w:top w:val="none" w:sz="0" w:space="0" w:color="auto"/>
        <w:left w:val="none" w:sz="0" w:space="0" w:color="auto"/>
        <w:bottom w:val="none" w:sz="0" w:space="0" w:color="auto"/>
        <w:right w:val="none" w:sz="0" w:space="0" w:color="auto"/>
      </w:divBdr>
    </w:div>
    <w:div w:id="1683166131">
      <w:bodyDiv w:val="1"/>
      <w:marLeft w:val="0"/>
      <w:marRight w:val="0"/>
      <w:marTop w:val="0"/>
      <w:marBottom w:val="0"/>
      <w:divBdr>
        <w:top w:val="none" w:sz="0" w:space="0" w:color="auto"/>
        <w:left w:val="none" w:sz="0" w:space="0" w:color="auto"/>
        <w:bottom w:val="none" w:sz="0" w:space="0" w:color="auto"/>
        <w:right w:val="none" w:sz="0" w:space="0" w:color="auto"/>
      </w:divBdr>
    </w:div>
    <w:div w:id="1749501001">
      <w:bodyDiv w:val="1"/>
      <w:marLeft w:val="0"/>
      <w:marRight w:val="0"/>
      <w:marTop w:val="0"/>
      <w:marBottom w:val="0"/>
      <w:divBdr>
        <w:top w:val="none" w:sz="0" w:space="0" w:color="auto"/>
        <w:left w:val="none" w:sz="0" w:space="0" w:color="auto"/>
        <w:bottom w:val="none" w:sz="0" w:space="0" w:color="auto"/>
        <w:right w:val="none" w:sz="0" w:space="0" w:color="auto"/>
      </w:divBdr>
    </w:div>
    <w:div w:id="1778015016">
      <w:bodyDiv w:val="1"/>
      <w:marLeft w:val="0"/>
      <w:marRight w:val="0"/>
      <w:marTop w:val="0"/>
      <w:marBottom w:val="0"/>
      <w:divBdr>
        <w:top w:val="none" w:sz="0" w:space="0" w:color="auto"/>
        <w:left w:val="none" w:sz="0" w:space="0" w:color="auto"/>
        <w:bottom w:val="none" w:sz="0" w:space="0" w:color="auto"/>
        <w:right w:val="none" w:sz="0" w:space="0" w:color="auto"/>
      </w:divBdr>
    </w:div>
    <w:div w:id="1809126022">
      <w:bodyDiv w:val="1"/>
      <w:marLeft w:val="0"/>
      <w:marRight w:val="0"/>
      <w:marTop w:val="0"/>
      <w:marBottom w:val="0"/>
      <w:divBdr>
        <w:top w:val="none" w:sz="0" w:space="0" w:color="auto"/>
        <w:left w:val="none" w:sz="0" w:space="0" w:color="auto"/>
        <w:bottom w:val="none" w:sz="0" w:space="0" w:color="auto"/>
        <w:right w:val="none" w:sz="0" w:space="0" w:color="auto"/>
      </w:divBdr>
    </w:div>
    <w:div w:id="1818841734">
      <w:bodyDiv w:val="1"/>
      <w:marLeft w:val="0"/>
      <w:marRight w:val="0"/>
      <w:marTop w:val="0"/>
      <w:marBottom w:val="0"/>
      <w:divBdr>
        <w:top w:val="none" w:sz="0" w:space="0" w:color="auto"/>
        <w:left w:val="none" w:sz="0" w:space="0" w:color="auto"/>
        <w:bottom w:val="none" w:sz="0" w:space="0" w:color="auto"/>
        <w:right w:val="none" w:sz="0" w:space="0" w:color="auto"/>
      </w:divBdr>
    </w:div>
    <w:div w:id="1821993550">
      <w:bodyDiv w:val="1"/>
      <w:marLeft w:val="0"/>
      <w:marRight w:val="0"/>
      <w:marTop w:val="0"/>
      <w:marBottom w:val="0"/>
      <w:divBdr>
        <w:top w:val="none" w:sz="0" w:space="0" w:color="auto"/>
        <w:left w:val="none" w:sz="0" w:space="0" w:color="auto"/>
        <w:bottom w:val="none" w:sz="0" w:space="0" w:color="auto"/>
        <w:right w:val="none" w:sz="0" w:space="0" w:color="auto"/>
      </w:divBdr>
    </w:div>
    <w:div w:id="1857188858">
      <w:bodyDiv w:val="1"/>
      <w:marLeft w:val="0"/>
      <w:marRight w:val="0"/>
      <w:marTop w:val="0"/>
      <w:marBottom w:val="0"/>
      <w:divBdr>
        <w:top w:val="none" w:sz="0" w:space="0" w:color="auto"/>
        <w:left w:val="none" w:sz="0" w:space="0" w:color="auto"/>
        <w:bottom w:val="none" w:sz="0" w:space="0" w:color="auto"/>
        <w:right w:val="none" w:sz="0" w:space="0" w:color="auto"/>
      </w:divBdr>
    </w:div>
    <w:div w:id="1883976733">
      <w:bodyDiv w:val="1"/>
      <w:marLeft w:val="0"/>
      <w:marRight w:val="0"/>
      <w:marTop w:val="0"/>
      <w:marBottom w:val="0"/>
      <w:divBdr>
        <w:top w:val="none" w:sz="0" w:space="0" w:color="auto"/>
        <w:left w:val="none" w:sz="0" w:space="0" w:color="auto"/>
        <w:bottom w:val="none" w:sz="0" w:space="0" w:color="auto"/>
        <w:right w:val="none" w:sz="0" w:space="0" w:color="auto"/>
      </w:divBdr>
    </w:div>
    <w:div w:id="1896038174">
      <w:bodyDiv w:val="1"/>
      <w:marLeft w:val="0"/>
      <w:marRight w:val="0"/>
      <w:marTop w:val="0"/>
      <w:marBottom w:val="0"/>
      <w:divBdr>
        <w:top w:val="none" w:sz="0" w:space="0" w:color="auto"/>
        <w:left w:val="none" w:sz="0" w:space="0" w:color="auto"/>
        <w:bottom w:val="none" w:sz="0" w:space="0" w:color="auto"/>
        <w:right w:val="none" w:sz="0" w:space="0" w:color="auto"/>
      </w:divBdr>
    </w:div>
    <w:div w:id="1916476825">
      <w:bodyDiv w:val="1"/>
      <w:marLeft w:val="0"/>
      <w:marRight w:val="0"/>
      <w:marTop w:val="0"/>
      <w:marBottom w:val="0"/>
      <w:divBdr>
        <w:top w:val="none" w:sz="0" w:space="0" w:color="auto"/>
        <w:left w:val="none" w:sz="0" w:space="0" w:color="auto"/>
        <w:bottom w:val="none" w:sz="0" w:space="0" w:color="auto"/>
        <w:right w:val="none" w:sz="0" w:space="0" w:color="auto"/>
      </w:divBdr>
    </w:div>
    <w:div w:id="2066219546">
      <w:bodyDiv w:val="1"/>
      <w:marLeft w:val="0"/>
      <w:marRight w:val="0"/>
      <w:marTop w:val="0"/>
      <w:marBottom w:val="0"/>
      <w:divBdr>
        <w:top w:val="none" w:sz="0" w:space="0" w:color="auto"/>
        <w:left w:val="none" w:sz="0" w:space="0" w:color="auto"/>
        <w:bottom w:val="none" w:sz="0" w:space="0" w:color="auto"/>
        <w:right w:val="none" w:sz="0" w:space="0" w:color="auto"/>
      </w:divBdr>
    </w:div>
    <w:div w:id="2074160102">
      <w:bodyDiv w:val="1"/>
      <w:marLeft w:val="0"/>
      <w:marRight w:val="0"/>
      <w:marTop w:val="0"/>
      <w:marBottom w:val="0"/>
      <w:divBdr>
        <w:top w:val="none" w:sz="0" w:space="0" w:color="auto"/>
        <w:left w:val="none" w:sz="0" w:space="0" w:color="auto"/>
        <w:bottom w:val="none" w:sz="0" w:space="0" w:color="auto"/>
        <w:right w:val="none" w:sz="0" w:space="0" w:color="auto"/>
      </w:divBdr>
    </w:div>
    <w:div w:id="2110350780">
      <w:bodyDiv w:val="1"/>
      <w:marLeft w:val="0"/>
      <w:marRight w:val="0"/>
      <w:marTop w:val="0"/>
      <w:marBottom w:val="0"/>
      <w:divBdr>
        <w:top w:val="none" w:sz="0" w:space="0" w:color="auto"/>
        <w:left w:val="none" w:sz="0" w:space="0" w:color="auto"/>
        <w:bottom w:val="none" w:sz="0" w:space="0" w:color="auto"/>
        <w:right w:val="none" w:sz="0" w:space="0" w:color="auto"/>
      </w:divBdr>
    </w:div>
    <w:div w:id="2113429764">
      <w:bodyDiv w:val="1"/>
      <w:marLeft w:val="0"/>
      <w:marRight w:val="0"/>
      <w:marTop w:val="0"/>
      <w:marBottom w:val="0"/>
      <w:divBdr>
        <w:top w:val="none" w:sz="0" w:space="0" w:color="auto"/>
        <w:left w:val="none" w:sz="0" w:space="0" w:color="auto"/>
        <w:bottom w:val="none" w:sz="0" w:space="0" w:color="auto"/>
        <w:right w:val="none" w:sz="0" w:space="0" w:color="auto"/>
      </w:divBdr>
    </w:div>
    <w:div w:id="2122843240">
      <w:bodyDiv w:val="1"/>
      <w:marLeft w:val="0"/>
      <w:marRight w:val="0"/>
      <w:marTop w:val="0"/>
      <w:marBottom w:val="0"/>
      <w:divBdr>
        <w:top w:val="none" w:sz="0" w:space="0" w:color="auto"/>
        <w:left w:val="none" w:sz="0" w:space="0" w:color="auto"/>
        <w:bottom w:val="none" w:sz="0" w:space="0" w:color="auto"/>
        <w:right w:val="none" w:sz="0" w:space="0" w:color="auto"/>
      </w:divBdr>
    </w:div>
    <w:div w:id="2142452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Template>
  <TotalTime>15</TotalTime>
  <Pages>12</Pages>
  <Words>3205</Words>
  <Characters>21369</Characters>
  <Application>Microsoft Office Word</Application>
  <DocSecurity>0</DocSecurity>
  <Lines>178</Lines>
  <Paragraphs>49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 Thy Iversen</dc:creator>
  <cp:keywords/>
  <dc:description>2025121628 mt</dc:description>
  <cp:lastModifiedBy>Hanne Thy Iversen</cp:lastModifiedBy>
  <cp:revision>4</cp:revision>
  <cp:lastPrinted>2012-08-22T08:53:00Z</cp:lastPrinted>
  <dcterms:created xsi:type="dcterms:W3CDTF">2026-09-07T08:43:00Z</dcterms:created>
  <dcterms:modified xsi:type="dcterms:W3CDTF">2026-09-07T09:29:00Z</dcterms:modified>
</cp:coreProperties>
</file>