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5AA" w:rsidRPr="00C84483" w:rsidRDefault="00BA65AA" w:rsidP="0052650D">
      <w:pPr>
        <w:rPr>
          <w:b/>
          <w:szCs w:val="24"/>
        </w:rPr>
      </w:pPr>
      <w:r w:rsidRPr="009260DE">
        <w:rPr>
          <w:noProof/>
          <w:sz w:val="24"/>
          <w:szCs w:val="24"/>
          <w:lang w:eastAsia="da-DK"/>
        </w:rPr>
        <w:drawing>
          <wp:anchor distT="0" distB="0" distL="114300" distR="114300" simplePos="0" relativeHeight="251659264" behindDoc="0" locked="0" layoutInCell="1" allowOverlap="1" wp14:anchorId="52D9F400" wp14:editId="0E728A0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BA65AA" w:rsidRPr="00C84483" w:rsidRDefault="00BA65AA" w:rsidP="00BA65AA">
      <w:pPr>
        <w:pStyle w:val="Titel"/>
        <w:tabs>
          <w:tab w:val="right" w:pos="9356"/>
        </w:tabs>
        <w:jc w:val="left"/>
        <w:rPr>
          <w:b w:val="0"/>
          <w:szCs w:val="24"/>
          <w:lang w:eastAsia="en-US"/>
        </w:rPr>
      </w:pPr>
      <w:r w:rsidRPr="00C84483">
        <w:rPr>
          <w:b w:val="0"/>
          <w:szCs w:val="24"/>
          <w:lang w:eastAsia="en-US"/>
        </w:rPr>
        <w:tab/>
      </w:r>
      <w:r w:rsidR="004D557A">
        <w:rPr>
          <w:szCs w:val="24"/>
        </w:rPr>
        <w:t>10. august 2023</w:t>
      </w:r>
    </w:p>
    <w:p w:rsidR="00BA65AA" w:rsidRPr="00C84483" w:rsidRDefault="00BA65AA" w:rsidP="00BA65AA">
      <w:pPr>
        <w:pStyle w:val="Titel"/>
        <w:tabs>
          <w:tab w:val="left" w:pos="8222"/>
        </w:tabs>
        <w:jc w:val="left"/>
        <w:rPr>
          <w:b w:val="0"/>
          <w:szCs w:val="24"/>
        </w:rPr>
      </w:pPr>
    </w:p>
    <w:p w:rsidR="00BA65AA" w:rsidRPr="00C84483" w:rsidRDefault="00BA65AA" w:rsidP="00BA65AA">
      <w:pPr>
        <w:pStyle w:val="Titel"/>
        <w:jc w:val="left"/>
        <w:rPr>
          <w:b w:val="0"/>
          <w:szCs w:val="24"/>
        </w:rPr>
      </w:pPr>
    </w:p>
    <w:p w:rsidR="00BA65AA" w:rsidRPr="00C84483" w:rsidRDefault="00BA65AA" w:rsidP="00BA65AA">
      <w:pPr>
        <w:pStyle w:val="Titel"/>
        <w:jc w:val="left"/>
        <w:rPr>
          <w:b w:val="0"/>
          <w:szCs w:val="24"/>
        </w:rPr>
      </w:pPr>
    </w:p>
    <w:p w:rsidR="00BA65AA" w:rsidRPr="00C84483" w:rsidRDefault="00BA65AA" w:rsidP="00BA65AA">
      <w:pPr>
        <w:jc w:val="center"/>
        <w:rPr>
          <w:b/>
          <w:sz w:val="24"/>
          <w:szCs w:val="24"/>
        </w:rPr>
      </w:pPr>
      <w:r w:rsidRPr="00C84483">
        <w:rPr>
          <w:b/>
          <w:sz w:val="24"/>
          <w:szCs w:val="24"/>
        </w:rPr>
        <w:t>PRODUKTRESUMÉ</w:t>
      </w:r>
    </w:p>
    <w:p w:rsidR="00BA65AA" w:rsidRPr="00C84483" w:rsidRDefault="00BA65AA" w:rsidP="00BA65AA">
      <w:pPr>
        <w:jc w:val="center"/>
        <w:rPr>
          <w:b/>
          <w:sz w:val="24"/>
          <w:szCs w:val="24"/>
        </w:rPr>
      </w:pPr>
    </w:p>
    <w:p w:rsidR="00BA65AA" w:rsidRDefault="00BA65AA" w:rsidP="00BA65AA">
      <w:pPr>
        <w:jc w:val="center"/>
        <w:rPr>
          <w:b/>
          <w:sz w:val="24"/>
          <w:szCs w:val="24"/>
        </w:rPr>
      </w:pPr>
      <w:r w:rsidRPr="00C84483">
        <w:rPr>
          <w:b/>
          <w:sz w:val="24"/>
          <w:szCs w:val="24"/>
        </w:rPr>
        <w:t>for</w:t>
      </w:r>
    </w:p>
    <w:p w:rsidR="00BA65AA" w:rsidRPr="00C84483" w:rsidRDefault="00BA65AA" w:rsidP="00BA65AA">
      <w:pPr>
        <w:jc w:val="center"/>
        <w:rPr>
          <w:b/>
          <w:sz w:val="24"/>
          <w:szCs w:val="24"/>
        </w:rPr>
      </w:pPr>
    </w:p>
    <w:p w:rsidR="00BA65AA" w:rsidRPr="00C84483" w:rsidRDefault="00BA65AA" w:rsidP="00BA65AA">
      <w:pPr>
        <w:jc w:val="center"/>
        <w:rPr>
          <w:b/>
          <w:sz w:val="24"/>
          <w:szCs w:val="24"/>
        </w:rPr>
      </w:pPr>
      <w:proofErr w:type="spellStart"/>
      <w:r>
        <w:rPr>
          <w:b/>
          <w:sz w:val="24"/>
          <w:szCs w:val="24"/>
        </w:rPr>
        <w:t>Vinorelbin</w:t>
      </w:r>
      <w:proofErr w:type="spellEnd"/>
      <w:r>
        <w:rPr>
          <w:b/>
          <w:sz w:val="24"/>
          <w:szCs w:val="24"/>
        </w:rPr>
        <w:t xml:space="preserve"> "</w:t>
      </w:r>
      <w:proofErr w:type="spellStart"/>
      <w:r>
        <w:rPr>
          <w:b/>
          <w:sz w:val="24"/>
          <w:szCs w:val="24"/>
        </w:rPr>
        <w:t>Accord</w:t>
      </w:r>
      <w:proofErr w:type="spellEnd"/>
      <w:r>
        <w:rPr>
          <w:b/>
          <w:sz w:val="24"/>
          <w:szCs w:val="24"/>
        </w:rPr>
        <w:t>", koncentrat til infusionsvæske, opløsning</w:t>
      </w:r>
    </w:p>
    <w:p w:rsidR="00BA65AA" w:rsidRPr="00C84483" w:rsidRDefault="00BA65AA" w:rsidP="00BA65AA">
      <w:pPr>
        <w:jc w:val="both"/>
        <w:rPr>
          <w:sz w:val="24"/>
          <w:szCs w:val="24"/>
        </w:rPr>
      </w:pPr>
    </w:p>
    <w:p w:rsidR="00BA65AA" w:rsidRPr="00C84483" w:rsidRDefault="00BA65AA" w:rsidP="00BA65AA">
      <w:pPr>
        <w:jc w:val="both"/>
        <w:rPr>
          <w:sz w:val="24"/>
          <w:szCs w:val="24"/>
        </w:rPr>
      </w:pPr>
    </w:p>
    <w:p w:rsidR="00BA65AA" w:rsidRPr="00C84483" w:rsidRDefault="00BA65AA" w:rsidP="00BA65AA">
      <w:pPr>
        <w:tabs>
          <w:tab w:val="left" w:pos="851"/>
        </w:tabs>
        <w:ind w:left="851" w:hanging="851"/>
        <w:rPr>
          <w:b/>
          <w:sz w:val="24"/>
          <w:szCs w:val="24"/>
        </w:rPr>
      </w:pPr>
      <w:r w:rsidRPr="00C84483">
        <w:rPr>
          <w:b/>
          <w:sz w:val="24"/>
          <w:szCs w:val="24"/>
        </w:rPr>
        <w:t>0.</w:t>
      </w:r>
      <w:r w:rsidRPr="00C84483">
        <w:rPr>
          <w:b/>
          <w:sz w:val="24"/>
          <w:szCs w:val="24"/>
        </w:rPr>
        <w:tab/>
        <w:t>D.SP.NR.</w:t>
      </w:r>
    </w:p>
    <w:p w:rsidR="00BA65AA" w:rsidRPr="00C84483" w:rsidRDefault="00BA65AA" w:rsidP="00BA65AA">
      <w:pPr>
        <w:tabs>
          <w:tab w:val="left" w:pos="851"/>
        </w:tabs>
        <w:ind w:left="851"/>
        <w:rPr>
          <w:sz w:val="24"/>
          <w:szCs w:val="24"/>
        </w:rPr>
      </w:pPr>
      <w:r>
        <w:rPr>
          <w:sz w:val="24"/>
          <w:szCs w:val="24"/>
        </w:rPr>
        <w:t>30287</w:t>
      </w:r>
    </w:p>
    <w:p w:rsidR="00BA65AA" w:rsidRPr="00C84483" w:rsidRDefault="00BA65AA" w:rsidP="00BA65AA">
      <w:pPr>
        <w:tabs>
          <w:tab w:val="left" w:pos="851"/>
        </w:tabs>
        <w:ind w:left="851"/>
        <w:rPr>
          <w:sz w:val="24"/>
          <w:szCs w:val="24"/>
        </w:rPr>
      </w:pPr>
    </w:p>
    <w:p w:rsidR="00BA65AA" w:rsidRPr="00C84483" w:rsidRDefault="00BA65AA" w:rsidP="00BA65AA">
      <w:pPr>
        <w:tabs>
          <w:tab w:val="left" w:pos="851"/>
        </w:tabs>
        <w:ind w:left="851" w:hanging="851"/>
        <w:rPr>
          <w:b/>
          <w:sz w:val="24"/>
          <w:szCs w:val="24"/>
        </w:rPr>
      </w:pPr>
      <w:r w:rsidRPr="00C84483">
        <w:rPr>
          <w:b/>
          <w:sz w:val="24"/>
          <w:szCs w:val="24"/>
        </w:rPr>
        <w:t>1.</w:t>
      </w:r>
      <w:r w:rsidRPr="00C84483">
        <w:rPr>
          <w:b/>
          <w:sz w:val="24"/>
          <w:szCs w:val="24"/>
        </w:rPr>
        <w:tab/>
        <w:t>LÆGEMIDLETS NAVN</w:t>
      </w:r>
    </w:p>
    <w:p w:rsidR="00BA65AA" w:rsidRPr="00C84483" w:rsidRDefault="00BA65AA" w:rsidP="00BA65AA">
      <w:pPr>
        <w:tabs>
          <w:tab w:val="left" w:pos="851"/>
        </w:tabs>
        <w:ind w:left="851"/>
        <w:rPr>
          <w:sz w:val="24"/>
          <w:szCs w:val="24"/>
        </w:rPr>
      </w:pPr>
      <w:proofErr w:type="spellStart"/>
      <w:r>
        <w:rPr>
          <w:sz w:val="24"/>
          <w:szCs w:val="24"/>
        </w:rPr>
        <w:t>Vinorelbin</w:t>
      </w:r>
      <w:proofErr w:type="spellEnd"/>
      <w:r>
        <w:rPr>
          <w:sz w:val="24"/>
          <w:szCs w:val="24"/>
        </w:rPr>
        <w:t xml:space="preserve"> "</w:t>
      </w:r>
      <w:proofErr w:type="spellStart"/>
      <w:r>
        <w:rPr>
          <w:sz w:val="24"/>
          <w:szCs w:val="24"/>
        </w:rPr>
        <w:t>Accord</w:t>
      </w:r>
      <w:proofErr w:type="spellEnd"/>
      <w:r>
        <w:rPr>
          <w:sz w:val="24"/>
          <w:szCs w:val="24"/>
        </w:rPr>
        <w:t>"</w:t>
      </w:r>
    </w:p>
    <w:p w:rsidR="00BA65AA" w:rsidRPr="00C84483" w:rsidRDefault="00BA65AA" w:rsidP="00BA65AA">
      <w:pPr>
        <w:tabs>
          <w:tab w:val="left" w:pos="851"/>
        </w:tabs>
        <w:ind w:left="851"/>
        <w:rPr>
          <w:sz w:val="24"/>
          <w:szCs w:val="24"/>
        </w:rPr>
      </w:pPr>
    </w:p>
    <w:p w:rsidR="00BA65AA" w:rsidRPr="00C84483" w:rsidRDefault="00BA65AA" w:rsidP="00BA65AA">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BA65AA" w:rsidRPr="009D6AEE" w:rsidRDefault="00BA65AA" w:rsidP="00BA65AA">
      <w:pPr>
        <w:ind w:left="851"/>
        <w:rPr>
          <w:sz w:val="24"/>
          <w:szCs w:val="24"/>
        </w:rPr>
      </w:pPr>
      <w:r w:rsidRPr="009D6AEE">
        <w:rPr>
          <w:sz w:val="24"/>
          <w:szCs w:val="24"/>
        </w:rPr>
        <w:t xml:space="preserve">1 ml opløsning indeholder 10 mg </w:t>
      </w:r>
      <w:proofErr w:type="spellStart"/>
      <w:r w:rsidRPr="009D6AEE">
        <w:rPr>
          <w:sz w:val="24"/>
          <w:szCs w:val="24"/>
        </w:rPr>
        <w:t>vinorelbin</w:t>
      </w:r>
      <w:proofErr w:type="spellEnd"/>
      <w:r w:rsidRPr="009D6AEE">
        <w:rPr>
          <w:sz w:val="24"/>
          <w:szCs w:val="24"/>
        </w:rPr>
        <w:t xml:space="preserve"> (som </w:t>
      </w:r>
      <w:proofErr w:type="spellStart"/>
      <w:r w:rsidRPr="009D6AEE">
        <w:rPr>
          <w:sz w:val="24"/>
          <w:szCs w:val="24"/>
        </w:rPr>
        <w:t>vinorelbintartrat</w:t>
      </w:r>
      <w:proofErr w:type="spellEnd"/>
      <w:r w:rsidRPr="009D6AEE">
        <w:rPr>
          <w:sz w:val="24"/>
          <w:szCs w:val="24"/>
        </w:rPr>
        <w:t xml:space="preserve">). </w:t>
      </w:r>
    </w:p>
    <w:p w:rsidR="00BA65AA" w:rsidRPr="009D6AEE" w:rsidRDefault="00BA65AA" w:rsidP="00BA65AA">
      <w:pPr>
        <w:ind w:left="851"/>
        <w:rPr>
          <w:sz w:val="24"/>
          <w:szCs w:val="24"/>
        </w:rPr>
      </w:pPr>
    </w:p>
    <w:p w:rsidR="00BA65AA" w:rsidRPr="009D6AEE" w:rsidRDefault="00BA65AA" w:rsidP="00BA65AA">
      <w:pPr>
        <w:ind w:left="851"/>
        <w:rPr>
          <w:sz w:val="24"/>
          <w:szCs w:val="24"/>
        </w:rPr>
      </w:pPr>
      <w:r w:rsidRPr="009D6AEE">
        <w:rPr>
          <w:sz w:val="24"/>
          <w:szCs w:val="24"/>
        </w:rPr>
        <w:t xml:space="preserve">Hver 1 ml hætteglas indeholder i alt 10 mg </w:t>
      </w:r>
      <w:proofErr w:type="spellStart"/>
      <w:r w:rsidRPr="009D6AEE">
        <w:rPr>
          <w:sz w:val="24"/>
          <w:szCs w:val="24"/>
        </w:rPr>
        <w:t>vinorelbin</w:t>
      </w:r>
      <w:proofErr w:type="spellEnd"/>
      <w:r w:rsidRPr="009D6AEE">
        <w:rPr>
          <w:sz w:val="24"/>
          <w:szCs w:val="24"/>
        </w:rPr>
        <w:t xml:space="preserve"> (som </w:t>
      </w:r>
      <w:proofErr w:type="spellStart"/>
      <w:r w:rsidRPr="009D6AEE">
        <w:rPr>
          <w:sz w:val="24"/>
          <w:szCs w:val="24"/>
        </w:rPr>
        <w:t>tartrat</w:t>
      </w:r>
      <w:proofErr w:type="spellEnd"/>
      <w:r w:rsidRPr="009D6AEE">
        <w:rPr>
          <w:sz w:val="24"/>
          <w:szCs w:val="24"/>
        </w:rPr>
        <w:t>).</w:t>
      </w:r>
    </w:p>
    <w:p w:rsidR="00BA65AA" w:rsidRPr="009D6AEE" w:rsidRDefault="00BA65AA" w:rsidP="00BA65AA">
      <w:pPr>
        <w:ind w:left="851"/>
        <w:rPr>
          <w:sz w:val="24"/>
          <w:szCs w:val="24"/>
        </w:rPr>
      </w:pPr>
      <w:r w:rsidRPr="009D6AEE">
        <w:rPr>
          <w:sz w:val="24"/>
          <w:szCs w:val="24"/>
        </w:rPr>
        <w:t xml:space="preserve">Hver 5 ml hætteglas indeholder i alt 50 mg </w:t>
      </w:r>
      <w:proofErr w:type="spellStart"/>
      <w:r w:rsidRPr="009D6AEE">
        <w:rPr>
          <w:sz w:val="24"/>
          <w:szCs w:val="24"/>
        </w:rPr>
        <w:t>vinorelbin</w:t>
      </w:r>
      <w:proofErr w:type="spellEnd"/>
      <w:r w:rsidRPr="009D6AEE">
        <w:rPr>
          <w:sz w:val="24"/>
          <w:szCs w:val="24"/>
        </w:rPr>
        <w:t xml:space="preserve"> (som </w:t>
      </w:r>
      <w:proofErr w:type="spellStart"/>
      <w:r w:rsidRPr="009D6AEE">
        <w:rPr>
          <w:sz w:val="24"/>
          <w:szCs w:val="24"/>
        </w:rPr>
        <w:t>tartrat</w:t>
      </w:r>
      <w:proofErr w:type="spellEnd"/>
      <w:r w:rsidRPr="009D6AEE">
        <w:rPr>
          <w:sz w:val="24"/>
          <w:szCs w:val="24"/>
        </w:rPr>
        <w:t>).</w:t>
      </w:r>
    </w:p>
    <w:p w:rsidR="00BA65AA" w:rsidRPr="009D6AEE" w:rsidRDefault="00BA65AA" w:rsidP="00BA65AA">
      <w:pPr>
        <w:ind w:left="851"/>
        <w:rPr>
          <w:sz w:val="24"/>
          <w:szCs w:val="24"/>
        </w:rPr>
      </w:pPr>
    </w:p>
    <w:p w:rsidR="00BA65AA" w:rsidRPr="009D6AEE" w:rsidRDefault="00BA65AA" w:rsidP="00BA65AA">
      <w:pPr>
        <w:ind w:left="851"/>
        <w:rPr>
          <w:sz w:val="24"/>
          <w:szCs w:val="24"/>
        </w:rPr>
      </w:pPr>
      <w:r w:rsidRPr="009D6AEE">
        <w:rPr>
          <w:sz w:val="24"/>
          <w:szCs w:val="24"/>
        </w:rPr>
        <w:t>Alle hjælpestoffer er anført under pkt. 6.1.</w:t>
      </w:r>
    </w:p>
    <w:p w:rsidR="00BA65AA" w:rsidRPr="00C84483" w:rsidRDefault="00BA65AA" w:rsidP="00BA65AA">
      <w:pPr>
        <w:tabs>
          <w:tab w:val="left" w:pos="851"/>
        </w:tabs>
        <w:ind w:left="851"/>
        <w:rPr>
          <w:sz w:val="24"/>
          <w:szCs w:val="24"/>
        </w:rPr>
      </w:pPr>
    </w:p>
    <w:p w:rsidR="00BA65AA" w:rsidRPr="00C84483" w:rsidRDefault="00BA65AA" w:rsidP="00BA65AA">
      <w:pPr>
        <w:tabs>
          <w:tab w:val="left" w:pos="851"/>
        </w:tabs>
        <w:ind w:left="851" w:hanging="851"/>
        <w:rPr>
          <w:b/>
          <w:sz w:val="24"/>
          <w:szCs w:val="24"/>
        </w:rPr>
      </w:pPr>
      <w:r w:rsidRPr="00C84483">
        <w:rPr>
          <w:b/>
          <w:sz w:val="24"/>
          <w:szCs w:val="24"/>
        </w:rPr>
        <w:t>3.</w:t>
      </w:r>
      <w:r w:rsidRPr="00C84483">
        <w:rPr>
          <w:b/>
          <w:sz w:val="24"/>
          <w:szCs w:val="24"/>
        </w:rPr>
        <w:tab/>
        <w:t>LÆGEMIDDELFORM</w:t>
      </w:r>
    </w:p>
    <w:p w:rsidR="00BA65AA" w:rsidRDefault="00BA65AA" w:rsidP="00BA65AA">
      <w:pPr>
        <w:ind w:left="851"/>
        <w:rPr>
          <w:sz w:val="24"/>
          <w:szCs w:val="24"/>
        </w:rPr>
      </w:pPr>
      <w:r w:rsidRPr="005D2C72">
        <w:rPr>
          <w:sz w:val="24"/>
          <w:szCs w:val="24"/>
        </w:rPr>
        <w:t>Koncentrat til infusionsvæske, opløsning</w:t>
      </w:r>
    </w:p>
    <w:p w:rsidR="00BA65AA" w:rsidRPr="005D2C72" w:rsidRDefault="00BA65AA" w:rsidP="00BA65AA">
      <w:pPr>
        <w:ind w:left="851"/>
        <w:rPr>
          <w:sz w:val="24"/>
          <w:szCs w:val="24"/>
        </w:rPr>
      </w:pPr>
    </w:p>
    <w:p w:rsidR="00BA65AA" w:rsidRPr="005D2C72" w:rsidRDefault="00BA65AA" w:rsidP="00BA65AA">
      <w:pPr>
        <w:autoSpaceDE w:val="0"/>
        <w:autoSpaceDN w:val="0"/>
        <w:adjustRightInd w:val="0"/>
        <w:ind w:left="851"/>
        <w:rPr>
          <w:sz w:val="24"/>
          <w:szCs w:val="24"/>
        </w:rPr>
      </w:pPr>
      <w:r>
        <w:rPr>
          <w:sz w:val="24"/>
          <w:szCs w:val="24"/>
        </w:rPr>
        <w:t>K</w:t>
      </w:r>
      <w:r w:rsidRPr="005D2C72">
        <w:rPr>
          <w:sz w:val="24"/>
          <w:szCs w:val="24"/>
        </w:rPr>
        <w:t xml:space="preserve">lar, farveløs til svagt gullig opløsning, </w:t>
      </w:r>
      <w:r>
        <w:rPr>
          <w:sz w:val="24"/>
          <w:szCs w:val="24"/>
        </w:rPr>
        <w:t>fri for synlige partikler.</w:t>
      </w:r>
    </w:p>
    <w:p w:rsidR="00BA65AA" w:rsidRPr="00C84483" w:rsidRDefault="00BA65AA" w:rsidP="00BA65AA">
      <w:pPr>
        <w:autoSpaceDE w:val="0"/>
        <w:autoSpaceDN w:val="0"/>
        <w:adjustRightInd w:val="0"/>
        <w:ind w:left="851"/>
        <w:rPr>
          <w:sz w:val="24"/>
          <w:szCs w:val="24"/>
        </w:rPr>
      </w:pPr>
      <w:r w:rsidRPr="005D2C72">
        <w:rPr>
          <w:sz w:val="24"/>
          <w:szCs w:val="24"/>
        </w:rPr>
        <w:t xml:space="preserve">pH på ca. 3,0 til 4,0 og en </w:t>
      </w:r>
      <w:proofErr w:type="spellStart"/>
      <w:r w:rsidRPr="005D2C72">
        <w:rPr>
          <w:sz w:val="24"/>
          <w:szCs w:val="24"/>
        </w:rPr>
        <w:t>osmolalitet</w:t>
      </w:r>
      <w:proofErr w:type="spellEnd"/>
      <w:r w:rsidRPr="005D2C72">
        <w:rPr>
          <w:sz w:val="24"/>
          <w:szCs w:val="24"/>
        </w:rPr>
        <w:t xml:space="preserve"> på ca. 30 til 40 </w:t>
      </w:r>
      <w:proofErr w:type="spellStart"/>
      <w:r w:rsidRPr="005D2C72">
        <w:rPr>
          <w:sz w:val="24"/>
          <w:szCs w:val="24"/>
        </w:rPr>
        <w:t>mOsmol</w:t>
      </w:r>
      <w:proofErr w:type="spellEnd"/>
      <w:r w:rsidRPr="005D2C72">
        <w:rPr>
          <w:sz w:val="24"/>
          <w:szCs w:val="24"/>
        </w:rPr>
        <w:t>/kg.</w:t>
      </w:r>
    </w:p>
    <w:p w:rsidR="00BA65AA" w:rsidRPr="00C84483" w:rsidRDefault="00BA65AA" w:rsidP="00BA65AA">
      <w:pPr>
        <w:tabs>
          <w:tab w:val="left" w:pos="851"/>
        </w:tabs>
        <w:ind w:left="851"/>
        <w:rPr>
          <w:sz w:val="24"/>
          <w:szCs w:val="24"/>
        </w:rPr>
      </w:pPr>
    </w:p>
    <w:p w:rsidR="00BA65AA" w:rsidRPr="00C84483" w:rsidRDefault="00BA65AA" w:rsidP="00BA65AA">
      <w:pPr>
        <w:tabs>
          <w:tab w:val="left" w:pos="851"/>
        </w:tabs>
        <w:ind w:left="851"/>
        <w:rPr>
          <w:sz w:val="24"/>
          <w:szCs w:val="24"/>
        </w:rPr>
      </w:pPr>
    </w:p>
    <w:p w:rsidR="00BA65AA" w:rsidRPr="00C84483" w:rsidRDefault="00BA65AA" w:rsidP="00BA65AA">
      <w:pPr>
        <w:tabs>
          <w:tab w:val="left" w:pos="851"/>
        </w:tabs>
        <w:ind w:left="851" w:hanging="851"/>
        <w:rPr>
          <w:b/>
          <w:sz w:val="24"/>
          <w:szCs w:val="24"/>
        </w:rPr>
      </w:pPr>
      <w:r w:rsidRPr="00C84483">
        <w:rPr>
          <w:b/>
          <w:sz w:val="24"/>
          <w:szCs w:val="24"/>
        </w:rPr>
        <w:t>4.</w:t>
      </w:r>
      <w:r w:rsidRPr="00C84483">
        <w:rPr>
          <w:b/>
          <w:sz w:val="24"/>
          <w:szCs w:val="24"/>
        </w:rPr>
        <w:tab/>
        <w:t>KLINISKE OPLYSNINGER</w:t>
      </w:r>
    </w:p>
    <w:p w:rsidR="00BA65AA" w:rsidRPr="00C84483" w:rsidRDefault="00BA65AA" w:rsidP="00BA65AA">
      <w:pPr>
        <w:tabs>
          <w:tab w:val="left" w:pos="851"/>
        </w:tabs>
        <w:ind w:left="851"/>
        <w:rPr>
          <w:b/>
          <w:sz w:val="24"/>
          <w:szCs w:val="24"/>
        </w:rPr>
      </w:pPr>
    </w:p>
    <w:p w:rsidR="00BA65AA" w:rsidRPr="00C84483" w:rsidRDefault="00BA65AA" w:rsidP="00BA65AA">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4D557A" w:rsidRDefault="004D557A" w:rsidP="004D557A">
      <w:pPr>
        <w:ind w:left="851" w:right="-1"/>
        <w:rPr>
          <w:sz w:val="24"/>
          <w:szCs w:val="24"/>
        </w:rPr>
      </w:pPr>
      <w:proofErr w:type="spellStart"/>
      <w:r>
        <w:rPr>
          <w:sz w:val="24"/>
          <w:szCs w:val="24"/>
        </w:rPr>
        <w:t>Vinorelbin</w:t>
      </w:r>
      <w:proofErr w:type="spellEnd"/>
      <w:r>
        <w:rPr>
          <w:sz w:val="24"/>
          <w:szCs w:val="24"/>
        </w:rPr>
        <w:t xml:space="preserve"> er indiceret til voksne til behandling af:</w:t>
      </w:r>
    </w:p>
    <w:p w:rsidR="004D557A" w:rsidRDefault="004D557A" w:rsidP="004D557A">
      <w:pPr>
        <w:pStyle w:val="Listeafsnit"/>
        <w:numPr>
          <w:ilvl w:val="0"/>
          <w:numId w:val="6"/>
        </w:numPr>
        <w:ind w:left="1418" w:right="-1" w:hanging="567"/>
        <w:rPr>
          <w:szCs w:val="24"/>
        </w:rPr>
      </w:pPr>
      <w:r>
        <w:rPr>
          <w:rFonts w:ascii="Times New Roman" w:hAnsi="Times New Roman"/>
          <w:szCs w:val="24"/>
        </w:rPr>
        <w:t xml:space="preserve">Som monoterapi til patienter med metastatisk cancer mammae (stadium IV), der er behandlingsresistent over for </w:t>
      </w:r>
      <w:proofErr w:type="spellStart"/>
      <w:r>
        <w:rPr>
          <w:rFonts w:ascii="Times New Roman" w:hAnsi="Times New Roman"/>
          <w:szCs w:val="24"/>
        </w:rPr>
        <w:t>antracyclin</w:t>
      </w:r>
      <w:proofErr w:type="spellEnd"/>
      <w:r>
        <w:rPr>
          <w:rFonts w:ascii="Times New Roman" w:hAnsi="Times New Roman"/>
          <w:szCs w:val="24"/>
        </w:rPr>
        <w:t xml:space="preserve">- og </w:t>
      </w:r>
      <w:proofErr w:type="spellStart"/>
      <w:r>
        <w:rPr>
          <w:rFonts w:ascii="Times New Roman" w:hAnsi="Times New Roman"/>
          <w:szCs w:val="24"/>
        </w:rPr>
        <w:t>taxanholdig</w:t>
      </w:r>
      <w:proofErr w:type="spellEnd"/>
      <w:r>
        <w:rPr>
          <w:rFonts w:ascii="Times New Roman" w:hAnsi="Times New Roman"/>
          <w:szCs w:val="24"/>
        </w:rPr>
        <w:t xml:space="preserve"> kemoterapi.</w:t>
      </w:r>
    </w:p>
    <w:p w:rsidR="004D557A" w:rsidRDefault="004D557A" w:rsidP="004D557A">
      <w:pPr>
        <w:pStyle w:val="Listeafsnit"/>
        <w:numPr>
          <w:ilvl w:val="0"/>
          <w:numId w:val="6"/>
        </w:numPr>
        <w:ind w:left="1418" w:right="-1" w:hanging="567"/>
        <w:rPr>
          <w:szCs w:val="24"/>
        </w:rPr>
      </w:pPr>
      <w:r>
        <w:rPr>
          <w:rFonts w:ascii="Times New Roman" w:hAnsi="Times New Roman"/>
          <w:szCs w:val="24"/>
        </w:rPr>
        <w:t>Ikke-småcellet lungecancer (stadium III eller IV).</w:t>
      </w:r>
    </w:p>
    <w:p w:rsidR="00BA65AA" w:rsidRPr="00C84483" w:rsidRDefault="00BA65AA" w:rsidP="004D557A">
      <w:pPr>
        <w:tabs>
          <w:tab w:val="left" w:pos="851"/>
        </w:tabs>
        <w:ind w:left="851" w:right="-1"/>
        <w:rPr>
          <w:sz w:val="24"/>
          <w:szCs w:val="24"/>
        </w:rPr>
      </w:pPr>
    </w:p>
    <w:p w:rsidR="00BA65AA" w:rsidRPr="00C84483" w:rsidRDefault="00BA65AA" w:rsidP="00BA65AA">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4D557A">
        <w:rPr>
          <w:b/>
          <w:sz w:val="24"/>
          <w:szCs w:val="24"/>
        </w:rPr>
        <w:t>administration</w:t>
      </w:r>
    </w:p>
    <w:p w:rsidR="004D557A" w:rsidRDefault="004D557A" w:rsidP="004D557A">
      <w:pPr>
        <w:ind w:left="851" w:right="-1"/>
        <w:rPr>
          <w:sz w:val="24"/>
          <w:szCs w:val="24"/>
        </w:rPr>
      </w:pPr>
      <w:proofErr w:type="spellStart"/>
      <w:r>
        <w:rPr>
          <w:sz w:val="24"/>
          <w:szCs w:val="24"/>
        </w:rPr>
        <w:t>Vinorelbin</w:t>
      </w:r>
      <w:proofErr w:type="spellEnd"/>
      <w:r>
        <w:rPr>
          <w:sz w:val="24"/>
          <w:szCs w:val="24"/>
        </w:rPr>
        <w:t xml:space="preserve"> bør indgives under opsyn af en læge med stor erfaring i anvendelse af kemoterapi.</w:t>
      </w:r>
    </w:p>
    <w:p w:rsidR="004D557A" w:rsidRDefault="004D557A" w:rsidP="004D557A">
      <w:pPr>
        <w:ind w:right="-1"/>
        <w:rPr>
          <w:sz w:val="24"/>
          <w:szCs w:val="24"/>
        </w:rPr>
      </w:pPr>
    </w:p>
    <w:p w:rsidR="004D557A" w:rsidRDefault="004D557A" w:rsidP="0052650D">
      <w:pPr>
        <w:keepNext/>
        <w:ind w:left="851"/>
        <w:rPr>
          <w:bCs/>
          <w:sz w:val="24"/>
          <w:szCs w:val="24"/>
          <w:u w:val="single"/>
        </w:rPr>
      </w:pPr>
      <w:r>
        <w:rPr>
          <w:bCs/>
          <w:sz w:val="24"/>
          <w:szCs w:val="24"/>
          <w:u w:val="single"/>
        </w:rPr>
        <w:lastRenderedPageBreak/>
        <w:t>Dosering</w:t>
      </w:r>
    </w:p>
    <w:p w:rsidR="004D557A" w:rsidRDefault="004D557A" w:rsidP="0052650D">
      <w:pPr>
        <w:pStyle w:val="Listeafsnit"/>
        <w:keepNext/>
        <w:shd w:val="clear" w:color="auto" w:fill="FFFFFF"/>
        <w:autoSpaceDE w:val="0"/>
        <w:autoSpaceDN w:val="0"/>
        <w:adjustRightInd w:val="0"/>
        <w:ind w:left="851"/>
        <w:rPr>
          <w:rFonts w:ascii="Times New Roman" w:hAnsi="Times New Roman"/>
          <w:i/>
          <w:szCs w:val="24"/>
          <w:u w:val="single"/>
        </w:rPr>
      </w:pPr>
    </w:p>
    <w:p w:rsidR="004D557A" w:rsidRDefault="004D557A" w:rsidP="004D557A">
      <w:pPr>
        <w:pStyle w:val="Listeafsnit"/>
        <w:shd w:val="clear" w:color="auto" w:fill="FFFFFF"/>
        <w:autoSpaceDE w:val="0"/>
        <w:autoSpaceDN w:val="0"/>
        <w:adjustRightInd w:val="0"/>
        <w:ind w:left="851" w:right="-1"/>
        <w:rPr>
          <w:rFonts w:ascii="Times New Roman" w:hAnsi="Times New Roman"/>
          <w:szCs w:val="24"/>
        </w:rPr>
      </w:pPr>
      <w:r>
        <w:rPr>
          <w:rFonts w:ascii="Times New Roman" w:hAnsi="Times New Roman"/>
          <w:szCs w:val="24"/>
          <w:u w:val="single"/>
        </w:rPr>
        <w:t>Ikke-småcellet lungecancer</w:t>
      </w:r>
      <w:r>
        <w:rPr>
          <w:rFonts w:ascii="Times New Roman" w:hAnsi="Times New Roman"/>
          <w:szCs w:val="24"/>
        </w:rPr>
        <w:br/>
        <w:t>Som monoterapi er dosis sædvanligvis 25 til 30 mg/m</w:t>
      </w:r>
      <w:r>
        <w:rPr>
          <w:rFonts w:ascii="Times New Roman" w:hAnsi="Times New Roman"/>
          <w:szCs w:val="24"/>
          <w:vertAlign w:val="superscript"/>
        </w:rPr>
        <w:t>2</w:t>
      </w:r>
      <w:r>
        <w:rPr>
          <w:rFonts w:ascii="Times New Roman" w:hAnsi="Times New Roman"/>
          <w:szCs w:val="24"/>
        </w:rPr>
        <w:t xml:space="preserve"> en gang ugentlig. Ved polykemoterapi opretholdes den sædvanlige dosis (25 til 30 mg/m</w:t>
      </w:r>
      <w:r>
        <w:rPr>
          <w:rFonts w:ascii="Times New Roman" w:hAnsi="Times New Roman"/>
          <w:szCs w:val="24"/>
          <w:vertAlign w:val="superscript"/>
        </w:rPr>
        <w:t>2</w:t>
      </w:r>
      <w:r>
        <w:rPr>
          <w:rFonts w:ascii="Times New Roman" w:hAnsi="Times New Roman"/>
          <w:szCs w:val="24"/>
        </w:rPr>
        <w:t>) normalt, mens hyppigheden reduceres til f.eks. dag 1 og 5 hver 3. uge eller dag 1 og 8 hver 3. uge i henhold til behandlingsplanen.</w:t>
      </w:r>
    </w:p>
    <w:p w:rsidR="004D557A" w:rsidRDefault="004D557A" w:rsidP="004D557A">
      <w:pPr>
        <w:shd w:val="clear" w:color="auto" w:fill="FFFFFF"/>
        <w:ind w:left="851" w:right="-1"/>
        <w:rPr>
          <w:bCs/>
          <w:color w:val="000000"/>
          <w:sz w:val="24"/>
          <w:szCs w:val="24"/>
          <w:highlight w:val="green"/>
          <w:u w:val="single"/>
        </w:rPr>
      </w:pPr>
    </w:p>
    <w:p w:rsidR="004D557A" w:rsidRDefault="004D557A" w:rsidP="004D557A">
      <w:pPr>
        <w:shd w:val="clear" w:color="auto" w:fill="FFFFFF"/>
        <w:ind w:left="851" w:right="-1"/>
        <w:rPr>
          <w:bCs/>
          <w:color w:val="000000"/>
          <w:sz w:val="24"/>
          <w:szCs w:val="24"/>
          <w:u w:val="single"/>
        </w:rPr>
      </w:pPr>
      <w:r>
        <w:rPr>
          <w:color w:val="000000"/>
          <w:sz w:val="24"/>
          <w:szCs w:val="24"/>
          <w:u w:val="single"/>
        </w:rPr>
        <w:t>Metastatisk cancer mammae</w:t>
      </w:r>
    </w:p>
    <w:p w:rsidR="004D557A" w:rsidRDefault="004D557A" w:rsidP="004D557A">
      <w:pPr>
        <w:shd w:val="clear" w:color="auto" w:fill="FFFFFF"/>
        <w:ind w:left="851" w:right="-1"/>
        <w:rPr>
          <w:color w:val="000000"/>
          <w:sz w:val="24"/>
          <w:szCs w:val="24"/>
        </w:rPr>
      </w:pPr>
      <w:r>
        <w:rPr>
          <w:color w:val="000000"/>
          <w:sz w:val="24"/>
          <w:szCs w:val="24"/>
        </w:rPr>
        <w:t>Den sædvanlige dosis er 25 til 30 mg/m</w:t>
      </w:r>
      <w:r>
        <w:rPr>
          <w:color w:val="000000"/>
          <w:sz w:val="24"/>
          <w:szCs w:val="24"/>
          <w:vertAlign w:val="superscript"/>
        </w:rPr>
        <w:t>2</w:t>
      </w:r>
      <w:r>
        <w:rPr>
          <w:color w:val="000000"/>
          <w:sz w:val="24"/>
          <w:szCs w:val="24"/>
        </w:rPr>
        <w:t xml:space="preserve"> en gang ugentlig.</w:t>
      </w:r>
    </w:p>
    <w:p w:rsidR="004D557A" w:rsidRDefault="004D557A" w:rsidP="004D557A">
      <w:pPr>
        <w:shd w:val="clear" w:color="auto" w:fill="FFFFFF"/>
        <w:ind w:left="851" w:right="-1"/>
        <w:rPr>
          <w:color w:val="000000"/>
          <w:sz w:val="24"/>
          <w:szCs w:val="24"/>
        </w:rPr>
      </w:pPr>
    </w:p>
    <w:p w:rsidR="004D557A" w:rsidRDefault="004D557A" w:rsidP="004D557A">
      <w:pPr>
        <w:ind w:left="851" w:right="-1"/>
        <w:rPr>
          <w:sz w:val="24"/>
          <w:szCs w:val="24"/>
        </w:rPr>
      </w:pPr>
      <w:r>
        <w:rPr>
          <w:sz w:val="24"/>
          <w:szCs w:val="24"/>
        </w:rPr>
        <w:t>Maksimalt tolereret dosis pr. administration: 35,4 mg/m² legemsoverflade.</w:t>
      </w:r>
    </w:p>
    <w:p w:rsidR="004D557A" w:rsidRDefault="004D557A" w:rsidP="004D557A">
      <w:pPr>
        <w:ind w:left="851" w:right="-1"/>
        <w:rPr>
          <w:sz w:val="24"/>
          <w:szCs w:val="24"/>
        </w:rPr>
      </w:pPr>
      <w:r>
        <w:rPr>
          <w:sz w:val="24"/>
          <w:szCs w:val="24"/>
        </w:rPr>
        <w:t>Maksimal samlet dosis pr. administration: 60 mg.</w:t>
      </w:r>
    </w:p>
    <w:p w:rsidR="004D557A" w:rsidRDefault="004D557A" w:rsidP="004D557A">
      <w:pPr>
        <w:autoSpaceDE w:val="0"/>
        <w:autoSpaceDN w:val="0"/>
        <w:adjustRightInd w:val="0"/>
        <w:ind w:left="851" w:right="-1"/>
        <w:rPr>
          <w:sz w:val="24"/>
          <w:szCs w:val="24"/>
        </w:rPr>
      </w:pPr>
    </w:p>
    <w:p w:rsidR="004D557A" w:rsidRDefault="004D557A" w:rsidP="004D557A">
      <w:pPr>
        <w:autoSpaceDE w:val="0"/>
        <w:autoSpaceDN w:val="0"/>
        <w:adjustRightInd w:val="0"/>
        <w:ind w:left="851" w:right="-1"/>
        <w:rPr>
          <w:i/>
          <w:iCs/>
          <w:color w:val="000000"/>
          <w:sz w:val="24"/>
          <w:szCs w:val="24"/>
        </w:rPr>
      </w:pPr>
      <w:r>
        <w:rPr>
          <w:i/>
          <w:iCs/>
          <w:color w:val="000000"/>
          <w:sz w:val="24"/>
          <w:szCs w:val="24"/>
        </w:rPr>
        <w:t>Ældre</w:t>
      </w:r>
    </w:p>
    <w:p w:rsidR="004D557A" w:rsidRDefault="004D557A" w:rsidP="004D557A">
      <w:pPr>
        <w:ind w:left="851" w:right="-1"/>
        <w:rPr>
          <w:sz w:val="24"/>
          <w:szCs w:val="24"/>
          <w:u w:val="single"/>
        </w:rPr>
      </w:pPr>
      <w:r>
        <w:rPr>
          <w:color w:val="000000"/>
          <w:sz w:val="24"/>
          <w:szCs w:val="24"/>
        </w:rPr>
        <w:t xml:space="preserve">I den kliniske erfaring er der ikke set relevante forskelle hos ældre patienter, hvad angår responsraten, men det kan ikke udelukkes, at visse af disse patienter har en højere følsomhed over for præparatet. Alder har ingen indflydelse på </w:t>
      </w:r>
      <w:proofErr w:type="spellStart"/>
      <w:r>
        <w:rPr>
          <w:color w:val="000000"/>
          <w:sz w:val="24"/>
          <w:szCs w:val="24"/>
        </w:rPr>
        <w:t>vinorelbins</w:t>
      </w:r>
      <w:proofErr w:type="spellEnd"/>
      <w:r>
        <w:rPr>
          <w:color w:val="000000"/>
          <w:sz w:val="24"/>
          <w:szCs w:val="24"/>
        </w:rPr>
        <w:t xml:space="preserve"> farmakokinetik (se pkt. 5.2)</w:t>
      </w:r>
    </w:p>
    <w:p w:rsidR="004D557A" w:rsidRDefault="004D557A" w:rsidP="004D557A">
      <w:pPr>
        <w:ind w:left="851" w:right="-1"/>
        <w:rPr>
          <w:sz w:val="24"/>
          <w:szCs w:val="24"/>
          <w:u w:val="single"/>
        </w:rPr>
      </w:pPr>
    </w:p>
    <w:p w:rsidR="004D557A" w:rsidRDefault="004D557A" w:rsidP="004D557A">
      <w:pPr>
        <w:ind w:left="851" w:right="-1"/>
        <w:rPr>
          <w:b/>
          <w:i/>
          <w:iCs/>
          <w:sz w:val="24"/>
          <w:szCs w:val="24"/>
        </w:rPr>
      </w:pPr>
      <w:r>
        <w:rPr>
          <w:i/>
          <w:iCs/>
          <w:sz w:val="24"/>
          <w:szCs w:val="24"/>
        </w:rPr>
        <w:t>Dosisjustering</w:t>
      </w:r>
    </w:p>
    <w:p w:rsidR="004D557A" w:rsidRDefault="004D557A" w:rsidP="004D557A">
      <w:pPr>
        <w:ind w:left="851" w:right="-1"/>
        <w:rPr>
          <w:sz w:val="24"/>
          <w:szCs w:val="24"/>
        </w:rPr>
      </w:pPr>
      <w:proofErr w:type="spellStart"/>
      <w:r>
        <w:rPr>
          <w:sz w:val="24"/>
          <w:szCs w:val="24"/>
        </w:rPr>
        <w:t>Vinorelbins</w:t>
      </w:r>
      <w:proofErr w:type="spellEnd"/>
      <w:r>
        <w:rPr>
          <w:sz w:val="24"/>
          <w:szCs w:val="24"/>
        </w:rPr>
        <w:t xml:space="preserve"> metabolisme og </w:t>
      </w:r>
      <w:proofErr w:type="spellStart"/>
      <w:r>
        <w:rPr>
          <w:sz w:val="24"/>
          <w:szCs w:val="24"/>
        </w:rPr>
        <w:t>clearance</w:t>
      </w:r>
      <w:proofErr w:type="spellEnd"/>
      <w:r>
        <w:rPr>
          <w:sz w:val="24"/>
          <w:szCs w:val="24"/>
        </w:rPr>
        <w:t xml:space="preserve"> er for det meste </w:t>
      </w:r>
      <w:proofErr w:type="spellStart"/>
      <w:r>
        <w:rPr>
          <w:sz w:val="24"/>
          <w:szCs w:val="24"/>
        </w:rPr>
        <w:t>hepatisk</w:t>
      </w:r>
      <w:proofErr w:type="spellEnd"/>
      <w:r>
        <w:rPr>
          <w:sz w:val="24"/>
          <w:szCs w:val="24"/>
        </w:rPr>
        <w:t xml:space="preserve">: Kun 18,5 % udskilles uændret i urinen. Der er ingen tilgængelig </w:t>
      </w:r>
      <w:proofErr w:type="spellStart"/>
      <w:r>
        <w:rPr>
          <w:sz w:val="24"/>
          <w:szCs w:val="24"/>
        </w:rPr>
        <w:t>prospektiv</w:t>
      </w:r>
      <w:proofErr w:type="spellEnd"/>
      <w:r>
        <w:rPr>
          <w:sz w:val="24"/>
          <w:szCs w:val="24"/>
        </w:rPr>
        <w:t xml:space="preserve"> undersøgelse vedrørende ændret metabolisme af aktivstoffet til dets </w:t>
      </w:r>
      <w:proofErr w:type="spellStart"/>
      <w:r>
        <w:rPr>
          <w:sz w:val="24"/>
          <w:szCs w:val="24"/>
        </w:rPr>
        <w:t>farmakodynamiske</w:t>
      </w:r>
      <w:proofErr w:type="spellEnd"/>
      <w:r>
        <w:rPr>
          <w:sz w:val="24"/>
          <w:szCs w:val="24"/>
        </w:rPr>
        <w:t xml:space="preserve"> virkninger for at fastlægge retningslinjer for reduktion af </w:t>
      </w:r>
      <w:proofErr w:type="spellStart"/>
      <w:r>
        <w:rPr>
          <w:sz w:val="24"/>
          <w:szCs w:val="24"/>
        </w:rPr>
        <w:t>vinorelbindosis</w:t>
      </w:r>
      <w:proofErr w:type="spellEnd"/>
      <w:r>
        <w:rPr>
          <w:sz w:val="24"/>
          <w:szCs w:val="24"/>
        </w:rPr>
        <w:t xml:space="preserve"> til patienter med nedsat lever- eller nyrefunktion.</w:t>
      </w:r>
    </w:p>
    <w:p w:rsidR="004D557A" w:rsidRDefault="004D557A" w:rsidP="004D557A">
      <w:pPr>
        <w:ind w:left="851" w:right="-1"/>
        <w:rPr>
          <w:sz w:val="24"/>
          <w:szCs w:val="24"/>
          <w:u w:val="single"/>
        </w:rPr>
      </w:pPr>
    </w:p>
    <w:p w:rsidR="004D557A" w:rsidRDefault="004D557A" w:rsidP="004D557A">
      <w:pPr>
        <w:ind w:left="851" w:right="-1"/>
        <w:rPr>
          <w:i/>
          <w:iCs/>
          <w:sz w:val="24"/>
          <w:szCs w:val="24"/>
        </w:rPr>
      </w:pPr>
      <w:r>
        <w:rPr>
          <w:i/>
          <w:iCs/>
          <w:sz w:val="24"/>
          <w:szCs w:val="24"/>
        </w:rPr>
        <w:t>Patienter med nedsat leverfunktion</w:t>
      </w:r>
    </w:p>
    <w:p w:rsidR="004D557A" w:rsidRDefault="004D557A" w:rsidP="004D557A">
      <w:pPr>
        <w:ind w:left="851" w:right="-1"/>
        <w:rPr>
          <w:sz w:val="24"/>
          <w:szCs w:val="24"/>
        </w:rPr>
      </w:pPr>
      <w:r>
        <w:rPr>
          <w:color w:val="000000"/>
          <w:sz w:val="24"/>
          <w:szCs w:val="24"/>
        </w:rPr>
        <w:t xml:space="preserve">Farmakokinetikken af </w:t>
      </w:r>
      <w:proofErr w:type="spellStart"/>
      <w:r>
        <w:rPr>
          <w:color w:val="000000"/>
          <w:sz w:val="24"/>
          <w:szCs w:val="24"/>
        </w:rPr>
        <w:t>vinorelbin</w:t>
      </w:r>
      <w:proofErr w:type="spellEnd"/>
      <w:r>
        <w:rPr>
          <w:color w:val="000000"/>
          <w:sz w:val="24"/>
          <w:szCs w:val="24"/>
        </w:rPr>
        <w:t xml:space="preserve"> er ikke anderledes hos patienter med moderat eller svær leverinsufficiens. Som en sikkerhedsforanstaltning anbefales dog en reduceret dosis på 20 mg/m</w:t>
      </w:r>
      <w:r>
        <w:rPr>
          <w:color w:val="000000"/>
          <w:sz w:val="24"/>
          <w:szCs w:val="24"/>
          <w:vertAlign w:val="superscript"/>
        </w:rPr>
        <w:t>2</w:t>
      </w:r>
      <w:r>
        <w:rPr>
          <w:color w:val="000000"/>
          <w:sz w:val="24"/>
          <w:szCs w:val="24"/>
        </w:rPr>
        <w:t xml:space="preserve"> og nøje overvågning af hæmatologiske parametre til patienter med svær leverinsufficiens (se pkt. 4.4 og 5.2)</w:t>
      </w:r>
    </w:p>
    <w:p w:rsidR="004D557A" w:rsidRDefault="004D557A" w:rsidP="004D557A">
      <w:pPr>
        <w:ind w:left="851" w:right="-1"/>
        <w:rPr>
          <w:sz w:val="24"/>
          <w:szCs w:val="24"/>
        </w:rPr>
      </w:pPr>
    </w:p>
    <w:p w:rsidR="004D557A" w:rsidRDefault="004D557A" w:rsidP="004D557A">
      <w:pPr>
        <w:ind w:left="851" w:right="-1"/>
        <w:rPr>
          <w:i/>
          <w:iCs/>
          <w:sz w:val="24"/>
          <w:szCs w:val="24"/>
        </w:rPr>
      </w:pPr>
      <w:r>
        <w:rPr>
          <w:i/>
          <w:iCs/>
          <w:sz w:val="24"/>
          <w:szCs w:val="24"/>
        </w:rPr>
        <w:t>Patienter med nedsat nyrefunktion</w:t>
      </w:r>
    </w:p>
    <w:p w:rsidR="004D557A" w:rsidRDefault="004D557A" w:rsidP="004D557A">
      <w:pPr>
        <w:ind w:left="851" w:right="-1"/>
        <w:rPr>
          <w:sz w:val="24"/>
          <w:szCs w:val="24"/>
        </w:rPr>
      </w:pPr>
      <w:r>
        <w:rPr>
          <w:sz w:val="24"/>
          <w:szCs w:val="24"/>
        </w:rPr>
        <w:t xml:space="preserve">Der er ingen </w:t>
      </w:r>
      <w:proofErr w:type="spellStart"/>
      <w:r>
        <w:rPr>
          <w:sz w:val="24"/>
          <w:szCs w:val="24"/>
        </w:rPr>
        <w:t>farmakokinetisk</w:t>
      </w:r>
      <w:proofErr w:type="spellEnd"/>
      <w:r>
        <w:rPr>
          <w:sz w:val="24"/>
          <w:szCs w:val="24"/>
        </w:rPr>
        <w:t xml:space="preserve"> baggrund for at nedsætte </w:t>
      </w:r>
      <w:proofErr w:type="spellStart"/>
      <w:r>
        <w:rPr>
          <w:sz w:val="24"/>
          <w:szCs w:val="24"/>
        </w:rPr>
        <w:t>vinorelbin</w:t>
      </w:r>
      <w:proofErr w:type="spellEnd"/>
      <w:r>
        <w:rPr>
          <w:sz w:val="24"/>
          <w:szCs w:val="24"/>
        </w:rPr>
        <w:t>-doseringen til patienter med nedsat nyrefunktion.</w:t>
      </w:r>
    </w:p>
    <w:p w:rsidR="004D557A" w:rsidRDefault="004D557A" w:rsidP="004D557A">
      <w:pPr>
        <w:ind w:left="851" w:right="-1"/>
        <w:rPr>
          <w:sz w:val="24"/>
          <w:szCs w:val="24"/>
        </w:rPr>
      </w:pPr>
    </w:p>
    <w:p w:rsidR="004D557A" w:rsidRDefault="004D557A" w:rsidP="004D557A">
      <w:pPr>
        <w:ind w:left="851" w:right="-1"/>
        <w:rPr>
          <w:i/>
          <w:iCs/>
          <w:sz w:val="24"/>
          <w:szCs w:val="24"/>
        </w:rPr>
      </w:pPr>
      <w:r>
        <w:rPr>
          <w:i/>
          <w:iCs/>
          <w:sz w:val="24"/>
          <w:szCs w:val="24"/>
        </w:rPr>
        <w:t>Pædiatrisk population</w:t>
      </w:r>
    </w:p>
    <w:p w:rsidR="004D557A" w:rsidRDefault="004D557A" w:rsidP="004D557A">
      <w:pPr>
        <w:ind w:left="851" w:right="-1"/>
        <w:rPr>
          <w:sz w:val="24"/>
          <w:szCs w:val="24"/>
          <w:u w:val="single"/>
        </w:rPr>
      </w:pPr>
      <w:r>
        <w:rPr>
          <w:sz w:val="24"/>
          <w:szCs w:val="24"/>
        </w:rPr>
        <w:t xml:space="preserve">Sikkerhed og virkning hos børn og unge er ikke klarlagt, og </w:t>
      </w:r>
      <w:r>
        <w:rPr>
          <w:sz w:val="24"/>
          <w:szCs w:val="24"/>
          <w:u w:val="single"/>
        </w:rPr>
        <w:t>administration frarådes derfor.</w:t>
      </w:r>
    </w:p>
    <w:p w:rsidR="004D557A" w:rsidRDefault="004D557A" w:rsidP="004D557A">
      <w:pPr>
        <w:ind w:left="851" w:right="-1"/>
        <w:rPr>
          <w:sz w:val="24"/>
          <w:szCs w:val="24"/>
          <w:u w:val="single"/>
        </w:rPr>
      </w:pPr>
    </w:p>
    <w:p w:rsidR="004D557A" w:rsidRDefault="004D557A" w:rsidP="004D557A">
      <w:pPr>
        <w:ind w:left="851" w:right="-1"/>
        <w:rPr>
          <w:bCs/>
          <w:sz w:val="24"/>
          <w:szCs w:val="24"/>
          <w:u w:val="single"/>
        </w:rPr>
      </w:pPr>
      <w:r>
        <w:rPr>
          <w:bCs/>
          <w:sz w:val="24"/>
          <w:szCs w:val="24"/>
          <w:u w:val="single"/>
        </w:rPr>
        <w:t>Administration</w:t>
      </w:r>
    </w:p>
    <w:p w:rsidR="004D557A" w:rsidRDefault="004D557A" w:rsidP="004D557A">
      <w:pPr>
        <w:ind w:left="851" w:right="-1"/>
        <w:rPr>
          <w:b/>
          <w:sz w:val="24"/>
          <w:szCs w:val="24"/>
        </w:rPr>
      </w:pPr>
    </w:p>
    <w:p w:rsidR="004D557A" w:rsidRDefault="004D557A" w:rsidP="004D557A">
      <w:pPr>
        <w:ind w:left="851" w:right="-1"/>
        <w:rPr>
          <w:bCs/>
          <w:iCs/>
          <w:color w:val="000000"/>
          <w:sz w:val="24"/>
          <w:szCs w:val="24"/>
          <w:u w:val="single"/>
        </w:rPr>
      </w:pPr>
      <w:r>
        <w:rPr>
          <w:bCs/>
          <w:iCs/>
          <w:color w:val="000000"/>
          <w:sz w:val="24"/>
          <w:szCs w:val="24"/>
          <w:u w:val="single"/>
        </w:rPr>
        <w:t>Kun intravenøs anvendelse.</w:t>
      </w:r>
    </w:p>
    <w:p w:rsidR="004D557A" w:rsidRDefault="004D557A" w:rsidP="004D557A">
      <w:pPr>
        <w:ind w:left="851" w:right="-1"/>
        <w:rPr>
          <w:sz w:val="24"/>
          <w:szCs w:val="24"/>
        </w:rPr>
      </w:pPr>
      <w:r>
        <w:rPr>
          <w:sz w:val="24"/>
          <w:szCs w:val="24"/>
        </w:rPr>
        <w:t xml:space="preserve">Udelukkende intravenøs injektion igennem en infusionslinje </w:t>
      </w:r>
      <w:r>
        <w:rPr>
          <w:sz w:val="24"/>
          <w:szCs w:val="24"/>
          <w:u w:val="single"/>
        </w:rPr>
        <w:t>efter behørig fortynding</w:t>
      </w:r>
      <w:r>
        <w:rPr>
          <w:sz w:val="24"/>
          <w:szCs w:val="24"/>
        </w:rPr>
        <w:t>.</w:t>
      </w:r>
    </w:p>
    <w:p w:rsidR="004D557A" w:rsidRDefault="004D557A" w:rsidP="004D557A">
      <w:pPr>
        <w:autoSpaceDE w:val="0"/>
        <w:autoSpaceDN w:val="0"/>
        <w:adjustRightInd w:val="0"/>
        <w:ind w:left="851" w:right="-1"/>
        <w:rPr>
          <w:sz w:val="24"/>
          <w:szCs w:val="24"/>
        </w:rPr>
      </w:pPr>
      <w:r>
        <w:rPr>
          <w:sz w:val="24"/>
          <w:szCs w:val="24"/>
        </w:rPr>
        <w:t xml:space="preserve">Brug af </w:t>
      </w:r>
      <w:proofErr w:type="spellStart"/>
      <w:r>
        <w:rPr>
          <w:sz w:val="24"/>
          <w:szCs w:val="24"/>
        </w:rPr>
        <w:t>intratekal</w:t>
      </w:r>
      <w:proofErr w:type="spellEnd"/>
      <w:r>
        <w:rPr>
          <w:sz w:val="24"/>
          <w:szCs w:val="24"/>
        </w:rPr>
        <w:t xml:space="preserve"> administration er kontraindiceret.</w:t>
      </w:r>
    </w:p>
    <w:p w:rsidR="004D557A" w:rsidRDefault="004D557A" w:rsidP="004D557A">
      <w:pPr>
        <w:ind w:right="-1"/>
        <w:rPr>
          <w:sz w:val="24"/>
          <w:szCs w:val="24"/>
        </w:rPr>
      </w:pPr>
    </w:p>
    <w:p w:rsidR="004D557A" w:rsidRDefault="004D557A" w:rsidP="004D557A">
      <w:pPr>
        <w:autoSpaceDE w:val="0"/>
        <w:autoSpaceDN w:val="0"/>
        <w:adjustRightInd w:val="0"/>
        <w:ind w:left="851" w:right="-1"/>
        <w:rPr>
          <w:bCs/>
          <w:i/>
          <w:sz w:val="24"/>
          <w:szCs w:val="24"/>
        </w:rPr>
      </w:pPr>
      <w:r>
        <w:rPr>
          <w:bCs/>
          <w:i/>
          <w:sz w:val="24"/>
          <w:szCs w:val="24"/>
        </w:rPr>
        <w:t xml:space="preserve">Vedrørende vejledning om fortynding af produktet før administration og anden håndtering, se </w:t>
      </w:r>
      <w:proofErr w:type="spellStart"/>
      <w:r>
        <w:rPr>
          <w:bCs/>
          <w:i/>
          <w:sz w:val="24"/>
          <w:szCs w:val="24"/>
        </w:rPr>
        <w:t>pkt</w:t>
      </w:r>
      <w:proofErr w:type="spellEnd"/>
      <w:r>
        <w:rPr>
          <w:bCs/>
          <w:i/>
          <w:sz w:val="24"/>
          <w:szCs w:val="24"/>
        </w:rPr>
        <w:t xml:space="preserve"> 6.6.</w:t>
      </w:r>
    </w:p>
    <w:p w:rsidR="004D557A" w:rsidRDefault="004D557A" w:rsidP="004D557A">
      <w:pPr>
        <w:autoSpaceDE w:val="0"/>
        <w:autoSpaceDN w:val="0"/>
        <w:adjustRightInd w:val="0"/>
        <w:ind w:left="851" w:right="-1"/>
        <w:rPr>
          <w:color w:val="000000"/>
          <w:sz w:val="24"/>
          <w:szCs w:val="24"/>
        </w:rPr>
      </w:pPr>
      <w:proofErr w:type="spellStart"/>
      <w:r>
        <w:rPr>
          <w:color w:val="000000"/>
          <w:sz w:val="24"/>
          <w:szCs w:val="24"/>
        </w:rPr>
        <w:t>Vinorelbin</w:t>
      </w:r>
      <w:proofErr w:type="spellEnd"/>
      <w:r>
        <w:rPr>
          <w:color w:val="000000"/>
          <w:sz w:val="24"/>
          <w:szCs w:val="24"/>
        </w:rPr>
        <w:t xml:space="preserve"> "</w:t>
      </w:r>
      <w:proofErr w:type="spellStart"/>
      <w:r>
        <w:rPr>
          <w:color w:val="000000"/>
          <w:sz w:val="24"/>
          <w:szCs w:val="24"/>
        </w:rPr>
        <w:t>Accord</w:t>
      </w:r>
      <w:proofErr w:type="spellEnd"/>
      <w:r>
        <w:rPr>
          <w:color w:val="000000"/>
          <w:sz w:val="24"/>
          <w:szCs w:val="24"/>
        </w:rPr>
        <w:t xml:space="preserve">" kan indgives via langsom </w:t>
      </w:r>
      <w:proofErr w:type="spellStart"/>
      <w:r>
        <w:rPr>
          <w:color w:val="000000"/>
          <w:sz w:val="24"/>
          <w:szCs w:val="24"/>
        </w:rPr>
        <w:t>bolus</w:t>
      </w:r>
      <w:proofErr w:type="spellEnd"/>
      <w:r>
        <w:rPr>
          <w:color w:val="000000"/>
          <w:sz w:val="24"/>
          <w:szCs w:val="24"/>
        </w:rPr>
        <w:t xml:space="preserve"> (6-10 minutter) efter fortynding i 20-50 ml </w:t>
      </w:r>
      <w:proofErr w:type="spellStart"/>
      <w:r>
        <w:rPr>
          <w:color w:val="000000"/>
          <w:sz w:val="24"/>
          <w:szCs w:val="24"/>
        </w:rPr>
        <w:t>natriumchloridopløsning</w:t>
      </w:r>
      <w:proofErr w:type="spellEnd"/>
      <w:r>
        <w:rPr>
          <w:color w:val="000000"/>
          <w:sz w:val="24"/>
          <w:szCs w:val="24"/>
        </w:rPr>
        <w:t xml:space="preserve"> eller </w:t>
      </w:r>
      <w:proofErr w:type="spellStart"/>
      <w:r>
        <w:rPr>
          <w:color w:val="000000"/>
          <w:sz w:val="24"/>
          <w:szCs w:val="24"/>
        </w:rPr>
        <w:t>glucoseopløsning</w:t>
      </w:r>
      <w:proofErr w:type="spellEnd"/>
      <w:r>
        <w:rPr>
          <w:color w:val="000000"/>
          <w:sz w:val="24"/>
          <w:szCs w:val="24"/>
        </w:rPr>
        <w:t xml:space="preserve"> 50 mg/ml (5 %) eller via en kort </w:t>
      </w:r>
      <w:r>
        <w:rPr>
          <w:color w:val="000000"/>
          <w:sz w:val="24"/>
          <w:szCs w:val="24"/>
        </w:rPr>
        <w:lastRenderedPageBreak/>
        <w:t xml:space="preserve">infusion (20-30 minutter) efter fortynding i 125 ml </w:t>
      </w:r>
      <w:proofErr w:type="spellStart"/>
      <w:r>
        <w:rPr>
          <w:color w:val="000000"/>
          <w:sz w:val="24"/>
          <w:szCs w:val="24"/>
        </w:rPr>
        <w:t>natriumchloridopløsning</w:t>
      </w:r>
      <w:proofErr w:type="spellEnd"/>
      <w:r>
        <w:rPr>
          <w:color w:val="000000"/>
          <w:sz w:val="24"/>
          <w:szCs w:val="24"/>
        </w:rPr>
        <w:t xml:space="preserve"> eller </w:t>
      </w:r>
      <w:proofErr w:type="spellStart"/>
      <w:r>
        <w:rPr>
          <w:color w:val="000000"/>
          <w:sz w:val="24"/>
          <w:szCs w:val="24"/>
        </w:rPr>
        <w:t>glucoseopløsning</w:t>
      </w:r>
      <w:proofErr w:type="spellEnd"/>
      <w:r>
        <w:rPr>
          <w:color w:val="000000"/>
          <w:sz w:val="24"/>
          <w:szCs w:val="24"/>
        </w:rPr>
        <w:t xml:space="preserve"> 50 mg/ml (5 %).</w:t>
      </w:r>
    </w:p>
    <w:p w:rsidR="004D557A" w:rsidRDefault="004D557A" w:rsidP="004D557A">
      <w:pPr>
        <w:autoSpaceDE w:val="0"/>
        <w:autoSpaceDN w:val="0"/>
        <w:adjustRightInd w:val="0"/>
        <w:ind w:left="851" w:right="-1"/>
        <w:rPr>
          <w:color w:val="000000"/>
          <w:sz w:val="24"/>
          <w:szCs w:val="24"/>
        </w:rPr>
      </w:pPr>
    </w:p>
    <w:p w:rsidR="004D557A" w:rsidRDefault="004D557A" w:rsidP="004D557A">
      <w:pPr>
        <w:autoSpaceDE w:val="0"/>
        <w:autoSpaceDN w:val="0"/>
        <w:adjustRightInd w:val="0"/>
        <w:ind w:left="851" w:right="-1"/>
        <w:rPr>
          <w:color w:val="000000"/>
          <w:sz w:val="24"/>
          <w:szCs w:val="24"/>
        </w:rPr>
      </w:pPr>
      <w:r>
        <w:rPr>
          <w:sz w:val="24"/>
          <w:szCs w:val="24"/>
        </w:rPr>
        <w:t xml:space="preserve">Indgivelse skal altid efterfølges af mindst 250 ml </w:t>
      </w:r>
      <w:proofErr w:type="spellStart"/>
      <w:r>
        <w:rPr>
          <w:sz w:val="24"/>
          <w:szCs w:val="24"/>
        </w:rPr>
        <w:t>natriumchloridopløsning</w:t>
      </w:r>
      <w:proofErr w:type="spellEnd"/>
      <w:r>
        <w:rPr>
          <w:sz w:val="24"/>
          <w:szCs w:val="24"/>
        </w:rPr>
        <w:t xml:space="preserve"> for at skylle venen.</w:t>
      </w:r>
    </w:p>
    <w:p w:rsidR="00BA65AA" w:rsidRPr="00C84483" w:rsidRDefault="00BA65AA" w:rsidP="004D557A">
      <w:pPr>
        <w:tabs>
          <w:tab w:val="left" w:pos="851"/>
        </w:tabs>
        <w:ind w:left="851" w:right="-1"/>
        <w:rPr>
          <w:sz w:val="24"/>
          <w:szCs w:val="24"/>
        </w:rPr>
      </w:pPr>
    </w:p>
    <w:p w:rsidR="00BA65AA" w:rsidRPr="00C84483" w:rsidRDefault="00BA65AA" w:rsidP="00BA65AA">
      <w:pPr>
        <w:tabs>
          <w:tab w:val="left" w:pos="851"/>
        </w:tabs>
        <w:ind w:left="851" w:hanging="851"/>
        <w:rPr>
          <w:b/>
          <w:sz w:val="24"/>
          <w:szCs w:val="24"/>
        </w:rPr>
      </w:pPr>
      <w:r w:rsidRPr="00C84483">
        <w:rPr>
          <w:b/>
          <w:sz w:val="24"/>
          <w:szCs w:val="24"/>
        </w:rPr>
        <w:t>4.3</w:t>
      </w:r>
      <w:r w:rsidRPr="00C84483">
        <w:rPr>
          <w:b/>
          <w:sz w:val="24"/>
          <w:szCs w:val="24"/>
        </w:rPr>
        <w:tab/>
        <w:t>Kontraindikationer</w:t>
      </w:r>
    </w:p>
    <w:p w:rsidR="004D557A" w:rsidRDefault="004D557A" w:rsidP="004D557A">
      <w:pPr>
        <w:pStyle w:val="Listeafsnit"/>
        <w:numPr>
          <w:ilvl w:val="0"/>
          <w:numId w:val="7"/>
        </w:numPr>
        <w:ind w:left="1418" w:right="-1" w:hanging="567"/>
        <w:rPr>
          <w:szCs w:val="24"/>
        </w:rPr>
      </w:pPr>
      <w:r>
        <w:rPr>
          <w:rFonts w:ascii="Times New Roman" w:hAnsi="Times New Roman"/>
          <w:szCs w:val="24"/>
        </w:rPr>
        <w:t xml:space="preserve">Brug af </w:t>
      </w:r>
      <w:proofErr w:type="spellStart"/>
      <w:r>
        <w:rPr>
          <w:rFonts w:ascii="Times New Roman" w:hAnsi="Times New Roman"/>
          <w:szCs w:val="24"/>
        </w:rPr>
        <w:t>intratekal</w:t>
      </w:r>
      <w:proofErr w:type="spellEnd"/>
      <w:r>
        <w:rPr>
          <w:rFonts w:ascii="Times New Roman" w:hAnsi="Times New Roman"/>
          <w:szCs w:val="24"/>
        </w:rPr>
        <w:t xml:space="preserve"> administration er kontraindiceret.</w:t>
      </w:r>
    </w:p>
    <w:p w:rsidR="004D557A" w:rsidRDefault="004D557A" w:rsidP="004D557A">
      <w:pPr>
        <w:pStyle w:val="Listeafsnit"/>
        <w:numPr>
          <w:ilvl w:val="0"/>
          <w:numId w:val="7"/>
        </w:numPr>
        <w:ind w:left="1418" w:right="-1" w:hanging="567"/>
        <w:rPr>
          <w:szCs w:val="24"/>
        </w:rPr>
      </w:pPr>
      <w:r>
        <w:rPr>
          <w:rFonts w:ascii="Times New Roman" w:hAnsi="Times New Roman"/>
          <w:szCs w:val="24"/>
        </w:rPr>
        <w:t>Overfølsomhed over for aktivstoffet eller andre vincaalkaloider eller over for et eller flere af hjælpestofferne anført i pkt. 6.1.</w:t>
      </w:r>
    </w:p>
    <w:p w:rsidR="004D557A" w:rsidRDefault="004D557A" w:rsidP="004D557A">
      <w:pPr>
        <w:pStyle w:val="Listeafsnit"/>
        <w:numPr>
          <w:ilvl w:val="0"/>
          <w:numId w:val="7"/>
        </w:numPr>
        <w:ind w:left="1418" w:right="-1" w:hanging="567"/>
        <w:rPr>
          <w:szCs w:val="24"/>
        </w:rPr>
      </w:pPr>
      <w:proofErr w:type="spellStart"/>
      <w:r>
        <w:rPr>
          <w:rFonts w:ascii="Times New Roman" w:hAnsi="Times New Roman"/>
          <w:szCs w:val="24"/>
        </w:rPr>
        <w:t>Neutrofile</w:t>
      </w:r>
      <w:proofErr w:type="spellEnd"/>
      <w:r>
        <w:rPr>
          <w:rFonts w:ascii="Times New Roman" w:hAnsi="Times New Roman"/>
          <w:szCs w:val="24"/>
        </w:rPr>
        <w:t xml:space="preserve"> granulocytter &lt;1500</w:t>
      </w:r>
      <w:r>
        <w:rPr>
          <w:rFonts w:ascii="Times New Roman" w:hAnsi="Times New Roman"/>
          <w:iCs/>
          <w:szCs w:val="24"/>
          <w:lang w:eastAsia="pt-PT"/>
        </w:rPr>
        <w:t>/mm</w:t>
      </w:r>
      <w:r>
        <w:rPr>
          <w:rFonts w:ascii="Times New Roman" w:hAnsi="Times New Roman"/>
          <w:iCs/>
          <w:szCs w:val="24"/>
          <w:vertAlign w:val="superscript"/>
          <w:lang w:eastAsia="pt-PT"/>
        </w:rPr>
        <w:t>3</w:t>
      </w:r>
      <w:r>
        <w:rPr>
          <w:rFonts w:ascii="Times New Roman" w:hAnsi="Times New Roman"/>
          <w:szCs w:val="24"/>
        </w:rPr>
        <w:t xml:space="preserve"> eller alvorlig, aktuel eller nylig infektion (inden for de seneste 2 uger).</w:t>
      </w:r>
    </w:p>
    <w:p w:rsidR="004D557A" w:rsidRDefault="004D557A" w:rsidP="004D557A">
      <w:pPr>
        <w:pStyle w:val="Listeafsnit"/>
        <w:numPr>
          <w:ilvl w:val="0"/>
          <w:numId w:val="7"/>
        </w:numPr>
        <w:ind w:left="1418" w:right="-1" w:hanging="567"/>
        <w:rPr>
          <w:szCs w:val="24"/>
        </w:rPr>
      </w:pPr>
      <w:proofErr w:type="spellStart"/>
      <w:r>
        <w:rPr>
          <w:rFonts w:ascii="Times New Roman" w:hAnsi="Times New Roman"/>
          <w:szCs w:val="24"/>
        </w:rPr>
        <w:t>Trombocyttal</w:t>
      </w:r>
      <w:proofErr w:type="spellEnd"/>
      <w:r>
        <w:rPr>
          <w:rFonts w:ascii="Times New Roman" w:hAnsi="Times New Roman"/>
          <w:szCs w:val="24"/>
        </w:rPr>
        <w:t xml:space="preserve"> under 100.000</w:t>
      </w:r>
      <w:r>
        <w:rPr>
          <w:rFonts w:ascii="Times New Roman" w:hAnsi="Times New Roman"/>
          <w:iCs/>
          <w:szCs w:val="24"/>
          <w:lang w:eastAsia="pt-PT"/>
        </w:rPr>
        <w:t>/mm</w:t>
      </w:r>
      <w:r>
        <w:rPr>
          <w:rFonts w:ascii="Times New Roman" w:hAnsi="Times New Roman"/>
          <w:iCs/>
          <w:szCs w:val="24"/>
          <w:vertAlign w:val="superscript"/>
          <w:lang w:eastAsia="pt-PT"/>
        </w:rPr>
        <w:t>3</w:t>
      </w:r>
      <w:r>
        <w:rPr>
          <w:rFonts w:ascii="Times New Roman" w:hAnsi="Times New Roman"/>
          <w:szCs w:val="24"/>
        </w:rPr>
        <w:t>.</w:t>
      </w:r>
    </w:p>
    <w:p w:rsidR="004D557A" w:rsidRDefault="004D557A" w:rsidP="004D557A">
      <w:pPr>
        <w:pStyle w:val="Listeafsnit"/>
        <w:numPr>
          <w:ilvl w:val="0"/>
          <w:numId w:val="7"/>
        </w:numPr>
        <w:ind w:left="1418" w:right="-1" w:hanging="567"/>
        <w:rPr>
          <w:szCs w:val="24"/>
        </w:rPr>
      </w:pPr>
      <w:r>
        <w:rPr>
          <w:rFonts w:ascii="Times New Roman" w:hAnsi="Times New Roman"/>
          <w:szCs w:val="24"/>
        </w:rPr>
        <w:t>Amning (se pkt. 4.6).</w:t>
      </w:r>
    </w:p>
    <w:p w:rsidR="004D557A" w:rsidRDefault="004D557A" w:rsidP="004D557A">
      <w:pPr>
        <w:pStyle w:val="Listeafsnit"/>
        <w:numPr>
          <w:ilvl w:val="0"/>
          <w:numId w:val="7"/>
        </w:numPr>
        <w:autoSpaceDE w:val="0"/>
        <w:autoSpaceDN w:val="0"/>
        <w:adjustRightInd w:val="0"/>
        <w:ind w:left="1418" w:right="-1" w:hanging="567"/>
        <w:rPr>
          <w:szCs w:val="24"/>
        </w:rPr>
      </w:pPr>
      <w:r>
        <w:rPr>
          <w:rFonts w:ascii="Times New Roman" w:hAnsi="Times New Roman"/>
          <w:szCs w:val="24"/>
        </w:rPr>
        <w:t xml:space="preserve">Kvinder i den fødedygtige alder, der ikke benytter effektiv prævention (se pkt. 4.4 og 4.6) </w:t>
      </w:r>
    </w:p>
    <w:p w:rsidR="004D557A" w:rsidRDefault="004D557A" w:rsidP="004D557A">
      <w:pPr>
        <w:pStyle w:val="Listeafsnit"/>
        <w:numPr>
          <w:ilvl w:val="0"/>
          <w:numId w:val="7"/>
        </w:numPr>
        <w:ind w:left="1418" w:right="-1" w:hanging="567"/>
        <w:rPr>
          <w:szCs w:val="24"/>
        </w:rPr>
      </w:pPr>
      <w:r>
        <w:rPr>
          <w:rFonts w:ascii="Times New Roman" w:hAnsi="Times New Roman"/>
          <w:szCs w:val="24"/>
        </w:rPr>
        <w:t>Kombineret med vaccination mod gul feber (se pkt. 4.5).</w:t>
      </w:r>
    </w:p>
    <w:p w:rsidR="00BA65AA" w:rsidRPr="00C84483" w:rsidRDefault="00BA65AA" w:rsidP="004D557A">
      <w:pPr>
        <w:ind w:left="1134" w:right="-1" w:hanging="283"/>
        <w:rPr>
          <w:sz w:val="24"/>
          <w:szCs w:val="24"/>
        </w:rPr>
      </w:pPr>
    </w:p>
    <w:p w:rsidR="00BA65AA" w:rsidRPr="00C84483" w:rsidRDefault="00BA65AA" w:rsidP="00BA65AA">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BA65AA" w:rsidRDefault="00BA65AA" w:rsidP="00BA65AA">
      <w:pPr>
        <w:ind w:left="851"/>
        <w:rPr>
          <w:sz w:val="24"/>
          <w:szCs w:val="24"/>
          <w:u w:val="single"/>
        </w:rPr>
      </w:pPr>
    </w:p>
    <w:p w:rsidR="004D557A" w:rsidRDefault="004D557A" w:rsidP="004D557A">
      <w:pPr>
        <w:ind w:left="851" w:right="-1"/>
        <w:rPr>
          <w:sz w:val="24"/>
          <w:szCs w:val="24"/>
          <w:u w:val="single"/>
        </w:rPr>
      </w:pPr>
      <w:r>
        <w:rPr>
          <w:sz w:val="24"/>
          <w:szCs w:val="24"/>
          <w:u w:val="single"/>
        </w:rPr>
        <w:t>Særlige advarsler</w:t>
      </w:r>
    </w:p>
    <w:p w:rsidR="004D557A" w:rsidRDefault="004D557A" w:rsidP="004D557A">
      <w:pPr>
        <w:ind w:left="851" w:right="-1"/>
        <w:rPr>
          <w:sz w:val="24"/>
          <w:szCs w:val="24"/>
        </w:rPr>
      </w:pPr>
      <w:proofErr w:type="spellStart"/>
      <w:r>
        <w:rPr>
          <w:sz w:val="24"/>
          <w:szCs w:val="24"/>
        </w:rPr>
        <w:t>Vinorelbin</w:t>
      </w:r>
      <w:proofErr w:type="spellEnd"/>
      <w:r>
        <w:rPr>
          <w:sz w:val="24"/>
          <w:szCs w:val="24"/>
        </w:rPr>
        <w:t xml:space="preserve"> bør indgives under opsyn af en læge med stor erfaring i anvendelse af kemoterapi.</w:t>
      </w:r>
    </w:p>
    <w:p w:rsidR="004D557A" w:rsidRDefault="004D557A" w:rsidP="004D557A">
      <w:pPr>
        <w:tabs>
          <w:tab w:val="left" w:pos="1793"/>
        </w:tabs>
        <w:ind w:left="851" w:right="-1"/>
        <w:rPr>
          <w:sz w:val="24"/>
          <w:szCs w:val="24"/>
        </w:rPr>
      </w:pPr>
    </w:p>
    <w:p w:rsidR="004D557A" w:rsidRDefault="004D557A" w:rsidP="004D557A">
      <w:pPr>
        <w:tabs>
          <w:tab w:val="left" w:pos="1793"/>
        </w:tabs>
        <w:ind w:left="851" w:right="-1"/>
        <w:rPr>
          <w:sz w:val="24"/>
          <w:szCs w:val="24"/>
        </w:rPr>
      </w:pPr>
      <w:proofErr w:type="spellStart"/>
      <w:r>
        <w:rPr>
          <w:sz w:val="24"/>
          <w:szCs w:val="24"/>
        </w:rPr>
        <w:t>Vinorelbin</w:t>
      </w:r>
      <w:proofErr w:type="spellEnd"/>
      <w:r>
        <w:rPr>
          <w:sz w:val="24"/>
          <w:szCs w:val="24"/>
        </w:rPr>
        <w:t xml:space="preserve"> må kun anvendes intravenøst.</w:t>
      </w:r>
    </w:p>
    <w:p w:rsidR="004D557A" w:rsidRDefault="004D557A" w:rsidP="004D557A">
      <w:pPr>
        <w:tabs>
          <w:tab w:val="left" w:pos="1793"/>
        </w:tabs>
        <w:ind w:left="851" w:right="-1"/>
        <w:rPr>
          <w:sz w:val="24"/>
          <w:szCs w:val="24"/>
        </w:rPr>
      </w:pPr>
    </w:p>
    <w:p w:rsidR="004D557A" w:rsidRDefault="004D557A" w:rsidP="004D557A">
      <w:pPr>
        <w:ind w:left="851" w:right="-1"/>
        <w:rPr>
          <w:sz w:val="24"/>
          <w:szCs w:val="24"/>
        </w:rPr>
      </w:pPr>
      <w:r>
        <w:rPr>
          <w:sz w:val="24"/>
          <w:szCs w:val="24"/>
        </w:rPr>
        <w:t xml:space="preserve">Da hæmning af det </w:t>
      </w:r>
      <w:proofErr w:type="spellStart"/>
      <w:r>
        <w:rPr>
          <w:sz w:val="24"/>
          <w:szCs w:val="24"/>
        </w:rPr>
        <w:t>hæmatopoietiske</w:t>
      </w:r>
      <w:proofErr w:type="spellEnd"/>
      <w:r>
        <w:rPr>
          <w:sz w:val="24"/>
          <w:szCs w:val="24"/>
        </w:rPr>
        <w:t xml:space="preserve"> system er den største risiko forbundet med administration af </w:t>
      </w:r>
      <w:proofErr w:type="spellStart"/>
      <w:r>
        <w:rPr>
          <w:sz w:val="24"/>
          <w:szCs w:val="24"/>
        </w:rPr>
        <w:t>Vinorelbin</w:t>
      </w:r>
      <w:proofErr w:type="spellEnd"/>
      <w:r>
        <w:rPr>
          <w:sz w:val="24"/>
          <w:szCs w:val="24"/>
        </w:rPr>
        <w:t xml:space="preserve"> "</w:t>
      </w:r>
      <w:proofErr w:type="spellStart"/>
      <w:r>
        <w:rPr>
          <w:sz w:val="24"/>
          <w:szCs w:val="24"/>
        </w:rPr>
        <w:t>Accord</w:t>
      </w:r>
      <w:proofErr w:type="spellEnd"/>
      <w:r>
        <w:rPr>
          <w:sz w:val="24"/>
          <w:szCs w:val="24"/>
        </w:rPr>
        <w:t xml:space="preserve">", er det nødvendigt med nøje hæmatologisk monitorering under behandlingen (bestemmelse af hæmoglobinniveau og leukocyttal, </w:t>
      </w:r>
      <w:proofErr w:type="spellStart"/>
      <w:r>
        <w:rPr>
          <w:sz w:val="24"/>
          <w:szCs w:val="24"/>
        </w:rPr>
        <w:t>neutrofiltal</w:t>
      </w:r>
      <w:proofErr w:type="spellEnd"/>
      <w:r>
        <w:rPr>
          <w:sz w:val="24"/>
          <w:szCs w:val="24"/>
        </w:rPr>
        <w:t xml:space="preserve"> og </w:t>
      </w:r>
      <w:proofErr w:type="spellStart"/>
      <w:r>
        <w:rPr>
          <w:sz w:val="24"/>
          <w:szCs w:val="24"/>
        </w:rPr>
        <w:t>trombocytantal</w:t>
      </w:r>
      <w:proofErr w:type="spellEnd"/>
      <w:r>
        <w:rPr>
          <w:sz w:val="24"/>
          <w:szCs w:val="24"/>
        </w:rPr>
        <w:t xml:space="preserve"> på dagen for hver ny indgift).</w:t>
      </w:r>
    </w:p>
    <w:p w:rsidR="004D557A" w:rsidRDefault="004D557A" w:rsidP="004D557A">
      <w:pPr>
        <w:ind w:left="851" w:right="-1"/>
        <w:rPr>
          <w:sz w:val="24"/>
          <w:szCs w:val="24"/>
        </w:rPr>
      </w:pPr>
    </w:p>
    <w:p w:rsidR="004D557A" w:rsidRDefault="004D557A" w:rsidP="004D557A">
      <w:pPr>
        <w:ind w:left="851" w:right="-1"/>
        <w:rPr>
          <w:sz w:val="24"/>
          <w:szCs w:val="24"/>
        </w:rPr>
      </w:pPr>
      <w:r>
        <w:rPr>
          <w:sz w:val="24"/>
          <w:szCs w:val="24"/>
        </w:rPr>
        <w:t xml:space="preserve">Det er især </w:t>
      </w:r>
      <w:proofErr w:type="spellStart"/>
      <w:r>
        <w:rPr>
          <w:sz w:val="24"/>
          <w:szCs w:val="24"/>
        </w:rPr>
        <w:t>neutropeni</w:t>
      </w:r>
      <w:proofErr w:type="spellEnd"/>
      <w:r>
        <w:rPr>
          <w:sz w:val="24"/>
          <w:szCs w:val="24"/>
        </w:rPr>
        <w:t xml:space="preserve">, der begrænser dosis. Effekten er non-kumulativ og når nadir 7-14 dage efter indgift, og den er hurtigt reversibel og er reversibel i løbet af 5-7 dage. Hvis </w:t>
      </w:r>
      <w:proofErr w:type="spellStart"/>
      <w:r>
        <w:rPr>
          <w:sz w:val="24"/>
          <w:szCs w:val="24"/>
        </w:rPr>
        <w:t>neutrofiltallet</w:t>
      </w:r>
      <w:proofErr w:type="spellEnd"/>
      <w:r>
        <w:rPr>
          <w:sz w:val="24"/>
          <w:szCs w:val="24"/>
        </w:rPr>
        <w:t xml:space="preserve"> er under 1500/mm³ og/eller </w:t>
      </w:r>
      <w:proofErr w:type="spellStart"/>
      <w:r>
        <w:rPr>
          <w:sz w:val="24"/>
          <w:szCs w:val="24"/>
        </w:rPr>
        <w:t>trombocyttallet</w:t>
      </w:r>
      <w:proofErr w:type="spellEnd"/>
      <w:r>
        <w:rPr>
          <w:sz w:val="24"/>
          <w:szCs w:val="24"/>
        </w:rPr>
        <w:t xml:space="preserve"> er under 100.000/mm³, bør behandlingen udskydes indtil restitution.</w:t>
      </w:r>
    </w:p>
    <w:p w:rsidR="004D557A" w:rsidRDefault="004D557A" w:rsidP="004D557A">
      <w:pPr>
        <w:ind w:left="851" w:right="-1"/>
        <w:rPr>
          <w:sz w:val="24"/>
          <w:szCs w:val="24"/>
        </w:rPr>
      </w:pPr>
      <w:r>
        <w:rPr>
          <w:sz w:val="24"/>
          <w:szCs w:val="24"/>
        </w:rPr>
        <w:t>Hvis patienterne udviser tegn eller symptomer, som tyder på infektion, skal dette straks undersøges nærmere.</w:t>
      </w:r>
    </w:p>
    <w:p w:rsidR="004D557A" w:rsidRDefault="004D557A" w:rsidP="004D557A">
      <w:pPr>
        <w:ind w:left="851" w:right="-1"/>
        <w:rPr>
          <w:sz w:val="24"/>
          <w:szCs w:val="24"/>
          <w:u w:val="single"/>
        </w:rPr>
      </w:pPr>
    </w:p>
    <w:p w:rsidR="004D557A" w:rsidRDefault="004D557A" w:rsidP="004D557A">
      <w:pPr>
        <w:ind w:left="851" w:right="-1"/>
        <w:rPr>
          <w:sz w:val="24"/>
          <w:szCs w:val="24"/>
          <w:u w:val="single"/>
        </w:rPr>
      </w:pPr>
      <w:r>
        <w:rPr>
          <w:sz w:val="24"/>
          <w:szCs w:val="24"/>
          <w:u w:val="single"/>
        </w:rPr>
        <w:t>Særlige forsigtighedsregler vedrørende brugen</w:t>
      </w:r>
    </w:p>
    <w:p w:rsidR="004D557A" w:rsidRDefault="004D557A" w:rsidP="004D557A">
      <w:pPr>
        <w:ind w:left="851" w:right="-1"/>
        <w:rPr>
          <w:sz w:val="24"/>
          <w:szCs w:val="24"/>
        </w:rPr>
      </w:pPr>
      <w:r>
        <w:rPr>
          <w:sz w:val="24"/>
          <w:szCs w:val="24"/>
        </w:rPr>
        <w:t>Der bør udvises særlig forsigtighed hos patienter med iskæmisk hjertesygdom i anamnesen (se pkt. 4.8).</w:t>
      </w:r>
    </w:p>
    <w:p w:rsidR="004D557A" w:rsidRDefault="004D557A" w:rsidP="004D557A">
      <w:pPr>
        <w:ind w:left="851" w:right="-1"/>
        <w:rPr>
          <w:sz w:val="24"/>
          <w:szCs w:val="24"/>
        </w:rPr>
      </w:pPr>
      <w:r>
        <w:rPr>
          <w:sz w:val="24"/>
          <w:szCs w:val="24"/>
        </w:rPr>
        <w:t xml:space="preserve">Farmakokinetikken af </w:t>
      </w:r>
      <w:proofErr w:type="spellStart"/>
      <w:r>
        <w:rPr>
          <w:sz w:val="24"/>
          <w:szCs w:val="24"/>
        </w:rPr>
        <w:t>vinorelbin</w:t>
      </w:r>
      <w:proofErr w:type="spellEnd"/>
      <w:r>
        <w:rPr>
          <w:sz w:val="24"/>
          <w:szCs w:val="24"/>
        </w:rPr>
        <w:t xml:space="preserve"> er ikke anderledes hos patienter med moderat eller svær leverinsufficiens. Se pkt. 4.2 angående dosisjustering i denne specifikke patientgruppe.</w:t>
      </w:r>
    </w:p>
    <w:p w:rsidR="004D557A" w:rsidRDefault="004D557A" w:rsidP="004D557A">
      <w:pPr>
        <w:ind w:left="851" w:right="-1"/>
        <w:rPr>
          <w:sz w:val="24"/>
          <w:szCs w:val="24"/>
        </w:rPr>
      </w:pPr>
    </w:p>
    <w:p w:rsidR="004D557A" w:rsidRDefault="004D557A" w:rsidP="004D557A">
      <w:pPr>
        <w:ind w:left="851" w:right="-1"/>
        <w:rPr>
          <w:sz w:val="24"/>
          <w:szCs w:val="24"/>
        </w:rPr>
      </w:pPr>
      <w:r>
        <w:rPr>
          <w:sz w:val="24"/>
          <w:szCs w:val="24"/>
        </w:rPr>
        <w:t xml:space="preserve">Da den </w:t>
      </w:r>
      <w:proofErr w:type="spellStart"/>
      <w:r>
        <w:rPr>
          <w:sz w:val="24"/>
          <w:szCs w:val="24"/>
        </w:rPr>
        <w:t>renale</w:t>
      </w:r>
      <w:proofErr w:type="spellEnd"/>
      <w:r>
        <w:rPr>
          <w:sz w:val="24"/>
          <w:szCs w:val="24"/>
        </w:rPr>
        <w:t xml:space="preserve"> udskillelse er lav, er der intet </w:t>
      </w:r>
      <w:proofErr w:type="spellStart"/>
      <w:r>
        <w:rPr>
          <w:sz w:val="24"/>
          <w:szCs w:val="24"/>
        </w:rPr>
        <w:t>farmakokinetisk</w:t>
      </w:r>
      <w:proofErr w:type="spellEnd"/>
      <w:r>
        <w:rPr>
          <w:sz w:val="24"/>
          <w:szCs w:val="24"/>
        </w:rPr>
        <w:t xml:space="preserve"> belæg for at reducere </w:t>
      </w:r>
      <w:proofErr w:type="spellStart"/>
      <w:r>
        <w:rPr>
          <w:sz w:val="24"/>
          <w:szCs w:val="24"/>
        </w:rPr>
        <w:t>vinorelbindosis</w:t>
      </w:r>
      <w:proofErr w:type="spellEnd"/>
      <w:r>
        <w:rPr>
          <w:sz w:val="24"/>
          <w:szCs w:val="24"/>
        </w:rPr>
        <w:t xml:space="preserve"> hos patienter med nedsat nyrefunktion. Se punkt 4.2.</w:t>
      </w:r>
    </w:p>
    <w:p w:rsidR="004D557A" w:rsidRDefault="004D557A" w:rsidP="004D557A">
      <w:pPr>
        <w:ind w:left="851" w:right="-1"/>
        <w:rPr>
          <w:sz w:val="24"/>
          <w:szCs w:val="24"/>
        </w:rPr>
      </w:pPr>
      <w:proofErr w:type="spellStart"/>
      <w:r>
        <w:rPr>
          <w:sz w:val="24"/>
          <w:szCs w:val="24"/>
        </w:rPr>
        <w:t>Vinorelbin</w:t>
      </w:r>
      <w:proofErr w:type="spellEnd"/>
      <w:r>
        <w:rPr>
          <w:sz w:val="24"/>
          <w:szCs w:val="24"/>
        </w:rPr>
        <w:t xml:space="preserve"> "</w:t>
      </w:r>
      <w:proofErr w:type="spellStart"/>
      <w:r>
        <w:rPr>
          <w:sz w:val="24"/>
          <w:szCs w:val="24"/>
        </w:rPr>
        <w:t>Accord</w:t>
      </w:r>
      <w:proofErr w:type="spellEnd"/>
      <w:r>
        <w:rPr>
          <w:sz w:val="24"/>
          <w:szCs w:val="24"/>
        </w:rPr>
        <w:t>" må ikke indgives samtidig med strålebehandling, hvis behandlingsområdet omfatter leveren.</w:t>
      </w:r>
    </w:p>
    <w:p w:rsidR="004D557A" w:rsidRDefault="004D557A" w:rsidP="004D557A">
      <w:pPr>
        <w:ind w:left="851" w:right="-1"/>
        <w:rPr>
          <w:sz w:val="24"/>
          <w:szCs w:val="24"/>
        </w:rPr>
      </w:pPr>
    </w:p>
    <w:p w:rsidR="004D557A" w:rsidRDefault="004D557A" w:rsidP="004D557A">
      <w:pPr>
        <w:ind w:left="851" w:right="-1"/>
        <w:rPr>
          <w:sz w:val="24"/>
          <w:szCs w:val="24"/>
        </w:rPr>
      </w:pPr>
      <w:r>
        <w:rPr>
          <w:sz w:val="24"/>
          <w:szCs w:val="24"/>
        </w:rPr>
        <w:t>Dette lægemiddel er specifikt kontraindiceret sammen med vaccine mod gul feber. Samtidig brug af andre levende, svækkede vacciner anbefales ikke.</w:t>
      </w:r>
    </w:p>
    <w:p w:rsidR="004D557A" w:rsidRDefault="004D557A" w:rsidP="004D557A">
      <w:pPr>
        <w:ind w:left="851" w:right="-1"/>
        <w:rPr>
          <w:sz w:val="24"/>
          <w:szCs w:val="24"/>
        </w:rPr>
      </w:pPr>
      <w:r>
        <w:rPr>
          <w:sz w:val="24"/>
          <w:szCs w:val="24"/>
        </w:rPr>
        <w:lastRenderedPageBreak/>
        <w:t>Administrationen af ​​</w:t>
      </w:r>
      <w:proofErr w:type="spellStart"/>
      <w:r>
        <w:rPr>
          <w:sz w:val="24"/>
          <w:szCs w:val="24"/>
        </w:rPr>
        <w:t>Vinorelbin</w:t>
      </w:r>
      <w:proofErr w:type="spellEnd"/>
      <w:r>
        <w:rPr>
          <w:sz w:val="24"/>
          <w:szCs w:val="24"/>
        </w:rPr>
        <w:t xml:space="preserve"> "</w:t>
      </w:r>
      <w:proofErr w:type="spellStart"/>
      <w:r>
        <w:rPr>
          <w:sz w:val="24"/>
          <w:szCs w:val="24"/>
        </w:rPr>
        <w:t>Accord</w:t>
      </w:r>
      <w:proofErr w:type="spellEnd"/>
      <w:r>
        <w:rPr>
          <w:sz w:val="24"/>
          <w:szCs w:val="24"/>
        </w:rPr>
        <w:t xml:space="preserve">" med potente CYP3A4-inducere kræver forsigtighed (se </w:t>
      </w:r>
      <w:proofErr w:type="spellStart"/>
      <w:r>
        <w:rPr>
          <w:sz w:val="24"/>
          <w:szCs w:val="24"/>
        </w:rPr>
        <w:t>pkt</w:t>
      </w:r>
      <w:proofErr w:type="spellEnd"/>
      <w:r>
        <w:rPr>
          <w:sz w:val="24"/>
          <w:szCs w:val="24"/>
        </w:rPr>
        <w:t xml:space="preserve"> 4.5). Samtidig brug af </w:t>
      </w:r>
      <w:proofErr w:type="spellStart"/>
      <w:r>
        <w:rPr>
          <w:sz w:val="24"/>
          <w:szCs w:val="24"/>
        </w:rPr>
        <w:t>phenytoin</w:t>
      </w:r>
      <w:proofErr w:type="spellEnd"/>
      <w:r>
        <w:rPr>
          <w:sz w:val="24"/>
          <w:szCs w:val="24"/>
        </w:rPr>
        <w:t xml:space="preserve"> (og alle andre </w:t>
      </w:r>
      <w:proofErr w:type="spellStart"/>
      <w:r>
        <w:rPr>
          <w:sz w:val="24"/>
          <w:szCs w:val="24"/>
        </w:rPr>
        <w:t>cytostatika</w:t>
      </w:r>
      <w:proofErr w:type="spellEnd"/>
      <w:r>
        <w:rPr>
          <w:sz w:val="24"/>
          <w:szCs w:val="24"/>
        </w:rPr>
        <w:t xml:space="preserve">) og </w:t>
      </w:r>
      <w:proofErr w:type="spellStart"/>
      <w:r>
        <w:rPr>
          <w:sz w:val="24"/>
          <w:szCs w:val="24"/>
        </w:rPr>
        <w:t>itraconazol</w:t>
      </w:r>
      <w:proofErr w:type="spellEnd"/>
      <w:r>
        <w:rPr>
          <w:sz w:val="24"/>
          <w:szCs w:val="24"/>
        </w:rPr>
        <w:t xml:space="preserve"> (og alle andre vinca-alkaloider) frarådes.</w:t>
      </w:r>
    </w:p>
    <w:p w:rsidR="004D557A" w:rsidRDefault="004D557A" w:rsidP="004D557A">
      <w:pPr>
        <w:ind w:left="851" w:right="-1"/>
        <w:rPr>
          <w:sz w:val="24"/>
          <w:szCs w:val="24"/>
        </w:rPr>
      </w:pPr>
    </w:p>
    <w:p w:rsidR="004D557A" w:rsidRDefault="004D557A" w:rsidP="004D557A">
      <w:pPr>
        <w:ind w:left="851" w:right="-1"/>
        <w:rPr>
          <w:sz w:val="24"/>
          <w:szCs w:val="24"/>
        </w:rPr>
      </w:pPr>
      <w:proofErr w:type="spellStart"/>
      <w:r>
        <w:rPr>
          <w:sz w:val="24"/>
          <w:szCs w:val="24"/>
        </w:rPr>
        <w:t>Vinorelbin</w:t>
      </w:r>
      <w:proofErr w:type="spellEnd"/>
      <w:r>
        <w:rPr>
          <w:sz w:val="24"/>
          <w:szCs w:val="24"/>
        </w:rPr>
        <w:t xml:space="preserve"> "</w:t>
      </w:r>
      <w:proofErr w:type="spellStart"/>
      <w:r>
        <w:rPr>
          <w:sz w:val="24"/>
          <w:szCs w:val="24"/>
        </w:rPr>
        <w:t>Accord</w:t>
      </w:r>
      <w:proofErr w:type="spellEnd"/>
      <w:r>
        <w:rPr>
          <w:sz w:val="24"/>
          <w:szCs w:val="24"/>
        </w:rPr>
        <w:t xml:space="preserve">" må ikke komme i kontakt med øjnene, da det indebærer en risiko for alvorlig irritation og muligvis sår på </w:t>
      </w:r>
      <w:proofErr w:type="spellStart"/>
      <w:r>
        <w:rPr>
          <w:sz w:val="24"/>
          <w:szCs w:val="24"/>
        </w:rPr>
        <w:t>cornea</w:t>
      </w:r>
      <w:proofErr w:type="spellEnd"/>
      <w:r>
        <w:rPr>
          <w:sz w:val="24"/>
          <w:szCs w:val="24"/>
        </w:rPr>
        <w:t xml:space="preserve">, hvis præparatet </w:t>
      </w:r>
      <w:proofErr w:type="spellStart"/>
      <w:r>
        <w:rPr>
          <w:sz w:val="24"/>
          <w:szCs w:val="24"/>
        </w:rPr>
        <w:t>påsprøjtes</w:t>
      </w:r>
      <w:proofErr w:type="spellEnd"/>
      <w:r>
        <w:rPr>
          <w:sz w:val="24"/>
          <w:szCs w:val="24"/>
        </w:rPr>
        <w:t xml:space="preserve"> under tryk. Hvis præparatet kommer i kontakt med øjnene, bør de straks skylles med en 9 mg/ml (0,9 %) </w:t>
      </w:r>
      <w:proofErr w:type="spellStart"/>
      <w:r>
        <w:rPr>
          <w:sz w:val="24"/>
          <w:szCs w:val="24"/>
        </w:rPr>
        <w:t>natriumchloridopløsning</w:t>
      </w:r>
      <w:proofErr w:type="spellEnd"/>
      <w:r>
        <w:rPr>
          <w:sz w:val="24"/>
          <w:szCs w:val="24"/>
        </w:rPr>
        <w:t xml:space="preserve"> </w:t>
      </w:r>
      <w:r>
        <w:rPr>
          <w:sz w:val="24"/>
          <w:szCs w:val="24"/>
          <w:u w:val="single"/>
        </w:rPr>
        <w:t>og en øjenlæge kontaktes</w:t>
      </w:r>
      <w:r>
        <w:rPr>
          <w:sz w:val="24"/>
          <w:szCs w:val="24"/>
        </w:rPr>
        <w:t>.</w:t>
      </w:r>
    </w:p>
    <w:p w:rsidR="004D557A" w:rsidRDefault="004D557A" w:rsidP="004D557A">
      <w:pPr>
        <w:ind w:left="851" w:right="-1"/>
        <w:rPr>
          <w:sz w:val="24"/>
          <w:szCs w:val="24"/>
        </w:rPr>
      </w:pPr>
    </w:p>
    <w:p w:rsidR="004D557A" w:rsidRDefault="004D557A" w:rsidP="004D557A">
      <w:pPr>
        <w:ind w:left="851" w:right="-1"/>
        <w:rPr>
          <w:sz w:val="24"/>
          <w:szCs w:val="24"/>
        </w:rPr>
      </w:pPr>
      <w:r>
        <w:rPr>
          <w:sz w:val="24"/>
          <w:szCs w:val="24"/>
        </w:rPr>
        <w:t xml:space="preserve">For at reducere risikoen for </w:t>
      </w:r>
      <w:proofErr w:type="spellStart"/>
      <w:r>
        <w:rPr>
          <w:sz w:val="24"/>
          <w:szCs w:val="24"/>
        </w:rPr>
        <w:t>bronkospasme</w:t>
      </w:r>
      <w:proofErr w:type="spellEnd"/>
      <w:r>
        <w:rPr>
          <w:sz w:val="24"/>
          <w:szCs w:val="24"/>
        </w:rPr>
        <w:t xml:space="preserve">, især hvis det anvendes samtidig med </w:t>
      </w:r>
      <w:proofErr w:type="spellStart"/>
      <w:r>
        <w:rPr>
          <w:sz w:val="24"/>
          <w:szCs w:val="24"/>
        </w:rPr>
        <w:t>mitomycin</w:t>
      </w:r>
      <w:proofErr w:type="spellEnd"/>
      <w:r>
        <w:rPr>
          <w:sz w:val="24"/>
          <w:szCs w:val="24"/>
        </w:rPr>
        <w:t xml:space="preserve"> C, bør der overvejes passende sikkerhedsforanstaltninger. Patienter, der behandles ambulant, bør oplyses om, at de skal kontakte en læge i tilfælde af åndenød.</w:t>
      </w:r>
    </w:p>
    <w:p w:rsidR="004D557A" w:rsidRDefault="004D557A" w:rsidP="004D557A">
      <w:pPr>
        <w:ind w:left="851" w:right="-1"/>
        <w:rPr>
          <w:sz w:val="24"/>
          <w:szCs w:val="24"/>
        </w:rPr>
      </w:pPr>
      <w:proofErr w:type="spellStart"/>
      <w:r>
        <w:rPr>
          <w:sz w:val="24"/>
          <w:szCs w:val="24"/>
        </w:rPr>
        <w:t>Interstitiel</w:t>
      </w:r>
      <w:proofErr w:type="spellEnd"/>
      <w:r>
        <w:rPr>
          <w:sz w:val="24"/>
          <w:szCs w:val="24"/>
        </w:rPr>
        <w:t xml:space="preserve"> lungesygdom er blevet indberettet hyppigere i den japanske befolkning. Der er derfor behov for særlig opmærksomhed i denne specifikke population.</w:t>
      </w:r>
    </w:p>
    <w:p w:rsidR="00BA65AA" w:rsidRPr="00C84483" w:rsidRDefault="00BA65AA" w:rsidP="00BA65AA">
      <w:pPr>
        <w:tabs>
          <w:tab w:val="left" w:pos="851"/>
        </w:tabs>
        <w:ind w:left="851"/>
        <w:rPr>
          <w:sz w:val="24"/>
          <w:szCs w:val="24"/>
        </w:rPr>
      </w:pPr>
    </w:p>
    <w:p w:rsidR="00BA65AA" w:rsidRPr="00C84483" w:rsidRDefault="00BA65AA" w:rsidP="00BA65AA">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BA65AA" w:rsidRPr="0035129B" w:rsidRDefault="00BA65AA" w:rsidP="00BA65AA">
      <w:pPr>
        <w:ind w:left="851"/>
        <w:rPr>
          <w:sz w:val="24"/>
          <w:szCs w:val="24"/>
        </w:rPr>
      </w:pPr>
    </w:p>
    <w:p w:rsidR="004D557A" w:rsidRDefault="004D557A" w:rsidP="004D557A">
      <w:pPr>
        <w:ind w:left="851" w:right="-1"/>
        <w:rPr>
          <w:bCs/>
          <w:sz w:val="24"/>
          <w:szCs w:val="24"/>
          <w:u w:val="single"/>
        </w:rPr>
      </w:pPr>
      <w:r>
        <w:rPr>
          <w:bCs/>
          <w:sz w:val="24"/>
          <w:szCs w:val="24"/>
          <w:u w:val="single"/>
        </w:rPr>
        <w:t xml:space="preserve">Interaktioner, som er almindelige for alle </w:t>
      </w:r>
      <w:proofErr w:type="spellStart"/>
      <w:r>
        <w:rPr>
          <w:bCs/>
          <w:sz w:val="24"/>
          <w:szCs w:val="24"/>
          <w:u w:val="single"/>
        </w:rPr>
        <w:t>cytotoksika</w:t>
      </w:r>
      <w:proofErr w:type="spellEnd"/>
    </w:p>
    <w:p w:rsidR="004D557A" w:rsidRDefault="004D557A" w:rsidP="004D557A">
      <w:pPr>
        <w:ind w:left="851" w:right="-1"/>
        <w:rPr>
          <w:sz w:val="24"/>
          <w:szCs w:val="24"/>
        </w:rPr>
      </w:pPr>
      <w:r>
        <w:rPr>
          <w:sz w:val="24"/>
          <w:szCs w:val="24"/>
        </w:rPr>
        <w:t xml:space="preserve">På grund af den øgede risiko for trombose i forbindelse med tumorsygdom anvendes der hyppigt antikoagulerende behandling. På grund af den høje intraindividuelle variation i koagulationsevnen i forbindelse med sygdom og muligheden for interaktion mellem orale </w:t>
      </w:r>
      <w:proofErr w:type="spellStart"/>
      <w:r>
        <w:rPr>
          <w:sz w:val="24"/>
          <w:szCs w:val="24"/>
        </w:rPr>
        <w:t>antikoagulantia</w:t>
      </w:r>
      <w:proofErr w:type="spellEnd"/>
      <w:r>
        <w:rPr>
          <w:sz w:val="24"/>
          <w:szCs w:val="24"/>
        </w:rPr>
        <w:t xml:space="preserve"> og kemoterapi skal INR (international normaliseret ratio) monitoreres hyppigere, hvis der tages beslutning om at behandle patienten med orale </w:t>
      </w:r>
      <w:proofErr w:type="spellStart"/>
      <w:r>
        <w:rPr>
          <w:sz w:val="24"/>
          <w:szCs w:val="24"/>
        </w:rPr>
        <w:t>antikoagulantia</w:t>
      </w:r>
      <w:proofErr w:type="spellEnd"/>
      <w:r>
        <w:rPr>
          <w:sz w:val="24"/>
          <w:szCs w:val="24"/>
        </w:rPr>
        <w:t>.</w:t>
      </w:r>
    </w:p>
    <w:p w:rsidR="004D557A" w:rsidRDefault="004D557A" w:rsidP="004D557A">
      <w:pPr>
        <w:ind w:left="851" w:right="-1"/>
        <w:rPr>
          <w:sz w:val="24"/>
          <w:szCs w:val="24"/>
        </w:rPr>
      </w:pPr>
    </w:p>
    <w:p w:rsidR="004D557A" w:rsidRDefault="004D557A" w:rsidP="004D557A">
      <w:pPr>
        <w:ind w:left="851" w:right="-1"/>
        <w:rPr>
          <w:sz w:val="24"/>
          <w:szCs w:val="24"/>
        </w:rPr>
      </w:pPr>
      <w:r>
        <w:rPr>
          <w:sz w:val="24"/>
          <w:szCs w:val="24"/>
          <w:u w:val="single"/>
        </w:rPr>
        <w:t>Samtidig brug er kontraindiceret</w:t>
      </w:r>
    </w:p>
    <w:p w:rsidR="004D557A" w:rsidRDefault="004D557A" w:rsidP="004D557A">
      <w:pPr>
        <w:ind w:left="851" w:right="-1"/>
        <w:rPr>
          <w:sz w:val="24"/>
          <w:szCs w:val="24"/>
        </w:rPr>
      </w:pPr>
      <w:r>
        <w:rPr>
          <w:i/>
          <w:sz w:val="24"/>
          <w:szCs w:val="24"/>
        </w:rPr>
        <w:t>Gul feber-vaccine</w:t>
      </w:r>
      <w:r>
        <w:rPr>
          <w:sz w:val="24"/>
          <w:szCs w:val="24"/>
        </w:rPr>
        <w:t>: Risiko for dødelig systemisk vaccinesygdom (se pkt. 4.3).</w:t>
      </w:r>
    </w:p>
    <w:p w:rsidR="004D557A" w:rsidRDefault="004D557A" w:rsidP="004D557A">
      <w:pPr>
        <w:ind w:left="851" w:right="-1"/>
        <w:rPr>
          <w:sz w:val="24"/>
          <w:szCs w:val="24"/>
        </w:rPr>
      </w:pPr>
    </w:p>
    <w:p w:rsidR="004D557A" w:rsidRDefault="004D557A" w:rsidP="004D557A">
      <w:pPr>
        <w:ind w:left="851" w:right="-1"/>
        <w:rPr>
          <w:sz w:val="24"/>
          <w:szCs w:val="24"/>
        </w:rPr>
      </w:pPr>
      <w:r>
        <w:rPr>
          <w:sz w:val="24"/>
          <w:szCs w:val="24"/>
          <w:u w:val="single"/>
        </w:rPr>
        <w:t>Samtidig brug frarådes</w:t>
      </w:r>
    </w:p>
    <w:p w:rsidR="004D557A" w:rsidRDefault="004D557A" w:rsidP="004D557A">
      <w:pPr>
        <w:ind w:left="851" w:right="-1"/>
        <w:rPr>
          <w:sz w:val="24"/>
          <w:szCs w:val="24"/>
        </w:rPr>
      </w:pPr>
      <w:r>
        <w:rPr>
          <w:i/>
          <w:sz w:val="24"/>
          <w:szCs w:val="24"/>
        </w:rPr>
        <w:t>Levende, svækkede vacciner (vaccine mod gul feber, se Samtidig brug er kontraindiceret):</w:t>
      </w:r>
      <w:r>
        <w:rPr>
          <w:sz w:val="24"/>
          <w:szCs w:val="24"/>
        </w:rPr>
        <w:t xml:space="preserve"> Risiko for potentielt dødelig systemisk vaccinesygdom. Denne risiko er øget hos patienter, hvis grundsygdom allerede har forårsaget </w:t>
      </w:r>
      <w:proofErr w:type="spellStart"/>
      <w:r>
        <w:rPr>
          <w:sz w:val="24"/>
          <w:szCs w:val="24"/>
        </w:rPr>
        <w:t>immunosuppression</w:t>
      </w:r>
      <w:proofErr w:type="spellEnd"/>
      <w:r>
        <w:rPr>
          <w:sz w:val="24"/>
          <w:szCs w:val="24"/>
        </w:rPr>
        <w:t>. Brug om muligt en inaktiveret vaccine (poliomyelitis). Se punkt 4.4.</w:t>
      </w:r>
    </w:p>
    <w:p w:rsidR="004D557A" w:rsidRDefault="004D557A" w:rsidP="004D557A">
      <w:pPr>
        <w:ind w:left="851" w:right="-1"/>
        <w:rPr>
          <w:sz w:val="24"/>
          <w:szCs w:val="24"/>
        </w:rPr>
      </w:pPr>
    </w:p>
    <w:p w:rsidR="004D557A" w:rsidRDefault="004D557A" w:rsidP="004D557A">
      <w:pPr>
        <w:ind w:left="851" w:right="-1"/>
        <w:rPr>
          <w:sz w:val="24"/>
          <w:szCs w:val="24"/>
        </w:rPr>
      </w:pPr>
      <w:proofErr w:type="spellStart"/>
      <w:r>
        <w:rPr>
          <w:i/>
          <w:sz w:val="24"/>
          <w:szCs w:val="24"/>
        </w:rPr>
        <w:t>Phenytoin</w:t>
      </w:r>
      <w:proofErr w:type="spellEnd"/>
      <w:r>
        <w:rPr>
          <w:sz w:val="24"/>
          <w:szCs w:val="24"/>
        </w:rPr>
        <w:t xml:space="preserve">: Risiko for </w:t>
      </w:r>
      <w:proofErr w:type="spellStart"/>
      <w:r>
        <w:rPr>
          <w:sz w:val="24"/>
          <w:szCs w:val="24"/>
        </w:rPr>
        <w:t>eksacerbation</w:t>
      </w:r>
      <w:proofErr w:type="spellEnd"/>
      <w:r>
        <w:rPr>
          <w:sz w:val="24"/>
          <w:szCs w:val="24"/>
        </w:rPr>
        <w:t xml:space="preserve"> af krampeanfald som følge af nedsat </w:t>
      </w:r>
      <w:proofErr w:type="spellStart"/>
      <w:r>
        <w:rPr>
          <w:sz w:val="24"/>
          <w:szCs w:val="24"/>
        </w:rPr>
        <w:t>gastrointestinal</w:t>
      </w:r>
      <w:proofErr w:type="spellEnd"/>
      <w:r>
        <w:rPr>
          <w:sz w:val="24"/>
          <w:szCs w:val="24"/>
        </w:rPr>
        <w:t xml:space="preserve"> absorption af </w:t>
      </w:r>
      <w:proofErr w:type="spellStart"/>
      <w:r>
        <w:rPr>
          <w:sz w:val="24"/>
          <w:szCs w:val="24"/>
        </w:rPr>
        <w:t>phenytoin</w:t>
      </w:r>
      <w:proofErr w:type="spellEnd"/>
      <w:r>
        <w:rPr>
          <w:sz w:val="24"/>
          <w:szCs w:val="24"/>
        </w:rPr>
        <w:t xml:space="preserve"> eller risiko for øget toksicitet eller nedsat virkning af det </w:t>
      </w:r>
      <w:proofErr w:type="spellStart"/>
      <w:r>
        <w:rPr>
          <w:sz w:val="24"/>
          <w:szCs w:val="24"/>
        </w:rPr>
        <w:t>cytotoksiske</w:t>
      </w:r>
      <w:proofErr w:type="spellEnd"/>
      <w:r>
        <w:rPr>
          <w:sz w:val="24"/>
          <w:szCs w:val="24"/>
        </w:rPr>
        <w:t xml:space="preserve"> middel på grund af øget </w:t>
      </w:r>
      <w:proofErr w:type="spellStart"/>
      <w:r>
        <w:rPr>
          <w:sz w:val="24"/>
          <w:szCs w:val="24"/>
        </w:rPr>
        <w:t>hepatisk</w:t>
      </w:r>
      <w:proofErr w:type="spellEnd"/>
      <w:r>
        <w:rPr>
          <w:sz w:val="24"/>
          <w:szCs w:val="24"/>
        </w:rPr>
        <w:t xml:space="preserve"> metabolisme forårsaget af </w:t>
      </w:r>
      <w:proofErr w:type="spellStart"/>
      <w:r>
        <w:rPr>
          <w:sz w:val="24"/>
          <w:szCs w:val="24"/>
        </w:rPr>
        <w:t>phenytoin</w:t>
      </w:r>
      <w:proofErr w:type="spellEnd"/>
      <w:r>
        <w:rPr>
          <w:sz w:val="24"/>
          <w:szCs w:val="24"/>
        </w:rPr>
        <w:t>.</w:t>
      </w:r>
    </w:p>
    <w:p w:rsidR="004D557A" w:rsidRDefault="004D557A" w:rsidP="004D557A">
      <w:pPr>
        <w:ind w:left="851" w:right="-1"/>
        <w:rPr>
          <w:sz w:val="24"/>
          <w:szCs w:val="24"/>
        </w:rPr>
      </w:pPr>
    </w:p>
    <w:p w:rsidR="004D557A" w:rsidRDefault="004D557A" w:rsidP="004D557A">
      <w:pPr>
        <w:ind w:left="851" w:right="-1"/>
        <w:rPr>
          <w:sz w:val="24"/>
          <w:szCs w:val="24"/>
        </w:rPr>
      </w:pPr>
      <w:r>
        <w:rPr>
          <w:sz w:val="24"/>
          <w:szCs w:val="24"/>
          <w:u w:val="single"/>
        </w:rPr>
        <w:t>Samtidig brug skal ske med omtanke</w:t>
      </w:r>
    </w:p>
    <w:p w:rsidR="004D557A" w:rsidRDefault="004D557A" w:rsidP="004D557A">
      <w:pPr>
        <w:ind w:left="851" w:right="-1"/>
        <w:rPr>
          <w:sz w:val="24"/>
          <w:szCs w:val="24"/>
        </w:rPr>
      </w:pPr>
      <w:proofErr w:type="spellStart"/>
      <w:r>
        <w:rPr>
          <w:i/>
          <w:sz w:val="24"/>
          <w:szCs w:val="24"/>
        </w:rPr>
        <w:t>Ciclosporin</w:t>
      </w:r>
      <w:proofErr w:type="spellEnd"/>
      <w:r>
        <w:rPr>
          <w:i/>
          <w:sz w:val="24"/>
          <w:szCs w:val="24"/>
        </w:rPr>
        <w:t xml:space="preserve">, </w:t>
      </w:r>
      <w:proofErr w:type="spellStart"/>
      <w:r>
        <w:rPr>
          <w:i/>
          <w:sz w:val="24"/>
          <w:szCs w:val="24"/>
        </w:rPr>
        <w:t>tacrolimus</w:t>
      </w:r>
      <w:proofErr w:type="spellEnd"/>
      <w:r>
        <w:rPr>
          <w:sz w:val="24"/>
          <w:szCs w:val="24"/>
        </w:rPr>
        <w:t xml:space="preserve">: Udtalt </w:t>
      </w:r>
      <w:proofErr w:type="spellStart"/>
      <w:r>
        <w:rPr>
          <w:sz w:val="24"/>
          <w:szCs w:val="24"/>
        </w:rPr>
        <w:t>immunosuppression</w:t>
      </w:r>
      <w:proofErr w:type="spellEnd"/>
      <w:r>
        <w:rPr>
          <w:sz w:val="24"/>
          <w:szCs w:val="24"/>
        </w:rPr>
        <w:t xml:space="preserve"> med risiko for </w:t>
      </w:r>
      <w:proofErr w:type="spellStart"/>
      <w:r>
        <w:rPr>
          <w:sz w:val="24"/>
          <w:szCs w:val="24"/>
        </w:rPr>
        <w:t>lymfoproliferation</w:t>
      </w:r>
      <w:proofErr w:type="spellEnd"/>
      <w:r>
        <w:rPr>
          <w:sz w:val="24"/>
          <w:szCs w:val="24"/>
        </w:rPr>
        <w:t>.</w:t>
      </w:r>
    </w:p>
    <w:p w:rsidR="004D557A" w:rsidRDefault="004D557A" w:rsidP="004D557A">
      <w:pPr>
        <w:ind w:left="851" w:right="-1"/>
        <w:rPr>
          <w:sz w:val="24"/>
          <w:szCs w:val="24"/>
        </w:rPr>
      </w:pPr>
      <w:r>
        <w:rPr>
          <w:sz w:val="24"/>
          <w:szCs w:val="24"/>
        </w:rPr>
        <w:t>Interaktioner, der er specifikke for vinca-alkaloider:</w:t>
      </w:r>
    </w:p>
    <w:p w:rsidR="004D557A" w:rsidRDefault="004D557A" w:rsidP="004D557A">
      <w:pPr>
        <w:ind w:left="851" w:right="-1"/>
        <w:rPr>
          <w:sz w:val="24"/>
          <w:szCs w:val="24"/>
        </w:rPr>
      </w:pPr>
    </w:p>
    <w:p w:rsidR="004D557A" w:rsidRDefault="004D557A" w:rsidP="004D557A">
      <w:pPr>
        <w:ind w:left="851" w:right="-1"/>
        <w:rPr>
          <w:sz w:val="24"/>
          <w:szCs w:val="24"/>
        </w:rPr>
      </w:pPr>
      <w:r>
        <w:rPr>
          <w:sz w:val="24"/>
          <w:szCs w:val="24"/>
          <w:u w:val="single"/>
        </w:rPr>
        <w:t>Samtidig brug frarådes</w:t>
      </w:r>
    </w:p>
    <w:p w:rsidR="004D557A" w:rsidRDefault="004D557A" w:rsidP="004D557A">
      <w:pPr>
        <w:ind w:left="851" w:right="-1"/>
        <w:rPr>
          <w:sz w:val="24"/>
          <w:szCs w:val="24"/>
        </w:rPr>
      </w:pPr>
      <w:proofErr w:type="spellStart"/>
      <w:r>
        <w:rPr>
          <w:i/>
          <w:sz w:val="24"/>
          <w:szCs w:val="24"/>
        </w:rPr>
        <w:t>Itraconazol</w:t>
      </w:r>
      <w:proofErr w:type="spellEnd"/>
      <w:r>
        <w:rPr>
          <w:sz w:val="24"/>
          <w:szCs w:val="24"/>
        </w:rPr>
        <w:t xml:space="preserve">: Øget </w:t>
      </w:r>
      <w:proofErr w:type="spellStart"/>
      <w:r>
        <w:rPr>
          <w:sz w:val="24"/>
          <w:szCs w:val="24"/>
        </w:rPr>
        <w:t>neurotoksicitet</w:t>
      </w:r>
      <w:proofErr w:type="spellEnd"/>
      <w:r>
        <w:rPr>
          <w:sz w:val="24"/>
          <w:szCs w:val="24"/>
        </w:rPr>
        <w:t xml:space="preserve"> af vinca-alkaloider på grund af nedsat </w:t>
      </w:r>
      <w:proofErr w:type="spellStart"/>
      <w:r>
        <w:rPr>
          <w:sz w:val="24"/>
          <w:szCs w:val="24"/>
        </w:rPr>
        <w:t>hepatisk</w:t>
      </w:r>
      <w:proofErr w:type="spellEnd"/>
      <w:r>
        <w:rPr>
          <w:sz w:val="24"/>
          <w:szCs w:val="24"/>
        </w:rPr>
        <w:t xml:space="preserve"> metabolisme heraf.</w:t>
      </w:r>
    </w:p>
    <w:p w:rsidR="004D557A" w:rsidRDefault="004D557A" w:rsidP="004D557A">
      <w:pPr>
        <w:ind w:right="-1"/>
        <w:rPr>
          <w:sz w:val="24"/>
          <w:szCs w:val="24"/>
        </w:rPr>
      </w:pPr>
    </w:p>
    <w:p w:rsidR="004D557A" w:rsidRDefault="004D557A" w:rsidP="004D557A">
      <w:pPr>
        <w:ind w:left="851" w:right="-1"/>
        <w:rPr>
          <w:sz w:val="24"/>
          <w:szCs w:val="24"/>
        </w:rPr>
      </w:pPr>
      <w:r>
        <w:rPr>
          <w:sz w:val="24"/>
          <w:szCs w:val="24"/>
          <w:u w:val="single"/>
        </w:rPr>
        <w:t>Samtidig brug skal ske med omtanke</w:t>
      </w:r>
    </w:p>
    <w:p w:rsidR="004D557A" w:rsidRDefault="004D557A" w:rsidP="004D557A">
      <w:pPr>
        <w:ind w:left="851" w:right="-1"/>
        <w:rPr>
          <w:sz w:val="24"/>
          <w:szCs w:val="24"/>
        </w:rPr>
      </w:pPr>
      <w:proofErr w:type="spellStart"/>
      <w:r>
        <w:rPr>
          <w:i/>
          <w:sz w:val="24"/>
          <w:szCs w:val="24"/>
        </w:rPr>
        <w:t>Mitomycin</w:t>
      </w:r>
      <w:proofErr w:type="spellEnd"/>
      <w:r>
        <w:rPr>
          <w:i/>
          <w:sz w:val="24"/>
          <w:szCs w:val="24"/>
        </w:rPr>
        <w:t xml:space="preserve"> C</w:t>
      </w:r>
      <w:r>
        <w:rPr>
          <w:sz w:val="24"/>
          <w:szCs w:val="24"/>
        </w:rPr>
        <w:t xml:space="preserve">: Øget risiko for </w:t>
      </w:r>
      <w:proofErr w:type="spellStart"/>
      <w:r>
        <w:rPr>
          <w:sz w:val="24"/>
          <w:szCs w:val="24"/>
        </w:rPr>
        <w:t>bronkospasmer</w:t>
      </w:r>
      <w:proofErr w:type="spellEnd"/>
      <w:r>
        <w:rPr>
          <w:sz w:val="24"/>
          <w:szCs w:val="24"/>
        </w:rPr>
        <w:t xml:space="preserve"> og dyspnø. Der er i sjældne tilfælde set </w:t>
      </w:r>
      <w:proofErr w:type="spellStart"/>
      <w:r>
        <w:rPr>
          <w:sz w:val="24"/>
          <w:szCs w:val="24"/>
        </w:rPr>
        <w:t>interstitiel</w:t>
      </w:r>
      <w:proofErr w:type="spellEnd"/>
      <w:r>
        <w:rPr>
          <w:sz w:val="24"/>
          <w:szCs w:val="24"/>
        </w:rPr>
        <w:t xml:space="preserve"> pneumoni.</w:t>
      </w:r>
    </w:p>
    <w:p w:rsidR="004D557A" w:rsidRDefault="004D557A" w:rsidP="004D557A">
      <w:pPr>
        <w:ind w:left="851" w:right="-1"/>
        <w:rPr>
          <w:sz w:val="24"/>
          <w:szCs w:val="24"/>
        </w:rPr>
      </w:pPr>
      <w:r>
        <w:rPr>
          <w:sz w:val="24"/>
          <w:szCs w:val="24"/>
        </w:rPr>
        <w:t>Da vinca-alkaloider er substrater for P-</w:t>
      </w:r>
      <w:proofErr w:type="spellStart"/>
      <w:r>
        <w:rPr>
          <w:sz w:val="24"/>
          <w:szCs w:val="24"/>
        </w:rPr>
        <w:t>glykoprotein</w:t>
      </w:r>
      <w:proofErr w:type="spellEnd"/>
      <w:r>
        <w:rPr>
          <w:sz w:val="24"/>
          <w:szCs w:val="24"/>
        </w:rPr>
        <w:t xml:space="preserve">, og da der ikke foreligger specifikke studier, bør der udvises forsigtighed, hvis </w:t>
      </w:r>
      <w:proofErr w:type="spellStart"/>
      <w:r>
        <w:rPr>
          <w:sz w:val="24"/>
          <w:szCs w:val="24"/>
        </w:rPr>
        <w:t>Vinorelbin</w:t>
      </w:r>
      <w:proofErr w:type="spellEnd"/>
      <w:r>
        <w:rPr>
          <w:sz w:val="24"/>
          <w:szCs w:val="24"/>
        </w:rPr>
        <w:t xml:space="preserve"> "</w:t>
      </w:r>
      <w:proofErr w:type="spellStart"/>
      <w:r>
        <w:rPr>
          <w:sz w:val="24"/>
          <w:szCs w:val="24"/>
        </w:rPr>
        <w:t>Accord</w:t>
      </w:r>
      <w:proofErr w:type="spellEnd"/>
      <w:r>
        <w:rPr>
          <w:sz w:val="24"/>
          <w:szCs w:val="24"/>
        </w:rPr>
        <w:t xml:space="preserve">" kombineres med stærke </w:t>
      </w:r>
      <w:proofErr w:type="spellStart"/>
      <w:r>
        <w:rPr>
          <w:sz w:val="24"/>
          <w:szCs w:val="24"/>
        </w:rPr>
        <w:t>modulatorer</w:t>
      </w:r>
      <w:proofErr w:type="spellEnd"/>
      <w:r>
        <w:rPr>
          <w:sz w:val="24"/>
          <w:szCs w:val="24"/>
        </w:rPr>
        <w:t xml:space="preserve"> af denne membrantransportør.</w:t>
      </w:r>
    </w:p>
    <w:p w:rsidR="004D557A" w:rsidRDefault="004D557A" w:rsidP="004D557A">
      <w:pPr>
        <w:ind w:left="851" w:right="-1"/>
        <w:rPr>
          <w:sz w:val="24"/>
          <w:szCs w:val="24"/>
          <w:u w:val="single"/>
        </w:rPr>
      </w:pPr>
    </w:p>
    <w:p w:rsidR="004D557A" w:rsidRDefault="004D557A" w:rsidP="004D557A">
      <w:pPr>
        <w:ind w:left="851" w:right="-1"/>
        <w:rPr>
          <w:sz w:val="24"/>
          <w:szCs w:val="24"/>
        </w:rPr>
      </w:pPr>
      <w:r>
        <w:rPr>
          <w:sz w:val="24"/>
          <w:szCs w:val="24"/>
          <w:u w:val="single"/>
        </w:rPr>
        <w:t xml:space="preserve">Samtidig brug med </w:t>
      </w:r>
      <w:proofErr w:type="spellStart"/>
      <w:r>
        <w:rPr>
          <w:sz w:val="24"/>
          <w:szCs w:val="24"/>
          <w:u w:val="single"/>
        </w:rPr>
        <w:t>hæmmere</w:t>
      </w:r>
      <w:proofErr w:type="spellEnd"/>
      <w:r>
        <w:rPr>
          <w:sz w:val="24"/>
          <w:szCs w:val="24"/>
          <w:u w:val="single"/>
        </w:rPr>
        <w:t xml:space="preserve"> (f.eks. </w:t>
      </w:r>
      <w:proofErr w:type="spellStart"/>
      <w:r>
        <w:rPr>
          <w:sz w:val="24"/>
          <w:szCs w:val="24"/>
          <w:u w:val="single"/>
        </w:rPr>
        <w:t>ritonavir</w:t>
      </w:r>
      <w:proofErr w:type="spellEnd"/>
      <w:r>
        <w:rPr>
          <w:sz w:val="24"/>
          <w:szCs w:val="24"/>
          <w:u w:val="single"/>
        </w:rPr>
        <w:t xml:space="preserve">, </w:t>
      </w:r>
      <w:proofErr w:type="spellStart"/>
      <w:r>
        <w:rPr>
          <w:sz w:val="24"/>
          <w:szCs w:val="24"/>
          <w:u w:val="single"/>
        </w:rPr>
        <w:t>clarithromycin</w:t>
      </w:r>
      <w:proofErr w:type="spellEnd"/>
      <w:r>
        <w:rPr>
          <w:sz w:val="24"/>
          <w:szCs w:val="24"/>
          <w:u w:val="single"/>
        </w:rPr>
        <w:t xml:space="preserve">, </w:t>
      </w:r>
      <w:proofErr w:type="spellStart"/>
      <w:r>
        <w:rPr>
          <w:sz w:val="24"/>
          <w:szCs w:val="24"/>
          <w:u w:val="single"/>
        </w:rPr>
        <w:t>ciclosporin</w:t>
      </w:r>
      <w:proofErr w:type="spellEnd"/>
      <w:r>
        <w:rPr>
          <w:sz w:val="24"/>
          <w:szCs w:val="24"/>
          <w:u w:val="single"/>
        </w:rPr>
        <w:t xml:space="preserve">, </w:t>
      </w:r>
      <w:proofErr w:type="spellStart"/>
      <w:r>
        <w:rPr>
          <w:sz w:val="24"/>
          <w:szCs w:val="24"/>
          <w:u w:val="single"/>
        </w:rPr>
        <w:t>verapamil</w:t>
      </w:r>
      <w:proofErr w:type="spellEnd"/>
      <w:r>
        <w:rPr>
          <w:sz w:val="24"/>
          <w:szCs w:val="24"/>
          <w:u w:val="single"/>
        </w:rPr>
        <w:t xml:space="preserve">, </w:t>
      </w:r>
      <w:proofErr w:type="spellStart"/>
      <w:r>
        <w:rPr>
          <w:sz w:val="24"/>
          <w:szCs w:val="24"/>
          <w:u w:val="single"/>
        </w:rPr>
        <w:t>quinidin</w:t>
      </w:r>
      <w:proofErr w:type="spellEnd"/>
      <w:r>
        <w:rPr>
          <w:sz w:val="24"/>
          <w:szCs w:val="24"/>
          <w:u w:val="single"/>
        </w:rPr>
        <w:t>) eller inducere (se f.eks. listen af ​​CYP3A4-inducere) af denne membrantransportør kan påvirke koncentrationen af ​​</w:t>
      </w:r>
      <w:proofErr w:type="spellStart"/>
      <w:r>
        <w:rPr>
          <w:sz w:val="24"/>
          <w:szCs w:val="24"/>
          <w:u w:val="single"/>
        </w:rPr>
        <w:t>vinorelbin</w:t>
      </w:r>
      <w:proofErr w:type="spellEnd"/>
      <w:r>
        <w:rPr>
          <w:sz w:val="24"/>
          <w:szCs w:val="24"/>
          <w:u w:val="single"/>
        </w:rPr>
        <w:t>.</w:t>
      </w:r>
    </w:p>
    <w:p w:rsidR="004D557A" w:rsidRDefault="004D557A" w:rsidP="004D557A">
      <w:pPr>
        <w:ind w:left="851" w:right="-1"/>
        <w:rPr>
          <w:sz w:val="24"/>
          <w:szCs w:val="24"/>
        </w:rPr>
      </w:pPr>
    </w:p>
    <w:p w:rsidR="004D557A" w:rsidRDefault="004D557A" w:rsidP="004D557A">
      <w:pPr>
        <w:ind w:left="851" w:right="-1"/>
        <w:rPr>
          <w:b/>
          <w:sz w:val="24"/>
          <w:szCs w:val="24"/>
        </w:rPr>
      </w:pPr>
      <w:r>
        <w:rPr>
          <w:b/>
          <w:sz w:val="24"/>
          <w:szCs w:val="24"/>
        </w:rPr>
        <w:t xml:space="preserve">Interaktioner, der er specifikke for </w:t>
      </w:r>
      <w:proofErr w:type="spellStart"/>
      <w:r>
        <w:rPr>
          <w:b/>
          <w:sz w:val="24"/>
          <w:szCs w:val="24"/>
        </w:rPr>
        <w:t>vinorelbin</w:t>
      </w:r>
      <w:proofErr w:type="spellEnd"/>
    </w:p>
    <w:p w:rsidR="004D557A" w:rsidRDefault="004D557A" w:rsidP="004D557A">
      <w:pPr>
        <w:ind w:left="851" w:right="-1"/>
        <w:rPr>
          <w:sz w:val="24"/>
          <w:szCs w:val="24"/>
        </w:rPr>
      </w:pPr>
      <w:r>
        <w:rPr>
          <w:sz w:val="24"/>
          <w:szCs w:val="24"/>
        </w:rPr>
        <w:t xml:space="preserve">Hvis </w:t>
      </w:r>
      <w:proofErr w:type="spellStart"/>
      <w:r>
        <w:rPr>
          <w:sz w:val="24"/>
          <w:szCs w:val="24"/>
        </w:rPr>
        <w:t>Vinorelbin</w:t>
      </w:r>
      <w:proofErr w:type="spellEnd"/>
      <w:r>
        <w:rPr>
          <w:sz w:val="24"/>
          <w:szCs w:val="24"/>
        </w:rPr>
        <w:t xml:space="preserve"> "</w:t>
      </w:r>
      <w:proofErr w:type="spellStart"/>
      <w:r>
        <w:rPr>
          <w:sz w:val="24"/>
          <w:szCs w:val="24"/>
        </w:rPr>
        <w:t>Accord</w:t>
      </w:r>
      <w:proofErr w:type="spellEnd"/>
      <w:r>
        <w:rPr>
          <w:sz w:val="24"/>
          <w:szCs w:val="24"/>
        </w:rPr>
        <w:t xml:space="preserve">" kombineres med andre lægemidler med kendt knoglemarvstoksicitet, vil der ofte indtræffe forværring af bivirkninger i form af </w:t>
      </w:r>
      <w:proofErr w:type="spellStart"/>
      <w:r>
        <w:rPr>
          <w:sz w:val="24"/>
          <w:szCs w:val="24"/>
        </w:rPr>
        <w:t>myelosuppression</w:t>
      </w:r>
      <w:proofErr w:type="spellEnd"/>
      <w:r>
        <w:rPr>
          <w:sz w:val="24"/>
          <w:szCs w:val="24"/>
        </w:rPr>
        <w:t>.</w:t>
      </w:r>
    </w:p>
    <w:p w:rsidR="004D557A" w:rsidRDefault="004D557A" w:rsidP="004D557A">
      <w:pPr>
        <w:ind w:left="851" w:right="-1"/>
        <w:rPr>
          <w:sz w:val="24"/>
          <w:szCs w:val="24"/>
        </w:rPr>
      </w:pPr>
      <w:r>
        <w:rPr>
          <w:sz w:val="24"/>
          <w:szCs w:val="24"/>
        </w:rPr>
        <w:t xml:space="preserve">Da </w:t>
      </w:r>
      <w:proofErr w:type="spellStart"/>
      <w:r>
        <w:rPr>
          <w:sz w:val="24"/>
          <w:szCs w:val="24"/>
        </w:rPr>
        <w:t>Vinorelbin</w:t>
      </w:r>
      <w:proofErr w:type="spellEnd"/>
      <w:r>
        <w:rPr>
          <w:sz w:val="24"/>
          <w:szCs w:val="24"/>
        </w:rPr>
        <w:t xml:space="preserve"> "</w:t>
      </w:r>
      <w:proofErr w:type="spellStart"/>
      <w:r>
        <w:rPr>
          <w:sz w:val="24"/>
          <w:szCs w:val="24"/>
        </w:rPr>
        <w:t>Accord"s</w:t>
      </w:r>
      <w:proofErr w:type="spellEnd"/>
      <w:r>
        <w:rPr>
          <w:sz w:val="24"/>
          <w:szCs w:val="24"/>
        </w:rPr>
        <w:t xml:space="preserve"> metabolisme hovedsageligt involverer CYP3A4, kan kombinationen med stærke </w:t>
      </w:r>
      <w:proofErr w:type="spellStart"/>
      <w:r>
        <w:rPr>
          <w:sz w:val="24"/>
          <w:szCs w:val="24"/>
        </w:rPr>
        <w:t>hæmmere</w:t>
      </w:r>
      <w:proofErr w:type="spellEnd"/>
      <w:r>
        <w:rPr>
          <w:sz w:val="24"/>
          <w:szCs w:val="24"/>
        </w:rPr>
        <w:t xml:space="preserve"> af dette </w:t>
      </w:r>
      <w:proofErr w:type="spellStart"/>
      <w:r>
        <w:rPr>
          <w:sz w:val="24"/>
          <w:szCs w:val="24"/>
        </w:rPr>
        <w:t>isoenzym</w:t>
      </w:r>
      <w:proofErr w:type="spellEnd"/>
      <w:r>
        <w:rPr>
          <w:sz w:val="24"/>
          <w:szCs w:val="24"/>
        </w:rPr>
        <w:t xml:space="preserve"> (f.eks. </w:t>
      </w:r>
      <w:proofErr w:type="spellStart"/>
      <w:r>
        <w:rPr>
          <w:sz w:val="24"/>
          <w:szCs w:val="24"/>
        </w:rPr>
        <w:t>ketoconazol</w:t>
      </w:r>
      <w:proofErr w:type="spellEnd"/>
      <w:r>
        <w:rPr>
          <w:sz w:val="24"/>
          <w:szCs w:val="24"/>
        </w:rPr>
        <w:t xml:space="preserve">, </w:t>
      </w:r>
      <w:proofErr w:type="spellStart"/>
      <w:r>
        <w:rPr>
          <w:sz w:val="24"/>
          <w:szCs w:val="24"/>
        </w:rPr>
        <w:t>itraconazol</w:t>
      </w:r>
      <w:proofErr w:type="spellEnd"/>
      <w:r>
        <w:rPr>
          <w:sz w:val="24"/>
          <w:szCs w:val="24"/>
        </w:rPr>
        <w:t xml:space="preserve">, </w:t>
      </w:r>
      <w:r>
        <w:rPr>
          <w:sz w:val="24"/>
          <w:szCs w:val="24"/>
          <w:u w:val="single"/>
        </w:rPr>
        <w:t>HIV-</w:t>
      </w:r>
      <w:proofErr w:type="spellStart"/>
      <w:r>
        <w:rPr>
          <w:sz w:val="24"/>
          <w:szCs w:val="24"/>
          <w:u w:val="single"/>
        </w:rPr>
        <w:t>proteasehæmmere</w:t>
      </w:r>
      <w:proofErr w:type="spellEnd"/>
      <w:r>
        <w:rPr>
          <w:sz w:val="24"/>
          <w:szCs w:val="24"/>
          <w:u w:val="single"/>
        </w:rPr>
        <w:t xml:space="preserve">, </w:t>
      </w:r>
      <w:proofErr w:type="spellStart"/>
      <w:r>
        <w:rPr>
          <w:sz w:val="24"/>
          <w:szCs w:val="24"/>
          <w:u w:val="single"/>
        </w:rPr>
        <w:t>erythromycin</w:t>
      </w:r>
      <w:proofErr w:type="spellEnd"/>
      <w:r>
        <w:rPr>
          <w:sz w:val="24"/>
          <w:szCs w:val="24"/>
          <w:u w:val="single"/>
        </w:rPr>
        <w:t xml:space="preserve">, </w:t>
      </w:r>
      <w:proofErr w:type="spellStart"/>
      <w:r>
        <w:rPr>
          <w:sz w:val="24"/>
          <w:szCs w:val="24"/>
          <w:u w:val="single"/>
        </w:rPr>
        <w:t>clarithromycin</w:t>
      </w:r>
      <w:proofErr w:type="spellEnd"/>
      <w:r>
        <w:rPr>
          <w:sz w:val="24"/>
          <w:szCs w:val="24"/>
          <w:u w:val="single"/>
        </w:rPr>
        <w:t xml:space="preserve">, </w:t>
      </w:r>
      <w:proofErr w:type="spellStart"/>
      <w:r>
        <w:rPr>
          <w:sz w:val="24"/>
          <w:szCs w:val="24"/>
          <w:u w:val="single"/>
        </w:rPr>
        <w:t>telithromycin</w:t>
      </w:r>
      <w:proofErr w:type="spellEnd"/>
      <w:r>
        <w:rPr>
          <w:sz w:val="24"/>
          <w:szCs w:val="24"/>
          <w:u w:val="single"/>
        </w:rPr>
        <w:t xml:space="preserve">, </w:t>
      </w:r>
      <w:proofErr w:type="spellStart"/>
      <w:r>
        <w:rPr>
          <w:sz w:val="24"/>
          <w:szCs w:val="24"/>
          <w:u w:val="single"/>
        </w:rPr>
        <w:t>nefazodon</w:t>
      </w:r>
      <w:proofErr w:type="spellEnd"/>
      <w:r>
        <w:rPr>
          <w:sz w:val="24"/>
          <w:szCs w:val="24"/>
        </w:rPr>
        <w:t xml:space="preserve">) øge serumkoncentrationen af </w:t>
      </w:r>
      <w:proofErr w:type="spellStart"/>
      <w:r>
        <w:rPr>
          <w:sz w:val="24"/>
          <w:szCs w:val="24"/>
        </w:rPr>
        <w:t>vinorelbin</w:t>
      </w:r>
      <w:proofErr w:type="spellEnd"/>
      <w:r>
        <w:rPr>
          <w:sz w:val="24"/>
          <w:szCs w:val="24"/>
        </w:rPr>
        <w:t xml:space="preserve"> og kombinationen med potente inducere af dette </w:t>
      </w:r>
      <w:proofErr w:type="spellStart"/>
      <w:r>
        <w:rPr>
          <w:sz w:val="24"/>
          <w:szCs w:val="24"/>
        </w:rPr>
        <w:t>isoenzym</w:t>
      </w:r>
      <w:proofErr w:type="spellEnd"/>
      <w:r>
        <w:rPr>
          <w:sz w:val="24"/>
          <w:szCs w:val="24"/>
        </w:rPr>
        <w:t xml:space="preserve"> (</w:t>
      </w:r>
      <w:proofErr w:type="spellStart"/>
      <w:r>
        <w:rPr>
          <w:sz w:val="24"/>
          <w:szCs w:val="24"/>
        </w:rPr>
        <w:t>f.eks</w:t>
      </w:r>
      <w:proofErr w:type="spellEnd"/>
      <w:r>
        <w:rPr>
          <w:sz w:val="24"/>
          <w:szCs w:val="24"/>
        </w:rPr>
        <w:t xml:space="preserve"> </w:t>
      </w:r>
      <w:proofErr w:type="spellStart"/>
      <w:r>
        <w:rPr>
          <w:sz w:val="24"/>
          <w:szCs w:val="24"/>
        </w:rPr>
        <w:t>rifampicin</w:t>
      </w:r>
      <w:proofErr w:type="spellEnd"/>
      <w:r>
        <w:rPr>
          <w:sz w:val="24"/>
          <w:szCs w:val="24"/>
        </w:rPr>
        <w:t xml:space="preserve">, </w:t>
      </w:r>
      <w:proofErr w:type="spellStart"/>
      <w:r>
        <w:rPr>
          <w:sz w:val="24"/>
          <w:szCs w:val="24"/>
        </w:rPr>
        <w:t>phenytoin</w:t>
      </w:r>
      <w:proofErr w:type="spellEnd"/>
      <w:r>
        <w:rPr>
          <w:sz w:val="24"/>
          <w:szCs w:val="24"/>
        </w:rPr>
        <w:t xml:space="preserve">, </w:t>
      </w:r>
      <w:proofErr w:type="spellStart"/>
      <w:r>
        <w:rPr>
          <w:sz w:val="24"/>
          <w:szCs w:val="24"/>
        </w:rPr>
        <w:t>phenobarbital</w:t>
      </w:r>
      <w:proofErr w:type="spellEnd"/>
      <w:r>
        <w:rPr>
          <w:sz w:val="24"/>
          <w:szCs w:val="24"/>
        </w:rPr>
        <w:t xml:space="preserve">, </w:t>
      </w:r>
      <w:proofErr w:type="spellStart"/>
      <w:r>
        <w:rPr>
          <w:sz w:val="24"/>
          <w:szCs w:val="24"/>
          <w:u w:val="single"/>
        </w:rPr>
        <w:t>carbamazepin</w:t>
      </w:r>
      <w:proofErr w:type="spellEnd"/>
      <w:r>
        <w:rPr>
          <w:sz w:val="24"/>
          <w:szCs w:val="24"/>
          <w:u w:val="single"/>
        </w:rPr>
        <w:t>, perikum</w:t>
      </w:r>
      <w:r>
        <w:rPr>
          <w:sz w:val="24"/>
          <w:szCs w:val="24"/>
        </w:rPr>
        <w:t xml:space="preserve">) kan reducere serumkoncentrationerne af </w:t>
      </w:r>
      <w:proofErr w:type="spellStart"/>
      <w:r>
        <w:rPr>
          <w:sz w:val="24"/>
          <w:szCs w:val="24"/>
        </w:rPr>
        <w:t>vinorelbin</w:t>
      </w:r>
      <w:proofErr w:type="spellEnd"/>
      <w:r>
        <w:rPr>
          <w:sz w:val="24"/>
          <w:szCs w:val="24"/>
        </w:rPr>
        <w:t>.</w:t>
      </w:r>
    </w:p>
    <w:p w:rsidR="004D557A" w:rsidRDefault="004D557A" w:rsidP="004D557A">
      <w:pPr>
        <w:ind w:left="851" w:right="-1"/>
        <w:rPr>
          <w:sz w:val="24"/>
          <w:szCs w:val="24"/>
        </w:rPr>
      </w:pPr>
      <w:r>
        <w:rPr>
          <w:sz w:val="24"/>
          <w:szCs w:val="24"/>
        </w:rPr>
        <w:t xml:space="preserve">Kombinationen af </w:t>
      </w:r>
      <w:proofErr w:type="spellStart"/>
      <w:r>
        <w:rPr>
          <w:sz w:val="24"/>
          <w:szCs w:val="24"/>
        </w:rPr>
        <w:t>Vinorelbin</w:t>
      </w:r>
      <w:proofErr w:type="spellEnd"/>
      <w:r>
        <w:rPr>
          <w:sz w:val="24"/>
          <w:szCs w:val="24"/>
        </w:rPr>
        <w:t xml:space="preserve"> "</w:t>
      </w:r>
      <w:proofErr w:type="spellStart"/>
      <w:r>
        <w:rPr>
          <w:sz w:val="24"/>
          <w:szCs w:val="24"/>
        </w:rPr>
        <w:t>Accord</w:t>
      </w:r>
      <w:proofErr w:type="spellEnd"/>
      <w:r>
        <w:rPr>
          <w:sz w:val="24"/>
          <w:szCs w:val="24"/>
        </w:rPr>
        <w:t xml:space="preserve">" og </w:t>
      </w:r>
      <w:proofErr w:type="spellStart"/>
      <w:r>
        <w:rPr>
          <w:sz w:val="24"/>
          <w:szCs w:val="24"/>
        </w:rPr>
        <w:t>cisplatin</w:t>
      </w:r>
      <w:proofErr w:type="spellEnd"/>
      <w:r>
        <w:rPr>
          <w:sz w:val="24"/>
          <w:szCs w:val="24"/>
        </w:rPr>
        <w:t xml:space="preserve"> viser, at der ikke er nogen gensidig vekselvirkning mellem de </w:t>
      </w:r>
      <w:proofErr w:type="spellStart"/>
      <w:r>
        <w:rPr>
          <w:sz w:val="24"/>
          <w:szCs w:val="24"/>
        </w:rPr>
        <w:t>farmakokinetiske</w:t>
      </w:r>
      <w:proofErr w:type="spellEnd"/>
      <w:r>
        <w:rPr>
          <w:sz w:val="24"/>
          <w:szCs w:val="24"/>
        </w:rPr>
        <w:t xml:space="preserve"> parametre under forskellige behandlingsforløb. </w:t>
      </w:r>
      <w:proofErr w:type="spellStart"/>
      <w:r>
        <w:rPr>
          <w:sz w:val="24"/>
          <w:szCs w:val="24"/>
        </w:rPr>
        <w:t>Granulocytopeni</w:t>
      </w:r>
      <w:proofErr w:type="spellEnd"/>
      <w:r>
        <w:rPr>
          <w:sz w:val="24"/>
          <w:szCs w:val="24"/>
        </w:rPr>
        <w:t xml:space="preserve"> forekommer dog med en højere </w:t>
      </w:r>
      <w:proofErr w:type="spellStart"/>
      <w:r>
        <w:rPr>
          <w:sz w:val="24"/>
          <w:szCs w:val="24"/>
        </w:rPr>
        <w:t>incidens</w:t>
      </w:r>
      <w:proofErr w:type="spellEnd"/>
      <w:r>
        <w:rPr>
          <w:sz w:val="24"/>
          <w:szCs w:val="24"/>
        </w:rPr>
        <w:t xml:space="preserve"> ved en kombination af </w:t>
      </w:r>
      <w:proofErr w:type="spellStart"/>
      <w:r>
        <w:rPr>
          <w:sz w:val="24"/>
          <w:szCs w:val="24"/>
        </w:rPr>
        <w:t>Vinorelbin</w:t>
      </w:r>
      <w:proofErr w:type="spellEnd"/>
      <w:r>
        <w:rPr>
          <w:sz w:val="24"/>
          <w:szCs w:val="24"/>
        </w:rPr>
        <w:t xml:space="preserve"> "</w:t>
      </w:r>
      <w:proofErr w:type="spellStart"/>
      <w:r>
        <w:rPr>
          <w:sz w:val="24"/>
          <w:szCs w:val="24"/>
        </w:rPr>
        <w:t>Accord</w:t>
      </w:r>
      <w:proofErr w:type="spellEnd"/>
      <w:r>
        <w:rPr>
          <w:sz w:val="24"/>
          <w:szCs w:val="24"/>
        </w:rPr>
        <w:t xml:space="preserve">" og </w:t>
      </w:r>
      <w:proofErr w:type="spellStart"/>
      <w:r>
        <w:rPr>
          <w:sz w:val="24"/>
          <w:szCs w:val="24"/>
        </w:rPr>
        <w:t>cisplatin</w:t>
      </w:r>
      <w:proofErr w:type="spellEnd"/>
      <w:r>
        <w:rPr>
          <w:sz w:val="24"/>
          <w:szCs w:val="24"/>
        </w:rPr>
        <w:t xml:space="preserve"> end ved </w:t>
      </w:r>
      <w:proofErr w:type="spellStart"/>
      <w:r>
        <w:rPr>
          <w:sz w:val="24"/>
          <w:szCs w:val="24"/>
        </w:rPr>
        <w:t>Vinorelbin</w:t>
      </w:r>
      <w:proofErr w:type="spellEnd"/>
      <w:r>
        <w:rPr>
          <w:sz w:val="24"/>
          <w:szCs w:val="24"/>
        </w:rPr>
        <w:t xml:space="preserve"> "</w:t>
      </w:r>
      <w:proofErr w:type="spellStart"/>
      <w:r>
        <w:rPr>
          <w:sz w:val="24"/>
          <w:szCs w:val="24"/>
        </w:rPr>
        <w:t>Accord</w:t>
      </w:r>
      <w:proofErr w:type="spellEnd"/>
      <w:r>
        <w:rPr>
          <w:sz w:val="24"/>
          <w:szCs w:val="24"/>
        </w:rPr>
        <w:t>" som monoterapi.</w:t>
      </w:r>
    </w:p>
    <w:p w:rsidR="004D557A" w:rsidRDefault="004D557A" w:rsidP="004D557A">
      <w:pPr>
        <w:ind w:left="851" w:right="-1"/>
        <w:rPr>
          <w:sz w:val="24"/>
          <w:szCs w:val="24"/>
        </w:rPr>
      </w:pPr>
    </w:p>
    <w:p w:rsidR="004D557A" w:rsidRDefault="004D557A" w:rsidP="004D557A">
      <w:pPr>
        <w:ind w:left="851" w:right="-1"/>
        <w:rPr>
          <w:sz w:val="24"/>
          <w:szCs w:val="24"/>
        </w:rPr>
      </w:pPr>
      <w:r>
        <w:rPr>
          <w:sz w:val="24"/>
          <w:szCs w:val="24"/>
        </w:rPr>
        <w:t xml:space="preserve">I et klinisk fase I-studie er der set tegn på en øget forekomst af </w:t>
      </w:r>
      <w:proofErr w:type="spellStart"/>
      <w:r>
        <w:rPr>
          <w:sz w:val="24"/>
          <w:szCs w:val="24"/>
        </w:rPr>
        <w:t>neutropeni</w:t>
      </w:r>
      <w:proofErr w:type="spellEnd"/>
      <w:r>
        <w:rPr>
          <w:sz w:val="24"/>
          <w:szCs w:val="24"/>
        </w:rPr>
        <w:t xml:space="preserve"> af grad 3/4 ved samtidig brug af intravenøs </w:t>
      </w:r>
      <w:proofErr w:type="spellStart"/>
      <w:r>
        <w:rPr>
          <w:sz w:val="24"/>
          <w:szCs w:val="24"/>
        </w:rPr>
        <w:t>vinorelbin</w:t>
      </w:r>
      <w:proofErr w:type="spellEnd"/>
      <w:r>
        <w:rPr>
          <w:sz w:val="24"/>
          <w:szCs w:val="24"/>
        </w:rPr>
        <w:t xml:space="preserve"> og </w:t>
      </w:r>
      <w:proofErr w:type="spellStart"/>
      <w:r>
        <w:rPr>
          <w:sz w:val="24"/>
          <w:szCs w:val="24"/>
        </w:rPr>
        <w:t>lapatinib</w:t>
      </w:r>
      <w:proofErr w:type="spellEnd"/>
      <w:r>
        <w:rPr>
          <w:sz w:val="24"/>
          <w:szCs w:val="24"/>
        </w:rPr>
        <w:t xml:space="preserve">. I dette studie var den anbefalede dosis af intravenøs </w:t>
      </w:r>
      <w:proofErr w:type="spellStart"/>
      <w:r>
        <w:rPr>
          <w:sz w:val="24"/>
          <w:szCs w:val="24"/>
        </w:rPr>
        <w:t>vinorelbin</w:t>
      </w:r>
      <w:proofErr w:type="spellEnd"/>
      <w:r>
        <w:rPr>
          <w:sz w:val="24"/>
          <w:szCs w:val="24"/>
        </w:rPr>
        <w:t xml:space="preserve"> i en 3-ugers doseringsplan 22,5 mg/m</w:t>
      </w:r>
      <w:r>
        <w:rPr>
          <w:sz w:val="24"/>
          <w:szCs w:val="24"/>
          <w:vertAlign w:val="superscript"/>
        </w:rPr>
        <w:t>2</w:t>
      </w:r>
      <w:r>
        <w:rPr>
          <w:sz w:val="24"/>
          <w:szCs w:val="24"/>
        </w:rPr>
        <w:t xml:space="preserve"> på dag 1 og dag 8 kombineret med 1000 mg </w:t>
      </w:r>
      <w:proofErr w:type="spellStart"/>
      <w:r>
        <w:rPr>
          <w:sz w:val="24"/>
          <w:szCs w:val="24"/>
        </w:rPr>
        <w:t>lapatinib</w:t>
      </w:r>
      <w:proofErr w:type="spellEnd"/>
      <w:r>
        <w:rPr>
          <w:sz w:val="24"/>
          <w:szCs w:val="24"/>
        </w:rPr>
        <w:t xml:space="preserve"> dagligt. Denne kombinationstype bør administreres med forsigtighed.</w:t>
      </w:r>
    </w:p>
    <w:p w:rsidR="00BA65AA" w:rsidRPr="00C84483" w:rsidRDefault="00BA65AA" w:rsidP="00BA65AA">
      <w:pPr>
        <w:tabs>
          <w:tab w:val="left" w:pos="851"/>
        </w:tabs>
        <w:ind w:left="851"/>
        <w:rPr>
          <w:sz w:val="24"/>
          <w:szCs w:val="24"/>
        </w:rPr>
      </w:pPr>
    </w:p>
    <w:p w:rsidR="00BA65AA" w:rsidRPr="00FE6E92" w:rsidRDefault="00BA65AA" w:rsidP="00BA65AA">
      <w:pPr>
        <w:tabs>
          <w:tab w:val="left" w:pos="851"/>
        </w:tabs>
        <w:ind w:left="851" w:hanging="851"/>
        <w:rPr>
          <w:b/>
          <w:sz w:val="24"/>
          <w:szCs w:val="24"/>
        </w:rPr>
      </w:pPr>
      <w:r w:rsidRPr="00C84483">
        <w:rPr>
          <w:b/>
          <w:sz w:val="24"/>
          <w:szCs w:val="24"/>
        </w:rPr>
        <w:t>4.6</w:t>
      </w:r>
      <w:r w:rsidRPr="00C84483">
        <w:rPr>
          <w:b/>
          <w:sz w:val="24"/>
          <w:szCs w:val="24"/>
        </w:rPr>
        <w:tab/>
      </w:r>
      <w:r w:rsidR="004D557A">
        <w:rPr>
          <w:b/>
          <w:sz w:val="24"/>
          <w:szCs w:val="24"/>
        </w:rPr>
        <w:t>Fertilitet, g</w:t>
      </w:r>
      <w:r w:rsidRPr="00C84483">
        <w:rPr>
          <w:b/>
          <w:sz w:val="24"/>
          <w:szCs w:val="24"/>
        </w:rPr>
        <w:t>raviditet og amning</w:t>
      </w:r>
      <w:r w:rsidRPr="00B34101">
        <w:rPr>
          <w:u w:val="single"/>
        </w:rPr>
        <w:t xml:space="preserve"> </w:t>
      </w:r>
    </w:p>
    <w:p w:rsidR="00BA65AA" w:rsidRDefault="00BA65AA" w:rsidP="004D557A">
      <w:pPr>
        <w:pStyle w:val="Sarkain3"/>
        <w:spacing w:before="0" w:after="0"/>
        <w:rPr>
          <w:u w:val="single"/>
        </w:rPr>
      </w:pPr>
    </w:p>
    <w:p w:rsidR="004D557A" w:rsidRDefault="004D557A" w:rsidP="004D557A">
      <w:pPr>
        <w:pStyle w:val="Sarkain3"/>
        <w:spacing w:before="0" w:after="0"/>
        <w:ind w:right="-1"/>
        <w:rPr>
          <w:u w:val="single"/>
        </w:rPr>
      </w:pPr>
      <w:r>
        <w:rPr>
          <w:u w:val="single"/>
        </w:rPr>
        <w:t>Fertilitet</w:t>
      </w:r>
    </w:p>
    <w:p w:rsidR="004D557A" w:rsidRDefault="004D557A" w:rsidP="004D557A">
      <w:pPr>
        <w:ind w:left="851" w:right="-1"/>
        <w:rPr>
          <w:sz w:val="24"/>
          <w:szCs w:val="24"/>
        </w:rPr>
      </w:pPr>
      <w:proofErr w:type="spellStart"/>
      <w:r>
        <w:rPr>
          <w:sz w:val="24"/>
          <w:szCs w:val="24"/>
        </w:rPr>
        <w:t>Vinorelbin</w:t>
      </w:r>
      <w:proofErr w:type="spellEnd"/>
      <w:r>
        <w:rPr>
          <w:sz w:val="24"/>
          <w:szCs w:val="24"/>
        </w:rPr>
        <w:t xml:space="preserve"> kan have genotoksiske virkninger. Derfor tilrådes mænd, der bliver behandlet med </w:t>
      </w:r>
      <w:proofErr w:type="spellStart"/>
      <w:r>
        <w:rPr>
          <w:sz w:val="24"/>
          <w:szCs w:val="24"/>
        </w:rPr>
        <w:t>vinorelbin</w:t>
      </w:r>
      <w:proofErr w:type="spellEnd"/>
      <w:r>
        <w:rPr>
          <w:sz w:val="24"/>
          <w:szCs w:val="24"/>
        </w:rPr>
        <w:t xml:space="preserve">, ikke at befrugte nogen kvinde under og op til 6 måneder (minimum 3 måneder) efter behandlingsophør. Kvinder i den fertile alder skal anvende sikker </w:t>
      </w:r>
      <w:proofErr w:type="spellStart"/>
      <w:r>
        <w:rPr>
          <w:sz w:val="24"/>
          <w:szCs w:val="24"/>
        </w:rPr>
        <w:t>kontraception</w:t>
      </w:r>
      <w:proofErr w:type="spellEnd"/>
      <w:r>
        <w:rPr>
          <w:sz w:val="24"/>
          <w:szCs w:val="24"/>
        </w:rPr>
        <w:t xml:space="preserve"> under behandlingen og i op til 3 måneder efter behandlingen med </w:t>
      </w:r>
      <w:proofErr w:type="spellStart"/>
      <w:r>
        <w:rPr>
          <w:sz w:val="24"/>
          <w:szCs w:val="24"/>
        </w:rPr>
        <w:t>vinorelbin</w:t>
      </w:r>
      <w:proofErr w:type="spellEnd"/>
      <w:r>
        <w:rPr>
          <w:sz w:val="24"/>
          <w:szCs w:val="24"/>
        </w:rPr>
        <w:t xml:space="preserve">. Før behandling af mænd bør der søges råd om opbevaring af sæd på grund af risikoen for irreversibel </w:t>
      </w:r>
      <w:proofErr w:type="spellStart"/>
      <w:r>
        <w:rPr>
          <w:sz w:val="24"/>
          <w:szCs w:val="24"/>
        </w:rPr>
        <w:t>infertilitet</w:t>
      </w:r>
      <w:proofErr w:type="spellEnd"/>
      <w:r>
        <w:rPr>
          <w:sz w:val="24"/>
          <w:szCs w:val="24"/>
        </w:rPr>
        <w:t xml:space="preserve"> som en konsekvens af behandlingen med </w:t>
      </w:r>
      <w:proofErr w:type="spellStart"/>
      <w:r>
        <w:rPr>
          <w:sz w:val="24"/>
          <w:szCs w:val="24"/>
        </w:rPr>
        <w:t>vinorelbin</w:t>
      </w:r>
      <w:proofErr w:type="spellEnd"/>
      <w:r>
        <w:rPr>
          <w:sz w:val="24"/>
          <w:szCs w:val="24"/>
        </w:rPr>
        <w:t xml:space="preserve">. </w:t>
      </w:r>
    </w:p>
    <w:p w:rsidR="004D557A" w:rsidRDefault="004D557A" w:rsidP="004D557A">
      <w:pPr>
        <w:pStyle w:val="Sarkain3"/>
        <w:spacing w:before="0" w:after="0"/>
        <w:ind w:right="-1"/>
      </w:pPr>
    </w:p>
    <w:p w:rsidR="004D557A" w:rsidRDefault="004D557A" w:rsidP="004D557A">
      <w:pPr>
        <w:pStyle w:val="Sarkain3"/>
        <w:spacing w:before="0" w:after="0"/>
        <w:ind w:right="-1"/>
        <w:rPr>
          <w:u w:val="single"/>
        </w:rPr>
      </w:pPr>
      <w:r>
        <w:rPr>
          <w:u w:val="single"/>
        </w:rPr>
        <w:t>Kvinder i den fødedygtige alder</w:t>
      </w:r>
    </w:p>
    <w:p w:rsidR="004D557A" w:rsidRDefault="004D557A" w:rsidP="004D557A">
      <w:pPr>
        <w:pStyle w:val="Sarkain3"/>
        <w:spacing w:before="0" w:after="0"/>
        <w:ind w:right="-1"/>
      </w:pPr>
      <w:r>
        <w:t xml:space="preserve">Fertile kvinder skal anvende sikker </w:t>
      </w:r>
      <w:proofErr w:type="spellStart"/>
      <w:r>
        <w:t>kontraception</w:t>
      </w:r>
      <w:proofErr w:type="spellEnd"/>
      <w:r>
        <w:t xml:space="preserve"> under behandlingen og minimum 3 måneder efter. </w:t>
      </w:r>
    </w:p>
    <w:p w:rsidR="004D557A" w:rsidRDefault="004D557A" w:rsidP="004D557A">
      <w:pPr>
        <w:pStyle w:val="Sarkain3"/>
        <w:spacing w:before="0" w:after="0"/>
        <w:ind w:right="-1"/>
      </w:pPr>
    </w:p>
    <w:p w:rsidR="004D557A" w:rsidRDefault="004D557A" w:rsidP="004D557A">
      <w:pPr>
        <w:pStyle w:val="Sarkain3"/>
        <w:spacing w:before="0" w:after="0"/>
        <w:ind w:right="-1"/>
        <w:rPr>
          <w:u w:val="single"/>
        </w:rPr>
      </w:pPr>
      <w:r>
        <w:rPr>
          <w:u w:val="single"/>
        </w:rPr>
        <w:t>Graviditet</w:t>
      </w:r>
    </w:p>
    <w:p w:rsidR="004D557A" w:rsidRDefault="004D557A" w:rsidP="004D557A">
      <w:pPr>
        <w:pStyle w:val="Sarkain3"/>
        <w:spacing w:before="0" w:after="0"/>
        <w:ind w:right="-1"/>
        <w:rPr>
          <w:u w:val="single"/>
        </w:rPr>
      </w:pPr>
      <w:r>
        <w:t xml:space="preserve">Der er utilstrækkelige data vedrørende anvendelsen af </w:t>
      </w:r>
      <w:proofErr w:type="spellStart"/>
      <w:r>
        <w:t>vinorelbin</w:t>
      </w:r>
      <w:proofErr w:type="spellEnd"/>
      <w:r>
        <w:t xml:space="preserve"> hos gravide kvinder. Dyreforsøg har påvist embryotoksicitet og </w:t>
      </w:r>
      <w:proofErr w:type="spellStart"/>
      <w:r>
        <w:t>teratogenicitet</w:t>
      </w:r>
      <w:proofErr w:type="spellEnd"/>
      <w:r>
        <w:t xml:space="preserve"> (se pkt. 5.3). Baseret på resultaterne af dyreforsøgene og lægemidlets farmakologiske virkning er det et produkt, der mistænkes for at forårsage alvorlige medfødte virkninger, når det anvendes under graviditet.</w:t>
      </w:r>
    </w:p>
    <w:p w:rsidR="004D557A" w:rsidRDefault="004D557A" w:rsidP="004D557A">
      <w:pPr>
        <w:pStyle w:val="Sarkain3"/>
        <w:spacing w:before="0" w:after="0"/>
        <w:ind w:right="-1"/>
        <w:rPr>
          <w:u w:val="single"/>
        </w:rPr>
      </w:pPr>
      <w:proofErr w:type="spellStart"/>
      <w:r>
        <w:t>Vinorelbin</w:t>
      </w:r>
      <w:proofErr w:type="spellEnd"/>
      <w:r>
        <w:t xml:space="preserve"> er kontraindiceret under graviditet (se pkt. 4.3). Kvinder bør ikke blive gravide under behandling med </w:t>
      </w:r>
      <w:proofErr w:type="spellStart"/>
      <w:r>
        <w:t>vinorelbin</w:t>
      </w:r>
      <w:proofErr w:type="spellEnd"/>
      <w:r>
        <w:t>.</w:t>
      </w:r>
    </w:p>
    <w:p w:rsidR="004D557A" w:rsidRDefault="004D557A" w:rsidP="004D557A">
      <w:pPr>
        <w:pStyle w:val="Sarkain3"/>
        <w:spacing w:before="0" w:after="0"/>
        <w:ind w:right="-1"/>
      </w:pPr>
      <w:r>
        <w:t>I tilfælde af en vital indikation skal der udføres en lægekonsultation vedrørende risikoen for skadelige virkninger for barnet under behandlingen af en gravid patient.</w:t>
      </w:r>
    </w:p>
    <w:p w:rsidR="004D557A" w:rsidRDefault="004D557A" w:rsidP="004D557A">
      <w:pPr>
        <w:pStyle w:val="Sarkain3"/>
        <w:spacing w:before="0" w:after="0"/>
        <w:ind w:right="-1"/>
      </w:pPr>
      <w:r>
        <w:lastRenderedPageBreak/>
        <w:t>Hvis der opstår graviditet under behandlingen, bør muligheden for genetisk rådgivning overvejes.</w:t>
      </w:r>
    </w:p>
    <w:p w:rsidR="004D557A" w:rsidRDefault="004D557A" w:rsidP="004D557A">
      <w:pPr>
        <w:pStyle w:val="Sarkain3"/>
        <w:spacing w:before="0" w:after="0"/>
        <w:ind w:right="-1"/>
        <w:rPr>
          <w:u w:val="single"/>
        </w:rPr>
      </w:pPr>
    </w:p>
    <w:p w:rsidR="004D557A" w:rsidRDefault="004D557A" w:rsidP="004D557A">
      <w:pPr>
        <w:pStyle w:val="Sarkain3"/>
        <w:spacing w:before="0" w:after="0"/>
        <w:ind w:right="-1"/>
        <w:rPr>
          <w:u w:val="single"/>
        </w:rPr>
      </w:pPr>
      <w:r>
        <w:rPr>
          <w:u w:val="single"/>
        </w:rPr>
        <w:t>Amning</w:t>
      </w:r>
    </w:p>
    <w:p w:rsidR="004D557A" w:rsidRDefault="004D557A" w:rsidP="004D557A">
      <w:pPr>
        <w:pStyle w:val="Sarkain3"/>
        <w:spacing w:before="0" w:after="0"/>
        <w:ind w:right="-1"/>
      </w:pPr>
      <w:r>
        <w:t>Det vides ikke, om lægemidlet udskilles i modermælken. Udskillelsen af ​​</w:t>
      </w:r>
      <w:proofErr w:type="spellStart"/>
      <w:r>
        <w:t>vinorelbin</w:t>
      </w:r>
      <w:proofErr w:type="spellEnd"/>
      <w:r>
        <w:t xml:space="preserve"> i modermælk er ikke undersøgt i dyreforsøg. Det kan ikke udelukkes, at der er en risiko for det ammede barn, og amning skal derfor ophøre, før behandling med </w:t>
      </w:r>
      <w:proofErr w:type="spellStart"/>
      <w:r>
        <w:t>vinorelbin</w:t>
      </w:r>
      <w:proofErr w:type="spellEnd"/>
      <w:r>
        <w:t xml:space="preserve"> påbegyndes (se pkt. 4.3).</w:t>
      </w:r>
    </w:p>
    <w:p w:rsidR="00BA65AA" w:rsidRPr="00C84483" w:rsidRDefault="00BA65AA" w:rsidP="004D557A">
      <w:pPr>
        <w:tabs>
          <w:tab w:val="left" w:pos="851"/>
        </w:tabs>
        <w:ind w:left="851"/>
        <w:rPr>
          <w:sz w:val="24"/>
          <w:szCs w:val="24"/>
        </w:rPr>
      </w:pPr>
    </w:p>
    <w:p w:rsidR="00BA65AA" w:rsidRPr="00C84483" w:rsidRDefault="00BA65AA" w:rsidP="00BA65AA">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4D557A">
        <w:rPr>
          <w:b/>
          <w:sz w:val="24"/>
          <w:szCs w:val="24"/>
        </w:rPr>
        <w:t>og</w:t>
      </w:r>
      <w:r w:rsidRPr="00C84483">
        <w:rPr>
          <w:b/>
          <w:sz w:val="24"/>
          <w:szCs w:val="24"/>
        </w:rPr>
        <w:t xml:space="preserve"> betjene maskiner</w:t>
      </w:r>
    </w:p>
    <w:p w:rsidR="00BA65AA" w:rsidRDefault="00BA65AA" w:rsidP="00BA65AA">
      <w:pPr>
        <w:ind w:left="851"/>
        <w:rPr>
          <w:sz w:val="24"/>
          <w:szCs w:val="24"/>
        </w:rPr>
      </w:pPr>
      <w:r>
        <w:rPr>
          <w:sz w:val="24"/>
          <w:szCs w:val="24"/>
        </w:rPr>
        <w:t>Ikke mærkning.</w:t>
      </w:r>
    </w:p>
    <w:p w:rsidR="00BA65AA" w:rsidRPr="00C84483" w:rsidRDefault="00BA65AA" w:rsidP="00BA65AA">
      <w:pPr>
        <w:ind w:left="851"/>
        <w:rPr>
          <w:sz w:val="24"/>
          <w:szCs w:val="24"/>
        </w:rPr>
      </w:pPr>
      <w:r w:rsidRPr="003F4344">
        <w:rPr>
          <w:sz w:val="24"/>
          <w:szCs w:val="24"/>
        </w:rPr>
        <w:t xml:space="preserve">Der er ikke foretaget undersøgelser af virkningen på evnen til at føre motorkøretøj og betjene maskiner, men ud fra den </w:t>
      </w:r>
      <w:proofErr w:type="spellStart"/>
      <w:r w:rsidRPr="003F4344">
        <w:rPr>
          <w:sz w:val="24"/>
          <w:szCs w:val="24"/>
        </w:rPr>
        <w:t>farmakodynamiske</w:t>
      </w:r>
      <w:proofErr w:type="spellEnd"/>
      <w:r w:rsidRPr="003F4344">
        <w:rPr>
          <w:sz w:val="24"/>
          <w:szCs w:val="24"/>
        </w:rPr>
        <w:t xml:space="preserve"> profil påvirker </w:t>
      </w:r>
      <w:proofErr w:type="spellStart"/>
      <w:r w:rsidRPr="003F4344">
        <w:rPr>
          <w:sz w:val="24"/>
          <w:szCs w:val="24"/>
        </w:rPr>
        <w:t>vinorelbin</w:t>
      </w:r>
      <w:proofErr w:type="spellEnd"/>
      <w:r w:rsidRPr="003F4344">
        <w:rPr>
          <w:sz w:val="24"/>
          <w:szCs w:val="24"/>
        </w:rPr>
        <w:t xml:space="preserve"> ikke evnen til at føre motorkøretøj og betjene maskiner. På grund af lægemidlets bivirkninger bør patienter i behandling med </w:t>
      </w:r>
      <w:proofErr w:type="spellStart"/>
      <w:r w:rsidRPr="003F4344">
        <w:rPr>
          <w:sz w:val="24"/>
          <w:szCs w:val="24"/>
        </w:rPr>
        <w:t>vinorelbin</w:t>
      </w:r>
      <w:proofErr w:type="spellEnd"/>
      <w:r w:rsidRPr="003F4344">
        <w:rPr>
          <w:sz w:val="24"/>
          <w:szCs w:val="24"/>
        </w:rPr>
        <w:t xml:space="preserve"> dog udvise forsigtighed.</w:t>
      </w:r>
    </w:p>
    <w:p w:rsidR="00BA65AA" w:rsidRPr="00C84483" w:rsidRDefault="00BA65AA" w:rsidP="00BA65AA">
      <w:pPr>
        <w:tabs>
          <w:tab w:val="left" w:pos="851"/>
        </w:tabs>
        <w:ind w:left="851"/>
        <w:rPr>
          <w:sz w:val="24"/>
          <w:szCs w:val="24"/>
        </w:rPr>
      </w:pPr>
    </w:p>
    <w:p w:rsidR="00BA65AA" w:rsidRPr="00C84483" w:rsidRDefault="00BA65AA" w:rsidP="00BA65AA">
      <w:pPr>
        <w:tabs>
          <w:tab w:val="left" w:pos="851"/>
        </w:tabs>
        <w:ind w:left="851" w:hanging="851"/>
        <w:rPr>
          <w:b/>
          <w:sz w:val="24"/>
          <w:szCs w:val="24"/>
        </w:rPr>
      </w:pPr>
      <w:r w:rsidRPr="00C84483">
        <w:rPr>
          <w:b/>
          <w:sz w:val="24"/>
          <w:szCs w:val="24"/>
        </w:rPr>
        <w:t>4.8</w:t>
      </w:r>
      <w:r w:rsidRPr="00C84483">
        <w:rPr>
          <w:b/>
          <w:sz w:val="24"/>
          <w:szCs w:val="24"/>
        </w:rPr>
        <w:tab/>
        <w:t>Bivirkninger</w:t>
      </w:r>
    </w:p>
    <w:p w:rsidR="004D557A" w:rsidRDefault="004D557A" w:rsidP="004D557A">
      <w:pPr>
        <w:ind w:left="851" w:right="-1"/>
        <w:rPr>
          <w:sz w:val="24"/>
          <w:szCs w:val="24"/>
        </w:rPr>
      </w:pPr>
      <w:r>
        <w:rPr>
          <w:sz w:val="24"/>
          <w:szCs w:val="24"/>
        </w:rPr>
        <w:t>Bivirkninger, som er rapporteret som mere end isolerede tilfælde, er anført nedenfor efter organklasse og hyppighed. Hyppigheder er defineret som: Meget almindelig (</w:t>
      </w:r>
      <w:r>
        <w:rPr>
          <w:rFonts w:hint="cs"/>
          <w:sz w:val="24"/>
          <w:szCs w:val="24"/>
        </w:rPr>
        <w:t>≥</w:t>
      </w:r>
      <w:r>
        <w:rPr>
          <w:sz w:val="24"/>
          <w:szCs w:val="24"/>
        </w:rPr>
        <w:t>1/10), almindelig (</w:t>
      </w:r>
      <w:r>
        <w:rPr>
          <w:rFonts w:hint="cs"/>
          <w:sz w:val="24"/>
          <w:szCs w:val="24"/>
        </w:rPr>
        <w:t>≥</w:t>
      </w:r>
      <w:r>
        <w:rPr>
          <w:sz w:val="24"/>
          <w:szCs w:val="24"/>
        </w:rPr>
        <w:t>1/100, &lt;1/10), ikke almindelig (</w:t>
      </w:r>
      <w:r>
        <w:rPr>
          <w:rFonts w:hint="cs"/>
          <w:sz w:val="24"/>
          <w:szCs w:val="24"/>
        </w:rPr>
        <w:t>≥</w:t>
      </w:r>
      <w:r>
        <w:rPr>
          <w:sz w:val="24"/>
          <w:szCs w:val="24"/>
        </w:rPr>
        <w:t>1/1000, &lt;1/100), sjælden (</w:t>
      </w:r>
      <w:r>
        <w:rPr>
          <w:rFonts w:hint="cs"/>
          <w:sz w:val="24"/>
          <w:szCs w:val="24"/>
        </w:rPr>
        <w:t>≥</w:t>
      </w:r>
      <w:r>
        <w:rPr>
          <w:sz w:val="24"/>
          <w:szCs w:val="24"/>
        </w:rPr>
        <w:t xml:space="preserve">1/10.000, &lt;1/1000), meget sjælden (&lt;1/10000), ikke kendt (kan ikke estimeres ud fra forhåndenværende data), i henhold til </w:t>
      </w:r>
      <w:proofErr w:type="spellStart"/>
      <w:r>
        <w:rPr>
          <w:sz w:val="24"/>
          <w:szCs w:val="24"/>
        </w:rPr>
        <w:t>MedDRA</w:t>
      </w:r>
      <w:proofErr w:type="spellEnd"/>
      <w:r>
        <w:rPr>
          <w:sz w:val="24"/>
          <w:szCs w:val="24"/>
        </w:rPr>
        <w:t xml:space="preserve"> hyppighedskonvention og systemorganklasse.</w:t>
      </w:r>
    </w:p>
    <w:p w:rsidR="004D557A" w:rsidRDefault="004D557A" w:rsidP="004D557A">
      <w:pPr>
        <w:ind w:left="851" w:right="-1"/>
        <w:rPr>
          <w:sz w:val="24"/>
          <w:szCs w:val="24"/>
        </w:rPr>
      </w:pPr>
    </w:p>
    <w:p w:rsidR="004D557A" w:rsidRDefault="004D557A" w:rsidP="004D557A">
      <w:pPr>
        <w:ind w:left="851" w:right="-1"/>
        <w:rPr>
          <w:sz w:val="24"/>
          <w:szCs w:val="24"/>
        </w:rPr>
      </w:pPr>
      <w:r>
        <w:rPr>
          <w:sz w:val="24"/>
          <w:szCs w:val="24"/>
        </w:rPr>
        <w:t xml:space="preserve">De hyppigst indberettede bivirkninger er knoglemarvsdepression med </w:t>
      </w:r>
      <w:proofErr w:type="spellStart"/>
      <w:r>
        <w:rPr>
          <w:sz w:val="24"/>
          <w:szCs w:val="24"/>
        </w:rPr>
        <w:t>neutropeni</w:t>
      </w:r>
      <w:proofErr w:type="spellEnd"/>
      <w:r>
        <w:rPr>
          <w:sz w:val="24"/>
          <w:szCs w:val="24"/>
        </w:rPr>
        <w:t xml:space="preserve">, anæmi, neurologiske forstyrrelser, </w:t>
      </w:r>
      <w:proofErr w:type="spellStart"/>
      <w:r>
        <w:rPr>
          <w:sz w:val="24"/>
          <w:szCs w:val="24"/>
        </w:rPr>
        <w:t>gastrointestinal</w:t>
      </w:r>
      <w:proofErr w:type="spellEnd"/>
      <w:r>
        <w:rPr>
          <w:sz w:val="24"/>
          <w:szCs w:val="24"/>
        </w:rPr>
        <w:t xml:space="preserve"> toksicitet med kvalme, opkastning, </w:t>
      </w:r>
      <w:proofErr w:type="spellStart"/>
      <w:r>
        <w:rPr>
          <w:sz w:val="24"/>
          <w:szCs w:val="24"/>
        </w:rPr>
        <w:t>stomatitis</w:t>
      </w:r>
      <w:proofErr w:type="spellEnd"/>
      <w:r>
        <w:rPr>
          <w:sz w:val="24"/>
          <w:szCs w:val="24"/>
        </w:rPr>
        <w:t xml:space="preserve"> og obstipation, forbigående stigninger i leverfunktionstest, </w:t>
      </w:r>
      <w:proofErr w:type="spellStart"/>
      <w:r>
        <w:rPr>
          <w:sz w:val="24"/>
          <w:szCs w:val="24"/>
        </w:rPr>
        <w:t>alopeci</w:t>
      </w:r>
      <w:proofErr w:type="spellEnd"/>
      <w:r>
        <w:rPr>
          <w:sz w:val="24"/>
          <w:szCs w:val="24"/>
        </w:rPr>
        <w:t xml:space="preserve"> og lokal </w:t>
      </w:r>
      <w:proofErr w:type="spellStart"/>
      <w:r>
        <w:rPr>
          <w:sz w:val="24"/>
          <w:szCs w:val="24"/>
        </w:rPr>
        <w:t>flebitis</w:t>
      </w:r>
      <w:proofErr w:type="spellEnd"/>
      <w:r>
        <w:rPr>
          <w:sz w:val="24"/>
          <w:szCs w:val="24"/>
        </w:rPr>
        <w:t>.</w:t>
      </w:r>
    </w:p>
    <w:p w:rsidR="004D557A" w:rsidRDefault="004D557A" w:rsidP="004D557A">
      <w:pPr>
        <w:ind w:left="851" w:right="-1"/>
        <w:rPr>
          <w:sz w:val="24"/>
          <w:szCs w:val="24"/>
        </w:rPr>
      </w:pPr>
    </w:p>
    <w:p w:rsidR="004D557A" w:rsidRDefault="004D557A" w:rsidP="004D557A">
      <w:pPr>
        <w:ind w:left="851" w:right="-1"/>
        <w:rPr>
          <w:sz w:val="24"/>
          <w:szCs w:val="24"/>
        </w:rPr>
      </w:pPr>
      <w:r>
        <w:rPr>
          <w:sz w:val="24"/>
          <w:szCs w:val="24"/>
        </w:rPr>
        <w:t xml:space="preserve">Øvrige bivirkninger, der er set efter markedsføring og kliniske forsøg, er tilføjet i henhold til </w:t>
      </w:r>
      <w:proofErr w:type="spellStart"/>
      <w:r>
        <w:rPr>
          <w:sz w:val="24"/>
          <w:szCs w:val="24"/>
        </w:rPr>
        <w:t>MedDRA</w:t>
      </w:r>
      <w:proofErr w:type="spellEnd"/>
      <w:r>
        <w:rPr>
          <w:sz w:val="24"/>
          <w:szCs w:val="24"/>
        </w:rPr>
        <w:t xml:space="preserve">-klassifikationen under hyppigheden </w:t>
      </w:r>
      <w:r>
        <w:rPr>
          <w:rFonts w:hint="cs"/>
          <w:sz w:val="24"/>
          <w:szCs w:val="24"/>
        </w:rPr>
        <w:t>”</w:t>
      </w:r>
      <w:r>
        <w:rPr>
          <w:sz w:val="24"/>
          <w:szCs w:val="24"/>
        </w:rPr>
        <w:t>Ikke kendt</w:t>
      </w:r>
      <w:r>
        <w:rPr>
          <w:rFonts w:hint="cs"/>
          <w:sz w:val="24"/>
          <w:szCs w:val="24"/>
        </w:rPr>
        <w:t>”</w:t>
      </w:r>
      <w:r>
        <w:rPr>
          <w:sz w:val="24"/>
          <w:szCs w:val="24"/>
        </w:rPr>
        <w:t xml:space="preserve">. </w:t>
      </w:r>
    </w:p>
    <w:p w:rsidR="004D557A" w:rsidRDefault="004D557A" w:rsidP="004D557A">
      <w:pPr>
        <w:ind w:left="851" w:right="-1"/>
        <w:rPr>
          <w:sz w:val="24"/>
          <w:szCs w:val="24"/>
        </w:rPr>
      </w:pPr>
    </w:p>
    <w:p w:rsidR="004D557A" w:rsidRDefault="004D557A" w:rsidP="004D557A">
      <w:pPr>
        <w:ind w:left="851" w:right="-1"/>
        <w:rPr>
          <w:sz w:val="24"/>
          <w:szCs w:val="24"/>
        </w:rPr>
      </w:pPr>
      <w:r>
        <w:rPr>
          <w:sz w:val="24"/>
          <w:szCs w:val="24"/>
        </w:rPr>
        <w:t xml:space="preserve">Detaljerede oplysninger om bivirkninger: </w:t>
      </w:r>
    </w:p>
    <w:p w:rsidR="004D557A" w:rsidRDefault="004D557A" w:rsidP="004D557A">
      <w:pPr>
        <w:ind w:left="851" w:right="-1"/>
        <w:rPr>
          <w:sz w:val="24"/>
          <w:szCs w:val="24"/>
        </w:rPr>
      </w:pPr>
      <w:r>
        <w:rPr>
          <w:sz w:val="24"/>
          <w:szCs w:val="24"/>
        </w:rPr>
        <w:t>Reaktioner blev beskrevet ved brug af WHO-klassifikationen (grad 1 = G1; grad 2 = G2; grad 3 = G3; grad 4 = G4; grad 1-4 = G1-4; grad 1-2 = G1-2; grad 3-4 = G3-4).</w:t>
      </w:r>
    </w:p>
    <w:p w:rsidR="004D557A" w:rsidRDefault="004D557A" w:rsidP="004D557A">
      <w:pPr>
        <w:ind w:left="851" w:right="-1"/>
        <w:rPr>
          <w:sz w:val="24"/>
          <w:szCs w:val="24"/>
        </w:rPr>
      </w:pPr>
    </w:p>
    <w:p w:rsidR="004D557A" w:rsidRDefault="004D557A" w:rsidP="004D557A">
      <w:pPr>
        <w:ind w:left="851" w:right="-1"/>
        <w:rPr>
          <w:sz w:val="24"/>
          <w:szCs w:val="24"/>
          <w:u w:val="single"/>
        </w:rPr>
      </w:pPr>
      <w:r>
        <w:rPr>
          <w:sz w:val="24"/>
          <w:szCs w:val="24"/>
          <w:u w:val="single"/>
        </w:rPr>
        <w:t>Infektioner og parasitære sygdomme</w:t>
      </w:r>
    </w:p>
    <w:p w:rsidR="004D557A" w:rsidRDefault="004D557A" w:rsidP="004D557A">
      <w:pPr>
        <w:ind w:left="851" w:right="-1"/>
        <w:rPr>
          <w:sz w:val="24"/>
          <w:szCs w:val="24"/>
        </w:rPr>
      </w:pPr>
      <w:r>
        <w:rPr>
          <w:i/>
          <w:iCs/>
          <w:sz w:val="24"/>
          <w:szCs w:val="24"/>
        </w:rPr>
        <w:t>Almindelig</w:t>
      </w:r>
      <w:r>
        <w:rPr>
          <w:sz w:val="24"/>
          <w:szCs w:val="24"/>
        </w:rPr>
        <w:t>: Bakterie-, virus- eller svampeinfektion på forskellige steder (luftveje, urinveje, mave-tarm-kanal) af mild til moderat sværhedsgrad og oftest reversibel med passende behandling.</w:t>
      </w:r>
    </w:p>
    <w:p w:rsidR="004D557A" w:rsidRDefault="004D557A" w:rsidP="004D557A">
      <w:pPr>
        <w:ind w:left="851" w:right="-1"/>
        <w:rPr>
          <w:sz w:val="24"/>
          <w:szCs w:val="24"/>
        </w:rPr>
      </w:pPr>
      <w:r>
        <w:rPr>
          <w:i/>
          <w:iCs/>
          <w:sz w:val="24"/>
          <w:szCs w:val="24"/>
        </w:rPr>
        <w:t>Ikke almindelig</w:t>
      </w:r>
      <w:r>
        <w:rPr>
          <w:sz w:val="24"/>
          <w:szCs w:val="24"/>
        </w:rPr>
        <w:t xml:space="preserve">: Alvorlig sepsis med andet organsvigt. </w:t>
      </w:r>
      <w:proofErr w:type="spellStart"/>
      <w:r>
        <w:rPr>
          <w:sz w:val="24"/>
          <w:szCs w:val="24"/>
        </w:rPr>
        <w:t>Septikæmi</w:t>
      </w:r>
      <w:proofErr w:type="spellEnd"/>
      <w:r>
        <w:rPr>
          <w:sz w:val="24"/>
          <w:szCs w:val="24"/>
        </w:rPr>
        <w:t>.</w:t>
      </w:r>
    </w:p>
    <w:p w:rsidR="004D557A" w:rsidRDefault="004D557A" w:rsidP="004D557A">
      <w:pPr>
        <w:ind w:left="851" w:right="-1"/>
        <w:rPr>
          <w:sz w:val="24"/>
          <w:szCs w:val="24"/>
        </w:rPr>
      </w:pPr>
      <w:r>
        <w:rPr>
          <w:i/>
          <w:iCs/>
          <w:sz w:val="24"/>
          <w:szCs w:val="24"/>
        </w:rPr>
        <w:t>Meget sjælden</w:t>
      </w:r>
      <w:r>
        <w:rPr>
          <w:sz w:val="24"/>
          <w:szCs w:val="24"/>
        </w:rPr>
        <w:t xml:space="preserve">: Kompliceret </w:t>
      </w:r>
      <w:proofErr w:type="spellStart"/>
      <w:r>
        <w:rPr>
          <w:sz w:val="24"/>
          <w:szCs w:val="24"/>
        </w:rPr>
        <w:t>septikæmi</w:t>
      </w:r>
      <w:proofErr w:type="spellEnd"/>
      <w:r>
        <w:rPr>
          <w:sz w:val="24"/>
          <w:szCs w:val="24"/>
        </w:rPr>
        <w:t xml:space="preserve"> – undertiden dødelig.</w:t>
      </w:r>
    </w:p>
    <w:p w:rsidR="004D557A" w:rsidRDefault="004D557A" w:rsidP="004D557A">
      <w:pPr>
        <w:ind w:left="851" w:right="-1"/>
        <w:rPr>
          <w:sz w:val="24"/>
          <w:szCs w:val="24"/>
        </w:rPr>
      </w:pPr>
      <w:r>
        <w:rPr>
          <w:i/>
          <w:iCs/>
          <w:sz w:val="24"/>
          <w:szCs w:val="24"/>
        </w:rPr>
        <w:t>Ikke kendt</w:t>
      </w:r>
      <w:r>
        <w:rPr>
          <w:sz w:val="24"/>
          <w:szCs w:val="24"/>
        </w:rPr>
        <w:t xml:space="preserve">: </w:t>
      </w:r>
      <w:proofErr w:type="spellStart"/>
      <w:r>
        <w:rPr>
          <w:sz w:val="24"/>
          <w:szCs w:val="24"/>
        </w:rPr>
        <w:t>Neutropenisk</w:t>
      </w:r>
      <w:proofErr w:type="spellEnd"/>
      <w:r>
        <w:rPr>
          <w:sz w:val="24"/>
          <w:szCs w:val="24"/>
        </w:rPr>
        <w:t xml:space="preserve"> sepsis. Neutropen infektion G3-4.</w:t>
      </w:r>
    </w:p>
    <w:p w:rsidR="004D557A" w:rsidRDefault="004D557A" w:rsidP="004D557A">
      <w:pPr>
        <w:ind w:right="-1"/>
        <w:rPr>
          <w:sz w:val="24"/>
          <w:szCs w:val="24"/>
        </w:rPr>
      </w:pPr>
    </w:p>
    <w:p w:rsidR="004D557A" w:rsidRDefault="004D557A" w:rsidP="004D557A">
      <w:pPr>
        <w:ind w:left="851" w:right="-1"/>
        <w:rPr>
          <w:sz w:val="24"/>
          <w:szCs w:val="24"/>
          <w:u w:val="single"/>
        </w:rPr>
      </w:pPr>
      <w:r>
        <w:rPr>
          <w:sz w:val="24"/>
          <w:szCs w:val="24"/>
          <w:u w:val="single"/>
        </w:rPr>
        <w:t>Blod- og lymfesystem</w:t>
      </w:r>
    </w:p>
    <w:p w:rsidR="004D557A" w:rsidRDefault="004D557A" w:rsidP="004D557A">
      <w:pPr>
        <w:ind w:left="851" w:right="-1"/>
        <w:rPr>
          <w:sz w:val="24"/>
          <w:szCs w:val="24"/>
        </w:rPr>
      </w:pPr>
      <w:r>
        <w:rPr>
          <w:i/>
          <w:iCs/>
          <w:sz w:val="24"/>
          <w:szCs w:val="24"/>
        </w:rPr>
        <w:t>Meget almindelig</w:t>
      </w:r>
      <w:r>
        <w:rPr>
          <w:sz w:val="24"/>
          <w:szCs w:val="24"/>
        </w:rPr>
        <w:t xml:space="preserve">: Knoglemarvsdepression, der primært resulterer i </w:t>
      </w:r>
      <w:proofErr w:type="spellStart"/>
      <w:r>
        <w:rPr>
          <w:sz w:val="24"/>
          <w:szCs w:val="24"/>
        </w:rPr>
        <w:t>neutropeni</w:t>
      </w:r>
      <w:proofErr w:type="spellEnd"/>
      <w:r>
        <w:rPr>
          <w:sz w:val="24"/>
          <w:szCs w:val="24"/>
        </w:rPr>
        <w:t xml:space="preserve"> (G3: 24,3 %; G4: 27,8 %), som er reversibel i løbet af 5 til 7 dage og ikke-kumulativ over tid. Anæmi (G3-4: 7,4 %).</w:t>
      </w:r>
    </w:p>
    <w:p w:rsidR="004D557A" w:rsidRDefault="004D557A" w:rsidP="004D557A">
      <w:pPr>
        <w:ind w:left="851" w:right="-1"/>
        <w:rPr>
          <w:sz w:val="24"/>
          <w:szCs w:val="24"/>
        </w:rPr>
      </w:pPr>
      <w:r>
        <w:rPr>
          <w:i/>
          <w:iCs/>
          <w:sz w:val="24"/>
          <w:szCs w:val="24"/>
        </w:rPr>
        <w:t>Almindelig</w:t>
      </w:r>
      <w:r>
        <w:rPr>
          <w:sz w:val="24"/>
          <w:szCs w:val="24"/>
        </w:rPr>
        <w:t xml:space="preserve">: </w:t>
      </w:r>
      <w:proofErr w:type="spellStart"/>
      <w:r>
        <w:rPr>
          <w:sz w:val="24"/>
          <w:szCs w:val="24"/>
        </w:rPr>
        <w:t>Trombocytopeni</w:t>
      </w:r>
      <w:proofErr w:type="spellEnd"/>
      <w:r>
        <w:rPr>
          <w:sz w:val="24"/>
          <w:szCs w:val="24"/>
        </w:rPr>
        <w:t xml:space="preserve"> (G3-4: 2,5 %) kan forekomme, men er sjældent alvorlig.</w:t>
      </w:r>
    </w:p>
    <w:p w:rsidR="004D557A" w:rsidRDefault="004D557A" w:rsidP="004D557A">
      <w:pPr>
        <w:ind w:left="851" w:right="-1"/>
        <w:rPr>
          <w:sz w:val="24"/>
          <w:szCs w:val="24"/>
        </w:rPr>
      </w:pPr>
      <w:r>
        <w:rPr>
          <w:i/>
          <w:iCs/>
          <w:sz w:val="24"/>
          <w:szCs w:val="24"/>
        </w:rPr>
        <w:t>Ikke kendt</w:t>
      </w:r>
      <w:r>
        <w:rPr>
          <w:sz w:val="24"/>
          <w:szCs w:val="24"/>
        </w:rPr>
        <w:t xml:space="preserve">: Febril </w:t>
      </w:r>
      <w:proofErr w:type="spellStart"/>
      <w:r>
        <w:rPr>
          <w:sz w:val="24"/>
          <w:szCs w:val="24"/>
        </w:rPr>
        <w:t>neutropeni</w:t>
      </w:r>
      <w:proofErr w:type="spellEnd"/>
      <w:r>
        <w:rPr>
          <w:sz w:val="24"/>
          <w:szCs w:val="24"/>
        </w:rPr>
        <w:t xml:space="preserve">. </w:t>
      </w:r>
      <w:proofErr w:type="spellStart"/>
      <w:r>
        <w:rPr>
          <w:sz w:val="24"/>
          <w:szCs w:val="24"/>
        </w:rPr>
        <w:t>Pantocytopeni</w:t>
      </w:r>
      <w:proofErr w:type="spellEnd"/>
      <w:r>
        <w:rPr>
          <w:sz w:val="24"/>
          <w:szCs w:val="24"/>
        </w:rPr>
        <w:t xml:space="preserve">. </w:t>
      </w:r>
      <w:proofErr w:type="spellStart"/>
      <w:r>
        <w:rPr>
          <w:sz w:val="24"/>
          <w:szCs w:val="24"/>
        </w:rPr>
        <w:t>Leukopeni</w:t>
      </w:r>
      <w:proofErr w:type="spellEnd"/>
      <w:r>
        <w:rPr>
          <w:sz w:val="24"/>
          <w:szCs w:val="24"/>
        </w:rPr>
        <w:t xml:space="preserve"> G1-4.</w:t>
      </w:r>
    </w:p>
    <w:p w:rsidR="004D557A" w:rsidRDefault="004D557A" w:rsidP="004D557A">
      <w:pPr>
        <w:ind w:left="851" w:right="-1"/>
        <w:rPr>
          <w:sz w:val="24"/>
          <w:szCs w:val="24"/>
        </w:rPr>
      </w:pPr>
    </w:p>
    <w:p w:rsidR="004D557A" w:rsidRDefault="004D557A" w:rsidP="0052650D">
      <w:pPr>
        <w:keepNext/>
        <w:ind w:left="851"/>
        <w:rPr>
          <w:sz w:val="24"/>
          <w:szCs w:val="24"/>
          <w:u w:val="single"/>
        </w:rPr>
      </w:pPr>
      <w:r>
        <w:rPr>
          <w:sz w:val="24"/>
          <w:szCs w:val="24"/>
          <w:u w:val="single"/>
        </w:rPr>
        <w:lastRenderedPageBreak/>
        <w:t>Immunsystemet</w:t>
      </w:r>
    </w:p>
    <w:p w:rsidR="004D557A" w:rsidRDefault="004D557A" w:rsidP="004D557A">
      <w:pPr>
        <w:ind w:left="851" w:right="-1"/>
        <w:rPr>
          <w:sz w:val="24"/>
          <w:szCs w:val="24"/>
        </w:rPr>
      </w:pPr>
      <w:r>
        <w:rPr>
          <w:i/>
          <w:iCs/>
          <w:sz w:val="24"/>
          <w:szCs w:val="24"/>
        </w:rPr>
        <w:t>Ikke kendt</w:t>
      </w:r>
      <w:r>
        <w:rPr>
          <w:sz w:val="24"/>
          <w:szCs w:val="24"/>
        </w:rPr>
        <w:t xml:space="preserve">: Systemiske allergiske reaktioner såsom anafylaksi, </w:t>
      </w:r>
      <w:proofErr w:type="spellStart"/>
      <w:r>
        <w:rPr>
          <w:sz w:val="24"/>
          <w:szCs w:val="24"/>
        </w:rPr>
        <w:t>anafylaktisk</w:t>
      </w:r>
      <w:proofErr w:type="spellEnd"/>
      <w:r>
        <w:rPr>
          <w:sz w:val="24"/>
          <w:szCs w:val="24"/>
        </w:rPr>
        <w:t xml:space="preserve"> chok eller </w:t>
      </w:r>
      <w:proofErr w:type="spellStart"/>
      <w:r>
        <w:rPr>
          <w:sz w:val="24"/>
          <w:szCs w:val="24"/>
        </w:rPr>
        <w:t>anafylaktoid</w:t>
      </w:r>
      <w:proofErr w:type="spellEnd"/>
      <w:r>
        <w:rPr>
          <w:sz w:val="24"/>
          <w:szCs w:val="24"/>
        </w:rPr>
        <w:t xml:space="preserve"> reaktion.</w:t>
      </w:r>
    </w:p>
    <w:p w:rsidR="004D557A" w:rsidRDefault="004D557A" w:rsidP="004D557A">
      <w:pPr>
        <w:ind w:left="851" w:right="-1"/>
        <w:rPr>
          <w:sz w:val="24"/>
          <w:szCs w:val="24"/>
        </w:rPr>
      </w:pPr>
    </w:p>
    <w:p w:rsidR="004D557A" w:rsidRDefault="004D557A" w:rsidP="004D557A">
      <w:pPr>
        <w:ind w:left="851" w:right="-1"/>
        <w:rPr>
          <w:sz w:val="24"/>
          <w:szCs w:val="24"/>
          <w:u w:val="single"/>
        </w:rPr>
      </w:pPr>
      <w:r>
        <w:rPr>
          <w:sz w:val="24"/>
          <w:szCs w:val="24"/>
          <w:u w:val="single"/>
        </w:rPr>
        <w:t>Det endokrine system</w:t>
      </w:r>
    </w:p>
    <w:p w:rsidR="004D557A" w:rsidRDefault="004D557A" w:rsidP="004D557A">
      <w:pPr>
        <w:ind w:left="851" w:right="-1"/>
        <w:rPr>
          <w:sz w:val="24"/>
          <w:szCs w:val="24"/>
        </w:rPr>
      </w:pPr>
      <w:r>
        <w:rPr>
          <w:i/>
          <w:iCs/>
          <w:sz w:val="24"/>
          <w:szCs w:val="24"/>
        </w:rPr>
        <w:t>Ikke kendt</w:t>
      </w:r>
      <w:r>
        <w:rPr>
          <w:sz w:val="24"/>
          <w:szCs w:val="24"/>
        </w:rPr>
        <w:t>: Uhensigtsmæssig udskillelse af antidiuretisk hormon (SIADH).</w:t>
      </w:r>
    </w:p>
    <w:p w:rsidR="004D557A" w:rsidRDefault="004D557A" w:rsidP="004D557A">
      <w:pPr>
        <w:ind w:left="851" w:right="-1"/>
        <w:rPr>
          <w:sz w:val="24"/>
          <w:szCs w:val="24"/>
        </w:rPr>
      </w:pPr>
    </w:p>
    <w:p w:rsidR="004D557A" w:rsidRDefault="004D557A" w:rsidP="004D557A">
      <w:pPr>
        <w:ind w:left="851" w:right="-1"/>
        <w:rPr>
          <w:sz w:val="24"/>
          <w:szCs w:val="24"/>
          <w:u w:val="single"/>
        </w:rPr>
      </w:pPr>
      <w:r>
        <w:rPr>
          <w:sz w:val="24"/>
          <w:szCs w:val="24"/>
          <w:u w:val="single"/>
        </w:rPr>
        <w:t>Metabolisme og ernæring</w:t>
      </w:r>
    </w:p>
    <w:p w:rsidR="004D557A" w:rsidRDefault="004D557A" w:rsidP="004D557A">
      <w:pPr>
        <w:ind w:left="851" w:right="-1"/>
        <w:rPr>
          <w:sz w:val="24"/>
          <w:szCs w:val="24"/>
        </w:rPr>
      </w:pPr>
      <w:r>
        <w:rPr>
          <w:i/>
          <w:iCs/>
          <w:sz w:val="24"/>
          <w:szCs w:val="24"/>
        </w:rPr>
        <w:t>Sjælden</w:t>
      </w:r>
      <w:r>
        <w:rPr>
          <w:sz w:val="24"/>
          <w:szCs w:val="24"/>
        </w:rPr>
        <w:t xml:space="preserve">: Svær </w:t>
      </w:r>
      <w:proofErr w:type="spellStart"/>
      <w:r>
        <w:rPr>
          <w:sz w:val="24"/>
          <w:szCs w:val="24"/>
        </w:rPr>
        <w:t>hyponatriæmi</w:t>
      </w:r>
      <w:proofErr w:type="spellEnd"/>
      <w:r>
        <w:rPr>
          <w:sz w:val="24"/>
          <w:szCs w:val="24"/>
        </w:rPr>
        <w:t>.</w:t>
      </w:r>
    </w:p>
    <w:p w:rsidR="004D557A" w:rsidRDefault="004D557A" w:rsidP="004D557A">
      <w:pPr>
        <w:ind w:left="851" w:right="-1"/>
        <w:rPr>
          <w:sz w:val="24"/>
          <w:szCs w:val="24"/>
        </w:rPr>
      </w:pPr>
      <w:r>
        <w:rPr>
          <w:i/>
          <w:iCs/>
          <w:sz w:val="24"/>
          <w:szCs w:val="24"/>
        </w:rPr>
        <w:t>Ikke kendt</w:t>
      </w:r>
      <w:r>
        <w:rPr>
          <w:sz w:val="24"/>
          <w:szCs w:val="24"/>
        </w:rPr>
        <w:t>: Anoreksi.</w:t>
      </w:r>
    </w:p>
    <w:p w:rsidR="004D557A" w:rsidRDefault="004D557A" w:rsidP="004D557A">
      <w:pPr>
        <w:ind w:left="851" w:right="-1"/>
        <w:rPr>
          <w:sz w:val="24"/>
          <w:szCs w:val="24"/>
        </w:rPr>
      </w:pPr>
    </w:p>
    <w:p w:rsidR="004D557A" w:rsidRDefault="004D557A" w:rsidP="004D557A">
      <w:pPr>
        <w:ind w:left="851" w:right="-1"/>
        <w:rPr>
          <w:sz w:val="24"/>
          <w:szCs w:val="24"/>
          <w:u w:val="single"/>
        </w:rPr>
      </w:pPr>
      <w:r>
        <w:rPr>
          <w:sz w:val="24"/>
          <w:szCs w:val="24"/>
          <w:u w:val="single"/>
        </w:rPr>
        <w:t>Nervesystemet</w:t>
      </w:r>
    </w:p>
    <w:p w:rsidR="004D557A" w:rsidRDefault="004D557A" w:rsidP="004D557A">
      <w:pPr>
        <w:ind w:left="851" w:right="-1"/>
        <w:rPr>
          <w:sz w:val="24"/>
          <w:szCs w:val="24"/>
        </w:rPr>
      </w:pPr>
      <w:r>
        <w:rPr>
          <w:i/>
          <w:iCs/>
          <w:sz w:val="24"/>
          <w:szCs w:val="24"/>
        </w:rPr>
        <w:t>Meget almindelig</w:t>
      </w:r>
      <w:r>
        <w:rPr>
          <w:sz w:val="24"/>
          <w:szCs w:val="24"/>
        </w:rPr>
        <w:t xml:space="preserve">: Neurologiske forstyrrelser (G3-4: 2,7 %), herunder tab af dybe </w:t>
      </w:r>
      <w:proofErr w:type="spellStart"/>
      <w:r>
        <w:rPr>
          <w:sz w:val="24"/>
          <w:szCs w:val="24"/>
        </w:rPr>
        <w:t>senereflekser</w:t>
      </w:r>
      <w:proofErr w:type="spellEnd"/>
      <w:r>
        <w:rPr>
          <w:sz w:val="24"/>
          <w:szCs w:val="24"/>
        </w:rPr>
        <w:t>. Svaghed i nedre ekstremiteter er indberettet efter langvarigkemoterapi.</w:t>
      </w:r>
    </w:p>
    <w:p w:rsidR="004D557A" w:rsidRDefault="004D557A" w:rsidP="004D557A">
      <w:pPr>
        <w:ind w:left="851" w:right="-1"/>
        <w:rPr>
          <w:sz w:val="24"/>
          <w:szCs w:val="24"/>
        </w:rPr>
      </w:pPr>
      <w:r>
        <w:rPr>
          <w:i/>
          <w:iCs/>
          <w:sz w:val="24"/>
          <w:szCs w:val="24"/>
        </w:rPr>
        <w:t>Ikke almindelig</w:t>
      </w:r>
      <w:r>
        <w:rPr>
          <w:sz w:val="24"/>
          <w:szCs w:val="24"/>
        </w:rPr>
        <w:t xml:space="preserve">: Alvorlig </w:t>
      </w:r>
      <w:proofErr w:type="spellStart"/>
      <w:r>
        <w:rPr>
          <w:sz w:val="24"/>
          <w:szCs w:val="24"/>
        </w:rPr>
        <w:t>paræstesi</w:t>
      </w:r>
      <w:proofErr w:type="spellEnd"/>
      <w:r>
        <w:rPr>
          <w:sz w:val="24"/>
          <w:szCs w:val="24"/>
        </w:rPr>
        <w:t xml:space="preserve"> med sensoriske og motoriske symptomer er ikke hyppigt forekommende. Disse virkninger er sædvanligvis reversible.</w:t>
      </w:r>
    </w:p>
    <w:p w:rsidR="004D557A" w:rsidRDefault="004D557A" w:rsidP="004D557A">
      <w:pPr>
        <w:ind w:left="851" w:right="-1"/>
        <w:rPr>
          <w:sz w:val="24"/>
          <w:szCs w:val="24"/>
        </w:rPr>
      </w:pPr>
      <w:r>
        <w:rPr>
          <w:i/>
          <w:iCs/>
          <w:sz w:val="24"/>
          <w:szCs w:val="24"/>
        </w:rPr>
        <w:t>Ikke kendt</w:t>
      </w:r>
      <w:r>
        <w:rPr>
          <w:sz w:val="24"/>
          <w:szCs w:val="24"/>
        </w:rPr>
        <w:t xml:space="preserve">: Hovedpine, svimmelhed, </w:t>
      </w:r>
      <w:proofErr w:type="spellStart"/>
      <w:r>
        <w:rPr>
          <w:sz w:val="24"/>
          <w:szCs w:val="24"/>
        </w:rPr>
        <w:t>ataksi</w:t>
      </w:r>
      <w:proofErr w:type="spellEnd"/>
      <w:r>
        <w:rPr>
          <w:sz w:val="24"/>
          <w:szCs w:val="24"/>
        </w:rPr>
        <w:t>,</w:t>
      </w:r>
      <w:r>
        <w:t xml:space="preserve"> </w:t>
      </w:r>
      <w:proofErr w:type="spellStart"/>
      <w:r>
        <w:rPr>
          <w:sz w:val="24"/>
          <w:szCs w:val="24"/>
        </w:rPr>
        <w:t>posterior</w:t>
      </w:r>
      <w:proofErr w:type="spellEnd"/>
      <w:r>
        <w:rPr>
          <w:sz w:val="24"/>
          <w:szCs w:val="24"/>
        </w:rPr>
        <w:t xml:space="preserve"> reversibel encefalopati-syndrom.</w:t>
      </w:r>
    </w:p>
    <w:p w:rsidR="004D557A" w:rsidRDefault="004D557A" w:rsidP="004D557A">
      <w:pPr>
        <w:ind w:right="-1"/>
        <w:rPr>
          <w:sz w:val="24"/>
          <w:szCs w:val="24"/>
        </w:rPr>
      </w:pPr>
    </w:p>
    <w:p w:rsidR="004D557A" w:rsidRDefault="004D557A" w:rsidP="004D557A">
      <w:pPr>
        <w:ind w:left="851" w:right="-1"/>
        <w:rPr>
          <w:sz w:val="24"/>
          <w:szCs w:val="24"/>
          <w:u w:val="single"/>
        </w:rPr>
      </w:pPr>
      <w:r>
        <w:rPr>
          <w:sz w:val="24"/>
          <w:szCs w:val="24"/>
          <w:u w:val="single"/>
        </w:rPr>
        <w:t>Hjerte</w:t>
      </w:r>
    </w:p>
    <w:p w:rsidR="004D557A" w:rsidRDefault="004D557A" w:rsidP="004D557A">
      <w:pPr>
        <w:ind w:left="851" w:right="-1"/>
        <w:rPr>
          <w:sz w:val="24"/>
          <w:szCs w:val="24"/>
        </w:rPr>
      </w:pPr>
      <w:r>
        <w:rPr>
          <w:i/>
          <w:iCs/>
          <w:sz w:val="24"/>
          <w:szCs w:val="24"/>
        </w:rPr>
        <w:t>Sjælden</w:t>
      </w:r>
      <w:r>
        <w:rPr>
          <w:sz w:val="24"/>
          <w:szCs w:val="24"/>
        </w:rPr>
        <w:t>: Iskæmisk hjertelidelse (angina pectoris, myokardieinfarkt – undertiden dødeligt).</w:t>
      </w:r>
    </w:p>
    <w:p w:rsidR="004D557A" w:rsidRDefault="004D557A" w:rsidP="004D557A">
      <w:pPr>
        <w:ind w:left="851" w:right="-1"/>
        <w:rPr>
          <w:sz w:val="24"/>
          <w:szCs w:val="24"/>
        </w:rPr>
      </w:pPr>
      <w:r>
        <w:rPr>
          <w:i/>
          <w:iCs/>
          <w:sz w:val="24"/>
          <w:szCs w:val="24"/>
        </w:rPr>
        <w:t>Meget sjælden</w:t>
      </w:r>
      <w:r>
        <w:rPr>
          <w:sz w:val="24"/>
          <w:szCs w:val="24"/>
        </w:rPr>
        <w:t xml:space="preserve">: </w:t>
      </w:r>
      <w:proofErr w:type="spellStart"/>
      <w:r>
        <w:rPr>
          <w:sz w:val="24"/>
          <w:szCs w:val="24"/>
        </w:rPr>
        <w:t>Takykardi</w:t>
      </w:r>
      <w:proofErr w:type="spellEnd"/>
      <w:r>
        <w:rPr>
          <w:sz w:val="24"/>
          <w:szCs w:val="24"/>
        </w:rPr>
        <w:t>, hjertebanken og hjerterytmeforstyrrelser.</w:t>
      </w:r>
    </w:p>
    <w:p w:rsidR="004D557A" w:rsidRDefault="004D557A" w:rsidP="004D557A">
      <w:pPr>
        <w:ind w:left="851" w:right="-1"/>
        <w:rPr>
          <w:sz w:val="24"/>
          <w:szCs w:val="24"/>
        </w:rPr>
      </w:pPr>
      <w:r>
        <w:rPr>
          <w:i/>
          <w:iCs/>
          <w:sz w:val="24"/>
          <w:szCs w:val="24"/>
        </w:rPr>
        <w:t>Ikke kendt</w:t>
      </w:r>
      <w:r>
        <w:rPr>
          <w:sz w:val="24"/>
          <w:szCs w:val="24"/>
        </w:rPr>
        <w:t>: Hjertesvigt.</w:t>
      </w:r>
    </w:p>
    <w:p w:rsidR="004D557A" w:rsidRDefault="004D557A" w:rsidP="004D557A">
      <w:pPr>
        <w:ind w:left="851" w:right="-1"/>
        <w:rPr>
          <w:sz w:val="24"/>
          <w:szCs w:val="24"/>
        </w:rPr>
      </w:pPr>
    </w:p>
    <w:p w:rsidR="004D557A" w:rsidRDefault="004D557A" w:rsidP="004D557A">
      <w:pPr>
        <w:ind w:left="851" w:right="-1"/>
        <w:rPr>
          <w:sz w:val="24"/>
          <w:szCs w:val="24"/>
          <w:u w:val="single"/>
        </w:rPr>
      </w:pPr>
      <w:proofErr w:type="spellStart"/>
      <w:r>
        <w:rPr>
          <w:sz w:val="24"/>
          <w:szCs w:val="24"/>
          <w:u w:val="single"/>
        </w:rPr>
        <w:t>Vaskulære</w:t>
      </w:r>
      <w:proofErr w:type="spellEnd"/>
      <w:r>
        <w:rPr>
          <w:sz w:val="24"/>
          <w:szCs w:val="24"/>
          <w:u w:val="single"/>
        </w:rPr>
        <w:t xml:space="preserve"> sygdomme</w:t>
      </w:r>
    </w:p>
    <w:p w:rsidR="004D557A" w:rsidRDefault="004D557A" w:rsidP="004D557A">
      <w:pPr>
        <w:ind w:left="851" w:right="-1"/>
        <w:rPr>
          <w:sz w:val="24"/>
          <w:szCs w:val="24"/>
        </w:rPr>
      </w:pPr>
      <w:r>
        <w:rPr>
          <w:i/>
          <w:iCs/>
          <w:sz w:val="24"/>
          <w:szCs w:val="24"/>
        </w:rPr>
        <w:t>Ikke almindelig</w:t>
      </w:r>
      <w:r>
        <w:rPr>
          <w:sz w:val="24"/>
          <w:szCs w:val="24"/>
        </w:rPr>
        <w:t>: Arteriel hypotension, arteriel hypertension, rødmen og perifer kulde.</w:t>
      </w:r>
    </w:p>
    <w:p w:rsidR="004D557A" w:rsidRDefault="004D557A" w:rsidP="004D557A">
      <w:pPr>
        <w:ind w:left="851" w:right="-1"/>
        <w:rPr>
          <w:sz w:val="24"/>
          <w:szCs w:val="24"/>
        </w:rPr>
      </w:pPr>
      <w:r>
        <w:rPr>
          <w:i/>
          <w:iCs/>
          <w:sz w:val="24"/>
          <w:szCs w:val="24"/>
        </w:rPr>
        <w:t>Sjælden</w:t>
      </w:r>
      <w:r>
        <w:rPr>
          <w:sz w:val="24"/>
          <w:szCs w:val="24"/>
        </w:rPr>
        <w:t>: Alvorlig hypotension, kollaps.</w:t>
      </w:r>
    </w:p>
    <w:p w:rsidR="004D557A" w:rsidRDefault="004D557A" w:rsidP="004D557A">
      <w:pPr>
        <w:ind w:right="-1"/>
        <w:rPr>
          <w:sz w:val="24"/>
          <w:szCs w:val="24"/>
        </w:rPr>
      </w:pPr>
    </w:p>
    <w:p w:rsidR="004D557A" w:rsidRDefault="004D557A" w:rsidP="004D557A">
      <w:pPr>
        <w:ind w:left="851" w:right="-1"/>
        <w:rPr>
          <w:sz w:val="24"/>
          <w:szCs w:val="24"/>
          <w:u w:val="single"/>
        </w:rPr>
      </w:pPr>
      <w:r>
        <w:rPr>
          <w:sz w:val="24"/>
          <w:szCs w:val="24"/>
          <w:u w:val="single"/>
        </w:rPr>
        <w:t xml:space="preserve">Luftveje, thorax og </w:t>
      </w:r>
      <w:proofErr w:type="spellStart"/>
      <w:r>
        <w:rPr>
          <w:sz w:val="24"/>
          <w:szCs w:val="24"/>
          <w:u w:val="single"/>
        </w:rPr>
        <w:t>mediastinum</w:t>
      </w:r>
      <w:proofErr w:type="spellEnd"/>
    </w:p>
    <w:p w:rsidR="004D557A" w:rsidRDefault="004D557A" w:rsidP="004D557A">
      <w:pPr>
        <w:ind w:left="851" w:right="-1"/>
        <w:rPr>
          <w:sz w:val="24"/>
          <w:szCs w:val="24"/>
        </w:rPr>
      </w:pPr>
      <w:r>
        <w:rPr>
          <w:i/>
          <w:iCs/>
          <w:sz w:val="24"/>
          <w:szCs w:val="24"/>
        </w:rPr>
        <w:t>Ikke almindelig</w:t>
      </w:r>
      <w:r>
        <w:rPr>
          <w:sz w:val="24"/>
          <w:szCs w:val="24"/>
        </w:rPr>
        <w:t xml:space="preserve">: Dyspnø og </w:t>
      </w:r>
      <w:proofErr w:type="spellStart"/>
      <w:r>
        <w:rPr>
          <w:sz w:val="24"/>
          <w:szCs w:val="24"/>
        </w:rPr>
        <w:t>bronkospasme</w:t>
      </w:r>
      <w:proofErr w:type="spellEnd"/>
      <w:r>
        <w:rPr>
          <w:sz w:val="24"/>
          <w:szCs w:val="24"/>
        </w:rPr>
        <w:t xml:space="preserve"> kan forekomme i forbindelse med behandling med </w:t>
      </w:r>
      <w:proofErr w:type="spellStart"/>
      <w:r>
        <w:rPr>
          <w:sz w:val="24"/>
          <w:szCs w:val="24"/>
        </w:rPr>
        <w:t>Vinorelbin</w:t>
      </w:r>
      <w:proofErr w:type="spellEnd"/>
      <w:r>
        <w:rPr>
          <w:sz w:val="24"/>
          <w:szCs w:val="24"/>
        </w:rPr>
        <w:t xml:space="preserve"> "</w:t>
      </w:r>
      <w:proofErr w:type="spellStart"/>
      <w:r>
        <w:rPr>
          <w:sz w:val="24"/>
          <w:szCs w:val="24"/>
        </w:rPr>
        <w:t>Accord</w:t>
      </w:r>
      <w:proofErr w:type="spellEnd"/>
      <w:r>
        <w:rPr>
          <w:sz w:val="24"/>
          <w:szCs w:val="24"/>
        </w:rPr>
        <w:t>", samt med andre vinca-alkaloider.</w:t>
      </w:r>
    </w:p>
    <w:p w:rsidR="004D557A" w:rsidRDefault="004D557A" w:rsidP="004D557A">
      <w:pPr>
        <w:ind w:left="851" w:right="-1"/>
        <w:rPr>
          <w:sz w:val="24"/>
          <w:szCs w:val="24"/>
        </w:rPr>
      </w:pPr>
      <w:r>
        <w:rPr>
          <w:i/>
          <w:iCs/>
          <w:sz w:val="24"/>
          <w:szCs w:val="24"/>
        </w:rPr>
        <w:t>Sjældne</w:t>
      </w:r>
      <w:r>
        <w:rPr>
          <w:sz w:val="24"/>
          <w:szCs w:val="24"/>
        </w:rPr>
        <w:t xml:space="preserve">: Der er indberettet tilfælde af </w:t>
      </w:r>
      <w:proofErr w:type="spellStart"/>
      <w:r>
        <w:rPr>
          <w:sz w:val="24"/>
          <w:szCs w:val="24"/>
        </w:rPr>
        <w:t>interstitiel</w:t>
      </w:r>
      <w:proofErr w:type="spellEnd"/>
      <w:r>
        <w:rPr>
          <w:sz w:val="24"/>
          <w:szCs w:val="24"/>
        </w:rPr>
        <w:t xml:space="preserve"> lungesygdom, undertiden dødelige.</w:t>
      </w:r>
    </w:p>
    <w:p w:rsidR="004D557A" w:rsidRDefault="004D557A" w:rsidP="004D557A">
      <w:pPr>
        <w:ind w:left="851" w:right="-1"/>
        <w:rPr>
          <w:sz w:val="24"/>
          <w:szCs w:val="24"/>
        </w:rPr>
      </w:pPr>
      <w:r>
        <w:rPr>
          <w:i/>
          <w:iCs/>
          <w:sz w:val="24"/>
          <w:szCs w:val="24"/>
        </w:rPr>
        <w:t>Ikke kendt</w:t>
      </w:r>
      <w:r>
        <w:rPr>
          <w:sz w:val="24"/>
          <w:szCs w:val="24"/>
        </w:rPr>
        <w:t xml:space="preserve">: Hoste G1-2, akut lungesvigt – undertiden dødeligt, </w:t>
      </w:r>
      <w:proofErr w:type="spellStart"/>
      <w:r>
        <w:rPr>
          <w:sz w:val="24"/>
          <w:szCs w:val="24"/>
        </w:rPr>
        <w:t>lungeemboli</w:t>
      </w:r>
      <w:proofErr w:type="spellEnd"/>
      <w:r>
        <w:rPr>
          <w:sz w:val="24"/>
          <w:szCs w:val="24"/>
        </w:rPr>
        <w:t>.</w:t>
      </w:r>
    </w:p>
    <w:p w:rsidR="004D557A" w:rsidRDefault="004D557A" w:rsidP="004D557A">
      <w:pPr>
        <w:ind w:left="851" w:right="-1"/>
        <w:rPr>
          <w:sz w:val="24"/>
          <w:szCs w:val="24"/>
        </w:rPr>
      </w:pPr>
    </w:p>
    <w:p w:rsidR="004D557A" w:rsidRDefault="004D557A" w:rsidP="004D557A">
      <w:pPr>
        <w:ind w:left="851" w:right="-1"/>
        <w:rPr>
          <w:sz w:val="24"/>
          <w:szCs w:val="24"/>
          <w:u w:val="single"/>
        </w:rPr>
      </w:pPr>
      <w:r>
        <w:rPr>
          <w:sz w:val="24"/>
          <w:szCs w:val="24"/>
          <w:u w:val="single"/>
        </w:rPr>
        <w:t>Mave-tarm-kanalen</w:t>
      </w:r>
    </w:p>
    <w:p w:rsidR="004D557A" w:rsidRDefault="004D557A" w:rsidP="004D557A">
      <w:pPr>
        <w:ind w:left="851" w:right="-1"/>
        <w:rPr>
          <w:sz w:val="24"/>
          <w:szCs w:val="24"/>
        </w:rPr>
      </w:pPr>
      <w:r>
        <w:rPr>
          <w:i/>
          <w:iCs/>
          <w:sz w:val="24"/>
          <w:szCs w:val="24"/>
        </w:rPr>
        <w:t>Meget almindelig</w:t>
      </w:r>
      <w:r>
        <w:rPr>
          <w:sz w:val="24"/>
          <w:szCs w:val="24"/>
        </w:rPr>
        <w:t xml:space="preserve">: </w:t>
      </w:r>
      <w:proofErr w:type="spellStart"/>
      <w:r>
        <w:rPr>
          <w:sz w:val="24"/>
          <w:szCs w:val="24"/>
        </w:rPr>
        <w:t>Stomatitis</w:t>
      </w:r>
      <w:proofErr w:type="spellEnd"/>
      <w:r>
        <w:rPr>
          <w:sz w:val="24"/>
          <w:szCs w:val="24"/>
        </w:rPr>
        <w:t xml:space="preserve"> (G1-4: 15 % med </w:t>
      </w:r>
      <w:proofErr w:type="spellStart"/>
      <w:r>
        <w:rPr>
          <w:sz w:val="24"/>
          <w:szCs w:val="24"/>
        </w:rPr>
        <w:t>Vinorelbin</w:t>
      </w:r>
      <w:proofErr w:type="spellEnd"/>
      <w:r>
        <w:rPr>
          <w:sz w:val="24"/>
          <w:szCs w:val="24"/>
        </w:rPr>
        <w:t xml:space="preserve"> "</w:t>
      </w:r>
      <w:proofErr w:type="spellStart"/>
      <w:r>
        <w:rPr>
          <w:sz w:val="24"/>
          <w:szCs w:val="24"/>
        </w:rPr>
        <w:t>Accord</w:t>
      </w:r>
      <w:proofErr w:type="spellEnd"/>
      <w:r>
        <w:rPr>
          <w:sz w:val="24"/>
          <w:szCs w:val="24"/>
        </w:rPr>
        <w:t xml:space="preserve">" monoterapi). Kvalme og opkastning (G1-2: 30,4 % og G3-4: 2,2 %). </w:t>
      </w:r>
      <w:proofErr w:type="spellStart"/>
      <w:r>
        <w:rPr>
          <w:sz w:val="24"/>
          <w:szCs w:val="24"/>
        </w:rPr>
        <w:t>Antiemetisk</w:t>
      </w:r>
      <w:proofErr w:type="spellEnd"/>
      <w:r>
        <w:rPr>
          <w:sz w:val="24"/>
          <w:szCs w:val="24"/>
        </w:rPr>
        <w:t xml:space="preserve"> behandling kan reducere denne forekomst. Forstoppelse er det vigtigste symptom (G3-4: 2,7 %), hvilket sjældent udvikler sig til paralytisk </w:t>
      </w:r>
      <w:proofErr w:type="spellStart"/>
      <w:r>
        <w:rPr>
          <w:sz w:val="24"/>
          <w:szCs w:val="24"/>
        </w:rPr>
        <w:t>ileus</w:t>
      </w:r>
      <w:proofErr w:type="spellEnd"/>
      <w:r>
        <w:rPr>
          <w:sz w:val="24"/>
          <w:szCs w:val="24"/>
        </w:rPr>
        <w:t xml:space="preserve"> med </w:t>
      </w:r>
      <w:proofErr w:type="spellStart"/>
      <w:r>
        <w:rPr>
          <w:sz w:val="24"/>
          <w:szCs w:val="24"/>
        </w:rPr>
        <w:t>Vinorelbin</w:t>
      </w:r>
      <w:proofErr w:type="spellEnd"/>
      <w:r>
        <w:rPr>
          <w:sz w:val="24"/>
          <w:szCs w:val="24"/>
        </w:rPr>
        <w:t xml:space="preserve"> "</w:t>
      </w:r>
      <w:proofErr w:type="spellStart"/>
      <w:r>
        <w:rPr>
          <w:sz w:val="24"/>
          <w:szCs w:val="24"/>
        </w:rPr>
        <w:t>Accord</w:t>
      </w:r>
      <w:proofErr w:type="spellEnd"/>
      <w:r>
        <w:rPr>
          <w:sz w:val="24"/>
          <w:szCs w:val="24"/>
        </w:rPr>
        <w:t xml:space="preserve">" som monoterapi og (G3-4: 4,1 %) med kombination af </w:t>
      </w:r>
      <w:proofErr w:type="spellStart"/>
      <w:r>
        <w:rPr>
          <w:sz w:val="24"/>
          <w:szCs w:val="24"/>
        </w:rPr>
        <w:t>Vinorelbin</w:t>
      </w:r>
      <w:proofErr w:type="spellEnd"/>
      <w:r>
        <w:rPr>
          <w:sz w:val="24"/>
          <w:szCs w:val="24"/>
        </w:rPr>
        <w:t xml:space="preserve"> "</w:t>
      </w:r>
      <w:proofErr w:type="spellStart"/>
      <w:r>
        <w:rPr>
          <w:sz w:val="24"/>
          <w:szCs w:val="24"/>
        </w:rPr>
        <w:t>Accord</w:t>
      </w:r>
      <w:proofErr w:type="spellEnd"/>
      <w:r>
        <w:rPr>
          <w:sz w:val="24"/>
          <w:szCs w:val="24"/>
        </w:rPr>
        <w:t>" og andre kemoterapeutika.</w:t>
      </w:r>
    </w:p>
    <w:p w:rsidR="004D557A" w:rsidRDefault="004D557A" w:rsidP="004D557A">
      <w:pPr>
        <w:ind w:left="851" w:right="-1"/>
        <w:rPr>
          <w:sz w:val="24"/>
          <w:szCs w:val="24"/>
        </w:rPr>
      </w:pPr>
      <w:r>
        <w:rPr>
          <w:i/>
          <w:iCs/>
          <w:sz w:val="24"/>
          <w:szCs w:val="24"/>
        </w:rPr>
        <w:t>Almindelig</w:t>
      </w:r>
      <w:r>
        <w:rPr>
          <w:sz w:val="24"/>
          <w:szCs w:val="24"/>
        </w:rPr>
        <w:t>: Diarré, som regel mild til moderat.</w:t>
      </w:r>
    </w:p>
    <w:p w:rsidR="004D557A" w:rsidRDefault="004D557A" w:rsidP="004D557A">
      <w:pPr>
        <w:ind w:left="851" w:right="-1"/>
        <w:rPr>
          <w:sz w:val="24"/>
          <w:szCs w:val="24"/>
        </w:rPr>
      </w:pPr>
      <w:r>
        <w:rPr>
          <w:i/>
          <w:iCs/>
          <w:sz w:val="24"/>
          <w:szCs w:val="24"/>
        </w:rPr>
        <w:t>Sjælden</w:t>
      </w:r>
      <w:r>
        <w:rPr>
          <w:sz w:val="24"/>
          <w:szCs w:val="24"/>
        </w:rPr>
        <w:t xml:space="preserve">: Paralytisk </w:t>
      </w:r>
      <w:proofErr w:type="spellStart"/>
      <w:r>
        <w:rPr>
          <w:sz w:val="24"/>
          <w:szCs w:val="24"/>
        </w:rPr>
        <w:t>ileus</w:t>
      </w:r>
      <w:proofErr w:type="spellEnd"/>
      <w:r>
        <w:rPr>
          <w:sz w:val="24"/>
          <w:szCs w:val="24"/>
        </w:rPr>
        <w:t xml:space="preserve"> – behandling kan genoptages, når normal </w:t>
      </w:r>
      <w:proofErr w:type="spellStart"/>
      <w:r>
        <w:rPr>
          <w:sz w:val="24"/>
          <w:szCs w:val="24"/>
        </w:rPr>
        <w:t>intestinal</w:t>
      </w:r>
      <w:proofErr w:type="spellEnd"/>
      <w:r>
        <w:rPr>
          <w:sz w:val="24"/>
          <w:szCs w:val="24"/>
        </w:rPr>
        <w:t xml:space="preserve"> transit genoptages. Der er indberettet </w:t>
      </w:r>
      <w:proofErr w:type="spellStart"/>
      <w:r>
        <w:rPr>
          <w:sz w:val="24"/>
          <w:szCs w:val="24"/>
        </w:rPr>
        <w:t>pancreatitis</w:t>
      </w:r>
      <w:proofErr w:type="spellEnd"/>
      <w:r>
        <w:rPr>
          <w:sz w:val="24"/>
          <w:szCs w:val="24"/>
        </w:rPr>
        <w:t>.</w:t>
      </w:r>
    </w:p>
    <w:p w:rsidR="004D557A" w:rsidRDefault="004D557A" w:rsidP="004D557A">
      <w:pPr>
        <w:ind w:left="851" w:right="-1"/>
        <w:rPr>
          <w:sz w:val="24"/>
          <w:szCs w:val="24"/>
        </w:rPr>
      </w:pPr>
    </w:p>
    <w:p w:rsidR="004D557A" w:rsidRDefault="004D557A" w:rsidP="004D557A">
      <w:pPr>
        <w:ind w:left="851" w:right="-1"/>
        <w:rPr>
          <w:sz w:val="24"/>
          <w:szCs w:val="24"/>
          <w:u w:val="single"/>
        </w:rPr>
      </w:pPr>
      <w:r>
        <w:rPr>
          <w:sz w:val="24"/>
          <w:szCs w:val="24"/>
          <w:u w:val="single"/>
        </w:rPr>
        <w:t>Lever og galdeveje</w:t>
      </w:r>
    </w:p>
    <w:p w:rsidR="004D557A" w:rsidRDefault="004D557A" w:rsidP="004D557A">
      <w:pPr>
        <w:ind w:left="851" w:right="-1"/>
        <w:rPr>
          <w:sz w:val="24"/>
          <w:szCs w:val="24"/>
        </w:rPr>
      </w:pPr>
      <w:r>
        <w:rPr>
          <w:i/>
          <w:iCs/>
          <w:sz w:val="24"/>
          <w:szCs w:val="24"/>
        </w:rPr>
        <w:t>Meget almindelig</w:t>
      </w:r>
      <w:r>
        <w:rPr>
          <w:sz w:val="24"/>
          <w:szCs w:val="24"/>
        </w:rPr>
        <w:t>: Forbigående stigninger i leverfunktionsprøver (G1-2) uden kliniske symptomer (ASAT 27,6 % og ALAT 29,3 %).</w:t>
      </w:r>
    </w:p>
    <w:p w:rsidR="004D557A" w:rsidRDefault="004D557A" w:rsidP="004D557A">
      <w:pPr>
        <w:ind w:left="851" w:right="-1"/>
        <w:rPr>
          <w:sz w:val="24"/>
          <w:szCs w:val="24"/>
          <w:u w:val="single"/>
        </w:rPr>
      </w:pPr>
      <w:r>
        <w:rPr>
          <w:i/>
          <w:iCs/>
          <w:sz w:val="24"/>
          <w:szCs w:val="24"/>
        </w:rPr>
        <w:t>Ikke kendt</w:t>
      </w:r>
      <w:r>
        <w:rPr>
          <w:sz w:val="24"/>
          <w:szCs w:val="24"/>
        </w:rPr>
        <w:t xml:space="preserve">: </w:t>
      </w:r>
      <w:r>
        <w:rPr>
          <w:sz w:val="24"/>
          <w:szCs w:val="24"/>
          <w:u w:val="single"/>
        </w:rPr>
        <w:t>Leversygdom.</w:t>
      </w:r>
    </w:p>
    <w:p w:rsidR="004D557A" w:rsidRDefault="004D557A" w:rsidP="004D557A">
      <w:pPr>
        <w:ind w:left="851" w:right="-1"/>
        <w:rPr>
          <w:sz w:val="24"/>
          <w:szCs w:val="24"/>
        </w:rPr>
      </w:pPr>
    </w:p>
    <w:p w:rsidR="004D557A" w:rsidRDefault="004D557A" w:rsidP="004D557A">
      <w:pPr>
        <w:ind w:left="851" w:right="-1"/>
        <w:rPr>
          <w:sz w:val="24"/>
          <w:szCs w:val="24"/>
          <w:u w:val="single"/>
        </w:rPr>
      </w:pPr>
      <w:r>
        <w:rPr>
          <w:sz w:val="24"/>
          <w:szCs w:val="24"/>
          <w:u w:val="single"/>
        </w:rPr>
        <w:t>Hud og subkutane væv</w:t>
      </w:r>
    </w:p>
    <w:p w:rsidR="004D557A" w:rsidRDefault="004D557A" w:rsidP="004D557A">
      <w:pPr>
        <w:ind w:left="851" w:right="-1"/>
        <w:rPr>
          <w:sz w:val="24"/>
          <w:szCs w:val="24"/>
        </w:rPr>
      </w:pPr>
      <w:r>
        <w:rPr>
          <w:i/>
          <w:iCs/>
          <w:sz w:val="24"/>
          <w:szCs w:val="24"/>
        </w:rPr>
        <w:t>Meget almindelig</w:t>
      </w:r>
      <w:r>
        <w:rPr>
          <w:sz w:val="24"/>
          <w:szCs w:val="24"/>
        </w:rPr>
        <w:t xml:space="preserve">: </w:t>
      </w:r>
      <w:proofErr w:type="spellStart"/>
      <w:r>
        <w:rPr>
          <w:sz w:val="24"/>
          <w:szCs w:val="24"/>
        </w:rPr>
        <w:t>Alopeci</w:t>
      </w:r>
      <w:proofErr w:type="spellEnd"/>
      <w:r>
        <w:rPr>
          <w:sz w:val="24"/>
          <w:szCs w:val="24"/>
        </w:rPr>
        <w:t xml:space="preserve">, ofte i mild grad (G3-4: 4,1 % med </w:t>
      </w:r>
      <w:proofErr w:type="spellStart"/>
      <w:r>
        <w:rPr>
          <w:sz w:val="24"/>
          <w:szCs w:val="24"/>
        </w:rPr>
        <w:t>Vinorelbin</w:t>
      </w:r>
      <w:proofErr w:type="spellEnd"/>
      <w:r>
        <w:rPr>
          <w:sz w:val="24"/>
          <w:szCs w:val="24"/>
        </w:rPr>
        <w:t xml:space="preserve"> "</w:t>
      </w:r>
      <w:proofErr w:type="spellStart"/>
      <w:r>
        <w:rPr>
          <w:sz w:val="24"/>
          <w:szCs w:val="24"/>
        </w:rPr>
        <w:t>Accord</w:t>
      </w:r>
      <w:proofErr w:type="spellEnd"/>
      <w:r>
        <w:rPr>
          <w:sz w:val="24"/>
          <w:szCs w:val="24"/>
        </w:rPr>
        <w:t>" som monoterapi).</w:t>
      </w:r>
    </w:p>
    <w:p w:rsidR="004D557A" w:rsidRDefault="004D557A" w:rsidP="004D557A">
      <w:pPr>
        <w:ind w:left="851" w:right="-1"/>
        <w:rPr>
          <w:sz w:val="24"/>
          <w:szCs w:val="24"/>
        </w:rPr>
      </w:pPr>
      <w:r>
        <w:rPr>
          <w:i/>
          <w:iCs/>
          <w:sz w:val="24"/>
          <w:szCs w:val="24"/>
        </w:rPr>
        <w:lastRenderedPageBreak/>
        <w:t>Sjælden</w:t>
      </w:r>
      <w:r>
        <w:rPr>
          <w:sz w:val="24"/>
          <w:szCs w:val="24"/>
        </w:rPr>
        <w:t xml:space="preserve">: Generaliserede hudreaktioner er blevet indberettet med </w:t>
      </w:r>
      <w:proofErr w:type="spellStart"/>
      <w:r>
        <w:rPr>
          <w:sz w:val="24"/>
          <w:szCs w:val="24"/>
        </w:rPr>
        <w:t>Vinorelbin</w:t>
      </w:r>
      <w:proofErr w:type="spellEnd"/>
      <w:r>
        <w:rPr>
          <w:sz w:val="24"/>
          <w:szCs w:val="24"/>
        </w:rPr>
        <w:t xml:space="preserve"> "</w:t>
      </w:r>
      <w:proofErr w:type="spellStart"/>
      <w:r>
        <w:rPr>
          <w:sz w:val="24"/>
          <w:szCs w:val="24"/>
        </w:rPr>
        <w:t>Accord</w:t>
      </w:r>
      <w:proofErr w:type="spellEnd"/>
      <w:r>
        <w:rPr>
          <w:sz w:val="24"/>
          <w:szCs w:val="24"/>
        </w:rPr>
        <w:t>".</w:t>
      </w:r>
    </w:p>
    <w:p w:rsidR="004D557A" w:rsidRDefault="004D557A" w:rsidP="004D557A">
      <w:pPr>
        <w:ind w:left="851" w:right="-1"/>
        <w:rPr>
          <w:sz w:val="24"/>
          <w:szCs w:val="24"/>
        </w:rPr>
      </w:pPr>
      <w:r>
        <w:rPr>
          <w:i/>
          <w:iCs/>
          <w:sz w:val="24"/>
          <w:szCs w:val="24"/>
        </w:rPr>
        <w:t>Ikke kendt</w:t>
      </w:r>
      <w:r>
        <w:rPr>
          <w:sz w:val="24"/>
          <w:szCs w:val="24"/>
        </w:rPr>
        <w:t xml:space="preserve">: </w:t>
      </w:r>
      <w:proofErr w:type="spellStart"/>
      <w:r>
        <w:rPr>
          <w:sz w:val="24"/>
          <w:szCs w:val="24"/>
        </w:rPr>
        <w:t>P</w:t>
      </w:r>
      <w:r>
        <w:rPr>
          <w:color w:val="000000"/>
          <w:sz w:val="24"/>
          <w:szCs w:val="24"/>
        </w:rPr>
        <w:t>almar-plantar</w:t>
      </w:r>
      <w:proofErr w:type="spellEnd"/>
      <w:r>
        <w:rPr>
          <w:color w:val="000000"/>
          <w:sz w:val="24"/>
          <w:szCs w:val="24"/>
        </w:rPr>
        <w:t xml:space="preserve"> </w:t>
      </w:r>
      <w:proofErr w:type="spellStart"/>
      <w:r>
        <w:rPr>
          <w:color w:val="000000"/>
          <w:sz w:val="24"/>
          <w:szCs w:val="24"/>
        </w:rPr>
        <w:t>erytrodysæstesisyndrom</w:t>
      </w:r>
      <w:proofErr w:type="spellEnd"/>
      <w:r>
        <w:rPr>
          <w:color w:val="000000"/>
          <w:sz w:val="24"/>
          <w:szCs w:val="24"/>
        </w:rPr>
        <w:t xml:space="preserve"> (hånd- og fodsyndrom)</w:t>
      </w:r>
      <w:r>
        <w:rPr>
          <w:sz w:val="24"/>
          <w:szCs w:val="24"/>
        </w:rPr>
        <w:t xml:space="preserve">, </w:t>
      </w:r>
      <w:proofErr w:type="spellStart"/>
      <w:r>
        <w:rPr>
          <w:sz w:val="24"/>
          <w:szCs w:val="24"/>
        </w:rPr>
        <w:t>hyperpigmentering</w:t>
      </w:r>
      <w:proofErr w:type="spellEnd"/>
      <w:r>
        <w:rPr>
          <w:sz w:val="24"/>
          <w:szCs w:val="24"/>
        </w:rPr>
        <w:t xml:space="preserve"> af huden (serpentine </w:t>
      </w:r>
      <w:proofErr w:type="spellStart"/>
      <w:r>
        <w:rPr>
          <w:sz w:val="24"/>
          <w:szCs w:val="24"/>
        </w:rPr>
        <w:t>supravenous</w:t>
      </w:r>
      <w:proofErr w:type="spellEnd"/>
      <w:r>
        <w:rPr>
          <w:sz w:val="24"/>
          <w:szCs w:val="24"/>
        </w:rPr>
        <w:t xml:space="preserve"> </w:t>
      </w:r>
      <w:proofErr w:type="spellStart"/>
      <w:r>
        <w:rPr>
          <w:sz w:val="24"/>
          <w:szCs w:val="24"/>
        </w:rPr>
        <w:t>hyperpigmentation</w:t>
      </w:r>
      <w:proofErr w:type="spellEnd"/>
      <w:r>
        <w:rPr>
          <w:sz w:val="24"/>
          <w:szCs w:val="24"/>
        </w:rPr>
        <w:t>).</w:t>
      </w:r>
    </w:p>
    <w:p w:rsidR="004D557A" w:rsidRDefault="004D557A" w:rsidP="004D557A">
      <w:pPr>
        <w:ind w:left="851" w:right="-1"/>
        <w:rPr>
          <w:sz w:val="24"/>
          <w:szCs w:val="24"/>
        </w:rPr>
      </w:pPr>
    </w:p>
    <w:p w:rsidR="004D557A" w:rsidRDefault="004D557A" w:rsidP="004D557A">
      <w:pPr>
        <w:ind w:left="851" w:right="-1"/>
        <w:rPr>
          <w:sz w:val="24"/>
          <w:szCs w:val="24"/>
          <w:u w:val="single"/>
        </w:rPr>
      </w:pPr>
      <w:r>
        <w:rPr>
          <w:sz w:val="24"/>
          <w:szCs w:val="24"/>
          <w:u w:val="single"/>
        </w:rPr>
        <w:t>Knogler, led, muskler og bindevæv</w:t>
      </w:r>
    </w:p>
    <w:p w:rsidR="004D557A" w:rsidRDefault="004D557A" w:rsidP="004D557A">
      <w:pPr>
        <w:ind w:left="851" w:right="-1"/>
        <w:rPr>
          <w:sz w:val="24"/>
          <w:szCs w:val="24"/>
        </w:rPr>
      </w:pPr>
      <w:r>
        <w:rPr>
          <w:i/>
          <w:iCs/>
          <w:sz w:val="24"/>
          <w:szCs w:val="24"/>
        </w:rPr>
        <w:t>Almindelig</w:t>
      </w:r>
      <w:r>
        <w:rPr>
          <w:sz w:val="24"/>
          <w:szCs w:val="24"/>
        </w:rPr>
        <w:t xml:space="preserve">: </w:t>
      </w:r>
      <w:proofErr w:type="spellStart"/>
      <w:r>
        <w:rPr>
          <w:sz w:val="24"/>
          <w:szCs w:val="24"/>
        </w:rPr>
        <w:t>Artralgi</w:t>
      </w:r>
      <w:proofErr w:type="spellEnd"/>
      <w:r>
        <w:rPr>
          <w:sz w:val="24"/>
          <w:szCs w:val="24"/>
        </w:rPr>
        <w:t>, herunder smerter i kæben; myalgi.</w:t>
      </w:r>
    </w:p>
    <w:p w:rsidR="004D557A" w:rsidRDefault="004D557A" w:rsidP="004D557A">
      <w:pPr>
        <w:ind w:left="851" w:right="-1"/>
        <w:rPr>
          <w:sz w:val="24"/>
          <w:szCs w:val="24"/>
        </w:rPr>
      </w:pPr>
    </w:p>
    <w:p w:rsidR="004D557A" w:rsidRDefault="004D557A" w:rsidP="004D557A">
      <w:pPr>
        <w:ind w:left="851" w:right="-1"/>
        <w:rPr>
          <w:sz w:val="24"/>
          <w:szCs w:val="24"/>
          <w:u w:val="single"/>
        </w:rPr>
      </w:pPr>
      <w:r>
        <w:rPr>
          <w:sz w:val="24"/>
          <w:szCs w:val="24"/>
          <w:u w:val="single"/>
        </w:rPr>
        <w:t>Almene symptomer og reaktioner på administrationsstedet</w:t>
      </w:r>
    </w:p>
    <w:p w:rsidR="004D557A" w:rsidRDefault="004D557A" w:rsidP="004D557A">
      <w:pPr>
        <w:ind w:left="851" w:right="-1"/>
        <w:rPr>
          <w:sz w:val="24"/>
          <w:szCs w:val="24"/>
        </w:rPr>
      </w:pPr>
      <w:r>
        <w:rPr>
          <w:i/>
          <w:iCs/>
          <w:sz w:val="24"/>
          <w:szCs w:val="24"/>
        </w:rPr>
        <w:t>Meget almindelig</w:t>
      </w:r>
      <w:r>
        <w:rPr>
          <w:sz w:val="24"/>
          <w:szCs w:val="24"/>
        </w:rPr>
        <w:t xml:space="preserve">: Reaktioner på injektionsstedet inkluderer </w:t>
      </w:r>
      <w:proofErr w:type="spellStart"/>
      <w:r>
        <w:rPr>
          <w:sz w:val="24"/>
          <w:szCs w:val="24"/>
        </w:rPr>
        <w:t>erytem</w:t>
      </w:r>
      <w:proofErr w:type="spellEnd"/>
      <w:r>
        <w:rPr>
          <w:sz w:val="24"/>
          <w:szCs w:val="24"/>
        </w:rPr>
        <w:t xml:space="preserve">, ​​brændende fornemmelse, venøs misfarvning og lokal </w:t>
      </w:r>
      <w:proofErr w:type="spellStart"/>
      <w:r>
        <w:rPr>
          <w:sz w:val="24"/>
          <w:szCs w:val="24"/>
        </w:rPr>
        <w:t>flebitis</w:t>
      </w:r>
      <w:proofErr w:type="spellEnd"/>
      <w:r>
        <w:rPr>
          <w:sz w:val="24"/>
          <w:szCs w:val="24"/>
        </w:rPr>
        <w:t xml:space="preserve"> (G3-4: 3,7 % med </w:t>
      </w:r>
      <w:proofErr w:type="spellStart"/>
      <w:r>
        <w:rPr>
          <w:sz w:val="24"/>
          <w:szCs w:val="24"/>
        </w:rPr>
        <w:t>Vinorelbin</w:t>
      </w:r>
      <w:proofErr w:type="spellEnd"/>
      <w:r>
        <w:rPr>
          <w:sz w:val="24"/>
          <w:szCs w:val="24"/>
        </w:rPr>
        <w:t xml:space="preserve"> "</w:t>
      </w:r>
      <w:proofErr w:type="spellStart"/>
      <w:r>
        <w:rPr>
          <w:sz w:val="24"/>
          <w:szCs w:val="24"/>
        </w:rPr>
        <w:t>Accord</w:t>
      </w:r>
      <w:proofErr w:type="spellEnd"/>
      <w:r>
        <w:rPr>
          <w:sz w:val="24"/>
          <w:szCs w:val="24"/>
        </w:rPr>
        <w:t>" som monoterapi).</w:t>
      </w:r>
    </w:p>
    <w:p w:rsidR="004D557A" w:rsidRDefault="004D557A" w:rsidP="004D557A">
      <w:pPr>
        <w:ind w:left="851" w:right="-1"/>
        <w:rPr>
          <w:sz w:val="24"/>
          <w:szCs w:val="24"/>
        </w:rPr>
      </w:pPr>
      <w:r>
        <w:rPr>
          <w:i/>
          <w:iCs/>
          <w:sz w:val="24"/>
          <w:szCs w:val="24"/>
        </w:rPr>
        <w:t>Almindelig</w:t>
      </w:r>
      <w:r>
        <w:rPr>
          <w:sz w:val="24"/>
          <w:szCs w:val="24"/>
        </w:rPr>
        <w:t xml:space="preserve">: Asteni, træthed, feber, smerter forskellige steder, herunder brystsmerter og smerter ved tumorstedet er blevet indberettet af patienter i behandling med </w:t>
      </w:r>
      <w:proofErr w:type="spellStart"/>
      <w:r>
        <w:rPr>
          <w:sz w:val="24"/>
          <w:szCs w:val="24"/>
        </w:rPr>
        <w:t>Vinorelbin</w:t>
      </w:r>
      <w:proofErr w:type="spellEnd"/>
      <w:r>
        <w:rPr>
          <w:sz w:val="24"/>
          <w:szCs w:val="24"/>
        </w:rPr>
        <w:t xml:space="preserve"> "</w:t>
      </w:r>
      <w:proofErr w:type="spellStart"/>
      <w:r>
        <w:rPr>
          <w:sz w:val="24"/>
          <w:szCs w:val="24"/>
        </w:rPr>
        <w:t>Accord</w:t>
      </w:r>
      <w:proofErr w:type="spellEnd"/>
      <w:r>
        <w:rPr>
          <w:sz w:val="24"/>
          <w:szCs w:val="24"/>
        </w:rPr>
        <w:t>".</w:t>
      </w:r>
    </w:p>
    <w:p w:rsidR="004D557A" w:rsidRDefault="004D557A" w:rsidP="004D557A">
      <w:pPr>
        <w:ind w:left="851" w:right="-1"/>
        <w:rPr>
          <w:sz w:val="24"/>
          <w:szCs w:val="24"/>
        </w:rPr>
      </w:pPr>
      <w:r>
        <w:rPr>
          <w:i/>
          <w:iCs/>
          <w:sz w:val="24"/>
          <w:szCs w:val="24"/>
        </w:rPr>
        <w:t>Sjælden</w:t>
      </w:r>
      <w:r>
        <w:rPr>
          <w:sz w:val="24"/>
          <w:szCs w:val="24"/>
        </w:rPr>
        <w:t xml:space="preserve">: Der er indberettet lokal nekrose. Korrekt placering af den intravenøse kanyle eller kateter og </w:t>
      </w:r>
      <w:proofErr w:type="spellStart"/>
      <w:r>
        <w:rPr>
          <w:sz w:val="24"/>
          <w:szCs w:val="24"/>
        </w:rPr>
        <w:t>bolusinjektion</w:t>
      </w:r>
      <w:proofErr w:type="spellEnd"/>
      <w:r>
        <w:rPr>
          <w:sz w:val="24"/>
          <w:szCs w:val="24"/>
        </w:rPr>
        <w:t xml:space="preserve"> efterfulgt af skylning af venen kan begrænse disse virkninger.</w:t>
      </w:r>
    </w:p>
    <w:p w:rsidR="004D557A" w:rsidRDefault="004D557A" w:rsidP="004D557A">
      <w:pPr>
        <w:ind w:left="851" w:right="-1"/>
        <w:rPr>
          <w:sz w:val="24"/>
          <w:szCs w:val="24"/>
        </w:rPr>
      </w:pPr>
      <w:r>
        <w:rPr>
          <w:i/>
          <w:iCs/>
          <w:sz w:val="24"/>
          <w:szCs w:val="24"/>
        </w:rPr>
        <w:t>Ikke kendt</w:t>
      </w:r>
      <w:r>
        <w:rPr>
          <w:sz w:val="24"/>
          <w:szCs w:val="24"/>
        </w:rPr>
        <w:t>: Kuldegysninger G1-2.</w:t>
      </w:r>
    </w:p>
    <w:p w:rsidR="004D557A" w:rsidRDefault="004D557A" w:rsidP="004D557A">
      <w:pPr>
        <w:ind w:left="851" w:right="-1"/>
        <w:rPr>
          <w:sz w:val="24"/>
          <w:szCs w:val="24"/>
        </w:rPr>
      </w:pPr>
    </w:p>
    <w:p w:rsidR="004D557A" w:rsidRDefault="004D557A" w:rsidP="004D557A">
      <w:pPr>
        <w:autoSpaceDE w:val="0"/>
        <w:autoSpaceDN w:val="0"/>
        <w:ind w:left="851" w:right="-1"/>
        <w:rPr>
          <w:sz w:val="24"/>
          <w:szCs w:val="24"/>
          <w:u w:val="single"/>
          <w:lang w:eastAsia="da-DK"/>
        </w:rPr>
      </w:pPr>
      <w:r>
        <w:rPr>
          <w:sz w:val="24"/>
          <w:szCs w:val="24"/>
          <w:u w:val="single"/>
          <w:lang w:eastAsia="da-DK"/>
        </w:rPr>
        <w:t>Undersøgelser</w:t>
      </w:r>
    </w:p>
    <w:p w:rsidR="004D557A" w:rsidRDefault="004D557A" w:rsidP="004D557A">
      <w:pPr>
        <w:autoSpaceDE w:val="0"/>
        <w:autoSpaceDN w:val="0"/>
        <w:ind w:left="851" w:right="-1"/>
        <w:rPr>
          <w:sz w:val="24"/>
          <w:szCs w:val="24"/>
          <w:lang w:eastAsia="da-DK"/>
        </w:rPr>
      </w:pPr>
      <w:r>
        <w:rPr>
          <w:i/>
          <w:iCs/>
          <w:sz w:val="24"/>
          <w:szCs w:val="24"/>
          <w:lang w:eastAsia="da-DK"/>
        </w:rPr>
        <w:t>Ikke kendt</w:t>
      </w:r>
      <w:r>
        <w:rPr>
          <w:sz w:val="24"/>
          <w:szCs w:val="24"/>
          <w:lang w:eastAsia="da-DK"/>
        </w:rPr>
        <w:t>: Vægttab.</w:t>
      </w:r>
    </w:p>
    <w:p w:rsidR="004D557A" w:rsidRDefault="004D557A" w:rsidP="004D557A">
      <w:pPr>
        <w:autoSpaceDE w:val="0"/>
        <w:autoSpaceDN w:val="0"/>
        <w:ind w:left="851" w:right="-1"/>
        <w:rPr>
          <w:sz w:val="24"/>
          <w:szCs w:val="24"/>
          <w:u w:val="single"/>
          <w:lang w:eastAsia="da-DK"/>
        </w:rPr>
      </w:pPr>
    </w:p>
    <w:p w:rsidR="004D557A" w:rsidRDefault="004D557A" w:rsidP="004D557A">
      <w:pPr>
        <w:autoSpaceDE w:val="0"/>
        <w:autoSpaceDN w:val="0"/>
        <w:ind w:left="851" w:right="-1"/>
        <w:rPr>
          <w:sz w:val="24"/>
          <w:szCs w:val="24"/>
          <w:u w:val="single"/>
          <w:lang w:eastAsia="da-DK"/>
        </w:rPr>
      </w:pPr>
      <w:r>
        <w:rPr>
          <w:sz w:val="24"/>
          <w:szCs w:val="24"/>
          <w:u w:val="single"/>
          <w:lang w:eastAsia="da-DK"/>
        </w:rPr>
        <w:t>Indberetning af formodede bivirkninger</w:t>
      </w:r>
    </w:p>
    <w:p w:rsidR="004D557A" w:rsidRDefault="004D557A" w:rsidP="004D557A">
      <w:pPr>
        <w:ind w:left="851" w:right="-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-forholdet for lægemidlet. Sundhedspersoner anmodes om at indberette alle formodede bivirkninger via:</w:t>
      </w:r>
    </w:p>
    <w:p w:rsidR="00BA65AA" w:rsidRPr="008F49E1" w:rsidRDefault="00BA65AA" w:rsidP="004D557A">
      <w:pPr>
        <w:ind w:left="851" w:right="-1"/>
        <w:rPr>
          <w:sz w:val="24"/>
          <w:szCs w:val="24"/>
          <w:lang w:eastAsia="da-DK"/>
        </w:rPr>
      </w:pPr>
    </w:p>
    <w:p w:rsidR="00BA65AA" w:rsidRPr="007A276A" w:rsidRDefault="00BA65AA" w:rsidP="004D557A">
      <w:pPr>
        <w:ind w:left="851" w:right="-1"/>
        <w:rPr>
          <w:sz w:val="24"/>
          <w:szCs w:val="24"/>
          <w:lang w:eastAsia="da-DK"/>
        </w:rPr>
      </w:pPr>
      <w:r w:rsidRPr="007A276A">
        <w:rPr>
          <w:sz w:val="24"/>
          <w:szCs w:val="24"/>
          <w:lang w:eastAsia="da-DK"/>
        </w:rPr>
        <w:t>Lægemiddelstyrelsen</w:t>
      </w:r>
    </w:p>
    <w:p w:rsidR="00BA65AA" w:rsidRPr="007A276A" w:rsidRDefault="00BA65AA" w:rsidP="004D557A">
      <w:pPr>
        <w:ind w:left="851" w:right="-1"/>
        <w:rPr>
          <w:sz w:val="24"/>
          <w:szCs w:val="24"/>
          <w:lang w:eastAsia="da-DK"/>
        </w:rPr>
      </w:pPr>
      <w:r w:rsidRPr="007A276A">
        <w:rPr>
          <w:sz w:val="24"/>
          <w:szCs w:val="24"/>
          <w:lang w:eastAsia="da-DK"/>
        </w:rPr>
        <w:t>Axel Heides Gade 1</w:t>
      </w:r>
    </w:p>
    <w:p w:rsidR="00BA65AA" w:rsidRPr="007A276A" w:rsidRDefault="00BA65AA" w:rsidP="004D557A">
      <w:pPr>
        <w:ind w:left="851" w:right="-1"/>
        <w:rPr>
          <w:sz w:val="24"/>
          <w:szCs w:val="24"/>
          <w:lang w:eastAsia="da-DK"/>
        </w:rPr>
      </w:pPr>
      <w:r w:rsidRPr="007A276A">
        <w:rPr>
          <w:sz w:val="24"/>
          <w:szCs w:val="24"/>
          <w:lang w:eastAsia="da-DK"/>
        </w:rPr>
        <w:t>DK-2300 København S</w:t>
      </w:r>
    </w:p>
    <w:p w:rsidR="00BA65AA" w:rsidRPr="00995012" w:rsidRDefault="00BA65AA" w:rsidP="004D557A">
      <w:pPr>
        <w:ind w:left="851" w:right="-1"/>
        <w:rPr>
          <w:sz w:val="24"/>
          <w:szCs w:val="24"/>
          <w:lang w:val="en-US" w:eastAsia="da-DK"/>
        </w:rPr>
      </w:pPr>
      <w:proofErr w:type="spellStart"/>
      <w:r w:rsidRPr="007A276A">
        <w:rPr>
          <w:sz w:val="24"/>
          <w:szCs w:val="24"/>
          <w:lang w:val="en-US" w:eastAsia="da-DK"/>
        </w:rPr>
        <w:t>Websted</w:t>
      </w:r>
      <w:proofErr w:type="spellEnd"/>
      <w:r w:rsidRPr="007A276A">
        <w:rPr>
          <w:sz w:val="24"/>
          <w:szCs w:val="24"/>
          <w:lang w:val="en-US" w:eastAsia="da-DK"/>
        </w:rPr>
        <w:t xml:space="preserve">: </w:t>
      </w:r>
      <w:hyperlink r:id="rId8" w:history="1">
        <w:r w:rsidRPr="007A276A">
          <w:rPr>
            <w:color w:val="0000FF"/>
            <w:sz w:val="24"/>
            <w:u w:val="single"/>
            <w:lang w:val="en-US" w:eastAsia="da-DK"/>
          </w:rPr>
          <w:t>www.meldenbivirkning.dk</w:t>
        </w:r>
      </w:hyperlink>
    </w:p>
    <w:p w:rsidR="00BA65AA" w:rsidRPr="00573D75" w:rsidRDefault="00BA65AA" w:rsidP="004D557A">
      <w:pPr>
        <w:pStyle w:val="Sidehoved"/>
        <w:tabs>
          <w:tab w:val="left" w:pos="851"/>
        </w:tabs>
        <w:ind w:left="851" w:right="-1"/>
        <w:rPr>
          <w:szCs w:val="24"/>
          <w:lang w:val="en-US"/>
        </w:rPr>
      </w:pPr>
    </w:p>
    <w:p w:rsidR="00BA65AA" w:rsidRPr="00B1572E" w:rsidRDefault="00BA65AA" w:rsidP="00BA65AA">
      <w:pPr>
        <w:tabs>
          <w:tab w:val="left" w:pos="851"/>
        </w:tabs>
        <w:ind w:left="851" w:hanging="851"/>
        <w:rPr>
          <w:b/>
          <w:sz w:val="24"/>
          <w:szCs w:val="24"/>
          <w:lang w:val="en-US"/>
        </w:rPr>
      </w:pPr>
      <w:r w:rsidRPr="00B1572E">
        <w:rPr>
          <w:b/>
          <w:sz w:val="24"/>
          <w:szCs w:val="24"/>
          <w:lang w:val="en-US"/>
        </w:rPr>
        <w:t>4.9</w:t>
      </w:r>
      <w:r w:rsidRPr="00B1572E">
        <w:rPr>
          <w:b/>
          <w:sz w:val="24"/>
          <w:szCs w:val="24"/>
          <w:lang w:val="en-US"/>
        </w:rPr>
        <w:tab/>
      </w:r>
      <w:proofErr w:type="spellStart"/>
      <w:r w:rsidRPr="00B1572E">
        <w:rPr>
          <w:b/>
          <w:sz w:val="24"/>
          <w:szCs w:val="24"/>
          <w:lang w:val="en-US"/>
        </w:rPr>
        <w:t>Overdosering</w:t>
      </w:r>
      <w:proofErr w:type="spellEnd"/>
    </w:p>
    <w:p w:rsidR="00BA65AA" w:rsidRPr="00B1572E" w:rsidRDefault="00BA65AA" w:rsidP="00BA65AA">
      <w:pPr>
        <w:tabs>
          <w:tab w:val="left" w:pos="851"/>
        </w:tabs>
        <w:ind w:left="851"/>
        <w:rPr>
          <w:sz w:val="24"/>
          <w:szCs w:val="24"/>
          <w:lang w:val="en-US"/>
        </w:rPr>
      </w:pPr>
    </w:p>
    <w:p w:rsidR="00BA65AA" w:rsidRPr="00B1572E" w:rsidRDefault="00BA65AA" w:rsidP="00BA65AA">
      <w:pPr>
        <w:tabs>
          <w:tab w:val="left" w:pos="851"/>
        </w:tabs>
        <w:ind w:left="851"/>
        <w:rPr>
          <w:sz w:val="24"/>
          <w:szCs w:val="24"/>
          <w:u w:val="single"/>
          <w:lang w:val="en-US"/>
        </w:rPr>
      </w:pPr>
      <w:proofErr w:type="spellStart"/>
      <w:r w:rsidRPr="00B1572E">
        <w:rPr>
          <w:sz w:val="24"/>
          <w:szCs w:val="24"/>
          <w:u w:val="single"/>
          <w:lang w:val="en-US"/>
        </w:rPr>
        <w:t>Symptomer</w:t>
      </w:r>
      <w:proofErr w:type="spellEnd"/>
    </w:p>
    <w:p w:rsidR="00BA65AA" w:rsidRPr="00133D4C" w:rsidRDefault="00BA65AA" w:rsidP="00BA65AA">
      <w:pPr>
        <w:tabs>
          <w:tab w:val="left" w:pos="851"/>
        </w:tabs>
        <w:ind w:left="851"/>
        <w:rPr>
          <w:sz w:val="24"/>
          <w:szCs w:val="24"/>
        </w:rPr>
      </w:pPr>
      <w:r w:rsidRPr="00133D4C">
        <w:rPr>
          <w:sz w:val="24"/>
          <w:szCs w:val="24"/>
        </w:rPr>
        <w:t xml:space="preserve">En overdosis med </w:t>
      </w:r>
      <w:proofErr w:type="spellStart"/>
      <w:r w:rsidRPr="00133D4C">
        <w:rPr>
          <w:sz w:val="24"/>
          <w:szCs w:val="24"/>
        </w:rPr>
        <w:t>Vinorelbin</w:t>
      </w:r>
      <w:proofErr w:type="spellEnd"/>
      <w:r w:rsidRPr="00133D4C">
        <w:rPr>
          <w:sz w:val="24"/>
          <w:szCs w:val="24"/>
        </w:rPr>
        <w:t xml:space="preserve"> "</w:t>
      </w:r>
      <w:proofErr w:type="spellStart"/>
      <w:r w:rsidRPr="00133D4C">
        <w:rPr>
          <w:sz w:val="24"/>
          <w:szCs w:val="24"/>
        </w:rPr>
        <w:t>Accord</w:t>
      </w:r>
      <w:proofErr w:type="spellEnd"/>
      <w:r w:rsidRPr="00133D4C">
        <w:rPr>
          <w:sz w:val="24"/>
          <w:szCs w:val="24"/>
        </w:rPr>
        <w:t xml:space="preserve">" kan medføre </w:t>
      </w:r>
      <w:proofErr w:type="spellStart"/>
      <w:r w:rsidRPr="00133D4C">
        <w:rPr>
          <w:sz w:val="24"/>
          <w:szCs w:val="24"/>
        </w:rPr>
        <w:t>knoglemarvshypoplasi</w:t>
      </w:r>
      <w:proofErr w:type="spellEnd"/>
      <w:r w:rsidRPr="00133D4C">
        <w:rPr>
          <w:sz w:val="24"/>
          <w:szCs w:val="24"/>
        </w:rPr>
        <w:t xml:space="preserve">, som undertiden er ledsaget af infektion, feber og paralytisk </w:t>
      </w:r>
      <w:proofErr w:type="spellStart"/>
      <w:r w:rsidRPr="00133D4C">
        <w:rPr>
          <w:sz w:val="24"/>
          <w:szCs w:val="24"/>
        </w:rPr>
        <w:t>ileus</w:t>
      </w:r>
      <w:proofErr w:type="spellEnd"/>
      <w:r w:rsidRPr="00133D4C">
        <w:rPr>
          <w:sz w:val="24"/>
          <w:szCs w:val="24"/>
        </w:rPr>
        <w:t>.</w:t>
      </w:r>
    </w:p>
    <w:p w:rsidR="00BA65AA" w:rsidRPr="00133D4C" w:rsidRDefault="00BA65AA" w:rsidP="00BA65AA">
      <w:pPr>
        <w:tabs>
          <w:tab w:val="left" w:pos="851"/>
        </w:tabs>
        <w:ind w:left="851"/>
        <w:rPr>
          <w:sz w:val="24"/>
          <w:szCs w:val="24"/>
        </w:rPr>
      </w:pPr>
    </w:p>
    <w:p w:rsidR="00BA65AA" w:rsidRPr="00133D4C" w:rsidRDefault="00BA65AA" w:rsidP="00BA65AA">
      <w:pPr>
        <w:tabs>
          <w:tab w:val="left" w:pos="851"/>
        </w:tabs>
        <w:ind w:left="851"/>
        <w:rPr>
          <w:sz w:val="24"/>
          <w:szCs w:val="24"/>
          <w:u w:val="single"/>
        </w:rPr>
      </w:pPr>
      <w:r w:rsidRPr="00133D4C">
        <w:rPr>
          <w:sz w:val="24"/>
          <w:szCs w:val="24"/>
          <w:u w:val="single"/>
        </w:rPr>
        <w:t>Nødberedskab</w:t>
      </w:r>
    </w:p>
    <w:p w:rsidR="00BA65AA" w:rsidRPr="00133D4C" w:rsidRDefault="00BA65AA" w:rsidP="00BA65AA">
      <w:pPr>
        <w:tabs>
          <w:tab w:val="left" w:pos="851"/>
        </w:tabs>
        <w:ind w:left="851"/>
        <w:rPr>
          <w:sz w:val="24"/>
          <w:szCs w:val="24"/>
        </w:rPr>
      </w:pPr>
      <w:r>
        <w:rPr>
          <w:sz w:val="24"/>
          <w:szCs w:val="24"/>
        </w:rPr>
        <w:t>Der indledes generel, understøttende</w:t>
      </w:r>
      <w:r w:rsidRPr="00133D4C">
        <w:rPr>
          <w:sz w:val="24"/>
          <w:szCs w:val="24"/>
        </w:rPr>
        <w:t xml:space="preserve"> behandling med blodtransfusion og bredspektret antibiotikabehandling </w:t>
      </w:r>
      <w:r>
        <w:rPr>
          <w:sz w:val="24"/>
          <w:szCs w:val="24"/>
        </w:rPr>
        <w:t>efter lægens skøn</w:t>
      </w:r>
      <w:r w:rsidRPr="00133D4C">
        <w:rPr>
          <w:sz w:val="24"/>
          <w:szCs w:val="24"/>
        </w:rPr>
        <w:t>.</w:t>
      </w:r>
    </w:p>
    <w:p w:rsidR="00BA65AA" w:rsidRPr="00133D4C" w:rsidRDefault="00BA65AA" w:rsidP="00BA65AA">
      <w:pPr>
        <w:tabs>
          <w:tab w:val="left" w:pos="851"/>
        </w:tabs>
        <w:ind w:left="851"/>
        <w:rPr>
          <w:sz w:val="24"/>
          <w:szCs w:val="24"/>
        </w:rPr>
      </w:pPr>
    </w:p>
    <w:p w:rsidR="00BA65AA" w:rsidRPr="00133D4C" w:rsidRDefault="00BA65AA" w:rsidP="00BA65AA">
      <w:pPr>
        <w:tabs>
          <w:tab w:val="left" w:pos="851"/>
        </w:tabs>
        <w:ind w:left="851"/>
        <w:rPr>
          <w:sz w:val="24"/>
          <w:szCs w:val="24"/>
          <w:u w:val="single"/>
        </w:rPr>
      </w:pPr>
      <w:proofErr w:type="spellStart"/>
      <w:r w:rsidRPr="00133D4C">
        <w:rPr>
          <w:sz w:val="24"/>
          <w:szCs w:val="24"/>
          <w:u w:val="single"/>
        </w:rPr>
        <w:t>Antidot</w:t>
      </w:r>
      <w:proofErr w:type="spellEnd"/>
    </w:p>
    <w:p w:rsidR="00BA65AA" w:rsidRPr="00C84483" w:rsidRDefault="00BA65AA" w:rsidP="00BA65AA">
      <w:pPr>
        <w:tabs>
          <w:tab w:val="left" w:pos="851"/>
        </w:tabs>
        <w:ind w:left="851"/>
        <w:rPr>
          <w:sz w:val="24"/>
          <w:szCs w:val="24"/>
        </w:rPr>
      </w:pPr>
      <w:r w:rsidRPr="00133D4C">
        <w:rPr>
          <w:sz w:val="24"/>
          <w:szCs w:val="24"/>
        </w:rPr>
        <w:t xml:space="preserve">Der findes ingen kendt </w:t>
      </w:r>
      <w:proofErr w:type="spellStart"/>
      <w:r w:rsidRPr="00133D4C">
        <w:rPr>
          <w:sz w:val="24"/>
          <w:szCs w:val="24"/>
        </w:rPr>
        <w:t>antidot</w:t>
      </w:r>
      <w:proofErr w:type="spellEnd"/>
      <w:r w:rsidRPr="00133D4C">
        <w:rPr>
          <w:sz w:val="24"/>
          <w:szCs w:val="24"/>
        </w:rPr>
        <w:t xml:space="preserve"> for </w:t>
      </w:r>
      <w:r>
        <w:rPr>
          <w:sz w:val="24"/>
          <w:szCs w:val="24"/>
        </w:rPr>
        <w:t xml:space="preserve">en overdosis af </w:t>
      </w:r>
      <w:proofErr w:type="spellStart"/>
      <w:r w:rsidRPr="00133D4C">
        <w:rPr>
          <w:sz w:val="24"/>
          <w:szCs w:val="24"/>
        </w:rPr>
        <w:t>Vinorelbin</w:t>
      </w:r>
      <w:proofErr w:type="spellEnd"/>
      <w:r w:rsidRPr="00133D4C">
        <w:rPr>
          <w:sz w:val="24"/>
          <w:szCs w:val="24"/>
        </w:rPr>
        <w:t xml:space="preserve"> "</w:t>
      </w:r>
      <w:proofErr w:type="spellStart"/>
      <w:r w:rsidRPr="00133D4C">
        <w:rPr>
          <w:sz w:val="24"/>
          <w:szCs w:val="24"/>
        </w:rPr>
        <w:t>Accord</w:t>
      </w:r>
      <w:proofErr w:type="spellEnd"/>
      <w:r w:rsidRPr="00133D4C">
        <w:rPr>
          <w:sz w:val="24"/>
          <w:szCs w:val="24"/>
        </w:rPr>
        <w:t>".</w:t>
      </w:r>
    </w:p>
    <w:p w:rsidR="00BA65AA" w:rsidRPr="00C84483" w:rsidRDefault="00BA65AA" w:rsidP="00BA65AA">
      <w:pPr>
        <w:tabs>
          <w:tab w:val="left" w:pos="851"/>
        </w:tabs>
        <w:ind w:left="851"/>
        <w:rPr>
          <w:sz w:val="24"/>
          <w:szCs w:val="24"/>
        </w:rPr>
      </w:pPr>
    </w:p>
    <w:p w:rsidR="00BA65AA" w:rsidRPr="00C84483" w:rsidRDefault="00BA65AA" w:rsidP="00BA65AA">
      <w:pPr>
        <w:tabs>
          <w:tab w:val="left" w:pos="851"/>
        </w:tabs>
        <w:ind w:left="851" w:hanging="851"/>
        <w:rPr>
          <w:b/>
          <w:sz w:val="24"/>
          <w:szCs w:val="24"/>
        </w:rPr>
      </w:pPr>
      <w:r w:rsidRPr="00C84483">
        <w:rPr>
          <w:b/>
          <w:sz w:val="24"/>
          <w:szCs w:val="24"/>
        </w:rPr>
        <w:t>4.10</w:t>
      </w:r>
      <w:r w:rsidRPr="00C84483">
        <w:rPr>
          <w:b/>
          <w:sz w:val="24"/>
          <w:szCs w:val="24"/>
        </w:rPr>
        <w:tab/>
        <w:t>Udlevering</w:t>
      </w:r>
    </w:p>
    <w:p w:rsidR="00BA65AA" w:rsidRPr="00C84483" w:rsidRDefault="00BA65AA" w:rsidP="00BA65AA">
      <w:pPr>
        <w:tabs>
          <w:tab w:val="left" w:pos="851"/>
        </w:tabs>
        <w:ind w:left="851"/>
        <w:rPr>
          <w:sz w:val="24"/>
          <w:szCs w:val="24"/>
        </w:rPr>
      </w:pPr>
      <w:r>
        <w:rPr>
          <w:sz w:val="24"/>
          <w:szCs w:val="24"/>
        </w:rPr>
        <w:t>NBS (Må kun udleveres til sygehuse eller efter ordination af speciallæger i onkologi).</w:t>
      </w:r>
    </w:p>
    <w:p w:rsidR="00BA65AA" w:rsidRPr="00C84483" w:rsidRDefault="00BA65AA" w:rsidP="00BA65AA">
      <w:pPr>
        <w:tabs>
          <w:tab w:val="left" w:pos="851"/>
        </w:tabs>
        <w:ind w:left="851"/>
        <w:rPr>
          <w:sz w:val="24"/>
          <w:szCs w:val="24"/>
        </w:rPr>
      </w:pPr>
    </w:p>
    <w:p w:rsidR="00BA65AA" w:rsidRPr="00C84483" w:rsidRDefault="00BA65AA" w:rsidP="00BA65AA">
      <w:pPr>
        <w:tabs>
          <w:tab w:val="left" w:pos="851"/>
        </w:tabs>
        <w:ind w:left="851"/>
        <w:rPr>
          <w:sz w:val="24"/>
          <w:szCs w:val="24"/>
        </w:rPr>
      </w:pPr>
    </w:p>
    <w:p w:rsidR="00BA65AA" w:rsidRPr="00C84483" w:rsidRDefault="00BA65AA" w:rsidP="0052650D">
      <w:pPr>
        <w:keepNext/>
        <w:tabs>
          <w:tab w:val="left" w:pos="851"/>
        </w:tabs>
        <w:ind w:left="851" w:hanging="851"/>
        <w:rPr>
          <w:b/>
          <w:sz w:val="24"/>
          <w:szCs w:val="24"/>
        </w:rPr>
      </w:pPr>
      <w:r w:rsidRPr="00C84483">
        <w:rPr>
          <w:b/>
          <w:sz w:val="24"/>
          <w:szCs w:val="24"/>
        </w:rPr>
        <w:lastRenderedPageBreak/>
        <w:t>5.</w:t>
      </w:r>
      <w:r w:rsidRPr="00C84483">
        <w:rPr>
          <w:b/>
          <w:sz w:val="24"/>
          <w:szCs w:val="24"/>
        </w:rPr>
        <w:tab/>
        <w:t>FARMAKOLOGISKE EGENSKABER</w:t>
      </w:r>
    </w:p>
    <w:p w:rsidR="00BA65AA" w:rsidRPr="00C84483" w:rsidRDefault="00BA65AA" w:rsidP="0052650D">
      <w:pPr>
        <w:keepNext/>
        <w:tabs>
          <w:tab w:val="left" w:pos="851"/>
        </w:tabs>
        <w:ind w:left="851"/>
        <w:rPr>
          <w:sz w:val="24"/>
          <w:szCs w:val="24"/>
        </w:rPr>
      </w:pPr>
    </w:p>
    <w:p w:rsidR="00BA65AA" w:rsidRPr="00C84483" w:rsidRDefault="00BA65AA" w:rsidP="0052650D">
      <w:pPr>
        <w:keepNext/>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4D557A" w:rsidRPr="00C84483" w:rsidRDefault="004D557A" w:rsidP="004D557A">
      <w:pPr>
        <w:tabs>
          <w:tab w:val="left" w:pos="851"/>
        </w:tabs>
        <w:ind w:left="851" w:hanging="851"/>
        <w:rPr>
          <w:sz w:val="24"/>
          <w:szCs w:val="24"/>
        </w:rPr>
      </w:pPr>
      <w:r>
        <w:rPr>
          <w:b/>
          <w:sz w:val="24"/>
          <w:szCs w:val="24"/>
        </w:rPr>
        <w:tab/>
      </w:r>
      <w:proofErr w:type="spellStart"/>
      <w:r w:rsidRPr="004D557A">
        <w:rPr>
          <w:sz w:val="24"/>
          <w:szCs w:val="24"/>
        </w:rPr>
        <w:t>Farmakot</w:t>
      </w:r>
      <w:r w:rsidRPr="004D557A">
        <w:rPr>
          <w:sz w:val="24"/>
          <w:szCs w:val="24"/>
        </w:rPr>
        <w:t>erapeutisk</w:t>
      </w:r>
      <w:proofErr w:type="spellEnd"/>
      <w:r w:rsidRPr="004D557A">
        <w:rPr>
          <w:sz w:val="24"/>
          <w:szCs w:val="24"/>
        </w:rPr>
        <w:t xml:space="preserve"> klassifikation</w:t>
      </w:r>
      <w:r>
        <w:rPr>
          <w:sz w:val="24"/>
          <w:szCs w:val="24"/>
        </w:rPr>
        <w:t xml:space="preserve">: </w:t>
      </w:r>
      <w:hyperlink r:id="rId9" w:history="1">
        <w:r w:rsidRPr="000A2112">
          <w:rPr>
            <w:sz w:val="24"/>
            <w:szCs w:val="24"/>
          </w:rPr>
          <w:t>Vinca-alkaloider og -</w:t>
        </w:r>
        <w:proofErr w:type="spellStart"/>
        <w:r w:rsidRPr="000A2112">
          <w:rPr>
            <w:sz w:val="24"/>
            <w:szCs w:val="24"/>
          </w:rPr>
          <w:t>analoger</w:t>
        </w:r>
        <w:proofErr w:type="spellEnd"/>
      </w:hyperlink>
      <w:r>
        <w:rPr>
          <w:sz w:val="24"/>
          <w:szCs w:val="24"/>
        </w:rPr>
        <w:t>.</w:t>
      </w:r>
      <w:r>
        <w:rPr>
          <w:sz w:val="24"/>
          <w:szCs w:val="24"/>
        </w:rPr>
        <w:t xml:space="preserve"> </w:t>
      </w:r>
      <w:r w:rsidRPr="000A2112">
        <w:rPr>
          <w:sz w:val="24"/>
          <w:szCs w:val="24"/>
        </w:rPr>
        <w:t>ATC-kode: L</w:t>
      </w:r>
      <w:r>
        <w:rPr>
          <w:sz w:val="24"/>
          <w:szCs w:val="24"/>
        </w:rPr>
        <w:t xml:space="preserve"> </w:t>
      </w:r>
      <w:r w:rsidRPr="000A2112">
        <w:rPr>
          <w:sz w:val="24"/>
          <w:szCs w:val="24"/>
        </w:rPr>
        <w:t>01</w:t>
      </w:r>
      <w:r>
        <w:rPr>
          <w:sz w:val="24"/>
          <w:szCs w:val="24"/>
        </w:rPr>
        <w:t xml:space="preserve"> </w:t>
      </w:r>
      <w:r w:rsidRPr="000A2112">
        <w:rPr>
          <w:sz w:val="24"/>
          <w:szCs w:val="24"/>
        </w:rPr>
        <w:t>CA</w:t>
      </w:r>
      <w:r>
        <w:rPr>
          <w:sz w:val="24"/>
          <w:szCs w:val="24"/>
        </w:rPr>
        <w:t xml:space="preserve"> </w:t>
      </w:r>
      <w:r w:rsidRPr="000A2112">
        <w:rPr>
          <w:sz w:val="24"/>
          <w:szCs w:val="24"/>
        </w:rPr>
        <w:t>04</w:t>
      </w:r>
      <w:r>
        <w:rPr>
          <w:sz w:val="24"/>
          <w:szCs w:val="24"/>
        </w:rPr>
        <w:t>.</w:t>
      </w:r>
    </w:p>
    <w:p w:rsidR="004D557A" w:rsidRDefault="004D557A" w:rsidP="00BA65AA">
      <w:pPr>
        <w:ind w:left="851"/>
        <w:rPr>
          <w:sz w:val="24"/>
          <w:szCs w:val="24"/>
        </w:rPr>
      </w:pPr>
    </w:p>
    <w:p w:rsidR="00BA65AA" w:rsidRPr="00AD4708" w:rsidRDefault="00BA65AA" w:rsidP="00BA65AA">
      <w:pPr>
        <w:ind w:left="851"/>
        <w:rPr>
          <w:sz w:val="24"/>
          <w:szCs w:val="24"/>
        </w:rPr>
      </w:pPr>
      <w:proofErr w:type="spellStart"/>
      <w:r w:rsidRPr="00AD4708">
        <w:rPr>
          <w:sz w:val="24"/>
          <w:szCs w:val="24"/>
        </w:rPr>
        <w:t>Vinorelbin</w:t>
      </w:r>
      <w:proofErr w:type="spellEnd"/>
      <w:r w:rsidRPr="00AD4708">
        <w:rPr>
          <w:sz w:val="24"/>
          <w:szCs w:val="24"/>
        </w:rPr>
        <w:t xml:space="preserve"> er et </w:t>
      </w:r>
      <w:proofErr w:type="spellStart"/>
      <w:r w:rsidRPr="00AD4708">
        <w:rPr>
          <w:sz w:val="24"/>
          <w:szCs w:val="24"/>
        </w:rPr>
        <w:t>antineoplastisk</w:t>
      </w:r>
      <w:proofErr w:type="spellEnd"/>
      <w:r w:rsidRPr="00AD4708">
        <w:rPr>
          <w:sz w:val="24"/>
          <w:szCs w:val="24"/>
        </w:rPr>
        <w:t xml:space="preserve"> aktivstof af familien vinca-alkaloider, men i modsætning til alle andre vinca-alkaloider har </w:t>
      </w:r>
      <w:proofErr w:type="spellStart"/>
      <w:r w:rsidRPr="00AD4708">
        <w:rPr>
          <w:sz w:val="24"/>
          <w:szCs w:val="24"/>
        </w:rPr>
        <w:t>vinorelbins</w:t>
      </w:r>
      <w:proofErr w:type="spellEnd"/>
      <w:r w:rsidRPr="00AD4708">
        <w:rPr>
          <w:sz w:val="24"/>
          <w:szCs w:val="24"/>
        </w:rPr>
        <w:t xml:space="preserve"> </w:t>
      </w:r>
      <w:proofErr w:type="spellStart"/>
      <w:r w:rsidRPr="00AD4708">
        <w:rPr>
          <w:sz w:val="24"/>
          <w:szCs w:val="24"/>
        </w:rPr>
        <w:t>catharanthin</w:t>
      </w:r>
      <w:proofErr w:type="spellEnd"/>
      <w:r w:rsidRPr="00AD4708">
        <w:rPr>
          <w:sz w:val="24"/>
          <w:szCs w:val="24"/>
        </w:rPr>
        <w:t xml:space="preserve">-del undergået en strukturel modifikation. På det molekylære plan påvirker det den dynamiske ligevægt af </w:t>
      </w:r>
      <w:proofErr w:type="spellStart"/>
      <w:r w:rsidRPr="00AD4708">
        <w:rPr>
          <w:sz w:val="24"/>
          <w:szCs w:val="24"/>
        </w:rPr>
        <w:t>tubulin</w:t>
      </w:r>
      <w:proofErr w:type="spellEnd"/>
      <w:r w:rsidRPr="00AD4708">
        <w:rPr>
          <w:sz w:val="24"/>
          <w:szCs w:val="24"/>
        </w:rPr>
        <w:t xml:space="preserve"> i cellens </w:t>
      </w:r>
      <w:proofErr w:type="spellStart"/>
      <w:r w:rsidRPr="00AD4708">
        <w:rPr>
          <w:sz w:val="24"/>
          <w:szCs w:val="24"/>
        </w:rPr>
        <w:t>mikrotubulære</w:t>
      </w:r>
      <w:proofErr w:type="spellEnd"/>
      <w:r w:rsidRPr="00AD4708">
        <w:rPr>
          <w:sz w:val="24"/>
          <w:szCs w:val="24"/>
        </w:rPr>
        <w:t xml:space="preserve"> system.</w:t>
      </w:r>
    </w:p>
    <w:p w:rsidR="00BA65AA" w:rsidRPr="00AD4708" w:rsidRDefault="00BA65AA" w:rsidP="00BA65AA">
      <w:pPr>
        <w:ind w:left="851"/>
        <w:rPr>
          <w:sz w:val="24"/>
          <w:szCs w:val="24"/>
        </w:rPr>
      </w:pPr>
      <w:proofErr w:type="spellStart"/>
      <w:r w:rsidRPr="00AD4708">
        <w:rPr>
          <w:sz w:val="24"/>
          <w:szCs w:val="24"/>
        </w:rPr>
        <w:t>Vinorelbin</w:t>
      </w:r>
      <w:proofErr w:type="spellEnd"/>
      <w:r w:rsidRPr="00AD4708">
        <w:rPr>
          <w:sz w:val="24"/>
          <w:szCs w:val="24"/>
        </w:rPr>
        <w:t xml:space="preserve"> hæmmer polymeriseringen i </w:t>
      </w:r>
      <w:proofErr w:type="spellStart"/>
      <w:r w:rsidRPr="00AD4708">
        <w:rPr>
          <w:sz w:val="24"/>
          <w:szCs w:val="24"/>
        </w:rPr>
        <w:t>tubuli</w:t>
      </w:r>
      <w:proofErr w:type="spellEnd"/>
      <w:r w:rsidRPr="00AD4708">
        <w:rPr>
          <w:sz w:val="24"/>
          <w:szCs w:val="24"/>
        </w:rPr>
        <w:t xml:space="preserve"> og binder primært til mitose-</w:t>
      </w:r>
      <w:proofErr w:type="spellStart"/>
      <w:r w:rsidRPr="00AD4708">
        <w:rPr>
          <w:sz w:val="24"/>
          <w:szCs w:val="24"/>
        </w:rPr>
        <w:t>mikrotubuli</w:t>
      </w:r>
      <w:proofErr w:type="spellEnd"/>
      <w:r w:rsidRPr="00AD4708">
        <w:rPr>
          <w:sz w:val="24"/>
          <w:szCs w:val="24"/>
        </w:rPr>
        <w:t xml:space="preserve"> og påvirker kun </w:t>
      </w:r>
      <w:proofErr w:type="spellStart"/>
      <w:r w:rsidRPr="00AD4708">
        <w:rPr>
          <w:sz w:val="24"/>
          <w:szCs w:val="24"/>
        </w:rPr>
        <w:t>axonale</w:t>
      </w:r>
      <w:proofErr w:type="spellEnd"/>
      <w:r w:rsidRPr="00AD4708">
        <w:rPr>
          <w:sz w:val="24"/>
          <w:szCs w:val="24"/>
        </w:rPr>
        <w:t xml:space="preserve"> </w:t>
      </w:r>
      <w:proofErr w:type="spellStart"/>
      <w:r w:rsidRPr="00AD4708">
        <w:rPr>
          <w:sz w:val="24"/>
          <w:szCs w:val="24"/>
        </w:rPr>
        <w:t>tubuli</w:t>
      </w:r>
      <w:proofErr w:type="spellEnd"/>
      <w:r w:rsidRPr="00AD4708">
        <w:rPr>
          <w:sz w:val="24"/>
          <w:szCs w:val="24"/>
        </w:rPr>
        <w:t xml:space="preserve"> i stærke koncentrationer. </w:t>
      </w:r>
      <w:proofErr w:type="spellStart"/>
      <w:r w:rsidRPr="00AD4708">
        <w:rPr>
          <w:sz w:val="24"/>
          <w:szCs w:val="24"/>
        </w:rPr>
        <w:t>Spiralisering</w:t>
      </w:r>
      <w:proofErr w:type="spellEnd"/>
      <w:r w:rsidRPr="00AD4708">
        <w:rPr>
          <w:sz w:val="24"/>
          <w:szCs w:val="24"/>
        </w:rPr>
        <w:t xml:space="preserve"> af </w:t>
      </w:r>
      <w:proofErr w:type="spellStart"/>
      <w:r w:rsidRPr="00AD4708">
        <w:rPr>
          <w:sz w:val="24"/>
          <w:szCs w:val="24"/>
        </w:rPr>
        <w:t>tubuli</w:t>
      </w:r>
      <w:proofErr w:type="spellEnd"/>
      <w:r w:rsidRPr="00AD4708">
        <w:rPr>
          <w:sz w:val="24"/>
          <w:szCs w:val="24"/>
        </w:rPr>
        <w:t xml:space="preserve"> induceres i mindre grad end med </w:t>
      </w:r>
      <w:proofErr w:type="spellStart"/>
      <w:r w:rsidRPr="00AD4708">
        <w:rPr>
          <w:sz w:val="24"/>
          <w:szCs w:val="24"/>
        </w:rPr>
        <w:t>vincristin</w:t>
      </w:r>
      <w:proofErr w:type="spellEnd"/>
      <w:r w:rsidRPr="00AD4708">
        <w:rPr>
          <w:sz w:val="24"/>
          <w:szCs w:val="24"/>
        </w:rPr>
        <w:t xml:space="preserve">. </w:t>
      </w:r>
      <w:proofErr w:type="spellStart"/>
      <w:r w:rsidRPr="00AD4708">
        <w:rPr>
          <w:sz w:val="24"/>
          <w:szCs w:val="24"/>
        </w:rPr>
        <w:t>Vinorelbin</w:t>
      </w:r>
      <w:proofErr w:type="spellEnd"/>
      <w:r w:rsidRPr="00AD4708">
        <w:rPr>
          <w:sz w:val="24"/>
          <w:szCs w:val="24"/>
        </w:rPr>
        <w:t xml:space="preserve"> standser mitosen i fase G2-M og fremkalder </w:t>
      </w:r>
      <w:proofErr w:type="spellStart"/>
      <w:r w:rsidRPr="00AD4708">
        <w:rPr>
          <w:sz w:val="24"/>
          <w:szCs w:val="24"/>
        </w:rPr>
        <w:t>celledød</w:t>
      </w:r>
      <w:proofErr w:type="spellEnd"/>
      <w:r w:rsidRPr="00AD4708">
        <w:rPr>
          <w:sz w:val="24"/>
          <w:szCs w:val="24"/>
        </w:rPr>
        <w:t xml:space="preserve"> i mellemfasen eller ved den efterfølgende mitose.</w:t>
      </w:r>
    </w:p>
    <w:p w:rsidR="00BA65AA" w:rsidRPr="00AD4708" w:rsidRDefault="00BA65AA" w:rsidP="00BA65AA">
      <w:pPr>
        <w:ind w:left="851"/>
        <w:rPr>
          <w:sz w:val="24"/>
          <w:szCs w:val="24"/>
        </w:rPr>
      </w:pPr>
    </w:p>
    <w:p w:rsidR="00BA65AA" w:rsidRPr="00AD4708" w:rsidRDefault="00BA65AA" w:rsidP="00BA65AA">
      <w:pPr>
        <w:ind w:left="851"/>
        <w:rPr>
          <w:sz w:val="24"/>
          <w:szCs w:val="24"/>
        </w:rPr>
      </w:pPr>
      <w:r w:rsidRPr="00AD4708">
        <w:rPr>
          <w:sz w:val="24"/>
          <w:szCs w:val="24"/>
        </w:rPr>
        <w:t xml:space="preserve">Sikkerhed og virkning af </w:t>
      </w:r>
      <w:proofErr w:type="spellStart"/>
      <w:r w:rsidRPr="00AD4708">
        <w:rPr>
          <w:sz w:val="24"/>
          <w:szCs w:val="24"/>
        </w:rPr>
        <w:t>vinorelbin</w:t>
      </w:r>
      <w:proofErr w:type="spellEnd"/>
      <w:r w:rsidRPr="00AD4708">
        <w:rPr>
          <w:sz w:val="24"/>
          <w:szCs w:val="24"/>
        </w:rPr>
        <w:t xml:space="preserve"> hos børn er ikke klarlagt. Kliniske data fra to enkeltarmsstudier i fase II, hvor der blev givet intravenøs </w:t>
      </w:r>
      <w:proofErr w:type="spellStart"/>
      <w:r w:rsidRPr="00AD4708">
        <w:rPr>
          <w:sz w:val="24"/>
          <w:szCs w:val="24"/>
        </w:rPr>
        <w:t>vinorelbin</w:t>
      </w:r>
      <w:proofErr w:type="spellEnd"/>
      <w:r w:rsidRPr="00AD4708">
        <w:rPr>
          <w:sz w:val="24"/>
          <w:szCs w:val="24"/>
        </w:rPr>
        <w:t xml:space="preserve"> til 33 og 46 pædiatriske patienter med recidiverende solide tumorer, herunder </w:t>
      </w:r>
      <w:proofErr w:type="spellStart"/>
      <w:r w:rsidRPr="00AD4708">
        <w:rPr>
          <w:sz w:val="24"/>
          <w:szCs w:val="24"/>
        </w:rPr>
        <w:t>rhabdomyosarkom</w:t>
      </w:r>
      <w:proofErr w:type="spellEnd"/>
      <w:r w:rsidRPr="00AD4708">
        <w:rPr>
          <w:sz w:val="24"/>
          <w:szCs w:val="24"/>
        </w:rPr>
        <w:t xml:space="preserve">, andre bløddelssarkomer, </w:t>
      </w:r>
      <w:proofErr w:type="spellStart"/>
      <w:r w:rsidRPr="00AD4708">
        <w:rPr>
          <w:sz w:val="24"/>
          <w:szCs w:val="24"/>
        </w:rPr>
        <w:t>Ewings</w:t>
      </w:r>
      <w:proofErr w:type="spellEnd"/>
      <w:r w:rsidRPr="00AD4708">
        <w:rPr>
          <w:sz w:val="24"/>
          <w:szCs w:val="24"/>
        </w:rPr>
        <w:t xml:space="preserve"> sarkom, </w:t>
      </w:r>
      <w:proofErr w:type="spellStart"/>
      <w:r w:rsidRPr="00AD4708">
        <w:rPr>
          <w:sz w:val="24"/>
          <w:szCs w:val="24"/>
        </w:rPr>
        <w:t>liposarkomer</w:t>
      </w:r>
      <w:proofErr w:type="spellEnd"/>
      <w:r w:rsidRPr="00AD4708">
        <w:rPr>
          <w:sz w:val="24"/>
          <w:szCs w:val="24"/>
        </w:rPr>
        <w:t xml:space="preserve">, </w:t>
      </w:r>
      <w:proofErr w:type="spellStart"/>
      <w:r w:rsidRPr="00AD4708">
        <w:rPr>
          <w:sz w:val="24"/>
          <w:szCs w:val="24"/>
        </w:rPr>
        <w:t>synovialsarkomer</w:t>
      </w:r>
      <w:proofErr w:type="spellEnd"/>
      <w:r w:rsidRPr="00AD4708">
        <w:rPr>
          <w:sz w:val="24"/>
          <w:szCs w:val="24"/>
        </w:rPr>
        <w:t xml:space="preserve">, </w:t>
      </w:r>
      <w:proofErr w:type="spellStart"/>
      <w:r w:rsidRPr="00AD4708">
        <w:rPr>
          <w:sz w:val="24"/>
          <w:szCs w:val="24"/>
        </w:rPr>
        <w:t>fibrosarkomer</w:t>
      </w:r>
      <w:proofErr w:type="spellEnd"/>
      <w:r w:rsidRPr="00AD4708">
        <w:rPr>
          <w:sz w:val="24"/>
          <w:szCs w:val="24"/>
        </w:rPr>
        <w:t xml:space="preserve">, cancer i centralnervesystemet, osteosarkomer og </w:t>
      </w:r>
      <w:proofErr w:type="spellStart"/>
      <w:r w:rsidRPr="00AD4708">
        <w:rPr>
          <w:sz w:val="24"/>
          <w:szCs w:val="24"/>
        </w:rPr>
        <w:t>neuroblastomer</w:t>
      </w:r>
      <w:proofErr w:type="spellEnd"/>
      <w:r w:rsidRPr="00AD4708">
        <w:rPr>
          <w:sz w:val="24"/>
          <w:szCs w:val="24"/>
        </w:rPr>
        <w:t>, i doser på 30 til 33,75 mg/m² på D1 og D8 hver 3. uge eller én gang om ugen i 6 uger hver 8. uge, viste ingen betydningsfuld klinisk aktivitet. Toksicitetsprofilen var sammenlignelig med toksicitetsprofilen hos voksne patienter (se pkt. 4.2).</w:t>
      </w:r>
    </w:p>
    <w:p w:rsidR="00BA65AA" w:rsidRPr="00C84483" w:rsidRDefault="00BA65AA" w:rsidP="00BA65AA">
      <w:pPr>
        <w:tabs>
          <w:tab w:val="left" w:pos="851"/>
        </w:tabs>
        <w:ind w:left="851"/>
        <w:rPr>
          <w:sz w:val="24"/>
          <w:szCs w:val="24"/>
        </w:rPr>
      </w:pPr>
    </w:p>
    <w:p w:rsidR="00BA65AA" w:rsidRPr="00C84483" w:rsidRDefault="00BA65AA" w:rsidP="00BA65AA">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BA65AA" w:rsidRPr="007877E4" w:rsidRDefault="00BA65AA" w:rsidP="00BA65AA">
      <w:pPr>
        <w:ind w:left="851"/>
        <w:rPr>
          <w:sz w:val="24"/>
          <w:szCs w:val="24"/>
        </w:rPr>
      </w:pPr>
      <w:r w:rsidRPr="007877E4">
        <w:rPr>
          <w:sz w:val="24"/>
          <w:szCs w:val="24"/>
        </w:rPr>
        <w:t xml:space="preserve">De </w:t>
      </w:r>
      <w:proofErr w:type="spellStart"/>
      <w:r w:rsidRPr="007877E4">
        <w:rPr>
          <w:sz w:val="24"/>
          <w:szCs w:val="24"/>
        </w:rPr>
        <w:t>farmakokinetiske</w:t>
      </w:r>
      <w:proofErr w:type="spellEnd"/>
      <w:r w:rsidRPr="007877E4">
        <w:rPr>
          <w:sz w:val="24"/>
          <w:szCs w:val="24"/>
        </w:rPr>
        <w:t xml:space="preserve"> parametre for </w:t>
      </w:r>
      <w:proofErr w:type="spellStart"/>
      <w:r w:rsidRPr="007877E4">
        <w:rPr>
          <w:sz w:val="24"/>
          <w:szCs w:val="24"/>
        </w:rPr>
        <w:t>vinorelbin</w:t>
      </w:r>
      <w:proofErr w:type="spellEnd"/>
      <w:r w:rsidRPr="007877E4">
        <w:rPr>
          <w:sz w:val="24"/>
          <w:szCs w:val="24"/>
        </w:rPr>
        <w:t xml:space="preserve"> blev testet i blod.</w:t>
      </w:r>
    </w:p>
    <w:p w:rsidR="00BA65AA" w:rsidRPr="007877E4" w:rsidRDefault="00BA65AA" w:rsidP="00BA65AA">
      <w:pPr>
        <w:ind w:left="851"/>
        <w:rPr>
          <w:sz w:val="24"/>
          <w:szCs w:val="24"/>
        </w:rPr>
      </w:pPr>
    </w:p>
    <w:p w:rsidR="00BA65AA" w:rsidRPr="000A6AD4" w:rsidRDefault="00BA65AA" w:rsidP="00BA65AA">
      <w:pPr>
        <w:ind w:left="851"/>
        <w:rPr>
          <w:sz w:val="24"/>
          <w:szCs w:val="24"/>
          <w:u w:val="single"/>
        </w:rPr>
      </w:pPr>
      <w:r w:rsidRPr="000A6AD4">
        <w:rPr>
          <w:sz w:val="24"/>
          <w:szCs w:val="24"/>
          <w:u w:val="single"/>
        </w:rPr>
        <w:t>Fordeling</w:t>
      </w:r>
    </w:p>
    <w:p w:rsidR="00BA65AA" w:rsidRPr="007877E4" w:rsidRDefault="00BA65AA" w:rsidP="00BA65AA">
      <w:pPr>
        <w:ind w:left="851"/>
        <w:rPr>
          <w:sz w:val="24"/>
          <w:szCs w:val="24"/>
        </w:rPr>
      </w:pPr>
      <w:r w:rsidRPr="007877E4">
        <w:rPr>
          <w:sz w:val="24"/>
          <w:szCs w:val="24"/>
        </w:rPr>
        <w:t xml:space="preserve">Fordelingsvolumen ved </w:t>
      </w:r>
      <w:proofErr w:type="spellStart"/>
      <w:r w:rsidRPr="007877E4">
        <w:rPr>
          <w:sz w:val="24"/>
          <w:szCs w:val="24"/>
        </w:rPr>
        <w:t>steady</w:t>
      </w:r>
      <w:proofErr w:type="spellEnd"/>
      <w:r w:rsidRPr="007877E4">
        <w:rPr>
          <w:sz w:val="24"/>
          <w:szCs w:val="24"/>
        </w:rPr>
        <w:t xml:space="preserve"> </w:t>
      </w:r>
      <w:proofErr w:type="spellStart"/>
      <w:r w:rsidRPr="007877E4">
        <w:rPr>
          <w:sz w:val="24"/>
          <w:szCs w:val="24"/>
        </w:rPr>
        <w:t>state</w:t>
      </w:r>
      <w:proofErr w:type="spellEnd"/>
      <w:r w:rsidRPr="007877E4">
        <w:rPr>
          <w:sz w:val="24"/>
          <w:szCs w:val="24"/>
        </w:rPr>
        <w:t xml:space="preserve"> var stor med et gennemsnit på 21,2 l/kg - 1 (niveau: 7,5-39,7 l.kg-1), hvilket indikerer udbredt fordeling i vævene.</w:t>
      </w:r>
    </w:p>
    <w:p w:rsidR="00BA65AA" w:rsidRPr="007877E4" w:rsidRDefault="00BA65AA" w:rsidP="00BA65AA">
      <w:pPr>
        <w:ind w:left="851"/>
        <w:rPr>
          <w:sz w:val="24"/>
          <w:szCs w:val="24"/>
        </w:rPr>
      </w:pPr>
      <w:r>
        <w:rPr>
          <w:sz w:val="24"/>
          <w:szCs w:val="24"/>
        </w:rPr>
        <w:t>Stoffet bindes</w:t>
      </w:r>
      <w:r w:rsidRPr="007877E4">
        <w:rPr>
          <w:sz w:val="24"/>
          <w:szCs w:val="24"/>
        </w:rPr>
        <w:t xml:space="preserve"> kun i ringe omfang til plasmaprotein (13,5 %), men bi</w:t>
      </w:r>
      <w:r>
        <w:rPr>
          <w:sz w:val="24"/>
          <w:szCs w:val="24"/>
        </w:rPr>
        <w:t>ndes dog stærkt til blodlegemer;</w:t>
      </w:r>
      <w:r w:rsidRPr="007877E4">
        <w:rPr>
          <w:sz w:val="24"/>
          <w:szCs w:val="24"/>
        </w:rPr>
        <w:t xml:space="preserve"> </w:t>
      </w:r>
      <w:r w:rsidRPr="007877E4">
        <w:rPr>
          <w:sz w:val="24"/>
          <w:szCs w:val="24"/>
          <w:u w:val="single"/>
        </w:rPr>
        <w:t xml:space="preserve">78 % af det samlede blod-bundne </w:t>
      </w:r>
      <w:proofErr w:type="spellStart"/>
      <w:r w:rsidRPr="007877E4">
        <w:rPr>
          <w:sz w:val="24"/>
          <w:szCs w:val="24"/>
          <w:u w:val="single"/>
        </w:rPr>
        <w:t>vinorelbin</w:t>
      </w:r>
      <w:proofErr w:type="spellEnd"/>
      <w:r w:rsidRPr="007877E4">
        <w:rPr>
          <w:sz w:val="24"/>
          <w:szCs w:val="24"/>
          <w:u w:val="single"/>
        </w:rPr>
        <w:t xml:space="preserve"> blev forbundet med blodplader</w:t>
      </w:r>
      <w:r>
        <w:rPr>
          <w:sz w:val="24"/>
          <w:szCs w:val="24"/>
          <w:u w:val="single"/>
        </w:rPr>
        <w:t>,</w:t>
      </w:r>
      <w:r w:rsidRPr="007877E4">
        <w:rPr>
          <w:sz w:val="24"/>
          <w:szCs w:val="24"/>
          <w:u w:val="single"/>
        </w:rPr>
        <w:t xml:space="preserve"> og 4,8 % af det samlede blod-bundne </w:t>
      </w:r>
      <w:proofErr w:type="spellStart"/>
      <w:r w:rsidRPr="007877E4">
        <w:rPr>
          <w:sz w:val="24"/>
          <w:szCs w:val="24"/>
          <w:u w:val="single"/>
        </w:rPr>
        <w:t>vinorelbin</w:t>
      </w:r>
      <w:proofErr w:type="spellEnd"/>
      <w:r w:rsidRPr="007877E4">
        <w:rPr>
          <w:sz w:val="24"/>
          <w:szCs w:val="24"/>
          <w:u w:val="single"/>
        </w:rPr>
        <w:t xml:space="preserve"> var forbundet med lymfocytter.</w:t>
      </w:r>
    </w:p>
    <w:p w:rsidR="00BA65AA" w:rsidRPr="007877E4" w:rsidRDefault="00BA65AA" w:rsidP="00BA65AA">
      <w:pPr>
        <w:ind w:left="851"/>
        <w:rPr>
          <w:sz w:val="24"/>
          <w:szCs w:val="24"/>
        </w:rPr>
      </w:pPr>
      <w:r w:rsidRPr="007877E4">
        <w:rPr>
          <w:sz w:val="24"/>
          <w:szCs w:val="24"/>
        </w:rPr>
        <w:t xml:space="preserve">Evaluering under anvendelse af kirurgiske biopsier af lungerne viste signifikant retention af </w:t>
      </w:r>
      <w:proofErr w:type="spellStart"/>
      <w:r w:rsidRPr="007877E4">
        <w:rPr>
          <w:sz w:val="24"/>
          <w:szCs w:val="24"/>
        </w:rPr>
        <w:t>vinorelbin</w:t>
      </w:r>
      <w:proofErr w:type="spellEnd"/>
      <w:r w:rsidRPr="007877E4">
        <w:rPr>
          <w:sz w:val="24"/>
          <w:szCs w:val="24"/>
        </w:rPr>
        <w:t xml:space="preserve"> i lungerne, med en koncentration 300 gange større end i plasma. Der blev ikke detekteret </w:t>
      </w:r>
      <w:proofErr w:type="spellStart"/>
      <w:r w:rsidRPr="007877E4">
        <w:rPr>
          <w:sz w:val="24"/>
          <w:szCs w:val="24"/>
        </w:rPr>
        <w:t>vinorelbin</w:t>
      </w:r>
      <w:proofErr w:type="spellEnd"/>
      <w:r w:rsidRPr="007877E4">
        <w:rPr>
          <w:sz w:val="24"/>
          <w:szCs w:val="24"/>
        </w:rPr>
        <w:t xml:space="preserve"> i centralnervesystemet.</w:t>
      </w:r>
    </w:p>
    <w:p w:rsidR="00BA65AA" w:rsidRPr="007877E4" w:rsidRDefault="00BA65AA" w:rsidP="00BA65AA">
      <w:pPr>
        <w:ind w:left="851"/>
        <w:rPr>
          <w:sz w:val="24"/>
          <w:szCs w:val="24"/>
        </w:rPr>
      </w:pPr>
    </w:p>
    <w:p w:rsidR="00BA65AA" w:rsidRPr="000A6AD4" w:rsidRDefault="00BA65AA" w:rsidP="00BA65AA">
      <w:pPr>
        <w:ind w:left="851"/>
        <w:rPr>
          <w:sz w:val="24"/>
          <w:szCs w:val="24"/>
          <w:u w:val="single"/>
        </w:rPr>
      </w:pPr>
      <w:r w:rsidRPr="000A6AD4">
        <w:rPr>
          <w:sz w:val="24"/>
          <w:szCs w:val="24"/>
          <w:u w:val="single"/>
        </w:rPr>
        <w:t>Biotransformation</w:t>
      </w:r>
    </w:p>
    <w:p w:rsidR="00BA65AA" w:rsidRPr="007877E4" w:rsidRDefault="00BA65AA" w:rsidP="00BA65AA">
      <w:pPr>
        <w:ind w:left="851"/>
        <w:rPr>
          <w:sz w:val="24"/>
          <w:szCs w:val="24"/>
        </w:rPr>
      </w:pPr>
      <w:r w:rsidRPr="007877E4">
        <w:rPr>
          <w:sz w:val="24"/>
          <w:szCs w:val="24"/>
        </w:rPr>
        <w:t xml:space="preserve">Alle </w:t>
      </w:r>
      <w:proofErr w:type="spellStart"/>
      <w:r w:rsidRPr="007877E4">
        <w:rPr>
          <w:sz w:val="24"/>
          <w:szCs w:val="24"/>
        </w:rPr>
        <w:t>vinorelbin</w:t>
      </w:r>
      <w:proofErr w:type="spellEnd"/>
      <w:r w:rsidRPr="007877E4">
        <w:rPr>
          <w:sz w:val="24"/>
          <w:szCs w:val="24"/>
        </w:rPr>
        <w:t xml:space="preserve">-metabolitter er et resultat af CYP3A4 </w:t>
      </w:r>
      <w:proofErr w:type="spellStart"/>
      <w:r w:rsidRPr="007877E4">
        <w:rPr>
          <w:sz w:val="24"/>
          <w:szCs w:val="24"/>
        </w:rPr>
        <w:t>isoformen</w:t>
      </w:r>
      <w:proofErr w:type="spellEnd"/>
      <w:r w:rsidRPr="007877E4">
        <w:rPr>
          <w:sz w:val="24"/>
          <w:szCs w:val="24"/>
        </w:rPr>
        <w:t xml:space="preserve"> af ​​</w:t>
      </w:r>
      <w:proofErr w:type="spellStart"/>
      <w:r w:rsidRPr="007877E4">
        <w:rPr>
          <w:sz w:val="24"/>
          <w:szCs w:val="24"/>
        </w:rPr>
        <w:t>cytochrom</w:t>
      </w:r>
      <w:proofErr w:type="spellEnd"/>
      <w:r w:rsidRPr="007877E4">
        <w:rPr>
          <w:sz w:val="24"/>
          <w:szCs w:val="24"/>
        </w:rPr>
        <w:t xml:space="preserve"> P450, undtagen 4-O-diacetylvinorelbine, som sandsynligvis er erhvervet ved indvirkning af </w:t>
      </w:r>
      <w:proofErr w:type="spellStart"/>
      <w:r w:rsidRPr="007877E4">
        <w:rPr>
          <w:sz w:val="24"/>
          <w:szCs w:val="24"/>
        </w:rPr>
        <w:t>carboxylesteraser</w:t>
      </w:r>
      <w:proofErr w:type="spellEnd"/>
      <w:r w:rsidRPr="007877E4">
        <w:rPr>
          <w:sz w:val="24"/>
          <w:szCs w:val="24"/>
        </w:rPr>
        <w:t>. 4-O-diacetylvinorelbine er den eneste aktive metabolit og den vigtigste, der er observeret i blodet.</w:t>
      </w:r>
    </w:p>
    <w:p w:rsidR="00BA65AA" w:rsidRPr="007877E4" w:rsidRDefault="00BA65AA" w:rsidP="00BA65AA">
      <w:pPr>
        <w:ind w:left="851"/>
        <w:rPr>
          <w:sz w:val="24"/>
          <w:szCs w:val="24"/>
        </w:rPr>
      </w:pPr>
      <w:r w:rsidRPr="007877E4">
        <w:rPr>
          <w:sz w:val="24"/>
          <w:szCs w:val="24"/>
        </w:rPr>
        <w:t xml:space="preserve">Der blev ikke fundet </w:t>
      </w:r>
      <w:proofErr w:type="spellStart"/>
      <w:r w:rsidRPr="007877E4">
        <w:rPr>
          <w:sz w:val="24"/>
          <w:szCs w:val="24"/>
        </w:rPr>
        <w:t>sulfatkonjugater</w:t>
      </w:r>
      <w:proofErr w:type="spellEnd"/>
      <w:r w:rsidRPr="007877E4">
        <w:rPr>
          <w:sz w:val="24"/>
          <w:szCs w:val="24"/>
        </w:rPr>
        <w:t xml:space="preserve"> eller </w:t>
      </w:r>
      <w:proofErr w:type="spellStart"/>
      <w:r w:rsidRPr="007877E4">
        <w:rPr>
          <w:sz w:val="24"/>
          <w:szCs w:val="24"/>
        </w:rPr>
        <w:t>glucuronid</w:t>
      </w:r>
      <w:proofErr w:type="spellEnd"/>
      <w:r w:rsidRPr="007877E4">
        <w:rPr>
          <w:sz w:val="24"/>
          <w:szCs w:val="24"/>
        </w:rPr>
        <w:t>.</w:t>
      </w:r>
    </w:p>
    <w:p w:rsidR="00BA65AA" w:rsidRPr="007877E4" w:rsidRDefault="00BA65AA" w:rsidP="00BA65AA">
      <w:pPr>
        <w:ind w:left="851"/>
        <w:rPr>
          <w:sz w:val="24"/>
          <w:szCs w:val="24"/>
        </w:rPr>
      </w:pPr>
    </w:p>
    <w:p w:rsidR="00BA65AA" w:rsidRPr="007877E4" w:rsidRDefault="00BA65AA" w:rsidP="00BA65AA">
      <w:pPr>
        <w:ind w:left="851"/>
        <w:rPr>
          <w:sz w:val="24"/>
          <w:szCs w:val="24"/>
          <w:u w:val="single"/>
        </w:rPr>
      </w:pPr>
      <w:r w:rsidRPr="007877E4">
        <w:rPr>
          <w:sz w:val="24"/>
          <w:szCs w:val="24"/>
          <w:u w:val="single"/>
        </w:rPr>
        <w:t>Elimination</w:t>
      </w:r>
    </w:p>
    <w:p w:rsidR="00BA65AA" w:rsidRPr="007877E4" w:rsidRDefault="00BA65AA" w:rsidP="00BA65AA">
      <w:pPr>
        <w:ind w:left="851"/>
        <w:rPr>
          <w:sz w:val="24"/>
          <w:szCs w:val="24"/>
        </w:rPr>
      </w:pPr>
      <w:r w:rsidRPr="007877E4">
        <w:rPr>
          <w:sz w:val="24"/>
          <w:szCs w:val="24"/>
        </w:rPr>
        <w:t xml:space="preserve">Den gennemsnitlige terminale halveringstid for </w:t>
      </w:r>
      <w:proofErr w:type="spellStart"/>
      <w:r w:rsidRPr="007877E4">
        <w:rPr>
          <w:sz w:val="24"/>
          <w:szCs w:val="24"/>
        </w:rPr>
        <w:t>vinorelbin</w:t>
      </w:r>
      <w:proofErr w:type="spellEnd"/>
      <w:r w:rsidRPr="007877E4">
        <w:rPr>
          <w:sz w:val="24"/>
          <w:szCs w:val="24"/>
        </w:rPr>
        <w:t xml:space="preserve"> er cirka 40 timer. Blod-</w:t>
      </w:r>
      <w:proofErr w:type="spellStart"/>
      <w:r w:rsidRPr="007877E4">
        <w:rPr>
          <w:sz w:val="24"/>
          <w:szCs w:val="24"/>
        </w:rPr>
        <w:t>clearance</w:t>
      </w:r>
      <w:proofErr w:type="spellEnd"/>
      <w:r w:rsidRPr="007877E4">
        <w:rPr>
          <w:sz w:val="24"/>
          <w:szCs w:val="24"/>
        </w:rPr>
        <w:t xml:space="preserve"> er høj, den nærmer sig blodgennemstrømningen i leveren. Dens middelværdi er 0,72 l/time/kg (spændvidde: 0,32-1,26 l/time/kg).</w:t>
      </w:r>
    </w:p>
    <w:p w:rsidR="00BA65AA" w:rsidRPr="007877E4" w:rsidRDefault="00BA65AA" w:rsidP="00BA65AA">
      <w:pPr>
        <w:ind w:left="851"/>
        <w:rPr>
          <w:sz w:val="24"/>
          <w:szCs w:val="24"/>
        </w:rPr>
      </w:pPr>
      <w:r w:rsidRPr="007877E4">
        <w:rPr>
          <w:sz w:val="24"/>
          <w:szCs w:val="24"/>
        </w:rPr>
        <w:t xml:space="preserve">Eliminationen i nyrerne er lav (&lt;5 % af den administrerede dosis) og består </w:t>
      </w:r>
      <w:proofErr w:type="spellStart"/>
      <w:r w:rsidRPr="007877E4">
        <w:rPr>
          <w:sz w:val="24"/>
          <w:szCs w:val="24"/>
        </w:rPr>
        <w:t>hovedsagligt</w:t>
      </w:r>
      <w:proofErr w:type="spellEnd"/>
      <w:r w:rsidRPr="007877E4">
        <w:rPr>
          <w:sz w:val="24"/>
          <w:szCs w:val="24"/>
        </w:rPr>
        <w:t xml:space="preserve"> af moderforbindelsen.</w:t>
      </w:r>
    </w:p>
    <w:p w:rsidR="00BA65AA" w:rsidRDefault="00BA65AA" w:rsidP="00BA65AA">
      <w:pPr>
        <w:ind w:left="851"/>
        <w:rPr>
          <w:sz w:val="24"/>
          <w:szCs w:val="24"/>
        </w:rPr>
      </w:pPr>
      <w:r w:rsidRPr="007877E4">
        <w:rPr>
          <w:sz w:val="24"/>
          <w:szCs w:val="24"/>
        </w:rPr>
        <w:t xml:space="preserve">Eliminationsvejen er </w:t>
      </w:r>
      <w:proofErr w:type="spellStart"/>
      <w:r w:rsidRPr="007877E4">
        <w:rPr>
          <w:sz w:val="24"/>
          <w:szCs w:val="24"/>
        </w:rPr>
        <w:t>hovedsaglig</w:t>
      </w:r>
      <w:proofErr w:type="spellEnd"/>
      <w:r w:rsidRPr="007877E4">
        <w:rPr>
          <w:sz w:val="24"/>
          <w:szCs w:val="24"/>
        </w:rPr>
        <w:t xml:space="preserve"> gennem galden for både metabolitter og uændret </w:t>
      </w:r>
      <w:proofErr w:type="spellStart"/>
      <w:r w:rsidRPr="007877E4">
        <w:rPr>
          <w:sz w:val="24"/>
          <w:szCs w:val="24"/>
        </w:rPr>
        <w:t>vinorelbin</w:t>
      </w:r>
      <w:proofErr w:type="spellEnd"/>
      <w:r w:rsidRPr="007877E4">
        <w:rPr>
          <w:sz w:val="24"/>
          <w:szCs w:val="24"/>
        </w:rPr>
        <w:t>, som er den primære genvundne forbindelse.</w:t>
      </w:r>
    </w:p>
    <w:p w:rsidR="00BA65AA" w:rsidRPr="007877E4" w:rsidRDefault="00BA65AA" w:rsidP="00BA65AA">
      <w:pPr>
        <w:ind w:left="851"/>
        <w:rPr>
          <w:sz w:val="24"/>
          <w:szCs w:val="24"/>
        </w:rPr>
      </w:pPr>
    </w:p>
    <w:p w:rsidR="00BA65AA" w:rsidRPr="00C3650D" w:rsidRDefault="00BA65AA" w:rsidP="00BA65AA">
      <w:pPr>
        <w:ind w:left="851"/>
        <w:rPr>
          <w:sz w:val="24"/>
          <w:szCs w:val="24"/>
          <w:u w:val="single"/>
        </w:rPr>
      </w:pPr>
      <w:r w:rsidRPr="00C3650D">
        <w:rPr>
          <w:sz w:val="24"/>
          <w:szCs w:val="24"/>
          <w:u w:val="single"/>
        </w:rPr>
        <w:t>Særlige patientgrupper</w:t>
      </w:r>
    </w:p>
    <w:p w:rsidR="00BA65AA" w:rsidRPr="007877E4" w:rsidRDefault="00BA65AA" w:rsidP="00BA65AA">
      <w:pPr>
        <w:ind w:left="851"/>
        <w:rPr>
          <w:sz w:val="24"/>
          <w:szCs w:val="24"/>
        </w:rPr>
      </w:pPr>
    </w:p>
    <w:p w:rsidR="00BA65AA" w:rsidRPr="00C3650D" w:rsidRDefault="00BA65AA" w:rsidP="00BA65AA">
      <w:pPr>
        <w:ind w:left="851"/>
        <w:rPr>
          <w:i/>
          <w:sz w:val="24"/>
          <w:szCs w:val="24"/>
        </w:rPr>
      </w:pPr>
      <w:r w:rsidRPr="00C3650D">
        <w:rPr>
          <w:i/>
          <w:sz w:val="24"/>
          <w:szCs w:val="24"/>
        </w:rPr>
        <w:t>Nedsat nyre- eller leverfunktion</w:t>
      </w:r>
    </w:p>
    <w:p w:rsidR="00BA65AA" w:rsidRPr="007877E4" w:rsidRDefault="00BA65AA" w:rsidP="00BA65AA">
      <w:pPr>
        <w:ind w:left="851"/>
        <w:rPr>
          <w:sz w:val="24"/>
          <w:szCs w:val="24"/>
        </w:rPr>
      </w:pPr>
      <w:r w:rsidRPr="007877E4">
        <w:rPr>
          <w:sz w:val="24"/>
          <w:szCs w:val="24"/>
        </w:rPr>
        <w:t xml:space="preserve">Effekten af nedsat nyrefunktion på elimineringen af </w:t>
      </w:r>
      <w:proofErr w:type="spellStart"/>
      <w:r w:rsidRPr="007877E4">
        <w:rPr>
          <w:sz w:val="24"/>
          <w:szCs w:val="24"/>
        </w:rPr>
        <w:t>vinorelbin</w:t>
      </w:r>
      <w:proofErr w:type="spellEnd"/>
      <w:r w:rsidRPr="007877E4">
        <w:rPr>
          <w:sz w:val="24"/>
          <w:szCs w:val="24"/>
        </w:rPr>
        <w:t xml:space="preserve"> er ikke undersøgt.</w:t>
      </w:r>
    </w:p>
    <w:p w:rsidR="00BA65AA" w:rsidRPr="007877E4" w:rsidRDefault="00BA65AA" w:rsidP="00BA65AA">
      <w:pPr>
        <w:ind w:left="851"/>
        <w:rPr>
          <w:sz w:val="24"/>
          <w:szCs w:val="24"/>
        </w:rPr>
      </w:pPr>
      <w:r w:rsidRPr="007877E4">
        <w:rPr>
          <w:sz w:val="24"/>
          <w:szCs w:val="24"/>
        </w:rPr>
        <w:t>Dosisreduktion på grund af nedsat nyrefunktion er imidlertid ikke indiceret på grund af den lave eliminering i nyrerne.</w:t>
      </w:r>
    </w:p>
    <w:p w:rsidR="00BA65AA" w:rsidRPr="007877E4" w:rsidRDefault="00BA65AA" w:rsidP="00BA65AA">
      <w:pPr>
        <w:ind w:left="851"/>
        <w:rPr>
          <w:sz w:val="24"/>
          <w:szCs w:val="24"/>
        </w:rPr>
      </w:pPr>
      <w:r w:rsidRPr="007877E4">
        <w:rPr>
          <w:sz w:val="24"/>
          <w:szCs w:val="24"/>
        </w:rPr>
        <w:t xml:space="preserve">Den første undersøgelse rapporterede om effekten af ​​leversvigt på </w:t>
      </w:r>
      <w:proofErr w:type="spellStart"/>
      <w:r w:rsidRPr="007877E4">
        <w:rPr>
          <w:sz w:val="24"/>
          <w:szCs w:val="24"/>
        </w:rPr>
        <w:t>vinorelbins</w:t>
      </w:r>
      <w:proofErr w:type="spellEnd"/>
      <w:r w:rsidRPr="007877E4">
        <w:rPr>
          <w:sz w:val="24"/>
          <w:szCs w:val="24"/>
        </w:rPr>
        <w:t xml:space="preserve"> farmakokinetik. Denne undersøgelse blev udført på patienter med levermetastaser fra mammae cancer og konkluderede, at ændringer i </w:t>
      </w:r>
      <w:proofErr w:type="spellStart"/>
      <w:r w:rsidRPr="007877E4">
        <w:rPr>
          <w:sz w:val="24"/>
          <w:szCs w:val="24"/>
        </w:rPr>
        <w:t>vinorelbins</w:t>
      </w:r>
      <w:proofErr w:type="spellEnd"/>
      <w:r w:rsidRPr="007877E4">
        <w:rPr>
          <w:sz w:val="24"/>
          <w:szCs w:val="24"/>
        </w:rPr>
        <w:t xml:space="preserve"> gennemsnitlige </w:t>
      </w:r>
      <w:proofErr w:type="spellStart"/>
      <w:r w:rsidRPr="007877E4">
        <w:rPr>
          <w:sz w:val="24"/>
          <w:szCs w:val="24"/>
        </w:rPr>
        <w:t>clearance</w:t>
      </w:r>
      <w:proofErr w:type="spellEnd"/>
      <w:r w:rsidRPr="007877E4">
        <w:rPr>
          <w:sz w:val="24"/>
          <w:szCs w:val="24"/>
        </w:rPr>
        <w:t xml:space="preserve"> kun blev påvist, når mere end 75 % af leveren var berørt. </w:t>
      </w:r>
    </w:p>
    <w:p w:rsidR="00BA65AA" w:rsidRPr="007877E4" w:rsidRDefault="00BA65AA" w:rsidP="00BA65AA">
      <w:pPr>
        <w:ind w:left="851"/>
        <w:rPr>
          <w:sz w:val="24"/>
          <w:szCs w:val="24"/>
        </w:rPr>
      </w:pPr>
    </w:p>
    <w:p w:rsidR="00FA4A56" w:rsidRDefault="00FA4A56" w:rsidP="00FA4A56">
      <w:pPr>
        <w:ind w:left="851" w:right="-1"/>
        <w:rPr>
          <w:sz w:val="24"/>
          <w:szCs w:val="24"/>
        </w:rPr>
      </w:pPr>
      <w:r>
        <w:rPr>
          <w:sz w:val="24"/>
          <w:szCs w:val="24"/>
        </w:rPr>
        <w:t xml:space="preserve">En fase I, dosis-justeret </w:t>
      </w:r>
      <w:proofErr w:type="spellStart"/>
      <w:r>
        <w:rPr>
          <w:sz w:val="24"/>
          <w:szCs w:val="24"/>
        </w:rPr>
        <w:t>farmakokinetisk</w:t>
      </w:r>
      <w:proofErr w:type="spellEnd"/>
      <w:r>
        <w:rPr>
          <w:sz w:val="24"/>
          <w:szCs w:val="24"/>
        </w:rPr>
        <w:t xml:space="preserve"> undersøgelse blev udført på kræftpatienter med leversvigt: 6 patienter med moderat leverdysfunktion (bilirubin &lt;2 × ULN og </w:t>
      </w:r>
      <w:proofErr w:type="spellStart"/>
      <w:r>
        <w:rPr>
          <w:sz w:val="24"/>
          <w:szCs w:val="24"/>
        </w:rPr>
        <w:t>aminotransferaser</w:t>
      </w:r>
      <w:proofErr w:type="spellEnd"/>
      <w:r>
        <w:rPr>
          <w:sz w:val="24"/>
          <w:szCs w:val="24"/>
        </w:rPr>
        <w:t xml:space="preserve"> &lt;5 × ULN) behandlet med op til 25 mg/m² og 8 patienter med alvorlig dysfunktion (bilirubin &gt;2 × ULN og/eller </w:t>
      </w:r>
      <w:proofErr w:type="spellStart"/>
      <w:r>
        <w:rPr>
          <w:sz w:val="24"/>
          <w:szCs w:val="24"/>
        </w:rPr>
        <w:t>aminotransferaser</w:t>
      </w:r>
      <w:proofErr w:type="spellEnd"/>
      <w:r>
        <w:rPr>
          <w:sz w:val="24"/>
          <w:szCs w:val="24"/>
        </w:rPr>
        <w:t xml:space="preserve"> &gt;5 × ULN) behandlet med op til 20 mg/m². Den gennemsnitlige totale </w:t>
      </w:r>
      <w:proofErr w:type="spellStart"/>
      <w:r>
        <w:rPr>
          <w:sz w:val="24"/>
          <w:szCs w:val="24"/>
        </w:rPr>
        <w:t>clearance</w:t>
      </w:r>
      <w:proofErr w:type="spellEnd"/>
      <w:r>
        <w:rPr>
          <w:sz w:val="24"/>
          <w:szCs w:val="24"/>
        </w:rPr>
        <w:t xml:space="preserve"> hos de to patientgrupper svarede til patienter med normal leverfunktion. Farmakokinetikken af </w:t>
      </w:r>
      <w:proofErr w:type="spellStart"/>
      <w:r>
        <w:rPr>
          <w:sz w:val="24"/>
          <w:szCs w:val="24"/>
        </w:rPr>
        <w:t>vinorelbin</w:t>
      </w:r>
      <w:proofErr w:type="spellEnd"/>
      <w:r>
        <w:rPr>
          <w:sz w:val="24"/>
          <w:szCs w:val="24"/>
        </w:rPr>
        <w:t xml:space="preserve"> er dermed ikke anderledes hos patienter med moderat eller svær leverinsufficiens.</w:t>
      </w:r>
    </w:p>
    <w:p w:rsidR="00BA65AA" w:rsidRPr="007877E4" w:rsidRDefault="00FA4A56" w:rsidP="00FA4A56">
      <w:pPr>
        <w:ind w:left="851" w:right="-1"/>
        <w:rPr>
          <w:sz w:val="24"/>
          <w:szCs w:val="24"/>
        </w:rPr>
      </w:pPr>
      <w:r>
        <w:rPr>
          <w:sz w:val="24"/>
          <w:szCs w:val="24"/>
        </w:rPr>
        <w:t>Som en sikkerhedsforanstaltning anbefales dog en reduceret dosis på 20 mg/m</w:t>
      </w:r>
      <w:r>
        <w:rPr>
          <w:sz w:val="24"/>
          <w:szCs w:val="24"/>
          <w:vertAlign w:val="superscript"/>
        </w:rPr>
        <w:t>2</w:t>
      </w:r>
      <w:r>
        <w:rPr>
          <w:sz w:val="24"/>
          <w:szCs w:val="24"/>
        </w:rPr>
        <w:t xml:space="preserve"> og nøje overvågning af hæmatologiske parametre til patienter med svær leverinsufficiens (se pkt. 4.2 og 4.4).</w:t>
      </w:r>
    </w:p>
    <w:p w:rsidR="00BA65AA" w:rsidRPr="00FA4A56" w:rsidRDefault="00BA65AA" w:rsidP="00BA65AA">
      <w:pPr>
        <w:ind w:left="851"/>
        <w:rPr>
          <w:sz w:val="24"/>
          <w:szCs w:val="24"/>
        </w:rPr>
      </w:pPr>
    </w:p>
    <w:p w:rsidR="00BA65AA" w:rsidRPr="00FA4A56" w:rsidRDefault="00BA65AA" w:rsidP="00BA65AA">
      <w:pPr>
        <w:ind w:left="851"/>
        <w:rPr>
          <w:i/>
          <w:sz w:val="24"/>
          <w:szCs w:val="24"/>
        </w:rPr>
      </w:pPr>
      <w:r w:rsidRPr="00FA4A56">
        <w:rPr>
          <w:i/>
          <w:sz w:val="24"/>
          <w:szCs w:val="24"/>
        </w:rPr>
        <w:t>Ældre</w:t>
      </w:r>
    </w:p>
    <w:p w:rsidR="00BA65AA" w:rsidRPr="00FA4A56" w:rsidRDefault="00BA65AA" w:rsidP="00BA65AA">
      <w:pPr>
        <w:ind w:left="851"/>
        <w:rPr>
          <w:sz w:val="24"/>
          <w:szCs w:val="24"/>
        </w:rPr>
      </w:pPr>
      <w:r w:rsidRPr="00FA4A56">
        <w:rPr>
          <w:sz w:val="24"/>
          <w:szCs w:val="24"/>
        </w:rPr>
        <w:t xml:space="preserve">Forsøg med </w:t>
      </w:r>
      <w:proofErr w:type="spellStart"/>
      <w:r w:rsidRPr="00FA4A56">
        <w:rPr>
          <w:sz w:val="24"/>
          <w:szCs w:val="24"/>
        </w:rPr>
        <w:t>Vinorelbin</w:t>
      </w:r>
      <w:proofErr w:type="spellEnd"/>
      <w:r w:rsidRPr="00FA4A56">
        <w:rPr>
          <w:sz w:val="24"/>
          <w:szCs w:val="24"/>
        </w:rPr>
        <w:t xml:space="preserve"> "</w:t>
      </w:r>
      <w:proofErr w:type="spellStart"/>
      <w:r w:rsidRPr="00FA4A56">
        <w:rPr>
          <w:sz w:val="24"/>
          <w:szCs w:val="24"/>
        </w:rPr>
        <w:t>Accord</w:t>
      </w:r>
      <w:proofErr w:type="spellEnd"/>
      <w:r w:rsidRPr="00FA4A56">
        <w:rPr>
          <w:sz w:val="24"/>
          <w:szCs w:val="24"/>
        </w:rPr>
        <w:t>" til ældre patienter (</w:t>
      </w:r>
      <w:r w:rsidRPr="00FA4A56">
        <w:rPr>
          <w:sz w:val="24"/>
          <w:szCs w:val="24"/>
          <w:cs/>
        </w:rPr>
        <w:t xml:space="preserve">≥ </w:t>
      </w:r>
      <w:r w:rsidRPr="00FA4A56">
        <w:rPr>
          <w:sz w:val="24"/>
          <w:szCs w:val="24"/>
        </w:rPr>
        <w:t xml:space="preserve">70 år) med NSCLC viste, at alderen ikke har nogen indflydelse på </w:t>
      </w:r>
      <w:proofErr w:type="spellStart"/>
      <w:r w:rsidRPr="00FA4A56">
        <w:rPr>
          <w:sz w:val="24"/>
          <w:szCs w:val="24"/>
        </w:rPr>
        <w:t>vinorelbins</w:t>
      </w:r>
      <w:proofErr w:type="spellEnd"/>
      <w:r w:rsidRPr="00FA4A56">
        <w:rPr>
          <w:sz w:val="24"/>
          <w:szCs w:val="24"/>
        </w:rPr>
        <w:t xml:space="preserve"> farmakokinetik.  Da ældre patienter er skrøbelige, skal der dog udvises forsigtighed, når dosen af </w:t>
      </w:r>
      <w:proofErr w:type="spellStart"/>
      <w:r w:rsidRPr="00FA4A56">
        <w:rPr>
          <w:sz w:val="24"/>
          <w:szCs w:val="24"/>
        </w:rPr>
        <w:t>Vinorelbin</w:t>
      </w:r>
      <w:proofErr w:type="spellEnd"/>
      <w:r w:rsidRPr="00FA4A56">
        <w:rPr>
          <w:sz w:val="24"/>
          <w:szCs w:val="24"/>
        </w:rPr>
        <w:t xml:space="preserve"> "</w:t>
      </w:r>
      <w:proofErr w:type="spellStart"/>
      <w:r w:rsidRPr="00FA4A56">
        <w:rPr>
          <w:sz w:val="24"/>
          <w:szCs w:val="24"/>
        </w:rPr>
        <w:t>Accord</w:t>
      </w:r>
      <w:proofErr w:type="spellEnd"/>
      <w:r w:rsidRPr="00FA4A56">
        <w:rPr>
          <w:sz w:val="24"/>
          <w:szCs w:val="24"/>
        </w:rPr>
        <w:t>" forhøjes (se pkt. 4.2)</w:t>
      </w:r>
    </w:p>
    <w:p w:rsidR="00BA65AA" w:rsidRPr="00FA4A56" w:rsidRDefault="00BA65AA" w:rsidP="00BA65AA">
      <w:pPr>
        <w:ind w:left="851"/>
        <w:rPr>
          <w:b/>
          <w:sz w:val="24"/>
          <w:szCs w:val="24"/>
          <w:u w:val="single"/>
        </w:rPr>
      </w:pPr>
    </w:p>
    <w:p w:rsidR="00BA65AA" w:rsidRPr="00FA4A56" w:rsidRDefault="00BA65AA" w:rsidP="00BA65AA">
      <w:pPr>
        <w:ind w:left="851"/>
        <w:rPr>
          <w:sz w:val="24"/>
          <w:szCs w:val="24"/>
          <w:u w:val="single"/>
        </w:rPr>
      </w:pPr>
      <w:proofErr w:type="spellStart"/>
      <w:r w:rsidRPr="00FA4A56">
        <w:rPr>
          <w:sz w:val="24"/>
          <w:szCs w:val="24"/>
          <w:u w:val="single"/>
        </w:rPr>
        <w:t>Pharmakokinetisk</w:t>
      </w:r>
      <w:proofErr w:type="spellEnd"/>
      <w:r w:rsidRPr="00FA4A56">
        <w:rPr>
          <w:sz w:val="24"/>
          <w:szCs w:val="24"/>
          <w:u w:val="single"/>
        </w:rPr>
        <w:t>/</w:t>
      </w:r>
      <w:proofErr w:type="spellStart"/>
      <w:r w:rsidRPr="00FA4A56">
        <w:rPr>
          <w:sz w:val="24"/>
          <w:szCs w:val="24"/>
          <w:u w:val="single"/>
        </w:rPr>
        <w:t>farmakodynamisk</w:t>
      </w:r>
      <w:proofErr w:type="spellEnd"/>
      <w:r w:rsidRPr="00FA4A56">
        <w:rPr>
          <w:sz w:val="24"/>
          <w:szCs w:val="24"/>
          <w:u w:val="single"/>
        </w:rPr>
        <w:t xml:space="preserve"> relation</w:t>
      </w:r>
    </w:p>
    <w:p w:rsidR="00BA65AA" w:rsidRPr="00FA4A56" w:rsidRDefault="00BA65AA" w:rsidP="00BA65AA">
      <w:pPr>
        <w:ind w:left="851"/>
        <w:rPr>
          <w:sz w:val="24"/>
          <w:szCs w:val="24"/>
        </w:rPr>
      </w:pPr>
      <w:r w:rsidRPr="00FA4A56">
        <w:rPr>
          <w:sz w:val="24"/>
          <w:szCs w:val="24"/>
        </w:rPr>
        <w:t>Der blev påvist en stærk forbindelse mellem eksponering af blodet og PMN eller fald i leukocyttal.</w:t>
      </w:r>
    </w:p>
    <w:p w:rsidR="00BA65AA" w:rsidRPr="00FA4A56" w:rsidRDefault="00BA65AA" w:rsidP="00BA65AA">
      <w:pPr>
        <w:tabs>
          <w:tab w:val="left" w:pos="851"/>
        </w:tabs>
        <w:ind w:left="851"/>
        <w:rPr>
          <w:sz w:val="24"/>
          <w:szCs w:val="24"/>
        </w:rPr>
      </w:pPr>
    </w:p>
    <w:p w:rsidR="00BA65AA" w:rsidRPr="00C84483" w:rsidRDefault="00BA65AA" w:rsidP="00BA65AA">
      <w:pPr>
        <w:tabs>
          <w:tab w:val="left" w:pos="851"/>
        </w:tabs>
        <w:ind w:left="851" w:hanging="851"/>
        <w:rPr>
          <w:b/>
          <w:sz w:val="24"/>
          <w:szCs w:val="24"/>
        </w:rPr>
      </w:pPr>
      <w:r w:rsidRPr="00C84483">
        <w:rPr>
          <w:b/>
          <w:sz w:val="24"/>
          <w:szCs w:val="24"/>
        </w:rPr>
        <w:t>5.3</w:t>
      </w:r>
      <w:r w:rsidRPr="00C84483">
        <w:rPr>
          <w:b/>
          <w:sz w:val="24"/>
          <w:szCs w:val="24"/>
        </w:rPr>
        <w:tab/>
      </w:r>
      <w:r w:rsidR="00FA4A56">
        <w:rPr>
          <w:b/>
          <w:sz w:val="24"/>
          <w:szCs w:val="24"/>
        </w:rPr>
        <w:t>Non-</w:t>
      </w:r>
      <w:r w:rsidRPr="00C84483">
        <w:rPr>
          <w:b/>
          <w:sz w:val="24"/>
          <w:szCs w:val="24"/>
        </w:rPr>
        <w:t>kliniske sikkerhedsdata</w:t>
      </w:r>
    </w:p>
    <w:p w:rsidR="00BA65AA" w:rsidRPr="0016607B" w:rsidRDefault="00BA65AA" w:rsidP="00BA65AA">
      <w:pPr>
        <w:tabs>
          <w:tab w:val="left" w:pos="851"/>
        </w:tabs>
        <w:ind w:left="851"/>
        <w:rPr>
          <w:sz w:val="24"/>
          <w:szCs w:val="24"/>
        </w:rPr>
      </w:pPr>
      <w:r w:rsidRPr="0016607B">
        <w:rPr>
          <w:sz w:val="24"/>
          <w:szCs w:val="24"/>
        </w:rPr>
        <w:t xml:space="preserve">Den begrænsende toksicitet hos dyr er knoglemarvsdepression. I dyreforsøg fremkaldte </w:t>
      </w:r>
      <w:proofErr w:type="spellStart"/>
      <w:r w:rsidRPr="0016607B">
        <w:rPr>
          <w:sz w:val="24"/>
          <w:szCs w:val="24"/>
        </w:rPr>
        <w:t>vinorelbin</w:t>
      </w:r>
      <w:proofErr w:type="spellEnd"/>
      <w:r w:rsidRPr="0016607B">
        <w:rPr>
          <w:sz w:val="24"/>
          <w:szCs w:val="24"/>
        </w:rPr>
        <w:t xml:space="preserve"> </w:t>
      </w:r>
      <w:proofErr w:type="spellStart"/>
      <w:r w:rsidRPr="0016607B">
        <w:rPr>
          <w:sz w:val="24"/>
          <w:szCs w:val="24"/>
        </w:rPr>
        <w:t>aneuploidi</w:t>
      </w:r>
      <w:proofErr w:type="spellEnd"/>
      <w:r w:rsidRPr="0016607B">
        <w:rPr>
          <w:sz w:val="24"/>
          <w:szCs w:val="24"/>
        </w:rPr>
        <w:t xml:space="preserve"> og </w:t>
      </w:r>
      <w:proofErr w:type="spellStart"/>
      <w:r w:rsidRPr="0016607B">
        <w:rPr>
          <w:sz w:val="24"/>
          <w:szCs w:val="24"/>
        </w:rPr>
        <w:t>polyploidi</w:t>
      </w:r>
      <w:proofErr w:type="spellEnd"/>
      <w:r w:rsidRPr="0016607B">
        <w:rPr>
          <w:sz w:val="24"/>
          <w:szCs w:val="24"/>
        </w:rPr>
        <w:t>.</w:t>
      </w:r>
    </w:p>
    <w:p w:rsidR="00BA65AA" w:rsidRPr="0016607B" w:rsidRDefault="00BA65AA" w:rsidP="00BA65AA">
      <w:pPr>
        <w:tabs>
          <w:tab w:val="left" w:pos="851"/>
        </w:tabs>
        <w:ind w:left="851"/>
        <w:rPr>
          <w:sz w:val="24"/>
          <w:szCs w:val="24"/>
        </w:rPr>
      </w:pPr>
      <w:r w:rsidRPr="0016607B">
        <w:rPr>
          <w:sz w:val="24"/>
          <w:szCs w:val="24"/>
        </w:rPr>
        <w:t xml:space="preserve">Det kan formodes, at </w:t>
      </w:r>
      <w:proofErr w:type="spellStart"/>
      <w:r w:rsidRPr="0016607B">
        <w:rPr>
          <w:sz w:val="24"/>
          <w:szCs w:val="24"/>
        </w:rPr>
        <w:t>vinorelbin</w:t>
      </w:r>
      <w:proofErr w:type="spellEnd"/>
      <w:r w:rsidRPr="0016607B">
        <w:rPr>
          <w:sz w:val="24"/>
          <w:szCs w:val="24"/>
        </w:rPr>
        <w:t xml:space="preserve"> også kan forårsage genotoksiske virkninger hos mennesker (fremkaldelse af </w:t>
      </w:r>
      <w:proofErr w:type="spellStart"/>
      <w:r w:rsidRPr="0016607B">
        <w:rPr>
          <w:sz w:val="24"/>
          <w:szCs w:val="24"/>
        </w:rPr>
        <w:t>aneuploidi</w:t>
      </w:r>
      <w:proofErr w:type="spellEnd"/>
      <w:r w:rsidRPr="0016607B">
        <w:rPr>
          <w:sz w:val="24"/>
          <w:szCs w:val="24"/>
        </w:rPr>
        <w:t xml:space="preserve"> og </w:t>
      </w:r>
      <w:proofErr w:type="spellStart"/>
      <w:r w:rsidRPr="0016607B">
        <w:rPr>
          <w:sz w:val="24"/>
          <w:szCs w:val="24"/>
        </w:rPr>
        <w:t>polyploidi</w:t>
      </w:r>
      <w:proofErr w:type="spellEnd"/>
      <w:r w:rsidRPr="0016607B">
        <w:rPr>
          <w:sz w:val="24"/>
          <w:szCs w:val="24"/>
        </w:rPr>
        <w:t>).</w:t>
      </w:r>
    </w:p>
    <w:p w:rsidR="00BA65AA" w:rsidRPr="0016607B" w:rsidRDefault="00BA65AA" w:rsidP="00BA65AA">
      <w:pPr>
        <w:tabs>
          <w:tab w:val="left" w:pos="851"/>
        </w:tabs>
        <w:ind w:left="851"/>
        <w:rPr>
          <w:sz w:val="24"/>
          <w:szCs w:val="24"/>
        </w:rPr>
      </w:pPr>
    </w:p>
    <w:p w:rsidR="00BA65AA" w:rsidRPr="0016607B" w:rsidRDefault="00BA65AA" w:rsidP="00BA65AA">
      <w:pPr>
        <w:tabs>
          <w:tab w:val="left" w:pos="851"/>
        </w:tabs>
        <w:ind w:left="851"/>
        <w:rPr>
          <w:sz w:val="24"/>
          <w:szCs w:val="24"/>
        </w:rPr>
      </w:pPr>
      <w:r w:rsidRPr="0016607B">
        <w:rPr>
          <w:sz w:val="24"/>
          <w:szCs w:val="24"/>
        </w:rPr>
        <w:t xml:space="preserve">Resultaterne af undersøgelser af </w:t>
      </w:r>
      <w:proofErr w:type="spellStart"/>
      <w:r w:rsidRPr="0016607B">
        <w:rPr>
          <w:sz w:val="24"/>
          <w:szCs w:val="24"/>
        </w:rPr>
        <w:t>carcinogenisk</w:t>
      </w:r>
      <w:proofErr w:type="spellEnd"/>
      <w:r w:rsidRPr="0016607B">
        <w:rPr>
          <w:sz w:val="24"/>
          <w:szCs w:val="24"/>
        </w:rPr>
        <w:t xml:space="preserve"> potentiale hos mus og rotter var negative, men kun lave doser er blevet testet.</w:t>
      </w:r>
    </w:p>
    <w:p w:rsidR="00BA65AA" w:rsidRPr="0016607B" w:rsidRDefault="00BA65AA" w:rsidP="00BA65AA">
      <w:pPr>
        <w:tabs>
          <w:tab w:val="left" w:pos="851"/>
        </w:tabs>
        <w:ind w:left="851"/>
        <w:rPr>
          <w:sz w:val="24"/>
          <w:szCs w:val="24"/>
        </w:rPr>
      </w:pPr>
      <w:r w:rsidRPr="0016607B">
        <w:rPr>
          <w:sz w:val="24"/>
          <w:szCs w:val="24"/>
        </w:rPr>
        <w:t xml:space="preserve">I dyrereproduktionsstudier blev der observeret virkninger ved subterapeutiske doseringer. Der blev set embryo- og </w:t>
      </w:r>
      <w:proofErr w:type="spellStart"/>
      <w:r w:rsidRPr="0016607B">
        <w:rPr>
          <w:sz w:val="24"/>
          <w:szCs w:val="24"/>
        </w:rPr>
        <w:t>føtotoksicitet</w:t>
      </w:r>
      <w:proofErr w:type="spellEnd"/>
      <w:r w:rsidRPr="0016607B">
        <w:rPr>
          <w:sz w:val="24"/>
          <w:szCs w:val="24"/>
        </w:rPr>
        <w:t xml:space="preserve">, såsom intrauterin vækstretardering og forsinket </w:t>
      </w:r>
      <w:proofErr w:type="spellStart"/>
      <w:r w:rsidRPr="0016607B">
        <w:rPr>
          <w:sz w:val="24"/>
          <w:szCs w:val="24"/>
        </w:rPr>
        <w:t>ossifikation</w:t>
      </w:r>
      <w:proofErr w:type="spellEnd"/>
      <w:r w:rsidRPr="0016607B">
        <w:rPr>
          <w:sz w:val="24"/>
          <w:szCs w:val="24"/>
        </w:rPr>
        <w:t xml:space="preserve">. </w:t>
      </w:r>
      <w:proofErr w:type="spellStart"/>
      <w:r w:rsidRPr="0016607B">
        <w:rPr>
          <w:sz w:val="24"/>
          <w:szCs w:val="24"/>
        </w:rPr>
        <w:t>Teratogenicitet</w:t>
      </w:r>
      <w:proofErr w:type="spellEnd"/>
      <w:r w:rsidRPr="0016607B">
        <w:rPr>
          <w:sz w:val="24"/>
          <w:szCs w:val="24"/>
        </w:rPr>
        <w:t xml:space="preserve"> (sammenfald af ryghvirvler, manglende ribben) blev observeret ved </w:t>
      </w:r>
      <w:proofErr w:type="spellStart"/>
      <w:r w:rsidRPr="0016607B">
        <w:rPr>
          <w:sz w:val="24"/>
          <w:szCs w:val="24"/>
        </w:rPr>
        <w:t>maternelt</w:t>
      </w:r>
      <w:proofErr w:type="spellEnd"/>
      <w:r w:rsidRPr="0016607B">
        <w:rPr>
          <w:sz w:val="24"/>
          <w:szCs w:val="24"/>
        </w:rPr>
        <w:t xml:space="preserve"> toksiske doser. Endvidere blev </w:t>
      </w:r>
      <w:proofErr w:type="spellStart"/>
      <w:r w:rsidRPr="0016607B">
        <w:rPr>
          <w:sz w:val="24"/>
          <w:szCs w:val="24"/>
        </w:rPr>
        <w:t>spermatogenese</w:t>
      </w:r>
      <w:proofErr w:type="spellEnd"/>
      <w:r w:rsidRPr="0016607B">
        <w:rPr>
          <w:sz w:val="24"/>
          <w:szCs w:val="24"/>
        </w:rPr>
        <w:t xml:space="preserve"> og sekretion af prostata og </w:t>
      </w:r>
      <w:proofErr w:type="spellStart"/>
      <w:r w:rsidRPr="0016607B">
        <w:rPr>
          <w:sz w:val="24"/>
          <w:szCs w:val="24"/>
        </w:rPr>
        <w:t>sædvæskevesikler</w:t>
      </w:r>
      <w:proofErr w:type="spellEnd"/>
      <w:r w:rsidRPr="0016607B">
        <w:rPr>
          <w:sz w:val="24"/>
          <w:szCs w:val="24"/>
        </w:rPr>
        <w:t xml:space="preserve"> reduceret, men fertiliteten hos rotter blev ikke formindsket.</w:t>
      </w:r>
    </w:p>
    <w:p w:rsidR="00BA65AA" w:rsidRPr="00C84483" w:rsidRDefault="00BA65AA" w:rsidP="00BA65AA">
      <w:pPr>
        <w:tabs>
          <w:tab w:val="left" w:pos="851"/>
        </w:tabs>
        <w:ind w:left="851"/>
        <w:rPr>
          <w:sz w:val="24"/>
          <w:szCs w:val="24"/>
        </w:rPr>
      </w:pPr>
    </w:p>
    <w:p w:rsidR="00BA65AA" w:rsidRPr="00C84483" w:rsidRDefault="00BA65AA" w:rsidP="00BA65AA">
      <w:pPr>
        <w:tabs>
          <w:tab w:val="left" w:pos="851"/>
        </w:tabs>
        <w:ind w:left="851"/>
        <w:rPr>
          <w:sz w:val="24"/>
          <w:szCs w:val="24"/>
        </w:rPr>
      </w:pPr>
    </w:p>
    <w:p w:rsidR="00BA65AA" w:rsidRPr="00C84483" w:rsidRDefault="00BA65AA" w:rsidP="008A3D3E">
      <w:pPr>
        <w:keepNext/>
        <w:tabs>
          <w:tab w:val="left" w:pos="851"/>
        </w:tabs>
        <w:ind w:left="851" w:hanging="851"/>
        <w:rPr>
          <w:b/>
          <w:sz w:val="24"/>
          <w:szCs w:val="24"/>
        </w:rPr>
      </w:pPr>
      <w:r w:rsidRPr="00C84483">
        <w:rPr>
          <w:b/>
          <w:sz w:val="24"/>
          <w:szCs w:val="24"/>
        </w:rPr>
        <w:lastRenderedPageBreak/>
        <w:t>6.</w:t>
      </w:r>
      <w:r w:rsidRPr="00C84483">
        <w:rPr>
          <w:b/>
          <w:sz w:val="24"/>
          <w:szCs w:val="24"/>
        </w:rPr>
        <w:tab/>
        <w:t>FARMACEUTISKE OPLYSNINGER</w:t>
      </w:r>
    </w:p>
    <w:p w:rsidR="00BA65AA" w:rsidRPr="00BA09F1" w:rsidRDefault="00BA65AA" w:rsidP="008A3D3E">
      <w:pPr>
        <w:keepNext/>
        <w:tabs>
          <w:tab w:val="left" w:pos="851"/>
        </w:tabs>
        <w:ind w:left="851"/>
        <w:rPr>
          <w:sz w:val="24"/>
          <w:szCs w:val="24"/>
        </w:rPr>
      </w:pPr>
    </w:p>
    <w:p w:rsidR="00BA65AA" w:rsidRPr="00C84483" w:rsidRDefault="00BA65AA" w:rsidP="008A3D3E">
      <w:pPr>
        <w:keepNext/>
        <w:tabs>
          <w:tab w:val="left" w:pos="851"/>
        </w:tabs>
        <w:ind w:left="851" w:hanging="851"/>
        <w:rPr>
          <w:b/>
          <w:sz w:val="24"/>
          <w:szCs w:val="24"/>
        </w:rPr>
      </w:pPr>
      <w:r w:rsidRPr="00C84483">
        <w:rPr>
          <w:b/>
          <w:sz w:val="24"/>
          <w:szCs w:val="24"/>
        </w:rPr>
        <w:t>6.1</w:t>
      </w:r>
      <w:r w:rsidRPr="00C84483">
        <w:rPr>
          <w:b/>
          <w:sz w:val="24"/>
          <w:szCs w:val="24"/>
        </w:rPr>
        <w:tab/>
        <w:t>Hjælpestoffer</w:t>
      </w:r>
    </w:p>
    <w:p w:rsidR="00BA65AA" w:rsidRPr="00C84483" w:rsidRDefault="00BA65AA" w:rsidP="00BA65AA">
      <w:pPr>
        <w:ind w:left="851"/>
        <w:rPr>
          <w:sz w:val="24"/>
          <w:szCs w:val="24"/>
        </w:rPr>
      </w:pPr>
      <w:r w:rsidRPr="00841CCC">
        <w:rPr>
          <w:sz w:val="24"/>
          <w:szCs w:val="24"/>
        </w:rPr>
        <w:t>Vand til injektionsvæsker.</w:t>
      </w:r>
    </w:p>
    <w:p w:rsidR="00BA65AA" w:rsidRPr="00C84483" w:rsidRDefault="00BA65AA" w:rsidP="00BA65AA">
      <w:pPr>
        <w:tabs>
          <w:tab w:val="left" w:pos="851"/>
        </w:tabs>
        <w:ind w:left="851"/>
        <w:rPr>
          <w:sz w:val="24"/>
          <w:szCs w:val="24"/>
        </w:rPr>
      </w:pPr>
    </w:p>
    <w:p w:rsidR="00BA65AA" w:rsidRPr="00C84483" w:rsidRDefault="00BA65AA" w:rsidP="00BA65AA">
      <w:pPr>
        <w:tabs>
          <w:tab w:val="left" w:pos="851"/>
        </w:tabs>
        <w:ind w:left="851" w:hanging="851"/>
        <w:rPr>
          <w:b/>
          <w:sz w:val="24"/>
          <w:szCs w:val="24"/>
        </w:rPr>
      </w:pPr>
      <w:r w:rsidRPr="00C84483">
        <w:rPr>
          <w:b/>
          <w:sz w:val="24"/>
          <w:szCs w:val="24"/>
        </w:rPr>
        <w:t>6.2</w:t>
      </w:r>
      <w:r w:rsidRPr="00C84483">
        <w:rPr>
          <w:b/>
          <w:sz w:val="24"/>
          <w:szCs w:val="24"/>
        </w:rPr>
        <w:tab/>
        <w:t>Uforligeligheder</w:t>
      </w:r>
    </w:p>
    <w:p w:rsidR="00BA65AA" w:rsidRPr="00FA4A56" w:rsidRDefault="00BA65AA" w:rsidP="00BA65AA">
      <w:pPr>
        <w:ind w:left="851"/>
        <w:rPr>
          <w:sz w:val="24"/>
          <w:szCs w:val="24"/>
        </w:rPr>
      </w:pPr>
      <w:proofErr w:type="spellStart"/>
      <w:r w:rsidRPr="00FA4A56">
        <w:rPr>
          <w:sz w:val="24"/>
          <w:szCs w:val="24"/>
        </w:rPr>
        <w:t>Vinorelbin</w:t>
      </w:r>
      <w:proofErr w:type="spellEnd"/>
      <w:r w:rsidRPr="00FA4A56">
        <w:rPr>
          <w:sz w:val="24"/>
          <w:szCs w:val="24"/>
        </w:rPr>
        <w:t xml:space="preserve"> "</w:t>
      </w:r>
      <w:proofErr w:type="spellStart"/>
      <w:r w:rsidRPr="00FA4A56">
        <w:rPr>
          <w:sz w:val="24"/>
          <w:szCs w:val="24"/>
        </w:rPr>
        <w:t>Accord</w:t>
      </w:r>
      <w:proofErr w:type="spellEnd"/>
      <w:r w:rsidRPr="00FA4A56">
        <w:rPr>
          <w:sz w:val="24"/>
          <w:szCs w:val="24"/>
        </w:rPr>
        <w:t>" må ikke fortyndes i alkaliske opløsninger (risiko for udfældning).</w:t>
      </w:r>
    </w:p>
    <w:p w:rsidR="00BA65AA" w:rsidRPr="00FA4A56" w:rsidRDefault="00BA65AA" w:rsidP="00BA65AA">
      <w:pPr>
        <w:ind w:left="851"/>
        <w:rPr>
          <w:sz w:val="24"/>
          <w:szCs w:val="24"/>
        </w:rPr>
      </w:pPr>
    </w:p>
    <w:p w:rsidR="00BA65AA" w:rsidRPr="00FA4A56" w:rsidRDefault="00BA65AA" w:rsidP="00BA65AA">
      <w:pPr>
        <w:ind w:left="851"/>
        <w:rPr>
          <w:sz w:val="24"/>
          <w:szCs w:val="24"/>
        </w:rPr>
      </w:pPr>
      <w:r w:rsidRPr="00FA4A56">
        <w:rPr>
          <w:sz w:val="24"/>
          <w:szCs w:val="24"/>
        </w:rPr>
        <w:t>Dette lægemiddel må ikke anvendes samtidig med andre lægemidler, med undtagelse af dem, der er nævnt i pkt. 6.6.</w:t>
      </w:r>
    </w:p>
    <w:p w:rsidR="00BA65AA" w:rsidRPr="00FA4A56" w:rsidRDefault="00BA65AA" w:rsidP="00BA65AA">
      <w:pPr>
        <w:tabs>
          <w:tab w:val="left" w:pos="851"/>
        </w:tabs>
        <w:ind w:left="851"/>
        <w:rPr>
          <w:sz w:val="24"/>
          <w:szCs w:val="24"/>
        </w:rPr>
      </w:pPr>
    </w:p>
    <w:p w:rsidR="00BA65AA" w:rsidRPr="00C84483" w:rsidRDefault="00BA65AA" w:rsidP="00BA65AA">
      <w:pPr>
        <w:tabs>
          <w:tab w:val="left" w:pos="851"/>
        </w:tabs>
        <w:ind w:left="851" w:hanging="851"/>
        <w:rPr>
          <w:b/>
          <w:sz w:val="24"/>
          <w:szCs w:val="24"/>
        </w:rPr>
      </w:pPr>
      <w:r w:rsidRPr="00C84483">
        <w:rPr>
          <w:b/>
          <w:sz w:val="24"/>
          <w:szCs w:val="24"/>
        </w:rPr>
        <w:t>6.3</w:t>
      </w:r>
      <w:r w:rsidRPr="00C84483">
        <w:rPr>
          <w:b/>
          <w:sz w:val="24"/>
          <w:szCs w:val="24"/>
        </w:rPr>
        <w:tab/>
        <w:t>Opbevaringstid</w:t>
      </w:r>
    </w:p>
    <w:p w:rsidR="00BA65AA" w:rsidRPr="00085569" w:rsidRDefault="00BA65AA" w:rsidP="00BA65AA">
      <w:pPr>
        <w:ind w:left="851"/>
        <w:rPr>
          <w:rStyle w:val="hps"/>
          <w:color w:val="222222"/>
          <w:sz w:val="24"/>
          <w:szCs w:val="24"/>
        </w:rPr>
      </w:pPr>
      <w:r w:rsidRPr="00085569">
        <w:rPr>
          <w:rStyle w:val="hps"/>
          <w:color w:val="222222"/>
          <w:sz w:val="24"/>
          <w:szCs w:val="24"/>
        </w:rPr>
        <w:t>2 år</w:t>
      </w:r>
      <w:r>
        <w:rPr>
          <w:rStyle w:val="hps"/>
          <w:color w:val="222222"/>
          <w:sz w:val="24"/>
          <w:szCs w:val="24"/>
        </w:rPr>
        <w:t>.</w:t>
      </w:r>
    </w:p>
    <w:p w:rsidR="00BA65AA" w:rsidRPr="00085569" w:rsidRDefault="00BA65AA" w:rsidP="00BA65AA">
      <w:pPr>
        <w:ind w:left="851"/>
        <w:rPr>
          <w:rStyle w:val="hps"/>
          <w:color w:val="222222"/>
          <w:sz w:val="24"/>
          <w:szCs w:val="24"/>
        </w:rPr>
      </w:pPr>
    </w:p>
    <w:p w:rsidR="00BA65AA" w:rsidRPr="00005DC7" w:rsidRDefault="00BA65AA" w:rsidP="00BA65AA">
      <w:pPr>
        <w:ind w:left="851"/>
        <w:rPr>
          <w:sz w:val="24"/>
          <w:szCs w:val="24"/>
          <w:u w:val="single"/>
        </w:rPr>
      </w:pPr>
      <w:r w:rsidRPr="00005DC7">
        <w:rPr>
          <w:sz w:val="24"/>
          <w:szCs w:val="24"/>
          <w:u w:val="single"/>
        </w:rPr>
        <w:t>Holdbarhed efter fortynding</w:t>
      </w:r>
    </w:p>
    <w:p w:rsidR="00FA4A56" w:rsidRDefault="00FA4A56" w:rsidP="00FA4A56">
      <w:pPr>
        <w:ind w:left="851" w:right="566"/>
        <w:rPr>
          <w:sz w:val="24"/>
          <w:szCs w:val="24"/>
        </w:rPr>
      </w:pPr>
      <w:r>
        <w:rPr>
          <w:sz w:val="24"/>
          <w:szCs w:val="24"/>
        </w:rPr>
        <w:t xml:space="preserve">Kemisk og fysisk stabilitet efter åbning er dokumenteret i 24 timer ved 25°C. Ud fra et mikrobiologisk synspunkt skal præparatet bruges med det samme efter fortynding. Anvendelse af andre opbevaringstider og -betingelser er på brugerens eget ansvar og må ikke overstige 24 timer ved 2-8°C, medmindre </w:t>
      </w:r>
      <w:proofErr w:type="spellStart"/>
      <w:r>
        <w:rPr>
          <w:sz w:val="24"/>
          <w:szCs w:val="24"/>
        </w:rPr>
        <w:t>rekonstitutionen</w:t>
      </w:r>
      <w:proofErr w:type="spellEnd"/>
      <w:r>
        <w:rPr>
          <w:sz w:val="24"/>
          <w:szCs w:val="24"/>
        </w:rPr>
        <w:t xml:space="preserve"> er udført under kontrollerede og validerede aseptiske betingelser.</w:t>
      </w:r>
    </w:p>
    <w:p w:rsidR="00BA65AA" w:rsidRPr="00C84483" w:rsidRDefault="00BA65AA" w:rsidP="00BA65AA">
      <w:pPr>
        <w:tabs>
          <w:tab w:val="left" w:pos="851"/>
        </w:tabs>
        <w:ind w:left="851"/>
        <w:rPr>
          <w:sz w:val="24"/>
          <w:szCs w:val="24"/>
        </w:rPr>
      </w:pPr>
    </w:p>
    <w:p w:rsidR="00BA65AA" w:rsidRPr="00C84483" w:rsidRDefault="00BA65AA" w:rsidP="00BA65AA">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BA65AA" w:rsidRPr="00A229A5" w:rsidRDefault="00BA65AA" w:rsidP="00BA65AA">
      <w:pPr>
        <w:ind w:left="851"/>
        <w:rPr>
          <w:sz w:val="24"/>
          <w:szCs w:val="24"/>
        </w:rPr>
      </w:pPr>
      <w:r w:rsidRPr="00A229A5">
        <w:rPr>
          <w:sz w:val="24"/>
          <w:szCs w:val="24"/>
        </w:rPr>
        <w:t>Opbevares i køleskab (2 °C</w:t>
      </w:r>
      <w:r>
        <w:rPr>
          <w:sz w:val="24"/>
          <w:szCs w:val="24"/>
        </w:rPr>
        <w:t>-</w:t>
      </w:r>
      <w:r w:rsidRPr="00A229A5">
        <w:rPr>
          <w:sz w:val="24"/>
          <w:szCs w:val="24"/>
        </w:rPr>
        <w:t>8 °C).</w:t>
      </w:r>
    </w:p>
    <w:p w:rsidR="00BA65AA" w:rsidRDefault="00BA65AA" w:rsidP="00BA65AA">
      <w:pPr>
        <w:ind w:left="851"/>
        <w:rPr>
          <w:sz w:val="24"/>
          <w:szCs w:val="24"/>
        </w:rPr>
      </w:pPr>
      <w:r w:rsidRPr="00A229A5">
        <w:rPr>
          <w:sz w:val="24"/>
          <w:szCs w:val="24"/>
        </w:rPr>
        <w:t>Opbevar</w:t>
      </w:r>
      <w:r>
        <w:rPr>
          <w:sz w:val="24"/>
          <w:szCs w:val="24"/>
        </w:rPr>
        <w:t>es</w:t>
      </w:r>
      <w:r w:rsidRPr="00A229A5">
        <w:rPr>
          <w:sz w:val="24"/>
          <w:szCs w:val="24"/>
        </w:rPr>
        <w:t xml:space="preserve"> i originalemballagen for at beskytte mod lys.</w:t>
      </w:r>
    </w:p>
    <w:p w:rsidR="00BA65AA" w:rsidRDefault="00BA65AA" w:rsidP="00BA65AA">
      <w:pPr>
        <w:ind w:left="851"/>
        <w:rPr>
          <w:sz w:val="24"/>
          <w:szCs w:val="24"/>
        </w:rPr>
      </w:pPr>
      <w:r w:rsidRPr="00A229A5">
        <w:rPr>
          <w:sz w:val="24"/>
          <w:szCs w:val="24"/>
        </w:rPr>
        <w:t>Må ikke</w:t>
      </w:r>
      <w:r>
        <w:rPr>
          <w:sz w:val="24"/>
          <w:szCs w:val="24"/>
        </w:rPr>
        <w:t xml:space="preserve"> ned</w:t>
      </w:r>
      <w:r w:rsidRPr="00A229A5">
        <w:rPr>
          <w:sz w:val="24"/>
          <w:szCs w:val="24"/>
        </w:rPr>
        <w:t>fryses.</w:t>
      </w:r>
    </w:p>
    <w:p w:rsidR="00BA65AA" w:rsidRPr="00A229A5" w:rsidRDefault="00BA65AA" w:rsidP="00BA65AA">
      <w:pPr>
        <w:ind w:left="851"/>
        <w:rPr>
          <w:sz w:val="24"/>
          <w:szCs w:val="24"/>
        </w:rPr>
      </w:pPr>
    </w:p>
    <w:p w:rsidR="00BA65AA" w:rsidRPr="00C84483" w:rsidRDefault="00BA65AA" w:rsidP="00BA65AA">
      <w:pPr>
        <w:ind w:left="851"/>
        <w:rPr>
          <w:sz w:val="24"/>
          <w:szCs w:val="24"/>
        </w:rPr>
      </w:pPr>
      <w:r w:rsidRPr="00A229A5">
        <w:rPr>
          <w:sz w:val="24"/>
          <w:szCs w:val="24"/>
        </w:rPr>
        <w:t>Opbevaringsforhold for det fortyndede lægemiddel, se pkt. 6.3.</w:t>
      </w:r>
    </w:p>
    <w:p w:rsidR="00BA65AA" w:rsidRPr="00C84483" w:rsidRDefault="00BA65AA" w:rsidP="00BA65AA">
      <w:pPr>
        <w:tabs>
          <w:tab w:val="left" w:pos="851"/>
        </w:tabs>
        <w:ind w:left="851"/>
        <w:rPr>
          <w:sz w:val="24"/>
          <w:szCs w:val="24"/>
        </w:rPr>
      </w:pPr>
    </w:p>
    <w:p w:rsidR="00BA65AA" w:rsidRPr="00C84483" w:rsidRDefault="00BA65AA" w:rsidP="00BA65AA">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BA65AA" w:rsidRPr="00FA4A56" w:rsidRDefault="00BA65AA" w:rsidP="00BA65AA">
      <w:pPr>
        <w:ind w:left="851"/>
        <w:rPr>
          <w:sz w:val="24"/>
          <w:szCs w:val="24"/>
        </w:rPr>
      </w:pPr>
      <w:r w:rsidRPr="00FA4A56">
        <w:rPr>
          <w:sz w:val="24"/>
          <w:szCs w:val="24"/>
        </w:rPr>
        <w:t xml:space="preserve">Type I klart hætteglas med </w:t>
      </w:r>
      <w:proofErr w:type="spellStart"/>
      <w:r w:rsidRPr="00FA4A56">
        <w:rPr>
          <w:sz w:val="24"/>
          <w:szCs w:val="24"/>
        </w:rPr>
        <w:t>bromobutyl</w:t>
      </w:r>
      <w:proofErr w:type="spellEnd"/>
      <w:r w:rsidRPr="00FA4A56">
        <w:rPr>
          <w:sz w:val="24"/>
          <w:szCs w:val="24"/>
        </w:rPr>
        <w:t>-gummiprop og blå flip-</w:t>
      </w:r>
      <w:proofErr w:type="spellStart"/>
      <w:r w:rsidRPr="00FA4A56">
        <w:rPr>
          <w:sz w:val="24"/>
          <w:szCs w:val="24"/>
        </w:rPr>
        <w:t>off</w:t>
      </w:r>
      <w:proofErr w:type="spellEnd"/>
      <w:r w:rsidRPr="00FA4A56">
        <w:rPr>
          <w:sz w:val="24"/>
          <w:szCs w:val="24"/>
        </w:rPr>
        <w:t xml:space="preserve"> forsegling af aluminium.</w:t>
      </w:r>
    </w:p>
    <w:p w:rsidR="00BA65AA" w:rsidRPr="00FA4A56" w:rsidRDefault="00BA65AA" w:rsidP="00BA65AA">
      <w:pPr>
        <w:ind w:left="851"/>
        <w:rPr>
          <w:sz w:val="24"/>
          <w:szCs w:val="24"/>
        </w:rPr>
      </w:pPr>
    </w:p>
    <w:p w:rsidR="00BA65AA" w:rsidRPr="00FA4A56" w:rsidRDefault="00BA65AA" w:rsidP="00BA65AA">
      <w:pPr>
        <w:ind w:left="851"/>
        <w:rPr>
          <w:sz w:val="24"/>
          <w:szCs w:val="24"/>
          <w:u w:val="single"/>
        </w:rPr>
      </w:pPr>
      <w:r w:rsidRPr="00FA4A56">
        <w:rPr>
          <w:sz w:val="24"/>
          <w:szCs w:val="24"/>
          <w:u w:val="single"/>
        </w:rPr>
        <w:t>Pakningsstørrelser</w:t>
      </w:r>
    </w:p>
    <w:p w:rsidR="00BA65AA" w:rsidRPr="00FA4A56" w:rsidRDefault="00BA65AA" w:rsidP="00BA65AA">
      <w:pPr>
        <w:ind w:left="851"/>
        <w:rPr>
          <w:sz w:val="24"/>
          <w:szCs w:val="24"/>
        </w:rPr>
      </w:pPr>
      <w:r w:rsidRPr="00FA4A56">
        <w:rPr>
          <w:sz w:val="24"/>
          <w:szCs w:val="24"/>
        </w:rPr>
        <w:t>1 hætteglas á 1 ml.</w:t>
      </w:r>
    </w:p>
    <w:p w:rsidR="00BA65AA" w:rsidRPr="00FA4A56" w:rsidRDefault="00BA65AA" w:rsidP="00BA65AA">
      <w:pPr>
        <w:ind w:left="851"/>
        <w:rPr>
          <w:sz w:val="24"/>
          <w:szCs w:val="24"/>
        </w:rPr>
      </w:pPr>
      <w:r w:rsidRPr="00FA4A56">
        <w:rPr>
          <w:sz w:val="24"/>
          <w:szCs w:val="24"/>
        </w:rPr>
        <w:t>1 hætteglas á 5 ml.</w:t>
      </w:r>
    </w:p>
    <w:p w:rsidR="00BA65AA" w:rsidRPr="00FA4A56" w:rsidRDefault="00BA65AA" w:rsidP="00BA65AA">
      <w:pPr>
        <w:ind w:left="851"/>
        <w:rPr>
          <w:sz w:val="24"/>
          <w:szCs w:val="24"/>
        </w:rPr>
      </w:pPr>
    </w:p>
    <w:p w:rsidR="00BA65AA" w:rsidRPr="00FA4A56" w:rsidRDefault="00BA65AA" w:rsidP="00BA65AA">
      <w:pPr>
        <w:ind w:left="851"/>
        <w:rPr>
          <w:sz w:val="24"/>
          <w:szCs w:val="24"/>
        </w:rPr>
      </w:pPr>
      <w:r w:rsidRPr="00FA4A56">
        <w:rPr>
          <w:sz w:val="24"/>
          <w:szCs w:val="24"/>
        </w:rPr>
        <w:t>Ikke alle pakningsstørrelser er nødvendigvis markedsført.</w:t>
      </w:r>
    </w:p>
    <w:p w:rsidR="00BA65AA" w:rsidRPr="00FA4A56" w:rsidRDefault="00BA65AA" w:rsidP="00BA65AA">
      <w:pPr>
        <w:tabs>
          <w:tab w:val="left" w:pos="851"/>
        </w:tabs>
        <w:ind w:left="851"/>
        <w:rPr>
          <w:sz w:val="24"/>
          <w:szCs w:val="24"/>
        </w:rPr>
      </w:pPr>
    </w:p>
    <w:p w:rsidR="00BA65AA" w:rsidRPr="00C84483" w:rsidRDefault="00BA65AA" w:rsidP="00BA65AA">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FA4A56">
        <w:rPr>
          <w:b/>
          <w:sz w:val="24"/>
          <w:szCs w:val="24"/>
        </w:rPr>
        <w:t>bortskaffelse</w:t>
      </w:r>
      <w:r w:rsidRPr="00C84483">
        <w:rPr>
          <w:b/>
          <w:sz w:val="24"/>
          <w:szCs w:val="24"/>
        </w:rPr>
        <w:t xml:space="preserve"> og anden håndtering</w:t>
      </w:r>
    </w:p>
    <w:p w:rsidR="00BA65AA" w:rsidRPr="00B96F82" w:rsidRDefault="00BA65AA" w:rsidP="00BA65AA">
      <w:pPr>
        <w:pStyle w:val="Default"/>
        <w:ind w:left="851"/>
        <w:rPr>
          <w:rFonts w:ascii="Times New Roman" w:hAnsi="Times New Roman"/>
          <w:sz w:val="24"/>
          <w:szCs w:val="24"/>
        </w:rPr>
      </w:pPr>
      <w:r w:rsidRPr="00B96F82">
        <w:rPr>
          <w:rFonts w:ascii="Times New Roman" w:hAnsi="Times New Roman"/>
          <w:sz w:val="24"/>
          <w:szCs w:val="24"/>
        </w:rPr>
        <w:t xml:space="preserve">Kun uddannet personale må udføre klargøring og administration af </w:t>
      </w:r>
      <w:proofErr w:type="spellStart"/>
      <w:r>
        <w:rPr>
          <w:rFonts w:ascii="Times New Roman" w:hAnsi="Times New Roman"/>
          <w:sz w:val="24"/>
          <w:szCs w:val="24"/>
        </w:rPr>
        <w:t>Vinorelbin</w:t>
      </w:r>
      <w:proofErr w:type="spellEnd"/>
      <w:r>
        <w:rPr>
          <w:rFonts w:ascii="Times New Roman" w:hAnsi="Times New Roman"/>
          <w:sz w:val="24"/>
          <w:szCs w:val="24"/>
        </w:rPr>
        <w:t xml:space="preserve"> "</w:t>
      </w:r>
      <w:proofErr w:type="spellStart"/>
      <w:r>
        <w:rPr>
          <w:rFonts w:ascii="Times New Roman" w:hAnsi="Times New Roman"/>
          <w:sz w:val="24"/>
          <w:szCs w:val="24"/>
        </w:rPr>
        <w:t>Accord</w:t>
      </w:r>
      <w:proofErr w:type="spellEnd"/>
      <w:r>
        <w:rPr>
          <w:rFonts w:ascii="Times New Roman" w:hAnsi="Times New Roman"/>
          <w:sz w:val="24"/>
          <w:szCs w:val="24"/>
        </w:rPr>
        <w:t>"</w:t>
      </w:r>
      <w:r w:rsidRPr="00B96F82">
        <w:rPr>
          <w:rFonts w:ascii="Times New Roman" w:hAnsi="Times New Roman"/>
          <w:sz w:val="24"/>
          <w:szCs w:val="24"/>
        </w:rPr>
        <w:t xml:space="preserve">. Der skal tages forholdsregler for at undgå at udsætte personale under graviditet. </w:t>
      </w:r>
    </w:p>
    <w:p w:rsidR="00BA65AA" w:rsidRPr="00B96F82" w:rsidRDefault="00BA65AA" w:rsidP="00BA65AA">
      <w:pPr>
        <w:pStyle w:val="Default"/>
        <w:ind w:left="851"/>
        <w:rPr>
          <w:rFonts w:ascii="Times New Roman" w:hAnsi="Times New Roman"/>
          <w:sz w:val="24"/>
          <w:szCs w:val="24"/>
        </w:rPr>
      </w:pPr>
      <w:r w:rsidRPr="00B96F82">
        <w:rPr>
          <w:rFonts w:ascii="Times New Roman" w:hAnsi="Times New Roman"/>
          <w:sz w:val="24"/>
          <w:szCs w:val="24"/>
        </w:rPr>
        <w:t>Passende sikkerhedsudstyr, øjenbeskyttelse, engangshandsker, ansigtsmaske og engangsforklæde bør anvendes. Sprøjter og infusionssæt skal samles omhyggeligt for at undgå lækage (brug af Luer-</w:t>
      </w:r>
      <w:proofErr w:type="spellStart"/>
      <w:r w:rsidRPr="00B96F82">
        <w:rPr>
          <w:rFonts w:ascii="Times New Roman" w:hAnsi="Times New Roman"/>
          <w:sz w:val="24"/>
          <w:szCs w:val="24"/>
        </w:rPr>
        <w:t>lock</w:t>
      </w:r>
      <w:proofErr w:type="spellEnd"/>
      <w:r w:rsidRPr="00B96F82">
        <w:rPr>
          <w:rFonts w:ascii="Times New Roman" w:hAnsi="Times New Roman"/>
          <w:sz w:val="24"/>
          <w:szCs w:val="24"/>
        </w:rPr>
        <w:t xml:space="preserve">-samlinger anbefales). Sekreter og opkast skal håndteres med forsigtighed. </w:t>
      </w:r>
    </w:p>
    <w:p w:rsidR="00BA65AA" w:rsidRPr="00B96F82" w:rsidRDefault="00BA65AA" w:rsidP="00BA65AA">
      <w:pPr>
        <w:pStyle w:val="Default"/>
        <w:ind w:left="851"/>
        <w:rPr>
          <w:rFonts w:ascii="Times New Roman" w:hAnsi="Times New Roman"/>
          <w:sz w:val="24"/>
          <w:szCs w:val="24"/>
        </w:rPr>
      </w:pPr>
      <w:r w:rsidRPr="00B96F82">
        <w:rPr>
          <w:rFonts w:ascii="Times New Roman" w:hAnsi="Times New Roman"/>
          <w:sz w:val="24"/>
          <w:szCs w:val="24"/>
        </w:rPr>
        <w:t xml:space="preserve">Spild og lækager tørres op. Undgå omhyggeligt enhver kontakt med øjnene. Hvis opløsningen kommer i kontakt med øjnene, skylles omgående med saltvandsopløsning. Efter tilberedning skal alle utildækkede overflader rengøres grundigt, og hænder og ansigt vaskes. Der foreligger ikke uforligelighed mellem </w:t>
      </w:r>
      <w:proofErr w:type="spellStart"/>
      <w:r>
        <w:rPr>
          <w:rFonts w:ascii="Times New Roman" w:hAnsi="Times New Roman"/>
          <w:sz w:val="24"/>
          <w:szCs w:val="24"/>
        </w:rPr>
        <w:t>Vinorelbin</w:t>
      </w:r>
      <w:proofErr w:type="spellEnd"/>
      <w:r>
        <w:rPr>
          <w:rFonts w:ascii="Times New Roman" w:hAnsi="Times New Roman"/>
          <w:sz w:val="24"/>
          <w:szCs w:val="24"/>
        </w:rPr>
        <w:t xml:space="preserve"> "</w:t>
      </w:r>
      <w:proofErr w:type="spellStart"/>
      <w:r>
        <w:rPr>
          <w:rFonts w:ascii="Times New Roman" w:hAnsi="Times New Roman"/>
          <w:sz w:val="24"/>
          <w:szCs w:val="24"/>
        </w:rPr>
        <w:t>Accord</w:t>
      </w:r>
      <w:proofErr w:type="spellEnd"/>
      <w:r>
        <w:rPr>
          <w:rFonts w:ascii="Times New Roman" w:hAnsi="Times New Roman"/>
          <w:sz w:val="24"/>
          <w:szCs w:val="24"/>
        </w:rPr>
        <w:t>"</w:t>
      </w:r>
      <w:r w:rsidRPr="00B96F82">
        <w:rPr>
          <w:rFonts w:ascii="Times New Roman" w:hAnsi="Times New Roman"/>
          <w:sz w:val="24"/>
          <w:szCs w:val="24"/>
        </w:rPr>
        <w:t xml:space="preserve"> og hætteglas af klar</w:t>
      </w:r>
      <w:r>
        <w:rPr>
          <w:rFonts w:ascii="Times New Roman" w:hAnsi="Times New Roman"/>
          <w:sz w:val="24"/>
          <w:szCs w:val="24"/>
        </w:rPr>
        <w:t>t</w:t>
      </w:r>
      <w:r w:rsidRPr="00B96F82">
        <w:rPr>
          <w:rFonts w:ascii="Times New Roman" w:hAnsi="Times New Roman"/>
          <w:sz w:val="24"/>
          <w:szCs w:val="24"/>
        </w:rPr>
        <w:t xml:space="preserve"> glas, PVC eller vinyl-acetatsæt eller infusionssæt med PVC-slanger. </w:t>
      </w:r>
      <w:proofErr w:type="spellStart"/>
      <w:r>
        <w:rPr>
          <w:rFonts w:ascii="Times New Roman" w:hAnsi="Times New Roman"/>
          <w:sz w:val="24"/>
          <w:szCs w:val="24"/>
        </w:rPr>
        <w:t>Vinorelbin</w:t>
      </w:r>
      <w:proofErr w:type="spellEnd"/>
      <w:r>
        <w:rPr>
          <w:rFonts w:ascii="Times New Roman" w:hAnsi="Times New Roman"/>
          <w:sz w:val="24"/>
          <w:szCs w:val="24"/>
        </w:rPr>
        <w:t xml:space="preserve"> "</w:t>
      </w:r>
      <w:proofErr w:type="spellStart"/>
      <w:r>
        <w:rPr>
          <w:rFonts w:ascii="Times New Roman" w:hAnsi="Times New Roman"/>
          <w:sz w:val="24"/>
          <w:szCs w:val="24"/>
        </w:rPr>
        <w:t>Accord</w:t>
      </w:r>
      <w:proofErr w:type="spellEnd"/>
      <w:r>
        <w:rPr>
          <w:rFonts w:ascii="Times New Roman" w:hAnsi="Times New Roman"/>
          <w:sz w:val="24"/>
          <w:szCs w:val="24"/>
        </w:rPr>
        <w:t>"</w:t>
      </w:r>
      <w:r w:rsidRPr="00B96F82">
        <w:rPr>
          <w:rFonts w:ascii="Times New Roman" w:hAnsi="Times New Roman"/>
          <w:sz w:val="24"/>
          <w:szCs w:val="24"/>
        </w:rPr>
        <w:t xml:space="preserve"> kan indgives via langsom </w:t>
      </w:r>
      <w:proofErr w:type="spellStart"/>
      <w:r w:rsidRPr="00B96F82">
        <w:rPr>
          <w:rFonts w:ascii="Times New Roman" w:hAnsi="Times New Roman"/>
          <w:sz w:val="24"/>
          <w:szCs w:val="24"/>
        </w:rPr>
        <w:t>bolus</w:t>
      </w:r>
      <w:proofErr w:type="spellEnd"/>
      <w:r w:rsidRPr="00B96F82">
        <w:rPr>
          <w:rFonts w:ascii="Times New Roman" w:hAnsi="Times New Roman"/>
          <w:sz w:val="24"/>
          <w:szCs w:val="24"/>
        </w:rPr>
        <w:t xml:space="preserve"> (6-10 minutter) efter fortynding i 20-50 ml </w:t>
      </w:r>
      <w:proofErr w:type="spellStart"/>
      <w:r w:rsidRPr="00B96F82">
        <w:rPr>
          <w:rFonts w:ascii="Times New Roman" w:hAnsi="Times New Roman"/>
          <w:sz w:val="24"/>
          <w:szCs w:val="24"/>
        </w:rPr>
        <w:lastRenderedPageBreak/>
        <w:t>natriumchloridopløsning</w:t>
      </w:r>
      <w:proofErr w:type="spellEnd"/>
      <w:r w:rsidRPr="00B96F82">
        <w:rPr>
          <w:rFonts w:ascii="Times New Roman" w:hAnsi="Times New Roman"/>
          <w:sz w:val="24"/>
          <w:szCs w:val="24"/>
        </w:rPr>
        <w:t xml:space="preserve"> eller </w:t>
      </w:r>
      <w:proofErr w:type="spellStart"/>
      <w:r w:rsidRPr="00B96F82">
        <w:rPr>
          <w:rFonts w:ascii="Times New Roman" w:hAnsi="Times New Roman"/>
          <w:sz w:val="24"/>
          <w:szCs w:val="24"/>
        </w:rPr>
        <w:t>glucoseopløsning</w:t>
      </w:r>
      <w:proofErr w:type="spellEnd"/>
      <w:r w:rsidRPr="00B96F82">
        <w:rPr>
          <w:rFonts w:ascii="Times New Roman" w:hAnsi="Times New Roman"/>
          <w:sz w:val="24"/>
          <w:szCs w:val="24"/>
        </w:rPr>
        <w:t xml:space="preserve"> 50 mg/ml (5 %) eller via en kort infusion (20-30 minutter) efter fortynding i 125 ml </w:t>
      </w:r>
      <w:proofErr w:type="spellStart"/>
      <w:r w:rsidRPr="00B96F82">
        <w:rPr>
          <w:rFonts w:ascii="Times New Roman" w:hAnsi="Times New Roman"/>
          <w:sz w:val="24"/>
          <w:szCs w:val="24"/>
        </w:rPr>
        <w:t>natriumchloridopløsning</w:t>
      </w:r>
      <w:proofErr w:type="spellEnd"/>
      <w:r w:rsidRPr="00B96F82">
        <w:rPr>
          <w:rFonts w:ascii="Times New Roman" w:hAnsi="Times New Roman"/>
          <w:sz w:val="24"/>
          <w:szCs w:val="24"/>
        </w:rPr>
        <w:t xml:space="preserve"> eller </w:t>
      </w:r>
      <w:proofErr w:type="spellStart"/>
      <w:r w:rsidRPr="00B96F82">
        <w:rPr>
          <w:rFonts w:ascii="Times New Roman" w:hAnsi="Times New Roman"/>
          <w:sz w:val="24"/>
          <w:szCs w:val="24"/>
        </w:rPr>
        <w:t>glucoseopløsning</w:t>
      </w:r>
      <w:proofErr w:type="spellEnd"/>
      <w:r w:rsidRPr="00B96F82">
        <w:rPr>
          <w:rFonts w:ascii="Times New Roman" w:hAnsi="Times New Roman"/>
          <w:sz w:val="24"/>
          <w:szCs w:val="24"/>
        </w:rPr>
        <w:t xml:space="preserve"> 50 mg/ml (5 %). Indgivelse skal altid efterfølges af mindst 250 ml </w:t>
      </w:r>
      <w:proofErr w:type="spellStart"/>
      <w:r w:rsidRPr="00B96F82">
        <w:rPr>
          <w:rFonts w:ascii="Times New Roman" w:hAnsi="Times New Roman"/>
          <w:sz w:val="24"/>
          <w:szCs w:val="24"/>
        </w:rPr>
        <w:t>natriumchloridopløsning</w:t>
      </w:r>
      <w:proofErr w:type="spellEnd"/>
      <w:r w:rsidRPr="00B96F82">
        <w:rPr>
          <w:rFonts w:ascii="Times New Roman" w:hAnsi="Times New Roman"/>
          <w:sz w:val="24"/>
          <w:szCs w:val="24"/>
        </w:rPr>
        <w:t xml:space="preserve"> for at skylle venen. </w:t>
      </w:r>
    </w:p>
    <w:p w:rsidR="00BA65AA" w:rsidRPr="00FA4A56" w:rsidRDefault="00BA65AA" w:rsidP="00BA65AA">
      <w:pPr>
        <w:ind w:left="851"/>
        <w:rPr>
          <w:sz w:val="24"/>
          <w:szCs w:val="24"/>
        </w:rPr>
      </w:pPr>
    </w:p>
    <w:p w:rsidR="00BA65AA" w:rsidRPr="00FA4A56" w:rsidRDefault="00BA65AA" w:rsidP="00BA65AA">
      <w:pPr>
        <w:ind w:left="851"/>
        <w:rPr>
          <w:sz w:val="24"/>
          <w:szCs w:val="24"/>
        </w:rPr>
      </w:pPr>
      <w:proofErr w:type="spellStart"/>
      <w:r w:rsidRPr="00FA4A56">
        <w:rPr>
          <w:sz w:val="24"/>
          <w:szCs w:val="24"/>
        </w:rPr>
        <w:t>Vinorelbin</w:t>
      </w:r>
      <w:proofErr w:type="spellEnd"/>
      <w:r w:rsidRPr="00FA4A56">
        <w:rPr>
          <w:sz w:val="24"/>
          <w:szCs w:val="24"/>
        </w:rPr>
        <w:t xml:space="preserve"> "</w:t>
      </w:r>
      <w:proofErr w:type="spellStart"/>
      <w:r w:rsidRPr="00FA4A56">
        <w:rPr>
          <w:sz w:val="24"/>
          <w:szCs w:val="24"/>
        </w:rPr>
        <w:t>Accord</w:t>
      </w:r>
      <w:proofErr w:type="spellEnd"/>
      <w:r w:rsidRPr="00FA4A56">
        <w:rPr>
          <w:sz w:val="24"/>
          <w:szCs w:val="24"/>
        </w:rPr>
        <w:t xml:space="preserve">" må kun gives intravenøst. Det er meget vigtigt at sørge for, at kanylen placeres nøjagtigt i venen, før infusion af injektionen startes. Hvis </w:t>
      </w:r>
      <w:proofErr w:type="spellStart"/>
      <w:r w:rsidRPr="00FA4A56">
        <w:rPr>
          <w:sz w:val="24"/>
          <w:szCs w:val="24"/>
        </w:rPr>
        <w:t>Vinorelbin</w:t>
      </w:r>
      <w:proofErr w:type="spellEnd"/>
      <w:r w:rsidRPr="00FA4A56">
        <w:rPr>
          <w:sz w:val="24"/>
          <w:szCs w:val="24"/>
        </w:rPr>
        <w:t xml:space="preserve"> "</w:t>
      </w:r>
      <w:proofErr w:type="spellStart"/>
      <w:r w:rsidRPr="00FA4A56">
        <w:rPr>
          <w:sz w:val="24"/>
          <w:szCs w:val="24"/>
        </w:rPr>
        <w:t>Accord</w:t>
      </w:r>
      <w:proofErr w:type="spellEnd"/>
      <w:r w:rsidRPr="00FA4A56">
        <w:rPr>
          <w:sz w:val="24"/>
          <w:szCs w:val="24"/>
        </w:rPr>
        <w:t xml:space="preserve">" </w:t>
      </w:r>
      <w:proofErr w:type="spellStart"/>
      <w:r w:rsidRPr="00FA4A56">
        <w:rPr>
          <w:sz w:val="24"/>
          <w:szCs w:val="24"/>
        </w:rPr>
        <w:t>ekstravaserer</w:t>
      </w:r>
      <w:proofErr w:type="spellEnd"/>
      <w:r w:rsidRPr="00FA4A56">
        <w:rPr>
          <w:sz w:val="24"/>
          <w:szCs w:val="24"/>
        </w:rPr>
        <w:t xml:space="preserve"> under intravenøs indgift, kan dette forårsage betragtelig lokal irritation. Hvis dette er tilfældet, skal infusionen straks standses, venen skylles med saltvandsopløsning, og resten af dosen indgives i en anden vene. I tilfælde af </w:t>
      </w:r>
      <w:proofErr w:type="spellStart"/>
      <w:r w:rsidRPr="00FA4A56">
        <w:rPr>
          <w:sz w:val="24"/>
          <w:szCs w:val="24"/>
        </w:rPr>
        <w:t>ekstravasation</w:t>
      </w:r>
      <w:proofErr w:type="spellEnd"/>
      <w:r w:rsidRPr="00FA4A56">
        <w:rPr>
          <w:sz w:val="24"/>
          <w:szCs w:val="24"/>
        </w:rPr>
        <w:t xml:space="preserve"> kan </w:t>
      </w:r>
      <w:proofErr w:type="spellStart"/>
      <w:r w:rsidRPr="00FA4A56">
        <w:rPr>
          <w:sz w:val="24"/>
          <w:szCs w:val="24"/>
        </w:rPr>
        <w:t>glukokortikoider</w:t>
      </w:r>
      <w:proofErr w:type="spellEnd"/>
      <w:r w:rsidRPr="00FA4A56">
        <w:rPr>
          <w:sz w:val="24"/>
          <w:szCs w:val="24"/>
        </w:rPr>
        <w:t xml:space="preserve"> indgives intravenøst for at reducere risikoen for </w:t>
      </w:r>
      <w:proofErr w:type="spellStart"/>
      <w:r w:rsidRPr="00FA4A56">
        <w:rPr>
          <w:sz w:val="24"/>
          <w:szCs w:val="24"/>
        </w:rPr>
        <w:t>phlebitis</w:t>
      </w:r>
      <w:proofErr w:type="spellEnd"/>
      <w:r w:rsidRPr="00FA4A56">
        <w:rPr>
          <w:sz w:val="24"/>
          <w:szCs w:val="24"/>
        </w:rPr>
        <w:t xml:space="preserve">. </w:t>
      </w:r>
    </w:p>
    <w:p w:rsidR="00BA65AA" w:rsidRPr="00FA4A56" w:rsidRDefault="00BA65AA" w:rsidP="00BA65AA">
      <w:pPr>
        <w:ind w:left="851"/>
        <w:rPr>
          <w:sz w:val="24"/>
          <w:szCs w:val="24"/>
        </w:rPr>
      </w:pPr>
    </w:p>
    <w:p w:rsidR="00BA65AA" w:rsidRPr="00FA4A56" w:rsidRDefault="00BA65AA" w:rsidP="00BA65AA">
      <w:pPr>
        <w:ind w:left="851"/>
        <w:rPr>
          <w:sz w:val="24"/>
          <w:szCs w:val="24"/>
        </w:rPr>
      </w:pPr>
      <w:r w:rsidRPr="00FA4A56">
        <w:rPr>
          <w:sz w:val="24"/>
          <w:szCs w:val="24"/>
        </w:rPr>
        <w:t>Ikke anvendt lægemiddel samt affald heraf skal bortskaffes i henhold til lokale retningslinjer.</w:t>
      </w:r>
    </w:p>
    <w:p w:rsidR="00BA65AA" w:rsidRPr="00FA4A56" w:rsidRDefault="00BA65AA" w:rsidP="00BA65AA">
      <w:pPr>
        <w:tabs>
          <w:tab w:val="left" w:pos="851"/>
        </w:tabs>
        <w:ind w:left="851"/>
        <w:jc w:val="both"/>
        <w:rPr>
          <w:sz w:val="24"/>
          <w:szCs w:val="24"/>
        </w:rPr>
      </w:pPr>
    </w:p>
    <w:p w:rsidR="00BA65AA" w:rsidRPr="00C84483" w:rsidRDefault="00BA65AA" w:rsidP="00BA65AA">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34747E" w:rsidRPr="00B1572E" w:rsidRDefault="0034747E" w:rsidP="0034747E">
      <w:pPr>
        <w:ind w:left="851"/>
        <w:jc w:val="both"/>
        <w:rPr>
          <w:sz w:val="24"/>
          <w:szCs w:val="24"/>
        </w:rPr>
      </w:pPr>
      <w:proofErr w:type="spellStart"/>
      <w:r w:rsidRPr="00B1572E">
        <w:rPr>
          <w:sz w:val="24"/>
          <w:szCs w:val="24"/>
        </w:rPr>
        <w:t>Accord</w:t>
      </w:r>
      <w:proofErr w:type="spellEnd"/>
      <w:r w:rsidRPr="00B1572E">
        <w:rPr>
          <w:sz w:val="24"/>
          <w:szCs w:val="24"/>
        </w:rPr>
        <w:t xml:space="preserve"> Healthcare B.V.</w:t>
      </w:r>
    </w:p>
    <w:p w:rsidR="0034747E" w:rsidRPr="00B1572E" w:rsidRDefault="0034747E" w:rsidP="0034747E">
      <w:pPr>
        <w:ind w:left="851"/>
        <w:jc w:val="both"/>
        <w:rPr>
          <w:sz w:val="24"/>
          <w:szCs w:val="24"/>
        </w:rPr>
      </w:pPr>
      <w:proofErr w:type="spellStart"/>
      <w:r w:rsidRPr="00B1572E">
        <w:rPr>
          <w:sz w:val="24"/>
          <w:szCs w:val="24"/>
        </w:rPr>
        <w:t>Winthontlaan</w:t>
      </w:r>
      <w:proofErr w:type="spellEnd"/>
      <w:r w:rsidRPr="00B1572E">
        <w:rPr>
          <w:sz w:val="24"/>
          <w:szCs w:val="24"/>
        </w:rPr>
        <w:t xml:space="preserve"> 200</w:t>
      </w:r>
    </w:p>
    <w:p w:rsidR="0034747E" w:rsidRPr="00A6614E" w:rsidRDefault="0034747E" w:rsidP="0034747E">
      <w:pPr>
        <w:ind w:left="851"/>
        <w:jc w:val="both"/>
        <w:rPr>
          <w:sz w:val="24"/>
          <w:szCs w:val="24"/>
        </w:rPr>
      </w:pPr>
      <w:r w:rsidRPr="00A6614E">
        <w:rPr>
          <w:sz w:val="24"/>
          <w:szCs w:val="24"/>
        </w:rPr>
        <w:t>3526 KV Utrecht</w:t>
      </w:r>
    </w:p>
    <w:p w:rsidR="00BA65AA" w:rsidRPr="00573D75" w:rsidRDefault="0034747E" w:rsidP="0034747E">
      <w:pPr>
        <w:ind w:left="851"/>
        <w:jc w:val="both"/>
        <w:rPr>
          <w:sz w:val="24"/>
          <w:szCs w:val="24"/>
        </w:rPr>
      </w:pPr>
      <w:r w:rsidRPr="00A6614E">
        <w:rPr>
          <w:sz w:val="24"/>
          <w:szCs w:val="24"/>
        </w:rPr>
        <w:t>H</w:t>
      </w:r>
      <w:r>
        <w:rPr>
          <w:sz w:val="24"/>
          <w:szCs w:val="24"/>
        </w:rPr>
        <w:t>olland</w:t>
      </w:r>
    </w:p>
    <w:p w:rsidR="00BA65AA" w:rsidRPr="00573D75" w:rsidRDefault="00BA65AA" w:rsidP="00BA65AA">
      <w:pPr>
        <w:tabs>
          <w:tab w:val="left" w:pos="851"/>
        </w:tabs>
        <w:ind w:left="851"/>
        <w:rPr>
          <w:sz w:val="24"/>
          <w:szCs w:val="24"/>
        </w:rPr>
      </w:pPr>
    </w:p>
    <w:p w:rsidR="00BA65AA" w:rsidRPr="00C84483" w:rsidRDefault="00BA65AA" w:rsidP="00BA65AA">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FA4A56">
        <w:rPr>
          <w:b/>
          <w:sz w:val="24"/>
          <w:szCs w:val="24"/>
        </w:rPr>
        <w:t>-</w:t>
      </w:r>
      <w:r w:rsidRPr="00C84483">
        <w:rPr>
          <w:b/>
          <w:sz w:val="24"/>
          <w:szCs w:val="24"/>
        </w:rPr>
        <w:t>NUMRE)</w:t>
      </w:r>
    </w:p>
    <w:p w:rsidR="00BA65AA" w:rsidRPr="00C84483" w:rsidRDefault="00BA65AA" w:rsidP="00BA65AA">
      <w:pPr>
        <w:tabs>
          <w:tab w:val="left" w:pos="851"/>
        </w:tabs>
        <w:ind w:left="851"/>
        <w:rPr>
          <w:sz w:val="24"/>
          <w:szCs w:val="24"/>
        </w:rPr>
      </w:pPr>
      <w:r>
        <w:rPr>
          <w:sz w:val="24"/>
          <w:szCs w:val="24"/>
        </w:rPr>
        <w:t>57746</w:t>
      </w:r>
    </w:p>
    <w:p w:rsidR="00BA65AA" w:rsidRPr="00C84483" w:rsidRDefault="00BA65AA" w:rsidP="00BA65AA">
      <w:pPr>
        <w:tabs>
          <w:tab w:val="left" w:pos="851"/>
        </w:tabs>
        <w:ind w:left="851"/>
        <w:jc w:val="both"/>
        <w:rPr>
          <w:sz w:val="24"/>
          <w:szCs w:val="24"/>
        </w:rPr>
      </w:pPr>
    </w:p>
    <w:p w:rsidR="00BA65AA" w:rsidRPr="00C84483" w:rsidRDefault="00BA65AA" w:rsidP="00BA65AA">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BA65AA" w:rsidRPr="00C84483" w:rsidRDefault="00BA65AA" w:rsidP="00BA65AA">
      <w:pPr>
        <w:tabs>
          <w:tab w:val="left" w:pos="851"/>
        </w:tabs>
        <w:ind w:left="851"/>
        <w:rPr>
          <w:sz w:val="24"/>
          <w:szCs w:val="24"/>
        </w:rPr>
      </w:pPr>
      <w:r>
        <w:rPr>
          <w:sz w:val="24"/>
          <w:szCs w:val="24"/>
        </w:rPr>
        <w:t>11. november 2016</w:t>
      </w:r>
    </w:p>
    <w:p w:rsidR="00BA65AA" w:rsidRPr="00C84483" w:rsidRDefault="00BA65AA" w:rsidP="00BA65AA">
      <w:pPr>
        <w:tabs>
          <w:tab w:val="left" w:pos="851"/>
        </w:tabs>
        <w:ind w:left="851"/>
        <w:rPr>
          <w:sz w:val="24"/>
          <w:szCs w:val="24"/>
        </w:rPr>
      </w:pPr>
    </w:p>
    <w:p w:rsidR="00BA65AA" w:rsidRPr="00C84483" w:rsidRDefault="00BA65AA" w:rsidP="00BA65AA">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BA65AA" w:rsidRPr="00C84483" w:rsidRDefault="004D557A" w:rsidP="00BA65AA">
      <w:pPr>
        <w:tabs>
          <w:tab w:val="left" w:pos="851"/>
        </w:tabs>
        <w:ind w:left="851"/>
        <w:rPr>
          <w:sz w:val="24"/>
          <w:szCs w:val="24"/>
        </w:rPr>
      </w:pPr>
      <w:r w:rsidRPr="004D557A">
        <w:rPr>
          <w:sz w:val="24"/>
          <w:szCs w:val="24"/>
        </w:rPr>
        <w:t>10. august 2023</w:t>
      </w:r>
    </w:p>
    <w:p w:rsidR="00BA65AA" w:rsidRPr="007F51B1" w:rsidRDefault="00BA65AA" w:rsidP="00BA65AA"/>
    <w:p w:rsidR="00BA65AA" w:rsidRPr="0003174C" w:rsidRDefault="00BA65AA" w:rsidP="00BA65AA"/>
    <w:p w:rsidR="009260DE" w:rsidRPr="00BA65AA" w:rsidRDefault="009260DE" w:rsidP="00BA65AA">
      <w:bookmarkStart w:id="0" w:name="_GoBack"/>
      <w:bookmarkEnd w:id="0"/>
    </w:p>
    <w:sectPr w:rsidR="009260DE" w:rsidRPr="00BA65AA"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65AA" w:rsidRDefault="00BA65AA">
      <w:r>
        <w:separator/>
      </w:r>
    </w:p>
  </w:endnote>
  <w:endnote w:type="continuationSeparator" w:id="0">
    <w:p w:rsidR="00BA65AA" w:rsidRDefault="00BA6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Condensed-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0F7B8A" w:rsidP="00C42586">
    <w:pPr>
      <w:pStyle w:val="Sidefod"/>
      <w:tabs>
        <w:tab w:val="clear" w:pos="4819"/>
        <w:tab w:val="left" w:pos="8505"/>
      </w:tabs>
      <w:rPr>
        <w:i/>
        <w:sz w:val="18"/>
        <w:szCs w:val="18"/>
      </w:rPr>
    </w:pPr>
    <w:proofErr w:type="spellStart"/>
    <w:r w:rsidRPr="000F7B8A">
      <w:rPr>
        <w:i/>
        <w:sz w:val="18"/>
        <w:szCs w:val="18"/>
      </w:rPr>
      <w:t>Vinorelbin</w:t>
    </w:r>
    <w:proofErr w:type="spellEnd"/>
    <w:r w:rsidRPr="000F7B8A">
      <w:rPr>
        <w:i/>
        <w:sz w:val="18"/>
        <w:szCs w:val="18"/>
      </w:rPr>
      <w:t xml:space="preserve"> </w:t>
    </w:r>
    <w:proofErr w:type="spellStart"/>
    <w:r w:rsidRPr="000F7B8A">
      <w:rPr>
        <w:i/>
        <w:sz w:val="18"/>
        <w:szCs w:val="18"/>
      </w:rPr>
      <w:t>Accord</w:t>
    </w:r>
    <w:proofErr w:type="spellEnd"/>
    <w:r w:rsidRPr="000F7B8A">
      <w:rPr>
        <w:i/>
        <w:sz w:val="18"/>
        <w:szCs w:val="18"/>
      </w:rPr>
      <w:t>, koncentrat til infusionsvæske, opløsning 10 mg-ml</w:t>
    </w:r>
    <w:r w:rsidR="000259B9" w:rsidRPr="00B373D7">
      <w:rPr>
        <w:i/>
        <w:sz w:val="18"/>
        <w:szCs w:val="18"/>
      </w:rPr>
      <w:tab/>
      <w:t xml:space="preserve">Side </w:t>
    </w:r>
    <w:r w:rsidR="00782AF4" w:rsidRPr="00B373D7">
      <w:rPr>
        <w:rStyle w:val="Sidetal"/>
        <w:i/>
        <w:sz w:val="18"/>
        <w:szCs w:val="18"/>
      </w:rPr>
      <w:fldChar w:fldCharType="begin"/>
    </w:r>
    <w:r w:rsidR="000259B9" w:rsidRPr="00B373D7">
      <w:rPr>
        <w:rStyle w:val="Sidetal"/>
        <w:i/>
        <w:sz w:val="18"/>
        <w:szCs w:val="18"/>
      </w:rPr>
      <w:instrText xml:space="preserve"> PAGE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r w:rsidR="000259B9" w:rsidRPr="00B373D7">
      <w:rPr>
        <w:rStyle w:val="Sidetal"/>
        <w:i/>
        <w:sz w:val="18"/>
        <w:szCs w:val="18"/>
      </w:rPr>
      <w:t xml:space="preserve"> af </w:t>
    </w:r>
    <w:r w:rsidR="00782AF4" w:rsidRPr="00B373D7">
      <w:rPr>
        <w:rStyle w:val="Sidetal"/>
        <w:i/>
        <w:sz w:val="18"/>
        <w:szCs w:val="18"/>
      </w:rPr>
      <w:fldChar w:fldCharType="begin"/>
    </w:r>
    <w:r w:rsidR="000259B9" w:rsidRPr="00B373D7">
      <w:rPr>
        <w:rStyle w:val="Sidetal"/>
        <w:i/>
        <w:sz w:val="18"/>
        <w:szCs w:val="18"/>
      </w:rPr>
      <w:instrText xml:space="preserve"> NUMPAGES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65AA" w:rsidRDefault="00BA65AA">
      <w:r>
        <w:separator/>
      </w:r>
    </w:p>
  </w:footnote>
  <w:footnote w:type="continuationSeparator" w:id="0">
    <w:p w:rsidR="00BA65AA" w:rsidRDefault="00BA6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B397502"/>
    <w:multiLevelType w:val="hybridMultilevel"/>
    <w:tmpl w:val="1AB868CE"/>
    <w:lvl w:ilvl="0" w:tplc="474A4A64">
      <w:start w:val="1"/>
      <w:numFmt w:val="bullet"/>
      <w:lvlText w:val="-"/>
      <w:lvlJc w:val="left"/>
      <w:pPr>
        <w:ind w:left="1571" w:hanging="360"/>
      </w:pPr>
      <w:rPr>
        <w:rFonts w:ascii="Symbol" w:hAnsi="Symbol" w:hint="default"/>
        <w:b w:val="0"/>
        <w:i w:val="0"/>
        <w:caps w:val="0"/>
        <w:strike w:val="0"/>
        <w:dstrike w:val="0"/>
        <w:outline w:val="0"/>
        <w:shadow w:val="0"/>
        <w:emboss w:val="0"/>
        <w:imprint w:val="0"/>
        <w:vanish w:val="0"/>
        <w:webHidden w:val="0"/>
        <w:sz w:val="24"/>
        <w:u w:val="none"/>
        <w:effect w:val="none"/>
        <w:vertAlign w:val="baseline"/>
        <w:specVanish w:val="0"/>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8EF4CB7"/>
    <w:multiLevelType w:val="hybridMultilevel"/>
    <w:tmpl w:val="AB08EA48"/>
    <w:lvl w:ilvl="0" w:tplc="474A4A64">
      <w:start w:val="1"/>
      <w:numFmt w:val="bullet"/>
      <w:lvlText w:val="-"/>
      <w:lvlJc w:val="left"/>
      <w:pPr>
        <w:ind w:left="1571" w:hanging="360"/>
      </w:pPr>
      <w:rPr>
        <w:rFonts w:ascii="Symbol" w:hAnsi="Symbol" w:hint="default"/>
        <w:b w:val="0"/>
        <w:i w:val="0"/>
        <w:caps w:val="0"/>
        <w:strike w:val="0"/>
        <w:dstrike w:val="0"/>
        <w:outline w:val="0"/>
        <w:shadow w:val="0"/>
        <w:emboss w:val="0"/>
        <w:imprint w:val="0"/>
        <w:vanish w:val="0"/>
        <w:webHidden w:val="0"/>
        <w:sz w:val="24"/>
        <w:u w:val="none"/>
        <w:effect w:val="none"/>
        <w:vertAlign w:val="baseline"/>
        <w:specVanish w:val="0"/>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lvlOverride w:ilvl="2"/>
    <w:lvlOverride w:ilvl="3"/>
    <w:lvlOverride w:ilvl="4"/>
    <w:lvlOverride w:ilvl="5"/>
    <w:lvlOverride w:ilvl="6"/>
    <w:lvlOverride w:ilvl="7"/>
    <w:lvlOverride w:ilvl="8"/>
  </w:num>
  <w:num w:numId="7">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5AA"/>
    <w:rsid w:val="000259B9"/>
    <w:rsid w:val="00041491"/>
    <w:rsid w:val="00050D16"/>
    <w:rsid w:val="00074F2A"/>
    <w:rsid w:val="000A1CA8"/>
    <w:rsid w:val="000A466B"/>
    <w:rsid w:val="000B058C"/>
    <w:rsid w:val="000E4EE6"/>
    <w:rsid w:val="000F7B8A"/>
    <w:rsid w:val="001454E2"/>
    <w:rsid w:val="00206CE8"/>
    <w:rsid w:val="0021526C"/>
    <w:rsid w:val="00231353"/>
    <w:rsid w:val="00283A2B"/>
    <w:rsid w:val="002B30AD"/>
    <w:rsid w:val="002C2C01"/>
    <w:rsid w:val="0034747E"/>
    <w:rsid w:val="003A29AE"/>
    <w:rsid w:val="003A32D7"/>
    <w:rsid w:val="003B4074"/>
    <w:rsid w:val="003C769A"/>
    <w:rsid w:val="003F1838"/>
    <w:rsid w:val="0045746C"/>
    <w:rsid w:val="0049104B"/>
    <w:rsid w:val="004D557A"/>
    <w:rsid w:val="004E3B12"/>
    <w:rsid w:val="0052650D"/>
    <w:rsid w:val="00532310"/>
    <w:rsid w:val="00560ECC"/>
    <w:rsid w:val="00565F0F"/>
    <w:rsid w:val="00594A86"/>
    <w:rsid w:val="00596D86"/>
    <w:rsid w:val="00637F5A"/>
    <w:rsid w:val="006560B1"/>
    <w:rsid w:val="006756DD"/>
    <w:rsid w:val="0068781E"/>
    <w:rsid w:val="00737275"/>
    <w:rsid w:val="00740EEC"/>
    <w:rsid w:val="0078011A"/>
    <w:rsid w:val="00782AF4"/>
    <w:rsid w:val="00790EE7"/>
    <w:rsid w:val="007B6649"/>
    <w:rsid w:val="0081546F"/>
    <w:rsid w:val="0082576E"/>
    <w:rsid w:val="008A3D3E"/>
    <w:rsid w:val="00907F75"/>
    <w:rsid w:val="009260DE"/>
    <w:rsid w:val="0093258A"/>
    <w:rsid w:val="009C7BA3"/>
    <w:rsid w:val="009D1F5A"/>
    <w:rsid w:val="00B003BF"/>
    <w:rsid w:val="00B1572E"/>
    <w:rsid w:val="00B373D7"/>
    <w:rsid w:val="00BA65AA"/>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94C8A"/>
    <w:rsid w:val="00EC0B9B"/>
    <w:rsid w:val="00ED5E9F"/>
    <w:rsid w:val="00F66D4F"/>
    <w:rsid w:val="00FA4A56"/>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3C101"/>
  <w15:chartTrackingRefBased/>
  <w15:docId w15:val="{0645E454-6F6E-42A3-A6AC-88DA52042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BA65AA"/>
    <w:pPr>
      <w:ind w:left="720"/>
    </w:pPr>
    <w:rPr>
      <w:rFonts w:ascii="Arial" w:hAnsi="Arial"/>
      <w:color w:val="000000"/>
      <w:sz w:val="24"/>
      <w:lang w:eastAsia="da-DK"/>
    </w:rPr>
  </w:style>
  <w:style w:type="paragraph" w:customStyle="1" w:styleId="Sarkain3">
    <w:name w:val="Sarkain3"/>
    <w:basedOn w:val="Normal"/>
    <w:rsid w:val="00BA65AA"/>
    <w:pPr>
      <w:spacing w:before="240" w:after="360"/>
      <w:ind w:left="851"/>
    </w:pPr>
    <w:rPr>
      <w:rFonts w:eastAsia="Calibri"/>
      <w:sz w:val="24"/>
      <w:szCs w:val="24"/>
      <w:lang w:eastAsia="da-DK"/>
    </w:rPr>
  </w:style>
  <w:style w:type="character" w:customStyle="1" w:styleId="hps">
    <w:name w:val="hps"/>
    <w:basedOn w:val="Standardskrifttypeiafsnit"/>
    <w:rsid w:val="00BA65AA"/>
  </w:style>
  <w:style w:type="paragraph" w:customStyle="1" w:styleId="Default">
    <w:name w:val="Default"/>
    <w:rsid w:val="00BA65AA"/>
    <w:pPr>
      <w:autoSpaceDE w:val="0"/>
      <w:autoSpaceDN w:val="0"/>
      <w:adjustRightInd w:val="0"/>
    </w:pPr>
    <w:rPr>
      <w:rFonts w:ascii="Helvetica-Condensed-Bold" w:hAnsi="Helvetica-Condensed-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2693137">
      <w:bodyDiv w:val="1"/>
      <w:marLeft w:val="0"/>
      <w:marRight w:val="0"/>
      <w:marTop w:val="0"/>
      <w:marBottom w:val="0"/>
      <w:divBdr>
        <w:top w:val="none" w:sz="0" w:space="0" w:color="auto"/>
        <w:left w:val="none" w:sz="0" w:space="0" w:color="auto"/>
        <w:bottom w:val="none" w:sz="0" w:space="0" w:color="auto"/>
        <w:right w:val="none" w:sz="0" w:space="0" w:color="auto"/>
      </w:divBdr>
    </w:div>
    <w:div w:id="247615929">
      <w:bodyDiv w:val="1"/>
      <w:marLeft w:val="0"/>
      <w:marRight w:val="0"/>
      <w:marTop w:val="0"/>
      <w:marBottom w:val="0"/>
      <w:divBdr>
        <w:top w:val="none" w:sz="0" w:space="0" w:color="auto"/>
        <w:left w:val="none" w:sz="0" w:space="0" w:color="auto"/>
        <w:bottom w:val="none" w:sz="0" w:space="0" w:color="auto"/>
        <w:right w:val="none" w:sz="0" w:space="0" w:color="auto"/>
      </w:divBdr>
    </w:div>
    <w:div w:id="314726443">
      <w:bodyDiv w:val="1"/>
      <w:marLeft w:val="0"/>
      <w:marRight w:val="0"/>
      <w:marTop w:val="0"/>
      <w:marBottom w:val="0"/>
      <w:divBdr>
        <w:top w:val="none" w:sz="0" w:space="0" w:color="auto"/>
        <w:left w:val="none" w:sz="0" w:space="0" w:color="auto"/>
        <w:bottom w:val="none" w:sz="0" w:space="0" w:color="auto"/>
        <w:right w:val="none" w:sz="0" w:space="0" w:color="auto"/>
      </w:divBdr>
    </w:div>
    <w:div w:id="573784012">
      <w:bodyDiv w:val="1"/>
      <w:marLeft w:val="0"/>
      <w:marRight w:val="0"/>
      <w:marTop w:val="0"/>
      <w:marBottom w:val="0"/>
      <w:divBdr>
        <w:top w:val="none" w:sz="0" w:space="0" w:color="auto"/>
        <w:left w:val="none" w:sz="0" w:space="0" w:color="auto"/>
        <w:bottom w:val="none" w:sz="0" w:space="0" w:color="auto"/>
        <w:right w:val="none" w:sz="0" w:space="0" w:color="auto"/>
      </w:divBdr>
    </w:div>
    <w:div w:id="1053309279">
      <w:bodyDiv w:val="1"/>
      <w:marLeft w:val="0"/>
      <w:marRight w:val="0"/>
      <w:marTop w:val="0"/>
      <w:marBottom w:val="0"/>
      <w:divBdr>
        <w:top w:val="none" w:sz="0" w:space="0" w:color="auto"/>
        <w:left w:val="none" w:sz="0" w:space="0" w:color="auto"/>
        <w:bottom w:val="none" w:sz="0" w:space="0" w:color="auto"/>
        <w:right w:val="none" w:sz="0" w:space="0" w:color="auto"/>
      </w:divBdr>
    </w:div>
    <w:div w:id="1790853377">
      <w:bodyDiv w:val="1"/>
      <w:marLeft w:val="0"/>
      <w:marRight w:val="0"/>
      <w:marTop w:val="0"/>
      <w:marBottom w:val="0"/>
      <w:divBdr>
        <w:top w:val="none" w:sz="0" w:space="0" w:color="auto"/>
        <w:left w:val="none" w:sz="0" w:space="0" w:color="auto"/>
        <w:bottom w:val="none" w:sz="0" w:space="0" w:color="auto"/>
        <w:right w:val="none" w:sz="0" w:space="0" w:color="auto"/>
      </w:divBdr>
    </w:div>
    <w:div w:id="1804959575">
      <w:bodyDiv w:val="1"/>
      <w:marLeft w:val="0"/>
      <w:marRight w:val="0"/>
      <w:marTop w:val="0"/>
      <w:marBottom w:val="0"/>
      <w:divBdr>
        <w:top w:val="none" w:sz="0" w:space="0" w:color="auto"/>
        <w:left w:val="none" w:sz="0" w:space="0" w:color="auto"/>
        <w:bottom w:val="none" w:sz="0" w:space="0" w:color="auto"/>
        <w:right w:val="none" w:sz="0" w:space="0" w:color="auto"/>
      </w:divBdr>
    </w:div>
    <w:div w:id="1876120242">
      <w:bodyDiv w:val="1"/>
      <w:marLeft w:val="0"/>
      <w:marRight w:val="0"/>
      <w:marTop w:val="0"/>
      <w:marBottom w:val="0"/>
      <w:divBdr>
        <w:top w:val="none" w:sz="0" w:space="0" w:color="auto"/>
        <w:left w:val="none" w:sz="0" w:space="0" w:color="auto"/>
        <w:bottom w:val="none" w:sz="0" w:space="0" w:color="auto"/>
        <w:right w:val="none" w:sz="0" w:space="0" w:color="auto"/>
      </w:divBdr>
    </w:div>
    <w:div w:id="197389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whocc.no/atcddd/indexdatabase/index.php?query=L01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14</TotalTime>
  <Pages>12</Pages>
  <Words>3614</Words>
  <Characters>23793</Characters>
  <Application>Microsoft Office Word</Application>
  <DocSecurity>0</DocSecurity>
  <Lines>198</Lines>
  <Paragraphs>54</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Winther Andersen</dc:creator>
  <cp:keywords/>
  <dc:description>2022070280 + 2023061649_x000d_
SPC pkt. 4.2, 4.5, 4.8, 5.2, 6.3 samt overskrifter iht. QRD9</dc:description>
  <cp:lastModifiedBy>Betty Winther Andersen</cp:lastModifiedBy>
  <cp:revision>4</cp:revision>
  <cp:lastPrinted>2012-08-22T08:53:00Z</cp:lastPrinted>
  <dcterms:created xsi:type="dcterms:W3CDTF">2023-08-08T13:02:00Z</dcterms:created>
  <dcterms:modified xsi:type="dcterms:W3CDTF">2023-08-08T13:22:00Z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