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583E5" w14:textId="751FA555"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080D0A09" wp14:editId="7746B9E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5DB1B16" w14:textId="3AF35719"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257154">
        <w:rPr>
          <w:szCs w:val="24"/>
        </w:rPr>
        <w:t>2</w:t>
      </w:r>
      <w:r w:rsidR="008106BE">
        <w:rPr>
          <w:szCs w:val="24"/>
        </w:rPr>
        <w:t>5</w:t>
      </w:r>
      <w:r w:rsidR="00257154">
        <w:rPr>
          <w:szCs w:val="24"/>
        </w:rPr>
        <w:t xml:space="preserve">. </w:t>
      </w:r>
      <w:r w:rsidR="008106BE">
        <w:rPr>
          <w:szCs w:val="24"/>
        </w:rPr>
        <w:t xml:space="preserve">marts </w:t>
      </w:r>
      <w:r w:rsidR="00FB319B">
        <w:rPr>
          <w:szCs w:val="24"/>
        </w:rPr>
        <w:t>2025</w:t>
      </w:r>
    </w:p>
    <w:p w14:paraId="31AAF834" w14:textId="77777777" w:rsidR="009260DE" w:rsidRPr="00C84483" w:rsidRDefault="009260DE" w:rsidP="009260DE">
      <w:pPr>
        <w:pStyle w:val="Titel"/>
        <w:tabs>
          <w:tab w:val="left" w:pos="8222"/>
        </w:tabs>
        <w:jc w:val="left"/>
        <w:rPr>
          <w:b w:val="0"/>
          <w:szCs w:val="24"/>
        </w:rPr>
      </w:pPr>
    </w:p>
    <w:p w14:paraId="421BA631" w14:textId="77777777" w:rsidR="009260DE" w:rsidRPr="00C84483" w:rsidRDefault="009260DE" w:rsidP="009260DE">
      <w:pPr>
        <w:pStyle w:val="Titel"/>
        <w:jc w:val="left"/>
        <w:rPr>
          <w:b w:val="0"/>
          <w:szCs w:val="24"/>
        </w:rPr>
      </w:pPr>
    </w:p>
    <w:p w14:paraId="39C384E3" w14:textId="77777777" w:rsidR="009260DE" w:rsidRPr="00C84483" w:rsidRDefault="009260DE" w:rsidP="009260DE">
      <w:pPr>
        <w:jc w:val="center"/>
        <w:rPr>
          <w:b/>
          <w:sz w:val="24"/>
          <w:szCs w:val="24"/>
        </w:rPr>
      </w:pPr>
      <w:r w:rsidRPr="00C84483">
        <w:rPr>
          <w:b/>
          <w:sz w:val="24"/>
          <w:szCs w:val="24"/>
        </w:rPr>
        <w:t>PRODUKTRESUMÉ</w:t>
      </w:r>
    </w:p>
    <w:p w14:paraId="1CCDBF33" w14:textId="77777777" w:rsidR="009260DE" w:rsidRPr="00C84483" w:rsidRDefault="009260DE" w:rsidP="009260DE">
      <w:pPr>
        <w:jc w:val="center"/>
        <w:rPr>
          <w:b/>
          <w:sz w:val="24"/>
          <w:szCs w:val="24"/>
        </w:rPr>
      </w:pPr>
    </w:p>
    <w:p w14:paraId="1C2CCCFD" w14:textId="77777777" w:rsidR="009260DE" w:rsidRDefault="009260DE" w:rsidP="009260DE">
      <w:pPr>
        <w:jc w:val="center"/>
        <w:rPr>
          <w:b/>
          <w:sz w:val="24"/>
          <w:szCs w:val="24"/>
        </w:rPr>
      </w:pPr>
      <w:r w:rsidRPr="00C84483">
        <w:rPr>
          <w:b/>
          <w:sz w:val="24"/>
          <w:szCs w:val="24"/>
        </w:rPr>
        <w:t>for</w:t>
      </w:r>
    </w:p>
    <w:p w14:paraId="7DC0C7FE" w14:textId="77777777" w:rsidR="000B058C" w:rsidRPr="00C84483" w:rsidRDefault="000B058C" w:rsidP="009260DE">
      <w:pPr>
        <w:jc w:val="center"/>
        <w:rPr>
          <w:b/>
          <w:sz w:val="24"/>
          <w:szCs w:val="24"/>
        </w:rPr>
      </w:pPr>
    </w:p>
    <w:p w14:paraId="67C5636B" w14:textId="77777777" w:rsidR="009260DE" w:rsidRPr="00C84483" w:rsidRDefault="003E5E66" w:rsidP="009260DE">
      <w:pPr>
        <w:jc w:val="center"/>
        <w:rPr>
          <w:b/>
          <w:sz w:val="24"/>
          <w:szCs w:val="24"/>
        </w:rPr>
      </w:pPr>
      <w:proofErr w:type="spellStart"/>
      <w:r>
        <w:rPr>
          <w:b/>
          <w:sz w:val="24"/>
          <w:szCs w:val="24"/>
        </w:rPr>
        <w:t>V</w:t>
      </w:r>
      <w:r w:rsidR="0015298E">
        <w:rPr>
          <w:b/>
          <w:sz w:val="24"/>
          <w:szCs w:val="24"/>
        </w:rPr>
        <w:t>inorelbine</w:t>
      </w:r>
      <w:proofErr w:type="spellEnd"/>
      <w:r w:rsidR="0015298E">
        <w:rPr>
          <w:b/>
          <w:sz w:val="24"/>
          <w:szCs w:val="24"/>
        </w:rPr>
        <w:t xml:space="preserve"> "</w:t>
      </w:r>
      <w:proofErr w:type="spellStart"/>
      <w:r w:rsidR="0015298E">
        <w:rPr>
          <w:b/>
          <w:sz w:val="24"/>
          <w:szCs w:val="24"/>
        </w:rPr>
        <w:t>Accord</w:t>
      </w:r>
      <w:proofErr w:type="spellEnd"/>
      <w:r w:rsidR="0015298E">
        <w:rPr>
          <w:b/>
          <w:sz w:val="24"/>
          <w:szCs w:val="24"/>
        </w:rPr>
        <w:t>", bløde kapsler</w:t>
      </w:r>
    </w:p>
    <w:p w14:paraId="1A83DB5C" w14:textId="77777777" w:rsidR="009260DE" w:rsidRPr="00C84483" w:rsidRDefault="009260DE" w:rsidP="009260DE">
      <w:pPr>
        <w:jc w:val="both"/>
        <w:rPr>
          <w:sz w:val="24"/>
          <w:szCs w:val="24"/>
        </w:rPr>
      </w:pPr>
    </w:p>
    <w:p w14:paraId="4F8329F1" w14:textId="77777777" w:rsidR="009260DE" w:rsidRPr="00C84483" w:rsidRDefault="009260DE" w:rsidP="009260DE">
      <w:pPr>
        <w:jc w:val="both"/>
        <w:rPr>
          <w:sz w:val="24"/>
          <w:szCs w:val="24"/>
        </w:rPr>
      </w:pPr>
    </w:p>
    <w:p w14:paraId="75ECF45D"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1E67909E" w14:textId="52C1CD0A" w:rsidR="009260DE" w:rsidRPr="00C84483" w:rsidRDefault="0049384E" w:rsidP="009260DE">
      <w:pPr>
        <w:tabs>
          <w:tab w:val="left" w:pos="851"/>
        </w:tabs>
        <w:ind w:left="851"/>
        <w:rPr>
          <w:sz w:val="24"/>
          <w:szCs w:val="24"/>
        </w:rPr>
      </w:pPr>
      <w:r>
        <w:rPr>
          <w:sz w:val="24"/>
          <w:szCs w:val="24"/>
        </w:rPr>
        <w:t>32473</w:t>
      </w:r>
    </w:p>
    <w:p w14:paraId="0623C88E" w14:textId="77777777" w:rsidR="009260DE" w:rsidRPr="00C84483" w:rsidRDefault="009260DE" w:rsidP="009260DE">
      <w:pPr>
        <w:tabs>
          <w:tab w:val="left" w:pos="851"/>
        </w:tabs>
        <w:ind w:left="851"/>
        <w:rPr>
          <w:sz w:val="24"/>
          <w:szCs w:val="24"/>
        </w:rPr>
      </w:pPr>
    </w:p>
    <w:p w14:paraId="25D1AA2F"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A97F083" w14:textId="77777777" w:rsidR="00E04B54" w:rsidRPr="00E04B54" w:rsidRDefault="00E04B54" w:rsidP="00E04B54">
      <w:pPr>
        <w:tabs>
          <w:tab w:val="left" w:pos="851"/>
        </w:tabs>
        <w:ind w:left="851"/>
        <w:rPr>
          <w:sz w:val="24"/>
          <w:szCs w:val="24"/>
        </w:rPr>
      </w:pPr>
      <w:proofErr w:type="spellStart"/>
      <w:r w:rsidRPr="00E04B54">
        <w:rPr>
          <w:sz w:val="24"/>
          <w:szCs w:val="24"/>
        </w:rPr>
        <w:t>Vinorelbine</w:t>
      </w:r>
      <w:proofErr w:type="spellEnd"/>
      <w:r w:rsidRPr="00E04B54">
        <w:rPr>
          <w:sz w:val="24"/>
          <w:szCs w:val="24"/>
        </w:rPr>
        <w:t xml:space="preserve"> "</w:t>
      </w:r>
      <w:proofErr w:type="spellStart"/>
      <w:r w:rsidRPr="00E04B54">
        <w:rPr>
          <w:sz w:val="24"/>
          <w:szCs w:val="24"/>
        </w:rPr>
        <w:t>Accord</w:t>
      </w:r>
      <w:proofErr w:type="spellEnd"/>
      <w:r w:rsidRPr="00E04B54">
        <w:rPr>
          <w:sz w:val="24"/>
          <w:szCs w:val="24"/>
        </w:rPr>
        <w:t>"</w:t>
      </w:r>
    </w:p>
    <w:p w14:paraId="31E1B00D" w14:textId="77777777" w:rsidR="009260DE" w:rsidRPr="00C84483" w:rsidRDefault="009260DE" w:rsidP="009260DE">
      <w:pPr>
        <w:tabs>
          <w:tab w:val="left" w:pos="851"/>
        </w:tabs>
        <w:ind w:left="851"/>
        <w:rPr>
          <w:sz w:val="24"/>
          <w:szCs w:val="24"/>
        </w:rPr>
      </w:pPr>
    </w:p>
    <w:p w14:paraId="3A2BAE2D"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0F4B7BA" w14:textId="77777777" w:rsidR="00A645F9" w:rsidRPr="00A645F9" w:rsidRDefault="00A645F9" w:rsidP="00A645F9">
      <w:pPr>
        <w:tabs>
          <w:tab w:val="left" w:pos="851"/>
        </w:tabs>
        <w:ind w:left="851"/>
        <w:rPr>
          <w:sz w:val="24"/>
          <w:szCs w:val="24"/>
        </w:rPr>
      </w:pPr>
      <w:r w:rsidRPr="00A645F9">
        <w:rPr>
          <w:sz w:val="24"/>
          <w:szCs w:val="24"/>
        </w:rPr>
        <w:t xml:space="preserve">20 mg: Hver blød kapsel indeholder </w:t>
      </w:r>
      <w:proofErr w:type="spellStart"/>
      <w:r w:rsidRPr="00A645F9">
        <w:rPr>
          <w:sz w:val="24"/>
          <w:szCs w:val="24"/>
        </w:rPr>
        <w:t>vinorelbintartrat</w:t>
      </w:r>
      <w:proofErr w:type="spellEnd"/>
      <w:r w:rsidRPr="00A645F9">
        <w:rPr>
          <w:sz w:val="24"/>
          <w:szCs w:val="24"/>
        </w:rPr>
        <w:t xml:space="preserve"> svarende til 20 mg </w:t>
      </w:r>
      <w:proofErr w:type="spellStart"/>
      <w:r w:rsidRPr="00A645F9">
        <w:rPr>
          <w:sz w:val="24"/>
          <w:szCs w:val="24"/>
        </w:rPr>
        <w:t>vinorelbin</w:t>
      </w:r>
      <w:proofErr w:type="spellEnd"/>
      <w:r w:rsidRPr="00A645F9">
        <w:rPr>
          <w:sz w:val="24"/>
          <w:szCs w:val="24"/>
        </w:rPr>
        <w:t>.</w:t>
      </w:r>
    </w:p>
    <w:p w14:paraId="57393F46" w14:textId="77777777" w:rsidR="00A645F9" w:rsidRPr="00A645F9" w:rsidRDefault="00A645F9" w:rsidP="00A645F9">
      <w:pPr>
        <w:tabs>
          <w:tab w:val="left" w:pos="851"/>
        </w:tabs>
        <w:ind w:left="851"/>
        <w:rPr>
          <w:sz w:val="24"/>
          <w:szCs w:val="24"/>
        </w:rPr>
      </w:pPr>
      <w:r w:rsidRPr="00A645F9">
        <w:rPr>
          <w:sz w:val="24"/>
          <w:szCs w:val="24"/>
        </w:rPr>
        <w:t xml:space="preserve">30 mg: Hver blød kapsel indeholder </w:t>
      </w:r>
      <w:proofErr w:type="spellStart"/>
      <w:r w:rsidRPr="00A645F9">
        <w:rPr>
          <w:sz w:val="24"/>
          <w:szCs w:val="24"/>
        </w:rPr>
        <w:t>vinorelbintartrat</w:t>
      </w:r>
      <w:proofErr w:type="spellEnd"/>
      <w:r w:rsidRPr="00A645F9">
        <w:rPr>
          <w:sz w:val="24"/>
          <w:szCs w:val="24"/>
        </w:rPr>
        <w:t xml:space="preserve"> svarende til 30 mg </w:t>
      </w:r>
      <w:proofErr w:type="spellStart"/>
      <w:r w:rsidRPr="00A645F9">
        <w:rPr>
          <w:sz w:val="24"/>
          <w:szCs w:val="24"/>
        </w:rPr>
        <w:t>vinorelbin</w:t>
      </w:r>
      <w:proofErr w:type="spellEnd"/>
      <w:r w:rsidRPr="00A645F9">
        <w:rPr>
          <w:sz w:val="24"/>
          <w:szCs w:val="24"/>
        </w:rPr>
        <w:t>.</w:t>
      </w:r>
    </w:p>
    <w:p w14:paraId="4A3D3F10" w14:textId="77777777" w:rsidR="00A645F9" w:rsidRPr="00A645F9" w:rsidRDefault="00A645F9" w:rsidP="00A645F9">
      <w:pPr>
        <w:tabs>
          <w:tab w:val="left" w:pos="851"/>
        </w:tabs>
        <w:ind w:left="851"/>
        <w:rPr>
          <w:sz w:val="24"/>
          <w:szCs w:val="24"/>
        </w:rPr>
      </w:pPr>
      <w:r w:rsidRPr="00A645F9">
        <w:rPr>
          <w:sz w:val="24"/>
          <w:szCs w:val="24"/>
        </w:rPr>
        <w:t xml:space="preserve">80 mg: Hver blød kapsel indeholder </w:t>
      </w:r>
      <w:proofErr w:type="spellStart"/>
      <w:r w:rsidRPr="00A645F9">
        <w:rPr>
          <w:sz w:val="24"/>
          <w:szCs w:val="24"/>
        </w:rPr>
        <w:t>vinorelbintartrat</w:t>
      </w:r>
      <w:proofErr w:type="spellEnd"/>
      <w:r w:rsidRPr="00A645F9">
        <w:rPr>
          <w:sz w:val="24"/>
          <w:szCs w:val="24"/>
        </w:rPr>
        <w:t xml:space="preserve"> svarende til 80 mg </w:t>
      </w:r>
      <w:proofErr w:type="spellStart"/>
      <w:r w:rsidRPr="00A645F9">
        <w:rPr>
          <w:sz w:val="24"/>
          <w:szCs w:val="24"/>
        </w:rPr>
        <w:t>vinorelbin</w:t>
      </w:r>
      <w:proofErr w:type="spellEnd"/>
      <w:r w:rsidRPr="00A645F9">
        <w:rPr>
          <w:sz w:val="24"/>
          <w:szCs w:val="24"/>
        </w:rPr>
        <w:t>.</w:t>
      </w:r>
    </w:p>
    <w:p w14:paraId="2AA93277" w14:textId="77777777" w:rsidR="00A645F9" w:rsidRPr="00A645F9" w:rsidRDefault="00A645F9" w:rsidP="00A645F9">
      <w:pPr>
        <w:tabs>
          <w:tab w:val="left" w:pos="851"/>
        </w:tabs>
        <w:ind w:left="851"/>
        <w:rPr>
          <w:sz w:val="24"/>
          <w:szCs w:val="24"/>
        </w:rPr>
      </w:pPr>
    </w:p>
    <w:p w14:paraId="3801B70E" w14:textId="77777777" w:rsidR="00A645F9" w:rsidRPr="00A645F9" w:rsidRDefault="00A645F9" w:rsidP="00A645F9">
      <w:pPr>
        <w:tabs>
          <w:tab w:val="left" w:pos="851"/>
        </w:tabs>
        <w:ind w:left="851"/>
        <w:rPr>
          <w:sz w:val="24"/>
          <w:szCs w:val="24"/>
          <w:u w:val="single"/>
        </w:rPr>
      </w:pPr>
    </w:p>
    <w:p w14:paraId="34D853ED" w14:textId="77777777" w:rsidR="00A645F9" w:rsidRPr="00A645F9" w:rsidRDefault="00A645F9" w:rsidP="00A645F9">
      <w:pPr>
        <w:tabs>
          <w:tab w:val="left" w:pos="851"/>
        </w:tabs>
        <w:ind w:left="851"/>
        <w:rPr>
          <w:sz w:val="24"/>
          <w:szCs w:val="24"/>
        </w:rPr>
      </w:pPr>
      <w:r w:rsidRPr="00A645F9">
        <w:rPr>
          <w:sz w:val="24"/>
          <w:szCs w:val="24"/>
          <w:u w:val="single"/>
        </w:rPr>
        <w:t>Hjælpestoffer, som behandleren skal være opmærksom på</w:t>
      </w:r>
    </w:p>
    <w:p w14:paraId="6A187BA5" w14:textId="50C4A029" w:rsidR="00A645F9" w:rsidRPr="00A645F9" w:rsidRDefault="00A645F9" w:rsidP="008D45AC">
      <w:pPr>
        <w:ind w:left="1701" w:hanging="850"/>
        <w:rPr>
          <w:sz w:val="24"/>
          <w:szCs w:val="24"/>
        </w:rPr>
      </w:pPr>
      <w:r w:rsidRPr="00A645F9">
        <w:rPr>
          <w:sz w:val="24"/>
          <w:szCs w:val="24"/>
        </w:rPr>
        <w:t>20 mg:</w:t>
      </w:r>
      <w:r w:rsidR="004A331C">
        <w:rPr>
          <w:sz w:val="24"/>
          <w:szCs w:val="24"/>
        </w:rPr>
        <w:tab/>
      </w:r>
      <w:r w:rsidRPr="00A645F9">
        <w:rPr>
          <w:sz w:val="24"/>
          <w:szCs w:val="24"/>
        </w:rPr>
        <w:t xml:space="preserve">Hver blød kapsel indeholder 8,03 mg sorbitol (som flydende </w:t>
      </w:r>
      <w:proofErr w:type="spellStart"/>
      <w:proofErr w:type="gramStart"/>
      <w:r w:rsidRPr="00A645F9">
        <w:rPr>
          <w:sz w:val="24"/>
          <w:szCs w:val="24"/>
        </w:rPr>
        <w:t>sorbitol,delvist</w:t>
      </w:r>
      <w:proofErr w:type="spellEnd"/>
      <w:proofErr w:type="gramEnd"/>
      <w:r w:rsidRPr="00A645F9">
        <w:rPr>
          <w:sz w:val="24"/>
          <w:szCs w:val="24"/>
        </w:rPr>
        <w:t xml:space="preserve"> dehydreret) og 2,89 mg </w:t>
      </w:r>
      <w:proofErr w:type="spellStart"/>
      <w:r w:rsidRPr="00A645F9">
        <w:rPr>
          <w:sz w:val="24"/>
          <w:szCs w:val="24"/>
        </w:rPr>
        <w:t>ethanol</w:t>
      </w:r>
      <w:proofErr w:type="spellEnd"/>
      <w:r w:rsidRPr="00A645F9">
        <w:rPr>
          <w:sz w:val="24"/>
          <w:szCs w:val="24"/>
        </w:rPr>
        <w:t>.</w:t>
      </w:r>
    </w:p>
    <w:p w14:paraId="484C4CE5" w14:textId="3C3F5D0F" w:rsidR="00A645F9" w:rsidRPr="00A645F9" w:rsidRDefault="00A645F9" w:rsidP="008D45AC">
      <w:pPr>
        <w:ind w:left="1701" w:hanging="850"/>
        <w:rPr>
          <w:sz w:val="24"/>
          <w:szCs w:val="24"/>
        </w:rPr>
      </w:pPr>
      <w:r w:rsidRPr="00A645F9">
        <w:rPr>
          <w:sz w:val="24"/>
          <w:szCs w:val="24"/>
        </w:rPr>
        <w:t>30 mg:</w:t>
      </w:r>
      <w:r w:rsidR="008D45AC">
        <w:rPr>
          <w:sz w:val="24"/>
          <w:szCs w:val="24"/>
        </w:rPr>
        <w:tab/>
      </w:r>
      <w:r w:rsidRPr="00A645F9">
        <w:rPr>
          <w:sz w:val="24"/>
          <w:szCs w:val="24"/>
        </w:rPr>
        <w:t xml:space="preserve">Hver blød kapsel indeholder 13,65 mg sorbitol (som flydende sorbitol, delvist dehydreret) og 4,35 mg </w:t>
      </w:r>
      <w:proofErr w:type="spellStart"/>
      <w:r w:rsidRPr="00A645F9">
        <w:rPr>
          <w:sz w:val="24"/>
          <w:szCs w:val="24"/>
        </w:rPr>
        <w:t>ethanol</w:t>
      </w:r>
      <w:proofErr w:type="spellEnd"/>
      <w:r w:rsidRPr="00A645F9">
        <w:rPr>
          <w:sz w:val="24"/>
          <w:szCs w:val="24"/>
        </w:rPr>
        <w:t>.</w:t>
      </w:r>
    </w:p>
    <w:p w14:paraId="322ED2DF" w14:textId="24DE4C20" w:rsidR="00A645F9" w:rsidRPr="00A645F9" w:rsidRDefault="00A645F9" w:rsidP="008D45AC">
      <w:pPr>
        <w:ind w:left="1701" w:hanging="850"/>
        <w:rPr>
          <w:sz w:val="24"/>
          <w:szCs w:val="24"/>
        </w:rPr>
      </w:pPr>
      <w:r w:rsidRPr="00A645F9">
        <w:rPr>
          <w:sz w:val="24"/>
          <w:szCs w:val="24"/>
        </w:rPr>
        <w:t>80 mg:</w:t>
      </w:r>
      <w:r w:rsidR="008D45AC">
        <w:rPr>
          <w:sz w:val="24"/>
          <w:szCs w:val="24"/>
        </w:rPr>
        <w:tab/>
      </w:r>
      <w:r w:rsidRPr="00A645F9">
        <w:rPr>
          <w:sz w:val="24"/>
          <w:szCs w:val="24"/>
        </w:rPr>
        <w:t xml:space="preserve">Hver blød kapsel indeholder 24,09 mg sorbitol (som flydende sorbitol, delvist dehydreret) og 11,56 mg </w:t>
      </w:r>
      <w:proofErr w:type="spellStart"/>
      <w:r w:rsidRPr="00A645F9">
        <w:rPr>
          <w:sz w:val="24"/>
          <w:szCs w:val="24"/>
        </w:rPr>
        <w:t>ethanol</w:t>
      </w:r>
      <w:proofErr w:type="spellEnd"/>
      <w:r w:rsidRPr="00A645F9">
        <w:rPr>
          <w:sz w:val="24"/>
          <w:szCs w:val="24"/>
        </w:rPr>
        <w:t>.</w:t>
      </w:r>
    </w:p>
    <w:p w14:paraId="495C7B25" w14:textId="77777777" w:rsidR="00A645F9" w:rsidRPr="00A645F9" w:rsidRDefault="00A645F9" w:rsidP="00A645F9">
      <w:pPr>
        <w:tabs>
          <w:tab w:val="left" w:pos="851"/>
        </w:tabs>
        <w:ind w:left="851"/>
        <w:rPr>
          <w:sz w:val="24"/>
          <w:szCs w:val="24"/>
        </w:rPr>
      </w:pPr>
    </w:p>
    <w:p w14:paraId="7BED14E0" w14:textId="77777777" w:rsidR="00A645F9" w:rsidRPr="00A645F9" w:rsidRDefault="00A645F9" w:rsidP="00A645F9">
      <w:pPr>
        <w:tabs>
          <w:tab w:val="left" w:pos="851"/>
        </w:tabs>
        <w:ind w:left="851"/>
        <w:rPr>
          <w:sz w:val="24"/>
          <w:szCs w:val="24"/>
        </w:rPr>
      </w:pPr>
      <w:r w:rsidRPr="00A645F9">
        <w:rPr>
          <w:sz w:val="24"/>
          <w:szCs w:val="24"/>
        </w:rPr>
        <w:t>Alle hjælpestoffer er anført under pkt. 6.1.</w:t>
      </w:r>
    </w:p>
    <w:p w14:paraId="17027EEF" w14:textId="77777777" w:rsidR="009260DE" w:rsidRPr="00C84483" w:rsidRDefault="009260DE" w:rsidP="009260DE">
      <w:pPr>
        <w:tabs>
          <w:tab w:val="left" w:pos="851"/>
        </w:tabs>
        <w:ind w:left="851"/>
        <w:rPr>
          <w:sz w:val="24"/>
          <w:szCs w:val="24"/>
        </w:rPr>
      </w:pPr>
    </w:p>
    <w:p w14:paraId="55CC437B"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9E0771E" w14:textId="30E5BBB2" w:rsidR="00E04B54" w:rsidRPr="00E04B54" w:rsidRDefault="00E04B54" w:rsidP="00E04B54">
      <w:pPr>
        <w:tabs>
          <w:tab w:val="left" w:pos="851"/>
        </w:tabs>
        <w:ind w:left="851"/>
        <w:rPr>
          <w:sz w:val="24"/>
          <w:szCs w:val="24"/>
        </w:rPr>
      </w:pPr>
      <w:r w:rsidRPr="00E04B54">
        <w:rPr>
          <w:sz w:val="24"/>
          <w:szCs w:val="24"/>
        </w:rPr>
        <w:t>Blød</w:t>
      </w:r>
      <w:r w:rsidR="008D45AC">
        <w:rPr>
          <w:sz w:val="24"/>
          <w:szCs w:val="24"/>
        </w:rPr>
        <w:t>e</w:t>
      </w:r>
      <w:r w:rsidRPr="00E04B54">
        <w:rPr>
          <w:sz w:val="24"/>
          <w:szCs w:val="24"/>
        </w:rPr>
        <w:t xml:space="preserve"> kaps</w:t>
      </w:r>
      <w:r w:rsidR="008D45AC">
        <w:rPr>
          <w:sz w:val="24"/>
          <w:szCs w:val="24"/>
        </w:rPr>
        <w:t>ler</w:t>
      </w:r>
    </w:p>
    <w:p w14:paraId="2346711F" w14:textId="77777777" w:rsidR="00E04B54" w:rsidRPr="00E04B54" w:rsidRDefault="00E04B54" w:rsidP="00E04B54">
      <w:pPr>
        <w:tabs>
          <w:tab w:val="left" w:pos="851"/>
        </w:tabs>
        <w:ind w:left="851"/>
        <w:rPr>
          <w:sz w:val="24"/>
          <w:szCs w:val="24"/>
          <w:u w:val="single"/>
        </w:rPr>
      </w:pPr>
    </w:p>
    <w:p w14:paraId="606E8714" w14:textId="77777777" w:rsidR="00E04B54" w:rsidRPr="00E04B54" w:rsidRDefault="00E04B54" w:rsidP="00E04B54">
      <w:pPr>
        <w:tabs>
          <w:tab w:val="left" w:pos="851"/>
        </w:tabs>
        <w:ind w:left="851"/>
        <w:rPr>
          <w:sz w:val="24"/>
          <w:szCs w:val="24"/>
          <w:u w:val="single"/>
        </w:rPr>
      </w:pPr>
      <w:r w:rsidRPr="00E04B54">
        <w:rPr>
          <w:sz w:val="24"/>
          <w:szCs w:val="24"/>
          <w:u w:val="single"/>
        </w:rPr>
        <w:t>20 mg</w:t>
      </w:r>
    </w:p>
    <w:p w14:paraId="0B40FBC9" w14:textId="4101236E" w:rsidR="00E04B54" w:rsidRPr="00E04B54" w:rsidRDefault="00E04B54" w:rsidP="00E04B54">
      <w:pPr>
        <w:tabs>
          <w:tab w:val="left" w:pos="851"/>
        </w:tabs>
        <w:ind w:left="851"/>
        <w:rPr>
          <w:sz w:val="24"/>
          <w:szCs w:val="24"/>
        </w:rPr>
      </w:pPr>
      <w:r w:rsidRPr="00E04B54">
        <w:rPr>
          <w:sz w:val="24"/>
          <w:szCs w:val="24"/>
        </w:rPr>
        <w:t xml:space="preserve">Lysebrun, uigennemsigtig, oval, blød gelatinekapsel (9,3×6,7 mm), der er fri for overfladedefekt </w:t>
      </w:r>
      <w:proofErr w:type="spellStart"/>
      <w:r w:rsidRPr="00E04B54">
        <w:rPr>
          <w:sz w:val="24"/>
          <w:szCs w:val="24"/>
        </w:rPr>
        <w:t>ogpræget</w:t>
      </w:r>
      <w:proofErr w:type="spellEnd"/>
      <w:r w:rsidRPr="00E04B54">
        <w:rPr>
          <w:sz w:val="24"/>
          <w:szCs w:val="24"/>
        </w:rPr>
        <w:t xml:space="preserve"> med ”JJ1” i sort, og indeholder en klar, farveløs væske. </w:t>
      </w:r>
    </w:p>
    <w:p w14:paraId="5708089D" w14:textId="77777777" w:rsidR="00E04B54" w:rsidRPr="00E04B54" w:rsidRDefault="00E04B54" w:rsidP="00E04B54">
      <w:pPr>
        <w:tabs>
          <w:tab w:val="left" w:pos="851"/>
        </w:tabs>
        <w:ind w:left="851"/>
        <w:rPr>
          <w:sz w:val="24"/>
          <w:szCs w:val="24"/>
        </w:rPr>
      </w:pPr>
    </w:p>
    <w:p w14:paraId="6A3F4A85" w14:textId="77777777" w:rsidR="00E04B54" w:rsidRPr="00E04B54" w:rsidRDefault="00E04B54" w:rsidP="00E04B54">
      <w:pPr>
        <w:tabs>
          <w:tab w:val="left" w:pos="851"/>
        </w:tabs>
        <w:ind w:left="851"/>
        <w:rPr>
          <w:sz w:val="24"/>
          <w:szCs w:val="24"/>
          <w:u w:val="single"/>
        </w:rPr>
      </w:pPr>
      <w:r w:rsidRPr="00E04B54">
        <w:rPr>
          <w:sz w:val="24"/>
          <w:szCs w:val="24"/>
          <w:u w:val="single"/>
        </w:rPr>
        <w:t>30 mg</w:t>
      </w:r>
    </w:p>
    <w:p w14:paraId="191AC834" w14:textId="0B9F27A1" w:rsidR="00E04B54" w:rsidRPr="00E04B54" w:rsidRDefault="00E04B54" w:rsidP="00E04B54">
      <w:pPr>
        <w:tabs>
          <w:tab w:val="left" w:pos="851"/>
        </w:tabs>
        <w:ind w:left="851"/>
        <w:rPr>
          <w:sz w:val="24"/>
          <w:szCs w:val="24"/>
        </w:rPr>
      </w:pPr>
      <w:r w:rsidRPr="00E04B54">
        <w:rPr>
          <w:sz w:val="24"/>
          <w:szCs w:val="24"/>
        </w:rPr>
        <w:t xml:space="preserve">Lyserød, uigennemsigtig, aflang, blød gelatinekapsel (15×6,2 mm), der er fri for overfladedefekt og præget med ”JJ2” i sort, og indeholder en klar, farveløs væske. </w:t>
      </w:r>
    </w:p>
    <w:p w14:paraId="337F3E58" w14:textId="77777777" w:rsidR="00E04B54" w:rsidRPr="00E04B54" w:rsidRDefault="00E04B54" w:rsidP="00E04B54">
      <w:pPr>
        <w:tabs>
          <w:tab w:val="left" w:pos="851"/>
        </w:tabs>
        <w:ind w:left="851"/>
        <w:rPr>
          <w:sz w:val="24"/>
          <w:szCs w:val="24"/>
        </w:rPr>
      </w:pPr>
    </w:p>
    <w:p w14:paraId="33878C70" w14:textId="77777777" w:rsidR="00E04B54" w:rsidRPr="00E04B54" w:rsidRDefault="00E04B54" w:rsidP="00E04B54">
      <w:pPr>
        <w:tabs>
          <w:tab w:val="left" w:pos="851"/>
        </w:tabs>
        <w:ind w:left="851"/>
        <w:rPr>
          <w:sz w:val="24"/>
          <w:szCs w:val="24"/>
          <w:u w:val="single"/>
        </w:rPr>
      </w:pPr>
      <w:r w:rsidRPr="00E04B54">
        <w:rPr>
          <w:sz w:val="24"/>
          <w:szCs w:val="24"/>
          <w:u w:val="single"/>
        </w:rPr>
        <w:t>80 mg</w:t>
      </w:r>
    </w:p>
    <w:p w14:paraId="72236FB0" w14:textId="30E330FE" w:rsidR="00E04B54" w:rsidRPr="00E04B54" w:rsidRDefault="00E04B54" w:rsidP="00E04B54">
      <w:pPr>
        <w:tabs>
          <w:tab w:val="left" w:pos="851"/>
        </w:tabs>
        <w:ind w:left="851"/>
        <w:rPr>
          <w:sz w:val="24"/>
          <w:szCs w:val="24"/>
        </w:rPr>
      </w:pPr>
      <w:r w:rsidRPr="00E04B54">
        <w:rPr>
          <w:sz w:val="24"/>
          <w:szCs w:val="24"/>
        </w:rPr>
        <w:t xml:space="preserve">Lysegul, uigennemsigtig, aflang, blød gelatinekapsel (20,5×8 mm), der er fri for overfladedefekt og præget med ”JJ3” i sort, og indeholder en klar, farveløs væske. </w:t>
      </w:r>
    </w:p>
    <w:p w14:paraId="5480AC52" w14:textId="77777777" w:rsidR="00E04B54" w:rsidRPr="00E04B54" w:rsidRDefault="00E04B54" w:rsidP="00E04B54">
      <w:pPr>
        <w:tabs>
          <w:tab w:val="left" w:pos="851"/>
        </w:tabs>
        <w:ind w:left="851"/>
        <w:rPr>
          <w:sz w:val="24"/>
          <w:szCs w:val="24"/>
        </w:rPr>
      </w:pPr>
    </w:p>
    <w:p w14:paraId="675FA984" w14:textId="77777777" w:rsidR="00E04B54" w:rsidRPr="00E04B54" w:rsidRDefault="00E04B54" w:rsidP="00E04B54">
      <w:pPr>
        <w:tabs>
          <w:tab w:val="left" w:pos="851"/>
        </w:tabs>
        <w:ind w:left="851"/>
        <w:rPr>
          <w:sz w:val="24"/>
          <w:szCs w:val="24"/>
        </w:rPr>
      </w:pPr>
    </w:p>
    <w:p w14:paraId="43811848" w14:textId="77777777" w:rsidR="009260DE" w:rsidRPr="00C84483" w:rsidRDefault="009260DE" w:rsidP="009260DE">
      <w:pPr>
        <w:tabs>
          <w:tab w:val="left" w:pos="851"/>
        </w:tabs>
        <w:ind w:left="851"/>
        <w:rPr>
          <w:sz w:val="24"/>
          <w:szCs w:val="24"/>
        </w:rPr>
      </w:pPr>
    </w:p>
    <w:p w14:paraId="4A8D54A7" w14:textId="77777777" w:rsidR="009260DE" w:rsidRPr="00C84483" w:rsidRDefault="009260DE" w:rsidP="009260DE">
      <w:pPr>
        <w:tabs>
          <w:tab w:val="left" w:pos="851"/>
        </w:tabs>
        <w:ind w:left="851"/>
        <w:rPr>
          <w:sz w:val="24"/>
          <w:szCs w:val="24"/>
        </w:rPr>
      </w:pPr>
    </w:p>
    <w:p w14:paraId="2AF563FC"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30981CE" w14:textId="77777777" w:rsidR="009260DE" w:rsidRPr="00C84483" w:rsidRDefault="009260DE" w:rsidP="009260DE">
      <w:pPr>
        <w:tabs>
          <w:tab w:val="left" w:pos="851"/>
        </w:tabs>
        <w:ind w:left="851"/>
        <w:rPr>
          <w:b/>
          <w:sz w:val="24"/>
          <w:szCs w:val="24"/>
        </w:rPr>
      </w:pPr>
    </w:p>
    <w:p w14:paraId="3EC58BB6"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AAECB58" w14:textId="77777777" w:rsidR="00E04B54" w:rsidRPr="00E04B54" w:rsidRDefault="00E04B54" w:rsidP="00E04B54">
      <w:pPr>
        <w:tabs>
          <w:tab w:val="left" w:pos="851"/>
        </w:tabs>
        <w:ind w:left="851"/>
        <w:rPr>
          <w:sz w:val="24"/>
          <w:szCs w:val="24"/>
        </w:rPr>
      </w:pPr>
      <w:proofErr w:type="spellStart"/>
      <w:r w:rsidRPr="00E04B54">
        <w:rPr>
          <w:sz w:val="24"/>
          <w:szCs w:val="24"/>
        </w:rPr>
        <w:t>Vinorelbine</w:t>
      </w:r>
      <w:proofErr w:type="spellEnd"/>
      <w:r w:rsidRPr="00E04B54">
        <w:rPr>
          <w:sz w:val="24"/>
          <w:szCs w:val="24"/>
        </w:rPr>
        <w:t xml:space="preserve"> "</w:t>
      </w:r>
      <w:proofErr w:type="spellStart"/>
      <w:r w:rsidRPr="00E04B54">
        <w:rPr>
          <w:sz w:val="24"/>
          <w:szCs w:val="24"/>
        </w:rPr>
        <w:t>Accord</w:t>
      </w:r>
      <w:proofErr w:type="spellEnd"/>
      <w:r w:rsidRPr="00E04B54">
        <w:rPr>
          <w:sz w:val="24"/>
          <w:szCs w:val="24"/>
        </w:rPr>
        <w:t>" er indiceret til voksne patienter til behandling af:</w:t>
      </w:r>
    </w:p>
    <w:p w14:paraId="1B1559AF" w14:textId="77777777" w:rsidR="00E04B54" w:rsidRPr="00E04B54" w:rsidRDefault="00E04B54" w:rsidP="00DD4CDA">
      <w:pPr>
        <w:tabs>
          <w:tab w:val="left" w:pos="1134"/>
        </w:tabs>
        <w:ind w:left="1134" w:hanging="283"/>
        <w:rPr>
          <w:sz w:val="24"/>
          <w:szCs w:val="24"/>
        </w:rPr>
      </w:pPr>
      <w:r w:rsidRPr="00E04B54">
        <w:rPr>
          <w:sz w:val="24"/>
          <w:szCs w:val="24"/>
        </w:rPr>
        <w:t>-</w:t>
      </w:r>
      <w:r w:rsidRPr="00E04B54">
        <w:rPr>
          <w:sz w:val="24"/>
          <w:szCs w:val="24"/>
        </w:rPr>
        <w:tab/>
        <w:t>fremskreden ikke-småcellet lungecancer som monoterapi eller i kombination med anden kemoterapi.</w:t>
      </w:r>
    </w:p>
    <w:p w14:paraId="1D1E55E9" w14:textId="77777777" w:rsidR="00E04B54" w:rsidRPr="00E04B54" w:rsidRDefault="00E04B54" w:rsidP="00DD4CDA">
      <w:pPr>
        <w:tabs>
          <w:tab w:val="left" w:pos="1134"/>
        </w:tabs>
        <w:ind w:left="1134" w:hanging="283"/>
        <w:rPr>
          <w:sz w:val="24"/>
          <w:szCs w:val="24"/>
        </w:rPr>
      </w:pPr>
      <w:r w:rsidRPr="00E04B54">
        <w:rPr>
          <w:sz w:val="24"/>
          <w:szCs w:val="24"/>
        </w:rPr>
        <w:t>-</w:t>
      </w:r>
      <w:r w:rsidRPr="00E04B54">
        <w:rPr>
          <w:sz w:val="24"/>
          <w:szCs w:val="24"/>
        </w:rPr>
        <w:tab/>
        <w:t xml:space="preserve">som </w:t>
      </w:r>
      <w:proofErr w:type="spellStart"/>
      <w:r w:rsidRPr="00E04B54">
        <w:rPr>
          <w:sz w:val="24"/>
          <w:szCs w:val="24"/>
        </w:rPr>
        <w:t>adjuverende</w:t>
      </w:r>
      <w:proofErr w:type="spellEnd"/>
      <w:r w:rsidRPr="00E04B54">
        <w:rPr>
          <w:sz w:val="24"/>
          <w:szCs w:val="24"/>
        </w:rPr>
        <w:t xml:space="preserve"> behandling af ikke-småcellet lungecancer i kombination med platinbaseret kemoterapi.</w:t>
      </w:r>
    </w:p>
    <w:p w14:paraId="2FD27C20" w14:textId="77777777" w:rsidR="00E04B54" w:rsidRPr="00E04B54" w:rsidRDefault="00E04B54" w:rsidP="00DD4CDA">
      <w:pPr>
        <w:tabs>
          <w:tab w:val="left" w:pos="1134"/>
        </w:tabs>
        <w:ind w:left="1134" w:hanging="283"/>
        <w:rPr>
          <w:sz w:val="24"/>
          <w:szCs w:val="24"/>
        </w:rPr>
      </w:pPr>
      <w:r w:rsidRPr="00E04B54">
        <w:rPr>
          <w:sz w:val="24"/>
          <w:szCs w:val="24"/>
        </w:rPr>
        <w:t>-</w:t>
      </w:r>
      <w:r w:rsidRPr="00E04B54">
        <w:rPr>
          <w:sz w:val="24"/>
          <w:szCs w:val="24"/>
        </w:rPr>
        <w:tab/>
        <w:t xml:space="preserve">fremskreden </w:t>
      </w:r>
      <w:proofErr w:type="spellStart"/>
      <w:r w:rsidRPr="00E04B54">
        <w:rPr>
          <w:sz w:val="24"/>
          <w:szCs w:val="24"/>
        </w:rPr>
        <w:t>mammacancer</w:t>
      </w:r>
      <w:proofErr w:type="spellEnd"/>
      <w:r w:rsidRPr="00E04B54">
        <w:rPr>
          <w:sz w:val="24"/>
          <w:szCs w:val="24"/>
        </w:rPr>
        <w:t xml:space="preserve"> som monoterapi eller i kombination med andre stoffer.</w:t>
      </w:r>
    </w:p>
    <w:p w14:paraId="40F5C73F" w14:textId="77777777" w:rsidR="009260DE" w:rsidRPr="00C84483" w:rsidRDefault="009260DE" w:rsidP="009260DE">
      <w:pPr>
        <w:tabs>
          <w:tab w:val="left" w:pos="851"/>
        </w:tabs>
        <w:ind w:left="851"/>
        <w:rPr>
          <w:sz w:val="24"/>
          <w:szCs w:val="24"/>
        </w:rPr>
      </w:pPr>
    </w:p>
    <w:p w14:paraId="2FE9A503"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0BD97725" w14:textId="77777777" w:rsidR="00E04B54" w:rsidRPr="00E04B54" w:rsidRDefault="00E04B54" w:rsidP="00E04B54">
      <w:pPr>
        <w:tabs>
          <w:tab w:val="left" w:pos="851"/>
        </w:tabs>
        <w:ind w:left="851"/>
        <w:rPr>
          <w:sz w:val="24"/>
          <w:szCs w:val="24"/>
        </w:rPr>
      </w:pPr>
      <w:r w:rsidRPr="00E04B54">
        <w:rPr>
          <w:sz w:val="24"/>
          <w:szCs w:val="24"/>
        </w:rPr>
        <w:t xml:space="preserve">Anvendelse af bløde kapsler skal overvejes i tilfælde, hvor intravenøs administration af </w:t>
      </w:r>
      <w:proofErr w:type="spellStart"/>
      <w:r w:rsidRPr="00E04B54">
        <w:rPr>
          <w:sz w:val="24"/>
          <w:szCs w:val="24"/>
        </w:rPr>
        <w:t>vinorelbin</w:t>
      </w:r>
      <w:proofErr w:type="spellEnd"/>
      <w:r w:rsidRPr="00E04B54">
        <w:rPr>
          <w:sz w:val="24"/>
          <w:szCs w:val="24"/>
        </w:rPr>
        <w:t xml:space="preserve"> ikke er mulig (se pkt. 4.4).</w:t>
      </w:r>
    </w:p>
    <w:p w14:paraId="30BC85E8" w14:textId="77777777" w:rsidR="00E04B54" w:rsidRPr="00E04B54" w:rsidRDefault="00E04B54" w:rsidP="00E04B54">
      <w:pPr>
        <w:tabs>
          <w:tab w:val="left" w:pos="851"/>
        </w:tabs>
        <w:ind w:left="851"/>
        <w:rPr>
          <w:sz w:val="24"/>
          <w:szCs w:val="24"/>
        </w:rPr>
      </w:pPr>
    </w:p>
    <w:p w14:paraId="4B69E95A" w14:textId="77777777" w:rsidR="00E04B54" w:rsidRPr="00DD4CDA" w:rsidRDefault="00E04B54" w:rsidP="00E04B54">
      <w:pPr>
        <w:tabs>
          <w:tab w:val="left" w:pos="851"/>
        </w:tabs>
        <w:ind w:left="851"/>
        <w:rPr>
          <w:b/>
          <w:sz w:val="24"/>
          <w:szCs w:val="24"/>
        </w:rPr>
      </w:pPr>
      <w:r w:rsidRPr="00DD4CDA">
        <w:rPr>
          <w:b/>
          <w:sz w:val="24"/>
          <w:szCs w:val="24"/>
        </w:rPr>
        <w:t>Dosering</w:t>
      </w:r>
    </w:p>
    <w:p w14:paraId="5EE2590F" w14:textId="77777777" w:rsidR="00DD4CDA" w:rsidRDefault="00DD4CDA" w:rsidP="00E04B54">
      <w:pPr>
        <w:tabs>
          <w:tab w:val="left" w:pos="851"/>
        </w:tabs>
        <w:ind w:left="851"/>
        <w:rPr>
          <w:sz w:val="24"/>
          <w:szCs w:val="24"/>
        </w:rPr>
      </w:pPr>
    </w:p>
    <w:p w14:paraId="3929F3E4" w14:textId="3657BC5F" w:rsidR="00E04B54" w:rsidRPr="00DD4CDA" w:rsidRDefault="00E04B54" w:rsidP="00E04B54">
      <w:pPr>
        <w:tabs>
          <w:tab w:val="left" w:pos="851"/>
        </w:tabs>
        <w:ind w:left="851"/>
        <w:rPr>
          <w:sz w:val="24"/>
          <w:szCs w:val="24"/>
          <w:u w:val="single"/>
        </w:rPr>
      </w:pPr>
      <w:r w:rsidRPr="00DD4CDA">
        <w:rPr>
          <w:sz w:val="24"/>
          <w:szCs w:val="24"/>
          <w:u w:val="single"/>
        </w:rPr>
        <w:t>Voksne patienter</w:t>
      </w:r>
    </w:p>
    <w:p w14:paraId="197E55A3" w14:textId="77777777" w:rsidR="00E04B54" w:rsidRPr="00E04B54" w:rsidRDefault="00E04B54" w:rsidP="00E04B54">
      <w:pPr>
        <w:tabs>
          <w:tab w:val="left" w:pos="851"/>
        </w:tabs>
        <w:ind w:left="851"/>
        <w:rPr>
          <w:sz w:val="24"/>
          <w:szCs w:val="24"/>
        </w:rPr>
      </w:pPr>
      <w:r w:rsidRPr="00E04B54">
        <w:rPr>
          <w:sz w:val="24"/>
          <w:szCs w:val="24"/>
        </w:rPr>
        <w:t>Anbefalet doseringsregime ved monoterapi:</w:t>
      </w:r>
    </w:p>
    <w:p w14:paraId="1EA7FF98" w14:textId="77777777" w:rsidR="00E04B54" w:rsidRPr="00E04B54" w:rsidRDefault="00E04B54" w:rsidP="00E04B54">
      <w:pPr>
        <w:tabs>
          <w:tab w:val="left" w:pos="851"/>
        </w:tabs>
        <w:ind w:left="851"/>
        <w:rPr>
          <w:sz w:val="24"/>
          <w:szCs w:val="24"/>
        </w:rPr>
      </w:pPr>
    </w:p>
    <w:p w14:paraId="2E053898" w14:textId="77777777" w:rsidR="00E04B54" w:rsidRPr="00E04B54" w:rsidRDefault="00E04B54" w:rsidP="00E04B54">
      <w:pPr>
        <w:tabs>
          <w:tab w:val="left" w:pos="851"/>
        </w:tabs>
        <w:ind w:left="851"/>
        <w:rPr>
          <w:i/>
          <w:sz w:val="24"/>
          <w:szCs w:val="24"/>
        </w:rPr>
      </w:pPr>
      <w:r w:rsidRPr="00E04B54">
        <w:rPr>
          <w:i/>
          <w:iCs/>
          <w:sz w:val="24"/>
          <w:szCs w:val="24"/>
        </w:rPr>
        <w:t>Første tre doser</w:t>
      </w:r>
    </w:p>
    <w:p w14:paraId="1958F8E9" w14:textId="3FCFCF0E" w:rsidR="00E04B54" w:rsidRPr="00E04B54" w:rsidRDefault="00E04B54" w:rsidP="00E04B54">
      <w:pPr>
        <w:tabs>
          <w:tab w:val="left" w:pos="851"/>
        </w:tabs>
        <w:ind w:left="851"/>
        <w:rPr>
          <w:sz w:val="24"/>
          <w:szCs w:val="24"/>
        </w:rPr>
      </w:pPr>
      <w:r w:rsidRPr="00E04B54">
        <w:rPr>
          <w:sz w:val="24"/>
          <w:szCs w:val="24"/>
        </w:rPr>
        <w:t>60 mg/m² legemsoverflade 1 gang om ugen</w:t>
      </w:r>
      <w:r w:rsidR="00462853">
        <w:rPr>
          <w:sz w:val="24"/>
          <w:szCs w:val="24"/>
        </w:rPr>
        <w:t>.</w:t>
      </w:r>
    </w:p>
    <w:p w14:paraId="0551C662" w14:textId="77777777" w:rsidR="00E04B54" w:rsidRPr="00E04B54" w:rsidRDefault="00E04B54" w:rsidP="00E04B54">
      <w:pPr>
        <w:tabs>
          <w:tab w:val="left" w:pos="851"/>
        </w:tabs>
        <w:ind w:left="851"/>
        <w:rPr>
          <w:sz w:val="24"/>
          <w:szCs w:val="24"/>
        </w:rPr>
      </w:pPr>
    </w:p>
    <w:p w14:paraId="2D3458DF" w14:textId="77777777" w:rsidR="00E04B54" w:rsidRPr="00E04B54" w:rsidRDefault="00E04B54" w:rsidP="00E04B54">
      <w:pPr>
        <w:tabs>
          <w:tab w:val="left" w:pos="851"/>
        </w:tabs>
        <w:ind w:left="851"/>
        <w:rPr>
          <w:i/>
          <w:sz w:val="24"/>
          <w:szCs w:val="24"/>
        </w:rPr>
      </w:pPr>
      <w:r w:rsidRPr="00E04B54">
        <w:rPr>
          <w:i/>
          <w:iCs/>
          <w:sz w:val="24"/>
          <w:szCs w:val="24"/>
        </w:rPr>
        <w:t>Efterfølgende doser</w:t>
      </w:r>
    </w:p>
    <w:p w14:paraId="4C42307D" w14:textId="590FC5A7" w:rsidR="00E04B54" w:rsidRDefault="00E04B54" w:rsidP="00E04B54">
      <w:pPr>
        <w:tabs>
          <w:tab w:val="left" w:pos="851"/>
        </w:tabs>
        <w:ind w:left="851"/>
        <w:rPr>
          <w:sz w:val="24"/>
          <w:szCs w:val="24"/>
        </w:rPr>
      </w:pPr>
      <w:r w:rsidRPr="00E04B54">
        <w:rPr>
          <w:sz w:val="24"/>
          <w:szCs w:val="24"/>
        </w:rPr>
        <w:t xml:space="preserve">Efter tredje administration anbefales det at øge </w:t>
      </w:r>
      <w:proofErr w:type="spellStart"/>
      <w:r w:rsidRPr="00E04B54">
        <w:rPr>
          <w:sz w:val="24"/>
          <w:szCs w:val="24"/>
        </w:rPr>
        <w:t>vinorelbin</w:t>
      </w:r>
      <w:proofErr w:type="spellEnd"/>
      <w:r w:rsidRPr="00E04B54">
        <w:rPr>
          <w:sz w:val="24"/>
          <w:szCs w:val="24"/>
        </w:rPr>
        <w:t>-dosis til 80 mg/m</w:t>
      </w:r>
      <w:r w:rsidRPr="00E04B54">
        <w:rPr>
          <w:sz w:val="24"/>
          <w:szCs w:val="24"/>
          <w:vertAlign w:val="superscript"/>
        </w:rPr>
        <w:t xml:space="preserve">2 </w:t>
      </w:r>
      <w:r w:rsidRPr="00E04B54">
        <w:rPr>
          <w:sz w:val="24"/>
          <w:szCs w:val="24"/>
        </w:rPr>
        <w:t xml:space="preserve">1 gang om ugen, undtagen til patienter, hvor </w:t>
      </w:r>
      <w:proofErr w:type="spellStart"/>
      <w:r w:rsidRPr="00E04B54">
        <w:rPr>
          <w:sz w:val="24"/>
          <w:szCs w:val="24"/>
        </w:rPr>
        <w:t>neutrofiltallet</w:t>
      </w:r>
      <w:proofErr w:type="spellEnd"/>
      <w:r w:rsidRPr="00E04B54">
        <w:rPr>
          <w:sz w:val="24"/>
          <w:szCs w:val="24"/>
        </w:rPr>
        <w:t xml:space="preserve"> en enkelt gang er faldet til &lt;500/mm</w:t>
      </w:r>
      <w:r w:rsidRPr="00E04B54">
        <w:rPr>
          <w:sz w:val="24"/>
          <w:szCs w:val="24"/>
          <w:vertAlign w:val="superscript"/>
        </w:rPr>
        <w:t>3</w:t>
      </w:r>
      <w:r w:rsidRPr="00E04B54">
        <w:rPr>
          <w:sz w:val="24"/>
          <w:szCs w:val="24"/>
        </w:rPr>
        <w:t xml:space="preserve"> eller flere gange har ligget i intervallet 500-1.000/mm</w:t>
      </w:r>
      <w:r w:rsidRPr="00E04B54">
        <w:rPr>
          <w:sz w:val="24"/>
          <w:szCs w:val="24"/>
          <w:vertAlign w:val="superscript"/>
        </w:rPr>
        <w:t>3</w:t>
      </w:r>
      <w:r w:rsidRPr="00E04B54">
        <w:rPr>
          <w:sz w:val="24"/>
          <w:szCs w:val="24"/>
        </w:rPr>
        <w:t xml:space="preserve"> i løbet af de tre første doseringer med 60 mg/m</w:t>
      </w:r>
      <w:r w:rsidRPr="00E04B54">
        <w:rPr>
          <w:sz w:val="24"/>
          <w:szCs w:val="24"/>
          <w:vertAlign w:val="superscript"/>
        </w:rPr>
        <w:t>2</w:t>
      </w:r>
      <w:r w:rsidRPr="00E04B54">
        <w:rPr>
          <w:sz w:val="24"/>
          <w:szCs w:val="24"/>
        </w:rPr>
        <w:t>.</w:t>
      </w:r>
    </w:p>
    <w:p w14:paraId="4D1E85E3" w14:textId="77777777" w:rsidR="001A3F90" w:rsidRPr="00E04B54" w:rsidRDefault="001A3F90" w:rsidP="00E04B54">
      <w:pPr>
        <w:tabs>
          <w:tab w:val="left" w:pos="851"/>
        </w:tabs>
        <w:ind w:left="851"/>
        <w:rPr>
          <w:sz w:val="24"/>
          <w:szCs w:val="24"/>
        </w:rPr>
      </w:pPr>
    </w:p>
    <w:tbl>
      <w:tblPr>
        <w:tblStyle w:val="Tabel-Gitter"/>
        <w:tblW w:w="9287" w:type="dxa"/>
        <w:tblInd w:w="846" w:type="dxa"/>
        <w:tblLayout w:type="fixed"/>
        <w:tblLook w:val="04A0" w:firstRow="1" w:lastRow="0" w:firstColumn="1" w:lastColumn="0" w:noHBand="0" w:noVBand="1"/>
      </w:tblPr>
      <w:tblGrid>
        <w:gridCol w:w="2358"/>
        <w:gridCol w:w="1371"/>
        <w:gridCol w:w="1852"/>
        <w:gridCol w:w="1853"/>
        <w:gridCol w:w="1853"/>
      </w:tblGrid>
      <w:tr w:rsidR="001A3F90" w14:paraId="5BCABA68" w14:textId="77777777" w:rsidTr="001A3F90">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1F56D" w14:textId="77777777" w:rsidR="001A3F90" w:rsidRDefault="001A3F90">
            <w:pPr>
              <w:jc w:val="center"/>
              <w:rPr>
                <w:sz w:val="22"/>
                <w:szCs w:val="22"/>
              </w:rPr>
            </w:pPr>
            <w:proofErr w:type="spellStart"/>
            <w:r>
              <w:rPr>
                <w:szCs w:val="22"/>
              </w:rPr>
              <w:t>Neutrofiltal</w:t>
            </w:r>
            <w:proofErr w:type="spellEnd"/>
            <w:r>
              <w:rPr>
                <w:szCs w:val="22"/>
              </w:rPr>
              <w:t xml:space="preserve"> i løbet af de 3 første doseringer med 60 mg/m</w:t>
            </w:r>
            <w:r>
              <w:rPr>
                <w:szCs w:val="22"/>
                <w:vertAlign w:val="superscript"/>
              </w:rPr>
              <w:t>2</w:t>
            </w:r>
            <w:r>
              <w:rPr>
                <w:szCs w:val="22"/>
              </w:rPr>
              <w:t>/uge</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14B1D" w14:textId="77777777" w:rsidR="001A3F90" w:rsidRDefault="001A3F90">
            <w:pPr>
              <w:jc w:val="center"/>
              <w:rPr>
                <w:szCs w:val="22"/>
              </w:rPr>
            </w:pPr>
            <w:proofErr w:type="spellStart"/>
            <w:r>
              <w:rPr>
                <w:szCs w:val="22"/>
              </w:rPr>
              <w:t>Neutrofiler</w:t>
            </w:r>
            <w:proofErr w:type="spellEnd"/>
            <w:r>
              <w:rPr>
                <w:szCs w:val="22"/>
              </w:rPr>
              <w:t xml:space="preserve"> &gt;1.000</w:t>
            </w: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B5C66" w14:textId="77777777" w:rsidR="001A3F90" w:rsidRDefault="001A3F90">
            <w:pPr>
              <w:jc w:val="center"/>
              <w:rPr>
                <w:szCs w:val="22"/>
              </w:rPr>
            </w:pPr>
            <w:proofErr w:type="spellStart"/>
            <w:r>
              <w:rPr>
                <w:szCs w:val="22"/>
              </w:rPr>
              <w:t>Neutrofiler</w:t>
            </w:r>
            <w:proofErr w:type="spellEnd"/>
          </w:p>
          <w:p w14:paraId="488465C2" w14:textId="77777777" w:rsidR="001A3F90" w:rsidRDefault="001A3F90">
            <w:pPr>
              <w:jc w:val="center"/>
              <w:rPr>
                <w:szCs w:val="22"/>
              </w:rPr>
            </w:pPr>
            <w:r>
              <w:rPr>
                <w:szCs w:val="22"/>
              </w:rPr>
              <w:t>≥500 og &lt;1.000</w:t>
            </w:r>
          </w:p>
          <w:p w14:paraId="1A409FDE" w14:textId="77777777" w:rsidR="001A3F90" w:rsidRDefault="001A3F90">
            <w:pPr>
              <w:jc w:val="center"/>
              <w:rPr>
                <w:szCs w:val="22"/>
              </w:rPr>
            </w:pPr>
            <w:r>
              <w:rPr>
                <w:szCs w:val="22"/>
              </w:rPr>
              <w:t>(1 episode)</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1B9B3" w14:textId="77777777" w:rsidR="001A3F90" w:rsidRDefault="001A3F90">
            <w:pPr>
              <w:jc w:val="center"/>
              <w:rPr>
                <w:szCs w:val="22"/>
              </w:rPr>
            </w:pPr>
            <w:proofErr w:type="spellStart"/>
            <w:r>
              <w:rPr>
                <w:szCs w:val="22"/>
              </w:rPr>
              <w:t>Neutrofiler</w:t>
            </w:r>
            <w:proofErr w:type="spellEnd"/>
          </w:p>
          <w:p w14:paraId="407DEEC1" w14:textId="77777777" w:rsidR="001A3F90" w:rsidRDefault="001A3F90">
            <w:pPr>
              <w:jc w:val="center"/>
              <w:rPr>
                <w:szCs w:val="22"/>
              </w:rPr>
            </w:pPr>
            <w:r>
              <w:rPr>
                <w:szCs w:val="22"/>
              </w:rPr>
              <w:t>≥500 og &lt;1.000</w:t>
            </w:r>
          </w:p>
          <w:p w14:paraId="3A3D3D14" w14:textId="77777777" w:rsidR="001A3F90" w:rsidRDefault="001A3F90">
            <w:pPr>
              <w:jc w:val="center"/>
              <w:rPr>
                <w:szCs w:val="22"/>
              </w:rPr>
            </w:pPr>
            <w:r>
              <w:rPr>
                <w:szCs w:val="22"/>
              </w:rPr>
              <w:t>(2 episoder)</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CEF5F" w14:textId="77777777" w:rsidR="001A3F90" w:rsidRDefault="001A3F90">
            <w:pPr>
              <w:jc w:val="center"/>
              <w:rPr>
                <w:szCs w:val="22"/>
              </w:rPr>
            </w:pPr>
            <w:proofErr w:type="spellStart"/>
            <w:r>
              <w:rPr>
                <w:szCs w:val="22"/>
              </w:rPr>
              <w:t>Neutrofiler</w:t>
            </w:r>
            <w:proofErr w:type="spellEnd"/>
          </w:p>
          <w:p w14:paraId="3A57F7D0" w14:textId="77777777" w:rsidR="001A3F90" w:rsidRDefault="001A3F90">
            <w:pPr>
              <w:jc w:val="center"/>
              <w:rPr>
                <w:szCs w:val="22"/>
              </w:rPr>
            </w:pPr>
            <w:r>
              <w:rPr>
                <w:szCs w:val="22"/>
              </w:rPr>
              <w:t>&lt;500</w:t>
            </w:r>
          </w:p>
        </w:tc>
      </w:tr>
      <w:tr w:rsidR="001A3F90" w14:paraId="71FA7618" w14:textId="77777777" w:rsidTr="001A3F90">
        <w:tc>
          <w:tcPr>
            <w:tcW w:w="2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5E0B70" w14:textId="77777777" w:rsidR="001A3F90" w:rsidRDefault="001A3F90">
            <w:pPr>
              <w:jc w:val="center"/>
              <w:rPr>
                <w:szCs w:val="22"/>
              </w:rPr>
            </w:pPr>
            <w:r>
              <w:rPr>
                <w:szCs w:val="22"/>
              </w:rPr>
              <w:t>Anbefalet dosis fra og med 4. administration</w:t>
            </w:r>
          </w:p>
        </w:tc>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9917E" w14:textId="77777777" w:rsidR="001A3F90" w:rsidRDefault="001A3F90">
            <w:pPr>
              <w:jc w:val="center"/>
            </w:pPr>
            <w:r>
              <w:t>80</w:t>
            </w: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F6563" w14:textId="77777777" w:rsidR="001A3F90" w:rsidRDefault="001A3F90">
            <w:pPr>
              <w:jc w:val="center"/>
            </w:pPr>
            <w:r>
              <w:t>80</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18644" w14:textId="77777777" w:rsidR="001A3F90" w:rsidRDefault="001A3F90">
            <w:pPr>
              <w:jc w:val="center"/>
            </w:pPr>
            <w:r>
              <w:t>60</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8CFD9" w14:textId="77777777" w:rsidR="001A3F90" w:rsidRDefault="001A3F90">
            <w:pPr>
              <w:jc w:val="center"/>
            </w:pPr>
            <w:r>
              <w:t>60</w:t>
            </w:r>
          </w:p>
        </w:tc>
      </w:tr>
    </w:tbl>
    <w:p w14:paraId="224AFE35" w14:textId="7A825B50" w:rsidR="00E04B54" w:rsidRDefault="00E04B54" w:rsidP="00E04B54">
      <w:pPr>
        <w:tabs>
          <w:tab w:val="left" w:pos="851"/>
        </w:tabs>
        <w:ind w:left="851"/>
        <w:rPr>
          <w:sz w:val="24"/>
          <w:szCs w:val="24"/>
        </w:rPr>
      </w:pPr>
    </w:p>
    <w:p w14:paraId="28796A7B" w14:textId="77777777" w:rsidR="00E04B54" w:rsidRPr="00E04B54" w:rsidRDefault="00E04B54" w:rsidP="00E04B54">
      <w:pPr>
        <w:tabs>
          <w:tab w:val="left" w:pos="851"/>
        </w:tabs>
        <w:ind w:left="851"/>
        <w:rPr>
          <w:i/>
          <w:sz w:val="24"/>
          <w:szCs w:val="24"/>
        </w:rPr>
      </w:pPr>
      <w:r w:rsidRPr="00E04B54">
        <w:rPr>
          <w:i/>
          <w:iCs/>
          <w:sz w:val="24"/>
          <w:szCs w:val="24"/>
        </w:rPr>
        <w:t>Dosisændring</w:t>
      </w:r>
    </w:p>
    <w:p w14:paraId="54F6C55A" w14:textId="77777777" w:rsidR="00E04B54" w:rsidRPr="00E04B54" w:rsidRDefault="00E04B54" w:rsidP="00E04B54">
      <w:pPr>
        <w:tabs>
          <w:tab w:val="left" w:pos="851"/>
        </w:tabs>
        <w:ind w:left="851"/>
        <w:rPr>
          <w:sz w:val="24"/>
          <w:szCs w:val="24"/>
        </w:rPr>
      </w:pPr>
      <w:r w:rsidRPr="00E04B54">
        <w:rPr>
          <w:sz w:val="24"/>
          <w:szCs w:val="24"/>
        </w:rPr>
        <w:t>For hver planlagt administration af 80 mg/m</w:t>
      </w:r>
      <w:r w:rsidRPr="00E04B54">
        <w:rPr>
          <w:sz w:val="24"/>
          <w:szCs w:val="24"/>
          <w:vertAlign w:val="superscript"/>
        </w:rPr>
        <w:t>2</w:t>
      </w:r>
      <w:r w:rsidRPr="00E04B54">
        <w:rPr>
          <w:sz w:val="24"/>
          <w:szCs w:val="24"/>
        </w:rPr>
        <w:t xml:space="preserve"> gælder, at hvis </w:t>
      </w:r>
      <w:proofErr w:type="spellStart"/>
      <w:r w:rsidRPr="00E04B54">
        <w:rPr>
          <w:sz w:val="24"/>
          <w:szCs w:val="24"/>
        </w:rPr>
        <w:t>neutrofiltallet</w:t>
      </w:r>
      <w:proofErr w:type="spellEnd"/>
      <w:r w:rsidRPr="00E04B54">
        <w:rPr>
          <w:sz w:val="24"/>
          <w:szCs w:val="24"/>
        </w:rPr>
        <w:t xml:space="preserve"> er under 500/mm</w:t>
      </w:r>
      <w:r w:rsidRPr="00E04B54">
        <w:rPr>
          <w:sz w:val="24"/>
          <w:szCs w:val="24"/>
          <w:vertAlign w:val="superscript"/>
        </w:rPr>
        <w:t>3</w:t>
      </w:r>
      <w:r w:rsidRPr="00E04B54">
        <w:rPr>
          <w:sz w:val="24"/>
          <w:szCs w:val="24"/>
        </w:rPr>
        <w:t xml:space="preserve"> eller mere end en enkelt gang har ligget mellem 500 og 1.000/mm</w:t>
      </w:r>
      <w:r w:rsidRPr="00E04B54">
        <w:rPr>
          <w:sz w:val="24"/>
          <w:szCs w:val="24"/>
          <w:vertAlign w:val="superscript"/>
        </w:rPr>
        <w:t>3</w:t>
      </w:r>
      <w:r w:rsidRPr="00E04B54">
        <w:rPr>
          <w:sz w:val="24"/>
          <w:szCs w:val="24"/>
        </w:rPr>
        <w:t>, skal administration afvente normalisering og dosis nedsættes fra 80 til 60 mg/m</w:t>
      </w:r>
      <w:r w:rsidRPr="00E04B54">
        <w:rPr>
          <w:sz w:val="24"/>
          <w:szCs w:val="24"/>
          <w:vertAlign w:val="superscript"/>
        </w:rPr>
        <w:t>2</w:t>
      </w:r>
      <w:r w:rsidRPr="00E04B54">
        <w:rPr>
          <w:sz w:val="24"/>
          <w:szCs w:val="24"/>
        </w:rPr>
        <w:t xml:space="preserve"> om ugen de efterfølgende 3 gange.</w:t>
      </w:r>
    </w:p>
    <w:p w14:paraId="19FDF147" w14:textId="76AA3A77" w:rsidR="00E04B54" w:rsidRDefault="00E04B54" w:rsidP="00E04B54">
      <w:pPr>
        <w:tabs>
          <w:tab w:val="left" w:pos="851"/>
        </w:tabs>
        <w:ind w:left="851"/>
        <w:rPr>
          <w:sz w:val="24"/>
          <w:szCs w:val="24"/>
        </w:rPr>
      </w:pPr>
    </w:p>
    <w:tbl>
      <w:tblPr>
        <w:tblStyle w:val="Tabel-Gitter"/>
        <w:tblW w:w="9287" w:type="dxa"/>
        <w:tblInd w:w="846" w:type="dxa"/>
        <w:tblLayout w:type="fixed"/>
        <w:tblLook w:val="04A0" w:firstRow="1" w:lastRow="0" w:firstColumn="1" w:lastColumn="0" w:noHBand="0" w:noVBand="1"/>
      </w:tblPr>
      <w:tblGrid>
        <w:gridCol w:w="2538"/>
        <w:gridCol w:w="1260"/>
        <w:gridCol w:w="1783"/>
        <w:gridCol w:w="1853"/>
        <w:gridCol w:w="1853"/>
      </w:tblGrid>
      <w:tr w:rsidR="00FB72C6" w14:paraId="34CF1EBA" w14:textId="77777777" w:rsidTr="00FB72C6">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57DB5" w14:textId="77777777" w:rsidR="00FB72C6" w:rsidRDefault="00FB72C6">
            <w:pPr>
              <w:jc w:val="center"/>
              <w:rPr>
                <w:sz w:val="22"/>
                <w:szCs w:val="22"/>
              </w:rPr>
            </w:pPr>
            <w:proofErr w:type="spellStart"/>
            <w:r>
              <w:rPr>
                <w:szCs w:val="22"/>
              </w:rPr>
              <w:t>Neutrofiltal</w:t>
            </w:r>
            <w:proofErr w:type="spellEnd"/>
            <w:r>
              <w:rPr>
                <w:szCs w:val="22"/>
              </w:rPr>
              <w:t xml:space="preserve"> efter 4. administration af 80 mg/m</w:t>
            </w:r>
            <w:r>
              <w:rPr>
                <w:szCs w:val="22"/>
                <w:vertAlign w:val="superscript"/>
              </w:rPr>
              <w:t>2</w:t>
            </w:r>
            <w:r>
              <w:rPr>
                <w:szCs w:val="22"/>
              </w:rPr>
              <w:t>/uge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45B53" w14:textId="77777777" w:rsidR="00FB72C6" w:rsidRDefault="00FB72C6">
            <w:pPr>
              <w:jc w:val="center"/>
              <w:rPr>
                <w:szCs w:val="22"/>
              </w:rPr>
            </w:pPr>
            <w:proofErr w:type="spellStart"/>
            <w:r>
              <w:rPr>
                <w:szCs w:val="22"/>
              </w:rPr>
              <w:t>Neutrofiler</w:t>
            </w:r>
            <w:proofErr w:type="spellEnd"/>
            <w:r>
              <w:rPr>
                <w:szCs w:val="22"/>
              </w:rPr>
              <w:t>&gt;1.000</w:t>
            </w:r>
          </w:p>
        </w:tc>
        <w:tc>
          <w:tcPr>
            <w:tcW w:w="1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05F70" w14:textId="77777777" w:rsidR="00FB72C6" w:rsidRDefault="00FB72C6">
            <w:pPr>
              <w:jc w:val="center"/>
              <w:rPr>
                <w:szCs w:val="22"/>
              </w:rPr>
            </w:pPr>
            <w:proofErr w:type="spellStart"/>
            <w:r>
              <w:rPr>
                <w:szCs w:val="22"/>
              </w:rPr>
              <w:t>Neutrofiler</w:t>
            </w:r>
            <w:proofErr w:type="spellEnd"/>
          </w:p>
          <w:p w14:paraId="578A0ED2" w14:textId="77777777" w:rsidR="00FB72C6" w:rsidRDefault="00FB72C6">
            <w:pPr>
              <w:jc w:val="center"/>
              <w:rPr>
                <w:szCs w:val="22"/>
              </w:rPr>
            </w:pPr>
            <w:r>
              <w:rPr>
                <w:szCs w:val="22"/>
              </w:rPr>
              <w:t>≥500 og &lt;1.000</w:t>
            </w:r>
          </w:p>
          <w:p w14:paraId="666784E6" w14:textId="77777777" w:rsidR="00FB72C6" w:rsidRDefault="00FB72C6">
            <w:pPr>
              <w:jc w:val="center"/>
              <w:rPr>
                <w:szCs w:val="22"/>
              </w:rPr>
            </w:pPr>
            <w:r>
              <w:rPr>
                <w:szCs w:val="22"/>
              </w:rPr>
              <w:t>(1 episode)</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25A00" w14:textId="77777777" w:rsidR="00FB72C6" w:rsidRDefault="00FB72C6">
            <w:pPr>
              <w:jc w:val="center"/>
              <w:rPr>
                <w:szCs w:val="22"/>
              </w:rPr>
            </w:pPr>
            <w:proofErr w:type="spellStart"/>
            <w:r>
              <w:rPr>
                <w:szCs w:val="22"/>
              </w:rPr>
              <w:t>Neutrofiler</w:t>
            </w:r>
            <w:proofErr w:type="spellEnd"/>
          </w:p>
          <w:p w14:paraId="542381CC" w14:textId="77777777" w:rsidR="00FB72C6" w:rsidRDefault="00FB72C6">
            <w:pPr>
              <w:jc w:val="center"/>
              <w:rPr>
                <w:szCs w:val="22"/>
              </w:rPr>
            </w:pPr>
            <w:r>
              <w:rPr>
                <w:szCs w:val="22"/>
              </w:rPr>
              <w:t>≥500 og &lt;1.000</w:t>
            </w:r>
          </w:p>
          <w:p w14:paraId="71375A1B" w14:textId="77777777" w:rsidR="00FB72C6" w:rsidRDefault="00FB72C6">
            <w:pPr>
              <w:jc w:val="center"/>
              <w:rPr>
                <w:szCs w:val="22"/>
              </w:rPr>
            </w:pPr>
            <w:r>
              <w:rPr>
                <w:szCs w:val="22"/>
              </w:rPr>
              <w:t>(2 episoder)</w:t>
            </w:r>
          </w:p>
        </w:tc>
        <w:tc>
          <w:tcPr>
            <w:tcW w:w="1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8A655" w14:textId="77777777" w:rsidR="00FB72C6" w:rsidRDefault="00FB72C6">
            <w:pPr>
              <w:jc w:val="center"/>
              <w:rPr>
                <w:szCs w:val="22"/>
              </w:rPr>
            </w:pPr>
            <w:proofErr w:type="spellStart"/>
            <w:r>
              <w:rPr>
                <w:szCs w:val="22"/>
              </w:rPr>
              <w:t>Neutrofiler</w:t>
            </w:r>
            <w:proofErr w:type="spellEnd"/>
          </w:p>
          <w:p w14:paraId="5C61F3B4" w14:textId="77777777" w:rsidR="00FB72C6" w:rsidRDefault="00FB72C6">
            <w:pPr>
              <w:jc w:val="center"/>
              <w:rPr>
                <w:szCs w:val="22"/>
              </w:rPr>
            </w:pPr>
            <w:r>
              <w:rPr>
                <w:szCs w:val="22"/>
              </w:rPr>
              <w:t>&lt;500</w:t>
            </w:r>
          </w:p>
        </w:tc>
      </w:tr>
      <w:tr w:rsidR="00FB72C6" w14:paraId="0B88F002" w14:textId="77777777" w:rsidTr="00FB72C6">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A9359" w14:textId="77777777" w:rsidR="00FB72C6" w:rsidRDefault="00FB72C6">
            <w:pPr>
              <w:jc w:val="center"/>
              <w:rPr>
                <w:szCs w:val="22"/>
              </w:rPr>
            </w:pPr>
            <w:r>
              <w:rPr>
                <w:szCs w:val="22"/>
              </w:rPr>
              <w:t>Anbefalet dosis fra og med næste administration</w:t>
            </w:r>
          </w:p>
        </w:tc>
        <w:tc>
          <w:tcPr>
            <w:tcW w:w="30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5385A3" w14:textId="77777777" w:rsidR="00FB72C6" w:rsidRDefault="00FB72C6">
            <w:pPr>
              <w:jc w:val="center"/>
            </w:pPr>
            <w:r>
              <w:t>80</w:t>
            </w:r>
          </w:p>
        </w:tc>
        <w:tc>
          <w:tcPr>
            <w:tcW w:w="37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AA2EB" w14:textId="77777777" w:rsidR="00FB72C6" w:rsidRDefault="00FB72C6">
            <w:pPr>
              <w:jc w:val="center"/>
            </w:pPr>
            <w:r>
              <w:t>60</w:t>
            </w:r>
          </w:p>
        </w:tc>
      </w:tr>
    </w:tbl>
    <w:p w14:paraId="7B91D453" w14:textId="77777777" w:rsidR="00FB72C6" w:rsidRDefault="00FB72C6" w:rsidP="00E04B54">
      <w:pPr>
        <w:tabs>
          <w:tab w:val="left" w:pos="851"/>
        </w:tabs>
        <w:ind w:left="851"/>
        <w:rPr>
          <w:sz w:val="24"/>
          <w:szCs w:val="24"/>
        </w:rPr>
      </w:pPr>
    </w:p>
    <w:p w14:paraId="4AFA6456" w14:textId="77777777" w:rsidR="00E04B54" w:rsidRPr="00E04B54" w:rsidRDefault="00E04B54" w:rsidP="00E04B54">
      <w:pPr>
        <w:tabs>
          <w:tab w:val="left" w:pos="851"/>
        </w:tabs>
        <w:ind w:left="851"/>
        <w:rPr>
          <w:sz w:val="24"/>
          <w:szCs w:val="24"/>
        </w:rPr>
      </w:pPr>
      <w:r w:rsidRPr="00E04B54">
        <w:rPr>
          <w:sz w:val="24"/>
          <w:szCs w:val="24"/>
        </w:rPr>
        <w:lastRenderedPageBreak/>
        <w:t>Det er muligt at genoptrappe dosis fra 60 til 80 mg/m</w:t>
      </w:r>
      <w:r w:rsidRPr="00E04B54">
        <w:rPr>
          <w:sz w:val="24"/>
          <w:szCs w:val="24"/>
          <w:vertAlign w:val="superscript"/>
        </w:rPr>
        <w:t>2</w:t>
      </w:r>
      <w:r w:rsidRPr="00E04B54">
        <w:rPr>
          <w:sz w:val="24"/>
          <w:szCs w:val="24"/>
        </w:rPr>
        <w:t xml:space="preserve"> om ugen, hvis </w:t>
      </w:r>
      <w:proofErr w:type="spellStart"/>
      <w:r w:rsidRPr="00E04B54">
        <w:rPr>
          <w:sz w:val="24"/>
          <w:szCs w:val="24"/>
        </w:rPr>
        <w:t>neutrofiltallet</w:t>
      </w:r>
      <w:proofErr w:type="spellEnd"/>
      <w:r w:rsidRPr="00E04B54">
        <w:rPr>
          <w:sz w:val="24"/>
          <w:szCs w:val="24"/>
        </w:rPr>
        <w:t xml:space="preserve"> ikke faldt til under 500/mm</w:t>
      </w:r>
      <w:r w:rsidRPr="00E04B54">
        <w:rPr>
          <w:sz w:val="24"/>
          <w:szCs w:val="24"/>
          <w:vertAlign w:val="superscript"/>
        </w:rPr>
        <w:t>3</w:t>
      </w:r>
      <w:r w:rsidRPr="00E04B54">
        <w:rPr>
          <w:sz w:val="24"/>
          <w:szCs w:val="24"/>
        </w:rPr>
        <w:t xml:space="preserve"> eller mere end en enkelt gang lå mellem 500 og 1.000/mm</w:t>
      </w:r>
      <w:r w:rsidRPr="00E04B54">
        <w:rPr>
          <w:sz w:val="24"/>
          <w:szCs w:val="24"/>
          <w:vertAlign w:val="superscript"/>
        </w:rPr>
        <w:t>3</w:t>
      </w:r>
      <w:r w:rsidRPr="00E04B54">
        <w:rPr>
          <w:sz w:val="24"/>
          <w:szCs w:val="24"/>
        </w:rPr>
        <w:t xml:space="preserve"> i løbet af 3 doseringer med</w:t>
      </w:r>
    </w:p>
    <w:p w14:paraId="02E80219" w14:textId="77777777" w:rsidR="00E04B54" w:rsidRPr="00E04B54" w:rsidRDefault="00E04B54" w:rsidP="00E04B54">
      <w:pPr>
        <w:tabs>
          <w:tab w:val="left" w:pos="851"/>
        </w:tabs>
        <w:ind w:left="851"/>
        <w:rPr>
          <w:sz w:val="24"/>
          <w:szCs w:val="24"/>
        </w:rPr>
      </w:pPr>
      <w:r w:rsidRPr="00E04B54">
        <w:rPr>
          <w:sz w:val="24"/>
          <w:szCs w:val="24"/>
        </w:rPr>
        <w:t>60 mg/m</w:t>
      </w:r>
      <w:r w:rsidRPr="00E04B54">
        <w:rPr>
          <w:sz w:val="24"/>
          <w:szCs w:val="24"/>
          <w:vertAlign w:val="superscript"/>
        </w:rPr>
        <w:t>2</w:t>
      </w:r>
      <w:r w:rsidRPr="00E04B54">
        <w:rPr>
          <w:sz w:val="24"/>
          <w:szCs w:val="24"/>
        </w:rPr>
        <w:t xml:space="preserve"> i henhold til ovenstående definerede regelsæt for de første 3 doseringer.</w:t>
      </w:r>
    </w:p>
    <w:p w14:paraId="19A53E2B" w14:textId="77777777" w:rsidR="00E04B54" w:rsidRPr="00E04B54" w:rsidRDefault="00E04B54" w:rsidP="00E04B54">
      <w:pPr>
        <w:tabs>
          <w:tab w:val="left" w:pos="851"/>
        </w:tabs>
        <w:ind w:left="851"/>
        <w:rPr>
          <w:sz w:val="24"/>
          <w:szCs w:val="24"/>
        </w:rPr>
      </w:pPr>
    </w:p>
    <w:p w14:paraId="734EBD3B" w14:textId="77777777" w:rsidR="00E04B54" w:rsidRPr="00E04B54" w:rsidRDefault="00E04B54" w:rsidP="00E04B54">
      <w:pPr>
        <w:tabs>
          <w:tab w:val="left" w:pos="851"/>
        </w:tabs>
        <w:ind w:left="851"/>
        <w:rPr>
          <w:i/>
          <w:sz w:val="24"/>
          <w:szCs w:val="24"/>
        </w:rPr>
      </w:pPr>
      <w:r w:rsidRPr="00E04B54">
        <w:rPr>
          <w:i/>
          <w:iCs/>
          <w:sz w:val="24"/>
          <w:szCs w:val="24"/>
        </w:rPr>
        <w:t>Ved kombinationsbehandling tilpasses dosis og tidspunkt det overordnede behandlingsregime</w:t>
      </w:r>
    </w:p>
    <w:p w14:paraId="2EBE6776" w14:textId="77777777" w:rsidR="00E04B54" w:rsidRPr="00E04B54" w:rsidRDefault="00E04B54" w:rsidP="00E04B54">
      <w:pPr>
        <w:tabs>
          <w:tab w:val="left" w:pos="851"/>
        </w:tabs>
        <w:ind w:left="851"/>
        <w:rPr>
          <w:sz w:val="24"/>
          <w:szCs w:val="24"/>
        </w:rPr>
      </w:pPr>
      <w:r w:rsidRPr="00E04B54">
        <w:rPr>
          <w:sz w:val="24"/>
          <w:szCs w:val="24"/>
        </w:rPr>
        <w:t>Kliniske forsøg har påvist, at en peroral dosis på 80 mg/m</w:t>
      </w:r>
      <w:r w:rsidRPr="00E04B54">
        <w:rPr>
          <w:sz w:val="24"/>
          <w:szCs w:val="24"/>
          <w:vertAlign w:val="superscript"/>
        </w:rPr>
        <w:t>2</w:t>
      </w:r>
      <w:r w:rsidRPr="00E04B54">
        <w:rPr>
          <w:sz w:val="24"/>
          <w:szCs w:val="24"/>
        </w:rPr>
        <w:t xml:space="preserve"> svarer til 30 mg/m</w:t>
      </w:r>
      <w:r w:rsidRPr="00E04B54">
        <w:rPr>
          <w:sz w:val="24"/>
          <w:szCs w:val="24"/>
          <w:vertAlign w:val="superscript"/>
        </w:rPr>
        <w:t xml:space="preserve">2 </w:t>
      </w:r>
      <w:r w:rsidRPr="00E04B54">
        <w:rPr>
          <w:sz w:val="24"/>
          <w:szCs w:val="24"/>
        </w:rPr>
        <w:t>af den intravenøse lægemiddelform, og 60 mg/m</w:t>
      </w:r>
      <w:r w:rsidRPr="00E04B54">
        <w:rPr>
          <w:sz w:val="24"/>
          <w:szCs w:val="24"/>
          <w:vertAlign w:val="superscript"/>
        </w:rPr>
        <w:t>2</w:t>
      </w:r>
      <w:r w:rsidRPr="00E04B54">
        <w:rPr>
          <w:sz w:val="24"/>
          <w:szCs w:val="24"/>
        </w:rPr>
        <w:t xml:space="preserve"> svarer til 25 mg/m</w:t>
      </w:r>
      <w:r w:rsidRPr="00E04B54">
        <w:rPr>
          <w:sz w:val="24"/>
          <w:szCs w:val="24"/>
          <w:vertAlign w:val="superscript"/>
        </w:rPr>
        <w:t>2</w:t>
      </w:r>
      <w:r w:rsidRPr="00E04B54">
        <w:rPr>
          <w:sz w:val="24"/>
          <w:szCs w:val="24"/>
        </w:rPr>
        <w:t>.</w:t>
      </w:r>
    </w:p>
    <w:p w14:paraId="5993EA6A" w14:textId="77777777" w:rsidR="00E04B54" w:rsidRPr="00E04B54" w:rsidRDefault="00E04B54" w:rsidP="00E04B54">
      <w:pPr>
        <w:tabs>
          <w:tab w:val="left" w:pos="851"/>
        </w:tabs>
        <w:ind w:left="851"/>
        <w:rPr>
          <w:sz w:val="24"/>
          <w:szCs w:val="24"/>
        </w:rPr>
      </w:pPr>
      <w:r w:rsidRPr="00E04B54">
        <w:rPr>
          <w:sz w:val="24"/>
          <w:szCs w:val="24"/>
        </w:rPr>
        <w:t xml:space="preserve">Dette har udgjort grundlaget for kombinationsregimer med skiftevis </w:t>
      </w:r>
      <w:proofErr w:type="spellStart"/>
      <w:r w:rsidRPr="00E04B54">
        <w:rPr>
          <w:sz w:val="24"/>
          <w:szCs w:val="24"/>
        </w:rPr>
        <w:t>i.v</w:t>
      </w:r>
      <w:proofErr w:type="spellEnd"/>
      <w:r w:rsidRPr="00E04B54">
        <w:rPr>
          <w:sz w:val="24"/>
          <w:szCs w:val="24"/>
        </w:rPr>
        <w:t>. og peroral administration af hensyn til patientens velbefindende.</w:t>
      </w:r>
    </w:p>
    <w:p w14:paraId="1A94C877" w14:textId="77777777" w:rsidR="00E04B54" w:rsidRPr="00E04B54" w:rsidRDefault="00E04B54" w:rsidP="00E04B54">
      <w:pPr>
        <w:tabs>
          <w:tab w:val="left" w:pos="851"/>
        </w:tabs>
        <w:ind w:left="851"/>
        <w:rPr>
          <w:sz w:val="24"/>
          <w:szCs w:val="24"/>
        </w:rPr>
      </w:pPr>
    </w:p>
    <w:p w14:paraId="58DB3C8B" w14:textId="77777777" w:rsidR="00E04B54" w:rsidRPr="00E04B54" w:rsidRDefault="00E04B54" w:rsidP="00E04B54">
      <w:pPr>
        <w:tabs>
          <w:tab w:val="left" w:pos="851"/>
        </w:tabs>
        <w:ind w:left="851"/>
        <w:rPr>
          <w:sz w:val="24"/>
          <w:szCs w:val="24"/>
        </w:rPr>
      </w:pPr>
      <w:r w:rsidRPr="00E04B54">
        <w:rPr>
          <w:sz w:val="24"/>
          <w:szCs w:val="24"/>
        </w:rPr>
        <w:t>Der fås kapsler af forskellig styrke (20, 30, 80 mg) for at give mulighed for at kunne vælge den adækvate kombination til den rigtige dosering.</w:t>
      </w:r>
    </w:p>
    <w:p w14:paraId="6DAE8CFD" w14:textId="77777777" w:rsidR="00E04B54" w:rsidRPr="00E04B54" w:rsidRDefault="00E04B54" w:rsidP="00E04B54">
      <w:pPr>
        <w:tabs>
          <w:tab w:val="left" w:pos="851"/>
        </w:tabs>
        <w:ind w:left="851"/>
        <w:rPr>
          <w:sz w:val="24"/>
          <w:szCs w:val="24"/>
        </w:rPr>
      </w:pPr>
    </w:p>
    <w:p w14:paraId="5C63C6B6" w14:textId="4B44E826" w:rsidR="00E04B54" w:rsidRDefault="00E04B54" w:rsidP="00E04B54">
      <w:pPr>
        <w:tabs>
          <w:tab w:val="left" w:pos="851"/>
        </w:tabs>
        <w:ind w:left="851"/>
        <w:rPr>
          <w:sz w:val="24"/>
          <w:szCs w:val="24"/>
        </w:rPr>
      </w:pPr>
      <w:r w:rsidRPr="00E04B54">
        <w:rPr>
          <w:sz w:val="24"/>
          <w:szCs w:val="24"/>
        </w:rPr>
        <w:t xml:space="preserve">Nedenstående tabel angiver den påkrævede dosis til forskellige intervaller af legemsoverflader (BSA (body </w:t>
      </w:r>
      <w:proofErr w:type="spellStart"/>
      <w:r w:rsidRPr="00E04B54">
        <w:rPr>
          <w:sz w:val="24"/>
          <w:szCs w:val="24"/>
        </w:rPr>
        <w:t>surface</w:t>
      </w:r>
      <w:proofErr w:type="spellEnd"/>
      <w:r w:rsidRPr="00E04B54">
        <w:rPr>
          <w:sz w:val="24"/>
          <w:szCs w:val="24"/>
        </w:rPr>
        <w:t xml:space="preserve"> </w:t>
      </w:r>
      <w:proofErr w:type="spellStart"/>
      <w:r w:rsidRPr="00E04B54">
        <w:rPr>
          <w:sz w:val="24"/>
          <w:szCs w:val="24"/>
        </w:rPr>
        <w:t>area</w:t>
      </w:r>
      <w:proofErr w:type="spellEnd"/>
      <w:r w:rsidRPr="00E04B54">
        <w:rPr>
          <w:sz w:val="24"/>
          <w:szCs w:val="24"/>
        </w:rPr>
        <w:t>)).</w:t>
      </w:r>
    </w:p>
    <w:p w14:paraId="626D5AE8" w14:textId="77777777" w:rsidR="00FB72C6" w:rsidRDefault="00FB72C6" w:rsidP="00FB72C6">
      <w:pPr>
        <w:rPr>
          <w:sz w:val="22"/>
          <w:szCs w:val="22"/>
        </w:rPr>
      </w:pPr>
    </w:p>
    <w:tbl>
      <w:tblPr>
        <w:tblStyle w:val="Tabel-Gitter"/>
        <w:tblW w:w="0" w:type="auto"/>
        <w:tblInd w:w="846" w:type="dxa"/>
        <w:tblLook w:val="04A0" w:firstRow="1" w:lastRow="0" w:firstColumn="1" w:lastColumn="0" w:noHBand="0" w:noVBand="1"/>
      </w:tblPr>
      <w:tblGrid>
        <w:gridCol w:w="1526"/>
        <w:gridCol w:w="1843"/>
        <w:gridCol w:w="1559"/>
      </w:tblGrid>
      <w:tr w:rsidR="00FB72C6" w14:paraId="735692E0" w14:textId="77777777" w:rsidTr="00AC5521">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56D32" w14:textId="77777777" w:rsidR="00FB72C6" w:rsidRDefault="00FB72C6">
            <w:pPr>
              <w:rPr>
                <w:szCs w:val="22"/>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AD4C1" w14:textId="77777777" w:rsidR="00FB72C6" w:rsidRDefault="00FB72C6">
            <w:pPr>
              <w:rPr>
                <w:szCs w:val="22"/>
              </w:rPr>
            </w:pPr>
            <w:r>
              <w:rPr>
                <w:szCs w:val="22"/>
              </w:rPr>
              <w:t>60 mg/m</w:t>
            </w:r>
            <w:r>
              <w:rPr>
                <w:szCs w:val="22"/>
                <w:vertAlign w:val="superscript"/>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0D5CB" w14:textId="77777777" w:rsidR="00FB72C6" w:rsidRDefault="00FB72C6">
            <w:pPr>
              <w:rPr>
                <w:szCs w:val="22"/>
              </w:rPr>
            </w:pPr>
            <w:r>
              <w:rPr>
                <w:szCs w:val="22"/>
              </w:rPr>
              <w:t>80 mg/m</w:t>
            </w:r>
            <w:r>
              <w:rPr>
                <w:szCs w:val="22"/>
                <w:vertAlign w:val="superscript"/>
              </w:rPr>
              <w:t>2</w:t>
            </w:r>
          </w:p>
        </w:tc>
      </w:tr>
      <w:tr w:rsidR="00FB72C6" w14:paraId="73E1D100" w14:textId="77777777" w:rsidTr="00AC5521">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D9C2D" w14:textId="77777777" w:rsidR="00FB72C6" w:rsidRDefault="00FB72C6">
            <w:pPr>
              <w:rPr>
                <w:szCs w:val="22"/>
              </w:rPr>
            </w:pPr>
            <w:r>
              <w:rPr>
                <w:szCs w:val="22"/>
              </w:rPr>
              <w:t>BSA (m</w:t>
            </w:r>
            <w:r>
              <w:rPr>
                <w:szCs w:val="22"/>
                <w:vertAlign w:val="superscript"/>
              </w:rPr>
              <w:t>2</w:t>
            </w:r>
            <w:r>
              <w:rPr>
                <w:szCs w:val="22"/>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D4D7A" w14:textId="77777777" w:rsidR="00FB72C6" w:rsidRDefault="00FB72C6">
            <w:pPr>
              <w:rPr>
                <w:szCs w:val="22"/>
              </w:rPr>
            </w:pPr>
            <w:r>
              <w:rPr>
                <w:szCs w:val="22"/>
              </w:rPr>
              <w:t>Dosis (mg)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22713" w14:textId="77777777" w:rsidR="00FB72C6" w:rsidRDefault="00FB72C6">
            <w:pPr>
              <w:rPr>
                <w:szCs w:val="22"/>
              </w:rPr>
            </w:pPr>
            <w:r>
              <w:rPr>
                <w:szCs w:val="22"/>
              </w:rPr>
              <w:t>Dosis (mg)</w:t>
            </w:r>
          </w:p>
        </w:tc>
      </w:tr>
      <w:tr w:rsidR="00FB72C6" w14:paraId="1BE2C43D" w14:textId="77777777" w:rsidTr="00AC5521">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BE9AE" w14:textId="77777777" w:rsidR="00FB72C6" w:rsidRDefault="00FB72C6">
            <w:pPr>
              <w:rPr>
                <w:szCs w:val="22"/>
              </w:rPr>
            </w:pPr>
            <w:r>
              <w:rPr>
                <w:szCs w:val="22"/>
              </w:rPr>
              <w:t>0,95 til 1,04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09BA3" w14:textId="77777777" w:rsidR="00FB72C6" w:rsidRDefault="00FB72C6">
            <w:pPr>
              <w:rPr>
                <w:szCs w:val="22"/>
              </w:rPr>
            </w:pPr>
            <w:r>
              <w:rPr>
                <w:szCs w:val="22"/>
              </w:rPr>
              <w:t>60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FBDD8" w14:textId="77777777" w:rsidR="00FB72C6" w:rsidRDefault="00FB72C6">
            <w:pPr>
              <w:rPr>
                <w:szCs w:val="22"/>
              </w:rPr>
            </w:pPr>
            <w:r>
              <w:rPr>
                <w:szCs w:val="22"/>
              </w:rPr>
              <w:t>80</w:t>
            </w:r>
          </w:p>
        </w:tc>
      </w:tr>
      <w:tr w:rsidR="00FB72C6" w14:paraId="5ACE9E06" w14:textId="77777777" w:rsidTr="00AC5521">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F178C" w14:textId="77777777" w:rsidR="00FB72C6" w:rsidRDefault="00FB72C6">
            <w:pPr>
              <w:rPr>
                <w:szCs w:val="22"/>
              </w:rPr>
            </w:pPr>
            <w:r>
              <w:rPr>
                <w:szCs w:val="22"/>
              </w:rPr>
              <w:t>1,05 til 1,14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74953" w14:textId="77777777" w:rsidR="00FB72C6" w:rsidRDefault="00FB72C6">
            <w:pPr>
              <w:rPr>
                <w:szCs w:val="22"/>
              </w:rPr>
            </w:pPr>
            <w:r>
              <w:rPr>
                <w:szCs w:val="22"/>
              </w:rPr>
              <w:t>70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4CB79" w14:textId="77777777" w:rsidR="00FB72C6" w:rsidRDefault="00FB72C6">
            <w:pPr>
              <w:rPr>
                <w:szCs w:val="22"/>
              </w:rPr>
            </w:pPr>
            <w:r>
              <w:rPr>
                <w:szCs w:val="22"/>
              </w:rPr>
              <w:t>90</w:t>
            </w:r>
          </w:p>
        </w:tc>
      </w:tr>
      <w:tr w:rsidR="00FB72C6" w14:paraId="5E7FD58C" w14:textId="77777777" w:rsidTr="00AC5521">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12771" w14:textId="77777777" w:rsidR="00FB72C6" w:rsidRDefault="00FB72C6">
            <w:pPr>
              <w:rPr>
                <w:szCs w:val="22"/>
              </w:rPr>
            </w:pPr>
            <w:r>
              <w:rPr>
                <w:szCs w:val="22"/>
              </w:rPr>
              <w:t>1,15 til 1,24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2FD08" w14:textId="77777777" w:rsidR="00FB72C6" w:rsidRDefault="00FB72C6">
            <w:pPr>
              <w:rPr>
                <w:szCs w:val="22"/>
              </w:rPr>
            </w:pPr>
            <w:r>
              <w:rPr>
                <w:szCs w:val="22"/>
              </w:rPr>
              <w:t>70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1F3B9" w14:textId="77777777" w:rsidR="00FB72C6" w:rsidRDefault="00FB72C6">
            <w:pPr>
              <w:rPr>
                <w:szCs w:val="22"/>
              </w:rPr>
            </w:pPr>
            <w:r>
              <w:rPr>
                <w:szCs w:val="22"/>
              </w:rPr>
              <w:t>100</w:t>
            </w:r>
          </w:p>
        </w:tc>
      </w:tr>
      <w:tr w:rsidR="00FB72C6" w14:paraId="113DAC5C" w14:textId="77777777" w:rsidTr="00AC5521">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057CA" w14:textId="77777777" w:rsidR="00FB72C6" w:rsidRDefault="00FB72C6">
            <w:pPr>
              <w:rPr>
                <w:szCs w:val="22"/>
              </w:rPr>
            </w:pPr>
            <w:r>
              <w:rPr>
                <w:szCs w:val="22"/>
              </w:rPr>
              <w:t>1,25 til 1,34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4CADA" w14:textId="77777777" w:rsidR="00FB72C6" w:rsidRDefault="00FB72C6">
            <w:pPr>
              <w:rPr>
                <w:szCs w:val="22"/>
              </w:rPr>
            </w:pPr>
            <w:r>
              <w:rPr>
                <w:szCs w:val="22"/>
              </w:rPr>
              <w:t>80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711AC" w14:textId="77777777" w:rsidR="00FB72C6" w:rsidRDefault="00FB72C6">
            <w:pPr>
              <w:rPr>
                <w:szCs w:val="22"/>
              </w:rPr>
            </w:pPr>
            <w:r>
              <w:rPr>
                <w:szCs w:val="22"/>
              </w:rPr>
              <w:t>100</w:t>
            </w:r>
          </w:p>
        </w:tc>
      </w:tr>
      <w:tr w:rsidR="00FB72C6" w14:paraId="48D32A1A" w14:textId="77777777" w:rsidTr="00AC5521">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09F3BB" w14:textId="77777777" w:rsidR="00FB72C6" w:rsidRDefault="00FB72C6">
            <w:pPr>
              <w:rPr>
                <w:szCs w:val="22"/>
              </w:rPr>
            </w:pPr>
            <w:r>
              <w:rPr>
                <w:szCs w:val="22"/>
              </w:rPr>
              <w:t>1,35 til 1,44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80A26" w14:textId="77777777" w:rsidR="00FB72C6" w:rsidRDefault="00FB72C6">
            <w:pPr>
              <w:rPr>
                <w:szCs w:val="22"/>
              </w:rPr>
            </w:pPr>
            <w:r>
              <w:rPr>
                <w:szCs w:val="22"/>
              </w:rPr>
              <w:t>80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A3D00" w14:textId="77777777" w:rsidR="00FB72C6" w:rsidRDefault="00FB72C6">
            <w:pPr>
              <w:rPr>
                <w:szCs w:val="22"/>
              </w:rPr>
            </w:pPr>
            <w:r>
              <w:rPr>
                <w:szCs w:val="22"/>
              </w:rPr>
              <w:t>110</w:t>
            </w:r>
          </w:p>
        </w:tc>
      </w:tr>
      <w:tr w:rsidR="00FB72C6" w14:paraId="7A56F693" w14:textId="77777777" w:rsidTr="00AC5521">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30002" w14:textId="77777777" w:rsidR="00FB72C6" w:rsidRDefault="00FB72C6">
            <w:pPr>
              <w:rPr>
                <w:szCs w:val="22"/>
              </w:rPr>
            </w:pPr>
            <w:r>
              <w:rPr>
                <w:szCs w:val="22"/>
              </w:rPr>
              <w:t>1,45 til 1,54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44164" w14:textId="77777777" w:rsidR="00FB72C6" w:rsidRDefault="00FB72C6">
            <w:pPr>
              <w:rPr>
                <w:szCs w:val="22"/>
              </w:rPr>
            </w:pPr>
            <w:r>
              <w:rPr>
                <w:szCs w:val="22"/>
              </w:rPr>
              <w:t>90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D6C0C" w14:textId="77777777" w:rsidR="00FB72C6" w:rsidRDefault="00FB72C6">
            <w:pPr>
              <w:rPr>
                <w:szCs w:val="22"/>
              </w:rPr>
            </w:pPr>
            <w:r>
              <w:rPr>
                <w:szCs w:val="22"/>
              </w:rPr>
              <w:t>120</w:t>
            </w:r>
          </w:p>
        </w:tc>
      </w:tr>
      <w:tr w:rsidR="00FB72C6" w14:paraId="059A076F" w14:textId="77777777" w:rsidTr="00AC5521">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E6D05" w14:textId="77777777" w:rsidR="00FB72C6" w:rsidRDefault="00FB72C6">
            <w:pPr>
              <w:rPr>
                <w:szCs w:val="22"/>
              </w:rPr>
            </w:pPr>
            <w:r>
              <w:rPr>
                <w:szCs w:val="22"/>
              </w:rPr>
              <w:t>1,55 til 1,64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95053" w14:textId="77777777" w:rsidR="00FB72C6" w:rsidRDefault="00FB72C6">
            <w:pPr>
              <w:rPr>
                <w:szCs w:val="22"/>
              </w:rPr>
            </w:pPr>
            <w:r>
              <w:rPr>
                <w:szCs w:val="22"/>
              </w:rPr>
              <w:t>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B7590" w14:textId="77777777" w:rsidR="00FB72C6" w:rsidRDefault="00FB72C6">
            <w:pPr>
              <w:rPr>
                <w:szCs w:val="22"/>
              </w:rPr>
            </w:pPr>
            <w:r>
              <w:rPr>
                <w:szCs w:val="22"/>
              </w:rPr>
              <w:t>130</w:t>
            </w:r>
          </w:p>
        </w:tc>
      </w:tr>
      <w:tr w:rsidR="00FB72C6" w14:paraId="29762DCC" w14:textId="77777777" w:rsidTr="00AC5521">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BD304" w14:textId="77777777" w:rsidR="00FB72C6" w:rsidRDefault="00FB72C6">
            <w:pPr>
              <w:rPr>
                <w:szCs w:val="22"/>
              </w:rPr>
            </w:pPr>
            <w:r>
              <w:rPr>
                <w:szCs w:val="22"/>
              </w:rPr>
              <w:t>1,65 til 1,74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B01F1" w14:textId="77777777" w:rsidR="00FB72C6" w:rsidRDefault="00FB72C6">
            <w:pPr>
              <w:rPr>
                <w:szCs w:val="22"/>
              </w:rPr>
            </w:pPr>
            <w:r>
              <w:rPr>
                <w:szCs w:val="22"/>
              </w:rPr>
              <w:t>100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64AF3" w14:textId="77777777" w:rsidR="00FB72C6" w:rsidRDefault="00FB72C6">
            <w:pPr>
              <w:rPr>
                <w:szCs w:val="22"/>
              </w:rPr>
            </w:pPr>
            <w:r>
              <w:rPr>
                <w:szCs w:val="22"/>
              </w:rPr>
              <w:t>140</w:t>
            </w:r>
          </w:p>
        </w:tc>
      </w:tr>
      <w:tr w:rsidR="00FB72C6" w14:paraId="0B9F926A" w14:textId="77777777" w:rsidTr="00AC5521">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7C147" w14:textId="77777777" w:rsidR="00FB72C6" w:rsidRDefault="00FB72C6">
            <w:pPr>
              <w:rPr>
                <w:szCs w:val="22"/>
              </w:rPr>
            </w:pPr>
            <w:r>
              <w:rPr>
                <w:szCs w:val="22"/>
              </w:rPr>
              <w:t>1,75 til 1,84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E9649" w14:textId="77777777" w:rsidR="00FB72C6" w:rsidRDefault="00FB72C6">
            <w:pPr>
              <w:rPr>
                <w:szCs w:val="22"/>
              </w:rPr>
            </w:pPr>
            <w:r>
              <w:rPr>
                <w:szCs w:val="22"/>
              </w:rPr>
              <w:t>110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85207" w14:textId="77777777" w:rsidR="00FB72C6" w:rsidRDefault="00FB72C6">
            <w:pPr>
              <w:rPr>
                <w:szCs w:val="22"/>
              </w:rPr>
            </w:pPr>
            <w:r>
              <w:rPr>
                <w:szCs w:val="22"/>
              </w:rPr>
              <w:t>140</w:t>
            </w:r>
          </w:p>
        </w:tc>
      </w:tr>
      <w:tr w:rsidR="00FB72C6" w14:paraId="6F9A391B" w14:textId="77777777" w:rsidTr="00AC5521">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0A502" w14:textId="77777777" w:rsidR="00FB72C6" w:rsidRDefault="00FB72C6">
            <w:pPr>
              <w:rPr>
                <w:szCs w:val="22"/>
              </w:rPr>
            </w:pPr>
            <w:r>
              <w:rPr>
                <w:szCs w:val="22"/>
              </w:rPr>
              <w:t>1,85 til 1,94</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6EF8F" w14:textId="77777777" w:rsidR="00FB72C6" w:rsidRDefault="00FB72C6">
            <w:pPr>
              <w:rPr>
                <w:szCs w:val="22"/>
              </w:rPr>
            </w:pPr>
            <w:r>
              <w:rPr>
                <w:szCs w:val="22"/>
              </w:rPr>
              <w:t>110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0EC69" w14:textId="77777777" w:rsidR="00FB72C6" w:rsidRDefault="00FB72C6">
            <w:pPr>
              <w:rPr>
                <w:szCs w:val="22"/>
              </w:rPr>
            </w:pPr>
            <w:r>
              <w:rPr>
                <w:szCs w:val="22"/>
              </w:rPr>
              <w:t>150</w:t>
            </w:r>
          </w:p>
        </w:tc>
      </w:tr>
      <w:tr w:rsidR="00FB72C6" w14:paraId="75C326DB" w14:textId="77777777" w:rsidTr="00AC5521">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DAD29" w14:textId="77777777" w:rsidR="00FB72C6" w:rsidRDefault="00FB72C6">
            <w:pPr>
              <w:rPr>
                <w:szCs w:val="22"/>
              </w:rPr>
            </w:pPr>
            <w:r>
              <w:rPr>
                <w:szCs w:val="22"/>
              </w:rPr>
              <w:t>≥1,95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8A42E" w14:textId="77777777" w:rsidR="00FB72C6" w:rsidRDefault="00FB72C6">
            <w:pPr>
              <w:rPr>
                <w:szCs w:val="22"/>
              </w:rPr>
            </w:pPr>
            <w:r>
              <w:rPr>
                <w:szCs w:val="22"/>
              </w:rPr>
              <w:t>120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F71F2" w14:textId="77777777" w:rsidR="00FB72C6" w:rsidRDefault="00FB72C6">
            <w:pPr>
              <w:rPr>
                <w:szCs w:val="22"/>
              </w:rPr>
            </w:pPr>
            <w:r>
              <w:rPr>
                <w:szCs w:val="22"/>
              </w:rPr>
              <w:t>160</w:t>
            </w:r>
          </w:p>
        </w:tc>
      </w:tr>
    </w:tbl>
    <w:p w14:paraId="5AB68682" w14:textId="77777777" w:rsidR="00FB72C6" w:rsidRDefault="00FB72C6" w:rsidP="00AC5521">
      <w:pPr>
        <w:ind w:left="851"/>
        <w:rPr>
          <w:sz w:val="22"/>
          <w:szCs w:val="22"/>
        </w:rPr>
      </w:pPr>
    </w:p>
    <w:p w14:paraId="2753193F" w14:textId="77777777" w:rsidR="00FB72C6" w:rsidRDefault="00FB72C6" w:rsidP="00AC5521">
      <w:pPr>
        <w:pBdr>
          <w:top w:val="single" w:sz="4" w:space="1" w:color="auto"/>
          <w:left w:val="single" w:sz="4" w:space="4" w:color="auto"/>
          <w:bottom w:val="single" w:sz="4" w:space="1" w:color="auto"/>
          <w:right w:val="single" w:sz="4" w:space="4" w:color="auto"/>
        </w:pBdr>
        <w:ind w:left="851"/>
        <w:rPr>
          <w:b/>
          <w:iCs/>
          <w:szCs w:val="22"/>
        </w:rPr>
      </w:pPr>
      <w:r>
        <w:rPr>
          <w:b/>
          <w:iCs/>
          <w:szCs w:val="22"/>
        </w:rPr>
        <w:t>Selv for patienter med en legemsoverflade på ≥2 m</w:t>
      </w:r>
      <w:r>
        <w:rPr>
          <w:b/>
          <w:iCs/>
          <w:szCs w:val="22"/>
          <w:vertAlign w:val="superscript"/>
        </w:rPr>
        <w:t>2</w:t>
      </w:r>
      <w:r>
        <w:rPr>
          <w:b/>
          <w:iCs/>
          <w:szCs w:val="22"/>
        </w:rPr>
        <w:t xml:space="preserve"> må den samlede dosis aldrig overstige 120 mg pr. uge ved 60 mg/m</w:t>
      </w:r>
      <w:r>
        <w:rPr>
          <w:b/>
          <w:iCs/>
          <w:szCs w:val="22"/>
          <w:vertAlign w:val="superscript"/>
        </w:rPr>
        <w:t>2</w:t>
      </w:r>
      <w:r>
        <w:rPr>
          <w:b/>
          <w:iCs/>
          <w:szCs w:val="22"/>
        </w:rPr>
        <w:t xml:space="preserve"> og 160 mg pr. uge ved 80 mg/m</w:t>
      </w:r>
      <w:r>
        <w:rPr>
          <w:b/>
          <w:iCs/>
          <w:szCs w:val="22"/>
          <w:vertAlign w:val="superscript"/>
        </w:rPr>
        <w:t>2</w:t>
      </w:r>
    </w:p>
    <w:p w14:paraId="39FC4E91" w14:textId="77777777" w:rsidR="00FB72C6" w:rsidRDefault="00FB72C6" w:rsidP="00AC5521">
      <w:pPr>
        <w:ind w:left="851"/>
        <w:rPr>
          <w:szCs w:val="22"/>
        </w:rPr>
      </w:pPr>
    </w:p>
    <w:p w14:paraId="418F8317" w14:textId="77777777" w:rsidR="00E04B54" w:rsidRPr="00F90404" w:rsidRDefault="00E04B54" w:rsidP="00E04B54">
      <w:pPr>
        <w:tabs>
          <w:tab w:val="left" w:pos="851"/>
        </w:tabs>
        <w:ind w:left="851"/>
        <w:rPr>
          <w:b/>
          <w:bCs/>
          <w:iCs/>
          <w:sz w:val="24"/>
          <w:szCs w:val="24"/>
        </w:rPr>
      </w:pPr>
      <w:r w:rsidRPr="00F90404">
        <w:rPr>
          <w:b/>
          <w:iCs/>
          <w:sz w:val="24"/>
          <w:szCs w:val="24"/>
        </w:rPr>
        <w:t>Administration</w:t>
      </w:r>
    </w:p>
    <w:p w14:paraId="39A4DD6D" w14:textId="77777777" w:rsidR="00E04B54" w:rsidRPr="00E04B54" w:rsidRDefault="00E04B54" w:rsidP="00E04B54">
      <w:pPr>
        <w:tabs>
          <w:tab w:val="left" w:pos="851"/>
        </w:tabs>
        <w:ind w:left="851"/>
        <w:rPr>
          <w:bCs/>
          <w:iCs/>
          <w:sz w:val="24"/>
          <w:szCs w:val="24"/>
        </w:rPr>
      </w:pPr>
      <w:proofErr w:type="spellStart"/>
      <w:r w:rsidRPr="00E04B54">
        <w:rPr>
          <w:sz w:val="24"/>
          <w:szCs w:val="24"/>
        </w:rPr>
        <w:t>Vinorelbine</w:t>
      </w:r>
      <w:proofErr w:type="spellEnd"/>
      <w:r w:rsidRPr="00E04B54">
        <w:rPr>
          <w:sz w:val="24"/>
          <w:szCs w:val="24"/>
        </w:rPr>
        <w:t xml:space="preserve"> "</w:t>
      </w:r>
      <w:proofErr w:type="spellStart"/>
      <w:r w:rsidRPr="00E04B54">
        <w:rPr>
          <w:sz w:val="24"/>
          <w:szCs w:val="24"/>
        </w:rPr>
        <w:t>Accord</w:t>
      </w:r>
      <w:proofErr w:type="spellEnd"/>
      <w:r w:rsidRPr="00E04B54">
        <w:rPr>
          <w:sz w:val="24"/>
          <w:szCs w:val="24"/>
        </w:rPr>
        <w:t>" må udelukkende indgives peroralt.</w:t>
      </w:r>
    </w:p>
    <w:p w14:paraId="04CF70CC" w14:textId="77777777" w:rsidR="00E04B54" w:rsidRPr="00E04B54" w:rsidRDefault="00E04B54" w:rsidP="00E04B54">
      <w:pPr>
        <w:tabs>
          <w:tab w:val="left" w:pos="851"/>
        </w:tabs>
        <w:ind w:left="851"/>
        <w:rPr>
          <w:bCs/>
          <w:iCs/>
          <w:sz w:val="24"/>
          <w:szCs w:val="24"/>
        </w:rPr>
      </w:pPr>
      <w:proofErr w:type="spellStart"/>
      <w:r w:rsidRPr="00E04B54">
        <w:rPr>
          <w:sz w:val="24"/>
          <w:szCs w:val="24"/>
        </w:rPr>
        <w:t>Vinorelbine</w:t>
      </w:r>
      <w:proofErr w:type="spellEnd"/>
      <w:r w:rsidRPr="00E04B54">
        <w:rPr>
          <w:sz w:val="24"/>
          <w:szCs w:val="24"/>
        </w:rPr>
        <w:t xml:space="preserve"> "</w:t>
      </w:r>
      <w:proofErr w:type="spellStart"/>
      <w:r w:rsidRPr="00E04B54">
        <w:rPr>
          <w:sz w:val="24"/>
          <w:szCs w:val="24"/>
        </w:rPr>
        <w:t>Accord</w:t>
      </w:r>
      <w:proofErr w:type="spellEnd"/>
      <w:r w:rsidRPr="00E04B54">
        <w:rPr>
          <w:sz w:val="24"/>
          <w:szCs w:val="24"/>
        </w:rPr>
        <w:t>" skal synkes hele med vand uden at tygge eller sutte på kapslen eller opløse den, da væsken inden i kapslen kan give anledning til irritation og medføre skader, hvis den kommer i kontakt med hud, øjne eller slimhinder.</w:t>
      </w:r>
    </w:p>
    <w:p w14:paraId="2526FF8D" w14:textId="77777777" w:rsidR="00E04B54" w:rsidRPr="00E04B54" w:rsidRDefault="00E04B54" w:rsidP="00E04B54">
      <w:pPr>
        <w:tabs>
          <w:tab w:val="left" w:pos="851"/>
        </w:tabs>
        <w:ind w:left="851"/>
        <w:rPr>
          <w:bCs/>
          <w:iCs/>
          <w:sz w:val="24"/>
          <w:szCs w:val="24"/>
        </w:rPr>
      </w:pPr>
      <w:r w:rsidRPr="00E04B54">
        <w:rPr>
          <w:sz w:val="24"/>
          <w:szCs w:val="24"/>
        </w:rPr>
        <w:t>Det anbefales at indtage kapslen sammen med lidt mad.</w:t>
      </w:r>
    </w:p>
    <w:p w14:paraId="64269BF6" w14:textId="77777777" w:rsidR="00E04B54" w:rsidRPr="00E04B54" w:rsidRDefault="00E04B54" w:rsidP="00E04B54">
      <w:pPr>
        <w:tabs>
          <w:tab w:val="left" w:pos="851"/>
        </w:tabs>
        <w:ind w:left="851"/>
        <w:rPr>
          <w:bCs/>
          <w:iCs/>
          <w:sz w:val="24"/>
          <w:szCs w:val="24"/>
        </w:rPr>
      </w:pPr>
    </w:p>
    <w:p w14:paraId="383A211B" w14:textId="77777777" w:rsidR="00E04B54" w:rsidRPr="004C5B88" w:rsidRDefault="00E04B54" w:rsidP="00E04B54">
      <w:pPr>
        <w:tabs>
          <w:tab w:val="left" w:pos="851"/>
        </w:tabs>
        <w:ind w:left="851"/>
        <w:rPr>
          <w:bCs/>
          <w:iCs/>
          <w:sz w:val="24"/>
          <w:szCs w:val="24"/>
          <w:u w:val="single"/>
        </w:rPr>
      </w:pPr>
      <w:r w:rsidRPr="004C5B88">
        <w:rPr>
          <w:iCs/>
          <w:sz w:val="24"/>
          <w:szCs w:val="24"/>
          <w:u w:val="single"/>
        </w:rPr>
        <w:t>Ældre</w:t>
      </w:r>
    </w:p>
    <w:p w14:paraId="2914E280" w14:textId="77777777" w:rsidR="00E04B54" w:rsidRPr="00E04B54" w:rsidRDefault="00E04B54" w:rsidP="00E04B54">
      <w:pPr>
        <w:tabs>
          <w:tab w:val="left" w:pos="851"/>
        </w:tabs>
        <w:ind w:left="851"/>
        <w:rPr>
          <w:bCs/>
          <w:iCs/>
          <w:sz w:val="24"/>
          <w:szCs w:val="24"/>
        </w:rPr>
      </w:pPr>
      <w:r w:rsidRPr="00E04B54">
        <w:rPr>
          <w:sz w:val="24"/>
          <w:szCs w:val="24"/>
        </w:rPr>
        <w:t xml:space="preserve">Kliniske erfaringer har ikke identificeret nogen signifikante forskelle blandt ældre patienter med hensyn til responsrate, selvom der ikke kan udelukkes større følsomhed hos nogle af disse patienter. Alder indvirker ikke på </w:t>
      </w:r>
      <w:proofErr w:type="spellStart"/>
      <w:r w:rsidRPr="00E04B54">
        <w:rPr>
          <w:sz w:val="24"/>
          <w:szCs w:val="24"/>
        </w:rPr>
        <w:t>vinorelbins</w:t>
      </w:r>
      <w:proofErr w:type="spellEnd"/>
      <w:r w:rsidRPr="00E04B54">
        <w:rPr>
          <w:sz w:val="24"/>
          <w:szCs w:val="24"/>
        </w:rPr>
        <w:t xml:space="preserve"> farmakokinetik (se pkt. 5.2).</w:t>
      </w:r>
    </w:p>
    <w:p w14:paraId="21420C3D" w14:textId="77777777" w:rsidR="00E04B54" w:rsidRPr="00E04B54" w:rsidRDefault="00E04B54" w:rsidP="00E04B54">
      <w:pPr>
        <w:tabs>
          <w:tab w:val="left" w:pos="851"/>
        </w:tabs>
        <w:ind w:left="851"/>
        <w:rPr>
          <w:b/>
          <w:bCs/>
          <w:i/>
          <w:iCs/>
          <w:sz w:val="24"/>
          <w:szCs w:val="24"/>
        </w:rPr>
      </w:pPr>
    </w:p>
    <w:p w14:paraId="7DDC3B6D" w14:textId="77777777" w:rsidR="00E04B54" w:rsidRPr="004C5B88" w:rsidRDefault="00E04B54" w:rsidP="00E04B54">
      <w:pPr>
        <w:tabs>
          <w:tab w:val="left" w:pos="851"/>
        </w:tabs>
        <w:ind w:left="851"/>
        <w:rPr>
          <w:bCs/>
          <w:iCs/>
          <w:sz w:val="24"/>
          <w:szCs w:val="24"/>
          <w:u w:val="single"/>
        </w:rPr>
      </w:pPr>
      <w:r w:rsidRPr="004C5B88">
        <w:rPr>
          <w:iCs/>
          <w:sz w:val="24"/>
          <w:szCs w:val="24"/>
          <w:u w:val="single"/>
        </w:rPr>
        <w:t>Pædiatrisk population</w:t>
      </w:r>
    </w:p>
    <w:p w14:paraId="04E0B871" w14:textId="77777777" w:rsidR="00E04B54" w:rsidRPr="00E04B54" w:rsidRDefault="00E04B54" w:rsidP="00E04B54">
      <w:pPr>
        <w:tabs>
          <w:tab w:val="left" w:pos="851"/>
        </w:tabs>
        <w:ind w:left="851"/>
        <w:rPr>
          <w:sz w:val="24"/>
          <w:szCs w:val="24"/>
        </w:rPr>
      </w:pPr>
      <w:r w:rsidRPr="00E04B54">
        <w:rPr>
          <w:sz w:val="24"/>
          <w:szCs w:val="24"/>
        </w:rPr>
        <w:t>Sikkerhed og virkning hos børn er endnu ikke klarlagt, og anvendelse til børn frarådes (se pkt. 5.1).</w:t>
      </w:r>
    </w:p>
    <w:p w14:paraId="3C1073A2" w14:textId="77777777" w:rsidR="00E04B54" w:rsidRPr="00E04B54" w:rsidRDefault="00E04B54" w:rsidP="00E04B54">
      <w:pPr>
        <w:tabs>
          <w:tab w:val="left" w:pos="851"/>
        </w:tabs>
        <w:ind w:left="851"/>
        <w:rPr>
          <w:sz w:val="24"/>
          <w:szCs w:val="24"/>
        </w:rPr>
      </w:pPr>
    </w:p>
    <w:p w14:paraId="5E30EA9C" w14:textId="77777777" w:rsidR="00E04B54" w:rsidRPr="004C5B88" w:rsidRDefault="00E04B54" w:rsidP="00E04B54">
      <w:pPr>
        <w:tabs>
          <w:tab w:val="left" w:pos="851"/>
        </w:tabs>
        <w:ind w:left="851"/>
        <w:rPr>
          <w:sz w:val="24"/>
          <w:szCs w:val="24"/>
          <w:u w:val="single"/>
        </w:rPr>
      </w:pPr>
      <w:r w:rsidRPr="004C5B88">
        <w:rPr>
          <w:iCs/>
          <w:sz w:val="24"/>
          <w:szCs w:val="24"/>
          <w:u w:val="single"/>
        </w:rPr>
        <w:lastRenderedPageBreak/>
        <w:t>Leverinsufficiens</w:t>
      </w:r>
    </w:p>
    <w:p w14:paraId="15A55DEF" w14:textId="77777777" w:rsidR="00E04B54" w:rsidRPr="00E04B54" w:rsidRDefault="00E04B54" w:rsidP="00E04B54">
      <w:pPr>
        <w:tabs>
          <w:tab w:val="left" w:pos="851"/>
        </w:tabs>
        <w:ind w:left="851"/>
        <w:rPr>
          <w:sz w:val="24"/>
          <w:szCs w:val="24"/>
        </w:rPr>
      </w:pPr>
      <w:proofErr w:type="spellStart"/>
      <w:r w:rsidRPr="00E04B54">
        <w:rPr>
          <w:sz w:val="24"/>
          <w:szCs w:val="24"/>
        </w:rPr>
        <w:t>Vinorelbin</w:t>
      </w:r>
      <w:proofErr w:type="spellEnd"/>
      <w:r w:rsidRPr="00E04B54">
        <w:rPr>
          <w:sz w:val="24"/>
          <w:szCs w:val="24"/>
        </w:rPr>
        <w:t xml:space="preserve"> kan indgives ved standarddosen på 60 mg/m</w:t>
      </w:r>
      <w:r w:rsidRPr="00E04B54">
        <w:rPr>
          <w:sz w:val="24"/>
          <w:szCs w:val="24"/>
          <w:vertAlign w:val="superscript"/>
        </w:rPr>
        <w:t>2</w:t>
      </w:r>
      <w:r w:rsidRPr="00E04B54">
        <w:rPr>
          <w:sz w:val="24"/>
          <w:szCs w:val="24"/>
        </w:rPr>
        <w:t>/uge til patienter med mild leversygdom (bilirubin &lt;1,5 × ULN og ALAT og/eller ASAT mellem 1,5 og 2,5 × ULN).</w:t>
      </w:r>
    </w:p>
    <w:p w14:paraId="04114596" w14:textId="77777777" w:rsidR="00E04B54" w:rsidRPr="00E04B54" w:rsidRDefault="00E04B54" w:rsidP="00E04B54">
      <w:pPr>
        <w:tabs>
          <w:tab w:val="left" w:pos="851"/>
        </w:tabs>
        <w:ind w:left="851"/>
        <w:rPr>
          <w:sz w:val="24"/>
          <w:szCs w:val="24"/>
        </w:rPr>
      </w:pPr>
    </w:p>
    <w:p w14:paraId="25A741F8" w14:textId="77777777" w:rsidR="00E04B54" w:rsidRPr="00E04B54" w:rsidRDefault="00E04B54" w:rsidP="00E04B54">
      <w:pPr>
        <w:tabs>
          <w:tab w:val="left" w:pos="851"/>
        </w:tabs>
        <w:ind w:left="851"/>
        <w:rPr>
          <w:sz w:val="24"/>
          <w:szCs w:val="24"/>
        </w:rPr>
      </w:pPr>
      <w:r w:rsidRPr="00E04B54">
        <w:rPr>
          <w:sz w:val="24"/>
          <w:szCs w:val="24"/>
        </w:rPr>
        <w:t xml:space="preserve">Til patienter med moderat leversygdom (bilirubin mellem 1,5 og 3,0 × ULN uafhængigt af ALAT og ASAT) skal </w:t>
      </w:r>
      <w:proofErr w:type="spellStart"/>
      <w:r w:rsidRPr="00E04B54">
        <w:rPr>
          <w:sz w:val="24"/>
          <w:szCs w:val="24"/>
        </w:rPr>
        <w:t>vinorelbin</w:t>
      </w:r>
      <w:proofErr w:type="spellEnd"/>
      <w:r w:rsidRPr="00E04B54">
        <w:rPr>
          <w:sz w:val="24"/>
          <w:szCs w:val="24"/>
        </w:rPr>
        <w:t xml:space="preserve"> administreres ved en dosis på 50 mg/m</w:t>
      </w:r>
      <w:r w:rsidRPr="00E04B54">
        <w:rPr>
          <w:sz w:val="24"/>
          <w:szCs w:val="24"/>
          <w:vertAlign w:val="superscript"/>
        </w:rPr>
        <w:t>2</w:t>
      </w:r>
      <w:r w:rsidRPr="00E04B54">
        <w:rPr>
          <w:sz w:val="24"/>
          <w:szCs w:val="24"/>
        </w:rPr>
        <w:t>/uge.</w:t>
      </w:r>
    </w:p>
    <w:p w14:paraId="1C9A7C98" w14:textId="77777777" w:rsidR="00E04B54" w:rsidRPr="00E04B54" w:rsidRDefault="00E04B54" w:rsidP="00E04B54">
      <w:pPr>
        <w:tabs>
          <w:tab w:val="left" w:pos="851"/>
        </w:tabs>
        <w:ind w:left="851"/>
        <w:rPr>
          <w:sz w:val="24"/>
          <w:szCs w:val="24"/>
        </w:rPr>
      </w:pPr>
    </w:p>
    <w:p w14:paraId="6DAAA137" w14:textId="77777777" w:rsidR="00E04B54" w:rsidRPr="00E04B54" w:rsidRDefault="00E04B54" w:rsidP="00E04B54">
      <w:pPr>
        <w:tabs>
          <w:tab w:val="left" w:pos="851"/>
        </w:tabs>
        <w:ind w:left="851"/>
        <w:rPr>
          <w:sz w:val="24"/>
          <w:szCs w:val="24"/>
        </w:rPr>
      </w:pPr>
      <w:r w:rsidRPr="00E04B54">
        <w:rPr>
          <w:sz w:val="24"/>
          <w:szCs w:val="24"/>
        </w:rPr>
        <w:t xml:space="preserve">Administration af </w:t>
      </w:r>
      <w:proofErr w:type="spellStart"/>
      <w:r w:rsidRPr="00E04B54">
        <w:rPr>
          <w:sz w:val="24"/>
          <w:szCs w:val="24"/>
        </w:rPr>
        <w:t>vinorelbin</w:t>
      </w:r>
      <w:proofErr w:type="spellEnd"/>
      <w:r w:rsidRPr="00E04B54">
        <w:rPr>
          <w:sz w:val="24"/>
          <w:szCs w:val="24"/>
        </w:rPr>
        <w:t xml:space="preserve"> til patienter med svær leversygdom </w:t>
      </w:r>
      <w:r w:rsidRPr="00E04B54">
        <w:rPr>
          <w:b/>
          <w:sz w:val="24"/>
          <w:szCs w:val="24"/>
          <w:u w:val="single"/>
        </w:rPr>
        <w:t>er frarådet, fordi der er utilstrækkelige data fra denne population til at fastlægge farmakokinetikken, virkningen og sikkerheden</w:t>
      </w:r>
      <w:r w:rsidRPr="00E04B54">
        <w:rPr>
          <w:sz w:val="24"/>
          <w:szCs w:val="24"/>
        </w:rPr>
        <w:t xml:space="preserve"> (se pkt. 4.4 og 5.2).</w:t>
      </w:r>
    </w:p>
    <w:p w14:paraId="45F7BE8E" w14:textId="77777777" w:rsidR="00E04B54" w:rsidRPr="00E04B54" w:rsidRDefault="00E04B54" w:rsidP="00E04B54">
      <w:pPr>
        <w:tabs>
          <w:tab w:val="left" w:pos="851"/>
        </w:tabs>
        <w:ind w:left="851"/>
        <w:rPr>
          <w:sz w:val="24"/>
          <w:szCs w:val="24"/>
        </w:rPr>
      </w:pPr>
    </w:p>
    <w:p w14:paraId="4C5625ED" w14:textId="77777777" w:rsidR="00E04B54" w:rsidRPr="00B375F3" w:rsidRDefault="00E04B54" w:rsidP="00E04B54">
      <w:pPr>
        <w:tabs>
          <w:tab w:val="left" w:pos="851"/>
        </w:tabs>
        <w:ind w:left="851"/>
        <w:rPr>
          <w:sz w:val="24"/>
          <w:szCs w:val="24"/>
          <w:u w:val="single"/>
        </w:rPr>
      </w:pPr>
      <w:r w:rsidRPr="00B375F3">
        <w:rPr>
          <w:iCs/>
          <w:sz w:val="24"/>
          <w:szCs w:val="24"/>
          <w:u w:val="single"/>
        </w:rPr>
        <w:t>Nyreinsufficiens</w:t>
      </w:r>
    </w:p>
    <w:p w14:paraId="1FF9D4DC" w14:textId="77777777" w:rsidR="00E04B54" w:rsidRPr="00E04B54" w:rsidRDefault="00E04B54" w:rsidP="00E04B54">
      <w:pPr>
        <w:tabs>
          <w:tab w:val="left" w:pos="851"/>
        </w:tabs>
        <w:ind w:left="851"/>
        <w:rPr>
          <w:sz w:val="24"/>
          <w:szCs w:val="24"/>
        </w:rPr>
      </w:pPr>
      <w:r w:rsidRPr="00E04B54">
        <w:rPr>
          <w:sz w:val="24"/>
          <w:szCs w:val="24"/>
        </w:rPr>
        <w:t xml:space="preserve">Da der kun forekommer en ringe grad af udskillelse gennem nyrerne, er der ingen </w:t>
      </w:r>
      <w:proofErr w:type="spellStart"/>
      <w:r w:rsidRPr="00E04B54">
        <w:rPr>
          <w:sz w:val="24"/>
          <w:szCs w:val="24"/>
        </w:rPr>
        <w:t>farmakokinetisk</w:t>
      </w:r>
      <w:proofErr w:type="spellEnd"/>
      <w:r w:rsidRPr="00E04B54">
        <w:rPr>
          <w:sz w:val="24"/>
          <w:szCs w:val="24"/>
        </w:rPr>
        <w:t xml:space="preserve"> berettigelse for at nedsætte </w:t>
      </w:r>
      <w:proofErr w:type="spellStart"/>
      <w:r w:rsidRPr="00E04B54">
        <w:rPr>
          <w:sz w:val="24"/>
          <w:szCs w:val="24"/>
        </w:rPr>
        <w:t>vinorelbindosering</w:t>
      </w:r>
      <w:proofErr w:type="spellEnd"/>
      <w:r w:rsidRPr="00E04B54">
        <w:rPr>
          <w:sz w:val="24"/>
          <w:szCs w:val="24"/>
        </w:rPr>
        <w:t xml:space="preserve"> til patienter med nedsat nyrefunktion (se pkt. 4.4 og 5.2).</w:t>
      </w:r>
    </w:p>
    <w:p w14:paraId="4E67B4A4" w14:textId="77777777" w:rsidR="00E04B54" w:rsidRPr="00E04B54" w:rsidRDefault="00E04B54" w:rsidP="00E04B54">
      <w:pPr>
        <w:tabs>
          <w:tab w:val="left" w:pos="851"/>
        </w:tabs>
        <w:ind w:left="851"/>
        <w:rPr>
          <w:sz w:val="24"/>
          <w:szCs w:val="24"/>
        </w:rPr>
      </w:pPr>
    </w:p>
    <w:p w14:paraId="7B89E4AC" w14:textId="77777777" w:rsidR="00E04B54" w:rsidRPr="00E04B54" w:rsidRDefault="00E04B54" w:rsidP="00E04B54">
      <w:pPr>
        <w:tabs>
          <w:tab w:val="left" w:pos="851"/>
        </w:tabs>
        <w:ind w:left="851"/>
        <w:rPr>
          <w:sz w:val="24"/>
          <w:szCs w:val="24"/>
        </w:rPr>
      </w:pPr>
      <w:r w:rsidRPr="00E04B54">
        <w:rPr>
          <w:sz w:val="24"/>
          <w:szCs w:val="24"/>
        </w:rPr>
        <w:t xml:space="preserve">Ved håndtering af </w:t>
      </w:r>
      <w:proofErr w:type="spellStart"/>
      <w:r w:rsidRPr="00E04B54">
        <w:rPr>
          <w:sz w:val="24"/>
          <w:szCs w:val="24"/>
        </w:rPr>
        <w:t>Vinorelbine</w:t>
      </w:r>
      <w:proofErr w:type="spellEnd"/>
      <w:r w:rsidRPr="00E04B54">
        <w:rPr>
          <w:sz w:val="24"/>
          <w:szCs w:val="24"/>
        </w:rPr>
        <w:t xml:space="preserve"> "</w:t>
      </w:r>
      <w:proofErr w:type="spellStart"/>
      <w:r w:rsidRPr="00E04B54">
        <w:rPr>
          <w:sz w:val="24"/>
          <w:szCs w:val="24"/>
        </w:rPr>
        <w:t>Accord</w:t>
      </w:r>
      <w:proofErr w:type="spellEnd"/>
      <w:r w:rsidRPr="00E04B54">
        <w:rPr>
          <w:sz w:val="24"/>
          <w:szCs w:val="24"/>
        </w:rPr>
        <w:t>" skal specifikke anvisninger følges (se pkt. 6.6).</w:t>
      </w:r>
    </w:p>
    <w:p w14:paraId="1FA7CF9C" w14:textId="77777777" w:rsidR="009260DE" w:rsidRPr="00C84483" w:rsidRDefault="009260DE" w:rsidP="009260DE">
      <w:pPr>
        <w:tabs>
          <w:tab w:val="left" w:pos="851"/>
        </w:tabs>
        <w:ind w:left="851"/>
        <w:rPr>
          <w:sz w:val="24"/>
          <w:szCs w:val="24"/>
        </w:rPr>
      </w:pPr>
    </w:p>
    <w:p w14:paraId="03D4619A"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F199D86" w14:textId="77777777" w:rsidR="00E04B54" w:rsidRPr="00E04B54" w:rsidRDefault="00E04B54" w:rsidP="00F00743">
      <w:pPr>
        <w:tabs>
          <w:tab w:val="left" w:pos="1134"/>
        </w:tabs>
        <w:ind w:left="1134" w:hanging="283"/>
        <w:rPr>
          <w:sz w:val="24"/>
          <w:szCs w:val="24"/>
        </w:rPr>
      </w:pPr>
      <w:r w:rsidRPr="00E04B54">
        <w:rPr>
          <w:sz w:val="24"/>
          <w:szCs w:val="24"/>
        </w:rPr>
        <w:t>-</w:t>
      </w:r>
      <w:r w:rsidRPr="00E04B54">
        <w:rPr>
          <w:sz w:val="24"/>
          <w:szCs w:val="24"/>
        </w:rPr>
        <w:tab/>
        <w:t>Overfølsomhed over for det aktive stof, andre vincaalkaloider eller over for et eller flere af hjælpestofferne anført i pkt. 6.1</w:t>
      </w:r>
    </w:p>
    <w:p w14:paraId="04BCE624" w14:textId="77777777" w:rsidR="00E04B54" w:rsidRPr="00E04B54" w:rsidRDefault="00E04B54" w:rsidP="00F00743">
      <w:pPr>
        <w:tabs>
          <w:tab w:val="left" w:pos="1134"/>
        </w:tabs>
        <w:ind w:left="1134" w:hanging="283"/>
        <w:rPr>
          <w:sz w:val="24"/>
          <w:szCs w:val="24"/>
        </w:rPr>
      </w:pPr>
      <w:r w:rsidRPr="00E04B54">
        <w:rPr>
          <w:sz w:val="24"/>
          <w:szCs w:val="24"/>
        </w:rPr>
        <w:t>-</w:t>
      </w:r>
      <w:r w:rsidRPr="00E04B54">
        <w:rPr>
          <w:sz w:val="24"/>
          <w:szCs w:val="24"/>
        </w:rPr>
        <w:tab/>
        <w:t>Sygdom med signifikant påvirkning af absorptionen.</w:t>
      </w:r>
    </w:p>
    <w:p w14:paraId="5DD598FE" w14:textId="77777777" w:rsidR="00E04B54" w:rsidRPr="00E04B54" w:rsidRDefault="00E04B54" w:rsidP="00F00743">
      <w:pPr>
        <w:tabs>
          <w:tab w:val="left" w:pos="1134"/>
        </w:tabs>
        <w:ind w:left="1134" w:hanging="283"/>
        <w:rPr>
          <w:sz w:val="24"/>
          <w:szCs w:val="24"/>
        </w:rPr>
      </w:pPr>
      <w:r w:rsidRPr="00E04B54">
        <w:rPr>
          <w:sz w:val="24"/>
          <w:szCs w:val="24"/>
        </w:rPr>
        <w:t>-</w:t>
      </w:r>
      <w:r w:rsidRPr="00E04B54">
        <w:rPr>
          <w:sz w:val="24"/>
          <w:szCs w:val="24"/>
        </w:rPr>
        <w:tab/>
        <w:t xml:space="preserve">Tidligere signifikant kirurgisk </w:t>
      </w:r>
      <w:proofErr w:type="spellStart"/>
      <w:r w:rsidRPr="00E04B54">
        <w:rPr>
          <w:sz w:val="24"/>
          <w:szCs w:val="24"/>
        </w:rPr>
        <w:t>resektion</w:t>
      </w:r>
      <w:proofErr w:type="spellEnd"/>
      <w:r w:rsidRPr="00E04B54">
        <w:rPr>
          <w:sz w:val="24"/>
          <w:szCs w:val="24"/>
        </w:rPr>
        <w:t xml:space="preserve"> af mave eller tyndtarm.</w:t>
      </w:r>
    </w:p>
    <w:p w14:paraId="665B1EAA" w14:textId="77777777" w:rsidR="00E04B54" w:rsidRPr="00E04B54" w:rsidRDefault="00E04B54" w:rsidP="00F00743">
      <w:pPr>
        <w:tabs>
          <w:tab w:val="left" w:pos="1134"/>
        </w:tabs>
        <w:ind w:left="1134" w:hanging="283"/>
        <w:rPr>
          <w:sz w:val="24"/>
          <w:szCs w:val="24"/>
        </w:rPr>
      </w:pPr>
      <w:r w:rsidRPr="00E04B54">
        <w:rPr>
          <w:sz w:val="24"/>
          <w:szCs w:val="24"/>
        </w:rPr>
        <w:t>-</w:t>
      </w:r>
      <w:r w:rsidRPr="00E04B54">
        <w:rPr>
          <w:sz w:val="24"/>
          <w:szCs w:val="24"/>
        </w:rPr>
        <w:tab/>
      </w:r>
      <w:proofErr w:type="spellStart"/>
      <w:r w:rsidRPr="00E04B54">
        <w:rPr>
          <w:sz w:val="24"/>
          <w:szCs w:val="24"/>
        </w:rPr>
        <w:t>Neutrofiltal</w:t>
      </w:r>
      <w:proofErr w:type="spellEnd"/>
      <w:r w:rsidRPr="00E04B54">
        <w:rPr>
          <w:sz w:val="24"/>
          <w:szCs w:val="24"/>
        </w:rPr>
        <w:t xml:space="preserve"> &lt;1.500/mm</w:t>
      </w:r>
      <w:r w:rsidRPr="00E04B54">
        <w:rPr>
          <w:sz w:val="24"/>
          <w:szCs w:val="24"/>
          <w:vertAlign w:val="superscript"/>
        </w:rPr>
        <w:t>3</w:t>
      </w:r>
      <w:r w:rsidRPr="00E04B54">
        <w:rPr>
          <w:sz w:val="24"/>
          <w:szCs w:val="24"/>
        </w:rPr>
        <w:t xml:space="preserve"> eller svær aktuel eller nylig infektion (inden for de sidste 2 uger).</w:t>
      </w:r>
    </w:p>
    <w:p w14:paraId="50B44A28" w14:textId="77777777" w:rsidR="00E04B54" w:rsidRPr="00AB51DE" w:rsidRDefault="00E04B54" w:rsidP="00F00743">
      <w:pPr>
        <w:tabs>
          <w:tab w:val="left" w:pos="1134"/>
        </w:tabs>
        <w:ind w:left="1134" w:hanging="283"/>
        <w:rPr>
          <w:sz w:val="24"/>
          <w:szCs w:val="24"/>
          <w:lang w:val="sv-SE"/>
        </w:rPr>
      </w:pPr>
      <w:r w:rsidRPr="00AB51DE">
        <w:rPr>
          <w:sz w:val="24"/>
          <w:szCs w:val="24"/>
          <w:lang w:val="sv-SE"/>
        </w:rPr>
        <w:t>-</w:t>
      </w:r>
      <w:r w:rsidRPr="00AB51DE">
        <w:rPr>
          <w:sz w:val="24"/>
          <w:szCs w:val="24"/>
          <w:lang w:val="sv-SE"/>
        </w:rPr>
        <w:tab/>
        <w:t>Trombocyttal &lt;</w:t>
      </w:r>
      <w:proofErr w:type="gramStart"/>
      <w:r w:rsidRPr="00AB51DE">
        <w:rPr>
          <w:sz w:val="24"/>
          <w:szCs w:val="24"/>
          <w:lang w:val="sv-SE"/>
        </w:rPr>
        <w:t>100.000</w:t>
      </w:r>
      <w:proofErr w:type="gramEnd"/>
      <w:r w:rsidRPr="00AB51DE">
        <w:rPr>
          <w:sz w:val="24"/>
          <w:szCs w:val="24"/>
          <w:lang w:val="sv-SE"/>
        </w:rPr>
        <w:t>/mm</w:t>
      </w:r>
      <w:r w:rsidRPr="00AB51DE">
        <w:rPr>
          <w:sz w:val="24"/>
          <w:szCs w:val="24"/>
          <w:vertAlign w:val="superscript"/>
          <w:lang w:val="sv-SE"/>
        </w:rPr>
        <w:t>3</w:t>
      </w:r>
      <w:r w:rsidRPr="00AB51DE">
        <w:rPr>
          <w:sz w:val="24"/>
          <w:szCs w:val="24"/>
          <w:lang w:val="sv-SE"/>
        </w:rPr>
        <w:t>.</w:t>
      </w:r>
    </w:p>
    <w:p w14:paraId="2F8DB7AD" w14:textId="77777777" w:rsidR="00E04B54" w:rsidRPr="00AB51DE" w:rsidRDefault="00E04B54" w:rsidP="00F00743">
      <w:pPr>
        <w:tabs>
          <w:tab w:val="left" w:pos="1134"/>
        </w:tabs>
        <w:ind w:left="1134" w:hanging="283"/>
        <w:rPr>
          <w:sz w:val="24"/>
          <w:szCs w:val="24"/>
          <w:lang w:val="sv-SE"/>
        </w:rPr>
      </w:pPr>
      <w:r w:rsidRPr="00AB51DE">
        <w:rPr>
          <w:sz w:val="24"/>
          <w:szCs w:val="24"/>
          <w:lang w:val="sv-SE"/>
        </w:rPr>
        <w:t>-</w:t>
      </w:r>
      <w:r w:rsidRPr="00AB51DE">
        <w:rPr>
          <w:sz w:val="24"/>
          <w:szCs w:val="24"/>
          <w:lang w:val="sv-SE"/>
        </w:rPr>
        <w:tab/>
        <w:t>Amning (se pkt. 4.6).</w:t>
      </w:r>
    </w:p>
    <w:p w14:paraId="6ACC24D6" w14:textId="77777777" w:rsidR="00E04B54" w:rsidRPr="00E04B54" w:rsidRDefault="00E04B54" w:rsidP="00F00743">
      <w:pPr>
        <w:tabs>
          <w:tab w:val="left" w:pos="1134"/>
        </w:tabs>
        <w:ind w:left="1134" w:hanging="283"/>
        <w:rPr>
          <w:sz w:val="24"/>
          <w:szCs w:val="24"/>
        </w:rPr>
      </w:pPr>
      <w:r w:rsidRPr="00E04B54">
        <w:rPr>
          <w:sz w:val="24"/>
          <w:szCs w:val="24"/>
        </w:rPr>
        <w:t>-</w:t>
      </w:r>
      <w:r w:rsidRPr="00E04B54">
        <w:rPr>
          <w:sz w:val="24"/>
          <w:szCs w:val="24"/>
        </w:rPr>
        <w:tab/>
        <w:t>Patienter med behov for langvarig behandling med ilt.</w:t>
      </w:r>
    </w:p>
    <w:p w14:paraId="34AE2067" w14:textId="77777777" w:rsidR="00E04B54" w:rsidRPr="00E04B54" w:rsidRDefault="00E04B54" w:rsidP="00F00743">
      <w:pPr>
        <w:tabs>
          <w:tab w:val="left" w:pos="1134"/>
        </w:tabs>
        <w:ind w:left="1134" w:hanging="283"/>
        <w:rPr>
          <w:sz w:val="24"/>
          <w:szCs w:val="24"/>
        </w:rPr>
      </w:pPr>
      <w:r w:rsidRPr="00E04B54">
        <w:rPr>
          <w:sz w:val="24"/>
          <w:szCs w:val="24"/>
        </w:rPr>
        <w:t>-</w:t>
      </w:r>
      <w:r w:rsidRPr="00E04B54">
        <w:rPr>
          <w:sz w:val="24"/>
          <w:szCs w:val="24"/>
        </w:rPr>
        <w:tab/>
        <w:t>I kombination med gul feber-vaccine (se pkt. 4.5).</w:t>
      </w:r>
    </w:p>
    <w:p w14:paraId="171DD03C" w14:textId="77777777" w:rsidR="00E04B54" w:rsidRPr="00E04B54" w:rsidRDefault="00E04B54" w:rsidP="00E04B54">
      <w:pPr>
        <w:tabs>
          <w:tab w:val="left" w:pos="851"/>
        </w:tabs>
        <w:ind w:left="851"/>
        <w:rPr>
          <w:sz w:val="24"/>
          <w:szCs w:val="24"/>
        </w:rPr>
      </w:pPr>
    </w:p>
    <w:p w14:paraId="3974E6EB"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F4D4BEB" w14:textId="77777777" w:rsidR="00396D32" w:rsidRDefault="00396D32" w:rsidP="00E04B54">
      <w:pPr>
        <w:tabs>
          <w:tab w:val="left" w:pos="851"/>
        </w:tabs>
        <w:ind w:left="851"/>
        <w:rPr>
          <w:sz w:val="24"/>
          <w:szCs w:val="24"/>
          <w:u w:val="single"/>
        </w:rPr>
      </w:pPr>
    </w:p>
    <w:p w14:paraId="3B6E7AEB" w14:textId="555CAC5D" w:rsidR="00E04B54" w:rsidRPr="00E04B54" w:rsidRDefault="00E04B54" w:rsidP="00E04B54">
      <w:pPr>
        <w:tabs>
          <w:tab w:val="left" w:pos="851"/>
        </w:tabs>
        <w:ind w:left="851"/>
        <w:rPr>
          <w:sz w:val="24"/>
          <w:szCs w:val="24"/>
          <w:u w:val="single"/>
        </w:rPr>
      </w:pPr>
      <w:r w:rsidRPr="00E04B54">
        <w:rPr>
          <w:sz w:val="24"/>
          <w:szCs w:val="24"/>
          <w:u w:val="single"/>
        </w:rPr>
        <w:t>Særlige advarsler</w:t>
      </w:r>
    </w:p>
    <w:p w14:paraId="186E4D8F" w14:textId="77777777" w:rsidR="00E04B54" w:rsidRPr="00E04B54" w:rsidRDefault="00E04B54" w:rsidP="00E04B54">
      <w:pPr>
        <w:tabs>
          <w:tab w:val="left" w:pos="851"/>
        </w:tabs>
        <w:ind w:left="851"/>
        <w:rPr>
          <w:sz w:val="24"/>
          <w:szCs w:val="24"/>
        </w:rPr>
      </w:pPr>
      <w:proofErr w:type="spellStart"/>
      <w:r w:rsidRPr="00E04B54">
        <w:rPr>
          <w:sz w:val="24"/>
          <w:szCs w:val="24"/>
        </w:rPr>
        <w:t>Vinorelbin</w:t>
      </w:r>
      <w:proofErr w:type="spellEnd"/>
      <w:r w:rsidRPr="00E04B54">
        <w:rPr>
          <w:sz w:val="24"/>
          <w:szCs w:val="24"/>
        </w:rPr>
        <w:t xml:space="preserve"> skal ordineres af en læge, som har erfaring med anvendelse af kemoterapi og med faciliteter til monitorering af </w:t>
      </w:r>
      <w:proofErr w:type="spellStart"/>
      <w:r w:rsidRPr="00E04B54">
        <w:rPr>
          <w:sz w:val="24"/>
          <w:szCs w:val="24"/>
        </w:rPr>
        <w:t>cytotoksika</w:t>
      </w:r>
      <w:proofErr w:type="spellEnd"/>
      <w:r w:rsidRPr="00E04B54">
        <w:rPr>
          <w:sz w:val="24"/>
          <w:szCs w:val="24"/>
        </w:rPr>
        <w:t>.</w:t>
      </w:r>
    </w:p>
    <w:p w14:paraId="5AA225AA" w14:textId="77777777" w:rsidR="00E04B54" w:rsidRPr="00E04B54" w:rsidRDefault="00E04B54" w:rsidP="00E04B54">
      <w:pPr>
        <w:tabs>
          <w:tab w:val="left" w:pos="851"/>
        </w:tabs>
        <w:ind w:left="851"/>
        <w:rPr>
          <w:sz w:val="24"/>
          <w:szCs w:val="24"/>
        </w:rPr>
      </w:pPr>
    </w:p>
    <w:p w14:paraId="198BC5E0" w14:textId="77777777" w:rsidR="00E04B54" w:rsidRPr="00E04B54" w:rsidRDefault="00E04B54" w:rsidP="00E04B54">
      <w:pPr>
        <w:tabs>
          <w:tab w:val="left" w:pos="851"/>
        </w:tabs>
        <w:ind w:left="851"/>
        <w:rPr>
          <w:sz w:val="24"/>
          <w:szCs w:val="24"/>
        </w:rPr>
      </w:pPr>
      <w:r w:rsidRPr="00E04B54">
        <w:rPr>
          <w:sz w:val="24"/>
          <w:szCs w:val="24"/>
        </w:rPr>
        <w:t xml:space="preserve">Hvis patienten utilsigtet tygger eller sutter på kapslen, er væsken en </w:t>
      </w:r>
      <w:proofErr w:type="spellStart"/>
      <w:r w:rsidRPr="00E04B54">
        <w:rPr>
          <w:sz w:val="24"/>
          <w:szCs w:val="24"/>
        </w:rPr>
        <w:t>irritant</w:t>
      </w:r>
      <w:proofErr w:type="spellEnd"/>
      <w:r w:rsidRPr="00E04B54">
        <w:rPr>
          <w:sz w:val="24"/>
          <w:szCs w:val="24"/>
        </w:rPr>
        <w:t>. Skyl munden med vand eller fortrinsvis med fysiologisk saltvand.</w:t>
      </w:r>
    </w:p>
    <w:p w14:paraId="2232D10F" w14:textId="77777777" w:rsidR="00E04B54" w:rsidRPr="00E04B54" w:rsidRDefault="00E04B54" w:rsidP="00E04B54">
      <w:pPr>
        <w:tabs>
          <w:tab w:val="left" w:pos="851"/>
        </w:tabs>
        <w:ind w:left="851"/>
        <w:rPr>
          <w:sz w:val="24"/>
          <w:szCs w:val="24"/>
        </w:rPr>
      </w:pPr>
    </w:p>
    <w:p w14:paraId="128AE626" w14:textId="77777777" w:rsidR="00E04B54" w:rsidRPr="00E04B54" w:rsidRDefault="00E04B54" w:rsidP="00E04B54">
      <w:pPr>
        <w:tabs>
          <w:tab w:val="left" w:pos="851"/>
        </w:tabs>
        <w:ind w:left="851"/>
        <w:rPr>
          <w:sz w:val="24"/>
          <w:szCs w:val="24"/>
        </w:rPr>
      </w:pPr>
      <w:r w:rsidRPr="00E04B54">
        <w:rPr>
          <w:sz w:val="24"/>
          <w:szCs w:val="24"/>
        </w:rPr>
        <w:t xml:space="preserve">Hvis kapslen er utæt eller beskadiget, er væsken en </w:t>
      </w:r>
      <w:proofErr w:type="spellStart"/>
      <w:r w:rsidRPr="00E04B54">
        <w:rPr>
          <w:sz w:val="24"/>
          <w:szCs w:val="24"/>
        </w:rPr>
        <w:t>irritant</w:t>
      </w:r>
      <w:proofErr w:type="spellEnd"/>
      <w:r w:rsidRPr="00E04B54">
        <w:rPr>
          <w:sz w:val="24"/>
          <w:szCs w:val="24"/>
        </w:rPr>
        <w:t xml:space="preserve"> og kan derfor forårsage beskadigelse ved kontakt med hud, slimhinder eller øjne. Beskadigede kapsler må ikke indtages, men skal returneres til apoteket, hospitalet eller lægen med henblik på korrekt bortskaffelse. Ved kontakt med kapselindholdet skylles straks grundigt med vand eller fortrinsvis med fysiologisk saltvand.</w:t>
      </w:r>
    </w:p>
    <w:p w14:paraId="75ABEE08" w14:textId="77777777" w:rsidR="00E04B54" w:rsidRPr="00E04B54" w:rsidRDefault="00E04B54" w:rsidP="00E04B54">
      <w:pPr>
        <w:tabs>
          <w:tab w:val="left" w:pos="851"/>
        </w:tabs>
        <w:ind w:left="851"/>
        <w:rPr>
          <w:sz w:val="24"/>
          <w:szCs w:val="24"/>
        </w:rPr>
      </w:pPr>
    </w:p>
    <w:p w14:paraId="5FD7ABE1" w14:textId="77777777" w:rsidR="00E04B54" w:rsidRPr="00E04B54" w:rsidRDefault="00E04B54" w:rsidP="00E04B54">
      <w:pPr>
        <w:tabs>
          <w:tab w:val="left" w:pos="851"/>
        </w:tabs>
        <w:ind w:left="851"/>
        <w:rPr>
          <w:sz w:val="24"/>
          <w:szCs w:val="24"/>
        </w:rPr>
      </w:pPr>
      <w:r w:rsidRPr="00E04B54">
        <w:rPr>
          <w:sz w:val="24"/>
          <w:szCs w:val="24"/>
        </w:rPr>
        <w:t xml:space="preserve">Ved opkastning inden for få timer efter indtagelse af lægemidlet, må dosis ikke gentages. Understøttende behandling (fx med </w:t>
      </w:r>
      <w:proofErr w:type="spellStart"/>
      <w:r w:rsidRPr="00E04B54">
        <w:rPr>
          <w:sz w:val="24"/>
          <w:szCs w:val="24"/>
        </w:rPr>
        <w:t>metoclopramid</w:t>
      </w:r>
      <w:proofErr w:type="spellEnd"/>
      <w:r w:rsidRPr="00E04B54">
        <w:rPr>
          <w:sz w:val="24"/>
          <w:szCs w:val="24"/>
        </w:rPr>
        <w:t xml:space="preserve"> eller 5HT3-antagonister, fx </w:t>
      </w:r>
      <w:proofErr w:type="spellStart"/>
      <w:r w:rsidRPr="00E04B54">
        <w:rPr>
          <w:sz w:val="24"/>
          <w:szCs w:val="24"/>
        </w:rPr>
        <w:t>ondansetron</w:t>
      </w:r>
      <w:proofErr w:type="spellEnd"/>
      <w:r w:rsidRPr="00E04B54">
        <w:rPr>
          <w:sz w:val="24"/>
          <w:szCs w:val="24"/>
        </w:rPr>
        <w:t xml:space="preserve"> eller </w:t>
      </w:r>
      <w:proofErr w:type="spellStart"/>
      <w:r w:rsidRPr="00E04B54">
        <w:rPr>
          <w:sz w:val="24"/>
          <w:szCs w:val="24"/>
        </w:rPr>
        <w:t>granisetron</w:t>
      </w:r>
      <w:proofErr w:type="spellEnd"/>
      <w:r w:rsidRPr="00E04B54">
        <w:rPr>
          <w:sz w:val="24"/>
          <w:szCs w:val="24"/>
        </w:rPr>
        <w:t>) kan reducere risikoen for opkastning (se pkt. 4.5).</w:t>
      </w:r>
    </w:p>
    <w:p w14:paraId="6FE9C40E" w14:textId="77777777" w:rsidR="00E04B54" w:rsidRPr="00E04B54" w:rsidRDefault="00E04B54" w:rsidP="00E04B54">
      <w:pPr>
        <w:tabs>
          <w:tab w:val="left" w:pos="851"/>
        </w:tabs>
        <w:ind w:left="851"/>
        <w:rPr>
          <w:sz w:val="24"/>
          <w:szCs w:val="24"/>
        </w:rPr>
      </w:pPr>
    </w:p>
    <w:p w14:paraId="76134DCF" w14:textId="77777777" w:rsidR="00E04B54" w:rsidRPr="00E04B54" w:rsidRDefault="00E04B54" w:rsidP="00E04B54">
      <w:pPr>
        <w:tabs>
          <w:tab w:val="left" w:pos="851"/>
        </w:tabs>
        <w:ind w:left="851"/>
        <w:rPr>
          <w:sz w:val="24"/>
          <w:szCs w:val="24"/>
        </w:rPr>
      </w:pPr>
      <w:proofErr w:type="spellStart"/>
      <w:r w:rsidRPr="00E04B54">
        <w:rPr>
          <w:sz w:val="24"/>
          <w:szCs w:val="24"/>
        </w:rPr>
        <w:t>Vinorelbin</w:t>
      </w:r>
      <w:proofErr w:type="spellEnd"/>
      <w:r w:rsidRPr="00E04B54">
        <w:rPr>
          <w:sz w:val="24"/>
          <w:szCs w:val="24"/>
        </w:rPr>
        <w:t xml:space="preserve"> som bløde kapsler er forbundet med en højere forekomst af kvalme/opkastning end den intravenøse formulering.</w:t>
      </w:r>
    </w:p>
    <w:p w14:paraId="5D9D00CC" w14:textId="77777777" w:rsidR="00E04B54" w:rsidRPr="00E04B54" w:rsidRDefault="00E04B54" w:rsidP="00E04B54">
      <w:pPr>
        <w:tabs>
          <w:tab w:val="left" w:pos="851"/>
        </w:tabs>
        <w:ind w:left="851"/>
        <w:rPr>
          <w:sz w:val="24"/>
          <w:szCs w:val="24"/>
        </w:rPr>
      </w:pPr>
      <w:r w:rsidRPr="00E04B54">
        <w:rPr>
          <w:sz w:val="24"/>
          <w:szCs w:val="24"/>
        </w:rPr>
        <w:lastRenderedPageBreak/>
        <w:t xml:space="preserve">Primær profylakse med </w:t>
      </w:r>
      <w:proofErr w:type="spellStart"/>
      <w:r w:rsidRPr="00E04B54">
        <w:rPr>
          <w:sz w:val="24"/>
          <w:szCs w:val="24"/>
        </w:rPr>
        <w:t>antiemetika</w:t>
      </w:r>
      <w:proofErr w:type="spellEnd"/>
      <w:r w:rsidRPr="00E04B54">
        <w:rPr>
          <w:sz w:val="24"/>
          <w:szCs w:val="24"/>
        </w:rPr>
        <w:t xml:space="preserve"> og indtagelse af kapslerne sammen med lidt mad anbefales, da det har vist sig at reducere forekomsten af kvalme og opkastning (se pkt. 4.2).</w:t>
      </w:r>
    </w:p>
    <w:p w14:paraId="6B348306" w14:textId="77777777" w:rsidR="00E04B54" w:rsidRPr="00E04B54" w:rsidRDefault="00E04B54" w:rsidP="00E04B54">
      <w:pPr>
        <w:tabs>
          <w:tab w:val="left" w:pos="851"/>
        </w:tabs>
        <w:ind w:left="851"/>
        <w:rPr>
          <w:sz w:val="24"/>
          <w:szCs w:val="24"/>
        </w:rPr>
      </w:pPr>
    </w:p>
    <w:p w14:paraId="5893731E" w14:textId="77777777" w:rsidR="00E04B54" w:rsidRPr="00E04B54" w:rsidRDefault="00E04B54" w:rsidP="00E04B54">
      <w:pPr>
        <w:tabs>
          <w:tab w:val="left" w:pos="851"/>
        </w:tabs>
        <w:ind w:left="851"/>
        <w:rPr>
          <w:sz w:val="24"/>
          <w:szCs w:val="24"/>
        </w:rPr>
      </w:pPr>
      <w:r w:rsidRPr="00E04B54">
        <w:rPr>
          <w:sz w:val="24"/>
          <w:szCs w:val="24"/>
        </w:rPr>
        <w:t xml:space="preserve">Patienter, som får samtidig morfin eller </w:t>
      </w:r>
      <w:proofErr w:type="spellStart"/>
      <w:r w:rsidRPr="00E04B54">
        <w:rPr>
          <w:sz w:val="24"/>
          <w:szCs w:val="24"/>
        </w:rPr>
        <w:t>opioidanalgetika</w:t>
      </w:r>
      <w:proofErr w:type="spellEnd"/>
      <w:r w:rsidRPr="00E04B54">
        <w:rPr>
          <w:sz w:val="24"/>
          <w:szCs w:val="24"/>
        </w:rPr>
        <w:t>: laksativer og nøje overvågning af tarmfunktion anbefales. Ordinering af laksativer kan være relevant hos patienter med tidligere forstoppelse i anamnesen.</w:t>
      </w:r>
    </w:p>
    <w:p w14:paraId="2BB41C24" w14:textId="77777777" w:rsidR="00E04B54" w:rsidRPr="00E04B54" w:rsidRDefault="00E04B54" w:rsidP="00E04B54">
      <w:pPr>
        <w:tabs>
          <w:tab w:val="left" w:pos="851"/>
        </w:tabs>
        <w:ind w:left="851"/>
        <w:rPr>
          <w:sz w:val="24"/>
          <w:szCs w:val="24"/>
        </w:rPr>
      </w:pPr>
    </w:p>
    <w:p w14:paraId="2FC6C64B" w14:textId="77777777" w:rsidR="00E04B54" w:rsidRPr="00E04B54" w:rsidRDefault="00E04B54" w:rsidP="00E04B54">
      <w:pPr>
        <w:tabs>
          <w:tab w:val="left" w:pos="851"/>
        </w:tabs>
        <w:ind w:left="851"/>
        <w:rPr>
          <w:sz w:val="24"/>
          <w:szCs w:val="24"/>
        </w:rPr>
      </w:pPr>
      <w:r w:rsidRPr="00E04B54">
        <w:rPr>
          <w:sz w:val="24"/>
          <w:szCs w:val="24"/>
        </w:rPr>
        <w:t xml:space="preserve">Der skal foretages nøje hæmatologisk monitorering under behandlingen (bestemmelse af hæmoglobinniveau og leukocyttal, </w:t>
      </w:r>
      <w:proofErr w:type="spellStart"/>
      <w:r w:rsidRPr="00E04B54">
        <w:rPr>
          <w:sz w:val="24"/>
          <w:szCs w:val="24"/>
        </w:rPr>
        <w:t>neutrofiltal</w:t>
      </w:r>
      <w:proofErr w:type="spellEnd"/>
      <w:r w:rsidRPr="00E04B54">
        <w:rPr>
          <w:sz w:val="24"/>
          <w:szCs w:val="24"/>
        </w:rPr>
        <w:t xml:space="preserve"> og </w:t>
      </w:r>
      <w:proofErr w:type="spellStart"/>
      <w:r w:rsidRPr="00E04B54">
        <w:rPr>
          <w:sz w:val="24"/>
          <w:szCs w:val="24"/>
        </w:rPr>
        <w:t>trombocyttal</w:t>
      </w:r>
      <w:proofErr w:type="spellEnd"/>
      <w:r w:rsidRPr="00E04B54">
        <w:rPr>
          <w:sz w:val="24"/>
          <w:szCs w:val="24"/>
        </w:rPr>
        <w:t xml:space="preserve"> på dagen for hver ny administration).</w:t>
      </w:r>
    </w:p>
    <w:p w14:paraId="77B1EDB4" w14:textId="77777777" w:rsidR="00E04B54" w:rsidRPr="00E04B54" w:rsidRDefault="00E04B54" w:rsidP="00E04B54">
      <w:pPr>
        <w:tabs>
          <w:tab w:val="left" w:pos="851"/>
        </w:tabs>
        <w:ind w:left="851"/>
        <w:rPr>
          <w:sz w:val="24"/>
          <w:szCs w:val="24"/>
        </w:rPr>
      </w:pPr>
    </w:p>
    <w:p w14:paraId="7FF91703" w14:textId="77777777" w:rsidR="00E04B54" w:rsidRPr="00E04B54" w:rsidRDefault="00E04B54" w:rsidP="00E04B54">
      <w:pPr>
        <w:tabs>
          <w:tab w:val="left" w:pos="851"/>
        </w:tabs>
        <w:ind w:left="851"/>
        <w:rPr>
          <w:sz w:val="24"/>
          <w:szCs w:val="24"/>
        </w:rPr>
      </w:pPr>
      <w:r w:rsidRPr="00E04B54">
        <w:rPr>
          <w:sz w:val="24"/>
          <w:szCs w:val="24"/>
        </w:rPr>
        <w:t>Doseringen skal fastlægges ud fra hæmatologisk status:</w:t>
      </w:r>
    </w:p>
    <w:p w14:paraId="11F4BB6A" w14:textId="77777777" w:rsidR="00E04B54" w:rsidRPr="00E04B54" w:rsidRDefault="00E04B54" w:rsidP="00950468">
      <w:pPr>
        <w:tabs>
          <w:tab w:val="left" w:pos="1134"/>
        </w:tabs>
        <w:ind w:left="1134" w:hanging="283"/>
        <w:rPr>
          <w:sz w:val="24"/>
          <w:szCs w:val="24"/>
        </w:rPr>
      </w:pPr>
      <w:r w:rsidRPr="00E04B54">
        <w:rPr>
          <w:sz w:val="24"/>
          <w:szCs w:val="24"/>
        </w:rPr>
        <w:t>-</w:t>
      </w:r>
      <w:r w:rsidRPr="00E04B54">
        <w:rPr>
          <w:sz w:val="24"/>
          <w:szCs w:val="24"/>
        </w:rPr>
        <w:tab/>
        <w:t xml:space="preserve">Hvis </w:t>
      </w:r>
      <w:proofErr w:type="spellStart"/>
      <w:r w:rsidRPr="00E04B54">
        <w:rPr>
          <w:sz w:val="24"/>
          <w:szCs w:val="24"/>
        </w:rPr>
        <w:t>neutrofiltallet</w:t>
      </w:r>
      <w:proofErr w:type="spellEnd"/>
      <w:r w:rsidRPr="00E04B54">
        <w:rPr>
          <w:sz w:val="24"/>
          <w:szCs w:val="24"/>
        </w:rPr>
        <w:t xml:space="preserve"> er under 1.500/mm</w:t>
      </w:r>
      <w:r w:rsidRPr="00E04B54">
        <w:rPr>
          <w:sz w:val="24"/>
          <w:szCs w:val="24"/>
          <w:vertAlign w:val="superscript"/>
        </w:rPr>
        <w:t>3</w:t>
      </w:r>
      <w:r w:rsidRPr="00E04B54">
        <w:rPr>
          <w:sz w:val="24"/>
          <w:szCs w:val="24"/>
        </w:rPr>
        <w:t xml:space="preserve"> og/eller </w:t>
      </w:r>
      <w:proofErr w:type="spellStart"/>
      <w:r w:rsidRPr="00E04B54">
        <w:rPr>
          <w:sz w:val="24"/>
          <w:szCs w:val="24"/>
        </w:rPr>
        <w:t>trombocyttallet</w:t>
      </w:r>
      <w:proofErr w:type="spellEnd"/>
      <w:r w:rsidRPr="00E04B54">
        <w:rPr>
          <w:sz w:val="24"/>
          <w:szCs w:val="24"/>
        </w:rPr>
        <w:t xml:space="preserve"> ligger under 100.000/mm</w:t>
      </w:r>
      <w:r w:rsidRPr="00E04B54">
        <w:rPr>
          <w:sz w:val="24"/>
          <w:szCs w:val="24"/>
          <w:vertAlign w:val="superscript"/>
        </w:rPr>
        <w:t>3</w:t>
      </w:r>
      <w:r w:rsidRPr="00E04B54">
        <w:rPr>
          <w:sz w:val="24"/>
          <w:szCs w:val="24"/>
        </w:rPr>
        <w:t>, skal behandlingen udskydes indtil normalisering.</w:t>
      </w:r>
    </w:p>
    <w:p w14:paraId="74C68595" w14:textId="77777777" w:rsidR="00E04B54" w:rsidRPr="00E04B54" w:rsidRDefault="00E04B54" w:rsidP="00950468">
      <w:pPr>
        <w:tabs>
          <w:tab w:val="left" w:pos="1134"/>
        </w:tabs>
        <w:ind w:left="1134" w:hanging="283"/>
        <w:rPr>
          <w:sz w:val="24"/>
          <w:szCs w:val="24"/>
        </w:rPr>
      </w:pPr>
      <w:r w:rsidRPr="00E04B54">
        <w:rPr>
          <w:sz w:val="24"/>
          <w:szCs w:val="24"/>
        </w:rPr>
        <w:t>-</w:t>
      </w:r>
      <w:r w:rsidRPr="00E04B54">
        <w:rPr>
          <w:sz w:val="24"/>
          <w:szCs w:val="24"/>
        </w:rPr>
        <w:tab/>
        <w:t>Vedrørende eskalering af dosis fra 60 til 80 mg/m</w:t>
      </w:r>
      <w:r w:rsidRPr="00E04B54">
        <w:rPr>
          <w:sz w:val="24"/>
          <w:szCs w:val="24"/>
          <w:vertAlign w:val="superscript"/>
        </w:rPr>
        <w:t>2</w:t>
      </w:r>
      <w:r w:rsidRPr="00E04B54">
        <w:rPr>
          <w:sz w:val="24"/>
          <w:szCs w:val="24"/>
        </w:rPr>
        <w:t xml:space="preserve"> om ugen efter 3. administration henvises der til pkt. 4.2.</w:t>
      </w:r>
    </w:p>
    <w:p w14:paraId="7EFF882E" w14:textId="77777777" w:rsidR="00E04B54" w:rsidRPr="00E04B54" w:rsidRDefault="00E04B54" w:rsidP="00950468">
      <w:pPr>
        <w:tabs>
          <w:tab w:val="left" w:pos="1134"/>
        </w:tabs>
        <w:ind w:left="1134" w:hanging="283"/>
        <w:rPr>
          <w:sz w:val="24"/>
          <w:szCs w:val="24"/>
        </w:rPr>
      </w:pPr>
      <w:r w:rsidRPr="00E04B54">
        <w:rPr>
          <w:sz w:val="24"/>
          <w:szCs w:val="24"/>
        </w:rPr>
        <w:t>-</w:t>
      </w:r>
      <w:r w:rsidRPr="00E04B54">
        <w:rPr>
          <w:sz w:val="24"/>
          <w:szCs w:val="24"/>
        </w:rPr>
        <w:tab/>
        <w:t>Vedrørende administration af doser på 80 mg/m</w:t>
      </w:r>
      <w:r w:rsidRPr="00E04B54">
        <w:rPr>
          <w:sz w:val="24"/>
          <w:szCs w:val="24"/>
          <w:vertAlign w:val="superscript"/>
        </w:rPr>
        <w:t>2</w:t>
      </w:r>
      <w:r w:rsidRPr="00E04B54">
        <w:rPr>
          <w:sz w:val="24"/>
          <w:szCs w:val="24"/>
        </w:rPr>
        <w:t xml:space="preserve"> skal administration udskydes indtil normalisering, hvis </w:t>
      </w:r>
      <w:proofErr w:type="spellStart"/>
      <w:r w:rsidRPr="00E04B54">
        <w:rPr>
          <w:sz w:val="24"/>
          <w:szCs w:val="24"/>
        </w:rPr>
        <w:t>neutrofiltallet</w:t>
      </w:r>
      <w:proofErr w:type="spellEnd"/>
      <w:r w:rsidRPr="00E04B54">
        <w:rPr>
          <w:sz w:val="24"/>
          <w:szCs w:val="24"/>
        </w:rPr>
        <w:t xml:space="preserve"> ligger under 500/mm</w:t>
      </w:r>
      <w:r w:rsidRPr="00E04B54">
        <w:rPr>
          <w:sz w:val="24"/>
          <w:szCs w:val="24"/>
          <w:vertAlign w:val="superscript"/>
        </w:rPr>
        <w:t>3</w:t>
      </w:r>
      <w:r w:rsidRPr="00E04B54">
        <w:rPr>
          <w:sz w:val="24"/>
          <w:szCs w:val="24"/>
        </w:rPr>
        <w:t xml:space="preserve"> eller mere end en enkelt gang ligger i intervallet 500-1.000/mm</w:t>
      </w:r>
      <w:r w:rsidRPr="00E04B54">
        <w:rPr>
          <w:sz w:val="24"/>
          <w:szCs w:val="24"/>
          <w:vertAlign w:val="superscript"/>
        </w:rPr>
        <w:t>3</w:t>
      </w:r>
      <w:r w:rsidRPr="00E04B54">
        <w:rPr>
          <w:sz w:val="24"/>
          <w:szCs w:val="24"/>
        </w:rPr>
        <w:t>. Administrationen skal ikke blot udskydes, men skal også nedsættes til 60 mg/m</w:t>
      </w:r>
      <w:r w:rsidRPr="00E04B54">
        <w:rPr>
          <w:sz w:val="24"/>
          <w:szCs w:val="24"/>
          <w:vertAlign w:val="superscript"/>
        </w:rPr>
        <w:t>2</w:t>
      </w:r>
      <w:r w:rsidRPr="00E04B54">
        <w:rPr>
          <w:sz w:val="24"/>
          <w:szCs w:val="24"/>
        </w:rPr>
        <w:t xml:space="preserve"> om ugen. Det er muligt at genoptrappe dosis fra 60 til 80 mg/m</w:t>
      </w:r>
      <w:r w:rsidRPr="00E04B54">
        <w:rPr>
          <w:sz w:val="24"/>
          <w:szCs w:val="24"/>
          <w:vertAlign w:val="superscript"/>
        </w:rPr>
        <w:t>2</w:t>
      </w:r>
      <w:r w:rsidRPr="00E04B54">
        <w:rPr>
          <w:sz w:val="24"/>
          <w:szCs w:val="24"/>
        </w:rPr>
        <w:t xml:space="preserve"> om ugen (se pkt. 4.2).</w:t>
      </w:r>
    </w:p>
    <w:p w14:paraId="2C185203" w14:textId="77777777" w:rsidR="00E04B54" w:rsidRPr="00E04B54" w:rsidRDefault="00E04B54" w:rsidP="00E04B54">
      <w:pPr>
        <w:tabs>
          <w:tab w:val="left" w:pos="851"/>
        </w:tabs>
        <w:ind w:left="851"/>
        <w:rPr>
          <w:sz w:val="24"/>
          <w:szCs w:val="24"/>
        </w:rPr>
      </w:pPr>
    </w:p>
    <w:p w14:paraId="3C0EF5F6" w14:textId="77777777" w:rsidR="00E04B54" w:rsidRPr="00E04B54" w:rsidRDefault="00E04B54" w:rsidP="00E04B54">
      <w:pPr>
        <w:tabs>
          <w:tab w:val="left" w:pos="851"/>
        </w:tabs>
        <w:ind w:left="851"/>
        <w:rPr>
          <w:sz w:val="24"/>
          <w:szCs w:val="24"/>
        </w:rPr>
      </w:pPr>
      <w:r w:rsidRPr="00E04B54">
        <w:rPr>
          <w:sz w:val="24"/>
          <w:szCs w:val="24"/>
        </w:rPr>
        <w:t>Under kliniske forsøg, hvor behandling blev indledt med 80 mg/m</w:t>
      </w:r>
      <w:r w:rsidRPr="00E04B54">
        <w:rPr>
          <w:sz w:val="24"/>
          <w:szCs w:val="24"/>
          <w:vertAlign w:val="superscript"/>
        </w:rPr>
        <w:t>2</w:t>
      </w:r>
      <w:r w:rsidRPr="00E04B54">
        <w:rPr>
          <w:sz w:val="24"/>
          <w:szCs w:val="24"/>
        </w:rPr>
        <w:t xml:space="preserve">, udviklede nogle få patienter </w:t>
      </w:r>
      <w:proofErr w:type="spellStart"/>
      <w:r w:rsidRPr="00E04B54">
        <w:rPr>
          <w:sz w:val="24"/>
          <w:szCs w:val="24"/>
        </w:rPr>
        <w:t>ekscessive</w:t>
      </w:r>
      <w:proofErr w:type="spellEnd"/>
      <w:r w:rsidRPr="00E04B54">
        <w:rPr>
          <w:sz w:val="24"/>
          <w:szCs w:val="24"/>
        </w:rPr>
        <w:t xml:space="preserve"> </w:t>
      </w:r>
      <w:proofErr w:type="spellStart"/>
      <w:r w:rsidRPr="00E04B54">
        <w:rPr>
          <w:sz w:val="24"/>
          <w:szCs w:val="24"/>
        </w:rPr>
        <w:t>neutropene</w:t>
      </w:r>
      <w:proofErr w:type="spellEnd"/>
      <w:r w:rsidRPr="00E04B54">
        <w:rPr>
          <w:sz w:val="24"/>
          <w:szCs w:val="24"/>
        </w:rPr>
        <w:t xml:space="preserve"> komplikationer, heriblandt patienter med ringe performancestatus. Det anbefales derfor at lade startdosis være 60 mg/m</w:t>
      </w:r>
      <w:r w:rsidRPr="00E04B54">
        <w:rPr>
          <w:sz w:val="24"/>
          <w:szCs w:val="24"/>
          <w:vertAlign w:val="superscript"/>
        </w:rPr>
        <w:t>2</w:t>
      </w:r>
      <w:r w:rsidRPr="00E04B54">
        <w:rPr>
          <w:sz w:val="24"/>
          <w:szCs w:val="24"/>
        </w:rPr>
        <w:t xml:space="preserve"> og optrappe til 80 mg/m</w:t>
      </w:r>
      <w:r w:rsidRPr="00E04B54">
        <w:rPr>
          <w:sz w:val="24"/>
          <w:szCs w:val="24"/>
          <w:vertAlign w:val="superscript"/>
        </w:rPr>
        <w:t>2</w:t>
      </w:r>
      <w:r w:rsidRPr="00E04B54">
        <w:rPr>
          <w:sz w:val="24"/>
          <w:szCs w:val="24"/>
        </w:rPr>
        <w:t>, hvis dosis tolereres (se pkt. 4.2).</w:t>
      </w:r>
    </w:p>
    <w:p w14:paraId="24FEB30A" w14:textId="77777777" w:rsidR="00E04B54" w:rsidRPr="00E04B54" w:rsidRDefault="00E04B54" w:rsidP="00E04B54">
      <w:pPr>
        <w:tabs>
          <w:tab w:val="left" w:pos="851"/>
        </w:tabs>
        <w:ind w:left="851"/>
        <w:rPr>
          <w:sz w:val="24"/>
          <w:szCs w:val="24"/>
        </w:rPr>
      </w:pPr>
    </w:p>
    <w:p w14:paraId="5A2743D9" w14:textId="77777777" w:rsidR="00E04B54" w:rsidRPr="00E04B54" w:rsidRDefault="00E04B54" w:rsidP="00E04B54">
      <w:pPr>
        <w:tabs>
          <w:tab w:val="left" w:pos="851"/>
        </w:tabs>
        <w:ind w:left="851"/>
        <w:rPr>
          <w:sz w:val="24"/>
          <w:szCs w:val="24"/>
        </w:rPr>
      </w:pPr>
      <w:r w:rsidRPr="00E04B54">
        <w:rPr>
          <w:sz w:val="24"/>
          <w:szCs w:val="24"/>
        </w:rPr>
        <w:t>Hvis patienten udviser tegn eller symptomer, som tyder på infektion, skal dette straks undersøges nærmere.</w:t>
      </w:r>
    </w:p>
    <w:p w14:paraId="63604400" w14:textId="77777777" w:rsidR="00E04B54" w:rsidRPr="00E04B54" w:rsidRDefault="00E04B54" w:rsidP="00E04B54">
      <w:pPr>
        <w:tabs>
          <w:tab w:val="left" w:pos="851"/>
        </w:tabs>
        <w:ind w:left="851"/>
        <w:rPr>
          <w:sz w:val="24"/>
          <w:szCs w:val="24"/>
        </w:rPr>
      </w:pPr>
    </w:p>
    <w:p w14:paraId="7B2D9EA4" w14:textId="77777777" w:rsidR="00E04B54" w:rsidRPr="00E04B54" w:rsidRDefault="00E04B54" w:rsidP="00E04B54">
      <w:pPr>
        <w:tabs>
          <w:tab w:val="left" w:pos="851"/>
        </w:tabs>
        <w:ind w:left="851"/>
        <w:rPr>
          <w:b/>
          <w:sz w:val="24"/>
          <w:szCs w:val="24"/>
        </w:rPr>
      </w:pPr>
      <w:r w:rsidRPr="00E04B54">
        <w:rPr>
          <w:b/>
          <w:bCs/>
          <w:sz w:val="24"/>
          <w:szCs w:val="24"/>
        </w:rPr>
        <w:t>Særlige forsigtighedsregler vedrørende brugen</w:t>
      </w:r>
    </w:p>
    <w:p w14:paraId="202BF882" w14:textId="77777777" w:rsidR="00E04B54" w:rsidRPr="00E04B54" w:rsidRDefault="00E04B54" w:rsidP="00E04B54">
      <w:pPr>
        <w:tabs>
          <w:tab w:val="left" w:pos="851"/>
        </w:tabs>
        <w:ind w:left="851"/>
        <w:rPr>
          <w:sz w:val="24"/>
          <w:szCs w:val="24"/>
        </w:rPr>
      </w:pPr>
      <w:r w:rsidRPr="00E04B54">
        <w:rPr>
          <w:sz w:val="24"/>
          <w:szCs w:val="24"/>
        </w:rPr>
        <w:t>Der skal træffes særlige forholdsregler ved ordination til patienter med:</w:t>
      </w:r>
    </w:p>
    <w:p w14:paraId="51E961AD" w14:textId="77777777" w:rsidR="00E04B54" w:rsidRPr="00E04B54" w:rsidRDefault="00E04B54" w:rsidP="00950468">
      <w:pPr>
        <w:tabs>
          <w:tab w:val="left" w:pos="851"/>
          <w:tab w:val="left" w:pos="1134"/>
        </w:tabs>
        <w:ind w:left="851"/>
        <w:rPr>
          <w:sz w:val="24"/>
          <w:szCs w:val="24"/>
        </w:rPr>
      </w:pPr>
      <w:r w:rsidRPr="00E04B54">
        <w:rPr>
          <w:sz w:val="24"/>
          <w:szCs w:val="24"/>
        </w:rPr>
        <w:t>-</w:t>
      </w:r>
      <w:r w:rsidRPr="00E04B54">
        <w:rPr>
          <w:sz w:val="24"/>
          <w:szCs w:val="24"/>
        </w:rPr>
        <w:tab/>
        <w:t>iskæmisk hjertesygdom i anamnesen (se pkt. 4.8).</w:t>
      </w:r>
    </w:p>
    <w:p w14:paraId="01550A82" w14:textId="77777777" w:rsidR="00E04B54" w:rsidRPr="00E04B54" w:rsidRDefault="00E04B54" w:rsidP="00950468">
      <w:pPr>
        <w:tabs>
          <w:tab w:val="left" w:pos="851"/>
          <w:tab w:val="left" w:pos="1134"/>
        </w:tabs>
        <w:ind w:left="851"/>
        <w:rPr>
          <w:sz w:val="24"/>
          <w:szCs w:val="24"/>
        </w:rPr>
      </w:pPr>
      <w:r w:rsidRPr="00E04B54">
        <w:rPr>
          <w:sz w:val="24"/>
          <w:szCs w:val="24"/>
        </w:rPr>
        <w:t>-</w:t>
      </w:r>
      <w:r w:rsidRPr="00E04B54">
        <w:rPr>
          <w:sz w:val="24"/>
          <w:szCs w:val="24"/>
        </w:rPr>
        <w:tab/>
        <w:t>ringe performancestatus.</w:t>
      </w:r>
    </w:p>
    <w:p w14:paraId="3680DCD7" w14:textId="77777777" w:rsidR="00E04B54" w:rsidRPr="00E04B54" w:rsidRDefault="00E04B54" w:rsidP="00E04B54">
      <w:pPr>
        <w:tabs>
          <w:tab w:val="left" w:pos="851"/>
        </w:tabs>
        <w:ind w:left="851"/>
        <w:rPr>
          <w:i/>
          <w:sz w:val="24"/>
          <w:szCs w:val="24"/>
        </w:rPr>
      </w:pPr>
    </w:p>
    <w:p w14:paraId="08A5061E" w14:textId="77777777" w:rsidR="00E04B54" w:rsidRPr="00E04B54" w:rsidRDefault="00E04B54" w:rsidP="00E04B54">
      <w:pPr>
        <w:tabs>
          <w:tab w:val="left" w:pos="851"/>
        </w:tabs>
        <w:ind w:left="851"/>
        <w:rPr>
          <w:sz w:val="24"/>
          <w:szCs w:val="24"/>
        </w:rPr>
      </w:pPr>
      <w:proofErr w:type="spellStart"/>
      <w:r w:rsidRPr="00E04B54">
        <w:rPr>
          <w:sz w:val="24"/>
          <w:szCs w:val="24"/>
        </w:rPr>
        <w:t>Vinorelbin</w:t>
      </w:r>
      <w:proofErr w:type="spellEnd"/>
      <w:r w:rsidRPr="00E04B54">
        <w:rPr>
          <w:sz w:val="24"/>
          <w:szCs w:val="24"/>
        </w:rPr>
        <w:t xml:space="preserve"> må ikke gives samtidig med strålebehandling, hvis behandlingsfeltet omfatter leveren.</w:t>
      </w:r>
    </w:p>
    <w:p w14:paraId="3DE85BF4" w14:textId="77777777" w:rsidR="00E04B54" w:rsidRPr="00E04B54" w:rsidRDefault="00E04B54" w:rsidP="00E04B54">
      <w:pPr>
        <w:tabs>
          <w:tab w:val="left" w:pos="851"/>
        </w:tabs>
        <w:ind w:left="851"/>
        <w:rPr>
          <w:sz w:val="24"/>
          <w:szCs w:val="24"/>
        </w:rPr>
      </w:pPr>
    </w:p>
    <w:p w14:paraId="161C7C2E" w14:textId="77777777" w:rsidR="00E04B54" w:rsidRPr="00E04B54" w:rsidRDefault="00E04B54" w:rsidP="00E04B54">
      <w:pPr>
        <w:tabs>
          <w:tab w:val="left" w:pos="851"/>
        </w:tabs>
        <w:ind w:left="851"/>
        <w:rPr>
          <w:sz w:val="24"/>
          <w:szCs w:val="24"/>
        </w:rPr>
      </w:pPr>
      <w:r w:rsidRPr="00E04B54">
        <w:rPr>
          <w:sz w:val="24"/>
          <w:szCs w:val="24"/>
        </w:rPr>
        <w:t>Dette præparat er specifikt kontraindiceret i forbindelse med gul feber-vaccine, og samtidig anvendelse sammen med andre svækkede levende vacciner frarådes (se pkt. 4.3).</w:t>
      </w:r>
    </w:p>
    <w:p w14:paraId="5DD4B0B3" w14:textId="77777777" w:rsidR="00E04B54" w:rsidRPr="00E04B54" w:rsidRDefault="00E04B54" w:rsidP="00E04B54">
      <w:pPr>
        <w:tabs>
          <w:tab w:val="left" w:pos="851"/>
        </w:tabs>
        <w:ind w:left="851"/>
        <w:rPr>
          <w:sz w:val="24"/>
          <w:szCs w:val="24"/>
        </w:rPr>
      </w:pPr>
    </w:p>
    <w:p w14:paraId="438BA183" w14:textId="77777777" w:rsidR="00E04B54" w:rsidRPr="00E04B54" w:rsidRDefault="00E04B54" w:rsidP="00E04B54">
      <w:pPr>
        <w:tabs>
          <w:tab w:val="left" w:pos="851"/>
        </w:tabs>
        <w:ind w:left="851"/>
        <w:rPr>
          <w:sz w:val="24"/>
          <w:szCs w:val="24"/>
        </w:rPr>
      </w:pPr>
      <w:r w:rsidRPr="00E04B54">
        <w:rPr>
          <w:sz w:val="24"/>
          <w:szCs w:val="24"/>
        </w:rPr>
        <w:t xml:space="preserve">Der skal udvises forsigtighed, når </w:t>
      </w:r>
      <w:proofErr w:type="spellStart"/>
      <w:r w:rsidRPr="00E04B54">
        <w:rPr>
          <w:sz w:val="24"/>
          <w:szCs w:val="24"/>
        </w:rPr>
        <w:t>vinorelbin</w:t>
      </w:r>
      <w:proofErr w:type="spellEnd"/>
      <w:r w:rsidRPr="00E04B54">
        <w:rPr>
          <w:sz w:val="24"/>
          <w:szCs w:val="24"/>
        </w:rPr>
        <w:t xml:space="preserve"> kombineres med stærke CYP3A4-hæmmere eller CYP3A4-inducere (se pkt. 4.5), og kombinationen mellem </w:t>
      </w:r>
      <w:proofErr w:type="spellStart"/>
      <w:r w:rsidRPr="00E04B54">
        <w:rPr>
          <w:sz w:val="24"/>
          <w:szCs w:val="24"/>
        </w:rPr>
        <w:t>vinorelbin</w:t>
      </w:r>
      <w:proofErr w:type="spellEnd"/>
      <w:r w:rsidRPr="00E04B54">
        <w:rPr>
          <w:sz w:val="24"/>
          <w:szCs w:val="24"/>
        </w:rPr>
        <w:t xml:space="preserve"> og </w:t>
      </w:r>
      <w:proofErr w:type="spellStart"/>
      <w:r w:rsidRPr="00E04B54">
        <w:rPr>
          <w:sz w:val="24"/>
          <w:szCs w:val="24"/>
        </w:rPr>
        <w:t>phenytoin</w:t>
      </w:r>
      <w:proofErr w:type="spellEnd"/>
      <w:r w:rsidRPr="00E04B54">
        <w:rPr>
          <w:sz w:val="24"/>
          <w:szCs w:val="24"/>
        </w:rPr>
        <w:t xml:space="preserve"> (som alle </w:t>
      </w:r>
      <w:proofErr w:type="spellStart"/>
      <w:r w:rsidRPr="00E04B54">
        <w:rPr>
          <w:sz w:val="24"/>
          <w:szCs w:val="24"/>
        </w:rPr>
        <w:t>cytotoksika</w:t>
      </w:r>
      <w:proofErr w:type="spellEnd"/>
      <w:r w:rsidRPr="00E04B54">
        <w:rPr>
          <w:sz w:val="24"/>
          <w:szCs w:val="24"/>
        </w:rPr>
        <w:t xml:space="preserve">) og mellem </w:t>
      </w:r>
      <w:proofErr w:type="spellStart"/>
      <w:r w:rsidRPr="00E04B54">
        <w:rPr>
          <w:sz w:val="24"/>
          <w:szCs w:val="24"/>
        </w:rPr>
        <w:t>vinorelbin</w:t>
      </w:r>
      <w:proofErr w:type="spellEnd"/>
      <w:r w:rsidRPr="00E04B54">
        <w:rPr>
          <w:sz w:val="24"/>
          <w:szCs w:val="24"/>
        </w:rPr>
        <w:t xml:space="preserve"> og </w:t>
      </w:r>
      <w:proofErr w:type="spellStart"/>
      <w:r w:rsidRPr="00E04B54">
        <w:rPr>
          <w:sz w:val="24"/>
          <w:szCs w:val="24"/>
        </w:rPr>
        <w:t>itraconazol</w:t>
      </w:r>
      <w:proofErr w:type="spellEnd"/>
      <w:r w:rsidRPr="00E04B54">
        <w:rPr>
          <w:sz w:val="24"/>
          <w:szCs w:val="24"/>
        </w:rPr>
        <w:t xml:space="preserve"> (som alle vincaalkaloider) frarådes.</w:t>
      </w:r>
    </w:p>
    <w:p w14:paraId="5EBFFA4D" w14:textId="77777777" w:rsidR="00E04B54" w:rsidRPr="00E04B54" w:rsidRDefault="00E04B54" w:rsidP="00E04B54">
      <w:pPr>
        <w:tabs>
          <w:tab w:val="left" w:pos="851"/>
        </w:tabs>
        <w:ind w:left="851"/>
        <w:rPr>
          <w:sz w:val="24"/>
          <w:szCs w:val="24"/>
        </w:rPr>
      </w:pPr>
    </w:p>
    <w:p w14:paraId="05F24267" w14:textId="77777777" w:rsidR="00E04B54" w:rsidRPr="00E04B54" w:rsidRDefault="00E04B54" w:rsidP="00E04B54">
      <w:pPr>
        <w:tabs>
          <w:tab w:val="left" w:pos="851"/>
        </w:tabs>
        <w:ind w:left="851"/>
        <w:rPr>
          <w:sz w:val="24"/>
          <w:szCs w:val="24"/>
        </w:rPr>
      </w:pPr>
      <w:r w:rsidRPr="00E04B54">
        <w:rPr>
          <w:sz w:val="24"/>
          <w:szCs w:val="24"/>
        </w:rPr>
        <w:t xml:space="preserve">Peroral </w:t>
      </w:r>
      <w:proofErr w:type="spellStart"/>
      <w:r w:rsidRPr="00E04B54">
        <w:rPr>
          <w:sz w:val="24"/>
          <w:szCs w:val="24"/>
        </w:rPr>
        <w:t>vinorelbin</w:t>
      </w:r>
      <w:proofErr w:type="spellEnd"/>
      <w:r w:rsidRPr="00E04B54">
        <w:rPr>
          <w:sz w:val="24"/>
          <w:szCs w:val="24"/>
        </w:rPr>
        <w:t xml:space="preserve"> er blevet undersøgt hos patienter med leverinsufficiens ved følgende doseringer:</w:t>
      </w:r>
    </w:p>
    <w:p w14:paraId="39EA2882" w14:textId="77777777" w:rsidR="00E04B54" w:rsidRPr="00E04B54" w:rsidRDefault="00E04B54" w:rsidP="00950468">
      <w:pPr>
        <w:tabs>
          <w:tab w:val="left" w:pos="1134"/>
        </w:tabs>
        <w:ind w:left="1134" w:hanging="283"/>
        <w:rPr>
          <w:sz w:val="24"/>
          <w:szCs w:val="24"/>
        </w:rPr>
      </w:pPr>
      <w:r w:rsidRPr="00E04B54">
        <w:rPr>
          <w:sz w:val="24"/>
          <w:szCs w:val="24"/>
        </w:rPr>
        <w:t>-</w:t>
      </w:r>
      <w:r w:rsidRPr="00E04B54">
        <w:rPr>
          <w:sz w:val="24"/>
          <w:szCs w:val="24"/>
        </w:rPr>
        <w:tab/>
        <w:t>60 mg/m</w:t>
      </w:r>
      <w:r w:rsidRPr="00E04B54">
        <w:rPr>
          <w:sz w:val="24"/>
          <w:szCs w:val="24"/>
          <w:vertAlign w:val="superscript"/>
        </w:rPr>
        <w:t>2</w:t>
      </w:r>
      <w:r w:rsidRPr="00E04B54">
        <w:rPr>
          <w:sz w:val="24"/>
          <w:szCs w:val="24"/>
        </w:rPr>
        <w:t xml:space="preserve"> hos 7 patienter med mild leverinsufficiens (bilirubin &lt;1,5 × ULN og ALAT og/eller ASAT mellem 1,5 og 2,5 × ULN).</w:t>
      </w:r>
    </w:p>
    <w:p w14:paraId="6720DAD1" w14:textId="77777777" w:rsidR="00E04B54" w:rsidRPr="00E04B54" w:rsidRDefault="00E04B54" w:rsidP="00950468">
      <w:pPr>
        <w:tabs>
          <w:tab w:val="left" w:pos="1134"/>
        </w:tabs>
        <w:ind w:left="1134" w:hanging="283"/>
        <w:rPr>
          <w:sz w:val="24"/>
          <w:szCs w:val="24"/>
        </w:rPr>
      </w:pPr>
      <w:r w:rsidRPr="00E04B54">
        <w:rPr>
          <w:sz w:val="24"/>
          <w:szCs w:val="24"/>
        </w:rPr>
        <w:lastRenderedPageBreak/>
        <w:t>-</w:t>
      </w:r>
      <w:r w:rsidRPr="00E04B54">
        <w:rPr>
          <w:sz w:val="24"/>
          <w:szCs w:val="24"/>
        </w:rPr>
        <w:tab/>
        <w:t>50 mg/m</w:t>
      </w:r>
      <w:r w:rsidRPr="00E04B54">
        <w:rPr>
          <w:sz w:val="24"/>
          <w:szCs w:val="24"/>
          <w:vertAlign w:val="superscript"/>
        </w:rPr>
        <w:t>2</w:t>
      </w:r>
      <w:r w:rsidRPr="00E04B54">
        <w:rPr>
          <w:sz w:val="24"/>
          <w:szCs w:val="24"/>
        </w:rPr>
        <w:t xml:space="preserve"> hos 6 patienter med moderat leverinsufficiens (bilirubin mellem 1,5 og 3 × ULN uafhængigt af ALAT og ASAT).</w:t>
      </w:r>
    </w:p>
    <w:p w14:paraId="72776ABA" w14:textId="77777777" w:rsidR="00E04B54" w:rsidRPr="00E04B54" w:rsidRDefault="00E04B54" w:rsidP="00E04B54">
      <w:pPr>
        <w:tabs>
          <w:tab w:val="left" w:pos="851"/>
        </w:tabs>
        <w:ind w:left="851"/>
        <w:rPr>
          <w:sz w:val="24"/>
          <w:szCs w:val="24"/>
        </w:rPr>
      </w:pPr>
    </w:p>
    <w:p w14:paraId="6A464380" w14:textId="77777777" w:rsidR="00E04B54" w:rsidRPr="00E04B54" w:rsidRDefault="00E04B54" w:rsidP="00E04B54">
      <w:pPr>
        <w:tabs>
          <w:tab w:val="left" w:pos="851"/>
        </w:tabs>
        <w:ind w:left="851"/>
        <w:rPr>
          <w:sz w:val="24"/>
          <w:szCs w:val="24"/>
        </w:rPr>
      </w:pPr>
      <w:proofErr w:type="spellStart"/>
      <w:r w:rsidRPr="00E04B54">
        <w:rPr>
          <w:sz w:val="24"/>
          <w:szCs w:val="24"/>
        </w:rPr>
        <w:t>Vinorelbins</w:t>
      </w:r>
      <w:proofErr w:type="spellEnd"/>
      <w:r w:rsidRPr="00E04B54">
        <w:rPr>
          <w:sz w:val="24"/>
          <w:szCs w:val="24"/>
        </w:rPr>
        <w:t xml:space="preserve"> sikkerhed og farmakokinetik blev ikke ændret hos disse patienter ved de testede doseringer.</w:t>
      </w:r>
    </w:p>
    <w:p w14:paraId="24986EED" w14:textId="77777777" w:rsidR="00E04B54" w:rsidRPr="00E04B54" w:rsidRDefault="00E04B54" w:rsidP="00E04B54">
      <w:pPr>
        <w:tabs>
          <w:tab w:val="left" w:pos="851"/>
        </w:tabs>
        <w:ind w:left="851"/>
        <w:rPr>
          <w:sz w:val="24"/>
          <w:szCs w:val="24"/>
        </w:rPr>
      </w:pPr>
    </w:p>
    <w:p w14:paraId="06E44362" w14:textId="77777777" w:rsidR="00E04B54" w:rsidRPr="00E04B54" w:rsidRDefault="00E04B54" w:rsidP="00E04B54">
      <w:pPr>
        <w:tabs>
          <w:tab w:val="left" w:pos="851"/>
        </w:tabs>
        <w:ind w:left="851"/>
        <w:rPr>
          <w:sz w:val="24"/>
          <w:szCs w:val="24"/>
        </w:rPr>
      </w:pPr>
      <w:r w:rsidRPr="00E04B54">
        <w:rPr>
          <w:sz w:val="24"/>
          <w:szCs w:val="24"/>
        </w:rPr>
        <w:t xml:space="preserve">Peroral </w:t>
      </w:r>
      <w:proofErr w:type="spellStart"/>
      <w:r w:rsidRPr="00E04B54">
        <w:rPr>
          <w:sz w:val="24"/>
          <w:szCs w:val="24"/>
        </w:rPr>
        <w:t>vinorelbin</w:t>
      </w:r>
      <w:proofErr w:type="spellEnd"/>
      <w:r w:rsidRPr="00E04B54">
        <w:rPr>
          <w:sz w:val="24"/>
          <w:szCs w:val="24"/>
        </w:rPr>
        <w:t xml:space="preserve"> er ikke blevet undersøgt hos patienter med svær leversygdom, og derfor </w:t>
      </w:r>
      <w:r w:rsidRPr="00E04B54">
        <w:rPr>
          <w:b/>
          <w:sz w:val="24"/>
          <w:szCs w:val="24"/>
          <w:u w:val="single"/>
        </w:rPr>
        <w:t>frarådes</w:t>
      </w:r>
      <w:r w:rsidRPr="00E04B54">
        <w:rPr>
          <w:b/>
          <w:sz w:val="24"/>
          <w:szCs w:val="24"/>
        </w:rPr>
        <w:t xml:space="preserve"> </w:t>
      </w:r>
      <w:r w:rsidRPr="00E04B54">
        <w:rPr>
          <w:sz w:val="24"/>
          <w:szCs w:val="24"/>
        </w:rPr>
        <w:t>anvendelse til disse patienter (se pkt. 4.2 og 5.2).</w:t>
      </w:r>
    </w:p>
    <w:p w14:paraId="7DF9AC70" w14:textId="77777777" w:rsidR="00E04B54" w:rsidRPr="00E04B54" w:rsidRDefault="00E04B54" w:rsidP="00E04B54">
      <w:pPr>
        <w:tabs>
          <w:tab w:val="left" w:pos="851"/>
        </w:tabs>
        <w:ind w:left="851"/>
        <w:rPr>
          <w:sz w:val="24"/>
          <w:szCs w:val="24"/>
        </w:rPr>
      </w:pPr>
    </w:p>
    <w:p w14:paraId="6E593A79" w14:textId="186742F3" w:rsidR="00E04B54" w:rsidRDefault="00E04B54" w:rsidP="00E04B54">
      <w:pPr>
        <w:tabs>
          <w:tab w:val="left" w:pos="851"/>
        </w:tabs>
        <w:ind w:left="851"/>
        <w:rPr>
          <w:sz w:val="24"/>
          <w:szCs w:val="24"/>
        </w:rPr>
      </w:pPr>
      <w:r w:rsidRPr="00E04B54">
        <w:rPr>
          <w:sz w:val="24"/>
          <w:szCs w:val="24"/>
        </w:rPr>
        <w:t xml:space="preserve">Da der kun forekommer en lav grad af udskillelse gennem nyrerne, er der ingen </w:t>
      </w:r>
      <w:proofErr w:type="spellStart"/>
      <w:r w:rsidRPr="00E04B54">
        <w:rPr>
          <w:sz w:val="24"/>
          <w:szCs w:val="24"/>
        </w:rPr>
        <w:t>farmakokinetisk</w:t>
      </w:r>
      <w:proofErr w:type="spellEnd"/>
      <w:r w:rsidRPr="00E04B54">
        <w:rPr>
          <w:sz w:val="24"/>
          <w:szCs w:val="24"/>
        </w:rPr>
        <w:t xml:space="preserve"> begrundelse for at reducere </w:t>
      </w:r>
      <w:proofErr w:type="spellStart"/>
      <w:r w:rsidRPr="00E04B54">
        <w:rPr>
          <w:sz w:val="24"/>
          <w:szCs w:val="24"/>
        </w:rPr>
        <w:t>vinorelbindoseringen</w:t>
      </w:r>
      <w:proofErr w:type="spellEnd"/>
      <w:r w:rsidRPr="00E04B54">
        <w:rPr>
          <w:sz w:val="24"/>
          <w:szCs w:val="24"/>
        </w:rPr>
        <w:t xml:space="preserve"> til patienter med nedsat nyrefunktion (se pkt. 4.2 og 5.2).</w:t>
      </w:r>
    </w:p>
    <w:p w14:paraId="4C803101" w14:textId="6CE4CD33" w:rsidR="00BE03B3" w:rsidRDefault="00BE03B3" w:rsidP="00E04B54">
      <w:pPr>
        <w:tabs>
          <w:tab w:val="left" w:pos="851"/>
        </w:tabs>
        <w:ind w:left="851"/>
        <w:rPr>
          <w:sz w:val="24"/>
          <w:szCs w:val="24"/>
        </w:rPr>
      </w:pPr>
    </w:p>
    <w:p w14:paraId="27DB2FE4" w14:textId="77777777" w:rsidR="00BE03B3" w:rsidRPr="00BE03B3" w:rsidRDefault="00BE03B3" w:rsidP="00BE03B3">
      <w:pPr>
        <w:tabs>
          <w:tab w:val="left" w:pos="851"/>
        </w:tabs>
        <w:ind w:left="851"/>
        <w:rPr>
          <w:sz w:val="24"/>
          <w:szCs w:val="24"/>
        </w:rPr>
      </w:pPr>
      <w:r w:rsidRPr="00BE03B3">
        <w:rPr>
          <w:sz w:val="24"/>
          <w:szCs w:val="24"/>
        </w:rPr>
        <w:t>Hjælpestoffer</w:t>
      </w:r>
    </w:p>
    <w:p w14:paraId="1EC906F6" w14:textId="77777777" w:rsidR="00BE03B3" w:rsidRPr="00BE03B3" w:rsidRDefault="00BE03B3" w:rsidP="00BE03B3">
      <w:pPr>
        <w:tabs>
          <w:tab w:val="left" w:pos="851"/>
        </w:tabs>
        <w:ind w:left="851"/>
        <w:rPr>
          <w:sz w:val="24"/>
          <w:szCs w:val="24"/>
        </w:rPr>
      </w:pPr>
      <w:r w:rsidRPr="00BE03B3">
        <w:rPr>
          <w:sz w:val="24"/>
          <w:szCs w:val="24"/>
        </w:rPr>
        <w:t>20 mg: Dette lægemiddel indeholder 8,03 mg sorbitol pr. kapsel.</w:t>
      </w:r>
    </w:p>
    <w:p w14:paraId="211CC9A3" w14:textId="77777777" w:rsidR="00BE03B3" w:rsidRPr="00BE03B3" w:rsidRDefault="00BE03B3" w:rsidP="00BE03B3">
      <w:pPr>
        <w:tabs>
          <w:tab w:val="left" w:pos="851"/>
        </w:tabs>
        <w:ind w:left="851"/>
        <w:rPr>
          <w:sz w:val="24"/>
          <w:szCs w:val="24"/>
        </w:rPr>
      </w:pPr>
      <w:r w:rsidRPr="00BE03B3">
        <w:rPr>
          <w:sz w:val="24"/>
          <w:szCs w:val="24"/>
        </w:rPr>
        <w:t>30 mg: Dette lægemiddel indeholder 13,65 mg sorbitol pr. kapsel.</w:t>
      </w:r>
    </w:p>
    <w:p w14:paraId="68702384" w14:textId="77777777" w:rsidR="00BE03B3" w:rsidRPr="00BE03B3" w:rsidRDefault="00BE03B3" w:rsidP="00BE03B3">
      <w:pPr>
        <w:tabs>
          <w:tab w:val="left" w:pos="851"/>
        </w:tabs>
        <w:ind w:left="851"/>
        <w:rPr>
          <w:sz w:val="24"/>
          <w:szCs w:val="24"/>
        </w:rPr>
      </w:pPr>
      <w:r w:rsidRPr="00BE03B3">
        <w:rPr>
          <w:sz w:val="24"/>
          <w:szCs w:val="24"/>
        </w:rPr>
        <w:t>80 mg: Dette lægemiddel indeholder 24,09 mg sorbitol pr. kapsel.</w:t>
      </w:r>
    </w:p>
    <w:p w14:paraId="310F6CB9" w14:textId="77777777" w:rsidR="00BE03B3" w:rsidRPr="00BE03B3" w:rsidRDefault="00BE03B3" w:rsidP="00BE03B3">
      <w:pPr>
        <w:tabs>
          <w:tab w:val="left" w:pos="851"/>
        </w:tabs>
        <w:ind w:left="851"/>
        <w:rPr>
          <w:sz w:val="24"/>
          <w:szCs w:val="24"/>
        </w:rPr>
      </w:pPr>
    </w:p>
    <w:p w14:paraId="37CAD305" w14:textId="77777777" w:rsidR="00BE03B3" w:rsidRPr="00BE03B3" w:rsidRDefault="00BE03B3" w:rsidP="00BE03B3">
      <w:pPr>
        <w:tabs>
          <w:tab w:val="left" w:pos="851"/>
        </w:tabs>
        <w:ind w:left="851"/>
        <w:rPr>
          <w:sz w:val="24"/>
          <w:szCs w:val="24"/>
        </w:rPr>
      </w:pPr>
      <w:r w:rsidRPr="00BE03B3">
        <w:rPr>
          <w:sz w:val="24"/>
          <w:szCs w:val="24"/>
        </w:rPr>
        <w:t xml:space="preserve">Den </w:t>
      </w:r>
      <w:proofErr w:type="spellStart"/>
      <w:r w:rsidRPr="00BE03B3">
        <w:rPr>
          <w:sz w:val="24"/>
          <w:szCs w:val="24"/>
        </w:rPr>
        <w:t>additive</w:t>
      </w:r>
      <w:proofErr w:type="spellEnd"/>
      <w:r w:rsidRPr="00BE03B3">
        <w:rPr>
          <w:sz w:val="24"/>
          <w:szCs w:val="24"/>
        </w:rPr>
        <w:t xml:space="preserve"> virkning af samtidigt administrerede produkter indeholdende sorbitol (eller </w:t>
      </w:r>
      <w:proofErr w:type="spellStart"/>
      <w:r w:rsidRPr="00BE03B3">
        <w:rPr>
          <w:sz w:val="24"/>
          <w:szCs w:val="24"/>
        </w:rPr>
        <w:t>fructose</w:t>
      </w:r>
      <w:proofErr w:type="spellEnd"/>
      <w:r w:rsidRPr="00BE03B3">
        <w:rPr>
          <w:sz w:val="24"/>
          <w:szCs w:val="24"/>
        </w:rPr>
        <w:t xml:space="preserve">) og indtagelse af sorbitol (eller </w:t>
      </w:r>
      <w:proofErr w:type="spellStart"/>
      <w:r w:rsidRPr="00BE03B3">
        <w:rPr>
          <w:sz w:val="24"/>
          <w:szCs w:val="24"/>
        </w:rPr>
        <w:t>fructose</w:t>
      </w:r>
      <w:proofErr w:type="spellEnd"/>
      <w:r w:rsidRPr="00BE03B3">
        <w:rPr>
          <w:sz w:val="24"/>
          <w:szCs w:val="24"/>
        </w:rPr>
        <w:t>) i kosten bør tages i betragtning.</w:t>
      </w:r>
    </w:p>
    <w:p w14:paraId="7B0E2A2C" w14:textId="77777777" w:rsidR="00BE03B3" w:rsidRPr="00BE03B3" w:rsidRDefault="00BE03B3" w:rsidP="00BE03B3">
      <w:pPr>
        <w:tabs>
          <w:tab w:val="left" w:pos="851"/>
        </w:tabs>
        <w:ind w:left="851"/>
        <w:rPr>
          <w:sz w:val="24"/>
          <w:szCs w:val="24"/>
        </w:rPr>
      </w:pPr>
    </w:p>
    <w:p w14:paraId="6974E580" w14:textId="77777777" w:rsidR="00BE03B3" w:rsidRPr="00BE03B3" w:rsidRDefault="00BE03B3" w:rsidP="00BE03B3">
      <w:pPr>
        <w:tabs>
          <w:tab w:val="left" w:pos="851"/>
        </w:tabs>
        <w:ind w:left="851"/>
        <w:rPr>
          <w:sz w:val="24"/>
          <w:szCs w:val="24"/>
        </w:rPr>
      </w:pPr>
      <w:r w:rsidRPr="00BE03B3">
        <w:rPr>
          <w:sz w:val="24"/>
          <w:szCs w:val="24"/>
        </w:rPr>
        <w:t>Indholdet af sorbitol i lægemidler til oral brug kan påvirke biotilgængeligheden af andre lægemidler til oral brug hvis indgivet samtidig.</w:t>
      </w:r>
    </w:p>
    <w:p w14:paraId="449541BB" w14:textId="77777777" w:rsidR="00BE03B3" w:rsidRPr="00BE03B3" w:rsidRDefault="00BE03B3" w:rsidP="00BE03B3">
      <w:pPr>
        <w:tabs>
          <w:tab w:val="left" w:pos="851"/>
        </w:tabs>
        <w:ind w:left="851"/>
        <w:rPr>
          <w:sz w:val="24"/>
          <w:szCs w:val="24"/>
        </w:rPr>
      </w:pPr>
    </w:p>
    <w:p w14:paraId="2D0781CB" w14:textId="77777777" w:rsidR="00BE03B3" w:rsidRPr="00BE03B3" w:rsidRDefault="00BE03B3" w:rsidP="00BE03B3">
      <w:pPr>
        <w:tabs>
          <w:tab w:val="left" w:pos="851"/>
        </w:tabs>
        <w:ind w:left="851"/>
        <w:rPr>
          <w:sz w:val="24"/>
          <w:szCs w:val="24"/>
        </w:rPr>
      </w:pPr>
      <w:r w:rsidRPr="00BE03B3">
        <w:rPr>
          <w:sz w:val="24"/>
          <w:szCs w:val="24"/>
        </w:rPr>
        <w:t>20 mg: Dette lægemiddel indeholder 2,89 mg alkohol (</w:t>
      </w:r>
      <w:proofErr w:type="spellStart"/>
      <w:r w:rsidRPr="00BE03B3">
        <w:rPr>
          <w:sz w:val="24"/>
          <w:szCs w:val="24"/>
        </w:rPr>
        <w:t>ethanol</w:t>
      </w:r>
      <w:proofErr w:type="spellEnd"/>
      <w:r w:rsidRPr="00BE03B3">
        <w:rPr>
          <w:sz w:val="24"/>
          <w:szCs w:val="24"/>
        </w:rPr>
        <w:t>) pr. kapsel.</w:t>
      </w:r>
    </w:p>
    <w:p w14:paraId="140B20F1" w14:textId="77777777" w:rsidR="00BE03B3" w:rsidRPr="00BE03B3" w:rsidRDefault="00BE03B3" w:rsidP="00BE03B3">
      <w:pPr>
        <w:tabs>
          <w:tab w:val="left" w:pos="851"/>
        </w:tabs>
        <w:ind w:left="851"/>
        <w:rPr>
          <w:sz w:val="24"/>
          <w:szCs w:val="24"/>
        </w:rPr>
      </w:pPr>
      <w:r w:rsidRPr="00BE03B3">
        <w:rPr>
          <w:sz w:val="24"/>
          <w:szCs w:val="24"/>
        </w:rPr>
        <w:t>30 mg: Dette lægemiddel indeholder 4,35 mg alkohol (</w:t>
      </w:r>
      <w:proofErr w:type="spellStart"/>
      <w:r w:rsidRPr="00BE03B3">
        <w:rPr>
          <w:sz w:val="24"/>
          <w:szCs w:val="24"/>
        </w:rPr>
        <w:t>ethanol</w:t>
      </w:r>
      <w:proofErr w:type="spellEnd"/>
      <w:r w:rsidRPr="00BE03B3">
        <w:rPr>
          <w:sz w:val="24"/>
          <w:szCs w:val="24"/>
        </w:rPr>
        <w:t>) pr. kapsel.</w:t>
      </w:r>
    </w:p>
    <w:p w14:paraId="09FB6903" w14:textId="77777777" w:rsidR="00BE03B3" w:rsidRPr="00BE03B3" w:rsidRDefault="00BE03B3" w:rsidP="00BE03B3">
      <w:pPr>
        <w:tabs>
          <w:tab w:val="left" w:pos="851"/>
        </w:tabs>
        <w:ind w:left="851"/>
        <w:rPr>
          <w:sz w:val="24"/>
          <w:szCs w:val="24"/>
        </w:rPr>
      </w:pPr>
      <w:r w:rsidRPr="00BE03B3">
        <w:rPr>
          <w:sz w:val="24"/>
          <w:szCs w:val="24"/>
        </w:rPr>
        <w:t>80 mg: Dette lægemiddel indeholder 11,56 mg alkohol (</w:t>
      </w:r>
      <w:proofErr w:type="spellStart"/>
      <w:r w:rsidRPr="00BE03B3">
        <w:rPr>
          <w:sz w:val="24"/>
          <w:szCs w:val="24"/>
        </w:rPr>
        <w:t>ethanol</w:t>
      </w:r>
      <w:proofErr w:type="spellEnd"/>
      <w:r w:rsidRPr="00BE03B3">
        <w:rPr>
          <w:sz w:val="24"/>
          <w:szCs w:val="24"/>
        </w:rPr>
        <w:t>) pr. kapsel.</w:t>
      </w:r>
    </w:p>
    <w:p w14:paraId="0CF8590E" w14:textId="77777777" w:rsidR="00BE03B3" w:rsidRPr="00BE03B3" w:rsidRDefault="00BE03B3" w:rsidP="00BE03B3">
      <w:pPr>
        <w:tabs>
          <w:tab w:val="left" w:pos="851"/>
        </w:tabs>
        <w:ind w:left="851"/>
        <w:rPr>
          <w:sz w:val="24"/>
          <w:szCs w:val="24"/>
        </w:rPr>
      </w:pPr>
    </w:p>
    <w:p w14:paraId="2E7D3412" w14:textId="77777777" w:rsidR="00BE03B3" w:rsidRPr="00BE03B3" w:rsidRDefault="00BE03B3" w:rsidP="00BE03B3">
      <w:pPr>
        <w:tabs>
          <w:tab w:val="left" w:pos="851"/>
        </w:tabs>
        <w:ind w:left="851"/>
        <w:rPr>
          <w:sz w:val="24"/>
          <w:szCs w:val="24"/>
        </w:rPr>
      </w:pPr>
    </w:p>
    <w:p w14:paraId="1443630B" w14:textId="77777777" w:rsidR="00BE03B3" w:rsidRPr="00BE03B3" w:rsidRDefault="00BE03B3" w:rsidP="00BE03B3">
      <w:pPr>
        <w:tabs>
          <w:tab w:val="left" w:pos="851"/>
        </w:tabs>
        <w:ind w:left="851"/>
        <w:rPr>
          <w:sz w:val="24"/>
          <w:szCs w:val="24"/>
        </w:rPr>
      </w:pPr>
      <w:r w:rsidRPr="00BE03B3">
        <w:rPr>
          <w:sz w:val="24"/>
          <w:szCs w:val="24"/>
        </w:rPr>
        <w:t xml:space="preserve">Mængden i en </w:t>
      </w:r>
      <w:proofErr w:type="spellStart"/>
      <w:r w:rsidRPr="00BE03B3">
        <w:rPr>
          <w:sz w:val="24"/>
          <w:szCs w:val="24"/>
        </w:rPr>
        <w:t>Vinorelbine</w:t>
      </w:r>
      <w:proofErr w:type="spellEnd"/>
      <w:r w:rsidRPr="00BE03B3">
        <w:rPr>
          <w:sz w:val="24"/>
          <w:szCs w:val="24"/>
        </w:rPr>
        <w:t xml:space="preserve"> "</w:t>
      </w:r>
      <w:proofErr w:type="spellStart"/>
      <w:r w:rsidRPr="00BE03B3">
        <w:rPr>
          <w:sz w:val="24"/>
          <w:szCs w:val="24"/>
        </w:rPr>
        <w:t>Accord</w:t>
      </w:r>
      <w:proofErr w:type="spellEnd"/>
      <w:r w:rsidRPr="00BE03B3">
        <w:rPr>
          <w:sz w:val="24"/>
          <w:szCs w:val="24"/>
        </w:rPr>
        <w:t>" 20 mg blød kapsel svarer til mindre end 1 ml øl eller 1 ml vin.</w:t>
      </w:r>
    </w:p>
    <w:p w14:paraId="783B61ED" w14:textId="77777777" w:rsidR="00BE03B3" w:rsidRPr="00BE03B3" w:rsidRDefault="00BE03B3" w:rsidP="00BE03B3">
      <w:pPr>
        <w:tabs>
          <w:tab w:val="left" w:pos="851"/>
        </w:tabs>
        <w:ind w:left="851"/>
        <w:rPr>
          <w:sz w:val="24"/>
          <w:szCs w:val="24"/>
        </w:rPr>
      </w:pPr>
      <w:r w:rsidRPr="00BE03B3">
        <w:rPr>
          <w:sz w:val="24"/>
          <w:szCs w:val="24"/>
        </w:rPr>
        <w:t xml:space="preserve">Mængden i en </w:t>
      </w:r>
      <w:proofErr w:type="spellStart"/>
      <w:r w:rsidRPr="00BE03B3">
        <w:rPr>
          <w:sz w:val="24"/>
          <w:szCs w:val="24"/>
        </w:rPr>
        <w:t>Vinorelbine</w:t>
      </w:r>
      <w:proofErr w:type="spellEnd"/>
      <w:r w:rsidRPr="00BE03B3">
        <w:rPr>
          <w:sz w:val="24"/>
          <w:szCs w:val="24"/>
        </w:rPr>
        <w:t xml:space="preserve"> "</w:t>
      </w:r>
      <w:proofErr w:type="spellStart"/>
      <w:r w:rsidRPr="00BE03B3">
        <w:rPr>
          <w:sz w:val="24"/>
          <w:szCs w:val="24"/>
        </w:rPr>
        <w:t>Accord</w:t>
      </w:r>
      <w:proofErr w:type="spellEnd"/>
      <w:r w:rsidRPr="00BE03B3">
        <w:rPr>
          <w:sz w:val="24"/>
          <w:szCs w:val="24"/>
        </w:rPr>
        <w:t>" 30 mg blød kapsel svarer til mindre end 1 ml øl eller 1 ml vin.</w:t>
      </w:r>
    </w:p>
    <w:p w14:paraId="1928C580" w14:textId="77777777" w:rsidR="00BE03B3" w:rsidRPr="00BE03B3" w:rsidRDefault="00BE03B3" w:rsidP="00BE03B3">
      <w:pPr>
        <w:tabs>
          <w:tab w:val="left" w:pos="851"/>
        </w:tabs>
        <w:ind w:left="851"/>
        <w:rPr>
          <w:sz w:val="24"/>
          <w:szCs w:val="24"/>
        </w:rPr>
      </w:pPr>
      <w:r w:rsidRPr="00BE03B3">
        <w:rPr>
          <w:sz w:val="24"/>
          <w:szCs w:val="24"/>
        </w:rPr>
        <w:t xml:space="preserve">Mængden i en </w:t>
      </w:r>
      <w:proofErr w:type="spellStart"/>
      <w:r w:rsidRPr="00BE03B3">
        <w:rPr>
          <w:sz w:val="24"/>
          <w:szCs w:val="24"/>
        </w:rPr>
        <w:t>Vinorelbine</w:t>
      </w:r>
      <w:proofErr w:type="spellEnd"/>
      <w:r w:rsidRPr="00BE03B3">
        <w:rPr>
          <w:sz w:val="24"/>
          <w:szCs w:val="24"/>
        </w:rPr>
        <w:t xml:space="preserve"> "</w:t>
      </w:r>
      <w:proofErr w:type="spellStart"/>
      <w:r w:rsidRPr="00BE03B3">
        <w:rPr>
          <w:sz w:val="24"/>
          <w:szCs w:val="24"/>
        </w:rPr>
        <w:t>Accord</w:t>
      </w:r>
      <w:proofErr w:type="spellEnd"/>
      <w:r w:rsidRPr="00BE03B3">
        <w:rPr>
          <w:sz w:val="24"/>
          <w:szCs w:val="24"/>
        </w:rPr>
        <w:t>" 80 mg blød kapsel svarer til mindre end 1 ml øl eller 1 ml vin.</w:t>
      </w:r>
    </w:p>
    <w:p w14:paraId="4C2D717A" w14:textId="77777777" w:rsidR="00BE03B3" w:rsidRPr="00BE03B3" w:rsidRDefault="00BE03B3" w:rsidP="00BE03B3">
      <w:pPr>
        <w:tabs>
          <w:tab w:val="left" w:pos="851"/>
        </w:tabs>
        <w:ind w:left="851"/>
        <w:rPr>
          <w:sz w:val="24"/>
          <w:szCs w:val="24"/>
        </w:rPr>
      </w:pPr>
      <w:r w:rsidRPr="00BE03B3">
        <w:rPr>
          <w:sz w:val="24"/>
          <w:szCs w:val="24"/>
        </w:rPr>
        <w:t>Den mindre mængde alkohol i dette lægemiddel vil ikke have nogen nævneværdig effekt.</w:t>
      </w:r>
    </w:p>
    <w:p w14:paraId="06673515" w14:textId="77777777" w:rsidR="00BE03B3" w:rsidRPr="00BE03B3" w:rsidRDefault="00BE03B3" w:rsidP="00BE03B3">
      <w:pPr>
        <w:tabs>
          <w:tab w:val="left" w:pos="851"/>
        </w:tabs>
        <w:ind w:left="851"/>
        <w:rPr>
          <w:sz w:val="24"/>
          <w:szCs w:val="24"/>
        </w:rPr>
      </w:pPr>
    </w:p>
    <w:p w14:paraId="406C1F5A" w14:textId="77777777" w:rsidR="00BE03B3" w:rsidRPr="00BE03B3" w:rsidRDefault="00BE03B3" w:rsidP="00BE03B3">
      <w:pPr>
        <w:tabs>
          <w:tab w:val="left" w:pos="851"/>
        </w:tabs>
        <w:ind w:left="851"/>
        <w:rPr>
          <w:sz w:val="24"/>
          <w:szCs w:val="24"/>
        </w:rPr>
      </w:pPr>
      <w:r w:rsidRPr="00BE03B3">
        <w:rPr>
          <w:sz w:val="24"/>
          <w:szCs w:val="24"/>
        </w:rPr>
        <w:t>Dette lægemiddel indeholder mindre end 1 mmol natrium (23 mg) pr. dosis, dvs. det er i det væsentlige natriumfrit.</w:t>
      </w:r>
    </w:p>
    <w:p w14:paraId="20A11591" w14:textId="77777777" w:rsidR="00BE03B3" w:rsidRPr="00E04B54" w:rsidRDefault="00BE03B3" w:rsidP="00E04B54">
      <w:pPr>
        <w:tabs>
          <w:tab w:val="left" w:pos="851"/>
        </w:tabs>
        <w:ind w:left="851"/>
        <w:rPr>
          <w:sz w:val="24"/>
          <w:szCs w:val="24"/>
        </w:rPr>
      </w:pPr>
    </w:p>
    <w:p w14:paraId="23FADD08" w14:textId="77777777" w:rsidR="009260DE" w:rsidRPr="00C84483" w:rsidRDefault="009260DE" w:rsidP="009260DE">
      <w:pPr>
        <w:tabs>
          <w:tab w:val="left" w:pos="851"/>
        </w:tabs>
        <w:ind w:left="851"/>
        <w:rPr>
          <w:sz w:val="24"/>
          <w:szCs w:val="24"/>
        </w:rPr>
      </w:pPr>
    </w:p>
    <w:p w14:paraId="69FE3B5E"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E0BA18B" w14:textId="77777777" w:rsidR="00950468" w:rsidRDefault="00950468" w:rsidP="0039744C">
      <w:pPr>
        <w:tabs>
          <w:tab w:val="left" w:pos="851"/>
        </w:tabs>
        <w:ind w:left="851"/>
        <w:rPr>
          <w:sz w:val="24"/>
          <w:szCs w:val="24"/>
          <w:u w:val="single"/>
        </w:rPr>
      </w:pPr>
    </w:p>
    <w:p w14:paraId="0C3117FB" w14:textId="5211C050" w:rsidR="0039744C" w:rsidRPr="0039744C" w:rsidRDefault="0039744C" w:rsidP="0039744C">
      <w:pPr>
        <w:tabs>
          <w:tab w:val="left" w:pos="851"/>
        </w:tabs>
        <w:ind w:left="851"/>
        <w:rPr>
          <w:sz w:val="24"/>
          <w:szCs w:val="24"/>
          <w:u w:val="single"/>
        </w:rPr>
      </w:pPr>
      <w:r w:rsidRPr="0039744C">
        <w:rPr>
          <w:sz w:val="24"/>
          <w:szCs w:val="24"/>
          <w:u w:val="single"/>
        </w:rPr>
        <w:t>Samtidig anvendelse er kontraindiceret</w:t>
      </w:r>
    </w:p>
    <w:p w14:paraId="5271A943" w14:textId="77777777" w:rsidR="0039744C" w:rsidRPr="0039744C" w:rsidRDefault="0039744C" w:rsidP="0039744C">
      <w:pPr>
        <w:tabs>
          <w:tab w:val="left" w:pos="851"/>
        </w:tabs>
        <w:ind w:left="851"/>
        <w:rPr>
          <w:sz w:val="24"/>
          <w:szCs w:val="24"/>
        </w:rPr>
      </w:pPr>
      <w:r w:rsidRPr="0039744C">
        <w:rPr>
          <w:i/>
          <w:iCs/>
          <w:sz w:val="24"/>
          <w:szCs w:val="24"/>
        </w:rPr>
        <w:t>Gul feber-vaccine</w:t>
      </w:r>
      <w:r w:rsidRPr="0039744C">
        <w:rPr>
          <w:sz w:val="24"/>
          <w:szCs w:val="24"/>
        </w:rPr>
        <w:t xml:space="preserve"> er kontraindiceret på grund af risiko for generaliseret, potentielt dødelig vaccinesygdom (se pkt. 4.3).</w:t>
      </w:r>
    </w:p>
    <w:p w14:paraId="6D774834" w14:textId="77777777" w:rsidR="0039744C" w:rsidRPr="0039744C" w:rsidRDefault="0039744C" w:rsidP="0039744C">
      <w:pPr>
        <w:tabs>
          <w:tab w:val="left" w:pos="851"/>
        </w:tabs>
        <w:ind w:left="851"/>
        <w:rPr>
          <w:sz w:val="24"/>
          <w:szCs w:val="24"/>
        </w:rPr>
      </w:pPr>
    </w:p>
    <w:p w14:paraId="1419DD11" w14:textId="77777777" w:rsidR="0039744C" w:rsidRPr="0039744C" w:rsidRDefault="0039744C" w:rsidP="0039744C">
      <w:pPr>
        <w:tabs>
          <w:tab w:val="left" w:pos="851"/>
        </w:tabs>
        <w:ind w:left="851"/>
        <w:rPr>
          <w:sz w:val="24"/>
          <w:szCs w:val="24"/>
          <w:u w:val="single"/>
        </w:rPr>
      </w:pPr>
      <w:r w:rsidRPr="0039744C">
        <w:rPr>
          <w:sz w:val="24"/>
          <w:szCs w:val="24"/>
          <w:u w:val="single"/>
        </w:rPr>
        <w:t>Samtidig anvendelse frarådes</w:t>
      </w:r>
    </w:p>
    <w:p w14:paraId="7C5A288D" w14:textId="77777777" w:rsidR="00514164" w:rsidRDefault="00514164" w:rsidP="0039744C">
      <w:pPr>
        <w:tabs>
          <w:tab w:val="left" w:pos="851"/>
        </w:tabs>
        <w:ind w:left="851"/>
        <w:rPr>
          <w:i/>
          <w:iCs/>
          <w:sz w:val="24"/>
          <w:szCs w:val="24"/>
        </w:rPr>
      </w:pPr>
    </w:p>
    <w:p w14:paraId="402F3A31" w14:textId="77777777" w:rsidR="00514164" w:rsidRDefault="0039744C" w:rsidP="0039744C">
      <w:pPr>
        <w:tabs>
          <w:tab w:val="left" w:pos="851"/>
        </w:tabs>
        <w:ind w:left="851"/>
        <w:rPr>
          <w:sz w:val="24"/>
          <w:szCs w:val="24"/>
        </w:rPr>
      </w:pPr>
      <w:r w:rsidRPr="0039744C">
        <w:rPr>
          <w:i/>
          <w:iCs/>
          <w:sz w:val="24"/>
          <w:szCs w:val="24"/>
        </w:rPr>
        <w:t>Levende svækkede vacciner</w:t>
      </w:r>
    </w:p>
    <w:p w14:paraId="3F42977D" w14:textId="00A7CB4F" w:rsidR="0039744C" w:rsidRPr="0039744C" w:rsidRDefault="0039744C" w:rsidP="0039744C">
      <w:pPr>
        <w:tabs>
          <w:tab w:val="left" w:pos="851"/>
        </w:tabs>
        <w:ind w:left="851"/>
        <w:rPr>
          <w:sz w:val="24"/>
          <w:szCs w:val="24"/>
        </w:rPr>
      </w:pPr>
      <w:r w:rsidRPr="0039744C">
        <w:rPr>
          <w:sz w:val="24"/>
          <w:szCs w:val="24"/>
        </w:rPr>
        <w:lastRenderedPageBreak/>
        <w:t xml:space="preserve">(se Samtidig anvendelse er kontraindiceret for gul feber-vaccine) </w:t>
      </w:r>
      <w:r w:rsidR="00514164">
        <w:rPr>
          <w:sz w:val="24"/>
          <w:szCs w:val="24"/>
        </w:rPr>
        <w:t>S</w:t>
      </w:r>
      <w:r w:rsidRPr="0039744C">
        <w:rPr>
          <w:sz w:val="24"/>
          <w:szCs w:val="24"/>
        </w:rPr>
        <w:t xml:space="preserve">om ved alle </w:t>
      </w:r>
      <w:proofErr w:type="spellStart"/>
      <w:r w:rsidRPr="0039744C">
        <w:rPr>
          <w:sz w:val="24"/>
          <w:szCs w:val="24"/>
        </w:rPr>
        <w:t>cytotoksika</w:t>
      </w:r>
      <w:proofErr w:type="spellEnd"/>
      <w:r w:rsidRPr="0039744C">
        <w:rPr>
          <w:sz w:val="24"/>
          <w:szCs w:val="24"/>
        </w:rPr>
        <w:t xml:space="preserve"> er der risiko for generaliseret, potentielt dødelig vaccinesygdom. Denne risiko er forhøjet hos patienter med allerede eksisterende </w:t>
      </w:r>
      <w:proofErr w:type="spellStart"/>
      <w:r w:rsidRPr="0039744C">
        <w:rPr>
          <w:sz w:val="24"/>
          <w:szCs w:val="24"/>
        </w:rPr>
        <w:t>immunsuppresion</w:t>
      </w:r>
      <w:proofErr w:type="spellEnd"/>
      <w:r w:rsidRPr="0039744C">
        <w:rPr>
          <w:sz w:val="24"/>
          <w:szCs w:val="24"/>
        </w:rPr>
        <w:t xml:space="preserve"> som følge af en underliggende sygdom. Det anbefales at anvende en inaktiv vaccine, hvis en sådan findes (fx poliomyelitis) (se pkt. 4.4).</w:t>
      </w:r>
    </w:p>
    <w:p w14:paraId="7F10607F" w14:textId="77777777" w:rsidR="0039744C" w:rsidRPr="0039744C" w:rsidRDefault="0039744C" w:rsidP="0039744C">
      <w:pPr>
        <w:tabs>
          <w:tab w:val="left" w:pos="851"/>
        </w:tabs>
        <w:ind w:left="851"/>
        <w:rPr>
          <w:sz w:val="24"/>
          <w:szCs w:val="24"/>
        </w:rPr>
      </w:pPr>
    </w:p>
    <w:p w14:paraId="3BF2EEBA" w14:textId="77777777" w:rsidR="00514164" w:rsidRDefault="0039744C" w:rsidP="0039744C">
      <w:pPr>
        <w:tabs>
          <w:tab w:val="left" w:pos="851"/>
        </w:tabs>
        <w:ind w:left="851"/>
        <w:rPr>
          <w:i/>
          <w:iCs/>
          <w:sz w:val="24"/>
          <w:szCs w:val="24"/>
        </w:rPr>
      </w:pPr>
      <w:proofErr w:type="spellStart"/>
      <w:r w:rsidRPr="0039744C">
        <w:rPr>
          <w:i/>
          <w:iCs/>
          <w:sz w:val="24"/>
          <w:szCs w:val="24"/>
        </w:rPr>
        <w:t>Phenytoin</w:t>
      </w:r>
      <w:proofErr w:type="spellEnd"/>
    </w:p>
    <w:p w14:paraId="22040959" w14:textId="6274F549" w:rsidR="0039744C" w:rsidRPr="0039744C" w:rsidRDefault="0039744C" w:rsidP="0039744C">
      <w:pPr>
        <w:tabs>
          <w:tab w:val="left" w:pos="851"/>
        </w:tabs>
        <w:ind w:left="851"/>
        <w:rPr>
          <w:sz w:val="24"/>
          <w:szCs w:val="24"/>
        </w:rPr>
      </w:pPr>
      <w:r w:rsidRPr="0039744C">
        <w:rPr>
          <w:sz w:val="24"/>
          <w:szCs w:val="24"/>
        </w:rPr>
        <w:t xml:space="preserve">Ligesom med andre </w:t>
      </w:r>
      <w:proofErr w:type="spellStart"/>
      <w:r w:rsidRPr="0039744C">
        <w:rPr>
          <w:sz w:val="24"/>
          <w:szCs w:val="24"/>
        </w:rPr>
        <w:t>cytotoksika</w:t>
      </w:r>
      <w:proofErr w:type="spellEnd"/>
      <w:r w:rsidRPr="0039744C">
        <w:rPr>
          <w:sz w:val="24"/>
          <w:szCs w:val="24"/>
        </w:rPr>
        <w:t xml:space="preserve"> er der risiko for forværring af krampeanfald pga. nedsat </w:t>
      </w:r>
      <w:proofErr w:type="spellStart"/>
      <w:r w:rsidRPr="0039744C">
        <w:rPr>
          <w:sz w:val="24"/>
          <w:szCs w:val="24"/>
        </w:rPr>
        <w:t>gastrointestinal</w:t>
      </w:r>
      <w:proofErr w:type="spellEnd"/>
      <w:r w:rsidRPr="0039744C">
        <w:rPr>
          <w:sz w:val="24"/>
          <w:szCs w:val="24"/>
        </w:rPr>
        <w:t xml:space="preserve"> absorption af </w:t>
      </w:r>
      <w:proofErr w:type="spellStart"/>
      <w:r w:rsidRPr="0039744C">
        <w:rPr>
          <w:sz w:val="24"/>
          <w:szCs w:val="24"/>
        </w:rPr>
        <w:t>phenytoin</w:t>
      </w:r>
      <w:proofErr w:type="spellEnd"/>
      <w:r w:rsidRPr="0039744C">
        <w:rPr>
          <w:sz w:val="24"/>
          <w:szCs w:val="24"/>
        </w:rPr>
        <w:t xml:space="preserve"> forårsaget af det </w:t>
      </w:r>
      <w:proofErr w:type="spellStart"/>
      <w:r w:rsidRPr="0039744C">
        <w:rPr>
          <w:sz w:val="24"/>
          <w:szCs w:val="24"/>
        </w:rPr>
        <w:t>cytotoksiske</w:t>
      </w:r>
      <w:proofErr w:type="spellEnd"/>
      <w:r w:rsidRPr="0039744C">
        <w:rPr>
          <w:sz w:val="24"/>
          <w:szCs w:val="24"/>
        </w:rPr>
        <w:t xml:space="preserve"> middel eller effekttab af </w:t>
      </w:r>
      <w:proofErr w:type="spellStart"/>
      <w:r w:rsidRPr="0039744C">
        <w:rPr>
          <w:sz w:val="24"/>
          <w:szCs w:val="24"/>
        </w:rPr>
        <w:t>cytotoksika</w:t>
      </w:r>
      <w:proofErr w:type="spellEnd"/>
      <w:r w:rsidRPr="0039744C">
        <w:rPr>
          <w:sz w:val="24"/>
          <w:szCs w:val="24"/>
        </w:rPr>
        <w:t xml:space="preserve"> pga. øget levermetabolisme forårsaget af </w:t>
      </w:r>
      <w:proofErr w:type="spellStart"/>
      <w:r w:rsidRPr="0039744C">
        <w:rPr>
          <w:sz w:val="24"/>
          <w:szCs w:val="24"/>
        </w:rPr>
        <w:t>phenytoin</w:t>
      </w:r>
      <w:proofErr w:type="spellEnd"/>
      <w:r w:rsidRPr="0039744C">
        <w:rPr>
          <w:sz w:val="24"/>
          <w:szCs w:val="24"/>
        </w:rPr>
        <w:t>.</w:t>
      </w:r>
    </w:p>
    <w:p w14:paraId="0FE76716" w14:textId="77777777" w:rsidR="0039744C" w:rsidRPr="0039744C" w:rsidRDefault="0039744C" w:rsidP="0039744C">
      <w:pPr>
        <w:tabs>
          <w:tab w:val="left" w:pos="851"/>
        </w:tabs>
        <w:ind w:left="851"/>
        <w:rPr>
          <w:sz w:val="24"/>
          <w:szCs w:val="24"/>
        </w:rPr>
      </w:pPr>
    </w:p>
    <w:p w14:paraId="2264A73B" w14:textId="77777777" w:rsidR="00514164" w:rsidRDefault="0039744C" w:rsidP="0039744C">
      <w:pPr>
        <w:tabs>
          <w:tab w:val="left" w:pos="851"/>
        </w:tabs>
        <w:ind w:left="851"/>
        <w:rPr>
          <w:sz w:val="24"/>
          <w:szCs w:val="24"/>
        </w:rPr>
      </w:pPr>
      <w:proofErr w:type="spellStart"/>
      <w:r w:rsidRPr="0039744C">
        <w:rPr>
          <w:i/>
          <w:iCs/>
          <w:sz w:val="24"/>
          <w:szCs w:val="24"/>
        </w:rPr>
        <w:t>Itraconazol</w:t>
      </w:r>
      <w:proofErr w:type="spellEnd"/>
    </w:p>
    <w:p w14:paraId="3B6A82F8" w14:textId="29D66EC8" w:rsidR="0039744C" w:rsidRPr="0039744C" w:rsidRDefault="0039744C" w:rsidP="0039744C">
      <w:pPr>
        <w:tabs>
          <w:tab w:val="left" w:pos="851"/>
        </w:tabs>
        <w:ind w:left="851"/>
        <w:rPr>
          <w:sz w:val="24"/>
          <w:szCs w:val="24"/>
        </w:rPr>
      </w:pPr>
      <w:r w:rsidRPr="0039744C">
        <w:rPr>
          <w:sz w:val="24"/>
          <w:szCs w:val="24"/>
        </w:rPr>
        <w:t xml:space="preserve">Som ved alle vincaalkaloider er der forøget </w:t>
      </w:r>
      <w:proofErr w:type="spellStart"/>
      <w:r w:rsidRPr="0039744C">
        <w:rPr>
          <w:sz w:val="24"/>
          <w:szCs w:val="24"/>
        </w:rPr>
        <w:t>neurotoksicitet</w:t>
      </w:r>
      <w:proofErr w:type="spellEnd"/>
      <w:r w:rsidRPr="0039744C">
        <w:rPr>
          <w:sz w:val="24"/>
          <w:szCs w:val="24"/>
        </w:rPr>
        <w:t xml:space="preserve"> af vincaalkaloider på grund af nedsættelsen af deres levermetabolisme.</w:t>
      </w:r>
    </w:p>
    <w:p w14:paraId="002F44FB" w14:textId="77777777" w:rsidR="0039744C" w:rsidRPr="0039744C" w:rsidRDefault="0039744C" w:rsidP="0039744C">
      <w:pPr>
        <w:tabs>
          <w:tab w:val="left" w:pos="851"/>
        </w:tabs>
        <w:ind w:left="851"/>
        <w:rPr>
          <w:sz w:val="24"/>
          <w:szCs w:val="24"/>
        </w:rPr>
      </w:pPr>
    </w:p>
    <w:p w14:paraId="3075FF57" w14:textId="77777777" w:rsidR="0039744C" w:rsidRPr="0039744C" w:rsidRDefault="0039744C" w:rsidP="0039744C">
      <w:pPr>
        <w:tabs>
          <w:tab w:val="left" w:pos="851"/>
        </w:tabs>
        <w:ind w:left="851"/>
        <w:rPr>
          <w:sz w:val="24"/>
          <w:szCs w:val="24"/>
          <w:u w:val="single"/>
        </w:rPr>
      </w:pPr>
      <w:r w:rsidRPr="0039744C">
        <w:rPr>
          <w:sz w:val="24"/>
          <w:szCs w:val="24"/>
          <w:u w:val="single"/>
        </w:rPr>
        <w:t>Samtidig anvendelse skal overvejes</w:t>
      </w:r>
    </w:p>
    <w:p w14:paraId="1FB55888" w14:textId="77777777" w:rsidR="00514164" w:rsidRDefault="00514164" w:rsidP="0039744C">
      <w:pPr>
        <w:tabs>
          <w:tab w:val="left" w:pos="851"/>
        </w:tabs>
        <w:ind w:left="851"/>
        <w:rPr>
          <w:i/>
          <w:iCs/>
          <w:sz w:val="24"/>
          <w:szCs w:val="24"/>
        </w:rPr>
      </w:pPr>
    </w:p>
    <w:p w14:paraId="79B18F8B" w14:textId="77777777" w:rsidR="00514164" w:rsidRDefault="0039744C" w:rsidP="0039744C">
      <w:pPr>
        <w:tabs>
          <w:tab w:val="left" w:pos="851"/>
        </w:tabs>
        <w:ind w:left="851"/>
        <w:rPr>
          <w:sz w:val="24"/>
          <w:szCs w:val="24"/>
        </w:rPr>
      </w:pPr>
      <w:proofErr w:type="spellStart"/>
      <w:r w:rsidRPr="0039744C">
        <w:rPr>
          <w:i/>
          <w:iCs/>
          <w:sz w:val="24"/>
          <w:szCs w:val="24"/>
        </w:rPr>
        <w:t>Cisplatin</w:t>
      </w:r>
      <w:proofErr w:type="spellEnd"/>
    </w:p>
    <w:p w14:paraId="39D18240" w14:textId="3B1A440E" w:rsidR="0039744C" w:rsidRPr="0039744C" w:rsidRDefault="0039744C" w:rsidP="0039744C">
      <w:pPr>
        <w:tabs>
          <w:tab w:val="left" w:pos="851"/>
        </w:tabs>
        <w:ind w:left="851"/>
        <w:rPr>
          <w:sz w:val="24"/>
          <w:szCs w:val="24"/>
        </w:rPr>
      </w:pPr>
      <w:r w:rsidRPr="0039744C">
        <w:rPr>
          <w:sz w:val="24"/>
          <w:szCs w:val="24"/>
        </w:rPr>
        <w:t xml:space="preserve">Der er ingen gensidig </w:t>
      </w:r>
      <w:proofErr w:type="spellStart"/>
      <w:r w:rsidRPr="0039744C">
        <w:rPr>
          <w:sz w:val="24"/>
          <w:szCs w:val="24"/>
        </w:rPr>
        <w:t>farmakokinetisk</w:t>
      </w:r>
      <w:proofErr w:type="spellEnd"/>
      <w:r w:rsidRPr="0039744C">
        <w:rPr>
          <w:sz w:val="24"/>
          <w:szCs w:val="24"/>
        </w:rPr>
        <w:t xml:space="preserve"> interaktion, når </w:t>
      </w:r>
      <w:proofErr w:type="spellStart"/>
      <w:r w:rsidRPr="0039744C">
        <w:rPr>
          <w:sz w:val="24"/>
          <w:szCs w:val="24"/>
        </w:rPr>
        <w:t>vinorelbin</w:t>
      </w:r>
      <w:proofErr w:type="spellEnd"/>
      <w:r w:rsidRPr="0039744C">
        <w:rPr>
          <w:sz w:val="24"/>
          <w:szCs w:val="24"/>
        </w:rPr>
        <w:t xml:space="preserve"> kombineres med </w:t>
      </w:r>
      <w:proofErr w:type="spellStart"/>
      <w:r w:rsidRPr="0039744C">
        <w:rPr>
          <w:sz w:val="24"/>
          <w:szCs w:val="24"/>
        </w:rPr>
        <w:t>cisplatin</w:t>
      </w:r>
      <w:proofErr w:type="spellEnd"/>
      <w:r w:rsidRPr="0039744C">
        <w:rPr>
          <w:sz w:val="24"/>
          <w:szCs w:val="24"/>
        </w:rPr>
        <w:t xml:space="preserve"> gennem mange behandlingsserier. </w:t>
      </w:r>
      <w:proofErr w:type="spellStart"/>
      <w:r w:rsidRPr="0039744C">
        <w:rPr>
          <w:sz w:val="24"/>
          <w:szCs w:val="24"/>
        </w:rPr>
        <w:t>Granulocytopeni</w:t>
      </w:r>
      <w:proofErr w:type="spellEnd"/>
      <w:r w:rsidRPr="0039744C">
        <w:rPr>
          <w:sz w:val="24"/>
          <w:szCs w:val="24"/>
        </w:rPr>
        <w:t xml:space="preserve"> forekommer dog med en højere </w:t>
      </w:r>
      <w:proofErr w:type="spellStart"/>
      <w:r w:rsidRPr="0039744C">
        <w:rPr>
          <w:sz w:val="24"/>
          <w:szCs w:val="24"/>
        </w:rPr>
        <w:t>incidens</w:t>
      </w:r>
      <w:proofErr w:type="spellEnd"/>
      <w:r w:rsidRPr="0039744C">
        <w:rPr>
          <w:sz w:val="24"/>
          <w:szCs w:val="24"/>
        </w:rPr>
        <w:t xml:space="preserve"> ved </w:t>
      </w:r>
      <w:proofErr w:type="spellStart"/>
      <w:r w:rsidRPr="0039744C">
        <w:rPr>
          <w:sz w:val="24"/>
          <w:szCs w:val="24"/>
        </w:rPr>
        <w:t>vinorelbin</w:t>
      </w:r>
      <w:proofErr w:type="spellEnd"/>
      <w:r w:rsidRPr="0039744C">
        <w:rPr>
          <w:sz w:val="24"/>
          <w:szCs w:val="24"/>
        </w:rPr>
        <w:t xml:space="preserve"> i kombination med </w:t>
      </w:r>
      <w:proofErr w:type="spellStart"/>
      <w:r w:rsidRPr="0039744C">
        <w:rPr>
          <w:sz w:val="24"/>
          <w:szCs w:val="24"/>
        </w:rPr>
        <w:t>cisplatin</w:t>
      </w:r>
      <w:proofErr w:type="spellEnd"/>
      <w:r w:rsidRPr="0039744C">
        <w:rPr>
          <w:sz w:val="24"/>
          <w:szCs w:val="24"/>
        </w:rPr>
        <w:t xml:space="preserve"> end ved </w:t>
      </w:r>
      <w:proofErr w:type="spellStart"/>
      <w:r w:rsidRPr="0039744C">
        <w:rPr>
          <w:sz w:val="24"/>
          <w:szCs w:val="24"/>
        </w:rPr>
        <w:t>vinorelbin</w:t>
      </w:r>
      <w:proofErr w:type="spellEnd"/>
      <w:r w:rsidRPr="0039744C">
        <w:rPr>
          <w:sz w:val="24"/>
          <w:szCs w:val="24"/>
        </w:rPr>
        <w:t xml:space="preserve"> som monoterapi.</w:t>
      </w:r>
    </w:p>
    <w:p w14:paraId="357EAAB7" w14:textId="77777777" w:rsidR="0039744C" w:rsidRPr="0039744C" w:rsidRDefault="0039744C" w:rsidP="0039744C">
      <w:pPr>
        <w:tabs>
          <w:tab w:val="left" w:pos="851"/>
        </w:tabs>
        <w:ind w:left="851"/>
        <w:rPr>
          <w:sz w:val="24"/>
          <w:szCs w:val="24"/>
        </w:rPr>
      </w:pPr>
    </w:p>
    <w:p w14:paraId="492D49D7" w14:textId="77777777" w:rsidR="00514164" w:rsidRDefault="0039744C" w:rsidP="0039744C">
      <w:pPr>
        <w:tabs>
          <w:tab w:val="left" w:pos="851"/>
        </w:tabs>
        <w:ind w:left="851"/>
        <w:rPr>
          <w:sz w:val="24"/>
          <w:szCs w:val="24"/>
        </w:rPr>
      </w:pPr>
      <w:proofErr w:type="spellStart"/>
      <w:r w:rsidRPr="0039744C">
        <w:rPr>
          <w:i/>
          <w:iCs/>
          <w:sz w:val="24"/>
          <w:szCs w:val="24"/>
        </w:rPr>
        <w:t>Mitomycin</w:t>
      </w:r>
      <w:proofErr w:type="spellEnd"/>
      <w:r w:rsidRPr="0039744C">
        <w:rPr>
          <w:i/>
          <w:iCs/>
          <w:sz w:val="24"/>
          <w:szCs w:val="24"/>
        </w:rPr>
        <w:t xml:space="preserve"> C</w:t>
      </w:r>
    </w:p>
    <w:p w14:paraId="576803AC" w14:textId="2D69A6B5" w:rsidR="0039744C" w:rsidRPr="0039744C" w:rsidRDefault="0039744C" w:rsidP="0039744C">
      <w:pPr>
        <w:tabs>
          <w:tab w:val="left" w:pos="851"/>
        </w:tabs>
        <w:ind w:left="851"/>
        <w:rPr>
          <w:sz w:val="24"/>
          <w:szCs w:val="24"/>
        </w:rPr>
      </w:pPr>
      <w:r w:rsidRPr="0039744C">
        <w:rPr>
          <w:sz w:val="24"/>
          <w:szCs w:val="24"/>
        </w:rPr>
        <w:t xml:space="preserve">Risiko for </w:t>
      </w:r>
      <w:proofErr w:type="spellStart"/>
      <w:r w:rsidRPr="0039744C">
        <w:rPr>
          <w:sz w:val="24"/>
          <w:szCs w:val="24"/>
        </w:rPr>
        <w:t>bronkospasmer</w:t>
      </w:r>
      <w:proofErr w:type="spellEnd"/>
      <w:r w:rsidRPr="0039744C">
        <w:rPr>
          <w:sz w:val="24"/>
          <w:szCs w:val="24"/>
        </w:rPr>
        <w:t xml:space="preserve"> og dyspnø er øget, i sjældne tilfælde blev der observeret </w:t>
      </w:r>
      <w:proofErr w:type="spellStart"/>
      <w:r w:rsidRPr="0039744C">
        <w:rPr>
          <w:sz w:val="24"/>
          <w:szCs w:val="24"/>
        </w:rPr>
        <w:t>interstitiel</w:t>
      </w:r>
      <w:proofErr w:type="spellEnd"/>
      <w:r w:rsidRPr="0039744C">
        <w:rPr>
          <w:sz w:val="24"/>
          <w:szCs w:val="24"/>
        </w:rPr>
        <w:t xml:space="preserve"> pneumonitis.</w:t>
      </w:r>
    </w:p>
    <w:p w14:paraId="4C61CB7B" w14:textId="77777777" w:rsidR="0039744C" w:rsidRPr="0039744C" w:rsidRDefault="0039744C" w:rsidP="0039744C">
      <w:pPr>
        <w:tabs>
          <w:tab w:val="left" w:pos="851"/>
        </w:tabs>
        <w:ind w:left="851"/>
        <w:rPr>
          <w:sz w:val="24"/>
          <w:szCs w:val="24"/>
        </w:rPr>
      </w:pPr>
    </w:p>
    <w:p w14:paraId="4E2D895A" w14:textId="77777777" w:rsidR="00DD1756" w:rsidRDefault="0039744C" w:rsidP="0039744C">
      <w:pPr>
        <w:tabs>
          <w:tab w:val="left" w:pos="851"/>
        </w:tabs>
        <w:ind w:left="851"/>
        <w:rPr>
          <w:sz w:val="24"/>
          <w:szCs w:val="24"/>
        </w:rPr>
      </w:pPr>
      <w:proofErr w:type="spellStart"/>
      <w:r w:rsidRPr="0039744C">
        <w:rPr>
          <w:i/>
          <w:iCs/>
          <w:sz w:val="24"/>
          <w:szCs w:val="24"/>
        </w:rPr>
        <w:t>Ciclosporin</w:t>
      </w:r>
      <w:proofErr w:type="spellEnd"/>
      <w:r w:rsidRPr="0039744C">
        <w:rPr>
          <w:i/>
          <w:iCs/>
          <w:sz w:val="24"/>
          <w:szCs w:val="24"/>
        </w:rPr>
        <w:t xml:space="preserve">, </w:t>
      </w:r>
      <w:proofErr w:type="spellStart"/>
      <w:r w:rsidRPr="0039744C">
        <w:rPr>
          <w:i/>
          <w:iCs/>
          <w:sz w:val="24"/>
          <w:szCs w:val="24"/>
        </w:rPr>
        <w:t>tacrolimus</w:t>
      </w:r>
      <w:proofErr w:type="spellEnd"/>
    </w:p>
    <w:p w14:paraId="6BC81372" w14:textId="77777777" w:rsidR="00BE03B3" w:rsidRPr="0039744C" w:rsidRDefault="00BE03B3" w:rsidP="00BE03B3">
      <w:pPr>
        <w:tabs>
          <w:tab w:val="left" w:pos="851"/>
        </w:tabs>
        <w:ind w:left="851"/>
        <w:rPr>
          <w:sz w:val="24"/>
          <w:szCs w:val="24"/>
        </w:rPr>
      </w:pPr>
      <w:r>
        <w:rPr>
          <w:sz w:val="24"/>
          <w:szCs w:val="24"/>
        </w:rPr>
        <w:t>K</w:t>
      </w:r>
      <w:r w:rsidRPr="0039744C">
        <w:rPr>
          <w:sz w:val="24"/>
          <w:szCs w:val="24"/>
        </w:rPr>
        <w:t xml:space="preserve">raftig </w:t>
      </w:r>
      <w:r>
        <w:rPr>
          <w:sz w:val="24"/>
          <w:szCs w:val="24"/>
        </w:rPr>
        <w:t>immunsvækkelse</w:t>
      </w:r>
      <w:r w:rsidRPr="0039744C">
        <w:rPr>
          <w:sz w:val="24"/>
          <w:szCs w:val="24"/>
        </w:rPr>
        <w:t xml:space="preserve"> med risiko for </w:t>
      </w:r>
      <w:proofErr w:type="spellStart"/>
      <w:r w:rsidRPr="0039744C">
        <w:rPr>
          <w:sz w:val="24"/>
          <w:szCs w:val="24"/>
        </w:rPr>
        <w:t>lymfoproliferation</w:t>
      </w:r>
      <w:proofErr w:type="spellEnd"/>
      <w:r w:rsidRPr="0039744C">
        <w:rPr>
          <w:sz w:val="24"/>
          <w:szCs w:val="24"/>
        </w:rPr>
        <w:t>.</w:t>
      </w:r>
    </w:p>
    <w:p w14:paraId="38D008A2" w14:textId="77777777" w:rsidR="0039744C" w:rsidRPr="0039744C" w:rsidRDefault="0039744C" w:rsidP="0039744C">
      <w:pPr>
        <w:tabs>
          <w:tab w:val="left" w:pos="851"/>
        </w:tabs>
        <w:ind w:left="851"/>
        <w:rPr>
          <w:sz w:val="24"/>
          <w:szCs w:val="24"/>
        </w:rPr>
      </w:pPr>
    </w:p>
    <w:p w14:paraId="1FE7EEC5" w14:textId="77777777" w:rsidR="0039744C" w:rsidRPr="0039744C" w:rsidRDefault="0039744C" w:rsidP="0039744C">
      <w:pPr>
        <w:tabs>
          <w:tab w:val="left" w:pos="851"/>
        </w:tabs>
        <w:ind w:left="851"/>
        <w:rPr>
          <w:sz w:val="24"/>
          <w:szCs w:val="24"/>
        </w:rPr>
      </w:pPr>
      <w:r w:rsidRPr="0039744C">
        <w:rPr>
          <w:sz w:val="24"/>
          <w:szCs w:val="24"/>
        </w:rPr>
        <w:t>Vincaalkaloider er kendt som substrater for P-</w:t>
      </w:r>
      <w:proofErr w:type="spellStart"/>
      <w:r w:rsidRPr="0039744C">
        <w:rPr>
          <w:sz w:val="24"/>
          <w:szCs w:val="24"/>
        </w:rPr>
        <w:t>glycoprotein</w:t>
      </w:r>
      <w:proofErr w:type="spellEnd"/>
      <w:r w:rsidRPr="0039744C">
        <w:rPr>
          <w:sz w:val="24"/>
          <w:szCs w:val="24"/>
        </w:rPr>
        <w:t xml:space="preserve">, og da der ikke findes specifikke undersøgelser heraf, skal der udvises forsigtighed, når </w:t>
      </w:r>
      <w:proofErr w:type="spellStart"/>
      <w:r w:rsidRPr="0039744C">
        <w:rPr>
          <w:sz w:val="24"/>
          <w:szCs w:val="24"/>
        </w:rPr>
        <w:t>vinorelbin</w:t>
      </w:r>
      <w:proofErr w:type="spellEnd"/>
      <w:r w:rsidRPr="0039744C">
        <w:rPr>
          <w:sz w:val="24"/>
          <w:szCs w:val="24"/>
        </w:rPr>
        <w:t xml:space="preserve"> kombineres med stærke </w:t>
      </w:r>
      <w:proofErr w:type="spellStart"/>
      <w:r w:rsidRPr="0039744C">
        <w:rPr>
          <w:sz w:val="24"/>
          <w:szCs w:val="24"/>
        </w:rPr>
        <w:t>modulatorer</w:t>
      </w:r>
      <w:proofErr w:type="spellEnd"/>
      <w:r w:rsidRPr="0039744C">
        <w:rPr>
          <w:sz w:val="24"/>
          <w:szCs w:val="24"/>
        </w:rPr>
        <w:t xml:space="preserve"> af denne membrantransporter.</w:t>
      </w:r>
    </w:p>
    <w:p w14:paraId="1FBFACB9" w14:textId="77777777" w:rsidR="0039744C" w:rsidRPr="0039744C" w:rsidRDefault="0039744C" w:rsidP="0039744C">
      <w:pPr>
        <w:tabs>
          <w:tab w:val="left" w:pos="851"/>
        </w:tabs>
        <w:ind w:left="851"/>
        <w:rPr>
          <w:sz w:val="24"/>
          <w:szCs w:val="24"/>
        </w:rPr>
      </w:pPr>
    </w:p>
    <w:p w14:paraId="1751EEAE" w14:textId="77777777" w:rsidR="0039744C" w:rsidRPr="0039744C" w:rsidRDefault="0039744C" w:rsidP="0039744C">
      <w:pPr>
        <w:tabs>
          <w:tab w:val="left" w:pos="851"/>
        </w:tabs>
        <w:ind w:left="851"/>
        <w:rPr>
          <w:sz w:val="24"/>
          <w:szCs w:val="24"/>
        </w:rPr>
      </w:pPr>
      <w:r w:rsidRPr="0039744C">
        <w:rPr>
          <w:sz w:val="24"/>
          <w:szCs w:val="24"/>
        </w:rPr>
        <w:t xml:space="preserve">Kombination af </w:t>
      </w:r>
      <w:proofErr w:type="spellStart"/>
      <w:r w:rsidRPr="0039744C">
        <w:rPr>
          <w:sz w:val="24"/>
          <w:szCs w:val="24"/>
        </w:rPr>
        <w:t>vinorelbin</w:t>
      </w:r>
      <w:proofErr w:type="spellEnd"/>
      <w:r w:rsidRPr="0039744C">
        <w:rPr>
          <w:sz w:val="24"/>
          <w:szCs w:val="24"/>
        </w:rPr>
        <w:t xml:space="preserve"> og andre lægemidler med kendt knoglemarvstoksicitet vil ofte forværre bivirkninger i form af </w:t>
      </w:r>
      <w:proofErr w:type="spellStart"/>
      <w:r w:rsidRPr="0039744C">
        <w:rPr>
          <w:sz w:val="24"/>
          <w:szCs w:val="24"/>
        </w:rPr>
        <w:t>myelosuppression</w:t>
      </w:r>
      <w:proofErr w:type="spellEnd"/>
      <w:r w:rsidRPr="0039744C">
        <w:rPr>
          <w:sz w:val="24"/>
          <w:szCs w:val="24"/>
        </w:rPr>
        <w:t>.</w:t>
      </w:r>
    </w:p>
    <w:p w14:paraId="3D3E48E7" w14:textId="77777777" w:rsidR="0039744C" w:rsidRPr="0039744C" w:rsidRDefault="0039744C" w:rsidP="0039744C">
      <w:pPr>
        <w:tabs>
          <w:tab w:val="left" w:pos="851"/>
        </w:tabs>
        <w:ind w:left="851"/>
        <w:rPr>
          <w:sz w:val="24"/>
          <w:szCs w:val="24"/>
        </w:rPr>
      </w:pPr>
    </w:p>
    <w:p w14:paraId="197F8888" w14:textId="77777777" w:rsidR="0039744C" w:rsidRPr="0039744C" w:rsidRDefault="0039744C" w:rsidP="0039744C">
      <w:pPr>
        <w:tabs>
          <w:tab w:val="left" w:pos="851"/>
        </w:tabs>
        <w:ind w:left="851"/>
        <w:rPr>
          <w:sz w:val="24"/>
          <w:szCs w:val="24"/>
        </w:rPr>
      </w:pPr>
      <w:r w:rsidRPr="0039744C">
        <w:rPr>
          <w:sz w:val="24"/>
          <w:szCs w:val="24"/>
        </w:rPr>
        <w:t xml:space="preserve">Der er ikke observeret nogen signifikant </w:t>
      </w:r>
      <w:proofErr w:type="spellStart"/>
      <w:r w:rsidRPr="0039744C">
        <w:rPr>
          <w:sz w:val="24"/>
          <w:szCs w:val="24"/>
        </w:rPr>
        <w:t>farmakokinetisk</w:t>
      </w:r>
      <w:proofErr w:type="spellEnd"/>
      <w:r w:rsidRPr="0039744C">
        <w:rPr>
          <w:sz w:val="24"/>
          <w:szCs w:val="24"/>
        </w:rPr>
        <w:t xml:space="preserve"> interaktion, når </w:t>
      </w:r>
      <w:proofErr w:type="spellStart"/>
      <w:r w:rsidRPr="0039744C">
        <w:rPr>
          <w:sz w:val="24"/>
          <w:szCs w:val="24"/>
        </w:rPr>
        <w:t>vinorelbin</w:t>
      </w:r>
      <w:proofErr w:type="spellEnd"/>
      <w:r w:rsidRPr="0039744C">
        <w:rPr>
          <w:sz w:val="24"/>
          <w:szCs w:val="24"/>
        </w:rPr>
        <w:t xml:space="preserve"> kombineres med adskillige andre kemoterapeutika (</w:t>
      </w:r>
      <w:proofErr w:type="spellStart"/>
      <w:r w:rsidRPr="0039744C">
        <w:rPr>
          <w:sz w:val="24"/>
          <w:szCs w:val="24"/>
        </w:rPr>
        <w:t>paclitaxel</w:t>
      </w:r>
      <w:proofErr w:type="spellEnd"/>
      <w:r w:rsidRPr="0039744C">
        <w:rPr>
          <w:sz w:val="24"/>
          <w:szCs w:val="24"/>
        </w:rPr>
        <w:t xml:space="preserve">, </w:t>
      </w:r>
      <w:proofErr w:type="spellStart"/>
      <w:r w:rsidRPr="0039744C">
        <w:rPr>
          <w:sz w:val="24"/>
          <w:szCs w:val="24"/>
        </w:rPr>
        <w:t>docetaxel</w:t>
      </w:r>
      <w:proofErr w:type="spellEnd"/>
      <w:r w:rsidRPr="0039744C">
        <w:rPr>
          <w:sz w:val="24"/>
          <w:szCs w:val="24"/>
        </w:rPr>
        <w:t xml:space="preserve">, </w:t>
      </w:r>
      <w:proofErr w:type="spellStart"/>
      <w:r w:rsidRPr="0039744C">
        <w:rPr>
          <w:sz w:val="24"/>
          <w:szCs w:val="24"/>
        </w:rPr>
        <w:t>capecitabin</w:t>
      </w:r>
      <w:proofErr w:type="spellEnd"/>
      <w:r w:rsidRPr="0039744C">
        <w:rPr>
          <w:sz w:val="24"/>
          <w:szCs w:val="24"/>
        </w:rPr>
        <w:t xml:space="preserve"> og peroralt </w:t>
      </w:r>
      <w:proofErr w:type="spellStart"/>
      <w:r w:rsidRPr="0039744C">
        <w:rPr>
          <w:sz w:val="24"/>
          <w:szCs w:val="24"/>
        </w:rPr>
        <w:t>cyclophosphamid</w:t>
      </w:r>
      <w:proofErr w:type="spellEnd"/>
      <w:r w:rsidRPr="0039744C">
        <w:rPr>
          <w:sz w:val="24"/>
          <w:szCs w:val="24"/>
        </w:rPr>
        <w:t>).</w:t>
      </w:r>
    </w:p>
    <w:p w14:paraId="4CA58F3D" w14:textId="77777777" w:rsidR="0039744C" w:rsidRPr="0039744C" w:rsidRDefault="0039744C" w:rsidP="0039744C">
      <w:pPr>
        <w:tabs>
          <w:tab w:val="left" w:pos="851"/>
        </w:tabs>
        <w:ind w:left="851"/>
        <w:rPr>
          <w:sz w:val="24"/>
          <w:szCs w:val="24"/>
        </w:rPr>
      </w:pPr>
    </w:p>
    <w:p w14:paraId="0674FC18" w14:textId="77777777" w:rsidR="0039744C" w:rsidRPr="0039744C" w:rsidRDefault="0039744C" w:rsidP="0039744C">
      <w:pPr>
        <w:tabs>
          <w:tab w:val="left" w:pos="851"/>
        </w:tabs>
        <w:ind w:left="851"/>
        <w:rPr>
          <w:sz w:val="24"/>
          <w:szCs w:val="24"/>
        </w:rPr>
      </w:pPr>
      <w:r w:rsidRPr="0039744C">
        <w:rPr>
          <w:sz w:val="24"/>
          <w:szCs w:val="24"/>
        </w:rPr>
        <w:t xml:space="preserve">Da CYP3A4 hovedsageligt er involveret i </w:t>
      </w:r>
      <w:proofErr w:type="spellStart"/>
      <w:r w:rsidRPr="0039744C">
        <w:rPr>
          <w:sz w:val="24"/>
          <w:szCs w:val="24"/>
        </w:rPr>
        <w:t>vinorelbins</w:t>
      </w:r>
      <w:proofErr w:type="spellEnd"/>
      <w:r w:rsidRPr="0039744C">
        <w:rPr>
          <w:sz w:val="24"/>
          <w:szCs w:val="24"/>
        </w:rPr>
        <w:t xml:space="preserve"> metabolisme, kan en kombination med stærke </w:t>
      </w:r>
      <w:proofErr w:type="spellStart"/>
      <w:r w:rsidRPr="0039744C">
        <w:rPr>
          <w:sz w:val="24"/>
          <w:szCs w:val="24"/>
        </w:rPr>
        <w:t>hæmmere</w:t>
      </w:r>
      <w:proofErr w:type="spellEnd"/>
      <w:r w:rsidRPr="0039744C">
        <w:rPr>
          <w:sz w:val="24"/>
          <w:szCs w:val="24"/>
        </w:rPr>
        <w:t xml:space="preserve"> af dette </w:t>
      </w:r>
      <w:proofErr w:type="spellStart"/>
      <w:r w:rsidRPr="0039744C">
        <w:rPr>
          <w:sz w:val="24"/>
          <w:szCs w:val="24"/>
        </w:rPr>
        <w:t>isoenzym</w:t>
      </w:r>
      <w:proofErr w:type="spellEnd"/>
      <w:r w:rsidRPr="0039744C">
        <w:rPr>
          <w:sz w:val="24"/>
          <w:szCs w:val="24"/>
        </w:rPr>
        <w:t xml:space="preserve"> (fx </w:t>
      </w:r>
      <w:proofErr w:type="spellStart"/>
      <w:r w:rsidRPr="0039744C">
        <w:rPr>
          <w:sz w:val="24"/>
          <w:szCs w:val="24"/>
        </w:rPr>
        <w:t>azolantimykotika</w:t>
      </w:r>
      <w:proofErr w:type="spellEnd"/>
      <w:r w:rsidRPr="0039744C">
        <w:rPr>
          <w:sz w:val="24"/>
          <w:szCs w:val="24"/>
        </w:rPr>
        <w:t xml:space="preserve"> som </w:t>
      </w:r>
      <w:proofErr w:type="spellStart"/>
      <w:r w:rsidRPr="0039744C">
        <w:rPr>
          <w:sz w:val="24"/>
          <w:szCs w:val="24"/>
        </w:rPr>
        <w:t>ketoconazol</w:t>
      </w:r>
      <w:proofErr w:type="spellEnd"/>
      <w:r w:rsidRPr="0039744C">
        <w:rPr>
          <w:sz w:val="24"/>
          <w:szCs w:val="24"/>
        </w:rPr>
        <w:t xml:space="preserve"> og </w:t>
      </w:r>
      <w:proofErr w:type="spellStart"/>
      <w:r w:rsidRPr="0039744C">
        <w:rPr>
          <w:sz w:val="24"/>
          <w:szCs w:val="24"/>
        </w:rPr>
        <w:t>itraconazol</w:t>
      </w:r>
      <w:proofErr w:type="spellEnd"/>
      <w:r w:rsidRPr="0039744C">
        <w:rPr>
          <w:sz w:val="24"/>
          <w:szCs w:val="24"/>
        </w:rPr>
        <w:t xml:space="preserve">) øge koncentrationen af </w:t>
      </w:r>
      <w:proofErr w:type="spellStart"/>
      <w:r w:rsidRPr="0039744C">
        <w:rPr>
          <w:sz w:val="24"/>
          <w:szCs w:val="24"/>
        </w:rPr>
        <w:t>vinorelbin</w:t>
      </w:r>
      <w:proofErr w:type="spellEnd"/>
      <w:r w:rsidRPr="0039744C">
        <w:rPr>
          <w:sz w:val="24"/>
          <w:szCs w:val="24"/>
        </w:rPr>
        <w:t xml:space="preserve"> i blodet, og kombinationen med stærke inducere af dette </w:t>
      </w:r>
      <w:proofErr w:type="spellStart"/>
      <w:r w:rsidRPr="0039744C">
        <w:rPr>
          <w:sz w:val="24"/>
          <w:szCs w:val="24"/>
        </w:rPr>
        <w:t>isoenzym</w:t>
      </w:r>
      <w:proofErr w:type="spellEnd"/>
      <w:r w:rsidRPr="0039744C">
        <w:rPr>
          <w:sz w:val="24"/>
          <w:szCs w:val="24"/>
        </w:rPr>
        <w:t xml:space="preserve"> (fx </w:t>
      </w:r>
      <w:proofErr w:type="spellStart"/>
      <w:r w:rsidRPr="0039744C">
        <w:rPr>
          <w:sz w:val="24"/>
          <w:szCs w:val="24"/>
        </w:rPr>
        <w:t>rifampicin</w:t>
      </w:r>
      <w:proofErr w:type="spellEnd"/>
      <w:r w:rsidRPr="0039744C">
        <w:rPr>
          <w:sz w:val="24"/>
          <w:szCs w:val="24"/>
        </w:rPr>
        <w:t xml:space="preserve">, </w:t>
      </w:r>
      <w:proofErr w:type="spellStart"/>
      <w:r w:rsidRPr="0039744C">
        <w:rPr>
          <w:sz w:val="24"/>
          <w:szCs w:val="24"/>
        </w:rPr>
        <w:t>phenytoin</w:t>
      </w:r>
      <w:proofErr w:type="spellEnd"/>
      <w:r w:rsidRPr="0039744C">
        <w:rPr>
          <w:sz w:val="24"/>
          <w:szCs w:val="24"/>
        </w:rPr>
        <w:t xml:space="preserve">) kan sænke koncentrationen af </w:t>
      </w:r>
      <w:proofErr w:type="spellStart"/>
      <w:r w:rsidRPr="0039744C">
        <w:rPr>
          <w:sz w:val="24"/>
          <w:szCs w:val="24"/>
        </w:rPr>
        <w:t>vinorelbin</w:t>
      </w:r>
      <w:proofErr w:type="spellEnd"/>
      <w:r w:rsidRPr="0039744C">
        <w:rPr>
          <w:sz w:val="24"/>
          <w:szCs w:val="24"/>
        </w:rPr>
        <w:t xml:space="preserve"> i blodet.</w:t>
      </w:r>
    </w:p>
    <w:p w14:paraId="50F7CB88" w14:textId="77777777" w:rsidR="0039744C" w:rsidRPr="0039744C" w:rsidRDefault="0039744C" w:rsidP="0039744C">
      <w:pPr>
        <w:tabs>
          <w:tab w:val="left" w:pos="851"/>
        </w:tabs>
        <w:ind w:left="851"/>
        <w:rPr>
          <w:sz w:val="24"/>
          <w:szCs w:val="24"/>
        </w:rPr>
      </w:pPr>
    </w:p>
    <w:p w14:paraId="4D47FDB1" w14:textId="77777777" w:rsidR="0039744C" w:rsidRPr="0039744C" w:rsidRDefault="0039744C" w:rsidP="0039744C">
      <w:pPr>
        <w:tabs>
          <w:tab w:val="left" w:pos="851"/>
        </w:tabs>
        <w:ind w:left="851"/>
        <w:rPr>
          <w:sz w:val="24"/>
          <w:szCs w:val="24"/>
        </w:rPr>
      </w:pPr>
      <w:proofErr w:type="spellStart"/>
      <w:r w:rsidRPr="0039744C">
        <w:rPr>
          <w:sz w:val="24"/>
          <w:szCs w:val="24"/>
        </w:rPr>
        <w:t>Antiemetiske</w:t>
      </w:r>
      <w:proofErr w:type="spellEnd"/>
      <w:r w:rsidRPr="0039744C">
        <w:rPr>
          <w:sz w:val="24"/>
          <w:szCs w:val="24"/>
        </w:rPr>
        <w:t xml:space="preserve"> lægemidler som 5HT</w:t>
      </w:r>
      <w:r w:rsidRPr="0039744C">
        <w:rPr>
          <w:sz w:val="24"/>
          <w:szCs w:val="24"/>
          <w:vertAlign w:val="subscript"/>
        </w:rPr>
        <w:t>3</w:t>
      </w:r>
      <w:r w:rsidRPr="0039744C">
        <w:rPr>
          <w:sz w:val="24"/>
          <w:szCs w:val="24"/>
        </w:rPr>
        <w:t xml:space="preserve">-antagonister (fx </w:t>
      </w:r>
      <w:proofErr w:type="spellStart"/>
      <w:r w:rsidRPr="0039744C">
        <w:rPr>
          <w:sz w:val="24"/>
          <w:szCs w:val="24"/>
        </w:rPr>
        <w:t>ondansetron</w:t>
      </w:r>
      <w:proofErr w:type="spellEnd"/>
      <w:r w:rsidRPr="0039744C">
        <w:rPr>
          <w:sz w:val="24"/>
          <w:szCs w:val="24"/>
        </w:rPr>
        <w:t xml:space="preserve">, </w:t>
      </w:r>
      <w:proofErr w:type="spellStart"/>
      <w:r w:rsidRPr="0039744C">
        <w:rPr>
          <w:sz w:val="24"/>
          <w:szCs w:val="24"/>
        </w:rPr>
        <w:t>granisetron</w:t>
      </w:r>
      <w:proofErr w:type="spellEnd"/>
      <w:r w:rsidRPr="0039744C">
        <w:rPr>
          <w:sz w:val="24"/>
          <w:szCs w:val="24"/>
        </w:rPr>
        <w:t xml:space="preserve">) ændrer ikke farmakokinetikken af </w:t>
      </w:r>
      <w:proofErr w:type="spellStart"/>
      <w:r w:rsidRPr="0039744C">
        <w:rPr>
          <w:sz w:val="24"/>
          <w:szCs w:val="24"/>
        </w:rPr>
        <w:t>vinorelbin</w:t>
      </w:r>
      <w:proofErr w:type="spellEnd"/>
      <w:r w:rsidRPr="0039744C">
        <w:rPr>
          <w:sz w:val="24"/>
          <w:szCs w:val="24"/>
        </w:rPr>
        <w:t xml:space="preserve"> bløde kapsler (se pkt. 4.4).</w:t>
      </w:r>
    </w:p>
    <w:p w14:paraId="5DDC4E9C" w14:textId="77777777" w:rsidR="0039744C" w:rsidRPr="0039744C" w:rsidRDefault="0039744C" w:rsidP="0039744C">
      <w:pPr>
        <w:tabs>
          <w:tab w:val="left" w:pos="851"/>
        </w:tabs>
        <w:ind w:left="851"/>
        <w:rPr>
          <w:sz w:val="24"/>
          <w:szCs w:val="24"/>
        </w:rPr>
      </w:pPr>
    </w:p>
    <w:p w14:paraId="67C0924F" w14:textId="77777777" w:rsidR="0039744C" w:rsidRPr="0039744C" w:rsidRDefault="0039744C" w:rsidP="0039744C">
      <w:pPr>
        <w:tabs>
          <w:tab w:val="left" w:pos="851"/>
        </w:tabs>
        <w:ind w:left="851"/>
        <w:rPr>
          <w:sz w:val="24"/>
          <w:szCs w:val="24"/>
        </w:rPr>
      </w:pPr>
      <w:r w:rsidRPr="0039744C">
        <w:rPr>
          <w:sz w:val="24"/>
          <w:szCs w:val="24"/>
        </w:rPr>
        <w:lastRenderedPageBreak/>
        <w:t xml:space="preserve">Der blev set tegn på en øget forekomst af </w:t>
      </w:r>
      <w:proofErr w:type="spellStart"/>
      <w:r w:rsidRPr="0039744C">
        <w:rPr>
          <w:sz w:val="24"/>
          <w:szCs w:val="24"/>
        </w:rPr>
        <w:t>neutropeni</w:t>
      </w:r>
      <w:proofErr w:type="spellEnd"/>
      <w:r w:rsidRPr="0039744C">
        <w:rPr>
          <w:sz w:val="24"/>
          <w:szCs w:val="24"/>
        </w:rPr>
        <w:t xml:space="preserve"> af grad 3/4 i et klinisk fase I-forsøg, når intravenøs </w:t>
      </w:r>
      <w:proofErr w:type="spellStart"/>
      <w:r w:rsidRPr="0039744C">
        <w:rPr>
          <w:sz w:val="24"/>
          <w:szCs w:val="24"/>
        </w:rPr>
        <w:t>vinorelbin</w:t>
      </w:r>
      <w:proofErr w:type="spellEnd"/>
      <w:r w:rsidRPr="0039744C">
        <w:rPr>
          <w:sz w:val="24"/>
          <w:szCs w:val="24"/>
        </w:rPr>
        <w:t xml:space="preserve"> og </w:t>
      </w:r>
      <w:proofErr w:type="spellStart"/>
      <w:r w:rsidRPr="0039744C">
        <w:rPr>
          <w:sz w:val="24"/>
          <w:szCs w:val="24"/>
        </w:rPr>
        <w:t>lapatinib</w:t>
      </w:r>
      <w:proofErr w:type="spellEnd"/>
      <w:r w:rsidRPr="0039744C">
        <w:rPr>
          <w:sz w:val="24"/>
          <w:szCs w:val="24"/>
        </w:rPr>
        <w:t xml:space="preserve"> blev administreret samtidig. I dette forsøg var den anbefalede dosis af intravenøs </w:t>
      </w:r>
      <w:proofErr w:type="spellStart"/>
      <w:r w:rsidRPr="0039744C">
        <w:rPr>
          <w:sz w:val="24"/>
          <w:szCs w:val="24"/>
        </w:rPr>
        <w:t>vinorelbin</w:t>
      </w:r>
      <w:proofErr w:type="spellEnd"/>
      <w:r w:rsidRPr="0039744C">
        <w:rPr>
          <w:sz w:val="24"/>
          <w:szCs w:val="24"/>
        </w:rPr>
        <w:t xml:space="preserve"> i en 3-ugersplan 22,5 mg/m</w:t>
      </w:r>
      <w:r w:rsidRPr="0039744C">
        <w:rPr>
          <w:sz w:val="24"/>
          <w:szCs w:val="24"/>
          <w:vertAlign w:val="superscript"/>
        </w:rPr>
        <w:t xml:space="preserve">2 </w:t>
      </w:r>
      <w:r w:rsidRPr="0039744C">
        <w:rPr>
          <w:sz w:val="24"/>
          <w:szCs w:val="24"/>
        </w:rPr>
        <w:t xml:space="preserve">på dag 1 og dag 8, når det blev kombineret med en daglig </w:t>
      </w:r>
      <w:proofErr w:type="spellStart"/>
      <w:r w:rsidRPr="0039744C">
        <w:rPr>
          <w:sz w:val="24"/>
          <w:szCs w:val="24"/>
        </w:rPr>
        <w:t>lapatinib</w:t>
      </w:r>
      <w:proofErr w:type="spellEnd"/>
      <w:r w:rsidRPr="0039744C">
        <w:rPr>
          <w:sz w:val="24"/>
          <w:szCs w:val="24"/>
        </w:rPr>
        <w:t xml:space="preserve"> 1000 mg. Denne kombinationstype skal administreres med forsigtighed.</w:t>
      </w:r>
    </w:p>
    <w:p w14:paraId="61B9C028" w14:textId="77777777" w:rsidR="0039744C" w:rsidRPr="0039744C" w:rsidRDefault="0039744C" w:rsidP="0039744C">
      <w:pPr>
        <w:tabs>
          <w:tab w:val="left" w:pos="851"/>
        </w:tabs>
        <w:ind w:left="851"/>
        <w:rPr>
          <w:sz w:val="24"/>
          <w:szCs w:val="24"/>
        </w:rPr>
      </w:pPr>
    </w:p>
    <w:p w14:paraId="09673293" w14:textId="77777777" w:rsidR="00DD1756" w:rsidRDefault="0039744C" w:rsidP="0039744C">
      <w:pPr>
        <w:tabs>
          <w:tab w:val="left" w:pos="851"/>
        </w:tabs>
        <w:ind w:left="851"/>
        <w:rPr>
          <w:sz w:val="24"/>
          <w:szCs w:val="24"/>
        </w:rPr>
      </w:pPr>
      <w:r w:rsidRPr="0039744C">
        <w:rPr>
          <w:i/>
          <w:iCs/>
          <w:sz w:val="24"/>
          <w:szCs w:val="24"/>
        </w:rPr>
        <w:t xml:space="preserve">Behandling med </w:t>
      </w:r>
      <w:proofErr w:type="spellStart"/>
      <w:r w:rsidRPr="0039744C">
        <w:rPr>
          <w:i/>
          <w:iCs/>
          <w:sz w:val="24"/>
          <w:szCs w:val="24"/>
        </w:rPr>
        <w:t>antikoagulantia</w:t>
      </w:r>
      <w:proofErr w:type="spellEnd"/>
    </w:p>
    <w:p w14:paraId="2E0DA81B" w14:textId="5B954AE6" w:rsidR="0039744C" w:rsidRPr="0039744C" w:rsidRDefault="0039744C" w:rsidP="0039744C">
      <w:pPr>
        <w:tabs>
          <w:tab w:val="left" w:pos="851"/>
        </w:tabs>
        <w:ind w:left="851"/>
        <w:rPr>
          <w:sz w:val="24"/>
          <w:szCs w:val="24"/>
        </w:rPr>
      </w:pPr>
      <w:r w:rsidRPr="0039744C">
        <w:rPr>
          <w:sz w:val="24"/>
          <w:szCs w:val="24"/>
        </w:rPr>
        <w:t xml:space="preserve">Som ved alle </w:t>
      </w:r>
      <w:proofErr w:type="spellStart"/>
      <w:r w:rsidRPr="0039744C">
        <w:rPr>
          <w:sz w:val="24"/>
          <w:szCs w:val="24"/>
        </w:rPr>
        <w:t>cytotoksika</w:t>
      </w:r>
      <w:proofErr w:type="spellEnd"/>
      <w:r w:rsidRPr="0039744C">
        <w:rPr>
          <w:sz w:val="24"/>
          <w:szCs w:val="24"/>
        </w:rPr>
        <w:t xml:space="preserve"> skal hyppigheden af INR-overvågning øges på grund af den potentielle interaktion med perorale </w:t>
      </w:r>
      <w:proofErr w:type="spellStart"/>
      <w:r w:rsidRPr="0039744C">
        <w:rPr>
          <w:sz w:val="24"/>
          <w:szCs w:val="24"/>
        </w:rPr>
        <w:t>antikoagulantia</w:t>
      </w:r>
      <w:proofErr w:type="spellEnd"/>
      <w:r w:rsidRPr="0039744C">
        <w:rPr>
          <w:sz w:val="24"/>
          <w:szCs w:val="24"/>
        </w:rPr>
        <w:t xml:space="preserve"> og den forhøjede variabilitet af koagulation hos cancerpatienter.</w:t>
      </w:r>
    </w:p>
    <w:p w14:paraId="5CF6EB06" w14:textId="77777777" w:rsidR="0039744C" w:rsidRPr="0039744C" w:rsidRDefault="0039744C" w:rsidP="0039744C">
      <w:pPr>
        <w:tabs>
          <w:tab w:val="left" w:pos="851"/>
        </w:tabs>
        <w:ind w:left="851"/>
        <w:rPr>
          <w:sz w:val="24"/>
          <w:szCs w:val="24"/>
        </w:rPr>
      </w:pPr>
    </w:p>
    <w:p w14:paraId="07A32F82" w14:textId="77777777" w:rsidR="0039744C" w:rsidRPr="0039744C" w:rsidRDefault="0039744C" w:rsidP="0039744C">
      <w:pPr>
        <w:tabs>
          <w:tab w:val="left" w:pos="851"/>
        </w:tabs>
        <w:ind w:left="851"/>
        <w:rPr>
          <w:sz w:val="24"/>
          <w:szCs w:val="24"/>
        </w:rPr>
      </w:pPr>
      <w:r w:rsidRPr="0039744C">
        <w:rPr>
          <w:sz w:val="24"/>
          <w:szCs w:val="24"/>
        </w:rPr>
        <w:t xml:space="preserve">Mad indvirker ikke på </w:t>
      </w:r>
      <w:proofErr w:type="spellStart"/>
      <w:r w:rsidRPr="0039744C">
        <w:rPr>
          <w:sz w:val="24"/>
          <w:szCs w:val="24"/>
        </w:rPr>
        <w:t>vinorelbins</w:t>
      </w:r>
      <w:proofErr w:type="spellEnd"/>
      <w:r w:rsidRPr="0039744C">
        <w:rPr>
          <w:sz w:val="24"/>
          <w:szCs w:val="24"/>
        </w:rPr>
        <w:t xml:space="preserve"> farmakokinetik.</w:t>
      </w:r>
    </w:p>
    <w:p w14:paraId="67834953" w14:textId="77777777" w:rsidR="009260DE" w:rsidRPr="00C84483" w:rsidRDefault="009260DE" w:rsidP="009260DE">
      <w:pPr>
        <w:tabs>
          <w:tab w:val="left" w:pos="851"/>
        </w:tabs>
        <w:ind w:left="851"/>
        <w:rPr>
          <w:sz w:val="24"/>
          <w:szCs w:val="24"/>
        </w:rPr>
      </w:pPr>
    </w:p>
    <w:p w14:paraId="32A0D8F5"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4484454D" w14:textId="77777777" w:rsidR="004F2179" w:rsidRDefault="004F2179" w:rsidP="0039744C">
      <w:pPr>
        <w:tabs>
          <w:tab w:val="left" w:pos="851"/>
        </w:tabs>
        <w:ind w:left="851"/>
        <w:rPr>
          <w:sz w:val="24"/>
          <w:szCs w:val="24"/>
          <w:u w:val="single"/>
        </w:rPr>
      </w:pPr>
    </w:p>
    <w:p w14:paraId="48689AA7" w14:textId="52E8B568" w:rsidR="0039744C" w:rsidRPr="0039744C" w:rsidRDefault="0039744C" w:rsidP="0039744C">
      <w:pPr>
        <w:tabs>
          <w:tab w:val="left" w:pos="851"/>
        </w:tabs>
        <w:ind w:left="851"/>
        <w:rPr>
          <w:sz w:val="24"/>
          <w:szCs w:val="24"/>
        </w:rPr>
      </w:pPr>
      <w:r w:rsidRPr="0039744C">
        <w:rPr>
          <w:sz w:val="24"/>
          <w:szCs w:val="24"/>
          <w:u w:val="single"/>
        </w:rPr>
        <w:t>Graviditet</w:t>
      </w:r>
    </w:p>
    <w:p w14:paraId="7001DAF9" w14:textId="77777777" w:rsidR="0039744C" w:rsidRPr="0039744C" w:rsidRDefault="0039744C" w:rsidP="0039744C">
      <w:pPr>
        <w:tabs>
          <w:tab w:val="left" w:pos="851"/>
        </w:tabs>
        <w:ind w:left="851"/>
        <w:rPr>
          <w:sz w:val="24"/>
          <w:szCs w:val="24"/>
        </w:rPr>
      </w:pPr>
      <w:r w:rsidRPr="0039744C">
        <w:rPr>
          <w:sz w:val="24"/>
          <w:szCs w:val="24"/>
        </w:rPr>
        <w:t xml:space="preserve">Der er ingen eller utilstrækkelige data fra anvendelse af </w:t>
      </w:r>
      <w:proofErr w:type="spellStart"/>
      <w:r w:rsidRPr="0039744C">
        <w:rPr>
          <w:sz w:val="24"/>
          <w:szCs w:val="24"/>
        </w:rPr>
        <w:t>vinorelbin</w:t>
      </w:r>
      <w:proofErr w:type="spellEnd"/>
      <w:r w:rsidRPr="0039744C">
        <w:rPr>
          <w:sz w:val="24"/>
          <w:szCs w:val="24"/>
        </w:rPr>
        <w:t xml:space="preserve"> til gravide kvinder. Dyreforsøg har påvist embryotoksicitet og </w:t>
      </w:r>
      <w:proofErr w:type="spellStart"/>
      <w:r w:rsidRPr="0039744C">
        <w:rPr>
          <w:sz w:val="24"/>
          <w:szCs w:val="24"/>
        </w:rPr>
        <w:t>teratogenicitet</w:t>
      </w:r>
      <w:proofErr w:type="spellEnd"/>
      <w:r w:rsidRPr="0039744C">
        <w:rPr>
          <w:sz w:val="24"/>
          <w:szCs w:val="24"/>
        </w:rPr>
        <w:t xml:space="preserve"> (se pkt. 5.3). Baseret på resultaterne af dyreforsøg og lægemidlets farmakologiske virkning er der en potentiel risiko for embryonale og </w:t>
      </w:r>
      <w:proofErr w:type="spellStart"/>
      <w:r w:rsidRPr="0039744C">
        <w:rPr>
          <w:sz w:val="24"/>
          <w:szCs w:val="24"/>
        </w:rPr>
        <w:t>føtale</w:t>
      </w:r>
      <w:proofErr w:type="spellEnd"/>
      <w:r w:rsidRPr="0039744C">
        <w:rPr>
          <w:sz w:val="24"/>
          <w:szCs w:val="24"/>
        </w:rPr>
        <w:t xml:space="preserve"> abnormiteter.</w:t>
      </w:r>
    </w:p>
    <w:p w14:paraId="123A684A" w14:textId="77777777" w:rsidR="0039744C" w:rsidRPr="0039744C" w:rsidRDefault="0039744C" w:rsidP="0039744C">
      <w:pPr>
        <w:tabs>
          <w:tab w:val="left" w:pos="851"/>
        </w:tabs>
        <w:ind w:left="851"/>
        <w:rPr>
          <w:sz w:val="24"/>
          <w:szCs w:val="24"/>
        </w:rPr>
      </w:pPr>
    </w:p>
    <w:p w14:paraId="65BF8CA9" w14:textId="77777777" w:rsidR="0039744C" w:rsidRPr="0039744C" w:rsidRDefault="0039744C" w:rsidP="0039744C">
      <w:pPr>
        <w:tabs>
          <w:tab w:val="left" w:pos="851"/>
        </w:tabs>
        <w:ind w:left="851"/>
        <w:rPr>
          <w:sz w:val="24"/>
          <w:szCs w:val="24"/>
        </w:rPr>
      </w:pPr>
      <w:proofErr w:type="spellStart"/>
      <w:r w:rsidRPr="0039744C">
        <w:rPr>
          <w:sz w:val="24"/>
          <w:szCs w:val="24"/>
        </w:rPr>
        <w:t>Vinorelbin</w:t>
      </w:r>
      <w:proofErr w:type="spellEnd"/>
      <w:r w:rsidRPr="0039744C">
        <w:rPr>
          <w:sz w:val="24"/>
          <w:szCs w:val="24"/>
        </w:rPr>
        <w:t xml:space="preserve"> må derfor ikke anvendes under graviditeten, medmindre den forventede gavnlige virkning klart opvejer de potentielle risici. Hvis der indtræder graviditet under behandlingen, skal patienten oplyses om risiciene for det ufødte barn og overvåges nøje. Muligheden for genetisk rådgivning skal overvejes.</w:t>
      </w:r>
    </w:p>
    <w:p w14:paraId="00842EED" w14:textId="77777777" w:rsidR="0039744C" w:rsidRPr="0039744C" w:rsidRDefault="0039744C" w:rsidP="0039744C">
      <w:pPr>
        <w:tabs>
          <w:tab w:val="left" w:pos="851"/>
        </w:tabs>
        <w:ind w:left="851"/>
        <w:rPr>
          <w:sz w:val="24"/>
          <w:szCs w:val="24"/>
        </w:rPr>
      </w:pPr>
    </w:p>
    <w:p w14:paraId="6A08F36A" w14:textId="77777777" w:rsidR="0039744C" w:rsidRPr="0039744C" w:rsidRDefault="0039744C" w:rsidP="0039744C">
      <w:pPr>
        <w:tabs>
          <w:tab w:val="left" w:pos="851"/>
        </w:tabs>
        <w:ind w:left="851"/>
        <w:rPr>
          <w:sz w:val="24"/>
          <w:szCs w:val="24"/>
          <w:u w:val="single"/>
        </w:rPr>
      </w:pPr>
      <w:r w:rsidRPr="0039744C">
        <w:rPr>
          <w:sz w:val="24"/>
          <w:szCs w:val="24"/>
          <w:u w:val="single"/>
        </w:rPr>
        <w:t>Kvinder i den fertile alder</w:t>
      </w:r>
    </w:p>
    <w:p w14:paraId="11516DE1" w14:textId="77777777" w:rsidR="00BE03B3" w:rsidRPr="0039744C" w:rsidRDefault="00BE03B3" w:rsidP="00BE03B3">
      <w:pPr>
        <w:tabs>
          <w:tab w:val="left" w:pos="851"/>
        </w:tabs>
        <w:ind w:left="851"/>
        <w:rPr>
          <w:sz w:val="24"/>
          <w:szCs w:val="24"/>
        </w:rPr>
      </w:pPr>
      <w:r w:rsidRPr="0039744C">
        <w:rPr>
          <w:sz w:val="24"/>
          <w:szCs w:val="24"/>
        </w:rPr>
        <w:t>Kvinder i den fertile alder skal anvende effektiv prævention under behandling og</w:t>
      </w:r>
      <w:r>
        <w:rPr>
          <w:sz w:val="24"/>
          <w:szCs w:val="24"/>
        </w:rPr>
        <w:t xml:space="preserve"> i</w:t>
      </w:r>
      <w:r w:rsidRPr="0039744C">
        <w:rPr>
          <w:sz w:val="24"/>
          <w:szCs w:val="24"/>
        </w:rPr>
        <w:t xml:space="preserve"> </w:t>
      </w:r>
      <w:r>
        <w:rPr>
          <w:sz w:val="24"/>
          <w:szCs w:val="24"/>
        </w:rPr>
        <w:t>7</w:t>
      </w:r>
      <w:r w:rsidRPr="0039744C">
        <w:rPr>
          <w:sz w:val="24"/>
          <w:szCs w:val="24"/>
        </w:rPr>
        <w:t xml:space="preserve"> måneder efter behandling.</w:t>
      </w:r>
    </w:p>
    <w:p w14:paraId="675DEB3A" w14:textId="77777777" w:rsidR="0039744C" w:rsidRPr="0039744C" w:rsidRDefault="0039744C" w:rsidP="0039744C">
      <w:pPr>
        <w:tabs>
          <w:tab w:val="left" w:pos="851"/>
        </w:tabs>
        <w:ind w:left="851"/>
        <w:rPr>
          <w:sz w:val="24"/>
          <w:szCs w:val="24"/>
          <w:u w:val="single"/>
        </w:rPr>
      </w:pPr>
    </w:p>
    <w:p w14:paraId="1915F381" w14:textId="77777777" w:rsidR="0039744C" w:rsidRPr="0039744C" w:rsidRDefault="0039744C" w:rsidP="0039744C">
      <w:pPr>
        <w:tabs>
          <w:tab w:val="left" w:pos="851"/>
        </w:tabs>
        <w:ind w:left="851"/>
        <w:rPr>
          <w:sz w:val="24"/>
          <w:szCs w:val="24"/>
          <w:u w:val="single"/>
        </w:rPr>
      </w:pPr>
      <w:r w:rsidRPr="0039744C">
        <w:rPr>
          <w:sz w:val="24"/>
          <w:szCs w:val="24"/>
          <w:u w:val="single"/>
        </w:rPr>
        <w:t>Amning</w:t>
      </w:r>
    </w:p>
    <w:p w14:paraId="7A2B50C2" w14:textId="77777777" w:rsidR="0039744C" w:rsidRPr="0039744C" w:rsidRDefault="0039744C" w:rsidP="0039744C">
      <w:pPr>
        <w:tabs>
          <w:tab w:val="left" w:pos="851"/>
        </w:tabs>
        <w:ind w:left="851"/>
        <w:rPr>
          <w:sz w:val="24"/>
          <w:szCs w:val="24"/>
        </w:rPr>
      </w:pPr>
      <w:r w:rsidRPr="0039744C">
        <w:rPr>
          <w:sz w:val="24"/>
          <w:szCs w:val="24"/>
        </w:rPr>
        <w:t xml:space="preserve">Det er ukendt, om </w:t>
      </w:r>
      <w:proofErr w:type="spellStart"/>
      <w:r w:rsidRPr="0039744C">
        <w:rPr>
          <w:sz w:val="24"/>
          <w:szCs w:val="24"/>
        </w:rPr>
        <w:t>vinorelbin</w:t>
      </w:r>
      <w:proofErr w:type="spellEnd"/>
      <w:r w:rsidRPr="0039744C">
        <w:rPr>
          <w:sz w:val="24"/>
          <w:szCs w:val="24"/>
        </w:rPr>
        <w:t xml:space="preserve"> udskilles i human mælk.</w:t>
      </w:r>
    </w:p>
    <w:p w14:paraId="6AC62BD1" w14:textId="77777777" w:rsidR="0039744C" w:rsidRPr="0039744C" w:rsidRDefault="0039744C" w:rsidP="0039744C">
      <w:pPr>
        <w:tabs>
          <w:tab w:val="left" w:pos="851"/>
        </w:tabs>
        <w:ind w:left="851"/>
        <w:rPr>
          <w:sz w:val="24"/>
          <w:szCs w:val="24"/>
        </w:rPr>
      </w:pPr>
      <w:r w:rsidRPr="0039744C">
        <w:rPr>
          <w:sz w:val="24"/>
          <w:szCs w:val="24"/>
        </w:rPr>
        <w:t xml:space="preserve">Udskillelsen af </w:t>
      </w:r>
      <w:proofErr w:type="spellStart"/>
      <w:r w:rsidRPr="0039744C">
        <w:rPr>
          <w:sz w:val="24"/>
          <w:szCs w:val="24"/>
        </w:rPr>
        <w:t>vinorelbin</w:t>
      </w:r>
      <w:proofErr w:type="spellEnd"/>
      <w:r w:rsidRPr="0039744C">
        <w:rPr>
          <w:sz w:val="24"/>
          <w:szCs w:val="24"/>
        </w:rPr>
        <w:t xml:space="preserve"> i mælk er ikke undersøgt i dyreforsøg. En risiko for det ammede barn kan ikke udelukkes, og amning skal derfor ophøre, før behandling med </w:t>
      </w:r>
      <w:proofErr w:type="spellStart"/>
      <w:r w:rsidRPr="0039744C">
        <w:rPr>
          <w:sz w:val="24"/>
          <w:szCs w:val="24"/>
        </w:rPr>
        <w:t>vinorelbin</w:t>
      </w:r>
      <w:proofErr w:type="spellEnd"/>
      <w:r w:rsidRPr="0039744C">
        <w:rPr>
          <w:sz w:val="24"/>
          <w:szCs w:val="24"/>
        </w:rPr>
        <w:t xml:space="preserve"> påbegyndes (se pkt. 4.3).</w:t>
      </w:r>
    </w:p>
    <w:p w14:paraId="4F8BEF2E" w14:textId="77777777" w:rsidR="0039744C" w:rsidRPr="0039744C" w:rsidRDefault="0039744C" w:rsidP="0039744C">
      <w:pPr>
        <w:tabs>
          <w:tab w:val="left" w:pos="851"/>
        </w:tabs>
        <w:ind w:left="851"/>
        <w:rPr>
          <w:sz w:val="24"/>
          <w:szCs w:val="24"/>
        </w:rPr>
      </w:pPr>
    </w:p>
    <w:p w14:paraId="46639419" w14:textId="77777777" w:rsidR="0039744C" w:rsidRPr="0039744C" w:rsidRDefault="0039744C" w:rsidP="0039744C">
      <w:pPr>
        <w:tabs>
          <w:tab w:val="left" w:pos="851"/>
        </w:tabs>
        <w:ind w:left="851"/>
        <w:rPr>
          <w:sz w:val="24"/>
          <w:szCs w:val="24"/>
        </w:rPr>
      </w:pPr>
      <w:r w:rsidRPr="0039744C">
        <w:rPr>
          <w:sz w:val="24"/>
          <w:szCs w:val="24"/>
          <w:u w:val="single"/>
        </w:rPr>
        <w:t>Fertilitet</w:t>
      </w:r>
    </w:p>
    <w:p w14:paraId="24E1F858" w14:textId="77777777" w:rsidR="00BE03B3" w:rsidRPr="0039744C" w:rsidRDefault="00BE03B3" w:rsidP="00BE03B3">
      <w:pPr>
        <w:tabs>
          <w:tab w:val="left" w:pos="851"/>
        </w:tabs>
        <w:ind w:left="851"/>
        <w:rPr>
          <w:sz w:val="24"/>
          <w:szCs w:val="24"/>
        </w:rPr>
      </w:pPr>
      <w:r w:rsidRPr="0039744C">
        <w:rPr>
          <w:sz w:val="24"/>
          <w:szCs w:val="24"/>
        </w:rPr>
        <w:t xml:space="preserve">Mænd, som er i behandling med </w:t>
      </w:r>
      <w:proofErr w:type="spellStart"/>
      <w:r w:rsidRPr="0039744C">
        <w:rPr>
          <w:sz w:val="24"/>
          <w:szCs w:val="24"/>
        </w:rPr>
        <w:t>vinorelbin</w:t>
      </w:r>
      <w:proofErr w:type="spellEnd"/>
      <w:r w:rsidRPr="0039744C">
        <w:rPr>
          <w:sz w:val="24"/>
          <w:szCs w:val="24"/>
        </w:rPr>
        <w:t xml:space="preserve">, frarådes at gøre deres partner gravid under og i </w:t>
      </w:r>
      <w:r>
        <w:rPr>
          <w:sz w:val="24"/>
          <w:szCs w:val="24"/>
        </w:rPr>
        <w:t>4</w:t>
      </w:r>
      <w:r w:rsidRPr="0039744C">
        <w:rPr>
          <w:sz w:val="24"/>
          <w:szCs w:val="24"/>
        </w:rPr>
        <w:t xml:space="preserve"> måneder efter behandling. Før behandling skal der søges råd om opbevaring af sæd på grund af risikoen for irreversibel </w:t>
      </w:r>
      <w:proofErr w:type="spellStart"/>
      <w:r w:rsidRPr="0039744C">
        <w:rPr>
          <w:sz w:val="24"/>
          <w:szCs w:val="24"/>
        </w:rPr>
        <w:t>infertilitet</w:t>
      </w:r>
      <w:proofErr w:type="spellEnd"/>
      <w:r w:rsidRPr="0039744C">
        <w:rPr>
          <w:sz w:val="24"/>
          <w:szCs w:val="24"/>
        </w:rPr>
        <w:t xml:space="preserve"> som en konsekvens af behandlingen med </w:t>
      </w:r>
      <w:proofErr w:type="spellStart"/>
      <w:r w:rsidRPr="0039744C">
        <w:rPr>
          <w:sz w:val="24"/>
          <w:szCs w:val="24"/>
        </w:rPr>
        <w:t>vinorelbin</w:t>
      </w:r>
      <w:proofErr w:type="spellEnd"/>
      <w:r w:rsidRPr="0039744C">
        <w:rPr>
          <w:sz w:val="24"/>
          <w:szCs w:val="24"/>
        </w:rPr>
        <w:t>.</w:t>
      </w:r>
    </w:p>
    <w:p w14:paraId="7EFF9BC2" w14:textId="77777777" w:rsidR="009260DE" w:rsidRPr="00C84483" w:rsidRDefault="009260DE" w:rsidP="009260DE">
      <w:pPr>
        <w:tabs>
          <w:tab w:val="left" w:pos="851"/>
        </w:tabs>
        <w:ind w:left="851"/>
        <w:rPr>
          <w:sz w:val="24"/>
          <w:szCs w:val="24"/>
        </w:rPr>
      </w:pPr>
    </w:p>
    <w:p w14:paraId="2F076188"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DA3F132" w14:textId="77777777" w:rsidR="004F2179" w:rsidRDefault="004F2179" w:rsidP="0039744C">
      <w:pPr>
        <w:tabs>
          <w:tab w:val="left" w:pos="851"/>
        </w:tabs>
        <w:ind w:left="851"/>
        <w:rPr>
          <w:sz w:val="24"/>
          <w:szCs w:val="24"/>
        </w:rPr>
      </w:pPr>
      <w:r>
        <w:rPr>
          <w:sz w:val="24"/>
          <w:szCs w:val="24"/>
        </w:rPr>
        <w:t>Ikke mærkning.</w:t>
      </w:r>
    </w:p>
    <w:p w14:paraId="3BC85674" w14:textId="71EC9F30" w:rsidR="0039744C" w:rsidRPr="0039744C" w:rsidRDefault="0039744C" w:rsidP="0039744C">
      <w:pPr>
        <w:tabs>
          <w:tab w:val="left" w:pos="851"/>
        </w:tabs>
        <w:ind w:left="851"/>
        <w:rPr>
          <w:sz w:val="24"/>
          <w:szCs w:val="24"/>
        </w:rPr>
      </w:pPr>
      <w:r w:rsidRPr="0039744C">
        <w:rPr>
          <w:sz w:val="24"/>
          <w:szCs w:val="24"/>
        </w:rPr>
        <w:t xml:space="preserve">Der er ikke foretaget undersøgelser af virkningen på evnen til at føre motorkøretøj eller betjene maskiner, men på grundlag af </w:t>
      </w:r>
      <w:proofErr w:type="spellStart"/>
      <w:r w:rsidRPr="0039744C">
        <w:rPr>
          <w:sz w:val="24"/>
          <w:szCs w:val="24"/>
        </w:rPr>
        <w:t>vinorelbins</w:t>
      </w:r>
      <w:proofErr w:type="spellEnd"/>
      <w:r w:rsidRPr="0039744C">
        <w:rPr>
          <w:sz w:val="24"/>
          <w:szCs w:val="24"/>
        </w:rPr>
        <w:t xml:space="preserve"> </w:t>
      </w:r>
      <w:proofErr w:type="spellStart"/>
      <w:r w:rsidRPr="0039744C">
        <w:rPr>
          <w:sz w:val="24"/>
          <w:szCs w:val="24"/>
        </w:rPr>
        <w:t>farmakodynamiske</w:t>
      </w:r>
      <w:proofErr w:type="spellEnd"/>
      <w:r w:rsidRPr="0039744C">
        <w:rPr>
          <w:sz w:val="24"/>
          <w:szCs w:val="24"/>
        </w:rPr>
        <w:t xml:space="preserve"> profil påvirker det ikke evnen til at føre motorkøretøj eller betjene maskiner.</w:t>
      </w:r>
    </w:p>
    <w:p w14:paraId="0FA962E8" w14:textId="77777777" w:rsidR="0039744C" w:rsidRPr="0039744C" w:rsidRDefault="0039744C" w:rsidP="0039744C">
      <w:pPr>
        <w:tabs>
          <w:tab w:val="left" w:pos="851"/>
        </w:tabs>
        <w:ind w:left="851"/>
        <w:rPr>
          <w:sz w:val="24"/>
          <w:szCs w:val="24"/>
        </w:rPr>
      </w:pPr>
      <w:r w:rsidRPr="0039744C">
        <w:rPr>
          <w:sz w:val="24"/>
          <w:szCs w:val="24"/>
        </w:rPr>
        <w:t xml:space="preserve">Forsigtighed er dog nødvendig hos patienter, der er behandlet med </w:t>
      </w:r>
      <w:proofErr w:type="spellStart"/>
      <w:r w:rsidRPr="0039744C">
        <w:rPr>
          <w:sz w:val="24"/>
          <w:szCs w:val="24"/>
        </w:rPr>
        <w:t>vinorelbin</w:t>
      </w:r>
      <w:proofErr w:type="spellEnd"/>
      <w:r w:rsidRPr="0039744C">
        <w:rPr>
          <w:sz w:val="24"/>
          <w:szCs w:val="24"/>
        </w:rPr>
        <w:t>, på grund af visse bivirkninger ved lægemidlet (se pkt. 4.8).</w:t>
      </w:r>
    </w:p>
    <w:p w14:paraId="70440BAF" w14:textId="77777777" w:rsidR="0039744C" w:rsidRPr="0039744C" w:rsidRDefault="0039744C" w:rsidP="0039744C">
      <w:pPr>
        <w:tabs>
          <w:tab w:val="left" w:pos="851"/>
        </w:tabs>
        <w:ind w:left="851"/>
        <w:rPr>
          <w:sz w:val="24"/>
          <w:szCs w:val="24"/>
        </w:rPr>
      </w:pPr>
    </w:p>
    <w:p w14:paraId="17B9DD7D"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55787B57" w14:textId="77777777" w:rsidR="0039744C" w:rsidRPr="0039744C" w:rsidRDefault="0039744C" w:rsidP="0039744C">
      <w:pPr>
        <w:autoSpaceDE w:val="0"/>
        <w:autoSpaceDN w:val="0"/>
        <w:adjustRightInd w:val="0"/>
        <w:ind w:left="851"/>
        <w:rPr>
          <w:sz w:val="24"/>
          <w:szCs w:val="24"/>
        </w:rPr>
      </w:pPr>
      <w:r w:rsidRPr="0039744C">
        <w:rPr>
          <w:sz w:val="24"/>
          <w:szCs w:val="24"/>
        </w:rPr>
        <w:lastRenderedPageBreak/>
        <w:t xml:space="preserve">Den samlede forekomst af bivirkninger er bestemt ud fra kliniske forsøg med 316 patienter (132 patienter med ikke-småcellet cancer </w:t>
      </w:r>
      <w:proofErr w:type="spellStart"/>
      <w:r w:rsidRPr="0039744C">
        <w:rPr>
          <w:sz w:val="24"/>
          <w:szCs w:val="24"/>
        </w:rPr>
        <w:t>pulmonis</w:t>
      </w:r>
      <w:proofErr w:type="spellEnd"/>
      <w:r w:rsidRPr="0039744C">
        <w:rPr>
          <w:sz w:val="24"/>
          <w:szCs w:val="24"/>
        </w:rPr>
        <w:t xml:space="preserve"> og 184 patienter med </w:t>
      </w:r>
      <w:proofErr w:type="spellStart"/>
      <w:r w:rsidRPr="0039744C">
        <w:rPr>
          <w:sz w:val="24"/>
          <w:szCs w:val="24"/>
        </w:rPr>
        <w:t>mammacancer</w:t>
      </w:r>
      <w:proofErr w:type="spellEnd"/>
      <w:r w:rsidRPr="0039744C">
        <w:rPr>
          <w:sz w:val="24"/>
          <w:szCs w:val="24"/>
        </w:rPr>
        <w:t xml:space="preserve">), som fik det anbefalede behandlingsregime med </w:t>
      </w:r>
      <w:proofErr w:type="spellStart"/>
      <w:r w:rsidRPr="0039744C">
        <w:rPr>
          <w:sz w:val="24"/>
          <w:szCs w:val="24"/>
        </w:rPr>
        <w:t>vinorelbin</w:t>
      </w:r>
      <w:proofErr w:type="spellEnd"/>
      <w:r w:rsidRPr="0039744C">
        <w:rPr>
          <w:sz w:val="24"/>
          <w:szCs w:val="24"/>
        </w:rPr>
        <w:t xml:space="preserve"> (først 3 doseringer med 60 mg/m</w:t>
      </w:r>
      <w:r w:rsidRPr="0039744C">
        <w:rPr>
          <w:sz w:val="24"/>
          <w:szCs w:val="24"/>
          <w:vertAlign w:val="superscript"/>
        </w:rPr>
        <w:t>2</w:t>
      </w:r>
      <w:r w:rsidRPr="0039744C">
        <w:rPr>
          <w:sz w:val="24"/>
          <w:szCs w:val="24"/>
        </w:rPr>
        <w:t>/uge efterfulgt af 80 mg/m</w:t>
      </w:r>
      <w:r w:rsidRPr="0039744C">
        <w:rPr>
          <w:sz w:val="24"/>
          <w:szCs w:val="24"/>
          <w:vertAlign w:val="superscript"/>
        </w:rPr>
        <w:t>2</w:t>
      </w:r>
      <w:r w:rsidRPr="0039744C">
        <w:rPr>
          <w:sz w:val="24"/>
          <w:szCs w:val="24"/>
        </w:rPr>
        <w:t>/uge).</w:t>
      </w:r>
    </w:p>
    <w:p w14:paraId="0A208E7A" w14:textId="77777777" w:rsidR="0039744C" w:rsidRPr="0039744C" w:rsidRDefault="0039744C" w:rsidP="0039744C">
      <w:pPr>
        <w:autoSpaceDE w:val="0"/>
        <w:autoSpaceDN w:val="0"/>
        <w:adjustRightInd w:val="0"/>
        <w:ind w:left="851"/>
        <w:rPr>
          <w:sz w:val="24"/>
          <w:szCs w:val="24"/>
        </w:rPr>
      </w:pPr>
    </w:p>
    <w:p w14:paraId="1E0697F1" w14:textId="77777777" w:rsidR="0039744C" w:rsidRPr="0039744C" w:rsidRDefault="0039744C" w:rsidP="0039744C">
      <w:pPr>
        <w:autoSpaceDE w:val="0"/>
        <w:autoSpaceDN w:val="0"/>
        <w:adjustRightInd w:val="0"/>
        <w:ind w:left="851"/>
        <w:rPr>
          <w:sz w:val="24"/>
          <w:szCs w:val="24"/>
        </w:rPr>
      </w:pPr>
      <w:r w:rsidRPr="0039744C">
        <w:rPr>
          <w:sz w:val="24"/>
          <w:szCs w:val="24"/>
        </w:rPr>
        <w:t>Rapporterede bivirkninger er opstillet herunder ud fra systemorganklasse og hyppighed.</w:t>
      </w:r>
    </w:p>
    <w:p w14:paraId="7DFFC62C" w14:textId="77777777" w:rsidR="0039744C" w:rsidRPr="0039744C" w:rsidRDefault="0039744C" w:rsidP="0039744C">
      <w:pPr>
        <w:autoSpaceDE w:val="0"/>
        <w:autoSpaceDN w:val="0"/>
        <w:adjustRightInd w:val="0"/>
        <w:ind w:left="851"/>
        <w:rPr>
          <w:sz w:val="24"/>
          <w:szCs w:val="24"/>
        </w:rPr>
      </w:pPr>
    </w:p>
    <w:p w14:paraId="221ED803" w14:textId="77777777" w:rsidR="00BE03B3" w:rsidRPr="0039744C" w:rsidRDefault="00BE03B3" w:rsidP="00BE03B3">
      <w:pPr>
        <w:autoSpaceDE w:val="0"/>
        <w:autoSpaceDN w:val="0"/>
        <w:adjustRightInd w:val="0"/>
        <w:ind w:left="851"/>
        <w:rPr>
          <w:sz w:val="24"/>
          <w:szCs w:val="24"/>
        </w:rPr>
      </w:pPr>
      <w:r w:rsidRPr="0039744C">
        <w:rPr>
          <w:sz w:val="24"/>
          <w:szCs w:val="24"/>
        </w:rPr>
        <w:t xml:space="preserve">Yderligere bivirkninger på baggrund af </w:t>
      </w:r>
      <w:r>
        <w:rPr>
          <w:sz w:val="24"/>
          <w:szCs w:val="24"/>
        </w:rPr>
        <w:t xml:space="preserve">både </w:t>
      </w:r>
      <w:r w:rsidRPr="0039744C">
        <w:rPr>
          <w:sz w:val="24"/>
          <w:szCs w:val="24"/>
        </w:rPr>
        <w:t xml:space="preserve">post-marketing-erfaringen og kliniske forsøg er tilføjet i henhold til </w:t>
      </w:r>
      <w:proofErr w:type="spellStart"/>
      <w:r w:rsidRPr="0039744C">
        <w:rPr>
          <w:sz w:val="24"/>
          <w:szCs w:val="24"/>
        </w:rPr>
        <w:t>MedDRA</w:t>
      </w:r>
      <w:proofErr w:type="spellEnd"/>
      <w:r w:rsidRPr="0039744C">
        <w:rPr>
          <w:sz w:val="24"/>
          <w:szCs w:val="24"/>
        </w:rPr>
        <w:t xml:space="preserve">-klassifikationen med hyppigheden </w:t>
      </w:r>
      <w:r w:rsidRPr="0039744C">
        <w:rPr>
          <w:i/>
          <w:iCs/>
          <w:sz w:val="24"/>
          <w:szCs w:val="24"/>
        </w:rPr>
        <w:t>Ikke kendt</w:t>
      </w:r>
      <w:r w:rsidRPr="0039744C">
        <w:rPr>
          <w:sz w:val="24"/>
          <w:szCs w:val="24"/>
        </w:rPr>
        <w:t>.</w:t>
      </w:r>
    </w:p>
    <w:p w14:paraId="57CB2549" w14:textId="77777777" w:rsidR="0039744C" w:rsidRPr="0039744C" w:rsidRDefault="0039744C" w:rsidP="0039744C">
      <w:pPr>
        <w:autoSpaceDE w:val="0"/>
        <w:autoSpaceDN w:val="0"/>
        <w:adjustRightInd w:val="0"/>
        <w:ind w:left="851"/>
        <w:jc w:val="both"/>
        <w:rPr>
          <w:sz w:val="24"/>
          <w:szCs w:val="24"/>
        </w:rPr>
      </w:pPr>
    </w:p>
    <w:p w14:paraId="27624660" w14:textId="77777777" w:rsidR="0039744C" w:rsidRPr="0039744C" w:rsidRDefault="0039744C" w:rsidP="0039744C">
      <w:pPr>
        <w:autoSpaceDE w:val="0"/>
        <w:autoSpaceDN w:val="0"/>
        <w:adjustRightInd w:val="0"/>
        <w:ind w:left="851"/>
        <w:jc w:val="both"/>
        <w:rPr>
          <w:sz w:val="24"/>
          <w:szCs w:val="24"/>
        </w:rPr>
      </w:pPr>
      <w:r w:rsidRPr="0039744C">
        <w:rPr>
          <w:sz w:val="24"/>
          <w:szCs w:val="24"/>
        </w:rPr>
        <w:t>Reaktionerne er beskrevet ved hjælp af NCI CTCAE-kriterier.</w:t>
      </w:r>
    </w:p>
    <w:p w14:paraId="00329716" w14:textId="77777777" w:rsidR="0039744C" w:rsidRPr="0039744C" w:rsidRDefault="0039744C" w:rsidP="0039744C">
      <w:pPr>
        <w:autoSpaceDE w:val="0"/>
        <w:autoSpaceDN w:val="0"/>
        <w:adjustRightInd w:val="0"/>
        <w:ind w:left="851"/>
        <w:jc w:val="both"/>
        <w:rPr>
          <w:sz w:val="24"/>
          <w:szCs w:val="24"/>
        </w:rPr>
      </w:pPr>
    </w:p>
    <w:tbl>
      <w:tblPr>
        <w:tblW w:w="0" w:type="auto"/>
        <w:tblInd w:w="843" w:type="dxa"/>
        <w:tblLayout w:type="fixed"/>
        <w:tblCellMar>
          <w:left w:w="0" w:type="dxa"/>
          <w:right w:w="0" w:type="dxa"/>
        </w:tblCellMar>
        <w:tblLook w:val="04A0" w:firstRow="1" w:lastRow="0" w:firstColumn="1" w:lastColumn="0" w:noHBand="0" w:noVBand="1"/>
      </w:tblPr>
      <w:tblGrid>
        <w:gridCol w:w="1879"/>
        <w:gridCol w:w="2835"/>
      </w:tblGrid>
      <w:tr w:rsidR="0039744C" w14:paraId="5544826F" w14:textId="77777777" w:rsidTr="004F2179">
        <w:trPr>
          <w:trHeight w:hRule="exact" w:val="281"/>
        </w:trPr>
        <w:tc>
          <w:tcPr>
            <w:tcW w:w="1879" w:type="dxa"/>
            <w:tcBorders>
              <w:top w:val="single" w:sz="6" w:space="0" w:color="000000"/>
              <w:left w:val="single" w:sz="6" w:space="0" w:color="000000"/>
              <w:bottom w:val="single" w:sz="6" w:space="0" w:color="000000"/>
              <w:right w:val="single" w:sz="6" w:space="0" w:color="000000"/>
            </w:tcBorders>
            <w:hideMark/>
          </w:tcPr>
          <w:p w14:paraId="2FDAE209" w14:textId="77777777" w:rsidR="0039744C" w:rsidRDefault="0039744C">
            <w:pPr>
              <w:pStyle w:val="TableParagraph"/>
              <w:kinsoku w:val="0"/>
              <w:overflowPunct w:val="0"/>
              <w:ind w:left="100"/>
              <w:rPr>
                <w:sz w:val="22"/>
                <w:szCs w:val="22"/>
                <w:lang w:val="da-DK"/>
              </w:rPr>
            </w:pPr>
            <w:r>
              <w:rPr>
                <w:sz w:val="22"/>
                <w:szCs w:val="22"/>
                <w:lang w:val="da-DK"/>
              </w:rPr>
              <w:t>Meget almindelig</w:t>
            </w:r>
          </w:p>
        </w:tc>
        <w:tc>
          <w:tcPr>
            <w:tcW w:w="2835" w:type="dxa"/>
            <w:tcBorders>
              <w:top w:val="single" w:sz="6" w:space="0" w:color="000000"/>
              <w:left w:val="single" w:sz="6" w:space="0" w:color="000000"/>
              <w:bottom w:val="single" w:sz="6" w:space="0" w:color="000000"/>
              <w:right w:val="single" w:sz="6" w:space="0" w:color="000000"/>
            </w:tcBorders>
            <w:hideMark/>
          </w:tcPr>
          <w:p w14:paraId="7B1E5234" w14:textId="77777777" w:rsidR="0039744C" w:rsidRDefault="0039744C">
            <w:pPr>
              <w:pStyle w:val="TableParagraph"/>
              <w:kinsoku w:val="0"/>
              <w:overflowPunct w:val="0"/>
              <w:ind w:left="100"/>
              <w:rPr>
                <w:sz w:val="22"/>
                <w:szCs w:val="22"/>
                <w:lang w:val="da-DK"/>
              </w:rPr>
            </w:pPr>
            <w:r>
              <w:rPr>
                <w:sz w:val="22"/>
                <w:szCs w:val="22"/>
                <w:lang w:val="da-DK"/>
              </w:rPr>
              <w:t>≥1/10</w:t>
            </w:r>
          </w:p>
        </w:tc>
      </w:tr>
      <w:tr w:rsidR="0039744C" w14:paraId="3F19B65D" w14:textId="77777777" w:rsidTr="004F2179">
        <w:trPr>
          <w:trHeight w:hRule="exact" w:val="281"/>
        </w:trPr>
        <w:tc>
          <w:tcPr>
            <w:tcW w:w="1879" w:type="dxa"/>
            <w:tcBorders>
              <w:top w:val="single" w:sz="6" w:space="0" w:color="000000"/>
              <w:left w:val="single" w:sz="6" w:space="0" w:color="000000"/>
              <w:bottom w:val="single" w:sz="6" w:space="0" w:color="000000"/>
              <w:right w:val="single" w:sz="6" w:space="0" w:color="000000"/>
            </w:tcBorders>
            <w:hideMark/>
          </w:tcPr>
          <w:p w14:paraId="404CCBBE" w14:textId="77777777" w:rsidR="0039744C" w:rsidRDefault="0039744C">
            <w:pPr>
              <w:pStyle w:val="TableParagraph"/>
              <w:kinsoku w:val="0"/>
              <w:overflowPunct w:val="0"/>
              <w:ind w:left="100"/>
              <w:rPr>
                <w:sz w:val="22"/>
                <w:szCs w:val="22"/>
                <w:lang w:val="da-DK"/>
              </w:rPr>
            </w:pPr>
            <w:r>
              <w:rPr>
                <w:sz w:val="22"/>
                <w:szCs w:val="22"/>
                <w:lang w:val="da-DK"/>
              </w:rPr>
              <w:t>Almindelig</w:t>
            </w:r>
          </w:p>
        </w:tc>
        <w:tc>
          <w:tcPr>
            <w:tcW w:w="2835" w:type="dxa"/>
            <w:tcBorders>
              <w:top w:val="single" w:sz="6" w:space="0" w:color="000000"/>
              <w:left w:val="single" w:sz="6" w:space="0" w:color="000000"/>
              <w:bottom w:val="single" w:sz="6" w:space="0" w:color="000000"/>
              <w:right w:val="single" w:sz="6" w:space="0" w:color="000000"/>
            </w:tcBorders>
            <w:hideMark/>
          </w:tcPr>
          <w:p w14:paraId="5D3115AF" w14:textId="77777777" w:rsidR="0039744C" w:rsidRDefault="0039744C">
            <w:pPr>
              <w:pStyle w:val="TableParagraph"/>
              <w:kinsoku w:val="0"/>
              <w:overflowPunct w:val="0"/>
              <w:ind w:left="100"/>
              <w:rPr>
                <w:sz w:val="22"/>
                <w:szCs w:val="22"/>
                <w:lang w:val="da-DK"/>
              </w:rPr>
            </w:pPr>
            <w:r>
              <w:rPr>
                <w:sz w:val="22"/>
                <w:szCs w:val="22"/>
                <w:lang w:val="da-DK"/>
              </w:rPr>
              <w:t>≥1/100, &lt;1/10</w:t>
            </w:r>
          </w:p>
        </w:tc>
      </w:tr>
      <w:tr w:rsidR="0039744C" w14:paraId="27BEB6F2" w14:textId="77777777" w:rsidTr="004F2179">
        <w:trPr>
          <w:trHeight w:hRule="exact" w:val="281"/>
        </w:trPr>
        <w:tc>
          <w:tcPr>
            <w:tcW w:w="1879" w:type="dxa"/>
            <w:tcBorders>
              <w:top w:val="single" w:sz="6" w:space="0" w:color="000000"/>
              <w:left w:val="single" w:sz="6" w:space="0" w:color="000000"/>
              <w:bottom w:val="single" w:sz="6" w:space="0" w:color="000000"/>
              <w:right w:val="single" w:sz="6" w:space="0" w:color="000000"/>
            </w:tcBorders>
            <w:hideMark/>
          </w:tcPr>
          <w:p w14:paraId="5875D4D1" w14:textId="77777777" w:rsidR="0039744C" w:rsidRDefault="0039744C">
            <w:pPr>
              <w:pStyle w:val="TableParagraph"/>
              <w:kinsoku w:val="0"/>
              <w:overflowPunct w:val="0"/>
              <w:ind w:left="100"/>
              <w:rPr>
                <w:sz w:val="22"/>
                <w:szCs w:val="22"/>
                <w:lang w:val="da-DK"/>
              </w:rPr>
            </w:pPr>
            <w:r>
              <w:rPr>
                <w:sz w:val="22"/>
                <w:szCs w:val="22"/>
                <w:lang w:val="da-DK"/>
              </w:rPr>
              <w:t>Ikke almindelig</w:t>
            </w:r>
          </w:p>
        </w:tc>
        <w:tc>
          <w:tcPr>
            <w:tcW w:w="2835" w:type="dxa"/>
            <w:tcBorders>
              <w:top w:val="single" w:sz="6" w:space="0" w:color="000000"/>
              <w:left w:val="single" w:sz="6" w:space="0" w:color="000000"/>
              <w:bottom w:val="single" w:sz="6" w:space="0" w:color="000000"/>
              <w:right w:val="single" w:sz="6" w:space="0" w:color="000000"/>
            </w:tcBorders>
            <w:hideMark/>
          </w:tcPr>
          <w:p w14:paraId="3B723742" w14:textId="77777777" w:rsidR="0039744C" w:rsidRDefault="0039744C">
            <w:pPr>
              <w:pStyle w:val="TableParagraph"/>
              <w:kinsoku w:val="0"/>
              <w:overflowPunct w:val="0"/>
              <w:ind w:left="100"/>
              <w:rPr>
                <w:sz w:val="22"/>
                <w:szCs w:val="22"/>
                <w:lang w:val="da-DK"/>
              </w:rPr>
            </w:pPr>
            <w:r>
              <w:rPr>
                <w:sz w:val="22"/>
                <w:szCs w:val="22"/>
                <w:lang w:val="da-DK"/>
              </w:rPr>
              <w:t>≥1/1.000, &lt;1/100</w:t>
            </w:r>
          </w:p>
        </w:tc>
      </w:tr>
      <w:tr w:rsidR="0039744C" w14:paraId="6B194A9C" w14:textId="77777777" w:rsidTr="004F2179">
        <w:trPr>
          <w:trHeight w:hRule="exact" w:val="281"/>
        </w:trPr>
        <w:tc>
          <w:tcPr>
            <w:tcW w:w="1879" w:type="dxa"/>
            <w:tcBorders>
              <w:top w:val="single" w:sz="6" w:space="0" w:color="000000"/>
              <w:left w:val="single" w:sz="6" w:space="0" w:color="000000"/>
              <w:bottom w:val="single" w:sz="6" w:space="0" w:color="000000"/>
              <w:right w:val="single" w:sz="6" w:space="0" w:color="000000"/>
            </w:tcBorders>
            <w:hideMark/>
          </w:tcPr>
          <w:p w14:paraId="5A7D1ED4" w14:textId="77777777" w:rsidR="0039744C" w:rsidRDefault="0039744C">
            <w:pPr>
              <w:pStyle w:val="TableParagraph"/>
              <w:kinsoku w:val="0"/>
              <w:overflowPunct w:val="0"/>
              <w:ind w:left="100"/>
              <w:rPr>
                <w:sz w:val="22"/>
                <w:szCs w:val="22"/>
                <w:lang w:val="da-DK"/>
              </w:rPr>
            </w:pPr>
            <w:r>
              <w:rPr>
                <w:sz w:val="22"/>
                <w:szCs w:val="22"/>
                <w:lang w:val="da-DK"/>
              </w:rPr>
              <w:t>Sjælden</w:t>
            </w:r>
          </w:p>
        </w:tc>
        <w:tc>
          <w:tcPr>
            <w:tcW w:w="2835" w:type="dxa"/>
            <w:tcBorders>
              <w:top w:val="single" w:sz="6" w:space="0" w:color="000000"/>
              <w:left w:val="single" w:sz="6" w:space="0" w:color="000000"/>
              <w:bottom w:val="single" w:sz="6" w:space="0" w:color="000000"/>
              <w:right w:val="single" w:sz="6" w:space="0" w:color="000000"/>
            </w:tcBorders>
            <w:hideMark/>
          </w:tcPr>
          <w:p w14:paraId="0D149EB5" w14:textId="77777777" w:rsidR="0039744C" w:rsidRDefault="0039744C">
            <w:pPr>
              <w:pStyle w:val="TableParagraph"/>
              <w:kinsoku w:val="0"/>
              <w:overflowPunct w:val="0"/>
              <w:ind w:left="100"/>
              <w:rPr>
                <w:sz w:val="22"/>
                <w:szCs w:val="22"/>
                <w:lang w:val="da-DK"/>
              </w:rPr>
            </w:pPr>
            <w:r>
              <w:rPr>
                <w:sz w:val="22"/>
                <w:szCs w:val="22"/>
                <w:lang w:val="da-DK"/>
              </w:rPr>
              <w:t>≥1/10.000, &lt;1/1.000</w:t>
            </w:r>
          </w:p>
        </w:tc>
      </w:tr>
      <w:tr w:rsidR="0039744C" w14:paraId="0F30E08A" w14:textId="77777777" w:rsidTr="004F2179">
        <w:trPr>
          <w:trHeight w:hRule="exact" w:val="281"/>
        </w:trPr>
        <w:tc>
          <w:tcPr>
            <w:tcW w:w="1879" w:type="dxa"/>
            <w:tcBorders>
              <w:top w:val="single" w:sz="6" w:space="0" w:color="000000"/>
              <w:left w:val="single" w:sz="6" w:space="0" w:color="000000"/>
              <w:bottom w:val="single" w:sz="6" w:space="0" w:color="000000"/>
              <w:right w:val="single" w:sz="6" w:space="0" w:color="000000"/>
            </w:tcBorders>
            <w:hideMark/>
          </w:tcPr>
          <w:p w14:paraId="4450401A" w14:textId="77777777" w:rsidR="0039744C" w:rsidRDefault="0039744C">
            <w:pPr>
              <w:pStyle w:val="TableParagraph"/>
              <w:kinsoku w:val="0"/>
              <w:overflowPunct w:val="0"/>
              <w:ind w:left="100"/>
              <w:rPr>
                <w:sz w:val="22"/>
                <w:szCs w:val="22"/>
                <w:lang w:val="da-DK"/>
              </w:rPr>
            </w:pPr>
            <w:r>
              <w:rPr>
                <w:sz w:val="22"/>
                <w:szCs w:val="22"/>
                <w:lang w:val="da-DK"/>
              </w:rPr>
              <w:t>Meget sjælden</w:t>
            </w:r>
          </w:p>
        </w:tc>
        <w:tc>
          <w:tcPr>
            <w:tcW w:w="2835" w:type="dxa"/>
            <w:tcBorders>
              <w:top w:val="single" w:sz="6" w:space="0" w:color="000000"/>
              <w:left w:val="single" w:sz="6" w:space="0" w:color="000000"/>
              <w:bottom w:val="single" w:sz="6" w:space="0" w:color="000000"/>
              <w:right w:val="single" w:sz="6" w:space="0" w:color="000000"/>
            </w:tcBorders>
            <w:hideMark/>
          </w:tcPr>
          <w:p w14:paraId="55B801FB" w14:textId="77777777" w:rsidR="0039744C" w:rsidRDefault="0039744C">
            <w:pPr>
              <w:pStyle w:val="TableParagraph"/>
              <w:kinsoku w:val="0"/>
              <w:overflowPunct w:val="0"/>
              <w:ind w:left="100"/>
              <w:rPr>
                <w:sz w:val="22"/>
                <w:szCs w:val="22"/>
                <w:lang w:val="da-DK"/>
              </w:rPr>
            </w:pPr>
            <w:r>
              <w:rPr>
                <w:sz w:val="22"/>
                <w:szCs w:val="22"/>
                <w:lang w:val="da-DK"/>
              </w:rPr>
              <w:t>&lt;1/10.000</w:t>
            </w:r>
          </w:p>
        </w:tc>
      </w:tr>
      <w:tr w:rsidR="0039744C" w14:paraId="77806194" w14:textId="77777777" w:rsidTr="004F2179">
        <w:trPr>
          <w:trHeight w:hRule="exact" w:val="281"/>
        </w:trPr>
        <w:tc>
          <w:tcPr>
            <w:tcW w:w="1879" w:type="dxa"/>
            <w:tcBorders>
              <w:top w:val="single" w:sz="6" w:space="0" w:color="000000"/>
              <w:left w:val="single" w:sz="6" w:space="0" w:color="000000"/>
              <w:bottom w:val="single" w:sz="6" w:space="0" w:color="000000"/>
              <w:right w:val="single" w:sz="6" w:space="0" w:color="000000"/>
            </w:tcBorders>
            <w:hideMark/>
          </w:tcPr>
          <w:p w14:paraId="6122C641" w14:textId="77777777" w:rsidR="0039744C" w:rsidRDefault="0039744C">
            <w:pPr>
              <w:pStyle w:val="TableParagraph"/>
              <w:kinsoku w:val="0"/>
              <w:overflowPunct w:val="0"/>
              <w:ind w:left="100"/>
              <w:rPr>
                <w:sz w:val="22"/>
                <w:szCs w:val="22"/>
                <w:lang w:val="da-DK"/>
              </w:rPr>
            </w:pPr>
            <w:r>
              <w:rPr>
                <w:sz w:val="22"/>
                <w:szCs w:val="22"/>
                <w:lang w:val="da-DK"/>
              </w:rPr>
              <w:t>Ikke kendt</w:t>
            </w:r>
          </w:p>
        </w:tc>
        <w:tc>
          <w:tcPr>
            <w:tcW w:w="2835" w:type="dxa"/>
            <w:tcBorders>
              <w:top w:val="single" w:sz="6" w:space="0" w:color="000000"/>
              <w:left w:val="single" w:sz="6" w:space="0" w:color="000000"/>
              <w:bottom w:val="single" w:sz="6" w:space="0" w:color="000000"/>
              <w:right w:val="single" w:sz="6" w:space="0" w:color="000000"/>
            </w:tcBorders>
            <w:hideMark/>
          </w:tcPr>
          <w:p w14:paraId="0E1C8754" w14:textId="77777777" w:rsidR="0039744C" w:rsidRDefault="0039744C">
            <w:pPr>
              <w:pStyle w:val="TableParagraph"/>
              <w:kinsoku w:val="0"/>
              <w:overflowPunct w:val="0"/>
              <w:ind w:left="100"/>
              <w:rPr>
                <w:sz w:val="22"/>
                <w:szCs w:val="22"/>
                <w:lang w:val="da-DK"/>
              </w:rPr>
            </w:pPr>
            <w:r>
              <w:rPr>
                <w:sz w:val="22"/>
                <w:szCs w:val="22"/>
                <w:lang w:val="da-DK"/>
              </w:rPr>
              <w:t>Post-marketing-rapporter</w:t>
            </w:r>
          </w:p>
        </w:tc>
      </w:tr>
    </w:tbl>
    <w:p w14:paraId="132C5039" w14:textId="77777777" w:rsidR="0039744C" w:rsidRPr="0039744C" w:rsidRDefault="0039744C" w:rsidP="0039744C">
      <w:pPr>
        <w:autoSpaceDE w:val="0"/>
        <w:autoSpaceDN w:val="0"/>
        <w:adjustRightInd w:val="0"/>
        <w:ind w:left="851"/>
        <w:jc w:val="both"/>
        <w:rPr>
          <w:sz w:val="24"/>
          <w:szCs w:val="24"/>
        </w:rPr>
      </w:pPr>
    </w:p>
    <w:p w14:paraId="260E4C16" w14:textId="77777777" w:rsidR="0039744C" w:rsidRPr="0039744C" w:rsidRDefault="0039744C" w:rsidP="0039744C">
      <w:pPr>
        <w:autoSpaceDE w:val="0"/>
        <w:autoSpaceDN w:val="0"/>
        <w:adjustRightInd w:val="0"/>
        <w:ind w:left="851"/>
        <w:jc w:val="both"/>
        <w:rPr>
          <w:b/>
          <w:sz w:val="24"/>
          <w:szCs w:val="24"/>
        </w:rPr>
      </w:pPr>
      <w:r w:rsidRPr="0039744C">
        <w:rPr>
          <w:b/>
          <w:bCs/>
          <w:sz w:val="24"/>
          <w:szCs w:val="24"/>
        </w:rPr>
        <w:t xml:space="preserve">Bivirkninger rapporteret i forbindelse med </w:t>
      </w:r>
      <w:proofErr w:type="spellStart"/>
      <w:r w:rsidRPr="0039744C">
        <w:rPr>
          <w:b/>
          <w:bCs/>
          <w:sz w:val="24"/>
          <w:szCs w:val="24"/>
        </w:rPr>
        <w:t>vinorelbin</w:t>
      </w:r>
      <w:proofErr w:type="spellEnd"/>
      <w:r w:rsidRPr="0039744C">
        <w:rPr>
          <w:b/>
          <w:bCs/>
          <w:sz w:val="24"/>
          <w:szCs w:val="24"/>
        </w:rPr>
        <w:t xml:space="preserve"> bløde kapsler:</w:t>
      </w:r>
    </w:p>
    <w:p w14:paraId="0D89B65F" w14:textId="77777777" w:rsidR="0039744C" w:rsidRPr="0039744C" w:rsidRDefault="0039744C" w:rsidP="0039744C">
      <w:pPr>
        <w:autoSpaceDE w:val="0"/>
        <w:autoSpaceDN w:val="0"/>
        <w:adjustRightInd w:val="0"/>
        <w:ind w:left="851"/>
        <w:jc w:val="both"/>
        <w:rPr>
          <w:sz w:val="24"/>
          <w:szCs w:val="24"/>
        </w:rPr>
      </w:pPr>
    </w:p>
    <w:p w14:paraId="77260DD6" w14:textId="7A032B3E" w:rsidR="0039744C" w:rsidRPr="004F2179" w:rsidRDefault="0039744C" w:rsidP="0039744C">
      <w:pPr>
        <w:autoSpaceDE w:val="0"/>
        <w:autoSpaceDN w:val="0"/>
        <w:adjustRightInd w:val="0"/>
        <w:ind w:left="851"/>
        <w:jc w:val="both"/>
        <w:rPr>
          <w:sz w:val="24"/>
          <w:szCs w:val="24"/>
          <w:u w:val="single"/>
        </w:rPr>
      </w:pPr>
      <w:r w:rsidRPr="004F2179">
        <w:rPr>
          <w:bCs/>
          <w:sz w:val="24"/>
          <w:szCs w:val="24"/>
          <w:u w:val="single"/>
        </w:rPr>
        <w:t>Præ-marketing erfaring</w:t>
      </w:r>
    </w:p>
    <w:p w14:paraId="09EDB4D8" w14:textId="77777777" w:rsidR="0039744C" w:rsidRPr="0039744C" w:rsidRDefault="0039744C" w:rsidP="0039744C">
      <w:pPr>
        <w:autoSpaceDE w:val="0"/>
        <w:autoSpaceDN w:val="0"/>
        <w:adjustRightInd w:val="0"/>
        <w:ind w:left="851"/>
        <w:rPr>
          <w:sz w:val="24"/>
          <w:szCs w:val="24"/>
        </w:rPr>
      </w:pPr>
      <w:r w:rsidRPr="0039744C">
        <w:rPr>
          <w:sz w:val="24"/>
          <w:szCs w:val="24"/>
        </w:rPr>
        <w:t xml:space="preserve">De mest almindelige rapporterede bivirkninger er knoglemarvsdepression med </w:t>
      </w:r>
      <w:proofErr w:type="spellStart"/>
      <w:r w:rsidRPr="0039744C">
        <w:rPr>
          <w:sz w:val="24"/>
          <w:szCs w:val="24"/>
        </w:rPr>
        <w:t>neutropeni</w:t>
      </w:r>
      <w:proofErr w:type="spellEnd"/>
      <w:r w:rsidRPr="0039744C">
        <w:rPr>
          <w:sz w:val="24"/>
          <w:szCs w:val="24"/>
        </w:rPr>
        <w:t xml:space="preserve">, anæmi og </w:t>
      </w:r>
      <w:proofErr w:type="spellStart"/>
      <w:r w:rsidRPr="0039744C">
        <w:rPr>
          <w:sz w:val="24"/>
          <w:szCs w:val="24"/>
        </w:rPr>
        <w:t>trombocytopeni</w:t>
      </w:r>
      <w:proofErr w:type="spellEnd"/>
      <w:r w:rsidRPr="0039744C">
        <w:rPr>
          <w:sz w:val="24"/>
          <w:szCs w:val="24"/>
        </w:rPr>
        <w:t xml:space="preserve">, </w:t>
      </w:r>
      <w:proofErr w:type="spellStart"/>
      <w:r w:rsidRPr="0039744C">
        <w:rPr>
          <w:sz w:val="24"/>
          <w:szCs w:val="24"/>
        </w:rPr>
        <w:t>gastrointestinal</w:t>
      </w:r>
      <w:proofErr w:type="spellEnd"/>
      <w:r w:rsidRPr="0039744C">
        <w:rPr>
          <w:sz w:val="24"/>
          <w:szCs w:val="24"/>
        </w:rPr>
        <w:t xml:space="preserve"> toksicitet med kvalme, opkastning, diarré, </w:t>
      </w:r>
      <w:proofErr w:type="spellStart"/>
      <w:r w:rsidRPr="0039744C">
        <w:rPr>
          <w:sz w:val="24"/>
          <w:szCs w:val="24"/>
        </w:rPr>
        <w:t>stomatitis</w:t>
      </w:r>
      <w:proofErr w:type="spellEnd"/>
      <w:r w:rsidRPr="0039744C">
        <w:rPr>
          <w:sz w:val="24"/>
          <w:szCs w:val="24"/>
        </w:rPr>
        <w:t xml:space="preserve"> og forstoppelse. Træthed og feber blev også rapporteret som meget almindelig.</w:t>
      </w:r>
    </w:p>
    <w:p w14:paraId="7F3F7DBC" w14:textId="77777777" w:rsidR="0039744C" w:rsidRPr="0039744C" w:rsidRDefault="0039744C" w:rsidP="0039744C">
      <w:pPr>
        <w:autoSpaceDE w:val="0"/>
        <w:autoSpaceDN w:val="0"/>
        <w:adjustRightInd w:val="0"/>
        <w:ind w:left="851"/>
        <w:rPr>
          <w:sz w:val="24"/>
          <w:szCs w:val="24"/>
        </w:rPr>
      </w:pPr>
    </w:p>
    <w:p w14:paraId="41C78923" w14:textId="669EF1E4" w:rsidR="0039744C" w:rsidRPr="004F2179" w:rsidRDefault="0039744C" w:rsidP="0039744C">
      <w:pPr>
        <w:autoSpaceDE w:val="0"/>
        <w:autoSpaceDN w:val="0"/>
        <w:adjustRightInd w:val="0"/>
        <w:ind w:left="851"/>
        <w:rPr>
          <w:sz w:val="24"/>
          <w:szCs w:val="24"/>
          <w:u w:val="single"/>
        </w:rPr>
      </w:pPr>
      <w:r w:rsidRPr="004F2179">
        <w:rPr>
          <w:bCs/>
          <w:sz w:val="24"/>
          <w:szCs w:val="24"/>
          <w:u w:val="single"/>
        </w:rPr>
        <w:t>Post-marketing-erfaring</w:t>
      </w:r>
    </w:p>
    <w:p w14:paraId="1EE4D6AA" w14:textId="77777777" w:rsidR="0039744C" w:rsidRPr="0039744C" w:rsidRDefault="0039744C" w:rsidP="0039744C">
      <w:pPr>
        <w:autoSpaceDE w:val="0"/>
        <w:autoSpaceDN w:val="0"/>
        <w:adjustRightInd w:val="0"/>
        <w:ind w:left="851"/>
        <w:rPr>
          <w:sz w:val="24"/>
          <w:szCs w:val="24"/>
        </w:rPr>
      </w:pPr>
      <w:proofErr w:type="spellStart"/>
      <w:r w:rsidRPr="0039744C">
        <w:rPr>
          <w:sz w:val="24"/>
          <w:szCs w:val="24"/>
        </w:rPr>
        <w:t>Vinorelbin</w:t>
      </w:r>
      <w:proofErr w:type="spellEnd"/>
      <w:r w:rsidRPr="0039744C">
        <w:rPr>
          <w:sz w:val="24"/>
          <w:szCs w:val="24"/>
        </w:rPr>
        <w:t xml:space="preserve"> bløde kapsler anvendes som monoterapi eller i kombination med andre kemoterapeutiske midler såsom </w:t>
      </w:r>
      <w:proofErr w:type="spellStart"/>
      <w:r w:rsidRPr="0039744C">
        <w:rPr>
          <w:sz w:val="24"/>
          <w:szCs w:val="24"/>
        </w:rPr>
        <w:t>cisplatin</w:t>
      </w:r>
      <w:proofErr w:type="spellEnd"/>
      <w:r w:rsidRPr="0039744C">
        <w:rPr>
          <w:sz w:val="24"/>
          <w:szCs w:val="24"/>
        </w:rPr>
        <w:t xml:space="preserve"> eller </w:t>
      </w:r>
      <w:proofErr w:type="spellStart"/>
      <w:r w:rsidRPr="0039744C">
        <w:rPr>
          <w:sz w:val="24"/>
          <w:szCs w:val="24"/>
        </w:rPr>
        <w:t>capecitabin</w:t>
      </w:r>
      <w:proofErr w:type="spellEnd"/>
      <w:r w:rsidRPr="0039744C">
        <w:rPr>
          <w:sz w:val="24"/>
          <w:szCs w:val="24"/>
        </w:rPr>
        <w:t>.</w:t>
      </w:r>
    </w:p>
    <w:p w14:paraId="4C0BEE28" w14:textId="77777777" w:rsidR="0039744C" w:rsidRPr="0039744C" w:rsidRDefault="0039744C" w:rsidP="0039744C">
      <w:pPr>
        <w:autoSpaceDE w:val="0"/>
        <w:autoSpaceDN w:val="0"/>
        <w:adjustRightInd w:val="0"/>
        <w:ind w:left="851"/>
        <w:rPr>
          <w:sz w:val="24"/>
          <w:szCs w:val="24"/>
        </w:rPr>
      </w:pPr>
      <w:r w:rsidRPr="0039744C">
        <w:rPr>
          <w:sz w:val="24"/>
          <w:szCs w:val="24"/>
        </w:rPr>
        <w:t>De mest almindelige systemorganklasser, der var involveret i post-marketing-erfaringen, er: "Blod og lymfesystem", "Mave-tarm-kanalen" og "Almene symptomer og reaktioner på administrationsstedet". Disse oplysninger er i overensstemmelse med præ-marketing-erfaringen.</w:t>
      </w:r>
    </w:p>
    <w:p w14:paraId="00BC496E" w14:textId="77777777" w:rsidR="0039744C" w:rsidRPr="0039744C" w:rsidRDefault="0039744C" w:rsidP="0039744C">
      <w:pPr>
        <w:autoSpaceDE w:val="0"/>
        <w:autoSpaceDN w:val="0"/>
        <w:adjustRightInd w:val="0"/>
        <w:ind w:left="851"/>
        <w:jc w:val="both"/>
        <w:rPr>
          <w:sz w:val="24"/>
          <w:szCs w:val="24"/>
        </w:rPr>
      </w:pPr>
    </w:p>
    <w:tbl>
      <w:tblPr>
        <w:tblStyle w:val="Tabel-Git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7"/>
      </w:tblGrid>
      <w:tr w:rsidR="0039744C" w:rsidRPr="003B04B0" w14:paraId="5543EBAE" w14:textId="77777777" w:rsidTr="0039744C">
        <w:tc>
          <w:tcPr>
            <w:tcW w:w="9322" w:type="dxa"/>
            <w:gridSpan w:val="2"/>
            <w:hideMark/>
          </w:tcPr>
          <w:p w14:paraId="5259ACB8" w14:textId="4471AE4B" w:rsidR="003B04B0" w:rsidRPr="003B04B0" w:rsidRDefault="0039744C">
            <w:pPr>
              <w:autoSpaceDE w:val="0"/>
              <w:autoSpaceDN w:val="0"/>
              <w:adjustRightInd w:val="0"/>
              <w:rPr>
                <w:b/>
                <w:szCs w:val="22"/>
              </w:rPr>
            </w:pPr>
            <w:r w:rsidRPr="003B04B0">
              <w:rPr>
                <w:b/>
                <w:szCs w:val="22"/>
              </w:rPr>
              <w:t>Infektioner og parasitære sygdomme</w:t>
            </w:r>
          </w:p>
        </w:tc>
      </w:tr>
      <w:tr w:rsidR="0039744C" w14:paraId="76885066" w14:textId="77777777" w:rsidTr="0039744C">
        <w:tc>
          <w:tcPr>
            <w:tcW w:w="2235" w:type="dxa"/>
            <w:hideMark/>
          </w:tcPr>
          <w:p w14:paraId="29B5598A" w14:textId="77777777" w:rsidR="0039744C" w:rsidRDefault="0039744C">
            <w:pPr>
              <w:autoSpaceDE w:val="0"/>
              <w:autoSpaceDN w:val="0"/>
              <w:adjustRightInd w:val="0"/>
              <w:rPr>
                <w:szCs w:val="22"/>
              </w:rPr>
            </w:pPr>
            <w:r>
              <w:rPr>
                <w:szCs w:val="22"/>
              </w:rPr>
              <w:t>Meget almindelig:</w:t>
            </w:r>
          </w:p>
        </w:tc>
        <w:tc>
          <w:tcPr>
            <w:tcW w:w="7087" w:type="dxa"/>
            <w:hideMark/>
          </w:tcPr>
          <w:p w14:paraId="2D38C91E" w14:textId="77777777" w:rsidR="0039744C" w:rsidRDefault="0039744C">
            <w:pPr>
              <w:autoSpaceDE w:val="0"/>
              <w:autoSpaceDN w:val="0"/>
              <w:adjustRightInd w:val="0"/>
              <w:ind w:right="29"/>
              <w:rPr>
                <w:szCs w:val="22"/>
              </w:rPr>
            </w:pPr>
            <w:r>
              <w:rPr>
                <w:szCs w:val="22"/>
              </w:rPr>
              <w:t xml:space="preserve">Bakterie-, virus- eller svampeinfektioner uden </w:t>
            </w:r>
            <w:proofErr w:type="spellStart"/>
            <w:r>
              <w:rPr>
                <w:szCs w:val="22"/>
              </w:rPr>
              <w:t>neutropeni</w:t>
            </w:r>
            <w:proofErr w:type="spellEnd"/>
            <w:r>
              <w:rPr>
                <w:szCs w:val="22"/>
              </w:rPr>
              <w:t xml:space="preserve"> på forskellige steder G1-4: 12,7 %; G3-4: 4,4 %.</w:t>
            </w:r>
          </w:p>
        </w:tc>
      </w:tr>
      <w:tr w:rsidR="0039744C" w14:paraId="75AA2150" w14:textId="77777777" w:rsidTr="0039744C">
        <w:tc>
          <w:tcPr>
            <w:tcW w:w="2235" w:type="dxa"/>
            <w:hideMark/>
          </w:tcPr>
          <w:p w14:paraId="6681445A" w14:textId="77777777" w:rsidR="0039744C" w:rsidRDefault="0039744C">
            <w:pPr>
              <w:autoSpaceDE w:val="0"/>
              <w:autoSpaceDN w:val="0"/>
              <w:adjustRightInd w:val="0"/>
              <w:rPr>
                <w:szCs w:val="22"/>
              </w:rPr>
            </w:pPr>
            <w:r>
              <w:rPr>
                <w:szCs w:val="22"/>
              </w:rPr>
              <w:t>Almindelig:</w:t>
            </w:r>
          </w:p>
        </w:tc>
        <w:tc>
          <w:tcPr>
            <w:tcW w:w="7087" w:type="dxa"/>
            <w:hideMark/>
          </w:tcPr>
          <w:p w14:paraId="08280EBC" w14:textId="77777777" w:rsidR="0039744C" w:rsidRDefault="0039744C">
            <w:pPr>
              <w:autoSpaceDE w:val="0"/>
              <w:autoSpaceDN w:val="0"/>
              <w:adjustRightInd w:val="0"/>
              <w:rPr>
                <w:szCs w:val="22"/>
              </w:rPr>
            </w:pPr>
            <w:r>
              <w:rPr>
                <w:szCs w:val="22"/>
              </w:rPr>
              <w:t>Bakterie-, virus- eller svampeinfektioner, der skyldes knoglemarvsdepression og/eller svækkelse af immunsystemet (</w:t>
            </w:r>
            <w:proofErr w:type="spellStart"/>
            <w:r>
              <w:rPr>
                <w:szCs w:val="22"/>
              </w:rPr>
              <w:t>neutropeniske</w:t>
            </w:r>
            <w:proofErr w:type="spellEnd"/>
            <w:r>
              <w:rPr>
                <w:szCs w:val="22"/>
              </w:rPr>
              <w:t xml:space="preserve"> infektioner) er sædvanligvis reversible med passende behandling.</w:t>
            </w:r>
          </w:p>
          <w:p w14:paraId="03C9F434" w14:textId="77777777" w:rsidR="0039744C" w:rsidRDefault="0039744C">
            <w:pPr>
              <w:autoSpaceDE w:val="0"/>
              <w:autoSpaceDN w:val="0"/>
              <w:adjustRightInd w:val="0"/>
              <w:rPr>
                <w:szCs w:val="22"/>
              </w:rPr>
            </w:pPr>
            <w:proofErr w:type="spellStart"/>
            <w:r>
              <w:rPr>
                <w:szCs w:val="22"/>
              </w:rPr>
              <w:t>Neutropenisk</w:t>
            </w:r>
            <w:proofErr w:type="spellEnd"/>
            <w:r>
              <w:rPr>
                <w:szCs w:val="22"/>
              </w:rPr>
              <w:t xml:space="preserve"> infektion G3-4: 3,5 %.</w:t>
            </w:r>
          </w:p>
        </w:tc>
      </w:tr>
      <w:tr w:rsidR="0039744C" w14:paraId="6D104143" w14:textId="77777777" w:rsidTr="0039744C">
        <w:tc>
          <w:tcPr>
            <w:tcW w:w="2235" w:type="dxa"/>
            <w:hideMark/>
          </w:tcPr>
          <w:p w14:paraId="1ACD03A2" w14:textId="77777777" w:rsidR="0039744C" w:rsidRDefault="0039744C">
            <w:pPr>
              <w:autoSpaceDE w:val="0"/>
              <w:autoSpaceDN w:val="0"/>
              <w:adjustRightInd w:val="0"/>
              <w:rPr>
                <w:szCs w:val="22"/>
              </w:rPr>
            </w:pPr>
            <w:r>
              <w:rPr>
                <w:szCs w:val="22"/>
              </w:rPr>
              <w:t>Ikke kendt:</w:t>
            </w:r>
          </w:p>
        </w:tc>
        <w:tc>
          <w:tcPr>
            <w:tcW w:w="7087" w:type="dxa"/>
            <w:hideMark/>
          </w:tcPr>
          <w:p w14:paraId="46112436" w14:textId="77777777" w:rsidR="0039744C" w:rsidRDefault="0039744C">
            <w:pPr>
              <w:autoSpaceDE w:val="0"/>
              <w:autoSpaceDN w:val="0"/>
              <w:adjustRightInd w:val="0"/>
              <w:rPr>
                <w:szCs w:val="22"/>
              </w:rPr>
            </w:pPr>
            <w:proofErr w:type="spellStart"/>
            <w:r>
              <w:rPr>
                <w:szCs w:val="22"/>
              </w:rPr>
              <w:t>Neutropenisk</w:t>
            </w:r>
            <w:proofErr w:type="spellEnd"/>
            <w:r>
              <w:rPr>
                <w:szCs w:val="22"/>
              </w:rPr>
              <w:t xml:space="preserve"> sepsis.</w:t>
            </w:r>
          </w:p>
          <w:p w14:paraId="1AA6F49A" w14:textId="77777777" w:rsidR="0039744C" w:rsidRDefault="0039744C">
            <w:pPr>
              <w:autoSpaceDE w:val="0"/>
              <w:autoSpaceDN w:val="0"/>
              <w:adjustRightInd w:val="0"/>
              <w:rPr>
                <w:szCs w:val="22"/>
              </w:rPr>
            </w:pPr>
            <w:r>
              <w:rPr>
                <w:szCs w:val="22"/>
              </w:rPr>
              <w:t>Kompliceret sepsis, der i nogle tilfælde er med dødelig udgang.</w:t>
            </w:r>
          </w:p>
          <w:p w14:paraId="12026847" w14:textId="77777777" w:rsidR="0039744C" w:rsidRDefault="0039744C">
            <w:pPr>
              <w:autoSpaceDE w:val="0"/>
              <w:autoSpaceDN w:val="0"/>
              <w:adjustRightInd w:val="0"/>
              <w:rPr>
                <w:szCs w:val="22"/>
              </w:rPr>
            </w:pPr>
            <w:r>
              <w:rPr>
                <w:szCs w:val="22"/>
              </w:rPr>
              <w:t>Svær sepsis, undertiden med svigt af andre organer.</w:t>
            </w:r>
          </w:p>
          <w:p w14:paraId="01672558" w14:textId="77777777" w:rsidR="0039744C" w:rsidRDefault="0039744C">
            <w:pPr>
              <w:autoSpaceDE w:val="0"/>
              <w:autoSpaceDN w:val="0"/>
              <w:adjustRightInd w:val="0"/>
              <w:rPr>
                <w:szCs w:val="22"/>
              </w:rPr>
            </w:pPr>
            <w:proofErr w:type="spellStart"/>
            <w:r>
              <w:rPr>
                <w:szCs w:val="22"/>
              </w:rPr>
              <w:t>Septikæmi</w:t>
            </w:r>
            <w:proofErr w:type="spellEnd"/>
            <w:r>
              <w:rPr>
                <w:szCs w:val="22"/>
              </w:rPr>
              <w:t>.</w:t>
            </w:r>
          </w:p>
        </w:tc>
      </w:tr>
      <w:tr w:rsidR="0039744C" w14:paraId="60D86A00" w14:textId="77777777" w:rsidTr="0039744C">
        <w:tc>
          <w:tcPr>
            <w:tcW w:w="2235" w:type="dxa"/>
          </w:tcPr>
          <w:p w14:paraId="23A48C32" w14:textId="77777777" w:rsidR="0039744C" w:rsidRDefault="0039744C">
            <w:pPr>
              <w:autoSpaceDE w:val="0"/>
              <w:autoSpaceDN w:val="0"/>
              <w:adjustRightInd w:val="0"/>
              <w:rPr>
                <w:szCs w:val="22"/>
              </w:rPr>
            </w:pPr>
          </w:p>
        </w:tc>
        <w:tc>
          <w:tcPr>
            <w:tcW w:w="7087" w:type="dxa"/>
          </w:tcPr>
          <w:p w14:paraId="7AA32BE8" w14:textId="77777777" w:rsidR="0039744C" w:rsidRDefault="0039744C">
            <w:pPr>
              <w:autoSpaceDE w:val="0"/>
              <w:autoSpaceDN w:val="0"/>
              <w:adjustRightInd w:val="0"/>
              <w:rPr>
                <w:szCs w:val="22"/>
              </w:rPr>
            </w:pPr>
          </w:p>
        </w:tc>
      </w:tr>
      <w:tr w:rsidR="0039744C" w:rsidRPr="003B04B0" w14:paraId="40A4F176" w14:textId="77777777" w:rsidTr="0039744C">
        <w:tc>
          <w:tcPr>
            <w:tcW w:w="9322" w:type="dxa"/>
            <w:gridSpan w:val="2"/>
            <w:hideMark/>
          </w:tcPr>
          <w:p w14:paraId="6967729D" w14:textId="77777777" w:rsidR="0039744C" w:rsidRPr="003B04B0" w:rsidRDefault="0039744C">
            <w:pPr>
              <w:autoSpaceDE w:val="0"/>
              <w:autoSpaceDN w:val="0"/>
              <w:adjustRightInd w:val="0"/>
              <w:rPr>
                <w:b/>
                <w:szCs w:val="22"/>
              </w:rPr>
            </w:pPr>
            <w:r w:rsidRPr="003B04B0">
              <w:rPr>
                <w:b/>
                <w:szCs w:val="22"/>
              </w:rPr>
              <w:t>Blod og lymfesystem</w:t>
            </w:r>
          </w:p>
        </w:tc>
      </w:tr>
      <w:tr w:rsidR="0039744C" w14:paraId="61DF67AA" w14:textId="77777777" w:rsidTr="0039744C">
        <w:tc>
          <w:tcPr>
            <w:tcW w:w="2235" w:type="dxa"/>
            <w:hideMark/>
          </w:tcPr>
          <w:p w14:paraId="12D02272" w14:textId="77777777" w:rsidR="0039744C" w:rsidRDefault="0039744C">
            <w:pPr>
              <w:autoSpaceDE w:val="0"/>
              <w:autoSpaceDN w:val="0"/>
              <w:adjustRightInd w:val="0"/>
              <w:rPr>
                <w:szCs w:val="22"/>
              </w:rPr>
            </w:pPr>
            <w:r>
              <w:rPr>
                <w:szCs w:val="22"/>
              </w:rPr>
              <w:t>Meget almindelig:</w:t>
            </w:r>
          </w:p>
        </w:tc>
        <w:tc>
          <w:tcPr>
            <w:tcW w:w="7087" w:type="dxa"/>
            <w:hideMark/>
          </w:tcPr>
          <w:p w14:paraId="55C63C70" w14:textId="77777777" w:rsidR="0039744C" w:rsidRDefault="0039744C">
            <w:pPr>
              <w:autoSpaceDE w:val="0"/>
              <w:autoSpaceDN w:val="0"/>
              <w:adjustRightInd w:val="0"/>
              <w:rPr>
                <w:szCs w:val="22"/>
              </w:rPr>
            </w:pPr>
            <w:r>
              <w:rPr>
                <w:szCs w:val="22"/>
              </w:rPr>
              <w:t xml:space="preserve">Knoglemarvsdepression, der primært giver </w:t>
            </w:r>
            <w:proofErr w:type="spellStart"/>
            <w:r>
              <w:rPr>
                <w:szCs w:val="22"/>
              </w:rPr>
              <w:t>neutropeni</w:t>
            </w:r>
            <w:proofErr w:type="spellEnd"/>
            <w:r>
              <w:rPr>
                <w:szCs w:val="22"/>
              </w:rPr>
              <w:t xml:space="preserve"> G1-4: 71,5 %; G3: 21,8 %; G4: 25,9 %, er reversibel og er den dosisbegrænsende toksicitet.</w:t>
            </w:r>
          </w:p>
          <w:p w14:paraId="31098A67" w14:textId="77777777" w:rsidR="0039744C" w:rsidRDefault="0039744C">
            <w:pPr>
              <w:autoSpaceDE w:val="0"/>
              <w:autoSpaceDN w:val="0"/>
              <w:adjustRightInd w:val="0"/>
              <w:rPr>
                <w:szCs w:val="22"/>
              </w:rPr>
            </w:pPr>
            <w:proofErr w:type="spellStart"/>
            <w:r>
              <w:rPr>
                <w:szCs w:val="22"/>
              </w:rPr>
              <w:t>Leukopeni</w:t>
            </w:r>
            <w:proofErr w:type="spellEnd"/>
            <w:r>
              <w:rPr>
                <w:szCs w:val="22"/>
              </w:rPr>
              <w:t xml:space="preserve"> G1-4: 70,6 %; G3: 24,7 %; G4: 6 %.</w:t>
            </w:r>
          </w:p>
          <w:p w14:paraId="560F529B" w14:textId="77777777" w:rsidR="0039744C" w:rsidRDefault="0039744C">
            <w:pPr>
              <w:autoSpaceDE w:val="0"/>
              <w:autoSpaceDN w:val="0"/>
              <w:adjustRightInd w:val="0"/>
              <w:rPr>
                <w:szCs w:val="22"/>
              </w:rPr>
            </w:pPr>
            <w:r>
              <w:rPr>
                <w:szCs w:val="22"/>
              </w:rPr>
              <w:t>Anæmi G1-4: 67,4 %; G3-4: 3,8 %.</w:t>
            </w:r>
          </w:p>
          <w:p w14:paraId="24E0DF33" w14:textId="77777777" w:rsidR="0039744C" w:rsidRDefault="0039744C">
            <w:pPr>
              <w:autoSpaceDE w:val="0"/>
              <w:autoSpaceDN w:val="0"/>
              <w:adjustRightInd w:val="0"/>
              <w:rPr>
                <w:szCs w:val="22"/>
              </w:rPr>
            </w:pPr>
            <w:proofErr w:type="spellStart"/>
            <w:r>
              <w:rPr>
                <w:szCs w:val="22"/>
              </w:rPr>
              <w:lastRenderedPageBreak/>
              <w:t>Trombocytopeni</w:t>
            </w:r>
            <w:proofErr w:type="spellEnd"/>
            <w:r>
              <w:rPr>
                <w:szCs w:val="22"/>
              </w:rPr>
              <w:t xml:space="preserve"> G1-2: 10,8 %.</w:t>
            </w:r>
          </w:p>
        </w:tc>
      </w:tr>
      <w:tr w:rsidR="0039744C" w14:paraId="79D6BCE2" w14:textId="77777777" w:rsidTr="0039744C">
        <w:tc>
          <w:tcPr>
            <w:tcW w:w="2235" w:type="dxa"/>
            <w:hideMark/>
          </w:tcPr>
          <w:p w14:paraId="5298D12E" w14:textId="77777777" w:rsidR="0039744C" w:rsidRDefault="0039744C">
            <w:pPr>
              <w:autoSpaceDE w:val="0"/>
              <w:autoSpaceDN w:val="0"/>
              <w:adjustRightInd w:val="0"/>
              <w:rPr>
                <w:szCs w:val="22"/>
              </w:rPr>
            </w:pPr>
            <w:r>
              <w:rPr>
                <w:szCs w:val="22"/>
              </w:rPr>
              <w:lastRenderedPageBreak/>
              <w:t>Almindelig:</w:t>
            </w:r>
          </w:p>
        </w:tc>
        <w:tc>
          <w:tcPr>
            <w:tcW w:w="7087" w:type="dxa"/>
            <w:hideMark/>
          </w:tcPr>
          <w:p w14:paraId="4B9DA52E" w14:textId="77777777" w:rsidR="0039744C" w:rsidRDefault="0039744C">
            <w:pPr>
              <w:autoSpaceDE w:val="0"/>
              <w:autoSpaceDN w:val="0"/>
              <w:adjustRightInd w:val="0"/>
              <w:rPr>
                <w:szCs w:val="22"/>
              </w:rPr>
            </w:pPr>
            <w:r>
              <w:rPr>
                <w:szCs w:val="22"/>
              </w:rPr>
              <w:t xml:space="preserve">G4 </w:t>
            </w:r>
            <w:proofErr w:type="spellStart"/>
            <w:r>
              <w:rPr>
                <w:szCs w:val="22"/>
              </w:rPr>
              <w:t>Neutropeni</w:t>
            </w:r>
            <w:proofErr w:type="spellEnd"/>
            <w:r>
              <w:rPr>
                <w:szCs w:val="22"/>
              </w:rPr>
              <w:t xml:space="preserve"> forbundet med feber over 38°C, herunder febril </w:t>
            </w:r>
            <w:proofErr w:type="spellStart"/>
            <w:r>
              <w:rPr>
                <w:szCs w:val="22"/>
              </w:rPr>
              <w:t>neutropeni</w:t>
            </w:r>
            <w:proofErr w:type="spellEnd"/>
            <w:r>
              <w:rPr>
                <w:szCs w:val="22"/>
              </w:rPr>
              <w:t>: 2,8 %.</w:t>
            </w:r>
          </w:p>
        </w:tc>
      </w:tr>
      <w:tr w:rsidR="0039744C" w14:paraId="05311B7F" w14:textId="77777777" w:rsidTr="0039744C">
        <w:tc>
          <w:tcPr>
            <w:tcW w:w="2235" w:type="dxa"/>
            <w:hideMark/>
          </w:tcPr>
          <w:p w14:paraId="3E192EE0" w14:textId="77777777" w:rsidR="0039744C" w:rsidRDefault="0039744C">
            <w:pPr>
              <w:autoSpaceDE w:val="0"/>
              <w:autoSpaceDN w:val="0"/>
              <w:adjustRightInd w:val="0"/>
              <w:rPr>
                <w:szCs w:val="22"/>
              </w:rPr>
            </w:pPr>
            <w:r>
              <w:rPr>
                <w:szCs w:val="22"/>
              </w:rPr>
              <w:t>Ikke kendt:</w:t>
            </w:r>
          </w:p>
        </w:tc>
        <w:tc>
          <w:tcPr>
            <w:tcW w:w="7087" w:type="dxa"/>
            <w:hideMark/>
          </w:tcPr>
          <w:p w14:paraId="67281C1E" w14:textId="77777777" w:rsidR="0039744C" w:rsidRDefault="0039744C">
            <w:pPr>
              <w:autoSpaceDE w:val="0"/>
              <w:autoSpaceDN w:val="0"/>
              <w:adjustRightInd w:val="0"/>
              <w:rPr>
                <w:szCs w:val="22"/>
              </w:rPr>
            </w:pPr>
            <w:proofErr w:type="spellStart"/>
            <w:r>
              <w:rPr>
                <w:szCs w:val="22"/>
              </w:rPr>
              <w:t>Trombocytopeni</w:t>
            </w:r>
            <w:proofErr w:type="spellEnd"/>
            <w:r>
              <w:rPr>
                <w:szCs w:val="22"/>
              </w:rPr>
              <w:t xml:space="preserve"> G3-4.</w:t>
            </w:r>
          </w:p>
          <w:p w14:paraId="08CB9573" w14:textId="77777777" w:rsidR="0039744C" w:rsidRDefault="0039744C">
            <w:pPr>
              <w:autoSpaceDE w:val="0"/>
              <w:autoSpaceDN w:val="0"/>
              <w:adjustRightInd w:val="0"/>
              <w:rPr>
                <w:szCs w:val="22"/>
              </w:rPr>
            </w:pPr>
            <w:proofErr w:type="spellStart"/>
            <w:r>
              <w:rPr>
                <w:szCs w:val="22"/>
              </w:rPr>
              <w:t>Pancytopeni</w:t>
            </w:r>
            <w:proofErr w:type="spellEnd"/>
            <w:r>
              <w:rPr>
                <w:szCs w:val="22"/>
              </w:rPr>
              <w:t>.</w:t>
            </w:r>
          </w:p>
        </w:tc>
      </w:tr>
      <w:tr w:rsidR="0039744C" w14:paraId="251F5349" w14:textId="77777777" w:rsidTr="0039744C">
        <w:tc>
          <w:tcPr>
            <w:tcW w:w="2235" w:type="dxa"/>
          </w:tcPr>
          <w:p w14:paraId="47F88BE3" w14:textId="77777777" w:rsidR="0039744C" w:rsidRDefault="0039744C">
            <w:pPr>
              <w:autoSpaceDE w:val="0"/>
              <w:autoSpaceDN w:val="0"/>
              <w:adjustRightInd w:val="0"/>
              <w:rPr>
                <w:szCs w:val="22"/>
              </w:rPr>
            </w:pPr>
          </w:p>
        </w:tc>
        <w:tc>
          <w:tcPr>
            <w:tcW w:w="7087" w:type="dxa"/>
          </w:tcPr>
          <w:p w14:paraId="251B5883" w14:textId="77777777" w:rsidR="0039744C" w:rsidRDefault="0039744C">
            <w:pPr>
              <w:autoSpaceDE w:val="0"/>
              <w:autoSpaceDN w:val="0"/>
              <w:adjustRightInd w:val="0"/>
              <w:rPr>
                <w:szCs w:val="22"/>
              </w:rPr>
            </w:pPr>
          </w:p>
        </w:tc>
      </w:tr>
      <w:tr w:rsidR="0039744C" w:rsidRPr="003B04B0" w14:paraId="2CD0F126" w14:textId="77777777" w:rsidTr="0039744C">
        <w:tc>
          <w:tcPr>
            <w:tcW w:w="9322" w:type="dxa"/>
            <w:gridSpan w:val="2"/>
            <w:hideMark/>
          </w:tcPr>
          <w:p w14:paraId="3DCAEC1D" w14:textId="77777777" w:rsidR="0039744C" w:rsidRPr="003B04B0" w:rsidRDefault="0039744C">
            <w:pPr>
              <w:autoSpaceDE w:val="0"/>
              <w:autoSpaceDN w:val="0"/>
              <w:adjustRightInd w:val="0"/>
              <w:rPr>
                <w:b/>
                <w:szCs w:val="22"/>
              </w:rPr>
            </w:pPr>
            <w:r w:rsidRPr="003B04B0">
              <w:rPr>
                <w:b/>
                <w:szCs w:val="22"/>
              </w:rPr>
              <w:t>Det endokrine system</w:t>
            </w:r>
          </w:p>
        </w:tc>
      </w:tr>
      <w:tr w:rsidR="0039744C" w14:paraId="63A47AFA" w14:textId="77777777" w:rsidTr="0039744C">
        <w:tc>
          <w:tcPr>
            <w:tcW w:w="2235" w:type="dxa"/>
            <w:hideMark/>
          </w:tcPr>
          <w:p w14:paraId="66C005C2" w14:textId="77777777" w:rsidR="0039744C" w:rsidRDefault="0039744C">
            <w:pPr>
              <w:autoSpaceDE w:val="0"/>
              <w:autoSpaceDN w:val="0"/>
              <w:adjustRightInd w:val="0"/>
              <w:rPr>
                <w:szCs w:val="22"/>
              </w:rPr>
            </w:pPr>
            <w:r>
              <w:rPr>
                <w:szCs w:val="22"/>
              </w:rPr>
              <w:t>Ikke kendt:</w:t>
            </w:r>
          </w:p>
        </w:tc>
        <w:tc>
          <w:tcPr>
            <w:tcW w:w="7087" w:type="dxa"/>
            <w:hideMark/>
          </w:tcPr>
          <w:p w14:paraId="6FA9E433" w14:textId="77777777" w:rsidR="0039744C" w:rsidRDefault="0039744C">
            <w:pPr>
              <w:autoSpaceDE w:val="0"/>
              <w:autoSpaceDN w:val="0"/>
              <w:adjustRightInd w:val="0"/>
              <w:rPr>
                <w:szCs w:val="22"/>
              </w:rPr>
            </w:pPr>
            <w:r>
              <w:rPr>
                <w:szCs w:val="22"/>
              </w:rPr>
              <w:t>Uhensigtsmæssig sekretion af antidiuretisk hormon (SIADH).</w:t>
            </w:r>
          </w:p>
        </w:tc>
      </w:tr>
      <w:tr w:rsidR="0039744C" w14:paraId="5E0E7F3A" w14:textId="77777777" w:rsidTr="0039744C">
        <w:tc>
          <w:tcPr>
            <w:tcW w:w="2235" w:type="dxa"/>
          </w:tcPr>
          <w:p w14:paraId="380EABCD" w14:textId="77777777" w:rsidR="0039744C" w:rsidRDefault="0039744C">
            <w:pPr>
              <w:autoSpaceDE w:val="0"/>
              <w:autoSpaceDN w:val="0"/>
              <w:adjustRightInd w:val="0"/>
              <w:rPr>
                <w:szCs w:val="22"/>
              </w:rPr>
            </w:pPr>
          </w:p>
        </w:tc>
        <w:tc>
          <w:tcPr>
            <w:tcW w:w="7087" w:type="dxa"/>
          </w:tcPr>
          <w:p w14:paraId="25E1AF4A" w14:textId="77777777" w:rsidR="0039744C" w:rsidRDefault="0039744C">
            <w:pPr>
              <w:autoSpaceDE w:val="0"/>
              <w:autoSpaceDN w:val="0"/>
              <w:adjustRightInd w:val="0"/>
              <w:rPr>
                <w:szCs w:val="22"/>
              </w:rPr>
            </w:pPr>
          </w:p>
        </w:tc>
      </w:tr>
      <w:tr w:rsidR="0039744C" w:rsidRPr="003B04B0" w14:paraId="71FFBCAF" w14:textId="77777777" w:rsidTr="0039744C">
        <w:tc>
          <w:tcPr>
            <w:tcW w:w="9322" w:type="dxa"/>
            <w:gridSpan w:val="2"/>
            <w:hideMark/>
          </w:tcPr>
          <w:p w14:paraId="6D33A9A3" w14:textId="77777777" w:rsidR="0039744C" w:rsidRPr="003B04B0" w:rsidRDefault="0039744C">
            <w:pPr>
              <w:autoSpaceDE w:val="0"/>
              <w:autoSpaceDN w:val="0"/>
              <w:adjustRightInd w:val="0"/>
              <w:rPr>
                <w:b/>
                <w:szCs w:val="22"/>
              </w:rPr>
            </w:pPr>
            <w:r w:rsidRPr="003B04B0">
              <w:rPr>
                <w:b/>
                <w:szCs w:val="22"/>
              </w:rPr>
              <w:t>Metabolisme og ernæring</w:t>
            </w:r>
          </w:p>
        </w:tc>
      </w:tr>
      <w:tr w:rsidR="0039744C" w14:paraId="10975EBA" w14:textId="77777777" w:rsidTr="0039744C">
        <w:tc>
          <w:tcPr>
            <w:tcW w:w="2235" w:type="dxa"/>
            <w:hideMark/>
          </w:tcPr>
          <w:p w14:paraId="7AF68A1E" w14:textId="77777777" w:rsidR="0039744C" w:rsidRDefault="0039744C">
            <w:pPr>
              <w:autoSpaceDE w:val="0"/>
              <w:autoSpaceDN w:val="0"/>
              <w:adjustRightInd w:val="0"/>
              <w:rPr>
                <w:szCs w:val="22"/>
              </w:rPr>
            </w:pPr>
            <w:r>
              <w:rPr>
                <w:szCs w:val="22"/>
              </w:rPr>
              <w:t>Meget almindelig:</w:t>
            </w:r>
          </w:p>
        </w:tc>
        <w:tc>
          <w:tcPr>
            <w:tcW w:w="7087" w:type="dxa"/>
            <w:hideMark/>
          </w:tcPr>
          <w:p w14:paraId="5F1DAD8A" w14:textId="77777777" w:rsidR="0039744C" w:rsidRDefault="0039744C">
            <w:pPr>
              <w:autoSpaceDE w:val="0"/>
              <w:autoSpaceDN w:val="0"/>
              <w:adjustRightInd w:val="0"/>
              <w:rPr>
                <w:szCs w:val="22"/>
              </w:rPr>
            </w:pPr>
            <w:r>
              <w:rPr>
                <w:szCs w:val="22"/>
              </w:rPr>
              <w:t>Anoreksi G1-2: 34,5 %; G3-4: 4,1 %.</w:t>
            </w:r>
          </w:p>
        </w:tc>
      </w:tr>
      <w:tr w:rsidR="0039744C" w14:paraId="232E4262" w14:textId="77777777" w:rsidTr="0039744C">
        <w:tc>
          <w:tcPr>
            <w:tcW w:w="2235" w:type="dxa"/>
            <w:hideMark/>
          </w:tcPr>
          <w:p w14:paraId="1A19C603" w14:textId="77777777" w:rsidR="0039744C" w:rsidRDefault="0039744C">
            <w:pPr>
              <w:autoSpaceDE w:val="0"/>
              <w:autoSpaceDN w:val="0"/>
              <w:adjustRightInd w:val="0"/>
              <w:rPr>
                <w:szCs w:val="22"/>
              </w:rPr>
            </w:pPr>
            <w:r>
              <w:rPr>
                <w:szCs w:val="22"/>
              </w:rPr>
              <w:t>Ikke kendt:</w:t>
            </w:r>
          </w:p>
        </w:tc>
        <w:tc>
          <w:tcPr>
            <w:tcW w:w="7087" w:type="dxa"/>
            <w:hideMark/>
          </w:tcPr>
          <w:p w14:paraId="69CE1CA8" w14:textId="77777777" w:rsidR="0039744C" w:rsidRDefault="0039744C">
            <w:pPr>
              <w:autoSpaceDE w:val="0"/>
              <w:autoSpaceDN w:val="0"/>
              <w:adjustRightInd w:val="0"/>
              <w:rPr>
                <w:szCs w:val="22"/>
              </w:rPr>
            </w:pPr>
            <w:r>
              <w:rPr>
                <w:szCs w:val="22"/>
              </w:rPr>
              <w:t xml:space="preserve">Svær </w:t>
            </w:r>
            <w:proofErr w:type="spellStart"/>
            <w:r>
              <w:rPr>
                <w:szCs w:val="22"/>
              </w:rPr>
              <w:t>hyponatriæmi</w:t>
            </w:r>
            <w:proofErr w:type="spellEnd"/>
            <w:r>
              <w:rPr>
                <w:szCs w:val="22"/>
              </w:rPr>
              <w:t>.</w:t>
            </w:r>
          </w:p>
        </w:tc>
      </w:tr>
      <w:tr w:rsidR="0039744C" w14:paraId="2A544BEE" w14:textId="77777777" w:rsidTr="0039744C">
        <w:tc>
          <w:tcPr>
            <w:tcW w:w="2235" w:type="dxa"/>
          </w:tcPr>
          <w:p w14:paraId="40B56BEA" w14:textId="77777777" w:rsidR="0039744C" w:rsidRDefault="0039744C">
            <w:pPr>
              <w:autoSpaceDE w:val="0"/>
              <w:autoSpaceDN w:val="0"/>
              <w:adjustRightInd w:val="0"/>
              <w:rPr>
                <w:szCs w:val="22"/>
              </w:rPr>
            </w:pPr>
          </w:p>
        </w:tc>
        <w:tc>
          <w:tcPr>
            <w:tcW w:w="7087" w:type="dxa"/>
          </w:tcPr>
          <w:p w14:paraId="0AF9C056" w14:textId="77777777" w:rsidR="0039744C" w:rsidRDefault="0039744C">
            <w:pPr>
              <w:autoSpaceDE w:val="0"/>
              <w:autoSpaceDN w:val="0"/>
              <w:adjustRightInd w:val="0"/>
              <w:rPr>
                <w:szCs w:val="22"/>
              </w:rPr>
            </w:pPr>
          </w:p>
        </w:tc>
      </w:tr>
      <w:tr w:rsidR="0039744C" w:rsidRPr="003B04B0" w14:paraId="19BEEB17" w14:textId="77777777" w:rsidTr="0039744C">
        <w:tc>
          <w:tcPr>
            <w:tcW w:w="9322" w:type="dxa"/>
            <w:gridSpan w:val="2"/>
            <w:hideMark/>
          </w:tcPr>
          <w:p w14:paraId="7EF1B523" w14:textId="77777777" w:rsidR="0039744C" w:rsidRPr="003B04B0" w:rsidRDefault="0039744C">
            <w:pPr>
              <w:autoSpaceDE w:val="0"/>
              <w:autoSpaceDN w:val="0"/>
              <w:adjustRightInd w:val="0"/>
              <w:rPr>
                <w:b/>
                <w:szCs w:val="22"/>
              </w:rPr>
            </w:pPr>
            <w:r w:rsidRPr="003B04B0">
              <w:rPr>
                <w:b/>
                <w:szCs w:val="22"/>
              </w:rPr>
              <w:t>Psykiske forstyrrelser</w:t>
            </w:r>
          </w:p>
        </w:tc>
      </w:tr>
      <w:tr w:rsidR="0039744C" w14:paraId="5AF024B6" w14:textId="77777777" w:rsidTr="0039744C">
        <w:tc>
          <w:tcPr>
            <w:tcW w:w="2235" w:type="dxa"/>
            <w:hideMark/>
          </w:tcPr>
          <w:p w14:paraId="4C4D9012" w14:textId="77777777" w:rsidR="0039744C" w:rsidRDefault="0039744C">
            <w:pPr>
              <w:autoSpaceDE w:val="0"/>
              <w:autoSpaceDN w:val="0"/>
              <w:adjustRightInd w:val="0"/>
              <w:rPr>
                <w:szCs w:val="22"/>
              </w:rPr>
            </w:pPr>
            <w:r>
              <w:rPr>
                <w:szCs w:val="22"/>
              </w:rPr>
              <w:t>Almindelig:</w:t>
            </w:r>
          </w:p>
        </w:tc>
        <w:tc>
          <w:tcPr>
            <w:tcW w:w="7087" w:type="dxa"/>
            <w:hideMark/>
          </w:tcPr>
          <w:p w14:paraId="569CDDA7" w14:textId="77777777" w:rsidR="0039744C" w:rsidRDefault="0039744C">
            <w:pPr>
              <w:autoSpaceDE w:val="0"/>
              <w:autoSpaceDN w:val="0"/>
              <w:adjustRightInd w:val="0"/>
              <w:rPr>
                <w:szCs w:val="22"/>
              </w:rPr>
            </w:pPr>
            <w:r>
              <w:rPr>
                <w:szCs w:val="22"/>
              </w:rPr>
              <w:t>Søvnløshed: G1-2: 2,8 %.</w:t>
            </w:r>
          </w:p>
        </w:tc>
      </w:tr>
      <w:tr w:rsidR="0039744C" w14:paraId="385D8E2A" w14:textId="77777777" w:rsidTr="0039744C">
        <w:tc>
          <w:tcPr>
            <w:tcW w:w="2235" w:type="dxa"/>
          </w:tcPr>
          <w:p w14:paraId="49BD3A2D" w14:textId="77777777" w:rsidR="0039744C" w:rsidRDefault="0039744C">
            <w:pPr>
              <w:autoSpaceDE w:val="0"/>
              <w:autoSpaceDN w:val="0"/>
              <w:adjustRightInd w:val="0"/>
              <w:rPr>
                <w:szCs w:val="22"/>
              </w:rPr>
            </w:pPr>
          </w:p>
        </w:tc>
        <w:tc>
          <w:tcPr>
            <w:tcW w:w="7087" w:type="dxa"/>
          </w:tcPr>
          <w:p w14:paraId="7B6DA4F0" w14:textId="77777777" w:rsidR="0039744C" w:rsidRDefault="0039744C">
            <w:pPr>
              <w:autoSpaceDE w:val="0"/>
              <w:autoSpaceDN w:val="0"/>
              <w:adjustRightInd w:val="0"/>
              <w:rPr>
                <w:szCs w:val="22"/>
              </w:rPr>
            </w:pPr>
          </w:p>
        </w:tc>
      </w:tr>
      <w:tr w:rsidR="0039744C" w:rsidRPr="003B04B0" w14:paraId="0AF92059" w14:textId="77777777" w:rsidTr="0039744C">
        <w:tc>
          <w:tcPr>
            <w:tcW w:w="9322" w:type="dxa"/>
            <w:gridSpan w:val="2"/>
            <w:hideMark/>
          </w:tcPr>
          <w:p w14:paraId="7823A836" w14:textId="77777777" w:rsidR="0039744C" w:rsidRPr="003B04B0" w:rsidRDefault="0039744C">
            <w:pPr>
              <w:autoSpaceDE w:val="0"/>
              <w:autoSpaceDN w:val="0"/>
              <w:adjustRightInd w:val="0"/>
              <w:rPr>
                <w:b/>
                <w:szCs w:val="22"/>
              </w:rPr>
            </w:pPr>
            <w:r w:rsidRPr="003B04B0">
              <w:rPr>
                <w:b/>
                <w:szCs w:val="22"/>
              </w:rPr>
              <w:t>Nervesystemet</w:t>
            </w:r>
          </w:p>
        </w:tc>
      </w:tr>
      <w:tr w:rsidR="0039744C" w14:paraId="339FEFE7" w14:textId="77777777" w:rsidTr="0039744C">
        <w:tc>
          <w:tcPr>
            <w:tcW w:w="2235" w:type="dxa"/>
            <w:hideMark/>
          </w:tcPr>
          <w:p w14:paraId="125AAC35" w14:textId="77777777" w:rsidR="0039744C" w:rsidRDefault="0039744C">
            <w:pPr>
              <w:autoSpaceDE w:val="0"/>
              <w:autoSpaceDN w:val="0"/>
              <w:adjustRightInd w:val="0"/>
              <w:rPr>
                <w:szCs w:val="22"/>
              </w:rPr>
            </w:pPr>
            <w:r>
              <w:rPr>
                <w:szCs w:val="22"/>
              </w:rPr>
              <w:t>Meget almindelig:</w:t>
            </w:r>
          </w:p>
        </w:tc>
        <w:tc>
          <w:tcPr>
            <w:tcW w:w="7087" w:type="dxa"/>
            <w:hideMark/>
          </w:tcPr>
          <w:p w14:paraId="3B8D37BC" w14:textId="77777777" w:rsidR="0039744C" w:rsidRDefault="0039744C">
            <w:pPr>
              <w:autoSpaceDE w:val="0"/>
              <w:autoSpaceDN w:val="0"/>
              <w:adjustRightInd w:val="0"/>
              <w:rPr>
                <w:szCs w:val="22"/>
              </w:rPr>
            </w:pPr>
            <w:proofErr w:type="spellStart"/>
            <w:r>
              <w:rPr>
                <w:szCs w:val="22"/>
              </w:rPr>
              <w:t>Neurosensoriske</w:t>
            </w:r>
            <w:proofErr w:type="spellEnd"/>
            <w:r>
              <w:rPr>
                <w:szCs w:val="22"/>
              </w:rPr>
              <w:t xml:space="preserve"> sygdomme G1-2: 11,1 % var generelt begrænset til tab af </w:t>
            </w:r>
            <w:proofErr w:type="spellStart"/>
            <w:r>
              <w:rPr>
                <w:szCs w:val="22"/>
              </w:rPr>
              <w:t>senereflekser</w:t>
            </w:r>
            <w:proofErr w:type="spellEnd"/>
            <w:r>
              <w:rPr>
                <w:szCs w:val="22"/>
              </w:rPr>
              <w:t xml:space="preserve"> og forekom sjældent alvorlige.</w:t>
            </w:r>
          </w:p>
        </w:tc>
      </w:tr>
      <w:tr w:rsidR="0039744C" w14:paraId="7A79A4CA" w14:textId="77777777" w:rsidTr="0039744C">
        <w:tc>
          <w:tcPr>
            <w:tcW w:w="2235" w:type="dxa"/>
            <w:hideMark/>
          </w:tcPr>
          <w:p w14:paraId="19C34B22" w14:textId="77777777" w:rsidR="0039744C" w:rsidRDefault="0039744C">
            <w:pPr>
              <w:autoSpaceDE w:val="0"/>
              <w:autoSpaceDN w:val="0"/>
              <w:adjustRightInd w:val="0"/>
              <w:rPr>
                <w:szCs w:val="22"/>
              </w:rPr>
            </w:pPr>
            <w:r>
              <w:rPr>
                <w:szCs w:val="22"/>
              </w:rPr>
              <w:t>Almindelig:</w:t>
            </w:r>
          </w:p>
        </w:tc>
        <w:tc>
          <w:tcPr>
            <w:tcW w:w="7087" w:type="dxa"/>
            <w:hideMark/>
          </w:tcPr>
          <w:p w14:paraId="74262580" w14:textId="77777777" w:rsidR="0039744C" w:rsidRDefault="0039744C">
            <w:pPr>
              <w:autoSpaceDE w:val="0"/>
              <w:autoSpaceDN w:val="0"/>
              <w:adjustRightInd w:val="0"/>
              <w:rPr>
                <w:szCs w:val="22"/>
              </w:rPr>
            </w:pPr>
            <w:proofErr w:type="spellStart"/>
            <w:r>
              <w:rPr>
                <w:szCs w:val="22"/>
              </w:rPr>
              <w:t>Neuromotoriske</w:t>
            </w:r>
            <w:proofErr w:type="spellEnd"/>
            <w:r>
              <w:rPr>
                <w:szCs w:val="22"/>
              </w:rPr>
              <w:t xml:space="preserve"> sygdomme G1-4: 9,2 %. G3-4: 1,3 %.</w:t>
            </w:r>
          </w:p>
          <w:p w14:paraId="76798AA5" w14:textId="77777777" w:rsidR="0039744C" w:rsidRDefault="0039744C">
            <w:pPr>
              <w:autoSpaceDE w:val="0"/>
              <w:autoSpaceDN w:val="0"/>
              <w:adjustRightInd w:val="0"/>
              <w:rPr>
                <w:szCs w:val="22"/>
              </w:rPr>
            </w:pPr>
            <w:r>
              <w:rPr>
                <w:szCs w:val="22"/>
              </w:rPr>
              <w:t>Hovedpine: G1-4: 4,1 %; G3-4: 0,6 %.</w:t>
            </w:r>
          </w:p>
          <w:p w14:paraId="2FC8D28E" w14:textId="77777777" w:rsidR="0039744C" w:rsidRDefault="0039744C">
            <w:pPr>
              <w:autoSpaceDE w:val="0"/>
              <w:autoSpaceDN w:val="0"/>
              <w:adjustRightInd w:val="0"/>
              <w:rPr>
                <w:szCs w:val="22"/>
              </w:rPr>
            </w:pPr>
            <w:r>
              <w:rPr>
                <w:szCs w:val="22"/>
              </w:rPr>
              <w:t>Svimmelhed: G1-4: 6 %; G3-4: 0,6 %.</w:t>
            </w:r>
          </w:p>
          <w:p w14:paraId="464259BE" w14:textId="77777777" w:rsidR="0039744C" w:rsidRDefault="0039744C">
            <w:pPr>
              <w:autoSpaceDE w:val="0"/>
              <w:autoSpaceDN w:val="0"/>
              <w:adjustRightInd w:val="0"/>
              <w:rPr>
                <w:szCs w:val="22"/>
              </w:rPr>
            </w:pPr>
            <w:r>
              <w:rPr>
                <w:szCs w:val="22"/>
              </w:rPr>
              <w:t>Smagsforstyrrelser: G1-2: 3,8 %.</w:t>
            </w:r>
          </w:p>
        </w:tc>
      </w:tr>
      <w:tr w:rsidR="0039744C" w14:paraId="75A33279" w14:textId="77777777" w:rsidTr="0039744C">
        <w:tc>
          <w:tcPr>
            <w:tcW w:w="2235" w:type="dxa"/>
            <w:hideMark/>
          </w:tcPr>
          <w:p w14:paraId="27B3C043" w14:textId="77777777" w:rsidR="0039744C" w:rsidRDefault="0039744C">
            <w:pPr>
              <w:autoSpaceDE w:val="0"/>
              <w:autoSpaceDN w:val="0"/>
              <w:adjustRightInd w:val="0"/>
              <w:rPr>
                <w:szCs w:val="22"/>
              </w:rPr>
            </w:pPr>
            <w:r>
              <w:rPr>
                <w:szCs w:val="22"/>
              </w:rPr>
              <w:t>Ikke almindelig:</w:t>
            </w:r>
          </w:p>
        </w:tc>
        <w:tc>
          <w:tcPr>
            <w:tcW w:w="7087" w:type="dxa"/>
            <w:hideMark/>
          </w:tcPr>
          <w:p w14:paraId="35E38CF4" w14:textId="77777777" w:rsidR="0039744C" w:rsidRDefault="0039744C">
            <w:pPr>
              <w:autoSpaceDE w:val="0"/>
              <w:autoSpaceDN w:val="0"/>
              <w:adjustRightInd w:val="0"/>
              <w:rPr>
                <w:szCs w:val="22"/>
              </w:rPr>
            </w:pPr>
            <w:proofErr w:type="spellStart"/>
            <w:r>
              <w:rPr>
                <w:szCs w:val="22"/>
              </w:rPr>
              <w:t>Ataksi</w:t>
            </w:r>
            <w:proofErr w:type="spellEnd"/>
            <w:r>
              <w:rPr>
                <w:szCs w:val="22"/>
              </w:rPr>
              <w:t xml:space="preserve"> grad 3: 0,3 %.</w:t>
            </w:r>
          </w:p>
        </w:tc>
      </w:tr>
      <w:tr w:rsidR="0039744C" w14:paraId="1C39EDBD" w14:textId="77777777" w:rsidTr="0039744C">
        <w:tc>
          <w:tcPr>
            <w:tcW w:w="2235" w:type="dxa"/>
            <w:hideMark/>
          </w:tcPr>
          <w:p w14:paraId="10D430E3" w14:textId="77777777" w:rsidR="0039744C" w:rsidRDefault="0039744C">
            <w:pPr>
              <w:autoSpaceDE w:val="0"/>
              <w:autoSpaceDN w:val="0"/>
              <w:adjustRightInd w:val="0"/>
              <w:rPr>
                <w:szCs w:val="22"/>
                <w:lang w:val="en-GB"/>
              </w:rPr>
            </w:pPr>
            <w:r>
              <w:rPr>
                <w:szCs w:val="22"/>
              </w:rPr>
              <w:t>Ikke kendt:</w:t>
            </w:r>
          </w:p>
        </w:tc>
        <w:tc>
          <w:tcPr>
            <w:tcW w:w="7087" w:type="dxa"/>
            <w:hideMark/>
          </w:tcPr>
          <w:p w14:paraId="376441B7" w14:textId="77777777" w:rsidR="0039744C" w:rsidRDefault="0039744C">
            <w:pPr>
              <w:autoSpaceDE w:val="0"/>
              <w:autoSpaceDN w:val="0"/>
              <w:adjustRightInd w:val="0"/>
              <w:rPr>
                <w:szCs w:val="22"/>
              </w:rPr>
            </w:pPr>
            <w:proofErr w:type="spellStart"/>
            <w:r>
              <w:rPr>
                <w:szCs w:val="22"/>
              </w:rPr>
              <w:t>Posterior</w:t>
            </w:r>
            <w:proofErr w:type="spellEnd"/>
            <w:r>
              <w:rPr>
                <w:szCs w:val="22"/>
              </w:rPr>
              <w:t xml:space="preserve"> reversibel encefalopati-syndrom</w:t>
            </w:r>
          </w:p>
        </w:tc>
      </w:tr>
      <w:tr w:rsidR="0039744C" w14:paraId="1BEC4864" w14:textId="77777777" w:rsidTr="0039744C">
        <w:tc>
          <w:tcPr>
            <w:tcW w:w="2235" w:type="dxa"/>
          </w:tcPr>
          <w:p w14:paraId="7562207B" w14:textId="77777777" w:rsidR="0039744C" w:rsidRDefault="0039744C">
            <w:pPr>
              <w:autoSpaceDE w:val="0"/>
              <w:autoSpaceDN w:val="0"/>
              <w:adjustRightInd w:val="0"/>
              <w:rPr>
                <w:szCs w:val="22"/>
              </w:rPr>
            </w:pPr>
          </w:p>
        </w:tc>
        <w:tc>
          <w:tcPr>
            <w:tcW w:w="7087" w:type="dxa"/>
          </w:tcPr>
          <w:p w14:paraId="5085110F" w14:textId="77777777" w:rsidR="0039744C" w:rsidRDefault="0039744C">
            <w:pPr>
              <w:autoSpaceDE w:val="0"/>
              <w:autoSpaceDN w:val="0"/>
              <w:adjustRightInd w:val="0"/>
              <w:rPr>
                <w:szCs w:val="22"/>
              </w:rPr>
            </w:pPr>
          </w:p>
        </w:tc>
      </w:tr>
      <w:tr w:rsidR="0039744C" w:rsidRPr="003B04B0" w14:paraId="2525F3EA" w14:textId="77777777" w:rsidTr="0039744C">
        <w:tc>
          <w:tcPr>
            <w:tcW w:w="9322" w:type="dxa"/>
            <w:gridSpan w:val="2"/>
            <w:hideMark/>
          </w:tcPr>
          <w:p w14:paraId="52A1D2EF" w14:textId="77777777" w:rsidR="0039744C" w:rsidRPr="003B04B0" w:rsidRDefault="0039744C">
            <w:pPr>
              <w:autoSpaceDE w:val="0"/>
              <w:autoSpaceDN w:val="0"/>
              <w:adjustRightInd w:val="0"/>
              <w:rPr>
                <w:b/>
                <w:szCs w:val="22"/>
              </w:rPr>
            </w:pPr>
            <w:r w:rsidRPr="003B04B0">
              <w:rPr>
                <w:b/>
                <w:szCs w:val="22"/>
              </w:rPr>
              <w:t>Øjne</w:t>
            </w:r>
          </w:p>
        </w:tc>
      </w:tr>
      <w:tr w:rsidR="0039744C" w14:paraId="3632B0E5" w14:textId="77777777" w:rsidTr="0039744C">
        <w:tc>
          <w:tcPr>
            <w:tcW w:w="2235" w:type="dxa"/>
            <w:hideMark/>
          </w:tcPr>
          <w:p w14:paraId="3C0B30B9" w14:textId="77777777" w:rsidR="0039744C" w:rsidRDefault="0039744C">
            <w:pPr>
              <w:autoSpaceDE w:val="0"/>
              <w:autoSpaceDN w:val="0"/>
              <w:adjustRightInd w:val="0"/>
              <w:rPr>
                <w:szCs w:val="22"/>
              </w:rPr>
            </w:pPr>
            <w:r>
              <w:rPr>
                <w:szCs w:val="22"/>
              </w:rPr>
              <w:t>Almindelig:</w:t>
            </w:r>
          </w:p>
        </w:tc>
        <w:tc>
          <w:tcPr>
            <w:tcW w:w="7087" w:type="dxa"/>
            <w:hideMark/>
          </w:tcPr>
          <w:p w14:paraId="14590572" w14:textId="77777777" w:rsidR="0039744C" w:rsidRDefault="0039744C">
            <w:pPr>
              <w:autoSpaceDE w:val="0"/>
              <w:autoSpaceDN w:val="0"/>
              <w:adjustRightInd w:val="0"/>
              <w:rPr>
                <w:szCs w:val="22"/>
              </w:rPr>
            </w:pPr>
            <w:r>
              <w:rPr>
                <w:szCs w:val="22"/>
              </w:rPr>
              <w:t>Synsforstyrrelser G1-2: 1,3 %.</w:t>
            </w:r>
          </w:p>
        </w:tc>
      </w:tr>
      <w:tr w:rsidR="0039744C" w14:paraId="68D48B4D" w14:textId="77777777" w:rsidTr="0039744C">
        <w:tc>
          <w:tcPr>
            <w:tcW w:w="2235" w:type="dxa"/>
          </w:tcPr>
          <w:p w14:paraId="51B909CC" w14:textId="77777777" w:rsidR="0039744C" w:rsidRDefault="0039744C">
            <w:pPr>
              <w:autoSpaceDE w:val="0"/>
              <w:autoSpaceDN w:val="0"/>
              <w:adjustRightInd w:val="0"/>
              <w:rPr>
                <w:szCs w:val="22"/>
              </w:rPr>
            </w:pPr>
          </w:p>
        </w:tc>
        <w:tc>
          <w:tcPr>
            <w:tcW w:w="7087" w:type="dxa"/>
          </w:tcPr>
          <w:p w14:paraId="42B9B153" w14:textId="77777777" w:rsidR="0039744C" w:rsidRDefault="0039744C">
            <w:pPr>
              <w:autoSpaceDE w:val="0"/>
              <w:autoSpaceDN w:val="0"/>
              <w:adjustRightInd w:val="0"/>
              <w:rPr>
                <w:szCs w:val="22"/>
              </w:rPr>
            </w:pPr>
          </w:p>
        </w:tc>
      </w:tr>
      <w:tr w:rsidR="0039744C" w:rsidRPr="003B04B0" w14:paraId="02D2195D" w14:textId="77777777" w:rsidTr="0039744C">
        <w:tc>
          <w:tcPr>
            <w:tcW w:w="9322" w:type="dxa"/>
            <w:gridSpan w:val="2"/>
            <w:hideMark/>
          </w:tcPr>
          <w:p w14:paraId="3CF0F41F" w14:textId="77777777" w:rsidR="0039744C" w:rsidRPr="003B04B0" w:rsidRDefault="0039744C">
            <w:pPr>
              <w:autoSpaceDE w:val="0"/>
              <w:autoSpaceDN w:val="0"/>
              <w:adjustRightInd w:val="0"/>
              <w:rPr>
                <w:b/>
                <w:szCs w:val="22"/>
              </w:rPr>
            </w:pPr>
            <w:r w:rsidRPr="003B04B0">
              <w:rPr>
                <w:b/>
                <w:szCs w:val="22"/>
              </w:rPr>
              <w:t>Hjerte</w:t>
            </w:r>
          </w:p>
        </w:tc>
      </w:tr>
      <w:tr w:rsidR="0039744C" w14:paraId="096197C1" w14:textId="77777777" w:rsidTr="0039744C">
        <w:tc>
          <w:tcPr>
            <w:tcW w:w="2235" w:type="dxa"/>
            <w:hideMark/>
          </w:tcPr>
          <w:p w14:paraId="5123BEEE" w14:textId="77777777" w:rsidR="0039744C" w:rsidRDefault="0039744C">
            <w:pPr>
              <w:autoSpaceDE w:val="0"/>
              <w:autoSpaceDN w:val="0"/>
              <w:adjustRightInd w:val="0"/>
              <w:rPr>
                <w:szCs w:val="22"/>
              </w:rPr>
            </w:pPr>
            <w:r>
              <w:rPr>
                <w:szCs w:val="22"/>
              </w:rPr>
              <w:t>Ikke almindelig:</w:t>
            </w:r>
          </w:p>
        </w:tc>
        <w:tc>
          <w:tcPr>
            <w:tcW w:w="7087" w:type="dxa"/>
            <w:hideMark/>
          </w:tcPr>
          <w:p w14:paraId="63608881" w14:textId="77777777" w:rsidR="0039744C" w:rsidRDefault="0039744C">
            <w:pPr>
              <w:autoSpaceDE w:val="0"/>
              <w:autoSpaceDN w:val="0"/>
              <w:adjustRightInd w:val="0"/>
              <w:rPr>
                <w:szCs w:val="22"/>
              </w:rPr>
            </w:pPr>
            <w:r>
              <w:rPr>
                <w:szCs w:val="22"/>
              </w:rPr>
              <w:t xml:space="preserve">Hjerteinsufficiens og </w:t>
            </w:r>
            <w:proofErr w:type="spellStart"/>
            <w:r>
              <w:rPr>
                <w:szCs w:val="22"/>
              </w:rPr>
              <w:t>hjertearytmi</w:t>
            </w:r>
            <w:proofErr w:type="spellEnd"/>
            <w:r>
              <w:rPr>
                <w:szCs w:val="22"/>
              </w:rPr>
              <w:t>.</w:t>
            </w:r>
          </w:p>
        </w:tc>
      </w:tr>
      <w:tr w:rsidR="0039744C" w14:paraId="175A2FF5" w14:textId="77777777" w:rsidTr="0039744C">
        <w:tc>
          <w:tcPr>
            <w:tcW w:w="2235" w:type="dxa"/>
            <w:hideMark/>
          </w:tcPr>
          <w:p w14:paraId="00078742" w14:textId="77777777" w:rsidR="0039744C" w:rsidRDefault="0039744C">
            <w:pPr>
              <w:autoSpaceDE w:val="0"/>
              <w:autoSpaceDN w:val="0"/>
              <w:adjustRightInd w:val="0"/>
              <w:rPr>
                <w:szCs w:val="22"/>
              </w:rPr>
            </w:pPr>
            <w:r>
              <w:rPr>
                <w:szCs w:val="22"/>
              </w:rPr>
              <w:t>Ikke kendt:</w:t>
            </w:r>
          </w:p>
        </w:tc>
        <w:tc>
          <w:tcPr>
            <w:tcW w:w="7087" w:type="dxa"/>
            <w:hideMark/>
          </w:tcPr>
          <w:p w14:paraId="3BDC8EAC" w14:textId="77777777" w:rsidR="0039744C" w:rsidRDefault="0039744C">
            <w:pPr>
              <w:autoSpaceDE w:val="0"/>
              <w:autoSpaceDN w:val="0"/>
              <w:adjustRightInd w:val="0"/>
              <w:rPr>
                <w:szCs w:val="22"/>
              </w:rPr>
            </w:pPr>
            <w:r>
              <w:rPr>
                <w:szCs w:val="22"/>
              </w:rPr>
              <w:t>Myokardieinfarkt hos patienter med tidligere hjertesygdom eller risikofaktorer for hjertesygdom.</w:t>
            </w:r>
          </w:p>
        </w:tc>
      </w:tr>
      <w:tr w:rsidR="0039744C" w14:paraId="3D82CA3D" w14:textId="77777777" w:rsidTr="0039744C">
        <w:tc>
          <w:tcPr>
            <w:tcW w:w="2235" w:type="dxa"/>
          </w:tcPr>
          <w:p w14:paraId="79EE9873" w14:textId="77777777" w:rsidR="0039744C" w:rsidRDefault="0039744C">
            <w:pPr>
              <w:autoSpaceDE w:val="0"/>
              <w:autoSpaceDN w:val="0"/>
              <w:adjustRightInd w:val="0"/>
              <w:rPr>
                <w:szCs w:val="22"/>
              </w:rPr>
            </w:pPr>
          </w:p>
        </w:tc>
        <w:tc>
          <w:tcPr>
            <w:tcW w:w="7087" w:type="dxa"/>
          </w:tcPr>
          <w:p w14:paraId="515B7ACC" w14:textId="77777777" w:rsidR="0039744C" w:rsidRDefault="0039744C">
            <w:pPr>
              <w:autoSpaceDE w:val="0"/>
              <w:autoSpaceDN w:val="0"/>
              <w:adjustRightInd w:val="0"/>
              <w:rPr>
                <w:szCs w:val="22"/>
              </w:rPr>
            </w:pPr>
          </w:p>
        </w:tc>
      </w:tr>
      <w:tr w:rsidR="0039744C" w:rsidRPr="003B04B0" w14:paraId="4420EDBC" w14:textId="77777777" w:rsidTr="0039744C">
        <w:tc>
          <w:tcPr>
            <w:tcW w:w="9322" w:type="dxa"/>
            <w:gridSpan w:val="2"/>
            <w:hideMark/>
          </w:tcPr>
          <w:p w14:paraId="5D954FBD" w14:textId="77777777" w:rsidR="0039744C" w:rsidRPr="003B04B0" w:rsidRDefault="0039744C">
            <w:pPr>
              <w:autoSpaceDE w:val="0"/>
              <w:autoSpaceDN w:val="0"/>
              <w:adjustRightInd w:val="0"/>
              <w:rPr>
                <w:b/>
                <w:szCs w:val="22"/>
              </w:rPr>
            </w:pPr>
            <w:proofErr w:type="spellStart"/>
            <w:r w:rsidRPr="003B04B0">
              <w:rPr>
                <w:b/>
                <w:szCs w:val="22"/>
              </w:rPr>
              <w:t>Vaskulære</w:t>
            </w:r>
            <w:proofErr w:type="spellEnd"/>
            <w:r w:rsidRPr="003B04B0">
              <w:rPr>
                <w:b/>
                <w:szCs w:val="22"/>
              </w:rPr>
              <w:t xml:space="preserve"> sygdomme</w:t>
            </w:r>
          </w:p>
        </w:tc>
      </w:tr>
      <w:tr w:rsidR="0039744C" w:rsidRPr="00AB51DE" w14:paraId="14771E4F" w14:textId="77777777" w:rsidTr="0039744C">
        <w:tc>
          <w:tcPr>
            <w:tcW w:w="2235" w:type="dxa"/>
            <w:hideMark/>
          </w:tcPr>
          <w:p w14:paraId="3E4D2A9A" w14:textId="77777777" w:rsidR="0039744C" w:rsidRDefault="0039744C">
            <w:pPr>
              <w:autoSpaceDE w:val="0"/>
              <w:autoSpaceDN w:val="0"/>
              <w:adjustRightInd w:val="0"/>
              <w:rPr>
                <w:szCs w:val="22"/>
              </w:rPr>
            </w:pPr>
            <w:r>
              <w:rPr>
                <w:szCs w:val="22"/>
              </w:rPr>
              <w:t>Almindelig:</w:t>
            </w:r>
          </w:p>
        </w:tc>
        <w:tc>
          <w:tcPr>
            <w:tcW w:w="7087" w:type="dxa"/>
            <w:hideMark/>
          </w:tcPr>
          <w:p w14:paraId="5C0136D8" w14:textId="77777777" w:rsidR="00BE03B3" w:rsidRPr="00EB2649" w:rsidRDefault="00BE03B3" w:rsidP="00BE03B3">
            <w:pPr>
              <w:autoSpaceDE w:val="0"/>
              <w:autoSpaceDN w:val="0"/>
              <w:adjustRightInd w:val="0"/>
              <w:rPr>
                <w:szCs w:val="22"/>
                <w:lang w:val="de-DE"/>
              </w:rPr>
            </w:pPr>
            <w:proofErr w:type="spellStart"/>
            <w:r>
              <w:rPr>
                <w:szCs w:val="22"/>
                <w:lang w:val="de-DE"/>
              </w:rPr>
              <w:t>Arteriel</w:t>
            </w:r>
            <w:proofErr w:type="spellEnd"/>
            <w:r>
              <w:rPr>
                <w:szCs w:val="22"/>
                <w:lang w:val="de-DE"/>
              </w:rPr>
              <w:t xml:space="preserve"> </w:t>
            </w:r>
            <w:proofErr w:type="spellStart"/>
            <w:r>
              <w:rPr>
                <w:szCs w:val="22"/>
                <w:lang w:val="de-DE"/>
              </w:rPr>
              <w:t>h</w:t>
            </w:r>
            <w:r w:rsidRPr="00EB2649">
              <w:rPr>
                <w:szCs w:val="22"/>
                <w:lang w:val="de-DE"/>
              </w:rPr>
              <w:t>ypertension</w:t>
            </w:r>
            <w:proofErr w:type="spellEnd"/>
            <w:r w:rsidRPr="00EB2649">
              <w:rPr>
                <w:szCs w:val="22"/>
                <w:lang w:val="de-DE"/>
              </w:rPr>
              <w:t xml:space="preserve"> G1-4: 2,5 %; G3-4: 0,3 %.</w:t>
            </w:r>
          </w:p>
          <w:p w14:paraId="02911FA1" w14:textId="35A1F614" w:rsidR="0039744C" w:rsidRPr="00AB51DE" w:rsidRDefault="00BE03B3" w:rsidP="00BE03B3">
            <w:pPr>
              <w:autoSpaceDE w:val="0"/>
              <w:autoSpaceDN w:val="0"/>
              <w:adjustRightInd w:val="0"/>
              <w:rPr>
                <w:szCs w:val="22"/>
                <w:lang w:val="sv-SE"/>
              </w:rPr>
            </w:pPr>
            <w:proofErr w:type="spellStart"/>
            <w:r>
              <w:rPr>
                <w:szCs w:val="22"/>
                <w:lang w:val="de-DE"/>
              </w:rPr>
              <w:t>Arteriel</w:t>
            </w:r>
            <w:proofErr w:type="spellEnd"/>
            <w:r>
              <w:rPr>
                <w:szCs w:val="22"/>
                <w:lang w:val="de-DE"/>
              </w:rPr>
              <w:t xml:space="preserve"> </w:t>
            </w:r>
            <w:proofErr w:type="spellStart"/>
            <w:r>
              <w:rPr>
                <w:szCs w:val="22"/>
                <w:lang w:val="de-DE"/>
              </w:rPr>
              <w:t>h</w:t>
            </w:r>
            <w:r w:rsidRPr="00EB2649">
              <w:rPr>
                <w:szCs w:val="22"/>
                <w:lang w:val="de-DE"/>
              </w:rPr>
              <w:t>ypotension</w:t>
            </w:r>
            <w:proofErr w:type="spellEnd"/>
            <w:r w:rsidRPr="00EB2649">
              <w:rPr>
                <w:szCs w:val="22"/>
                <w:lang w:val="de-DE"/>
              </w:rPr>
              <w:t xml:space="preserve"> G1-4: 2,2 %; G3-4: 0,6 %.</w:t>
            </w:r>
          </w:p>
        </w:tc>
      </w:tr>
      <w:tr w:rsidR="0039744C" w:rsidRPr="00AB51DE" w14:paraId="0EAFD299" w14:textId="77777777" w:rsidTr="0039744C">
        <w:tc>
          <w:tcPr>
            <w:tcW w:w="2235" w:type="dxa"/>
          </w:tcPr>
          <w:p w14:paraId="38D286BB" w14:textId="77777777" w:rsidR="0039744C" w:rsidRPr="00AB51DE" w:rsidRDefault="0039744C">
            <w:pPr>
              <w:autoSpaceDE w:val="0"/>
              <w:autoSpaceDN w:val="0"/>
              <w:adjustRightInd w:val="0"/>
              <w:rPr>
                <w:szCs w:val="22"/>
                <w:lang w:val="sv-SE"/>
              </w:rPr>
            </w:pPr>
          </w:p>
        </w:tc>
        <w:tc>
          <w:tcPr>
            <w:tcW w:w="7087" w:type="dxa"/>
          </w:tcPr>
          <w:p w14:paraId="7F879018" w14:textId="77777777" w:rsidR="0039744C" w:rsidRPr="00AB51DE" w:rsidRDefault="0039744C">
            <w:pPr>
              <w:autoSpaceDE w:val="0"/>
              <w:autoSpaceDN w:val="0"/>
              <w:adjustRightInd w:val="0"/>
              <w:rPr>
                <w:szCs w:val="22"/>
                <w:lang w:val="sv-SE"/>
              </w:rPr>
            </w:pPr>
          </w:p>
        </w:tc>
      </w:tr>
      <w:tr w:rsidR="0039744C" w:rsidRPr="003B04B0" w14:paraId="430846A0" w14:textId="77777777" w:rsidTr="0039744C">
        <w:tc>
          <w:tcPr>
            <w:tcW w:w="9322" w:type="dxa"/>
            <w:gridSpan w:val="2"/>
            <w:hideMark/>
          </w:tcPr>
          <w:p w14:paraId="0A2EDE06" w14:textId="77777777" w:rsidR="0039744C" w:rsidRPr="003B04B0" w:rsidRDefault="0039744C">
            <w:pPr>
              <w:autoSpaceDE w:val="0"/>
              <w:autoSpaceDN w:val="0"/>
              <w:adjustRightInd w:val="0"/>
              <w:rPr>
                <w:b/>
                <w:szCs w:val="22"/>
              </w:rPr>
            </w:pPr>
            <w:r w:rsidRPr="003B04B0">
              <w:rPr>
                <w:b/>
                <w:szCs w:val="22"/>
              </w:rPr>
              <w:t xml:space="preserve">Luftveje, thorax og </w:t>
            </w:r>
            <w:proofErr w:type="spellStart"/>
            <w:r w:rsidRPr="003B04B0">
              <w:rPr>
                <w:b/>
                <w:szCs w:val="22"/>
              </w:rPr>
              <w:t>mediastinum</w:t>
            </w:r>
            <w:proofErr w:type="spellEnd"/>
          </w:p>
        </w:tc>
      </w:tr>
      <w:tr w:rsidR="0039744C" w14:paraId="1D1B1C2C" w14:textId="77777777" w:rsidTr="0039744C">
        <w:tc>
          <w:tcPr>
            <w:tcW w:w="2235" w:type="dxa"/>
            <w:hideMark/>
          </w:tcPr>
          <w:p w14:paraId="2F8A35AD" w14:textId="77777777" w:rsidR="0039744C" w:rsidRDefault="0039744C">
            <w:pPr>
              <w:autoSpaceDE w:val="0"/>
              <w:autoSpaceDN w:val="0"/>
              <w:adjustRightInd w:val="0"/>
              <w:rPr>
                <w:szCs w:val="22"/>
              </w:rPr>
            </w:pPr>
            <w:r>
              <w:rPr>
                <w:szCs w:val="22"/>
              </w:rPr>
              <w:t>Almindelig:</w:t>
            </w:r>
          </w:p>
        </w:tc>
        <w:tc>
          <w:tcPr>
            <w:tcW w:w="7087" w:type="dxa"/>
            <w:hideMark/>
          </w:tcPr>
          <w:p w14:paraId="643A079C" w14:textId="77777777" w:rsidR="0039744C" w:rsidRDefault="0039744C">
            <w:pPr>
              <w:autoSpaceDE w:val="0"/>
              <w:autoSpaceDN w:val="0"/>
              <w:adjustRightInd w:val="0"/>
              <w:rPr>
                <w:szCs w:val="22"/>
              </w:rPr>
            </w:pPr>
            <w:r>
              <w:rPr>
                <w:szCs w:val="22"/>
              </w:rPr>
              <w:t>Dyspnø G1-4: 2,8 %; G3-4: 0,3 %.</w:t>
            </w:r>
          </w:p>
          <w:p w14:paraId="2142DCBE" w14:textId="77777777" w:rsidR="0039744C" w:rsidRDefault="0039744C">
            <w:pPr>
              <w:autoSpaceDE w:val="0"/>
              <w:autoSpaceDN w:val="0"/>
              <w:adjustRightInd w:val="0"/>
              <w:rPr>
                <w:szCs w:val="22"/>
              </w:rPr>
            </w:pPr>
            <w:r>
              <w:rPr>
                <w:szCs w:val="22"/>
              </w:rPr>
              <w:t>Hoste: G1-2: 2,8 %.</w:t>
            </w:r>
          </w:p>
        </w:tc>
      </w:tr>
      <w:tr w:rsidR="0039744C" w14:paraId="65F41009" w14:textId="77777777" w:rsidTr="0039744C">
        <w:tc>
          <w:tcPr>
            <w:tcW w:w="2235" w:type="dxa"/>
            <w:hideMark/>
          </w:tcPr>
          <w:p w14:paraId="341491D6" w14:textId="77777777" w:rsidR="0039744C" w:rsidRDefault="0039744C">
            <w:pPr>
              <w:autoSpaceDE w:val="0"/>
              <w:autoSpaceDN w:val="0"/>
              <w:adjustRightInd w:val="0"/>
              <w:rPr>
                <w:szCs w:val="22"/>
              </w:rPr>
            </w:pPr>
            <w:r>
              <w:rPr>
                <w:szCs w:val="22"/>
              </w:rPr>
              <w:t>Ikke kendt:</w:t>
            </w:r>
          </w:p>
        </w:tc>
        <w:tc>
          <w:tcPr>
            <w:tcW w:w="7087" w:type="dxa"/>
            <w:hideMark/>
          </w:tcPr>
          <w:p w14:paraId="142B8E05" w14:textId="77777777" w:rsidR="0039744C" w:rsidRDefault="0039744C">
            <w:pPr>
              <w:autoSpaceDE w:val="0"/>
              <w:autoSpaceDN w:val="0"/>
              <w:adjustRightInd w:val="0"/>
              <w:rPr>
                <w:szCs w:val="22"/>
              </w:rPr>
            </w:pPr>
            <w:proofErr w:type="spellStart"/>
            <w:r>
              <w:rPr>
                <w:szCs w:val="22"/>
              </w:rPr>
              <w:t>Lungeemboli</w:t>
            </w:r>
            <w:proofErr w:type="spellEnd"/>
          </w:p>
        </w:tc>
      </w:tr>
      <w:tr w:rsidR="0039744C" w14:paraId="50D93450" w14:textId="77777777" w:rsidTr="0039744C">
        <w:tc>
          <w:tcPr>
            <w:tcW w:w="2235" w:type="dxa"/>
          </w:tcPr>
          <w:p w14:paraId="5F180847" w14:textId="77777777" w:rsidR="0039744C" w:rsidRDefault="0039744C">
            <w:pPr>
              <w:autoSpaceDE w:val="0"/>
              <w:autoSpaceDN w:val="0"/>
              <w:adjustRightInd w:val="0"/>
              <w:rPr>
                <w:szCs w:val="22"/>
              </w:rPr>
            </w:pPr>
          </w:p>
        </w:tc>
        <w:tc>
          <w:tcPr>
            <w:tcW w:w="7087" w:type="dxa"/>
          </w:tcPr>
          <w:p w14:paraId="380271EC" w14:textId="77777777" w:rsidR="0039744C" w:rsidRDefault="0039744C">
            <w:pPr>
              <w:autoSpaceDE w:val="0"/>
              <w:autoSpaceDN w:val="0"/>
              <w:adjustRightInd w:val="0"/>
              <w:rPr>
                <w:szCs w:val="22"/>
              </w:rPr>
            </w:pPr>
          </w:p>
        </w:tc>
      </w:tr>
      <w:tr w:rsidR="0039744C" w:rsidRPr="003B04B0" w14:paraId="47092905" w14:textId="77777777" w:rsidTr="0039744C">
        <w:tc>
          <w:tcPr>
            <w:tcW w:w="9322" w:type="dxa"/>
            <w:gridSpan w:val="2"/>
            <w:hideMark/>
          </w:tcPr>
          <w:p w14:paraId="37B8C924" w14:textId="77777777" w:rsidR="0039744C" w:rsidRPr="003B04B0" w:rsidRDefault="0039744C">
            <w:pPr>
              <w:autoSpaceDE w:val="0"/>
              <w:autoSpaceDN w:val="0"/>
              <w:adjustRightInd w:val="0"/>
              <w:rPr>
                <w:b/>
                <w:szCs w:val="22"/>
              </w:rPr>
            </w:pPr>
            <w:r w:rsidRPr="003B04B0">
              <w:rPr>
                <w:b/>
                <w:szCs w:val="22"/>
              </w:rPr>
              <w:t>Mave-tarm-kanalen</w:t>
            </w:r>
          </w:p>
        </w:tc>
      </w:tr>
      <w:tr w:rsidR="0039744C" w14:paraId="431547C0" w14:textId="77777777" w:rsidTr="0039744C">
        <w:tc>
          <w:tcPr>
            <w:tcW w:w="2235" w:type="dxa"/>
            <w:hideMark/>
          </w:tcPr>
          <w:p w14:paraId="45776E79" w14:textId="77777777" w:rsidR="0039744C" w:rsidRDefault="0039744C">
            <w:pPr>
              <w:autoSpaceDE w:val="0"/>
              <w:autoSpaceDN w:val="0"/>
              <w:adjustRightInd w:val="0"/>
              <w:rPr>
                <w:szCs w:val="22"/>
              </w:rPr>
            </w:pPr>
            <w:r>
              <w:rPr>
                <w:szCs w:val="22"/>
              </w:rPr>
              <w:t xml:space="preserve">Meget almindelig:    </w:t>
            </w:r>
          </w:p>
        </w:tc>
        <w:tc>
          <w:tcPr>
            <w:tcW w:w="7087" w:type="dxa"/>
            <w:hideMark/>
          </w:tcPr>
          <w:p w14:paraId="11D5E0A4" w14:textId="77777777" w:rsidR="0039744C" w:rsidRDefault="0039744C">
            <w:pPr>
              <w:autoSpaceDE w:val="0"/>
              <w:autoSpaceDN w:val="0"/>
              <w:adjustRightInd w:val="0"/>
              <w:rPr>
                <w:szCs w:val="22"/>
              </w:rPr>
            </w:pPr>
            <w:r>
              <w:rPr>
                <w:szCs w:val="22"/>
              </w:rPr>
              <w:t>Kvalme G1-4: 74,7 %; G3-4: 7,3 %.</w:t>
            </w:r>
          </w:p>
          <w:p w14:paraId="5517AE65" w14:textId="77777777" w:rsidR="0039744C" w:rsidRDefault="0039744C">
            <w:pPr>
              <w:autoSpaceDE w:val="0"/>
              <w:autoSpaceDN w:val="0"/>
              <w:adjustRightInd w:val="0"/>
              <w:rPr>
                <w:szCs w:val="22"/>
              </w:rPr>
            </w:pPr>
            <w:r>
              <w:rPr>
                <w:szCs w:val="22"/>
              </w:rPr>
              <w:t>Opkastning G1-4: 54,7 %; G4: 6,3 %; understøttende behandling såsom 5HT</w:t>
            </w:r>
            <w:r>
              <w:rPr>
                <w:szCs w:val="22"/>
                <w:vertAlign w:val="subscript"/>
              </w:rPr>
              <w:t>3</w:t>
            </w:r>
            <w:r>
              <w:rPr>
                <w:szCs w:val="22"/>
              </w:rPr>
              <w:t>-antagonister (</w:t>
            </w:r>
            <w:proofErr w:type="spellStart"/>
            <w:r>
              <w:rPr>
                <w:szCs w:val="22"/>
              </w:rPr>
              <w:t>ondansetron</w:t>
            </w:r>
            <w:proofErr w:type="spellEnd"/>
            <w:r>
              <w:rPr>
                <w:szCs w:val="22"/>
              </w:rPr>
              <w:t>) kan nedsætte forekomsten for kvalme og opkastning (se pkt. 4.4).</w:t>
            </w:r>
          </w:p>
          <w:p w14:paraId="088A4916" w14:textId="77777777" w:rsidR="0039744C" w:rsidRDefault="0039744C">
            <w:pPr>
              <w:autoSpaceDE w:val="0"/>
              <w:autoSpaceDN w:val="0"/>
              <w:adjustRightInd w:val="0"/>
              <w:rPr>
                <w:szCs w:val="22"/>
              </w:rPr>
            </w:pPr>
            <w:r>
              <w:rPr>
                <w:szCs w:val="22"/>
              </w:rPr>
              <w:t>Diarré G1-4: 49,7 %; G3-4: 5,7 %.</w:t>
            </w:r>
          </w:p>
          <w:p w14:paraId="3C229627" w14:textId="77777777" w:rsidR="0039744C" w:rsidRDefault="0039744C">
            <w:pPr>
              <w:autoSpaceDE w:val="0"/>
              <w:autoSpaceDN w:val="0"/>
              <w:adjustRightInd w:val="0"/>
              <w:rPr>
                <w:szCs w:val="22"/>
              </w:rPr>
            </w:pPr>
            <w:proofErr w:type="spellStart"/>
            <w:r>
              <w:rPr>
                <w:szCs w:val="22"/>
              </w:rPr>
              <w:t>Stomatitis</w:t>
            </w:r>
            <w:proofErr w:type="spellEnd"/>
            <w:r>
              <w:rPr>
                <w:szCs w:val="22"/>
              </w:rPr>
              <w:t xml:space="preserve"> G1-4:10,4 %; G3-4: 0,9 %.</w:t>
            </w:r>
          </w:p>
          <w:p w14:paraId="15E722BF" w14:textId="77777777" w:rsidR="0039744C" w:rsidRDefault="0039744C">
            <w:pPr>
              <w:autoSpaceDE w:val="0"/>
              <w:autoSpaceDN w:val="0"/>
              <w:adjustRightInd w:val="0"/>
              <w:rPr>
                <w:szCs w:val="22"/>
              </w:rPr>
            </w:pPr>
            <w:proofErr w:type="spellStart"/>
            <w:r>
              <w:rPr>
                <w:szCs w:val="22"/>
              </w:rPr>
              <w:t>Abdominalsmerter</w:t>
            </w:r>
            <w:proofErr w:type="spellEnd"/>
            <w:r>
              <w:rPr>
                <w:szCs w:val="22"/>
              </w:rPr>
              <w:t>: G1-4: 14,2 %.</w:t>
            </w:r>
          </w:p>
          <w:p w14:paraId="5F2CC54A" w14:textId="77777777" w:rsidR="0039744C" w:rsidRDefault="0039744C">
            <w:pPr>
              <w:autoSpaceDE w:val="0"/>
              <w:autoSpaceDN w:val="0"/>
              <w:adjustRightInd w:val="0"/>
              <w:rPr>
                <w:szCs w:val="22"/>
              </w:rPr>
            </w:pPr>
            <w:r>
              <w:rPr>
                <w:szCs w:val="22"/>
              </w:rPr>
              <w:t xml:space="preserve">Forstoppelse G1-4: 19 %; G3-4: 0,9 %. Ordinering af laksativer kan være relevant hos patienter med tidligere forekomst af forstoppelse, og/eller som har modtaget samtidig behandling med </w:t>
            </w:r>
            <w:proofErr w:type="spellStart"/>
            <w:r>
              <w:rPr>
                <w:szCs w:val="22"/>
              </w:rPr>
              <w:t>opioidanalgetika</w:t>
            </w:r>
            <w:proofErr w:type="spellEnd"/>
            <w:r>
              <w:rPr>
                <w:szCs w:val="22"/>
              </w:rPr>
              <w:t xml:space="preserve"> (se pkt. 4.4).</w:t>
            </w:r>
          </w:p>
          <w:p w14:paraId="539981CC" w14:textId="77777777" w:rsidR="0039744C" w:rsidRDefault="0039744C">
            <w:pPr>
              <w:autoSpaceDE w:val="0"/>
              <w:autoSpaceDN w:val="0"/>
              <w:adjustRightInd w:val="0"/>
              <w:rPr>
                <w:szCs w:val="22"/>
              </w:rPr>
            </w:pPr>
            <w:r>
              <w:rPr>
                <w:szCs w:val="22"/>
              </w:rPr>
              <w:lastRenderedPageBreak/>
              <w:t>Mavesygdomme: G1-4: 11,7 %.</w:t>
            </w:r>
          </w:p>
        </w:tc>
      </w:tr>
      <w:tr w:rsidR="0039744C" w14:paraId="6AE12C2E" w14:textId="77777777" w:rsidTr="0039744C">
        <w:tc>
          <w:tcPr>
            <w:tcW w:w="2235" w:type="dxa"/>
            <w:hideMark/>
          </w:tcPr>
          <w:p w14:paraId="226E6605" w14:textId="77777777" w:rsidR="0039744C" w:rsidRDefault="0039744C">
            <w:pPr>
              <w:autoSpaceDE w:val="0"/>
              <w:autoSpaceDN w:val="0"/>
              <w:adjustRightInd w:val="0"/>
              <w:rPr>
                <w:szCs w:val="22"/>
              </w:rPr>
            </w:pPr>
            <w:r>
              <w:rPr>
                <w:szCs w:val="22"/>
              </w:rPr>
              <w:lastRenderedPageBreak/>
              <w:t>Almindelig:</w:t>
            </w:r>
          </w:p>
        </w:tc>
        <w:tc>
          <w:tcPr>
            <w:tcW w:w="7087" w:type="dxa"/>
            <w:hideMark/>
          </w:tcPr>
          <w:p w14:paraId="004C9C6C" w14:textId="77777777" w:rsidR="0039744C" w:rsidRDefault="0039744C">
            <w:pPr>
              <w:autoSpaceDE w:val="0"/>
              <w:autoSpaceDN w:val="0"/>
              <w:adjustRightInd w:val="0"/>
              <w:rPr>
                <w:szCs w:val="22"/>
              </w:rPr>
            </w:pPr>
            <w:proofErr w:type="spellStart"/>
            <w:r>
              <w:rPr>
                <w:szCs w:val="22"/>
              </w:rPr>
              <w:t>Oesophagitis</w:t>
            </w:r>
            <w:proofErr w:type="spellEnd"/>
            <w:r>
              <w:rPr>
                <w:szCs w:val="22"/>
              </w:rPr>
              <w:t xml:space="preserve"> G1-3: 3,8 %; G3: 0,3 %.</w:t>
            </w:r>
          </w:p>
          <w:p w14:paraId="16197D1B" w14:textId="77777777" w:rsidR="0039744C" w:rsidRDefault="0039744C">
            <w:pPr>
              <w:autoSpaceDE w:val="0"/>
              <w:autoSpaceDN w:val="0"/>
              <w:adjustRightInd w:val="0"/>
              <w:rPr>
                <w:szCs w:val="22"/>
              </w:rPr>
            </w:pPr>
            <w:proofErr w:type="spellStart"/>
            <w:r>
              <w:rPr>
                <w:szCs w:val="22"/>
              </w:rPr>
              <w:t>Dysfagi</w:t>
            </w:r>
            <w:proofErr w:type="spellEnd"/>
            <w:r>
              <w:rPr>
                <w:szCs w:val="22"/>
              </w:rPr>
              <w:t>: G1-2: 2,3 %.</w:t>
            </w:r>
          </w:p>
        </w:tc>
      </w:tr>
      <w:tr w:rsidR="0039744C" w14:paraId="38F8BFF2" w14:textId="77777777" w:rsidTr="0039744C">
        <w:tc>
          <w:tcPr>
            <w:tcW w:w="2235" w:type="dxa"/>
            <w:hideMark/>
          </w:tcPr>
          <w:p w14:paraId="5B68D1D5" w14:textId="77777777" w:rsidR="0039744C" w:rsidRDefault="0039744C">
            <w:pPr>
              <w:autoSpaceDE w:val="0"/>
              <w:autoSpaceDN w:val="0"/>
              <w:adjustRightInd w:val="0"/>
              <w:rPr>
                <w:szCs w:val="22"/>
              </w:rPr>
            </w:pPr>
            <w:r>
              <w:rPr>
                <w:szCs w:val="22"/>
              </w:rPr>
              <w:t>Ikke almindelig:</w:t>
            </w:r>
          </w:p>
        </w:tc>
        <w:tc>
          <w:tcPr>
            <w:tcW w:w="7087" w:type="dxa"/>
            <w:hideMark/>
          </w:tcPr>
          <w:p w14:paraId="5F46C4CC" w14:textId="77777777" w:rsidR="0039744C" w:rsidRDefault="0039744C">
            <w:pPr>
              <w:autoSpaceDE w:val="0"/>
              <w:autoSpaceDN w:val="0"/>
              <w:adjustRightInd w:val="0"/>
              <w:rPr>
                <w:szCs w:val="22"/>
              </w:rPr>
            </w:pPr>
            <w:r>
              <w:rPr>
                <w:szCs w:val="22"/>
              </w:rPr>
              <w:t xml:space="preserve">Paralytisk </w:t>
            </w:r>
            <w:proofErr w:type="spellStart"/>
            <w:r>
              <w:rPr>
                <w:szCs w:val="22"/>
              </w:rPr>
              <w:t>ileus</w:t>
            </w:r>
            <w:proofErr w:type="spellEnd"/>
            <w:r>
              <w:rPr>
                <w:szCs w:val="22"/>
              </w:rPr>
              <w:t xml:space="preserve"> G3-4: 0,9 % [ekstraordinært dødelig] behandling kan genoptages efter generhvervelse af normal tarmfunktion.</w:t>
            </w:r>
          </w:p>
        </w:tc>
      </w:tr>
      <w:tr w:rsidR="0039744C" w14:paraId="6990F9ED" w14:textId="77777777" w:rsidTr="0039744C">
        <w:tc>
          <w:tcPr>
            <w:tcW w:w="2235" w:type="dxa"/>
            <w:hideMark/>
          </w:tcPr>
          <w:p w14:paraId="39E867BA" w14:textId="77777777" w:rsidR="0039744C" w:rsidRDefault="0039744C">
            <w:pPr>
              <w:autoSpaceDE w:val="0"/>
              <w:autoSpaceDN w:val="0"/>
              <w:adjustRightInd w:val="0"/>
              <w:rPr>
                <w:szCs w:val="22"/>
              </w:rPr>
            </w:pPr>
            <w:r>
              <w:rPr>
                <w:szCs w:val="22"/>
              </w:rPr>
              <w:t>Ikke kendt:</w:t>
            </w:r>
          </w:p>
        </w:tc>
        <w:tc>
          <w:tcPr>
            <w:tcW w:w="7087" w:type="dxa"/>
            <w:hideMark/>
          </w:tcPr>
          <w:p w14:paraId="23E028FB" w14:textId="77777777" w:rsidR="0039744C" w:rsidRDefault="0039744C">
            <w:pPr>
              <w:autoSpaceDE w:val="0"/>
              <w:autoSpaceDN w:val="0"/>
              <w:adjustRightInd w:val="0"/>
              <w:rPr>
                <w:szCs w:val="22"/>
              </w:rPr>
            </w:pPr>
            <w:r>
              <w:rPr>
                <w:szCs w:val="22"/>
              </w:rPr>
              <w:t>Mave-tarm-blødning.</w:t>
            </w:r>
          </w:p>
        </w:tc>
      </w:tr>
      <w:tr w:rsidR="0039744C" w14:paraId="46EB9901" w14:textId="77777777" w:rsidTr="0039744C">
        <w:tc>
          <w:tcPr>
            <w:tcW w:w="2235" w:type="dxa"/>
          </w:tcPr>
          <w:p w14:paraId="79D0E3A4" w14:textId="77777777" w:rsidR="0039744C" w:rsidRDefault="0039744C">
            <w:pPr>
              <w:autoSpaceDE w:val="0"/>
              <w:autoSpaceDN w:val="0"/>
              <w:adjustRightInd w:val="0"/>
              <w:rPr>
                <w:szCs w:val="22"/>
              </w:rPr>
            </w:pPr>
          </w:p>
        </w:tc>
        <w:tc>
          <w:tcPr>
            <w:tcW w:w="7087" w:type="dxa"/>
          </w:tcPr>
          <w:p w14:paraId="5DBA1605" w14:textId="77777777" w:rsidR="0039744C" w:rsidRDefault="0039744C">
            <w:pPr>
              <w:autoSpaceDE w:val="0"/>
              <w:autoSpaceDN w:val="0"/>
              <w:adjustRightInd w:val="0"/>
              <w:rPr>
                <w:szCs w:val="22"/>
              </w:rPr>
            </w:pPr>
          </w:p>
        </w:tc>
      </w:tr>
      <w:tr w:rsidR="0039744C" w:rsidRPr="00DA35C4" w14:paraId="231119D0" w14:textId="77777777" w:rsidTr="0039744C">
        <w:tc>
          <w:tcPr>
            <w:tcW w:w="9322" w:type="dxa"/>
            <w:gridSpan w:val="2"/>
            <w:hideMark/>
          </w:tcPr>
          <w:p w14:paraId="57599760" w14:textId="77777777" w:rsidR="0039744C" w:rsidRPr="00DA35C4" w:rsidRDefault="0039744C">
            <w:pPr>
              <w:autoSpaceDE w:val="0"/>
              <w:autoSpaceDN w:val="0"/>
              <w:adjustRightInd w:val="0"/>
              <w:rPr>
                <w:b/>
                <w:szCs w:val="22"/>
              </w:rPr>
            </w:pPr>
            <w:r w:rsidRPr="00DA35C4">
              <w:rPr>
                <w:b/>
                <w:szCs w:val="22"/>
              </w:rPr>
              <w:t>Lever og galdeveje</w:t>
            </w:r>
          </w:p>
        </w:tc>
      </w:tr>
      <w:tr w:rsidR="0039744C" w14:paraId="5C376FDA" w14:textId="77777777" w:rsidTr="0039744C">
        <w:tc>
          <w:tcPr>
            <w:tcW w:w="2235" w:type="dxa"/>
            <w:hideMark/>
          </w:tcPr>
          <w:p w14:paraId="62181588" w14:textId="77777777" w:rsidR="0039744C" w:rsidRDefault="0039744C">
            <w:pPr>
              <w:autoSpaceDE w:val="0"/>
              <w:autoSpaceDN w:val="0"/>
              <w:adjustRightInd w:val="0"/>
              <w:rPr>
                <w:szCs w:val="22"/>
              </w:rPr>
            </w:pPr>
            <w:r>
              <w:rPr>
                <w:szCs w:val="22"/>
              </w:rPr>
              <w:t>Almindelig:</w:t>
            </w:r>
          </w:p>
        </w:tc>
        <w:tc>
          <w:tcPr>
            <w:tcW w:w="7087" w:type="dxa"/>
            <w:hideMark/>
          </w:tcPr>
          <w:p w14:paraId="50FEDB7F" w14:textId="77777777" w:rsidR="0039744C" w:rsidRDefault="0039744C">
            <w:pPr>
              <w:autoSpaceDE w:val="0"/>
              <w:autoSpaceDN w:val="0"/>
              <w:adjustRightInd w:val="0"/>
              <w:rPr>
                <w:szCs w:val="22"/>
              </w:rPr>
            </w:pPr>
            <w:r>
              <w:rPr>
                <w:szCs w:val="22"/>
              </w:rPr>
              <w:t>Leversygdomme: G1-2: 1,3 %.</w:t>
            </w:r>
          </w:p>
        </w:tc>
      </w:tr>
      <w:tr w:rsidR="0039744C" w14:paraId="181B0D72" w14:textId="77777777" w:rsidTr="0039744C">
        <w:tc>
          <w:tcPr>
            <w:tcW w:w="2235" w:type="dxa"/>
            <w:hideMark/>
          </w:tcPr>
          <w:p w14:paraId="55CADA6E" w14:textId="77777777" w:rsidR="0039744C" w:rsidRDefault="0039744C">
            <w:pPr>
              <w:autoSpaceDE w:val="0"/>
              <w:autoSpaceDN w:val="0"/>
              <w:adjustRightInd w:val="0"/>
              <w:rPr>
                <w:szCs w:val="22"/>
              </w:rPr>
            </w:pPr>
            <w:r>
              <w:rPr>
                <w:szCs w:val="22"/>
              </w:rPr>
              <w:t>Ikke kendt:</w:t>
            </w:r>
          </w:p>
        </w:tc>
        <w:tc>
          <w:tcPr>
            <w:tcW w:w="7087" w:type="dxa"/>
            <w:hideMark/>
          </w:tcPr>
          <w:p w14:paraId="622A9ECD" w14:textId="77777777" w:rsidR="0039744C" w:rsidRDefault="0039744C">
            <w:pPr>
              <w:autoSpaceDE w:val="0"/>
              <w:autoSpaceDN w:val="0"/>
              <w:adjustRightInd w:val="0"/>
              <w:rPr>
                <w:szCs w:val="22"/>
              </w:rPr>
            </w:pPr>
            <w:r>
              <w:rPr>
                <w:szCs w:val="22"/>
              </w:rPr>
              <w:t>Transitorisk forhøjelse af levertal G1-2.</w:t>
            </w:r>
          </w:p>
        </w:tc>
      </w:tr>
      <w:tr w:rsidR="0039744C" w14:paraId="6CB2EE57" w14:textId="77777777" w:rsidTr="0039744C">
        <w:tc>
          <w:tcPr>
            <w:tcW w:w="2235" w:type="dxa"/>
          </w:tcPr>
          <w:p w14:paraId="60DF8243" w14:textId="77777777" w:rsidR="0039744C" w:rsidRDefault="0039744C">
            <w:pPr>
              <w:autoSpaceDE w:val="0"/>
              <w:autoSpaceDN w:val="0"/>
              <w:adjustRightInd w:val="0"/>
              <w:rPr>
                <w:szCs w:val="22"/>
              </w:rPr>
            </w:pPr>
          </w:p>
        </w:tc>
        <w:tc>
          <w:tcPr>
            <w:tcW w:w="7087" w:type="dxa"/>
          </w:tcPr>
          <w:p w14:paraId="799538DA" w14:textId="77777777" w:rsidR="0039744C" w:rsidRDefault="0039744C">
            <w:pPr>
              <w:autoSpaceDE w:val="0"/>
              <w:autoSpaceDN w:val="0"/>
              <w:adjustRightInd w:val="0"/>
              <w:rPr>
                <w:szCs w:val="22"/>
              </w:rPr>
            </w:pPr>
          </w:p>
        </w:tc>
      </w:tr>
      <w:tr w:rsidR="0039744C" w:rsidRPr="00DA35C4" w14:paraId="53BA0A80" w14:textId="77777777" w:rsidTr="0039744C">
        <w:tc>
          <w:tcPr>
            <w:tcW w:w="9322" w:type="dxa"/>
            <w:gridSpan w:val="2"/>
            <w:hideMark/>
          </w:tcPr>
          <w:p w14:paraId="276E7638" w14:textId="77777777" w:rsidR="0039744C" w:rsidRPr="00DA35C4" w:rsidRDefault="0039744C">
            <w:pPr>
              <w:autoSpaceDE w:val="0"/>
              <w:autoSpaceDN w:val="0"/>
              <w:adjustRightInd w:val="0"/>
              <w:rPr>
                <w:b/>
                <w:szCs w:val="22"/>
              </w:rPr>
            </w:pPr>
            <w:r w:rsidRPr="00DA35C4">
              <w:rPr>
                <w:b/>
                <w:szCs w:val="22"/>
              </w:rPr>
              <w:t>Hud og subkutane væv</w:t>
            </w:r>
          </w:p>
        </w:tc>
      </w:tr>
      <w:tr w:rsidR="0039744C" w14:paraId="433790AA" w14:textId="77777777" w:rsidTr="0039744C">
        <w:tc>
          <w:tcPr>
            <w:tcW w:w="2235" w:type="dxa"/>
            <w:hideMark/>
          </w:tcPr>
          <w:p w14:paraId="2331A745" w14:textId="77777777" w:rsidR="0039744C" w:rsidRDefault="0039744C">
            <w:pPr>
              <w:autoSpaceDE w:val="0"/>
              <w:autoSpaceDN w:val="0"/>
              <w:adjustRightInd w:val="0"/>
              <w:rPr>
                <w:szCs w:val="22"/>
              </w:rPr>
            </w:pPr>
            <w:r>
              <w:rPr>
                <w:szCs w:val="22"/>
              </w:rPr>
              <w:t>Meget almindelig:</w:t>
            </w:r>
          </w:p>
        </w:tc>
        <w:tc>
          <w:tcPr>
            <w:tcW w:w="7087" w:type="dxa"/>
            <w:hideMark/>
          </w:tcPr>
          <w:p w14:paraId="42EAC294" w14:textId="77777777" w:rsidR="0039744C" w:rsidRDefault="0039744C">
            <w:pPr>
              <w:autoSpaceDE w:val="0"/>
              <w:autoSpaceDN w:val="0"/>
              <w:adjustRightInd w:val="0"/>
              <w:rPr>
                <w:szCs w:val="22"/>
              </w:rPr>
            </w:pPr>
            <w:proofErr w:type="spellStart"/>
            <w:r>
              <w:t>Alopeci</w:t>
            </w:r>
            <w:proofErr w:type="spellEnd"/>
            <w:r>
              <w:t>, sædvanligvis mild G1-2: 29,4 % kan forekomme.</w:t>
            </w:r>
          </w:p>
        </w:tc>
      </w:tr>
      <w:tr w:rsidR="0039744C" w14:paraId="312FD462" w14:textId="77777777" w:rsidTr="0039744C">
        <w:tc>
          <w:tcPr>
            <w:tcW w:w="2235" w:type="dxa"/>
            <w:hideMark/>
          </w:tcPr>
          <w:p w14:paraId="45B5AEFC" w14:textId="77777777" w:rsidR="0039744C" w:rsidRDefault="0039744C">
            <w:pPr>
              <w:autoSpaceDE w:val="0"/>
              <w:autoSpaceDN w:val="0"/>
              <w:adjustRightInd w:val="0"/>
              <w:rPr>
                <w:szCs w:val="22"/>
              </w:rPr>
            </w:pPr>
            <w:r>
              <w:rPr>
                <w:szCs w:val="22"/>
              </w:rPr>
              <w:t>Almindelig:</w:t>
            </w:r>
          </w:p>
        </w:tc>
        <w:tc>
          <w:tcPr>
            <w:tcW w:w="7087" w:type="dxa"/>
            <w:hideMark/>
          </w:tcPr>
          <w:p w14:paraId="6606E298" w14:textId="77777777" w:rsidR="0039744C" w:rsidRDefault="0039744C">
            <w:pPr>
              <w:autoSpaceDE w:val="0"/>
              <w:autoSpaceDN w:val="0"/>
              <w:adjustRightInd w:val="0"/>
              <w:rPr>
                <w:szCs w:val="22"/>
              </w:rPr>
            </w:pPr>
            <w:r>
              <w:rPr>
                <w:szCs w:val="22"/>
              </w:rPr>
              <w:t>Hudreaktioner G1-2: 5,7 %.</w:t>
            </w:r>
          </w:p>
        </w:tc>
      </w:tr>
      <w:tr w:rsidR="0039744C" w14:paraId="525E7F6D" w14:textId="77777777" w:rsidTr="0039744C">
        <w:tc>
          <w:tcPr>
            <w:tcW w:w="2235" w:type="dxa"/>
          </w:tcPr>
          <w:p w14:paraId="12F39469" w14:textId="77777777" w:rsidR="0039744C" w:rsidRDefault="0039744C">
            <w:pPr>
              <w:autoSpaceDE w:val="0"/>
              <w:autoSpaceDN w:val="0"/>
              <w:adjustRightInd w:val="0"/>
              <w:rPr>
                <w:szCs w:val="22"/>
              </w:rPr>
            </w:pPr>
          </w:p>
        </w:tc>
        <w:tc>
          <w:tcPr>
            <w:tcW w:w="7087" w:type="dxa"/>
          </w:tcPr>
          <w:p w14:paraId="25914DB2" w14:textId="77777777" w:rsidR="0039744C" w:rsidRDefault="0039744C">
            <w:pPr>
              <w:autoSpaceDE w:val="0"/>
              <w:autoSpaceDN w:val="0"/>
              <w:adjustRightInd w:val="0"/>
              <w:rPr>
                <w:szCs w:val="22"/>
              </w:rPr>
            </w:pPr>
          </w:p>
        </w:tc>
      </w:tr>
      <w:tr w:rsidR="0039744C" w:rsidRPr="00DA35C4" w14:paraId="7E217C44" w14:textId="77777777" w:rsidTr="0039744C">
        <w:tc>
          <w:tcPr>
            <w:tcW w:w="9322" w:type="dxa"/>
            <w:gridSpan w:val="2"/>
            <w:hideMark/>
          </w:tcPr>
          <w:p w14:paraId="0E4B69AB" w14:textId="77777777" w:rsidR="0039744C" w:rsidRPr="00DA35C4" w:rsidRDefault="0039744C">
            <w:pPr>
              <w:autoSpaceDE w:val="0"/>
              <w:autoSpaceDN w:val="0"/>
              <w:adjustRightInd w:val="0"/>
              <w:rPr>
                <w:b/>
                <w:szCs w:val="22"/>
              </w:rPr>
            </w:pPr>
            <w:r w:rsidRPr="00DA35C4">
              <w:rPr>
                <w:b/>
                <w:szCs w:val="22"/>
              </w:rPr>
              <w:t>Knogler, led, muskler og bindevæv</w:t>
            </w:r>
          </w:p>
        </w:tc>
      </w:tr>
      <w:tr w:rsidR="0039744C" w14:paraId="7BDCF593" w14:textId="77777777" w:rsidTr="0039744C">
        <w:tc>
          <w:tcPr>
            <w:tcW w:w="2235" w:type="dxa"/>
            <w:hideMark/>
          </w:tcPr>
          <w:p w14:paraId="65A930EA" w14:textId="77777777" w:rsidR="0039744C" w:rsidRDefault="0039744C">
            <w:pPr>
              <w:autoSpaceDE w:val="0"/>
              <w:autoSpaceDN w:val="0"/>
              <w:adjustRightInd w:val="0"/>
              <w:rPr>
                <w:szCs w:val="22"/>
              </w:rPr>
            </w:pPr>
            <w:r>
              <w:rPr>
                <w:szCs w:val="22"/>
              </w:rPr>
              <w:t>Almindelig:</w:t>
            </w:r>
          </w:p>
        </w:tc>
        <w:tc>
          <w:tcPr>
            <w:tcW w:w="7087" w:type="dxa"/>
            <w:hideMark/>
          </w:tcPr>
          <w:p w14:paraId="26C676B9" w14:textId="77777777" w:rsidR="0039744C" w:rsidRDefault="0039744C">
            <w:pPr>
              <w:autoSpaceDE w:val="0"/>
              <w:autoSpaceDN w:val="0"/>
              <w:adjustRightInd w:val="0"/>
              <w:rPr>
                <w:szCs w:val="22"/>
              </w:rPr>
            </w:pPr>
            <w:proofErr w:type="spellStart"/>
            <w:r>
              <w:rPr>
                <w:szCs w:val="22"/>
              </w:rPr>
              <w:t>Artralgi</w:t>
            </w:r>
            <w:proofErr w:type="spellEnd"/>
            <w:r>
              <w:rPr>
                <w:szCs w:val="22"/>
              </w:rPr>
              <w:t>, heriblandt kæbesmerter.</w:t>
            </w:r>
          </w:p>
          <w:p w14:paraId="26C55866" w14:textId="77777777" w:rsidR="0039744C" w:rsidRDefault="0039744C">
            <w:pPr>
              <w:autoSpaceDE w:val="0"/>
              <w:autoSpaceDN w:val="0"/>
              <w:adjustRightInd w:val="0"/>
              <w:rPr>
                <w:szCs w:val="22"/>
              </w:rPr>
            </w:pPr>
            <w:r>
              <w:rPr>
                <w:szCs w:val="22"/>
              </w:rPr>
              <w:t>Myalgi: G1-4: 7 %; G3-4: 0,3 %.</w:t>
            </w:r>
          </w:p>
        </w:tc>
      </w:tr>
      <w:tr w:rsidR="0039744C" w14:paraId="7ACCA518" w14:textId="77777777" w:rsidTr="0039744C">
        <w:tc>
          <w:tcPr>
            <w:tcW w:w="2235" w:type="dxa"/>
          </w:tcPr>
          <w:p w14:paraId="66C61544" w14:textId="77777777" w:rsidR="0039744C" w:rsidRDefault="0039744C">
            <w:pPr>
              <w:autoSpaceDE w:val="0"/>
              <w:autoSpaceDN w:val="0"/>
              <w:adjustRightInd w:val="0"/>
              <w:rPr>
                <w:szCs w:val="22"/>
              </w:rPr>
            </w:pPr>
          </w:p>
        </w:tc>
        <w:tc>
          <w:tcPr>
            <w:tcW w:w="7087" w:type="dxa"/>
          </w:tcPr>
          <w:p w14:paraId="582ABE20" w14:textId="77777777" w:rsidR="0039744C" w:rsidRDefault="0039744C">
            <w:pPr>
              <w:autoSpaceDE w:val="0"/>
              <w:autoSpaceDN w:val="0"/>
              <w:adjustRightInd w:val="0"/>
              <w:rPr>
                <w:szCs w:val="22"/>
              </w:rPr>
            </w:pPr>
          </w:p>
        </w:tc>
      </w:tr>
      <w:tr w:rsidR="0039744C" w:rsidRPr="00DA35C4" w14:paraId="7E85DFAC" w14:textId="77777777" w:rsidTr="0039744C">
        <w:tc>
          <w:tcPr>
            <w:tcW w:w="9322" w:type="dxa"/>
            <w:gridSpan w:val="2"/>
            <w:hideMark/>
          </w:tcPr>
          <w:p w14:paraId="17E670E6" w14:textId="77777777" w:rsidR="0039744C" w:rsidRPr="00DA35C4" w:rsidRDefault="0039744C">
            <w:pPr>
              <w:autoSpaceDE w:val="0"/>
              <w:autoSpaceDN w:val="0"/>
              <w:adjustRightInd w:val="0"/>
              <w:rPr>
                <w:b/>
                <w:szCs w:val="22"/>
              </w:rPr>
            </w:pPr>
            <w:r w:rsidRPr="00DA35C4">
              <w:rPr>
                <w:b/>
                <w:szCs w:val="22"/>
              </w:rPr>
              <w:t>Nyrer og urinveje</w:t>
            </w:r>
          </w:p>
        </w:tc>
      </w:tr>
      <w:tr w:rsidR="0039744C" w14:paraId="06B360FB" w14:textId="77777777" w:rsidTr="0039744C">
        <w:tc>
          <w:tcPr>
            <w:tcW w:w="2235" w:type="dxa"/>
            <w:hideMark/>
          </w:tcPr>
          <w:p w14:paraId="70E2CB8F" w14:textId="77777777" w:rsidR="0039744C" w:rsidRDefault="0039744C">
            <w:pPr>
              <w:autoSpaceDE w:val="0"/>
              <w:autoSpaceDN w:val="0"/>
              <w:adjustRightInd w:val="0"/>
              <w:rPr>
                <w:szCs w:val="22"/>
              </w:rPr>
            </w:pPr>
            <w:r>
              <w:rPr>
                <w:szCs w:val="22"/>
              </w:rPr>
              <w:t>Almindelig:</w:t>
            </w:r>
          </w:p>
        </w:tc>
        <w:tc>
          <w:tcPr>
            <w:tcW w:w="7087" w:type="dxa"/>
            <w:hideMark/>
          </w:tcPr>
          <w:p w14:paraId="47A81360" w14:textId="77777777" w:rsidR="0039744C" w:rsidRDefault="0039744C">
            <w:pPr>
              <w:autoSpaceDE w:val="0"/>
              <w:autoSpaceDN w:val="0"/>
              <w:adjustRightInd w:val="0"/>
              <w:rPr>
                <w:szCs w:val="22"/>
              </w:rPr>
            </w:pPr>
            <w:proofErr w:type="spellStart"/>
            <w:r>
              <w:rPr>
                <w:szCs w:val="22"/>
              </w:rPr>
              <w:t>Dysuri</w:t>
            </w:r>
            <w:proofErr w:type="spellEnd"/>
            <w:r>
              <w:rPr>
                <w:szCs w:val="22"/>
              </w:rPr>
              <w:t xml:space="preserve"> G1-2: 1,6 %.</w:t>
            </w:r>
          </w:p>
          <w:p w14:paraId="15FC2F68" w14:textId="77777777" w:rsidR="0039744C" w:rsidRDefault="0039744C">
            <w:pPr>
              <w:autoSpaceDE w:val="0"/>
              <w:autoSpaceDN w:val="0"/>
              <w:adjustRightInd w:val="0"/>
              <w:rPr>
                <w:szCs w:val="22"/>
              </w:rPr>
            </w:pPr>
            <w:r>
              <w:rPr>
                <w:szCs w:val="22"/>
              </w:rPr>
              <w:t xml:space="preserve">Andre </w:t>
            </w:r>
            <w:proofErr w:type="spellStart"/>
            <w:r>
              <w:rPr>
                <w:szCs w:val="22"/>
              </w:rPr>
              <w:t>geniturinære</w:t>
            </w:r>
            <w:proofErr w:type="spellEnd"/>
            <w:r>
              <w:rPr>
                <w:szCs w:val="22"/>
              </w:rPr>
              <w:t xml:space="preserve"> symptomer G1-2: 1,9 %.</w:t>
            </w:r>
          </w:p>
        </w:tc>
      </w:tr>
      <w:tr w:rsidR="0039744C" w14:paraId="09EF55AB" w14:textId="77777777" w:rsidTr="0039744C">
        <w:tc>
          <w:tcPr>
            <w:tcW w:w="2235" w:type="dxa"/>
          </w:tcPr>
          <w:p w14:paraId="2A9C3981" w14:textId="77777777" w:rsidR="0039744C" w:rsidRDefault="0039744C">
            <w:pPr>
              <w:autoSpaceDE w:val="0"/>
              <w:autoSpaceDN w:val="0"/>
              <w:adjustRightInd w:val="0"/>
              <w:rPr>
                <w:szCs w:val="22"/>
              </w:rPr>
            </w:pPr>
          </w:p>
        </w:tc>
        <w:tc>
          <w:tcPr>
            <w:tcW w:w="7087" w:type="dxa"/>
          </w:tcPr>
          <w:p w14:paraId="4656C5CE" w14:textId="77777777" w:rsidR="0039744C" w:rsidRDefault="0039744C">
            <w:pPr>
              <w:autoSpaceDE w:val="0"/>
              <w:autoSpaceDN w:val="0"/>
              <w:adjustRightInd w:val="0"/>
              <w:rPr>
                <w:szCs w:val="22"/>
              </w:rPr>
            </w:pPr>
          </w:p>
        </w:tc>
      </w:tr>
      <w:tr w:rsidR="0039744C" w:rsidRPr="00DA35C4" w14:paraId="112F4D37" w14:textId="77777777" w:rsidTr="0039744C">
        <w:tc>
          <w:tcPr>
            <w:tcW w:w="9322" w:type="dxa"/>
            <w:gridSpan w:val="2"/>
            <w:hideMark/>
          </w:tcPr>
          <w:p w14:paraId="3DB62ED4" w14:textId="77777777" w:rsidR="0039744C" w:rsidRPr="00DA35C4" w:rsidRDefault="0039744C">
            <w:pPr>
              <w:autoSpaceDE w:val="0"/>
              <w:autoSpaceDN w:val="0"/>
              <w:adjustRightInd w:val="0"/>
              <w:rPr>
                <w:b/>
                <w:szCs w:val="22"/>
              </w:rPr>
            </w:pPr>
            <w:r w:rsidRPr="00DA35C4">
              <w:rPr>
                <w:b/>
                <w:szCs w:val="22"/>
              </w:rPr>
              <w:t>Almene symptomer og reaktioner på administrationsstedet</w:t>
            </w:r>
          </w:p>
        </w:tc>
      </w:tr>
      <w:tr w:rsidR="0039744C" w14:paraId="0A7E0733" w14:textId="77777777" w:rsidTr="0039744C">
        <w:tc>
          <w:tcPr>
            <w:tcW w:w="2235" w:type="dxa"/>
            <w:hideMark/>
          </w:tcPr>
          <w:p w14:paraId="5EB1F46C" w14:textId="77777777" w:rsidR="0039744C" w:rsidRDefault="0039744C">
            <w:pPr>
              <w:autoSpaceDE w:val="0"/>
              <w:autoSpaceDN w:val="0"/>
              <w:adjustRightInd w:val="0"/>
              <w:rPr>
                <w:szCs w:val="22"/>
              </w:rPr>
            </w:pPr>
            <w:r>
              <w:rPr>
                <w:szCs w:val="22"/>
              </w:rPr>
              <w:t>Meget almindelig:</w:t>
            </w:r>
          </w:p>
        </w:tc>
        <w:tc>
          <w:tcPr>
            <w:tcW w:w="7087" w:type="dxa"/>
            <w:hideMark/>
          </w:tcPr>
          <w:p w14:paraId="6BFAAAF9" w14:textId="77777777" w:rsidR="0039744C" w:rsidRDefault="0039744C">
            <w:pPr>
              <w:autoSpaceDE w:val="0"/>
              <w:autoSpaceDN w:val="0"/>
              <w:adjustRightInd w:val="0"/>
              <w:rPr>
                <w:szCs w:val="22"/>
              </w:rPr>
            </w:pPr>
            <w:r>
              <w:t>Træthed/utilpashed G1-4: 36,7 %; G3-4: 8,5 %; feber G1-4: 13,0 %; G3-4: 12,1 %.</w:t>
            </w:r>
          </w:p>
        </w:tc>
      </w:tr>
      <w:tr w:rsidR="0039744C" w14:paraId="7CDB72B1" w14:textId="77777777" w:rsidTr="0039744C">
        <w:tc>
          <w:tcPr>
            <w:tcW w:w="2235" w:type="dxa"/>
            <w:hideMark/>
          </w:tcPr>
          <w:p w14:paraId="1FE6E301" w14:textId="77777777" w:rsidR="0039744C" w:rsidRDefault="0039744C">
            <w:pPr>
              <w:autoSpaceDE w:val="0"/>
              <w:autoSpaceDN w:val="0"/>
              <w:adjustRightInd w:val="0"/>
              <w:rPr>
                <w:szCs w:val="22"/>
              </w:rPr>
            </w:pPr>
            <w:r>
              <w:rPr>
                <w:szCs w:val="22"/>
              </w:rPr>
              <w:t>Almindelig:</w:t>
            </w:r>
          </w:p>
        </w:tc>
        <w:tc>
          <w:tcPr>
            <w:tcW w:w="7087" w:type="dxa"/>
            <w:hideMark/>
          </w:tcPr>
          <w:p w14:paraId="779F6F08" w14:textId="77777777" w:rsidR="0039744C" w:rsidRDefault="0039744C">
            <w:pPr>
              <w:autoSpaceDE w:val="0"/>
              <w:autoSpaceDN w:val="0"/>
              <w:adjustRightInd w:val="0"/>
              <w:rPr>
                <w:szCs w:val="22"/>
              </w:rPr>
            </w:pPr>
            <w:r>
              <w:rPr>
                <w:szCs w:val="22"/>
              </w:rPr>
              <w:t>Smerter, herunder smerter på tumorstedet G1-4: 3,8 %; G3-4: 0,6 %.</w:t>
            </w:r>
          </w:p>
          <w:p w14:paraId="3A7385A9" w14:textId="77777777" w:rsidR="0039744C" w:rsidRDefault="0039744C">
            <w:pPr>
              <w:autoSpaceDE w:val="0"/>
              <w:autoSpaceDN w:val="0"/>
              <w:adjustRightInd w:val="0"/>
              <w:rPr>
                <w:szCs w:val="22"/>
              </w:rPr>
            </w:pPr>
            <w:r>
              <w:rPr>
                <w:szCs w:val="22"/>
              </w:rPr>
              <w:t>Kuldegysninger: G1-2: 3,8 %.</w:t>
            </w:r>
          </w:p>
        </w:tc>
      </w:tr>
      <w:tr w:rsidR="0039744C" w14:paraId="20A1538C" w14:textId="77777777" w:rsidTr="0039744C">
        <w:tc>
          <w:tcPr>
            <w:tcW w:w="2235" w:type="dxa"/>
          </w:tcPr>
          <w:p w14:paraId="09CBE963" w14:textId="77777777" w:rsidR="0039744C" w:rsidRDefault="0039744C">
            <w:pPr>
              <w:autoSpaceDE w:val="0"/>
              <w:autoSpaceDN w:val="0"/>
              <w:adjustRightInd w:val="0"/>
              <w:rPr>
                <w:szCs w:val="22"/>
              </w:rPr>
            </w:pPr>
          </w:p>
        </w:tc>
        <w:tc>
          <w:tcPr>
            <w:tcW w:w="7087" w:type="dxa"/>
          </w:tcPr>
          <w:p w14:paraId="6EC542D2" w14:textId="77777777" w:rsidR="0039744C" w:rsidRDefault="0039744C">
            <w:pPr>
              <w:autoSpaceDE w:val="0"/>
              <w:autoSpaceDN w:val="0"/>
              <w:adjustRightInd w:val="0"/>
              <w:rPr>
                <w:szCs w:val="22"/>
              </w:rPr>
            </w:pPr>
          </w:p>
        </w:tc>
      </w:tr>
      <w:tr w:rsidR="0039744C" w:rsidRPr="00DA35C4" w14:paraId="208D62B4" w14:textId="77777777" w:rsidTr="0039744C">
        <w:tc>
          <w:tcPr>
            <w:tcW w:w="9322" w:type="dxa"/>
            <w:gridSpan w:val="2"/>
            <w:hideMark/>
          </w:tcPr>
          <w:p w14:paraId="680EF301" w14:textId="77777777" w:rsidR="0039744C" w:rsidRPr="00DA35C4" w:rsidRDefault="0039744C">
            <w:pPr>
              <w:autoSpaceDE w:val="0"/>
              <w:autoSpaceDN w:val="0"/>
              <w:adjustRightInd w:val="0"/>
              <w:rPr>
                <w:b/>
                <w:szCs w:val="22"/>
              </w:rPr>
            </w:pPr>
            <w:r w:rsidRPr="00DA35C4">
              <w:rPr>
                <w:b/>
                <w:szCs w:val="22"/>
              </w:rPr>
              <w:t>Undersøgelser</w:t>
            </w:r>
          </w:p>
        </w:tc>
      </w:tr>
      <w:tr w:rsidR="0039744C" w14:paraId="32D33A08" w14:textId="77777777" w:rsidTr="0039744C">
        <w:tc>
          <w:tcPr>
            <w:tcW w:w="2235" w:type="dxa"/>
            <w:hideMark/>
          </w:tcPr>
          <w:p w14:paraId="6B105819" w14:textId="77777777" w:rsidR="0039744C" w:rsidRDefault="0039744C">
            <w:pPr>
              <w:autoSpaceDE w:val="0"/>
              <w:autoSpaceDN w:val="0"/>
              <w:adjustRightInd w:val="0"/>
              <w:rPr>
                <w:szCs w:val="22"/>
              </w:rPr>
            </w:pPr>
            <w:r>
              <w:t>Meget almindelig:</w:t>
            </w:r>
          </w:p>
        </w:tc>
        <w:tc>
          <w:tcPr>
            <w:tcW w:w="7087" w:type="dxa"/>
            <w:hideMark/>
          </w:tcPr>
          <w:p w14:paraId="6D10A693" w14:textId="77777777" w:rsidR="0039744C" w:rsidRDefault="0039744C">
            <w:pPr>
              <w:autoSpaceDE w:val="0"/>
              <w:autoSpaceDN w:val="0"/>
              <w:adjustRightInd w:val="0"/>
              <w:rPr>
                <w:szCs w:val="22"/>
              </w:rPr>
            </w:pPr>
            <w:r>
              <w:rPr>
                <w:szCs w:val="22"/>
              </w:rPr>
              <w:t>Vægttab G1-4: 25 %; G3-4: 0,3 %.</w:t>
            </w:r>
          </w:p>
        </w:tc>
      </w:tr>
      <w:tr w:rsidR="0039744C" w14:paraId="72831F0C" w14:textId="77777777" w:rsidTr="0039744C">
        <w:tc>
          <w:tcPr>
            <w:tcW w:w="2235" w:type="dxa"/>
            <w:hideMark/>
          </w:tcPr>
          <w:p w14:paraId="6C661CA5" w14:textId="77777777" w:rsidR="0039744C" w:rsidRDefault="0039744C">
            <w:pPr>
              <w:autoSpaceDE w:val="0"/>
              <w:autoSpaceDN w:val="0"/>
              <w:adjustRightInd w:val="0"/>
              <w:rPr>
                <w:szCs w:val="22"/>
              </w:rPr>
            </w:pPr>
            <w:r>
              <w:rPr>
                <w:szCs w:val="22"/>
              </w:rPr>
              <w:t>Almindelig:</w:t>
            </w:r>
          </w:p>
        </w:tc>
        <w:tc>
          <w:tcPr>
            <w:tcW w:w="7087" w:type="dxa"/>
            <w:hideMark/>
          </w:tcPr>
          <w:p w14:paraId="2465DAAF" w14:textId="77777777" w:rsidR="0039744C" w:rsidRDefault="0039744C">
            <w:pPr>
              <w:autoSpaceDE w:val="0"/>
              <w:autoSpaceDN w:val="0"/>
              <w:adjustRightInd w:val="0"/>
              <w:rPr>
                <w:szCs w:val="22"/>
              </w:rPr>
            </w:pPr>
            <w:r>
              <w:rPr>
                <w:szCs w:val="22"/>
              </w:rPr>
              <w:t>Vægtstigning G1-2: 1,3 %.</w:t>
            </w:r>
          </w:p>
        </w:tc>
      </w:tr>
      <w:tr w:rsidR="0039744C" w14:paraId="36BBBE99" w14:textId="77777777" w:rsidTr="0039744C">
        <w:tc>
          <w:tcPr>
            <w:tcW w:w="2235" w:type="dxa"/>
          </w:tcPr>
          <w:p w14:paraId="2B4B0765" w14:textId="77777777" w:rsidR="0039744C" w:rsidRDefault="0039744C">
            <w:pPr>
              <w:autoSpaceDE w:val="0"/>
              <w:autoSpaceDN w:val="0"/>
              <w:adjustRightInd w:val="0"/>
              <w:rPr>
                <w:szCs w:val="22"/>
              </w:rPr>
            </w:pPr>
          </w:p>
        </w:tc>
        <w:tc>
          <w:tcPr>
            <w:tcW w:w="7087" w:type="dxa"/>
          </w:tcPr>
          <w:p w14:paraId="7867873A" w14:textId="77777777" w:rsidR="0039744C" w:rsidRDefault="0039744C">
            <w:pPr>
              <w:autoSpaceDE w:val="0"/>
              <w:autoSpaceDN w:val="0"/>
              <w:adjustRightInd w:val="0"/>
              <w:rPr>
                <w:szCs w:val="22"/>
              </w:rPr>
            </w:pPr>
          </w:p>
        </w:tc>
      </w:tr>
    </w:tbl>
    <w:p w14:paraId="5B8BB73E" w14:textId="77777777" w:rsidR="0039744C" w:rsidRPr="0039744C" w:rsidRDefault="0039744C" w:rsidP="0039744C">
      <w:pPr>
        <w:autoSpaceDE w:val="0"/>
        <w:autoSpaceDN w:val="0"/>
        <w:adjustRightInd w:val="0"/>
        <w:ind w:left="851"/>
        <w:jc w:val="both"/>
        <w:rPr>
          <w:sz w:val="24"/>
          <w:szCs w:val="24"/>
        </w:rPr>
      </w:pPr>
    </w:p>
    <w:p w14:paraId="1A01A030" w14:textId="5E8F780E" w:rsidR="0039744C" w:rsidRPr="0039744C" w:rsidRDefault="0039744C" w:rsidP="0039744C">
      <w:pPr>
        <w:autoSpaceDE w:val="0"/>
        <w:autoSpaceDN w:val="0"/>
        <w:adjustRightInd w:val="0"/>
        <w:ind w:left="851"/>
        <w:rPr>
          <w:sz w:val="24"/>
          <w:szCs w:val="24"/>
        </w:rPr>
      </w:pPr>
      <w:r w:rsidRPr="0039744C">
        <w:rPr>
          <w:sz w:val="24"/>
          <w:szCs w:val="24"/>
        </w:rPr>
        <w:t xml:space="preserve">Med </w:t>
      </w:r>
      <w:proofErr w:type="spellStart"/>
      <w:r w:rsidRPr="0039744C">
        <w:rPr>
          <w:sz w:val="24"/>
          <w:szCs w:val="24"/>
        </w:rPr>
        <w:t>vinorelbins</w:t>
      </w:r>
      <w:proofErr w:type="spellEnd"/>
      <w:r w:rsidRPr="0039744C">
        <w:rPr>
          <w:sz w:val="24"/>
          <w:szCs w:val="24"/>
        </w:rPr>
        <w:t xml:space="preserve"> intravenøse formulering er der desuden rapporteret om følgende bivirkninger: </w:t>
      </w:r>
      <w:r w:rsidR="00DA35C4">
        <w:rPr>
          <w:sz w:val="24"/>
          <w:szCs w:val="24"/>
        </w:rPr>
        <w:t>S</w:t>
      </w:r>
      <w:r w:rsidRPr="0039744C">
        <w:rPr>
          <w:sz w:val="24"/>
          <w:szCs w:val="24"/>
        </w:rPr>
        <w:t xml:space="preserve">ystemiske allergiske reaktioner, svær </w:t>
      </w:r>
      <w:proofErr w:type="spellStart"/>
      <w:r w:rsidRPr="0039744C">
        <w:rPr>
          <w:sz w:val="24"/>
          <w:szCs w:val="24"/>
        </w:rPr>
        <w:t>paræstesi</w:t>
      </w:r>
      <w:proofErr w:type="spellEnd"/>
      <w:r w:rsidRPr="0039744C">
        <w:rPr>
          <w:sz w:val="24"/>
          <w:szCs w:val="24"/>
        </w:rPr>
        <w:t xml:space="preserve">, svaghed i nedre ekstremiteter, hjerterytmeforstyrrelser, rødmen, perifer kuldefornemmelse, kollaps, angina pectoris, </w:t>
      </w:r>
      <w:proofErr w:type="spellStart"/>
      <w:r w:rsidRPr="0039744C">
        <w:rPr>
          <w:sz w:val="24"/>
          <w:szCs w:val="24"/>
        </w:rPr>
        <w:t>bronkospasmer</w:t>
      </w:r>
      <w:proofErr w:type="spellEnd"/>
      <w:r w:rsidRPr="0039744C">
        <w:rPr>
          <w:sz w:val="24"/>
          <w:szCs w:val="24"/>
        </w:rPr>
        <w:t xml:space="preserve">, </w:t>
      </w:r>
      <w:proofErr w:type="spellStart"/>
      <w:r w:rsidRPr="0039744C">
        <w:rPr>
          <w:sz w:val="24"/>
          <w:szCs w:val="24"/>
        </w:rPr>
        <w:t>interstitiel</w:t>
      </w:r>
      <w:proofErr w:type="spellEnd"/>
      <w:r w:rsidRPr="0039744C">
        <w:rPr>
          <w:sz w:val="24"/>
          <w:szCs w:val="24"/>
        </w:rPr>
        <w:t xml:space="preserve"> </w:t>
      </w:r>
      <w:proofErr w:type="spellStart"/>
      <w:r w:rsidRPr="0039744C">
        <w:rPr>
          <w:sz w:val="24"/>
          <w:szCs w:val="24"/>
        </w:rPr>
        <w:t>pneumopati</w:t>
      </w:r>
      <w:proofErr w:type="spellEnd"/>
      <w:r w:rsidRPr="0039744C">
        <w:rPr>
          <w:sz w:val="24"/>
          <w:szCs w:val="24"/>
        </w:rPr>
        <w:t xml:space="preserve">, </w:t>
      </w:r>
      <w:proofErr w:type="spellStart"/>
      <w:r w:rsidRPr="0039744C">
        <w:rPr>
          <w:sz w:val="24"/>
          <w:szCs w:val="24"/>
        </w:rPr>
        <w:t>pankreatit</w:t>
      </w:r>
      <w:proofErr w:type="spellEnd"/>
      <w:r w:rsidRPr="0039744C">
        <w:rPr>
          <w:sz w:val="24"/>
          <w:szCs w:val="24"/>
        </w:rPr>
        <w:t xml:space="preserve">, </w:t>
      </w:r>
      <w:proofErr w:type="spellStart"/>
      <w:r w:rsidRPr="0039744C">
        <w:rPr>
          <w:sz w:val="24"/>
          <w:szCs w:val="24"/>
        </w:rPr>
        <w:t>palmar-plantar</w:t>
      </w:r>
      <w:proofErr w:type="spellEnd"/>
      <w:r w:rsidRPr="0039744C">
        <w:rPr>
          <w:sz w:val="24"/>
          <w:szCs w:val="24"/>
        </w:rPr>
        <w:t xml:space="preserve"> </w:t>
      </w:r>
      <w:proofErr w:type="spellStart"/>
      <w:r w:rsidRPr="0039744C">
        <w:rPr>
          <w:sz w:val="24"/>
          <w:szCs w:val="24"/>
        </w:rPr>
        <w:t>erytrodysæstesisyndrom</w:t>
      </w:r>
      <w:proofErr w:type="spellEnd"/>
      <w:r w:rsidRPr="0039744C">
        <w:rPr>
          <w:sz w:val="24"/>
          <w:szCs w:val="24"/>
        </w:rPr>
        <w:t>, akut lungesvigt (ARDS).</w:t>
      </w:r>
    </w:p>
    <w:p w14:paraId="4B6B2309" w14:textId="77777777" w:rsidR="0039744C" w:rsidRPr="0039744C" w:rsidRDefault="0039744C" w:rsidP="0039744C">
      <w:pPr>
        <w:autoSpaceDE w:val="0"/>
        <w:autoSpaceDN w:val="0"/>
        <w:adjustRightInd w:val="0"/>
        <w:ind w:left="851"/>
        <w:rPr>
          <w:b/>
          <w:i/>
          <w:sz w:val="24"/>
          <w:szCs w:val="24"/>
        </w:rPr>
      </w:pPr>
    </w:p>
    <w:p w14:paraId="682BE2B0" w14:textId="77777777" w:rsidR="0039744C" w:rsidRPr="0039744C" w:rsidRDefault="0039744C" w:rsidP="0039744C">
      <w:pPr>
        <w:autoSpaceDE w:val="0"/>
        <w:autoSpaceDN w:val="0"/>
        <w:adjustRightInd w:val="0"/>
        <w:ind w:left="851"/>
        <w:rPr>
          <w:sz w:val="24"/>
          <w:szCs w:val="24"/>
          <w:u w:val="single"/>
        </w:rPr>
      </w:pPr>
      <w:r w:rsidRPr="0039744C">
        <w:rPr>
          <w:sz w:val="24"/>
          <w:szCs w:val="24"/>
          <w:u w:val="single"/>
        </w:rPr>
        <w:t>Indberetning af formodede bivirkninger</w:t>
      </w:r>
    </w:p>
    <w:p w14:paraId="76A472A5" w14:textId="77777777" w:rsidR="0039744C" w:rsidRPr="0039744C" w:rsidRDefault="0039744C" w:rsidP="0039744C">
      <w:pPr>
        <w:autoSpaceDE w:val="0"/>
        <w:autoSpaceDN w:val="0"/>
        <w:adjustRightInd w:val="0"/>
        <w:ind w:left="851"/>
        <w:rPr>
          <w:sz w:val="24"/>
          <w:szCs w:val="24"/>
        </w:rPr>
      </w:pPr>
      <w:r w:rsidRPr="0039744C">
        <w:rPr>
          <w:sz w:val="24"/>
          <w:szCs w:val="24"/>
        </w:rPr>
        <w:t>Når lægemidlet er godkendt, er indberetning af formodede bivirkninger vigtig. Det muliggør løbende overvågning af benefit/</w:t>
      </w:r>
      <w:proofErr w:type="spellStart"/>
      <w:r w:rsidRPr="0039744C">
        <w:rPr>
          <w:sz w:val="24"/>
          <w:szCs w:val="24"/>
        </w:rPr>
        <w:t>risk</w:t>
      </w:r>
      <w:proofErr w:type="spellEnd"/>
      <w:r w:rsidRPr="0039744C">
        <w:rPr>
          <w:sz w:val="24"/>
          <w:szCs w:val="24"/>
        </w:rPr>
        <w:t xml:space="preserve">-forholdet for lægemidlet. Sundhedspersoner anmodes om at indberette alle formodede bivirkninger via </w:t>
      </w:r>
    </w:p>
    <w:p w14:paraId="1DCF15AF" w14:textId="77777777" w:rsidR="0039744C" w:rsidRPr="0039744C" w:rsidRDefault="0039744C" w:rsidP="0039744C">
      <w:pPr>
        <w:autoSpaceDE w:val="0"/>
        <w:autoSpaceDN w:val="0"/>
        <w:adjustRightInd w:val="0"/>
        <w:ind w:left="851"/>
        <w:rPr>
          <w:sz w:val="24"/>
          <w:szCs w:val="24"/>
        </w:rPr>
      </w:pPr>
    </w:p>
    <w:p w14:paraId="2C7FAA39" w14:textId="77777777" w:rsidR="0039744C" w:rsidRPr="0039744C" w:rsidRDefault="0039744C" w:rsidP="0039744C">
      <w:pPr>
        <w:ind w:left="851"/>
        <w:rPr>
          <w:rFonts w:eastAsia="Calibri"/>
          <w:color w:val="000000"/>
          <w:sz w:val="24"/>
          <w:szCs w:val="24"/>
          <w:lang w:eastAsia="zh-CN"/>
        </w:rPr>
      </w:pPr>
      <w:r w:rsidRPr="0039744C">
        <w:rPr>
          <w:sz w:val="24"/>
          <w:szCs w:val="24"/>
        </w:rPr>
        <w:t>Lægemiddelstyrelsen</w:t>
      </w:r>
    </w:p>
    <w:p w14:paraId="38B229C5" w14:textId="77777777" w:rsidR="0039744C" w:rsidRPr="0039744C" w:rsidRDefault="0039744C" w:rsidP="0039744C">
      <w:pPr>
        <w:ind w:left="851"/>
        <w:rPr>
          <w:rFonts w:eastAsia="Calibri"/>
          <w:sz w:val="24"/>
          <w:szCs w:val="24"/>
          <w:lang w:eastAsia="zh-CN"/>
        </w:rPr>
      </w:pPr>
      <w:r w:rsidRPr="0039744C">
        <w:rPr>
          <w:rFonts w:eastAsia="Calibri"/>
          <w:sz w:val="24"/>
          <w:szCs w:val="24"/>
          <w:lang w:eastAsia="zh-CN"/>
        </w:rPr>
        <w:t>Axel Heides Gade 1</w:t>
      </w:r>
    </w:p>
    <w:p w14:paraId="25F934F9" w14:textId="77777777" w:rsidR="0039744C" w:rsidRPr="0039744C" w:rsidRDefault="0039744C" w:rsidP="0039744C">
      <w:pPr>
        <w:ind w:left="851"/>
        <w:rPr>
          <w:rFonts w:eastAsia="Calibri"/>
          <w:sz w:val="24"/>
          <w:szCs w:val="24"/>
          <w:lang w:eastAsia="zh-CN"/>
        </w:rPr>
      </w:pPr>
      <w:r w:rsidRPr="0039744C">
        <w:rPr>
          <w:rFonts w:eastAsia="Calibri"/>
          <w:sz w:val="24"/>
          <w:szCs w:val="24"/>
          <w:lang w:eastAsia="zh-CN"/>
        </w:rPr>
        <w:t>DK-2300 København S</w:t>
      </w:r>
    </w:p>
    <w:p w14:paraId="6471F618" w14:textId="5A1DB3E3" w:rsidR="0039744C" w:rsidRPr="0039744C" w:rsidRDefault="0039744C" w:rsidP="0039744C">
      <w:pPr>
        <w:suppressAutoHyphens/>
        <w:ind w:left="851"/>
        <w:rPr>
          <w:color w:val="000000"/>
          <w:sz w:val="24"/>
          <w:szCs w:val="24"/>
          <w:highlight w:val="lightGray"/>
        </w:rPr>
      </w:pPr>
      <w:r w:rsidRPr="0039744C">
        <w:rPr>
          <w:rFonts w:eastAsia="Calibri"/>
          <w:sz w:val="24"/>
          <w:szCs w:val="24"/>
          <w:lang w:eastAsia="zh-CN"/>
        </w:rPr>
        <w:t xml:space="preserve">Websted: </w:t>
      </w:r>
      <w:r w:rsidRPr="00DA35C4">
        <w:rPr>
          <w:rFonts w:eastAsia="Calibri"/>
          <w:sz w:val="24"/>
          <w:szCs w:val="24"/>
          <w:lang w:eastAsia="zh-CN"/>
        </w:rPr>
        <w:t>www.meldenbivirkning.dk</w:t>
      </w:r>
    </w:p>
    <w:p w14:paraId="5B057CA5" w14:textId="77777777" w:rsidR="009260DE" w:rsidRPr="0039744C" w:rsidRDefault="009260DE" w:rsidP="0039744C">
      <w:pPr>
        <w:tabs>
          <w:tab w:val="left" w:pos="851"/>
        </w:tabs>
        <w:ind w:left="851"/>
        <w:rPr>
          <w:sz w:val="24"/>
          <w:szCs w:val="24"/>
        </w:rPr>
      </w:pPr>
    </w:p>
    <w:p w14:paraId="7C8BB4D5"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2FF28050" w14:textId="77777777" w:rsidR="00DA35C4" w:rsidRDefault="00DA35C4" w:rsidP="0039744C">
      <w:pPr>
        <w:tabs>
          <w:tab w:val="left" w:pos="851"/>
        </w:tabs>
        <w:ind w:left="851"/>
        <w:rPr>
          <w:sz w:val="24"/>
          <w:szCs w:val="24"/>
          <w:u w:val="single"/>
        </w:rPr>
      </w:pPr>
    </w:p>
    <w:p w14:paraId="3DD60C57" w14:textId="408B02AD" w:rsidR="0039744C" w:rsidRPr="0039744C" w:rsidRDefault="0039744C" w:rsidP="0039744C">
      <w:pPr>
        <w:tabs>
          <w:tab w:val="left" w:pos="851"/>
        </w:tabs>
        <w:ind w:left="851"/>
        <w:rPr>
          <w:sz w:val="24"/>
          <w:szCs w:val="24"/>
          <w:u w:val="single"/>
        </w:rPr>
      </w:pPr>
      <w:r w:rsidRPr="0039744C">
        <w:rPr>
          <w:sz w:val="24"/>
          <w:szCs w:val="24"/>
          <w:u w:val="single"/>
        </w:rPr>
        <w:t>Symptomer</w:t>
      </w:r>
    </w:p>
    <w:p w14:paraId="57A42D50" w14:textId="77777777" w:rsidR="0039744C" w:rsidRPr="0039744C" w:rsidRDefault="0039744C" w:rsidP="0039744C">
      <w:pPr>
        <w:tabs>
          <w:tab w:val="left" w:pos="851"/>
        </w:tabs>
        <w:ind w:left="851"/>
        <w:rPr>
          <w:sz w:val="24"/>
          <w:szCs w:val="24"/>
        </w:rPr>
      </w:pPr>
      <w:r w:rsidRPr="0039744C">
        <w:rPr>
          <w:sz w:val="24"/>
          <w:szCs w:val="24"/>
        </w:rPr>
        <w:lastRenderedPageBreak/>
        <w:t xml:space="preserve">Overdosering kan medføre </w:t>
      </w:r>
      <w:proofErr w:type="spellStart"/>
      <w:r w:rsidRPr="0039744C">
        <w:rPr>
          <w:sz w:val="24"/>
          <w:szCs w:val="24"/>
        </w:rPr>
        <w:t>knoglemarvshypoplasi</w:t>
      </w:r>
      <w:proofErr w:type="spellEnd"/>
      <w:r w:rsidRPr="0039744C">
        <w:rPr>
          <w:sz w:val="24"/>
          <w:szCs w:val="24"/>
        </w:rPr>
        <w:t xml:space="preserve"> og er sommetider forbundet med infektion, feber, paralytisk </w:t>
      </w:r>
      <w:proofErr w:type="spellStart"/>
      <w:r w:rsidRPr="0039744C">
        <w:rPr>
          <w:sz w:val="24"/>
          <w:szCs w:val="24"/>
        </w:rPr>
        <w:t>ileus</w:t>
      </w:r>
      <w:proofErr w:type="spellEnd"/>
      <w:r w:rsidRPr="0039744C">
        <w:rPr>
          <w:sz w:val="24"/>
          <w:szCs w:val="24"/>
        </w:rPr>
        <w:t xml:space="preserve"> og leversygdomme.</w:t>
      </w:r>
    </w:p>
    <w:p w14:paraId="502D759B" w14:textId="77777777" w:rsidR="0039744C" w:rsidRPr="0039744C" w:rsidRDefault="0039744C" w:rsidP="0039744C">
      <w:pPr>
        <w:tabs>
          <w:tab w:val="left" w:pos="851"/>
        </w:tabs>
        <w:ind w:left="851"/>
        <w:rPr>
          <w:sz w:val="24"/>
          <w:szCs w:val="24"/>
        </w:rPr>
      </w:pPr>
    </w:p>
    <w:p w14:paraId="7206D51E" w14:textId="77777777" w:rsidR="00BE03B3" w:rsidRPr="0039744C" w:rsidRDefault="00BE03B3" w:rsidP="00BE03B3">
      <w:pPr>
        <w:tabs>
          <w:tab w:val="left" w:pos="851"/>
        </w:tabs>
        <w:ind w:left="851"/>
        <w:rPr>
          <w:sz w:val="24"/>
          <w:szCs w:val="24"/>
          <w:u w:val="single"/>
        </w:rPr>
      </w:pPr>
      <w:r>
        <w:rPr>
          <w:sz w:val="24"/>
          <w:szCs w:val="24"/>
          <w:u w:val="single"/>
        </w:rPr>
        <w:t>Procedure ved akutte tilfælde</w:t>
      </w:r>
    </w:p>
    <w:p w14:paraId="0B2AD7B6" w14:textId="77777777" w:rsidR="00BE03B3" w:rsidRPr="0039744C" w:rsidRDefault="00BE03B3" w:rsidP="00BE03B3">
      <w:pPr>
        <w:tabs>
          <w:tab w:val="left" w:pos="851"/>
        </w:tabs>
        <w:ind w:left="851"/>
        <w:rPr>
          <w:sz w:val="24"/>
          <w:szCs w:val="24"/>
        </w:rPr>
      </w:pPr>
      <w:r w:rsidRPr="0039744C">
        <w:rPr>
          <w:sz w:val="24"/>
          <w:szCs w:val="24"/>
        </w:rPr>
        <w:t>Der igangsættes generel understøttende behandling samt blodtransfusion</w:t>
      </w:r>
      <w:r>
        <w:rPr>
          <w:sz w:val="24"/>
          <w:szCs w:val="24"/>
        </w:rPr>
        <w:t>, vækstfaktorer</w:t>
      </w:r>
      <w:r w:rsidRPr="0039744C">
        <w:rPr>
          <w:sz w:val="24"/>
          <w:szCs w:val="24"/>
        </w:rPr>
        <w:t xml:space="preserve"> og bredspektret antibiotikabehandling efter lægens skøn. En nøje overvågning af leverfunktionen anbefales.</w:t>
      </w:r>
    </w:p>
    <w:p w14:paraId="05A225AE" w14:textId="77777777" w:rsidR="00BE03B3" w:rsidRDefault="00BE03B3" w:rsidP="00BE03B3">
      <w:pPr>
        <w:tabs>
          <w:tab w:val="left" w:pos="851"/>
        </w:tabs>
        <w:ind w:left="851"/>
        <w:rPr>
          <w:sz w:val="24"/>
          <w:szCs w:val="24"/>
        </w:rPr>
      </w:pPr>
    </w:p>
    <w:p w14:paraId="388C3F68" w14:textId="77777777" w:rsidR="00BE03B3" w:rsidRPr="00EB2649" w:rsidRDefault="00BE03B3" w:rsidP="00BE03B3">
      <w:pPr>
        <w:ind w:left="851"/>
        <w:rPr>
          <w:noProof/>
          <w:szCs w:val="22"/>
          <w:u w:val="single"/>
        </w:rPr>
      </w:pPr>
      <w:r w:rsidRPr="00EB2649">
        <w:rPr>
          <w:noProof/>
          <w:szCs w:val="22"/>
          <w:u w:val="single"/>
        </w:rPr>
        <w:t>Antidot</w:t>
      </w:r>
    </w:p>
    <w:p w14:paraId="77693F49" w14:textId="77777777" w:rsidR="00BE03B3" w:rsidRDefault="00BE03B3" w:rsidP="00BE03B3">
      <w:pPr>
        <w:tabs>
          <w:tab w:val="left" w:pos="851"/>
        </w:tabs>
        <w:ind w:left="851"/>
        <w:rPr>
          <w:sz w:val="24"/>
          <w:szCs w:val="24"/>
        </w:rPr>
      </w:pPr>
      <w:r w:rsidRPr="0039744C">
        <w:rPr>
          <w:sz w:val="24"/>
          <w:szCs w:val="24"/>
        </w:rPr>
        <w:t xml:space="preserve">Der findes ingen kendt </w:t>
      </w:r>
      <w:proofErr w:type="spellStart"/>
      <w:r w:rsidRPr="0039744C">
        <w:rPr>
          <w:sz w:val="24"/>
          <w:szCs w:val="24"/>
        </w:rPr>
        <w:t>antidot</w:t>
      </w:r>
      <w:proofErr w:type="spellEnd"/>
      <w:r w:rsidRPr="0039744C">
        <w:rPr>
          <w:sz w:val="24"/>
          <w:szCs w:val="24"/>
        </w:rPr>
        <w:t xml:space="preserve"> mod </w:t>
      </w:r>
      <w:proofErr w:type="spellStart"/>
      <w:r w:rsidRPr="0039744C">
        <w:rPr>
          <w:sz w:val="24"/>
          <w:szCs w:val="24"/>
        </w:rPr>
        <w:t>vinorelbin</w:t>
      </w:r>
      <w:proofErr w:type="spellEnd"/>
      <w:r w:rsidRPr="0039744C">
        <w:rPr>
          <w:sz w:val="24"/>
          <w:szCs w:val="24"/>
        </w:rPr>
        <w:t>.</w:t>
      </w:r>
    </w:p>
    <w:p w14:paraId="5DEDE441" w14:textId="77777777" w:rsidR="009260DE" w:rsidRPr="00C84483" w:rsidRDefault="009260DE" w:rsidP="009260DE">
      <w:pPr>
        <w:tabs>
          <w:tab w:val="left" w:pos="851"/>
        </w:tabs>
        <w:ind w:left="851"/>
        <w:rPr>
          <w:sz w:val="24"/>
          <w:szCs w:val="24"/>
        </w:rPr>
      </w:pPr>
    </w:p>
    <w:p w14:paraId="0A5A835C"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4D6E098F" w14:textId="4C1A5687" w:rsidR="009260DE" w:rsidRPr="00C84483" w:rsidRDefault="00FE171E" w:rsidP="009260DE">
      <w:pPr>
        <w:tabs>
          <w:tab w:val="left" w:pos="851"/>
        </w:tabs>
        <w:ind w:left="851"/>
        <w:rPr>
          <w:sz w:val="24"/>
          <w:szCs w:val="24"/>
        </w:rPr>
      </w:pPr>
      <w:r>
        <w:rPr>
          <w:sz w:val="24"/>
          <w:szCs w:val="24"/>
        </w:rPr>
        <w:t>B</w:t>
      </w:r>
    </w:p>
    <w:p w14:paraId="11718214" w14:textId="77777777" w:rsidR="009260DE" w:rsidRPr="00C84483" w:rsidRDefault="009260DE" w:rsidP="009260DE">
      <w:pPr>
        <w:tabs>
          <w:tab w:val="left" w:pos="851"/>
        </w:tabs>
        <w:ind w:left="851"/>
        <w:rPr>
          <w:sz w:val="24"/>
          <w:szCs w:val="24"/>
        </w:rPr>
      </w:pPr>
    </w:p>
    <w:p w14:paraId="4A97E58C" w14:textId="77777777" w:rsidR="009260DE" w:rsidRPr="00C84483" w:rsidRDefault="009260DE" w:rsidP="009260DE">
      <w:pPr>
        <w:tabs>
          <w:tab w:val="left" w:pos="851"/>
        </w:tabs>
        <w:ind w:left="851"/>
        <w:rPr>
          <w:sz w:val="24"/>
          <w:szCs w:val="24"/>
        </w:rPr>
      </w:pPr>
    </w:p>
    <w:p w14:paraId="404E131C"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E3FFE8E" w14:textId="77777777" w:rsidR="009260DE" w:rsidRPr="00C84483" w:rsidRDefault="009260DE" w:rsidP="009260DE">
      <w:pPr>
        <w:tabs>
          <w:tab w:val="left" w:pos="851"/>
        </w:tabs>
        <w:ind w:left="851"/>
        <w:rPr>
          <w:sz w:val="24"/>
          <w:szCs w:val="24"/>
        </w:rPr>
      </w:pPr>
    </w:p>
    <w:p w14:paraId="481537D8"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0C9D69B7" w14:textId="5EDC5C87" w:rsidR="00C629D9" w:rsidRPr="00C629D9" w:rsidRDefault="001B234C" w:rsidP="00C629D9">
      <w:pPr>
        <w:tabs>
          <w:tab w:val="left" w:pos="851"/>
        </w:tabs>
        <w:ind w:left="851"/>
        <w:rPr>
          <w:sz w:val="24"/>
          <w:szCs w:val="24"/>
          <w:lang w:bidi="da-DK"/>
        </w:rPr>
      </w:pPr>
      <w:proofErr w:type="spellStart"/>
      <w:r>
        <w:rPr>
          <w:sz w:val="24"/>
          <w:szCs w:val="24"/>
          <w:lang w:bidi="da-DK"/>
        </w:rPr>
        <w:t>Farmakoterapeutisk</w:t>
      </w:r>
      <w:proofErr w:type="spellEnd"/>
      <w:r>
        <w:rPr>
          <w:sz w:val="24"/>
          <w:szCs w:val="24"/>
          <w:lang w:bidi="da-DK"/>
        </w:rPr>
        <w:t xml:space="preserve"> klassifikation:</w:t>
      </w:r>
      <w:r w:rsidR="00C629D9" w:rsidRPr="00C629D9">
        <w:rPr>
          <w:sz w:val="24"/>
          <w:szCs w:val="24"/>
          <w:lang w:bidi="da-DK"/>
        </w:rPr>
        <w:t xml:space="preserve"> </w:t>
      </w:r>
      <w:proofErr w:type="spellStart"/>
      <w:r w:rsidR="00C629D9" w:rsidRPr="00C629D9">
        <w:rPr>
          <w:sz w:val="24"/>
          <w:szCs w:val="24"/>
          <w:lang w:bidi="da-DK"/>
        </w:rPr>
        <w:t>Antineoplastiske</w:t>
      </w:r>
      <w:proofErr w:type="spellEnd"/>
      <w:r w:rsidR="00C629D9" w:rsidRPr="00C629D9">
        <w:rPr>
          <w:sz w:val="24"/>
          <w:szCs w:val="24"/>
          <w:lang w:bidi="da-DK"/>
        </w:rPr>
        <w:t xml:space="preserve"> stoffer, vincaalkaloider og </w:t>
      </w:r>
      <w:proofErr w:type="spellStart"/>
      <w:r w:rsidR="00C629D9" w:rsidRPr="00C629D9">
        <w:rPr>
          <w:sz w:val="24"/>
          <w:szCs w:val="24"/>
          <w:lang w:bidi="da-DK"/>
        </w:rPr>
        <w:t>analoger</w:t>
      </w:r>
      <w:proofErr w:type="spellEnd"/>
      <w:r>
        <w:rPr>
          <w:sz w:val="24"/>
          <w:szCs w:val="24"/>
          <w:lang w:bidi="da-DK"/>
        </w:rPr>
        <w:t xml:space="preserve">, </w:t>
      </w:r>
      <w:proofErr w:type="spellStart"/>
      <w:r w:rsidRPr="00C629D9">
        <w:rPr>
          <w:sz w:val="24"/>
          <w:szCs w:val="24"/>
          <w:lang w:bidi="da-DK"/>
        </w:rPr>
        <w:t>ATC-kode</w:t>
      </w:r>
      <w:proofErr w:type="spellEnd"/>
      <w:r w:rsidRPr="00C629D9">
        <w:rPr>
          <w:sz w:val="24"/>
          <w:szCs w:val="24"/>
          <w:lang w:bidi="da-DK"/>
        </w:rPr>
        <w:t>: L01CA04</w:t>
      </w:r>
      <w:r>
        <w:rPr>
          <w:sz w:val="24"/>
          <w:szCs w:val="24"/>
          <w:lang w:bidi="da-DK"/>
        </w:rPr>
        <w:t>.</w:t>
      </w:r>
    </w:p>
    <w:p w14:paraId="0029B5C2" w14:textId="77777777" w:rsidR="00C629D9" w:rsidRPr="00C629D9" w:rsidRDefault="00C629D9" w:rsidP="00C629D9">
      <w:pPr>
        <w:tabs>
          <w:tab w:val="left" w:pos="851"/>
        </w:tabs>
        <w:ind w:left="851"/>
        <w:rPr>
          <w:sz w:val="24"/>
          <w:szCs w:val="24"/>
        </w:rPr>
      </w:pPr>
    </w:p>
    <w:p w14:paraId="5B2E8ED2" w14:textId="77777777" w:rsidR="00C629D9" w:rsidRPr="00C629D9" w:rsidRDefault="00C629D9" w:rsidP="00C629D9">
      <w:pPr>
        <w:tabs>
          <w:tab w:val="left" w:pos="851"/>
        </w:tabs>
        <w:ind w:left="851"/>
        <w:rPr>
          <w:sz w:val="24"/>
          <w:szCs w:val="24"/>
        </w:rPr>
      </w:pPr>
      <w:r w:rsidRPr="00C629D9">
        <w:rPr>
          <w:sz w:val="24"/>
          <w:szCs w:val="24"/>
          <w:u w:val="single"/>
        </w:rPr>
        <w:t>Virkningsmekanisme</w:t>
      </w:r>
    </w:p>
    <w:p w14:paraId="2429E2BD" w14:textId="77777777" w:rsidR="00C629D9" w:rsidRPr="00C629D9" w:rsidRDefault="00C629D9" w:rsidP="00C629D9">
      <w:pPr>
        <w:tabs>
          <w:tab w:val="left" w:pos="851"/>
        </w:tabs>
        <w:ind w:left="851"/>
        <w:rPr>
          <w:sz w:val="24"/>
          <w:szCs w:val="24"/>
        </w:rPr>
      </w:pPr>
      <w:proofErr w:type="spellStart"/>
      <w:r w:rsidRPr="00C629D9">
        <w:rPr>
          <w:sz w:val="24"/>
          <w:szCs w:val="24"/>
        </w:rPr>
        <w:t>Vinorelbin</w:t>
      </w:r>
      <w:proofErr w:type="spellEnd"/>
      <w:r w:rsidRPr="00C629D9">
        <w:rPr>
          <w:sz w:val="24"/>
          <w:szCs w:val="24"/>
        </w:rPr>
        <w:t xml:space="preserve"> er et </w:t>
      </w:r>
      <w:proofErr w:type="spellStart"/>
      <w:r w:rsidRPr="00C629D9">
        <w:rPr>
          <w:sz w:val="24"/>
          <w:szCs w:val="24"/>
        </w:rPr>
        <w:t>antineoplastisk</w:t>
      </w:r>
      <w:proofErr w:type="spellEnd"/>
      <w:r w:rsidRPr="00C629D9">
        <w:rPr>
          <w:sz w:val="24"/>
          <w:szCs w:val="24"/>
        </w:rPr>
        <w:t xml:space="preserve"> </w:t>
      </w:r>
      <w:proofErr w:type="spellStart"/>
      <w:r w:rsidRPr="00C629D9">
        <w:rPr>
          <w:sz w:val="24"/>
          <w:szCs w:val="24"/>
        </w:rPr>
        <w:t>cytostatikum</w:t>
      </w:r>
      <w:proofErr w:type="spellEnd"/>
      <w:r w:rsidRPr="00C629D9">
        <w:rPr>
          <w:sz w:val="24"/>
          <w:szCs w:val="24"/>
        </w:rPr>
        <w:t xml:space="preserve"> af vincaalkaloid-familien, men til forskel fra alle andre vincaalkaloider har </w:t>
      </w:r>
      <w:proofErr w:type="spellStart"/>
      <w:r w:rsidRPr="00C629D9">
        <w:rPr>
          <w:sz w:val="24"/>
          <w:szCs w:val="24"/>
        </w:rPr>
        <w:t>vinorelbin</w:t>
      </w:r>
      <w:proofErr w:type="spellEnd"/>
      <w:r w:rsidRPr="00C629D9">
        <w:rPr>
          <w:sz w:val="24"/>
          <w:szCs w:val="24"/>
        </w:rPr>
        <w:t xml:space="preserve"> undergået en strukturel ændring af </w:t>
      </w:r>
      <w:proofErr w:type="spellStart"/>
      <w:r w:rsidRPr="00C629D9">
        <w:rPr>
          <w:sz w:val="24"/>
          <w:szCs w:val="24"/>
        </w:rPr>
        <w:t>catharantusdelen</w:t>
      </w:r>
      <w:proofErr w:type="spellEnd"/>
      <w:r w:rsidRPr="00C629D9">
        <w:rPr>
          <w:sz w:val="24"/>
          <w:szCs w:val="24"/>
        </w:rPr>
        <w:t xml:space="preserve">. På det molekylære plan indvirker det på cellens </w:t>
      </w:r>
      <w:proofErr w:type="spellStart"/>
      <w:r w:rsidRPr="00C629D9">
        <w:rPr>
          <w:sz w:val="24"/>
          <w:szCs w:val="24"/>
        </w:rPr>
        <w:t>mikrotubulære</w:t>
      </w:r>
      <w:proofErr w:type="spellEnd"/>
      <w:r w:rsidRPr="00C629D9">
        <w:rPr>
          <w:sz w:val="24"/>
          <w:szCs w:val="24"/>
        </w:rPr>
        <w:t xml:space="preserve"> system. Det hæmmer polymeriseringen af </w:t>
      </w:r>
      <w:proofErr w:type="spellStart"/>
      <w:r w:rsidRPr="00C629D9">
        <w:rPr>
          <w:sz w:val="24"/>
          <w:szCs w:val="24"/>
        </w:rPr>
        <w:t>tubuli</w:t>
      </w:r>
      <w:proofErr w:type="spellEnd"/>
      <w:r w:rsidRPr="00C629D9">
        <w:rPr>
          <w:sz w:val="24"/>
          <w:szCs w:val="24"/>
        </w:rPr>
        <w:t xml:space="preserve"> og binder sig fortrinsvis til </w:t>
      </w:r>
      <w:proofErr w:type="spellStart"/>
      <w:r w:rsidRPr="00C629D9">
        <w:rPr>
          <w:sz w:val="24"/>
          <w:szCs w:val="24"/>
        </w:rPr>
        <w:t>miotiske</w:t>
      </w:r>
      <w:proofErr w:type="spellEnd"/>
      <w:r w:rsidRPr="00C629D9">
        <w:rPr>
          <w:sz w:val="24"/>
          <w:szCs w:val="24"/>
        </w:rPr>
        <w:t xml:space="preserve"> </w:t>
      </w:r>
      <w:proofErr w:type="spellStart"/>
      <w:r w:rsidRPr="00C629D9">
        <w:rPr>
          <w:sz w:val="24"/>
          <w:szCs w:val="24"/>
        </w:rPr>
        <w:t>mikrotubuli</w:t>
      </w:r>
      <w:proofErr w:type="spellEnd"/>
      <w:r w:rsidRPr="00C629D9">
        <w:rPr>
          <w:sz w:val="24"/>
          <w:szCs w:val="24"/>
        </w:rPr>
        <w:t xml:space="preserve">, hvor det kun påvirker </w:t>
      </w:r>
      <w:proofErr w:type="spellStart"/>
      <w:r w:rsidRPr="00C629D9">
        <w:rPr>
          <w:sz w:val="24"/>
          <w:szCs w:val="24"/>
        </w:rPr>
        <w:t>aksonale</w:t>
      </w:r>
      <w:proofErr w:type="spellEnd"/>
      <w:r w:rsidRPr="00C629D9">
        <w:rPr>
          <w:sz w:val="24"/>
          <w:szCs w:val="24"/>
        </w:rPr>
        <w:t xml:space="preserve"> </w:t>
      </w:r>
      <w:proofErr w:type="spellStart"/>
      <w:r w:rsidRPr="00C629D9">
        <w:rPr>
          <w:sz w:val="24"/>
          <w:szCs w:val="24"/>
        </w:rPr>
        <w:t>mikrotubuli</w:t>
      </w:r>
      <w:proofErr w:type="spellEnd"/>
      <w:r w:rsidRPr="00C629D9">
        <w:rPr>
          <w:sz w:val="24"/>
          <w:szCs w:val="24"/>
        </w:rPr>
        <w:t xml:space="preserve"> i høje koncentrationer. </w:t>
      </w:r>
      <w:proofErr w:type="spellStart"/>
      <w:r w:rsidRPr="00C629D9">
        <w:rPr>
          <w:sz w:val="24"/>
          <w:szCs w:val="24"/>
        </w:rPr>
        <w:t>Vinorelbins</w:t>
      </w:r>
      <w:proofErr w:type="spellEnd"/>
      <w:r w:rsidRPr="00C629D9">
        <w:rPr>
          <w:sz w:val="24"/>
          <w:szCs w:val="24"/>
        </w:rPr>
        <w:t xml:space="preserve"> </w:t>
      </w:r>
      <w:proofErr w:type="spellStart"/>
      <w:r w:rsidRPr="00C629D9">
        <w:rPr>
          <w:sz w:val="24"/>
          <w:szCs w:val="24"/>
        </w:rPr>
        <w:t>spiraliserende</w:t>
      </w:r>
      <w:proofErr w:type="spellEnd"/>
      <w:r w:rsidRPr="00C629D9">
        <w:rPr>
          <w:sz w:val="24"/>
          <w:szCs w:val="24"/>
        </w:rPr>
        <w:t xml:space="preserve"> virkning af </w:t>
      </w:r>
      <w:proofErr w:type="spellStart"/>
      <w:r w:rsidRPr="00C629D9">
        <w:rPr>
          <w:sz w:val="24"/>
          <w:szCs w:val="24"/>
        </w:rPr>
        <w:t>tubuli</w:t>
      </w:r>
      <w:proofErr w:type="spellEnd"/>
      <w:r w:rsidRPr="00C629D9">
        <w:rPr>
          <w:sz w:val="24"/>
          <w:szCs w:val="24"/>
        </w:rPr>
        <w:t xml:space="preserve"> er mindre end med </w:t>
      </w:r>
      <w:proofErr w:type="spellStart"/>
      <w:r w:rsidRPr="00C629D9">
        <w:rPr>
          <w:sz w:val="24"/>
          <w:szCs w:val="24"/>
        </w:rPr>
        <w:t>vinkristin</w:t>
      </w:r>
      <w:proofErr w:type="spellEnd"/>
      <w:r w:rsidRPr="00C629D9">
        <w:rPr>
          <w:sz w:val="24"/>
          <w:szCs w:val="24"/>
        </w:rPr>
        <w:t>.</w:t>
      </w:r>
    </w:p>
    <w:p w14:paraId="75EC235B" w14:textId="77777777" w:rsidR="00C629D9" w:rsidRPr="00C629D9" w:rsidRDefault="00C629D9" w:rsidP="00C629D9">
      <w:pPr>
        <w:tabs>
          <w:tab w:val="left" w:pos="851"/>
        </w:tabs>
        <w:ind w:left="851"/>
        <w:rPr>
          <w:sz w:val="24"/>
          <w:szCs w:val="24"/>
        </w:rPr>
      </w:pPr>
    </w:p>
    <w:p w14:paraId="7F154AD2" w14:textId="77777777" w:rsidR="00C629D9" w:rsidRPr="00C629D9" w:rsidRDefault="00C629D9" w:rsidP="00C629D9">
      <w:pPr>
        <w:tabs>
          <w:tab w:val="left" w:pos="851"/>
        </w:tabs>
        <w:ind w:left="851"/>
        <w:rPr>
          <w:sz w:val="24"/>
          <w:szCs w:val="24"/>
        </w:rPr>
      </w:pPr>
      <w:proofErr w:type="spellStart"/>
      <w:r w:rsidRPr="00C629D9">
        <w:rPr>
          <w:sz w:val="24"/>
          <w:szCs w:val="24"/>
        </w:rPr>
        <w:t>Vinorelbin</w:t>
      </w:r>
      <w:proofErr w:type="spellEnd"/>
      <w:r w:rsidRPr="00C629D9">
        <w:rPr>
          <w:sz w:val="24"/>
          <w:szCs w:val="24"/>
        </w:rPr>
        <w:t xml:space="preserve"> blokerer mitose ved G2-M, hvorved det fremkalder </w:t>
      </w:r>
      <w:proofErr w:type="spellStart"/>
      <w:r w:rsidRPr="00C629D9">
        <w:rPr>
          <w:sz w:val="24"/>
          <w:szCs w:val="24"/>
        </w:rPr>
        <w:t>celledød</w:t>
      </w:r>
      <w:proofErr w:type="spellEnd"/>
      <w:r w:rsidRPr="00C629D9">
        <w:rPr>
          <w:sz w:val="24"/>
          <w:szCs w:val="24"/>
        </w:rPr>
        <w:t xml:space="preserve"> i mellemfasen eller ved den efterfølgende mitose.</w:t>
      </w:r>
    </w:p>
    <w:p w14:paraId="6EE468BA" w14:textId="77777777" w:rsidR="00C629D9" w:rsidRPr="00C629D9" w:rsidRDefault="00C629D9" w:rsidP="00C629D9">
      <w:pPr>
        <w:tabs>
          <w:tab w:val="left" w:pos="851"/>
        </w:tabs>
        <w:ind w:left="851"/>
        <w:rPr>
          <w:sz w:val="24"/>
          <w:szCs w:val="24"/>
          <w:u w:val="single"/>
        </w:rPr>
      </w:pPr>
    </w:p>
    <w:p w14:paraId="4B928CF3" w14:textId="77777777" w:rsidR="00C629D9" w:rsidRPr="00C629D9" w:rsidRDefault="00C629D9" w:rsidP="00C629D9">
      <w:pPr>
        <w:tabs>
          <w:tab w:val="left" w:pos="851"/>
        </w:tabs>
        <w:ind w:left="851"/>
        <w:rPr>
          <w:sz w:val="24"/>
          <w:szCs w:val="24"/>
          <w:u w:val="single"/>
        </w:rPr>
      </w:pPr>
      <w:r w:rsidRPr="00C629D9">
        <w:rPr>
          <w:sz w:val="24"/>
          <w:szCs w:val="24"/>
          <w:u w:val="single"/>
        </w:rPr>
        <w:t>Pædiatrisk population</w:t>
      </w:r>
    </w:p>
    <w:p w14:paraId="503616F9" w14:textId="77777777" w:rsidR="00C629D9" w:rsidRPr="00C629D9" w:rsidRDefault="00C629D9" w:rsidP="00C629D9">
      <w:pPr>
        <w:tabs>
          <w:tab w:val="left" w:pos="851"/>
        </w:tabs>
        <w:ind w:left="851"/>
        <w:rPr>
          <w:sz w:val="24"/>
          <w:szCs w:val="24"/>
        </w:rPr>
      </w:pPr>
      <w:proofErr w:type="spellStart"/>
      <w:r w:rsidRPr="00C629D9">
        <w:rPr>
          <w:sz w:val="24"/>
          <w:szCs w:val="24"/>
        </w:rPr>
        <w:t>Vinorelbins</w:t>
      </w:r>
      <w:proofErr w:type="spellEnd"/>
      <w:r w:rsidRPr="00C629D9">
        <w:rPr>
          <w:sz w:val="24"/>
          <w:szCs w:val="24"/>
        </w:rPr>
        <w:t xml:space="preserve"> sikkerhed og virkning hos børn er ikke fastlagt. Kliniske data fra to fase II-forsøg, der anvendte intravenøs </w:t>
      </w:r>
      <w:proofErr w:type="spellStart"/>
      <w:r w:rsidRPr="00C629D9">
        <w:rPr>
          <w:sz w:val="24"/>
          <w:szCs w:val="24"/>
        </w:rPr>
        <w:t>vinorelbin</w:t>
      </w:r>
      <w:proofErr w:type="spellEnd"/>
      <w:r w:rsidRPr="00C629D9">
        <w:rPr>
          <w:sz w:val="24"/>
          <w:szCs w:val="24"/>
        </w:rPr>
        <w:t xml:space="preserve"> til 33 og 46 børn med recidiverende massive tumorer, herunder </w:t>
      </w:r>
      <w:proofErr w:type="spellStart"/>
      <w:r w:rsidRPr="00C629D9">
        <w:rPr>
          <w:sz w:val="24"/>
          <w:szCs w:val="24"/>
        </w:rPr>
        <w:t>rhabdomyosarkom</w:t>
      </w:r>
      <w:proofErr w:type="spellEnd"/>
      <w:r w:rsidRPr="00C629D9">
        <w:rPr>
          <w:sz w:val="24"/>
          <w:szCs w:val="24"/>
        </w:rPr>
        <w:t xml:space="preserve">, andre sarkomer i blødt væv, </w:t>
      </w:r>
      <w:proofErr w:type="spellStart"/>
      <w:r w:rsidRPr="00C629D9">
        <w:rPr>
          <w:sz w:val="24"/>
          <w:szCs w:val="24"/>
        </w:rPr>
        <w:t>Ewings</w:t>
      </w:r>
      <w:proofErr w:type="spellEnd"/>
      <w:r w:rsidRPr="00C629D9">
        <w:rPr>
          <w:sz w:val="24"/>
          <w:szCs w:val="24"/>
        </w:rPr>
        <w:t xml:space="preserve"> sarkom, </w:t>
      </w:r>
      <w:proofErr w:type="spellStart"/>
      <w:r w:rsidRPr="00C629D9">
        <w:rPr>
          <w:sz w:val="24"/>
          <w:szCs w:val="24"/>
        </w:rPr>
        <w:t>liposarkom</w:t>
      </w:r>
      <w:proofErr w:type="spellEnd"/>
      <w:r w:rsidRPr="00C629D9">
        <w:rPr>
          <w:sz w:val="24"/>
          <w:szCs w:val="24"/>
        </w:rPr>
        <w:t xml:space="preserve">, </w:t>
      </w:r>
      <w:proofErr w:type="spellStart"/>
      <w:r w:rsidRPr="00C629D9">
        <w:rPr>
          <w:sz w:val="24"/>
          <w:szCs w:val="24"/>
        </w:rPr>
        <w:t>synovialsarkom</w:t>
      </w:r>
      <w:proofErr w:type="spellEnd"/>
      <w:r w:rsidRPr="00C629D9">
        <w:rPr>
          <w:sz w:val="24"/>
          <w:szCs w:val="24"/>
        </w:rPr>
        <w:t xml:space="preserve">, </w:t>
      </w:r>
      <w:proofErr w:type="spellStart"/>
      <w:r w:rsidRPr="00C629D9">
        <w:rPr>
          <w:sz w:val="24"/>
          <w:szCs w:val="24"/>
        </w:rPr>
        <w:t>fibrosarkom</w:t>
      </w:r>
      <w:proofErr w:type="spellEnd"/>
      <w:r w:rsidRPr="00C629D9">
        <w:rPr>
          <w:sz w:val="24"/>
          <w:szCs w:val="24"/>
        </w:rPr>
        <w:t xml:space="preserve">, cancer i centralnervesystemet, osteosarkom, </w:t>
      </w:r>
      <w:proofErr w:type="spellStart"/>
      <w:r w:rsidRPr="00C629D9">
        <w:rPr>
          <w:sz w:val="24"/>
          <w:szCs w:val="24"/>
        </w:rPr>
        <w:t>neuroblastom</w:t>
      </w:r>
      <w:proofErr w:type="spellEnd"/>
      <w:r w:rsidRPr="00C629D9">
        <w:rPr>
          <w:sz w:val="24"/>
          <w:szCs w:val="24"/>
        </w:rPr>
        <w:t xml:space="preserve"> ved doser på 30-33,75 mg/m</w:t>
      </w:r>
      <w:r w:rsidRPr="00C629D9">
        <w:rPr>
          <w:sz w:val="24"/>
          <w:szCs w:val="24"/>
          <w:vertAlign w:val="superscript"/>
        </w:rPr>
        <w:t>2</w:t>
      </w:r>
      <w:r w:rsidRPr="00C629D9">
        <w:rPr>
          <w:sz w:val="24"/>
          <w:szCs w:val="24"/>
        </w:rPr>
        <w:t xml:space="preserve"> D1 og D8 hver 3. uge eller én gang om ugen i 6 uger hver 8. uge viste ingen betydningsfuld klinisk aktivitet. Toksicitetsprofilen svarede til den, der er rapporteret hos voksne patienter (se pkt. 4.2).</w:t>
      </w:r>
    </w:p>
    <w:p w14:paraId="7EA891E2" w14:textId="77777777" w:rsidR="009260DE" w:rsidRPr="00C84483" w:rsidRDefault="009260DE" w:rsidP="009260DE">
      <w:pPr>
        <w:tabs>
          <w:tab w:val="left" w:pos="851"/>
        </w:tabs>
        <w:ind w:left="851"/>
        <w:rPr>
          <w:sz w:val="24"/>
          <w:szCs w:val="24"/>
        </w:rPr>
      </w:pPr>
    </w:p>
    <w:p w14:paraId="23F17820"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4EC176A0" w14:textId="77777777" w:rsidR="00C629D9" w:rsidRPr="00C629D9" w:rsidRDefault="00C629D9" w:rsidP="00C629D9">
      <w:pPr>
        <w:tabs>
          <w:tab w:val="left" w:pos="851"/>
        </w:tabs>
        <w:ind w:left="851"/>
        <w:rPr>
          <w:sz w:val="24"/>
          <w:szCs w:val="24"/>
          <w:u w:val="single"/>
        </w:rPr>
      </w:pPr>
      <w:proofErr w:type="spellStart"/>
      <w:r w:rsidRPr="00C629D9">
        <w:rPr>
          <w:sz w:val="24"/>
          <w:szCs w:val="24"/>
        </w:rPr>
        <w:t>Vinorelbins</w:t>
      </w:r>
      <w:proofErr w:type="spellEnd"/>
      <w:r w:rsidRPr="00C629D9">
        <w:rPr>
          <w:sz w:val="24"/>
          <w:szCs w:val="24"/>
        </w:rPr>
        <w:t xml:space="preserve"> </w:t>
      </w:r>
      <w:proofErr w:type="spellStart"/>
      <w:r w:rsidRPr="00C629D9">
        <w:rPr>
          <w:sz w:val="24"/>
          <w:szCs w:val="24"/>
        </w:rPr>
        <w:t>farmakokinetiske</w:t>
      </w:r>
      <w:proofErr w:type="spellEnd"/>
      <w:r w:rsidRPr="00C629D9">
        <w:rPr>
          <w:sz w:val="24"/>
          <w:szCs w:val="24"/>
        </w:rPr>
        <w:t xml:space="preserve"> egenskaber er blevet evalueret i blod.</w:t>
      </w:r>
    </w:p>
    <w:p w14:paraId="6EF0AE11" w14:textId="77777777" w:rsidR="00C629D9" w:rsidRPr="00C629D9" w:rsidRDefault="00C629D9" w:rsidP="00C629D9">
      <w:pPr>
        <w:tabs>
          <w:tab w:val="left" w:pos="851"/>
        </w:tabs>
        <w:ind w:left="851"/>
        <w:rPr>
          <w:sz w:val="24"/>
          <w:szCs w:val="24"/>
          <w:u w:val="single"/>
        </w:rPr>
      </w:pPr>
    </w:p>
    <w:p w14:paraId="2252A921" w14:textId="77777777" w:rsidR="00C629D9" w:rsidRPr="00C629D9" w:rsidRDefault="00C629D9" w:rsidP="00C629D9">
      <w:pPr>
        <w:tabs>
          <w:tab w:val="left" w:pos="851"/>
        </w:tabs>
        <w:ind w:left="851"/>
        <w:rPr>
          <w:sz w:val="24"/>
          <w:szCs w:val="24"/>
          <w:u w:val="single"/>
        </w:rPr>
      </w:pPr>
      <w:r w:rsidRPr="00C629D9">
        <w:rPr>
          <w:sz w:val="24"/>
          <w:szCs w:val="24"/>
          <w:u w:val="single"/>
        </w:rPr>
        <w:t>Absorption</w:t>
      </w:r>
    </w:p>
    <w:p w14:paraId="582F20A4" w14:textId="77777777" w:rsidR="00C629D9" w:rsidRPr="00C629D9" w:rsidRDefault="00C629D9" w:rsidP="00C629D9">
      <w:pPr>
        <w:tabs>
          <w:tab w:val="left" w:pos="851"/>
        </w:tabs>
        <w:ind w:left="851"/>
        <w:rPr>
          <w:sz w:val="24"/>
          <w:szCs w:val="24"/>
        </w:rPr>
      </w:pPr>
      <w:r w:rsidRPr="00C629D9">
        <w:rPr>
          <w:sz w:val="24"/>
          <w:szCs w:val="24"/>
        </w:rPr>
        <w:t xml:space="preserve">Efter peroral administration absorberes </w:t>
      </w:r>
      <w:proofErr w:type="spellStart"/>
      <w:r w:rsidRPr="00C629D9">
        <w:rPr>
          <w:sz w:val="24"/>
          <w:szCs w:val="24"/>
        </w:rPr>
        <w:t>vinorelbin</w:t>
      </w:r>
      <w:proofErr w:type="spellEnd"/>
      <w:r w:rsidRPr="00C629D9">
        <w:rPr>
          <w:sz w:val="24"/>
          <w:szCs w:val="24"/>
        </w:rPr>
        <w:t xml:space="preserve"> hurtigt, og </w:t>
      </w:r>
      <w:proofErr w:type="spellStart"/>
      <w:r w:rsidRPr="00C629D9">
        <w:rPr>
          <w:sz w:val="24"/>
          <w:szCs w:val="24"/>
        </w:rPr>
        <w:t>T</w:t>
      </w:r>
      <w:r w:rsidRPr="00C629D9">
        <w:rPr>
          <w:sz w:val="24"/>
          <w:szCs w:val="24"/>
          <w:vertAlign w:val="subscript"/>
        </w:rPr>
        <w:t>max</w:t>
      </w:r>
      <w:proofErr w:type="spellEnd"/>
      <w:r w:rsidRPr="00C629D9">
        <w:rPr>
          <w:sz w:val="24"/>
          <w:szCs w:val="24"/>
          <w:vertAlign w:val="subscript"/>
        </w:rPr>
        <w:t xml:space="preserve"> </w:t>
      </w:r>
      <w:r w:rsidRPr="00C629D9">
        <w:rPr>
          <w:sz w:val="24"/>
          <w:szCs w:val="24"/>
        </w:rPr>
        <w:t>nås efter 1,5-3 timer med maksimal blodkoncentration (</w:t>
      </w:r>
      <w:proofErr w:type="spellStart"/>
      <w:r w:rsidRPr="00C629D9">
        <w:rPr>
          <w:sz w:val="24"/>
          <w:szCs w:val="24"/>
        </w:rPr>
        <w:t>C</w:t>
      </w:r>
      <w:r w:rsidRPr="00C629D9">
        <w:rPr>
          <w:sz w:val="24"/>
          <w:szCs w:val="24"/>
          <w:vertAlign w:val="subscript"/>
        </w:rPr>
        <w:t>max</w:t>
      </w:r>
      <w:proofErr w:type="spellEnd"/>
      <w:r w:rsidRPr="00C629D9">
        <w:rPr>
          <w:sz w:val="24"/>
          <w:szCs w:val="24"/>
        </w:rPr>
        <w:t>) på ca. 130 </w:t>
      </w:r>
      <w:proofErr w:type="spellStart"/>
      <w:r w:rsidRPr="00C629D9">
        <w:rPr>
          <w:sz w:val="24"/>
          <w:szCs w:val="24"/>
        </w:rPr>
        <w:t>ng</w:t>
      </w:r>
      <w:proofErr w:type="spellEnd"/>
      <w:r w:rsidRPr="00C629D9">
        <w:rPr>
          <w:sz w:val="24"/>
          <w:szCs w:val="24"/>
        </w:rPr>
        <w:t xml:space="preserve">/ml efter administration af 80 mg/m². </w:t>
      </w:r>
    </w:p>
    <w:p w14:paraId="230422A0" w14:textId="77777777" w:rsidR="00C629D9" w:rsidRPr="00C629D9" w:rsidRDefault="00C629D9" w:rsidP="00C629D9">
      <w:pPr>
        <w:tabs>
          <w:tab w:val="left" w:pos="851"/>
        </w:tabs>
        <w:ind w:left="851"/>
        <w:rPr>
          <w:sz w:val="24"/>
          <w:szCs w:val="24"/>
        </w:rPr>
      </w:pPr>
      <w:r w:rsidRPr="00C629D9">
        <w:rPr>
          <w:sz w:val="24"/>
          <w:szCs w:val="24"/>
        </w:rPr>
        <w:t xml:space="preserve">Absolut biotilgængelighed er ca. 40 %, og samtidig indtagelse af føde ændrer ikke eksponering for </w:t>
      </w:r>
      <w:proofErr w:type="spellStart"/>
      <w:r w:rsidRPr="00C629D9">
        <w:rPr>
          <w:sz w:val="24"/>
          <w:szCs w:val="24"/>
        </w:rPr>
        <w:t>vinorelbin</w:t>
      </w:r>
      <w:proofErr w:type="spellEnd"/>
      <w:r w:rsidRPr="00C629D9">
        <w:rPr>
          <w:sz w:val="24"/>
          <w:szCs w:val="24"/>
        </w:rPr>
        <w:t>.</w:t>
      </w:r>
    </w:p>
    <w:p w14:paraId="70B10EF1" w14:textId="77777777" w:rsidR="00C629D9" w:rsidRPr="00C629D9" w:rsidRDefault="00C629D9" w:rsidP="00C629D9">
      <w:pPr>
        <w:tabs>
          <w:tab w:val="left" w:pos="851"/>
        </w:tabs>
        <w:ind w:left="851"/>
        <w:rPr>
          <w:sz w:val="24"/>
          <w:szCs w:val="24"/>
        </w:rPr>
      </w:pPr>
    </w:p>
    <w:p w14:paraId="539723F1" w14:textId="77777777" w:rsidR="00C629D9" w:rsidRPr="00C629D9" w:rsidRDefault="00C629D9" w:rsidP="00C629D9">
      <w:pPr>
        <w:tabs>
          <w:tab w:val="left" w:pos="851"/>
        </w:tabs>
        <w:ind w:left="851"/>
        <w:rPr>
          <w:sz w:val="24"/>
          <w:szCs w:val="24"/>
        </w:rPr>
      </w:pPr>
      <w:r w:rsidRPr="00C629D9">
        <w:rPr>
          <w:sz w:val="24"/>
          <w:szCs w:val="24"/>
        </w:rPr>
        <w:lastRenderedPageBreak/>
        <w:t xml:space="preserve">Perorale doser </w:t>
      </w:r>
      <w:proofErr w:type="spellStart"/>
      <w:r w:rsidRPr="00C629D9">
        <w:rPr>
          <w:sz w:val="24"/>
          <w:szCs w:val="24"/>
        </w:rPr>
        <w:t>vinorelbin</w:t>
      </w:r>
      <w:proofErr w:type="spellEnd"/>
      <w:r w:rsidRPr="00C629D9">
        <w:rPr>
          <w:sz w:val="24"/>
          <w:szCs w:val="24"/>
        </w:rPr>
        <w:t xml:space="preserve"> på 60 og 80 mg/m</w:t>
      </w:r>
      <w:r w:rsidRPr="00C629D9">
        <w:rPr>
          <w:sz w:val="24"/>
          <w:szCs w:val="24"/>
          <w:vertAlign w:val="superscript"/>
        </w:rPr>
        <w:t>2</w:t>
      </w:r>
      <w:r w:rsidRPr="00C629D9">
        <w:rPr>
          <w:sz w:val="24"/>
          <w:szCs w:val="24"/>
        </w:rPr>
        <w:t xml:space="preserve"> medfører blodeksponering, der er sammenlignelig med niveauet efter intravenøs administration af henholdsvis 25 og 30 mg/m</w:t>
      </w:r>
      <w:r w:rsidRPr="00C629D9">
        <w:rPr>
          <w:sz w:val="24"/>
          <w:szCs w:val="24"/>
          <w:vertAlign w:val="superscript"/>
        </w:rPr>
        <w:t>2</w:t>
      </w:r>
      <w:r w:rsidRPr="00C629D9">
        <w:rPr>
          <w:sz w:val="24"/>
          <w:szCs w:val="24"/>
        </w:rPr>
        <w:t xml:space="preserve"> </w:t>
      </w:r>
      <w:proofErr w:type="spellStart"/>
      <w:r w:rsidRPr="00C629D9">
        <w:rPr>
          <w:sz w:val="24"/>
          <w:szCs w:val="24"/>
        </w:rPr>
        <w:t>vinorelbin</w:t>
      </w:r>
      <w:proofErr w:type="spellEnd"/>
      <w:r w:rsidRPr="00C629D9">
        <w:rPr>
          <w:sz w:val="24"/>
          <w:szCs w:val="24"/>
        </w:rPr>
        <w:t>.</w:t>
      </w:r>
    </w:p>
    <w:p w14:paraId="684AC012" w14:textId="77777777" w:rsidR="00C629D9" w:rsidRPr="00C629D9" w:rsidRDefault="00C629D9" w:rsidP="00C629D9">
      <w:pPr>
        <w:tabs>
          <w:tab w:val="left" w:pos="851"/>
        </w:tabs>
        <w:ind w:left="851"/>
        <w:rPr>
          <w:sz w:val="24"/>
          <w:szCs w:val="24"/>
        </w:rPr>
      </w:pPr>
    </w:p>
    <w:p w14:paraId="16B7657B" w14:textId="77777777" w:rsidR="00C629D9" w:rsidRPr="00C629D9" w:rsidRDefault="00C629D9" w:rsidP="00C629D9">
      <w:pPr>
        <w:tabs>
          <w:tab w:val="left" w:pos="851"/>
        </w:tabs>
        <w:ind w:left="851"/>
        <w:rPr>
          <w:sz w:val="24"/>
          <w:szCs w:val="24"/>
        </w:rPr>
      </w:pPr>
      <w:proofErr w:type="spellStart"/>
      <w:r w:rsidRPr="00C629D9">
        <w:rPr>
          <w:sz w:val="24"/>
          <w:szCs w:val="24"/>
        </w:rPr>
        <w:t>Vinorelbins</w:t>
      </w:r>
      <w:proofErr w:type="spellEnd"/>
      <w:r w:rsidRPr="00C629D9">
        <w:rPr>
          <w:sz w:val="24"/>
          <w:szCs w:val="24"/>
        </w:rPr>
        <w:t xml:space="preserve"> blodeksponering stiger proportionalt med doser op til 100 mg/m</w:t>
      </w:r>
      <w:r w:rsidRPr="00C629D9">
        <w:rPr>
          <w:sz w:val="24"/>
          <w:szCs w:val="24"/>
          <w:vertAlign w:val="superscript"/>
        </w:rPr>
        <w:t>2</w:t>
      </w:r>
      <w:r w:rsidRPr="00C629D9">
        <w:rPr>
          <w:sz w:val="24"/>
          <w:szCs w:val="24"/>
        </w:rPr>
        <w:t xml:space="preserve">. Den </w:t>
      </w:r>
      <w:proofErr w:type="spellStart"/>
      <w:r w:rsidRPr="00C629D9">
        <w:rPr>
          <w:sz w:val="24"/>
          <w:szCs w:val="24"/>
        </w:rPr>
        <w:t>interindividuelle</w:t>
      </w:r>
      <w:proofErr w:type="spellEnd"/>
      <w:r w:rsidRPr="00C629D9">
        <w:rPr>
          <w:sz w:val="24"/>
          <w:szCs w:val="24"/>
        </w:rPr>
        <w:t xml:space="preserve"> variation efter eksponering er sammenlignelig for intravenøs og oral administration.</w:t>
      </w:r>
    </w:p>
    <w:p w14:paraId="14BCEB97" w14:textId="77777777" w:rsidR="00C629D9" w:rsidRPr="00C629D9" w:rsidRDefault="00C629D9" w:rsidP="00C629D9">
      <w:pPr>
        <w:tabs>
          <w:tab w:val="left" w:pos="851"/>
        </w:tabs>
        <w:ind w:left="851"/>
        <w:rPr>
          <w:sz w:val="24"/>
          <w:szCs w:val="24"/>
        </w:rPr>
      </w:pPr>
    </w:p>
    <w:p w14:paraId="2EA6B368" w14:textId="77777777" w:rsidR="00C629D9" w:rsidRPr="00C629D9" w:rsidRDefault="00C629D9" w:rsidP="00C629D9">
      <w:pPr>
        <w:tabs>
          <w:tab w:val="left" w:pos="851"/>
        </w:tabs>
        <w:ind w:left="851"/>
        <w:rPr>
          <w:sz w:val="24"/>
          <w:szCs w:val="24"/>
          <w:u w:val="single"/>
        </w:rPr>
      </w:pPr>
      <w:r w:rsidRPr="00C629D9">
        <w:rPr>
          <w:sz w:val="24"/>
          <w:szCs w:val="24"/>
          <w:u w:val="single"/>
        </w:rPr>
        <w:t>Fordeling</w:t>
      </w:r>
    </w:p>
    <w:p w14:paraId="4C3D756C" w14:textId="77777777" w:rsidR="00C629D9" w:rsidRPr="00C629D9" w:rsidRDefault="00C629D9" w:rsidP="00C629D9">
      <w:pPr>
        <w:tabs>
          <w:tab w:val="left" w:pos="851"/>
        </w:tabs>
        <w:ind w:left="851"/>
        <w:rPr>
          <w:sz w:val="24"/>
          <w:szCs w:val="24"/>
        </w:rPr>
      </w:pPr>
      <w:r w:rsidRPr="00C629D9">
        <w:rPr>
          <w:sz w:val="24"/>
          <w:szCs w:val="24"/>
        </w:rPr>
        <w:t xml:space="preserve">Fordelingsvolumen ved </w:t>
      </w:r>
      <w:proofErr w:type="spellStart"/>
      <w:r w:rsidRPr="00C629D9">
        <w:rPr>
          <w:i/>
          <w:iCs/>
          <w:sz w:val="24"/>
          <w:szCs w:val="24"/>
        </w:rPr>
        <w:t>steady</w:t>
      </w:r>
      <w:proofErr w:type="spellEnd"/>
      <w:r w:rsidRPr="00C629D9">
        <w:rPr>
          <w:i/>
          <w:iCs/>
          <w:sz w:val="24"/>
          <w:szCs w:val="24"/>
        </w:rPr>
        <w:t xml:space="preserve"> </w:t>
      </w:r>
      <w:proofErr w:type="spellStart"/>
      <w:r w:rsidRPr="00C629D9">
        <w:rPr>
          <w:i/>
          <w:iCs/>
          <w:sz w:val="24"/>
          <w:szCs w:val="24"/>
        </w:rPr>
        <w:t>state</w:t>
      </w:r>
      <w:proofErr w:type="spellEnd"/>
      <w:r w:rsidRPr="00C629D9">
        <w:rPr>
          <w:sz w:val="24"/>
          <w:szCs w:val="24"/>
        </w:rPr>
        <w:t xml:space="preserve"> er stort, i gennemsnit 21,21/kg (interval: 7,5-39,71/kg), hvilket tyder på udbredt fordeling i vævene.</w:t>
      </w:r>
    </w:p>
    <w:p w14:paraId="6CCE8580" w14:textId="77777777" w:rsidR="00C629D9" w:rsidRPr="00C629D9" w:rsidRDefault="00C629D9" w:rsidP="00C629D9">
      <w:pPr>
        <w:tabs>
          <w:tab w:val="left" w:pos="851"/>
        </w:tabs>
        <w:ind w:left="851"/>
        <w:rPr>
          <w:sz w:val="24"/>
          <w:szCs w:val="24"/>
        </w:rPr>
      </w:pPr>
      <w:proofErr w:type="spellStart"/>
      <w:r w:rsidRPr="00C629D9">
        <w:rPr>
          <w:sz w:val="24"/>
          <w:szCs w:val="24"/>
        </w:rPr>
        <w:t>Vinorelbin</w:t>
      </w:r>
      <w:proofErr w:type="spellEnd"/>
      <w:r w:rsidRPr="00C629D9">
        <w:rPr>
          <w:sz w:val="24"/>
          <w:szCs w:val="24"/>
        </w:rPr>
        <w:t xml:space="preserve"> bindes med lav affinitet til plasmaproteiner (13,5 %) og med høj affinitet til blodceller og især </w:t>
      </w:r>
      <w:proofErr w:type="spellStart"/>
      <w:r w:rsidRPr="00C629D9">
        <w:rPr>
          <w:sz w:val="24"/>
          <w:szCs w:val="24"/>
        </w:rPr>
        <w:t>trombocytter</w:t>
      </w:r>
      <w:proofErr w:type="spellEnd"/>
      <w:r w:rsidRPr="00C629D9">
        <w:rPr>
          <w:sz w:val="24"/>
          <w:szCs w:val="24"/>
        </w:rPr>
        <w:t xml:space="preserve"> (78 %).</w:t>
      </w:r>
    </w:p>
    <w:p w14:paraId="49E47476" w14:textId="77777777" w:rsidR="00C629D9" w:rsidRPr="00C629D9" w:rsidRDefault="00C629D9" w:rsidP="00C629D9">
      <w:pPr>
        <w:tabs>
          <w:tab w:val="left" w:pos="851"/>
        </w:tabs>
        <w:ind w:left="851"/>
        <w:rPr>
          <w:sz w:val="24"/>
          <w:szCs w:val="24"/>
        </w:rPr>
      </w:pPr>
    </w:p>
    <w:p w14:paraId="5C54C189" w14:textId="77777777" w:rsidR="00C629D9" w:rsidRPr="00C629D9" w:rsidRDefault="00C629D9" w:rsidP="00C629D9">
      <w:pPr>
        <w:tabs>
          <w:tab w:val="left" w:pos="851"/>
        </w:tabs>
        <w:ind w:left="851"/>
        <w:rPr>
          <w:sz w:val="24"/>
          <w:szCs w:val="24"/>
        </w:rPr>
      </w:pPr>
      <w:r w:rsidRPr="00C629D9">
        <w:rPr>
          <w:sz w:val="24"/>
          <w:szCs w:val="24"/>
        </w:rPr>
        <w:t xml:space="preserve">Der er en signifikant optagelse af </w:t>
      </w:r>
      <w:proofErr w:type="spellStart"/>
      <w:r w:rsidRPr="00C629D9">
        <w:rPr>
          <w:sz w:val="24"/>
          <w:szCs w:val="24"/>
        </w:rPr>
        <w:t>vinorelbin</w:t>
      </w:r>
      <w:proofErr w:type="spellEnd"/>
      <w:r w:rsidRPr="00C629D9">
        <w:rPr>
          <w:sz w:val="24"/>
          <w:szCs w:val="24"/>
        </w:rPr>
        <w:t xml:space="preserve"> i lungerne, som vurderet ved kirurgiske lungebiopsier, der viste op til 300 gange højere koncentrationer i forhold til i serum. Der er ikke fundet </w:t>
      </w:r>
      <w:proofErr w:type="spellStart"/>
      <w:r w:rsidRPr="00C629D9">
        <w:rPr>
          <w:sz w:val="24"/>
          <w:szCs w:val="24"/>
        </w:rPr>
        <w:t>vinorelbin</w:t>
      </w:r>
      <w:proofErr w:type="spellEnd"/>
      <w:r w:rsidRPr="00C629D9">
        <w:rPr>
          <w:sz w:val="24"/>
          <w:szCs w:val="24"/>
        </w:rPr>
        <w:t xml:space="preserve"> i centralnervesystemet.</w:t>
      </w:r>
    </w:p>
    <w:p w14:paraId="3A918979" w14:textId="77777777" w:rsidR="00C629D9" w:rsidRPr="00C629D9" w:rsidRDefault="00C629D9" w:rsidP="00C629D9">
      <w:pPr>
        <w:tabs>
          <w:tab w:val="left" w:pos="851"/>
        </w:tabs>
        <w:ind w:left="851"/>
        <w:rPr>
          <w:sz w:val="24"/>
          <w:szCs w:val="24"/>
        </w:rPr>
      </w:pPr>
    </w:p>
    <w:p w14:paraId="7C53C597" w14:textId="77777777" w:rsidR="00C629D9" w:rsidRPr="00C629D9" w:rsidRDefault="00C629D9" w:rsidP="00C629D9">
      <w:pPr>
        <w:tabs>
          <w:tab w:val="left" w:pos="851"/>
        </w:tabs>
        <w:ind w:left="851"/>
        <w:rPr>
          <w:sz w:val="24"/>
          <w:szCs w:val="24"/>
          <w:u w:val="single"/>
        </w:rPr>
      </w:pPr>
      <w:r w:rsidRPr="00C629D9">
        <w:rPr>
          <w:sz w:val="24"/>
          <w:szCs w:val="24"/>
          <w:u w:val="single"/>
        </w:rPr>
        <w:t>Biotransformation</w:t>
      </w:r>
    </w:p>
    <w:p w14:paraId="34D01B81" w14:textId="77777777" w:rsidR="00C629D9" w:rsidRPr="00C629D9" w:rsidRDefault="00C629D9" w:rsidP="00C629D9">
      <w:pPr>
        <w:tabs>
          <w:tab w:val="left" w:pos="851"/>
        </w:tabs>
        <w:ind w:left="851"/>
        <w:rPr>
          <w:sz w:val="24"/>
          <w:szCs w:val="24"/>
        </w:rPr>
      </w:pPr>
      <w:r w:rsidRPr="00C629D9">
        <w:rPr>
          <w:sz w:val="24"/>
          <w:szCs w:val="24"/>
        </w:rPr>
        <w:t xml:space="preserve">Alle </w:t>
      </w:r>
      <w:proofErr w:type="spellStart"/>
      <w:r w:rsidRPr="00C629D9">
        <w:rPr>
          <w:sz w:val="24"/>
          <w:szCs w:val="24"/>
        </w:rPr>
        <w:t>vinorelbins</w:t>
      </w:r>
      <w:proofErr w:type="spellEnd"/>
      <w:r w:rsidRPr="00C629D9">
        <w:rPr>
          <w:sz w:val="24"/>
          <w:szCs w:val="24"/>
        </w:rPr>
        <w:t xml:space="preserve"> metabolitter dannes af CYP3A4-isoformen af </w:t>
      </w:r>
      <w:proofErr w:type="spellStart"/>
      <w:r w:rsidRPr="00C629D9">
        <w:rPr>
          <w:sz w:val="24"/>
          <w:szCs w:val="24"/>
        </w:rPr>
        <w:t>cytochrom</w:t>
      </w:r>
      <w:proofErr w:type="spellEnd"/>
      <w:r w:rsidRPr="00C629D9">
        <w:rPr>
          <w:sz w:val="24"/>
          <w:szCs w:val="24"/>
        </w:rPr>
        <w:t xml:space="preserve"> P450, undtagen 4-O-deacetylvinorelbin, der sandsynligvis dannes af </w:t>
      </w:r>
      <w:proofErr w:type="spellStart"/>
      <w:r w:rsidRPr="00C629D9">
        <w:rPr>
          <w:sz w:val="24"/>
          <w:szCs w:val="24"/>
        </w:rPr>
        <w:t>carboxylesteraser</w:t>
      </w:r>
      <w:proofErr w:type="spellEnd"/>
      <w:r w:rsidRPr="00C629D9">
        <w:rPr>
          <w:sz w:val="24"/>
          <w:szCs w:val="24"/>
        </w:rPr>
        <w:t>. 4-O-deacetylvinorelbin er den eneste aktive metabolit og den vigtigste, der observeres i blodet.</w:t>
      </w:r>
    </w:p>
    <w:p w14:paraId="2EBC0233" w14:textId="77777777" w:rsidR="00C629D9" w:rsidRPr="00C629D9" w:rsidRDefault="00C629D9" w:rsidP="00C629D9">
      <w:pPr>
        <w:tabs>
          <w:tab w:val="left" w:pos="851"/>
        </w:tabs>
        <w:ind w:left="851"/>
        <w:rPr>
          <w:sz w:val="24"/>
          <w:szCs w:val="24"/>
        </w:rPr>
      </w:pPr>
      <w:r w:rsidRPr="00C629D9">
        <w:rPr>
          <w:sz w:val="24"/>
          <w:szCs w:val="24"/>
        </w:rPr>
        <w:t xml:space="preserve">Der er ikke observeret sulfat- eller </w:t>
      </w:r>
      <w:proofErr w:type="spellStart"/>
      <w:r w:rsidRPr="00C629D9">
        <w:rPr>
          <w:sz w:val="24"/>
          <w:szCs w:val="24"/>
        </w:rPr>
        <w:t>glucuronidkonjugater</w:t>
      </w:r>
      <w:proofErr w:type="spellEnd"/>
      <w:r w:rsidRPr="00C629D9">
        <w:rPr>
          <w:sz w:val="24"/>
          <w:szCs w:val="24"/>
        </w:rPr>
        <w:t>.</w:t>
      </w:r>
    </w:p>
    <w:p w14:paraId="7DAD2C4D" w14:textId="77777777" w:rsidR="00C629D9" w:rsidRPr="00C629D9" w:rsidRDefault="00C629D9" w:rsidP="00C629D9">
      <w:pPr>
        <w:tabs>
          <w:tab w:val="left" w:pos="851"/>
        </w:tabs>
        <w:ind w:left="851"/>
        <w:rPr>
          <w:sz w:val="24"/>
          <w:szCs w:val="24"/>
          <w:u w:val="single"/>
        </w:rPr>
      </w:pPr>
    </w:p>
    <w:p w14:paraId="778974A4" w14:textId="77777777" w:rsidR="00C629D9" w:rsidRPr="00C629D9" w:rsidRDefault="00C629D9" w:rsidP="00C629D9">
      <w:pPr>
        <w:tabs>
          <w:tab w:val="left" w:pos="851"/>
        </w:tabs>
        <w:ind w:left="851"/>
        <w:rPr>
          <w:sz w:val="24"/>
          <w:szCs w:val="24"/>
          <w:u w:val="single"/>
        </w:rPr>
      </w:pPr>
      <w:r w:rsidRPr="00C629D9">
        <w:rPr>
          <w:sz w:val="24"/>
          <w:szCs w:val="24"/>
          <w:u w:val="single"/>
        </w:rPr>
        <w:t>Elimination</w:t>
      </w:r>
    </w:p>
    <w:p w14:paraId="6F4C9C5B" w14:textId="77777777" w:rsidR="00C629D9" w:rsidRPr="00C629D9" w:rsidRDefault="00C629D9" w:rsidP="00C629D9">
      <w:pPr>
        <w:tabs>
          <w:tab w:val="left" w:pos="851"/>
        </w:tabs>
        <w:ind w:left="851"/>
        <w:rPr>
          <w:sz w:val="24"/>
          <w:szCs w:val="24"/>
        </w:rPr>
      </w:pPr>
      <w:proofErr w:type="spellStart"/>
      <w:r w:rsidRPr="00C629D9">
        <w:rPr>
          <w:sz w:val="24"/>
          <w:szCs w:val="24"/>
        </w:rPr>
        <w:t>Vinorelbins</w:t>
      </w:r>
      <w:proofErr w:type="spellEnd"/>
      <w:r w:rsidRPr="00C629D9">
        <w:rPr>
          <w:sz w:val="24"/>
          <w:szCs w:val="24"/>
        </w:rPr>
        <w:t xml:space="preserve"> gennemsnitlige terminale halveringstid er ca. 40 timer. </w:t>
      </w:r>
      <w:proofErr w:type="spellStart"/>
      <w:r w:rsidRPr="00C629D9">
        <w:rPr>
          <w:sz w:val="24"/>
          <w:szCs w:val="24"/>
        </w:rPr>
        <w:t>Blodclearance</w:t>
      </w:r>
      <w:proofErr w:type="spellEnd"/>
      <w:r w:rsidRPr="00C629D9">
        <w:rPr>
          <w:sz w:val="24"/>
          <w:szCs w:val="24"/>
        </w:rPr>
        <w:t xml:space="preserve"> er høj, den nærmer sig blodgennemstrømningen i leveren og er 0,72 l/time/kg (spændvidde: 0,32-1,26 l/time/kg).</w:t>
      </w:r>
    </w:p>
    <w:p w14:paraId="691734BC" w14:textId="77777777" w:rsidR="00C629D9" w:rsidRPr="00C629D9" w:rsidRDefault="00C629D9" w:rsidP="00C629D9">
      <w:pPr>
        <w:tabs>
          <w:tab w:val="left" w:pos="851"/>
        </w:tabs>
        <w:ind w:left="851"/>
        <w:rPr>
          <w:sz w:val="24"/>
          <w:szCs w:val="24"/>
        </w:rPr>
      </w:pPr>
    </w:p>
    <w:p w14:paraId="3A4EFCDE" w14:textId="77777777" w:rsidR="00C629D9" w:rsidRPr="00C629D9" w:rsidRDefault="00C629D9" w:rsidP="00C629D9">
      <w:pPr>
        <w:tabs>
          <w:tab w:val="left" w:pos="851"/>
        </w:tabs>
        <w:ind w:left="851"/>
        <w:rPr>
          <w:sz w:val="24"/>
          <w:szCs w:val="24"/>
        </w:rPr>
      </w:pPr>
      <w:r w:rsidRPr="00C629D9">
        <w:rPr>
          <w:sz w:val="24"/>
          <w:szCs w:val="24"/>
        </w:rPr>
        <w:t xml:space="preserve">Den </w:t>
      </w:r>
      <w:proofErr w:type="spellStart"/>
      <w:r w:rsidRPr="00C629D9">
        <w:rPr>
          <w:sz w:val="24"/>
          <w:szCs w:val="24"/>
        </w:rPr>
        <w:t>renale</w:t>
      </w:r>
      <w:proofErr w:type="spellEnd"/>
      <w:r w:rsidRPr="00C629D9">
        <w:rPr>
          <w:sz w:val="24"/>
          <w:szCs w:val="24"/>
        </w:rPr>
        <w:t xml:space="preserve"> eliminationen er lav (&lt;5 % af den administrerede dosis) og består hovedsageligt af moderforbindelsen. Eliminationsvejen er hovedsageligt gennem galden for både uændret </w:t>
      </w:r>
      <w:proofErr w:type="spellStart"/>
      <w:r w:rsidRPr="00C629D9">
        <w:rPr>
          <w:sz w:val="24"/>
          <w:szCs w:val="24"/>
        </w:rPr>
        <w:t>vinorelbin</w:t>
      </w:r>
      <w:proofErr w:type="spellEnd"/>
      <w:r w:rsidRPr="00C629D9">
        <w:rPr>
          <w:sz w:val="24"/>
          <w:szCs w:val="24"/>
        </w:rPr>
        <w:t>, som er den primære genvundne forbindelse, og dets metabolitter.</w:t>
      </w:r>
    </w:p>
    <w:p w14:paraId="0347B20F" w14:textId="77777777" w:rsidR="00C629D9" w:rsidRPr="00C629D9" w:rsidRDefault="00C629D9" w:rsidP="00C629D9">
      <w:pPr>
        <w:tabs>
          <w:tab w:val="left" w:pos="851"/>
        </w:tabs>
        <w:ind w:left="851"/>
        <w:rPr>
          <w:sz w:val="24"/>
          <w:szCs w:val="24"/>
        </w:rPr>
      </w:pPr>
    </w:p>
    <w:p w14:paraId="7086A204" w14:textId="77777777" w:rsidR="00C629D9" w:rsidRPr="00C629D9" w:rsidRDefault="00C629D9" w:rsidP="00C629D9">
      <w:pPr>
        <w:tabs>
          <w:tab w:val="left" w:pos="851"/>
        </w:tabs>
        <w:ind w:left="851"/>
        <w:rPr>
          <w:sz w:val="24"/>
          <w:szCs w:val="24"/>
          <w:u w:val="single"/>
        </w:rPr>
      </w:pPr>
      <w:r w:rsidRPr="00C629D9">
        <w:rPr>
          <w:sz w:val="24"/>
          <w:szCs w:val="24"/>
          <w:u w:val="single"/>
        </w:rPr>
        <w:t>Særlige patientgrupper</w:t>
      </w:r>
    </w:p>
    <w:p w14:paraId="1B007584" w14:textId="77777777" w:rsidR="0031156F" w:rsidRDefault="0031156F" w:rsidP="00C629D9">
      <w:pPr>
        <w:tabs>
          <w:tab w:val="left" w:pos="851"/>
        </w:tabs>
        <w:ind w:left="851"/>
        <w:rPr>
          <w:i/>
          <w:iCs/>
          <w:sz w:val="24"/>
          <w:szCs w:val="24"/>
        </w:rPr>
      </w:pPr>
    </w:p>
    <w:p w14:paraId="780278F9" w14:textId="7BA8FDED" w:rsidR="00C629D9" w:rsidRPr="00C629D9" w:rsidRDefault="00C629D9" w:rsidP="00C629D9">
      <w:pPr>
        <w:tabs>
          <w:tab w:val="left" w:pos="851"/>
        </w:tabs>
        <w:ind w:left="851"/>
        <w:rPr>
          <w:i/>
          <w:sz w:val="24"/>
          <w:szCs w:val="24"/>
        </w:rPr>
      </w:pPr>
      <w:r w:rsidRPr="00C629D9">
        <w:rPr>
          <w:i/>
          <w:iCs/>
          <w:sz w:val="24"/>
          <w:szCs w:val="24"/>
        </w:rPr>
        <w:t>Nedsat lever- og nyrefunktion</w:t>
      </w:r>
    </w:p>
    <w:p w14:paraId="11E7F39A" w14:textId="77777777" w:rsidR="00C629D9" w:rsidRPr="00C629D9" w:rsidRDefault="00C629D9" w:rsidP="00C629D9">
      <w:pPr>
        <w:tabs>
          <w:tab w:val="left" w:pos="851"/>
        </w:tabs>
        <w:ind w:left="851"/>
        <w:rPr>
          <w:sz w:val="24"/>
          <w:szCs w:val="24"/>
        </w:rPr>
      </w:pPr>
      <w:r w:rsidRPr="00C629D9">
        <w:rPr>
          <w:sz w:val="24"/>
          <w:szCs w:val="24"/>
        </w:rPr>
        <w:t xml:space="preserve">Effekten af nedsat nyrefunktion på </w:t>
      </w:r>
      <w:proofErr w:type="spellStart"/>
      <w:r w:rsidRPr="00C629D9">
        <w:rPr>
          <w:sz w:val="24"/>
          <w:szCs w:val="24"/>
        </w:rPr>
        <w:t>vinorelbins</w:t>
      </w:r>
      <w:proofErr w:type="spellEnd"/>
      <w:r w:rsidRPr="00C629D9">
        <w:rPr>
          <w:sz w:val="24"/>
          <w:szCs w:val="24"/>
        </w:rPr>
        <w:t xml:space="preserve"> elimination er ikke undersøgt. Dosisreduktion på grund af nedsat nyrefunktion er imidlertid ikke indiceret på grund af den lave eliminering i nyrerne.</w:t>
      </w:r>
    </w:p>
    <w:p w14:paraId="0A791A43" w14:textId="77777777" w:rsidR="00C629D9" w:rsidRPr="00C629D9" w:rsidRDefault="00C629D9" w:rsidP="00C629D9">
      <w:pPr>
        <w:tabs>
          <w:tab w:val="left" w:pos="851"/>
        </w:tabs>
        <w:ind w:left="851"/>
        <w:rPr>
          <w:sz w:val="24"/>
          <w:szCs w:val="24"/>
          <w:u w:val="single"/>
        </w:rPr>
      </w:pPr>
    </w:p>
    <w:p w14:paraId="763016EB" w14:textId="77777777" w:rsidR="00BE03B3" w:rsidRPr="00C629D9" w:rsidRDefault="00BE03B3" w:rsidP="00BE03B3">
      <w:pPr>
        <w:tabs>
          <w:tab w:val="left" w:pos="851"/>
        </w:tabs>
        <w:ind w:left="851"/>
        <w:rPr>
          <w:sz w:val="24"/>
          <w:szCs w:val="24"/>
        </w:rPr>
      </w:pPr>
      <w:r w:rsidRPr="00C629D9">
        <w:rPr>
          <w:sz w:val="24"/>
          <w:szCs w:val="24"/>
        </w:rPr>
        <w:t xml:space="preserve">Farmakokinetikken ved peroralt administreret </w:t>
      </w:r>
      <w:proofErr w:type="spellStart"/>
      <w:r w:rsidRPr="00C629D9">
        <w:rPr>
          <w:sz w:val="24"/>
          <w:szCs w:val="24"/>
        </w:rPr>
        <w:t>vinorelbin</w:t>
      </w:r>
      <w:proofErr w:type="spellEnd"/>
      <w:r w:rsidRPr="00C629D9">
        <w:rPr>
          <w:sz w:val="24"/>
          <w:szCs w:val="24"/>
        </w:rPr>
        <w:t xml:space="preserve"> blev ikke ændret efter administration af 60 mg/m² hos </w:t>
      </w:r>
      <w:r>
        <w:rPr>
          <w:sz w:val="24"/>
          <w:szCs w:val="24"/>
        </w:rPr>
        <w:t xml:space="preserve">7 </w:t>
      </w:r>
      <w:r w:rsidRPr="00C629D9">
        <w:rPr>
          <w:sz w:val="24"/>
          <w:szCs w:val="24"/>
        </w:rPr>
        <w:t xml:space="preserve">patienter med mild leversygdom (bilirubin &lt;1,5 × ULN og ALAT og/eller ASAT fra 1,5 til 2,5 × ULN) og på 50 mg/m² hos </w:t>
      </w:r>
      <w:r>
        <w:rPr>
          <w:sz w:val="24"/>
          <w:szCs w:val="24"/>
        </w:rPr>
        <w:t xml:space="preserve">6 </w:t>
      </w:r>
      <w:r w:rsidRPr="00C629D9">
        <w:rPr>
          <w:sz w:val="24"/>
          <w:szCs w:val="24"/>
        </w:rPr>
        <w:t>patienter med moderat nedsat leverfunktion (bilirubin fra 1,5 til 3 × ULN, uanset niveauet for ALAT og ASAT).</w:t>
      </w:r>
    </w:p>
    <w:p w14:paraId="5C8FF665" w14:textId="77777777" w:rsidR="00C629D9" w:rsidRPr="00C629D9" w:rsidRDefault="00C629D9" w:rsidP="00C629D9">
      <w:pPr>
        <w:tabs>
          <w:tab w:val="left" w:pos="851"/>
        </w:tabs>
        <w:ind w:left="851"/>
        <w:rPr>
          <w:sz w:val="24"/>
          <w:szCs w:val="24"/>
        </w:rPr>
      </w:pPr>
    </w:p>
    <w:p w14:paraId="19EC63C0" w14:textId="77777777" w:rsidR="00C629D9" w:rsidRPr="00C629D9" w:rsidRDefault="00C629D9" w:rsidP="00C629D9">
      <w:pPr>
        <w:tabs>
          <w:tab w:val="left" w:pos="851"/>
        </w:tabs>
        <w:ind w:left="851"/>
        <w:rPr>
          <w:sz w:val="24"/>
          <w:szCs w:val="24"/>
        </w:rPr>
      </w:pPr>
      <w:proofErr w:type="spellStart"/>
      <w:r w:rsidRPr="00C629D9">
        <w:rPr>
          <w:sz w:val="24"/>
          <w:szCs w:val="24"/>
        </w:rPr>
        <w:t>Vinorelbins</w:t>
      </w:r>
      <w:proofErr w:type="spellEnd"/>
      <w:r w:rsidRPr="00C629D9">
        <w:rPr>
          <w:sz w:val="24"/>
          <w:szCs w:val="24"/>
        </w:rPr>
        <w:t xml:space="preserve"> sikkerhed og farmakokinetik blev ikke ændret hos disse patienter ved de testede doseringer.</w:t>
      </w:r>
    </w:p>
    <w:p w14:paraId="1CBB752C" w14:textId="77777777" w:rsidR="00C629D9" w:rsidRPr="00C629D9" w:rsidRDefault="00C629D9" w:rsidP="00C629D9">
      <w:pPr>
        <w:tabs>
          <w:tab w:val="left" w:pos="851"/>
        </w:tabs>
        <w:ind w:left="851"/>
        <w:rPr>
          <w:sz w:val="24"/>
          <w:szCs w:val="24"/>
        </w:rPr>
      </w:pPr>
    </w:p>
    <w:p w14:paraId="5E8AEA35" w14:textId="77777777" w:rsidR="00C629D9" w:rsidRPr="00C629D9" w:rsidRDefault="00C629D9" w:rsidP="00C629D9">
      <w:pPr>
        <w:tabs>
          <w:tab w:val="left" w:pos="851"/>
        </w:tabs>
        <w:ind w:left="851"/>
        <w:rPr>
          <w:sz w:val="24"/>
          <w:szCs w:val="24"/>
        </w:rPr>
      </w:pPr>
      <w:r w:rsidRPr="00C629D9">
        <w:rPr>
          <w:sz w:val="24"/>
          <w:szCs w:val="24"/>
        </w:rPr>
        <w:t xml:space="preserve">Der findes ingen data for patienter med svær leversygdom, og derfor frarådes brug af </w:t>
      </w:r>
      <w:proofErr w:type="spellStart"/>
      <w:r w:rsidRPr="00C629D9">
        <w:rPr>
          <w:sz w:val="24"/>
          <w:szCs w:val="24"/>
        </w:rPr>
        <w:t>vinorelbin</w:t>
      </w:r>
      <w:proofErr w:type="spellEnd"/>
      <w:r w:rsidRPr="00C629D9">
        <w:rPr>
          <w:sz w:val="24"/>
          <w:szCs w:val="24"/>
        </w:rPr>
        <w:t xml:space="preserve"> til disse patienter (se pkt. 4.2, 4.4).</w:t>
      </w:r>
    </w:p>
    <w:p w14:paraId="1247C933" w14:textId="77777777" w:rsidR="00C629D9" w:rsidRPr="00C629D9" w:rsidRDefault="00C629D9" w:rsidP="00C629D9">
      <w:pPr>
        <w:tabs>
          <w:tab w:val="left" w:pos="851"/>
        </w:tabs>
        <w:ind w:left="851"/>
        <w:rPr>
          <w:sz w:val="24"/>
          <w:szCs w:val="24"/>
          <w:u w:val="single"/>
        </w:rPr>
      </w:pPr>
    </w:p>
    <w:p w14:paraId="66FE6A1D" w14:textId="77777777" w:rsidR="00C629D9" w:rsidRPr="00C629D9" w:rsidRDefault="00C629D9" w:rsidP="00C629D9">
      <w:pPr>
        <w:tabs>
          <w:tab w:val="left" w:pos="851"/>
        </w:tabs>
        <w:ind w:left="851"/>
        <w:rPr>
          <w:sz w:val="24"/>
          <w:szCs w:val="24"/>
          <w:u w:val="single"/>
        </w:rPr>
      </w:pPr>
      <w:r w:rsidRPr="00C629D9">
        <w:rPr>
          <w:sz w:val="24"/>
          <w:szCs w:val="24"/>
          <w:u w:val="single"/>
        </w:rPr>
        <w:t>Ældre</w:t>
      </w:r>
    </w:p>
    <w:p w14:paraId="4939CA67" w14:textId="77777777" w:rsidR="00C629D9" w:rsidRPr="00C629D9" w:rsidRDefault="00C629D9" w:rsidP="00C629D9">
      <w:pPr>
        <w:tabs>
          <w:tab w:val="left" w:pos="851"/>
        </w:tabs>
        <w:ind w:left="851"/>
        <w:rPr>
          <w:sz w:val="24"/>
          <w:szCs w:val="24"/>
        </w:rPr>
      </w:pPr>
      <w:r w:rsidRPr="00C629D9">
        <w:rPr>
          <w:sz w:val="24"/>
          <w:szCs w:val="24"/>
        </w:rPr>
        <w:t xml:space="preserve">Forsøg med oral </w:t>
      </w:r>
      <w:proofErr w:type="spellStart"/>
      <w:r w:rsidRPr="00C629D9">
        <w:rPr>
          <w:sz w:val="24"/>
          <w:szCs w:val="24"/>
        </w:rPr>
        <w:t>vinorelbin</w:t>
      </w:r>
      <w:proofErr w:type="spellEnd"/>
      <w:r w:rsidRPr="00C629D9">
        <w:rPr>
          <w:sz w:val="24"/>
          <w:szCs w:val="24"/>
        </w:rPr>
        <w:t xml:space="preserve"> til ældre patienter (≥70 år) med ikke-småcellet lungekræft viste, at alderen ikke har nogen indflydelse på </w:t>
      </w:r>
      <w:proofErr w:type="spellStart"/>
      <w:r w:rsidRPr="00C629D9">
        <w:rPr>
          <w:sz w:val="24"/>
          <w:szCs w:val="24"/>
        </w:rPr>
        <w:t>vinorelbins</w:t>
      </w:r>
      <w:proofErr w:type="spellEnd"/>
      <w:r w:rsidRPr="00C629D9">
        <w:rPr>
          <w:sz w:val="24"/>
          <w:szCs w:val="24"/>
        </w:rPr>
        <w:t xml:space="preserve"> farmakokinetik. Men da ældre patienter er skrøbelige, skal der udvises forsigtighed, når dosen af </w:t>
      </w:r>
      <w:proofErr w:type="spellStart"/>
      <w:r w:rsidRPr="00C629D9">
        <w:rPr>
          <w:sz w:val="24"/>
          <w:szCs w:val="24"/>
        </w:rPr>
        <w:t>vinorelbin</w:t>
      </w:r>
      <w:proofErr w:type="spellEnd"/>
      <w:r w:rsidRPr="00C629D9">
        <w:rPr>
          <w:sz w:val="24"/>
          <w:szCs w:val="24"/>
        </w:rPr>
        <w:t xml:space="preserve"> bløde kapsler forhøjes (se pkt. 4.2).</w:t>
      </w:r>
    </w:p>
    <w:p w14:paraId="4916B286" w14:textId="77777777" w:rsidR="00C629D9" w:rsidRPr="00C629D9" w:rsidRDefault="00C629D9" w:rsidP="00C629D9">
      <w:pPr>
        <w:tabs>
          <w:tab w:val="left" w:pos="851"/>
        </w:tabs>
        <w:ind w:left="851"/>
        <w:rPr>
          <w:sz w:val="24"/>
          <w:szCs w:val="24"/>
          <w:u w:val="single"/>
        </w:rPr>
      </w:pPr>
    </w:p>
    <w:p w14:paraId="06CBA81C" w14:textId="77777777" w:rsidR="00C629D9" w:rsidRPr="00C629D9" w:rsidRDefault="00C629D9" w:rsidP="00C629D9">
      <w:pPr>
        <w:tabs>
          <w:tab w:val="left" w:pos="851"/>
        </w:tabs>
        <w:ind w:left="851"/>
        <w:rPr>
          <w:sz w:val="24"/>
          <w:szCs w:val="24"/>
          <w:u w:val="single"/>
        </w:rPr>
      </w:pPr>
      <w:proofErr w:type="spellStart"/>
      <w:r w:rsidRPr="00C629D9">
        <w:rPr>
          <w:sz w:val="24"/>
          <w:szCs w:val="24"/>
          <w:u w:val="single"/>
        </w:rPr>
        <w:t>Farmakokinetiske</w:t>
      </w:r>
      <w:proofErr w:type="spellEnd"/>
      <w:r w:rsidRPr="00C629D9">
        <w:rPr>
          <w:sz w:val="24"/>
          <w:szCs w:val="24"/>
          <w:u w:val="single"/>
        </w:rPr>
        <w:t>/</w:t>
      </w:r>
      <w:proofErr w:type="spellStart"/>
      <w:r w:rsidRPr="00C629D9">
        <w:rPr>
          <w:sz w:val="24"/>
          <w:szCs w:val="24"/>
          <w:u w:val="single"/>
        </w:rPr>
        <w:t>farmakodynamiske</w:t>
      </w:r>
      <w:proofErr w:type="spellEnd"/>
      <w:r w:rsidRPr="00C629D9">
        <w:rPr>
          <w:sz w:val="24"/>
          <w:szCs w:val="24"/>
          <w:u w:val="single"/>
        </w:rPr>
        <w:t xml:space="preserve"> forhold</w:t>
      </w:r>
    </w:p>
    <w:p w14:paraId="4DFCDD17" w14:textId="77777777" w:rsidR="00C629D9" w:rsidRPr="00C629D9" w:rsidRDefault="00C629D9" w:rsidP="00C629D9">
      <w:pPr>
        <w:tabs>
          <w:tab w:val="left" w:pos="851"/>
        </w:tabs>
        <w:ind w:left="851"/>
        <w:rPr>
          <w:sz w:val="24"/>
          <w:szCs w:val="24"/>
        </w:rPr>
      </w:pPr>
      <w:r w:rsidRPr="00C629D9">
        <w:rPr>
          <w:sz w:val="24"/>
          <w:szCs w:val="24"/>
        </w:rPr>
        <w:t xml:space="preserve">Der er påvist en tydelig sammenhæng mellem eksponeringen i blod og </w:t>
      </w:r>
      <w:proofErr w:type="spellStart"/>
      <w:r w:rsidRPr="00C629D9">
        <w:rPr>
          <w:sz w:val="24"/>
          <w:szCs w:val="24"/>
        </w:rPr>
        <w:t>depletering</w:t>
      </w:r>
      <w:proofErr w:type="spellEnd"/>
      <w:r w:rsidRPr="00C629D9">
        <w:rPr>
          <w:sz w:val="24"/>
          <w:szCs w:val="24"/>
        </w:rPr>
        <w:t xml:space="preserve"> af leukocytter eller granulocytter.</w:t>
      </w:r>
    </w:p>
    <w:p w14:paraId="111E7EFB" w14:textId="77777777" w:rsidR="009260DE" w:rsidRPr="00C84483" w:rsidRDefault="009260DE" w:rsidP="009260DE">
      <w:pPr>
        <w:tabs>
          <w:tab w:val="left" w:pos="851"/>
        </w:tabs>
        <w:ind w:left="851"/>
        <w:rPr>
          <w:sz w:val="24"/>
          <w:szCs w:val="24"/>
        </w:rPr>
      </w:pPr>
    </w:p>
    <w:p w14:paraId="59FA1A1B"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339111D" w14:textId="77777777" w:rsidR="00C629D9" w:rsidRPr="00C629D9" w:rsidRDefault="00C629D9" w:rsidP="00C629D9">
      <w:pPr>
        <w:tabs>
          <w:tab w:val="left" w:pos="851"/>
        </w:tabs>
        <w:ind w:left="851"/>
        <w:rPr>
          <w:sz w:val="24"/>
          <w:szCs w:val="24"/>
        </w:rPr>
      </w:pPr>
    </w:p>
    <w:p w14:paraId="7C14E7C6" w14:textId="77777777" w:rsidR="00BE03B3" w:rsidRPr="00C629D9" w:rsidRDefault="00BE03B3" w:rsidP="00BE03B3">
      <w:pPr>
        <w:tabs>
          <w:tab w:val="left" w:pos="851"/>
        </w:tabs>
        <w:ind w:left="851"/>
        <w:rPr>
          <w:sz w:val="24"/>
          <w:szCs w:val="24"/>
          <w:u w:val="single"/>
        </w:rPr>
      </w:pPr>
      <w:r w:rsidRPr="00C629D9">
        <w:rPr>
          <w:sz w:val="24"/>
          <w:szCs w:val="24"/>
          <w:u w:val="single"/>
        </w:rPr>
        <w:t xml:space="preserve">Mutagent og </w:t>
      </w:r>
      <w:proofErr w:type="spellStart"/>
      <w:r w:rsidRPr="00C629D9">
        <w:rPr>
          <w:sz w:val="24"/>
          <w:szCs w:val="24"/>
          <w:u w:val="single"/>
        </w:rPr>
        <w:t>onkogent</w:t>
      </w:r>
      <w:proofErr w:type="spellEnd"/>
      <w:r w:rsidRPr="00C629D9">
        <w:rPr>
          <w:sz w:val="24"/>
          <w:szCs w:val="24"/>
          <w:u w:val="single"/>
        </w:rPr>
        <w:t xml:space="preserve"> potentiale</w:t>
      </w:r>
    </w:p>
    <w:p w14:paraId="490C8752" w14:textId="77777777" w:rsidR="00BE03B3" w:rsidRPr="00C629D9" w:rsidRDefault="00BE03B3" w:rsidP="00BE03B3">
      <w:pPr>
        <w:tabs>
          <w:tab w:val="left" w:pos="851"/>
        </w:tabs>
        <w:ind w:left="851"/>
        <w:rPr>
          <w:sz w:val="24"/>
          <w:szCs w:val="24"/>
        </w:rPr>
      </w:pPr>
      <w:proofErr w:type="spellStart"/>
      <w:r w:rsidRPr="00C629D9">
        <w:rPr>
          <w:sz w:val="24"/>
          <w:szCs w:val="24"/>
        </w:rPr>
        <w:t>Vinorelbin</w:t>
      </w:r>
      <w:proofErr w:type="spellEnd"/>
      <w:r w:rsidRPr="00C629D9">
        <w:rPr>
          <w:sz w:val="24"/>
          <w:szCs w:val="24"/>
        </w:rPr>
        <w:t xml:space="preserve"> inducerer kromosomale skader, men er ikke mutagen i </w:t>
      </w:r>
      <w:proofErr w:type="spellStart"/>
      <w:r w:rsidRPr="00C629D9">
        <w:rPr>
          <w:sz w:val="24"/>
          <w:szCs w:val="24"/>
        </w:rPr>
        <w:t>Ames</w:t>
      </w:r>
      <w:proofErr w:type="spellEnd"/>
      <w:r w:rsidRPr="00C629D9">
        <w:rPr>
          <w:sz w:val="24"/>
          <w:szCs w:val="24"/>
        </w:rPr>
        <w:t>' test.</w:t>
      </w:r>
    </w:p>
    <w:p w14:paraId="00B04051" w14:textId="77777777" w:rsidR="00BE03B3" w:rsidRPr="00C629D9" w:rsidRDefault="00BE03B3" w:rsidP="00BE03B3">
      <w:pPr>
        <w:tabs>
          <w:tab w:val="left" w:pos="851"/>
        </w:tabs>
        <w:ind w:left="851"/>
        <w:rPr>
          <w:sz w:val="24"/>
          <w:szCs w:val="24"/>
        </w:rPr>
      </w:pPr>
      <w:proofErr w:type="spellStart"/>
      <w:r w:rsidRPr="00C629D9">
        <w:rPr>
          <w:sz w:val="24"/>
          <w:szCs w:val="24"/>
        </w:rPr>
        <w:t>Vinorelbins</w:t>
      </w:r>
      <w:proofErr w:type="spellEnd"/>
      <w:r w:rsidRPr="00C629D9">
        <w:rPr>
          <w:sz w:val="24"/>
          <w:szCs w:val="24"/>
        </w:rPr>
        <w:t xml:space="preserve"> </w:t>
      </w:r>
      <w:proofErr w:type="spellStart"/>
      <w:r w:rsidRPr="00C629D9">
        <w:rPr>
          <w:sz w:val="24"/>
          <w:szCs w:val="24"/>
        </w:rPr>
        <w:t>spiralisering</w:t>
      </w:r>
      <w:proofErr w:type="spellEnd"/>
      <w:r w:rsidRPr="00C629D9">
        <w:rPr>
          <w:sz w:val="24"/>
          <w:szCs w:val="24"/>
        </w:rPr>
        <w:t xml:space="preserve"> ved mitose kan medføre ukorrekt distribution af kromosomerne. I dyreforsøg forårsagede </w:t>
      </w:r>
      <w:proofErr w:type="spellStart"/>
      <w:r w:rsidRPr="00C629D9">
        <w:rPr>
          <w:sz w:val="24"/>
          <w:szCs w:val="24"/>
        </w:rPr>
        <w:t>vinorelbin</w:t>
      </w:r>
      <w:proofErr w:type="spellEnd"/>
      <w:r w:rsidRPr="00C629D9">
        <w:rPr>
          <w:sz w:val="24"/>
          <w:szCs w:val="24"/>
        </w:rPr>
        <w:t xml:space="preserve"> </w:t>
      </w:r>
      <w:proofErr w:type="spellStart"/>
      <w:r w:rsidRPr="00C629D9">
        <w:rPr>
          <w:sz w:val="24"/>
          <w:szCs w:val="24"/>
        </w:rPr>
        <w:t>aneuploidi</w:t>
      </w:r>
      <w:proofErr w:type="spellEnd"/>
      <w:r w:rsidRPr="00C629D9">
        <w:rPr>
          <w:sz w:val="24"/>
          <w:szCs w:val="24"/>
        </w:rPr>
        <w:t xml:space="preserve"> og </w:t>
      </w:r>
      <w:proofErr w:type="spellStart"/>
      <w:r w:rsidRPr="00C629D9">
        <w:rPr>
          <w:sz w:val="24"/>
          <w:szCs w:val="24"/>
        </w:rPr>
        <w:t>polyploidi</w:t>
      </w:r>
      <w:proofErr w:type="spellEnd"/>
      <w:r w:rsidRPr="00C629D9">
        <w:rPr>
          <w:sz w:val="24"/>
          <w:szCs w:val="24"/>
        </w:rPr>
        <w:t xml:space="preserve"> efter </w:t>
      </w:r>
      <w:proofErr w:type="spellStart"/>
      <w:r w:rsidRPr="00C629D9">
        <w:rPr>
          <w:sz w:val="24"/>
          <w:szCs w:val="24"/>
        </w:rPr>
        <w:t>i.v</w:t>
      </w:r>
      <w:proofErr w:type="spellEnd"/>
      <w:r w:rsidRPr="00C629D9">
        <w:rPr>
          <w:sz w:val="24"/>
          <w:szCs w:val="24"/>
        </w:rPr>
        <w:t xml:space="preserve">.-dosis. Det må derfor antages, at </w:t>
      </w:r>
      <w:proofErr w:type="spellStart"/>
      <w:r w:rsidRPr="00C629D9">
        <w:rPr>
          <w:sz w:val="24"/>
          <w:szCs w:val="24"/>
        </w:rPr>
        <w:t>vinorelbin</w:t>
      </w:r>
      <w:proofErr w:type="spellEnd"/>
      <w:r w:rsidRPr="00C629D9">
        <w:rPr>
          <w:sz w:val="24"/>
          <w:szCs w:val="24"/>
        </w:rPr>
        <w:t xml:space="preserve"> kan have en mutagen effekt (</w:t>
      </w:r>
      <w:proofErr w:type="spellStart"/>
      <w:r w:rsidRPr="00C629D9">
        <w:rPr>
          <w:sz w:val="24"/>
          <w:szCs w:val="24"/>
        </w:rPr>
        <w:t>anuploidi</w:t>
      </w:r>
      <w:proofErr w:type="spellEnd"/>
      <w:r>
        <w:rPr>
          <w:sz w:val="24"/>
          <w:szCs w:val="24"/>
        </w:rPr>
        <w:t xml:space="preserve"> og </w:t>
      </w:r>
      <w:proofErr w:type="spellStart"/>
      <w:r>
        <w:rPr>
          <w:sz w:val="24"/>
          <w:szCs w:val="24"/>
        </w:rPr>
        <w:t>polyploidi</w:t>
      </w:r>
      <w:proofErr w:type="spellEnd"/>
      <w:r w:rsidRPr="00C629D9">
        <w:rPr>
          <w:sz w:val="24"/>
          <w:szCs w:val="24"/>
        </w:rPr>
        <w:t>) på mennesker.</w:t>
      </w:r>
    </w:p>
    <w:p w14:paraId="04A009A5" w14:textId="77777777" w:rsidR="00BE03B3" w:rsidRPr="00C629D9" w:rsidRDefault="00BE03B3" w:rsidP="00BE03B3">
      <w:pPr>
        <w:tabs>
          <w:tab w:val="left" w:pos="851"/>
        </w:tabs>
        <w:ind w:left="851"/>
        <w:rPr>
          <w:sz w:val="24"/>
          <w:szCs w:val="24"/>
        </w:rPr>
      </w:pPr>
      <w:r w:rsidRPr="00C629D9">
        <w:rPr>
          <w:sz w:val="24"/>
          <w:szCs w:val="24"/>
        </w:rPr>
        <w:t xml:space="preserve">Resultaterne fra </w:t>
      </w:r>
      <w:proofErr w:type="spellStart"/>
      <w:r w:rsidRPr="00C629D9">
        <w:rPr>
          <w:sz w:val="24"/>
          <w:szCs w:val="24"/>
        </w:rPr>
        <w:t>carcinogenicitetsforsøg</w:t>
      </w:r>
      <w:proofErr w:type="spellEnd"/>
      <w:r w:rsidRPr="00C629D9">
        <w:rPr>
          <w:sz w:val="24"/>
          <w:szCs w:val="24"/>
        </w:rPr>
        <w:t xml:space="preserve">, hvor </w:t>
      </w:r>
      <w:proofErr w:type="spellStart"/>
      <w:r w:rsidRPr="00C629D9">
        <w:rPr>
          <w:sz w:val="24"/>
          <w:szCs w:val="24"/>
        </w:rPr>
        <w:t>vinorelbin</w:t>
      </w:r>
      <w:proofErr w:type="spellEnd"/>
      <w:r w:rsidRPr="00C629D9">
        <w:rPr>
          <w:sz w:val="24"/>
          <w:szCs w:val="24"/>
        </w:rPr>
        <w:t xml:space="preserve"> blev givet intravenøst en gang hver anden uge for at undgå toksicitet, var negative.</w:t>
      </w:r>
    </w:p>
    <w:p w14:paraId="0A9EA47C" w14:textId="77777777" w:rsidR="00BE03B3" w:rsidRPr="00C629D9" w:rsidRDefault="00BE03B3" w:rsidP="00BE03B3">
      <w:pPr>
        <w:tabs>
          <w:tab w:val="left" w:pos="851"/>
        </w:tabs>
        <w:ind w:left="851"/>
        <w:rPr>
          <w:sz w:val="24"/>
          <w:szCs w:val="24"/>
        </w:rPr>
      </w:pPr>
    </w:p>
    <w:p w14:paraId="0318E819" w14:textId="77777777" w:rsidR="00BE03B3" w:rsidRPr="00C629D9" w:rsidRDefault="00BE03B3" w:rsidP="00BE03B3">
      <w:pPr>
        <w:tabs>
          <w:tab w:val="left" w:pos="851"/>
        </w:tabs>
        <w:ind w:left="851"/>
        <w:rPr>
          <w:sz w:val="24"/>
          <w:szCs w:val="24"/>
          <w:u w:val="single"/>
        </w:rPr>
      </w:pPr>
      <w:r w:rsidRPr="00C629D9">
        <w:rPr>
          <w:sz w:val="24"/>
          <w:szCs w:val="24"/>
          <w:u w:val="single"/>
        </w:rPr>
        <w:t>Reproduktionstoksicitet</w:t>
      </w:r>
    </w:p>
    <w:p w14:paraId="6D8CC062" w14:textId="77777777" w:rsidR="00BE03B3" w:rsidRPr="00C629D9" w:rsidRDefault="00BE03B3" w:rsidP="00BE03B3">
      <w:pPr>
        <w:tabs>
          <w:tab w:val="left" w:pos="851"/>
        </w:tabs>
        <w:ind w:left="851"/>
        <w:rPr>
          <w:sz w:val="24"/>
          <w:szCs w:val="24"/>
        </w:rPr>
      </w:pPr>
      <w:r w:rsidRPr="00C629D9">
        <w:rPr>
          <w:sz w:val="24"/>
          <w:szCs w:val="24"/>
        </w:rPr>
        <w:t xml:space="preserve">Dyrereproduktionsforsøg viste, at </w:t>
      </w:r>
      <w:proofErr w:type="spellStart"/>
      <w:r w:rsidRPr="00C629D9">
        <w:rPr>
          <w:sz w:val="24"/>
          <w:szCs w:val="24"/>
        </w:rPr>
        <w:t>vinorelbin</w:t>
      </w:r>
      <w:proofErr w:type="spellEnd"/>
      <w:r w:rsidRPr="00C629D9">
        <w:rPr>
          <w:sz w:val="24"/>
          <w:szCs w:val="24"/>
        </w:rPr>
        <w:t xml:space="preserve"> havde embryo-</w:t>
      </w:r>
      <w:proofErr w:type="spellStart"/>
      <w:r w:rsidRPr="00C629D9">
        <w:rPr>
          <w:sz w:val="24"/>
          <w:szCs w:val="24"/>
        </w:rPr>
        <w:t>føtal</w:t>
      </w:r>
      <w:proofErr w:type="spellEnd"/>
      <w:r w:rsidRPr="00C629D9">
        <w:rPr>
          <w:sz w:val="24"/>
          <w:szCs w:val="24"/>
        </w:rPr>
        <w:t xml:space="preserve"> </w:t>
      </w:r>
      <w:r>
        <w:rPr>
          <w:sz w:val="24"/>
          <w:szCs w:val="24"/>
        </w:rPr>
        <w:t xml:space="preserve">letal </w:t>
      </w:r>
      <w:r w:rsidRPr="00C629D9">
        <w:rPr>
          <w:sz w:val="24"/>
          <w:szCs w:val="24"/>
        </w:rPr>
        <w:t xml:space="preserve">toksicitet, der medførte </w:t>
      </w:r>
      <w:proofErr w:type="spellStart"/>
      <w:r w:rsidRPr="00C629D9">
        <w:rPr>
          <w:sz w:val="24"/>
          <w:szCs w:val="24"/>
        </w:rPr>
        <w:t>teratogenese</w:t>
      </w:r>
      <w:proofErr w:type="spellEnd"/>
      <w:r w:rsidRPr="00C629D9">
        <w:rPr>
          <w:sz w:val="24"/>
          <w:szCs w:val="24"/>
        </w:rPr>
        <w:t>. Der blev ikke observeret nogen effekt hos rotter, der fik 0,26 mg/kg hver 3. dag. Efter præ-/</w:t>
      </w:r>
      <w:proofErr w:type="spellStart"/>
      <w:r w:rsidRPr="00C629D9">
        <w:rPr>
          <w:sz w:val="24"/>
          <w:szCs w:val="24"/>
        </w:rPr>
        <w:t>postnatal</w:t>
      </w:r>
      <w:proofErr w:type="spellEnd"/>
      <w:r w:rsidRPr="00C629D9">
        <w:rPr>
          <w:sz w:val="24"/>
          <w:szCs w:val="24"/>
        </w:rPr>
        <w:t xml:space="preserve"> administration hos rotter i intravenøse doser på 1,0 mg/kg hver 3. dag blev der set nedsat vægtstigning hos afkommet op til 7. leveuge.</w:t>
      </w:r>
    </w:p>
    <w:p w14:paraId="00CE837B" w14:textId="77777777" w:rsidR="00C629D9" w:rsidRPr="00C629D9" w:rsidRDefault="00C629D9" w:rsidP="00C629D9">
      <w:pPr>
        <w:tabs>
          <w:tab w:val="left" w:pos="851"/>
        </w:tabs>
        <w:ind w:left="851"/>
        <w:rPr>
          <w:sz w:val="24"/>
          <w:szCs w:val="24"/>
        </w:rPr>
      </w:pPr>
    </w:p>
    <w:p w14:paraId="0D96AC80" w14:textId="77777777" w:rsidR="00C629D9" w:rsidRPr="00C629D9" w:rsidRDefault="00C629D9" w:rsidP="00C629D9">
      <w:pPr>
        <w:tabs>
          <w:tab w:val="left" w:pos="851"/>
        </w:tabs>
        <w:ind w:left="851"/>
        <w:rPr>
          <w:sz w:val="24"/>
          <w:szCs w:val="24"/>
          <w:u w:val="single"/>
        </w:rPr>
      </w:pPr>
      <w:r w:rsidRPr="00C629D9">
        <w:rPr>
          <w:sz w:val="24"/>
          <w:szCs w:val="24"/>
          <w:u w:val="single"/>
        </w:rPr>
        <w:t>Farmakologisk sikkerhed</w:t>
      </w:r>
    </w:p>
    <w:p w14:paraId="6864616C" w14:textId="77777777" w:rsidR="00C629D9" w:rsidRPr="00C629D9" w:rsidRDefault="00C629D9" w:rsidP="00C629D9">
      <w:pPr>
        <w:tabs>
          <w:tab w:val="left" w:pos="851"/>
        </w:tabs>
        <w:ind w:left="851"/>
        <w:rPr>
          <w:sz w:val="24"/>
          <w:szCs w:val="24"/>
        </w:rPr>
      </w:pPr>
      <w:r w:rsidRPr="00C629D9">
        <w:rPr>
          <w:sz w:val="24"/>
          <w:szCs w:val="24"/>
        </w:rPr>
        <w:t xml:space="preserve">Der blev ikke observeret </w:t>
      </w:r>
      <w:proofErr w:type="spellStart"/>
      <w:r w:rsidRPr="00C629D9">
        <w:rPr>
          <w:sz w:val="24"/>
          <w:szCs w:val="24"/>
        </w:rPr>
        <w:t>hæmodynamisk</w:t>
      </w:r>
      <w:proofErr w:type="spellEnd"/>
      <w:r w:rsidRPr="00C629D9">
        <w:rPr>
          <w:sz w:val="24"/>
          <w:szCs w:val="24"/>
        </w:rPr>
        <w:t xml:space="preserve"> effekt hos hunde, der fik </w:t>
      </w:r>
      <w:proofErr w:type="spellStart"/>
      <w:r w:rsidRPr="00C629D9">
        <w:rPr>
          <w:sz w:val="24"/>
          <w:szCs w:val="24"/>
        </w:rPr>
        <w:t>vinorelbin</w:t>
      </w:r>
      <w:proofErr w:type="spellEnd"/>
      <w:r w:rsidRPr="00C629D9">
        <w:rPr>
          <w:sz w:val="24"/>
          <w:szCs w:val="24"/>
        </w:rPr>
        <w:t xml:space="preserve"> i maksimal tolereret dosis, 0,75 mg/kg, men kun visse mindre, ikke-signifikante forstyrrelser af </w:t>
      </w:r>
      <w:proofErr w:type="spellStart"/>
      <w:r w:rsidRPr="00C629D9">
        <w:rPr>
          <w:sz w:val="24"/>
          <w:szCs w:val="24"/>
        </w:rPr>
        <w:t>repolariseringen</w:t>
      </w:r>
      <w:proofErr w:type="spellEnd"/>
      <w:r w:rsidRPr="00C629D9">
        <w:rPr>
          <w:sz w:val="24"/>
          <w:szCs w:val="24"/>
        </w:rPr>
        <w:t xml:space="preserve"> ligesom for andre afprøvede vincaalkaloider.</w:t>
      </w:r>
    </w:p>
    <w:p w14:paraId="6DFA570B" w14:textId="77777777" w:rsidR="00C629D9" w:rsidRPr="00C629D9" w:rsidRDefault="00C629D9" w:rsidP="00C629D9">
      <w:pPr>
        <w:tabs>
          <w:tab w:val="left" w:pos="851"/>
        </w:tabs>
        <w:ind w:left="851"/>
        <w:rPr>
          <w:sz w:val="24"/>
          <w:szCs w:val="24"/>
        </w:rPr>
      </w:pPr>
      <w:r w:rsidRPr="00C629D9">
        <w:rPr>
          <w:sz w:val="24"/>
          <w:szCs w:val="24"/>
        </w:rPr>
        <w:t xml:space="preserve">Der blev ikke observeret indvirkning på det </w:t>
      </w:r>
      <w:proofErr w:type="spellStart"/>
      <w:r w:rsidRPr="00C629D9">
        <w:rPr>
          <w:sz w:val="24"/>
          <w:szCs w:val="24"/>
        </w:rPr>
        <w:t>kardiovaskulære</w:t>
      </w:r>
      <w:proofErr w:type="spellEnd"/>
      <w:r w:rsidRPr="00C629D9">
        <w:rPr>
          <w:sz w:val="24"/>
          <w:szCs w:val="24"/>
        </w:rPr>
        <w:t xml:space="preserve"> system hos primater, der fik gentagne doser </w:t>
      </w:r>
      <w:proofErr w:type="spellStart"/>
      <w:r w:rsidRPr="00C629D9">
        <w:rPr>
          <w:sz w:val="24"/>
          <w:szCs w:val="24"/>
        </w:rPr>
        <w:t>vinorelbin</w:t>
      </w:r>
      <w:proofErr w:type="spellEnd"/>
      <w:r w:rsidRPr="00C629D9">
        <w:rPr>
          <w:sz w:val="24"/>
          <w:szCs w:val="24"/>
        </w:rPr>
        <w:t xml:space="preserve"> 2 mg/kg igennem 39 uger.</w:t>
      </w:r>
    </w:p>
    <w:p w14:paraId="37EA2B3F" w14:textId="77777777" w:rsidR="00C629D9" w:rsidRPr="00C629D9" w:rsidRDefault="00C629D9" w:rsidP="00C629D9">
      <w:pPr>
        <w:tabs>
          <w:tab w:val="left" w:pos="851"/>
        </w:tabs>
        <w:ind w:left="851"/>
        <w:rPr>
          <w:sz w:val="24"/>
          <w:szCs w:val="24"/>
        </w:rPr>
      </w:pPr>
    </w:p>
    <w:p w14:paraId="2D89D93E" w14:textId="77777777" w:rsidR="00C629D9" w:rsidRPr="00C629D9" w:rsidRDefault="00C629D9" w:rsidP="00C629D9">
      <w:pPr>
        <w:tabs>
          <w:tab w:val="left" w:pos="851"/>
        </w:tabs>
        <w:ind w:left="851"/>
        <w:rPr>
          <w:sz w:val="24"/>
          <w:szCs w:val="24"/>
          <w:u w:val="single"/>
        </w:rPr>
      </w:pPr>
      <w:r w:rsidRPr="00C629D9">
        <w:rPr>
          <w:sz w:val="24"/>
          <w:szCs w:val="24"/>
          <w:u w:val="single"/>
        </w:rPr>
        <w:t>Akut toksicitet hos dyr</w:t>
      </w:r>
    </w:p>
    <w:p w14:paraId="1C5FF2B2" w14:textId="77777777" w:rsidR="00C629D9" w:rsidRPr="00C629D9" w:rsidRDefault="00C629D9" w:rsidP="00C629D9">
      <w:pPr>
        <w:tabs>
          <w:tab w:val="left" w:pos="851"/>
        </w:tabs>
        <w:ind w:left="851"/>
        <w:rPr>
          <w:sz w:val="24"/>
          <w:szCs w:val="24"/>
        </w:rPr>
      </w:pPr>
      <w:r w:rsidRPr="00C629D9">
        <w:rPr>
          <w:sz w:val="24"/>
          <w:szCs w:val="24"/>
        </w:rPr>
        <w:t xml:space="preserve">Symptomer på overdosering hos forsøgsdyr bestod af hårtab, anormal adfærd (udmattelse, sløvhed), lungelæsioner, vægttab og forskellige grader af </w:t>
      </w:r>
      <w:proofErr w:type="spellStart"/>
      <w:r w:rsidRPr="00C629D9">
        <w:rPr>
          <w:sz w:val="24"/>
          <w:szCs w:val="24"/>
        </w:rPr>
        <w:t>knoglemarvshypoplasi</w:t>
      </w:r>
      <w:proofErr w:type="spellEnd"/>
      <w:r w:rsidRPr="00C629D9">
        <w:rPr>
          <w:sz w:val="24"/>
          <w:szCs w:val="24"/>
        </w:rPr>
        <w:t>.</w:t>
      </w:r>
    </w:p>
    <w:p w14:paraId="27EE61F8" w14:textId="77777777" w:rsidR="00C629D9" w:rsidRPr="00C629D9" w:rsidRDefault="00C629D9" w:rsidP="00C629D9">
      <w:pPr>
        <w:tabs>
          <w:tab w:val="left" w:pos="851"/>
        </w:tabs>
        <w:ind w:left="851"/>
        <w:rPr>
          <w:sz w:val="24"/>
          <w:szCs w:val="24"/>
        </w:rPr>
      </w:pPr>
    </w:p>
    <w:p w14:paraId="49FC2CA9" w14:textId="77777777" w:rsidR="009260DE" w:rsidRPr="00C84483" w:rsidRDefault="009260DE" w:rsidP="009260DE">
      <w:pPr>
        <w:tabs>
          <w:tab w:val="left" w:pos="851"/>
        </w:tabs>
        <w:ind w:left="851"/>
        <w:rPr>
          <w:sz w:val="24"/>
          <w:szCs w:val="24"/>
        </w:rPr>
      </w:pPr>
    </w:p>
    <w:p w14:paraId="6A4A2290"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91CDFFB" w14:textId="77777777" w:rsidR="009260DE" w:rsidRPr="00BA09F1" w:rsidRDefault="009260DE" w:rsidP="009260DE">
      <w:pPr>
        <w:tabs>
          <w:tab w:val="left" w:pos="851"/>
        </w:tabs>
        <w:ind w:left="851"/>
        <w:rPr>
          <w:sz w:val="24"/>
          <w:szCs w:val="24"/>
        </w:rPr>
      </w:pPr>
    </w:p>
    <w:p w14:paraId="23C968B7"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EB7D6DC" w14:textId="77777777" w:rsidR="00C629D9" w:rsidRPr="00C629D9" w:rsidRDefault="00C629D9" w:rsidP="00C629D9">
      <w:pPr>
        <w:tabs>
          <w:tab w:val="left" w:pos="851"/>
        </w:tabs>
        <w:ind w:left="851"/>
        <w:rPr>
          <w:i/>
          <w:sz w:val="24"/>
          <w:szCs w:val="24"/>
        </w:rPr>
      </w:pPr>
    </w:p>
    <w:p w14:paraId="6DBAC45C" w14:textId="0147B327" w:rsidR="00C629D9" w:rsidRPr="00C629D9" w:rsidRDefault="00C629D9" w:rsidP="00C629D9">
      <w:pPr>
        <w:tabs>
          <w:tab w:val="left" w:pos="851"/>
        </w:tabs>
        <w:ind w:left="851"/>
        <w:rPr>
          <w:sz w:val="24"/>
          <w:szCs w:val="24"/>
        </w:rPr>
      </w:pPr>
      <w:r w:rsidRPr="00C629D9">
        <w:rPr>
          <w:sz w:val="24"/>
          <w:szCs w:val="24"/>
          <w:u w:val="single"/>
        </w:rPr>
        <w:t>Opløsningen i kapslen</w:t>
      </w:r>
    </w:p>
    <w:p w14:paraId="310BE2CD" w14:textId="77777777" w:rsidR="00C629D9" w:rsidRPr="00C629D9" w:rsidRDefault="00C629D9" w:rsidP="00C629D9">
      <w:pPr>
        <w:tabs>
          <w:tab w:val="left" w:pos="851"/>
        </w:tabs>
        <w:ind w:left="851"/>
        <w:rPr>
          <w:sz w:val="24"/>
          <w:szCs w:val="24"/>
        </w:rPr>
      </w:pPr>
      <w:proofErr w:type="spellStart"/>
      <w:r w:rsidRPr="00C629D9">
        <w:rPr>
          <w:sz w:val="24"/>
          <w:szCs w:val="24"/>
        </w:rPr>
        <w:t>Macrogol</w:t>
      </w:r>
      <w:proofErr w:type="spellEnd"/>
    </w:p>
    <w:p w14:paraId="3008A32C" w14:textId="77777777" w:rsidR="00C629D9" w:rsidRPr="00C629D9" w:rsidRDefault="00C629D9" w:rsidP="00C629D9">
      <w:pPr>
        <w:tabs>
          <w:tab w:val="left" w:pos="851"/>
        </w:tabs>
        <w:ind w:left="851"/>
        <w:rPr>
          <w:sz w:val="24"/>
          <w:szCs w:val="24"/>
        </w:rPr>
      </w:pPr>
      <w:r w:rsidRPr="00C629D9">
        <w:rPr>
          <w:sz w:val="24"/>
          <w:szCs w:val="24"/>
        </w:rPr>
        <w:t>Glycerol</w:t>
      </w:r>
    </w:p>
    <w:p w14:paraId="56689A83" w14:textId="77777777" w:rsidR="00C629D9" w:rsidRPr="00C629D9" w:rsidRDefault="00C629D9" w:rsidP="00C629D9">
      <w:pPr>
        <w:tabs>
          <w:tab w:val="left" w:pos="851"/>
        </w:tabs>
        <w:ind w:left="851"/>
        <w:rPr>
          <w:sz w:val="24"/>
          <w:szCs w:val="24"/>
        </w:rPr>
      </w:pPr>
      <w:proofErr w:type="spellStart"/>
      <w:r w:rsidRPr="00C629D9">
        <w:rPr>
          <w:sz w:val="24"/>
          <w:szCs w:val="24"/>
        </w:rPr>
        <w:t>Ethanol</w:t>
      </w:r>
      <w:proofErr w:type="spellEnd"/>
      <w:r w:rsidRPr="00C629D9">
        <w:rPr>
          <w:sz w:val="24"/>
          <w:szCs w:val="24"/>
        </w:rPr>
        <w:t>, vandfri</w:t>
      </w:r>
    </w:p>
    <w:p w14:paraId="05FC7107" w14:textId="77777777" w:rsidR="00C629D9" w:rsidRPr="00C629D9" w:rsidRDefault="00C629D9" w:rsidP="00C629D9">
      <w:pPr>
        <w:tabs>
          <w:tab w:val="left" w:pos="851"/>
        </w:tabs>
        <w:ind w:left="851"/>
        <w:rPr>
          <w:sz w:val="24"/>
          <w:szCs w:val="24"/>
        </w:rPr>
      </w:pPr>
      <w:r w:rsidRPr="00C629D9">
        <w:rPr>
          <w:sz w:val="24"/>
          <w:szCs w:val="24"/>
        </w:rPr>
        <w:t>Vand, renset</w:t>
      </w:r>
    </w:p>
    <w:p w14:paraId="4088E06D" w14:textId="77777777" w:rsidR="00C629D9" w:rsidRPr="00C629D9" w:rsidRDefault="00C629D9" w:rsidP="00C629D9">
      <w:pPr>
        <w:tabs>
          <w:tab w:val="left" w:pos="851"/>
        </w:tabs>
        <w:ind w:left="851"/>
        <w:rPr>
          <w:sz w:val="24"/>
          <w:szCs w:val="24"/>
        </w:rPr>
      </w:pPr>
    </w:p>
    <w:p w14:paraId="5E1688FE" w14:textId="36B09F62" w:rsidR="00C629D9" w:rsidRPr="00C629D9" w:rsidRDefault="00C629D9" w:rsidP="00C629D9">
      <w:pPr>
        <w:tabs>
          <w:tab w:val="left" w:pos="851"/>
        </w:tabs>
        <w:ind w:left="851"/>
        <w:rPr>
          <w:sz w:val="24"/>
          <w:szCs w:val="24"/>
        </w:rPr>
      </w:pPr>
      <w:r w:rsidRPr="00C629D9">
        <w:rPr>
          <w:sz w:val="24"/>
          <w:szCs w:val="24"/>
          <w:u w:val="single"/>
        </w:rPr>
        <w:t>Kapselskal</w:t>
      </w:r>
    </w:p>
    <w:p w14:paraId="2192587C" w14:textId="77777777" w:rsidR="00C629D9" w:rsidRPr="00C629D9" w:rsidRDefault="00C629D9" w:rsidP="00C629D9">
      <w:pPr>
        <w:tabs>
          <w:tab w:val="left" w:pos="851"/>
        </w:tabs>
        <w:ind w:left="851"/>
        <w:rPr>
          <w:sz w:val="24"/>
          <w:szCs w:val="24"/>
        </w:rPr>
      </w:pPr>
      <w:r w:rsidRPr="00C629D9">
        <w:rPr>
          <w:sz w:val="24"/>
          <w:szCs w:val="24"/>
        </w:rPr>
        <w:t>Gelatine</w:t>
      </w:r>
    </w:p>
    <w:p w14:paraId="06594938" w14:textId="77777777" w:rsidR="00C629D9" w:rsidRPr="00C629D9" w:rsidRDefault="00C629D9" w:rsidP="00C629D9">
      <w:pPr>
        <w:tabs>
          <w:tab w:val="left" w:pos="851"/>
        </w:tabs>
        <w:ind w:left="851"/>
        <w:rPr>
          <w:sz w:val="24"/>
          <w:szCs w:val="24"/>
        </w:rPr>
      </w:pPr>
      <w:r w:rsidRPr="00C629D9">
        <w:rPr>
          <w:sz w:val="24"/>
          <w:szCs w:val="24"/>
        </w:rPr>
        <w:lastRenderedPageBreak/>
        <w:t>Glycerol</w:t>
      </w:r>
    </w:p>
    <w:p w14:paraId="2A5A975A" w14:textId="30DF3FA1" w:rsidR="00C629D9" w:rsidRPr="00C629D9" w:rsidRDefault="00C629D9" w:rsidP="00C629D9">
      <w:pPr>
        <w:tabs>
          <w:tab w:val="left" w:pos="851"/>
        </w:tabs>
        <w:ind w:left="851"/>
        <w:rPr>
          <w:sz w:val="24"/>
          <w:szCs w:val="24"/>
        </w:rPr>
      </w:pPr>
      <w:r w:rsidRPr="00C629D9">
        <w:rPr>
          <w:sz w:val="24"/>
          <w:szCs w:val="24"/>
        </w:rPr>
        <w:t xml:space="preserve">Sorbitol, flydende, delvist dehydreret (E420) </w:t>
      </w:r>
    </w:p>
    <w:p w14:paraId="706D1F66" w14:textId="7F98DE4C" w:rsidR="00C629D9" w:rsidRPr="00C629D9" w:rsidRDefault="00C629D9" w:rsidP="00C629D9">
      <w:pPr>
        <w:tabs>
          <w:tab w:val="left" w:pos="851"/>
        </w:tabs>
        <w:ind w:left="851"/>
        <w:rPr>
          <w:sz w:val="24"/>
          <w:szCs w:val="24"/>
        </w:rPr>
      </w:pPr>
      <w:r w:rsidRPr="00C629D9">
        <w:rPr>
          <w:sz w:val="24"/>
          <w:szCs w:val="24"/>
        </w:rPr>
        <w:t>Titandioxid (E171)</w:t>
      </w:r>
    </w:p>
    <w:p w14:paraId="255A85BD" w14:textId="26950F82" w:rsidR="00C629D9" w:rsidRPr="00C629D9" w:rsidRDefault="00C629D9" w:rsidP="00C629D9">
      <w:pPr>
        <w:tabs>
          <w:tab w:val="left" w:pos="851"/>
        </w:tabs>
        <w:ind w:left="851"/>
        <w:rPr>
          <w:sz w:val="24"/>
          <w:szCs w:val="24"/>
        </w:rPr>
      </w:pPr>
      <w:r w:rsidRPr="00C629D9">
        <w:rPr>
          <w:sz w:val="24"/>
          <w:szCs w:val="24"/>
        </w:rPr>
        <w:t>Jernoxid, gul (E172) [kun 20 mg og 80 mg]</w:t>
      </w:r>
    </w:p>
    <w:p w14:paraId="1CC97CE7" w14:textId="3F80B87B" w:rsidR="00C629D9" w:rsidRPr="00C629D9" w:rsidRDefault="00C629D9" w:rsidP="00C629D9">
      <w:pPr>
        <w:tabs>
          <w:tab w:val="left" w:pos="851"/>
        </w:tabs>
        <w:ind w:left="851"/>
        <w:rPr>
          <w:sz w:val="24"/>
          <w:szCs w:val="24"/>
        </w:rPr>
      </w:pPr>
      <w:r w:rsidRPr="00C629D9">
        <w:rPr>
          <w:sz w:val="24"/>
          <w:szCs w:val="24"/>
        </w:rPr>
        <w:t>Jernoxid, rød (E172) [kun 30 mg]</w:t>
      </w:r>
    </w:p>
    <w:p w14:paraId="78C96A34" w14:textId="77777777" w:rsidR="00C629D9" w:rsidRPr="00C629D9" w:rsidRDefault="00C629D9" w:rsidP="00C629D9">
      <w:pPr>
        <w:tabs>
          <w:tab w:val="left" w:pos="851"/>
        </w:tabs>
        <w:ind w:left="851"/>
        <w:rPr>
          <w:sz w:val="24"/>
          <w:szCs w:val="24"/>
        </w:rPr>
      </w:pPr>
    </w:p>
    <w:p w14:paraId="61FC473F" w14:textId="77777777" w:rsidR="00C629D9" w:rsidRPr="00C629D9" w:rsidRDefault="00C629D9" w:rsidP="00C629D9">
      <w:pPr>
        <w:tabs>
          <w:tab w:val="left" w:pos="851"/>
        </w:tabs>
        <w:ind w:left="851"/>
        <w:rPr>
          <w:sz w:val="24"/>
          <w:szCs w:val="24"/>
          <w:u w:val="single"/>
        </w:rPr>
      </w:pPr>
      <w:r w:rsidRPr="00C629D9">
        <w:rPr>
          <w:sz w:val="24"/>
          <w:szCs w:val="24"/>
          <w:u w:val="single"/>
        </w:rPr>
        <w:t>Blæk</w:t>
      </w:r>
    </w:p>
    <w:p w14:paraId="26462D8E" w14:textId="483220BF" w:rsidR="00C629D9" w:rsidRPr="00C629D9" w:rsidRDefault="00C629D9" w:rsidP="00C629D9">
      <w:pPr>
        <w:tabs>
          <w:tab w:val="left" w:pos="851"/>
        </w:tabs>
        <w:ind w:left="851"/>
        <w:rPr>
          <w:sz w:val="24"/>
          <w:szCs w:val="24"/>
        </w:rPr>
      </w:pPr>
      <w:r w:rsidRPr="00C629D9">
        <w:rPr>
          <w:sz w:val="24"/>
          <w:szCs w:val="24"/>
        </w:rPr>
        <w:t>Shellak (E904)</w:t>
      </w:r>
    </w:p>
    <w:p w14:paraId="6D4E691D" w14:textId="461F25F7" w:rsidR="00C629D9" w:rsidRPr="00C629D9" w:rsidRDefault="00C629D9" w:rsidP="00C629D9">
      <w:pPr>
        <w:tabs>
          <w:tab w:val="left" w:pos="851"/>
        </w:tabs>
        <w:ind w:left="851"/>
        <w:rPr>
          <w:sz w:val="24"/>
          <w:szCs w:val="24"/>
        </w:rPr>
      </w:pPr>
      <w:r w:rsidRPr="00C629D9">
        <w:rPr>
          <w:sz w:val="24"/>
          <w:szCs w:val="24"/>
        </w:rPr>
        <w:t>Jernoxid, sort (E172)</w:t>
      </w:r>
    </w:p>
    <w:p w14:paraId="74237724" w14:textId="340041C2" w:rsidR="00C629D9" w:rsidRPr="00C629D9" w:rsidRDefault="00C629D9" w:rsidP="00C629D9">
      <w:pPr>
        <w:tabs>
          <w:tab w:val="left" w:pos="851"/>
        </w:tabs>
        <w:ind w:left="851"/>
        <w:rPr>
          <w:sz w:val="24"/>
          <w:szCs w:val="24"/>
        </w:rPr>
      </w:pPr>
      <w:r w:rsidRPr="00C629D9">
        <w:rPr>
          <w:sz w:val="24"/>
          <w:szCs w:val="24"/>
        </w:rPr>
        <w:t>Ammoniumhydroxid (E527)</w:t>
      </w:r>
    </w:p>
    <w:p w14:paraId="0F9E98CA" w14:textId="33F94C34" w:rsidR="00C629D9" w:rsidRPr="00C629D9" w:rsidRDefault="00C629D9" w:rsidP="00C629D9">
      <w:pPr>
        <w:tabs>
          <w:tab w:val="left" w:pos="851"/>
        </w:tabs>
        <w:ind w:left="851"/>
        <w:rPr>
          <w:sz w:val="24"/>
          <w:szCs w:val="24"/>
        </w:rPr>
      </w:pPr>
      <w:r w:rsidRPr="00C629D9">
        <w:rPr>
          <w:sz w:val="24"/>
          <w:szCs w:val="24"/>
        </w:rPr>
        <w:t>Propylenglycol (E1520)</w:t>
      </w:r>
    </w:p>
    <w:p w14:paraId="550C3CD7" w14:textId="77777777" w:rsidR="009260DE" w:rsidRPr="00C84483" w:rsidRDefault="009260DE" w:rsidP="009260DE">
      <w:pPr>
        <w:tabs>
          <w:tab w:val="left" w:pos="851"/>
        </w:tabs>
        <w:ind w:left="851"/>
        <w:rPr>
          <w:sz w:val="24"/>
          <w:szCs w:val="24"/>
        </w:rPr>
      </w:pPr>
    </w:p>
    <w:p w14:paraId="5186EEE1"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39389318" w14:textId="77777777" w:rsidR="00C629D9" w:rsidRPr="00C629D9" w:rsidRDefault="00C629D9" w:rsidP="00C629D9">
      <w:pPr>
        <w:tabs>
          <w:tab w:val="left" w:pos="851"/>
        </w:tabs>
        <w:ind w:left="851"/>
        <w:rPr>
          <w:sz w:val="24"/>
          <w:szCs w:val="24"/>
        </w:rPr>
      </w:pPr>
      <w:r w:rsidRPr="00C629D9">
        <w:rPr>
          <w:sz w:val="24"/>
          <w:szCs w:val="24"/>
        </w:rPr>
        <w:t>Ikke relevant.</w:t>
      </w:r>
    </w:p>
    <w:p w14:paraId="1803C163" w14:textId="77777777" w:rsidR="009260DE" w:rsidRPr="00C84483" w:rsidRDefault="009260DE" w:rsidP="009260DE">
      <w:pPr>
        <w:tabs>
          <w:tab w:val="left" w:pos="851"/>
        </w:tabs>
        <w:ind w:left="851"/>
        <w:rPr>
          <w:sz w:val="24"/>
          <w:szCs w:val="24"/>
        </w:rPr>
      </w:pPr>
    </w:p>
    <w:p w14:paraId="631EB86C"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B942D33" w14:textId="07F196DC" w:rsidR="00C629D9" w:rsidRPr="00C629D9" w:rsidRDefault="008106BE" w:rsidP="00C629D9">
      <w:pPr>
        <w:tabs>
          <w:tab w:val="left" w:pos="851"/>
        </w:tabs>
        <w:ind w:left="851"/>
        <w:rPr>
          <w:sz w:val="24"/>
          <w:szCs w:val="24"/>
        </w:rPr>
      </w:pPr>
      <w:r>
        <w:rPr>
          <w:sz w:val="24"/>
          <w:szCs w:val="24"/>
        </w:rPr>
        <w:t>21</w:t>
      </w:r>
      <w:r w:rsidR="00C629D9" w:rsidRPr="00C629D9">
        <w:rPr>
          <w:sz w:val="24"/>
          <w:szCs w:val="24"/>
        </w:rPr>
        <w:t xml:space="preserve"> måneder</w:t>
      </w:r>
      <w:r w:rsidR="00CF6EE4">
        <w:rPr>
          <w:sz w:val="24"/>
          <w:szCs w:val="24"/>
        </w:rPr>
        <w:t>.</w:t>
      </w:r>
    </w:p>
    <w:p w14:paraId="0F18EE5C" w14:textId="77777777" w:rsidR="009260DE" w:rsidRPr="00C84483" w:rsidRDefault="009260DE" w:rsidP="009260DE">
      <w:pPr>
        <w:tabs>
          <w:tab w:val="left" w:pos="851"/>
        </w:tabs>
        <w:ind w:left="851"/>
        <w:rPr>
          <w:sz w:val="24"/>
          <w:szCs w:val="24"/>
        </w:rPr>
      </w:pPr>
    </w:p>
    <w:p w14:paraId="4A7CF479"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B9D0DAB" w14:textId="0B5AAEA5" w:rsidR="00C629D9" w:rsidRPr="00C629D9" w:rsidRDefault="00C629D9" w:rsidP="00C629D9">
      <w:pPr>
        <w:tabs>
          <w:tab w:val="left" w:pos="851"/>
        </w:tabs>
        <w:ind w:left="851"/>
        <w:rPr>
          <w:sz w:val="24"/>
          <w:szCs w:val="24"/>
        </w:rPr>
      </w:pPr>
      <w:r w:rsidRPr="00C629D9">
        <w:rPr>
          <w:sz w:val="24"/>
          <w:szCs w:val="24"/>
        </w:rPr>
        <w:t>Opbevares i køleskab (2</w:t>
      </w:r>
      <w:r w:rsidR="00304426">
        <w:rPr>
          <w:sz w:val="24"/>
          <w:szCs w:val="24"/>
        </w:rPr>
        <w:t xml:space="preserve"> </w:t>
      </w:r>
      <w:r w:rsidRPr="00C629D9">
        <w:rPr>
          <w:sz w:val="24"/>
          <w:szCs w:val="24"/>
        </w:rPr>
        <w:t>°C til 8</w:t>
      </w:r>
      <w:r w:rsidR="00304426">
        <w:rPr>
          <w:sz w:val="24"/>
          <w:szCs w:val="24"/>
        </w:rPr>
        <w:t xml:space="preserve"> </w:t>
      </w:r>
      <w:r w:rsidRPr="00C629D9">
        <w:rPr>
          <w:sz w:val="24"/>
          <w:szCs w:val="24"/>
        </w:rPr>
        <w:t>°C).</w:t>
      </w:r>
    </w:p>
    <w:p w14:paraId="54A3C12A" w14:textId="77777777" w:rsidR="009260DE" w:rsidRPr="00C84483" w:rsidRDefault="009260DE" w:rsidP="009260DE">
      <w:pPr>
        <w:tabs>
          <w:tab w:val="left" w:pos="851"/>
        </w:tabs>
        <w:ind w:left="851"/>
        <w:rPr>
          <w:sz w:val="24"/>
          <w:szCs w:val="24"/>
        </w:rPr>
      </w:pPr>
    </w:p>
    <w:p w14:paraId="29363E5A"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4F73547" w14:textId="77777777" w:rsidR="00304426" w:rsidRDefault="00C629D9" w:rsidP="00C629D9">
      <w:pPr>
        <w:tabs>
          <w:tab w:val="left" w:pos="851"/>
        </w:tabs>
        <w:ind w:left="851"/>
        <w:rPr>
          <w:sz w:val="24"/>
          <w:szCs w:val="24"/>
        </w:rPr>
      </w:pPr>
      <w:r w:rsidRPr="00C629D9">
        <w:rPr>
          <w:sz w:val="24"/>
          <w:szCs w:val="24"/>
        </w:rPr>
        <w:t>PVC/</w:t>
      </w:r>
      <w:proofErr w:type="spellStart"/>
      <w:r w:rsidRPr="00C629D9">
        <w:rPr>
          <w:sz w:val="24"/>
          <w:szCs w:val="24"/>
        </w:rPr>
        <w:t>PVdC</w:t>
      </w:r>
      <w:proofErr w:type="spellEnd"/>
      <w:r w:rsidRPr="00C629D9">
        <w:rPr>
          <w:b/>
          <w:bCs/>
          <w:sz w:val="24"/>
          <w:szCs w:val="24"/>
        </w:rPr>
        <w:t>//</w:t>
      </w:r>
      <w:proofErr w:type="spellStart"/>
      <w:r w:rsidRPr="00C629D9">
        <w:rPr>
          <w:sz w:val="24"/>
          <w:szCs w:val="24"/>
        </w:rPr>
        <w:t>Alu</w:t>
      </w:r>
      <w:proofErr w:type="spellEnd"/>
      <w:r w:rsidRPr="00C629D9">
        <w:rPr>
          <w:sz w:val="24"/>
          <w:szCs w:val="24"/>
        </w:rPr>
        <w:t>-blist</w:t>
      </w:r>
      <w:r w:rsidR="00304426">
        <w:rPr>
          <w:sz w:val="24"/>
          <w:szCs w:val="24"/>
        </w:rPr>
        <w:t>er</w:t>
      </w:r>
    </w:p>
    <w:p w14:paraId="35F5F62D" w14:textId="77777777" w:rsidR="00304426" w:rsidRDefault="00304426" w:rsidP="00C629D9">
      <w:pPr>
        <w:tabs>
          <w:tab w:val="left" w:pos="851"/>
        </w:tabs>
        <w:ind w:left="851"/>
        <w:rPr>
          <w:sz w:val="24"/>
          <w:szCs w:val="24"/>
        </w:rPr>
      </w:pPr>
    </w:p>
    <w:p w14:paraId="3BB6DB76" w14:textId="673FD1D8" w:rsidR="00C629D9" w:rsidRPr="00C629D9" w:rsidRDefault="00304426" w:rsidP="00C629D9">
      <w:pPr>
        <w:tabs>
          <w:tab w:val="left" w:pos="851"/>
        </w:tabs>
        <w:ind w:left="851"/>
        <w:rPr>
          <w:sz w:val="24"/>
          <w:szCs w:val="24"/>
        </w:rPr>
      </w:pPr>
      <w:r>
        <w:rPr>
          <w:sz w:val="24"/>
          <w:szCs w:val="24"/>
        </w:rPr>
        <w:t xml:space="preserve">Pakningsstørrelser: </w:t>
      </w:r>
      <w:r w:rsidR="00C629D9" w:rsidRPr="00C629D9">
        <w:rPr>
          <w:sz w:val="24"/>
          <w:szCs w:val="24"/>
        </w:rPr>
        <w:t xml:space="preserve">1, 2, 3 </w:t>
      </w:r>
      <w:r>
        <w:rPr>
          <w:sz w:val="24"/>
          <w:szCs w:val="24"/>
        </w:rPr>
        <w:t>og</w:t>
      </w:r>
      <w:r w:rsidR="00C629D9" w:rsidRPr="00C629D9">
        <w:rPr>
          <w:sz w:val="24"/>
          <w:szCs w:val="24"/>
        </w:rPr>
        <w:t xml:space="preserve"> 4 bløde kapsler.</w:t>
      </w:r>
    </w:p>
    <w:p w14:paraId="44C74B64" w14:textId="77777777" w:rsidR="00C629D9" w:rsidRPr="00C629D9" w:rsidRDefault="00C629D9" w:rsidP="00C629D9">
      <w:pPr>
        <w:tabs>
          <w:tab w:val="left" w:pos="851"/>
        </w:tabs>
        <w:ind w:left="851"/>
        <w:rPr>
          <w:sz w:val="24"/>
          <w:szCs w:val="24"/>
        </w:rPr>
      </w:pPr>
      <w:r w:rsidRPr="00C629D9">
        <w:rPr>
          <w:sz w:val="24"/>
          <w:szCs w:val="24"/>
        </w:rPr>
        <w:t>Ikke alle pakningsstørrelser er nødvendigvis markedsført.</w:t>
      </w:r>
    </w:p>
    <w:p w14:paraId="042138F9" w14:textId="77777777" w:rsidR="009260DE" w:rsidRPr="00C84483" w:rsidRDefault="009260DE" w:rsidP="009260DE">
      <w:pPr>
        <w:tabs>
          <w:tab w:val="left" w:pos="851"/>
        </w:tabs>
        <w:ind w:left="851"/>
        <w:rPr>
          <w:sz w:val="24"/>
          <w:szCs w:val="24"/>
        </w:rPr>
      </w:pPr>
    </w:p>
    <w:p w14:paraId="099363F4"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6412707B" w14:textId="77777777" w:rsidR="00714D78" w:rsidRPr="00714D78" w:rsidRDefault="00714D78" w:rsidP="00714D78">
      <w:pPr>
        <w:tabs>
          <w:tab w:val="left" w:pos="851"/>
        </w:tabs>
        <w:ind w:left="851"/>
        <w:rPr>
          <w:sz w:val="24"/>
          <w:szCs w:val="24"/>
        </w:rPr>
      </w:pPr>
      <w:r w:rsidRPr="00714D78">
        <w:rPr>
          <w:sz w:val="24"/>
          <w:szCs w:val="24"/>
        </w:rPr>
        <w:t>Ikke anvendt lægemiddel samt affald heraf skal bortskaffes i henhold til lokale retningslinjer.</w:t>
      </w:r>
    </w:p>
    <w:p w14:paraId="7F2670D3" w14:textId="77777777" w:rsidR="009260DE" w:rsidRPr="00C84483" w:rsidRDefault="009260DE" w:rsidP="000730CA">
      <w:pPr>
        <w:tabs>
          <w:tab w:val="left" w:pos="851"/>
        </w:tabs>
        <w:ind w:left="851"/>
        <w:rPr>
          <w:sz w:val="24"/>
          <w:szCs w:val="24"/>
        </w:rPr>
      </w:pPr>
    </w:p>
    <w:p w14:paraId="00C344F8"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6B26BD7" w14:textId="77777777" w:rsidR="00714D78" w:rsidRPr="00257154" w:rsidRDefault="00714D78" w:rsidP="00714D78">
      <w:pPr>
        <w:tabs>
          <w:tab w:val="left" w:pos="851"/>
        </w:tabs>
        <w:ind w:left="851"/>
        <w:rPr>
          <w:sz w:val="24"/>
          <w:szCs w:val="24"/>
        </w:rPr>
      </w:pPr>
      <w:proofErr w:type="spellStart"/>
      <w:r w:rsidRPr="00257154">
        <w:rPr>
          <w:sz w:val="24"/>
          <w:szCs w:val="24"/>
        </w:rPr>
        <w:t>Accord</w:t>
      </w:r>
      <w:proofErr w:type="spellEnd"/>
      <w:r w:rsidRPr="00257154">
        <w:rPr>
          <w:sz w:val="24"/>
          <w:szCs w:val="24"/>
        </w:rPr>
        <w:t xml:space="preserve"> Healthcare B.V.</w:t>
      </w:r>
    </w:p>
    <w:p w14:paraId="35E00DA5" w14:textId="16622DB4" w:rsidR="00714D78" w:rsidRPr="00257154" w:rsidRDefault="00714D78" w:rsidP="00714D78">
      <w:pPr>
        <w:tabs>
          <w:tab w:val="left" w:pos="851"/>
        </w:tabs>
        <w:ind w:left="851"/>
        <w:rPr>
          <w:sz w:val="24"/>
          <w:szCs w:val="24"/>
        </w:rPr>
      </w:pPr>
      <w:proofErr w:type="spellStart"/>
      <w:r w:rsidRPr="00257154">
        <w:rPr>
          <w:sz w:val="24"/>
          <w:szCs w:val="24"/>
        </w:rPr>
        <w:t>Winthontlaan</w:t>
      </w:r>
      <w:proofErr w:type="spellEnd"/>
      <w:r w:rsidRPr="00257154">
        <w:rPr>
          <w:sz w:val="24"/>
          <w:szCs w:val="24"/>
        </w:rPr>
        <w:t xml:space="preserve"> 200</w:t>
      </w:r>
    </w:p>
    <w:p w14:paraId="6F783434" w14:textId="4F800AE3" w:rsidR="00714D78" w:rsidRPr="00714D78" w:rsidRDefault="00714D78" w:rsidP="00714D78">
      <w:pPr>
        <w:tabs>
          <w:tab w:val="left" w:pos="851"/>
        </w:tabs>
        <w:ind w:left="851"/>
        <w:rPr>
          <w:sz w:val="24"/>
          <w:szCs w:val="24"/>
        </w:rPr>
      </w:pPr>
      <w:r w:rsidRPr="00714D78">
        <w:rPr>
          <w:sz w:val="24"/>
          <w:szCs w:val="24"/>
        </w:rPr>
        <w:t>3526 KV, Utrecht</w:t>
      </w:r>
    </w:p>
    <w:p w14:paraId="717790BF" w14:textId="77777777" w:rsidR="00714D78" w:rsidRPr="00714D78" w:rsidRDefault="00714D78" w:rsidP="00714D78">
      <w:pPr>
        <w:tabs>
          <w:tab w:val="left" w:pos="851"/>
        </w:tabs>
        <w:ind w:left="851"/>
        <w:rPr>
          <w:sz w:val="24"/>
          <w:szCs w:val="24"/>
        </w:rPr>
      </w:pPr>
      <w:r w:rsidRPr="00714D78">
        <w:rPr>
          <w:sz w:val="24"/>
          <w:szCs w:val="24"/>
        </w:rPr>
        <w:t xml:space="preserve">Holland </w:t>
      </w:r>
    </w:p>
    <w:p w14:paraId="4DEA6AD1" w14:textId="77777777" w:rsidR="00641C65" w:rsidRPr="00641C65" w:rsidRDefault="00641C65" w:rsidP="009260DE">
      <w:pPr>
        <w:tabs>
          <w:tab w:val="left" w:pos="851"/>
        </w:tabs>
        <w:ind w:left="851"/>
        <w:rPr>
          <w:sz w:val="24"/>
          <w:szCs w:val="24"/>
        </w:rPr>
      </w:pPr>
    </w:p>
    <w:p w14:paraId="3510A90C"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B31F205" w14:textId="33DF318E" w:rsidR="009260DE" w:rsidRDefault="0049384E" w:rsidP="0049384E">
      <w:pPr>
        <w:tabs>
          <w:tab w:val="left" w:pos="851"/>
          <w:tab w:val="left" w:pos="1701"/>
        </w:tabs>
        <w:ind w:left="851"/>
        <w:rPr>
          <w:sz w:val="24"/>
          <w:szCs w:val="24"/>
        </w:rPr>
      </w:pPr>
      <w:r>
        <w:rPr>
          <w:sz w:val="24"/>
          <w:szCs w:val="24"/>
        </w:rPr>
        <w:t>20 mg:</w:t>
      </w:r>
      <w:r>
        <w:rPr>
          <w:sz w:val="24"/>
          <w:szCs w:val="24"/>
        </w:rPr>
        <w:tab/>
        <w:t>66026</w:t>
      </w:r>
    </w:p>
    <w:p w14:paraId="147CD939" w14:textId="48DD47F1" w:rsidR="0049384E" w:rsidRDefault="0049384E" w:rsidP="0049384E">
      <w:pPr>
        <w:tabs>
          <w:tab w:val="left" w:pos="851"/>
          <w:tab w:val="left" w:pos="1701"/>
        </w:tabs>
        <w:ind w:left="851"/>
        <w:rPr>
          <w:sz w:val="24"/>
          <w:szCs w:val="24"/>
        </w:rPr>
      </w:pPr>
      <w:r>
        <w:rPr>
          <w:sz w:val="24"/>
          <w:szCs w:val="24"/>
        </w:rPr>
        <w:t>30 mg:</w:t>
      </w:r>
      <w:r>
        <w:rPr>
          <w:sz w:val="24"/>
          <w:szCs w:val="24"/>
        </w:rPr>
        <w:tab/>
        <w:t>66027</w:t>
      </w:r>
    </w:p>
    <w:p w14:paraId="6C1DB1D4" w14:textId="0127A705" w:rsidR="0049384E" w:rsidRPr="00C84483" w:rsidRDefault="0049384E" w:rsidP="0049384E">
      <w:pPr>
        <w:tabs>
          <w:tab w:val="left" w:pos="851"/>
          <w:tab w:val="left" w:pos="1701"/>
        </w:tabs>
        <w:ind w:left="851"/>
        <w:rPr>
          <w:sz w:val="24"/>
          <w:szCs w:val="24"/>
        </w:rPr>
      </w:pPr>
      <w:r>
        <w:rPr>
          <w:sz w:val="24"/>
          <w:szCs w:val="24"/>
        </w:rPr>
        <w:t>80 mg:</w:t>
      </w:r>
      <w:r>
        <w:rPr>
          <w:sz w:val="24"/>
          <w:szCs w:val="24"/>
        </w:rPr>
        <w:tab/>
        <w:t>66028</w:t>
      </w:r>
    </w:p>
    <w:p w14:paraId="261EA0A8" w14:textId="77777777" w:rsidR="009260DE" w:rsidRPr="00C84483" w:rsidRDefault="009260DE" w:rsidP="009260DE">
      <w:pPr>
        <w:tabs>
          <w:tab w:val="left" w:pos="851"/>
        </w:tabs>
        <w:ind w:left="851"/>
        <w:jc w:val="both"/>
        <w:rPr>
          <w:sz w:val="24"/>
          <w:szCs w:val="24"/>
        </w:rPr>
      </w:pPr>
    </w:p>
    <w:p w14:paraId="000603A9"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1C70779" w14:textId="3B6FC145" w:rsidR="009260DE" w:rsidRPr="00C84483" w:rsidRDefault="00257154" w:rsidP="009260DE">
      <w:pPr>
        <w:tabs>
          <w:tab w:val="left" w:pos="851"/>
        </w:tabs>
        <w:ind w:left="851"/>
        <w:rPr>
          <w:sz w:val="24"/>
          <w:szCs w:val="24"/>
        </w:rPr>
      </w:pPr>
      <w:r>
        <w:rPr>
          <w:sz w:val="24"/>
          <w:szCs w:val="24"/>
        </w:rPr>
        <w:t>23. august 2023</w:t>
      </w:r>
    </w:p>
    <w:p w14:paraId="4B764C5A" w14:textId="77777777" w:rsidR="009260DE" w:rsidRPr="00C84483" w:rsidRDefault="009260DE" w:rsidP="009260DE">
      <w:pPr>
        <w:tabs>
          <w:tab w:val="left" w:pos="851"/>
        </w:tabs>
        <w:ind w:left="851"/>
        <w:rPr>
          <w:sz w:val="24"/>
          <w:szCs w:val="24"/>
        </w:rPr>
      </w:pPr>
    </w:p>
    <w:p w14:paraId="145C0450"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91E3CBE" w14:textId="03B453D4" w:rsidR="009260DE" w:rsidRPr="00C84483" w:rsidRDefault="00FB319B" w:rsidP="009260DE">
      <w:pPr>
        <w:tabs>
          <w:tab w:val="left" w:pos="851"/>
        </w:tabs>
        <w:ind w:left="851"/>
        <w:rPr>
          <w:sz w:val="24"/>
          <w:szCs w:val="24"/>
        </w:rPr>
      </w:pPr>
      <w:r>
        <w:rPr>
          <w:sz w:val="24"/>
          <w:szCs w:val="24"/>
        </w:rPr>
        <w:t>2</w:t>
      </w:r>
      <w:r w:rsidR="008106BE">
        <w:rPr>
          <w:sz w:val="24"/>
          <w:szCs w:val="24"/>
        </w:rPr>
        <w:t>5</w:t>
      </w:r>
      <w:r>
        <w:rPr>
          <w:sz w:val="24"/>
          <w:szCs w:val="24"/>
        </w:rPr>
        <w:t xml:space="preserve">. </w:t>
      </w:r>
      <w:r w:rsidR="008106BE">
        <w:rPr>
          <w:sz w:val="24"/>
          <w:szCs w:val="24"/>
        </w:rPr>
        <w:t xml:space="preserve">marts </w:t>
      </w:r>
      <w:bookmarkStart w:id="0" w:name="_GoBack"/>
      <w:bookmarkEnd w:id="0"/>
      <w:r>
        <w:rPr>
          <w:sz w:val="24"/>
          <w:szCs w:val="24"/>
        </w:rPr>
        <w:t>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8F789" w14:textId="77777777" w:rsidR="0039744C" w:rsidRDefault="0039744C">
      <w:r>
        <w:separator/>
      </w:r>
    </w:p>
  </w:endnote>
  <w:endnote w:type="continuationSeparator" w:id="0">
    <w:p w14:paraId="78366375" w14:textId="77777777" w:rsidR="0039744C" w:rsidRDefault="0039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EC09A" w14:textId="77777777" w:rsidR="0039744C" w:rsidRDefault="0039744C">
    <w:pPr>
      <w:pStyle w:val="Sidefod"/>
      <w:pBdr>
        <w:bottom w:val="single" w:sz="6" w:space="1" w:color="auto"/>
      </w:pBdr>
    </w:pPr>
  </w:p>
  <w:p w14:paraId="139FBAE6" w14:textId="77777777" w:rsidR="0039744C" w:rsidRDefault="0039744C" w:rsidP="00C42586">
    <w:pPr>
      <w:pStyle w:val="Sidefod"/>
      <w:tabs>
        <w:tab w:val="clear" w:pos="4819"/>
        <w:tab w:val="left" w:pos="8505"/>
      </w:tabs>
      <w:rPr>
        <w:i/>
        <w:sz w:val="18"/>
        <w:szCs w:val="18"/>
      </w:rPr>
    </w:pPr>
  </w:p>
  <w:p w14:paraId="71D1D30E" w14:textId="6BC10319" w:rsidR="0039744C" w:rsidRPr="00B373D7" w:rsidRDefault="0039744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629D9">
      <w:rPr>
        <w:i/>
        <w:noProof/>
        <w:sz w:val="18"/>
        <w:szCs w:val="18"/>
      </w:rPr>
      <w:t>Vinorelbine Accord, bløde kapsler 20 mg, 30 mg og 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46CD9" w14:textId="77777777" w:rsidR="0039744C" w:rsidRDefault="0039744C">
      <w:r>
        <w:separator/>
      </w:r>
    </w:p>
  </w:footnote>
  <w:footnote w:type="continuationSeparator" w:id="0">
    <w:p w14:paraId="5A4F44E9" w14:textId="77777777" w:rsidR="0039744C" w:rsidRDefault="00397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66"/>
    <w:rsid w:val="000259B9"/>
    <w:rsid w:val="00041491"/>
    <w:rsid w:val="00050D16"/>
    <w:rsid w:val="000730CA"/>
    <w:rsid w:val="00074F2A"/>
    <w:rsid w:val="000A1CA8"/>
    <w:rsid w:val="000A466B"/>
    <w:rsid w:val="000B058C"/>
    <w:rsid w:val="000D68B0"/>
    <w:rsid w:val="000E4EE6"/>
    <w:rsid w:val="001454E2"/>
    <w:rsid w:val="0015298E"/>
    <w:rsid w:val="001858A3"/>
    <w:rsid w:val="001A3F90"/>
    <w:rsid w:val="001B234C"/>
    <w:rsid w:val="00206CE8"/>
    <w:rsid w:val="0021526C"/>
    <w:rsid w:val="00257154"/>
    <w:rsid w:val="00281876"/>
    <w:rsid w:val="00283A2B"/>
    <w:rsid w:val="002B30AD"/>
    <w:rsid w:val="002C1EC0"/>
    <w:rsid w:val="002C2C01"/>
    <w:rsid w:val="00304426"/>
    <w:rsid w:val="0031156F"/>
    <w:rsid w:val="00396D32"/>
    <w:rsid w:val="0039744C"/>
    <w:rsid w:val="003A29AE"/>
    <w:rsid w:val="003A32D7"/>
    <w:rsid w:val="003B04B0"/>
    <w:rsid w:val="003B4074"/>
    <w:rsid w:val="003C769A"/>
    <w:rsid w:val="003D3A90"/>
    <w:rsid w:val="003E5E66"/>
    <w:rsid w:val="003F1838"/>
    <w:rsid w:val="0045746C"/>
    <w:rsid w:val="00462853"/>
    <w:rsid w:val="0049104B"/>
    <w:rsid w:val="0049384E"/>
    <w:rsid w:val="004A331C"/>
    <w:rsid w:val="004C5B88"/>
    <w:rsid w:val="004E3B12"/>
    <w:rsid w:val="004F2179"/>
    <w:rsid w:val="00514164"/>
    <w:rsid w:val="00532310"/>
    <w:rsid w:val="00565F0F"/>
    <w:rsid w:val="00594A86"/>
    <w:rsid w:val="00596D86"/>
    <w:rsid w:val="00637F5A"/>
    <w:rsid w:val="00641C65"/>
    <w:rsid w:val="006560B1"/>
    <w:rsid w:val="006756DD"/>
    <w:rsid w:val="0071241E"/>
    <w:rsid w:val="00714D78"/>
    <w:rsid w:val="00737275"/>
    <w:rsid w:val="00740EEC"/>
    <w:rsid w:val="0078011A"/>
    <w:rsid w:val="00782AF4"/>
    <w:rsid w:val="00790EE7"/>
    <w:rsid w:val="007B6649"/>
    <w:rsid w:val="008106BE"/>
    <w:rsid w:val="0082576E"/>
    <w:rsid w:val="008D45AC"/>
    <w:rsid w:val="00907F75"/>
    <w:rsid w:val="009260DE"/>
    <w:rsid w:val="0093258A"/>
    <w:rsid w:val="00950468"/>
    <w:rsid w:val="009C7BA3"/>
    <w:rsid w:val="009D1F5A"/>
    <w:rsid w:val="00A10294"/>
    <w:rsid w:val="00A12FE8"/>
    <w:rsid w:val="00A645F9"/>
    <w:rsid w:val="00A72AE7"/>
    <w:rsid w:val="00AB51DE"/>
    <w:rsid w:val="00AC5521"/>
    <w:rsid w:val="00B003BF"/>
    <w:rsid w:val="00B373D7"/>
    <w:rsid w:val="00B375F3"/>
    <w:rsid w:val="00B55271"/>
    <w:rsid w:val="00BD7931"/>
    <w:rsid w:val="00BE03B3"/>
    <w:rsid w:val="00BF6243"/>
    <w:rsid w:val="00C36276"/>
    <w:rsid w:val="00C42586"/>
    <w:rsid w:val="00C45F6B"/>
    <w:rsid w:val="00C60CCD"/>
    <w:rsid w:val="00C629D9"/>
    <w:rsid w:val="00C84483"/>
    <w:rsid w:val="00C95551"/>
    <w:rsid w:val="00CB20D7"/>
    <w:rsid w:val="00CF6EE4"/>
    <w:rsid w:val="00D020B0"/>
    <w:rsid w:val="00D11748"/>
    <w:rsid w:val="00D237F6"/>
    <w:rsid w:val="00D34D98"/>
    <w:rsid w:val="00D366CF"/>
    <w:rsid w:val="00D93992"/>
    <w:rsid w:val="00DA35C4"/>
    <w:rsid w:val="00DD1756"/>
    <w:rsid w:val="00DD4CDA"/>
    <w:rsid w:val="00E04B54"/>
    <w:rsid w:val="00E108AA"/>
    <w:rsid w:val="00E3749A"/>
    <w:rsid w:val="00E7437F"/>
    <w:rsid w:val="00E865B8"/>
    <w:rsid w:val="00EC0B9B"/>
    <w:rsid w:val="00ED5E9F"/>
    <w:rsid w:val="00F00743"/>
    <w:rsid w:val="00F66D4F"/>
    <w:rsid w:val="00F90404"/>
    <w:rsid w:val="00FB319B"/>
    <w:rsid w:val="00FB6D01"/>
    <w:rsid w:val="00FB72C6"/>
    <w:rsid w:val="00FE17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C2EE4"/>
  <w15:chartTrackingRefBased/>
  <w15:docId w15:val="{41B9B6C4-2F69-4970-B75D-7AB52475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E04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9744C"/>
    <w:pPr>
      <w:widowControl w:val="0"/>
      <w:autoSpaceDE w:val="0"/>
      <w:autoSpaceDN w:val="0"/>
      <w:adjustRightInd w:val="0"/>
    </w:pPr>
    <w:rPr>
      <w:rFonts w:eastAsiaTheme="minorEastAsia"/>
      <w:sz w:val="24"/>
      <w:szCs w:val="24"/>
      <w:lang w:val="en-US"/>
    </w:rPr>
  </w:style>
  <w:style w:type="character" w:styleId="Hyperlink">
    <w:name w:val="Hyperlink"/>
    <w:basedOn w:val="Standardskrifttypeiafsnit"/>
    <w:uiPriority w:val="99"/>
    <w:semiHidden/>
    <w:unhideWhenUsed/>
    <w:rsid w:val="00397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9328">
      <w:bodyDiv w:val="1"/>
      <w:marLeft w:val="0"/>
      <w:marRight w:val="0"/>
      <w:marTop w:val="0"/>
      <w:marBottom w:val="0"/>
      <w:divBdr>
        <w:top w:val="none" w:sz="0" w:space="0" w:color="auto"/>
        <w:left w:val="none" w:sz="0" w:space="0" w:color="auto"/>
        <w:bottom w:val="none" w:sz="0" w:space="0" w:color="auto"/>
        <w:right w:val="none" w:sz="0" w:space="0" w:color="auto"/>
      </w:divBdr>
    </w:div>
    <w:div w:id="8340102">
      <w:bodyDiv w:val="1"/>
      <w:marLeft w:val="0"/>
      <w:marRight w:val="0"/>
      <w:marTop w:val="0"/>
      <w:marBottom w:val="0"/>
      <w:divBdr>
        <w:top w:val="none" w:sz="0" w:space="0" w:color="auto"/>
        <w:left w:val="none" w:sz="0" w:space="0" w:color="auto"/>
        <w:bottom w:val="none" w:sz="0" w:space="0" w:color="auto"/>
        <w:right w:val="none" w:sz="0" w:space="0" w:color="auto"/>
      </w:divBdr>
    </w:div>
    <w:div w:id="35325240">
      <w:bodyDiv w:val="1"/>
      <w:marLeft w:val="0"/>
      <w:marRight w:val="0"/>
      <w:marTop w:val="0"/>
      <w:marBottom w:val="0"/>
      <w:divBdr>
        <w:top w:val="none" w:sz="0" w:space="0" w:color="auto"/>
        <w:left w:val="none" w:sz="0" w:space="0" w:color="auto"/>
        <w:bottom w:val="none" w:sz="0" w:space="0" w:color="auto"/>
        <w:right w:val="none" w:sz="0" w:space="0" w:color="auto"/>
      </w:divBdr>
    </w:div>
    <w:div w:id="74672397">
      <w:bodyDiv w:val="1"/>
      <w:marLeft w:val="0"/>
      <w:marRight w:val="0"/>
      <w:marTop w:val="0"/>
      <w:marBottom w:val="0"/>
      <w:divBdr>
        <w:top w:val="none" w:sz="0" w:space="0" w:color="auto"/>
        <w:left w:val="none" w:sz="0" w:space="0" w:color="auto"/>
        <w:bottom w:val="none" w:sz="0" w:space="0" w:color="auto"/>
        <w:right w:val="none" w:sz="0" w:space="0" w:color="auto"/>
      </w:divBdr>
    </w:div>
    <w:div w:id="115947642">
      <w:bodyDiv w:val="1"/>
      <w:marLeft w:val="0"/>
      <w:marRight w:val="0"/>
      <w:marTop w:val="0"/>
      <w:marBottom w:val="0"/>
      <w:divBdr>
        <w:top w:val="none" w:sz="0" w:space="0" w:color="auto"/>
        <w:left w:val="none" w:sz="0" w:space="0" w:color="auto"/>
        <w:bottom w:val="none" w:sz="0" w:space="0" w:color="auto"/>
        <w:right w:val="none" w:sz="0" w:space="0" w:color="auto"/>
      </w:divBdr>
    </w:div>
    <w:div w:id="131098827">
      <w:bodyDiv w:val="1"/>
      <w:marLeft w:val="0"/>
      <w:marRight w:val="0"/>
      <w:marTop w:val="0"/>
      <w:marBottom w:val="0"/>
      <w:divBdr>
        <w:top w:val="none" w:sz="0" w:space="0" w:color="auto"/>
        <w:left w:val="none" w:sz="0" w:space="0" w:color="auto"/>
        <w:bottom w:val="none" w:sz="0" w:space="0" w:color="auto"/>
        <w:right w:val="none" w:sz="0" w:space="0" w:color="auto"/>
      </w:divBdr>
    </w:div>
    <w:div w:id="13587733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7593895">
      <w:bodyDiv w:val="1"/>
      <w:marLeft w:val="0"/>
      <w:marRight w:val="0"/>
      <w:marTop w:val="0"/>
      <w:marBottom w:val="0"/>
      <w:divBdr>
        <w:top w:val="none" w:sz="0" w:space="0" w:color="auto"/>
        <w:left w:val="none" w:sz="0" w:space="0" w:color="auto"/>
        <w:bottom w:val="none" w:sz="0" w:space="0" w:color="auto"/>
        <w:right w:val="none" w:sz="0" w:space="0" w:color="auto"/>
      </w:divBdr>
    </w:div>
    <w:div w:id="254704955">
      <w:bodyDiv w:val="1"/>
      <w:marLeft w:val="0"/>
      <w:marRight w:val="0"/>
      <w:marTop w:val="0"/>
      <w:marBottom w:val="0"/>
      <w:divBdr>
        <w:top w:val="none" w:sz="0" w:space="0" w:color="auto"/>
        <w:left w:val="none" w:sz="0" w:space="0" w:color="auto"/>
        <w:bottom w:val="none" w:sz="0" w:space="0" w:color="auto"/>
        <w:right w:val="none" w:sz="0" w:space="0" w:color="auto"/>
      </w:divBdr>
    </w:div>
    <w:div w:id="327711701">
      <w:bodyDiv w:val="1"/>
      <w:marLeft w:val="0"/>
      <w:marRight w:val="0"/>
      <w:marTop w:val="0"/>
      <w:marBottom w:val="0"/>
      <w:divBdr>
        <w:top w:val="none" w:sz="0" w:space="0" w:color="auto"/>
        <w:left w:val="none" w:sz="0" w:space="0" w:color="auto"/>
        <w:bottom w:val="none" w:sz="0" w:space="0" w:color="auto"/>
        <w:right w:val="none" w:sz="0" w:space="0" w:color="auto"/>
      </w:divBdr>
    </w:div>
    <w:div w:id="501163299">
      <w:bodyDiv w:val="1"/>
      <w:marLeft w:val="0"/>
      <w:marRight w:val="0"/>
      <w:marTop w:val="0"/>
      <w:marBottom w:val="0"/>
      <w:divBdr>
        <w:top w:val="none" w:sz="0" w:space="0" w:color="auto"/>
        <w:left w:val="none" w:sz="0" w:space="0" w:color="auto"/>
        <w:bottom w:val="none" w:sz="0" w:space="0" w:color="auto"/>
        <w:right w:val="none" w:sz="0" w:space="0" w:color="auto"/>
      </w:divBdr>
    </w:div>
    <w:div w:id="559098090">
      <w:bodyDiv w:val="1"/>
      <w:marLeft w:val="0"/>
      <w:marRight w:val="0"/>
      <w:marTop w:val="0"/>
      <w:marBottom w:val="0"/>
      <w:divBdr>
        <w:top w:val="none" w:sz="0" w:space="0" w:color="auto"/>
        <w:left w:val="none" w:sz="0" w:space="0" w:color="auto"/>
        <w:bottom w:val="none" w:sz="0" w:space="0" w:color="auto"/>
        <w:right w:val="none" w:sz="0" w:space="0" w:color="auto"/>
      </w:divBdr>
    </w:div>
    <w:div w:id="702906194">
      <w:bodyDiv w:val="1"/>
      <w:marLeft w:val="0"/>
      <w:marRight w:val="0"/>
      <w:marTop w:val="0"/>
      <w:marBottom w:val="0"/>
      <w:divBdr>
        <w:top w:val="none" w:sz="0" w:space="0" w:color="auto"/>
        <w:left w:val="none" w:sz="0" w:space="0" w:color="auto"/>
        <w:bottom w:val="none" w:sz="0" w:space="0" w:color="auto"/>
        <w:right w:val="none" w:sz="0" w:space="0" w:color="auto"/>
      </w:divBdr>
    </w:div>
    <w:div w:id="716204315">
      <w:bodyDiv w:val="1"/>
      <w:marLeft w:val="0"/>
      <w:marRight w:val="0"/>
      <w:marTop w:val="0"/>
      <w:marBottom w:val="0"/>
      <w:divBdr>
        <w:top w:val="none" w:sz="0" w:space="0" w:color="auto"/>
        <w:left w:val="none" w:sz="0" w:space="0" w:color="auto"/>
        <w:bottom w:val="none" w:sz="0" w:space="0" w:color="auto"/>
        <w:right w:val="none" w:sz="0" w:space="0" w:color="auto"/>
      </w:divBdr>
    </w:div>
    <w:div w:id="755591710">
      <w:bodyDiv w:val="1"/>
      <w:marLeft w:val="0"/>
      <w:marRight w:val="0"/>
      <w:marTop w:val="0"/>
      <w:marBottom w:val="0"/>
      <w:divBdr>
        <w:top w:val="none" w:sz="0" w:space="0" w:color="auto"/>
        <w:left w:val="none" w:sz="0" w:space="0" w:color="auto"/>
        <w:bottom w:val="none" w:sz="0" w:space="0" w:color="auto"/>
        <w:right w:val="none" w:sz="0" w:space="0" w:color="auto"/>
      </w:divBdr>
    </w:div>
    <w:div w:id="788403320">
      <w:bodyDiv w:val="1"/>
      <w:marLeft w:val="0"/>
      <w:marRight w:val="0"/>
      <w:marTop w:val="0"/>
      <w:marBottom w:val="0"/>
      <w:divBdr>
        <w:top w:val="none" w:sz="0" w:space="0" w:color="auto"/>
        <w:left w:val="none" w:sz="0" w:space="0" w:color="auto"/>
        <w:bottom w:val="none" w:sz="0" w:space="0" w:color="auto"/>
        <w:right w:val="none" w:sz="0" w:space="0" w:color="auto"/>
      </w:divBdr>
    </w:div>
    <w:div w:id="794448108">
      <w:bodyDiv w:val="1"/>
      <w:marLeft w:val="0"/>
      <w:marRight w:val="0"/>
      <w:marTop w:val="0"/>
      <w:marBottom w:val="0"/>
      <w:divBdr>
        <w:top w:val="none" w:sz="0" w:space="0" w:color="auto"/>
        <w:left w:val="none" w:sz="0" w:space="0" w:color="auto"/>
        <w:bottom w:val="none" w:sz="0" w:space="0" w:color="auto"/>
        <w:right w:val="none" w:sz="0" w:space="0" w:color="auto"/>
      </w:divBdr>
    </w:div>
    <w:div w:id="853112367">
      <w:bodyDiv w:val="1"/>
      <w:marLeft w:val="0"/>
      <w:marRight w:val="0"/>
      <w:marTop w:val="0"/>
      <w:marBottom w:val="0"/>
      <w:divBdr>
        <w:top w:val="none" w:sz="0" w:space="0" w:color="auto"/>
        <w:left w:val="none" w:sz="0" w:space="0" w:color="auto"/>
        <w:bottom w:val="none" w:sz="0" w:space="0" w:color="auto"/>
        <w:right w:val="none" w:sz="0" w:space="0" w:color="auto"/>
      </w:divBdr>
    </w:div>
    <w:div w:id="853299227">
      <w:bodyDiv w:val="1"/>
      <w:marLeft w:val="0"/>
      <w:marRight w:val="0"/>
      <w:marTop w:val="0"/>
      <w:marBottom w:val="0"/>
      <w:divBdr>
        <w:top w:val="none" w:sz="0" w:space="0" w:color="auto"/>
        <w:left w:val="none" w:sz="0" w:space="0" w:color="auto"/>
        <w:bottom w:val="none" w:sz="0" w:space="0" w:color="auto"/>
        <w:right w:val="none" w:sz="0" w:space="0" w:color="auto"/>
      </w:divBdr>
    </w:div>
    <w:div w:id="861936796">
      <w:bodyDiv w:val="1"/>
      <w:marLeft w:val="0"/>
      <w:marRight w:val="0"/>
      <w:marTop w:val="0"/>
      <w:marBottom w:val="0"/>
      <w:divBdr>
        <w:top w:val="none" w:sz="0" w:space="0" w:color="auto"/>
        <w:left w:val="none" w:sz="0" w:space="0" w:color="auto"/>
        <w:bottom w:val="none" w:sz="0" w:space="0" w:color="auto"/>
        <w:right w:val="none" w:sz="0" w:space="0" w:color="auto"/>
      </w:divBdr>
    </w:div>
    <w:div w:id="864487217">
      <w:bodyDiv w:val="1"/>
      <w:marLeft w:val="0"/>
      <w:marRight w:val="0"/>
      <w:marTop w:val="0"/>
      <w:marBottom w:val="0"/>
      <w:divBdr>
        <w:top w:val="none" w:sz="0" w:space="0" w:color="auto"/>
        <w:left w:val="none" w:sz="0" w:space="0" w:color="auto"/>
        <w:bottom w:val="none" w:sz="0" w:space="0" w:color="auto"/>
        <w:right w:val="none" w:sz="0" w:space="0" w:color="auto"/>
      </w:divBdr>
    </w:div>
    <w:div w:id="881791589">
      <w:bodyDiv w:val="1"/>
      <w:marLeft w:val="0"/>
      <w:marRight w:val="0"/>
      <w:marTop w:val="0"/>
      <w:marBottom w:val="0"/>
      <w:divBdr>
        <w:top w:val="none" w:sz="0" w:space="0" w:color="auto"/>
        <w:left w:val="none" w:sz="0" w:space="0" w:color="auto"/>
        <w:bottom w:val="none" w:sz="0" w:space="0" w:color="auto"/>
        <w:right w:val="none" w:sz="0" w:space="0" w:color="auto"/>
      </w:divBdr>
    </w:div>
    <w:div w:id="951011914">
      <w:bodyDiv w:val="1"/>
      <w:marLeft w:val="0"/>
      <w:marRight w:val="0"/>
      <w:marTop w:val="0"/>
      <w:marBottom w:val="0"/>
      <w:divBdr>
        <w:top w:val="none" w:sz="0" w:space="0" w:color="auto"/>
        <w:left w:val="none" w:sz="0" w:space="0" w:color="auto"/>
        <w:bottom w:val="none" w:sz="0" w:space="0" w:color="auto"/>
        <w:right w:val="none" w:sz="0" w:space="0" w:color="auto"/>
      </w:divBdr>
    </w:div>
    <w:div w:id="976305087">
      <w:bodyDiv w:val="1"/>
      <w:marLeft w:val="0"/>
      <w:marRight w:val="0"/>
      <w:marTop w:val="0"/>
      <w:marBottom w:val="0"/>
      <w:divBdr>
        <w:top w:val="none" w:sz="0" w:space="0" w:color="auto"/>
        <w:left w:val="none" w:sz="0" w:space="0" w:color="auto"/>
        <w:bottom w:val="none" w:sz="0" w:space="0" w:color="auto"/>
        <w:right w:val="none" w:sz="0" w:space="0" w:color="auto"/>
      </w:divBdr>
    </w:div>
    <w:div w:id="1037198974">
      <w:bodyDiv w:val="1"/>
      <w:marLeft w:val="0"/>
      <w:marRight w:val="0"/>
      <w:marTop w:val="0"/>
      <w:marBottom w:val="0"/>
      <w:divBdr>
        <w:top w:val="none" w:sz="0" w:space="0" w:color="auto"/>
        <w:left w:val="none" w:sz="0" w:space="0" w:color="auto"/>
        <w:bottom w:val="none" w:sz="0" w:space="0" w:color="auto"/>
        <w:right w:val="none" w:sz="0" w:space="0" w:color="auto"/>
      </w:divBdr>
    </w:div>
    <w:div w:id="1062405730">
      <w:bodyDiv w:val="1"/>
      <w:marLeft w:val="0"/>
      <w:marRight w:val="0"/>
      <w:marTop w:val="0"/>
      <w:marBottom w:val="0"/>
      <w:divBdr>
        <w:top w:val="none" w:sz="0" w:space="0" w:color="auto"/>
        <w:left w:val="none" w:sz="0" w:space="0" w:color="auto"/>
        <w:bottom w:val="none" w:sz="0" w:space="0" w:color="auto"/>
        <w:right w:val="none" w:sz="0" w:space="0" w:color="auto"/>
      </w:divBdr>
    </w:div>
    <w:div w:id="1098019749">
      <w:bodyDiv w:val="1"/>
      <w:marLeft w:val="0"/>
      <w:marRight w:val="0"/>
      <w:marTop w:val="0"/>
      <w:marBottom w:val="0"/>
      <w:divBdr>
        <w:top w:val="none" w:sz="0" w:space="0" w:color="auto"/>
        <w:left w:val="none" w:sz="0" w:space="0" w:color="auto"/>
        <w:bottom w:val="none" w:sz="0" w:space="0" w:color="auto"/>
        <w:right w:val="none" w:sz="0" w:space="0" w:color="auto"/>
      </w:divBdr>
    </w:div>
    <w:div w:id="1138064679">
      <w:bodyDiv w:val="1"/>
      <w:marLeft w:val="0"/>
      <w:marRight w:val="0"/>
      <w:marTop w:val="0"/>
      <w:marBottom w:val="0"/>
      <w:divBdr>
        <w:top w:val="none" w:sz="0" w:space="0" w:color="auto"/>
        <w:left w:val="none" w:sz="0" w:space="0" w:color="auto"/>
        <w:bottom w:val="none" w:sz="0" w:space="0" w:color="auto"/>
        <w:right w:val="none" w:sz="0" w:space="0" w:color="auto"/>
      </w:divBdr>
    </w:div>
    <w:div w:id="1172988028">
      <w:bodyDiv w:val="1"/>
      <w:marLeft w:val="0"/>
      <w:marRight w:val="0"/>
      <w:marTop w:val="0"/>
      <w:marBottom w:val="0"/>
      <w:divBdr>
        <w:top w:val="none" w:sz="0" w:space="0" w:color="auto"/>
        <w:left w:val="none" w:sz="0" w:space="0" w:color="auto"/>
        <w:bottom w:val="none" w:sz="0" w:space="0" w:color="auto"/>
        <w:right w:val="none" w:sz="0" w:space="0" w:color="auto"/>
      </w:divBdr>
    </w:div>
    <w:div w:id="1190945557">
      <w:bodyDiv w:val="1"/>
      <w:marLeft w:val="0"/>
      <w:marRight w:val="0"/>
      <w:marTop w:val="0"/>
      <w:marBottom w:val="0"/>
      <w:divBdr>
        <w:top w:val="none" w:sz="0" w:space="0" w:color="auto"/>
        <w:left w:val="none" w:sz="0" w:space="0" w:color="auto"/>
        <w:bottom w:val="none" w:sz="0" w:space="0" w:color="auto"/>
        <w:right w:val="none" w:sz="0" w:space="0" w:color="auto"/>
      </w:divBdr>
    </w:div>
    <w:div w:id="1231422632">
      <w:bodyDiv w:val="1"/>
      <w:marLeft w:val="0"/>
      <w:marRight w:val="0"/>
      <w:marTop w:val="0"/>
      <w:marBottom w:val="0"/>
      <w:divBdr>
        <w:top w:val="none" w:sz="0" w:space="0" w:color="auto"/>
        <w:left w:val="none" w:sz="0" w:space="0" w:color="auto"/>
        <w:bottom w:val="none" w:sz="0" w:space="0" w:color="auto"/>
        <w:right w:val="none" w:sz="0" w:space="0" w:color="auto"/>
      </w:divBdr>
    </w:div>
    <w:div w:id="1266696664">
      <w:bodyDiv w:val="1"/>
      <w:marLeft w:val="0"/>
      <w:marRight w:val="0"/>
      <w:marTop w:val="0"/>
      <w:marBottom w:val="0"/>
      <w:divBdr>
        <w:top w:val="none" w:sz="0" w:space="0" w:color="auto"/>
        <w:left w:val="none" w:sz="0" w:space="0" w:color="auto"/>
        <w:bottom w:val="none" w:sz="0" w:space="0" w:color="auto"/>
        <w:right w:val="none" w:sz="0" w:space="0" w:color="auto"/>
      </w:divBdr>
    </w:div>
    <w:div w:id="1458796048">
      <w:bodyDiv w:val="1"/>
      <w:marLeft w:val="0"/>
      <w:marRight w:val="0"/>
      <w:marTop w:val="0"/>
      <w:marBottom w:val="0"/>
      <w:divBdr>
        <w:top w:val="none" w:sz="0" w:space="0" w:color="auto"/>
        <w:left w:val="none" w:sz="0" w:space="0" w:color="auto"/>
        <w:bottom w:val="none" w:sz="0" w:space="0" w:color="auto"/>
        <w:right w:val="none" w:sz="0" w:space="0" w:color="auto"/>
      </w:divBdr>
    </w:div>
    <w:div w:id="1557357865">
      <w:bodyDiv w:val="1"/>
      <w:marLeft w:val="0"/>
      <w:marRight w:val="0"/>
      <w:marTop w:val="0"/>
      <w:marBottom w:val="0"/>
      <w:divBdr>
        <w:top w:val="none" w:sz="0" w:space="0" w:color="auto"/>
        <w:left w:val="none" w:sz="0" w:space="0" w:color="auto"/>
        <w:bottom w:val="none" w:sz="0" w:space="0" w:color="auto"/>
        <w:right w:val="none" w:sz="0" w:space="0" w:color="auto"/>
      </w:divBdr>
    </w:div>
    <w:div w:id="1571184876">
      <w:bodyDiv w:val="1"/>
      <w:marLeft w:val="0"/>
      <w:marRight w:val="0"/>
      <w:marTop w:val="0"/>
      <w:marBottom w:val="0"/>
      <w:divBdr>
        <w:top w:val="none" w:sz="0" w:space="0" w:color="auto"/>
        <w:left w:val="none" w:sz="0" w:space="0" w:color="auto"/>
        <w:bottom w:val="none" w:sz="0" w:space="0" w:color="auto"/>
        <w:right w:val="none" w:sz="0" w:space="0" w:color="auto"/>
      </w:divBdr>
    </w:div>
    <w:div w:id="1587959127">
      <w:bodyDiv w:val="1"/>
      <w:marLeft w:val="0"/>
      <w:marRight w:val="0"/>
      <w:marTop w:val="0"/>
      <w:marBottom w:val="0"/>
      <w:divBdr>
        <w:top w:val="none" w:sz="0" w:space="0" w:color="auto"/>
        <w:left w:val="none" w:sz="0" w:space="0" w:color="auto"/>
        <w:bottom w:val="none" w:sz="0" w:space="0" w:color="auto"/>
        <w:right w:val="none" w:sz="0" w:space="0" w:color="auto"/>
      </w:divBdr>
    </w:div>
    <w:div w:id="1589725722">
      <w:bodyDiv w:val="1"/>
      <w:marLeft w:val="0"/>
      <w:marRight w:val="0"/>
      <w:marTop w:val="0"/>
      <w:marBottom w:val="0"/>
      <w:divBdr>
        <w:top w:val="none" w:sz="0" w:space="0" w:color="auto"/>
        <w:left w:val="none" w:sz="0" w:space="0" w:color="auto"/>
        <w:bottom w:val="none" w:sz="0" w:space="0" w:color="auto"/>
        <w:right w:val="none" w:sz="0" w:space="0" w:color="auto"/>
      </w:divBdr>
    </w:div>
    <w:div w:id="1593271908">
      <w:bodyDiv w:val="1"/>
      <w:marLeft w:val="0"/>
      <w:marRight w:val="0"/>
      <w:marTop w:val="0"/>
      <w:marBottom w:val="0"/>
      <w:divBdr>
        <w:top w:val="none" w:sz="0" w:space="0" w:color="auto"/>
        <w:left w:val="none" w:sz="0" w:space="0" w:color="auto"/>
        <w:bottom w:val="none" w:sz="0" w:space="0" w:color="auto"/>
        <w:right w:val="none" w:sz="0" w:space="0" w:color="auto"/>
      </w:divBdr>
    </w:div>
    <w:div w:id="1671905485">
      <w:bodyDiv w:val="1"/>
      <w:marLeft w:val="0"/>
      <w:marRight w:val="0"/>
      <w:marTop w:val="0"/>
      <w:marBottom w:val="0"/>
      <w:divBdr>
        <w:top w:val="none" w:sz="0" w:space="0" w:color="auto"/>
        <w:left w:val="none" w:sz="0" w:space="0" w:color="auto"/>
        <w:bottom w:val="none" w:sz="0" w:space="0" w:color="auto"/>
        <w:right w:val="none" w:sz="0" w:space="0" w:color="auto"/>
      </w:divBdr>
    </w:div>
    <w:div w:id="1723598237">
      <w:bodyDiv w:val="1"/>
      <w:marLeft w:val="0"/>
      <w:marRight w:val="0"/>
      <w:marTop w:val="0"/>
      <w:marBottom w:val="0"/>
      <w:divBdr>
        <w:top w:val="none" w:sz="0" w:space="0" w:color="auto"/>
        <w:left w:val="none" w:sz="0" w:space="0" w:color="auto"/>
        <w:bottom w:val="none" w:sz="0" w:space="0" w:color="auto"/>
        <w:right w:val="none" w:sz="0" w:space="0" w:color="auto"/>
      </w:divBdr>
    </w:div>
    <w:div w:id="1727333243">
      <w:bodyDiv w:val="1"/>
      <w:marLeft w:val="0"/>
      <w:marRight w:val="0"/>
      <w:marTop w:val="0"/>
      <w:marBottom w:val="0"/>
      <w:divBdr>
        <w:top w:val="none" w:sz="0" w:space="0" w:color="auto"/>
        <w:left w:val="none" w:sz="0" w:space="0" w:color="auto"/>
        <w:bottom w:val="none" w:sz="0" w:space="0" w:color="auto"/>
        <w:right w:val="none" w:sz="0" w:space="0" w:color="auto"/>
      </w:divBdr>
    </w:div>
    <w:div w:id="1738017097">
      <w:bodyDiv w:val="1"/>
      <w:marLeft w:val="0"/>
      <w:marRight w:val="0"/>
      <w:marTop w:val="0"/>
      <w:marBottom w:val="0"/>
      <w:divBdr>
        <w:top w:val="none" w:sz="0" w:space="0" w:color="auto"/>
        <w:left w:val="none" w:sz="0" w:space="0" w:color="auto"/>
        <w:bottom w:val="none" w:sz="0" w:space="0" w:color="auto"/>
        <w:right w:val="none" w:sz="0" w:space="0" w:color="auto"/>
      </w:divBdr>
    </w:div>
    <w:div w:id="1802796621">
      <w:bodyDiv w:val="1"/>
      <w:marLeft w:val="0"/>
      <w:marRight w:val="0"/>
      <w:marTop w:val="0"/>
      <w:marBottom w:val="0"/>
      <w:divBdr>
        <w:top w:val="none" w:sz="0" w:space="0" w:color="auto"/>
        <w:left w:val="none" w:sz="0" w:space="0" w:color="auto"/>
        <w:bottom w:val="none" w:sz="0" w:space="0" w:color="auto"/>
        <w:right w:val="none" w:sz="0" w:space="0" w:color="auto"/>
      </w:divBdr>
    </w:div>
    <w:div w:id="1815829298">
      <w:bodyDiv w:val="1"/>
      <w:marLeft w:val="0"/>
      <w:marRight w:val="0"/>
      <w:marTop w:val="0"/>
      <w:marBottom w:val="0"/>
      <w:divBdr>
        <w:top w:val="none" w:sz="0" w:space="0" w:color="auto"/>
        <w:left w:val="none" w:sz="0" w:space="0" w:color="auto"/>
        <w:bottom w:val="none" w:sz="0" w:space="0" w:color="auto"/>
        <w:right w:val="none" w:sz="0" w:space="0" w:color="auto"/>
      </w:divBdr>
    </w:div>
    <w:div w:id="2014526293">
      <w:bodyDiv w:val="1"/>
      <w:marLeft w:val="0"/>
      <w:marRight w:val="0"/>
      <w:marTop w:val="0"/>
      <w:marBottom w:val="0"/>
      <w:divBdr>
        <w:top w:val="none" w:sz="0" w:space="0" w:color="auto"/>
        <w:left w:val="none" w:sz="0" w:space="0" w:color="auto"/>
        <w:bottom w:val="none" w:sz="0" w:space="0" w:color="auto"/>
        <w:right w:val="none" w:sz="0" w:space="0" w:color="auto"/>
      </w:divBdr>
    </w:div>
    <w:div w:id="2023974159">
      <w:bodyDiv w:val="1"/>
      <w:marLeft w:val="0"/>
      <w:marRight w:val="0"/>
      <w:marTop w:val="0"/>
      <w:marBottom w:val="0"/>
      <w:divBdr>
        <w:top w:val="none" w:sz="0" w:space="0" w:color="auto"/>
        <w:left w:val="none" w:sz="0" w:space="0" w:color="auto"/>
        <w:bottom w:val="none" w:sz="0" w:space="0" w:color="auto"/>
        <w:right w:val="none" w:sz="0" w:space="0" w:color="auto"/>
      </w:divBdr>
    </w:div>
    <w:div w:id="2103791162">
      <w:bodyDiv w:val="1"/>
      <w:marLeft w:val="0"/>
      <w:marRight w:val="0"/>
      <w:marTop w:val="0"/>
      <w:marBottom w:val="0"/>
      <w:divBdr>
        <w:top w:val="none" w:sz="0" w:space="0" w:color="auto"/>
        <w:left w:val="none" w:sz="0" w:space="0" w:color="auto"/>
        <w:bottom w:val="none" w:sz="0" w:space="0" w:color="auto"/>
        <w:right w:val="none" w:sz="0" w:space="0" w:color="auto"/>
      </w:divBdr>
    </w:div>
    <w:div w:id="212796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15</Pages>
  <Words>4334</Words>
  <Characters>27199</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2024104512 SPC punkt 6.3</dc:description>
  <cp:lastModifiedBy>Nanna Helene Lillelund</cp:lastModifiedBy>
  <cp:revision>2</cp:revision>
  <cp:lastPrinted>2012-08-22T08:53:00Z</cp:lastPrinted>
  <dcterms:created xsi:type="dcterms:W3CDTF">2025-03-25T11:30:00Z</dcterms:created>
  <dcterms:modified xsi:type="dcterms:W3CDTF">2025-03-25T11:30:00Z</dcterms:modified>
</cp:coreProperties>
</file>