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43E" w:rsidRPr="00C84483" w:rsidRDefault="00B6243E" w:rsidP="00B6243E">
      <w:pPr>
        <w:rPr>
          <w:b/>
          <w:szCs w:val="24"/>
        </w:rPr>
      </w:pPr>
      <w:r w:rsidRPr="009260DE">
        <w:rPr>
          <w:noProof/>
          <w:sz w:val="24"/>
          <w:szCs w:val="24"/>
          <w:lang w:eastAsia="da-DK"/>
        </w:rPr>
        <w:drawing>
          <wp:anchor distT="0" distB="0" distL="114300" distR="114300" simplePos="0" relativeHeight="251659264" behindDoc="0" locked="0" layoutInCell="1" allowOverlap="1" wp14:anchorId="0521B197" wp14:editId="78A69B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6243E" w:rsidRPr="00C84483" w:rsidRDefault="00B6243E" w:rsidP="00B6243E">
      <w:pPr>
        <w:pStyle w:val="Titel"/>
        <w:tabs>
          <w:tab w:val="right" w:pos="9356"/>
        </w:tabs>
        <w:jc w:val="left"/>
        <w:rPr>
          <w:b w:val="0"/>
          <w:szCs w:val="24"/>
          <w:lang w:eastAsia="en-US"/>
        </w:rPr>
      </w:pPr>
      <w:r w:rsidRPr="00C84483">
        <w:rPr>
          <w:b w:val="0"/>
          <w:szCs w:val="24"/>
          <w:lang w:eastAsia="en-US"/>
        </w:rPr>
        <w:tab/>
      </w:r>
      <w:r w:rsidR="000309A6">
        <w:rPr>
          <w:szCs w:val="24"/>
        </w:rPr>
        <w:t>17. januar 2024</w:t>
      </w:r>
    </w:p>
    <w:p w:rsidR="00B6243E" w:rsidRDefault="00B6243E" w:rsidP="00B6243E">
      <w:pPr>
        <w:pStyle w:val="Titel"/>
        <w:jc w:val="left"/>
        <w:rPr>
          <w:b w:val="0"/>
          <w:szCs w:val="24"/>
        </w:rPr>
      </w:pPr>
    </w:p>
    <w:p w:rsidR="000309A6" w:rsidRDefault="000309A6" w:rsidP="00B6243E">
      <w:pPr>
        <w:pStyle w:val="Titel"/>
        <w:jc w:val="left"/>
        <w:rPr>
          <w:b w:val="0"/>
          <w:szCs w:val="24"/>
        </w:rPr>
      </w:pPr>
      <w:bookmarkStart w:id="0" w:name="_GoBack"/>
      <w:bookmarkEnd w:id="0"/>
    </w:p>
    <w:p w:rsidR="000D7516" w:rsidRPr="00C84483" w:rsidRDefault="000D7516" w:rsidP="00B6243E">
      <w:pPr>
        <w:pStyle w:val="Titel"/>
        <w:jc w:val="left"/>
        <w:rPr>
          <w:b w:val="0"/>
          <w:szCs w:val="24"/>
        </w:rPr>
      </w:pPr>
    </w:p>
    <w:p w:rsidR="00B6243E" w:rsidRPr="00C84483" w:rsidRDefault="00B6243E" w:rsidP="00B6243E">
      <w:pPr>
        <w:jc w:val="center"/>
        <w:rPr>
          <w:b/>
          <w:sz w:val="24"/>
          <w:szCs w:val="24"/>
        </w:rPr>
      </w:pPr>
      <w:r w:rsidRPr="00C84483">
        <w:rPr>
          <w:b/>
          <w:sz w:val="24"/>
          <w:szCs w:val="24"/>
        </w:rPr>
        <w:t>PRODUKTRESUMÉ</w:t>
      </w:r>
    </w:p>
    <w:p w:rsidR="00B6243E" w:rsidRPr="00C84483" w:rsidRDefault="00B6243E" w:rsidP="00B6243E">
      <w:pPr>
        <w:jc w:val="center"/>
        <w:rPr>
          <w:b/>
          <w:sz w:val="24"/>
          <w:szCs w:val="24"/>
        </w:rPr>
      </w:pPr>
    </w:p>
    <w:p w:rsidR="00B6243E" w:rsidRDefault="00B6243E" w:rsidP="00B6243E">
      <w:pPr>
        <w:jc w:val="center"/>
        <w:rPr>
          <w:b/>
          <w:sz w:val="24"/>
          <w:szCs w:val="24"/>
        </w:rPr>
      </w:pPr>
      <w:r w:rsidRPr="00C84483">
        <w:rPr>
          <w:b/>
          <w:sz w:val="24"/>
          <w:szCs w:val="24"/>
        </w:rPr>
        <w:t>for</w:t>
      </w:r>
    </w:p>
    <w:p w:rsidR="00B6243E" w:rsidRPr="00C84483" w:rsidRDefault="00B6243E" w:rsidP="00B6243E">
      <w:pPr>
        <w:jc w:val="center"/>
        <w:rPr>
          <w:b/>
          <w:sz w:val="24"/>
          <w:szCs w:val="24"/>
        </w:rPr>
      </w:pPr>
    </w:p>
    <w:p w:rsidR="00B6243E" w:rsidRPr="00C84483" w:rsidRDefault="00B6243E" w:rsidP="00B6243E">
      <w:pPr>
        <w:jc w:val="center"/>
        <w:rPr>
          <w:b/>
          <w:sz w:val="24"/>
          <w:szCs w:val="24"/>
        </w:rPr>
      </w:pPr>
      <w:proofErr w:type="spellStart"/>
      <w:r>
        <w:rPr>
          <w:b/>
          <w:sz w:val="24"/>
          <w:szCs w:val="24"/>
        </w:rPr>
        <w:t>Vinorelbine</w:t>
      </w:r>
      <w:proofErr w:type="spellEnd"/>
      <w:r>
        <w:rPr>
          <w:b/>
          <w:sz w:val="24"/>
          <w:szCs w:val="24"/>
        </w:rPr>
        <w:t xml:space="preserve"> "Orifarm", bløde kapsler</w:t>
      </w:r>
    </w:p>
    <w:p w:rsidR="00B6243E" w:rsidRPr="00C84483" w:rsidRDefault="00B6243E" w:rsidP="00B6243E">
      <w:pPr>
        <w:jc w:val="both"/>
        <w:rPr>
          <w:sz w:val="24"/>
          <w:szCs w:val="24"/>
        </w:rPr>
      </w:pPr>
    </w:p>
    <w:p w:rsidR="00B6243E" w:rsidRPr="00C84483" w:rsidRDefault="00B6243E" w:rsidP="00B6243E">
      <w:pPr>
        <w:jc w:val="both"/>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0.</w:t>
      </w:r>
      <w:r w:rsidRPr="00C84483">
        <w:rPr>
          <w:b/>
          <w:sz w:val="24"/>
          <w:szCs w:val="24"/>
        </w:rPr>
        <w:tab/>
        <w:t>D.SP.NR.</w:t>
      </w:r>
    </w:p>
    <w:p w:rsidR="00B6243E" w:rsidRPr="00C84483" w:rsidRDefault="00B6243E" w:rsidP="00B6243E">
      <w:pPr>
        <w:tabs>
          <w:tab w:val="left" w:pos="851"/>
        </w:tabs>
        <w:ind w:left="851"/>
        <w:rPr>
          <w:sz w:val="24"/>
          <w:szCs w:val="24"/>
        </w:rPr>
      </w:pPr>
      <w:r>
        <w:rPr>
          <w:sz w:val="24"/>
          <w:szCs w:val="24"/>
        </w:rPr>
        <w:t>31051</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1.</w:t>
      </w:r>
      <w:r w:rsidRPr="00C84483">
        <w:rPr>
          <w:b/>
          <w:sz w:val="24"/>
          <w:szCs w:val="24"/>
        </w:rPr>
        <w:tab/>
        <w:t>LÆGEMIDLETS NAVN</w:t>
      </w:r>
    </w:p>
    <w:p w:rsidR="00B6243E" w:rsidRPr="00C84483" w:rsidRDefault="00B6243E" w:rsidP="00B6243E">
      <w:pPr>
        <w:tabs>
          <w:tab w:val="left" w:pos="851"/>
        </w:tabs>
        <w:autoSpaceDE w:val="0"/>
        <w:autoSpaceDN w:val="0"/>
        <w:adjustRightInd w:val="0"/>
        <w:ind w:left="851"/>
        <w:rPr>
          <w:sz w:val="24"/>
          <w:szCs w:val="24"/>
        </w:rPr>
      </w:pPr>
      <w:proofErr w:type="spellStart"/>
      <w:r w:rsidRPr="002D1E65">
        <w:rPr>
          <w:sz w:val="24"/>
          <w:szCs w:val="24"/>
        </w:rPr>
        <w:t>Vinorelbine</w:t>
      </w:r>
      <w:proofErr w:type="spellEnd"/>
      <w:r w:rsidRPr="002D1E65">
        <w:rPr>
          <w:sz w:val="24"/>
          <w:szCs w:val="24"/>
        </w:rPr>
        <w:t xml:space="preserve"> "Orifarm"</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6243E" w:rsidRPr="002D1E65" w:rsidRDefault="00B6243E" w:rsidP="00B6243E">
      <w:pPr>
        <w:autoSpaceDE w:val="0"/>
        <w:autoSpaceDN w:val="0"/>
        <w:adjustRightInd w:val="0"/>
        <w:ind w:left="851"/>
        <w:rPr>
          <w:sz w:val="24"/>
          <w:szCs w:val="24"/>
        </w:rPr>
      </w:pPr>
      <w:proofErr w:type="spellStart"/>
      <w:r w:rsidRPr="002D1E65">
        <w:rPr>
          <w:sz w:val="24"/>
          <w:szCs w:val="24"/>
        </w:rPr>
        <w:t>Vinorelbine</w:t>
      </w:r>
      <w:proofErr w:type="spellEnd"/>
      <w:r w:rsidRPr="002D1E65">
        <w:rPr>
          <w:sz w:val="24"/>
          <w:szCs w:val="24"/>
        </w:rPr>
        <w:t xml:space="preserve"> "Orifarm"</w:t>
      </w:r>
      <w:r w:rsidRPr="002D1E65" w:rsidDel="00F15F74">
        <w:rPr>
          <w:sz w:val="24"/>
          <w:szCs w:val="24"/>
        </w:rPr>
        <w:t xml:space="preserve"> </w:t>
      </w:r>
      <w:r w:rsidRPr="002D1E65">
        <w:rPr>
          <w:sz w:val="24"/>
          <w:szCs w:val="24"/>
        </w:rPr>
        <w:t xml:space="preserve">indeholder </w:t>
      </w:r>
      <w:proofErr w:type="spellStart"/>
      <w:r w:rsidRPr="002D1E65">
        <w:rPr>
          <w:sz w:val="24"/>
          <w:szCs w:val="24"/>
        </w:rPr>
        <w:t>vinorelbintartrat</w:t>
      </w:r>
      <w:proofErr w:type="spellEnd"/>
      <w:r w:rsidRPr="002D1E65">
        <w:rPr>
          <w:sz w:val="24"/>
          <w:szCs w:val="24"/>
        </w:rPr>
        <w:t xml:space="preserve"> svarende til </w:t>
      </w:r>
      <w:proofErr w:type="spellStart"/>
      <w:r w:rsidRPr="002D1E65">
        <w:rPr>
          <w:sz w:val="24"/>
          <w:szCs w:val="24"/>
        </w:rPr>
        <w:t>vinorelbin</w:t>
      </w:r>
      <w:proofErr w:type="spellEnd"/>
      <w:r w:rsidRPr="002D1E65">
        <w:rPr>
          <w:sz w:val="24"/>
          <w:szCs w:val="24"/>
        </w:rPr>
        <w:t xml:space="preserve"> 20 mg, 30 mg eller 80 mg.</w:t>
      </w:r>
    </w:p>
    <w:p w:rsidR="00B6243E" w:rsidRPr="002D1E65" w:rsidRDefault="00B6243E" w:rsidP="00B6243E">
      <w:pPr>
        <w:autoSpaceDE w:val="0"/>
        <w:autoSpaceDN w:val="0"/>
        <w:adjustRightInd w:val="0"/>
        <w:ind w:left="851"/>
        <w:rPr>
          <w:sz w:val="24"/>
          <w:szCs w:val="24"/>
        </w:rPr>
      </w:pPr>
    </w:p>
    <w:p w:rsidR="00B6243E" w:rsidRPr="002D1E65" w:rsidRDefault="00B6243E" w:rsidP="00B6243E">
      <w:pPr>
        <w:autoSpaceDE w:val="0"/>
        <w:autoSpaceDN w:val="0"/>
        <w:adjustRightInd w:val="0"/>
        <w:ind w:left="851"/>
        <w:rPr>
          <w:sz w:val="24"/>
          <w:szCs w:val="24"/>
        </w:rPr>
      </w:pPr>
      <w:r w:rsidRPr="002D1E65">
        <w:rPr>
          <w:sz w:val="24"/>
          <w:szCs w:val="24"/>
          <w:u w:val="single"/>
        </w:rPr>
        <w:t>Hjælpestof, som behandleren skal være opmærksom på</w:t>
      </w:r>
    </w:p>
    <w:p w:rsidR="00B6243E" w:rsidRPr="002D1E65" w:rsidRDefault="00B6243E" w:rsidP="00B6243E">
      <w:pPr>
        <w:autoSpaceDE w:val="0"/>
        <w:autoSpaceDN w:val="0"/>
        <w:adjustRightInd w:val="0"/>
        <w:ind w:left="851"/>
        <w:rPr>
          <w:sz w:val="24"/>
          <w:szCs w:val="24"/>
        </w:rPr>
      </w:pPr>
      <w:proofErr w:type="spellStart"/>
      <w:r w:rsidRPr="002D1E65">
        <w:rPr>
          <w:sz w:val="24"/>
          <w:szCs w:val="24"/>
        </w:rPr>
        <w:t>Vinorelbine</w:t>
      </w:r>
      <w:proofErr w:type="spellEnd"/>
      <w:r w:rsidRPr="002D1E65">
        <w:rPr>
          <w:sz w:val="24"/>
          <w:szCs w:val="24"/>
        </w:rPr>
        <w:t xml:space="preserve"> "Orifarm" 20 mg indeholder 38 mg sorbitol.</w:t>
      </w:r>
    </w:p>
    <w:p w:rsidR="00B6243E" w:rsidRPr="002D1E65" w:rsidRDefault="00B6243E" w:rsidP="00B6243E">
      <w:pPr>
        <w:autoSpaceDE w:val="0"/>
        <w:autoSpaceDN w:val="0"/>
        <w:adjustRightInd w:val="0"/>
        <w:ind w:left="851"/>
        <w:rPr>
          <w:sz w:val="24"/>
          <w:szCs w:val="24"/>
        </w:rPr>
      </w:pPr>
      <w:proofErr w:type="spellStart"/>
      <w:r w:rsidRPr="002D1E65">
        <w:rPr>
          <w:sz w:val="24"/>
          <w:szCs w:val="24"/>
        </w:rPr>
        <w:t>Vinorelbine</w:t>
      </w:r>
      <w:proofErr w:type="spellEnd"/>
      <w:r w:rsidRPr="002D1E65">
        <w:rPr>
          <w:sz w:val="24"/>
          <w:szCs w:val="24"/>
        </w:rPr>
        <w:t xml:space="preserve"> "Orifarm" 30 mg indeholder 60 mg sorbitol.</w:t>
      </w:r>
    </w:p>
    <w:p w:rsidR="00B6243E" w:rsidRPr="002D1E65" w:rsidRDefault="00B6243E" w:rsidP="00B6243E">
      <w:pPr>
        <w:autoSpaceDE w:val="0"/>
        <w:autoSpaceDN w:val="0"/>
        <w:adjustRightInd w:val="0"/>
        <w:ind w:left="851"/>
        <w:rPr>
          <w:sz w:val="24"/>
          <w:szCs w:val="24"/>
        </w:rPr>
      </w:pPr>
      <w:proofErr w:type="spellStart"/>
      <w:r w:rsidRPr="002D1E65">
        <w:rPr>
          <w:sz w:val="24"/>
          <w:szCs w:val="24"/>
        </w:rPr>
        <w:t>Vinorelbine</w:t>
      </w:r>
      <w:proofErr w:type="spellEnd"/>
      <w:r w:rsidRPr="002D1E65">
        <w:rPr>
          <w:sz w:val="24"/>
          <w:szCs w:val="24"/>
        </w:rPr>
        <w:t xml:space="preserve"> "Orifarm" 80 mg indeholder 100 mg sorbitol.</w:t>
      </w:r>
    </w:p>
    <w:p w:rsidR="00B6243E" w:rsidRPr="002D1E65" w:rsidRDefault="00B6243E" w:rsidP="00B6243E">
      <w:pPr>
        <w:autoSpaceDE w:val="0"/>
        <w:autoSpaceDN w:val="0"/>
        <w:adjustRightInd w:val="0"/>
        <w:ind w:left="851"/>
        <w:rPr>
          <w:sz w:val="24"/>
          <w:szCs w:val="24"/>
        </w:rPr>
      </w:pPr>
    </w:p>
    <w:p w:rsidR="00B6243E" w:rsidRPr="00C84483" w:rsidRDefault="00B6243E" w:rsidP="00B6243E">
      <w:pPr>
        <w:tabs>
          <w:tab w:val="left" w:pos="567"/>
        </w:tabs>
        <w:ind w:left="851"/>
        <w:rPr>
          <w:sz w:val="24"/>
          <w:szCs w:val="24"/>
        </w:rPr>
      </w:pPr>
      <w:r w:rsidRPr="002D1E65">
        <w:rPr>
          <w:sz w:val="24"/>
          <w:szCs w:val="24"/>
        </w:rPr>
        <w:t>Alle hjælpestoffer er anført under pkt. 6.1.</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3.</w:t>
      </w:r>
      <w:r w:rsidRPr="00C84483">
        <w:rPr>
          <w:b/>
          <w:sz w:val="24"/>
          <w:szCs w:val="24"/>
        </w:rPr>
        <w:tab/>
        <w:t>LÆGEMIDDELFORM</w:t>
      </w:r>
    </w:p>
    <w:p w:rsidR="00B6243E" w:rsidRPr="002D1E65" w:rsidRDefault="00B6243E" w:rsidP="00B6243E">
      <w:pPr>
        <w:autoSpaceDE w:val="0"/>
        <w:autoSpaceDN w:val="0"/>
        <w:adjustRightInd w:val="0"/>
        <w:ind w:left="851"/>
        <w:rPr>
          <w:sz w:val="24"/>
          <w:szCs w:val="24"/>
        </w:rPr>
      </w:pPr>
      <w:r w:rsidRPr="002D1E65">
        <w:rPr>
          <w:sz w:val="24"/>
          <w:szCs w:val="24"/>
        </w:rPr>
        <w:t>Blød</w:t>
      </w:r>
      <w:r>
        <w:rPr>
          <w:sz w:val="24"/>
          <w:szCs w:val="24"/>
        </w:rPr>
        <w:t>e kapsler</w:t>
      </w:r>
    </w:p>
    <w:p w:rsidR="00B6243E" w:rsidRPr="002D1E65" w:rsidRDefault="00B6243E" w:rsidP="00B6243E">
      <w:pPr>
        <w:autoSpaceDE w:val="0"/>
        <w:autoSpaceDN w:val="0"/>
        <w:adjustRightInd w:val="0"/>
        <w:ind w:left="851"/>
        <w:rPr>
          <w:sz w:val="24"/>
          <w:szCs w:val="24"/>
        </w:rPr>
      </w:pPr>
    </w:p>
    <w:p w:rsidR="00B6243E" w:rsidRPr="002D1E65" w:rsidRDefault="00B6243E" w:rsidP="00B6243E">
      <w:pPr>
        <w:ind w:left="851"/>
        <w:rPr>
          <w:sz w:val="24"/>
          <w:szCs w:val="24"/>
        </w:rPr>
      </w:pPr>
      <w:r>
        <w:rPr>
          <w:sz w:val="24"/>
          <w:szCs w:val="24"/>
        </w:rPr>
        <w:t>20 mg: O</w:t>
      </w:r>
      <w:r w:rsidRPr="002D1E65">
        <w:rPr>
          <w:sz w:val="24"/>
          <w:szCs w:val="24"/>
        </w:rPr>
        <w:t>val, lysebrun, blød kapsel. Kapslen er ca. 11</w:t>
      </w:r>
      <w:r>
        <w:rPr>
          <w:sz w:val="24"/>
          <w:szCs w:val="24"/>
        </w:rPr>
        <w:t>×</w:t>
      </w:r>
      <w:r w:rsidRPr="002D1E65">
        <w:rPr>
          <w:sz w:val="24"/>
          <w:szCs w:val="24"/>
        </w:rPr>
        <w:t>7 mm.</w:t>
      </w:r>
    </w:p>
    <w:p w:rsidR="00B6243E" w:rsidRPr="002D1E65" w:rsidRDefault="00B6243E" w:rsidP="00B6243E">
      <w:pPr>
        <w:ind w:left="851"/>
        <w:rPr>
          <w:sz w:val="24"/>
          <w:szCs w:val="24"/>
        </w:rPr>
      </w:pPr>
      <w:r>
        <w:rPr>
          <w:sz w:val="24"/>
          <w:szCs w:val="24"/>
        </w:rPr>
        <w:t>30 mg: A</w:t>
      </w:r>
      <w:r w:rsidRPr="002D1E65">
        <w:rPr>
          <w:sz w:val="24"/>
          <w:szCs w:val="24"/>
        </w:rPr>
        <w:t>flang, pink, blød kapsel. Kapslen er ca. 18</w:t>
      </w:r>
      <w:r>
        <w:rPr>
          <w:sz w:val="24"/>
          <w:szCs w:val="24"/>
        </w:rPr>
        <w:t>×</w:t>
      </w:r>
      <w:r w:rsidRPr="002D1E65">
        <w:rPr>
          <w:sz w:val="24"/>
          <w:szCs w:val="24"/>
        </w:rPr>
        <w:t>6 mm.</w:t>
      </w:r>
    </w:p>
    <w:p w:rsidR="00B6243E" w:rsidRPr="00C84483" w:rsidRDefault="00B6243E" w:rsidP="00B6243E">
      <w:pPr>
        <w:tabs>
          <w:tab w:val="left" w:pos="851"/>
        </w:tabs>
        <w:autoSpaceDE w:val="0"/>
        <w:autoSpaceDN w:val="0"/>
        <w:adjustRightInd w:val="0"/>
        <w:ind w:left="851"/>
        <w:rPr>
          <w:sz w:val="24"/>
          <w:szCs w:val="24"/>
        </w:rPr>
      </w:pPr>
      <w:r>
        <w:rPr>
          <w:sz w:val="24"/>
          <w:szCs w:val="24"/>
        </w:rPr>
        <w:t>80 mg: A</w:t>
      </w:r>
      <w:r w:rsidRPr="002D1E65">
        <w:rPr>
          <w:sz w:val="24"/>
          <w:szCs w:val="24"/>
        </w:rPr>
        <w:t>flang, lysegul, blød kapsel. Kapslen er ca. 21</w:t>
      </w:r>
      <w:r>
        <w:rPr>
          <w:sz w:val="24"/>
          <w:szCs w:val="24"/>
        </w:rPr>
        <w:t>×</w:t>
      </w:r>
      <w:r w:rsidRPr="002D1E65">
        <w:rPr>
          <w:sz w:val="24"/>
          <w:szCs w:val="24"/>
        </w:rPr>
        <w:t>8 mm.</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w:t>
      </w:r>
      <w:r w:rsidRPr="00C84483">
        <w:rPr>
          <w:b/>
          <w:sz w:val="24"/>
          <w:szCs w:val="24"/>
        </w:rPr>
        <w:tab/>
        <w:t>KLINISKE OPLYSNINGER</w:t>
      </w:r>
    </w:p>
    <w:p w:rsidR="00B6243E" w:rsidRPr="00C84483" w:rsidRDefault="00B6243E" w:rsidP="00B6243E">
      <w:pPr>
        <w:tabs>
          <w:tab w:val="left" w:pos="851"/>
        </w:tabs>
        <w:ind w:left="851"/>
        <w:rPr>
          <w:b/>
          <w:sz w:val="24"/>
          <w:szCs w:val="24"/>
        </w:rPr>
      </w:pPr>
    </w:p>
    <w:p w:rsidR="00B6243E" w:rsidRPr="00C84483" w:rsidRDefault="00B6243E" w:rsidP="00B6243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6243E" w:rsidRPr="002D1E65" w:rsidRDefault="00B6243E" w:rsidP="00B6243E">
      <w:pPr>
        <w:tabs>
          <w:tab w:val="left" w:pos="851"/>
        </w:tabs>
        <w:autoSpaceDE w:val="0"/>
        <w:autoSpaceDN w:val="0"/>
        <w:adjustRightInd w:val="0"/>
        <w:ind w:left="851"/>
        <w:rPr>
          <w:sz w:val="24"/>
          <w:szCs w:val="24"/>
        </w:rPr>
      </w:pPr>
      <w:r w:rsidRPr="002D1E65">
        <w:rPr>
          <w:sz w:val="24"/>
          <w:szCs w:val="24"/>
        </w:rPr>
        <w:t>Ikke-småcellet lungecancer hos voksne patienter.</w:t>
      </w:r>
    </w:p>
    <w:p w:rsidR="00B6243E" w:rsidRPr="00C84483" w:rsidRDefault="00B6243E" w:rsidP="00B6243E">
      <w:pPr>
        <w:tabs>
          <w:tab w:val="left" w:pos="851"/>
        </w:tabs>
        <w:autoSpaceDE w:val="0"/>
        <w:autoSpaceDN w:val="0"/>
        <w:adjustRightInd w:val="0"/>
        <w:ind w:left="851"/>
        <w:rPr>
          <w:sz w:val="24"/>
          <w:szCs w:val="24"/>
        </w:rPr>
      </w:pPr>
      <w:r w:rsidRPr="002D1E65">
        <w:rPr>
          <w:sz w:val="24"/>
          <w:szCs w:val="24"/>
        </w:rPr>
        <w:t>Fremskreden cancer mammae hos voksne patienter</w:t>
      </w:r>
      <w:r>
        <w:rPr>
          <w:sz w:val="24"/>
          <w:szCs w:val="24"/>
        </w:rPr>
        <w:t>,</w:t>
      </w:r>
      <w:r w:rsidRPr="002D1E65">
        <w:rPr>
          <w:sz w:val="24"/>
          <w:szCs w:val="24"/>
        </w:rPr>
        <w:t xml:space="preserve"> som ikke kan modtage anden behandling.</w:t>
      </w:r>
    </w:p>
    <w:p w:rsidR="00B6243E" w:rsidRDefault="00B6243E" w:rsidP="00B6243E">
      <w:pPr>
        <w:rPr>
          <w:sz w:val="24"/>
          <w:szCs w:val="24"/>
        </w:rPr>
      </w:pPr>
      <w:r>
        <w:rPr>
          <w:sz w:val="24"/>
          <w:szCs w:val="24"/>
        </w:rPr>
        <w:br w:type="page"/>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tabs>
          <w:tab w:val="left" w:pos="851"/>
        </w:tabs>
        <w:autoSpaceDE w:val="0"/>
        <w:autoSpaceDN w:val="0"/>
        <w:adjustRightInd w:val="0"/>
        <w:ind w:left="851"/>
        <w:rPr>
          <w:b/>
          <w:sz w:val="24"/>
          <w:szCs w:val="24"/>
        </w:rPr>
      </w:pPr>
      <w:r w:rsidRPr="00C82454">
        <w:rPr>
          <w:b/>
          <w:sz w:val="24"/>
          <w:szCs w:val="24"/>
        </w:rPr>
        <w:t>Voksne patienter</w:t>
      </w:r>
    </w:p>
    <w:p w:rsidR="00B6243E" w:rsidRPr="00C82454" w:rsidRDefault="00B6243E" w:rsidP="00B6243E">
      <w:pPr>
        <w:tabs>
          <w:tab w:val="left" w:pos="851"/>
        </w:tabs>
        <w:autoSpaceDE w:val="0"/>
        <w:autoSpaceDN w:val="0"/>
        <w:adjustRightInd w:val="0"/>
        <w:ind w:left="851"/>
        <w:rPr>
          <w:sz w:val="24"/>
          <w:szCs w:val="24"/>
        </w:rPr>
      </w:pPr>
    </w:p>
    <w:p w:rsidR="00B6243E" w:rsidRPr="00C82454" w:rsidRDefault="00B6243E" w:rsidP="00B6243E">
      <w:pPr>
        <w:tabs>
          <w:tab w:val="left" w:pos="851"/>
        </w:tabs>
        <w:autoSpaceDE w:val="0"/>
        <w:autoSpaceDN w:val="0"/>
        <w:adjustRightInd w:val="0"/>
        <w:ind w:left="851"/>
        <w:rPr>
          <w:sz w:val="24"/>
          <w:szCs w:val="24"/>
          <w:u w:val="single"/>
        </w:rPr>
      </w:pPr>
      <w:r w:rsidRPr="00C82454">
        <w:rPr>
          <w:sz w:val="24"/>
          <w:szCs w:val="24"/>
          <w:u w:val="single"/>
        </w:rPr>
        <w:t>Anbefalet dosering ved monoterapi</w:t>
      </w:r>
    </w:p>
    <w:p w:rsidR="00B6243E" w:rsidRPr="00C82454" w:rsidRDefault="00B6243E" w:rsidP="00B6243E">
      <w:pPr>
        <w:tabs>
          <w:tab w:val="left" w:pos="851"/>
        </w:tabs>
        <w:autoSpaceDE w:val="0"/>
        <w:autoSpaceDN w:val="0"/>
        <w:adjustRightInd w:val="0"/>
        <w:ind w:left="851"/>
        <w:rPr>
          <w:sz w:val="24"/>
          <w:szCs w:val="24"/>
        </w:rPr>
      </w:pPr>
    </w:p>
    <w:p w:rsidR="00B6243E" w:rsidRPr="00C82454" w:rsidRDefault="00B6243E" w:rsidP="00B6243E">
      <w:pPr>
        <w:tabs>
          <w:tab w:val="left" w:pos="851"/>
        </w:tabs>
        <w:autoSpaceDE w:val="0"/>
        <w:autoSpaceDN w:val="0"/>
        <w:adjustRightInd w:val="0"/>
        <w:ind w:left="851"/>
        <w:rPr>
          <w:i/>
          <w:sz w:val="24"/>
          <w:szCs w:val="24"/>
        </w:rPr>
      </w:pPr>
      <w:r w:rsidRPr="00C82454">
        <w:rPr>
          <w:i/>
          <w:sz w:val="24"/>
          <w:szCs w:val="24"/>
        </w:rPr>
        <w:t>Første tre doser</w:t>
      </w:r>
    </w:p>
    <w:p w:rsidR="00B6243E" w:rsidRPr="00C82454" w:rsidRDefault="00B6243E" w:rsidP="00B6243E">
      <w:pPr>
        <w:tabs>
          <w:tab w:val="left" w:pos="851"/>
        </w:tabs>
        <w:autoSpaceDE w:val="0"/>
        <w:autoSpaceDN w:val="0"/>
        <w:adjustRightInd w:val="0"/>
        <w:ind w:left="851"/>
        <w:rPr>
          <w:sz w:val="24"/>
          <w:szCs w:val="24"/>
        </w:rPr>
      </w:pPr>
      <w:r w:rsidRPr="00C82454">
        <w:rPr>
          <w:sz w:val="24"/>
          <w:szCs w:val="24"/>
        </w:rPr>
        <w:t>60 mg/m</w:t>
      </w:r>
      <w:r w:rsidRPr="00C82454">
        <w:rPr>
          <w:sz w:val="24"/>
          <w:szCs w:val="24"/>
          <w:vertAlign w:val="superscript"/>
        </w:rPr>
        <w:t>2</w:t>
      </w:r>
      <w:r w:rsidRPr="00C82454">
        <w:rPr>
          <w:sz w:val="24"/>
          <w:szCs w:val="24"/>
        </w:rPr>
        <w:t xml:space="preserve"> legemsoverflade 1 gang om ugen.</w:t>
      </w:r>
    </w:p>
    <w:p w:rsidR="00B6243E" w:rsidRPr="00C82454" w:rsidRDefault="00B6243E" w:rsidP="00B6243E">
      <w:pPr>
        <w:tabs>
          <w:tab w:val="left" w:pos="851"/>
        </w:tabs>
        <w:autoSpaceDE w:val="0"/>
        <w:autoSpaceDN w:val="0"/>
        <w:adjustRightInd w:val="0"/>
        <w:ind w:left="851"/>
        <w:rPr>
          <w:sz w:val="24"/>
          <w:szCs w:val="24"/>
        </w:rPr>
      </w:pPr>
    </w:p>
    <w:p w:rsidR="00B6243E" w:rsidRPr="00C82454" w:rsidRDefault="00B6243E" w:rsidP="00B6243E">
      <w:pPr>
        <w:tabs>
          <w:tab w:val="left" w:pos="851"/>
        </w:tabs>
        <w:autoSpaceDE w:val="0"/>
        <w:autoSpaceDN w:val="0"/>
        <w:adjustRightInd w:val="0"/>
        <w:ind w:left="851"/>
        <w:rPr>
          <w:i/>
          <w:sz w:val="24"/>
          <w:szCs w:val="24"/>
        </w:rPr>
      </w:pPr>
      <w:r w:rsidRPr="00C82454">
        <w:rPr>
          <w:i/>
          <w:sz w:val="24"/>
          <w:szCs w:val="24"/>
        </w:rPr>
        <w:t>Efterfølgende doser</w:t>
      </w:r>
    </w:p>
    <w:p w:rsidR="00B6243E" w:rsidRPr="00C82454" w:rsidRDefault="00B6243E" w:rsidP="00B6243E">
      <w:pPr>
        <w:tabs>
          <w:tab w:val="left" w:pos="851"/>
        </w:tabs>
        <w:autoSpaceDE w:val="0"/>
        <w:autoSpaceDN w:val="0"/>
        <w:adjustRightInd w:val="0"/>
        <w:ind w:left="851"/>
        <w:rPr>
          <w:sz w:val="24"/>
          <w:szCs w:val="24"/>
        </w:rPr>
      </w:pPr>
      <w:r w:rsidRPr="00C82454">
        <w:rPr>
          <w:sz w:val="24"/>
          <w:szCs w:val="24"/>
        </w:rPr>
        <w:t xml:space="preserve">Efter tredje indgift anbefales det at øge doseringen af </w:t>
      </w:r>
      <w:proofErr w:type="spellStart"/>
      <w:r w:rsidRPr="00C82454">
        <w:rPr>
          <w:sz w:val="24"/>
          <w:szCs w:val="24"/>
        </w:rPr>
        <w:t>vinorelbin</w:t>
      </w:r>
      <w:proofErr w:type="spellEnd"/>
      <w:r w:rsidRPr="00C82454">
        <w:rPr>
          <w:sz w:val="24"/>
          <w:szCs w:val="24"/>
        </w:rPr>
        <w:t xml:space="preserve"> bløde kapsler til 80 mg/m</w:t>
      </w:r>
      <w:r w:rsidRPr="00C82454">
        <w:rPr>
          <w:sz w:val="24"/>
          <w:szCs w:val="24"/>
          <w:vertAlign w:val="superscript"/>
        </w:rPr>
        <w:t>2</w:t>
      </w:r>
      <w:r w:rsidRPr="00C82454">
        <w:rPr>
          <w:sz w:val="24"/>
          <w:szCs w:val="24"/>
        </w:rPr>
        <w:t xml:space="preserve"> 1 gang om ugen, undtagen til patienter, hvor </w:t>
      </w:r>
      <w:proofErr w:type="spellStart"/>
      <w:r w:rsidRPr="00C82454">
        <w:rPr>
          <w:sz w:val="24"/>
          <w:szCs w:val="24"/>
        </w:rPr>
        <w:t>neutrofiltallet</w:t>
      </w:r>
      <w:proofErr w:type="spellEnd"/>
      <w:r w:rsidRPr="00C82454">
        <w:rPr>
          <w:sz w:val="24"/>
          <w:szCs w:val="24"/>
        </w:rPr>
        <w:t xml:space="preserve"> en gang er faldet til &lt;500/mm</w:t>
      </w:r>
      <w:r w:rsidRPr="00C82454">
        <w:rPr>
          <w:sz w:val="24"/>
          <w:szCs w:val="24"/>
          <w:vertAlign w:val="superscript"/>
        </w:rPr>
        <w:t>3</w:t>
      </w:r>
      <w:r w:rsidRPr="00C82454">
        <w:rPr>
          <w:sz w:val="24"/>
          <w:szCs w:val="24"/>
        </w:rPr>
        <w:t xml:space="preserve"> eller flere gange har ligget i intervallet 500-1000/mm</w:t>
      </w:r>
      <w:r w:rsidRPr="00C82454">
        <w:rPr>
          <w:sz w:val="24"/>
          <w:szCs w:val="24"/>
          <w:vertAlign w:val="superscript"/>
        </w:rPr>
        <w:t>3</w:t>
      </w:r>
      <w:r w:rsidRPr="00C82454">
        <w:rPr>
          <w:sz w:val="24"/>
          <w:szCs w:val="24"/>
        </w:rPr>
        <w:t xml:space="preserve"> under de 3 første doseringer med 60</w:t>
      </w:r>
      <w:r w:rsidR="00905C2E">
        <w:rPr>
          <w:sz w:val="24"/>
          <w:szCs w:val="24"/>
        </w:rPr>
        <w:t> </w:t>
      </w:r>
      <w:r w:rsidRPr="00C82454">
        <w:rPr>
          <w:sz w:val="24"/>
          <w:szCs w:val="24"/>
        </w:rPr>
        <w:t>mg/m</w:t>
      </w:r>
      <w:r w:rsidRPr="00C82454">
        <w:rPr>
          <w:sz w:val="24"/>
          <w:szCs w:val="24"/>
          <w:vertAlign w:val="superscript"/>
        </w:rPr>
        <w:t>2</w:t>
      </w:r>
      <w:r w:rsidRPr="00C82454">
        <w:rPr>
          <w:sz w:val="24"/>
          <w:szCs w:val="24"/>
        </w:rPr>
        <w:t>.</w:t>
      </w:r>
    </w:p>
    <w:p w:rsidR="00B6243E" w:rsidRPr="00C82454" w:rsidRDefault="00B6243E" w:rsidP="00B6243E">
      <w:pPr>
        <w:tabs>
          <w:tab w:val="left" w:pos="851"/>
        </w:tabs>
        <w:autoSpaceDE w:val="0"/>
        <w:autoSpaceDN w:val="0"/>
        <w:adjustRightInd w:val="0"/>
        <w:ind w:left="851"/>
        <w:rPr>
          <w:sz w:val="24"/>
          <w:szCs w:val="24"/>
        </w:rPr>
      </w:pPr>
    </w:p>
    <w:tbl>
      <w:tblPr>
        <w:tblW w:w="0" w:type="auto"/>
        <w:tblInd w:w="843" w:type="dxa"/>
        <w:tblLayout w:type="fixed"/>
        <w:tblCellMar>
          <w:left w:w="70" w:type="dxa"/>
          <w:right w:w="70" w:type="dxa"/>
        </w:tblCellMar>
        <w:tblLook w:val="0000" w:firstRow="0" w:lastRow="0" w:firstColumn="0" w:lastColumn="0" w:noHBand="0" w:noVBand="0"/>
      </w:tblPr>
      <w:tblGrid>
        <w:gridCol w:w="2276"/>
        <w:gridCol w:w="1268"/>
        <w:gridCol w:w="1701"/>
        <w:gridCol w:w="1701"/>
        <w:gridCol w:w="1718"/>
      </w:tblGrid>
      <w:tr w:rsidR="00B6243E" w:rsidRPr="00C82454" w:rsidTr="009F1E0D">
        <w:tc>
          <w:tcPr>
            <w:tcW w:w="2276"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2"/>
              <w:rPr>
                <w:sz w:val="24"/>
                <w:szCs w:val="24"/>
              </w:rPr>
            </w:pPr>
            <w:proofErr w:type="spellStart"/>
            <w:r w:rsidRPr="00C82454">
              <w:rPr>
                <w:sz w:val="24"/>
                <w:szCs w:val="24"/>
              </w:rPr>
              <w:t>Neutrofiltal</w:t>
            </w:r>
            <w:proofErr w:type="spellEnd"/>
            <w:r w:rsidRPr="00C82454">
              <w:rPr>
                <w:sz w:val="24"/>
                <w:szCs w:val="24"/>
              </w:rPr>
              <w:t xml:space="preserve"> under de 3 første doseringer med 60 mg/m</w:t>
            </w:r>
            <w:r w:rsidRPr="00C82454">
              <w:rPr>
                <w:sz w:val="24"/>
                <w:szCs w:val="24"/>
                <w:vertAlign w:val="superscript"/>
              </w:rPr>
              <w:t>2</w:t>
            </w:r>
            <w:r w:rsidRPr="00C82454">
              <w:rPr>
                <w:sz w:val="24"/>
                <w:szCs w:val="24"/>
              </w:rPr>
              <w:t>/uge</w:t>
            </w:r>
          </w:p>
        </w:tc>
        <w:tc>
          <w:tcPr>
            <w:tcW w:w="1268"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6"/>
              <w:rPr>
                <w:sz w:val="24"/>
                <w:szCs w:val="24"/>
              </w:rPr>
            </w:pPr>
            <w:proofErr w:type="spellStart"/>
            <w:r w:rsidRPr="00C82454">
              <w:rPr>
                <w:sz w:val="24"/>
                <w:szCs w:val="24"/>
              </w:rPr>
              <w:t>Neutrofiler</w:t>
            </w:r>
            <w:proofErr w:type="spellEnd"/>
            <w:r w:rsidRPr="00C82454">
              <w:rPr>
                <w:sz w:val="24"/>
                <w:szCs w:val="24"/>
              </w:rPr>
              <w:t xml:space="preserve"> &gt;1000</w:t>
            </w:r>
          </w:p>
        </w:tc>
        <w:tc>
          <w:tcPr>
            <w:tcW w:w="1701"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proofErr w:type="spellStart"/>
            <w:r w:rsidRPr="00C82454">
              <w:rPr>
                <w:sz w:val="24"/>
                <w:szCs w:val="24"/>
              </w:rPr>
              <w:t>Neutrofiler</w:t>
            </w:r>
            <w:proofErr w:type="spellEnd"/>
          </w:p>
          <w:p w:rsidR="00B6243E" w:rsidRPr="00C82454" w:rsidRDefault="00B6243E" w:rsidP="009F1E0D">
            <w:pPr>
              <w:tabs>
                <w:tab w:val="left" w:pos="426"/>
              </w:tabs>
              <w:autoSpaceDE w:val="0"/>
              <w:autoSpaceDN w:val="0"/>
              <w:adjustRightInd w:val="0"/>
              <w:rPr>
                <w:sz w:val="24"/>
                <w:szCs w:val="24"/>
              </w:rPr>
            </w:pPr>
            <w:r w:rsidRPr="00C82454">
              <w:rPr>
                <w:rFonts w:ascii="Symbol" w:hAnsi="Symbol" w:cs="Symbol"/>
                <w:sz w:val="24"/>
                <w:szCs w:val="24"/>
              </w:rPr>
              <w:t></w:t>
            </w:r>
            <w:r w:rsidRPr="00C82454">
              <w:rPr>
                <w:sz w:val="24"/>
                <w:szCs w:val="24"/>
              </w:rPr>
              <w:t>500 og &lt;1000 (1 episode)</w:t>
            </w:r>
          </w:p>
        </w:tc>
        <w:tc>
          <w:tcPr>
            <w:tcW w:w="1701"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keepNext/>
              <w:tabs>
                <w:tab w:val="left" w:pos="426"/>
              </w:tabs>
              <w:autoSpaceDE w:val="0"/>
              <w:autoSpaceDN w:val="0"/>
              <w:adjustRightInd w:val="0"/>
              <w:rPr>
                <w:sz w:val="24"/>
                <w:szCs w:val="24"/>
              </w:rPr>
            </w:pPr>
            <w:proofErr w:type="spellStart"/>
            <w:r w:rsidRPr="00C82454">
              <w:rPr>
                <w:sz w:val="24"/>
                <w:szCs w:val="24"/>
              </w:rPr>
              <w:t>Neutrofiler</w:t>
            </w:r>
            <w:proofErr w:type="spellEnd"/>
          </w:p>
          <w:p w:rsidR="00B6243E" w:rsidRPr="00C82454" w:rsidRDefault="00B6243E" w:rsidP="009F1E0D">
            <w:pPr>
              <w:tabs>
                <w:tab w:val="left" w:pos="426"/>
              </w:tabs>
              <w:autoSpaceDE w:val="0"/>
              <w:autoSpaceDN w:val="0"/>
              <w:adjustRightInd w:val="0"/>
              <w:rPr>
                <w:sz w:val="24"/>
                <w:szCs w:val="24"/>
              </w:rPr>
            </w:pPr>
            <w:r w:rsidRPr="00C82454">
              <w:rPr>
                <w:rFonts w:ascii="Symbol" w:hAnsi="Symbol" w:cs="Symbol"/>
                <w:sz w:val="24"/>
                <w:szCs w:val="24"/>
              </w:rPr>
              <w:t></w:t>
            </w:r>
            <w:r w:rsidRPr="00C82454">
              <w:rPr>
                <w:sz w:val="24"/>
                <w:szCs w:val="24"/>
              </w:rPr>
              <w:t>500 og &lt;1000 (2 episoder)</w:t>
            </w:r>
          </w:p>
        </w:tc>
        <w:tc>
          <w:tcPr>
            <w:tcW w:w="1718"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keepNext/>
              <w:tabs>
                <w:tab w:val="left" w:pos="426"/>
              </w:tabs>
              <w:autoSpaceDE w:val="0"/>
              <w:autoSpaceDN w:val="0"/>
              <w:adjustRightInd w:val="0"/>
              <w:rPr>
                <w:sz w:val="24"/>
                <w:szCs w:val="24"/>
              </w:rPr>
            </w:pPr>
            <w:proofErr w:type="spellStart"/>
            <w:r w:rsidRPr="00C82454">
              <w:rPr>
                <w:sz w:val="24"/>
                <w:szCs w:val="24"/>
              </w:rPr>
              <w:t>Neutrofiler</w:t>
            </w:r>
            <w:proofErr w:type="spellEnd"/>
            <w:r w:rsidRPr="00C82454">
              <w:rPr>
                <w:sz w:val="24"/>
                <w:szCs w:val="24"/>
              </w:rPr>
              <w:t xml:space="preserve"> &lt;500</w:t>
            </w:r>
          </w:p>
        </w:tc>
      </w:tr>
      <w:tr w:rsidR="00B6243E" w:rsidRPr="00C82454" w:rsidTr="009F1E0D">
        <w:tc>
          <w:tcPr>
            <w:tcW w:w="2276"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2"/>
              <w:rPr>
                <w:sz w:val="24"/>
                <w:szCs w:val="24"/>
              </w:rPr>
            </w:pPr>
            <w:r w:rsidRPr="00C82454">
              <w:rPr>
                <w:sz w:val="24"/>
                <w:szCs w:val="24"/>
              </w:rPr>
              <w:t>Anbefalet dosis fra og med 4. indgift</w:t>
            </w:r>
          </w:p>
        </w:tc>
        <w:tc>
          <w:tcPr>
            <w:tcW w:w="1268"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6"/>
              <w:rPr>
                <w:sz w:val="24"/>
                <w:szCs w:val="24"/>
              </w:rPr>
            </w:pPr>
            <w:r w:rsidRPr="00C82454">
              <w:rPr>
                <w:sz w:val="24"/>
                <w:szCs w:val="24"/>
              </w:rPr>
              <w:t>80</w:t>
            </w:r>
          </w:p>
        </w:tc>
        <w:tc>
          <w:tcPr>
            <w:tcW w:w="1701"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r w:rsidRPr="00C82454">
              <w:rPr>
                <w:sz w:val="24"/>
                <w:szCs w:val="24"/>
              </w:rPr>
              <w:t>80</w:t>
            </w:r>
          </w:p>
        </w:tc>
        <w:tc>
          <w:tcPr>
            <w:tcW w:w="1701"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r w:rsidRPr="00C82454">
              <w:rPr>
                <w:sz w:val="24"/>
                <w:szCs w:val="24"/>
              </w:rPr>
              <w:t>60</w:t>
            </w:r>
          </w:p>
        </w:tc>
        <w:tc>
          <w:tcPr>
            <w:tcW w:w="1718"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r w:rsidRPr="00C82454">
              <w:rPr>
                <w:sz w:val="24"/>
                <w:szCs w:val="24"/>
              </w:rPr>
              <w:t>60</w:t>
            </w:r>
          </w:p>
        </w:tc>
      </w:tr>
    </w:tbl>
    <w:p w:rsidR="00B6243E" w:rsidRPr="00C82454" w:rsidRDefault="00B6243E" w:rsidP="00B6243E">
      <w:pPr>
        <w:tabs>
          <w:tab w:val="left" w:pos="426"/>
        </w:tabs>
        <w:autoSpaceDE w:val="0"/>
        <w:autoSpaceDN w:val="0"/>
        <w:adjustRightInd w:val="0"/>
        <w:ind w:left="851"/>
        <w:rPr>
          <w:sz w:val="24"/>
          <w:szCs w:val="24"/>
        </w:rPr>
      </w:pPr>
    </w:p>
    <w:p w:rsidR="00B6243E" w:rsidRPr="00C82454" w:rsidRDefault="00B6243E" w:rsidP="00B6243E">
      <w:pPr>
        <w:tabs>
          <w:tab w:val="left" w:pos="851"/>
        </w:tabs>
        <w:autoSpaceDE w:val="0"/>
        <w:autoSpaceDN w:val="0"/>
        <w:adjustRightInd w:val="0"/>
        <w:ind w:left="851"/>
        <w:rPr>
          <w:i/>
          <w:sz w:val="24"/>
          <w:szCs w:val="24"/>
        </w:rPr>
      </w:pPr>
      <w:r w:rsidRPr="00C82454">
        <w:rPr>
          <w:i/>
          <w:sz w:val="24"/>
          <w:szCs w:val="24"/>
        </w:rPr>
        <w:t>Dosisændring</w:t>
      </w:r>
    </w:p>
    <w:p w:rsidR="00B6243E" w:rsidRPr="00C82454" w:rsidRDefault="00B6243E" w:rsidP="00B6243E">
      <w:pPr>
        <w:tabs>
          <w:tab w:val="left" w:pos="851"/>
        </w:tabs>
        <w:autoSpaceDE w:val="0"/>
        <w:autoSpaceDN w:val="0"/>
        <w:adjustRightInd w:val="0"/>
        <w:ind w:left="851"/>
        <w:rPr>
          <w:sz w:val="24"/>
          <w:szCs w:val="24"/>
        </w:rPr>
      </w:pPr>
      <w:r w:rsidRPr="00C82454">
        <w:rPr>
          <w:sz w:val="24"/>
          <w:szCs w:val="24"/>
        </w:rPr>
        <w:t>For hver planlagt indgift af 80 mg/m</w:t>
      </w:r>
      <w:r w:rsidRPr="00C82454">
        <w:rPr>
          <w:sz w:val="24"/>
          <w:szCs w:val="24"/>
          <w:vertAlign w:val="superscript"/>
        </w:rPr>
        <w:t>2</w:t>
      </w:r>
      <w:r w:rsidRPr="00C82454">
        <w:rPr>
          <w:sz w:val="24"/>
          <w:szCs w:val="24"/>
        </w:rPr>
        <w:t xml:space="preserve"> gælder, at hvis </w:t>
      </w:r>
      <w:proofErr w:type="spellStart"/>
      <w:r w:rsidRPr="00C82454">
        <w:rPr>
          <w:sz w:val="24"/>
          <w:szCs w:val="24"/>
        </w:rPr>
        <w:t>neutrofiltallet</w:t>
      </w:r>
      <w:proofErr w:type="spellEnd"/>
      <w:r w:rsidRPr="00C82454">
        <w:rPr>
          <w:sz w:val="24"/>
          <w:szCs w:val="24"/>
        </w:rPr>
        <w:t xml:space="preserve"> er under 500/mm</w:t>
      </w:r>
      <w:r w:rsidRPr="00C82454">
        <w:rPr>
          <w:sz w:val="24"/>
          <w:szCs w:val="24"/>
          <w:vertAlign w:val="superscript"/>
        </w:rPr>
        <w:t>3</w:t>
      </w:r>
      <w:r w:rsidRPr="00C82454">
        <w:rPr>
          <w:sz w:val="24"/>
          <w:szCs w:val="24"/>
        </w:rPr>
        <w:t xml:space="preserve"> eller flere gange har ligget i intervallet 500-1000/mm</w:t>
      </w:r>
      <w:r w:rsidRPr="00C82454">
        <w:rPr>
          <w:sz w:val="24"/>
          <w:szCs w:val="24"/>
          <w:vertAlign w:val="superscript"/>
        </w:rPr>
        <w:t>3</w:t>
      </w:r>
      <w:r w:rsidRPr="00C82454">
        <w:rPr>
          <w:sz w:val="24"/>
          <w:szCs w:val="24"/>
        </w:rPr>
        <w:t>, skal indgift afvente normalisering og dosis nedsættes fra 80 til 60 mg/m</w:t>
      </w:r>
      <w:r w:rsidRPr="00C82454">
        <w:rPr>
          <w:sz w:val="24"/>
          <w:szCs w:val="24"/>
          <w:vertAlign w:val="superscript"/>
        </w:rPr>
        <w:t>2</w:t>
      </w:r>
      <w:r w:rsidRPr="00C82454">
        <w:rPr>
          <w:sz w:val="24"/>
          <w:szCs w:val="24"/>
        </w:rPr>
        <w:t xml:space="preserve"> om ugen de følgende 3 gange.</w:t>
      </w:r>
    </w:p>
    <w:p w:rsidR="00B6243E" w:rsidRPr="00C82454" w:rsidRDefault="00B6243E" w:rsidP="00B6243E">
      <w:pPr>
        <w:tabs>
          <w:tab w:val="left" w:pos="426"/>
        </w:tabs>
        <w:autoSpaceDE w:val="0"/>
        <w:autoSpaceDN w:val="0"/>
        <w:adjustRightInd w:val="0"/>
        <w:ind w:left="851"/>
        <w:rPr>
          <w:sz w:val="24"/>
          <w:szCs w:val="24"/>
        </w:rPr>
      </w:pPr>
    </w:p>
    <w:tbl>
      <w:tblPr>
        <w:tblW w:w="8944" w:type="dxa"/>
        <w:tblInd w:w="843" w:type="dxa"/>
        <w:tblLayout w:type="fixed"/>
        <w:tblCellMar>
          <w:left w:w="70" w:type="dxa"/>
          <w:right w:w="70" w:type="dxa"/>
        </w:tblCellMar>
        <w:tblLook w:val="0000" w:firstRow="0" w:lastRow="0" w:firstColumn="0" w:lastColumn="0" w:noHBand="0" w:noVBand="0"/>
      </w:tblPr>
      <w:tblGrid>
        <w:gridCol w:w="2624"/>
        <w:gridCol w:w="1275"/>
        <w:gridCol w:w="1701"/>
        <w:gridCol w:w="1629"/>
        <w:gridCol w:w="1701"/>
        <w:gridCol w:w="14"/>
      </w:tblGrid>
      <w:tr w:rsidR="00B6243E" w:rsidRPr="00C82454" w:rsidTr="009F1E0D">
        <w:tc>
          <w:tcPr>
            <w:tcW w:w="2624"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2"/>
              <w:rPr>
                <w:sz w:val="24"/>
                <w:szCs w:val="24"/>
              </w:rPr>
            </w:pPr>
            <w:proofErr w:type="spellStart"/>
            <w:r w:rsidRPr="00C82454">
              <w:rPr>
                <w:sz w:val="24"/>
                <w:szCs w:val="24"/>
              </w:rPr>
              <w:t>Neutrofiltal</w:t>
            </w:r>
            <w:proofErr w:type="spellEnd"/>
            <w:r w:rsidRPr="00C82454">
              <w:rPr>
                <w:sz w:val="24"/>
                <w:szCs w:val="24"/>
              </w:rPr>
              <w:t xml:space="preserve"> efter 4. indgift af 80 mg/m</w:t>
            </w:r>
            <w:r w:rsidRPr="00C82454">
              <w:rPr>
                <w:sz w:val="24"/>
                <w:szCs w:val="24"/>
                <w:vertAlign w:val="superscript"/>
              </w:rPr>
              <w:t>2</w:t>
            </w:r>
            <w:r w:rsidRPr="00C82454">
              <w:rPr>
                <w:sz w:val="24"/>
                <w:szCs w:val="24"/>
              </w:rPr>
              <w:t>/uge</w:t>
            </w:r>
          </w:p>
        </w:tc>
        <w:tc>
          <w:tcPr>
            <w:tcW w:w="1275"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proofErr w:type="spellStart"/>
            <w:r w:rsidRPr="00C82454">
              <w:rPr>
                <w:sz w:val="24"/>
                <w:szCs w:val="24"/>
              </w:rPr>
              <w:t>Neutrofiler</w:t>
            </w:r>
            <w:proofErr w:type="spellEnd"/>
            <w:r w:rsidRPr="00C82454">
              <w:rPr>
                <w:sz w:val="24"/>
                <w:szCs w:val="24"/>
              </w:rPr>
              <w:t xml:space="preserve"> &gt;1000</w:t>
            </w:r>
          </w:p>
        </w:tc>
        <w:tc>
          <w:tcPr>
            <w:tcW w:w="1701"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proofErr w:type="spellStart"/>
            <w:r w:rsidRPr="00C82454">
              <w:rPr>
                <w:sz w:val="24"/>
                <w:szCs w:val="24"/>
              </w:rPr>
              <w:t>Neutrofiler</w:t>
            </w:r>
            <w:proofErr w:type="spellEnd"/>
          </w:p>
          <w:p w:rsidR="00B6243E" w:rsidRPr="00C82454" w:rsidRDefault="00B6243E" w:rsidP="009F1E0D">
            <w:pPr>
              <w:tabs>
                <w:tab w:val="left" w:pos="426"/>
              </w:tabs>
              <w:autoSpaceDE w:val="0"/>
              <w:autoSpaceDN w:val="0"/>
              <w:adjustRightInd w:val="0"/>
              <w:rPr>
                <w:sz w:val="24"/>
                <w:szCs w:val="24"/>
              </w:rPr>
            </w:pPr>
            <w:r w:rsidRPr="00C82454">
              <w:rPr>
                <w:sz w:val="24"/>
                <w:szCs w:val="24"/>
              </w:rPr>
              <w:t>≥500 og &lt;1000 (1 episode)</w:t>
            </w:r>
          </w:p>
        </w:tc>
        <w:tc>
          <w:tcPr>
            <w:tcW w:w="1629"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keepNext/>
              <w:tabs>
                <w:tab w:val="left" w:pos="426"/>
              </w:tabs>
              <w:autoSpaceDE w:val="0"/>
              <w:autoSpaceDN w:val="0"/>
              <w:adjustRightInd w:val="0"/>
              <w:rPr>
                <w:sz w:val="24"/>
                <w:szCs w:val="24"/>
              </w:rPr>
            </w:pPr>
            <w:proofErr w:type="spellStart"/>
            <w:r w:rsidRPr="00C82454">
              <w:rPr>
                <w:sz w:val="24"/>
                <w:szCs w:val="24"/>
              </w:rPr>
              <w:t>Neutrofiler</w:t>
            </w:r>
            <w:proofErr w:type="spellEnd"/>
          </w:p>
          <w:p w:rsidR="00B6243E" w:rsidRPr="00C82454" w:rsidRDefault="00B6243E" w:rsidP="009F1E0D">
            <w:pPr>
              <w:tabs>
                <w:tab w:val="left" w:pos="426"/>
              </w:tabs>
              <w:autoSpaceDE w:val="0"/>
              <w:autoSpaceDN w:val="0"/>
              <w:adjustRightInd w:val="0"/>
              <w:rPr>
                <w:sz w:val="24"/>
                <w:szCs w:val="24"/>
              </w:rPr>
            </w:pPr>
            <w:r w:rsidRPr="00C82454">
              <w:rPr>
                <w:sz w:val="24"/>
                <w:szCs w:val="24"/>
              </w:rPr>
              <w:t>≥500 og &lt;1000 (2 episoder)</w:t>
            </w:r>
          </w:p>
        </w:tc>
        <w:tc>
          <w:tcPr>
            <w:tcW w:w="1715" w:type="dxa"/>
            <w:gridSpan w:val="2"/>
            <w:tcBorders>
              <w:top w:val="single" w:sz="6" w:space="0" w:color="auto"/>
              <w:left w:val="single" w:sz="6" w:space="0" w:color="auto"/>
              <w:bottom w:val="single" w:sz="6" w:space="0" w:color="auto"/>
              <w:right w:val="single" w:sz="6" w:space="0" w:color="auto"/>
            </w:tcBorders>
          </w:tcPr>
          <w:p w:rsidR="00B6243E" w:rsidRPr="00C82454" w:rsidRDefault="00B6243E" w:rsidP="009F1E0D">
            <w:pPr>
              <w:keepNext/>
              <w:tabs>
                <w:tab w:val="left" w:pos="426"/>
              </w:tabs>
              <w:autoSpaceDE w:val="0"/>
              <w:autoSpaceDN w:val="0"/>
              <w:adjustRightInd w:val="0"/>
              <w:rPr>
                <w:sz w:val="24"/>
                <w:szCs w:val="24"/>
              </w:rPr>
            </w:pPr>
            <w:proofErr w:type="spellStart"/>
            <w:r w:rsidRPr="00C82454">
              <w:rPr>
                <w:sz w:val="24"/>
                <w:szCs w:val="24"/>
              </w:rPr>
              <w:t>Neutrofiler</w:t>
            </w:r>
            <w:proofErr w:type="spellEnd"/>
            <w:r w:rsidRPr="00C82454">
              <w:rPr>
                <w:sz w:val="24"/>
                <w:szCs w:val="24"/>
              </w:rPr>
              <w:t xml:space="preserve"> &lt;500</w:t>
            </w:r>
          </w:p>
        </w:tc>
      </w:tr>
      <w:tr w:rsidR="00B6243E" w:rsidRPr="00C82454" w:rsidTr="009F1E0D">
        <w:trPr>
          <w:gridAfter w:val="1"/>
          <w:wAfter w:w="14" w:type="dxa"/>
        </w:trPr>
        <w:tc>
          <w:tcPr>
            <w:tcW w:w="2624" w:type="dxa"/>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ind w:left="2"/>
              <w:rPr>
                <w:sz w:val="24"/>
                <w:szCs w:val="24"/>
              </w:rPr>
            </w:pPr>
            <w:r w:rsidRPr="00C82454">
              <w:rPr>
                <w:sz w:val="24"/>
                <w:szCs w:val="24"/>
              </w:rPr>
              <w:t>Anbefalet dosis fra og med næste indgift</w:t>
            </w:r>
          </w:p>
        </w:tc>
        <w:tc>
          <w:tcPr>
            <w:tcW w:w="2976" w:type="dxa"/>
            <w:gridSpan w:val="2"/>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r w:rsidRPr="00C82454">
              <w:rPr>
                <w:sz w:val="24"/>
                <w:szCs w:val="24"/>
              </w:rPr>
              <w:t>80</w:t>
            </w:r>
          </w:p>
        </w:tc>
        <w:tc>
          <w:tcPr>
            <w:tcW w:w="3330" w:type="dxa"/>
            <w:gridSpan w:val="2"/>
            <w:tcBorders>
              <w:top w:val="single" w:sz="6" w:space="0" w:color="auto"/>
              <w:left w:val="single" w:sz="6" w:space="0" w:color="auto"/>
              <w:bottom w:val="single" w:sz="6" w:space="0" w:color="auto"/>
              <w:right w:val="single" w:sz="6" w:space="0" w:color="auto"/>
            </w:tcBorders>
          </w:tcPr>
          <w:p w:rsidR="00B6243E" w:rsidRPr="00C82454" w:rsidRDefault="00B6243E" w:rsidP="009F1E0D">
            <w:pPr>
              <w:tabs>
                <w:tab w:val="left" w:pos="426"/>
              </w:tabs>
              <w:autoSpaceDE w:val="0"/>
              <w:autoSpaceDN w:val="0"/>
              <w:adjustRightInd w:val="0"/>
              <w:rPr>
                <w:sz w:val="24"/>
                <w:szCs w:val="24"/>
              </w:rPr>
            </w:pPr>
            <w:r w:rsidRPr="00C82454">
              <w:rPr>
                <w:sz w:val="24"/>
                <w:szCs w:val="24"/>
              </w:rPr>
              <w:t>60</w:t>
            </w:r>
          </w:p>
        </w:tc>
      </w:tr>
    </w:tbl>
    <w:p w:rsidR="00B6243E" w:rsidRPr="00C82454" w:rsidRDefault="00B6243E" w:rsidP="00B6243E">
      <w:pPr>
        <w:tabs>
          <w:tab w:val="left" w:pos="426"/>
        </w:tabs>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 xml:space="preserve">Det er muligt at </w:t>
      </w:r>
      <w:proofErr w:type="spellStart"/>
      <w:r w:rsidRPr="00C82454">
        <w:rPr>
          <w:sz w:val="24"/>
          <w:szCs w:val="24"/>
        </w:rPr>
        <w:t>reeskalere</w:t>
      </w:r>
      <w:proofErr w:type="spellEnd"/>
      <w:r w:rsidRPr="00C82454">
        <w:rPr>
          <w:sz w:val="24"/>
          <w:szCs w:val="24"/>
        </w:rPr>
        <w:t xml:space="preserve"> dosis fra 60 til 80 mg/m</w:t>
      </w:r>
      <w:r w:rsidRPr="00C82454">
        <w:rPr>
          <w:sz w:val="24"/>
          <w:szCs w:val="24"/>
          <w:vertAlign w:val="superscript"/>
        </w:rPr>
        <w:t>2</w:t>
      </w:r>
      <w:r w:rsidRPr="00C82454">
        <w:rPr>
          <w:sz w:val="24"/>
          <w:szCs w:val="24"/>
        </w:rPr>
        <w:t xml:space="preserve"> om ugen, hvis </w:t>
      </w:r>
      <w:proofErr w:type="spellStart"/>
      <w:r w:rsidRPr="00C82454">
        <w:rPr>
          <w:sz w:val="24"/>
          <w:szCs w:val="24"/>
        </w:rPr>
        <w:t>neutrofiltallet</w:t>
      </w:r>
      <w:proofErr w:type="spellEnd"/>
      <w:r w:rsidRPr="00C82454">
        <w:rPr>
          <w:sz w:val="24"/>
          <w:szCs w:val="24"/>
        </w:rPr>
        <w:t xml:space="preserve"> ikke faldt til under 500/mm</w:t>
      </w:r>
      <w:r w:rsidRPr="00C82454">
        <w:rPr>
          <w:sz w:val="24"/>
          <w:szCs w:val="24"/>
          <w:vertAlign w:val="superscript"/>
        </w:rPr>
        <w:t>3</w:t>
      </w:r>
      <w:r w:rsidRPr="00C82454">
        <w:rPr>
          <w:sz w:val="24"/>
          <w:szCs w:val="24"/>
        </w:rPr>
        <w:t xml:space="preserve"> eller flere gange lå mellem 500 og 1000/mm</w:t>
      </w:r>
      <w:r w:rsidRPr="00C82454">
        <w:rPr>
          <w:sz w:val="24"/>
          <w:szCs w:val="24"/>
          <w:vertAlign w:val="superscript"/>
        </w:rPr>
        <w:t>3</w:t>
      </w:r>
      <w:r w:rsidRPr="00C82454">
        <w:rPr>
          <w:sz w:val="24"/>
          <w:szCs w:val="24"/>
        </w:rPr>
        <w:t xml:space="preserve"> under 3 doseringer med 60 mg/m</w:t>
      </w:r>
      <w:r w:rsidRPr="00C82454">
        <w:rPr>
          <w:sz w:val="24"/>
          <w:szCs w:val="24"/>
          <w:vertAlign w:val="superscript"/>
        </w:rPr>
        <w:t>2</w:t>
      </w:r>
      <w:r w:rsidRPr="00C82454">
        <w:rPr>
          <w:sz w:val="24"/>
          <w:szCs w:val="24"/>
        </w:rPr>
        <w:t xml:space="preserve"> i henhold til de ovenfor fastlagte regler for de første tre doseringer.</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Klin</w:t>
      </w:r>
      <w:r>
        <w:rPr>
          <w:sz w:val="24"/>
          <w:szCs w:val="24"/>
        </w:rPr>
        <w:t xml:space="preserve">iske forsøg har påvist, at en </w:t>
      </w:r>
      <w:r w:rsidRPr="00C82454">
        <w:rPr>
          <w:sz w:val="24"/>
          <w:szCs w:val="24"/>
        </w:rPr>
        <w:t>oral dosis på 80 mg/m</w:t>
      </w:r>
      <w:r w:rsidRPr="00C82454">
        <w:rPr>
          <w:sz w:val="24"/>
          <w:szCs w:val="24"/>
          <w:vertAlign w:val="superscript"/>
        </w:rPr>
        <w:t>2</w:t>
      </w:r>
      <w:r w:rsidRPr="00C82454">
        <w:rPr>
          <w:sz w:val="24"/>
          <w:szCs w:val="24"/>
        </w:rPr>
        <w:t xml:space="preserve"> svarer til 30 mg/m</w:t>
      </w:r>
      <w:r w:rsidRPr="00C82454">
        <w:rPr>
          <w:sz w:val="24"/>
          <w:szCs w:val="24"/>
          <w:vertAlign w:val="superscript"/>
        </w:rPr>
        <w:t>2</w:t>
      </w:r>
      <w:r w:rsidRPr="00C82454">
        <w:rPr>
          <w:sz w:val="24"/>
          <w:szCs w:val="24"/>
        </w:rPr>
        <w:t xml:space="preserve"> af den intravenøse lægemiddelform, og 60 mg/m</w:t>
      </w:r>
      <w:r w:rsidRPr="00C82454">
        <w:rPr>
          <w:sz w:val="24"/>
          <w:szCs w:val="24"/>
          <w:vertAlign w:val="superscript"/>
        </w:rPr>
        <w:t>2</w:t>
      </w:r>
      <w:r w:rsidRPr="00C82454">
        <w:rPr>
          <w:sz w:val="24"/>
          <w:szCs w:val="24"/>
        </w:rPr>
        <w:t xml:space="preserve"> svarer til 25 mg/m</w:t>
      </w:r>
      <w:r w:rsidRPr="00C82454">
        <w:rPr>
          <w:sz w:val="24"/>
          <w:szCs w:val="24"/>
          <w:vertAlign w:val="superscript"/>
        </w:rPr>
        <w:t>2</w:t>
      </w:r>
      <w:r w:rsidRPr="00C82454">
        <w:rPr>
          <w:sz w:val="24"/>
          <w:szCs w:val="24"/>
        </w:rPr>
        <w:t>.</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Dette har udgjort grundlaget for kombinationsregim</w:t>
      </w:r>
      <w:r>
        <w:rPr>
          <w:sz w:val="24"/>
          <w:szCs w:val="24"/>
        </w:rPr>
        <w:t xml:space="preserve">er med skiftevis intravenøs og </w:t>
      </w:r>
      <w:r w:rsidRPr="00C82454">
        <w:rPr>
          <w:sz w:val="24"/>
          <w:szCs w:val="24"/>
        </w:rPr>
        <w:t>oral indgift af hensyn til patientens velbefindende.</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 xml:space="preserve">Ved kombinationsbehandling tilpasses dosis og tidspunkt det overordnede </w:t>
      </w:r>
      <w:proofErr w:type="spellStart"/>
      <w:r w:rsidRPr="00C82454">
        <w:rPr>
          <w:sz w:val="24"/>
          <w:szCs w:val="24"/>
        </w:rPr>
        <w:t>behandlingsregimen</w:t>
      </w:r>
      <w:proofErr w:type="spellEnd"/>
      <w:r w:rsidRPr="00C82454">
        <w:rPr>
          <w:sz w:val="24"/>
          <w:szCs w:val="24"/>
        </w:rPr>
        <w:t>.</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 xml:space="preserve">Selv til patienter med en legemsoverflade </w:t>
      </w:r>
      <w:r w:rsidRPr="00C82454">
        <w:rPr>
          <w:rFonts w:ascii="Symbol" w:hAnsi="Symbol" w:cs="Symbol"/>
          <w:sz w:val="24"/>
          <w:szCs w:val="24"/>
        </w:rPr>
        <w:t></w:t>
      </w:r>
      <w:r w:rsidRPr="00C82454">
        <w:rPr>
          <w:sz w:val="24"/>
          <w:szCs w:val="24"/>
        </w:rPr>
        <w:t>2 m</w:t>
      </w:r>
      <w:r w:rsidRPr="00C82454">
        <w:rPr>
          <w:sz w:val="24"/>
          <w:szCs w:val="24"/>
          <w:vertAlign w:val="superscript"/>
        </w:rPr>
        <w:t>2</w:t>
      </w:r>
      <w:r w:rsidRPr="00C82454">
        <w:rPr>
          <w:sz w:val="24"/>
          <w:szCs w:val="24"/>
        </w:rPr>
        <w:t xml:space="preserve"> bør den samlede dosis aldrig overstige 120 mg/uge ved 60 mg/m</w:t>
      </w:r>
      <w:r w:rsidRPr="00C82454">
        <w:rPr>
          <w:sz w:val="24"/>
          <w:szCs w:val="24"/>
          <w:vertAlign w:val="superscript"/>
        </w:rPr>
        <w:t>2</w:t>
      </w:r>
      <w:r w:rsidRPr="00C82454">
        <w:rPr>
          <w:sz w:val="24"/>
          <w:szCs w:val="24"/>
        </w:rPr>
        <w:t xml:space="preserve"> og 160 mg/uge ved 80 mg/m</w:t>
      </w:r>
      <w:r w:rsidRPr="00C82454">
        <w:rPr>
          <w:sz w:val="24"/>
          <w:szCs w:val="24"/>
          <w:vertAlign w:val="superscript"/>
        </w:rPr>
        <w:t>2</w:t>
      </w:r>
      <w:r w:rsidRPr="00C82454">
        <w:rPr>
          <w:sz w:val="24"/>
          <w:szCs w:val="24"/>
        </w:rPr>
        <w:t>.</w:t>
      </w:r>
    </w:p>
    <w:p w:rsidR="00B6243E" w:rsidRDefault="00B6243E" w:rsidP="00B6243E">
      <w:pPr>
        <w:rPr>
          <w:b/>
          <w:sz w:val="24"/>
          <w:szCs w:val="24"/>
        </w:rPr>
      </w:pPr>
      <w:r>
        <w:rPr>
          <w:b/>
          <w:sz w:val="24"/>
          <w:szCs w:val="24"/>
        </w:rPr>
        <w:br w:type="page"/>
      </w:r>
    </w:p>
    <w:p w:rsidR="00B6243E" w:rsidRPr="00C82454" w:rsidRDefault="00B6243E" w:rsidP="00B6243E">
      <w:pPr>
        <w:autoSpaceDE w:val="0"/>
        <w:autoSpaceDN w:val="0"/>
        <w:adjustRightInd w:val="0"/>
        <w:ind w:left="851"/>
        <w:rPr>
          <w:b/>
          <w:sz w:val="24"/>
          <w:szCs w:val="24"/>
        </w:rPr>
      </w:pPr>
    </w:p>
    <w:p w:rsidR="00B6243E" w:rsidRPr="00C82454" w:rsidRDefault="00B6243E" w:rsidP="00B6243E">
      <w:pPr>
        <w:autoSpaceDE w:val="0"/>
        <w:autoSpaceDN w:val="0"/>
        <w:adjustRightInd w:val="0"/>
        <w:ind w:left="851"/>
        <w:rPr>
          <w:b/>
          <w:sz w:val="24"/>
          <w:szCs w:val="24"/>
        </w:rPr>
      </w:pPr>
      <w:r w:rsidRPr="00C82454">
        <w:rPr>
          <w:b/>
          <w:sz w:val="24"/>
          <w:szCs w:val="24"/>
        </w:rPr>
        <w:t>Ældre</w:t>
      </w:r>
    </w:p>
    <w:p w:rsidR="00B6243E" w:rsidRPr="00C82454" w:rsidRDefault="00B6243E" w:rsidP="00B6243E">
      <w:pPr>
        <w:autoSpaceDE w:val="0"/>
        <w:autoSpaceDN w:val="0"/>
        <w:adjustRightInd w:val="0"/>
        <w:ind w:left="851"/>
        <w:rPr>
          <w:sz w:val="24"/>
          <w:szCs w:val="24"/>
        </w:rPr>
      </w:pPr>
      <w:r w:rsidRPr="00C82454">
        <w:rPr>
          <w:sz w:val="24"/>
          <w:szCs w:val="24"/>
        </w:rPr>
        <w:t xml:space="preserve">Kliniske erfaringer har ikke identificeret nogen signifikante forskelle blandt ældre patienter med hensyn til responsrate, selv om større følsomhed hos nogle af disse patienter ikke kan udelukkes. Alder indvirker ikke på </w:t>
      </w:r>
      <w:proofErr w:type="spellStart"/>
      <w:r w:rsidRPr="00C82454">
        <w:rPr>
          <w:sz w:val="24"/>
          <w:szCs w:val="24"/>
        </w:rPr>
        <w:t>vinorelbins</w:t>
      </w:r>
      <w:proofErr w:type="spellEnd"/>
      <w:r w:rsidRPr="00C82454">
        <w:rPr>
          <w:sz w:val="24"/>
          <w:szCs w:val="24"/>
        </w:rPr>
        <w:t xml:space="preserve"> farmakokinetik (se pkt. 5.2).</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b/>
          <w:sz w:val="24"/>
          <w:szCs w:val="24"/>
        </w:rPr>
      </w:pPr>
      <w:r w:rsidRPr="00C82454">
        <w:rPr>
          <w:b/>
          <w:sz w:val="24"/>
          <w:szCs w:val="24"/>
        </w:rPr>
        <w:t xml:space="preserve">Pædiatrisk population </w:t>
      </w:r>
    </w:p>
    <w:p w:rsidR="00B6243E" w:rsidRPr="00C82454" w:rsidRDefault="00B6243E" w:rsidP="00B6243E">
      <w:pPr>
        <w:autoSpaceDE w:val="0"/>
        <w:autoSpaceDN w:val="0"/>
        <w:adjustRightInd w:val="0"/>
        <w:ind w:left="851"/>
        <w:rPr>
          <w:sz w:val="24"/>
          <w:szCs w:val="24"/>
        </w:rPr>
      </w:pPr>
      <w:r w:rsidRPr="00C82454">
        <w:rPr>
          <w:sz w:val="24"/>
          <w:szCs w:val="24"/>
        </w:rPr>
        <w:t>Sikkerhed og virkning er endnu ikke fastlagt hos børn og indgift frarådes derfor (se pkt. 5.1).</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b/>
          <w:sz w:val="24"/>
          <w:szCs w:val="24"/>
        </w:rPr>
      </w:pPr>
      <w:r w:rsidRPr="00C82454">
        <w:rPr>
          <w:b/>
          <w:sz w:val="24"/>
          <w:szCs w:val="24"/>
        </w:rPr>
        <w:t>Leverinsufficiens</w:t>
      </w:r>
    </w:p>
    <w:p w:rsidR="00B6243E" w:rsidRPr="00C82454" w:rsidRDefault="00B6243E" w:rsidP="00B6243E">
      <w:pPr>
        <w:autoSpaceDE w:val="0"/>
        <w:autoSpaceDN w:val="0"/>
        <w:adjustRightInd w:val="0"/>
        <w:ind w:left="851"/>
        <w:rPr>
          <w:b/>
          <w:sz w:val="24"/>
          <w:szCs w:val="24"/>
        </w:rPr>
      </w:pPr>
      <w:proofErr w:type="spellStart"/>
      <w:r w:rsidRPr="00C82454">
        <w:rPr>
          <w:sz w:val="24"/>
          <w:szCs w:val="24"/>
        </w:rPr>
        <w:t>Vinorelbin</w:t>
      </w:r>
      <w:proofErr w:type="spellEnd"/>
      <w:r w:rsidRPr="00C82454">
        <w:rPr>
          <w:sz w:val="24"/>
          <w:szCs w:val="24"/>
        </w:rPr>
        <w:t xml:space="preserve"> kan indgives ved standarddosen på 60 mg/m</w:t>
      </w:r>
      <w:r w:rsidRPr="00C82454">
        <w:rPr>
          <w:sz w:val="24"/>
          <w:szCs w:val="24"/>
          <w:vertAlign w:val="superscript"/>
        </w:rPr>
        <w:t>2</w:t>
      </w:r>
      <w:r w:rsidRPr="00C82454">
        <w:rPr>
          <w:sz w:val="24"/>
          <w:szCs w:val="24"/>
        </w:rPr>
        <w:t xml:space="preserve">/uge til patienter med mild leversygdom (bilirubin &lt; 1,5 x ULN og ALT og/eller AST mellem 1,5 og 2,5 x ULN). Til patienter med moderat leversygdom (bilirubin mellem 1,5 og 3 x ULN, uafhængigt af ALT og </w:t>
      </w:r>
      <w:r w:rsidR="009F1E0D" w:rsidRPr="00C82454">
        <w:rPr>
          <w:sz w:val="24"/>
          <w:szCs w:val="24"/>
        </w:rPr>
        <w:t>AST-niveauer</w:t>
      </w:r>
      <w:r w:rsidRPr="00C82454">
        <w:rPr>
          <w:sz w:val="24"/>
          <w:szCs w:val="24"/>
        </w:rPr>
        <w:t xml:space="preserve">) skal </w:t>
      </w:r>
      <w:proofErr w:type="spellStart"/>
      <w:r w:rsidRPr="00C82454">
        <w:rPr>
          <w:sz w:val="24"/>
          <w:szCs w:val="24"/>
        </w:rPr>
        <w:t>vinorelbin</w:t>
      </w:r>
      <w:proofErr w:type="spellEnd"/>
      <w:r w:rsidRPr="00C82454">
        <w:rPr>
          <w:sz w:val="24"/>
          <w:szCs w:val="24"/>
        </w:rPr>
        <w:t xml:space="preserve"> administreres ved en dosis på 50 mg/m</w:t>
      </w:r>
      <w:r w:rsidRPr="00C82454">
        <w:rPr>
          <w:sz w:val="24"/>
          <w:szCs w:val="24"/>
          <w:vertAlign w:val="superscript"/>
        </w:rPr>
        <w:t>2</w:t>
      </w:r>
      <w:r w:rsidRPr="00C82454">
        <w:rPr>
          <w:sz w:val="24"/>
          <w:szCs w:val="24"/>
        </w:rPr>
        <w:t xml:space="preserve">/uge. Indgivelse af </w:t>
      </w:r>
      <w:proofErr w:type="spellStart"/>
      <w:r w:rsidRPr="00C82454">
        <w:rPr>
          <w:sz w:val="24"/>
          <w:szCs w:val="24"/>
        </w:rPr>
        <w:t>vinorelbin</w:t>
      </w:r>
      <w:proofErr w:type="spellEnd"/>
      <w:r w:rsidRPr="00C82454">
        <w:rPr>
          <w:sz w:val="24"/>
          <w:szCs w:val="24"/>
        </w:rPr>
        <w:t xml:space="preserve"> til patienter med svær leversygdom </w:t>
      </w:r>
      <w:r w:rsidRPr="00C82454">
        <w:rPr>
          <w:b/>
          <w:sz w:val="24"/>
          <w:szCs w:val="24"/>
        </w:rPr>
        <w:t>frarådes, fordi der er utilstrækkelige data fra denne population til at fastlægge farmakokinetikken, virkningen og sikkerheden (se pkt. 4.4, 5.2).</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b/>
          <w:sz w:val="24"/>
          <w:szCs w:val="24"/>
        </w:rPr>
      </w:pPr>
      <w:r w:rsidRPr="00C82454">
        <w:rPr>
          <w:b/>
          <w:sz w:val="24"/>
          <w:szCs w:val="24"/>
        </w:rPr>
        <w:t>Nyreinsufficiens</w:t>
      </w:r>
    </w:p>
    <w:p w:rsidR="00B6243E" w:rsidRPr="00C82454" w:rsidRDefault="00B6243E" w:rsidP="00B6243E">
      <w:pPr>
        <w:autoSpaceDE w:val="0"/>
        <w:autoSpaceDN w:val="0"/>
        <w:adjustRightInd w:val="0"/>
        <w:ind w:left="851"/>
        <w:rPr>
          <w:sz w:val="24"/>
          <w:szCs w:val="24"/>
        </w:rPr>
      </w:pPr>
      <w:r w:rsidRPr="00C82454">
        <w:rPr>
          <w:sz w:val="24"/>
          <w:szCs w:val="24"/>
        </w:rPr>
        <w:t xml:space="preserve">Da der kun forekommer en ringe grad af udskillelse gennem nyrerne, er der ingen </w:t>
      </w:r>
      <w:proofErr w:type="spellStart"/>
      <w:r w:rsidRPr="00C82454">
        <w:rPr>
          <w:sz w:val="24"/>
          <w:szCs w:val="24"/>
        </w:rPr>
        <w:t>farmakokinetisk</w:t>
      </w:r>
      <w:proofErr w:type="spellEnd"/>
      <w:r w:rsidRPr="00C82454">
        <w:rPr>
          <w:sz w:val="24"/>
          <w:szCs w:val="24"/>
        </w:rPr>
        <w:t xml:space="preserve"> baggrund for at nedsætte </w:t>
      </w:r>
      <w:proofErr w:type="spellStart"/>
      <w:r w:rsidRPr="00C82454">
        <w:rPr>
          <w:sz w:val="24"/>
          <w:szCs w:val="24"/>
        </w:rPr>
        <w:t>vinorelbin</w:t>
      </w:r>
      <w:proofErr w:type="spellEnd"/>
      <w:r w:rsidRPr="00C82454">
        <w:rPr>
          <w:sz w:val="24"/>
          <w:szCs w:val="24"/>
        </w:rPr>
        <w:t>-doseringen til patienter med nedsat nyrefunktion (se pkt. 4.4, 5.2).</w:t>
      </w:r>
    </w:p>
    <w:p w:rsidR="00B6243E" w:rsidRPr="00C82454" w:rsidRDefault="00B6243E" w:rsidP="00B6243E">
      <w:pPr>
        <w:autoSpaceDE w:val="0"/>
        <w:autoSpaceDN w:val="0"/>
        <w:adjustRightInd w:val="0"/>
        <w:ind w:left="851"/>
        <w:rPr>
          <w:sz w:val="24"/>
          <w:szCs w:val="24"/>
        </w:rPr>
      </w:pPr>
    </w:p>
    <w:p w:rsidR="00B6243E" w:rsidRPr="007654C2" w:rsidRDefault="00B6243E" w:rsidP="00B6243E">
      <w:pPr>
        <w:autoSpaceDE w:val="0"/>
        <w:autoSpaceDN w:val="0"/>
        <w:adjustRightInd w:val="0"/>
        <w:ind w:left="851"/>
        <w:rPr>
          <w:b/>
          <w:sz w:val="24"/>
          <w:szCs w:val="24"/>
          <w:u w:val="single"/>
        </w:rPr>
      </w:pPr>
      <w:r w:rsidRPr="007654C2">
        <w:rPr>
          <w:b/>
          <w:sz w:val="24"/>
          <w:szCs w:val="24"/>
          <w:u w:val="single"/>
        </w:rPr>
        <w:t>Administration</w:t>
      </w:r>
    </w:p>
    <w:p w:rsidR="00B6243E" w:rsidRPr="00C82454" w:rsidRDefault="00B6243E" w:rsidP="00B6243E">
      <w:pPr>
        <w:autoSpaceDE w:val="0"/>
        <w:autoSpaceDN w:val="0"/>
        <w:adjustRightInd w:val="0"/>
        <w:ind w:left="851"/>
        <w:rPr>
          <w:sz w:val="24"/>
          <w:szCs w:val="24"/>
        </w:rPr>
      </w:pPr>
      <w:proofErr w:type="spellStart"/>
      <w:r w:rsidRPr="00C82454">
        <w:rPr>
          <w:sz w:val="24"/>
          <w:szCs w:val="24"/>
        </w:rPr>
        <w:t>Vinorelbine</w:t>
      </w:r>
      <w:proofErr w:type="spellEnd"/>
      <w:r w:rsidRPr="00C82454">
        <w:rPr>
          <w:sz w:val="24"/>
          <w:szCs w:val="24"/>
        </w:rPr>
        <w:t xml:space="preserve"> "Orifarm"</w:t>
      </w:r>
      <w:r>
        <w:rPr>
          <w:sz w:val="24"/>
          <w:szCs w:val="24"/>
        </w:rPr>
        <w:t xml:space="preserve"> må udelukkende indgives </w:t>
      </w:r>
      <w:r w:rsidRPr="00C82454">
        <w:rPr>
          <w:sz w:val="24"/>
          <w:szCs w:val="24"/>
        </w:rPr>
        <w:t>oralt.</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proofErr w:type="spellStart"/>
      <w:r w:rsidRPr="00C82454">
        <w:rPr>
          <w:sz w:val="24"/>
          <w:szCs w:val="24"/>
        </w:rPr>
        <w:t>Vinorelbine</w:t>
      </w:r>
      <w:proofErr w:type="spellEnd"/>
      <w:r w:rsidRPr="00C82454">
        <w:rPr>
          <w:sz w:val="24"/>
          <w:szCs w:val="24"/>
        </w:rPr>
        <w:t xml:space="preserve"> "Orifarm" synkes med vand uden at opløse, tygge eller suge på kapslen. Det anbefales at indtage kapslen sammen med lidt mad.</w:t>
      </w:r>
    </w:p>
    <w:p w:rsidR="00B6243E" w:rsidRPr="00C82454" w:rsidRDefault="00B6243E" w:rsidP="00B6243E">
      <w:pPr>
        <w:autoSpaceDE w:val="0"/>
        <w:autoSpaceDN w:val="0"/>
        <w:adjustRightInd w:val="0"/>
        <w:ind w:left="851"/>
        <w:rPr>
          <w:sz w:val="24"/>
          <w:szCs w:val="24"/>
        </w:rPr>
      </w:pPr>
    </w:p>
    <w:p w:rsidR="00B6243E" w:rsidRPr="00C82454" w:rsidRDefault="00B6243E" w:rsidP="00B6243E">
      <w:pPr>
        <w:autoSpaceDE w:val="0"/>
        <w:autoSpaceDN w:val="0"/>
        <w:adjustRightInd w:val="0"/>
        <w:ind w:left="851"/>
        <w:rPr>
          <w:sz w:val="24"/>
          <w:szCs w:val="24"/>
        </w:rPr>
      </w:pPr>
      <w:r w:rsidRPr="00C82454">
        <w:rPr>
          <w:sz w:val="24"/>
          <w:szCs w:val="24"/>
        </w:rPr>
        <w:t>For vejledning i brug/håndtering henvises til pkt. 6.6.</w:t>
      </w:r>
    </w:p>
    <w:p w:rsidR="00B6243E" w:rsidRPr="00C82454"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4.3</w:t>
      </w:r>
      <w:r w:rsidRPr="00C84483">
        <w:rPr>
          <w:b/>
          <w:sz w:val="24"/>
          <w:szCs w:val="24"/>
        </w:rPr>
        <w:tab/>
        <w:t>Kontraindikationer</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Overfølsomhed over for det aktive stof eller over for et eller flere af hjælpestofferne anført i pkt. 6.1</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Sygdom med signifikant påvirkning af absorptionen.</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 xml:space="preserve">Tidligere signifikant kirurgisk </w:t>
      </w:r>
      <w:proofErr w:type="spellStart"/>
      <w:r w:rsidRPr="000D07A8">
        <w:rPr>
          <w:szCs w:val="24"/>
        </w:rPr>
        <w:t>resektion</w:t>
      </w:r>
      <w:proofErr w:type="spellEnd"/>
      <w:r w:rsidRPr="000D07A8">
        <w:rPr>
          <w:szCs w:val="24"/>
        </w:rPr>
        <w:t xml:space="preserve"> af mave eller tyndtarm.</w:t>
      </w:r>
    </w:p>
    <w:p w:rsidR="00B6243E" w:rsidRPr="000D07A8" w:rsidRDefault="00B6243E" w:rsidP="00B6243E">
      <w:pPr>
        <w:pStyle w:val="Listeafsnit"/>
        <w:numPr>
          <w:ilvl w:val="0"/>
          <w:numId w:val="8"/>
        </w:numPr>
        <w:autoSpaceDE w:val="0"/>
        <w:autoSpaceDN w:val="0"/>
        <w:adjustRightInd w:val="0"/>
        <w:ind w:left="1276" w:hanging="425"/>
        <w:rPr>
          <w:szCs w:val="24"/>
        </w:rPr>
      </w:pPr>
      <w:proofErr w:type="spellStart"/>
      <w:r w:rsidRPr="000D07A8">
        <w:rPr>
          <w:szCs w:val="24"/>
        </w:rPr>
        <w:t>Neutrofiltal</w:t>
      </w:r>
      <w:proofErr w:type="spellEnd"/>
      <w:r w:rsidRPr="000D07A8">
        <w:rPr>
          <w:szCs w:val="24"/>
        </w:rPr>
        <w:t xml:space="preserve"> &lt;1500/mm</w:t>
      </w:r>
      <w:r w:rsidRPr="000D07A8">
        <w:rPr>
          <w:szCs w:val="24"/>
          <w:vertAlign w:val="superscript"/>
        </w:rPr>
        <w:t>3</w:t>
      </w:r>
      <w:r w:rsidRPr="000D07A8">
        <w:rPr>
          <w:szCs w:val="24"/>
        </w:rPr>
        <w:t xml:space="preserve"> eller alvorlig aktuel eller nylig infektion (inden for de sidste 2 uger).</w:t>
      </w:r>
    </w:p>
    <w:p w:rsidR="00B6243E" w:rsidRPr="000D07A8" w:rsidRDefault="00B6243E" w:rsidP="00B6243E">
      <w:pPr>
        <w:pStyle w:val="Listeafsnit"/>
        <w:numPr>
          <w:ilvl w:val="0"/>
          <w:numId w:val="8"/>
        </w:numPr>
        <w:autoSpaceDE w:val="0"/>
        <w:autoSpaceDN w:val="0"/>
        <w:adjustRightInd w:val="0"/>
        <w:ind w:left="1276" w:hanging="425"/>
        <w:rPr>
          <w:szCs w:val="24"/>
        </w:rPr>
      </w:pPr>
      <w:proofErr w:type="spellStart"/>
      <w:r w:rsidRPr="000D07A8">
        <w:rPr>
          <w:szCs w:val="24"/>
        </w:rPr>
        <w:t>Trombocyttal</w:t>
      </w:r>
      <w:proofErr w:type="spellEnd"/>
      <w:r w:rsidRPr="000D07A8">
        <w:rPr>
          <w:szCs w:val="24"/>
        </w:rPr>
        <w:t xml:space="preserve"> &lt;100.000/mm</w:t>
      </w:r>
      <w:r w:rsidRPr="000D07A8">
        <w:rPr>
          <w:szCs w:val="24"/>
          <w:vertAlign w:val="superscript"/>
        </w:rPr>
        <w:t>3</w:t>
      </w:r>
      <w:r w:rsidRPr="000D07A8">
        <w:rPr>
          <w:szCs w:val="24"/>
        </w:rPr>
        <w:t>.</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Amning (se pkt. 4.6).</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Patienter med behov for langvarig behandling med ilt.</w:t>
      </w:r>
    </w:p>
    <w:p w:rsidR="00B6243E" w:rsidRPr="000D07A8" w:rsidRDefault="00B6243E" w:rsidP="00B6243E">
      <w:pPr>
        <w:pStyle w:val="Listeafsnit"/>
        <w:numPr>
          <w:ilvl w:val="0"/>
          <w:numId w:val="8"/>
        </w:numPr>
        <w:autoSpaceDE w:val="0"/>
        <w:autoSpaceDN w:val="0"/>
        <w:adjustRightInd w:val="0"/>
        <w:ind w:left="1276" w:hanging="425"/>
        <w:rPr>
          <w:szCs w:val="24"/>
        </w:rPr>
      </w:pPr>
      <w:r w:rsidRPr="000D07A8">
        <w:rPr>
          <w:szCs w:val="24"/>
        </w:rPr>
        <w:t>I kombination med gul feber-vaccine (se pkt. 4.5).</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6243E" w:rsidRDefault="00B6243E" w:rsidP="00B6243E">
      <w:pPr>
        <w:tabs>
          <w:tab w:val="left" w:pos="851"/>
        </w:tabs>
        <w:ind w:left="851"/>
        <w:rPr>
          <w:sz w:val="24"/>
          <w:szCs w:val="24"/>
          <w:u w:val="single"/>
        </w:rPr>
      </w:pPr>
    </w:p>
    <w:p w:rsidR="00B6243E" w:rsidRPr="003E5D6C" w:rsidRDefault="00B6243E" w:rsidP="00B6243E">
      <w:pPr>
        <w:tabs>
          <w:tab w:val="left" w:pos="851"/>
        </w:tabs>
        <w:ind w:left="851"/>
        <w:rPr>
          <w:sz w:val="24"/>
          <w:szCs w:val="24"/>
          <w:u w:val="single"/>
        </w:rPr>
      </w:pPr>
      <w:r w:rsidRPr="003E5D6C">
        <w:rPr>
          <w:sz w:val="24"/>
          <w:szCs w:val="24"/>
          <w:u w:val="single"/>
        </w:rPr>
        <w:t>Særlige advarsler</w:t>
      </w:r>
    </w:p>
    <w:p w:rsidR="00B6243E" w:rsidRPr="003E5D6C" w:rsidRDefault="00B6243E" w:rsidP="00B6243E">
      <w:pPr>
        <w:tabs>
          <w:tab w:val="left" w:pos="851"/>
        </w:tabs>
        <w:ind w:left="851"/>
        <w:rPr>
          <w:sz w:val="24"/>
          <w:szCs w:val="24"/>
        </w:rPr>
      </w:pPr>
      <w:proofErr w:type="spellStart"/>
      <w:r w:rsidRPr="003E5D6C">
        <w:rPr>
          <w:sz w:val="24"/>
          <w:szCs w:val="24"/>
        </w:rPr>
        <w:t>Vinorelbin</w:t>
      </w:r>
      <w:proofErr w:type="spellEnd"/>
      <w:r w:rsidRPr="003E5D6C">
        <w:rPr>
          <w:sz w:val="24"/>
          <w:szCs w:val="24"/>
        </w:rPr>
        <w:t xml:space="preserve"> bør kun udskrives af en læge med særligt kendskab til </w:t>
      </w:r>
      <w:proofErr w:type="spellStart"/>
      <w:r w:rsidRPr="003E5D6C">
        <w:rPr>
          <w:sz w:val="24"/>
          <w:szCs w:val="24"/>
        </w:rPr>
        <w:t>antineoplastisk</w:t>
      </w:r>
      <w:proofErr w:type="spellEnd"/>
      <w:r w:rsidRPr="003E5D6C">
        <w:rPr>
          <w:sz w:val="24"/>
          <w:szCs w:val="24"/>
        </w:rPr>
        <w:t xml:space="preserve"> behandling og som har udstyr til monitorering af </w:t>
      </w:r>
      <w:proofErr w:type="spellStart"/>
      <w:r w:rsidRPr="003E5D6C">
        <w:rPr>
          <w:sz w:val="24"/>
          <w:szCs w:val="24"/>
        </w:rPr>
        <w:t>cytostatika</w:t>
      </w:r>
      <w:proofErr w:type="spellEnd"/>
      <w:r w:rsidRPr="003E5D6C">
        <w:rPr>
          <w:sz w:val="24"/>
          <w:szCs w:val="24"/>
        </w:rPr>
        <w:t>.</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Hvis patienten ved en fejltagelse tygger eller sutter på kapslen, skal munden skylles med vand eller bedst med fysiologisk saltvand.</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Hvis kapslen er utæt eller beskadiget, vil væskeindholdet give anledning til irritation og medføre skader ved kontakt med hud, slimhinder eller øjne. Beskadigede kapsler må ikke indtages, men skal returneres til apoteket eller lægen med henblik på korrekt destruktion. Ved kontakt med kapselindholdet skylles straks grundigt med vand eller bedst med fysiologisk saltvand.</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Hvis patienten kaster op inden for få timer efter ind</w:t>
      </w:r>
      <w:r w:rsidRPr="003E5D6C">
        <w:rPr>
          <w:sz w:val="24"/>
          <w:szCs w:val="24"/>
        </w:rPr>
        <w:softHyphen/>
        <w:t xml:space="preserve">tagelse af lægemidlet, må den pågældende dosis ikke erstattes. Understøttende behandling (f.eks. med </w:t>
      </w:r>
      <w:proofErr w:type="spellStart"/>
      <w:r w:rsidRPr="003E5D6C">
        <w:rPr>
          <w:sz w:val="24"/>
          <w:szCs w:val="24"/>
        </w:rPr>
        <w:t>metoclopramid</w:t>
      </w:r>
      <w:proofErr w:type="spellEnd"/>
      <w:r w:rsidRPr="003E5D6C">
        <w:rPr>
          <w:sz w:val="24"/>
          <w:szCs w:val="24"/>
        </w:rPr>
        <w:t xml:space="preserve"> eller 5HT3-antagonister f.eks. </w:t>
      </w:r>
      <w:proofErr w:type="spellStart"/>
      <w:r w:rsidRPr="003E5D6C">
        <w:rPr>
          <w:sz w:val="24"/>
          <w:szCs w:val="24"/>
        </w:rPr>
        <w:t>ondansetron</w:t>
      </w:r>
      <w:proofErr w:type="spellEnd"/>
      <w:r w:rsidRPr="003E5D6C">
        <w:rPr>
          <w:sz w:val="24"/>
          <w:szCs w:val="24"/>
        </w:rPr>
        <w:t xml:space="preserve">, </w:t>
      </w:r>
      <w:proofErr w:type="spellStart"/>
      <w:r w:rsidRPr="003E5D6C">
        <w:rPr>
          <w:sz w:val="24"/>
          <w:szCs w:val="24"/>
        </w:rPr>
        <w:t>granisetron</w:t>
      </w:r>
      <w:proofErr w:type="spellEnd"/>
      <w:r w:rsidRPr="003E5D6C">
        <w:rPr>
          <w:sz w:val="24"/>
          <w:szCs w:val="24"/>
        </w:rPr>
        <w:t>) kan nedsætte risikoen for opkastning (se pkt. 4.5).</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proofErr w:type="spellStart"/>
      <w:r w:rsidRPr="003E5D6C">
        <w:rPr>
          <w:sz w:val="24"/>
          <w:szCs w:val="24"/>
        </w:rPr>
        <w:t>Vinorelbin</w:t>
      </w:r>
      <w:proofErr w:type="spellEnd"/>
      <w:r w:rsidRPr="003E5D6C">
        <w:rPr>
          <w:sz w:val="24"/>
          <w:szCs w:val="24"/>
        </w:rPr>
        <w:t xml:space="preserve"> bløde kapsler er forbundet med en højere forekomst af kvalme/opkastning end den intravenøse formulering. Primær profylakse med </w:t>
      </w:r>
      <w:proofErr w:type="spellStart"/>
      <w:r w:rsidRPr="003E5D6C">
        <w:rPr>
          <w:sz w:val="24"/>
          <w:szCs w:val="24"/>
        </w:rPr>
        <w:t>antiemetika</w:t>
      </w:r>
      <w:proofErr w:type="spellEnd"/>
      <w:r w:rsidRPr="003E5D6C">
        <w:rPr>
          <w:sz w:val="24"/>
          <w:szCs w:val="24"/>
        </w:rPr>
        <w:t xml:space="preserve"> anbefales.</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 xml:space="preserve">Nøje hæmatologisk monitorering skal finde sted under behandlingen (bestemmelse af hæmoglobinniveau og leukocyttal, </w:t>
      </w:r>
      <w:proofErr w:type="spellStart"/>
      <w:r w:rsidRPr="003E5D6C">
        <w:rPr>
          <w:sz w:val="24"/>
          <w:szCs w:val="24"/>
        </w:rPr>
        <w:t>neutrofiltal</w:t>
      </w:r>
      <w:proofErr w:type="spellEnd"/>
      <w:r w:rsidRPr="003E5D6C">
        <w:rPr>
          <w:sz w:val="24"/>
          <w:szCs w:val="24"/>
        </w:rPr>
        <w:t xml:space="preserve"> og </w:t>
      </w:r>
      <w:proofErr w:type="spellStart"/>
      <w:r w:rsidRPr="003E5D6C">
        <w:rPr>
          <w:sz w:val="24"/>
          <w:szCs w:val="24"/>
        </w:rPr>
        <w:t>trombocytantal</w:t>
      </w:r>
      <w:proofErr w:type="spellEnd"/>
      <w:r w:rsidRPr="003E5D6C">
        <w:rPr>
          <w:sz w:val="24"/>
          <w:szCs w:val="24"/>
        </w:rPr>
        <w:t xml:space="preserve"> på dagen for hver ny indgift).</w:t>
      </w:r>
    </w:p>
    <w:p w:rsidR="00B6243E" w:rsidRPr="003E5D6C" w:rsidRDefault="00B6243E" w:rsidP="00B6243E">
      <w:pPr>
        <w:tabs>
          <w:tab w:val="left" w:pos="851"/>
        </w:tabs>
        <w:ind w:left="851"/>
        <w:rPr>
          <w:sz w:val="24"/>
          <w:szCs w:val="24"/>
        </w:rPr>
      </w:pPr>
    </w:p>
    <w:p w:rsidR="00B6243E" w:rsidRPr="006E5F6C" w:rsidRDefault="00B6243E" w:rsidP="00B6243E">
      <w:pPr>
        <w:tabs>
          <w:tab w:val="left" w:pos="851"/>
        </w:tabs>
        <w:ind w:left="851"/>
        <w:rPr>
          <w:sz w:val="24"/>
          <w:szCs w:val="24"/>
          <w:u w:val="single"/>
        </w:rPr>
      </w:pPr>
      <w:r w:rsidRPr="006E5F6C">
        <w:rPr>
          <w:sz w:val="24"/>
          <w:szCs w:val="24"/>
          <w:u w:val="single"/>
        </w:rPr>
        <w:t xml:space="preserve">Doseringen bør fastsættes på </w:t>
      </w:r>
      <w:r>
        <w:rPr>
          <w:sz w:val="24"/>
          <w:szCs w:val="24"/>
          <w:u w:val="single"/>
        </w:rPr>
        <w:t>baggrund af hæmatologisk status</w:t>
      </w:r>
    </w:p>
    <w:p w:rsidR="00B6243E" w:rsidRPr="003E5D6C" w:rsidRDefault="00B6243E" w:rsidP="00B6243E">
      <w:pPr>
        <w:numPr>
          <w:ilvl w:val="0"/>
          <w:numId w:val="6"/>
        </w:numPr>
        <w:tabs>
          <w:tab w:val="left" w:pos="1134"/>
        </w:tabs>
        <w:ind w:left="1134" w:hanging="283"/>
        <w:rPr>
          <w:sz w:val="24"/>
          <w:szCs w:val="24"/>
        </w:rPr>
      </w:pPr>
      <w:r w:rsidRPr="003E5D6C">
        <w:rPr>
          <w:sz w:val="24"/>
          <w:szCs w:val="24"/>
        </w:rPr>
        <w:t xml:space="preserve">Hvis </w:t>
      </w:r>
      <w:proofErr w:type="spellStart"/>
      <w:r w:rsidRPr="003E5D6C">
        <w:rPr>
          <w:sz w:val="24"/>
          <w:szCs w:val="24"/>
        </w:rPr>
        <w:t>neutrofiltallet</w:t>
      </w:r>
      <w:proofErr w:type="spellEnd"/>
      <w:r w:rsidRPr="003E5D6C">
        <w:rPr>
          <w:sz w:val="24"/>
          <w:szCs w:val="24"/>
        </w:rPr>
        <w:t xml:space="preserve"> er under 1500/mm</w:t>
      </w:r>
      <w:r w:rsidRPr="003E5D6C">
        <w:rPr>
          <w:sz w:val="24"/>
          <w:szCs w:val="24"/>
          <w:vertAlign w:val="superscript"/>
        </w:rPr>
        <w:t>3</w:t>
      </w:r>
      <w:r w:rsidRPr="003E5D6C">
        <w:rPr>
          <w:sz w:val="24"/>
          <w:szCs w:val="24"/>
        </w:rPr>
        <w:t xml:space="preserve">, og/eller </w:t>
      </w:r>
      <w:proofErr w:type="spellStart"/>
      <w:r w:rsidRPr="003E5D6C">
        <w:rPr>
          <w:sz w:val="24"/>
          <w:szCs w:val="24"/>
        </w:rPr>
        <w:t>trombocyttallet</w:t>
      </w:r>
      <w:proofErr w:type="spellEnd"/>
      <w:r w:rsidRPr="003E5D6C">
        <w:rPr>
          <w:sz w:val="24"/>
          <w:szCs w:val="24"/>
        </w:rPr>
        <w:t xml:space="preserve"> ligger under 100.000/mm</w:t>
      </w:r>
      <w:r w:rsidRPr="003E5D6C">
        <w:rPr>
          <w:sz w:val="24"/>
          <w:szCs w:val="24"/>
          <w:vertAlign w:val="superscript"/>
        </w:rPr>
        <w:t>3</w:t>
      </w:r>
      <w:r w:rsidRPr="003E5D6C">
        <w:rPr>
          <w:sz w:val="24"/>
          <w:szCs w:val="24"/>
        </w:rPr>
        <w:t>, skal behandlingen udskydes indtil normalisering.</w:t>
      </w:r>
    </w:p>
    <w:p w:rsidR="00B6243E" w:rsidRPr="003E5D6C" w:rsidRDefault="00B6243E" w:rsidP="00B6243E">
      <w:pPr>
        <w:numPr>
          <w:ilvl w:val="0"/>
          <w:numId w:val="6"/>
        </w:numPr>
        <w:tabs>
          <w:tab w:val="left" w:pos="1134"/>
        </w:tabs>
        <w:ind w:left="1134" w:hanging="283"/>
        <w:rPr>
          <w:sz w:val="24"/>
          <w:szCs w:val="24"/>
        </w:rPr>
      </w:pPr>
      <w:r w:rsidRPr="003E5D6C">
        <w:rPr>
          <w:sz w:val="24"/>
          <w:szCs w:val="24"/>
        </w:rPr>
        <w:t>Vedrørende eskalering af dosis fra 60 til 80 mg/m</w:t>
      </w:r>
      <w:r w:rsidRPr="003E5D6C">
        <w:rPr>
          <w:sz w:val="24"/>
          <w:szCs w:val="24"/>
          <w:vertAlign w:val="superscript"/>
        </w:rPr>
        <w:t>2</w:t>
      </w:r>
      <w:r w:rsidRPr="003E5D6C">
        <w:rPr>
          <w:sz w:val="24"/>
          <w:szCs w:val="24"/>
        </w:rPr>
        <w:t xml:space="preserve"> om ugen efter 3. indgift henvises til pkt. 4.2.</w:t>
      </w:r>
    </w:p>
    <w:p w:rsidR="00B6243E" w:rsidRPr="003E5D6C" w:rsidRDefault="00B6243E" w:rsidP="00B6243E">
      <w:pPr>
        <w:numPr>
          <w:ilvl w:val="0"/>
          <w:numId w:val="6"/>
        </w:numPr>
        <w:tabs>
          <w:tab w:val="left" w:pos="1134"/>
        </w:tabs>
        <w:ind w:left="1134" w:hanging="283"/>
        <w:rPr>
          <w:sz w:val="24"/>
          <w:szCs w:val="24"/>
        </w:rPr>
      </w:pPr>
      <w:r w:rsidRPr="003E5D6C">
        <w:rPr>
          <w:sz w:val="24"/>
          <w:szCs w:val="24"/>
        </w:rPr>
        <w:t>Vedrørende indgift af doser på 80 mg/m</w:t>
      </w:r>
      <w:r w:rsidRPr="003E5D6C">
        <w:rPr>
          <w:sz w:val="24"/>
          <w:szCs w:val="24"/>
          <w:vertAlign w:val="superscript"/>
        </w:rPr>
        <w:t>2</w:t>
      </w:r>
      <w:r w:rsidRPr="003E5D6C">
        <w:rPr>
          <w:sz w:val="24"/>
          <w:szCs w:val="24"/>
        </w:rPr>
        <w:t>, skal indgift ikke blot udskydes, men doseringen også nedsættes til 60 mg/m</w:t>
      </w:r>
      <w:r w:rsidRPr="003E5D6C">
        <w:rPr>
          <w:sz w:val="24"/>
          <w:szCs w:val="24"/>
          <w:vertAlign w:val="superscript"/>
        </w:rPr>
        <w:t>2</w:t>
      </w:r>
      <w:r w:rsidRPr="003E5D6C">
        <w:rPr>
          <w:sz w:val="24"/>
          <w:szCs w:val="24"/>
        </w:rPr>
        <w:t xml:space="preserve"> om ugen, hvis </w:t>
      </w:r>
      <w:proofErr w:type="spellStart"/>
      <w:r w:rsidRPr="003E5D6C">
        <w:rPr>
          <w:sz w:val="24"/>
          <w:szCs w:val="24"/>
        </w:rPr>
        <w:t>neutrofiltallet</w:t>
      </w:r>
      <w:proofErr w:type="spellEnd"/>
      <w:r w:rsidRPr="003E5D6C">
        <w:rPr>
          <w:sz w:val="24"/>
          <w:szCs w:val="24"/>
        </w:rPr>
        <w:t xml:space="preserve"> er &lt;500/mm</w:t>
      </w:r>
      <w:r w:rsidRPr="003E5D6C">
        <w:rPr>
          <w:sz w:val="24"/>
          <w:szCs w:val="24"/>
          <w:vertAlign w:val="superscript"/>
        </w:rPr>
        <w:t>3</w:t>
      </w:r>
      <w:r w:rsidRPr="003E5D6C">
        <w:rPr>
          <w:sz w:val="24"/>
          <w:szCs w:val="24"/>
        </w:rPr>
        <w:t xml:space="preserve"> eller flere gange ligger i intervallet 500-1000/mm</w:t>
      </w:r>
      <w:r w:rsidRPr="003E5D6C">
        <w:rPr>
          <w:sz w:val="24"/>
          <w:szCs w:val="24"/>
          <w:vertAlign w:val="superscript"/>
        </w:rPr>
        <w:t>3</w:t>
      </w:r>
      <w:r w:rsidRPr="003E5D6C">
        <w:rPr>
          <w:sz w:val="24"/>
          <w:szCs w:val="24"/>
        </w:rPr>
        <w:t xml:space="preserve">. Det er muligt at </w:t>
      </w:r>
      <w:proofErr w:type="spellStart"/>
      <w:r w:rsidRPr="003E5D6C">
        <w:rPr>
          <w:sz w:val="24"/>
          <w:szCs w:val="24"/>
        </w:rPr>
        <w:t>reeskalere</w:t>
      </w:r>
      <w:proofErr w:type="spellEnd"/>
      <w:r w:rsidRPr="003E5D6C">
        <w:rPr>
          <w:sz w:val="24"/>
          <w:szCs w:val="24"/>
        </w:rPr>
        <w:t xml:space="preserve"> dosis fra 60 til 80 mg/m</w:t>
      </w:r>
      <w:r w:rsidRPr="003E5D6C">
        <w:rPr>
          <w:sz w:val="24"/>
          <w:szCs w:val="24"/>
          <w:vertAlign w:val="superscript"/>
        </w:rPr>
        <w:t>2</w:t>
      </w:r>
      <w:r w:rsidRPr="003E5D6C">
        <w:rPr>
          <w:sz w:val="24"/>
          <w:szCs w:val="24"/>
        </w:rPr>
        <w:t xml:space="preserve"> om ugen (se pkt. 4.2).</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Under kliniske forsøg, hvor behandling blev indledt med 80 mg/m</w:t>
      </w:r>
      <w:r w:rsidRPr="003E5D6C">
        <w:rPr>
          <w:sz w:val="24"/>
          <w:szCs w:val="24"/>
          <w:vertAlign w:val="superscript"/>
        </w:rPr>
        <w:t>2</w:t>
      </w:r>
      <w:r w:rsidRPr="003E5D6C">
        <w:rPr>
          <w:sz w:val="24"/>
          <w:szCs w:val="24"/>
        </w:rPr>
        <w:t xml:space="preserve">, udviklede nogle få patienter komplikationer i form af svær </w:t>
      </w:r>
      <w:proofErr w:type="spellStart"/>
      <w:r w:rsidRPr="003E5D6C">
        <w:rPr>
          <w:sz w:val="24"/>
          <w:szCs w:val="24"/>
        </w:rPr>
        <w:t>neutropeni</w:t>
      </w:r>
      <w:proofErr w:type="spellEnd"/>
      <w:r w:rsidRPr="003E5D6C">
        <w:rPr>
          <w:sz w:val="24"/>
          <w:szCs w:val="24"/>
        </w:rPr>
        <w:t>, herunder patienterne med en dårlig performance status. Det anbefales derfor at lade startdosis være 60 mg/m</w:t>
      </w:r>
      <w:r w:rsidRPr="003E5D6C">
        <w:rPr>
          <w:sz w:val="24"/>
          <w:szCs w:val="24"/>
          <w:vertAlign w:val="superscript"/>
        </w:rPr>
        <w:t>2</w:t>
      </w:r>
      <w:r w:rsidRPr="003E5D6C">
        <w:rPr>
          <w:sz w:val="24"/>
          <w:szCs w:val="24"/>
        </w:rPr>
        <w:t xml:space="preserve"> og eskalere til 80 mg/m</w:t>
      </w:r>
      <w:r w:rsidRPr="003E5D6C">
        <w:rPr>
          <w:sz w:val="24"/>
          <w:szCs w:val="24"/>
          <w:vertAlign w:val="superscript"/>
        </w:rPr>
        <w:t>2</w:t>
      </w:r>
      <w:r w:rsidRPr="003E5D6C">
        <w:rPr>
          <w:sz w:val="24"/>
          <w:szCs w:val="24"/>
        </w:rPr>
        <w:t>, hvis dosis tolereres (se pkt. 4.2).</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Hvis patienten udviser tegn eller symptomer, som tyder på infektion, skal dette straks undersøges nærmere.</w:t>
      </w:r>
    </w:p>
    <w:p w:rsidR="00B6243E" w:rsidRPr="003E5D6C" w:rsidRDefault="00B6243E" w:rsidP="00B6243E">
      <w:pPr>
        <w:tabs>
          <w:tab w:val="left" w:pos="851"/>
        </w:tabs>
        <w:ind w:left="851"/>
        <w:rPr>
          <w:sz w:val="24"/>
          <w:szCs w:val="24"/>
        </w:rPr>
      </w:pPr>
    </w:p>
    <w:p w:rsidR="00B6243E" w:rsidRPr="006E5F6C" w:rsidRDefault="00B6243E" w:rsidP="00B6243E">
      <w:pPr>
        <w:tabs>
          <w:tab w:val="left" w:pos="851"/>
        </w:tabs>
        <w:ind w:left="851"/>
        <w:rPr>
          <w:sz w:val="24"/>
          <w:szCs w:val="24"/>
          <w:u w:val="single"/>
        </w:rPr>
      </w:pPr>
      <w:r w:rsidRPr="006E5F6C">
        <w:rPr>
          <w:sz w:val="24"/>
          <w:szCs w:val="24"/>
          <w:u w:val="single"/>
        </w:rPr>
        <w:t xml:space="preserve">Særlige forsigtighedsregler </w:t>
      </w:r>
    </w:p>
    <w:p w:rsidR="00B6243E" w:rsidRPr="003E5D6C" w:rsidRDefault="00B6243E" w:rsidP="00B6243E">
      <w:pPr>
        <w:tabs>
          <w:tab w:val="left" w:pos="851"/>
        </w:tabs>
        <w:ind w:left="851"/>
        <w:rPr>
          <w:sz w:val="24"/>
          <w:szCs w:val="24"/>
        </w:rPr>
      </w:pPr>
      <w:r w:rsidRPr="003E5D6C">
        <w:rPr>
          <w:sz w:val="24"/>
          <w:szCs w:val="24"/>
        </w:rPr>
        <w:t>Der skal træffes særlige forholdsregler ved ordination til patienter med iskæmisk hjertesygdom (se pkt. 4.8) eller en dårlig performance status i anamnesen.</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proofErr w:type="spellStart"/>
      <w:r w:rsidRPr="003E5D6C">
        <w:rPr>
          <w:sz w:val="24"/>
          <w:szCs w:val="24"/>
        </w:rPr>
        <w:t>Vinorelbin</w:t>
      </w:r>
      <w:proofErr w:type="spellEnd"/>
      <w:r w:rsidRPr="003E5D6C">
        <w:rPr>
          <w:sz w:val="24"/>
          <w:szCs w:val="24"/>
        </w:rPr>
        <w:t xml:space="preserve"> bør ikke gives samtidig med strålebehandling, der omfatter leveren.</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sidRPr="003E5D6C">
        <w:rPr>
          <w:sz w:val="24"/>
          <w:szCs w:val="24"/>
        </w:rPr>
        <w:t xml:space="preserve">Dette produkt er specifikt kontraindiceret i forbindelse med gul feber-vaccine, og anvendelse sammen med andre svækkede levende vacciner frarådes. Der skal udvises forsigtighed, når </w:t>
      </w:r>
      <w:proofErr w:type="spellStart"/>
      <w:r w:rsidRPr="003E5D6C">
        <w:rPr>
          <w:sz w:val="24"/>
          <w:szCs w:val="24"/>
        </w:rPr>
        <w:t>vinorelbin</w:t>
      </w:r>
      <w:proofErr w:type="spellEnd"/>
      <w:r w:rsidRPr="003E5D6C">
        <w:rPr>
          <w:sz w:val="24"/>
          <w:szCs w:val="24"/>
        </w:rPr>
        <w:t xml:space="preserve"> kombineres med stærke </w:t>
      </w:r>
      <w:proofErr w:type="spellStart"/>
      <w:r w:rsidRPr="003E5D6C">
        <w:rPr>
          <w:sz w:val="24"/>
          <w:szCs w:val="24"/>
        </w:rPr>
        <w:t>hæmmere</w:t>
      </w:r>
      <w:proofErr w:type="spellEnd"/>
      <w:r w:rsidRPr="003E5D6C">
        <w:rPr>
          <w:sz w:val="24"/>
          <w:szCs w:val="24"/>
        </w:rPr>
        <w:t xml:space="preserve"> eller inducere af CYP3A4 (se pkt. 4.5), og kombination med </w:t>
      </w:r>
      <w:proofErr w:type="spellStart"/>
      <w:r w:rsidRPr="003E5D6C">
        <w:rPr>
          <w:sz w:val="24"/>
          <w:szCs w:val="24"/>
        </w:rPr>
        <w:t>phenytoin</w:t>
      </w:r>
      <w:proofErr w:type="spellEnd"/>
      <w:r w:rsidRPr="003E5D6C">
        <w:rPr>
          <w:sz w:val="24"/>
          <w:szCs w:val="24"/>
        </w:rPr>
        <w:t xml:space="preserve"> (gælder alle </w:t>
      </w:r>
      <w:proofErr w:type="spellStart"/>
      <w:r w:rsidRPr="003E5D6C">
        <w:rPr>
          <w:sz w:val="24"/>
          <w:szCs w:val="24"/>
        </w:rPr>
        <w:t>cytotoksiske</w:t>
      </w:r>
      <w:proofErr w:type="spellEnd"/>
      <w:r w:rsidRPr="003E5D6C">
        <w:rPr>
          <w:sz w:val="24"/>
          <w:szCs w:val="24"/>
        </w:rPr>
        <w:t xml:space="preserve"> midler) og med </w:t>
      </w:r>
      <w:proofErr w:type="spellStart"/>
      <w:r w:rsidRPr="003E5D6C">
        <w:rPr>
          <w:sz w:val="24"/>
          <w:szCs w:val="24"/>
        </w:rPr>
        <w:t>itraconazol</w:t>
      </w:r>
      <w:proofErr w:type="spellEnd"/>
      <w:r w:rsidRPr="003E5D6C">
        <w:rPr>
          <w:sz w:val="24"/>
          <w:szCs w:val="24"/>
        </w:rPr>
        <w:t xml:space="preserve"> (gælder alle vincaalkaloider) frarådes.</w:t>
      </w:r>
    </w:p>
    <w:p w:rsidR="00B6243E" w:rsidRPr="003E5D6C" w:rsidRDefault="00B6243E" w:rsidP="00B6243E">
      <w:pPr>
        <w:tabs>
          <w:tab w:val="left" w:pos="851"/>
        </w:tabs>
        <w:ind w:left="851"/>
        <w:rPr>
          <w:sz w:val="24"/>
          <w:szCs w:val="24"/>
        </w:rPr>
      </w:pPr>
    </w:p>
    <w:p w:rsidR="00B6243E" w:rsidRPr="003E5D6C" w:rsidRDefault="00B6243E" w:rsidP="00B6243E">
      <w:pPr>
        <w:tabs>
          <w:tab w:val="left" w:pos="851"/>
        </w:tabs>
        <w:ind w:left="851"/>
        <w:rPr>
          <w:sz w:val="24"/>
          <w:szCs w:val="24"/>
        </w:rPr>
      </w:pPr>
      <w:r>
        <w:rPr>
          <w:sz w:val="24"/>
          <w:szCs w:val="24"/>
        </w:rPr>
        <w:t>Or</w:t>
      </w:r>
      <w:r w:rsidRPr="003E5D6C">
        <w:rPr>
          <w:sz w:val="24"/>
          <w:szCs w:val="24"/>
        </w:rPr>
        <w:t xml:space="preserve">alt </w:t>
      </w:r>
      <w:proofErr w:type="spellStart"/>
      <w:r w:rsidRPr="003E5D6C">
        <w:rPr>
          <w:sz w:val="24"/>
          <w:szCs w:val="24"/>
        </w:rPr>
        <w:t>vinorelbin</w:t>
      </w:r>
      <w:proofErr w:type="spellEnd"/>
      <w:r w:rsidRPr="003E5D6C">
        <w:rPr>
          <w:sz w:val="24"/>
          <w:szCs w:val="24"/>
        </w:rPr>
        <w:t xml:space="preserve"> er blevet undersøgt hos patienter med leversygdom ved følgende doseringer:</w:t>
      </w:r>
    </w:p>
    <w:p w:rsidR="00B6243E" w:rsidRPr="003E5D6C" w:rsidRDefault="00B6243E" w:rsidP="00B6243E">
      <w:pPr>
        <w:numPr>
          <w:ilvl w:val="0"/>
          <w:numId w:val="7"/>
        </w:numPr>
        <w:tabs>
          <w:tab w:val="left" w:pos="1134"/>
        </w:tabs>
        <w:ind w:left="1134" w:hanging="283"/>
        <w:rPr>
          <w:sz w:val="24"/>
          <w:szCs w:val="24"/>
        </w:rPr>
      </w:pPr>
      <w:r w:rsidRPr="003E5D6C">
        <w:rPr>
          <w:sz w:val="24"/>
          <w:szCs w:val="24"/>
        </w:rPr>
        <w:t>60 mg/m</w:t>
      </w:r>
      <w:r w:rsidRPr="003E5D6C">
        <w:rPr>
          <w:sz w:val="24"/>
          <w:szCs w:val="24"/>
          <w:vertAlign w:val="superscript"/>
        </w:rPr>
        <w:t>2</w:t>
      </w:r>
      <w:r w:rsidRPr="003E5D6C">
        <w:rPr>
          <w:sz w:val="24"/>
          <w:szCs w:val="24"/>
        </w:rPr>
        <w:t xml:space="preserve"> hos patienter med mild leversygdom (bilirubin &lt; 1,5 x ULN og ALT og/eller AST fra 1,5 til 2,5 x ULN).</w:t>
      </w:r>
    </w:p>
    <w:p w:rsidR="00B6243E" w:rsidRPr="003E5D6C" w:rsidRDefault="00B6243E" w:rsidP="00B6243E">
      <w:pPr>
        <w:numPr>
          <w:ilvl w:val="0"/>
          <w:numId w:val="7"/>
        </w:numPr>
        <w:tabs>
          <w:tab w:val="left" w:pos="1134"/>
        </w:tabs>
        <w:ind w:left="1134" w:hanging="283"/>
        <w:rPr>
          <w:sz w:val="24"/>
          <w:szCs w:val="24"/>
        </w:rPr>
      </w:pPr>
      <w:r w:rsidRPr="003E5D6C">
        <w:rPr>
          <w:sz w:val="24"/>
          <w:szCs w:val="24"/>
        </w:rPr>
        <w:t>50 mg/m</w:t>
      </w:r>
      <w:r w:rsidRPr="003E5D6C">
        <w:rPr>
          <w:sz w:val="24"/>
          <w:szCs w:val="24"/>
          <w:vertAlign w:val="superscript"/>
        </w:rPr>
        <w:t>2</w:t>
      </w:r>
      <w:r w:rsidRPr="003E5D6C">
        <w:rPr>
          <w:sz w:val="24"/>
          <w:szCs w:val="24"/>
        </w:rPr>
        <w:t xml:space="preserve"> hos patienter med moderat leversygdom (bilirubin mellem 1,5 og 3 x ULN, uafhængigt af ALT- og AST-niveauerne).</w:t>
      </w:r>
    </w:p>
    <w:p w:rsidR="00B6243E" w:rsidRPr="003E5D6C" w:rsidRDefault="00B6243E" w:rsidP="00B6243E">
      <w:pPr>
        <w:tabs>
          <w:tab w:val="left" w:pos="1134"/>
        </w:tabs>
        <w:ind w:left="1134" w:hanging="283"/>
        <w:rPr>
          <w:sz w:val="24"/>
          <w:szCs w:val="24"/>
        </w:rPr>
      </w:pPr>
    </w:p>
    <w:p w:rsidR="00B6243E" w:rsidRPr="003E5D6C" w:rsidRDefault="00B6243E" w:rsidP="00B6243E">
      <w:pPr>
        <w:tabs>
          <w:tab w:val="left" w:pos="851"/>
        </w:tabs>
        <w:ind w:left="851"/>
        <w:rPr>
          <w:sz w:val="24"/>
          <w:szCs w:val="24"/>
        </w:rPr>
      </w:pPr>
      <w:r w:rsidRPr="003E5D6C">
        <w:rPr>
          <w:sz w:val="24"/>
          <w:szCs w:val="24"/>
        </w:rPr>
        <w:t xml:space="preserve">Sikkerheden og farmakokinetikken ved </w:t>
      </w:r>
      <w:proofErr w:type="spellStart"/>
      <w:r w:rsidRPr="003E5D6C">
        <w:rPr>
          <w:sz w:val="24"/>
          <w:szCs w:val="24"/>
        </w:rPr>
        <w:t>vinorelbin</w:t>
      </w:r>
      <w:proofErr w:type="spellEnd"/>
      <w:r w:rsidRPr="003E5D6C">
        <w:rPr>
          <w:sz w:val="24"/>
          <w:szCs w:val="24"/>
        </w:rPr>
        <w:t xml:space="preserve"> blev ikke ændret hos disse patienter</w:t>
      </w:r>
      <w:r>
        <w:rPr>
          <w:sz w:val="24"/>
          <w:szCs w:val="24"/>
        </w:rPr>
        <w:t xml:space="preserve"> ved de testede doseringer. O</w:t>
      </w:r>
      <w:r w:rsidRPr="003E5D6C">
        <w:rPr>
          <w:sz w:val="24"/>
          <w:szCs w:val="24"/>
        </w:rPr>
        <w:t xml:space="preserve">ralt </w:t>
      </w:r>
      <w:proofErr w:type="spellStart"/>
      <w:r w:rsidRPr="003E5D6C">
        <w:rPr>
          <w:sz w:val="24"/>
          <w:szCs w:val="24"/>
        </w:rPr>
        <w:t>vinorelbin</w:t>
      </w:r>
      <w:proofErr w:type="spellEnd"/>
      <w:r w:rsidRPr="003E5D6C">
        <w:rPr>
          <w:sz w:val="24"/>
          <w:szCs w:val="24"/>
        </w:rPr>
        <w:t xml:space="preserve"> er ikke blevet undersøgt hos patienter med svær leversygdom, og derfor frarådes anvendelse hos disse patienter (se pkt. 4.2, 5.2).</w:t>
      </w:r>
    </w:p>
    <w:p w:rsidR="00B6243E" w:rsidRPr="003E5D6C" w:rsidRDefault="00B6243E" w:rsidP="00B6243E">
      <w:pPr>
        <w:tabs>
          <w:tab w:val="left" w:pos="851"/>
        </w:tabs>
        <w:ind w:left="851"/>
        <w:rPr>
          <w:sz w:val="24"/>
          <w:szCs w:val="24"/>
        </w:rPr>
      </w:pPr>
    </w:p>
    <w:p w:rsidR="00B6243E" w:rsidRPr="00C84483" w:rsidRDefault="00B6243E" w:rsidP="00B6243E">
      <w:pPr>
        <w:tabs>
          <w:tab w:val="left" w:pos="851"/>
        </w:tabs>
        <w:ind w:left="851"/>
        <w:rPr>
          <w:sz w:val="24"/>
          <w:szCs w:val="24"/>
        </w:rPr>
      </w:pPr>
      <w:r w:rsidRPr="003E5D6C">
        <w:rPr>
          <w:sz w:val="24"/>
          <w:szCs w:val="24"/>
        </w:rPr>
        <w:t xml:space="preserve">Da der kun forekommer ringe grad af udskillelse gennem nyrerne, er der ingen </w:t>
      </w:r>
      <w:proofErr w:type="spellStart"/>
      <w:r w:rsidRPr="003E5D6C">
        <w:rPr>
          <w:sz w:val="24"/>
          <w:szCs w:val="24"/>
        </w:rPr>
        <w:t>farmakokinetisk</w:t>
      </w:r>
      <w:proofErr w:type="spellEnd"/>
      <w:r w:rsidRPr="003E5D6C">
        <w:rPr>
          <w:sz w:val="24"/>
          <w:szCs w:val="24"/>
        </w:rPr>
        <w:t xml:space="preserve"> baggrund for at nedsætte doseringen af </w:t>
      </w:r>
      <w:proofErr w:type="spellStart"/>
      <w:r w:rsidRPr="003E5D6C">
        <w:rPr>
          <w:sz w:val="24"/>
          <w:szCs w:val="24"/>
        </w:rPr>
        <w:t>vinorelbin</w:t>
      </w:r>
      <w:proofErr w:type="spellEnd"/>
      <w:r w:rsidRPr="003E5D6C">
        <w:rPr>
          <w:sz w:val="24"/>
          <w:szCs w:val="24"/>
        </w:rPr>
        <w:t xml:space="preserve"> til patienter med nedsat nyrefunktion (se pkt. 4.1, 5.2).</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6243E" w:rsidRPr="008D215B" w:rsidRDefault="00B6243E" w:rsidP="00B6243E">
      <w:pPr>
        <w:autoSpaceDE w:val="0"/>
        <w:autoSpaceDN w:val="0"/>
        <w:adjustRightInd w:val="0"/>
        <w:ind w:left="851"/>
        <w:rPr>
          <w:b/>
          <w:bCs/>
          <w:sz w:val="24"/>
          <w:szCs w:val="24"/>
        </w:rPr>
      </w:pPr>
    </w:p>
    <w:p w:rsidR="00B6243E" w:rsidRDefault="00B6243E" w:rsidP="00B6243E">
      <w:pPr>
        <w:autoSpaceDE w:val="0"/>
        <w:autoSpaceDN w:val="0"/>
        <w:adjustRightInd w:val="0"/>
        <w:ind w:left="851"/>
        <w:rPr>
          <w:b/>
          <w:sz w:val="24"/>
          <w:szCs w:val="24"/>
        </w:rPr>
      </w:pPr>
      <w:r w:rsidRPr="008D215B">
        <w:rPr>
          <w:b/>
          <w:sz w:val="24"/>
          <w:szCs w:val="24"/>
        </w:rPr>
        <w:t xml:space="preserve">Interaktioner, der er gælder for alle </w:t>
      </w:r>
      <w:proofErr w:type="spellStart"/>
      <w:r w:rsidRPr="008D215B">
        <w:rPr>
          <w:b/>
          <w:sz w:val="24"/>
          <w:szCs w:val="24"/>
        </w:rPr>
        <w:t>cytotoksika</w:t>
      </w:r>
      <w:proofErr w:type="spellEnd"/>
    </w:p>
    <w:p w:rsidR="00B6243E" w:rsidRPr="008D215B" w:rsidRDefault="00B6243E" w:rsidP="00B6243E">
      <w:pPr>
        <w:autoSpaceDE w:val="0"/>
        <w:autoSpaceDN w:val="0"/>
        <w:adjustRightInd w:val="0"/>
        <w:ind w:left="851"/>
        <w:rPr>
          <w:b/>
          <w:sz w:val="24"/>
          <w:szCs w:val="24"/>
        </w:rPr>
      </w:pPr>
    </w:p>
    <w:p w:rsidR="00B6243E" w:rsidRDefault="00B6243E" w:rsidP="00B6243E">
      <w:pPr>
        <w:tabs>
          <w:tab w:val="left" w:pos="0"/>
          <w:tab w:val="left" w:pos="426"/>
        </w:tabs>
        <w:autoSpaceDE w:val="0"/>
        <w:autoSpaceDN w:val="0"/>
        <w:adjustRightInd w:val="0"/>
        <w:ind w:left="851"/>
        <w:rPr>
          <w:sz w:val="24"/>
          <w:szCs w:val="24"/>
          <w:u w:val="single"/>
        </w:rPr>
      </w:pPr>
      <w:r>
        <w:rPr>
          <w:sz w:val="24"/>
          <w:szCs w:val="24"/>
          <w:u w:val="single"/>
        </w:rPr>
        <w:t>O</w:t>
      </w:r>
      <w:r w:rsidRPr="008D215B">
        <w:rPr>
          <w:sz w:val="24"/>
          <w:szCs w:val="24"/>
          <w:u w:val="single"/>
        </w:rPr>
        <w:t xml:space="preserve">rale </w:t>
      </w:r>
      <w:proofErr w:type="spellStart"/>
      <w:r w:rsidRPr="008D215B">
        <w:rPr>
          <w:sz w:val="24"/>
          <w:szCs w:val="24"/>
          <w:u w:val="single"/>
        </w:rPr>
        <w:t>antikoagulantia</w:t>
      </w:r>
      <w:proofErr w:type="spellEnd"/>
    </w:p>
    <w:p w:rsidR="00B6243E" w:rsidRPr="008D215B" w:rsidRDefault="00B6243E" w:rsidP="00B6243E">
      <w:pPr>
        <w:tabs>
          <w:tab w:val="left" w:pos="0"/>
          <w:tab w:val="left" w:pos="426"/>
        </w:tabs>
        <w:autoSpaceDE w:val="0"/>
        <w:autoSpaceDN w:val="0"/>
        <w:adjustRightInd w:val="0"/>
        <w:ind w:left="851"/>
        <w:rPr>
          <w:sz w:val="24"/>
          <w:szCs w:val="24"/>
        </w:rPr>
      </w:pPr>
      <w:r w:rsidRPr="008D215B">
        <w:rPr>
          <w:sz w:val="24"/>
          <w:szCs w:val="24"/>
        </w:rPr>
        <w:t xml:space="preserve">På grund af den forhøjede tromboserisiko i forbindelse med tumorsygdom anvendes hyppigt behandling med </w:t>
      </w:r>
      <w:proofErr w:type="spellStart"/>
      <w:r w:rsidRPr="008D215B">
        <w:rPr>
          <w:sz w:val="24"/>
          <w:szCs w:val="24"/>
        </w:rPr>
        <w:t>antikoagulantia</w:t>
      </w:r>
      <w:proofErr w:type="spellEnd"/>
      <w:r w:rsidRPr="008D215B">
        <w:rPr>
          <w:sz w:val="24"/>
          <w:szCs w:val="24"/>
        </w:rPr>
        <w:t xml:space="preserve">. Den høje intraindividuelle variabilitet af koagulation under sygdom og muligheden for interaktion mellem </w:t>
      </w:r>
      <w:r>
        <w:rPr>
          <w:sz w:val="24"/>
          <w:szCs w:val="24"/>
        </w:rPr>
        <w:t>oral</w:t>
      </w:r>
      <w:r w:rsidRPr="008D215B">
        <w:rPr>
          <w:sz w:val="24"/>
          <w:szCs w:val="24"/>
        </w:rPr>
        <w:t xml:space="preserve">e </w:t>
      </w:r>
      <w:proofErr w:type="spellStart"/>
      <w:r w:rsidRPr="008D215B">
        <w:rPr>
          <w:sz w:val="24"/>
          <w:szCs w:val="24"/>
        </w:rPr>
        <w:t>antikoagulantia</w:t>
      </w:r>
      <w:proofErr w:type="spellEnd"/>
      <w:r w:rsidRPr="008D215B">
        <w:rPr>
          <w:sz w:val="24"/>
          <w:szCs w:val="24"/>
        </w:rPr>
        <w:t xml:space="preserve"> og anticancer-kemoterapi kræver en øget hyppighed af INR-overvågning, hvis det besluttes at behandle patienten med </w:t>
      </w:r>
      <w:r>
        <w:rPr>
          <w:sz w:val="24"/>
          <w:szCs w:val="24"/>
        </w:rPr>
        <w:t>oral</w:t>
      </w:r>
      <w:r w:rsidRPr="008D215B">
        <w:rPr>
          <w:sz w:val="24"/>
          <w:szCs w:val="24"/>
        </w:rPr>
        <w:t xml:space="preserve">e </w:t>
      </w:r>
      <w:proofErr w:type="spellStart"/>
      <w:r w:rsidRPr="008D215B">
        <w:rPr>
          <w:sz w:val="24"/>
          <w:szCs w:val="24"/>
        </w:rPr>
        <w:t>antikoagulantia</w:t>
      </w:r>
      <w:proofErr w:type="spellEnd"/>
      <w:r w:rsidRPr="008D215B">
        <w:rPr>
          <w:sz w:val="24"/>
          <w:szCs w:val="24"/>
        </w:rPr>
        <w:t>.</w:t>
      </w:r>
    </w:p>
    <w:p w:rsidR="00B6243E" w:rsidRPr="008D215B" w:rsidRDefault="00B6243E" w:rsidP="00B6243E">
      <w:pPr>
        <w:tabs>
          <w:tab w:val="left" w:pos="0"/>
          <w:tab w:val="left" w:pos="426"/>
        </w:tabs>
        <w:autoSpaceDE w:val="0"/>
        <w:autoSpaceDN w:val="0"/>
        <w:adjustRightInd w:val="0"/>
        <w:ind w:left="851"/>
        <w:rPr>
          <w:sz w:val="24"/>
          <w:szCs w:val="24"/>
        </w:rPr>
      </w:pPr>
    </w:p>
    <w:p w:rsidR="00B6243E" w:rsidRPr="008D215B" w:rsidRDefault="00B6243E" w:rsidP="00B6243E">
      <w:pPr>
        <w:tabs>
          <w:tab w:val="left" w:pos="0"/>
          <w:tab w:val="left" w:pos="426"/>
        </w:tabs>
        <w:autoSpaceDE w:val="0"/>
        <w:autoSpaceDN w:val="0"/>
        <w:adjustRightInd w:val="0"/>
        <w:ind w:left="851"/>
        <w:rPr>
          <w:sz w:val="24"/>
          <w:szCs w:val="24"/>
          <w:u w:val="single"/>
        </w:rPr>
      </w:pPr>
      <w:r w:rsidRPr="008D215B">
        <w:rPr>
          <w:sz w:val="24"/>
          <w:szCs w:val="24"/>
          <w:u w:val="single"/>
        </w:rPr>
        <w:t>Samtidig anvendelse af følgende lægemidler</w:t>
      </w:r>
      <w:r>
        <w:rPr>
          <w:sz w:val="24"/>
          <w:szCs w:val="24"/>
          <w:u w:val="single"/>
        </w:rPr>
        <w:t xml:space="preserve"> er kontraindiceret</w:t>
      </w:r>
    </w:p>
    <w:p w:rsidR="00B6243E" w:rsidRPr="008D215B" w:rsidRDefault="00B6243E" w:rsidP="00B6243E">
      <w:pPr>
        <w:tabs>
          <w:tab w:val="left" w:pos="0"/>
          <w:tab w:val="left" w:pos="426"/>
        </w:tabs>
        <w:autoSpaceDE w:val="0"/>
        <w:autoSpaceDN w:val="0"/>
        <w:adjustRightInd w:val="0"/>
        <w:ind w:left="851"/>
        <w:rPr>
          <w:sz w:val="24"/>
          <w:szCs w:val="24"/>
        </w:rPr>
      </w:pPr>
      <w:r w:rsidRPr="008D215B">
        <w:rPr>
          <w:sz w:val="24"/>
          <w:szCs w:val="24"/>
        </w:rPr>
        <w:t>Gul feber-vaccine er kontraindiceret på grund af risiko for fatal generaliseret vaccinesygdom.</w:t>
      </w:r>
    </w:p>
    <w:p w:rsidR="00B6243E" w:rsidRPr="008D215B" w:rsidRDefault="00B6243E" w:rsidP="00B6243E">
      <w:pPr>
        <w:tabs>
          <w:tab w:val="left" w:pos="0"/>
          <w:tab w:val="left" w:pos="426"/>
        </w:tabs>
        <w:autoSpaceDE w:val="0"/>
        <w:autoSpaceDN w:val="0"/>
        <w:adjustRightInd w:val="0"/>
        <w:ind w:left="851"/>
        <w:rPr>
          <w:sz w:val="24"/>
          <w:szCs w:val="24"/>
        </w:rPr>
      </w:pPr>
    </w:p>
    <w:p w:rsidR="00B6243E" w:rsidRDefault="00B6243E" w:rsidP="00B6243E">
      <w:pPr>
        <w:tabs>
          <w:tab w:val="left" w:pos="0"/>
          <w:tab w:val="left" w:pos="426"/>
        </w:tabs>
        <w:autoSpaceDE w:val="0"/>
        <w:autoSpaceDN w:val="0"/>
        <w:adjustRightInd w:val="0"/>
        <w:ind w:left="851"/>
        <w:rPr>
          <w:sz w:val="24"/>
          <w:szCs w:val="24"/>
          <w:u w:val="single"/>
        </w:rPr>
      </w:pPr>
      <w:r w:rsidRPr="008D215B">
        <w:rPr>
          <w:sz w:val="24"/>
          <w:szCs w:val="24"/>
          <w:u w:val="single"/>
        </w:rPr>
        <w:t xml:space="preserve">Samtidig anvendelse </w:t>
      </w:r>
      <w:r>
        <w:rPr>
          <w:sz w:val="24"/>
          <w:szCs w:val="24"/>
          <w:u w:val="single"/>
        </w:rPr>
        <w:t>af følgende lægemidler frarådes</w:t>
      </w:r>
    </w:p>
    <w:p w:rsidR="00B6243E" w:rsidRPr="008D215B" w:rsidRDefault="00B6243E" w:rsidP="00B6243E">
      <w:pPr>
        <w:tabs>
          <w:tab w:val="left" w:pos="0"/>
          <w:tab w:val="left" w:pos="426"/>
        </w:tabs>
        <w:autoSpaceDE w:val="0"/>
        <w:autoSpaceDN w:val="0"/>
        <w:adjustRightInd w:val="0"/>
        <w:ind w:left="851"/>
        <w:rPr>
          <w:sz w:val="24"/>
          <w:szCs w:val="24"/>
          <w:u w:val="single"/>
        </w:rPr>
      </w:pPr>
    </w:p>
    <w:p w:rsidR="00B6243E" w:rsidRPr="007D1DB2" w:rsidRDefault="00B6243E" w:rsidP="00B6243E">
      <w:pPr>
        <w:autoSpaceDE w:val="0"/>
        <w:autoSpaceDN w:val="0"/>
        <w:adjustRightInd w:val="0"/>
        <w:ind w:left="851"/>
        <w:rPr>
          <w:i/>
          <w:sz w:val="24"/>
          <w:szCs w:val="24"/>
        </w:rPr>
      </w:pPr>
      <w:r w:rsidRPr="007D1DB2">
        <w:rPr>
          <w:i/>
          <w:sz w:val="24"/>
          <w:szCs w:val="24"/>
        </w:rPr>
        <w:t>Levende svækkede vacciner</w:t>
      </w:r>
    </w:p>
    <w:p w:rsidR="00B6243E" w:rsidRPr="008D215B" w:rsidRDefault="00B6243E" w:rsidP="00B6243E">
      <w:pPr>
        <w:autoSpaceDE w:val="0"/>
        <w:autoSpaceDN w:val="0"/>
        <w:adjustRightInd w:val="0"/>
        <w:ind w:left="851"/>
        <w:rPr>
          <w:sz w:val="24"/>
          <w:szCs w:val="24"/>
        </w:rPr>
      </w:pPr>
      <w:r w:rsidRPr="008D215B">
        <w:rPr>
          <w:sz w:val="24"/>
          <w:szCs w:val="24"/>
        </w:rPr>
        <w:t>Der er risiko for generaliseret vaccinesygdom, muligvis fatal. Denne risiko er forhøjet hos patienter med allerede eksisterende immunsvækkelse som følge af en tilgrundliggende sygdom. Det anbefales at anvende en inaktiv vaccine, hvis en sådan findes (poliomyelitis).</w:t>
      </w:r>
    </w:p>
    <w:p w:rsidR="00B6243E" w:rsidRPr="008D215B" w:rsidRDefault="00B6243E" w:rsidP="00B6243E">
      <w:pPr>
        <w:autoSpaceDE w:val="0"/>
        <w:autoSpaceDN w:val="0"/>
        <w:adjustRightInd w:val="0"/>
        <w:ind w:left="851"/>
        <w:rPr>
          <w:sz w:val="24"/>
          <w:szCs w:val="24"/>
        </w:rPr>
      </w:pPr>
    </w:p>
    <w:p w:rsidR="00B6243E" w:rsidRPr="007D1DB2" w:rsidRDefault="00B6243E" w:rsidP="00B6243E">
      <w:pPr>
        <w:tabs>
          <w:tab w:val="left" w:pos="851"/>
        </w:tabs>
        <w:ind w:left="851"/>
        <w:rPr>
          <w:i/>
          <w:sz w:val="24"/>
          <w:szCs w:val="24"/>
        </w:rPr>
      </w:pPr>
      <w:proofErr w:type="spellStart"/>
      <w:r w:rsidRPr="007D1DB2">
        <w:rPr>
          <w:i/>
          <w:sz w:val="24"/>
          <w:szCs w:val="24"/>
        </w:rPr>
        <w:t>Phenytoin</w:t>
      </w:r>
      <w:proofErr w:type="spellEnd"/>
    </w:p>
    <w:p w:rsidR="00B6243E" w:rsidRPr="008D215B" w:rsidRDefault="00B6243E" w:rsidP="00B6243E">
      <w:pPr>
        <w:tabs>
          <w:tab w:val="left" w:pos="851"/>
        </w:tabs>
        <w:ind w:left="851"/>
        <w:rPr>
          <w:sz w:val="24"/>
          <w:szCs w:val="24"/>
        </w:rPr>
      </w:pPr>
      <w:r w:rsidRPr="008D215B">
        <w:rPr>
          <w:sz w:val="24"/>
          <w:szCs w:val="24"/>
        </w:rPr>
        <w:t xml:space="preserve">Risiko for forværring af krampeanfald pga. nedsat </w:t>
      </w:r>
      <w:proofErr w:type="spellStart"/>
      <w:r w:rsidRPr="008D215B">
        <w:rPr>
          <w:sz w:val="24"/>
          <w:szCs w:val="24"/>
        </w:rPr>
        <w:t>gastrointestinal</w:t>
      </w:r>
      <w:proofErr w:type="spellEnd"/>
      <w:r w:rsidRPr="008D215B">
        <w:rPr>
          <w:sz w:val="24"/>
          <w:szCs w:val="24"/>
        </w:rPr>
        <w:t xml:space="preserve"> absorption af </w:t>
      </w:r>
      <w:proofErr w:type="spellStart"/>
      <w:r w:rsidRPr="008D215B">
        <w:rPr>
          <w:sz w:val="24"/>
          <w:szCs w:val="24"/>
        </w:rPr>
        <w:t>phenytoin</w:t>
      </w:r>
      <w:proofErr w:type="spellEnd"/>
      <w:r w:rsidRPr="008D215B">
        <w:rPr>
          <w:sz w:val="24"/>
          <w:szCs w:val="24"/>
        </w:rPr>
        <w:t xml:space="preserve"> eller effekttab af </w:t>
      </w:r>
      <w:proofErr w:type="spellStart"/>
      <w:r w:rsidRPr="008D215B">
        <w:rPr>
          <w:sz w:val="24"/>
          <w:szCs w:val="24"/>
        </w:rPr>
        <w:t>vinorelbin</w:t>
      </w:r>
      <w:proofErr w:type="spellEnd"/>
      <w:r w:rsidRPr="008D215B">
        <w:rPr>
          <w:sz w:val="24"/>
          <w:szCs w:val="24"/>
        </w:rPr>
        <w:t xml:space="preserve"> pga. øget levermetabolisme forårsaget af </w:t>
      </w:r>
      <w:proofErr w:type="spellStart"/>
      <w:r w:rsidRPr="008D215B">
        <w:rPr>
          <w:sz w:val="24"/>
          <w:szCs w:val="24"/>
        </w:rPr>
        <w:t>phenytoin</w:t>
      </w:r>
      <w:proofErr w:type="spellEnd"/>
      <w:r w:rsidRPr="008D215B">
        <w:rPr>
          <w:sz w:val="24"/>
          <w:szCs w:val="24"/>
        </w:rPr>
        <w:t xml:space="preserve"> (førende til faldende koncentrationer af </w:t>
      </w:r>
      <w:proofErr w:type="spellStart"/>
      <w:r w:rsidRPr="008D215B">
        <w:rPr>
          <w:sz w:val="24"/>
          <w:szCs w:val="24"/>
        </w:rPr>
        <w:t>vinorelbin</w:t>
      </w:r>
      <w:proofErr w:type="spellEnd"/>
      <w:r w:rsidRPr="008D215B">
        <w:rPr>
          <w:sz w:val="24"/>
          <w:szCs w:val="24"/>
        </w:rPr>
        <w:t xml:space="preserve"> i blodet).</w:t>
      </w:r>
    </w:p>
    <w:p w:rsidR="00B6243E" w:rsidRPr="008D215B" w:rsidRDefault="00B6243E" w:rsidP="00B6243E">
      <w:pPr>
        <w:tabs>
          <w:tab w:val="left" w:pos="0"/>
          <w:tab w:val="left" w:pos="426"/>
        </w:tabs>
        <w:autoSpaceDE w:val="0"/>
        <w:autoSpaceDN w:val="0"/>
        <w:adjustRightInd w:val="0"/>
        <w:ind w:left="851"/>
        <w:rPr>
          <w:sz w:val="24"/>
          <w:szCs w:val="24"/>
        </w:rPr>
      </w:pPr>
    </w:p>
    <w:p w:rsidR="00B6243E" w:rsidRDefault="00B6243E" w:rsidP="00B6243E">
      <w:pPr>
        <w:tabs>
          <w:tab w:val="left" w:pos="0"/>
          <w:tab w:val="left" w:pos="426"/>
        </w:tabs>
        <w:autoSpaceDE w:val="0"/>
        <w:autoSpaceDN w:val="0"/>
        <w:adjustRightInd w:val="0"/>
        <w:ind w:left="851"/>
        <w:rPr>
          <w:sz w:val="24"/>
          <w:szCs w:val="24"/>
          <w:u w:val="single"/>
        </w:rPr>
      </w:pPr>
      <w:r w:rsidRPr="008D215B">
        <w:rPr>
          <w:sz w:val="24"/>
          <w:szCs w:val="24"/>
          <w:u w:val="single"/>
        </w:rPr>
        <w:t xml:space="preserve">Samtidig anvendelse af følgende </w:t>
      </w:r>
      <w:r>
        <w:rPr>
          <w:sz w:val="24"/>
          <w:szCs w:val="24"/>
          <w:u w:val="single"/>
        </w:rPr>
        <w:t>lægemid</w:t>
      </w:r>
      <w:r w:rsidRPr="008D215B">
        <w:rPr>
          <w:sz w:val="24"/>
          <w:szCs w:val="24"/>
          <w:u w:val="single"/>
        </w:rPr>
        <w:t>ler bør tages i betragt</w:t>
      </w:r>
      <w:r>
        <w:rPr>
          <w:sz w:val="24"/>
          <w:szCs w:val="24"/>
          <w:u w:val="single"/>
        </w:rPr>
        <w:t>n</w:t>
      </w:r>
      <w:r w:rsidRPr="008D215B">
        <w:rPr>
          <w:sz w:val="24"/>
          <w:szCs w:val="24"/>
          <w:u w:val="single"/>
        </w:rPr>
        <w:t>ing</w:t>
      </w:r>
    </w:p>
    <w:p w:rsidR="00B6243E" w:rsidRPr="008D215B" w:rsidRDefault="00B6243E" w:rsidP="00B6243E">
      <w:pPr>
        <w:tabs>
          <w:tab w:val="left" w:pos="0"/>
          <w:tab w:val="left" w:pos="426"/>
        </w:tabs>
        <w:autoSpaceDE w:val="0"/>
        <w:autoSpaceDN w:val="0"/>
        <w:adjustRightInd w:val="0"/>
        <w:ind w:left="851"/>
        <w:rPr>
          <w:sz w:val="24"/>
          <w:szCs w:val="24"/>
          <w:u w:val="single"/>
        </w:rPr>
      </w:pPr>
    </w:p>
    <w:p w:rsidR="00B6243E" w:rsidRPr="007D1DB2" w:rsidRDefault="00B6243E" w:rsidP="00B6243E">
      <w:pPr>
        <w:tabs>
          <w:tab w:val="left" w:pos="0"/>
          <w:tab w:val="left" w:pos="426"/>
        </w:tabs>
        <w:autoSpaceDE w:val="0"/>
        <w:autoSpaceDN w:val="0"/>
        <w:adjustRightInd w:val="0"/>
        <w:ind w:left="851"/>
        <w:rPr>
          <w:i/>
          <w:sz w:val="24"/>
          <w:szCs w:val="24"/>
        </w:rPr>
      </w:pPr>
      <w:proofErr w:type="spellStart"/>
      <w:r w:rsidRPr="007D1DB2">
        <w:rPr>
          <w:i/>
          <w:sz w:val="24"/>
          <w:szCs w:val="24"/>
        </w:rPr>
        <w:t>Ciclosporin</w:t>
      </w:r>
      <w:proofErr w:type="spellEnd"/>
      <w:r w:rsidRPr="007D1DB2">
        <w:rPr>
          <w:i/>
          <w:sz w:val="24"/>
          <w:szCs w:val="24"/>
        </w:rPr>
        <w:t xml:space="preserve">, </w:t>
      </w:r>
      <w:proofErr w:type="spellStart"/>
      <w:r w:rsidRPr="007D1DB2">
        <w:rPr>
          <w:i/>
          <w:sz w:val="24"/>
          <w:szCs w:val="24"/>
        </w:rPr>
        <w:t>tacrolimus</w:t>
      </w:r>
      <w:proofErr w:type="spellEnd"/>
    </w:p>
    <w:p w:rsidR="00B6243E" w:rsidRPr="008D215B" w:rsidRDefault="00B6243E" w:rsidP="00B6243E">
      <w:pPr>
        <w:tabs>
          <w:tab w:val="left" w:pos="0"/>
          <w:tab w:val="left" w:pos="426"/>
        </w:tabs>
        <w:autoSpaceDE w:val="0"/>
        <w:autoSpaceDN w:val="0"/>
        <w:adjustRightInd w:val="0"/>
        <w:ind w:left="851"/>
        <w:rPr>
          <w:sz w:val="24"/>
          <w:szCs w:val="24"/>
        </w:rPr>
      </w:pPr>
      <w:r>
        <w:rPr>
          <w:sz w:val="24"/>
          <w:szCs w:val="24"/>
        </w:rPr>
        <w:t>P</w:t>
      </w:r>
      <w:r w:rsidRPr="008D215B">
        <w:rPr>
          <w:sz w:val="24"/>
          <w:szCs w:val="24"/>
        </w:rPr>
        <w:t xml:space="preserve">å grund af kraftig immunsvækkelse med risiko for </w:t>
      </w:r>
      <w:proofErr w:type="spellStart"/>
      <w:r w:rsidRPr="008D215B">
        <w:rPr>
          <w:sz w:val="24"/>
          <w:szCs w:val="24"/>
        </w:rPr>
        <w:t>lymfoproliferation</w:t>
      </w:r>
      <w:proofErr w:type="spellEnd"/>
      <w:r w:rsidRPr="008D215B">
        <w:rPr>
          <w:sz w:val="24"/>
          <w:szCs w:val="24"/>
        </w:rPr>
        <w:t>.</w:t>
      </w:r>
    </w:p>
    <w:p w:rsidR="00B6243E" w:rsidRDefault="00B6243E" w:rsidP="00B6243E">
      <w:pPr>
        <w:rPr>
          <w:iCs/>
          <w:sz w:val="24"/>
          <w:szCs w:val="24"/>
        </w:rPr>
      </w:pPr>
      <w:r>
        <w:rPr>
          <w:iCs/>
          <w:sz w:val="24"/>
          <w:szCs w:val="24"/>
        </w:rPr>
        <w:br w:type="page"/>
      </w:r>
    </w:p>
    <w:p w:rsidR="00B6243E" w:rsidRPr="00134C3A" w:rsidRDefault="00B6243E" w:rsidP="00B6243E">
      <w:pPr>
        <w:tabs>
          <w:tab w:val="left" w:pos="0"/>
          <w:tab w:val="left" w:pos="426"/>
        </w:tabs>
        <w:autoSpaceDE w:val="0"/>
        <w:autoSpaceDN w:val="0"/>
        <w:adjustRightInd w:val="0"/>
        <w:ind w:left="851"/>
        <w:rPr>
          <w:iCs/>
          <w:sz w:val="24"/>
          <w:szCs w:val="24"/>
        </w:rPr>
      </w:pPr>
    </w:p>
    <w:p w:rsidR="00B6243E" w:rsidRDefault="00B6243E" w:rsidP="00B6243E">
      <w:pPr>
        <w:tabs>
          <w:tab w:val="left" w:pos="0"/>
          <w:tab w:val="left" w:pos="426"/>
        </w:tabs>
        <w:autoSpaceDE w:val="0"/>
        <w:autoSpaceDN w:val="0"/>
        <w:adjustRightInd w:val="0"/>
        <w:ind w:left="851"/>
        <w:rPr>
          <w:b/>
          <w:sz w:val="24"/>
          <w:szCs w:val="24"/>
        </w:rPr>
      </w:pPr>
      <w:r w:rsidRPr="008D215B">
        <w:rPr>
          <w:b/>
          <w:sz w:val="24"/>
          <w:szCs w:val="24"/>
        </w:rPr>
        <w:t>Interaktioner, der er</w:t>
      </w:r>
      <w:r>
        <w:rPr>
          <w:b/>
          <w:sz w:val="24"/>
          <w:szCs w:val="24"/>
        </w:rPr>
        <w:t xml:space="preserve"> specifikke for vincaalkaloider</w:t>
      </w:r>
    </w:p>
    <w:p w:rsidR="00B6243E" w:rsidRPr="008D215B" w:rsidRDefault="00B6243E" w:rsidP="00B6243E">
      <w:pPr>
        <w:tabs>
          <w:tab w:val="left" w:pos="0"/>
          <w:tab w:val="left" w:pos="426"/>
        </w:tabs>
        <w:autoSpaceDE w:val="0"/>
        <w:autoSpaceDN w:val="0"/>
        <w:adjustRightInd w:val="0"/>
        <w:ind w:left="851"/>
        <w:rPr>
          <w:b/>
          <w:sz w:val="24"/>
          <w:szCs w:val="24"/>
        </w:rPr>
      </w:pPr>
    </w:p>
    <w:p w:rsidR="00B6243E" w:rsidRDefault="00B6243E" w:rsidP="00B6243E">
      <w:pPr>
        <w:tabs>
          <w:tab w:val="left" w:pos="0"/>
          <w:tab w:val="left" w:pos="426"/>
        </w:tabs>
        <w:autoSpaceDE w:val="0"/>
        <w:autoSpaceDN w:val="0"/>
        <w:adjustRightInd w:val="0"/>
        <w:ind w:left="851"/>
        <w:rPr>
          <w:sz w:val="24"/>
          <w:szCs w:val="24"/>
          <w:u w:val="single"/>
        </w:rPr>
      </w:pPr>
      <w:r w:rsidRPr="008D215B">
        <w:rPr>
          <w:sz w:val="24"/>
          <w:szCs w:val="24"/>
          <w:u w:val="single"/>
        </w:rPr>
        <w:t xml:space="preserve">Samtidig anvendelse </w:t>
      </w:r>
      <w:r>
        <w:rPr>
          <w:sz w:val="24"/>
          <w:szCs w:val="24"/>
          <w:u w:val="single"/>
        </w:rPr>
        <w:t>af følgende lægemiddel frarådes</w:t>
      </w:r>
    </w:p>
    <w:p w:rsidR="00B6243E" w:rsidRPr="008D215B" w:rsidRDefault="00B6243E" w:rsidP="00B6243E">
      <w:pPr>
        <w:tabs>
          <w:tab w:val="left" w:pos="0"/>
          <w:tab w:val="left" w:pos="426"/>
        </w:tabs>
        <w:autoSpaceDE w:val="0"/>
        <w:autoSpaceDN w:val="0"/>
        <w:adjustRightInd w:val="0"/>
        <w:ind w:left="851"/>
        <w:rPr>
          <w:sz w:val="24"/>
          <w:szCs w:val="24"/>
          <w:u w:val="single"/>
        </w:rPr>
      </w:pPr>
    </w:p>
    <w:p w:rsidR="00B6243E" w:rsidRPr="009C5C30" w:rsidRDefault="00B6243E" w:rsidP="00B6243E">
      <w:pPr>
        <w:tabs>
          <w:tab w:val="left" w:pos="0"/>
          <w:tab w:val="left" w:pos="426"/>
        </w:tabs>
        <w:autoSpaceDE w:val="0"/>
        <w:autoSpaceDN w:val="0"/>
        <w:adjustRightInd w:val="0"/>
        <w:ind w:left="851"/>
        <w:rPr>
          <w:i/>
          <w:sz w:val="24"/>
          <w:szCs w:val="24"/>
        </w:rPr>
      </w:pPr>
      <w:proofErr w:type="spellStart"/>
      <w:r w:rsidRPr="009C5C30">
        <w:rPr>
          <w:i/>
          <w:sz w:val="24"/>
          <w:szCs w:val="24"/>
        </w:rPr>
        <w:t>Itraconazol</w:t>
      </w:r>
      <w:proofErr w:type="spellEnd"/>
    </w:p>
    <w:p w:rsidR="00B6243E" w:rsidRPr="008D215B" w:rsidRDefault="00B6243E" w:rsidP="00B6243E">
      <w:pPr>
        <w:tabs>
          <w:tab w:val="left" w:pos="0"/>
          <w:tab w:val="left" w:pos="426"/>
        </w:tabs>
        <w:autoSpaceDE w:val="0"/>
        <w:autoSpaceDN w:val="0"/>
        <w:adjustRightInd w:val="0"/>
        <w:ind w:left="851"/>
        <w:rPr>
          <w:sz w:val="24"/>
          <w:szCs w:val="24"/>
        </w:rPr>
      </w:pPr>
      <w:r w:rsidRPr="008D215B">
        <w:rPr>
          <w:sz w:val="24"/>
          <w:szCs w:val="24"/>
        </w:rPr>
        <w:t xml:space="preserve">Der er risiko for </w:t>
      </w:r>
      <w:proofErr w:type="spellStart"/>
      <w:r w:rsidRPr="008D215B">
        <w:rPr>
          <w:sz w:val="24"/>
          <w:szCs w:val="24"/>
        </w:rPr>
        <w:t>neurotoksicitet</w:t>
      </w:r>
      <w:proofErr w:type="spellEnd"/>
      <w:r w:rsidRPr="008D215B">
        <w:rPr>
          <w:sz w:val="24"/>
          <w:szCs w:val="24"/>
        </w:rPr>
        <w:t xml:space="preserve"> af </w:t>
      </w:r>
      <w:proofErr w:type="spellStart"/>
      <w:r w:rsidRPr="008D215B">
        <w:rPr>
          <w:sz w:val="24"/>
          <w:szCs w:val="24"/>
        </w:rPr>
        <w:t>vinorelbin</w:t>
      </w:r>
      <w:proofErr w:type="spellEnd"/>
      <w:r w:rsidRPr="008D215B">
        <w:rPr>
          <w:sz w:val="24"/>
          <w:szCs w:val="24"/>
        </w:rPr>
        <w:t xml:space="preserve"> på grund af den reducerede levermetabolisme forårsaget af </w:t>
      </w:r>
      <w:proofErr w:type="spellStart"/>
      <w:r w:rsidRPr="008D215B">
        <w:rPr>
          <w:sz w:val="24"/>
          <w:szCs w:val="24"/>
        </w:rPr>
        <w:t>itraconazol</w:t>
      </w:r>
      <w:proofErr w:type="spellEnd"/>
      <w:r w:rsidRPr="008D215B">
        <w:rPr>
          <w:sz w:val="24"/>
          <w:szCs w:val="24"/>
        </w:rPr>
        <w:t>.</w:t>
      </w:r>
    </w:p>
    <w:p w:rsidR="00B6243E" w:rsidRPr="008D215B" w:rsidRDefault="00B6243E" w:rsidP="00B6243E">
      <w:pPr>
        <w:tabs>
          <w:tab w:val="left" w:pos="0"/>
          <w:tab w:val="left" w:pos="426"/>
        </w:tabs>
        <w:autoSpaceDE w:val="0"/>
        <w:autoSpaceDN w:val="0"/>
        <w:adjustRightInd w:val="0"/>
        <w:ind w:left="851"/>
        <w:rPr>
          <w:sz w:val="24"/>
          <w:szCs w:val="24"/>
        </w:rPr>
      </w:pPr>
    </w:p>
    <w:p w:rsidR="00B6243E" w:rsidRDefault="00B6243E" w:rsidP="00B6243E">
      <w:pPr>
        <w:tabs>
          <w:tab w:val="left" w:pos="0"/>
          <w:tab w:val="left" w:pos="426"/>
        </w:tabs>
        <w:autoSpaceDE w:val="0"/>
        <w:autoSpaceDN w:val="0"/>
        <w:adjustRightInd w:val="0"/>
        <w:ind w:left="851"/>
        <w:rPr>
          <w:sz w:val="24"/>
          <w:szCs w:val="24"/>
          <w:u w:val="single"/>
        </w:rPr>
      </w:pPr>
      <w:r w:rsidRPr="008D215B">
        <w:rPr>
          <w:sz w:val="24"/>
          <w:szCs w:val="24"/>
          <w:u w:val="single"/>
        </w:rPr>
        <w:t>Samtidig anvendelse af fø</w:t>
      </w:r>
      <w:r>
        <w:rPr>
          <w:sz w:val="24"/>
          <w:szCs w:val="24"/>
          <w:u w:val="single"/>
        </w:rPr>
        <w:t>lgende lægemiddel bør overvejes</w:t>
      </w:r>
    </w:p>
    <w:p w:rsidR="00B6243E" w:rsidRPr="008D215B" w:rsidRDefault="00B6243E" w:rsidP="00B6243E">
      <w:pPr>
        <w:tabs>
          <w:tab w:val="left" w:pos="0"/>
          <w:tab w:val="left" w:pos="426"/>
        </w:tabs>
        <w:autoSpaceDE w:val="0"/>
        <w:autoSpaceDN w:val="0"/>
        <w:adjustRightInd w:val="0"/>
        <w:ind w:left="851"/>
        <w:rPr>
          <w:sz w:val="24"/>
          <w:szCs w:val="24"/>
          <w:u w:val="single"/>
        </w:rPr>
      </w:pPr>
    </w:p>
    <w:p w:rsidR="00B6243E" w:rsidRPr="009C5C30" w:rsidRDefault="00B6243E" w:rsidP="00B6243E">
      <w:pPr>
        <w:autoSpaceDE w:val="0"/>
        <w:autoSpaceDN w:val="0"/>
        <w:adjustRightInd w:val="0"/>
        <w:ind w:left="851"/>
        <w:rPr>
          <w:i/>
          <w:sz w:val="24"/>
          <w:szCs w:val="24"/>
        </w:rPr>
      </w:pPr>
      <w:proofErr w:type="spellStart"/>
      <w:r w:rsidRPr="009C5C30">
        <w:rPr>
          <w:i/>
          <w:sz w:val="24"/>
          <w:szCs w:val="24"/>
        </w:rPr>
        <w:t>Mitomycin</w:t>
      </w:r>
      <w:proofErr w:type="spellEnd"/>
      <w:r w:rsidRPr="009C5C30">
        <w:rPr>
          <w:i/>
          <w:sz w:val="24"/>
          <w:szCs w:val="24"/>
        </w:rPr>
        <w:t xml:space="preserve"> C</w:t>
      </w:r>
    </w:p>
    <w:p w:rsidR="00B6243E" w:rsidRPr="008D215B" w:rsidRDefault="00B6243E" w:rsidP="00B6243E">
      <w:pPr>
        <w:autoSpaceDE w:val="0"/>
        <w:autoSpaceDN w:val="0"/>
        <w:adjustRightInd w:val="0"/>
        <w:ind w:left="851"/>
        <w:rPr>
          <w:sz w:val="24"/>
          <w:szCs w:val="24"/>
        </w:rPr>
      </w:pPr>
      <w:r w:rsidRPr="008D215B">
        <w:rPr>
          <w:sz w:val="24"/>
          <w:szCs w:val="24"/>
        </w:rPr>
        <w:t xml:space="preserve">Risiko for </w:t>
      </w:r>
      <w:proofErr w:type="spellStart"/>
      <w:r w:rsidRPr="008D215B">
        <w:rPr>
          <w:sz w:val="24"/>
          <w:szCs w:val="24"/>
        </w:rPr>
        <w:t>bronkospasmer</w:t>
      </w:r>
      <w:proofErr w:type="spellEnd"/>
      <w:r w:rsidRPr="008D215B">
        <w:rPr>
          <w:sz w:val="24"/>
          <w:szCs w:val="24"/>
        </w:rPr>
        <w:t xml:space="preserve"> og dyspnø er øget, i sjældne tilfælde observeredes </w:t>
      </w:r>
      <w:proofErr w:type="spellStart"/>
      <w:r w:rsidRPr="008D215B">
        <w:rPr>
          <w:sz w:val="24"/>
          <w:szCs w:val="24"/>
        </w:rPr>
        <w:t>interstitiel</w:t>
      </w:r>
      <w:proofErr w:type="spellEnd"/>
      <w:r w:rsidRPr="008D215B">
        <w:rPr>
          <w:sz w:val="24"/>
          <w:szCs w:val="24"/>
        </w:rPr>
        <w:t xml:space="preserve"> pneumonitis.</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Vincaalkaloider er kendt som substrater for P-</w:t>
      </w:r>
      <w:proofErr w:type="spellStart"/>
      <w:r w:rsidRPr="008D215B">
        <w:rPr>
          <w:sz w:val="24"/>
          <w:szCs w:val="24"/>
        </w:rPr>
        <w:t>glykoprotein</w:t>
      </w:r>
      <w:proofErr w:type="spellEnd"/>
      <w:r w:rsidRPr="008D215B">
        <w:rPr>
          <w:sz w:val="24"/>
          <w:szCs w:val="24"/>
        </w:rPr>
        <w:t xml:space="preserve">, og da der ikke findes specifikke undersøgelser heraf, skal der udvises forsigtighed, når </w:t>
      </w:r>
      <w:proofErr w:type="spellStart"/>
      <w:r w:rsidRPr="008D215B">
        <w:rPr>
          <w:sz w:val="24"/>
          <w:szCs w:val="24"/>
        </w:rPr>
        <w:t>vinorelbin</w:t>
      </w:r>
      <w:proofErr w:type="spellEnd"/>
      <w:r w:rsidRPr="008D215B">
        <w:rPr>
          <w:sz w:val="24"/>
          <w:szCs w:val="24"/>
        </w:rPr>
        <w:t xml:space="preserve"> kombineres med stærke </w:t>
      </w:r>
      <w:proofErr w:type="spellStart"/>
      <w:r w:rsidRPr="008D215B">
        <w:rPr>
          <w:sz w:val="24"/>
          <w:szCs w:val="24"/>
        </w:rPr>
        <w:t>modulatorer</w:t>
      </w:r>
      <w:proofErr w:type="spellEnd"/>
      <w:r w:rsidRPr="008D215B">
        <w:rPr>
          <w:sz w:val="24"/>
          <w:szCs w:val="24"/>
        </w:rPr>
        <w:t xml:space="preserve"> af denne membrantransporter.</w:t>
      </w:r>
    </w:p>
    <w:p w:rsidR="00B6243E" w:rsidRPr="008D215B" w:rsidRDefault="00B6243E" w:rsidP="00B6243E">
      <w:pPr>
        <w:autoSpaceDE w:val="0"/>
        <w:autoSpaceDN w:val="0"/>
        <w:adjustRightInd w:val="0"/>
        <w:ind w:left="851"/>
        <w:rPr>
          <w:sz w:val="24"/>
          <w:szCs w:val="24"/>
        </w:rPr>
      </w:pPr>
    </w:p>
    <w:p w:rsidR="00B6243E" w:rsidRDefault="00B6243E" w:rsidP="00B6243E">
      <w:pPr>
        <w:autoSpaceDE w:val="0"/>
        <w:autoSpaceDN w:val="0"/>
        <w:adjustRightInd w:val="0"/>
        <w:ind w:left="851"/>
        <w:rPr>
          <w:b/>
          <w:sz w:val="24"/>
          <w:szCs w:val="24"/>
        </w:rPr>
      </w:pPr>
      <w:r w:rsidRPr="008D215B">
        <w:rPr>
          <w:b/>
          <w:sz w:val="24"/>
          <w:szCs w:val="24"/>
        </w:rPr>
        <w:t>Interaktioner, d</w:t>
      </w:r>
      <w:r>
        <w:rPr>
          <w:b/>
          <w:sz w:val="24"/>
          <w:szCs w:val="24"/>
        </w:rPr>
        <w:t xml:space="preserve">er er specifikke for </w:t>
      </w:r>
      <w:proofErr w:type="spellStart"/>
      <w:r>
        <w:rPr>
          <w:b/>
          <w:sz w:val="24"/>
          <w:szCs w:val="24"/>
        </w:rPr>
        <w:t>vinorelbin</w:t>
      </w:r>
      <w:proofErr w:type="spellEnd"/>
    </w:p>
    <w:p w:rsidR="00B6243E" w:rsidRPr="008D215B" w:rsidRDefault="00B6243E" w:rsidP="00B6243E">
      <w:pPr>
        <w:autoSpaceDE w:val="0"/>
        <w:autoSpaceDN w:val="0"/>
        <w:adjustRightInd w:val="0"/>
        <w:ind w:left="851"/>
        <w:rPr>
          <w:b/>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Ved kombination af </w:t>
      </w:r>
      <w:proofErr w:type="spellStart"/>
      <w:r w:rsidRPr="008D215B">
        <w:rPr>
          <w:sz w:val="24"/>
          <w:szCs w:val="24"/>
        </w:rPr>
        <w:t>vinorelbin</w:t>
      </w:r>
      <w:proofErr w:type="spellEnd"/>
      <w:r w:rsidRPr="008D215B">
        <w:rPr>
          <w:sz w:val="24"/>
          <w:szCs w:val="24"/>
        </w:rPr>
        <w:t xml:space="preserve"> og andre lægemidler med kendt knoglemarvstoksicitet, vil der ofte opstå forværring af bivirkninger i form af </w:t>
      </w:r>
      <w:proofErr w:type="spellStart"/>
      <w:r w:rsidRPr="008D215B">
        <w:rPr>
          <w:sz w:val="24"/>
          <w:szCs w:val="24"/>
        </w:rPr>
        <w:t>myelosuppression</w:t>
      </w:r>
      <w:proofErr w:type="spellEnd"/>
      <w:r w:rsidRPr="008D215B">
        <w:rPr>
          <w:sz w:val="24"/>
          <w:szCs w:val="24"/>
        </w:rPr>
        <w:t>.</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Der er ingen gensidig </w:t>
      </w:r>
      <w:proofErr w:type="spellStart"/>
      <w:r w:rsidRPr="008D215B">
        <w:rPr>
          <w:sz w:val="24"/>
          <w:szCs w:val="24"/>
        </w:rPr>
        <w:t>farmakokinetisk</w:t>
      </w:r>
      <w:proofErr w:type="spellEnd"/>
      <w:r w:rsidRPr="008D215B">
        <w:rPr>
          <w:sz w:val="24"/>
          <w:szCs w:val="24"/>
        </w:rPr>
        <w:t xml:space="preserve"> interaktion, når </w:t>
      </w:r>
      <w:proofErr w:type="spellStart"/>
      <w:r w:rsidRPr="008D215B">
        <w:rPr>
          <w:sz w:val="24"/>
          <w:szCs w:val="24"/>
        </w:rPr>
        <w:t>vinorelbin</w:t>
      </w:r>
      <w:proofErr w:type="spellEnd"/>
      <w:r w:rsidRPr="008D215B">
        <w:rPr>
          <w:sz w:val="24"/>
          <w:szCs w:val="24"/>
        </w:rPr>
        <w:t xml:space="preserve"> kombineres med </w:t>
      </w:r>
      <w:proofErr w:type="spellStart"/>
      <w:r w:rsidRPr="008D215B">
        <w:rPr>
          <w:sz w:val="24"/>
          <w:szCs w:val="24"/>
        </w:rPr>
        <w:t>cisplatin</w:t>
      </w:r>
      <w:proofErr w:type="spellEnd"/>
      <w:r w:rsidRPr="008D215B">
        <w:rPr>
          <w:sz w:val="24"/>
          <w:szCs w:val="24"/>
        </w:rPr>
        <w:t xml:space="preserve"> gennem mange behandlingsserier. </w:t>
      </w:r>
      <w:proofErr w:type="spellStart"/>
      <w:r w:rsidRPr="008D215B">
        <w:rPr>
          <w:sz w:val="24"/>
          <w:szCs w:val="24"/>
        </w:rPr>
        <w:t>Granulocytopeni</w:t>
      </w:r>
      <w:proofErr w:type="spellEnd"/>
      <w:r w:rsidRPr="008D215B">
        <w:rPr>
          <w:sz w:val="24"/>
          <w:szCs w:val="24"/>
        </w:rPr>
        <w:t xml:space="preserve"> forekommer dog med en højere frekvens ved </w:t>
      </w:r>
      <w:proofErr w:type="spellStart"/>
      <w:r w:rsidRPr="008D215B">
        <w:rPr>
          <w:sz w:val="24"/>
          <w:szCs w:val="24"/>
        </w:rPr>
        <w:t>vinorelbin</w:t>
      </w:r>
      <w:proofErr w:type="spellEnd"/>
      <w:r w:rsidRPr="008D215B">
        <w:rPr>
          <w:sz w:val="24"/>
          <w:szCs w:val="24"/>
        </w:rPr>
        <w:t xml:space="preserve"> i kombination med </w:t>
      </w:r>
      <w:proofErr w:type="spellStart"/>
      <w:r w:rsidRPr="008D215B">
        <w:rPr>
          <w:sz w:val="24"/>
          <w:szCs w:val="24"/>
        </w:rPr>
        <w:t>cisplatin</w:t>
      </w:r>
      <w:proofErr w:type="spellEnd"/>
      <w:r w:rsidRPr="008D215B">
        <w:rPr>
          <w:sz w:val="24"/>
          <w:szCs w:val="24"/>
        </w:rPr>
        <w:t xml:space="preserve"> end ved </w:t>
      </w:r>
      <w:proofErr w:type="spellStart"/>
      <w:r w:rsidRPr="008D215B">
        <w:rPr>
          <w:sz w:val="24"/>
          <w:szCs w:val="24"/>
        </w:rPr>
        <w:t>vinorelbin</w:t>
      </w:r>
      <w:proofErr w:type="spellEnd"/>
      <w:r w:rsidRPr="008D215B">
        <w:rPr>
          <w:sz w:val="24"/>
          <w:szCs w:val="24"/>
        </w:rPr>
        <w:t xml:space="preserve"> som monoterapi.</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Der er ikke observeret nogen signifikant </w:t>
      </w:r>
      <w:proofErr w:type="spellStart"/>
      <w:r w:rsidRPr="008D215B">
        <w:rPr>
          <w:sz w:val="24"/>
          <w:szCs w:val="24"/>
        </w:rPr>
        <w:t>farmakokinetisk</w:t>
      </w:r>
      <w:proofErr w:type="spellEnd"/>
      <w:r w:rsidRPr="008D215B">
        <w:rPr>
          <w:sz w:val="24"/>
          <w:szCs w:val="24"/>
        </w:rPr>
        <w:t xml:space="preserve"> interaktion, når </w:t>
      </w:r>
      <w:proofErr w:type="spellStart"/>
      <w:r w:rsidRPr="008D215B">
        <w:rPr>
          <w:sz w:val="24"/>
          <w:szCs w:val="24"/>
        </w:rPr>
        <w:t>vinorelbin</w:t>
      </w:r>
      <w:proofErr w:type="spellEnd"/>
      <w:r w:rsidRPr="008D215B">
        <w:rPr>
          <w:sz w:val="24"/>
          <w:szCs w:val="24"/>
        </w:rPr>
        <w:t xml:space="preserve"> kombineres med adskillige andre kemoterapeutiske stoffer (</w:t>
      </w:r>
      <w:proofErr w:type="spellStart"/>
      <w:r w:rsidRPr="008D215B">
        <w:rPr>
          <w:sz w:val="24"/>
          <w:szCs w:val="24"/>
        </w:rPr>
        <w:t>paclitaxel</w:t>
      </w:r>
      <w:proofErr w:type="spellEnd"/>
      <w:r w:rsidRPr="008D215B">
        <w:rPr>
          <w:sz w:val="24"/>
          <w:szCs w:val="24"/>
        </w:rPr>
        <w:t xml:space="preserve">, </w:t>
      </w:r>
      <w:proofErr w:type="spellStart"/>
      <w:r w:rsidRPr="008D215B">
        <w:rPr>
          <w:sz w:val="24"/>
          <w:szCs w:val="24"/>
        </w:rPr>
        <w:t>docetaxel</w:t>
      </w:r>
      <w:proofErr w:type="spellEnd"/>
      <w:r w:rsidRPr="008D215B">
        <w:rPr>
          <w:sz w:val="24"/>
          <w:szCs w:val="24"/>
        </w:rPr>
        <w:t xml:space="preserve">, </w:t>
      </w:r>
      <w:proofErr w:type="spellStart"/>
      <w:r w:rsidRPr="008D215B">
        <w:rPr>
          <w:sz w:val="24"/>
          <w:szCs w:val="24"/>
        </w:rPr>
        <w:t>capecitabin</w:t>
      </w:r>
      <w:proofErr w:type="spellEnd"/>
      <w:r w:rsidRPr="008D215B">
        <w:rPr>
          <w:sz w:val="24"/>
          <w:szCs w:val="24"/>
        </w:rPr>
        <w:t xml:space="preserve"> og </w:t>
      </w:r>
      <w:r>
        <w:rPr>
          <w:sz w:val="24"/>
          <w:szCs w:val="24"/>
        </w:rPr>
        <w:t>oral</w:t>
      </w:r>
      <w:r w:rsidRPr="008D215B">
        <w:rPr>
          <w:sz w:val="24"/>
          <w:szCs w:val="24"/>
        </w:rPr>
        <w:t xml:space="preserve">t </w:t>
      </w:r>
      <w:proofErr w:type="spellStart"/>
      <w:r w:rsidRPr="008D215B">
        <w:rPr>
          <w:sz w:val="24"/>
          <w:szCs w:val="24"/>
        </w:rPr>
        <w:t>cyclophosphamid</w:t>
      </w:r>
      <w:proofErr w:type="spellEnd"/>
      <w:r w:rsidRPr="008D215B">
        <w:rPr>
          <w:sz w:val="24"/>
          <w:szCs w:val="24"/>
        </w:rPr>
        <w:t>).</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Da CYP 3A4 hovedsagelig er involveret i metabolismen af </w:t>
      </w:r>
      <w:proofErr w:type="spellStart"/>
      <w:r w:rsidRPr="008D215B">
        <w:rPr>
          <w:sz w:val="24"/>
          <w:szCs w:val="24"/>
        </w:rPr>
        <w:t>vinorelbin</w:t>
      </w:r>
      <w:proofErr w:type="spellEnd"/>
      <w:r w:rsidRPr="008D215B">
        <w:rPr>
          <w:sz w:val="24"/>
          <w:szCs w:val="24"/>
        </w:rPr>
        <w:t xml:space="preserve">, kan en kombination med stærke </w:t>
      </w:r>
      <w:proofErr w:type="spellStart"/>
      <w:r w:rsidRPr="008D215B">
        <w:rPr>
          <w:sz w:val="24"/>
          <w:szCs w:val="24"/>
        </w:rPr>
        <w:t>hæmmere</w:t>
      </w:r>
      <w:proofErr w:type="spellEnd"/>
      <w:r w:rsidRPr="008D215B">
        <w:rPr>
          <w:sz w:val="24"/>
          <w:szCs w:val="24"/>
        </w:rPr>
        <w:t xml:space="preserve"> af dette </w:t>
      </w:r>
      <w:proofErr w:type="spellStart"/>
      <w:r w:rsidRPr="008D215B">
        <w:rPr>
          <w:sz w:val="24"/>
          <w:szCs w:val="24"/>
        </w:rPr>
        <w:t>isoenzym</w:t>
      </w:r>
      <w:proofErr w:type="spellEnd"/>
      <w:r w:rsidRPr="008D215B">
        <w:rPr>
          <w:sz w:val="24"/>
          <w:szCs w:val="24"/>
        </w:rPr>
        <w:t xml:space="preserve"> (f.eks. </w:t>
      </w:r>
      <w:proofErr w:type="spellStart"/>
      <w:r w:rsidRPr="008D215B">
        <w:rPr>
          <w:sz w:val="24"/>
          <w:szCs w:val="24"/>
        </w:rPr>
        <w:t>ketoconazol</w:t>
      </w:r>
      <w:proofErr w:type="spellEnd"/>
      <w:r w:rsidRPr="008D215B">
        <w:rPr>
          <w:sz w:val="24"/>
          <w:szCs w:val="24"/>
        </w:rPr>
        <w:t xml:space="preserve">, </w:t>
      </w:r>
      <w:proofErr w:type="spellStart"/>
      <w:r w:rsidRPr="008D215B">
        <w:rPr>
          <w:sz w:val="24"/>
          <w:szCs w:val="24"/>
        </w:rPr>
        <w:t>itraconazol</w:t>
      </w:r>
      <w:proofErr w:type="spellEnd"/>
      <w:r w:rsidRPr="008D215B">
        <w:rPr>
          <w:sz w:val="24"/>
          <w:szCs w:val="24"/>
        </w:rPr>
        <w:t xml:space="preserve">, </w:t>
      </w:r>
      <w:proofErr w:type="spellStart"/>
      <w:r w:rsidRPr="008D215B">
        <w:rPr>
          <w:sz w:val="24"/>
          <w:szCs w:val="24"/>
        </w:rPr>
        <w:t>voriconazol</w:t>
      </w:r>
      <w:proofErr w:type="spellEnd"/>
      <w:r w:rsidRPr="008D215B">
        <w:rPr>
          <w:sz w:val="24"/>
          <w:szCs w:val="24"/>
        </w:rPr>
        <w:t xml:space="preserve">, </w:t>
      </w:r>
      <w:proofErr w:type="spellStart"/>
      <w:r w:rsidRPr="008D215B">
        <w:rPr>
          <w:sz w:val="24"/>
          <w:szCs w:val="24"/>
        </w:rPr>
        <w:t>posaconazol</w:t>
      </w:r>
      <w:proofErr w:type="spellEnd"/>
      <w:r w:rsidRPr="008D215B">
        <w:rPr>
          <w:sz w:val="24"/>
          <w:szCs w:val="24"/>
        </w:rPr>
        <w:t>, HIV-</w:t>
      </w:r>
      <w:proofErr w:type="spellStart"/>
      <w:r w:rsidRPr="008D215B">
        <w:rPr>
          <w:sz w:val="24"/>
          <w:szCs w:val="24"/>
        </w:rPr>
        <w:t>proteasehæmmere</w:t>
      </w:r>
      <w:proofErr w:type="spellEnd"/>
      <w:r w:rsidRPr="008D215B">
        <w:rPr>
          <w:sz w:val="24"/>
          <w:szCs w:val="24"/>
        </w:rPr>
        <w:t xml:space="preserve">, </w:t>
      </w:r>
      <w:proofErr w:type="spellStart"/>
      <w:r w:rsidRPr="008D215B">
        <w:rPr>
          <w:sz w:val="24"/>
          <w:szCs w:val="24"/>
        </w:rPr>
        <w:t>clarithromycin</w:t>
      </w:r>
      <w:proofErr w:type="spellEnd"/>
      <w:r w:rsidRPr="008D215B">
        <w:rPr>
          <w:sz w:val="24"/>
          <w:szCs w:val="24"/>
        </w:rPr>
        <w:t xml:space="preserve">, </w:t>
      </w:r>
      <w:proofErr w:type="spellStart"/>
      <w:r w:rsidRPr="008D215B">
        <w:rPr>
          <w:sz w:val="24"/>
          <w:szCs w:val="24"/>
        </w:rPr>
        <w:t>telithromycin</w:t>
      </w:r>
      <w:proofErr w:type="spellEnd"/>
      <w:r w:rsidRPr="008D215B">
        <w:rPr>
          <w:sz w:val="24"/>
          <w:szCs w:val="24"/>
        </w:rPr>
        <w:t xml:space="preserve">) øge koncentrationen af </w:t>
      </w:r>
      <w:proofErr w:type="spellStart"/>
      <w:r w:rsidRPr="008D215B">
        <w:rPr>
          <w:sz w:val="24"/>
          <w:szCs w:val="24"/>
        </w:rPr>
        <w:t>vinorelbin</w:t>
      </w:r>
      <w:proofErr w:type="spellEnd"/>
      <w:r w:rsidRPr="008D215B">
        <w:rPr>
          <w:sz w:val="24"/>
          <w:szCs w:val="24"/>
        </w:rPr>
        <w:t xml:space="preserve"> i blodet, og kombinationen med stærke inducere af dette </w:t>
      </w:r>
      <w:proofErr w:type="spellStart"/>
      <w:r w:rsidRPr="008D215B">
        <w:rPr>
          <w:sz w:val="24"/>
          <w:szCs w:val="24"/>
        </w:rPr>
        <w:t>isoenzym</w:t>
      </w:r>
      <w:proofErr w:type="spellEnd"/>
      <w:r w:rsidRPr="008D215B">
        <w:rPr>
          <w:sz w:val="24"/>
          <w:szCs w:val="24"/>
        </w:rPr>
        <w:t xml:space="preserve"> (f.eks. </w:t>
      </w:r>
      <w:proofErr w:type="spellStart"/>
      <w:r w:rsidRPr="008D215B">
        <w:rPr>
          <w:sz w:val="24"/>
          <w:szCs w:val="24"/>
        </w:rPr>
        <w:t>rifampicin</w:t>
      </w:r>
      <w:proofErr w:type="spellEnd"/>
      <w:r w:rsidRPr="008D215B">
        <w:rPr>
          <w:sz w:val="24"/>
          <w:szCs w:val="24"/>
        </w:rPr>
        <w:t xml:space="preserve">, </w:t>
      </w:r>
      <w:proofErr w:type="spellStart"/>
      <w:r w:rsidRPr="008D215B">
        <w:rPr>
          <w:sz w:val="24"/>
          <w:szCs w:val="24"/>
        </w:rPr>
        <w:t>phenytoin</w:t>
      </w:r>
      <w:proofErr w:type="spellEnd"/>
      <w:r w:rsidRPr="008D215B">
        <w:rPr>
          <w:sz w:val="24"/>
          <w:szCs w:val="24"/>
        </w:rPr>
        <w:t xml:space="preserve">, </w:t>
      </w:r>
      <w:proofErr w:type="spellStart"/>
      <w:r w:rsidRPr="008D215B">
        <w:rPr>
          <w:sz w:val="24"/>
          <w:szCs w:val="24"/>
        </w:rPr>
        <w:t>carbamazepin</w:t>
      </w:r>
      <w:proofErr w:type="spellEnd"/>
      <w:r w:rsidRPr="008D215B">
        <w:rPr>
          <w:sz w:val="24"/>
          <w:szCs w:val="24"/>
        </w:rPr>
        <w:t>, barbiturater, prikbladet perikum (</w:t>
      </w:r>
      <w:proofErr w:type="spellStart"/>
      <w:r w:rsidRPr="008D215B">
        <w:rPr>
          <w:i/>
          <w:sz w:val="24"/>
          <w:szCs w:val="24"/>
        </w:rPr>
        <w:t>hypericum</w:t>
      </w:r>
      <w:proofErr w:type="spellEnd"/>
      <w:r w:rsidRPr="008D215B">
        <w:rPr>
          <w:i/>
          <w:sz w:val="24"/>
          <w:szCs w:val="24"/>
        </w:rPr>
        <w:t xml:space="preserve"> </w:t>
      </w:r>
      <w:proofErr w:type="spellStart"/>
      <w:r w:rsidRPr="008D215B">
        <w:rPr>
          <w:i/>
          <w:sz w:val="24"/>
          <w:szCs w:val="24"/>
        </w:rPr>
        <w:t>perforatum</w:t>
      </w:r>
      <w:proofErr w:type="spellEnd"/>
      <w:r w:rsidRPr="008D215B">
        <w:rPr>
          <w:sz w:val="24"/>
          <w:szCs w:val="24"/>
        </w:rPr>
        <w:t xml:space="preserve">)) kan sænke koncentrationen af </w:t>
      </w:r>
      <w:proofErr w:type="spellStart"/>
      <w:r w:rsidRPr="008D215B">
        <w:rPr>
          <w:sz w:val="24"/>
          <w:szCs w:val="24"/>
        </w:rPr>
        <w:t>vinorelbin</w:t>
      </w:r>
      <w:proofErr w:type="spellEnd"/>
      <w:r w:rsidRPr="008D215B">
        <w:rPr>
          <w:sz w:val="24"/>
          <w:szCs w:val="24"/>
        </w:rPr>
        <w:t xml:space="preserve"> i blodet.</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proofErr w:type="spellStart"/>
      <w:r w:rsidRPr="008D215B">
        <w:rPr>
          <w:sz w:val="24"/>
          <w:szCs w:val="24"/>
        </w:rPr>
        <w:t>Antiemetiske</w:t>
      </w:r>
      <w:proofErr w:type="spellEnd"/>
      <w:r w:rsidRPr="008D215B">
        <w:rPr>
          <w:sz w:val="24"/>
          <w:szCs w:val="24"/>
        </w:rPr>
        <w:t xml:space="preserve"> lægemidler som 5HT3-antagonister (f.eks. </w:t>
      </w:r>
      <w:proofErr w:type="spellStart"/>
      <w:r w:rsidRPr="008D215B">
        <w:rPr>
          <w:sz w:val="24"/>
          <w:szCs w:val="24"/>
        </w:rPr>
        <w:t>ondansetron</w:t>
      </w:r>
      <w:proofErr w:type="spellEnd"/>
      <w:r w:rsidRPr="008D215B">
        <w:rPr>
          <w:sz w:val="24"/>
          <w:szCs w:val="24"/>
        </w:rPr>
        <w:t xml:space="preserve">, </w:t>
      </w:r>
      <w:proofErr w:type="spellStart"/>
      <w:r w:rsidRPr="008D215B">
        <w:rPr>
          <w:sz w:val="24"/>
          <w:szCs w:val="24"/>
        </w:rPr>
        <w:t>granisetron</w:t>
      </w:r>
      <w:proofErr w:type="spellEnd"/>
      <w:r w:rsidRPr="008D215B">
        <w:rPr>
          <w:sz w:val="24"/>
          <w:szCs w:val="24"/>
        </w:rPr>
        <w:t xml:space="preserve">) ændrer ikke farmakokinetikken af </w:t>
      </w:r>
      <w:proofErr w:type="spellStart"/>
      <w:r w:rsidRPr="008D215B">
        <w:rPr>
          <w:sz w:val="24"/>
          <w:szCs w:val="24"/>
        </w:rPr>
        <w:t>vinorelbin</w:t>
      </w:r>
      <w:proofErr w:type="spellEnd"/>
      <w:r w:rsidRPr="008D215B">
        <w:rPr>
          <w:sz w:val="24"/>
          <w:szCs w:val="24"/>
        </w:rPr>
        <w:t xml:space="preserve"> bløde kapsler (se pkt. 4.4).</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Der blev set tegn på en øget forekomst af </w:t>
      </w:r>
      <w:proofErr w:type="spellStart"/>
      <w:r w:rsidRPr="008D215B">
        <w:rPr>
          <w:sz w:val="24"/>
          <w:szCs w:val="24"/>
        </w:rPr>
        <w:t>neutropeni</w:t>
      </w:r>
      <w:proofErr w:type="spellEnd"/>
      <w:r w:rsidRPr="008D215B">
        <w:rPr>
          <w:sz w:val="24"/>
          <w:szCs w:val="24"/>
        </w:rPr>
        <w:t xml:space="preserve"> af grad 3/4 i et klinisk fase I-forsøg, når intravenøs </w:t>
      </w:r>
      <w:proofErr w:type="spellStart"/>
      <w:r w:rsidRPr="008D215B">
        <w:rPr>
          <w:sz w:val="24"/>
          <w:szCs w:val="24"/>
        </w:rPr>
        <w:t>vinorelbin</w:t>
      </w:r>
      <w:proofErr w:type="spellEnd"/>
      <w:r w:rsidRPr="008D215B">
        <w:rPr>
          <w:sz w:val="24"/>
          <w:szCs w:val="24"/>
        </w:rPr>
        <w:t xml:space="preserve"> og </w:t>
      </w:r>
      <w:proofErr w:type="spellStart"/>
      <w:r w:rsidRPr="008D215B">
        <w:rPr>
          <w:sz w:val="24"/>
          <w:szCs w:val="24"/>
        </w:rPr>
        <w:t>lapatinib</w:t>
      </w:r>
      <w:proofErr w:type="spellEnd"/>
      <w:r w:rsidRPr="008D215B">
        <w:rPr>
          <w:sz w:val="24"/>
          <w:szCs w:val="24"/>
        </w:rPr>
        <w:t xml:space="preserve"> blev administreret samtidig. I dette studie var den anbefalede dosis af intravenøs </w:t>
      </w:r>
      <w:proofErr w:type="spellStart"/>
      <w:r w:rsidRPr="008D215B">
        <w:rPr>
          <w:sz w:val="24"/>
          <w:szCs w:val="24"/>
        </w:rPr>
        <w:t>vinorelbin</w:t>
      </w:r>
      <w:proofErr w:type="spellEnd"/>
      <w:r w:rsidRPr="008D215B">
        <w:rPr>
          <w:sz w:val="24"/>
          <w:szCs w:val="24"/>
        </w:rPr>
        <w:t xml:space="preserve"> i en 3-ugers plan 22,5 mg/m</w:t>
      </w:r>
      <w:r w:rsidRPr="008D215B">
        <w:rPr>
          <w:sz w:val="24"/>
          <w:szCs w:val="24"/>
          <w:vertAlign w:val="superscript"/>
        </w:rPr>
        <w:t>2</w:t>
      </w:r>
      <w:r w:rsidRPr="008D215B">
        <w:rPr>
          <w:sz w:val="24"/>
          <w:szCs w:val="24"/>
        </w:rPr>
        <w:t xml:space="preserve"> på dag 1 og dag 8, når det blev kombineret med daglig </w:t>
      </w:r>
      <w:proofErr w:type="spellStart"/>
      <w:r w:rsidRPr="008D215B">
        <w:rPr>
          <w:sz w:val="24"/>
          <w:szCs w:val="24"/>
        </w:rPr>
        <w:t>lapatinib</w:t>
      </w:r>
      <w:proofErr w:type="spellEnd"/>
      <w:r w:rsidRPr="008D215B">
        <w:rPr>
          <w:sz w:val="24"/>
          <w:szCs w:val="24"/>
        </w:rPr>
        <w:t xml:space="preserve"> 1.000 mg. Denne kombinationstype skal administreres med forsigtighed.</w:t>
      </w:r>
    </w:p>
    <w:p w:rsidR="00B6243E" w:rsidRPr="008D215B" w:rsidRDefault="00B6243E" w:rsidP="00B6243E">
      <w:pPr>
        <w:autoSpaceDE w:val="0"/>
        <w:autoSpaceDN w:val="0"/>
        <w:adjustRightInd w:val="0"/>
        <w:ind w:left="851"/>
        <w:rPr>
          <w:sz w:val="24"/>
          <w:szCs w:val="24"/>
        </w:rPr>
      </w:pPr>
    </w:p>
    <w:p w:rsidR="00B6243E" w:rsidRPr="008D215B" w:rsidRDefault="00B6243E" w:rsidP="00B6243E">
      <w:pPr>
        <w:autoSpaceDE w:val="0"/>
        <w:autoSpaceDN w:val="0"/>
        <w:adjustRightInd w:val="0"/>
        <w:ind w:left="851"/>
        <w:rPr>
          <w:sz w:val="24"/>
          <w:szCs w:val="24"/>
        </w:rPr>
      </w:pPr>
      <w:r w:rsidRPr="008D215B">
        <w:rPr>
          <w:sz w:val="24"/>
          <w:szCs w:val="24"/>
        </w:rPr>
        <w:t xml:space="preserve">Mad ændrer ikke farmakokinetikken af </w:t>
      </w:r>
      <w:proofErr w:type="spellStart"/>
      <w:r w:rsidRPr="008D215B">
        <w:rPr>
          <w:sz w:val="24"/>
          <w:szCs w:val="24"/>
        </w:rPr>
        <w:t>vinorelbin</w:t>
      </w:r>
      <w:proofErr w:type="spellEnd"/>
      <w:r w:rsidRPr="008D215B">
        <w:rPr>
          <w:sz w:val="24"/>
          <w:szCs w:val="24"/>
        </w:rPr>
        <w:t>.</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6243E" w:rsidRDefault="00B6243E" w:rsidP="00B6243E">
      <w:pPr>
        <w:pStyle w:val="NormalInterligneAumoins12pt"/>
        <w:spacing w:line="240" w:lineRule="auto"/>
        <w:ind w:left="851"/>
        <w:rPr>
          <w:noProof w:val="0"/>
          <w:sz w:val="24"/>
          <w:szCs w:val="24"/>
          <w:lang w:val="da-DK" w:eastAsia="da-DK"/>
        </w:rPr>
      </w:pPr>
    </w:p>
    <w:p w:rsidR="00B6243E" w:rsidRPr="000533AF" w:rsidRDefault="00B6243E" w:rsidP="00B6243E">
      <w:pPr>
        <w:pStyle w:val="NormalInterligneAumoins12pt"/>
        <w:spacing w:line="240" w:lineRule="auto"/>
        <w:ind w:left="851"/>
        <w:rPr>
          <w:noProof w:val="0"/>
          <w:sz w:val="24"/>
          <w:szCs w:val="24"/>
          <w:u w:val="single"/>
          <w:lang w:val="da-DK" w:eastAsia="da-DK"/>
        </w:rPr>
      </w:pPr>
      <w:r w:rsidRPr="000533AF">
        <w:rPr>
          <w:noProof w:val="0"/>
          <w:sz w:val="24"/>
          <w:szCs w:val="24"/>
          <w:u w:val="single"/>
          <w:lang w:val="da-DK" w:eastAsia="da-DK"/>
        </w:rPr>
        <w:t>Graviditet</w:t>
      </w:r>
    </w:p>
    <w:p w:rsidR="00B6243E" w:rsidRPr="00C16E3D" w:rsidRDefault="00B6243E" w:rsidP="00B6243E">
      <w:pPr>
        <w:pStyle w:val="NormalInterligneAumoins12pt"/>
        <w:spacing w:line="240" w:lineRule="auto"/>
        <w:ind w:left="851"/>
        <w:rPr>
          <w:noProof w:val="0"/>
          <w:sz w:val="24"/>
          <w:szCs w:val="24"/>
          <w:lang w:val="da-DK" w:eastAsia="da-DK"/>
        </w:rPr>
      </w:pPr>
      <w:r w:rsidRPr="000533AF">
        <w:rPr>
          <w:noProof w:val="0"/>
          <w:sz w:val="24"/>
          <w:szCs w:val="24"/>
          <w:lang w:val="da-DK" w:eastAsia="da-DK"/>
        </w:rPr>
        <w:t>Der</w:t>
      </w:r>
      <w:r w:rsidRPr="00C16E3D">
        <w:rPr>
          <w:noProof w:val="0"/>
          <w:sz w:val="24"/>
          <w:szCs w:val="24"/>
          <w:lang w:val="da-DK" w:eastAsia="da-DK"/>
        </w:rPr>
        <w:t xml:space="preserve"> er utilstrækkelige data fra anvendelse af </w:t>
      </w:r>
      <w:proofErr w:type="spellStart"/>
      <w:r w:rsidRPr="00C16E3D">
        <w:rPr>
          <w:noProof w:val="0"/>
          <w:sz w:val="24"/>
          <w:szCs w:val="24"/>
          <w:lang w:val="da-DK" w:eastAsia="da-DK"/>
        </w:rPr>
        <w:t>vinorelbin</w:t>
      </w:r>
      <w:proofErr w:type="spellEnd"/>
      <w:r w:rsidRPr="00C16E3D">
        <w:rPr>
          <w:noProof w:val="0"/>
          <w:sz w:val="24"/>
          <w:szCs w:val="24"/>
          <w:lang w:val="da-DK" w:eastAsia="da-DK"/>
        </w:rPr>
        <w:t xml:space="preserve"> til gravide kvinder. Dyreforsøg har påvist embryotoksicitet og </w:t>
      </w:r>
      <w:proofErr w:type="spellStart"/>
      <w:r w:rsidRPr="00C16E3D">
        <w:rPr>
          <w:noProof w:val="0"/>
          <w:sz w:val="24"/>
          <w:szCs w:val="24"/>
          <w:lang w:val="da-DK" w:eastAsia="da-DK"/>
        </w:rPr>
        <w:t>teratogenicitet</w:t>
      </w:r>
      <w:proofErr w:type="spellEnd"/>
      <w:r w:rsidRPr="00C16E3D">
        <w:rPr>
          <w:noProof w:val="0"/>
          <w:sz w:val="24"/>
          <w:szCs w:val="24"/>
          <w:lang w:val="da-DK" w:eastAsia="da-DK"/>
        </w:rPr>
        <w:t xml:space="preserve"> (se pkt. 5.3). Baseret på resultaterne af dyreforsøgene og lægemidlets farmakologiske virkning er der en potentiel risiko for embryonale og </w:t>
      </w:r>
      <w:proofErr w:type="spellStart"/>
      <w:r w:rsidRPr="00C16E3D">
        <w:rPr>
          <w:noProof w:val="0"/>
          <w:sz w:val="24"/>
          <w:szCs w:val="24"/>
          <w:lang w:val="da-DK" w:eastAsia="da-DK"/>
        </w:rPr>
        <w:t>føtale</w:t>
      </w:r>
      <w:proofErr w:type="spellEnd"/>
      <w:r w:rsidRPr="00C16E3D">
        <w:rPr>
          <w:noProof w:val="0"/>
          <w:sz w:val="24"/>
          <w:szCs w:val="24"/>
          <w:lang w:val="da-DK" w:eastAsia="da-DK"/>
        </w:rPr>
        <w:t xml:space="preserve"> abnormiteter.</w:t>
      </w:r>
    </w:p>
    <w:p w:rsidR="00B6243E" w:rsidRPr="00C16E3D" w:rsidRDefault="00B6243E" w:rsidP="00B6243E">
      <w:pPr>
        <w:tabs>
          <w:tab w:val="left" w:pos="851"/>
        </w:tabs>
        <w:autoSpaceDE w:val="0"/>
        <w:autoSpaceDN w:val="0"/>
        <w:adjustRightInd w:val="0"/>
        <w:ind w:left="851"/>
        <w:rPr>
          <w:sz w:val="24"/>
          <w:szCs w:val="24"/>
        </w:rPr>
      </w:pPr>
      <w:proofErr w:type="spellStart"/>
      <w:r w:rsidRPr="00C16E3D">
        <w:rPr>
          <w:sz w:val="24"/>
          <w:szCs w:val="24"/>
        </w:rPr>
        <w:t>Vinorelbin</w:t>
      </w:r>
      <w:proofErr w:type="spellEnd"/>
      <w:r w:rsidRPr="00C16E3D">
        <w:rPr>
          <w:sz w:val="24"/>
          <w:szCs w:val="24"/>
        </w:rPr>
        <w:t xml:space="preserve"> bør derfor ikke anvendes under graviditet, medmindre den forventede gavnlige effekt klart opvejer de potentielle risici. Hvis graviditet indtræder under behandlingen, skal patienten oplyses om risiciene for det ufødte barn og overvåges nøje. Muligheden for genetisk rådgivning bør overvejes.</w:t>
      </w:r>
    </w:p>
    <w:p w:rsidR="00B6243E" w:rsidRPr="00C16E3D" w:rsidRDefault="00B6243E" w:rsidP="00B6243E">
      <w:pPr>
        <w:tabs>
          <w:tab w:val="left" w:pos="851"/>
        </w:tabs>
        <w:autoSpaceDE w:val="0"/>
        <w:autoSpaceDN w:val="0"/>
        <w:adjustRightInd w:val="0"/>
        <w:ind w:left="851"/>
        <w:rPr>
          <w:sz w:val="24"/>
          <w:szCs w:val="24"/>
        </w:rPr>
      </w:pPr>
    </w:p>
    <w:p w:rsidR="00B6243E" w:rsidRPr="000533AF" w:rsidRDefault="00B6243E" w:rsidP="00B6243E">
      <w:pPr>
        <w:autoSpaceDE w:val="0"/>
        <w:autoSpaceDN w:val="0"/>
        <w:adjustRightInd w:val="0"/>
        <w:ind w:left="851"/>
        <w:rPr>
          <w:sz w:val="24"/>
          <w:szCs w:val="24"/>
          <w:u w:val="single"/>
        </w:rPr>
      </w:pPr>
      <w:r w:rsidRPr="000533AF">
        <w:rPr>
          <w:sz w:val="24"/>
          <w:szCs w:val="24"/>
          <w:u w:val="single"/>
        </w:rPr>
        <w:t>Amning</w:t>
      </w:r>
    </w:p>
    <w:p w:rsidR="00B6243E" w:rsidRPr="00C16E3D" w:rsidRDefault="00B6243E" w:rsidP="00B6243E">
      <w:pPr>
        <w:tabs>
          <w:tab w:val="left" w:pos="0"/>
          <w:tab w:val="left" w:pos="851"/>
        </w:tabs>
        <w:autoSpaceDE w:val="0"/>
        <w:autoSpaceDN w:val="0"/>
        <w:adjustRightInd w:val="0"/>
        <w:ind w:left="851"/>
        <w:rPr>
          <w:sz w:val="24"/>
          <w:szCs w:val="24"/>
        </w:rPr>
      </w:pPr>
      <w:r w:rsidRPr="00C16E3D">
        <w:rPr>
          <w:sz w:val="24"/>
          <w:szCs w:val="24"/>
        </w:rPr>
        <w:t xml:space="preserve">Det er ukendt, om </w:t>
      </w:r>
      <w:proofErr w:type="spellStart"/>
      <w:r w:rsidRPr="00C16E3D">
        <w:rPr>
          <w:sz w:val="24"/>
          <w:szCs w:val="24"/>
        </w:rPr>
        <w:t>vinorelbin</w:t>
      </w:r>
      <w:proofErr w:type="spellEnd"/>
      <w:r w:rsidRPr="00C16E3D">
        <w:rPr>
          <w:sz w:val="24"/>
          <w:szCs w:val="24"/>
        </w:rPr>
        <w:t xml:space="preserve"> udskilles i modermælk. </w:t>
      </w:r>
      <w:proofErr w:type="spellStart"/>
      <w:r w:rsidRPr="00C16E3D">
        <w:rPr>
          <w:sz w:val="24"/>
          <w:szCs w:val="24"/>
        </w:rPr>
        <w:t>Vinorelbin</w:t>
      </w:r>
      <w:proofErr w:type="spellEnd"/>
      <w:r w:rsidRPr="00C16E3D">
        <w:rPr>
          <w:sz w:val="24"/>
          <w:szCs w:val="24"/>
        </w:rPr>
        <w:t xml:space="preserve"> er kontraindiceret i </w:t>
      </w:r>
      <w:proofErr w:type="spellStart"/>
      <w:r w:rsidRPr="00C16E3D">
        <w:rPr>
          <w:sz w:val="24"/>
          <w:szCs w:val="24"/>
        </w:rPr>
        <w:t>ammeperioden</w:t>
      </w:r>
      <w:proofErr w:type="spellEnd"/>
      <w:r w:rsidRPr="00C16E3D">
        <w:rPr>
          <w:sz w:val="24"/>
          <w:szCs w:val="24"/>
        </w:rPr>
        <w:t xml:space="preserve"> og behandlingen skal enten seponeres eller amningen ophøre.</w:t>
      </w:r>
    </w:p>
    <w:p w:rsidR="00B6243E" w:rsidRPr="00C16E3D" w:rsidRDefault="00B6243E" w:rsidP="00B6243E">
      <w:pPr>
        <w:autoSpaceDE w:val="0"/>
        <w:autoSpaceDN w:val="0"/>
        <w:adjustRightInd w:val="0"/>
        <w:ind w:left="851"/>
        <w:rPr>
          <w:sz w:val="24"/>
          <w:szCs w:val="24"/>
        </w:rPr>
      </w:pPr>
    </w:p>
    <w:p w:rsidR="00B6243E" w:rsidRPr="000533AF" w:rsidRDefault="00B6243E" w:rsidP="00B6243E">
      <w:pPr>
        <w:tabs>
          <w:tab w:val="left" w:pos="567"/>
        </w:tabs>
        <w:autoSpaceDE w:val="0"/>
        <w:autoSpaceDN w:val="0"/>
        <w:adjustRightInd w:val="0"/>
        <w:ind w:left="851"/>
        <w:rPr>
          <w:sz w:val="24"/>
          <w:szCs w:val="24"/>
          <w:u w:val="single"/>
        </w:rPr>
      </w:pPr>
      <w:r w:rsidRPr="000533AF">
        <w:rPr>
          <w:sz w:val="24"/>
          <w:szCs w:val="24"/>
          <w:u w:val="single"/>
        </w:rPr>
        <w:t>Fertilitet</w:t>
      </w:r>
    </w:p>
    <w:p w:rsidR="00B6243E" w:rsidRPr="00C84483" w:rsidRDefault="00B6243E" w:rsidP="00B6243E">
      <w:pPr>
        <w:tabs>
          <w:tab w:val="left" w:pos="0"/>
          <w:tab w:val="left" w:pos="851"/>
        </w:tabs>
        <w:autoSpaceDE w:val="0"/>
        <w:autoSpaceDN w:val="0"/>
        <w:adjustRightInd w:val="0"/>
        <w:ind w:left="851"/>
        <w:rPr>
          <w:sz w:val="24"/>
          <w:szCs w:val="24"/>
        </w:rPr>
      </w:pPr>
      <w:r w:rsidRPr="00C16E3D">
        <w:rPr>
          <w:sz w:val="24"/>
          <w:szCs w:val="24"/>
        </w:rPr>
        <w:t xml:space="preserve">Både mænd og kvinder som er seksuelt aktive skal anvende sikker antikonception under behandlingen og minimum 3 måneder efter behandlingen. Mænd bør søge råd om opbevaring af sæd før behandling, på grund af risikoen for irreversibel </w:t>
      </w:r>
      <w:proofErr w:type="spellStart"/>
      <w:r w:rsidRPr="00C16E3D">
        <w:rPr>
          <w:sz w:val="24"/>
          <w:szCs w:val="24"/>
        </w:rPr>
        <w:t>infertilitet</w:t>
      </w:r>
      <w:proofErr w:type="spellEnd"/>
      <w:r w:rsidRPr="00C16E3D">
        <w:rPr>
          <w:sz w:val="24"/>
          <w:szCs w:val="24"/>
        </w:rPr>
        <w:t xml:space="preserve"> som en konsekvens af behandlingen med </w:t>
      </w:r>
      <w:proofErr w:type="spellStart"/>
      <w:r w:rsidRPr="00C16E3D">
        <w:rPr>
          <w:sz w:val="24"/>
          <w:szCs w:val="24"/>
        </w:rPr>
        <w:t>vinorelbin</w:t>
      </w:r>
      <w:proofErr w:type="spellEnd"/>
      <w:r w:rsidRPr="00C16E3D">
        <w:rPr>
          <w:sz w:val="24"/>
          <w:szCs w:val="24"/>
        </w:rPr>
        <w:t>.</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6243E" w:rsidRPr="00675DD6" w:rsidRDefault="00B6243E" w:rsidP="00B6243E">
      <w:pPr>
        <w:tabs>
          <w:tab w:val="left" w:pos="0"/>
          <w:tab w:val="left" w:pos="851"/>
        </w:tabs>
        <w:autoSpaceDE w:val="0"/>
        <w:autoSpaceDN w:val="0"/>
        <w:adjustRightInd w:val="0"/>
        <w:ind w:left="851"/>
        <w:rPr>
          <w:sz w:val="24"/>
          <w:szCs w:val="24"/>
        </w:rPr>
      </w:pPr>
      <w:r w:rsidRPr="00675DD6">
        <w:rPr>
          <w:sz w:val="24"/>
          <w:szCs w:val="24"/>
        </w:rPr>
        <w:t>Ikke mærkning.</w:t>
      </w:r>
    </w:p>
    <w:p w:rsidR="00B6243E" w:rsidRPr="00675DD6" w:rsidRDefault="00B6243E" w:rsidP="00B6243E">
      <w:pPr>
        <w:tabs>
          <w:tab w:val="left" w:pos="0"/>
          <w:tab w:val="left" w:pos="851"/>
        </w:tabs>
        <w:autoSpaceDE w:val="0"/>
        <w:autoSpaceDN w:val="0"/>
        <w:adjustRightInd w:val="0"/>
        <w:ind w:left="851"/>
        <w:rPr>
          <w:sz w:val="24"/>
          <w:szCs w:val="24"/>
        </w:rPr>
      </w:pPr>
      <w:r w:rsidRPr="00675DD6">
        <w:rPr>
          <w:sz w:val="24"/>
          <w:szCs w:val="24"/>
        </w:rPr>
        <w:t xml:space="preserve">Der er ikke foretaget undersøgelser af virkningen på evnen til at føre motorkøretøj eller betjene maskiner. På grund af </w:t>
      </w:r>
      <w:proofErr w:type="spellStart"/>
      <w:r w:rsidRPr="00675DD6">
        <w:rPr>
          <w:sz w:val="24"/>
          <w:szCs w:val="24"/>
        </w:rPr>
        <w:t>vinorelbins</w:t>
      </w:r>
      <w:proofErr w:type="spellEnd"/>
      <w:r w:rsidRPr="00675DD6">
        <w:rPr>
          <w:sz w:val="24"/>
          <w:szCs w:val="24"/>
        </w:rPr>
        <w:t xml:space="preserve"> </w:t>
      </w:r>
      <w:proofErr w:type="spellStart"/>
      <w:r w:rsidRPr="00675DD6">
        <w:rPr>
          <w:sz w:val="24"/>
          <w:szCs w:val="24"/>
        </w:rPr>
        <w:t>farmakodynamiske</w:t>
      </w:r>
      <w:proofErr w:type="spellEnd"/>
      <w:r w:rsidRPr="00675DD6">
        <w:rPr>
          <w:sz w:val="24"/>
          <w:szCs w:val="24"/>
        </w:rPr>
        <w:t xml:space="preserve"> profil påvirker det ikke evnen til at føre motorkøretøj eller betjene maskiner. Forsigtighed er dog nødvendig hos patienter, der er behandlet med </w:t>
      </w:r>
      <w:proofErr w:type="spellStart"/>
      <w:r w:rsidRPr="00675DD6">
        <w:rPr>
          <w:sz w:val="24"/>
          <w:szCs w:val="24"/>
        </w:rPr>
        <w:t>vinorelbin</w:t>
      </w:r>
      <w:proofErr w:type="spellEnd"/>
      <w:r w:rsidRPr="00675DD6">
        <w:rPr>
          <w:sz w:val="24"/>
          <w:szCs w:val="24"/>
        </w:rPr>
        <w:t xml:space="preserve"> på grund af visse bivirkninger ved lægemidlet (se pkt. 4.8).</w:t>
      </w:r>
    </w:p>
    <w:p w:rsidR="00B6243E" w:rsidRPr="00675DD6"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4.8</w:t>
      </w:r>
      <w:r w:rsidRPr="00C84483">
        <w:rPr>
          <w:b/>
          <w:sz w:val="24"/>
          <w:szCs w:val="24"/>
        </w:rPr>
        <w:tab/>
        <w:t>Bivirkninger</w:t>
      </w:r>
    </w:p>
    <w:p w:rsidR="00B6243E" w:rsidRPr="00170E07" w:rsidRDefault="00B6243E" w:rsidP="00B6243E">
      <w:pPr>
        <w:tabs>
          <w:tab w:val="left" w:pos="0"/>
          <w:tab w:val="left" w:pos="851"/>
        </w:tabs>
        <w:autoSpaceDE w:val="0"/>
        <w:autoSpaceDN w:val="0"/>
        <w:adjustRightInd w:val="0"/>
        <w:ind w:left="851"/>
        <w:rPr>
          <w:sz w:val="24"/>
          <w:szCs w:val="24"/>
        </w:rPr>
      </w:pPr>
      <w:r w:rsidRPr="00170E07">
        <w:rPr>
          <w:sz w:val="24"/>
          <w:szCs w:val="24"/>
        </w:rPr>
        <w:t xml:space="preserve">Den samlede forekomst af bivirkninger er bestemt ud fra kliniske forsøg med 316 patienter (132 patienter med ikke-småcellet cancer </w:t>
      </w:r>
      <w:proofErr w:type="spellStart"/>
      <w:r w:rsidRPr="00170E07">
        <w:rPr>
          <w:sz w:val="24"/>
          <w:szCs w:val="24"/>
        </w:rPr>
        <w:t>pulmonis</w:t>
      </w:r>
      <w:proofErr w:type="spellEnd"/>
      <w:r w:rsidRPr="00170E07">
        <w:rPr>
          <w:sz w:val="24"/>
          <w:szCs w:val="24"/>
        </w:rPr>
        <w:t xml:space="preserve"> og 184 patienter med cancer mammae), som fik det anbefalede </w:t>
      </w:r>
      <w:proofErr w:type="spellStart"/>
      <w:r w:rsidRPr="00170E07">
        <w:rPr>
          <w:sz w:val="24"/>
          <w:szCs w:val="24"/>
        </w:rPr>
        <w:t>behandlingsregimen</w:t>
      </w:r>
      <w:proofErr w:type="spellEnd"/>
      <w:r w:rsidRPr="00170E07">
        <w:rPr>
          <w:sz w:val="24"/>
          <w:szCs w:val="24"/>
        </w:rPr>
        <w:t xml:space="preserve"> med </w:t>
      </w:r>
      <w:proofErr w:type="spellStart"/>
      <w:r w:rsidRPr="00170E07">
        <w:rPr>
          <w:sz w:val="24"/>
          <w:szCs w:val="24"/>
        </w:rPr>
        <w:t>vinorelbin</w:t>
      </w:r>
      <w:proofErr w:type="spellEnd"/>
      <w:r w:rsidRPr="00170E07">
        <w:rPr>
          <w:sz w:val="24"/>
          <w:szCs w:val="24"/>
        </w:rPr>
        <w:t xml:space="preserve"> bløde kapsler (først 3 doseringer med 60 mg/m</w:t>
      </w:r>
      <w:r w:rsidRPr="00170E07">
        <w:rPr>
          <w:sz w:val="24"/>
          <w:szCs w:val="24"/>
          <w:vertAlign w:val="superscript"/>
        </w:rPr>
        <w:t>2</w:t>
      </w:r>
      <w:r w:rsidRPr="00170E07">
        <w:rPr>
          <w:sz w:val="24"/>
          <w:szCs w:val="24"/>
        </w:rPr>
        <w:t>/uge efterfulgt af 80 mg/m</w:t>
      </w:r>
      <w:r w:rsidRPr="00170E07">
        <w:rPr>
          <w:sz w:val="24"/>
          <w:szCs w:val="24"/>
          <w:vertAlign w:val="superscript"/>
        </w:rPr>
        <w:t>2</w:t>
      </w:r>
      <w:r w:rsidRPr="00170E07">
        <w:rPr>
          <w:sz w:val="24"/>
          <w:szCs w:val="24"/>
        </w:rPr>
        <w:t>/uge).</w:t>
      </w:r>
    </w:p>
    <w:p w:rsidR="00B6243E" w:rsidRPr="00170E07" w:rsidRDefault="00B6243E" w:rsidP="00B6243E">
      <w:pPr>
        <w:tabs>
          <w:tab w:val="left" w:pos="0"/>
          <w:tab w:val="left" w:pos="851"/>
        </w:tabs>
        <w:autoSpaceDE w:val="0"/>
        <w:autoSpaceDN w:val="0"/>
        <w:adjustRightInd w:val="0"/>
        <w:ind w:left="851"/>
        <w:rPr>
          <w:sz w:val="24"/>
          <w:szCs w:val="24"/>
        </w:rPr>
      </w:pPr>
    </w:p>
    <w:p w:rsidR="00B6243E" w:rsidRPr="00170E07" w:rsidRDefault="00B6243E" w:rsidP="00B6243E">
      <w:pPr>
        <w:tabs>
          <w:tab w:val="left" w:pos="0"/>
          <w:tab w:val="left" w:pos="851"/>
        </w:tabs>
        <w:autoSpaceDE w:val="0"/>
        <w:autoSpaceDN w:val="0"/>
        <w:adjustRightInd w:val="0"/>
        <w:ind w:left="851"/>
        <w:rPr>
          <w:sz w:val="24"/>
          <w:szCs w:val="24"/>
        </w:rPr>
      </w:pPr>
      <w:r w:rsidRPr="00170E07">
        <w:rPr>
          <w:sz w:val="24"/>
          <w:szCs w:val="24"/>
        </w:rPr>
        <w:t xml:space="preserve">Rapporterede bivirkninger er opstillet herunder efter systemorganklasse og hyppighed. Yderligere bivirkninger ud fra post-marketing erfaring er tilføjet i henhold til klassifikationen i </w:t>
      </w:r>
      <w:proofErr w:type="spellStart"/>
      <w:r w:rsidRPr="00170E07">
        <w:rPr>
          <w:sz w:val="24"/>
          <w:szCs w:val="24"/>
        </w:rPr>
        <w:t>MedDRA</w:t>
      </w:r>
      <w:proofErr w:type="spellEnd"/>
      <w:r w:rsidRPr="00170E07">
        <w:rPr>
          <w:sz w:val="24"/>
          <w:szCs w:val="24"/>
        </w:rPr>
        <w:t xml:space="preserve"> med frekvensen </w:t>
      </w:r>
      <w:r>
        <w:rPr>
          <w:sz w:val="24"/>
          <w:szCs w:val="24"/>
        </w:rPr>
        <w:t>"</w:t>
      </w:r>
      <w:r w:rsidRPr="00170E07">
        <w:rPr>
          <w:sz w:val="24"/>
          <w:szCs w:val="24"/>
        </w:rPr>
        <w:t>Ikke kendt</w:t>
      </w:r>
      <w:r>
        <w:rPr>
          <w:sz w:val="24"/>
          <w:szCs w:val="24"/>
        </w:rPr>
        <w:t>"</w:t>
      </w:r>
      <w:r w:rsidRPr="00170E07">
        <w:rPr>
          <w:sz w:val="24"/>
          <w:szCs w:val="24"/>
        </w:rPr>
        <w:t>. Reaktionerne er be</w:t>
      </w:r>
      <w:r w:rsidR="008F1881">
        <w:rPr>
          <w:sz w:val="24"/>
          <w:szCs w:val="24"/>
        </w:rPr>
        <w:t>s</w:t>
      </w:r>
      <w:r w:rsidRPr="00170E07">
        <w:rPr>
          <w:sz w:val="24"/>
          <w:szCs w:val="24"/>
        </w:rPr>
        <w:t>krevet ved hjælp af NCI CTCAE-kriterier.</w:t>
      </w:r>
    </w:p>
    <w:p w:rsidR="00B6243E" w:rsidRPr="00170E07" w:rsidRDefault="00B6243E" w:rsidP="00B6243E">
      <w:pPr>
        <w:tabs>
          <w:tab w:val="left" w:pos="0"/>
          <w:tab w:val="left" w:pos="851"/>
        </w:tabs>
        <w:autoSpaceDE w:val="0"/>
        <w:autoSpaceDN w:val="0"/>
        <w:adjustRightInd w:val="0"/>
        <w:ind w:left="851"/>
        <w:rPr>
          <w:sz w:val="24"/>
          <w:szCs w:val="24"/>
        </w:rPr>
      </w:pPr>
    </w:p>
    <w:tbl>
      <w:tblPr>
        <w:tblW w:w="51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736"/>
      </w:tblGrid>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Meget almindelig</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≥1/10</w:t>
            </w:r>
          </w:p>
        </w:tc>
      </w:tr>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Almindelig</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≥1/100, &lt;1/10</w:t>
            </w:r>
          </w:p>
        </w:tc>
      </w:tr>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Ikke almindelig</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 xml:space="preserve">≥1/1.000, &lt;1/100 </w:t>
            </w:r>
          </w:p>
        </w:tc>
      </w:tr>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Sjælden</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≥1/10.000, &lt;1/1.000</w:t>
            </w:r>
          </w:p>
        </w:tc>
      </w:tr>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Meget sjælden</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&lt;1/10.000</w:t>
            </w:r>
          </w:p>
        </w:tc>
      </w:tr>
      <w:tr w:rsidR="00B6243E" w:rsidRPr="00170E07" w:rsidTr="009F1E0D">
        <w:tc>
          <w:tcPr>
            <w:tcW w:w="2401"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63"/>
              <w:rPr>
                <w:sz w:val="24"/>
                <w:szCs w:val="24"/>
              </w:rPr>
            </w:pPr>
            <w:r w:rsidRPr="00170E07">
              <w:rPr>
                <w:sz w:val="24"/>
                <w:szCs w:val="24"/>
              </w:rPr>
              <w:t>Ikke kendt</w:t>
            </w:r>
          </w:p>
        </w:tc>
        <w:tc>
          <w:tcPr>
            <w:tcW w:w="2736" w:type="dxa"/>
            <w:tcBorders>
              <w:top w:val="single" w:sz="4" w:space="0" w:color="auto"/>
              <w:left w:val="single" w:sz="4" w:space="0" w:color="auto"/>
              <w:bottom w:val="single" w:sz="4" w:space="0" w:color="auto"/>
              <w:right w:val="single" w:sz="4" w:space="0" w:color="auto"/>
            </w:tcBorders>
            <w:hideMark/>
          </w:tcPr>
          <w:p w:rsidR="00B6243E" w:rsidRPr="00170E07" w:rsidRDefault="00B6243E" w:rsidP="009F1E0D">
            <w:pPr>
              <w:tabs>
                <w:tab w:val="left" w:pos="0"/>
              </w:tabs>
              <w:autoSpaceDE w:val="0"/>
              <w:autoSpaceDN w:val="0"/>
              <w:adjustRightInd w:val="0"/>
              <w:ind w:left="72"/>
              <w:rPr>
                <w:sz w:val="24"/>
                <w:szCs w:val="24"/>
              </w:rPr>
            </w:pPr>
            <w:r w:rsidRPr="00170E07">
              <w:rPr>
                <w:sz w:val="24"/>
                <w:szCs w:val="24"/>
              </w:rPr>
              <w:t>Post-marketing rapporter</w:t>
            </w:r>
          </w:p>
        </w:tc>
      </w:tr>
    </w:tbl>
    <w:p w:rsidR="00B6243E" w:rsidRDefault="00B6243E" w:rsidP="00B6243E">
      <w:pPr>
        <w:ind w:left="851"/>
        <w:rPr>
          <w:sz w:val="24"/>
          <w:szCs w:val="24"/>
        </w:rPr>
      </w:pPr>
    </w:p>
    <w:p w:rsidR="00B6243E" w:rsidRDefault="00B6243E" w:rsidP="00B6243E">
      <w:pPr>
        <w:rPr>
          <w:sz w:val="24"/>
          <w:szCs w:val="24"/>
        </w:rPr>
      </w:pPr>
      <w:r>
        <w:rPr>
          <w:sz w:val="24"/>
          <w:szCs w:val="24"/>
        </w:rPr>
        <w:br w:type="page"/>
      </w:r>
    </w:p>
    <w:p w:rsidR="00B6243E" w:rsidRPr="00170E07" w:rsidRDefault="00B6243E" w:rsidP="00B6243E">
      <w:pPr>
        <w:ind w:left="851"/>
        <w:rPr>
          <w:sz w:val="24"/>
          <w:szCs w:val="24"/>
        </w:rPr>
      </w:pPr>
    </w:p>
    <w:p w:rsidR="00B6243E" w:rsidRPr="00170E07" w:rsidRDefault="00B6243E" w:rsidP="00B6243E">
      <w:pPr>
        <w:tabs>
          <w:tab w:val="left" w:pos="0"/>
          <w:tab w:val="left" w:pos="851"/>
        </w:tabs>
        <w:autoSpaceDE w:val="0"/>
        <w:autoSpaceDN w:val="0"/>
        <w:adjustRightInd w:val="0"/>
        <w:ind w:left="851"/>
        <w:rPr>
          <w:b/>
          <w:sz w:val="24"/>
          <w:szCs w:val="24"/>
          <w:u w:val="single"/>
        </w:rPr>
      </w:pPr>
      <w:r w:rsidRPr="00170E07">
        <w:rPr>
          <w:b/>
          <w:sz w:val="24"/>
          <w:szCs w:val="24"/>
          <w:u w:val="single"/>
        </w:rPr>
        <w:t>Bivirkninger rapporteret i forbindel</w:t>
      </w:r>
      <w:r>
        <w:rPr>
          <w:b/>
          <w:sz w:val="24"/>
          <w:szCs w:val="24"/>
          <w:u w:val="single"/>
        </w:rPr>
        <w:t xml:space="preserve">se med </w:t>
      </w:r>
      <w:proofErr w:type="spellStart"/>
      <w:r>
        <w:rPr>
          <w:b/>
          <w:sz w:val="24"/>
          <w:szCs w:val="24"/>
          <w:u w:val="single"/>
        </w:rPr>
        <w:t>vinorelbin</w:t>
      </w:r>
      <w:proofErr w:type="spellEnd"/>
      <w:r>
        <w:rPr>
          <w:b/>
          <w:sz w:val="24"/>
          <w:szCs w:val="24"/>
          <w:u w:val="single"/>
        </w:rPr>
        <w:t xml:space="preserve"> bløde kapsler</w:t>
      </w:r>
    </w:p>
    <w:p w:rsidR="00B6243E" w:rsidRPr="00170E07" w:rsidRDefault="00B6243E" w:rsidP="00B6243E">
      <w:pPr>
        <w:tabs>
          <w:tab w:val="left" w:pos="0"/>
          <w:tab w:val="left" w:pos="851"/>
        </w:tabs>
        <w:autoSpaceDE w:val="0"/>
        <w:autoSpaceDN w:val="0"/>
        <w:adjustRightInd w:val="0"/>
        <w:ind w:left="851"/>
        <w:rPr>
          <w:sz w:val="24"/>
          <w:szCs w:val="24"/>
        </w:rPr>
      </w:pPr>
    </w:p>
    <w:p w:rsidR="00B6243E" w:rsidRPr="004D1A16" w:rsidRDefault="00B6243E" w:rsidP="00B6243E">
      <w:pPr>
        <w:tabs>
          <w:tab w:val="left" w:pos="0"/>
          <w:tab w:val="left" w:pos="851"/>
        </w:tabs>
        <w:autoSpaceDE w:val="0"/>
        <w:autoSpaceDN w:val="0"/>
        <w:adjustRightInd w:val="0"/>
        <w:ind w:left="851"/>
        <w:rPr>
          <w:sz w:val="24"/>
          <w:szCs w:val="24"/>
          <w:u w:val="single"/>
        </w:rPr>
      </w:pPr>
      <w:r>
        <w:rPr>
          <w:sz w:val="24"/>
          <w:szCs w:val="24"/>
          <w:u w:val="single"/>
        </w:rPr>
        <w:t>Præ-marketing erfaring</w:t>
      </w:r>
    </w:p>
    <w:p w:rsidR="00B6243E" w:rsidRPr="00170E07" w:rsidRDefault="00B6243E" w:rsidP="00B6243E">
      <w:pPr>
        <w:tabs>
          <w:tab w:val="left" w:pos="0"/>
          <w:tab w:val="left" w:pos="851"/>
        </w:tabs>
        <w:autoSpaceDE w:val="0"/>
        <w:autoSpaceDN w:val="0"/>
        <w:adjustRightInd w:val="0"/>
        <w:ind w:left="851"/>
        <w:rPr>
          <w:sz w:val="24"/>
          <w:szCs w:val="24"/>
        </w:rPr>
      </w:pPr>
      <w:r w:rsidRPr="00170E07">
        <w:rPr>
          <w:sz w:val="24"/>
          <w:szCs w:val="24"/>
        </w:rPr>
        <w:t xml:space="preserve">De mest almindelige rapporterede bivirkninger er knoglemarvsdepression med </w:t>
      </w:r>
      <w:proofErr w:type="spellStart"/>
      <w:r w:rsidRPr="00170E07">
        <w:rPr>
          <w:sz w:val="24"/>
          <w:szCs w:val="24"/>
        </w:rPr>
        <w:t>neutropeni</w:t>
      </w:r>
      <w:proofErr w:type="spellEnd"/>
      <w:r w:rsidRPr="00170E07">
        <w:rPr>
          <w:sz w:val="24"/>
          <w:szCs w:val="24"/>
        </w:rPr>
        <w:t xml:space="preserve">, anæmi og </w:t>
      </w:r>
      <w:proofErr w:type="spellStart"/>
      <w:r w:rsidRPr="00170E07">
        <w:rPr>
          <w:sz w:val="24"/>
          <w:szCs w:val="24"/>
        </w:rPr>
        <w:t>trombocytopeni</w:t>
      </w:r>
      <w:proofErr w:type="spellEnd"/>
      <w:r w:rsidRPr="00170E07">
        <w:rPr>
          <w:sz w:val="24"/>
          <w:szCs w:val="24"/>
        </w:rPr>
        <w:t xml:space="preserve">, </w:t>
      </w:r>
      <w:proofErr w:type="spellStart"/>
      <w:r w:rsidRPr="00170E07">
        <w:rPr>
          <w:sz w:val="24"/>
          <w:szCs w:val="24"/>
        </w:rPr>
        <w:t>gastrointestinal</w:t>
      </w:r>
      <w:proofErr w:type="spellEnd"/>
      <w:r w:rsidRPr="00170E07">
        <w:rPr>
          <w:sz w:val="24"/>
          <w:szCs w:val="24"/>
        </w:rPr>
        <w:t xml:space="preserve"> toksicitet med kvalme, opkastning, diarré, </w:t>
      </w:r>
      <w:proofErr w:type="spellStart"/>
      <w:r w:rsidRPr="00170E07">
        <w:rPr>
          <w:sz w:val="24"/>
          <w:szCs w:val="24"/>
        </w:rPr>
        <w:t>stomatitis</w:t>
      </w:r>
      <w:proofErr w:type="spellEnd"/>
      <w:r w:rsidRPr="00170E07">
        <w:rPr>
          <w:sz w:val="24"/>
          <w:szCs w:val="24"/>
        </w:rPr>
        <w:t xml:space="preserve"> og forstoppelse. Træthed og feber blev også rapporteret som meget almindeligt.</w:t>
      </w:r>
    </w:p>
    <w:p w:rsidR="00B6243E" w:rsidRPr="00170E07" w:rsidRDefault="00B6243E" w:rsidP="00B6243E">
      <w:pPr>
        <w:tabs>
          <w:tab w:val="left" w:pos="0"/>
          <w:tab w:val="left" w:pos="851"/>
        </w:tabs>
        <w:autoSpaceDE w:val="0"/>
        <w:autoSpaceDN w:val="0"/>
        <w:adjustRightInd w:val="0"/>
        <w:ind w:left="851"/>
        <w:rPr>
          <w:sz w:val="24"/>
          <w:szCs w:val="24"/>
        </w:rPr>
      </w:pPr>
    </w:p>
    <w:p w:rsidR="00B6243E" w:rsidRPr="004D1A16" w:rsidRDefault="00B6243E" w:rsidP="00B6243E">
      <w:pPr>
        <w:tabs>
          <w:tab w:val="left" w:pos="0"/>
          <w:tab w:val="left" w:pos="851"/>
        </w:tabs>
        <w:autoSpaceDE w:val="0"/>
        <w:autoSpaceDN w:val="0"/>
        <w:adjustRightInd w:val="0"/>
        <w:ind w:left="851"/>
        <w:rPr>
          <w:sz w:val="24"/>
          <w:szCs w:val="24"/>
          <w:u w:val="single"/>
        </w:rPr>
      </w:pPr>
      <w:r>
        <w:rPr>
          <w:sz w:val="24"/>
          <w:szCs w:val="24"/>
          <w:u w:val="single"/>
        </w:rPr>
        <w:t>Post-marketing erfaring</w:t>
      </w:r>
    </w:p>
    <w:p w:rsidR="00B6243E" w:rsidRPr="00170E07" w:rsidRDefault="00B6243E" w:rsidP="00B6243E">
      <w:pPr>
        <w:tabs>
          <w:tab w:val="left" w:pos="0"/>
          <w:tab w:val="left" w:pos="851"/>
        </w:tabs>
        <w:autoSpaceDE w:val="0"/>
        <w:autoSpaceDN w:val="0"/>
        <w:adjustRightInd w:val="0"/>
        <w:ind w:left="851"/>
        <w:rPr>
          <w:sz w:val="24"/>
          <w:szCs w:val="24"/>
        </w:rPr>
      </w:pPr>
      <w:proofErr w:type="spellStart"/>
      <w:r w:rsidRPr="00170E07">
        <w:rPr>
          <w:sz w:val="24"/>
          <w:szCs w:val="24"/>
        </w:rPr>
        <w:t>Vinorelbin</w:t>
      </w:r>
      <w:proofErr w:type="spellEnd"/>
      <w:r w:rsidRPr="00170E07">
        <w:rPr>
          <w:sz w:val="24"/>
          <w:szCs w:val="24"/>
        </w:rPr>
        <w:t xml:space="preserve"> bløde kapsler anvendes som monoterapi eller i kombination med andre kemoterapeutiske midler såsom </w:t>
      </w:r>
      <w:proofErr w:type="spellStart"/>
      <w:r w:rsidRPr="00170E07">
        <w:rPr>
          <w:sz w:val="24"/>
          <w:szCs w:val="24"/>
        </w:rPr>
        <w:t>cisplatin</w:t>
      </w:r>
      <w:proofErr w:type="spellEnd"/>
      <w:r w:rsidRPr="00170E07">
        <w:rPr>
          <w:sz w:val="24"/>
          <w:szCs w:val="24"/>
        </w:rPr>
        <w:t xml:space="preserve"> eller </w:t>
      </w:r>
      <w:proofErr w:type="spellStart"/>
      <w:r w:rsidRPr="00170E07">
        <w:rPr>
          <w:sz w:val="24"/>
          <w:szCs w:val="24"/>
        </w:rPr>
        <w:t>capecitabin</w:t>
      </w:r>
      <w:proofErr w:type="spellEnd"/>
      <w:r w:rsidRPr="00170E07">
        <w:rPr>
          <w:sz w:val="24"/>
          <w:szCs w:val="24"/>
        </w:rPr>
        <w:t>.</w:t>
      </w:r>
    </w:p>
    <w:p w:rsidR="00B6243E" w:rsidRPr="00170E07" w:rsidRDefault="00B6243E" w:rsidP="00B6243E">
      <w:pPr>
        <w:tabs>
          <w:tab w:val="left" w:pos="0"/>
          <w:tab w:val="left" w:pos="851"/>
        </w:tabs>
        <w:autoSpaceDE w:val="0"/>
        <w:autoSpaceDN w:val="0"/>
        <w:adjustRightInd w:val="0"/>
        <w:ind w:left="851"/>
        <w:rPr>
          <w:sz w:val="24"/>
          <w:szCs w:val="24"/>
        </w:rPr>
      </w:pPr>
    </w:p>
    <w:p w:rsidR="00B6243E" w:rsidRPr="00170E07" w:rsidRDefault="00B6243E" w:rsidP="00B6243E">
      <w:pPr>
        <w:tabs>
          <w:tab w:val="left" w:pos="0"/>
          <w:tab w:val="left" w:pos="851"/>
        </w:tabs>
        <w:autoSpaceDE w:val="0"/>
        <w:autoSpaceDN w:val="0"/>
        <w:adjustRightInd w:val="0"/>
        <w:ind w:left="851"/>
        <w:rPr>
          <w:sz w:val="24"/>
          <w:szCs w:val="24"/>
        </w:rPr>
      </w:pPr>
      <w:r w:rsidRPr="00170E07">
        <w:rPr>
          <w:sz w:val="24"/>
          <w:szCs w:val="24"/>
        </w:rPr>
        <w:t xml:space="preserve">De mest almindelige rapporterede bivirkninger post-marketing tilhørte følgende systemorganklasser: </w:t>
      </w:r>
      <w:r>
        <w:rPr>
          <w:sz w:val="24"/>
          <w:szCs w:val="24"/>
        </w:rPr>
        <w:t>"</w:t>
      </w:r>
      <w:r w:rsidRPr="00170E07">
        <w:rPr>
          <w:sz w:val="24"/>
          <w:szCs w:val="24"/>
        </w:rPr>
        <w:t>Blod og lymfesystem</w:t>
      </w:r>
      <w:r>
        <w:rPr>
          <w:sz w:val="24"/>
          <w:szCs w:val="24"/>
        </w:rPr>
        <w:t>"</w:t>
      </w:r>
      <w:r w:rsidRPr="00170E07">
        <w:rPr>
          <w:sz w:val="24"/>
          <w:szCs w:val="24"/>
        </w:rPr>
        <w:t xml:space="preserve">, </w:t>
      </w:r>
      <w:r>
        <w:rPr>
          <w:sz w:val="24"/>
          <w:szCs w:val="24"/>
        </w:rPr>
        <w:t>"</w:t>
      </w:r>
      <w:r w:rsidRPr="00170E07">
        <w:rPr>
          <w:sz w:val="24"/>
          <w:szCs w:val="24"/>
        </w:rPr>
        <w:t>Mave-tarm-kanalen</w:t>
      </w:r>
      <w:r>
        <w:rPr>
          <w:sz w:val="24"/>
          <w:szCs w:val="24"/>
        </w:rPr>
        <w:t>"</w:t>
      </w:r>
      <w:r w:rsidRPr="00170E07">
        <w:rPr>
          <w:sz w:val="24"/>
          <w:szCs w:val="24"/>
        </w:rPr>
        <w:t xml:space="preserve"> samt </w:t>
      </w:r>
      <w:r>
        <w:rPr>
          <w:sz w:val="24"/>
          <w:szCs w:val="24"/>
        </w:rPr>
        <w:t>"</w:t>
      </w:r>
      <w:r w:rsidRPr="00170E07">
        <w:rPr>
          <w:sz w:val="24"/>
          <w:szCs w:val="24"/>
        </w:rPr>
        <w:t>Almene symptomer og reaktioner på administrationsstedet</w:t>
      </w:r>
      <w:r>
        <w:rPr>
          <w:sz w:val="24"/>
          <w:szCs w:val="24"/>
        </w:rPr>
        <w:t>"</w:t>
      </w:r>
      <w:r w:rsidRPr="00170E07">
        <w:rPr>
          <w:sz w:val="24"/>
          <w:szCs w:val="24"/>
        </w:rPr>
        <w:t>. Disse oplysninger er i overensstemmelse med præ-marketing erfaringen.</w:t>
      </w:r>
    </w:p>
    <w:p w:rsidR="00B6243E" w:rsidRPr="00170E07" w:rsidRDefault="00B6243E" w:rsidP="00B6243E">
      <w:pPr>
        <w:autoSpaceDE w:val="0"/>
        <w:autoSpaceDN w:val="0"/>
        <w:adjustRightInd w:val="0"/>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806"/>
      </w:tblGrid>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Infektioner og parasitære sygdomme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Bakterie-, virus- eller svampeinfektioner forskellige steder uden </w:t>
            </w:r>
            <w:proofErr w:type="spellStart"/>
            <w:r w:rsidRPr="00170E07">
              <w:rPr>
                <w:sz w:val="24"/>
                <w:szCs w:val="24"/>
              </w:rPr>
              <w:t>neutropeni</w:t>
            </w:r>
            <w:proofErr w:type="spellEnd"/>
            <w:r w:rsidRPr="00170E07">
              <w:rPr>
                <w:sz w:val="24"/>
                <w:szCs w:val="24"/>
              </w:rPr>
              <w:t xml:space="preserve"> G1-4: 12,7</w:t>
            </w:r>
            <w:r w:rsidR="00AB6BDA">
              <w:rPr>
                <w:sz w:val="24"/>
                <w:szCs w:val="24"/>
              </w:rPr>
              <w:t xml:space="preserve"> %</w:t>
            </w:r>
            <w:r w:rsidRPr="00170E07">
              <w:rPr>
                <w:sz w:val="24"/>
                <w:szCs w:val="24"/>
              </w:rPr>
              <w:t>; G3-4: 4,4</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Bakterie-, virus- eller svampeinfektioner, der skyldes knoglemarvsdepression og/eller svækkelse af immunsystemet (</w:t>
            </w:r>
            <w:proofErr w:type="spellStart"/>
            <w:r w:rsidRPr="00170E07">
              <w:rPr>
                <w:sz w:val="24"/>
                <w:szCs w:val="24"/>
              </w:rPr>
              <w:t>neutropeniske</w:t>
            </w:r>
            <w:proofErr w:type="spellEnd"/>
            <w:r w:rsidRPr="00170E07">
              <w:rPr>
                <w:sz w:val="24"/>
                <w:szCs w:val="24"/>
              </w:rPr>
              <w:t xml:space="preserve"> infektioner) som normalt er reversible med passende behandling.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Neutropenisk</w:t>
            </w:r>
            <w:proofErr w:type="spellEnd"/>
            <w:r w:rsidRPr="00170E07">
              <w:rPr>
                <w:sz w:val="24"/>
                <w:szCs w:val="24"/>
              </w:rPr>
              <w:t xml:space="preserve"> infektion G3-4: 3,5</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Neutropenisk</w:t>
            </w:r>
            <w:proofErr w:type="spellEnd"/>
            <w:r w:rsidRPr="00170E07">
              <w:rPr>
                <w:sz w:val="24"/>
                <w:szCs w:val="24"/>
              </w:rPr>
              <w:t xml:space="preserve"> sepsis.</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Kompliceret sepsis, der i nogle tilfælde er fatal.</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Blod og lymfesystem</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Knoglemarvsdepression, der primært giver </w:t>
            </w:r>
            <w:proofErr w:type="spellStart"/>
            <w:r w:rsidRPr="00170E07">
              <w:rPr>
                <w:sz w:val="24"/>
                <w:szCs w:val="24"/>
              </w:rPr>
              <w:t>neutropeni</w:t>
            </w:r>
            <w:proofErr w:type="spellEnd"/>
            <w:r w:rsidRPr="00170E07">
              <w:rPr>
                <w:sz w:val="24"/>
                <w:szCs w:val="24"/>
              </w:rPr>
              <w:t xml:space="preserve"> G1-4: 71,5</w:t>
            </w:r>
            <w:r w:rsidR="008374B7">
              <w:rPr>
                <w:sz w:val="24"/>
                <w:szCs w:val="24"/>
              </w:rPr>
              <w:t> </w:t>
            </w:r>
            <w:r w:rsidR="00AB6BDA">
              <w:rPr>
                <w:sz w:val="24"/>
                <w:szCs w:val="24"/>
              </w:rPr>
              <w:t>%</w:t>
            </w:r>
            <w:r w:rsidRPr="00170E07">
              <w:rPr>
                <w:sz w:val="24"/>
                <w:szCs w:val="24"/>
              </w:rPr>
              <w:t>; G3: 21,8</w:t>
            </w:r>
            <w:r w:rsidR="00AB6BDA">
              <w:rPr>
                <w:sz w:val="24"/>
                <w:szCs w:val="24"/>
              </w:rPr>
              <w:t xml:space="preserve"> %</w:t>
            </w:r>
            <w:r w:rsidRPr="00170E07">
              <w:rPr>
                <w:sz w:val="24"/>
                <w:szCs w:val="24"/>
              </w:rPr>
              <w:t>; G4: 25,9</w:t>
            </w:r>
            <w:r w:rsidR="00AB6BDA">
              <w:rPr>
                <w:sz w:val="24"/>
                <w:szCs w:val="24"/>
              </w:rPr>
              <w:t xml:space="preserve"> %</w:t>
            </w:r>
            <w:r w:rsidRPr="00170E07">
              <w:rPr>
                <w:sz w:val="24"/>
                <w:szCs w:val="24"/>
              </w:rPr>
              <w:t>, er reversibel og er den dosisbegrænsende toksicitet.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Leukopeni</w:t>
            </w:r>
            <w:proofErr w:type="spellEnd"/>
            <w:r w:rsidRPr="00170E07">
              <w:rPr>
                <w:sz w:val="24"/>
                <w:szCs w:val="24"/>
              </w:rPr>
              <w:t xml:space="preserve"> G1-4: 70,6</w:t>
            </w:r>
            <w:r w:rsidR="00AB6BDA">
              <w:rPr>
                <w:sz w:val="24"/>
                <w:szCs w:val="24"/>
              </w:rPr>
              <w:t xml:space="preserve"> %</w:t>
            </w:r>
            <w:r w:rsidRPr="00170E07">
              <w:rPr>
                <w:sz w:val="24"/>
                <w:szCs w:val="24"/>
              </w:rPr>
              <w:t>; G3: 24,7</w:t>
            </w:r>
            <w:r w:rsidR="00AB6BDA">
              <w:rPr>
                <w:sz w:val="24"/>
                <w:szCs w:val="24"/>
              </w:rPr>
              <w:t xml:space="preserve"> %</w:t>
            </w:r>
            <w:r w:rsidRPr="00170E07">
              <w:rPr>
                <w:sz w:val="24"/>
                <w:szCs w:val="24"/>
              </w:rPr>
              <w:t>; G4: 6</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Anæmi G1-4: 67,4</w:t>
            </w:r>
            <w:r w:rsidR="00AB6BDA">
              <w:rPr>
                <w:sz w:val="24"/>
                <w:szCs w:val="24"/>
              </w:rPr>
              <w:t xml:space="preserve"> %</w:t>
            </w:r>
            <w:r w:rsidRPr="00170E07">
              <w:rPr>
                <w:sz w:val="24"/>
                <w:szCs w:val="24"/>
              </w:rPr>
              <w:t>; G3-4: 3,8</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Trombocytopeni</w:t>
            </w:r>
            <w:proofErr w:type="spellEnd"/>
            <w:r w:rsidRPr="00170E07">
              <w:rPr>
                <w:sz w:val="24"/>
                <w:szCs w:val="24"/>
              </w:rPr>
              <w:t xml:space="preserve"> G1-2: 10,8</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G4 </w:t>
            </w:r>
            <w:proofErr w:type="spellStart"/>
            <w:r w:rsidRPr="00170E07">
              <w:rPr>
                <w:sz w:val="24"/>
                <w:szCs w:val="24"/>
              </w:rPr>
              <w:t>Neutropeni</w:t>
            </w:r>
            <w:proofErr w:type="spellEnd"/>
            <w:r w:rsidRPr="00170E07">
              <w:rPr>
                <w:sz w:val="24"/>
                <w:szCs w:val="24"/>
              </w:rPr>
              <w:t xml:space="preserve"> forbundet med feber over 38 °C herunder febril </w:t>
            </w:r>
            <w:proofErr w:type="spellStart"/>
            <w:r w:rsidRPr="00170E07">
              <w:rPr>
                <w:sz w:val="24"/>
                <w:szCs w:val="24"/>
              </w:rPr>
              <w:t>neutropeni</w:t>
            </w:r>
            <w:proofErr w:type="spellEnd"/>
            <w:r w:rsidRPr="00170E07">
              <w:rPr>
                <w:sz w:val="24"/>
                <w:szCs w:val="24"/>
              </w:rPr>
              <w:t>: 2,8</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8F1881">
            <w:pPr>
              <w:autoSpaceDE w:val="0"/>
              <w:autoSpaceDN w:val="0"/>
              <w:adjustRightInd w:val="0"/>
              <w:rPr>
                <w:b/>
                <w:sz w:val="24"/>
                <w:szCs w:val="24"/>
              </w:rPr>
            </w:pPr>
            <w:r w:rsidRPr="00170E07">
              <w:rPr>
                <w:b/>
                <w:sz w:val="24"/>
                <w:szCs w:val="24"/>
              </w:rPr>
              <w:t>Metabolisme og ernæring</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Svær </w:t>
            </w:r>
            <w:proofErr w:type="spellStart"/>
            <w:r w:rsidRPr="00170E07">
              <w:rPr>
                <w:sz w:val="24"/>
                <w:szCs w:val="24"/>
              </w:rPr>
              <w:t>hyponatriæmi</w:t>
            </w:r>
            <w:proofErr w:type="spellEnd"/>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Psykiske forstyrrelser</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Søvnløshed G1-2: 2,8</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Nervesystemet</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Neurosensoriske</w:t>
            </w:r>
            <w:proofErr w:type="spellEnd"/>
            <w:r w:rsidRPr="00170E07">
              <w:rPr>
                <w:sz w:val="24"/>
                <w:szCs w:val="24"/>
              </w:rPr>
              <w:t xml:space="preserve"> sygdomme G1-2: 11,1</w:t>
            </w:r>
            <w:r w:rsidR="00AB6BDA">
              <w:rPr>
                <w:sz w:val="24"/>
                <w:szCs w:val="24"/>
              </w:rPr>
              <w:t xml:space="preserve"> %</w:t>
            </w:r>
            <w:r w:rsidRPr="00170E07">
              <w:rPr>
                <w:sz w:val="24"/>
                <w:szCs w:val="24"/>
              </w:rPr>
              <w:t xml:space="preserve"> som regel begrænset til </w:t>
            </w:r>
            <w:proofErr w:type="spellStart"/>
            <w:r w:rsidRPr="00170E07">
              <w:rPr>
                <w:sz w:val="24"/>
                <w:szCs w:val="24"/>
              </w:rPr>
              <w:t>senereflekser</w:t>
            </w:r>
            <w:proofErr w:type="spellEnd"/>
            <w:r w:rsidRPr="00170E07">
              <w:rPr>
                <w:sz w:val="24"/>
                <w:szCs w:val="24"/>
              </w:rPr>
              <w:t xml:space="preserve"> og sjældent alvorlige.</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Neuromotoriske</w:t>
            </w:r>
            <w:proofErr w:type="spellEnd"/>
            <w:r w:rsidRPr="00170E07">
              <w:rPr>
                <w:sz w:val="24"/>
                <w:szCs w:val="24"/>
              </w:rPr>
              <w:t xml:space="preserve"> sygdomme G1-4: 9,2</w:t>
            </w:r>
            <w:r w:rsidR="00AB6BDA">
              <w:rPr>
                <w:sz w:val="24"/>
                <w:szCs w:val="24"/>
              </w:rPr>
              <w:t xml:space="preserve"> %</w:t>
            </w:r>
            <w:r w:rsidRPr="00170E07">
              <w:rPr>
                <w:sz w:val="24"/>
                <w:szCs w:val="24"/>
              </w:rPr>
              <w:t>; G3-4: 1,3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Hovedpine: G1-4: 4,1</w:t>
            </w:r>
            <w:r w:rsidR="00AB6BDA">
              <w:rPr>
                <w:sz w:val="24"/>
                <w:szCs w:val="24"/>
              </w:rPr>
              <w:t xml:space="preserve"> %</w:t>
            </w:r>
            <w:r w:rsidRPr="00170E07">
              <w:rPr>
                <w:sz w:val="24"/>
                <w:szCs w:val="24"/>
              </w:rPr>
              <w:t>; G3-4: 0,6</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Svimmelhed: G1-4: 6</w:t>
            </w:r>
            <w:r w:rsidR="00AB6BDA">
              <w:rPr>
                <w:sz w:val="24"/>
                <w:szCs w:val="24"/>
              </w:rPr>
              <w:t xml:space="preserve"> %</w:t>
            </w:r>
            <w:r w:rsidRPr="00170E07">
              <w:rPr>
                <w:sz w:val="24"/>
                <w:szCs w:val="24"/>
              </w:rPr>
              <w:t>; G3-4: 0,6</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Smagsforstyrrelser: G1-2: 3,8</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almindelig</w:t>
            </w:r>
          </w:p>
          <w:p w:rsidR="00B6243E" w:rsidRDefault="00B6243E" w:rsidP="009F1E0D">
            <w:pPr>
              <w:tabs>
                <w:tab w:val="left" w:pos="0"/>
              </w:tabs>
              <w:autoSpaceDE w:val="0"/>
              <w:autoSpaceDN w:val="0"/>
              <w:adjustRightInd w:val="0"/>
              <w:ind w:left="66"/>
              <w:rPr>
                <w:sz w:val="24"/>
                <w:szCs w:val="24"/>
              </w:rPr>
            </w:pPr>
            <w:proofErr w:type="spellStart"/>
            <w:r w:rsidRPr="00170E07">
              <w:rPr>
                <w:sz w:val="24"/>
                <w:szCs w:val="24"/>
              </w:rPr>
              <w:t>Ataksi</w:t>
            </w:r>
            <w:proofErr w:type="spellEnd"/>
            <w:r w:rsidRPr="00170E07">
              <w:rPr>
                <w:sz w:val="24"/>
                <w:szCs w:val="24"/>
              </w:rPr>
              <w:t xml:space="preserve"> grad 3: 0,3</w:t>
            </w:r>
            <w:r w:rsidR="00AB6BDA">
              <w:rPr>
                <w:sz w:val="24"/>
                <w:szCs w:val="24"/>
              </w:rPr>
              <w:t xml:space="preserve"> %</w:t>
            </w:r>
            <w:r w:rsidRPr="00170E07">
              <w:rPr>
                <w:sz w:val="24"/>
                <w:szCs w:val="24"/>
              </w:rPr>
              <w:t>.</w:t>
            </w:r>
          </w:p>
          <w:p w:rsidR="0026004E" w:rsidRDefault="0026004E" w:rsidP="009F1E0D">
            <w:pPr>
              <w:tabs>
                <w:tab w:val="left" w:pos="0"/>
              </w:tabs>
              <w:autoSpaceDE w:val="0"/>
              <w:autoSpaceDN w:val="0"/>
              <w:adjustRightInd w:val="0"/>
              <w:ind w:left="66"/>
              <w:rPr>
                <w:sz w:val="24"/>
                <w:szCs w:val="24"/>
              </w:rPr>
            </w:pPr>
          </w:p>
          <w:p w:rsidR="0026004E" w:rsidRPr="00170E07" w:rsidRDefault="0026004E" w:rsidP="009F1E0D">
            <w:pPr>
              <w:tabs>
                <w:tab w:val="left" w:pos="0"/>
              </w:tabs>
              <w:autoSpaceDE w:val="0"/>
              <w:autoSpaceDN w:val="0"/>
              <w:adjustRightInd w:val="0"/>
              <w:ind w:left="66"/>
              <w:rPr>
                <w:sz w:val="24"/>
                <w:szCs w:val="24"/>
              </w:rPr>
            </w:pPr>
            <w:r>
              <w:rPr>
                <w:b/>
                <w:bCs/>
                <w:sz w:val="24"/>
                <w:szCs w:val="24"/>
              </w:rPr>
              <w:t>Ikke kendt</w:t>
            </w:r>
            <w:r>
              <w:rPr>
                <w:b/>
                <w:bCs/>
                <w:sz w:val="24"/>
                <w:szCs w:val="24"/>
              </w:rPr>
              <w:br/>
            </w:r>
            <w:proofErr w:type="spellStart"/>
            <w:r>
              <w:rPr>
                <w:sz w:val="24"/>
                <w:szCs w:val="24"/>
              </w:rPr>
              <w:t>Posterior</w:t>
            </w:r>
            <w:proofErr w:type="spellEnd"/>
            <w:r>
              <w:rPr>
                <w:sz w:val="24"/>
                <w:szCs w:val="24"/>
              </w:rPr>
              <w:t xml:space="preserve"> reversibel encefalopati-syndrom.</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Øjne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Synsforstyrrelser G1-2: 1,3</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Hjerte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Hjerteinsufficiens og </w:t>
            </w:r>
            <w:proofErr w:type="spellStart"/>
            <w:r w:rsidRPr="00170E07">
              <w:rPr>
                <w:sz w:val="24"/>
                <w:szCs w:val="24"/>
              </w:rPr>
              <w:t>hjertearytmi</w:t>
            </w:r>
            <w:proofErr w:type="spellEnd"/>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Myokardieinfarkt hos patienter med tidligere hjertesygdom eller risikofaktorer for hjertesygdom.</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proofErr w:type="spellStart"/>
            <w:r w:rsidRPr="00170E07">
              <w:rPr>
                <w:b/>
                <w:sz w:val="24"/>
                <w:szCs w:val="24"/>
              </w:rPr>
              <w:t>Vaskulære</w:t>
            </w:r>
            <w:proofErr w:type="spellEnd"/>
            <w:r w:rsidRPr="00170E07">
              <w:rPr>
                <w:b/>
                <w:sz w:val="24"/>
                <w:szCs w:val="24"/>
              </w:rPr>
              <w:t xml:space="preserve"> sygdomme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Hypertension G1-4: 2,5</w:t>
            </w:r>
            <w:r w:rsidR="00AB6BDA">
              <w:rPr>
                <w:sz w:val="24"/>
                <w:szCs w:val="24"/>
              </w:rPr>
              <w:t xml:space="preserve"> %</w:t>
            </w:r>
            <w:r w:rsidRPr="00170E07">
              <w:rPr>
                <w:sz w:val="24"/>
                <w:szCs w:val="24"/>
              </w:rPr>
              <w:t>; G3-4: 0,3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Hypotension G1-4: 2,2</w:t>
            </w:r>
            <w:r w:rsidR="00AB6BDA">
              <w:rPr>
                <w:sz w:val="24"/>
                <w:szCs w:val="24"/>
              </w:rPr>
              <w:t xml:space="preserve"> %</w:t>
            </w:r>
            <w:r w:rsidRPr="00170E07">
              <w:rPr>
                <w:sz w:val="24"/>
                <w:szCs w:val="24"/>
              </w:rPr>
              <w:t>; G3-4: 0,6</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8F1881">
            <w:pPr>
              <w:autoSpaceDE w:val="0"/>
              <w:autoSpaceDN w:val="0"/>
              <w:adjustRightInd w:val="0"/>
              <w:rPr>
                <w:b/>
                <w:sz w:val="24"/>
                <w:szCs w:val="24"/>
              </w:rPr>
            </w:pPr>
            <w:r w:rsidRPr="00170E07">
              <w:rPr>
                <w:b/>
                <w:sz w:val="24"/>
                <w:szCs w:val="24"/>
              </w:rPr>
              <w:t xml:space="preserve">Luftveje, thorax og </w:t>
            </w:r>
            <w:proofErr w:type="spellStart"/>
            <w:r w:rsidRPr="00170E07">
              <w:rPr>
                <w:b/>
                <w:sz w:val="24"/>
                <w:szCs w:val="24"/>
              </w:rPr>
              <w:t>mediastinum</w:t>
            </w:r>
            <w:proofErr w:type="spellEnd"/>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Dyspnø G1-4: 2,8</w:t>
            </w:r>
            <w:r w:rsidR="00AB6BDA">
              <w:rPr>
                <w:sz w:val="24"/>
                <w:szCs w:val="24"/>
              </w:rPr>
              <w:t xml:space="preserve"> %</w:t>
            </w:r>
            <w:r w:rsidRPr="00170E07">
              <w:rPr>
                <w:sz w:val="24"/>
                <w:szCs w:val="24"/>
              </w:rPr>
              <w:t>; G3-4: 0,3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Hoste: G1-2: 2,8</w:t>
            </w:r>
            <w:r w:rsidR="00AB6BDA">
              <w:rPr>
                <w:sz w:val="24"/>
                <w:szCs w:val="24"/>
              </w:rPr>
              <w:t xml:space="preserve"> %</w:t>
            </w:r>
            <w:r w:rsidRPr="00170E07">
              <w:rPr>
                <w:sz w:val="24"/>
                <w:szCs w:val="24"/>
              </w:rPr>
              <w:t>.</w:t>
            </w:r>
          </w:p>
          <w:p w:rsidR="00B6243E" w:rsidRDefault="00B6243E" w:rsidP="009F1E0D">
            <w:pPr>
              <w:tabs>
                <w:tab w:val="left" w:pos="0"/>
              </w:tabs>
              <w:autoSpaceDE w:val="0"/>
              <w:autoSpaceDN w:val="0"/>
              <w:adjustRightInd w:val="0"/>
              <w:ind w:left="66"/>
              <w:rPr>
                <w:sz w:val="24"/>
                <w:szCs w:val="24"/>
              </w:rPr>
            </w:pPr>
          </w:p>
          <w:p w:rsidR="0026004E" w:rsidRDefault="0026004E" w:rsidP="009F1E0D">
            <w:pPr>
              <w:tabs>
                <w:tab w:val="left" w:pos="0"/>
              </w:tabs>
              <w:autoSpaceDE w:val="0"/>
              <w:autoSpaceDN w:val="0"/>
              <w:adjustRightInd w:val="0"/>
              <w:ind w:left="66"/>
              <w:rPr>
                <w:sz w:val="24"/>
                <w:szCs w:val="24"/>
              </w:rPr>
            </w:pPr>
            <w:r>
              <w:rPr>
                <w:b/>
                <w:bCs/>
                <w:sz w:val="24"/>
                <w:szCs w:val="24"/>
              </w:rPr>
              <w:t>Ikke kendt</w:t>
            </w:r>
            <w:r>
              <w:rPr>
                <w:b/>
                <w:bCs/>
                <w:sz w:val="24"/>
                <w:szCs w:val="24"/>
              </w:rPr>
              <w:br/>
            </w:r>
            <w:proofErr w:type="spellStart"/>
            <w:r>
              <w:rPr>
                <w:sz w:val="24"/>
                <w:szCs w:val="24"/>
              </w:rPr>
              <w:t>Lungeemboli</w:t>
            </w:r>
            <w:proofErr w:type="spellEnd"/>
            <w:r>
              <w:rPr>
                <w:sz w:val="24"/>
                <w:szCs w:val="24"/>
              </w:rPr>
              <w:t>.</w:t>
            </w:r>
          </w:p>
          <w:p w:rsidR="0026004E" w:rsidRPr="00170E07" w:rsidRDefault="0026004E" w:rsidP="009F1E0D">
            <w:pPr>
              <w:tabs>
                <w:tab w:val="left" w:pos="0"/>
              </w:tabs>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Mave-tarm-kanalen</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Kvalme G1-4: 74.7</w:t>
            </w:r>
            <w:r w:rsidR="00AB6BDA">
              <w:rPr>
                <w:sz w:val="24"/>
                <w:szCs w:val="24"/>
              </w:rPr>
              <w:t xml:space="preserve"> %</w:t>
            </w:r>
            <w:r w:rsidRPr="00170E07">
              <w:rPr>
                <w:sz w:val="24"/>
                <w:szCs w:val="24"/>
              </w:rPr>
              <w:t>; G3-4: 7.3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Opkastning G1-4: 54,7</w:t>
            </w:r>
            <w:r w:rsidR="00AB6BDA">
              <w:rPr>
                <w:sz w:val="24"/>
                <w:szCs w:val="24"/>
              </w:rPr>
              <w:t xml:space="preserve"> %</w:t>
            </w:r>
            <w:r w:rsidRPr="00170E07">
              <w:rPr>
                <w:sz w:val="24"/>
                <w:szCs w:val="24"/>
              </w:rPr>
              <w:t>; G 3-4: 6,3</w:t>
            </w:r>
            <w:r w:rsidR="00AB6BDA">
              <w:rPr>
                <w:sz w:val="24"/>
                <w:szCs w:val="24"/>
              </w:rPr>
              <w:t xml:space="preserve"> %</w:t>
            </w:r>
            <w:r w:rsidRPr="00170E07">
              <w:rPr>
                <w:sz w:val="24"/>
                <w:szCs w:val="24"/>
              </w:rPr>
              <w:t xml:space="preserve">; understøttende behandling (såsom </w:t>
            </w:r>
            <w:r>
              <w:rPr>
                <w:sz w:val="24"/>
                <w:szCs w:val="24"/>
              </w:rPr>
              <w:t>oral</w:t>
            </w:r>
            <w:r w:rsidRPr="00170E07">
              <w:rPr>
                <w:sz w:val="24"/>
                <w:szCs w:val="24"/>
              </w:rPr>
              <w:t xml:space="preserve">e </w:t>
            </w:r>
            <w:proofErr w:type="spellStart"/>
            <w:r w:rsidRPr="00170E07">
              <w:rPr>
                <w:sz w:val="24"/>
                <w:szCs w:val="24"/>
              </w:rPr>
              <w:t>setroner</w:t>
            </w:r>
            <w:proofErr w:type="spellEnd"/>
            <w:r w:rsidRPr="00170E07">
              <w:rPr>
                <w:sz w:val="24"/>
                <w:szCs w:val="24"/>
              </w:rPr>
              <w:t>) kan reducere forekomsten af kvalme og opkastning.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Diaré</w:t>
            </w:r>
            <w:proofErr w:type="spellEnd"/>
            <w:r w:rsidRPr="00170E07">
              <w:rPr>
                <w:sz w:val="24"/>
                <w:szCs w:val="24"/>
              </w:rPr>
              <w:t xml:space="preserve"> G1-4: 49,7</w:t>
            </w:r>
            <w:r w:rsidR="00AB6BDA">
              <w:rPr>
                <w:sz w:val="24"/>
                <w:szCs w:val="24"/>
              </w:rPr>
              <w:t xml:space="preserve"> %</w:t>
            </w:r>
            <w:r w:rsidRPr="00170E07">
              <w:rPr>
                <w:sz w:val="24"/>
                <w:szCs w:val="24"/>
              </w:rPr>
              <w:t>; G3-4: 5,7</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Anoreksi G 1-4: 38,6</w:t>
            </w:r>
            <w:r w:rsidR="00AB6BDA">
              <w:rPr>
                <w:sz w:val="24"/>
                <w:szCs w:val="24"/>
              </w:rPr>
              <w:t xml:space="preserve"> %</w:t>
            </w:r>
            <w:r w:rsidRPr="00170E07">
              <w:rPr>
                <w:sz w:val="24"/>
                <w:szCs w:val="24"/>
              </w:rPr>
              <w:t>; G 3-4: 4,1</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Stomatitis</w:t>
            </w:r>
            <w:proofErr w:type="spellEnd"/>
            <w:r w:rsidRPr="00170E07">
              <w:rPr>
                <w:sz w:val="24"/>
                <w:szCs w:val="24"/>
              </w:rPr>
              <w:t xml:space="preserve"> G1-4: 10,4</w:t>
            </w:r>
            <w:r w:rsidR="00AB6BDA">
              <w:rPr>
                <w:sz w:val="24"/>
                <w:szCs w:val="24"/>
              </w:rPr>
              <w:t xml:space="preserve"> %</w:t>
            </w:r>
            <w:r w:rsidRPr="00170E07">
              <w:rPr>
                <w:sz w:val="24"/>
                <w:szCs w:val="24"/>
              </w:rPr>
              <w:t>; G3-4: 0,9</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Mavesmerter G1-4: 14,2</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Forstoppelse G1-4: 19</w:t>
            </w:r>
            <w:r w:rsidR="00AB6BDA">
              <w:rPr>
                <w:sz w:val="24"/>
                <w:szCs w:val="24"/>
              </w:rPr>
              <w:t xml:space="preserve"> %</w:t>
            </w:r>
            <w:r w:rsidRPr="00170E07">
              <w:rPr>
                <w:sz w:val="24"/>
                <w:szCs w:val="24"/>
              </w:rPr>
              <w:t>; G3-4: 0,9</w:t>
            </w:r>
            <w:r w:rsidR="00AB6BDA">
              <w:rPr>
                <w:sz w:val="24"/>
                <w:szCs w:val="24"/>
              </w:rPr>
              <w:t xml:space="preserve"> %</w:t>
            </w:r>
            <w:r w:rsidRPr="00170E07">
              <w:rPr>
                <w:sz w:val="24"/>
                <w:szCs w:val="24"/>
              </w:rPr>
              <w:t xml:space="preserve"> Ordinering af laksativer kan være relevant hos patienter med tidligere forekomst af forstoppelse og/eller som har modtaget samtidig behandling med morfin eller morfin-</w:t>
            </w:r>
            <w:proofErr w:type="spellStart"/>
            <w:r w:rsidRPr="00170E07">
              <w:rPr>
                <w:sz w:val="24"/>
                <w:szCs w:val="24"/>
              </w:rPr>
              <w:t>mimetika</w:t>
            </w:r>
            <w:proofErr w:type="spellEnd"/>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Mavesygdomme G1-4: 11,7</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Oesophagitis</w:t>
            </w:r>
            <w:proofErr w:type="spellEnd"/>
            <w:r w:rsidRPr="00170E07">
              <w:rPr>
                <w:sz w:val="24"/>
                <w:szCs w:val="24"/>
              </w:rPr>
              <w:t xml:space="preserve"> G1-3: 3,8</w:t>
            </w:r>
            <w:r w:rsidR="00AB6BDA">
              <w:rPr>
                <w:sz w:val="24"/>
                <w:szCs w:val="24"/>
              </w:rPr>
              <w:t xml:space="preserve"> %</w:t>
            </w:r>
            <w:r w:rsidRPr="00170E07">
              <w:rPr>
                <w:sz w:val="24"/>
                <w:szCs w:val="24"/>
              </w:rPr>
              <w:t>; G3: 0,3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Dysfagi</w:t>
            </w:r>
            <w:proofErr w:type="spellEnd"/>
            <w:r w:rsidRPr="00170E07">
              <w:rPr>
                <w:sz w:val="24"/>
                <w:szCs w:val="24"/>
              </w:rPr>
              <w:t>: G1-2: 2,3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 xml:space="preserve">Paralytisk </w:t>
            </w:r>
            <w:proofErr w:type="spellStart"/>
            <w:r w:rsidRPr="00170E07">
              <w:rPr>
                <w:sz w:val="24"/>
                <w:szCs w:val="24"/>
              </w:rPr>
              <w:t>ileus</w:t>
            </w:r>
            <w:proofErr w:type="spellEnd"/>
            <w:r w:rsidRPr="00170E07">
              <w:rPr>
                <w:sz w:val="24"/>
                <w:szCs w:val="24"/>
              </w:rPr>
              <w:t xml:space="preserve"> G3-4: 0,9</w:t>
            </w:r>
            <w:r w:rsidR="00AB6BDA">
              <w:rPr>
                <w:sz w:val="24"/>
                <w:szCs w:val="24"/>
              </w:rPr>
              <w:t xml:space="preserve"> %</w:t>
            </w:r>
            <w:r w:rsidRPr="00170E07">
              <w:rPr>
                <w:sz w:val="24"/>
                <w:szCs w:val="24"/>
              </w:rPr>
              <w:t xml:space="preserve"> (undtagelsesvist fatal) behandling kan genoptages efter tilbagevenden til normal tarmfunktion.</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Gastrointestinal</w:t>
            </w:r>
            <w:proofErr w:type="spellEnd"/>
            <w:r w:rsidRPr="00170E07">
              <w:rPr>
                <w:sz w:val="24"/>
                <w:szCs w:val="24"/>
              </w:rPr>
              <w:t xml:space="preserve"> blødning.</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8F1881">
            <w:pPr>
              <w:rPr>
                <w:b/>
                <w:sz w:val="24"/>
                <w:szCs w:val="24"/>
              </w:rPr>
            </w:pPr>
            <w:r w:rsidRPr="00153C42">
              <w:rPr>
                <w:b/>
                <w:noProof/>
                <w:sz w:val="24"/>
                <w:szCs w:val="24"/>
              </w:rPr>
              <w:t>Lever og galdeveje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Leversygdomme: G1-2: 1,3</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Hud og subkutane væv</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Alopeci</w:t>
            </w:r>
            <w:proofErr w:type="spellEnd"/>
            <w:r w:rsidRPr="00170E07">
              <w:rPr>
                <w:sz w:val="24"/>
                <w:szCs w:val="24"/>
              </w:rPr>
              <w:t xml:space="preserve"> sædvanligvis mild G1-2: 29,4</w:t>
            </w:r>
            <w:r w:rsidR="00AB6BDA">
              <w:rPr>
                <w:sz w:val="24"/>
                <w:szCs w:val="24"/>
              </w:rPr>
              <w:t xml:space="preserve"> %</w:t>
            </w:r>
            <w:r w:rsidRPr="00170E07">
              <w:rPr>
                <w:sz w:val="24"/>
                <w:szCs w:val="24"/>
              </w:rPr>
              <w:t xml:space="preserve"> kan forekomme.</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Hudreaktioner G1-2: 5,7</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Knogler, led, muskler og bindevæv</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proofErr w:type="spellStart"/>
            <w:r w:rsidRPr="00170E07">
              <w:rPr>
                <w:sz w:val="24"/>
                <w:szCs w:val="24"/>
              </w:rPr>
              <w:t>Artralgi</w:t>
            </w:r>
            <w:proofErr w:type="spellEnd"/>
            <w:r w:rsidRPr="00170E07">
              <w:rPr>
                <w:sz w:val="24"/>
                <w:szCs w:val="24"/>
              </w:rPr>
              <w:t xml:space="preserve"> herunder kæbesmerter.</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Myalgi G 1-4: 7</w:t>
            </w:r>
            <w:r w:rsidR="00AB6BDA">
              <w:rPr>
                <w:sz w:val="24"/>
                <w:szCs w:val="24"/>
              </w:rPr>
              <w:t xml:space="preserve"> %</w:t>
            </w:r>
            <w:r w:rsidRPr="00170E07">
              <w:rPr>
                <w:sz w:val="24"/>
                <w:szCs w:val="24"/>
              </w:rPr>
              <w:t>; G3-4: 0,3</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Nyrer og urinveje</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Vandladningsbesvær G1-2: 1,6</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Andre urogenitale sygdomme G1-2: 1,9</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Almene symptomer og reaktioner på administrations-stedet</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Træthed/utilpashed G1-4: 36,7</w:t>
            </w:r>
            <w:r w:rsidR="00AB6BDA">
              <w:rPr>
                <w:sz w:val="24"/>
                <w:szCs w:val="24"/>
              </w:rPr>
              <w:t xml:space="preserve"> %</w:t>
            </w:r>
            <w:r w:rsidRPr="00170E07">
              <w:rPr>
                <w:sz w:val="24"/>
                <w:szCs w:val="24"/>
              </w:rPr>
              <w:t>; G3-4: 8,5</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Feber G1-4: 13,0</w:t>
            </w:r>
            <w:r w:rsidR="00AB6BDA">
              <w:rPr>
                <w:sz w:val="24"/>
                <w:szCs w:val="24"/>
              </w:rPr>
              <w:t xml:space="preserve"> %</w:t>
            </w:r>
            <w:r w:rsidRPr="00170E07">
              <w:rPr>
                <w:sz w:val="24"/>
                <w:szCs w:val="24"/>
              </w:rPr>
              <w:t>; G3-4: 12,1</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Smerter, herunder smerter på tumorstedet G1-4: 3,8</w:t>
            </w:r>
            <w:r w:rsidR="00AB6BDA">
              <w:rPr>
                <w:sz w:val="24"/>
                <w:szCs w:val="24"/>
              </w:rPr>
              <w:t xml:space="preserve"> %</w:t>
            </w:r>
            <w:r w:rsidRPr="00170E07">
              <w:rPr>
                <w:sz w:val="24"/>
                <w:szCs w:val="24"/>
              </w:rPr>
              <w:t>; G3-4: 0,6</w:t>
            </w:r>
            <w:r w:rsidR="008374B7">
              <w:rPr>
                <w:sz w:val="24"/>
                <w:szCs w:val="24"/>
              </w:rPr>
              <w:t> </w:t>
            </w:r>
            <w:r w:rsidR="00AB6BDA">
              <w:rPr>
                <w:sz w:val="24"/>
                <w:szCs w:val="24"/>
              </w:rPr>
              <w:t>%</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Kuldegysninger: G1-2: 3,8</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r w:rsidR="00B6243E" w:rsidRPr="00170E07" w:rsidTr="00D54C44">
        <w:tc>
          <w:tcPr>
            <w:tcW w:w="1982"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Undersøgelser</w:t>
            </w:r>
          </w:p>
        </w:tc>
        <w:tc>
          <w:tcPr>
            <w:tcW w:w="6806" w:type="dxa"/>
            <w:shd w:val="clear" w:color="auto" w:fill="auto"/>
          </w:tcPr>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Meget 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Vægttab G1-4: 25</w:t>
            </w:r>
            <w:r w:rsidR="00AB6BDA">
              <w:rPr>
                <w:sz w:val="24"/>
                <w:szCs w:val="24"/>
              </w:rPr>
              <w:t xml:space="preserve"> %</w:t>
            </w:r>
            <w:r w:rsidRPr="00170E07">
              <w:rPr>
                <w:sz w:val="24"/>
                <w:szCs w:val="24"/>
              </w:rPr>
              <w:t>; G3-4: 0,3</w:t>
            </w:r>
            <w:r w:rsidR="00AB6BDA">
              <w:rPr>
                <w:sz w:val="24"/>
                <w:szCs w:val="24"/>
              </w:rPr>
              <w:t xml:space="preserve"> %</w:t>
            </w:r>
            <w:r w:rsidRPr="00170E07">
              <w:rPr>
                <w:sz w:val="24"/>
                <w:szCs w:val="24"/>
              </w:rPr>
              <w:t>.</w:t>
            </w:r>
          </w:p>
          <w:p w:rsidR="00B6243E" w:rsidRPr="00170E07" w:rsidRDefault="00B6243E" w:rsidP="009F1E0D">
            <w:pPr>
              <w:tabs>
                <w:tab w:val="left" w:pos="0"/>
              </w:tabs>
              <w:autoSpaceDE w:val="0"/>
              <w:autoSpaceDN w:val="0"/>
              <w:adjustRightInd w:val="0"/>
              <w:ind w:left="66"/>
              <w:rPr>
                <w:sz w:val="24"/>
                <w:szCs w:val="24"/>
              </w:rPr>
            </w:pPr>
          </w:p>
          <w:p w:rsidR="00B6243E" w:rsidRPr="00170E07" w:rsidRDefault="00B6243E" w:rsidP="009F1E0D">
            <w:pPr>
              <w:tabs>
                <w:tab w:val="left" w:pos="0"/>
              </w:tabs>
              <w:autoSpaceDE w:val="0"/>
              <w:autoSpaceDN w:val="0"/>
              <w:adjustRightInd w:val="0"/>
              <w:ind w:left="66"/>
              <w:rPr>
                <w:b/>
                <w:sz w:val="24"/>
                <w:szCs w:val="24"/>
              </w:rPr>
            </w:pPr>
            <w:r w:rsidRPr="00170E07">
              <w:rPr>
                <w:b/>
                <w:sz w:val="24"/>
                <w:szCs w:val="24"/>
              </w:rPr>
              <w:t>Almindelig</w:t>
            </w:r>
          </w:p>
          <w:p w:rsidR="00B6243E" w:rsidRPr="00170E07" w:rsidRDefault="00B6243E" w:rsidP="009F1E0D">
            <w:pPr>
              <w:tabs>
                <w:tab w:val="left" w:pos="0"/>
              </w:tabs>
              <w:autoSpaceDE w:val="0"/>
              <w:autoSpaceDN w:val="0"/>
              <w:adjustRightInd w:val="0"/>
              <w:ind w:left="66"/>
              <w:rPr>
                <w:sz w:val="24"/>
                <w:szCs w:val="24"/>
              </w:rPr>
            </w:pPr>
            <w:r w:rsidRPr="00170E07">
              <w:rPr>
                <w:sz w:val="24"/>
                <w:szCs w:val="24"/>
              </w:rPr>
              <w:t>Vægtstigning G1-2: 1,3</w:t>
            </w:r>
            <w:r w:rsidR="00AB6BDA">
              <w:rPr>
                <w:sz w:val="24"/>
                <w:szCs w:val="24"/>
              </w:rPr>
              <w:t xml:space="preserve"> %</w:t>
            </w:r>
            <w:r w:rsidRPr="00170E07">
              <w:rPr>
                <w:sz w:val="24"/>
                <w:szCs w:val="24"/>
              </w:rPr>
              <w:t>.</w:t>
            </w:r>
          </w:p>
          <w:p w:rsidR="00B6243E" w:rsidRPr="00170E07" w:rsidRDefault="00B6243E" w:rsidP="009F1E0D">
            <w:pPr>
              <w:autoSpaceDE w:val="0"/>
              <w:autoSpaceDN w:val="0"/>
              <w:adjustRightInd w:val="0"/>
              <w:ind w:left="66"/>
              <w:rPr>
                <w:sz w:val="24"/>
                <w:szCs w:val="24"/>
              </w:rPr>
            </w:pPr>
          </w:p>
        </w:tc>
      </w:tr>
    </w:tbl>
    <w:p w:rsidR="00B6243E" w:rsidRPr="00170E07" w:rsidRDefault="00B6243E" w:rsidP="00B6243E">
      <w:pPr>
        <w:ind w:left="851"/>
        <w:rPr>
          <w:sz w:val="24"/>
          <w:szCs w:val="24"/>
        </w:rPr>
      </w:pPr>
    </w:p>
    <w:p w:rsidR="00B6243E" w:rsidRPr="00170E07" w:rsidRDefault="00B6243E" w:rsidP="00B6243E">
      <w:pPr>
        <w:tabs>
          <w:tab w:val="left" w:pos="0"/>
          <w:tab w:val="left" w:pos="851"/>
        </w:tabs>
        <w:autoSpaceDE w:val="0"/>
        <w:autoSpaceDN w:val="0"/>
        <w:adjustRightInd w:val="0"/>
        <w:ind w:left="851"/>
        <w:rPr>
          <w:b/>
          <w:sz w:val="24"/>
          <w:szCs w:val="24"/>
          <w:u w:val="single"/>
        </w:rPr>
      </w:pPr>
      <w:r w:rsidRPr="00170E07">
        <w:rPr>
          <w:b/>
          <w:sz w:val="24"/>
          <w:szCs w:val="24"/>
          <w:u w:val="single"/>
        </w:rPr>
        <w:t xml:space="preserve">Bivirkninger ved </w:t>
      </w:r>
      <w:proofErr w:type="spellStart"/>
      <w:r w:rsidRPr="00170E07">
        <w:rPr>
          <w:b/>
          <w:sz w:val="24"/>
          <w:szCs w:val="24"/>
          <w:u w:val="single"/>
        </w:rPr>
        <w:t>vinorelbin</w:t>
      </w:r>
      <w:proofErr w:type="spellEnd"/>
      <w:r>
        <w:rPr>
          <w:b/>
          <w:sz w:val="24"/>
          <w:szCs w:val="24"/>
          <w:u w:val="single"/>
        </w:rPr>
        <w:t>, koncentrat til infusion</w:t>
      </w:r>
    </w:p>
    <w:p w:rsidR="00B6243E" w:rsidRPr="00170E07" w:rsidRDefault="00B6243E" w:rsidP="00B6243E">
      <w:pPr>
        <w:tabs>
          <w:tab w:val="left" w:pos="0"/>
          <w:tab w:val="left" w:pos="851"/>
        </w:tabs>
        <w:autoSpaceDE w:val="0"/>
        <w:autoSpaceDN w:val="0"/>
        <w:adjustRightInd w:val="0"/>
        <w:ind w:left="851"/>
        <w:rPr>
          <w:sz w:val="24"/>
          <w:szCs w:val="24"/>
        </w:rPr>
      </w:pPr>
      <w:r w:rsidRPr="00170E07">
        <w:rPr>
          <w:sz w:val="24"/>
          <w:szCs w:val="24"/>
        </w:rPr>
        <w:t xml:space="preserve">Visse bivirkninger blev observeret med </w:t>
      </w:r>
      <w:proofErr w:type="spellStart"/>
      <w:r w:rsidRPr="00170E07">
        <w:rPr>
          <w:sz w:val="24"/>
          <w:szCs w:val="24"/>
        </w:rPr>
        <w:t>vinorelbin</w:t>
      </w:r>
      <w:proofErr w:type="spellEnd"/>
      <w:r w:rsidRPr="00170E07">
        <w:rPr>
          <w:sz w:val="24"/>
          <w:szCs w:val="24"/>
        </w:rPr>
        <w:t xml:space="preserve">, koncentrat til infusion under præ- og post-marketing erfaring, som ikke blev rapporteret med </w:t>
      </w:r>
      <w:proofErr w:type="spellStart"/>
      <w:r w:rsidRPr="00170E07">
        <w:rPr>
          <w:sz w:val="24"/>
          <w:szCs w:val="24"/>
        </w:rPr>
        <w:t>vinorelbin</w:t>
      </w:r>
      <w:proofErr w:type="spellEnd"/>
      <w:r w:rsidRPr="00170E07">
        <w:rPr>
          <w:sz w:val="24"/>
          <w:szCs w:val="24"/>
        </w:rPr>
        <w:t xml:space="preserve"> bløde kapsler: Med henblik på at give komplet information og fremme sikkerheden ved anvendelse af </w:t>
      </w:r>
      <w:proofErr w:type="spellStart"/>
      <w:r w:rsidRPr="00170E07">
        <w:rPr>
          <w:sz w:val="24"/>
          <w:szCs w:val="24"/>
        </w:rPr>
        <w:t>vinorelbin</w:t>
      </w:r>
      <w:proofErr w:type="spellEnd"/>
      <w:r w:rsidRPr="00170E07">
        <w:rPr>
          <w:sz w:val="24"/>
          <w:szCs w:val="24"/>
        </w:rPr>
        <w:t xml:space="preserve"> bløde kapsler præsenteres disse bivirkninger herunder:</w:t>
      </w:r>
    </w:p>
    <w:p w:rsidR="00B6243E" w:rsidRPr="00170E07" w:rsidRDefault="00B6243E" w:rsidP="00B6243E">
      <w:pPr>
        <w:tabs>
          <w:tab w:val="left" w:pos="0"/>
          <w:tab w:val="left" w:pos="851"/>
        </w:tabs>
        <w:autoSpaceDE w:val="0"/>
        <w:autoSpaceDN w:val="0"/>
        <w:adjustRightInd w:val="0"/>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4"/>
      </w:tblGrid>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Infektioner og parasitære sygdomme</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Ikke almindelig</w:t>
            </w:r>
          </w:p>
          <w:p w:rsidR="00B6243E" w:rsidRPr="00170E07" w:rsidRDefault="00B6243E" w:rsidP="009F1E0D">
            <w:pPr>
              <w:tabs>
                <w:tab w:val="left" w:pos="0"/>
              </w:tabs>
              <w:autoSpaceDE w:val="0"/>
              <w:autoSpaceDN w:val="0"/>
              <w:adjustRightInd w:val="0"/>
              <w:ind w:left="34"/>
              <w:rPr>
                <w:sz w:val="24"/>
                <w:szCs w:val="24"/>
              </w:rPr>
            </w:pPr>
            <w:proofErr w:type="spellStart"/>
            <w:r w:rsidRPr="00170E07">
              <w:rPr>
                <w:sz w:val="24"/>
                <w:szCs w:val="24"/>
              </w:rPr>
              <w:t>Septikæmi</w:t>
            </w:r>
            <w:proofErr w:type="spellEnd"/>
            <w:r w:rsidRPr="00170E07">
              <w:rPr>
                <w:sz w:val="24"/>
                <w:szCs w:val="24"/>
              </w:rPr>
              <w:t xml:space="preserve"> (meget sjældent fatalt).</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Immunsystemet</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34"/>
              <w:rPr>
                <w:sz w:val="24"/>
                <w:szCs w:val="24"/>
              </w:rPr>
            </w:pPr>
            <w:r w:rsidRPr="00170E07">
              <w:rPr>
                <w:sz w:val="24"/>
                <w:szCs w:val="24"/>
              </w:rPr>
              <w:t xml:space="preserve">Systemiske allergiske reaktioner som </w:t>
            </w:r>
            <w:proofErr w:type="spellStart"/>
            <w:r w:rsidRPr="00170E07">
              <w:rPr>
                <w:sz w:val="24"/>
                <w:szCs w:val="24"/>
              </w:rPr>
              <w:t>anafylakse</w:t>
            </w:r>
            <w:proofErr w:type="spellEnd"/>
            <w:r w:rsidRPr="00170E07">
              <w:rPr>
                <w:sz w:val="24"/>
                <w:szCs w:val="24"/>
              </w:rPr>
              <w:t xml:space="preserve">, </w:t>
            </w:r>
            <w:proofErr w:type="spellStart"/>
            <w:r w:rsidRPr="00170E07">
              <w:rPr>
                <w:sz w:val="24"/>
                <w:szCs w:val="24"/>
              </w:rPr>
              <w:t>anafylaktisk</w:t>
            </w:r>
            <w:proofErr w:type="spellEnd"/>
            <w:r w:rsidRPr="00170E07">
              <w:rPr>
                <w:sz w:val="24"/>
                <w:szCs w:val="24"/>
              </w:rPr>
              <w:t xml:space="preserve"> </w:t>
            </w:r>
            <w:proofErr w:type="spellStart"/>
            <w:r w:rsidRPr="00170E07">
              <w:rPr>
                <w:sz w:val="24"/>
                <w:szCs w:val="24"/>
              </w:rPr>
              <w:t>shock</w:t>
            </w:r>
            <w:proofErr w:type="spellEnd"/>
            <w:r w:rsidRPr="00170E07">
              <w:rPr>
                <w:sz w:val="24"/>
                <w:szCs w:val="24"/>
              </w:rPr>
              <w:t xml:space="preserve"> eller </w:t>
            </w:r>
            <w:proofErr w:type="spellStart"/>
            <w:r w:rsidRPr="00170E07">
              <w:rPr>
                <w:sz w:val="24"/>
                <w:szCs w:val="24"/>
              </w:rPr>
              <w:t>anafylaktoidlignende</w:t>
            </w:r>
            <w:proofErr w:type="spellEnd"/>
            <w:r w:rsidRPr="00170E07">
              <w:rPr>
                <w:sz w:val="24"/>
                <w:szCs w:val="24"/>
              </w:rPr>
              <w:t xml:space="preserve"> reaktioner.</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Det endokrine system</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Ikke kendt</w:t>
            </w:r>
          </w:p>
          <w:p w:rsidR="00B6243E" w:rsidRPr="00170E07" w:rsidRDefault="00B6243E" w:rsidP="009F1E0D">
            <w:pPr>
              <w:tabs>
                <w:tab w:val="left" w:pos="0"/>
              </w:tabs>
              <w:autoSpaceDE w:val="0"/>
              <w:autoSpaceDN w:val="0"/>
              <w:adjustRightInd w:val="0"/>
              <w:ind w:left="34"/>
              <w:rPr>
                <w:sz w:val="24"/>
                <w:szCs w:val="24"/>
              </w:rPr>
            </w:pPr>
            <w:r w:rsidRPr="00170E07">
              <w:rPr>
                <w:sz w:val="24"/>
                <w:szCs w:val="24"/>
              </w:rPr>
              <w:t>Utilstrækkelig sekretion af antidiuretisk hormon (SIADH).</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Hjerte</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Sjælden</w:t>
            </w:r>
          </w:p>
          <w:p w:rsidR="00B6243E" w:rsidRPr="00170E07" w:rsidRDefault="00B6243E" w:rsidP="009F1E0D">
            <w:pPr>
              <w:tabs>
                <w:tab w:val="left" w:pos="0"/>
              </w:tabs>
              <w:autoSpaceDE w:val="0"/>
              <w:autoSpaceDN w:val="0"/>
              <w:adjustRightInd w:val="0"/>
              <w:ind w:left="34"/>
              <w:rPr>
                <w:sz w:val="24"/>
                <w:szCs w:val="24"/>
              </w:rPr>
            </w:pPr>
            <w:r w:rsidRPr="00170E07">
              <w:rPr>
                <w:sz w:val="24"/>
                <w:szCs w:val="24"/>
              </w:rPr>
              <w:t>Iskæmisk hjertesygdom som angina pectoris, kortvarige elektrokardiogram-ændringer, myokardieinfarkt, i nogle tilfælde fatalt.</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proofErr w:type="spellStart"/>
            <w:r w:rsidRPr="00170E07">
              <w:rPr>
                <w:b/>
                <w:sz w:val="24"/>
                <w:szCs w:val="24"/>
              </w:rPr>
              <w:t>Vaskulære</w:t>
            </w:r>
            <w:proofErr w:type="spellEnd"/>
            <w:r w:rsidRPr="00170E07">
              <w:rPr>
                <w:b/>
                <w:sz w:val="24"/>
                <w:szCs w:val="24"/>
              </w:rPr>
              <w:t xml:space="preserve"> sygdomme</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Ikke almindelig</w:t>
            </w:r>
          </w:p>
          <w:p w:rsidR="00B6243E" w:rsidRPr="00170E07" w:rsidRDefault="00B6243E" w:rsidP="009F1E0D">
            <w:pPr>
              <w:tabs>
                <w:tab w:val="left" w:pos="0"/>
              </w:tabs>
              <w:autoSpaceDE w:val="0"/>
              <w:autoSpaceDN w:val="0"/>
              <w:adjustRightInd w:val="0"/>
              <w:ind w:left="34"/>
              <w:rPr>
                <w:sz w:val="24"/>
                <w:szCs w:val="24"/>
              </w:rPr>
            </w:pPr>
            <w:r w:rsidRPr="00170E07">
              <w:rPr>
                <w:sz w:val="24"/>
                <w:szCs w:val="24"/>
              </w:rPr>
              <w:t>Rødmen og perifer kuldefornemmelse.</w:t>
            </w:r>
          </w:p>
          <w:p w:rsidR="00B6243E" w:rsidRPr="00170E07" w:rsidRDefault="00B6243E" w:rsidP="009F1E0D">
            <w:pPr>
              <w:tabs>
                <w:tab w:val="left" w:pos="0"/>
              </w:tabs>
              <w:autoSpaceDE w:val="0"/>
              <w:autoSpaceDN w:val="0"/>
              <w:adjustRightInd w:val="0"/>
              <w:ind w:left="34"/>
              <w:rPr>
                <w:sz w:val="24"/>
                <w:szCs w:val="24"/>
              </w:rPr>
            </w:pPr>
          </w:p>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Sjælden</w:t>
            </w:r>
          </w:p>
          <w:p w:rsidR="00B6243E" w:rsidRPr="00170E07" w:rsidRDefault="00B6243E" w:rsidP="009F1E0D">
            <w:pPr>
              <w:tabs>
                <w:tab w:val="left" w:pos="0"/>
              </w:tabs>
              <w:autoSpaceDE w:val="0"/>
              <w:autoSpaceDN w:val="0"/>
              <w:adjustRightInd w:val="0"/>
              <w:ind w:left="34"/>
              <w:rPr>
                <w:sz w:val="24"/>
                <w:szCs w:val="24"/>
              </w:rPr>
            </w:pPr>
            <w:r w:rsidRPr="00170E07">
              <w:rPr>
                <w:sz w:val="24"/>
                <w:szCs w:val="24"/>
              </w:rPr>
              <w:t>Svær hypotension, kollaps.</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 xml:space="preserve">Luftveje, thorax og </w:t>
            </w:r>
            <w:proofErr w:type="spellStart"/>
            <w:r w:rsidRPr="00170E07">
              <w:rPr>
                <w:b/>
                <w:sz w:val="24"/>
                <w:szCs w:val="24"/>
              </w:rPr>
              <w:t>mediastinum</w:t>
            </w:r>
            <w:proofErr w:type="spellEnd"/>
            <w:r w:rsidRPr="00170E07">
              <w:rPr>
                <w:sz w:val="24"/>
                <w:szCs w:val="24"/>
              </w:rPr>
              <w:t xml:space="preserve">  </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Ikke almindelig</w:t>
            </w:r>
          </w:p>
          <w:p w:rsidR="00B6243E" w:rsidRPr="00170E07" w:rsidRDefault="00B6243E" w:rsidP="009F1E0D">
            <w:pPr>
              <w:tabs>
                <w:tab w:val="left" w:pos="0"/>
              </w:tabs>
              <w:autoSpaceDE w:val="0"/>
              <w:autoSpaceDN w:val="0"/>
              <w:adjustRightInd w:val="0"/>
              <w:ind w:left="34"/>
              <w:rPr>
                <w:sz w:val="24"/>
                <w:szCs w:val="24"/>
              </w:rPr>
            </w:pPr>
            <w:proofErr w:type="spellStart"/>
            <w:r w:rsidRPr="00170E07">
              <w:rPr>
                <w:sz w:val="24"/>
                <w:szCs w:val="24"/>
              </w:rPr>
              <w:t>Bronkospasme</w:t>
            </w:r>
            <w:proofErr w:type="spellEnd"/>
            <w:r w:rsidRPr="00170E07">
              <w:rPr>
                <w:sz w:val="24"/>
                <w:szCs w:val="24"/>
              </w:rPr>
              <w:t xml:space="preserve"> kan forekomme som med andre vincaalkaloider.</w:t>
            </w:r>
          </w:p>
          <w:p w:rsidR="00B6243E" w:rsidRPr="00170E07" w:rsidRDefault="00B6243E" w:rsidP="009F1E0D">
            <w:pPr>
              <w:tabs>
                <w:tab w:val="left" w:pos="0"/>
              </w:tabs>
              <w:autoSpaceDE w:val="0"/>
              <w:autoSpaceDN w:val="0"/>
              <w:adjustRightInd w:val="0"/>
              <w:ind w:left="34"/>
              <w:rPr>
                <w:sz w:val="24"/>
                <w:szCs w:val="24"/>
              </w:rPr>
            </w:pPr>
          </w:p>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Sjælden</w:t>
            </w:r>
          </w:p>
          <w:p w:rsidR="00B6243E" w:rsidRPr="00170E07" w:rsidRDefault="00B6243E" w:rsidP="009F1E0D">
            <w:pPr>
              <w:tabs>
                <w:tab w:val="left" w:pos="0"/>
              </w:tabs>
              <w:autoSpaceDE w:val="0"/>
              <w:autoSpaceDN w:val="0"/>
              <w:adjustRightInd w:val="0"/>
              <w:ind w:left="34"/>
              <w:rPr>
                <w:sz w:val="24"/>
                <w:szCs w:val="24"/>
              </w:rPr>
            </w:pPr>
            <w:proofErr w:type="spellStart"/>
            <w:r w:rsidRPr="00170E07">
              <w:rPr>
                <w:sz w:val="24"/>
                <w:szCs w:val="24"/>
              </w:rPr>
              <w:t>Interstitiel</w:t>
            </w:r>
            <w:proofErr w:type="spellEnd"/>
            <w:r w:rsidRPr="00170E07">
              <w:rPr>
                <w:sz w:val="24"/>
                <w:szCs w:val="24"/>
              </w:rPr>
              <w:t xml:space="preserve"> </w:t>
            </w:r>
            <w:proofErr w:type="spellStart"/>
            <w:r w:rsidRPr="00170E07">
              <w:rPr>
                <w:sz w:val="24"/>
                <w:szCs w:val="24"/>
              </w:rPr>
              <w:t>pneumopati</w:t>
            </w:r>
            <w:proofErr w:type="spellEnd"/>
            <w:r w:rsidRPr="00170E07">
              <w:rPr>
                <w:sz w:val="24"/>
                <w:szCs w:val="24"/>
              </w:rPr>
              <w:t xml:space="preserve">, især rapporteret hos patienter, der er blevet behandlet med </w:t>
            </w:r>
            <w:proofErr w:type="spellStart"/>
            <w:r w:rsidRPr="00170E07">
              <w:rPr>
                <w:sz w:val="24"/>
                <w:szCs w:val="24"/>
              </w:rPr>
              <w:t>vinorelbin</w:t>
            </w:r>
            <w:proofErr w:type="spellEnd"/>
            <w:r w:rsidRPr="00170E07">
              <w:rPr>
                <w:sz w:val="24"/>
                <w:szCs w:val="24"/>
              </w:rPr>
              <w:t xml:space="preserve"> i kombination med </w:t>
            </w:r>
            <w:proofErr w:type="spellStart"/>
            <w:r w:rsidRPr="00170E07">
              <w:rPr>
                <w:sz w:val="24"/>
                <w:szCs w:val="24"/>
              </w:rPr>
              <w:t>mitomycin</w:t>
            </w:r>
            <w:proofErr w:type="spellEnd"/>
            <w:r w:rsidRPr="00170E07">
              <w:rPr>
                <w:sz w:val="24"/>
                <w:szCs w:val="24"/>
              </w:rPr>
              <w:t>.</w:t>
            </w:r>
          </w:p>
          <w:p w:rsidR="00B6243E" w:rsidRPr="00170E07" w:rsidRDefault="00B6243E" w:rsidP="009F1E0D">
            <w:pPr>
              <w:autoSpaceDE w:val="0"/>
              <w:autoSpaceDN w:val="0"/>
              <w:adjustRightInd w:val="0"/>
              <w:ind w:left="34"/>
              <w:rPr>
                <w:sz w:val="24"/>
                <w:szCs w:val="24"/>
              </w:rPr>
            </w:pPr>
          </w:p>
        </w:tc>
      </w:tr>
      <w:tr w:rsidR="00B6243E" w:rsidRPr="00170E07" w:rsidTr="0052447D">
        <w:tc>
          <w:tcPr>
            <w:tcW w:w="1984" w:type="dxa"/>
            <w:shd w:val="clear" w:color="auto" w:fill="auto"/>
          </w:tcPr>
          <w:p w:rsidR="00B6243E" w:rsidRPr="00170E07" w:rsidRDefault="00B6243E" w:rsidP="009F1E0D">
            <w:pPr>
              <w:autoSpaceDE w:val="0"/>
              <w:autoSpaceDN w:val="0"/>
              <w:adjustRightInd w:val="0"/>
              <w:rPr>
                <w:b/>
                <w:sz w:val="24"/>
                <w:szCs w:val="24"/>
              </w:rPr>
            </w:pPr>
            <w:r w:rsidRPr="00170E07">
              <w:rPr>
                <w:b/>
                <w:sz w:val="24"/>
                <w:szCs w:val="24"/>
              </w:rPr>
              <w:t>Mave-tarm-kanalen</w:t>
            </w:r>
            <w:r w:rsidRPr="00170E07">
              <w:rPr>
                <w:sz w:val="24"/>
                <w:szCs w:val="24"/>
              </w:rPr>
              <w:t xml:space="preserve">   </w:t>
            </w:r>
          </w:p>
        </w:tc>
        <w:tc>
          <w:tcPr>
            <w:tcW w:w="6804" w:type="dxa"/>
            <w:shd w:val="clear" w:color="auto" w:fill="auto"/>
          </w:tcPr>
          <w:p w:rsidR="00B6243E" w:rsidRPr="00170E07" w:rsidRDefault="00B6243E" w:rsidP="009F1E0D">
            <w:pPr>
              <w:tabs>
                <w:tab w:val="left" w:pos="0"/>
              </w:tabs>
              <w:autoSpaceDE w:val="0"/>
              <w:autoSpaceDN w:val="0"/>
              <w:adjustRightInd w:val="0"/>
              <w:ind w:left="34"/>
              <w:rPr>
                <w:b/>
                <w:sz w:val="24"/>
                <w:szCs w:val="24"/>
              </w:rPr>
            </w:pPr>
            <w:r w:rsidRPr="00170E07">
              <w:rPr>
                <w:b/>
                <w:sz w:val="24"/>
                <w:szCs w:val="24"/>
              </w:rPr>
              <w:t>Sjælden</w:t>
            </w:r>
          </w:p>
          <w:p w:rsidR="00B6243E" w:rsidRPr="00170E07" w:rsidRDefault="00B6243E" w:rsidP="009F1E0D">
            <w:pPr>
              <w:tabs>
                <w:tab w:val="left" w:pos="0"/>
              </w:tabs>
              <w:autoSpaceDE w:val="0"/>
              <w:autoSpaceDN w:val="0"/>
              <w:adjustRightInd w:val="0"/>
              <w:ind w:left="34"/>
              <w:rPr>
                <w:sz w:val="24"/>
                <w:szCs w:val="24"/>
              </w:rPr>
            </w:pPr>
            <w:proofErr w:type="spellStart"/>
            <w:r w:rsidRPr="00170E07">
              <w:rPr>
                <w:sz w:val="24"/>
                <w:szCs w:val="24"/>
              </w:rPr>
              <w:t>Pancreatitis</w:t>
            </w:r>
            <w:proofErr w:type="spellEnd"/>
            <w:r w:rsidRPr="00170E07">
              <w:rPr>
                <w:sz w:val="24"/>
                <w:szCs w:val="24"/>
              </w:rPr>
              <w:t>.</w:t>
            </w:r>
          </w:p>
          <w:p w:rsidR="00B6243E" w:rsidRPr="00170E07" w:rsidRDefault="00B6243E" w:rsidP="009F1E0D">
            <w:pPr>
              <w:autoSpaceDE w:val="0"/>
              <w:autoSpaceDN w:val="0"/>
              <w:adjustRightInd w:val="0"/>
              <w:ind w:left="34"/>
              <w:rPr>
                <w:sz w:val="24"/>
                <w:szCs w:val="24"/>
              </w:rPr>
            </w:pPr>
          </w:p>
        </w:tc>
      </w:tr>
      <w:tr w:rsidR="0026004E" w:rsidRPr="00170E07" w:rsidTr="0052447D">
        <w:tc>
          <w:tcPr>
            <w:tcW w:w="1984" w:type="dxa"/>
            <w:shd w:val="clear" w:color="auto" w:fill="auto"/>
          </w:tcPr>
          <w:p w:rsidR="0026004E" w:rsidRPr="00170E07" w:rsidRDefault="0026004E" w:rsidP="009F1E0D">
            <w:pPr>
              <w:autoSpaceDE w:val="0"/>
              <w:autoSpaceDN w:val="0"/>
              <w:adjustRightInd w:val="0"/>
              <w:rPr>
                <w:b/>
                <w:sz w:val="24"/>
                <w:szCs w:val="24"/>
              </w:rPr>
            </w:pPr>
            <w:r>
              <w:rPr>
                <w:b/>
                <w:sz w:val="24"/>
                <w:szCs w:val="24"/>
              </w:rPr>
              <w:t>Hud og subkutane væv</w:t>
            </w:r>
          </w:p>
        </w:tc>
        <w:tc>
          <w:tcPr>
            <w:tcW w:w="6804" w:type="dxa"/>
            <w:shd w:val="clear" w:color="auto" w:fill="auto"/>
          </w:tcPr>
          <w:p w:rsidR="0026004E" w:rsidRPr="008F1881" w:rsidRDefault="0026004E" w:rsidP="0026004E">
            <w:pPr>
              <w:tabs>
                <w:tab w:val="left" w:pos="0"/>
              </w:tabs>
              <w:autoSpaceDE w:val="0"/>
              <w:autoSpaceDN w:val="0"/>
              <w:adjustRightInd w:val="0"/>
              <w:ind w:left="34"/>
              <w:rPr>
                <w:sz w:val="24"/>
                <w:szCs w:val="24"/>
              </w:rPr>
            </w:pPr>
            <w:r>
              <w:rPr>
                <w:b/>
                <w:sz w:val="24"/>
                <w:szCs w:val="24"/>
              </w:rPr>
              <w:t>Ikke kendt</w:t>
            </w:r>
            <w:r>
              <w:rPr>
                <w:b/>
                <w:sz w:val="24"/>
                <w:szCs w:val="24"/>
              </w:rPr>
              <w:br/>
            </w:r>
            <w:proofErr w:type="spellStart"/>
            <w:r>
              <w:rPr>
                <w:bCs/>
                <w:sz w:val="24"/>
                <w:szCs w:val="24"/>
              </w:rPr>
              <w:t>Hyperpigmentering</w:t>
            </w:r>
            <w:proofErr w:type="spellEnd"/>
            <w:r>
              <w:rPr>
                <w:bCs/>
                <w:sz w:val="24"/>
                <w:szCs w:val="24"/>
              </w:rPr>
              <w:t xml:space="preserve"> af huden (serpentine </w:t>
            </w:r>
            <w:proofErr w:type="spellStart"/>
            <w:r>
              <w:rPr>
                <w:bCs/>
                <w:sz w:val="24"/>
                <w:szCs w:val="24"/>
              </w:rPr>
              <w:t>supravenous</w:t>
            </w:r>
            <w:proofErr w:type="spellEnd"/>
            <w:r>
              <w:rPr>
                <w:bCs/>
                <w:sz w:val="24"/>
                <w:szCs w:val="24"/>
              </w:rPr>
              <w:t xml:space="preserve"> </w:t>
            </w:r>
            <w:proofErr w:type="spellStart"/>
            <w:r>
              <w:rPr>
                <w:bCs/>
                <w:sz w:val="24"/>
                <w:szCs w:val="24"/>
              </w:rPr>
              <w:t>hyperpigmentation</w:t>
            </w:r>
            <w:proofErr w:type="spellEnd"/>
            <w:r>
              <w:rPr>
                <w:bCs/>
                <w:sz w:val="24"/>
                <w:szCs w:val="24"/>
              </w:rPr>
              <w:t>).</w:t>
            </w:r>
            <w:r>
              <w:rPr>
                <w:b/>
                <w:sz w:val="24"/>
                <w:szCs w:val="24"/>
              </w:rPr>
              <w:t xml:space="preserve"> </w:t>
            </w:r>
          </w:p>
          <w:p w:rsidR="0026004E" w:rsidRPr="00170E07" w:rsidRDefault="0026004E" w:rsidP="009F1E0D">
            <w:pPr>
              <w:tabs>
                <w:tab w:val="left" w:pos="0"/>
              </w:tabs>
              <w:autoSpaceDE w:val="0"/>
              <w:autoSpaceDN w:val="0"/>
              <w:adjustRightInd w:val="0"/>
              <w:ind w:left="34"/>
              <w:rPr>
                <w:b/>
                <w:sz w:val="24"/>
                <w:szCs w:val="24"/>
              </w:rPr>
            </w:pPr>
          </w:p>
        </w:tc>
      </w:tr>
    </w:tbl>
    <w:p w:rsidR="00B6243E" w:rsidRPr="00170E07" w:rsidRDefault="00B6243E" w:rsidP="00B6243E">
      <w:pPr>
        <w:ind w:left="851"/>
        <w:rPr>
          <w:bCs/>
          <w:sz w:val="24"/>
          <w:szCs w:val="24"/>
        </w:rPr>
      </w:pPr>
    </w:p>
    <w:p w:rsidR="00B6243E" w:rsidRPr="008F49E1" w:rsidRDefault="00B6243E" w:rsidP="00B6243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6243E" w:rsidRPr="008F49E1" w:rsidRDefault="00B6243E" w:rsidP="00B6243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6004E">
        <w:rPr>
          <w:sz w:val="24"/>
          <w:szCs w:val="24"/>
          <w:lang w:eastAsia="da-DK"/>
        </w:rPr>
        <w:t>S</w:t>
      </w:r>
      <w:r w:rsidRPr="008F49E1">
        <w:rPr>
          <w:sz w:val="24"/>
          <w:szCs w:val="24"/>
          <w:lang w:eastAsia="da-DK"/>
        </w:rPr>
        <w:t>undhedsperson</w:t>
      </w:r>
      <w:r w:rsidR="0026004E">
        <w:rPr>
          <w:sz w:val="24"/>
          <w:szCs w:val="24"/>
          <w:lang w:eastAsia="da-DK"/>
        </w:rPr>
        <w:t xml:space="preserve">er </w:t>
      </w:r>
      <w:r w:rsidRPr="008F49E1">
        <w:rPr>
          <w:sz w:val="24"/>
          <w:szCs w:val="24"/>
          <w:lang w:eastAsia="da-DK"/>
        </w:rPr>
        <w:t>anmodes om at indberette alle formodede bivirkninger via:</w:t>
      </w:r>
    </w:p>
    <w:p w:rsidR="00B6243E" w:rsidRPr="008F49E1" w:rsidRDefault="00B6243E" w:rsidP="00B6243E">
      <w:pPr>
        <w:ind w:left="851"/>
        <w:rPr>
          <w:sz w:val="24"/>
          <w:szCs w:val="24"/>
          <w:lang w:eastAsia="da-DK"/>
        </w:rPr>
      </w:pPr>
    </w:p>
    <w:p w:rsidR="00B6243E" w:rsidRPr="007A276A" w:rsidRDefault="00B6243E" w:rsidP="00B6243E">
      <w:pPr>
        <w:ind w:left="851"/>
        <w:rPr>
          <w:sz w:val="24"/>
          <w:szCs w:val="24"/>
          <w:lang w:eastAsia="da-DK"/>
        </w:rPr>
      </w:pPr>
      <w:r w:rsidRPr="007A276A">
        <w:rPr>
          <w:sz w:val="24"/>
          <w:szCs w:val="24"/>
          <w:lang w:eastAsia="da-DK"/>
        </w:rPr>
        <w:t>Lægemiddelstyrelsen</w:t>
      </w:r>
    </w:p>
    <w:p w:rsidR="00B6243E" w:rsidRPr="007A276A" w:rsidRDefault="00B6243E" w:rsidP="00B6243E">
      <w:pPr>
        <w:ind w:left="851"/>
        <w:rPr>
          <w:sz w:val="24"/>
          <w:szCs w:val="24"/>
          <w:lang w:eastAsia="da-DK"/>
        </w:rPr>
      </w:pPr>
      <w:r w:rsidRPr="007A276A">
        <w:rPr>
          <w:sz w:val="24"/>
          <w:szCs w:val="24"/>
          <w:lang w:eastAsia="da-DK"/>
        </w:rPr>
        <w:t>Axel Heides Gade 1</w:t>
      </w:r>
    </w:p>
    <w:p w:rsidR="00B6243E" w:rsidRPr="007A276A" w:rsidRDefault="00B6243E" w:rsidP="00B6243E">
      <w:pPr>
        <w:ind w:left="851"/>
        <w:rPr>
          <w:sz w:val="24"/>
          <w:szCs w:val="24"/>
          <w:lang w:eastAsia="da-DK"/>
        </w:rPr>
      </w:pPr>
      <w:r w:rsidRPr="007A276A">
        <w:rPr>
          <w:sz w:val="24"/>
          <w:szCs w:val="24"/>
          <w:lang w:eastAsia="da-DK"/>
        </w:rPr>
        <w:t>DK-2300 København S</w:t>
      </w:r>
    </w:p>
    <w:p w:rsidR="00B6243E" w:rsidRPr="00385D4B" w:rsidRDefault="00B6243E" w:rsidP="00B6243E">
      <w:pPr>
        <w:ind w:left="851"/>
        <w:rPr>
          <w:sz w:val="24"/>
          <w:szCs w:val="24"/>
          <w:lang w:eastAsia="da-DK"/>
        </w:rPr>
      </w:pPr>
      <w:r w:rsidRPr="00385D4B">
        <w:rPr>
          <w:sz w:val="24"/>
          <w:szCs w:val="24"/>
          <w:lang w:eastAsia="da-DK"/>
        </w:rPr>
        <w:t xml:space="preserve">Websted: </w:t>
      </w:r>
      <w:r w:rsidRPr="00385D4B">
        <w:rPr>
          <w:sz w:val="24"/>
          <w:lang w:eastAsia="da-DK"/>
        </w:rPr>
        <w:t>www.meldenbivirkning.dk</w:t>
      </w:r>
    </w:p>
    <w:p w:rsidR="00B6243E" w:rsidRPr="00385D4B" w:rsidRDefault="00B6243E" w:rsidP="00B6243E">
      <w:pPr>
        <w:pStyle w:val="Sidehoved"/>
        <w:tabs>
          <w:tab w:val="left" w:pos="851"/>
        </w:tabs>
        <w:ind w:left="851"/>
        <w:rPr>
          <w:szCs w:val="24"/>
        </w:rPr>
      </w:pPr>
    </w:p>
    <w:p w:rsidR="00B6243E" w:rsidRPr="00385D4B" w:rsidRDefault="00B6243E" w:rsidP="00B6243E">
      <w:pPr>
        <w:tabs>
          <w:tab w:val="left" w:pos="851"/>
        </w:tabs>
        <w:ind w:left="851" w:hanging="851"/>
        <w:rPr>
          <w:b/>
          <w:sz w:val="24"/>
          <w:szCs w:val="24"/>
        </w:rPr>
      </w:pPr>
      <w:r w:rsidRPr="00385D4B">
        <w:rPr>
          <w:b/>
          <w:sz w:val="24"/>
          <w:szCs w:val="24"/>
        </w:rPr>
        <w:t>4.9</w:t>
      </w:r>
      <w:r w:rsidRPr="00385D4B">
        <w:rPr>
          <w:b/>
          <w:sz w:val="24"/>
          <w:szCs w:val="24"/>
        </w:rPr>
        <w:tab/>
        <w:t>Overdosering</w:t>
      </w:r>
    </w:p>
    <w:p w:rsidR="00B6243E" w:rsidRPr="00385D4B" w:rsidRDefault="00B6243E" w:rsidP="00B6243E">
      <w:pPr>
        <w:tabs>
          <w:tab w:val="left" w:pos="0"/>
          <w:tab w:val="left" w:pos="851"/>
        </w:tabs>
        <w:autoSpaceDE w:val="0"/>
        <w:autoSpaceDN w:val="0"/>
        <w:adjustRightInd w:val="0"/>
        <w:ind w:left="851"/>
        <w:rPr>
          <w:i/>
          <w:sz w:val="24"/>
          <w:szCs w:val="24"/>
        </w:rPr>
      </w:pPr>
    </w:p>
    <w:p w:rsidR="00B6243E" w:rsidRPr="00385D4B" w:rsidRDefault="00B6243E" w:rsidP="00B6243E">
      <w:pPr>
        <w:tabs>
          <w:tab w:val="left" w:pos="0"/>
          <w:tab w:val="left" w:pos="851"/>
        </w:tabs>
        <w:autoSpaceDE w:val="0"/>
        <w:autoSpaceDN w:val="0"/>
        <w:adjustRightInd w:val="0"/>
        <w:ind w:left="851"/>
        <w:rPr>
          <w:sz w:val="24"/>
          <w:szCs w:val="24"/>
          <w:u w:val="single"/>
        </w:rPr>
      </w:pPr>
      <w:r w:rsidRPr="00385D4B">
        <w:rPr>
          <w:sz w:val="24"/>
          <w:szCs w:val="24"/>
          <w:u w:val="single"/>
        </w:rPr>
        <w:t>Symptomer</w:t>
      </w:r>
    </w:p>
    <w:p w:rsidR="00B6243E" w:rsidRPr="00FF2417" w:rsidRDefault="00B6243E" w:rsidP="00B6243E">
      <w:pPr>
        <w:tabs>
          <w:tab w:val="left" w:pos="0"/>
          <w:tab w:val="left" w:pos="851"/>
        </w:tabs>
        <w:autoSpaceDE w:val="0"/>
        <w:autoSpaceDN w:val="0"/>
        <w:adjustRightInd w:val="0"/>
        <w:ind w:left="851"/>
        <w:rPr>
          <w:sz w:val="24"/>
          <w:szCs w:val="24"/>
        </w:rPr>
      </w:pPr>
      <w:r w:rsidRPr="00FF2417">
        <w:rPr>
          <w:sz w:val="24"/>
          <w:szCs w:val="24"/>
        </w:rPr>
        <w:t xml:space="preserve">Overdosering kan medføre </w:t>
      </w:r>
      <w:proofErr w:type="spellStart"/>
      <w:r w:rsidRPr="00FF2417">
        <w:rPr>
          <w:sz w:val="24"/>
          <w:szCs w:val="24"/>
        </w:rPr>
        <w:t>knoglemarvshypoplasi</w:t>
      </w:r>
      <w:proofErr w:type="spellEnd"/>
      <w:r w:rsidRPr="00FF2417">
        <w:rPr>
          <w:sz w:val="24"/>
          <w:szCs w:val="24"/>
        </w:rPr>
        <w:t xml:space="preserve"> og er sommetider forbundet med infektion, feber, paralytisk </w:t>
      </w:r>
      <w:proofErr w:type="spellStart"/>
      <w:r w:rsidRPr="00FF2417">
        <w:rPr>
          <w:sz w:val="24"/>
          <w:szCs w:val="24"/>
        </w:rPr>
        <w:t>ileus</w:t>
      </w:r>
      <w:proofErr w:type="spellEnd"/>
      <w:r w:rsidRPr="00FF2417">
        <w:rPr>
          <w:sz w:val="24"/>
          <w:szCs w:val="24"/>
        </w:rPr>
        <w:t xml:space="preserve"> og leversygdomme. </w:t>
      </w:r>
    </w:p>
    <w:p w:rsidR="00B6243E" w:rsidRPr="00FF2417" w:rsidRDefault="00B6243E" w:rsidP="00B6243E">
      <w:pPr>
        <w:tabs>
          <w:tab w:val="left" w:pos="0"/>
          <w:tab w:val="left" w:pos="851"/>
        </w:tabs>
        <w:autoSpaceDE w:val="0"/>
        <w:autoSpaceDN w:val="0"/>
        <w:adjustRightInd w:val="0"/>
        <w:ind w:left="851"/>
        <w:rPr>
          <w:sz w:val="24"/>
          <w:szCs w:val="24"/>
        </w:rPr>
      </w:pPr>
    </w:p>
    <w:p w:rsidR="00B6243E" w:rsidRPr="00762B83" w:rsidRDefault="00B6243E" w:rsidP="00B6243E">
      <w:pPr>
        <w:tabs>
          <w:tab w:val="left" w:pos="0"/>
          <w:tab w:val="left" w:pos="851"/>
        </w:tabs>
        <w:autoSpaceDE w:val="0"/>
        <w:autoSpaceDN w:val="0"/>
        <w:adjustRightInd w:val="0"/>
        <w:ind w:left="851"/>
        <w:rPr>
          <w:sz w:val="24"/>
          <w:szCs w:val="24"/>
          <w:u w:val="single"/>
        </w:rPr>
      </w:pPr>
      <w:r w:rsidRPr="00762B83">
        <w:rPr>
          <w:sz w:val="24"/>
          <w:szCs w:val="24"/>
          <w:u w:val="single"/>
        </w:rPr>
        <w:t>Behandling</w:t>
      </w:r>
    </w:p>
    <w:p w:rsidR="00B6243E" w:rsidRPr="00FF2417" w:rsidRDefault="00B6243E" w:rsidP="00B6243E">
      <w:pPr>
        <w:tabs>
          <w:tab w:val="left" w:pos="0"/>
          <w:tab w:val="left" w:pos="851"/>
        </w:tabs>
        <w:autoSpaceDE w:val="0"/>
        <w:autoSpaceDN w:val="0"/>
        <w:adjustRightInd w:val="0"/>
        <w:ind w:left="851"/>
        <w:rPr>
          <w:sz w:val="24"/>
          <w:szCs w:val="24"/>
        </w:rPr>
      </w:pPr>
      <w:r w:rsidRPr="00FF2417">
        <w:rPr>
          <w:sz w:val="24"/>
          <w:szCs w:val="24"/>
        </w:rPr>
        <w:t xml:space="preserve">Der indledes generelt understøttende behandling samt blodtransfusion og </w:t>
      </w:r>
      <w:proofErr w:type="spellStart"/>
      <w:r w:rsidRPr="00FF2417">
        <w:rPr>
          <w:sz w:val="24"/>
          <w:szCs w:val="24"/>
        </w:rPr>
        <w:t>bredsprektret</w:t>
      </w:r>
      <w:proofErr w:type="spellEnd"/>
      <w:r w:rsidRPr="00FF2417">
        <w:rPr>
          <w:sz w:val="24"/>
          <w:szCs w:val="24"/>
        </w:rPr>
        <w:t xml:space="preserve"> antibiotikabehandling efter lægens skøn. Der findes ingen kendt modgift. En nøje overvågning af leverfunktionen anbefales.</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4.10</w:t>
      </w:r>
      <w:r w:rsidRPr="00C84483">
        <w:rPr>
          <w:b/>
          <w:sz w:val="24"/>
          <w:szCs w:val="24"/>
        </w:rPr>
        <w:tab/>
        <w:t>Udlevering</w:t>
      </w:r>
    </w:p>
    <w:p w:rsidR="00B6243E" w:rsidRPr="00C84483" w:rsidRDefault="00B6243E" w:rsidP="00B6243E">
      <w:pPr>
        <w:tabs>
          <w:tab w:val="left" w:pos="851"/>
        </w:tabs>
        <w:ind w:left="851"/>
        <w:rPr>
          <w:sz w:val="24"/>
          <w:szCs w:val="24"/>
        </w:rPr>
      </w:pPr>
      <w:r>
        <w:rPr>
          <w:sz w:val="24"/>
          <w:szCs w:val="24"/>
        </w:rPr>
        <w:t>B</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F1881" w:rsidRPr="00C84483" w:rsidRDefault="008F1881" w:rsidP="008F1881">
      <w:pPr>
        <w:tabs>
          <w:tab w:val="left" w:pos="851"/>
        </w:tabs>
        <w:ind w:left="851"/>
        <w:rPr>
          <w:sz w:val="24"/>
          <w:szCs w:val="24"/>
        </w:rPr>
      </w:pPr>
    </w:p>
    <w:p w:rsidR="008F1881" w:rsidRPr="00C84483" w:rsidRDefault="008F1881" w:rsidP="008F188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F1881" w:rsidRDefault="008F1881" w:rsidP="008F1881">
      <w:pPr>
        <w:tabs>
          <w:tab w:val="left" w:pos="0"/>
          <w:tab w:val="left" w:pos="851"/>
        </w:tabs>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2C13C3">
        <w:rPr>
          <w:sz w:val="24"/>
          <w:szCs w:val="24"/>
        </w:rPr>
        <w:t>Antineoplastiske</w:t>
      </w:r>
      <w:proofErr w:type="spellEnd"/>
      <w:r w:rsidRPr="002C13C3">
        <w:rPr>
          <w:sz w:val="24"/>
          <w:szCs w:val="24"/>
        </w:rPr>
        <w:t xml:space="preserve"> stoffe</w:t>
      </w:r>
      <w:r>
        <w:rPr>
          <w:sz w:val="24"/>
          <w:szCs w:val="24"/>
        </w:rPr>
        <w:t xml:space="preserve">r, vincaalkaloider og </w:t>
      </w:r>
      <w:proofErr w:type="spellStart"/>
      <w:r>
        <w:rPr>
          <w:sz w:val="24"/>
          <w:szCs w:val="24"/>
        </w:rPr>
        <w:t>analoger</w:t>
      </w:r>
      <w:proofErr w:type="spellEnd"/>
      <w:r>
        <w:rPr>
          <w:sz w:val="24"/>
          <w:szCs w:val="24"/>
        </w:rPr>
        <w:t xml:space="preserve">, </w:t>
      </w:r>
      <w:r w:rsidRPr="002C13C3">
        <w:rPr>
          <w:sz w:val="24"/>
          <w:szCs w:val="24"/>
        </w:rPr>
        <w:t>ATC-kode: L01CA04</w:t>
      </w:r>
      <w:r>
        <w:rPr>
          <w:sz w:val="24"/>
          <w:szCs w:val="24"/>
        </w:rPr>
        <w:t>.</w:t>
      </w:r>
    </w:p>
    <w:p w:rsidR="008F1881" w:rsidRDefault="008F1881" w:rsidP="00B6243E">
      <w:pPr>
        <w:tabs>
          <w:tab w:val="left" w:pos="0"/>
          <w:tab w:val="left" w:pos="851"/>
        </w:tabs>
        <w:autoSpaceDE w:val="0"/>
        <w:autoSpaceDN w:val="0"/>
        <w:adjustRightInd w:val="0"/>
        <w:ind w:left="851"/>
        <w:rPr>
          <w:sz w:val="24"/>
          <w:szCs w:val="24"/>
        </w:rPr>
      </w:pPr>
    </w:p>
    <w:p w:rsidR="00B6243E" w:rsidRPr="00FF2417" w:rsidRDefault="00B6243E" w:rsidP="00B6243E">
      <w:pPr>
        <w:tabs>
          <w:tab w:val="left" w:pos="0"/>
          <w:tab w:val="left" w:pos="851"/>
        </w:tabs>
        <w:autoSpaceDE w:val="0"/>
        <w:autoSpaceDN w:val="0"/>
        <w:adjustRightInd w:val="0"/>
        <w:ind w:left="851"/>
        <w:rPr>
          <w:sz w:val="24"/>
          <w:szCs w:val="24"/>
        </w:rPr>
      </w:pPr>
      <w:proofErr w:type="spellStart"/>
      <w:r w:rsidRPr="00FF2417">
        <w:rPr>
          <w:sz w:val="24"/>
          <w:szCs w:val="24"/>
        </w:rPr>
        <w:t>Vinorelbin</w:t>
      </w:r>
      <w:proofErr w:type="spellEnd"/>
      <w:r w:rsidRPr="00FF2417">
        <w:rPr>
          <w:sz w:val="24"/>
          <w:szCs w:val="24"/>
        </w:rPr>
        <w:t xml:space="preserve"> er et </w:t>
      </w:r>
      <w:proofErr w:type="spellStart"/>
      <w:r w:rsidRPr="00FF2417">
        <w:rPr>
          <w:sz w:val="24"/>
          <w:szCs w:val="24"/>
        </w:rPr>
        <w:t>antineoplastisk</w:t>
      </w:r>
      <w:proofErr w:type="spellEnd"/>
      <w:r w:rsidRPr="00FF2417">
        <w:rPr>
          <w:sz w:val="24"/>
          <w:szCs w:val="24"/>
        </w:rPr>
        <w:t xml:space="preserve"> </w:t>
      </w:r>
      <w:proofErr w:type="spellStart"/>
      <w:r w:rsidRPr="00FF2417">
        <w:rPr>
          <w:sz w:val="24"/>
          <w:szCs w:val="24"/>
        </w:rPr>
        <w:t>cytostatikum</w:t>
      </w:r>
      <w:proofErr w:type="spellEnd"/>
      <w:r w:rsidRPr="00FF2417">
        <w:rPr>
          <w:sz w:val="24"/>
          <w:szCs w:val="24"/>
        </w:rPr>
        <w:t xml:space="preserve"> af familien vincaalkaloider, men til forskel fra alle andre vincaalkaloider har </w:t>
      </w:r>
      <w:proofErr w:type="spellStart"/>
      <w:r w:rsidRPr="00FF2417">
        <w:rPr>
          <w:sz w:val="24"/>
          <w:szCs w:val="24"/>
        </w:rPr>
        <w:t>vinorelbin</w:t>
      </w:r>
      <w:proofErr w:type="spellEnd"/>
      <w:r w:rsidRPr="00FF2417">
        <w:rPr>
          <w:sz w:val="24"/>
          <w:szCs w:val="24"/>
        </w:rPr>
        <w:t xml:space="preserve"> undergået en strukturel ændring af </w:t>
      </w:r>
      <w:proofErr w:type="spellStart"/>
      <w:r w:rsidRPr="00FF2417">
        <w:rPr>
          <w:sz w:val="24"/>
          <w:szCs w:val="24"/>
        </w:rPr>
        <w:t>catharanthus</w:t>
      </w:r>
      <w:proofErr w:type="spellEnd"/>
      <w:r w:rsidRPr="00FF2417">
        <w:rPr>
          <w:sz w:val="24"/>
          <w:szCs w:val="24"/>
        </w:rPr>
        <w:t xml:space="preserve">-delen. På det molekylære plan indvirker det på cellens </w:t>
      </w:r>
      <w:proofErr w:type="spellStart"/>
      <w:r w:rsidRPr="00FF2417">
        <w:rPr>
          <w:sz w:val="24"/>
          <w:szCs w:val="24"/>
        </w:rPr>
        <w:t>mikrotubulære</w:t>
      </w:r>
      <w:proofErr w:type="spellEnd"/>
      <w:r w:rsidRPr="00FF2417">
        <w:rPr>
          <w:sz w:val="24"/>
          <w:szCs w:val="24"/>
        </w:rPr>
        <w:t xml:space="preserve"> system. Det hæmmer polymeriseringen af </w:t>
      </w:r>
      <w:proofErr w:type="spellStart"/>
      <w:r w:rsidRPr="00FF2417">
        <w:rPr>
          <w:sz w:val="24"/>
          <w:szCs w:val="24"/>
        </w:rPr>
        <w:t>tubuli</w:t>
      </w:r>
      <w:proofErr w:type="spellEnd"/>
      <w:r w:rsidRPr="00FF2417">
        <w:rPr>
          <w:sz w:val="24"/>
          <w:szCs w:val="24"/>
        </w:rPr>
        <w:t xml:space="preserve"> og binder fortrinsvist til </w:t>
      </w:r>
      <w:proofErr w:type="spellStart"/>
      <w:r w:rsidRPr="00FF2417">
        <w:rPr>
          <w:sz w:val="24"/>
          <w:szCs w:val="24"/>
        </w:rPr>
        <w:t>miotiske</w:t>
      </w:r>
      <w:proofErr w:type="spellEnd"/>
      <w:r w:rsidRPr="00FF2417">
        <w:rPr>
          <w:sz w:val="24"/>
          <w:szCs w:val="24"/>
        </w:rPr>
        <w:t xml:space="preserve"> </w:t>
      </w:r>
      <w:proofErr w:type="spellStart"/>
      <w:r w:rsidRPr="00FF2417">
        <w:rPr>
          <w:sz w:val="24"/>
          <w:szCs w:val="24"/>
        </w:rPr>
        <w:t>mikrotubuli</w:t>
      </w:r>
      <w:proofErr w:type="spellEnd"/>
      <w:r w:rsidRPr="00FF2417">
        <w:rPr>
          <w:sz w:val="24"/>
          <w:szCs w:val="24"/>
        </w:rPr>
        <w:t xml:space="preserve">, og påvirker kun </w:t>
      </w:r>
      <w:proofErr w:type="spellStart"/>
      <w:r w:rsidRPr="00FF2417">
        <w:rPr>
          <w:sz w:val="24"/>
          <w:szCs w:val="24"/>
        </w:rPr>
        <w:t>aksonale</w:t>
      </w:r>
      <w:proofErr w:type="spellEnd"/>
      <w:r w:rsidRPr="00FF2417">
        <w:rPr>
          <w:sz w:val="24"/>
          <w:szCs w:val="24"/>
        </w:rPr>
        <w:t xml:space="preserve"> </w:t>
      </w:r>
      <w:proofErr w:type="spellStart"/>
      <w:r w:rsidRPr="00FF2417">
        <w:rPr>
          <w:sz w:val="24"/>
          <w:szCs w:val="24"/>
        </w:rPr>
        <w:t>mikrotubuli</w:t>
      </w:r>
      <w:proofErr w:type="spellEnd"/>
      <w:r w:rsidRPr="00FF2417">
        <w:rPr>
          <w:sz w:val="24"/>
          <w:szCs w:val="24"/>
        </w:rPr>
        <w:t xml:space="preserve"> ved høje koncentrationer. Induktion af </w:t>
      </w:r>
      <w:proofErr w:type="spellStart"/>
      <w:r w:rsidRPr="00FF2417">
        <w:rPr>
          <w:sz w:val="24"/>
          <w:szCs w:val="24"/>
        </w:rPr>
        <w:t>spiralisering</w:t>
      </w:r>
      <w:proofErr w:type="spellEnd"/>
      <w:r w:rsidRPr="00FF2417">
        <w:rPr>
          <w:sz w:val="24"/>
          <w:szCs w:val="24"/>
        </w:rPr>
        <w:t xml:space="preserve"> af </w:t>
      </w:r>
      <w:proofErr w:type="spellStart"/>
      <w:r w:rsidRPr="00FF2417">
        <w:rPr>
          <w:sz w:val="24"/>
          <w:szCs w:val="24"/>
        </w:rPr>
        <w:t>tubulin</w:t>
      </w:r>
      <w:proofErr w:type="spellEnd"/>
      <w:r w:rsidRPr="00FF2417">
        <w:rPr>
          <w:sz w:val="24"/>
          <w:szCs w:val="24"/>
        </w:rPr>
        <w:t xml:space="preserve"> er mindre end for </w:t>
      </w:r>
      <w:proofErr w:type="spellStart"/>
      <w:r w:rsidRPr="00FF2417">
        <w:rPr>
          <w:sz w:val="24"/>
          <w:szCs w:val="24"/>
        </w:rPr>
        <w:t>vinkristin</w:t>
      </w:r>
      <w:proofErr w:type="spellEnd"/>
      <w:r w:rsidRPr="00FF2417">
        <w:rPr>
          <w:sz w:val="24"/>
          <w:szCs w:val="24"/>
        </w:rPr>
        <w:t xml:space="preserve">. </w:t>
      </w:r>
      <w:proofErr w:type="spellStart"/>
      <w:r w:rsidRPr="00FF2417">
        <w:rPr>
          <w:sz w:val="24"/>
          <w:szCs w:val="24"/>
        </w:rPr>
        <w:t>Vinorelbin</w:t>
      </w:r>
      <w:proofErr w:type="spellEnd"/>
      <w:r w:rsidRPr="00FF2417">
        <w:rPr>
          <w:sz w:val="24"/>
          <w:szCs w:val="24"/>
        </w:rPr>
        <w:t xml:space="preserve"> blokerer mitose ved G2-M, hvorved det fremkalder </w:t>
      </w:r>
      <w:proofErr w:type="spellStart"/>
      <w:r w:rsidRPr="00FF2417">
        <w:rPr>
          <w:sz w:val="24"/>
          <w:szCs w:val="24"/>
        </w:rPr>
        <w:t>celledød</w:t>
      </w:r>
      <w:proofErr w:type="spellEnd"/>
      <w:r w:rsidRPr="00FF2417">
        <w:rPr>
          <w:sz w:val="24"/>
          <w:szCs w:val="24"/>
        </w:rPr>
        <w:t xml:space="preserve"> i </w:t>
      </w:r>
      <w:proofErr w:type="spellStart"/>
      <w:r w:rsidRPr="00FF2417">
        <w:rPr>
          <w:sz w:val="24"/>
          <w:szCs w:val="24"/>
        </w:rPr>
        <w:t>interfasen</w:t>
      </w:r>
      <w:proofErr w:type="spellEnd"/>
      <w:r w:rsidRPr="00FF2417">
        <w:rPr>
          <w:sz w:val="24"/>
          <w:szCs w:val="24"/>
        </w:rPr>
        <w:t xml:space="preserve"> eller ved den efterfølgende mitose.</w:t>
      </w:r>
    </w:p>
    <w:p w:rsidR="00B6243E" w:rsidRPr="00FF2417" w:rsidRDefault="00B6243E" w:rsidP="00B6243E">
      <w:pPr>
        <w:tabs>
          <w:tab w:val="left" w:pos="0"/>
          <w:tab w:val="left" w:pos="851"/>
        </w:tabs>
        <w:autoSpaceDE w:val="0"/>
        <w:autoSpaceDN w:val="0"/>
        <w:adjustRightInd w:val="0"/>
        <w:ind w:left="851"/>
        <w:rPr>
          <w:sz w:val="24"/>
          <w:szCs w:val="24"/>
        </w:rPr>
      </w:pPr>
    </w:p>
    <w:p w:rsidR="00B6243E" w:rsidRPr="00C84483" w:rsidRDefault="00B6243E" w:rsidP="00B6243E">
      <w:pPr>
        <w:tabs>
          <w:tab w:val="left" w:pos="0"/>
          <w:tab w:val="left" w:pos="851"/>
        </w:tabs>
        <w:autoSpaceDE w:val="0"/>
        <w:autoSpaceDN w:val="0"/>
        <w:adjustRightInd w:val="0"/>
        <w:ind w:left="851"/>
        <w:rPr>
          <w:sz w:val="24"/>
          <w:szCs w:val="24"/>
        </w:rPr>
      </w:pPr>
      <w:r w:rsidRPr="00FF2417">
        <w:rPr>
          <w:sz w:val="24"/>
          <w:szCs w:val="24"/>
        </w:rPr>
        <w:t xml:space="preserve">Sikkerheden og effekten af </w:t>
      </w:r>
      <w:proofErr w:type="spellStart"/>
      <w:r w:rsidRPr="00FF2417">
        <w:rPr>
          <w:sz w:val="24"/>
          <w:szCs w:val="24"/>
        </w:rPr>
        <w:t>vinorelbin</w:t>
      </w:r>
      <w:proofErr w:type="spellEnd"/>
      <w:r w:rsidRPr="00FF2417">
        <w:rPr>
          <w:sz w:val="24"/>
          <w:szCs w:val="24"/>
        </w:rPr>
        <w:t xml:space="preserve"> hos børn er ikke fastlagt. Kliniske data fra to enkeltgruppe fase II-forsøg, med intravenøs </w:t>
      </w:r>
      <w:proofErr w:type="spellStart"/>
      <w:r w:rsidRPr="00FF2417">
        <w:rPr>
          <w:sz w:val="24"/>
          <w:szCs w:val="24"/>
        </w:rPr>
        <w:t>vinorelbin</w:t>
      </w:r>
      <w:proofErr w:type="spellEnd"/>
      <w:r w:rsidRPr="00FF2417">
        <w:rPr>
          <w:sz w:val="24"/>
          <w:szCs w:val="24"/>
        </w:rPr>
        <w:t xml:space="preserve"> til 33 og 46 børn med recidiverende massive tumorer, herunder </w:t>
      </w:r>
      <w:proofErr w:type="spellStart"/>
      <w:r w:rsidRPr="00FF2417">
        <w:rPr>
          <w:sz w:val="24"/>
          <w:szCs w:val="24"/>
        </w:rPr>
        <w:t>rhabdomyosarkom</w:t>
      </w:r>
      <w:proofErr w:type="spellEnd"/>
      <w:r w:rsidRPr="00FF2417">
        <w:rPr>
          <w:sz w:val="24"/>
          <w:szCs w:val="24"/>
        </w:rPr>
        <w:t xml:space="preserve">, andre sarkomer i blødt væv, </w:t>
      </w:r>
      <w:proofErr w:type="spellStart"/>
      <w:r w:rsidRPr="00FF2417">
        <w:rPr>
          <w:sz w:val="24"/>
          <w:szCs w:val="24"/>
        </w:rPr>
        <w:t>Ewings</w:t>
      </w:r>
      <w:proofErr w:type="spellEnd"/>
      <w:r w:rsidRPr="00FF2417">
        <w:rPr>
          <w:sz w:val="24"/>
          <w:szCs w:val="24"/>
        </w:rPr>
        <w:t xml:space="preserve"> sarkom, </w:t>
      </w:r>
      <w:proofErr w:type="spellStart"/>
      <w:r w:rsidRPr="00FF2417">
        <w:rPr>
          <w:sz w:val="24"/>
          <w:szCs w:val="24"/>
        </w:rPr>
        <w:t>liposarkom</w:t>
      </w:r>
      <w:proofErr w:type="spellEnd"/>
      <w:r w:rsidRPr="00FF2417">
        <w:rPr>
          <w:sz w:val="24"/>
          <w:szCs w:val="24"/>
        </w:rPr>
        <w:t xml:space="preserve">, </w:t>
      </w:r>
      <w:proofErr w:type="spellStart"/>
      <w:r w:rsidRPr="00FF2417">
        <w:rPr>
          <w:sz w:val="24"/>
          <w:szCs w:val="24"/>
        </w:rPr>
        <w:t>synovialsarkom</w:t>
      </w:r>
      <w:proofErr w:type="spellEnd"/>
      <w:r w:rsidRPr="00FF2417">
        <w:rPr>
          <w:sz w:val="24"/>
          <w:szCs w:val="24"/>
        </w:rPr>
        <w:t xml:space="preserve">, </w:t>
      </w:r>
      <w:proofErr w:type="spellStart"/>
      <w:r w:rsidRPr="00FF2417">
        <w:rPr>
          <w:sz w:val="24"/>
          <w:szCs w:val="24"/>
        </w:rPr>
        <w:t>fibrosarkom</w:t>
      </w:r>
      <w:proofErr w:type="spellEnd"/>
      <w:r w:rsidRPr="00FF2417">
        <w:rPr>
          <w:sz w:val="24"/>
          <w:szCs w:val="24"/>
        </w:rPr>
        <w:t xml:space="preserve">, cancer i centralnervesystemet, osteosarkom, </w:t>
      </w:r>
      <w:proofErr w:type="spellStart"/>
      <w:r w:rsidRPr="00FF2417">
        <w:rPr>
          <w:sz w:val="24"/>
          <w:szCs w:val="24"/>
        </w:rPr>
        <w:t>neuroblastom</w:t>
      </w:r>
      <w:proofErr w:type="spellEnd"/>
      <w:r w:rsidRPr="00FF2417">
        <w:rPr>
          <w:sz w:val="24"/>
          <w:szCs w:val="24"/>
        </w:rPr>
        <w:t xml:space="preserve"> ved doser på 30 - 33,75 mg/m² D1 og D8 hver 3. uge eller én gang om ugen i 6 uger hver 8. uge viste ingen betydningsfuld klinisk aktivitet. Toksicitetsprofilen svarede til den, der blev rapporteret hos voksne patienter (se pkt. 4.2).</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6243E" w:rsidRPr="00BD1847" w:rsidRDefault="00B6243E" w:rsidP="00B6243E">
      <w:pPr>
        <w:tabs>
          <w:tab w:val="left" w:pos="0"/>
          <w:tab w:val="left" w:pos="851"/>
        </w:tabs>
        <w:autoSpaceDE w:val="0"/>
        <w:autoSpaceDN w:val="0"/>
        <w:adjustRightInd w:val="0"/>
        <w:ind w:left="851"/>
        <w:rPr>
          <w:sz w:val="24"/>
          <w:szCs w:val="24"/>
        </w:rPr>
      </w:pPr>
      <w:proofErr w:type="spellStart"/>
      <w:r w:rsidRPr="00BD1847">
        <w:rPr>
          <w:sz w:val="24"/>
          <w:szCs w:val="24"/>
        </w:rPr>
        <w:t>Vinorelbins</w:t>
      </w:r>
      <w:proofErr w:type="spellEnd"/>
      <w:r w:rsidRPr="00BD1847">
        <w:rPr>
          <w:sz w:val="24"/>
          <w:szCs w:val="24"/>
        </w:rPr>
        <w:t xml:space="preserve"> </w:t>
      </w:r>
      <w:proofErr w:type="spellStart"/>
      <w:r w:rsidRPr="00BD1847">
        <w:rPr>
          <w:sz w:val="24"/>
          <w:szCs w:val="24"/>
        </w:rPr>
        <w:t>farmakokinetiske</w:t>
      </w:r>
      <w:proofErr w:type="spellEnd"/>
      <w:r w:rsidRPr="00BD1847">
        <w:rPr>
          <w:sz w:val="24"/>
          <w:szCs w:val="24"/>
        </w:rPr>
        <w:t xml:space="preserve"> egenskaber er blevet evalueret i blod.</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sz w:val="24"/>
          <w:szCs w:val="24"/>
          <w:u w:val="single"/>
        </w:rPr>
      </w:pPr>
      <w:r w:rsidRPr="00BD1847">
        <w:rPr>
          <w:sz w:val="24"/>
          <w:szCs w:val="24"/>
          <w:u w:val="single"/>
        </w:rPr>
        <w:t>Absorption</w:t>
      </w:r>
    </w:p>
    <w:p w:rsidR="00B6243E" w:rsidRPr="00BD1847" w:rsidRDefault="00B6243E" w:rsidP="00B6243E">
      <w:pPr>
        <w:tabs>
          <w:tab w:val="left" w:pos="0"/>
          <w:tab w:val="left" w:pos="851"/>
        </w:tabs>
        <w:autoSpaceDE w:val="0"/>
        <w:autoSpaceDN w:val="0"/>
        <w:adjustRightInd w:val="0"/>
        <w:ind w:left="851"/>
        <w:rPr>
          <w:sz w:val="24"/>
          <w:szCs w:val="24"/>
        </w:rPr>
      </w:pPr>
      <w:r>
        <w:rPr>
          <w:sz w:val="24"/>
          <w:szCs w:val="24"/>
        </w:rPr>
        <w:t xml:space="preserve">Efter </w:t>
      </w:r>
      <w:r w:rsidRPr="00BD1847">
        <w:rPr>
          <w:sz w:val="24"/>
          <w:szCs w:val="24"/>
        </w:rPr>
        <w:t xml:space="preserve">oral indgift absorberes </w:t>
      </w:r>
      <w:proofErr w:type="spellStart"/>
      <w:r w:rsidRPr="00BD1847">
        <w:rPr>
          <w:sz w:val="24"/>
          <w:szCs w:val="24"/>
        </w:rPr>
        <w:t>vinorelbin</w:t>
      </w:r>
      <w:proofErr w:type="spellEnd"/>
      <w:r w:rsidRPr="00BD1847">
        <w:rPr>
          <w:sz w:val="24"/>
          <w:szCs w:val="24"/>
        </w:rPr>
        <w:t xml:space="preserve"> hurtigt, og </w:t>
      </w:r>
      <w:proofErr w:type="spellStart"/>
      <w:r w:rsidRPr="00BD1847">
        <w:rPr>
          <w:sz w:val="24"/>
          <w:szCs w:val="24"/>
        </w:rPr>
        <w:t>T</w:t>
      </w:r>
      <w:r w:rsidRPr="00BD1847">
        <w:rPr>
          <w:sz w:val="24"/>
          <w:szCs w:val="24"/>
          <w:vertAlign w:val="subscript"/>
        </w:rPr>
        <w:t>max</w:t>
      </w:r>
      <w:proofErr w:type="spellEnd"/>
      <w:r w:rsidRPr="00BD1847">
        <w:rPr>
          <w:sz w:val="24"/>
          <w:szCs w:val="24"/>
        </w:rPr>
        <w:t xml:space="preserve"> nås efter 1,5-3 timer med maksimal blodkoncentration (</w:t>
      </w:r>
      <w:proofErr w:type="spellStart"/>
      <w:r w:rsidRPr="00BD1847">
        <w:rPr>
          <w:sz w:val="24"/>
          <w:szCs w:val="24"/>
        </w:rPr>
        <w:t>C</w:t>
      </w:r>
      <w:r w:rsidRPr="00BD1847">
        <w:rPr>
          <w:sz w:val="24"/>
          <w:szCs w:val="24"/>
          <w:vertAlign w:val="subscript"/>
        </w:rPr>
        <w:t>max</w:t>
      </w:r>
      <w:proofErr w:type="spellEnd"/>
      <w:r w:rsidRPr="00BD1847">
        <w:rPr>
          <w:sz w:val="24"/>
          <w:szCs w:val="24"/>
        </w:rPr>
        <w:t xml:space="preserve">) på ca. 130 </w:t>
      </w:r>
      <w:proofErr w:type="spellStart"/>
      <w:r w:rsidRPr="00BD1847">
        <w:rPr>
          <w:sz w:val="24"/>
          <w:szCs w:val="24"/>
        </w:rPr>
        <w:t>ng</w:t>
      </w:r>
      <w:proofErr w:type="spellEnd"/>
      <w:r w:rsidRPr="00BD1847">
        <w:rPr>
          <w:sz w:val="24"/>
          <w:szCs w:val="24"/>
        </w:rPr>
        <w:t>/ml efter indgift af 80 mg/m</w:t>
      </w:r>
      <w:r w:rsidRPr="00BD1847">
        <w:rPr>
          <w:sz w:val="24"/>
          <w:szCs w:val="24"/>
          <w:vertAlign w:val="superscript"/>
        </w:rPr>
        <w:t>2</w:t>
      </w:r>
      <w:r w:rsidRPr="00BD1847">
        <w:rPr>
          <w:sz w:val="24"/>
          <w:szCs w:val="24"/>
        </w:rPr>
        <w:t>. Absolut biotilgængelighed er 40</w:t>
      </w:r>
      <w:r w:rsidR="00AB6BDA">
        <w:rPr>
          <w:sz w:val="24"/>
          <w:szCs w:val="24"/>
        </w:rPr>
        <w:t xml:space="preserve"> %</w:t>
      </w:r>
      <w:r w:rsidRPr="00BD1847">
        <w:rPr>
          <w:sz w:val="24"/>
          <w:szCs w:val="24"/>
        </w:rPr>
        <w:t xml:space="preserve">, og samtidig indtagelse af føde påvirker ikke eksponering for </w:t>
      </w:r>
      <w:proofErr w:type="spellStart"/>
      <w:r w:rsidRPr="00BD1847">
        <w:rPr>
          <w:sz w:val="24"/>
          <w:szCs w:val="24"/>
        </w:rPr>
        <w:t>vinorelbin</w:t>
      </w:r>
      <w:proofErr w:type="spellEnd"/>
      <w:r w:rsidRPr="00BD1847">
        <w:rPr>
          <w:sz w:val="24"/>
          <w:szCs w:val="24"/>
        </w:rPr>
        <w:t xml:space="preserve">. Orale doser </w:t>
      </w:r>
      <w:proofErr w:type="spellStart"/>
      <w:r w:rsidRPr="00BD1847">
        <w:rPr>
          <w:sz w:val="24"/>
          <w:szCs w:val="24"/>
        </w:rPr>
        <w:t>vinorelbin</w:t>
      </w:r>
      <w:proofErr w:type="spellEnd"/>
      <w:r w:rsidRPr="00BD1847">
        <w:rPr>
          <w:sz w:val="24"/>
          <w:szCs w:val="24"/>
        </w:rPr>
        <w:t xml:space="preserve"> på 60 og 80 mg/m</w:t>
      </w:r>
      <w:r w:rsidRPr="00BD1847">
        <w:rPr>
          <w:sz w:val="24"/>
          <w:szCs w:val="24"/>
          <w:vertAlign w:val="superscript"/>
        </w:rPr>
        <w:t>2</w:t>
      </w:r>
      <w:r w:rsidRPr="00BD1847">
        <w:rPr>
          <w:sz w:val="24"/>
          <w:szCs w:val="24"/>
        </w:rPr>
        <w:t xml:space="preserve"> medfører blodeksponering, der er sammenlignelig med niveauet efter intravenøs indgift af henholdsvis 25 og 30 mg/m</w:t>
      </w:r>
      <w:r w:rsidRPr="00BD1847">
        <w:rPr>
          <w:sz w:val="24"/>
          <w:szCs w:val="24"/>
          <w:vertAlign w:val="superscript"/>
        </w:rPr>
        <w:t>2</w:t>
      </w:r>
      <w:r w:rsidRPr="00BD1847">
        <w:rPr>
          <w:sz w:val="24"/>
          <w:szCs w:val="24"/>
        </w:rPr>
        <w:t xml:space="preserve">. Blodeksponering for </w:t>
      </w:r>
      <w:proofErr w:type="spellStart"/>
      <w:r w:rsidRPr="00BD1847">
        <w:rPr>
          <w:sz w:val="24"/>
          <w:szCs w:val="24"/>
        </w:rPr>
        <w:t>vinorelbin</w:t>
      </w:r>
      <w:proofErr w:type="spellEnd"/>
      <w:r w:rsidRPr="00BD1847">
        <w:rPr>
          <w:sz w:val="24"/>
          <w:szCs w:val="24"/>
        </w:rPr>
        <w:t xml:space="preserve"> stiger proportionelt med doser op til 100 mg/m</w:t>
      </w:r>
      <w:r w:rsidRPr="00BD1847">
        <w:rPr>
          <w:sz w:val="24"/>
          <w:szCs w:val="24"/>
          <w:vertAlign w:val="superscript"/>
        </w:rPr>
        <w:t>2</w:t>
      </w:r>
      <w:r w:rsidRPr="00BD1847">
        <w:rPr>
          <w:sz w:val="24"/>
          <w:szCs w:val="24"/>
        </w:rPr>
        <w:t xml:space="preserve">. Den </w:t>
      </w:r>
      <w:proofErr w:type="spellStart"/>
      <w:r w:rsidRPr="00BD1847">
        <w:rPr>
          <w:sz w:val="24"/>
          <w:szCs w:val="24"/>
        </w:rPr>
        <w:t>interindividuelle</w:t>
      </w:r>
      <w:proofErr w:type="spellEnd"/>
      <w:r w:rsidRPr="00BD1847">
        <w:rPr>
          <w:sz w:val="24"/>
          <w:szCs w:val="24"/>
        </w:rPr>
        <w:t xml:space="preserve"> variation efter eksponering er sammenlignelig for intravenøs og oral indgift.</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sz w:val="24"/>
          <w:szCs w:val="24"/>
          <w:u w:val="single"/>
        </w:rPr>
      </w:pPr>
      <w:r w:rsidRPr="00BD1847">
        <w:rPr>
          <w:sz w:val="24"/>
          <w:szCs w:val="24"/>
          <w:u w:val="single"/>
        </w:rPr>
        <w:t>Fordeling</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 xml:space="preserve">Fordelingsvolumen ved </w:t>
      </w:r>
      <w:proofErr w:type="spellStart"/>
      <w:r w:rsidRPr="00BD1847">
        <w:rPr>
          <w:sz w:val="24"/>
          <w:szCs w:val="24"/>
        </w:rPr>
        <w:t>steady</w:t>
      </w:r>
      <w:proofErr w:type="spellEnd"/>
      <w:r w:rsidRPr="00BD1847">
        <w:rPr>
          <w:sz w:val="24"/>
          <w:szCs w:val="24"/>
        </w:rPr>
        <w:t xml:space="preserve"> </w:t>
      </w:r>
      <w:proofErr w:type="spellStart"/>
      <w:r w:rsidRPr="00BD1847">
        <w:rPr>
          <w:sz w:val="24"/>
          <w:szCs w:val="24"/>
        </w:rPr>
        <w:t>state</w:t>
      </w:r>
      <w:proofErr w:type="spellEnd"/>
      <w:r w:rsidRPr="00BD1847">
        <w:rPr>
          <w:sz w:val="24"/>
          <w:szCs w:val="24"/>
        </w:rPr>
        <w:t xml:space="preserve"> er stor; i gennemsnit 21,2 l/kg (interval 7,5-39,7 l/kg), hvilket tyder på udbredt fordeling i væv.</w:t>
      </w:r>
    </w:p>
    <w:p w:rsidR="00B6243E" w:rsidRPr="00BD1847" w:rsidRDefault="00B6243E" w:rsidP="00B6243E">
      <w:pPr>
        <w:tabs>
          <w:tab w:val="left" w:pos="0"/>
          <w:tab w:val="left" w:pos="851"/>
        </w:tabs>
        <w:autoSpaceDE w:val="0"/>
        <w:autoSpaceDN w:val="0"/>
        <w:adjustRightInd w:val="0"/>
        <w:ind w:left="851"/>
        <w:rPr>
          <w:sz w:val="24"/>
          <w:szCs w:val="24"/>
        </w:rPr>
      </w:pPr>
      <w:proofErr w:type="spellStart"/>
      <w:r w:rsidRPr="00BD1847">
        <w:rPr>
          <w:sz w:val="24"/>
          <w:szCs w:val="24"/>
        </w:rPr>
        <w:t>Vinorelbin</w:t>
      </w:r>
      <w:proofErr w:type="spellEnd"/>
      <w:r w:rsidRPr="00BD1847">
        <w:rPr>
          <w:sz w:val="24"/>
          <w:szCs w:val="24"/>
        </w:rPr>
        <w:t xml:space="preserve"> bindes med lav affinitet til plasmaprotein (13,5</w:t>
      </w:r>
      <w:r w:rsidR="00AB6BDA">
        <w:rPr>
          <w:sz w:val="24"/>
          <w:szCs w:val="24"/>
        </w:rPr>
        <w:t xml:space="preserve"> %</w:t>
      </w:r>
      <w:r w:rsidRPr="00BD1847">
        <w:rPr>
          <w:sz w:val="24"/>
          <w:szCs w:val="24"/>
        </w:rPr>
        <w:t xml:space="preserve">) og med høj affinitet til blodceller og især </w:t>
      </w:r>
      <w:proofErr w:type="spellStart"/>
      <w:r w:rsidRPr="00BD1847">
        <w:rPr>
          <w:sz w:val="24"/>
          <w:szCs w:val="24"/>
        </w:rPr>
        <w:t>trombocytter</w:t>
      </w:r>
      <w:proofErr w:type="spellEnd"/>
      <w:r w:rsidRPr="00BD1847">
        <w:rPr>
          <w:sz w:val="24"/>
          <w:szCs w:val="24"/>
        </w:rPr>
        <w:t xml:space="preserve"> (78</w:t>
      </w:r>
      <w:r w:rsidR="00AB6BDA">
        <w:rPr>
          <w:sz w:val="24"/>
          <w:szCs w:val="24"/>
        </w:rPr>
        <w:t xml:space="preserve"> %</w:t>
      </w:r>
      <w:r w:rsidRPr="00BD1847">
        <w:rPr>
          <w:sz w:val="24"/>
          <w:szCs w:val="24"/>
        </w:rPr>
        <w:t>).</w:t>
      </w:r>
    </w:p>
    <w:p w:rsidR="00B6243E" w:rsidRPr="00BD1847" w:rsidRDefault="00B6243E" w:rsidP="00B6243E">
      <w:pPr>
        <w:tabs>
          <w:tab w:val="left" w:pos="0"/>
          <w:tab w:val="left" w:pos="851"/>
        </w:tabs>
        <w:autoSpaceDE w:val="0"/>
        <w:autoSpaceDN w:val="0"/>
        <w:adjustRightInd w:val="0"/>
        <w:ind w:left="851"/>
        <w:rPr>
          <w:sz w:val="24"/>
          <w:szCs w:val="24"/>
        </w:rPr>
      </w:pPr>
      <w:proofErr w:type="spellStart"/>
      <w:r w:rsidRPr="00BD1847">
        <w:rPr>
          <w:sz w:val="24"/>
          <w:szCs w:val="24"/>
        </w:rPr>
        <w:t>Vinorelbin</w:t>
      </w:r>
      <w:proofErr w:type="spellEnd"/>
      <w:r w:rsidRPr="00BD1847">
        <w:rPr>
          <w:sz w:val="24"/>
          <w:szCs w:val="24"/>
        </w:rPr>
        <w:t xml:space="preserve"> optages signifikant i lungerne, som vurderet ved kirurgiske lungebiopsier, der viste op til 300 gange højere koncentrationer i forhold til i serum. Der er ikke fundet </w:t>
      </w:r>
      <w:proofErr w:type="spellStart"/>
      <w:r w:rsidRPr="00BD1847">
        <w:rPr>
          <w:sz w:val="24"/>
          <w:szCs w:val="24"/>
        </w:rPr>
        <w:t>vinorelbin</w:t>
      </w:r>
      <w:proofErr w:type="spellEnd"/>
      <w:r w:rsidRPr="00BD1847">
        <w:rPr>
          <w:sz w:val="24"/>
          <w:szCs w:val="24"/>
        </w:rPr>
        <w:t xml:space="preserve"> i det centrale nervesystem.</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sz w:val="24"/>
          <w:szCs w:val="24"/>
          <w:u w:val="single"/>
        </w:rPr>
      </w:pPr>
      <w:r w:rsidRPr="00BD1847">
        <w:rPr>
          <w:sz w:val="24"/>
          <w:szCs w:val="24"/>
          <w:u w:val="single"/>
        </w:rPr>
        <w:t xml:space="preserve">Biotransformation </w:t>
      </w:r>
    </w:p>
    <w:p w:rsidR="00B6243E" w:rsidRPr="00BD1847" w:rsidRDefault="00B6243E" w:rsidP="00B6243E">
      <w:pPr>
        <w:tabs>
          <w:tab w:val="left" w:pos="0"/>
          <w:tab w:val="left" w:pos="851"/>
        </w:tabs>
        <w:autoSpaceDE w:val="0"/>
        <w:autoSpaceDN w:val="0"/>
        <w:adjustRightInd w:val="0"/>
        <w:ind w:left="851"/>
        <w:rPr>
          <w:sz w:val="24"/>
          <w:szCs w:val="24"/>
        </w:rPr>
      </w:pPr>
      <w:proofErr w:type="spellStart"/>
      <w:r w:rsidRPr="00BD1847">
        <w:rPr>
          <w:sz w:val="24"/>
          <w:szCs w:val="24"/>
        </w:rPr>
        <w:t>Vinorelbin</w:t>
      </w:r>
      <w:proofErr w:type="spellEnd"/>
      <w:r w:rsidRPr="00BD1847">
        <w:rPr>
          <w:sz w:val="24"/>
          <w:szCs w:val="24"/>
        </w:rPr>
        <w:t xml:space="preserve"> </w:t>
      </w:r>
      <w:proofErr w:type="spellStart"/>
      <w:r w:rsidRPr="00BD1847">
        <w:rPr>
          <w:sz w:val="24"/>
          <w:szCs w:val="24"/>
        </w:rPr>
        <w:t>metaboliseres</w:t>
      </w:r>
      <w:proofErr w:type="spellEnd"/>
      <w:r w:rsidRPr="00BD1847">
        <w:rPr>
          <w:sz w:val="24"/>
          <w:szCs w:val="24"/>
        </w:rPr>
        <w:t xml:space="preserve"> fortrinsvis via </w:t>
      </w:r>
      <w:proofErr w:type="spellStart"/>
      <w:r w:rsidRPr="00BD1847">
        <w:rPr>
          <w:sz w:val="24"/>
          <w:szCs w:val="24"/>
        </w:rPr>
        <w:t>cytokrom</w:t>
      </w:r>
      <w:proofErr w:type="spellEnd"/>
      <w:r w:rsidRPr="00BD1847">
        <w:rPr>
          <w:sz w:val="24"/>
          <w:szCs w:val="24"/>
        </w:rPr>
        <w:t xml:space="preserve"> P450 </w:t>
      </w:r>
      <w:proofErr w:type="spellStart"/>
      <w:r w:rsidRPr="00BD1847">
        <w:rPr>
          <w:sz w:val="24"/>
          <w:szCs w:val="24"/>
        </w:rPr>
        <w:t>isoform</w:t>
      </w:r>
      <w:proofErr w:type="spellEnd"/>
      <w:r w:rsidRPr="00BD1847">
        <w:rPr>
          <w:sz w:val="24"/>
          <w:szCs w:val="24"/>
        </w:rPr>
        <w:t xml:space="preserve"> CYP 3A4. Alle metabolitter er identificeret og ingen er aktive bortset fra 4-O-deacetyl </w:t>
      </w:r>
      <w:proofErr w:type="spellStart"/>
      <w:r w:rsidRPr="00BD1847">
        <w:rPr>
          <w:sz w:val="24"/>
          <w:szCs w:val="24"/>
        </w:rPr>
        <w:t>vinorelbin</w:t>
      </w:r>
      <w:proofErr w:type="spellEnd"/>
      <w:r w:rsidRPr="00BD1847">
        <w:rPr>
          <w:sz w:val="24"/>
          <w:szCs w:val="24"/>
        </w:rPr>
        <w:t xml:space="preserve">, som er den vigtigste metabolit i blodet. Der er ikke observeret </w:t>
      </w:r>
      <w:proofErr w:type="spellStart"/>
      <w:r w:rsidRPr="00BD1847">
        <w:rPr>
          <w:sz w:val="24"/>
          <w:szCs w:val="24"/>
        </w:rPr>
        <w:t>Glucuro</w:t>
      </w:r>
      <w:proofErr w:type="spellEnd"/>
      <w:r w:rsidRPr="00BD1847">
        <w:rPr>
          <w:sz w:val="24"/>
          <w:szCs w:val="24"/>
        </w:rPr>
        <w:t xml:space="preserve">- eller </w:t>
      </w:r>
      <w:proofErr w:type="spellStart"/>
      <w:r w:rsidRPr="00BD1847">
        <w:rPr>
          <w:sz w:val="24"/>
          <w:szCs w:val="24"/>
        </w:rPr>
        <w:t>sulfokonjugater</w:t>
      </w:r>
      <w:proofErr w:type="spellEnd"/>
      <w:r w:rsidRPr="00BD1847">
        <w:rPr>
          <w:sz w:val="24"/>
          <w:szCs w:val="24"/>
        </w:rPr>
        <w:t>.</w:t>
      </w:r>
    </w:p>
    <w:p w:rsidR="00B6243E" w:rsidRPr="00BD1847" w:rsidRDefault="00B6243E" w:rsidP="00B6243E">
      <w:pPr>
        <w:tabs>
          <w:tab w:val="left" w:pos="426"/>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sz w:val="24"/>
          <w:szCs w:val="24"/>
          <w:u w:val="single"/>
        </w:rPr>
      </w:pPr>
      <w:r w:rsidRPr="00BD1847">
        <w:rPr>
          <w:sz w:val="24"/>
          <w:szCs w:val="24"/>
          <w:u w:val="single"/>
        </w:rPr>
        <w:t>Elimination</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 xml:space="preserve">Den gennemsnitlige terminale halveringstid for </w:t>
      </w:r>
      <w:proofErr w:type="spellStart"/>
      <w:r w:rsidRPr="00BD1847">
        <w:rPr>
          <w:sz w:val="24"/>
          <w:szCs w:val="24"/>
        </w:rPr>
        <w:t>vinorelbin</w:t>
      </w:r>
      <w:proofErr w:type="spellEnd"/>
      <w:r w:rsidRPr="00BD1847">
        <w:rPr>
          <w:sz w:val="24"/>
          <w:szCs w:val="24"/>
        </w:rPr>
        <w:t xml:space="preserve"> er 40 timer. Blod </w:t>
      </w:r>
      <w:proofErr w:type="spellStart"/>
      <w:r w:rsidRPr="00BD1847">
        <w:rPr>
          <w:sz w:val="24"/>
          <w:szCs w:val="24"/>
        </w:rPr>
        <w:t>clearance</w:t>
      </w:r>
      <w:proofErr w:type="spellEnd"/>
      <w:r w:rsidRPr="00BD1847">
        <w:rPr>
          <w:sz w:val="24"/>
          <w:szCs w:val="24"/>
        </w:rPr>
        <w:t xml:space="preserve"> er høj, den nærmer sig blodgennemstrømningen i leveren og er 0,72 l/time/kg (spændvidde: 0,32-1,26 l/time/kg).</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Eliminationen i nyrerne er lav (&lt;5</w:t>
      </w:r>
      <w:r w:rsidR="00AB6BDA">
        <w:rPr>
          <w:sz w:val="24"/>
          <w:szCs w:val="24"/>
        </w:rPr>
        <w:t xml:space="preserve"> %</w:t>
      </w:r>
      <w:r w:rsidRPr="00BD1847">
        <w:rPr>
          <w:sz w:val="24"/>
          <w:szCs w:val="24"/>
        </w:rPr>
        <w:t xml:space="preserve"> af den administrerede dosis) og består hovedsag</w:t>
      </w:r>
      <w:r w:rsidR="0052447D">
        <w:rPr>
          <w:sz w:val="24"/>
          <w:szCs w:val="24"/>
        </w:rPr>
        <w:t>e</w:t>
      </w:r>
      <w:r w:rsidRPr="00BD1847">
        <w:rPr>
          <w:sz w:val="24"/>
          <w:szCs w:val="24"/>
        </w:rPr>
        <w:t>ligt af moderforbindelsen. Eliminationsvejen er hovedsag</w:t>
      </w:r>
      <w:r w:rsidR="0052447D">
        <w:rPr>
          <w:sz w:val="24"/>
          <w:szCs w:val="24"/>
        </w:rPr>
        <w:t>e</w:t>
      </w:r>
      <w:r w:rsidRPr="00BD1847">
        <w:rPr>
          <w:sz w:val="24"/>
          <w:szCs w:val="24"/>
        </w:rPr>
        <w:t xml:space="preserve">lig gennem galden for både metabolitter og uændret </w:t>
      </w:r>
      <w:proofErr w:type="spellStart"/>
      <w:r w:rsidRPr="00BD1847">
        <w:rPr>
          <w:sz w:val="24"/>
          <w:szCs w:val="24"/>
        </w:rPr>
        <w:t>vinorelbin</w:t>
      </w:r>
      <w:proofErr w:type="spellEnd"/>
      <w:r w:rsidRPr="00BD1847">
        <w:rPr>
          <w:sz w:val="24"/>
          <w:szCs w:val="24"/>
        </w:rPr>
        <w:t xml:space="preserve">, som er den primære </w:t>
      </w:r>
      <w:r w:rsidR="0052447D" w:rsidRPr="00BD1847">
        <w:rPr>
          <w:sz w:val="24"/>
          <w:szCs w:val="24"/>
        </w:rPr>
        <w:t>udskilte</w:t>
      </w:r>
      <w:r w:rsidRPr="00BD1847">
        <w:rPr>
          <w:sz w:val="24"/>
          <w:szCs w:val="24"/>
        </w:rPr>
        <w:t xml:space="preserve"> forbindelse. </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b/>
          <w:sz w:val="24"/>
          <w:szCs w:val="24"/>
        </w:rPr>
      </w:pPr>
      <w:r w:rsidRPr="00BD1847">
        <w:rPr>
          <w:b/>
          <w:sz w:val="24"/>
          <w:szCs w:val="24"/>
        </w:rPr>
        <w:t>Særlige patientgrupper</w:t>
      </w:r>
    </w:p>
    <w:p w:rsidR="00B6243E" w:rsidRPr="0052447D" w:rsidRDefault="00B6243E" w:rsidP="00B6243E">
      <w:pPr>
        <w:tabs>
          <w:tab w:val="left" w:pos="0"/>
          <w:tab w:val="left" w:pos="851"/>
        </w:tabs>
        <w:autoSpaceDE w:val="0"/>
        <w:autoSpaceDN w:val="0"/>
        <w:adjustRightInd w:val="0"/>
        <w:ind w:left="851"/>
        <w:rPr>
          <w:sz w:val="24"/>
          <w:szCs w:val="24"/>
        </w:rPr>
      </w:pPr>
    </w:p>
    <w:p w:rsidR="00B6243E" w:rsidRPr="00BF35B4" w:rsidRDefault="00B6243E" w:rsidP="00B6243E">
      <w:pPr>
        <w:tabs>
          <w:tab w:val="left" w:pos="0"/>
          <w:tab w:val="left" w:pos="851"/>
        </w:tabs>
        <w:autoSpaceDE w:val="0"/>
        <w:autoSpaceDN w:val="0"/>
        <w:adjustRightInd w:val="0"/>
        <w:ind w:left="851"/>
        <w:rPr>
          <w:sz w:val="24"/>
          <w:szCs w:val="24"/>
          <w:u w:val="single"/>
        </w:rPr>
      </w:pPr>
      <w:r w:rsidRPr="00BF35B4">
        <w:rPr>
          <w:sz w:val="24"/>
          <w:szCs w:val="24"/>
          <w:u w:val="single"/>
        </w:rPr>
        <w:t>Nedsat lever- og nyrefunktion</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 xml:space="preserve">Effekten af nedsat nyrefunktion på elimineringen af </w:t>
      </w:r>
      <w:proofErr w:type="spellStart"/>
      <w:r w:rsidRPr="00BD1847">
        <w:rPr>
          <w:sz w:val="24"/>
          <w:szCs w:val="24"/>
        </w:rPr>
        <w:t>vinorelbin</w:t>
      </w:r>
      <w:proofErr w:type="spellEnd"/>
      <w:r w:rsidRPr="00BD1847">
        <w:rPr>
          <w:sz w:val="24"/>
          <w:szCs w:val="24"/>
        </w:rPr>
        <w:t xml:space="preserve"> er ikke undersøgt.  Dosisreduktion på grund af nedsat nyrefunktion er imidlertid ikke indiceret på grund af den lave eliminering i nyrerne.</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 xml:space="preserve">Farmakokinetikken ved </w:t>
      </w:r>
      <w:r>
        <w:rPr>
          <w:sz w:val="24"/>
          <w:szCs w:val="24"/>
        </w:rPr>
        <w:t>oral</w:t>
      </w:r>
      <w:r w:rsidRPr="00BD1847">
        <w:rPr>
          <w:sz w:val="24"/>
          <w:szCs w:val="24"/>
        </w:rPr>
        <w:t xml:space="preserve">t administreret </w:t>
      </w:r>
      <w:proofErr w:type="spellStart"/>
      <w:r w:rsidRPr="00BD1847">
        <w:rPr>
          <w:sz w:val="24"/>
          <w:szCs w:val="24"/>
        </w:rPr>
        <w:t>vinorelbin</w:t>
      </w:r>
      <w:proofErr w:type="spellEnd"/>
      <w:r w:rsidRPr="00BD1847">
        <w:rPr>
          <w:sz w:val="24"/>
          <w:szCs w:val="24"/>
        </w:rPr>
        <w:t xml:space="preserve"> blev ikke ændret efter indgift af 60</w:t>
      </w:r>
      <w:r w:rsidR="008374B7">
        <w:rPr>
          <w:sz w:val="24"/>
          <w:szCs w:val="24"/>
        </w:rPr>
        <w:t> </w:t>
      </w:r>
      <w:r w:rsidRPr="00BD1847">
        <w:rPr>
          <w:sz w:val="24"/>
          <w:szCs w:val="24"/>
        </w:rPr>
        <w:t>mg/m</w:t>
      </w:r>
      <w:r w:rsidRPr="00BD1847">
        <w:rPr>
          <w:sz w:val="24"/>
          <w:szCs w:val="24"/>
          <w:vertAlign w:val="superscript"/>
        </w:rPr>
        <w:t>2</w:t>
      </w:r>
      <w:r w:rsidRPr="00BD1847">
        <w:rPr>
          <w:sz w:val="24"/>
          <w:szCs w:val="24"/>
        </w:rPr>
        <w:t xml:space="preserve"> hos patienter med mild leversygdom (bilirubin &lt; 1,5 x ULN og ALT og/eller AST fra 1,5 til 2,5 x ULN) og på 50 mg/m</w:t>
      </w:r>
      <w:r w:rsidRPr="00BD1847">
        <w:rPr>
          <w:sz w:val="24"/>
          <w:szCs w:val="24"/>
          <w:vertAlign w:val="superscript"/>
        </w:rPr>
        <w:t>2</w:t>
      </w:r>
      <w:r w:rsidRPr="00BD1847">
        <w:rPr>
          <w:sz w:val="24"/>
          <w:szCs w:val="24"/>
        </w:rPr>
        <w:t xml:space="preserve"> til patienter med moderat nedsat leverfunktion (bilirubin fra 1,5 til 3 x ULN uanset niveauet for ALT og AST). Der findes ingen data for patienter med svær leversygdom og derfor anbefales brug af </w:t>
      </w:r>
      <w:proofErr w:type="spellStart"/>
      <w:r w:rsidRPr="00BD1847">
        <w:rPr>
          <w:sz w:val="24"/>
          <w:szCs w:val="24"/>
        </w:rPr>
        <w:t>vinorelbin</w:t>
      </w:r>
      <w:proofErr w:type="spellEnd"/>
      <w:r w:rsidRPr="00BD1847">
        <w:rPr>
          <w:sz w:val="24"/>
          <w:szCs w:val="24"/>
        </w:rPr>
        <w:t xml:space="preserve"> ikke til disse patienter (se pkt. 4.2, 4.4).</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F35B4" w:rsidRDefault="00B6243E" w:rsidP="00B6243E">
      <w:pPr>
        <w:tabs>
          <w:tab w:val="left" w:pos="0"/>
          <w:tab w:val="left" w:pos="851"/>
        </w:tabs>
        <w:autoSpaceDE w:val="0"/>
        <w:autoSpaceDN w:val="0"/>
        <w:adjustRightInd w:val="0"/>
        <w:ind w:left="851"/>
        <w:rPr>
          <w:sz w:val="24"/>
          <w:szCs w:val="24"/>
          <w:u w:val="single"/>
        </w:rPr>
      </w:pPr>
      <w:r w:rsidRPr="00BF35B4">
        <w:rPr>
          <w:sz w:val="24"/>
          <w:szCs w:val="24"/>
          <w:u w:val="single"/>
        </w:rPr>
        <w:t>Ældre patienter</w:t>
      </w:r>
    </w:p>
    <w:p w:rsidR="00B6243E" w:rsidRPr="00BD1847" w:rsidRDefault="00B6243E" w:rsidP="00B6243E">
      <w:pPr>
        <w:tabs>
          <w:tab w:val="left" w:pos="0"/>
          <w:tab w:val="left" w:pos="851"/>
        </w:tabs>
        <w:autoSpaceDE w:val="0"/>
        <w:autoSpaceDN w:val="0"/>
        <w:adjustRightInd w:val="0"/>
        <w:ind w:left="851"/>
        <w:rPr>
          <w:sz w:val="24"/>
          <w:szCs w:val="24"/>
        </w:rPr>
      </w:pPr>
      <w:r w:rsidRPr="00BD1847">
        <w:rPr>
          <w:sz w:val="24"/>
          <w:szCs w:val="24"/>
        </w:rPr>
        <w:t xml:space="preserve">Forsøg med oral </w:t>
      </w:r>
      <w:proofErr w:type="spellStart"/>
      <w:r w:rsidRPr="00BD1847">
        <w:rPr>
          <w:sz w:val="24"/>
          <w:szCs w:val="24"/>
        </w:rPr>
        <w:t>vinorelbin</w:t>
      </w:r>
      <w:proofErr w:type="spellEnd"/>
      <w:r w:rsidRPr="00BD1847">
        <w:rPr>
          <w:sz w:val="24"/>
          <w:szCs w:val="24"/>
        </w:rPr>
        <w:t xml:space="preserve"> til ældre patienter (≥ 70 år) med NSCLC viste, at alderen ikke har nogen indflydelse på </w:t>
      </w:r>
      <w:proofErr w:type="spellStart"/>
      <w:r w:rsidRPr="00BD1847">
        <w:rPr>
          <w:sz w:val="24"/>
          <w:szCs w:val="24"/>
        </w:rPr>
        <w:t>vinorelbins</w:t>
      </w:r>
      <w:proofErr w:type="spellEnd"/>
      <w:r w:rsidRPr="00BD1847">
        <w:rPr>
          <w:sz w:val="24"/>
          <w:szCs w:val="24"/>
        </w:rPr>
        <w:t xml:space="preserve"> farmakokinetik, men da ældre patienter er kan være svage, skal der udvises forsigtighed, når dosen af </w:t>
      </w:r>
      <w:proofErr w:type="spellStart"/>
      <w:r w:rsidRPr="00BD1847">
        <w:rPr>
          <w:sz w:val="24"/>
          <w:szCs w:val="24"/>
        </w:rPr>
        <w:t>vinorelbin</w:t>
      </w:r>
      <w:proofErr w:type="spellEnd"/>
      <w:r w:rsidRPr="00BD1847">
        <w:rPr>
          <w:sz w:val="24"/>
          <w:szCs w:val="24"/>
        </w:rPr>
        <w:t xml:space="preserve"> bløde kapsler forhøjes (se pkt. 4.2).</w:t>
      </w:r>
    </w:p>
    <w:p w:rsidR="00B6243E" w:rsidRPr="00BD1847" w:rsidRDefault="00B6243E" w:rsidP="00B6243E">
      <w:pPr>
        <w:tabs>
          <w:tab w:val="left" w:pos="0"/>
          <w:tab w:val="left" w:pos="851"/>
        </w:tabs>
        <w:autoSpaceDE w:val="0"/>
        <w:autoSpaceDN w:val="0"/>
        <w:adjustRightInd w:val="0"/>
        <w:ind w:left="851"/>
        <w:rPr>
          <w:sz w:val="24"/>
          <w:szCs w:val="24"/>
        </w:rPr>
      </w:pPr>
    </w:p>
    <w:p w:rsidR="00B6243E" w:rsidRPr="00BD1847" w:rsidRDefault="00B6243E" w:rsidP="00B6243E">
      <w:pPr>
        <w:tabs>
          <w:tab w:val="left" w:pos="0"/>
          <w:tab w:val="left" w:pos="851"/>
        </w:tabs>
        <w:autoSpaceDE w:val="0"/>
        <w:autoSpaceDN w:val="0"/>
        <w:adjustRightInd w:val="0"/>
        <w:ind w:left="851"/>
        <w:rPr>
          <w:b/>
          <w:sz w:val="24"/>
          <w:szCs w:val="24"/>
        </w:rPr>
      </w:pPr>
      <w:r w:rsidRPr="00BD1847">
        <w:rPr>
          <w:b/>
          <w:sz w:val="24"/>
          <w:szCs w:val="24"/>
        </w:rPr>
        <w:t>Farmakokinetik-</w:t>
      </w:r>
      <w:proofErr w:type="spellStart"/>
      <w:r w:rsidRPr="00BD1847">
        <w:rPr>
          <w:b/>
          <w:sz w:val="24"/>
          <w:szCs w:val="24"/>
        </w:rPr>
        <w:t>farmakodynamik</w:t>
      </w:r>
      <w:proofErr w:type="spellEnd"/>
      <w:r w:rsidRPr="00BD1847">
        <w:rPr>
          <w:b/>
          <w:sz w:val="24"/>
          <w:szCs w:val="24"/>
        </w:rPr>
        <w:t>-forholdet</w:t>
      </w:r>
    </w:p>
    <w:p w:rsidR="00B6243E" w:rsidRPr="00C84483" w:rsidRDefault="00B6243E" w:rsidP="00B6243E">
      <w:pPr>
        <w:tabs>
          <w:tab w:val="left" w:pos="0"/>
          <w:tab w:val="left" w:pos="851"/>
        </w:tabs>
        <w:autoSpaceDE w:val="0"/>
        <w:autoSpaceDN w:val="0"/>
        <w:adjustRightInd w:val="0"/>
        <w:ind w:left="851"/>
        <w:rPr>
          <w:sz w:val="24"/>
          <w:szCs w:val="24"/>
        </w:rPr>
      </w:pPr>
      <w:r w:rsidRPr="00BD1847">
        <w:rPr>
          <w:sz w:val="24"/>
          <w:szCs w:val="24"/>
        </w:rPr>
        <w:t>Der er blevet påvist er en tydelig sammenhæng mellem eksponeringen i blod og reduktionen af antal leukocytter og granulocytter.</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6243E" w:rsidRPr="000F3657" w:rsidRDefault="00B6243E" w:rsidP="00B6243E">
      <w:pPr>
        <w:tabs>
          <w:tab w:val="left" w:pos="851"/>
        </w:tabs>
        <w:ind w:left="851"/>
        <w:rPr>
          <w:sz w:val="24"/>
          <w:szCs w:val="24"/>
        </w:rPr>
      </w:pPr>
    </w:p>
    <w:p w:rsidR="00B6243E" w:rsidRPr="000F3657" w:rsidRDefault="00B6243E" w:rsidP="00B6243E">
      <w:pPr>
        <w:tabs>
          <w:tab w:val="left" w:pos="851"/>
        </w:tabs>
        <w:ind w:left="851"/>
        <w:rPr>
          <w:sz w:val="24"/>
          <w:szCs w:val="24"/>
          <w:u w:val="single"/>
        </w:rPr>
      </w:pPr>
      <w:r w:rsidRPr="000F3657">
        <w:rPr>
          <w:sz w:val="24"/>
          <w:szCs w:val="24"/>
          <w:u w:val="single"/>
        </w:rPr>
        <w:t xml:space="preserve">Mutagen og karcinogen potentiale </w:t>
      </w:r>
    </w:p>
    <w:p w:rsidR="00B6243E" w:rsidRPr="000F3657" w:rsidRDefault="00B6243E" w:rsidP="00B6243E">
      <w:pPr>
        <w:tabs>
          <w:tab w:val="left" w:pos="851"/>
        </w:tabs>
        <w:ind w:left="851"/>
        <w:rPr>
          <w:sz w:val="24"/>
          <w:szCs w:val="24"/>
        </w:rPr>
      </w:pPr>
      <w:proofErr w:type="spellStart"/>
      <w:r w:rsidRPr="000F3657">
        <w:rPr>
          <w:sz w:val="24"/>
          <w:szCs w:val="24"/>
        </w:rPr>
        <w:t>Vinorelbin</w:t>
      </w:r>
      <w:proofErr w:type="spellEnd"/>
      <w:r w:rsidRPr="000F3657">
        <w:rPr>
          <w:sz w:val="24"/>
          <w:szCs w:val="24"/>
        </w:rPr>
        <w:t xml:space="preserve"> inducerer kromosomale ændringer, men er ikke mutagen i </w:t>
      </w:r>
      <w:proofErr w:type="spellStart"/>
      <w:r w:rsidRPr="000F3657">
        <w:rPr>
          <w:sz w:val="24"/>
          <w:szCs w:val="24"/>
        </w:rPr>
        <w:t>Ames</w:t>
      </w:r>
      <w:proofErr w:type="spellEnd"/>
      <w:r w:rsidRPr="000F3657">
        <w:rPr>
          <w:sz w:val="24"/>
          <w:szCs w:val="24"/>
        </w:rPr>
        <w:t xml:space="preserve">' test. </w:t>
      </w:r>
      <w:proofErr w:type="spellStart"/>
      <w:r w:rsidRPr="000F3657">
        <w:rPr>
          <w:sz w:val="24"/>
          <w:szCs w:val="24"/>
        </w:rPr>
        <w:t>Vinorelbins</w:t>
      </w:r>
      <w:proofErr w:type="spellEnd"/>
      <w:r w:rsidRPr="000F3657">
        <w:rPr>
          <w:sz w:val="24"/>
          <w:szCs w:val="24"/>
        </w:rPr>
        <w:t xml:space="preserve"> påvirkning af det </w:t>
      </w:r>
      <w:proofErr w:type="spellStart"/>
      <w:r w:rsidRPr="000F3657">
        <w:rPr>
          <w:sz w:val="24"/>
          <w:szCs w:val="24"/>
        </w:rPr>
        <w:t>mitotiske</w:t>
      </w:r>
      <w:proofErr w:type="spellEnd"/>
      <w:r w:rsidRPr="000F3657">
        <w:rPr>
          <w:sz w:val="24"/>
          <w:szCs w:val="24"/>
        </w:rPr>
        <w:t xml:space="preserve"> spindel kan medføre forkert fordeling af kromosomerne. I dyreforsøg blev </w:t>
      </w:r>
      <w:proofErr w:type="spellStart"/>
      <w:r w:rsidRPr="000F3657">
        <w:rPr>
          <w:sz w:val="24"/>
          <w:szCs w:val="24"/>
        </w:rPr>
        <w:t>vinorelbin</w:t>
      </w:r>
      <w:proofErr w:type="spellEnd"/>
      <w:r w:rsidRPr="000F3657">
        <w:rPr>
          <w:sz w:val="24"/>
          <w:szCs w:val="24"/>
        </w:rPr>
        <w:t xml:space="preserve"> indgivet intravenøst og inducerede </w:t>
      </w:r>
      <w:proofErr w:type="spellStart"/>
      <w:r w:rsidRPr="000F3657">
        <w:rPr>
          <w:sz w:val="24"/>
          <w:szCs w:val="24"/>
        </w:rPr>
        <w:t>aneuploidi</w:t>
      </w:r>
      <w:proofErr w:type="spellEnd"/>
      <w:r w:rsidRPr="000F3657">
        <w:rPr>
          <w:sz w:val="24"/>
          <w:szCs w:val="24"/>
        </w:rPr>
        <w:t xml:space="preserve"> og </w:t>
      </w:r>
      <w:proofErr w:type="spellStart"/>
      <w:r w:rsidRPr="000F3657">
        <w:rPr>
          <w:sz w:val="24"/>
          <w:szCs w:val="24"/>
        </w:rPr>
        <w:t>polyploidi</w:t>
      </w:r>
      <w:proofErr w:type="spellEnd"/>
      <w:r w:rsidRPr="000F3657">
        <w:rPr>
          <w:sz w:val="24"/>
          <w:szCs w:val="24"/>
        </w:rPr>
        <w:t xml:space="preserve">. Det må derfor antages, at </w:t>
      </w:r>
      <w:proofErr w:type="spellStart"/>
      <w:r w:rsidRPr="000F3657">
        <w:rPr>
          <w:sz w:val="24"/>
          <w:szCs w:val="24"/>
        </w:rPr>
        <w:t>vinorelbin</w:t>
      </w:r>
      <w:proofErr w:type="spellEnd"/>
      <w:r w:rsidRPr="000F3657">
        <w:rPr>
          <w:sz w:val="24"/>
          <w:szCs w:val="24"/>
        </w:rPr>
        <w:t xml:space="preserve"> kan have en mutagen effekt (tegn på </w:t>
      </w:r>
      <w:proofErr w:type="spellStart"/>
      <w:r w:rsidRPr="000F3657">
        <w:rPr>
          <w:sz w:val="24"/>
          <w:szCs w:val="24"/>
        </w:rPr>
        <w:t>aneuploidi</w:t>
      </w:r>
      <w:proofErr w:type="spellEnd"/>
      <w:r w:rsidRPr="000F3657">
        <w:rPr>
          <w:sz w:val="24"/>
          <w:szCs w:val="24"/>
        </w:rPr>
        <w:t>) hos mennesker.</w:t>
      </w:r>
    </w:p>
    <w:p w:rsidR="00B6243E" w:rsidRPr="000F3657" w:rsidRDefault="00B6243E" w:rsidP="00B6243E">
      <w:pPr>
        <w:tabs>
          <w:tab w:val="left" w:pos="851"/>
        </w:tabs>
        <w:ind w:left="851"/>
        <w:rPr>
          <w:sz w:val="24"/>
          <w:szCs w:val="24"/>
        </w:rPr>
      </w:pPr>
      <w:r w:rsidRPr="000F3657">
        <w:rPr>
          <w:sz w:val="24"/>
          <w:szCs w:val="24"/>
        </w:rPr>
        <w:t xml:space="preserve">Resultaterne fra </w:t>
      </w:r>
      <w:proofErr w:type="spellStart"/>
      <w:r w:rsidRPr="000F3657">
        <w:rPr>
          <w:sz w:val="24"/>
          <w:szCs w:val="24"/>
        </w:rPr>
        <w:t>karcinogenicitetsforsøg</w:t>
      </w:r>
      <w:proofErr w:type="spellEnd"/>
      <w:r w:rsidRPr="000F3657">
        <w:rPr>
          <w:sz w:val="24"/>
          <w:szCs w:val="24"/>
        </w:rPr>
        <w:t xml:space="preserve">, hvor </w:t>
      </w:r>
      <w:proofErr w:type="spellStart"/>
      <w:r w:rsidRPr="000F3657">
        <w:rPr>
          <w:sz w:val="24"/>
          <w:szCs w:val="24"/>
        </w:rPr>
        <w:t>vinorelbin</w:t>
      </w:r>
      <w:proofErr w:type="spellEnd"/>
      <w:r w:rsidRPr="000F3657">
        <w:rPr>
          <w:sz w:val="24"/>
          <w:szCs w:val="24"/>
        </w:rPr>
        <w:t xml:space="preserve"> blev givet intravenøst en gang hver anden uge for at undgå lægemidlets toksiske virkninger, var negative.</w:t>
      </w:r>
    </w:p>
    <w:p w:rsidR="00B6243E" w:rsidRPr="000F3657" w:rsidRDefault="00B6243E" w:rsidP="00B6243E">
      <w:pPr>
        <w:tabs>
          <w:tab w:val="left" w:pos="851"/>
        </w:tabs>
        <w:ind w:left="851"/>
        <w:rPr>
          <w:sz w:val="24"/>
          <w:szCs w:val="24"/>
        </w:rPr>
      </w:pPr>
    </w:p>
    <w:p w:rsidR="00B6243E" w:rsidRPr="000F3657" w:rsidRDefault="00B6243E" w:rsidP="00B6243E">
      <w:pPr>
        <w:tabs>
          <w:tab w:val="left" w:pos="851"/>
        </w:tabs>
        <w:ind w:left="851"/>
        <w:rPr>
          <w:sz w:val="24"/>
          <w:szCs w:val="24"/>
          <w:u w:val="single"/>
        </w:rPr>
      </w:pPr>
      <w:r w:rsidRPr="000F3657">
        <w:rPr>
          <w:sz w:val="24"/>
          <w:szCs w:val="24"/>
          <w:u w:val="single"/>
        </w:rPr>
        <w:t>Reproduktionstoksicitet</w:t>
      </w:r>
    </w:p>
    <w:p w:rsidR="00B6243E" w:rsidRPr="000F3657" w:rsidRDefault="00B6243E" w:rsidP="00B6243E">
      <w:pPr>
        <w:tabs>
          <w:tab w:val="left" w:pos="851"/>
        </w:tabs>
        <w:ind w:left="851"/>
        <w:rPr>
          <w:sz w:val="24"/>
          <w:szCs w:val="24"/>
        </w:rPr>
      </w:pPr>
      <w:r w:rsidRPr="000F3657">
        <w:rPr>
          <w:sz w:val="24"/>
          <w:szCs w:val="24"/>
        </w:rPr>
        <w:t xml:space="preserve">I dyrereproduktionsforsøg udviste </w:t>
      </w:r>
      <w:proofErr w:type="spellStart"/>
      <w:r w:rsidRPr="000F3657">
        <w:rPr>
          <w:sz w:val="24"/>
          <w:szCs w:val="24"/>
        </w:rPr>
        <w:t>vinorelbin</w:t>
      </w:r>
      <w:proofErr w:type="spellEnd"/>
      <w:r w:rsidRPr="000F3657">
        <w:rPr>
          <w:sz w:val="24"/>
          <w:szCs w:val="24"/>
        </w:rPr>
        <w:t xml:space="preserve"> embryo-</w:t>
      </w:r>
      <w:proofErr w:type="spellStart"/>
      <w:r w:rsidRPr="000F3657">
        <w:rPr>
          <w:sz w:val="24"/>
          <w:szCs w:val="24"/>
        </w:rPr>
        <w:t>føtal</w:t>
      </w:r>
      <w:proofErr w:type="spellEnd"/>
      <w:r w:rsidRPr="000F3657">
        <w:rPr>
          <w:sz w:val="24"/>
          <w:szCs w:val="24"/>
        </w:rPr>
        <w:t xml:space="preserve"> toksicitet og </w:t>
      </w:r>
      <w:proofErr w:type="spellStart"/>
      <w:r w:rsidRPr="000F3657">
        <w:rPr>
          <w:sz w:val="24"/>
          <w:szCs w:val="24"/>
        </w:rPr>
        <w:t>teratogenecitet</w:t>
      </w:r>
      <w:proofErr w:type="spellEnd"/>
      <w:r w:rsidRPr="000F3657">
        <w:rPr>
          <w:sz w:val="24"/>
          <w:szCs w:val="24"/>
        </w:rPr>
        <w:t>. Det niveau, hvor der ikke blev observeret effekt hos rotter, var 0,26 mg/kg hver 3. dag. Efter peri-/</w:t>
      </w:r>
      <w:proofErr w:type="spellStart"/>
      <w:r w:rsidRPr="000F3657">
        <w:rPr>
          <w:sz w:val="24"/>
          <w:szCs w:val="24"/>
        </w:rPr>
        <w:t>postnatal</w:t>
      </w:r>
      <w:proofErr w:type="spellEnd"/>
      <w:r w:rsidRPr="000F3657">
        <w:rPr>
          <w:sz w:val="24"/>
          <w:szCs w:val="24"/>
        </w:rPr>
        <w:t xml:space="preserve"> indgift hos rotter i intravenøse doser på 1,0 mg/kg hver 3. dag, blev der fundet nedsat vægtstigning hos ungerne op til 7. leveuge.</w:t>
      </w:r>
    </w:p>
    <w:p w:rsidR="00B6243E" w:rsidRPr="000F3657" w:rsidRDefault="00B6243E" w:rsidP="00B6243E">
      <w:pPr>
        <w:tabs>
          <w:tab w:val="left" w:pos="851"/>
        </w:tabs>
        <w:ind w:left="851"/>
        <w:rPr>
          <w:sz w:val="24"/>
          <w:szCs w:val="24"/>
        </w:rPr>
      </w:pPr>
    </w:p>
    <w:p w:rsidR="00B6243E" w:rsidRPr="000F3657" w:rsidRDefault="00B6243E" w:rsidP="00B6243E">
      <w:pPr>
        <w:tabs>
          <w:tab w:val="left" w:pos="851"/>
        </w:tabs>
        <w:ind w:left="851"/>
        <w:rPr>
          <w:sz w:val="24"/>
          <w:szCs w:val="24"/>
          <w:u w:val="single"/>
        </w:rPr>
      </w:pPr>
      <w:r w:rsidRPr="000F3657">
        <w:rPr>
          <w:sz w:val="24"/>
          <w:szCs w:val="24"/>
          <w:u w:val="single"/>
        </w:rPr>
        <w:t>Farmakologisk sikkerhed</w:t>
      </w:r>
    </w:p>
    <w:p w:rsidR="00B6243E" w:rsidRPr="000F3657" w:rsidRDefault="00B6243E" w:rsidP="00B6243E">
      <w:pPr>
        <w:tabs>
          <w:tab w:val="left" w:pos="851"/>
        </w:tabs>
        <w:ind w:left="851"/>
        <w:rPr>
          <w:sz w:val="24"/>
          <w:szCs w:val="24"/>
        </w:rPr>
      </w:pPr>
      <w:r w:rsidRPr="000F3657">
        <w:rPr>
          <w:sz w:val="24"/>
          <w:szCs w:val="24"/>
        </w:rPr>
        <w:t xml:space="preserve">Der blev ikke observeret </w:t>
      </w:r>
      <w:proofErr w:type="spellStart"/>
      <w:r w:rsidRPr="000F3657">
        <w:rPr>
          <w:sz w:val="24"/>
          <w:szCs w:val="24"/>
        </w:rPr>
        <w:t>hæmodynamisk</w:t>
      </w:r>
      <w:proofErr w:type="spellEnd"/>
      <w:r w:rsidRPr="000F3657">
        <w:rPr>
          <w:sz w:val="24"/>
          <w:szCs w:val="24"/>
        </w:rPr>
        <w:t xml:space="preserve"> effekt hos hunde, der fik </w:t>
      </w:r>
      <w:proofErr w:type="spellStart"/>
      <w:r w:rsidRPr="000F3657">
        <w:rPr>
          <w:sz w:val="24"/>
          <w:szCs w:val="24"/>
        </w:rPr>
        <w:t>vinorelbin</w:t>
      </w:r>
      <w:proofErr w:type="spellEnd"/>
      <w:r w:rsidRPr="000F3657">
        <w:rPr>
          <w:sz w:val="24"/>
          <w:szCs w:val="24"/>
        </w:rPr>
        <w:t xml:space="preserve"> i maksimal tolereret dosis, 0,75 mg/kg. Men som for andre afprøvede </w:t>
      </w:r>
      <w:proofErr w:type="spellStart"/>
      <w:r w:rsidRPr="000F3657">
        <w:rPr>
          <w:sz w:val="24"/>
          <w:szCs w:val="24"/>
        </w:rPr>
        <w:t>vincaalkoloider</w:t>
      </w:r>
      <w:proofErr w:type="spellEnd"/>
      <w:r w:rsidRPr="000F3657">
        <w:rPr>
          <w:sz w:val="24"/>
          <w:szCs w:val="24"/>
        </w:rPr>
        <w:t xml:space="preserve"> kunne mindre ikke signifikante forstyrrelser af </w:t>
      </w:r>
      <w:proofErr w:type="spellStart"/>
      <w:r w:rsidRPr="000F3657">
        <w:rPr>
          <w:sz w:val="24"/>
          <w:szCs w:val="24"/>
        </w:rPr>
        <w:t>repolariseringen</w:t>
      </w:r>
      <w:proofErr w:type="spellEnd"/>
      <w:r w:rsidRPr="000F3657">
        <w:rPr>
          <w:sz w:val="24"/>
          <w:szCs w:val="24"/>
        </w:rPr>
        <w:t xml:space="preserve"> vises.</w:t>
      </w:r>
    </w:p>
    <w:p w:rsidR="00B6243E" w:rsidRPr="000F3657" w:rsidRDefault="00B6243E" w:rsidP="00B6243E">
      <w:pPr>
        <w:tabs>
          <w:tab w:val="left" w:pos="851"/>
        </w:tabs>
        <w:ind w:left="851"/>
        <w:rPr>
          <w:sz w:val="24"/>
          <w:szCs w:val="24"/>
        </w:rPr>
      </w:pPr>
    </w:p>
    <w:p w:rsidR="00B6243E" w:rsidRPr="000F3657" w:rsidRDefault="00B6243E" w:rsidP="00B6243E">
      <w:pPr>
        <w:tabs>
          <w:tab w:val="left" w:pos="851"/>
        </w:tabs>
        <w:ind w:left="851"/>
        <w:rPr>
          <w:sz w:val="24"/>
          <w:szCs w:val="24"/>
        </w:rPr>
      </w:pPr>
      <w:r w:rsidRPr="000F3657">
        <w:rPr>
          <w:sz w:val="24"/>
          <w:szCs w:val="24"/>
        </w:rPr>
        <w:t xml:space="preserve">Der blev ikke observeret effekt på det </w:t>
      </w:r>
      <w:proofErr w:type="spellStart"/>
      <w:r w:rsidRPr="000F3657">
        <w:rPr>
          <w:sz w:val="24"/>
          <w:szCs w:val="24"/>
        </w:rPr>
        <w:t>kardiovaskulære</w:t>
      </w:r>
      <w:proofErr w:type="spellEnd"/>
      <w:r w:rsidRPr="000F3657">
        <w:rPr>
          <w:sz w:val="24"/>
          <w:szCs w:val="24"/>
        </w:rPr>
        <w:t xml:space="preserve"> system hos primater, der fik gentagne doser </w:t>
      </w:r>
      <w:proofErr w:type="spellStart"/>
      <w:r w:rsidRPr="000F3657">
        <w:rPr>
          <w:sz w:val="24"/>
          <w:szCs w:val="24"/>
        </w:rPr>
        <w:t>vinorelbin</w:t>
      </w:r>
      <w:proofErr w:type="spellEnd"/>
      <w:r w:rsidRPr="000F3657">
        <w:rPr>
          <w:sz w:val="24"/>
          <w:szCs w:val="24"/>
        </w:rPr>
        <w:t xml:space="preserve"> à 2 mg/kg igennem 39 uger.</w:t>
      </w:r>
    </w:p>
    <w:p w:rsidR="00B6243E" w:rsidRPr="000F3657" w:rsidRDefault="00B6243E" w:rsidP="00B6243E">
      <w:pPr>
        <w:tabs>
          <w:tab w:val="left" w:pos="851"/>
        </w:tabs>
        <w:ind w:left="851"/>
        <w:rPr>
          <w:sz w:val="24"/>
          <w:szCs w:val="24"/>
        </w:rPr>
      </w:pPr>
    </w:p>
    <w:p w:rsidR="00B6243E" w:rsidRPr="00A10FC1" w:rsidRDefault="00B6243E" w:rsidP="00B6243E">
      <w:pPr>
        <w:tabs>
          <w:tab w:val="left" w:pos="851"/>
        </w:tabs>
        <w:ind w:left="851"/>
        <w:rPr>
          <w:b/>
          <w:sz w:val="24"/>
          <w:szCs w:val="24"/>
        </w:rPr>
      </w:pPr>
      <w:r w:rsidRPr="00A10FC1">
        <w:rPr>
          <w:b/>
          <w:sz w:val="24"/>
          <w:szCs w:val="24"/>
        </w:rPr>
        <w:t xml:space="preserve">Akut </w:t>
      </w:r>
      <w:proofErr w:type="spellStart"/>
      <w:r w:rsidRPr="00A10FC1">
        <w:rPr>
          <w:b/>
          <w:sz w:val="24"/>
          <w:szCs w:val="24"/>
        </w:rPr>
        <w:t>toxicitet</w:t>
      </w:r>
      <w:proofErr w:type="spellEnd"/>
      <w:r w:rsidRPr="00A10FC1">
        <w:rPr>
          <w:b/>
          <w:sz w:val="24"/>
          <w:szCs w:val="24"/>
        </w:rPr>
        <w:t xml:space="preserve"> hos dyr</w:t>
      </w:r>
    </w:p>
    <w:p w:rsidR="00B6243E" w:rsidRPr="00C84483" w:rsidRDefault="00B6243E" w:rsidP="00B6243E">
      <w:pPr>
        <w:tabs>
          <w:tab w:val="left" w:pos="851"/>
        </w:tabs>
        <w:ind w:left="851"/>
        <w:rPr>
          <w:sz w:val="24"/>
          <w:szCs w:val="24"/>
        </w:rPr>
      </w:pPr>
      <w:r w:rsidRPr="000F3657">
        <w:rPr>
          <w:sz w:val="24"/>
          <w:szCs w:val="24"/>
        </w:rPr>
        <w:t xml:space="preserve">Symptomer på overdosering hos forsøgsdyr bestod af hårtab, anormal adfærd (udmattelse, sløvhed), lungelæsioner, vægttab og forskellige grader af </w:t>
      </w:r>
      <w:proofErr w:type="spellStart"/>
      <w:r w:rsidRPr="000F3657">
        <w:rPr>
          <w:sz w:val="24"/>
          <w:szCs w:val="24"/>
        </w:rPr>
        <w:t>knoglemarvshypoplasi</w:t>
      </w:r>
      <w:proofErr w:type="spellEnd"/>
      <w:r w:rsidRPr="000F3657">
        <w:rPr>
          <w:sz w:val="24"/>
          <w:szCs w:val="24"/>
        </w:rPr>
        <w:t>.</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6243E" w:rsidRPr="00BA09F1"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6.1</w:t>
      </w:r>
      <w:r w:rsidRPr="00C84483">
        <w:rPr>
          <w:b/>
          <w:sz w:val="24"/>
          <w:szCs w:val="24"/>
        </w:rPr>
        <w:tab/>
        <w:t>Hjælpestoffer</w:t>
      </w:r>
    </w:p>
    <w:p w:rsidR="00B6243E" w:rsidRPr="005E78A6" w:rsidRDefault="00B6243E" w:rsidP="00B6243E">
      <w:pPr>
        <w:autoSpaceDE w:val="0"/>
        <w:autoSpaceDN w:val="0"/>
        <w:adjustRightInd w:val="0"/>
        <w:ind w:left="851"/>
        <w:rPr>
          <w:sz w:val="24"/>
          <w:szCs w:val="24"/>
        </w:rPr>
      </w:pPr>
    </w:p>
    <w:p w:rsidR="00B6243E" w:rsidRPr="00A10FC1" w:rsidRDefault="00B6243E" w:rsidP="00B6243E">
      <w:pPr>
        <w:autoSpaceDE w:val="0"/>
        <w:autoSpaceDN w:val="0"/>
        <w:adjustRightInd w:val="0"/>
        <w:ind w:left="851"/>
        <w:rPr>
          <w:sz w:val="24"/>
          <w:szCs w:val="24"/>
          <w:u w:val="single"/>
        </w:rPr>
      </w:pPr>
      <w:r w:rsidRPr="00A10FC1">
        <w:rPr>
          <w:sz w:val="24"/>
          <w:szCs w:val="24"/>
          <w:u w:val="single"/>
        </w:rPr>
        <w:t>Kapselindhold</w:t>
      </w:r>
    </w:p>
    <w:p w:rsidR="00B6243E" w:rsidRPr="005E78A6" w:rsidRDefault="00B6243E" w:rsidP="00B6243E">
      <w:pPr>
        <w:autoSpaceDE w:val="0"/>
        <w:autoSpaceDN w:val="0"/>
        <w:adjustRightInd w:val="0"/>
        <w:ind w:left="851"/>
        <w:rPr>
          <w:sz w:val="24"/>
          <w:szCs w:val="24"/>
        </w:rPr>
      </w:pPr>
      <w:proofErr w:type="spellStart"/>
      <w:r w:rsidRPr="005E78A6">
        <w:rPr>
          <w:sz w:val="24"/>
          <w:szCs w:val="24"/>
        </w:rPr>
        <w:t>Macrogol</w:t>
      </w:r>
      <w:proofErr w:type="spellEnd"/>
      <w:r w:rsidRPr="005E78A6">
        <w:rPr>
          <w:sz w:val="24"/>
          <w:szCs w:val="24"/>
        </w:rPr>
        <w:t xml:space="preserve"> 400</w:t>
      </w:r>
    </w:p>
    <w:p w:rsidR="00B6243E" w:rsidRPr="005E78A6" w:rsidRDefault="00B6243E" w:rsidP="00B6243E">
      <w:pPr>
        <w:autoSpaceDE w:val="0"/>
        <w:autoSpaceDN w:val="0"/>
        <w:adjustRightInd w:val="0"/>
        <w:ind w:left="851"/>
        <w:rPr>
          <w:sz w:val="24"/>
          <w:szCs w:val="24"/>
        </w:rPr>
      </w:pPr>
      <w:proofErr w:type="spellStart"/>
      <w:r w:rsidRPr="005E78A6">
        <w:rPr>
          <w:sz w:val="24"/>
          <w:szCs w:val="24"/>
        </w:rPr>
        <w:t>Polysorbat</w:t>
      </w:r>
      <w:proofErr w:type="spellEnd"/>
      <w:r w:rsidRPr="005E78A6">
        <w:rPr>
          <w:sz w:val="24"/>
          <w:szCs w:val="24"/>
        </w:rPr>
        <w:t xml:space="preserve"> 80</w:t>
      </w:r>
    </w:p>
    <w:p w:rsidR="00B6243E" w:rsidRPr="005E78A6" w:rsidRDefault="00B6243E" w:rsidP="00B6243E">
      <w:pPr>
        <w:autoSpaceDE w:val="0"/>
        <w:autoSpaceDN w:val="0"/>
        <w:adjustRightInd w:val="0"/>
        <w:ind w:left="851"/>
        <w:rPr>
          <w:sz w:val="24"/>
          <w:szCs w:val="24"/>
        </w:rPr>
      </w:pPr>
      <w:r w:rsidRPr="005E78A6">
        <w:rPr>
          <w:sz w:val="24"/>
          <w:szCs w:val="24"/>
        </w:rPr>
        <w:t>Vand, renset</w:t>
      </w:r>
    </w:p>
    <w:p w:rsidR="00B6243E" w:rsidRPr="005E78A6" w:rsidRDefault="00B6243E" w:rsidP="00B6243E">
      <w:pPr>
        <w:autoSpaceDE w:val="0"/>
        <w:autoSpaceDN w:val="0"/>
        <w:adjustRightInd w:val="0"/>
        <w:ind w:left="851"/>
        <w:rPr>
          <w:sz w:val="24"/>
          <w:szCs w:val="24"/>
        </w:rPr>
      </w:pPr>
    </w:p>
    <w:p w:rsidR="00B6243E" w:rsidRPr="00A10FC1" w:rsidRDefault="00B6243E" w:rsidP="00B6243E">
      <w:pPr>
        <w:tabs>
          <w:tab w:val="left" w:pos="851"/>
        </w:tabs>
        <w:autoSpaceDE w:val="0"/>
        <w:autoSpaceDN w:val="0"/>
        <w:adjustRightInd w:val="0"/>
        <w:ind w:left="851"/>
        <w:rPr>
          <w:sz w:val="24"/>
          <w:szCs w:val="24"/>
          <w:u w:val="single"/>
        </w:rPr>
      </w:pPr>
      <w:r w:rsidRPr="00A10FC1">
        <w:rPr>
          <w:sz w:val="24"/>
          <w:szCs w:val="24"/>
          <w:u w:val="single"/>
        </w:rPr>
        <w:t>Kapselskal</w:t>
      </w:r>
    </w:p>
    <w:p w:rsidR="00B6243E" w:rsidRDefault="00B6243E" w:rsidP="00B6243E">
      <w:pPr>
        <w:tabs>
          <w:tab w:val="left" w:pos="851"/>
        </w:tabs>
        <w:autoSpaceDE w:val="0"/>
        <w:autoSpaceDN w:val="0"/>
        <w:adjustRightInd w:val="0"/>
        <w:ind w:left="851"/>
        <w:rPr>
          <w:sz w:val="24"/>
          <w:szCs w:val="24"/>
          <w:u w:val="single"/>
        </w:rPr>
      </w:pPr>
    </w:p>
    <w:p w:rsidR="00B6243E" w:rsidRPr="00A10FC1" w:rsidRDefault="00B6243E" w:rsidP="00B6243E">
      <w:pPr>
        <w:tabs>
          <w:tab w:val="left" w:pos="851"/>
        </w:tabs>
        <w:autoSpaceDE w:val="0"/>
        <w:autoSpaceDN w:val="0"/>
        <w:adjustRightInd w:val="0"/>
        <w:ind w:left="851"/>
        <w:rPr>
          <w:i/>
          <w:sz w:val="24"/>
          <w:szCs w:val="24"/>
        </w:rPr>
      </w:pPr>
      <w:r w:rsidRPr="00A10FC1">
        <w:rPr>
          <w:i/>
          <w:sz w:val="24"/>
          <w:szCs w:val="24"/>
        </w:rPr>
        <w:t>20 mg og 80 mg</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Gelatine</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Sorbitol, flydende, delvist dehydreret</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Titandioxid (E171)</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Gul jernoxid (E172)</w:t>
      </w:r>
    </w:p>
    <w:p w:rsidR="00B6243E" w:rsidRPr="005E78A6" w:rsidRDefault="00B6243E" w:rsidP="00B6243E">
      <w:pPr>
        <w:autoSpaceDE w:val="0"/>
        <w:autoSpaceDN w:val="0"/>
        <w:adjustRightInd w:val="0"/>
        <w:ind w:left="851"/>
        <w:rPr>
          <w:sz w:val="24"/>
          <w:szCs w:val="24"/>
        </w:rPr>
      </w:pPr>
      <w:r w:rsidRPr="005E78A6">
        <w:rPr>
          <w:sz w:val="24"/>
          <w:szCs w:val="24"/>
        </w:rPr>
        <w:t>Vand, renset</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Triglycerider, middelkædelængde</w:t>
      </w:r>
    </w:p>
    <w:p w:rsidR="00B6243E" w:rsidRPr="005E78A6" w:rsidRDefault="00B6243E" w:rsidP="00B6243E">
      <w:pPr>
        <w:tabs>
          <w:tab w:val="left" w:pos="851"/>
        </w:tabs>
        <w:autoSpaceDE w:val="0"/>
        <w:autoSpaceDN w:val="0"/>
        <w:adjustRightInd w:val="0"/>
        <w:ind w:left="851"/>
        <w:rPr>
          <w:sz w:val="24"/>
          <w:szCs w:val="24"/>
        </w:rPr>
      </w:pPr>
    </w:p>
    <w:p w:rsidR="00B6243E" w:rsidRPr="00A10FC1" w:rsidRDefault="00B6243E" w:rsidP="00B6243E">
      <w:pPr>
        <w:tabs>
          <w:tab w:val="left" w:pos="851"/>
        </w:tabs>
        <w:autoSpaceDE w:val="0"/>
        <w:autoSpaceDN w:val="0"/>
        <w:adjustRightInd w:val="0"/>
        <w:ind w:left="851"/>
        <w:rPr>
          <w:i/>
          <w:sz w:val="24"/>
          <w:szCs w:val="24"/>
        </w:rPr>
      </w:pPr>
      <w:r w:rsidRPr="00A10FC1">
        <w:rPr>
          <w:i/>
          <w:sz w:val="24"/>
          <w:szCs w:val="24"/>
        </w:rPr>
        <w:t>30 mg</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Gelatine</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Sorbitol, flydende, delvist dehydreret</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Titandioxid (E171)</w:t>
      </w:r>
    </w:p>
    <w:p w:rsidR="00B6243E" w:rsidRPr="005E78A6" w:rsidRDefault="00B6243E" w:rsidP="00B6243E">
      <w:pPr>
        <w:tabs>
          <w:tab w:val="left" w:pos="851"/>
        </w:tabs>
        <w:autoSpaceDE w:val="0"/>
        <w:autoSpaceDN w:val="0"/>
        <w:adjustRightInd w:val="0"/>
        <w:ind w:left="851"/>
        <w:rPr>
          <w:sz w:val="24"/>
          <w:szCs w:val="24"/>
        </w:rPr>
      </w:pPr>
      <w:r w:rsidRPr="005E78A6">
        <w:rPr>
          <w:sz w:val="24"/>
          <w:szCs w:val="24"/>
        </w:rPr>
        <w:t>Rød jernoxid (E172)</w:t>
      </w:r>
    </w:p>
    <w:p w:rsidR="00B6243E" w:rsidRPr="005E78A6" w:rsidRDefault="00B6243E" w:rsidP="00B6243E">
      <w:pPr>
        <w:autoSpaceDE w:val="0"/>
        <w:autoSpaceDN w:val="0"/>
        <w:adjustRightInd w:val="0"/>
        <w:ind w:left="851"/>
        <w:rPr>
          <w:sz w:val="24"/>
          <w:szCs w:val="24"/>
        </w:rPr>
      </w:pPr>
      <w:r w:rsidRPr="005E78A6">
        <w:rPr>
          <w:sz w:val="24"/>
          <w:szCs w:val="24"/>
        </w:rPr>
        <w:t>Vand, renset</w:t>
      </w:r>
    </w:p>
    <w:p w:rsidR="00B6243E" w:rsidRPr="00C84483" w:rsidRDefault="00B6243E" w:rsidP="00B6243E">
      <w:pPr>
        <w:tabs>
          <w:tab w:val="left" w:pos="851"/>
        </w:tabs>
        <w:autoSpaceDE w:val="0"/>
        <w:autoSpaceDN w:val="0"/>
        <w:adjustRightInd w:val="0"/>
        <w:ind w:left="851"/>
        <w:rPr>
          <w:sz w:val="24"/>
          <w:szCs w:val="24"/>
        </w:rPr>
      </w:pPr>
      <w:r w:rsidRPr="005E78A6">
        <w:rPr>
          <w:sz w:val="24"/>
          <w:szCs w:val="24"/>
        </w:rPr>
        <w:t>Triglycerider, middelkædelængde</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6.2</w:t>
      </w:r>
      <w:r w:rsidRPr="00C84483">
        <w:rPr>
          <w:b/>
          <w:sz w:val="24"/>
          <w:szCs w:val="24"/>
        </w:rPr>
        <w:tab/>
        <w:t>Uforligeligheder</w:t>
      </w:r>
    </w:p>
    <w:p w:rsidR="00B6243E" w:rsidRPr="00C84483" w:rsidRDefault="00B6243E" w:rsidP="00B6243E">
      <w:pPr>
        <w:tabs>
          <w:tab w:val="left" w:pos="851"/>
        </w:tabs>
        <w:ind w:left="851"/>
        <w:rPr>
          <w:sz w:val="24"/>
          <w:szCs w:val="24"/>
        </w:rPr>
      </w:pPr>
      <w:r>
        <w:rPr>
          <w:sz w:val="24"/>
          <w:szCs w:val="24"/>
        </w:rPr>
        <w:t>Ikke relevant.</w:t>
      </w:r>
    </w:p>
    <w:p w:rsidR="00905C2E" w:rsidRDefault="00905C2E">
      <w:pPr>
        <w:rPr>
          <w:sz w:val="24"/>
          <w:szCs w:val="24"/>
        </w:rPr>
      </w:pPr>
      <w:r>
        <w:rPr>
          <w:sz w:val="24"/>
          <w:szCs w:val="24"/>
        </w:rPr>
        <w:br w:type="page"/>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6.3</w:t>
      </w:r>
      <w:r w:rsidRPr="00C84483">
        <w:rPr>
          <w:b/>
          <w:sz w:val="24"/>
          <w:szCs w:val="24"/>
        </w:rPr>
        <w:tab/>
        <w:t>Opbevaringstid</w:t>
      </w:r>
    </w:p>
    <w:p w:rsidR="00B6243E" w:rsidRDefault="00B6243E" w:rsidP="00B6243E">
      <w:pPr>
        <w:tabs>
          <w:tab w:val="left" w:pos="851"/>
        </w:tabs>
        <w:ind w:left="851" w:hanging="851"/>
        <w:rPr>
          <w:sz w:val="24"/>
          <w:szCs w:val="24"/>
        </w:rPr>
      </w:pPr>
      <w:r w:rsidRPr="00C84483">
        <w:rPr>
          <w:sz w:val="24"/>
          <w:szCs w:val="24"/>
        </w:rPr>
        <w:tab/>
      </w:r>
      <w:r w:rsidR="00172AD6">
        <w:rPr>
          <w:sz w:val="24"/>
          <w:szCs w:val="24"/>
        </w:rPr>
        <w:t>3 år.</w:t>
      </w:r>
    </w:p>
    <w:p w:rsidR="00B6243E" w:rsidRPr="00C84483" w:rsidRDefault="00B6243E" w:rsidP="009F1E0D">
      <w:pPr>
        <w:tabs>
          <w:tab w:val="left" w:pos="851"/>
        </w:tabs>
        <w:ind w:left="851" w:hanging="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6243E" w:rsidRPr="0037173D" w:rsidRDefault="00B6243E" w:rsidP="00B6243E">
      <w:pPr>
        <w:tabs>
          <w:tab w:val="left" w:pos="0"/>
          <w:tab w:val="left" w:pos="851"/>
        </w:tabs>
        <w:autoSpaceDE w:val="0"/>
        <w:autoSpaceDN w:val="0"/>
        <w:adjustRightInd w:val="0"/>
        <w:ind w:left="851"/>
        <w:rPr>
          <w:szCs w:val="24"/>
        </w:rPr>
      </w:pPr>
      <w:r w:rsidRPr="002D1E65">
        <w:rPr>
          <w:szCs w:val="24"/>
        </w:rPr>
        <w:t>Opbevares i køleskab (2 °C</w:t>
      </w:r>
      <w:r>
        <w:rPr>
          <w:szCs w:val="24"/>
        </w:rPr>
        <w:t>-</w:t>
      </w:r>
      <w:r w:rsidRPr="002D1E65">
        <w:rPr>
          <w:szCs w:val="24"/>
        </w:rPr>
        <w:t>8 °C).</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6243E" w:rsidRPr="00EF37E8" w:rsidRDefault="00B6243E" w:rsidP="00B6243E">
      <w:pPr>
        <w:tabs>
          <w:tab w:val="left" w:pos="851"/>
        </w:tabs>
        <w:ind w:left="851"/>
        <w:rPr>
          <w:sz w:val="24"/>
          <w:szCs w:val="24"/>
        </w:rPr>
      </w:pPr>
      <w:r w:rsidRPr="00EF37E8">
        <w:rPr>
          <w:sz w:val="24"/>
          <w:szCs w:val="24"/>
        </w:rPr>
        <w:t>PVC/PVDC-Al blister med børnesikret sikkerhedslag af papir.</w:t>
      </w:r>
    </w:p>
    <w:p w:rsidR="00B6243E" w:rsidRPr="00EF37E8" w:rsidRDefault="00B6243E" w:rsidP="00B6243E">
      <w:pPr>
        <w:tabs>
          <w:tab w:val="left" w:pos="851"/>
        </w:tabs>
        <w:ind w:left="851"/>
        <w:rPr>
          <w:sz w:val="24"/>
          <w:szCs w:val="24"/>
        </w:rPr>
      </w:pPr>
    </w:p>
    <w:p w:rsidR="00B6243E" w:rsidRDefault="00B6243E" w:rsidP="00B6243E">
      <w:pPr>
        <w:tabs>
          <w:tab w:val="left" w:pos="851"/>
        </w:tabs>
        <w:ind w:left="851"/>
        <w:rPr>
          <w:sz w:val="24"/>
          <w:szCs w:val="24"/>
        </w:rPr>
      </w:pPr>
      <w:r w:rsidRPr="00EF37E8">
        <w:rPr>
          <w:sz w:val="24"/>
          <w:szCs w:val="24"/>
        </w:rPr>
        <w:t>Pakningsstørrelse</w:t>
      </w:r>
      <w:r>
        <w:rPr>
          <w:sz w:val="24"/>
          <w:szCs w:val="24"/>
        </w:rPr>
        <w:t>r</w:t>
      </w:r>
      <w:r w:rsidRPr="00EF37E8">
        <w:rPr>
          <w:sz w:val="24"/>
          <w:szCs w:val="24"/>
        </w:rPr>
        <w:t xml:space="preserve">: 1 </w:t>
      </w:r>
      <w:r>
        <w:rPr>
          <w:sz w:val="24"/>
          <w:szCs w:val="24"/>
        </w:rPr>
        <w:t>blød kapsel.</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6243E" w:rsidRPr="00FC5528" w:rsidRDefault="00B6243E" w:rsidP="00B6243E">
      <w:pPr>
        <w:tabs>
          <w:tab w:val="left" w:pos="0"/>
          <w:tab w:val="left" w:pos="851"/>
        </w:tabs>
        <w:autoSpaceDE w:val="0"/>
        <w:autoSpaceDN w:val="0"/>
        <w:adjustRightInd w:val="0"/>
        <w:ind w:left="851"/>
        <w:rPr>
          <w:sz w:val="24"/>
          <w:szCs w:val="24"/>
        </w:rPr>
      </w:pPr>
      <w:r w:rsidRPr="00FC5528">
        <w:rPr>
          <w:sz w:val="24"/>
          <w:szCs w:val="24"/>
        </w:rPr>
        <w:t xml:space="preserve">Af sikkerhedsgrunde skal alle ikke anvendte kapsler returneres til hospitalet eller apoteket med henblik på bortskaffelse i overensstemmelse med lokale retningslinjer for </w:t>
      </w:r>
      <w:proofErr w:type="spellStart"/>
      <w:r w:rsidRPr="00FC5528">
        <w:rPr>
          <w:sz w:val="24"/>
          <w:szCs w:val="24"/>
        </w:rPr>
        <w:t>cytostatika</w:t>
      </w:r>
      <w:proofErr w:type="spellEnd"/>
      <w:r w:rsidRPr="00FC5528">
        <w:rPr>
          <w:sz w:val="24"/>
          <w:szCs w:val="24"/>
        </w:rPr>
        <w:t>.</w:t>
      </w:r>
    </w:p>
    <w:p w:rsidR="00B6243E" w:rsidRPr="00FC5528" w:rsidRDefault="00B6243E" w:rsidP="00B6243E">
      <w:pPr>
        <w:tabs>
          <w:tab w:val="left" w:pos="0"/>
          <w:tab w:val="left" w:pos="851"/>
        </w:tabs>
        <w:autoSpaceDE w:val="0"/>
        <w:autoSpaceDN w:val="0"/>
        <w:adjustRightInd w:val="0"/>
        <w:ind w:left="851"/>
        <w:rPr>
          <w:sz w:val="24"/>
          <w:szCs w:val="24"/>
        </w:rPr>
      </w:pPr>
    </w:p>
    <w:p w:rsidR="00B6243E" w:rsidRPr="005F475C" w:rsidRDefault="00B6243E" w:rsidP="00B6243E">
      <w:pPr>
        <w:tabs>
          <w:tab w:val="left" w:pos="0"/>
          <w:tab w:val="left" w:pos="851"/>
        </w:tabs>
        <w:autoSpaceDE w:val="0"/>
        <w:autoSpaceDN w:val="0"/>
        <w:adjustRightInd w:val="0"/>
        <w:ind w:left="851"/>
        <w:rPr>
          <w:b/>
          <w:sz w:val="24"/>
          <w:szCs w:val="24"/>
        </w:rPr>
      </w:pPr>
      <w:r w:rsidRPr="005F475C">
        <w:rPr>
          <w:b/>
          <w:sz w:val="24"/>
          <w:szCs w:val="24"/>
        </w:rPr>
        <w:t>Forsigtighedsregler vedrørende brugen, se pkt. 4.4.</w:t>
      </w:r>
    </w:p>
    <w:p w:rsidR="00B6243E" w:rsidRPr="00FC5528" w:rsidRDefault="00B6243E" w:rsidP="00B6243E">
      <w:pPr>
        <w:autoSpaceDE w:val="0"/>
        <w:autoSpaceDN w:val="0"/>
        <w:adjustRightInd w:val="0"/>
        <w:ind w:left="851"/>
        <w:rPr>
          <w:sz w:val="24"/>
          <w:szCs w:val="24"/>
        </w:rPr>
      </w:pPr>
    </w:p>
    <w:p w:rsidR="00B6243E" w:rsidRPr="005F475C" w:rsidRDefault="00B6243E" w:rsidP="00B6243E">
      <w:pPr>
        <w:tabs>
          <w:tab w:val="left" w:pos="1140"/>
        </w:tabs>
        <w:autoSpaceDE w:val="0"/>
        <w:autoSpaceDN w:val="0"/>
        <w:adjustRightInd w:val="0"/>
        <w:ind w:left="851"/>
        <w:rPr>
          <w:sz w:val="24"/>
          <w:szCs w:val="24"/>
          <w:u w:val="single"/>
        </w:rPr>
      </w:pPr>
      <w:r w:rsidRPr="005F475C">
        <w:rPr>
          <w:sz w:val="24"/>
          <w:szCs w:val="24"/>
          <w:u w:val="single"/>
        </w:rPr>
        <w:t>Bl</w:t>
      </w:r>
      <w:r>
        <w:rPr>
          <w:sz w:val="24"/>
          <w:szCs w:val="24"/>
          <w:u w:val="single"/>
        </w:rPr>
        <w:t>isterpakningen åbnes som følger</w:t>
      </w:r>
    </w:p>
    <w:p w:rsidR="00B6243E" w:rsidRPr="00FC5528" w:rsidRDefault="00B6243E" w:rsidP="00B6243E">
      <w:pPr>
        <w:tabs>
          <w:tab w:val="left" w:pos="1140"/>
        </w:tabs>
        <w:autoSpaceDE w:val="0"/>
        <w:autoSpaceDN w:val="0"/>
        <w:adjustRightInd w:val="0"/>
        <w:ind w:left="851"/>
        <w:rPr>
          <w:sz w:val="24"/>
          <w:szCs w:val="24"/>
        </w:rPr>
      </w:pPr>
      <w:r w:rsidRPr="00FC5528">
        <w:rPr>
          <w:sz w:val="24"/>
          <w:szCs w:val="24"/>
        </w:rPr>
        <w:t>1.</w:t>
      </w:r>
      <w:r w:rsidRPr="00FC5528">
        <w:rPr>
          <w:sz w:val="24"/>
          <w:szCs w:val="24"/>
        </w:rPr>
        <w:tab/>
        <w:t>Blisterpakningen klippes op med en saks langs den stiplede linje.</w:t>
      </w:r>
    </w:p>
    <w:p w:rsidR="00B6243E" w:rsidRPr="00FC5528" w:rsidRDefault="00B6243E" w:rsidP="00B6243E">
      <w:pPr>
        <w:tabs>
          <w:tab w:val="left" w:pos="1140"/>
        </w:tabs>
        <w:autoSpaceDE w:val="0"/>
        <w:autoSpaceDN w:val="0"/>
        <w:adjustRightInd w:val="0"/>
        <w:ind w:left="851"/>
        <w:rPr>
          <w:sz w:val="24"/>
          <w:szCs w:val="24"/>
        </w:rPr>
      </w:pPr>
      <w:r w:rsidRPr="00FC5528">
        <w:rPr>
          <w:sz w:val="24"/>
          <w:szCs w:val="24"/>
        </w:rPr>
        <w:t>2.</w:t>
      </w:r>
      <w:r w:rsidRPr="00FC5528">
        <w:rPr>
          <w:sz w:val="24"/>
          <w:szCs w:val="24"/>
        </w:rPr>
        <w:tab/>
        <w:t>Den bløde plastfolie trækkes af.</w:t>
      </w:r>
    </w:p>
    <w:p w:rsidR="00B6243E" w:rsidRPr="00C84483" w:rsidRDefault="00B6243E" w:rsidP="00B6243E">
      <w:pPr>
        <w:tabs>
          <w:tab w:val="left" w:pos="1140"/>
        </w:tabs>
        <w:autoSpaceDE w:val="0"/>
        <w:autoSpaceDN w:val="0"/>
        <w:adjustRightInd w:val="0"/>
        <w:ind w:left="851"/>
        <w:rPr>
          <w:sz w:val="24"/>
          <w:szCs w:val="24"/>
        </w:rPr>
      </w:pPr>
      <w:r w:rsidRPr="00FC5528">
        <w:rPr>
          <w:sz w:val="24"/>
          <w:szCs w:val="24"/>
        </w:rPr>
        <w:t>3.</w:t>
      </w:r>
      <w:r w:rsidRPr="00FC5528">
        <w:rPr>
          <w:sz w:val="24"/>
          <w:szCs w:val="24"/>
        </w:rPr>
        <w:tab/>
        <w:t>Kapslen trykkes ud gennem alufolien.</w:t>
      </w:r>
    </w:p>
    <w:p w:rsidR="00B6243E" w:rsidRPr="00C84483" w:rsidRDefault="00B6243E" w:rsidP="00B6243E">
      <w:pPr>
        <w:tabs>
          <w:tab w:val="left" w:pos="851"/>
        </w:tabs>
        <w:ind w:left="851"/>
        <w:jc w:val="both"/>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6243E" w:rsidRPr="00A746DC" w:rsidRDefault="00B6243E" w:rsidP="00B6243E">
      <w:pPr>
        <w:tabs>
          <w:tab w:val="left" w:pos="851"/>
        </w:tabs>
        <w:ind w:left="851"/>
        <w:rPr>
          <w:sz w:val="24"/>
          <w:szCs w:val="24"/>
        </w:rPr>
      </w:pPr>
      <w:r w:rsidRPr="00A746DC">
        <w:rPr>
          <w:sz w:val="24"/>
          <w:szCs w:val="24"/>
        </w:rPr>
        <w:t>Orifarm Generics A/S</w:t>
      </w:r>
    </w:p>
    <w:p w:rsidR="00B6243E" w:rsidRPr="00A746DC" w:rsidRDefault="00B6243E" w:rsidP="00B6243E">
      <w:pPr>
        <w:tabs>
          <w:tab w:val="left" w:pos="851"/>
        </w:tabs>
        <w:ind w:left="851"/>
        <w:rPr>
          <w:sz w:val="24"/>
          <w:szCs w:val="24"/>
        </w:rPr>
      </w:pPr>
      <w:r w:rsidRPr="00A746DC">
        <w:rPr>
          <w:sz w:val="24"/>
          <w:szCs w:val="24"/>
        </w:rPr>
        <w:t>Energivej 15</w:t>
      </w:r>
    </w:p>
    <w:p w:rsidR="00B6243E" w:rsidRPr="00A746DC" w:rsidRDefault="00B6243E" w:rsidP="00B6243E">
      <w:pPr>
        <w:tabs>
          <w:tab w:val="left" w:pos="851"/>
        </w:tabs>
        <w:ind w:left="851"/>
        <w:rPr>
          <w:sz w:val="24"/>
          <w:szCs w:val="24"/>
        </w:rPr>
      </w:pPr>
      <w:r w:rsidRPr="00A746DC">
        <w:rPr>
          <w:sz w:val="24"/>
          <w:szCs w:val="24"/>
        </w:rPr>
        <w:t>5260 Odense S</w:t>
      </w:r>
    </w:p>
    <w:p w:rsidR="00B6243E" w:rsidRPr="00C84483" w:rsidRDefault="00B6243E" w:rsidP="00B6243E">
      <w:pPr>
        <w:tabs>
          <w:tab w:val="left" w:pos="851"/>
        </w:tabs>
        <w:ind w:left="851"/>
        <w:rPr>
          <w:sz w:val="24"/>
          <w:szCs w:val="24"/>
        </w:rPr>
      </w:pPr>
    </w:p>
    <w:p w:rsidR="008F1881" w:rsidRPr="00C84483" w:rsidRDefault="008F1881" w:rsidP="008F188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6243E" w:rsidRPr="00A746DC" w:rsidRDefault="00B6243E" w:rsidP="00B6243E">
      <w:pPr>
        <w:tabs>
          <w:tab w:val="left" w:pos="851"/>
        </w:tabs>
        <w:ind w:left="851"/>
        <w:rPr>
          <w:sz w:val="24"/>
          <w:szCs w:val="24"/>
        </w:rPr>
      </w:pPr>
      <w:r w:rsidRPr="00A746DC">
        <w:rPr>
          <w:sz w:val="24"/>
          <w:szCs w:val="24"/>
        </w:rPr>
        <w:t>20 mg: 60651</w:t>
      </w:r>
    </w:p>
    <w:p w:rsidR="00B6243E" w:rsidRPr="00A746DC" w:rsidRDefault="00B6243E" w:rsidP="00B6243E">
      <w:pPr>
        <w:tabs>
          <w:tab w:val="left" w:pos="851"/>
        </w:tabs>
        <w:ind w:left="851"/>
        <w:rPr>
          <w:sz w:val="24"/>
          <w:szCs w:val="24"/>
        </w:rPr>
      </w:pPr>
      <w:r w:rsidRPr="00A746DC">
        <w:rPr>
          <w:sz w:val="24"/>
          <w:szCs w:val="24"/>
        </w:rPr>
        <w:t>30 mg: 60652</w:t>
      </w:r>
    </w:p>
    <w:p w:rsidR="00B6243E" w:rsidRPr="00C84483" w:rsidRDefault="00B6243E" w:rsidP="00B6243E">
      <w:pPr>
        <w:tabs>
          <w:tab w:val="left" w:pos="851"/>
        </w:tabs>
        <w:ind w:left="851"/>
        <w:rPr>
          <w:sz w:val="24"/>
          <w:szCs w:val="24"/>
        </w:rPr>
      </w:pPr>
      <w:r w:rsidRPr="00A746DC">
        <w:rPr>
          <w:sz w:val="24"/>
          <w:szCs w:val="24"/>
        </w:rPr>
        <w:t>80 mg: 60653</w:t>
      </w:r>
    </w:p>
    <w:p w:rsidR="00B6243E" w:rsidRPr="00C84483" w:rsidRDefault="00B6243E" w:rsidP="00B6243E">
      <w:pPr>
        <w:tabs>
          <w:tab w:val="left" w:pos="851"/>
        </w:tabs>
        <w:ind w:left="851"/>
        <w:jc w:val="both"/>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6243E" w:rsidRPr="00C84483" w:rsidRDefault="00B6243E" w:rsidP="00B6243E">
      <w:pPr>
        <w:tabs>
          <w:tab w:val="left" w:pos="851"/>
        </w:tabs>
        <w:ind w:left="851"/>
        <w:rPr>
          <w:sz w:val="24"/>
          <w:szCs w:val="24"/>
        </w:rPr>
      </w:pPr>
      <w:r>
        <w:rPr>
          <w:sz w:val="24"/>
          <w:szCs w:val="24"/>
        </w:rPr>
        <w:t>29. maj 2019</w:t>
      </w:r>
    </w:p>
    <w:p w:rsidR="00B6243E" w:rsidRPr="00C84483" w:rsidRDefault="00B6243E" w:rsidP="00B6243E">
      <w:pPr>
        <w:tabs>
          <w:tab w:val="left" w:pos="851"/>
        </w:tabs>
        <w:ind w:left="851"/>
        <w:rPr>
          <w:sz w:val="24"/>
          <w:szCs w:val="24"/>
        </w:rPr>
      </w:pPr>
    </w:p>
    <w:p w:rsidR="00B6243E" w:rsidRPr="00C84483" w:rsidRDefault="00B6243E" w:rsidP="00B6243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6243E" w:rsidRDefault="000309A6" w:rsidP="008F1881">
      <w:pPr>
        <w:ind w:firstLine="851"/>
      </w:pPr>
      <w:r>
        <w:rPr>
          <w:sz w:val="24"/>
          <w:szCs w:val="24"/>
        </w:rPr>
        <w:t>17. januar 2024</w:t>
      </w:r>
    </w:p>
    <w:sectPr w:rsidR="009260DE" w:rsidRPr="00B6243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BDA" w:rsidRDefault="00AB6BDA">
      <w:r>
        <w:separator/>
      </w:r>
    </w:p>
  </w:endnote>
  <w:endnote w:type="continuationSeparator" w:id="0">
    <w:p w:rsidR="00AB6BDA" w:rsidRDefault="00A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BDA" w:rsidRDefault="00AB6BDA">
    <w:pPr>
      <w:pStyle w:val="Sidefod"/>
      <w:pBdr>
        <w:bottom w:val="single" w:sz="6" w:space="1" w:color="auto"/>
      </w:pBdr>
    </w:pPr>
  </w:p>
  <w:p w:rsidR="00AB6BDA" w:rsidRDefault="00AB6BDA" w:rsidP="00C42586">
    <w:pPr>
      <w:pStyle w:val="Sidefod"/>
      <w:tabs>
        <w:tab w:val="clear" w:pos="4819"/>
        <w:tab w:val="left" w:pos="8505"/>
      </w:tabs>
      <w:rPr>
        <w:i/>
        <w:sz w:val="18"/>
        <w:szCs w:val="18"/>
      </w:rPr>
    </w:pPr>
  </w:p>
  <w:p w:rsidR="00AB6BDA" w:rsidRPr="00B373D7" w:rsidRDefault="00AB6BD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Vinorelbine Orifarm, bløde kapsler 20 mg, 30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BDA" w:rsidRDefault="00AB6BDA">
      <w:r>
        <w:separator/>
      </w:r>
    </w:p>
  </w:footnote>
  <w:footnote w:type="continuationSeparator" w:id="0">
    <w:p w:rsidR="00AB6BDA" w:rsidRDefault="00AB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CE2987"/>
    <w:multiLevelType w:val="hybridMultilevel"/>
    <w:tmpl w:val="BE30D12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A34697"/>
    <w:multiLevelType w:val="hybridMultilevel"/>
    <w:tmpl w:val="90A2F8F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D237DA"/>
    <w:multiLevelType w:val="hybridMultilevel"/>
    <w:tmpl w:val="BB7AB1AC"/>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3E"/>
    <w:rsid w:val="000259B9"/>
    <w:rsid w:val="000309A6"/>
    <w:rsid w:val="00041491"/>
    <w:rsid w:val="00050D16"/>
    <w:rsid w:val="000572C4"/>
    <w:rsid w:val="00074F2A"/>
    <w:rsid w:val="000A1CA8"/>
    <w:rsid w:val="000A466B"/>
    <w:rsid w:val="000A667A"/>
    <w:rsid w:val="000B058C"/>
    <w:rsid w:val="000D7516"/>
    <w:rsid w:val="000E4EE6"/>
    <w:rsid w:val="001454E2"/>
    <w:rsid w:val="00172AD6"/>
    <w:rsid w:val="00206CE8"/>
    <w:rsid w:val="0021526C"/>
    <w:rsid w:val="0026004E"/>
    <w:rsid w:val="00283A2B"/>
    <w:rsid w:val="002B30AD"/>
    <w:rsid w:val="002C2C01"/>
    <w:rsid w:val="00385D4B"/>
    <w:rsid w:val="003A29AE"/>
    <w:rsid w:val="003A32D7"/>
    <w:rsid w:val="003B4074"/>
    <w:rsid w:val="003C769A"/>
    <w:rsid w:val="003F1838"/>
    <w:rsid w:val="0045746C"/>
    <w:rsid w:val="0049104B"/>
    <w:rsid w:val="004E3B12"/>
    <w:rsid w:val="0052447D"/>
    <w:rsid w:val="00532310"/>
    <w:rsid w:val="00560ECC"/>
    <w:rsid w:val="00565F0F"/>
    <w:rsid w:val="00594A86"/>
    <w:rsid w:val="00596D86"/>
    <w:rsid w:val="00637F5A"/>
    <w:rsid w:val="006560B1"/>
    <w:rsid w:val="006756DD"/>
    <w:rsid w:val="00737275"/>
    <w:rsid w:val="00740EEC"/>
    <w:rsid w:val="00776454"/>
    <w:rsid w:val="0078011A"/>
    <w:rsid w:val="00782AF4"/>
    <w:rsid w:val="00790EE7"/>
    <w:rsid w:val="007B6649"/>
    <w:rsid w:val="0081546F"/>
    <w:rsid w:val="0082576E"/>
    <w:rsid w:val="008374B7"/>
    <w:rsid w:val="008F1881"/>
    <w:rsid w:val="00905C2E"/>
    <w:rsid w:val="00907F75"/>
    <w:rsid w:val="009260DE"/>
    <w:rsid w:val="0093258A"/>
    <w:rsid w:val="009C7BA3"/>
    <w:rsid w:val="009D1F5A"/>
    <w:rsid w:val="009F1E0D"/>
    <w:rsid w:val="00AB6BDA"/>
    <w:rsid w:val="00B003BF"/>
    <w:rsid w:val="00B20976"/>
    <w:rsid w:val="00B373D7"/>
    <w:rsid w:val="00B41FB5"/>
    <w:rsid w:val="00B6243E"/>
    <w:rsid w:val="00C36276"/>
    <w:rsid w:val="00C42586"/>
    <w:rsid w:val="00C60CCD"/>
    <w:rsid w:val="00C61100"/>
    <w:rsid w:val="00C84483"/>
    <w:rsid w:val="00C95551"/>
    <w:rsid w:val="00CB20D7"/>
    <w:rsid w:val="00D020B0"/>
    <w:rsid w:val="00D11748"/>
    <w:rsid w:val="00D16C30"/>
    <w:rsid w:val="00D366CF"/>
    <w:rsid w:val="00D54C44"/>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90C4F"/>
  <w15:chartTrackingRefBased/>
  <w15:docId w15:val="{ABB42DED-8F0F-490F-84E6-4D625E58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NormalInterligneAumoins12pt">
    <w:name w:val="Normal + Interligne : Au moins 12 pt"/>
    <w:basedOn w:val="Normal"/>
    <w:rsid w:val="00B6243E"/>
    <w:pPr>
      <w:tabs>
        <w:tab w:val="left" w:pos="567"/>
      </w:tabs>
      <w:spacing w:line="260" w:lineRule="exact"/>
    </w:pPr>
    <w:rPr>
      <w:noProof/>
      <w:sz w:val="22"/>
      <w:lang w:val="en-US"/>
    </w:rPr>
  </w:style>
  <w:style w:type="paragraph" w:styleId="Listeafsnit">
    <w:name w:val="List Paragraph"/>
    <w:basedOn w:val="Normal"/>
    <w:uiPriority w:val="34"/>
    <w:qFormat/>
    <w:rsid w:val="00B6243E"/>
    <w:pPr>
      <w:ind w:left="720"/>
      <w:contextualSpacing/>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031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3892</Words>
  <Characters>24700</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2023083306, var. 11, holdbarhed ændret fra 30 mdr til 3 år for 20 mg og 80 mg</dc:description>
  <cp:lastModifiedBy>Gitte Jørgensen</cp:lastModifiedBy>
  <cp:revision>5</cp:revision>
  <cp:lastPrinted>2012-08-22T08:53:00Z</cp:lastPrinted>
  <dcterms:created xsi:type="dcterms:W3CDTF">2024-01-17T13:48:00Z</dcterms:created>
  <dcterms:modified xsi:type="dcterms:W3CDTF">2024-01-17T13:53:00Z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