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5771D" w14:textId="77777777" w:rsidR="009260DE" w:rsidRPr="002126A3" w:rsidRDefault="0021526C" w:rsidP="009260DE">
      <w:pPr>
        <w:rPr>
          <w:sz w:val="24"/>
          <w:szCs w:val="24"/>
        </w:rPr>
      </w:pPr>
      <w:bookmarkStart w:id="0" w:name="_GoBack"/>
      <w:bookmarkEnd w:id="0"/>
      <w:r w:rsidRPr="002126A3">
        <w:rPr>
          <w:noProof/>
          <w:sz w:val="24"/>
          <w:szCs w:val="24"/>
          <w:lang w:eastAsia="da-DK"/>
        </w:rPr>
        <w:drawing>
          <wp:anchor distT="0" distB="0" distL="114300" distR="114300" simplePos="0" relativeHeight="251658240" behindDoc="0" locked="0" layoutInCell="1" allowOverlap="1" wp14:anchorId="2D5ED953" wp14:editId="2AC4053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2126A3">
        <w:rPr>
          <w:sz w:val="24"/>
          <w:szCs w:val="24"/>
        </w:rPr>
        <w:br w:type="textWrapping" w:clear="all"/>
      </w:r>
    </w:p>
    <w:p w14:paraId="43B7788A" w14:textId="1E25742D" w:rsidR="009260DE" w:rsidRPr="002126A3" w:rsidRDefault="009260DE" w:rsidP="009260DE">
      <w:pPr>
        <w:pStyle w:val="Titel"/>
        <w:tabs>
          <w:tab w:val="right" w:pos="9356"/>
        </w:tabs>
        <w:jc w:val="left"/>
        <w:rPr>
          <w:b w:val="0"/>
          <w:szCs w:val="24"/>
          <w:lang w:eastAsia="en-US"/>
        </w:rPr>
      </w:pPr>
      <w:r w:rsidRPr="002126A3">
        <w:rPr>
          <w:b w:val="0"/>
          <w:szCs w:val="24"/>
          <w:lang w:eastAsia="en-US"/>
        </w:rPr>
        <w:tab/>
      </w:r>
      <w:r w:rsidR="00762043">
        <w:rPr>
          <w:szCs w:val="24"/>
        </w:rPr>
        <w:t>9. februar 2023</w:t>
      </w:r>
    </w:p>
    <w:p w14:paraId="7098248A" w14:textId="77777777" w:rsidR="009260DE" w:rsidRPr="002126A3" w:rsidRDefault="009260DE" w:rsidP="009260DE">
      <w:pPr>
        <w:pStyle w:val="Titel"/>
        <w:tabs>
          <w:tab w:val="left" w:pos="8222"/>
        </w:tabs>
        <w:jc w:val="left"/>
        <w:rPr>
          <w:b w:val="0"/>
          <w:szCs w:val="24"/>
        </w:rPr>
      </w:pPr>
    </w:p>
    <w:p w14:paraId="17BEBD3E" w14:textId="77777777" w:rsidR="009260DE" w:rsidRPr="002126A3" w:rsidRDefault="009260DE" w:rsidP="009260DE">
      <w:pPr>
        <w:pStyle w:val="Titel"/>
        <w:jc w:val="left"/>
        <w:rPr>
          <w:b w:val="0"/>
          <w:szCs w:val="24"/>
        </w:rPr>
      </w:pPr>
    </w:p>
    <w:p w14:paraId="0B6EB7C9" w14:textId="77777777" w:rsidR="009260DE" w:rsidRPr="002126A3" w:rsidRDefault="009260DE" w:rsidP="009260DE">
      <w:pPr>
        <w:pStyle w:val="Titel"/>
        <w:jc w:val="left"/>
        <w:rPr>
          <w:b w:val="0"/>
          <w:szCs w:val="24"/>
        </w:rPr>
      </w:pPr>
    </w:p>
    <w:p w14:paraId="318D5FB4" w14:textId="77777777" w:rsidR="009260DE" w:rsidRPr="002126A3" w:rsidRDefault="009260DE" w:rsidP="009260DE">
      <w:pPr>
        <w:jc w:val="center"/>
        <w:rPr>
          <w:b/>
          <w:sz w:val="24"/>
          <w:szCs w:val="24"/>
        </w:rPr>
      </w:pPr>
      <w:r w:rsidRPr="002126A3">
        <w:rPr>
          <w:b/>
          <w:sz w:val="24"/>
          <w:szCs w:val="24"/>
        </w:rPr>
        <w:t>PRODUKTRESUMÉ</w:t>
      </w:r>
    </w:p>
    <w:p w14:paraId="179D5363" w14:textId="77777777" w:rsidR="009260DE" w:rsidRPr="002126A3" w:rsidRDefault="009260DE" w:rsidP="009260DE">
      <w:pPr>
        <w:jc w:val="center"/>
        <w:rPr>
          <w:b/>
          <w:sz w:val="24"/>
          <w:szCs w:val="24"/>
        </w:rPr>
      </w:pPr>
    </w:p>
    <w:p w14:paraId="0994AC06" w14:textId="77777777" w:rsidR="009260DE" w:rsidRPr="002126A3" w:rsidRDefault="009260DE" w:rsidP="009260DE">
      <w:pPr>
        <w:jc w:val="center"/>
        <w:rPr>
          <w:b/>
          <w:sz w:val="24"/>
          <w:szCs w:val="24"/>
        </w:rPr>
      </w:pPr>
      <w:r w:rsidRPr="002126A3">
        <w:rPr>
          <w:b/>
          <w:sz w:val="24"/>
          <w:szCs w:val="24"/>
        </w:rPr>
        <w:t>for</w:t>
      </w:r>
    </w:p>
    <w:p w14:paraId="2798185B" w14:textId="77777777" w:rsidR="000B058C" w:rsidRPr="002126A3" w:rsidRDefault="000B058C" w:rsidP="009260DE">
      <w:pPr>
        <w:jc w:val="center"/>
        <w:rPr>
          <w:b/>
          <w:sz w:val="24"/>
          <w:szCs w:val="24"/>
        </w:rPr>
      </w:pPr>
    </w:p>
    <w:p w14:paraId="10EB1B0D" w14:textId="21DE2C07" w:rsidR="009260DE" w:rsidRPr="002126A3" w:rsidRDefault="001E4E13" w:rsidP="009260DE">
      <w:pPr>
        <w:jc w:val="center"/>
        <w:rPr>
          <w:b/>
          <w:sz w:val="24"/>
          <w:szCs w:val="24"/>
        </w:rPr>
      </w:pPr>
      <w:proofErr w:type="spellStart"/>
      <w:r w:rsidRPr="002126A3">
        <w:rPr>
          <w:b/>
          <w:sz w:val="24"/>
          <w:szCs w:val="24"/>
        </w:rPr>
        <w:t>Virafosc</w:t>
      </w:r>
      <w:proofErr w:type="spellEnd"/>
      <w:r w:rsidRPr="002126A3">
        <w:rPr>
          <w:b/>
          <w:sz w:val="24"/>
          <w:szCs w:val="24"/>
        </w:rPr>
        <w:t>, infusionsvæske, opløsning</w:t>
      </w:r>
    </w:p>
    <w:p w14:paraId="267979D9" w14:textId="77777777" w:rsidR="009260DE" w:rsidRPr="002126A3" w:rsidRDefault="009260DE" w:rsidP="009260DE">
      <w:pPr>
        <w:jc w:val="both"/>
        <w:rPr>
          <w:sz w:val="24"/>
          <w:szCs w:val="24"/>
        </w:rPr>
      </w:pPr>
    </w:p>
    <w:p w14:paraId="1D442F2F" w14:textId="77777777" w:rsidR="009260DE" w:rsidRPr="002126A3" w:rsidRDefault="009260DE" w:rsidP="009260DE">
      <w:pPr>
        <w:jc w:val="both"/>
        <w:rPr>
          <w:sz w:val="24"/>
          <w:szCs w:val="24"/>
        </w:rPr>
      </w:pPr>
    </w:p>
    <w:p w14:paraId="5BD2DE23" w14:textId="77777777" w:rsidR="009260DE" w:rsidRPr="002126A3" w:rsidRDefault="009260DE" w:rsidP="009260DE">
      <w:pPr>
        <w:tabs>
          <w:tab w:val="left" w:pos="851"/>
        </w:tabs>
        <w:ind w:left="851" w:hanging="851"/>
        <w:rPr>
          <w:b/>
          <w:sz w:val="24"/>
          <w:szCs w:val="24"/>
        </w:rPr>
      </w:pPr>
      <w:r w:rsidRPr="002126A3">
        <w:rPr>
          <w:b/>
          <w:sz w:val="24"/>
          <w:szCs w:val="24"/>
        </w:rPr>
        <w:t>0.</w:t>
      </w:r>
      <w:r w:rsidRPr="002126A3">
        <w:rPr>
          <w:b/>
          <w:sz w:val="24"/>
          <w:szCs w:val="24"/>
        </w:rPr>
        <w:tab/>
        <w:t>D.SP.NR.</w:t>
      </w:r>
    </w:p>
    <w:p w14:paraId="43A0CA2B" w14:textId="7F25B26C" w:rsidR="009260DE" w:rsidRPr="002126A3" w:rsidRDefault="001E4E13" w:rsidP="009260DE">
      <w:pPr>
        <w:tabs>
          <w:tab w:val="left" w:pos="851"/>
        </w:tabs>
        <w:ind w:left="851"/>
        <w:rPr>
          <w:sz w:val="24"/>
          <w:szCs w:val="24"/>
        </w:rPr>
      </w:pPr>
      <w:r w:rsidRPr="002126A3">
        <w:rPr>
          <w:sz w:val="24"/>
          <w:szCs w:val="24"/>
        </w:rPr>
        <w:t>32846</w:t>
      </w:r>
    </w:p>
    <w:p w14:paraId="0A78AB37" w14:textId="77777777" w:rsidR="009260DE" w:rsidRPr="002126A3" w:rsidRDefault="009260DE" w:rsidP="009260DE">
      <w:pPr>
        <w:tabs>
          <w:tab w:val="left" w:pos="851"/>
        </w:tabs>
        <w:ind w:left="851"/>
        <w:rPr>
          <w:sz w:val="24"/>
          <w:szCs w:val="24"/>
        </w:rPr>
      </w:pPr>
    </w:p>
    <w:p w14:paraId="524D1D6B" w14:textId="77777777" w:rsidR="009260DE" w:rsidRPr="002126A3" w:rsidRDefault="009260DE" w:rsidP="009260DE">
      <w:pPr>
        <w:tabs>
          <w:tab w:val="left" w:pos="851"/>
        </w:tabs>
        <w:ind w:left="851" w:hanging="851"/>
        <w:rPr>
          <w:b/>
          <w:sz w:val="24"/>
          <w:szCs w:val="24"/>
        </w:rPr>
      </w:pPr>
      <w:r w:rsidRPr="002126A3">
        <w:rPr>
          <w:b/>
          <w:sz w:val="24"/>
          <w:szCs w:val="24"/>
        </w:rPr>
        <w:t>1.</w:t>
      </w:r>
      <w:r w:rsidRPr="002126A3">
        <w:rPr>
          <w:b/>
          <w:sz w:val="24"/>
          <w:szCs w:val="24"/>
        </w:rPr>
        <w:tab/>
        <w:t>LÆGEMIDLETS NAVN</w:t>
      </w:r>
    </w:p>
    <w:p w14:paraId="736E73CD" w14:textId="384B3E91" w:rsidR="009260DE" w:rsidRPr="002126A3" w:rsidRDefault="001E4E13" w:rsidP="009260DE">
      <w:pPr>
        <w:tabs>
          <w:tab w:val="left" w:pos="851"/>
        </w:tabs>
        <w:ind w:left="851"/>
        <w:rPr>
          <w:sz w:val="24"/>
          <w:szCs w:val="24"/>
        </w:rPr>
      </w:pPr>
      <w:proofErr w:type="spellStart"/>
      <w:r w:rsidRPr="002126A3">
        <w:rPr>
          <w:sz w:val="24"/>
          <w:szCs w:val="24"/>
        </w:rPr>
        <w:t>Virafosc</w:t>
      </w:r>
      <w:proofErr w:type="spellEnd"/>
    </w:p>
    <w:p w14:paraId="6F5D68D2" w14:textId="77777777" w:rsidR="009260DE" w:rsidRPr="002126A3" w:rsidRDefault="009260DE" w:rsidP="009260DE">
      <w:pPr>
        <w:tabs>
          <w:tab w:val="left" w:pos="851"/>
        </w:tabs>
        <w:ind w:left="851"/>
        <w:rPr>
          <w:sz w:val="24"/>
          <w:szCs w:val="24"/>
        </w:rPr>
      </w:pPr>
    </w:p>
    <w:p w14:paraId="6D8B291C" w14:textId="77777777" w:rsidR="009260DE" w:rsidRPr="002126A3" w:rsidRDefault="009260DE" w:rsidP="009260DE">
      <w:pPr>
        <w:tabs>
          <w:tab w:val="left" w:pos="851"/>
        </w:tabs>
        <w:ind w:left="851" w:hanging="851"/>
        <w:rPr>
          <w:b/>
          <w:sz w:val="24"/>
          <w:szCs w:val="24"/>
        </w:rPr>
      </w:pPr>
      <w:r w:rsidRPr="002126A3">
        <w:rPr>
          <w:b/>
          <w:sz w:val="24"/>
          <w:szCs w:val="24"/>
        </w:rPr>
        <w:t>2.</w:t>
      </w:r>
      <w:r w:rsidRPr="002126A3">
        <w:rPr>
          <w:b/>
          <w:sz w:val="24"/>
          <w:szCs w:val="24"/>
        </w:rPr>
        <w:tab/>
        <w:t>KVALITATIV OG KVANTITATIV SAMMENSÆTNING</w:t>
      </w:r>
    </w:p>
    <w:p w14:paraId="1C405363" w14:textId="77777777" w:rsidR="0031683A" w:rsidRPr="002126A3" w:rsidRDefault="0031683A" w:rsidP="007758B3">
      <w:pPr>
        <w:ind w:left="851"/>
        <w:rPr>
          <w:sz w:val="24"/>
          <w:szCs w:val="24"/>
        </w:rPr>
      </w:pPr>
      <w:r w:rsidRPr="002126A3">
        <w:rPr>
          <w:sz w:val="24"/>
          <w:szCs w:val="24"/>
        </w:rPr>
        <w:t xml:space="preserve">1 ml indeholder 24 mg </w:t>
      </w:r>
      <w:proofErr w:type="spellStart"/>
      <w:r w:rsidRPr="002126A3">
        <w:rPr>
          <w:sz w:val="24"/>
          <w:szCs w:val="24"/>
        </w:rPr>
        <w:t>foscarnetnatriumhexahydrat</w:t>
      </w:r>
      <w:proofErr w:type="spellEnd"/>
      <w:r w:rsidRPr="002126A3">
        <w:rPr>
          <w:sz w:val="24"/>
          <w:szCs w:val="24"/>
        </w:rPr>
        <w:t>.</w:t>
      </w:r>
    </w:p>
    <w:p w14:paraId="6ACBCF9C" w14:textId="77777777" w:rsidR="0031683A" w:rsidRPr="002126A3" w:rsidRDefault="0031683A" w:rsidP="007758B3">
      <w:pPr>
        <w:ind w:left="851"/>
        <w:rPr>
          <w:sz w:val="24"/>
          <w:szCs w:val="24"/>
        </w:rPr>
      </w:pPr>
    </w:p>
    <w:p w14:paraId="27E87AED" w14:textId="77777777" w:rsidR="0031683A" w:rsidRPr="002126A3" w:rsidRDefault="0031683A" w:rsidP="007758B3">
      <w:pPr>
        <w:ind w:left="851"/>
        <w:rPr>
          <w:sz w:val="24"/>
          <w:szCs w:val="24"/>
          <w:u w:val="single"/>
        </w:rPr>
      </w:pPr>
      <w:r w:rsidRPr="002126A3">
        <w:rPr>
          <w:sz w:val="24"/>
          <w:szCs w:val="24"/>
          <w:u w:val="single"/>
        </w:rPr>
        <w:t>Hjælpestof, som behandleren skal være opmærksom på</w:t>
      </w:r>
    </w:p>
    <w:p w14:paraId="1CC09544" w14:textId="77777777" w:rsidR="0031683A" w:rsidRPr="002126A3" w:rsidRDefault="0031683A" w:rsidP="007758B3">
      <w:pPr>
        <w:ind w:left="851"/>
        <w:rPr>
          <w:sz w:val="24"/>
          <w:szCs w:val="24"/>
        </w:rPr>
      </w:pPr>
      <w:r w:rsidRPr="002126A3">
        <w:rPr>
          <w:sz w:val="24"/>
          <w:szCs w:val="24"/>
        </w:rPr>
        <w:t>Dette lægemiddel indeholder 1,38 g natrium pr. 250 ml flaske.</w:t>
      </w:r>
    </w:p>
    <w:p w14:paraId="232B09E7" w14:textId="77777777" w:rsidR="0031683A" w:rsidRPr="002126A3" w:rsidRDefault="0031683A" w:rsidP="007758B3">
      <w:pPr>
        <w:ind w:left="851"/>
        <w:rPr>
          <w:sz w:val="24"/>
          <w:szCs w:val="24"/>
        </w:rPr>
      </w:pPr>
    </w:p>
    <w:p w14:paraId="45279F3C" w14:textId="77777777" w:rsidR="0031683A" w:rsidRPr="002126A3" w:rsidRDefault="0031683A" w:rsidP="007758B3">
      <w:pPr>
        <w:ind w:left="851"/>
        <w:rPr>
          <w:sz w:val="24"/>
          <w:szCs w:val="24"/>
        </w:rPr>
      </w:pPr>
      <w:r w:rsidRPr="002126A3">
        <w:rPr>
          <w:sz w:val="24"/>
          <w:szCs w:val="24"/>
        </w:rPr>
        <w:t>Alle hjælpestoffer er anført under pkt. 6.1.</w:t>
      </w:r>
    </w:p>
    <w:p w14:paraId="54FB07DC" w14:textId="77777777" w:rsidR="009260DE" w:rsidRPr="002126A3" w:rsidRDefault="009260DE" w:rsidP="009260DE">
      <w:pPr>
        <w:tabs>
          <w:tab w:val="left" w:pos="851"/>
        </w:tabs>
        <w:ind w:left="851"/>
        <w:rPr>
          <w:sz w:val="24"/>
          <w:szCs w:val="24"/>
        </w:rPr>
      </w:pPr>
    </w:p>
    <w:p w14:paraId="3D69788F" w14:textId="77777777" w:rsidR="009260DE" w:rsidRPr="002126A3" w:rsidRDefault="009260DE" w:rsidP="009260DE">
      <w:pPr>
        <w:tabs>
          <w:tab w:val="left" w:pos="851"/>
        </w:tabs>
        <w:ind w:left="851" w:hanging="851"/>
        <w:rPr>
          <w:b/>
          <w:sz w:val="24"/>
          <w:szCs w:val="24"/>
        </w:rPr>
      </w:pPr>
      <w:r w:rsidRPr="002126A3">
        <w:rPr>
          <w:b/>
          <w:sz w:val="24"/>
          <w:szCs w:val="24"/>
        </w:rPr>
        <w:t>3.</w:t>
      </w:r>
      <w:r w:rsidRPr="002126A3">
        <w:rPr>
          <w:b/>
          <w:sz w:val="24"/>
          <w:szCs w:val="24"/>
        </w:rPr>
        <w:tab/>
        <w:t>LÆGEMIDDELFORM</w:t>
      </w:r>
    </w:p>
    <w:p w14:paraId="4EA9E97F" w14:textId="433B0170" w:rsidR="0031683A" w:rsidRPr="008E57CE" w:rsidRDefault="0031683A" w:rsidP="007758B3">
      <w:pPr>
        <w:ind w:left="851"/>
        <w:rPr>
          <w:sz w:val="24"/>
          <w:szCs w:val="24"/>
        </w:rPr>
      </w:pPr>
      <w:r w:rsidRPr="002126A3">
        <w:rPr>
          <w:sz w:val="24"/>
          <w:szCs w:val="24"/>
        </w:rPr>
        <w:t>Infusionsvæske, opløsning</w:t>
      </w:r>
    </w:p>
    <w:p w14:paraId="676F9F7A" w14:textId="77777777" w:rsidR="0031683A" w:rsidRPr="008E57CE" w:rsidRDefault="0031683A" w:rsidP="007758B3">
      <w:pPr>
        <w:ind w:left="851"/>
        <w:rPr>
          <w:sz w:val="24"/>
          <w:szCs w:val="24"/>
        </w:rPr>
      </w:pPr>
    </w:p>
    <w:p w14:paraId="4045EC34" w14:textId="77777777" w:rsidR="0031683A" w:rsidRPr="008E57CE" w:rsidRDefault="0031683A" w:rsidP="007758B3">
      <w:pPr>
        <w:ind w:left="851"/>
        <w:rPr>
          <w:sz w:val="24"/>
          <w:szCs w:val="24"/>
        </w:rPr>
      </w:pPr>
      <w:r w:rsidRPr="002126A3">
        <w:rPr>
          <w:sz w:val="24"/>
          <w:szCs w:val="24"/>
        </w:rPr>
        <w:t>Klar og farveløs opløsning.</w:t>
      </w:r>
    </w:p>
    <w:p w14:paraId="55835B69" w14:textId="77777777" w:rsidR="0031683A" w:rsidRPr="008E57CE" w:rsidRDefault="0031683A" w:rsidP="007758B3">
      <w:pPr>
        <w:ind w:left="851"/>
        <w:rPr>
          <w:sz w:val="24"/>
          <w:szCs w:val="24"/>
        </w:rPr>
      </w:pPr>
    </w:p>
    <w:p w14:paraId="2B56A0CA" w14:textId="77777777" w:rsidR="0031683A" w:rsidRPr="002126A3" w:rsidRDefault="0031683A" w:rsidP="007758B3">
      <w:pPr>
        <w:ind w:left="851"/>
        <w:rPr>
          <w:sz w:val="24"/>
          <w:szCs w:val="24"/>
        </w:rPr>
      </w:pPr>
      <w:r w:rsidRPr="002126A3">
        <w:rPr>
          <w:sz w:val="24"/>
          <w:szCs w:val="24"/>
        </w:rPr>
        <w:t>Opløsningen er isotonisk med en pH på 7,4.</w:t>
      </w:r>
    </w:p>
    <w:p w14:paraId="2B92CE6B" w14:textId="77777777" w:rsidR="009260DE" w:rsidRPr="002126A3" w:rsidRDefault="009260DE" w:rsidP="009260DE">
      <w:pPr>
        <w:tabs>
          <w:tab w:val="left" w:pos="851"/>
        </w:tabs>
        <w:ind w:left="851"/>
        <w:rPr>
          <w:sz w:val="24"/>
          <w:szCs w:val="24"/>
        </w:rPr>
      </w:pPr>
    </w:p>
    <w:p w14:paraId="3A059EA3" w14:textId="77777777" w:rsidR="009260DE" w:rsidRPr="002126A3" w:rsidRDefault="009260DE" w:rsidP="009260DE">
      <w:pPr>
        <w:tabs>
          <w:tab w:val="left" w:pos="851"/>
        </w:tabs>
        <w:ind w:left="851"/>
        <w:rPr>
          <w:sz w:val="24"/>
          <w:szCs w:val="24"/>
        </w:rPr>
      </w:pPr>
    </w:p>
    <w:p w14:paraId="04A39CCC" w14:textId="77777777" w:rsidR="009260DE" w:rsidRPr="002126A3" w:rsidRDefault="009260DE" w:rsidP="009260DE">
      <w:pPr>
        <w:tabs>
          <w:tab w:val="left" w:pos="851"/>
        </w:tabs>
        <w:ind w:left="851" w:hanging="851"/>
        <w:rPr>
          <w:b/>
          <w:sz w:val="24"/>
          <w:szCs w:val="24"/>
        </w:rPr>
      </w:pPr>
      <w:r w:rsidRPr="002126A3">
        <w:rPr>
          <w:b/>
          <w:sz w:val="24"/>
          <w:szCs w:val="24"/>
        </w:rPr>
        <w:t>4.</w:t>
      </w:r>
      <w:r w:rsidRPr="002126A3">
        <w:rPr>
          <w:b/>
          <w:sz w:val="24"/>
          <w:szCs w:val="24"/>
        </w:rPr>
        <w:tab/>
        <w:t>KLINISKE OPLYSNINGER</w:t>
      </w:r>
    </w:p>
    <w:p w14:paraId="13C2FFD3" w14:textId="77777777" w:rsidR="009260DE" w:rsidRPr="002126A3" w:rsidRDefault="009260DE" w:rsidP="009260DE">
      <w:pPr>
        <w:tabs>
          <w:tab w:val="left" w:pos="851"/>
        </w:tabs>
        <w:ind w:left="851"/>
        <w:rPr>
          <w:b/>
          <w:sz w:val="24"/>
          <w:szCs w:val="24"/>
        </w:rPr>
      </w:pPr>
    </w:p>
    <w:p w14:paraId="3ADD0098" w14:textId="77777777" w:rsidR="009260DE" w:rsidRPr="002126A3" w:rsidRDefault="009260DE" w:rsidP="009260DE">
      <w:pPr>
        <w:tabs>
          <w:tab w:val="left" w:pos="851"/>
        </w:tabs>
        <w:ind w:left="851" w:hanging="851"/>
        <w:rPr>
          <w:b/>
          <w:sz w:val="24"/>
          <w:szCs w:val="24"/>
          <w:u w:val="single"/>
        </w:rPr>
      </w:pPr>
      <w:r w:rsidRPr="002126A3">
        <w:rPr>
          <w:b/>
          <w:sz w:val="24"/>
          <w:szCs w:val="24"/>
        </w:rPr>
        <w:t>4.1</w:t>
      </w:r>
      <w:r w:rsidRPr="002126A3">
        <w:rPr>
          <w:b/>
          <w:sz w:val="24"/>
          <w:szCs w:val="24"/>
        </w:rPr>
        <w:tab/>
        <w:t>Terapeutiske indikationer</w:t>
      </w:r>
    </w:p>
    <w:p w14:paraId="3817B9AA" w14:textId="77777777" w:rsidR="0031683A" w:rsidRPr="002126A3" w:rsidRDefault="0031683A" w:rsidP="007758B3">
      <w:pPr>
        <w:ind w:left="851"/>
        <w:rPr>
          <w:sz w:val="24"/>
          <w:szCs w:val="24"/>
        </w:rPr>
      </w:pPr>
      <w:proofErr w:type="spellStart"/>
      <w:r w:rsidRPr="002126A3">
        <w:rPr>
          <w:sz w:val="24"/>
          <w:szCs w:val="24"/>
        </w:rPr>
        <w:t>Virafosc</w:t>
      </w:r>
      <w:proofErr w:type="spellEnd"/>
      <w:r w:rsidRPr="002126A3">
        <w:rPr>
          <w:sz w:val="24"/>
          <w:szCs w:val="24"/>
        </w:rPr>
        <w:t xml:space="preserve"> er indiceret som følger til voksne:</w:t>
      </w:r>
    </w:p>
    <w:p w14:paraId="013A7F4F" w14:textId="77777777" w:rsidR="0031683A" w:rsidRPr="008E57CE" w:rsidRDefault="0031683A" w:rsidP="008E57CE">
      <w:pPr>
        <w:pStyle w:val="Listeafsnit"/>
        <w:numPr>
          <w:ilvl w:val="0"/>
          <w:numId w:val="9"/>
        </w:numPr>
        <w:ind w:left="1276" w:hanging="425"/>
        <w:rPr>
          <w:sz w:val="24"/>
          <w:szCs w:val="24"/>
        </w:rPr>
      </w:pPr>
      <w:r w:rsidRPr="008E57CE">
        <w:rPr>
          <w:sz w:val="24"/>
          <w:szCs w:val="24"/>
        </w:rPr>
        <w:t xml:space="preserve">Til patienter med </w:t>
      </w:r>
      <w:proofErr w:type="spellStart"/>
      <w:r w:rsidRPr="008E57CE">
        <w:rPr>
          <w:sz w:val="24"/>
          <w:szCs w:val="24"/>
        </w:rPr>
        <w:t>hæmatopoietisk</w:t>
      </w:r>
      <w:proofErr w:type="spellEnd"/>
      <w:r w:rsidRPr="008E57CE">
        <w:rPr>
          <w:sz w:val="24"/>
          <w:szCs w:val="24"/>
        </w:rPr>
        <w:t xml:space="preserve"> stamcelletransplantation (HSCT), induktion og vedligeholdelsesbehandling af </w:t>
      </w:r>
      <w:proofErr w:type="spellStart"/>
      <w:r w:rsidRPr="008E57CE">
        <w:rPr>
          <w:sz w:val="24"/>
          <w:szCs w:val="24"/>
        </w:rPr>
        <w:t>cytomegalovirus</w:t>
      </w:r>
      <w:proofErr w:type="spellEnd"/>
      <w:r w:rsidRPr="008E57CE">
        <w:rPr>
          <w:sz w:val="24"/>
          <w:szCs w:val="24"/>
        </w:rPr>
        <w:t xml:space="preserve"> (CMV) </w:t>
      </w:r>
      <w:proofErr w:type="spellStart"/>
      <w:r w:rsidRPr="008E57CE">
        <w:rPr>
          <w:sz w:val="24"/>
          <w:szCs w:val="24"/>
        </w:rPr>
        <w:t>viræmi</w:t>
      </w:r>
      <w:proofErr w:type="spellEnd"/>
      <w:r w:rsidRPr="008E57CE">
        <w:rPr>
          <w:sz w:val="24"/>
          <w:szCs w:val="24"/>
        </w:rPr>
        <w:t xml:space="preserve"> og CMV-syndrom. </w:t>
      </w:r>
    </w:p>
    <w:p w14:paraId="3C32B74A" w14:textId="77777777" w:rsidR="0031683A" w:rsidRPr="008E57CE" w:rsidRDefault="0031683A" w:rsidP="008E57CE">
      <w:pPr>
        <w:pStyle w:val="Listeafsnit"/>
        <w:numPr>
          <w:ilvl w:val="0"/>
          <w:numId w:val="9"/>
        </w:numPr>
        <w:ind w:left="1276" w:hanging="425"/>
        <w:rPr>
          <w:sz w:val="24"/>
          <w:szCs w:val="24"/>
        </w:rPr>
      </w:pPr>
      <w:r w:rsidRPr="008E57CE">
        <w:rPr>
          <w:sz w:val="24"/>
          <w:szCs w:val="24"/>
        </w:rPr>
        <w:t>Induktion og vedligeholdelsesbehandling af CMV-</w:t>
      </w:r>
      <w:proofErr w:type="spellStart"/>
      <w:r w:rsidRPr="008E57CE">
        <w:rPr>
          <w:sz w:val="24"/>
          <w:szCs w:val="24"/>
        </w:rPr>
        <w:t>retinitis</w:t>
      </w:r>
      <w:proofErr w:type="spellEnd"/>
      <w:r w:rsidRPr="008E57CE">
        <w:rPr>
          <w:sz w:val="24"/>
          <w:szCs w:val="24"/>
        </w:rPr>
        <w:t xml:space="preserve"> hos </w:t>
      </w:r>
      <w:proofErr w:type="spellStart"/>
      <w:r w:rsidRPr="008E57CE">
        <w:rPr>
          <w:sz w:val="24"/>
          <w:szCs w:val="24"/>
        </w:rPr>
        <w:t>AIDS-patienter</w:t>
      </w:r>
      <w:proofErr w:type="spellEnd"/>
      <w:r w:rsidRPr="008E57CE">
        <w:rPr>
          <w:sz w:val="24"/>
          <w:szCs w:val="24"/>
        </w:rPr>
        <w:t>.</w:t>
      </w:r>
    </w:p>
    <w:p w14:paraId="00AE7791" w14:textId="1DE6A6D6" w:rsidR="0031683A" w:rsidRPr="008E57CE" w:rsidRDefault="0031683A" w:rsidP="008E57CE">
      <w:pPr>
        <w:pStyle w:val="Listeafsnit"/>
        <w:numPr>
          <w:ilvl w:val="0"/>
          <w:numId w:val="9"/>
        </w:numPr>
        <w:ind w:left="1276" w:hanging="425"/>
        <w:rPr>
          <w:sz w:val="24"/>
          <w:szCs w:val="24"/>
        </w:rPr>
      </w:pPr>
      <w:r w:rsidRPr="008E57CE">
        <w:rPr>
          <w:sz w:val="24"/>
          <w:szCs w:val="24"/>
        </w:rPr>
        <w:t>Induktionsbehandling af CMV-infektioner i den øvre og nedre mave-tarm</w:t>
      </w:r>
      <w:r w:rsidR="00762043">
        <w:rPr>
          <w:sz w:val="24"/>
          <w:szCs w:val="24"/>
        </w:rPr>
        <w:t>-</w:t>
      </w:r>
      <w:r w:rsidRPr="008E57CE">
        <w:rPr>
          <w:sz w:val="24"/>
          <w:szCs w:val="24"/>
        </w:rPr>
        <w:t xml:space="preserve">kanal hos </w:t>
      </w:r>
      <w:proofErr w:type="spellStart"/>
      <w:r w:rsidRPr="008E57CE">
        <w:rPr>
          <w:sz w:val="24"/>
          <w:szCs w:val="24"/>
        </w:rPr>
        <w:t>AIDS-patienter</w:t>
      </w:r>
      <w:proofErr w:type="spellEnd"/>
      <w:r w:rsidRPr="008E57CE">
        <w:rPr>
          <w:sz w:val="24"/>
          <w:szCs w:val="24"/>
        </w:rPr>
        <w:t>.</w:t>
      </w:r>
    </w:p>
    <w:p w14:paraId="402DA0E9" w14:textId="77777777" w:rsidR="0031683A" w:rsidRPr="008E57CE" w:rsidRDefault="0031683A" w:rsidP="008E57CE">
      <w:pPr>
        <w:pStyle w:val="Listeafsnit"/>
        <w:numPr>
          <w:ilvl w:val="0"/>
          <w:numId w:val="9"/>
        </w:numPr>
        <w:ind w:left="1276" w:hanging="425"/>
        <w:rPr>
          <w:sz w:val="24"/>
          <w:szCs w:val="24"/>
        </w:rPr>
      </w:pPr>
      <w:r w:rsidRPr="008E57CE">
        <w:rPr>
          <w:sz w:val="24"/>
          <w:szCs w:val="24"/>
        </w:rPr>
        <w:t xml:space="preserve">Induktionsbehandling af </w:t>
      </w:r>
      <w:proofErr w:type="spellStart"/>
      <w:r w:rsidRPr="008E57CE">
        <w:rPr>
          <w:sz w:val="24"/>
          <w:szCs w:val="24"/>
        </w:rPr>
        <w:t>aciclovir</w:t>
      </w:r>
      <w:proofErr w:type="spellEnd"/>
      <w:r w:rsidRPr="008E57CE">
        <w:rPr>
          <w:sz w:val="24"/>
          <w:szCs w:val="24"/>
        </w:rPr>
        <w:t xml:space="preserve">-refraktær </w:t>
      </w:r>
      <w:proofErr w:type="spellStart"/>
      <w:r w:rsidRPr="008E57CE">
        <w:rPr>
          <w:sz w:val="24"/>
          <w:szCs w:val="24"/>
        </w:rPr>
        <w:t>mukokutane</w:t>
      </w:r>
      <w:proofErr w:type="spellEnd"/>
      <w:r w:rsidRPr="008E57CE">
        <w:rPr>
          <w:sz w:val="24"/>
          <w:szCs w:val="24"/>
        </w:rPr>
        <w:t xml:space="preserve"> herpes </w:t>
      </w:r>
      <w:proofErr w:type="spellStart"/>
      <w:r w:rsidRPr="008E57CE">
        <w:rPr>
          <w:sz w:val="24"/>
          <w:szCs w:val="24"/>
        </w:rPr>
        <w:t>simplex</w:t>
      </w:r>
      <w:proofErr w:type="spellEnd"/>
      <w:r w:rsidRPr="008E57CE">
        <w:rPr>
          <w:sz w:val="24"/>
          <w:szCs w:val="24"/>
        </w:rPr>
        <w:t xml:space="preserve"> virusinfektioner (HSV) hos </w:t>
      </w:r>
      <w:proofErr w:type="spellStart"/>
      <w:r w:rsidRPr="008E57CE">
        <w:rPr>
          <w:sz w:val="24"/>
          <w:szCs w:val="24"/>
        </w:rPr>
        <w:t>AIDS-patienter</w:t>
      </w:r>
      <w:proofErr w:type="spellEnd"/>
      <w:r w:rsidRPr="008E57CE">
        <w:rPr>
          <w:sz w:val="24"/>
          <w:szCs w:val="24"/>
        </w:rPr>
        <w:t>.</w:t>
      </w:r>
    </w:p>
    <w:p w14:paraId="1EFEAA0F" w14:textId="228FFE9F" w:rsidR="00323D7E" w:rsidRDefault="00323D7E">
      <w:pPr>
        <w:rPr>
          <w:sz w:val="24"/>
          <w:szCs w:val="24"/>
        </w:rPr>
      </w:pPr>
      <w:r>
        <w:rPr>
          <w:sz w:val="24"/>
          <w:szCs w:val="24"/>
        </w:rPr>
        <w:br w:type="page"/>
      </w:r>
    </w:p>
    <w:p w14:paraId="0927CD04" w14:textId="77777777" w:rsidR="009260DE" w:rsidRPr="002126A3" w:rsidRDefault="009260DE" w:rsidP="009260DE">
      <w:pPr>
        <w:tabs>
          <w:tab w:val="left" w:pos="851"/>
        </w:tabs>
        <w:ind w:left="851"/>
        <w:rPr>
          <w:sz w:val="24"/>
          <w:szCs w:val="24"/>
        </w:rPr>
      </w:pPr>
    </w:p>
    <w:p w14:paraId="2ACEBC45" w14:textId="77777777" w:rsidR="009260DE" w:rsidRPr="002126A3" w:rsidRDefault="009260DE" w:rsidP="009260DE">
      <w:pPr>
        <w:tabs>
          <w:tab w:val="left" w:pos="851"/>
        </w:tabs>
        <w:ind w:left="851" w:hanging="851"/>
        <w:rPr>
          <w:b/>
          <w:sz w:val="24"/>
          <w:szCs w:val="24"/>
        </w:rPr>
      </w:pPr>
      <w:r w:rsidRPr="002126A3">
        <w:rPr>
          <w:b/>
          <w:sz w:val="24"/>
          <w:szCs w:val="24"/>
        </w:rPr>
        <w:t>4.2</w:t>
      </w:r>
      <w:r w:rsidRPr="002126A3">
        <w:rPr>
          <w:b/>
          <w:sz w:val="24"/>
          <w:szCs w:val="24"/>
        </w:rPr>
        <w:tab/>
        <w:t xml:space="preserve">Dosering og </w:t>
      </w:r>
      <w:r w:rsidR="002C1EC0" w:rsidRPr="002126A3">
        <w:rPr>
          <w:b/>
          <w:sz w:val="24"/>
          <w:szCs w:val="24"/>
        </w:rPr>
        <w:t>administration</w:t>
      </w:r>
    </w:p>
    <w:p w14:paraId="5985948C" w14:textId="77777777" w:rsidR="0031683A" w:rsidRPr="008E57CE" w:rsidRDefault="0031683A" w:rsidP="007758B3">
      <w:pPr>
        <w:ind w:left="851"/>
        <w:rPr>
          <w:sz w:val="24"/>
          <w:szCs w:val="24"/>
          <w:u w:val="single"/>
        </w:rPr>
      </w:pPr>
      <w:r w:rsidRPr="008E57CE">
        <w:rPr>
          <w:sz w:val="24"/>
          <w:szCs w:val="24"/>
          <w:u w:val="single"/>
        </w:rPr>
        <w:t>Dosering til voksne</w:t>
      </w:r>
    </w:p>
    <w:p w14:paraId="74A0B0F9" w14:textId="77777777" w:rsidR="0031683A" w:rsidRPr="002126A3" w:rsidRDefault="0031683A" w:rsidP="007758B3">
      <w:pPr>
        <w:ind w:left="851"/>
        <w:rPr>
          <w:i/>
          <w:iCs/>
          <w:sz w:val="24"/>
          <w:szCs w:val="24"/>
        </w:rPr>
      </w:pPr>
    </w:p>
    <w:p w14:paraId="53B232CC" w14:textId="77777777" w:rsidR="0031683A" w:rsidRPr="002126A3" w:rsidRDefault="0031683A" w:rsidP="007758B3">
      <w:pPr>
        <w:ind w:left="851"/>
        <w:rPr>
          <w:i/>
          <w:iCs/>
          <w:sz w:val="24"/>
          <w:szCs w:val="24"/>
        </w:rPr>
      </w:pPr>
      <w:r w:rsidRPr="002126A3">
        <w:rPr>
          <w:i/>
          <w:sz w:val="24"/>
          <w:szCs w:val="24"/>
        </w:rPr>
        <w:t>Induktionsbehandling:</w:t>
      </w:r>
    </w:p>
    <w:p w14:paraId="76539D23" w14:textId="77777777" w:rsidR="0031683A" w:rsidRPr="002126A3" w:rsidRDefault="0031683A" w:rsidP="007758B3">
      <w:pPr>
        <w:ind w:left="851"/>
        <w:rPr>
          <w:i/>
          <w:iCs/>
          <w:sz w:val="24"/>
          <w:szCs w:val="24"/>
        </w:rPr>
      </w:pPr>
    </w:p>
    <w:p w14:paraId="00C0508A" w14:textId="77777777" w:rsidR="0031683A" w:rsidRPr="008E57CE" w:rsidRDefault="0031683A" w:rsidP="008E57CE">
      <w:pPr>
        <w:pStyle w:val="Listeafsnit"/>
        <w:numPr>
          <w:ilvl w:val="0"/>
          <w:numId w:val="10"/>
        </w:numPr>
        <w:ind w:left="1276" w:hanging="425"/>
        <w:rPr>
          <w:i/>
          <w:iCs/>
          <w:sz w:val="24"/>
          <w:szCs w:val="24"/>
        </w:rPr>
      </w:pPr>
      <w:r w:rsidRPr="008E57CE">
        <w:rPr>
          <w:i/>
          <w:sz w:val="24"/>
          <w:szCs w:val="24"/>
        </w:rPr>
        <w:t>CMV-</w:t>
      </w:r>
      <w:proofErr w:type="spellStart"/>
      <w:r w:rsidRPr="008E57CE">
        <w:rPr>
          <w:i/>
          <w:sz w:val="24"/>
          <w:szCs w:val="24"/>
        </w:rPr>
        <w:t>viræmi</w:t>
      </w:r>
      <w:proofErr w:type="spellEnd"/>
      <w:r w:rsidRPr="008E57CE">
        <w:rPr>
          <w:i/>
          <w:sz w:val="24"/>
          <w:szCs w:val="24"/>
        </w:rPr>
        <w:t xml:space="preserve"> hos HSCT-patienter</w:t>
      </w:r>
    </w:p>
    <w:p w14:paraId="6CDE6551" w14:textId="77777777" w:rsidR="0031683A" w:rsidRPr="008E57CE" w:rsidRDefault="0031683A" w:rsidP="008E57CE">
      <w:pPr>
        <w:pStyle w:val="Listeafsnit"/>
        <w:ind w:left="1276"/>
        <w:rPr>
          <w:sz w:val="24"/>
          <w:szCs w:val="24"/>
        </w:rPr>
      </w:pPr>
      <w:proofErr w:type="spellStart"/>
      <w:r w:rsidRPr="008E57CE">
        <w:rPr>
          <w:sz w:val="24"/>
          <w:szCs w:val="24"/>
        </w:rPr>
        <w:t>Virafosc</w:t>
      </w:r>
      <w:proofErr w:type="spellEnd"/>
      <w:r w:rsidRPr="008E57CE">
        <w:rPr>
          <w:sz w:val="24"/>
          <w:szCs w:val="24"/>
        </w:rPr>
        <w:t xml:space="preserve"> administreres over mindst 2 uger som intermitterende infusioner hver 12. time i en dosis på 60 mg/kg legemsvægt til patienter med normal nyrefunktion. Dosis skal justeres til patienter med nedsat nyrefunktion (se tabel 1). Infusionstiden må ikke være kortere end 1 time.</w:t>
      </w:r>
    </w:p>
    <w:p w14:paraId="2AE1D48E" w14:textId="77777777" w:rsidR="0031683A" w:rsidRPr="001F47FA" w:rsidRDefault="0031683A" w:rsidP="008E57CE">
      <w:pPr>
        <w:ind w:left="1276" w:hanging="425"/>
        <w:rPr>
          <w:sz w:val="24"/>
          <w:szCs w:val="24"/>
        </w:rPr>
      </w:pPr>
    </w:p>
    <w:p w14:paraId="34A421D4" w14:textId="77777777" w:rsidR="0031683A" w:rsidRPr="008E57CE" w:rsidRDefault="0031683A" w:rsidP="008E57CE">
      <w:pPr>
        <w:pStyle w:val="Listeafsnit"/>
        <w:numPr>
          <w:ilvl w:val="0"/>
          <w:numId w:val="10"/>
        </w:numPr>
        <w:ind w:left="1276" w:hanging="425"/>
        <w:rPr>
          <w:i/>
          <w:sz w:val="24"/>
          <w:szCs w:val="24"/>
        </w:rPr>
      </w:pPr>
      <w:r w:rsidRPr="008E57CE">
        <w:rPr>
          <w:i/>
          <w:sz w:val="24"/>
          <w:szCs w:val="24"/>
        </w:rPr>
        <w:t>CMV-sygdom hos HSCT-patienter</w:t>
      </w:r>
    </w:p>
    <w:p w14:paraId="17B29E7B" w14:textId="77777777" w:rsidR="0031683A" w:rsidRPr="008E57CE" w:rsidRDefault="0031683A" w:rsidP="008E57CE">
      <w:pPr>
        <w:pStyle w:val="Listeafsnit"/>
        <w:ind w:left="1276"/>
        <w:rPr>
          <w:sz w:val="24"/>
          <w:szCs w:val="24"/>
        </w:rPr>
      </w:pPr>
      <w:proofErr w:type="spellStart"/>
      <w:r w:rsidRPr="008E57CE">
        <w:rPr>
          <w:sz w:val="24"/>
          <w:szCs w:val="24"/>
        </w:rPr>
        <w:t>Virafosc</w:t>
      </w:r>
      <w:proofErr w:type="spellEnd"/>
      <w:r w:rsidRPr="008E57CE">
        <w:rPr>
          <w:sz w:val="24"/>
          <w:szCs w:val="24"/>
        </w:rPr>
        <w:t xml:space="preserve"> administreres over mindst 2-3 uger, afhængig af klinisk respons, som intermitterende infusioner hver 8. time i en dosis på 60 mg/kg legemsvægt eller hver 12. time i en dosis på 90 mg/kg legemsvægt hos patienter med normal nyrefunktion. Dosis skal justeres til patienter med nedsat nyrefunktion (se tabel 1). Infusionstiden må ikke være kortere end to timer for 90 mg/kg dosis to gange dagligt eller en time for 60 mg/kg dosis tre gange dagligt.</w:t>
      </w:r>
    </w:p>
    <w:p w14:paraId="3A768DB4" w14:textId="77777777" w:rsidR="0031683A" w:rsidRPr="002126A3" w:rsidRDefault="0031683A" w:rsidP="008E57CE">
      <w:pPr>
        <w:ind w:left="1276" w:hanging="425"/>
        <w:rPr>
          <w:sz w:val="24"/>
          <w:szCs w:val="24"/>
        </w:rPr>
      </w:pPr>
    </w:p>
    <w:p w14:paraId="712714FE" w14:textId="77777777" w:rsidR="0031683A" w:rsidRPr="008E57CE" w:rsidRDefault="0031683A" w:rsidP="008E57CE">
      <w:pPr>
        <w:pStyle w:val="Listeafsnit"/>
        <w:numPr>
          <w:ilvl w:val="0"/>
          <w:numId w:val="10"/>
        </w:numPr>
        <w:ind w:left="1276" w:hanging="425"/>
        <w:rPr>
          <w:i/>
          <w:iCs/>
          <w:sz w:val="24"/>
          <w:szCs w:val="24"/>
        </w:rPr>
      </w:pPr>
      <w:r w:rsidRPr="008E57CE">
        <w:rPr>
          <w:i/>
          <w:sz w:val="24"/>
          <w:szCs w:val="24"/>
        </w:rPr>
        <w:t>CMV-</w:t>
      </w:r>
      <w:proofErr w:type="spellStart"/>
      <w:r w:rsidRPr="008E57CE">
        <w:rPr>
          <w:i/>
          <w:sz w:val="24"/>
          <w:szCs w:val="24"/>
        </w:rPr>
        <w:t>retinitis</w:t>
      </w:r>
      <w:proofErr w:type="spellEnd"/>
      <w:r w:rsidRPr="008E57CE">
        <w:rPr>
          <w:i/>
          <w:sz w:val="24"/>
          <w:szCs w:val="24"/>
        </w:rPr>
        <w:t xml:space="preserve"> hos </w:t>
      </w:r>
      <w:proofErr w:type="spellStart"/>
      <w:r w:rsidRPr="008E57CE">
        <w:rPr>
          <w:i/>
          <w:sz w:val="24"/>
          <w:szCs w:val="24"/>
        </w:rPr>
        <w:t>AIDS-patienter</w:t>
      </w:r>
      <w:proofErr w:type="spellEnd"/>
    </w:p>
    <w:p w14:paraId="035D55FA" w14:textId="77777777" w:rsidR="0031683A" w:rsidRPr="008E57CE" w:rsidRDefault="0031683A" w:rsidP="008E57CE">
      <w:pPr>
        <w:pStyle w:val="Listeafsnit"/>
        <w:ind w:left="1276"/>
        <w:rPr>
          <w:sz w:val="24"/>
          <w:szCs w:val="24"/>
        </w:rPr>
      </w:pPr>
      <w:proofErr w:type="spellStart"/>
      <w:r w:rsidRPr="008E57CE">
        <w:rPr>
          <w:sz w:val="24"/>
          <w:szCs w:val="24"/>
        </w:rPr>
        <w:t>Virafosc</w:t>
      </w:r>
      <w:proofErr w:type="spellEnd"/>
      <w:r w:rsidRPr="008E57CE">
        <w:rPr>
          <w:sz w:val="24"/>
          <w:szCs w:val="24"/>
        </w:rPr>
        <w:t xml:space="preserve"> administreres over 3 uger, afhængig af klinisk respons, som intermitterende infusioner hver 8. time i en dosis på 60 mg/kg legemsvægt eller hver 12. time i en dosis på 90 mg/kg legemsvægt hos patienter med normal nyrefunktion. Dosis skal justeres til patienter med nedsat nyrefunktion (se tabel 1). Infusionstiden må ikke være kortere end to timer for 90 mg/kg dosis to gange dagligt eller en time for 60 mg/kg dosis tre gange dagligt.</w:t>
      </w:r>
    </w:p>
    <w:p w14:paraId="2EB81B7B" w14:textId="77777777" w:rsidR="0031683A" w:rsidRPr="002126A3" w:rsidRDefault="0031683A" w:rsidP="008E57CE">
      <w:pPr>
        <w:ind w:left="1276" w:hanging="425"/>
        <w:rPr>
          <w:sz w:val="24"/>
          <w:szCs w:val="24"/>
        </w:rPr>
      </w:pPr>
    </w:p>
    <w:p w14:paraId="68031858" w14:textId="349B13F8" w:rsidR="0031683A" w:rsidRPr="008E57CE" w:rsidRDefault="0031683A" w:rsidP="008E57CE">
      <w:pPr>
        <w:pStyle w:val="Listeafsnit"/>
        <w:numPr>
          <w:ilvl w:val="0"/>
          <w:numId w:val="10"/>
        </w:numPr>
        <w:ind w:left="1276" w:hanging="425"/>
        <w:rPr>
          <w:sz w:val="24"/>
          <w:szCs w:val="24"/>
        </w:rPr>
      </w:pPr>
      <w:r w:rsidRPr="008E57CE">
        <w:rPr>
          <w:i/>
          <w:sz w:val="24"/>
          <w:szCs w:val="24"/>
        </w:rPr>
        <w:t>CMV-infektioner i den øvre og nedre mave-tarm</w:t>
      </w:r>
      <w:r w:rsidR="00762043">
        <w:rPr>
          <w:i/>
          <w:sz w:val="24"/>
          <w:szCs w:val="24"/>
        </w:rPr>
        <w:t>-</w:t>
      </w:r>
      <w:r w:rsidRPr="008E57CE">
        <w:rPr>
          <w:i/>
          <w:sz w:val="24"/>
          <w:szCs w:val="24"/>
        </w:rPr>
        <w:t>kanal</w:t>
      </w:r>
    </w:p>
    <w:p w14:paraId="59C9DFED" w14:textId="77777777" w:rsidR="0031683A" w:rsidRPr="008E57CE" w:rsidRDefault="0031683A" w:rsidP="008E57CE">
      <w:pPr>
        <w:pStyle w:val="Listeafsnit"/>
        <w:ind w:left="1276"/>
        <w:rPr>
          <w:sz w:val="24"/>
          <w:szCs w:val="24"/>
        </w:rPr>
      </w:pPr>
      <w:proofErr w:type="spellStart"/>
      <w:r w:rsidRPr="008E57CE">
        <w:rPr>
          <w:sz w:val="24"/>
          <w:szCs w:val="24"/>
        </w:rPr>
        <w:t>Virafosc</w:t>
      </w:r>
      <w:proofErr w:type="spellEnd"/>
      <w:r w:rsidRPr="008E57CE">
        <w:rPr>
          <w:sz w:val="24"/>
          <w:szCs w:val="24"/>
        </w:rPr>
        <w:t xml:space="preserve"> administreres som intermitterende infusioner hver 12. time i en dosis på 90 mg/kg legemsvægt til patienter med normal nyrefunktion. De fleste patienter vil have remission af deres symptomer inden for 2-4 uger. Dosis skal justeres til patienter med nedsat nyrefunktion (se tabel 1). Infusionstiden må ikke være kortere end 2 timer.</w:t>
      </w:r>
    </w:p>
    <w:p w14:paraId="30A07FE2" w14:textId="77777777" w:rsidR="0031683A" w:rsidRPr="002126A3" w:rsidRDefault="0031683A" w:rsidP="008E57CE">
      <w:pPr>
        <w:ind w:left="1276" w:hanging="425"/>
        <w:rPr>
          <w:sz w:val="24"/>
          <w:szCs w:val="24"/>
        </w:rPr>
      </w:pPr>
    </w:p>
    <w:p w14:paraId="1856D373" w14:textId="77777777" w:rsidR="0031683A" w:rsidRPr="008E57CE" w:rsidRDefault="0031683A" w:rsidP="008E57CE">
      <w:pPr>
        <w:pStyle w:val="Listeafsnit"/>
        <w:numPr>
          <w:ilvl w:val="0"/>
          <w:numId w:val="10"/>
        </w:numPr>
        <w:ind w:left="1276" w:hanging="425"/>
        <w:rPr>
          <w:sz w:val="24"/>
          <w:szCs w:val="24"/>
        </w:rPr>
      </w:pPr>
      <w:proofErr w:type="spellStart"/>
      <w:r w:rsidRPr="008E57CE">
        <w:rPr>
          <w:i/>
          <w:sz w:val="24"/>
          <w:szCs w:val="24"/>
        </w:rPr>
        <w:t>Aciclovir</w:t>
      </w:r>
      <w:proofErr w:type="spellEnd"/>
      <w:r w:rsidRPr="008E57CE">
        <w:rPr>
          <w:i/>
          <w:sz w:val="24"/>
          <w:szCs w:val="24"/>
        </w:rPr>
        <w:t xml:space="preserve">-refraktær </w:t>
      </w:r>
      <w:proofErr w:type="spellStart"/>
      <w:r w:rsidRPr="008E57CE">
        <w:rPr>
          <w:i/>
          <w:sz w:val="24"/>
          <w:szCs w:val="24"/>
        </w:rPr>
        <w:t>mukokutane</w:t>
      </w:r>
      <w:proofErr w:type="spellEnd"/>
      <w:r w:rsidRPr="008E57CE">
        <w:rPr>
          <w:i/>
          <w:sz w:val="24"/>
          <w:szCs w:val="24"/>
        </w:rPr>
        <w:t xml:space="preserve"> herpes </w:t>
      </w:r>
      <w:proofErr w:type="spellStart"/>
      <w:r w:rsidRPr="008E57CE">
        <w:rPr>
          <w:i/>
          <w:sz w:val="24"/>
          <w:szCs w:val="24"/>
        </w:rPr>
        <w:t>simplex</w:t>
      </w:r>
      <w:proofErr w:type="spellEnd"/>
      <w:r w:rsidRPr="008E57CE">
        <w:rPr>
          <w:i/>
          <w:sz w:val="24"/>
          <w:szCs w:val="24"/>
        </w:rPr>
        <w:t xml:space="preserve"> virusinfektioner</w:t>
      </w:r>
    </w:p>
    <w:p w14:paraId="55FAAE27" w14:textId="77777777" w:rsidR="0031683A" w:rsidRPr="008E57CE" w:rsidRDefault="0031683A" w:rsidP="008E57CE">
      <w:pPr>
        <w:pStyle w:val="Listeafsnit"/>
        <w:ind w:left="1276"/>
        <w:rPr>
          <w:sz w:val="24"/>
          <w:szCs w:val="24"/>
        </w:rPr>
      </w:pPr>
      <w:proofErr w:type="spellStart"/>
      <w:r w:rsidRPr="008E57CE">
        <w:rPr>
          <w:sz w:val="24"/>
          <w:szCs w:val="24"/>
        </w:rPr>
        <w:t>Virafosc</w:t>
      </w:r>
      <w:proofErr w:type="spellEnd"/>
      <w:r w:rsidRPr="008E57CE">
        <w:rPr>
          <w:sz w:val="24"/>
          <w:szCs w:val="24"/>
        </w:rPr>
        <w:t xml:space="preserve"> administreres over 2-3 uger, eller indtil læsionerne er helet, som intermitterende infusioner hver 8. time i en dosis på 40 mg/kg legemsvægt til patienter med normal nyrefunktion. Dosis skal justeres til patienter med nedsat nyrefunktion (se tabel 1). Infusionstiden må ikke være kortere end 1 time.</w:t>
      </w:r>
    </w:p>
    <w:p w14:paraId="0CF80409" w14:textId="77777777" w:rsidR="0031683A" w:rsidRPr="002126A3" w:rsidRDefault="0031683A" w:rsidP="007758B3">
      <w:pPr>
        <w:ind w:left="851"/>
        <w:rPr>
          <w:sz w:val="24"/>
          <w:szCs w:val="24"/>
        </w:rPr>
      </w:pPr>
    </w:p>
    <w:p w14:paraId="21BF7608" w14:textId="77777777" w:rsidR="0031683A" w:rsidRPr="002126A3" w:rsidRDefault="0031683A" w:rsidP="007758B3">
      <w:pPr>
        <w:ind w:left="851"/>
        <w:rPr>
          <w:sz w:val="24"/>
          <w:szCs w:val="24"/>
        </w:rPr>
      </w:pPr>
      <w:r w:rsidRPr="002126A3">
        <w:rPr>
          <w:sz w:val="24"/>
          <w:szCs w:val="24"/>
        </w:rPr>
        <w:t>Regelmæssig monitorering af nyrefunktionen og enhver form for dosisjustering anbefales (se pkt. 4.4). I tilfælde af tilbagefald kan forløbet gentages.</w:t>
      </w:r>
    </w:p>
    <w:p w14:paraId="491FE38D" w14:textId="56F0CF38" w:rsidR="00323D7E" w:rsidRDefault="00323D7E">
      <w:pPr>
        <w:rPr>
          <w:sz w:val="24"/>
          <w:szCs w:val="24"/>
        </w:rPr>
      </w:pPr>
      <w:r>
        <w:rPr>
          <w:sz w:val="24"/>
          <w:szCs w:val="24"/>
        </w:rPr>
        <w:br w:type="page"/>
      </w:r>
    </w:p>
    <w:p w14:paraId="6F4A7D18" w14:textId="77777777" w:rsidR="0031683A" w:rsidRPr="002126A3" w:rsidRDefault="0031683A" w:rsidP="007758B3">
      <w:pPr>
        <w:ind w:left="851"/>
        <w:rPr>
          <w:sz w:val="24"/>
          <w:szCs w:val="24"/>
        </w:rPr>
      </w:pPr>
    </w:p>
    <w:p w14:paraId="67697F79" w14:textId="77777777" w:rsidR="0031683A" w:rsidRPr="002126A3" w:rsidRDefault="0031683A" w:rsidP="007758B3">
      <w:pPr>
        <w:ind w:left="851"/>
        <w:rPr>
          <w:sz w:val="24"/>
          <w:szCs w:val="24"/>
        </w:rPr>
      </w:pPr>
      <w:r w:rsidRPr="002126A3">
        <w:rPr>
          <w:sz w:val="24"/>
          <w:szCs w:val="24"/>
        </w:rPr>
        <w:t xml:space="preserve">Tabel 1: </w:t>
      </w:r>
      <w:proofErr w:type="spellStart"/>
      <w:r w:rsidRPr="002126A3">
        <w:rPr>
          <w:sz w:val="24"/>
          <w:szCs w:val="24"/>
        </w:rPr>
        <w:t>Virafosc</w:t>
      </w:r>
      <w:proofErr w:type="spellEnd"/>
      <w:r w:rsidRPr="002126A3">
        <w:rPr>
          <w:sz w:val="24"/>
          <w:szCs w:val="24"/>
        </w:rPr>
        <w:t xml:space="preserve"> doseringsregime til induktionsterapi</w:t>
      </w:r>
    </w:p>
    <w:tbl>
      <w:tblPr>
        <w:tblW w:w="8505" w:type="dxa"/>
        <w:tblInd w:w="846" w:type="dxa"/>
        <w:tblLayout w:type="fixed"/>
        <w:tblCellMar>
          <w:left w:w="70" w:type="dxa"/>
          <w:right w:w="70" w:type="dxa"/>
        </w:tblCellMar>
        <w:tblLook w:val="04A0" w:firstRow="1" w:lastRow="0" w:firstColumn="1" w:lastColumn="0" w:noHBand="0" w:noVBand="1"/>
      </w:tblPr>
      <w:tblGrid>
        <w:gridCol w:w="1272"/>
        <w:gridCol w:w="1702"/>
        <w:gridCol w:w="1844"/>
        <w:gridCol w:w="1844"/>
        <w:gridCol w:w="1843"/>
      </w:tblGrid>
      <w:tr w:rsidR="0031683A" w:rsidRPr="008E57CE" w14:paraId="5DB47FBC" w14:textId="77777777" w:rsidTr="007758B3">
        <w:trPr>
          <w:cantSplit/>
        </w:trPr>
        <w:tc>
          <w:tcPr>
            <w:tcW w:w="1272" w:type="dxa"/>
            <w:tcBorders>
              <w:top w:val="single" w:sz="4" w:space="0" w:color="auto"/>
              <w:left w:val="single" w:sz="4" w:space="0" w:color="auto"/>
              <w:bottom w:val="single" w:sz="4" w:space="0" w:color="auto"/>
              <w:right w:val="single" w:sz="4" w:space="0" w:color="auto"/>
            </w:tcBorders>
            <w:hideMark/>
          </w:tcPr>
          <w:p w14:paraId="554C2A56" w14:textId="77777777" w:rsidR="0031683A" w:rsidRPr="008E57CE" w:rsidRDefault="0031683A">
            <w:pPr>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2"/>
                <w:szCs w:val="22"/>
              </w:rPr>
            </w:pPr>
            <w:proofErr w:type="spellStart"/>
            <w:r w:rsidRPr="008E57CE">
              <w:rPr>
                <w:sz w:val="22"/>
                <w:szCs w:val="22"/>
              </w:rPr>
              <w:t>Kreatinin-clearance</w:t>
            </w:r>
            <w:proofErr w:type="spellEnd"/>
            <w:r w:rsidRPr="008E57CE">
              <w:rPr>
                <w:sz w:val="22"/>
                <w:szCs w:val="22"/>
              </w:rPr>
              <w:t xml:space="preserve"> </w:t>
            </w:r>
          </w:p>
        </w:tc>
        <w:tc>
          <w:tcPr>
            <w:tcW w:w="1702" w:type="dxa"/>
            <w:tcBorders>
              <w:top w:val="single" w:sz="4" w:space="0" w:color="auto"/>
              <w:left w:val="single" w:sz="4" w:space="0" w:color="auto"/>
              <w:bottom w:val="single" w:sz="4" w:space="0" w:color="auto"/>
              <w:right w:val="single" w:sz="4" w:space="0" w:color="auto"/>
            </w:tcBorders>
            <w:hideMark/>
          </w:tcPr>
          <w:p w14:paraId="6600F5DD" w14:textId="77777777" w:rsidR="0031683A" w:rsidRPr="008E57CE" w:rsidRDefault="0031683A">
            <w:pPr>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2"/>
                <w:szCs w:val="22"/>
              </w:rPr>
            </w:pPr>
            <w:r w:rsidRPr="008E57CE">
              <w:rPr>
                <w:sz w:val="22"/>
                <w:szCs w:val="22"/>
              </w:rPr>
              <w:t>CMV-</w:t>
            </w:r>
            <w:proofErr w:type="spellStart"/>
            <w:r w:rsidRPr="008E57CE">
              <w:rPr>
                <w:sz w:val="22"/>
                <w:szCs w:val="22"/>
              </w:rPr>
              <w:t>viræmi</w:t>
            </w:r>
            <w:proofErr w:type="spellEnd"/>
            <w:r w:rsidRPr="008E57CE">
              <w:rPr>
                <w:sz w:val="22"/>
                <w:szCs w:val="22"/>
              </w:rPr>
              <w:t xml:space="preserve"> (HSCT)</w:t>
            </w:r>
          </w:p>
        </w:tc>
        <w:tc>
          <w:tcPr>
            <w:tcW w:w="1844" w:type="dxa"/>
            <w:tcBorders>
              <w:top w:val="single" w:sz="4" w:space="0" w:color="auto"/>
              <w:left w:val="single" w:sz="4" w:space="0" w:color="auto"/>
              <w:bottom w:val="single" w:sz="4" w:space="0" w:color="auto"/>
              <w:right w:val="single" w:sz="4" w:space="0" w:color="auto"/>
            </w:tcBorders>
          </w:tcPr>
          <w:p w14:paraId="4DE50A35" w14:textId="77777777" w:rsidR="0031683A" w:rsidRPr="008E57CE" w:rsidRDefault="0031683A">
            <w:pPr>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2"/>
                <w:szCs w:val="22"/>
              </w:rPr>
            </w:pPr>
            <w:r w:rsidRPr="008E57CE">
              <w:rPr>
                <w:sz w:val="22"/>
                <w:szCs w:val="22"/>
              </w:rPr>
              <w:t>CMV-sygdom (HSCT) og CMV-</w:t>
            </w:r>
            <w:proofErr w:type="spellStart"/>
            <w:r w:rsidRPr="008E57CE">
              <w:rPr>
                <w:sz w:val="22"/>
                <w:szCs w:val="22"/>
              </w:rPr>
              <w:t>retinitis</w:t>
            </w:r>
            <w:proofErr w:type="spellEnd"/>
            <w:r w:rsidRPr="008E57CE">
              <w:rPr>
                <w:sz w:val="22"/>
                <w:szCs w:val="22"/>
              </w:rPr>
              <w:t xml:space="preserve"> (AIDS)</w:t>
            </w:r>
          </w:p>
          <w:p w14:paraId="66C574CF" w14:textId="77777777" w:rsidR="0031683A" w:rsidRPr="008E57CE" w:rsidRDefault="0031683A">
            <w:pPr>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2"/>
                <w:szCs w:val="22"/>
              </w:rPr>
            </w:pPr>
          </w:p>
        </w:tc>
        <w:tc>
          <w:tcPr>
            <w:tcW w:w="1844" w:type="dxa"/>
            <w:tcBorders>
              <w:top w:val="single" w:sz="4" w:space="0" w:color="auto"/>
              <w:left w:val="single" w:sz="4" w:space="0" w:color="auto"/>
              <w:bottom w:val="single" w:sz="4" w:space="0" w:color="auto"/>
              <w:right w:val="single" w:sz="4" w:space="0" w:color="auto"/>
            </w:tcBorders>
            <w:hideMark/>
          </w:tcPr>
          <w:p w14:paraId="401F1612" w14:textId="77777777" w:rsidR="0031683A" w:rsidRPr="008E57CE" w:rsidRDefault="0031683A">
            <w:pPr>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2"/>
                <w:szCs w:val="22"/>
              </w:rPr>
            </w:pPr>
            <w:r w:rsidRPr="008E57CE">
              <w:rPr>
                <w:sz w:val="22"/>
                <w:szCs w:val="22"/>
              </w:rPr>
              <w:t xml:space="preserve">CMV-sygdom (HSCT), </w:t>
            </w:r>
          </w:p>
          <w:p w14:paraId="039E8776" w14:textId="3C59DBB9" w:rsidR="0031683A" w:rsidRPr="008E57CE" w:rsidRDefault="0031683A">
            <w:pPr>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2"/>
                <w:szCs w:val="22"/>
              </w:rPr>
            </w:pPr>
            <w:r w:rsidRPr="008E57CE">
              <w:rPr>
                <w:sz w:val="22"/>
                <w:szCs w:val="22"/>
              </w:rPr>
              <w:t>CMV-</w:t>
            </w:r>
            <w:proofErr w:type="spellStart"/>
            <w:r w:rsidRPr="008E57CE">
              <w:rPr>
                <w:sz w:val="22"/>
                <w:szCs w:val="22"/>
              </w:rPr>
              <w:t>retinitis</w:t>
            </w:r>
            <w:proofErr w:type="spellEnd"/>
            <w:r w:rsidRPr="008E57CE">
              <w:rPr>
                <w:sz w:val="22"/>
                <w:szCs w:val="22"/>
              </w:rPr>
              <w:t xml:space="preserve"> (AIDS) og CMV i mave-tarm</w:t>
            </w:r>
            <w:r w:rsidR="00762043">
              <w:rPr>
                <w:sz w:val="22"/>
                <w:szCs w:val="22"/>
              </w:rPr>
              <w:t>-</w:t>
            </w:r>
            <w:r w:rsidRPr="008E57CE">
              <w:rPr>
                <w:sz w:val="22"/>
                <w:szCs w:val="22"/>
              </w:rPr>
              <w:t>kanalen</w:t>
            </w:r>
          </w:p>
        </w:tc>
        <w:tc>
          <w:tcPr>
            <w:tcW w:w="1843" w:type="dxa"/>
            <w:tcBorders>
              <w:top w:val="single" w:sz="4" w:space="0" w:color="auto"/>
              <w:left w:val="single" w:sz="4" w:space="0" w:color="auto"/>
              <w:bottom w:val="single" w:sz="4" w:space="0" w:color="auto"/>
              <w:right w:val="single" w:sz="4" w:space="0" w:color="auto"/>
            </w:tcBorders>
          </w:tcPr>
          <w:p w14:paraId="73BF61F3" w14:textId="77777777" w:rsidR="0031683A" w:rsidRPr="008E57CE" w:rsidRDefault="0031683A">
            <w:pPr>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2"/>
                <w:szCs w:val="22"/>
              </w:rPr>
            </w:pPr>
            <w:r w:rsidRPr="008E57CE">
              <w:rPr>
                <w:sz w:val="22"/>
                <w:szCs w:val="22"/>
              </w:rPr>
              <w:t>HSV-infektion</w:t>
            </w:r>
          </w:p>
          <w:p w14:paraId="101DAE4D" w14:textId="77777777" w:rsidR="0031683A" w:rsidRPr="008E57CE" w:rsidRDefault="0031683A">
            <w:pPr>
              <w:pStyle w:val="A-TableText"/>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spacing w:before="0" w:after="0"/>
              <w:rPr>
                <w:szCs w:val="22"/>
              </w:rPr>
            </w:pPr>
          </w:p>
        </w:tc>
      </w:tr>
      <w:tr w:rsidR="0031683A" w:rsidRPr="008E57CE" w14:paraId="1D269105" w14:textId="77777777" w:rsidTr="007758B3">
        <w:trPr>
          <w:cantSplit/>
        </w:trPr>
        <w:tc>
          <w:tcPr>
            <w:tcW w:w="1272" w:type="dxa"/>
            <w:tcBorders>
              <w:top w:val="single" w:sz="4" w:space="0" w:color="auto"/>
              <w:left w:val="single" w:sz="4" w:space="0" w:color="auto"/>
              <w:bottom w:val="single" w:sz="4" w:space="0" w:color="auto"/>
              <w:right w:val="single" w:sz="4" w:space="0" w:color="auto"/>
            </w:tcBorders>
          </w:tcPr>
          <w:p w14:paraId="70953F3D" w14:textId="77777777" w:rsidR="0031683A" w:rsidRPr="008E57CE" w:rsidRDefault="0031683A">
            <w:pPr>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jc w:val="center"/>
              <w:rPr>
                <w:sz w:val="22"/>
                <w:szCs w:val="22"/>
              </w:rPr>
            </w:pPr>
          </w:p>
        </w:tc>
        <w:tc>
          <w:tcPr>
            <w:tcW w:w="3546" w:type="dxa"/>
            <w:gridSpan w:val="2"/>
            <w:tcBorders>
              <w:top w:val="single" w:sz="4" w:space="0" w:color="auto"/>
              <w:left w:val="single" w:sz="4" w:space="0" w:color="auto"/>
              <w:bottom w:val="single" w:sz="4" w:space="0" w:color="auto"/>
              <w:right w:val="single" w:sz="4" w:space="0" w:color="auto"/>
            </w:tcBorders>
            <w:hideMark/>
          </w:tcPr>
          <w:p w14:paraId="28A7EF3D" w14:textId="77777777" w:rsidR="0031683A" w:rsidRPr="008E57CE" w:rsidRDefault="0031683A">
            <w:pPr>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jc w:val="center"/>
              <w:rPr>
                <w:sz w:val="22"/>
                <w:szCs w:val="22"/>
              </w:rPr>
            </w:pPr>
            <w:r w:rsidRPr="008E57CE">
              <w:rPr>
                <w:sz w:val="22"/>
                <w:szCs w:val="22"/>
              </w:rPr>
              <w:t>Regime ved 60 mg/kg</w:t>
            </w:r>
          </w:p>
        </w:tc>
        <w:tc>
          <w:tcPr>
            <w:tcW w:w="1844" w:type="dxa"/>
            <w:tcBorders>
              <w:top w:val="single" w:sz="4" w:space="0" w:color="auto"/>
              <w:left w:val="single" w:sz="4" w:space="0" w:color="auto"/>
              <w:bottom w:val="single" w:sz="4" w:space="0" w:color="auto"/>
              <w:right w:val="single" w:sz="4" w:space="0" w:color="auto"/>
            </w:tcBorders>
            <w:hideMark/>
          </w:tcPr>
          <w:p w14:paraId="4D91B62D" w14:textId="77777777" w:rsidR="0031683A" w:rsidRPr="008E57CE" w:rsidRDefault="0031683A">
            <w:pPr>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jc w:val="center"/>
              <w:rPr>
                <w:i/>
                <w:sz w:val="22"/>
                <w:szCs w:val="22"/>
              </w:rPr>
            </w:pPr>
            <w:r w:rsidRPr="008E57CE">
              <w:rPr>
                <w:sz w:val="22"/>
                <w:szCs w:val="22"/>
              </w:rPr>
              <w:t>Regime ved 90 mg/kg</w:t>
            </w:r>
          </w:p>
        </w:tc>
        <w:tc>
          <w:tcPr>
            <w:tcW w:w="1843" w:type="dxa"/>
            <w:tcBorders>
              <w:top w:val="single" w:sz="4" w:space="0" w:color="auto"/>
              <w:left w:val="single" w:sz="4" w:space="0" w:color="auto"/>
              <w:bottom w:val="single" w:sz="4" w:space="0" w:color="auto"/>
              <w:right w:val="single" w:sz="4" w:space="0" w:color="auto"/>
            </w:tcBorders>
            <w:hideMark/>
          </w:tcPr>
          <w:p w14:paraId="6A06ACF8" w14:textId="77777777" w:rsidR="0031683A" w:rsidRPr="008E57CE" w:rsidRDefault="0031683A">
            <w:pPr>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jc w:val="center"/>
              <w:rPr>
                <w:sz w:val="22"/>
                <w:szCs w:val="22"/>
              </w:rPr>
            </w:pPr>
            <w:r w:rsidRPr="008E57CE">
              <w:rPr>
                <w:sz w:val="22"/>
                <w:szCs w:val="22"/>
              </w:rPr>
              <w:t>Regime ved 40 mg/kg</w:t>
            </w:r>
          </w:p>
        </w:tc>
      </w:tr>
      <w:tr w:rsidR="0031683A" w:rsidRPr="008E57CE" w14:paraId="2CC2C9B3" w14:textId="77777777" w:rsidTr="007758B3">
        <w:trPr>
          <w:cantSplit/>
        </w:trPr>
        <w:tc>
          <w:tcPr>
            <w:tcW w:w="1272" w:type="dxa"/>
            <w:tcBorders>
              <w:top w:val="single" w:sz="4" w:space="0" w:color="auto"/>
              <w:left w:val="single" w:sz="4" w:space="0" w:color="auto"/>
              <w:bottom w:val="single" w:sz="4" w:space="0" w:color="auto"/>
              <w:right w:val="single" w:sz="4" w:space="0" w:color="auto"/>
            </w:tcBorders>
            <w:hideMark/>
          </w:tcPr>
          <w:p w14:paraId="6B962802" w14:textId="77777777" w:rsidR="0031683A" w:rsidRPr="008E57CE" w:rsidRDefault="0031683A">
            <w:pPr>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jc w:val="center"/>
              <w:rPr>
                <w:sz w:val="22"/>
                <w:szCs w:val="22"/>
              </w:rPr>
            </w:pPr>
            <w:r w:rsidRPr="008E57CE">
              <w:rPr>
                <w:sz w:val="22"/>
                <w:szCs w:val="22"/>
              </w:rPr>
              <w:t>(ml/kg/min)</w:t>
            </w:r>
          </w:p>
        </w:tc>
        <w:tc>
          <w:tcPr>
            <w:tcW w:w="3546" w:type="dxa"/>
            <w:gridSpan w:val="2"/>
            <w:tcBorders>
              <w:top w:val="single" w:sz="4" w:space="0" w:color="auto"/>
              <w:left w:val="single" w:sz="4" w:space="0" w:color="auto"/>
              <w:bottom w:val="single" w:sz="4" w:space="0" w:color="auto"/>
              <w:right w:val="single" w:sz="4" w:space="0" w:color="auto"/>
            </w:tcBorders>
            <w:hideMark/>
          </w:tcPr>
          <w:p w14:paraId="7A89C198" w14:textId="77777777" w:rsidR="0031683A" w:rsidRPr="008E57CE" w:rsidRDefault="0031683A">
            <w:pPr>
              <w:pStyle w:val="A-TableText"/>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spacing w:before="0" w:after="0"/>
              <w:jc w:val="center"/>
              <w:rPr>
                <w:szCs w:val="22"/>
              </w:rPr>
            </w:pPr>
            <w:r w:rsidRPr="008E57CE">
              <w:rPr>
                <w:szCs w:val="22"/>
              </w:rPr>
              <w:t>(mg/kg)</w:t>
            </w:r>
          </w:p>
        </w:tc>
        <w:tc>
          <w:tcPr>
            <w:tcW w:w="1844" w:type="dxa"/>
            <w:tcBorders>
              <w:top w:val="single" w:sz="4" w:space="0" w:color="auto"/>
              <w:left w:val="single" w:sz="4" w:space="0" w:color="auto"/>
              <w:bottom w:val="single" w:sz="4" w:space="0" w:color="auto"/>
              <w:right w:val="single" w:sz="4" w:space="0" w:color="auto"/>
            </w:tcBorders>
            <w:hideMark/>
          </w:tcPr>
          <w:p w14:paraId="11D4E194" w14:textId="77777777" w:rsidR="0031683A" w:rsidRPr="008E57CE" w:rsidRDefault="0031683A">
            <w:pPr>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jc w:val="center"/>
              <w:rPr>
                <w:i/>
                <w:sz w:val="22"/>
                <w:szCs w:val="22"/>
              </w:rPr>
            </w:pPr>
            <w:r w:rsidRPr="008E57CE">
              <w:rPr>
                <w:sz w:val="22"/>
                <w:szCs w:val="22"/>
              </w:rPr>
              <w:t>(mg/kg)</w:t>
            </w:r>
          </w:p>
        </w:tc>
        <w:tc>
          <w:tcPr>
            <w:tcW w:w="1843" w:type="dxa"/>
            <w:tcBorders>
              <w:top w:val="single" w:sz="4" w:space="0" w:color="auto"/>
              <w:left w:val="single" w:sz="4" w:space="0" w:color="auto"/>
              <w:bottom w:val="single" w:sz="4" w:space="0" w:color="auto"/>
              <w:right w:val="single" w:sz="4" w:space="0" w:color="auto"/>
            </w:tcBorders>
            <w:hideMark/>
          </w:tcPr>
          <w:p w14:paraId="2EDE99E6" w14:textId="77777777" w:rsidR="0031683A" w:rsidRPr="008E57CE" w:rsidRDefault="0031683A">
            <w:pPr>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jc w:val="center"/>
              <w:rPr>
                <w:sz w:val="22"/>
                <w:szCs w:val="22"/>
              </w:rPr>
            </w:pPr>
            <w:r w:rsidRPr="008E57CE">
              <w:rPr>
                <w:sz w:val="22"/>
                <w:szCs w:val="22"/>
              </w:rPr>
              <w:t>(mg/kg)</w:t>
            </w:r>
          </w:p>
        </w:tc>
      </w:tr>
      <w:tr w:rsidR="0031683A" w:rsidRPr="008E57CE" w14:paraId="4FC4965C" w14:textId="77777777" w:rsidTr="007758B3">
        <w:trPr>
          <w:cantSplit/>
        </w:trPr>
        <w:tc>
          <w:tcPr>
            <w:tcW w:w="1272" w:type="dxa"/>
            <w:tcBorders>
              <w:top w:val="single" w:sz="4" w:space="0" w:color="auto"/>
              <w:left w:val="single" w:sz="4" w:space="0" w:color="auto"/>
              <w:bottom w:val="single" w:sz="4" w:space="0" w:color="auto"/>
              <w:right w:val="single" w:sz="4" w:space="0" w:color="auto"/>
            </w:tcBorders>
            <w:hideMark/>
          </w:tcPr>
          <w:p w14:paraId="47C093E5" w14:textId="77777777" w:rsidR="0031683A" w:rsidRPr="008E57CE" w:rsidRDefault="0031683A">
            <w:pPr>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2"/>
                <w:szCs w:val="22"/>
              </w:rPr>
            </w:pPr>
            <w:r w:rsidRPr="008E57CE">
              <w:rPr>
                <w:sz w:val="22"/>
                <w:szCs w:val="22"/>
              </w:rPr>
              <w:t>&gt;1,4</w:t>
            </w:r>
          </w:p>
          <w:p w14:paraId="41F6970D" w14:textId="77777777" w:rsidR="0031683A" w:rsidRPr="008E57CE" w:rsidRDefault="0031683A">
            <w:pPr>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2"/>
                <w:szCs w:val="22"/>
              </w:rPr>
            </w:pPr>
            <w:r w:rsidRPr="008E57CE">
              <w:rPr>
                <w:sz w:val="22"/>
                <w:szCs w:val="22"/>
              </w:rPr>
              <w:t>&gt;1,0 til ≤1,4</w:t>
            </w:r>
          </w:p>
          <w:p w14:paraId="2C0DA5EA" w14:textId="77777777" w:rsidR="0031683A" w:rsidRPr="008E57CE" w:rsidRDefault="0031683A">
            <w:pPr>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2"/>
                <w:szCs w:val="22"/>
              </w:rPr>
            </w:pPr>
            <w:r w:rsidRPr="008E57CE">
              <w:rPr>
                <w:sz w:val="22"/>
                <w:szCs w:val="22"/>
              </w:rPr>
              <w:t>&gt;0,8 til ≤1,0</w:t>
            </w:r>
          </w:p>
          <w:p w14:paraId="22A2D3D5" w14:textId="77777777" w:rsidR="0031683A" w:rsidRPr="008E57CE" w:rsidRDefault="0031683A">
            <w:pPr>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2"/>
                <w:szCs w:val="22"/>
              </w:rPr>
            </w:pPr>
            <w:r w:rsidRPr="008E57CE">
              <w:rPr>
                <w:sz w:val="22"/>
                <w:szCs w:val="22"/>
              </w:rPr>
              <w:t>&gt;0,6 til ≤0,8</w:t>
            </w:r>
          </w:p>
          <w:p w14:paraId="5BA55357" w14:textId="77777777" w:rsidR="0031683A" w:rsidRPr="008E57CE" w:rsidRDefault="0031683A">
            <w:pPr>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2"/>
                <w:szCs w:val="22"/>
              </w:rPr>
            </w:pPr>
            <w:r w:rsidRPr="008E57CE">
              <w:rPr>
                <w:sz w:val="22"/>
                <w:szCs w:val="22"/>
              </w:rPr>
              <w:t>&gt;0,5 til ≤0,6</w:t>
            </w:r>
          </w:p>
          <w:p w14:paraId="707B1CF3" w14:textId="77777777" w:rsidR="0031683A" w:rsidRPr="008E57CE" w:rsidRDefault="0031683A">
            <w:pPr>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2"/>
                <w:szCs w:val="22"/>
              </w:rPr>
            </w:pPr>
            <w:r w:rsidRPr="008E57CE">
              <w:rPr>
                <w:sz w:val="22"/>
                <w:szCs w:val="22"/>
              </w:rPr>
              <w:t>&gt;0,4 til ≤0,5</w:t>
            </w:r>
          </w:p>
          <w:p w14:paraId="3E128925" w14:textId="77777777" w:rsidR="0031683A" w:rsidRPr="008E57CE" w:rsidRDefault="0031683A">
            <w:pPr>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2"/>
                <w:szCs w:val="22"/>
              </w:rPr>
            </w:pPr>
            <w:r w:rsidRPr="008E57CE">
              <w:rPr>
                <w:sz w:val="22"/>
                <w:szCs w:val="22"/>
              </w:rPr>
              <w:t>&lt;0,4</w:t>
            </w:r>
          </w:p>
        </w:tc>
        <w:tc>
          <w:tcPr>
            <w:tcW w:w="1702" w:type="dxa"/>
            <w:tcBorders>
              <w:top w:val="single" w:sz="4" w:space="0" w:color="auto"/>
              <w:left w:val="single" w:sz="4" w:space="0" w:color="auto"/>
              <w:bottom w:val="single" w:sz="4" w:space="0" w:color="auto"/>
              <w:right w:val="single" w:sz="4" w:space="0" w:color="auto"/>
            </w:tcBorders>
            <w:hideMark/>
          </w:tcPr>
          <w:p w14:paraId="68241573" w14:textId="77777777" w:rsidR="0031683A" w:rsidRPr="008E57CE" w:rsidRDefault="0031683A">
            <w:pPr>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2"/>
                <w:szCs w:val="22"/>
              </w:rPr>
            </w:pPr>
            <w:r w:rsidRPr="008E57CE">
              <w:rPr>
                <w:sz w:val="22"/>
                <w:szCs w:val="22"/>
              </w:rPr>
              <w:t>60 **</w:t>
            </w:r>
          </w:p>
          <w:p w14:paraId="4B57C1C8" w14:textId="77777777" w:rsidR="0031683A" w:rsidRPr="008E57CE" w:rsidRDefault="0031683A">
            <w:pPr>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2"/>
                <w:szCs w:val="22"/>
              </w:rPr>
            </w:pPr>
            <w:r w:rsidRPr="008E57CE">
              <w:rPr>
                <w:sz w:val="22"/>
                <w:szCs w:val="22"/>
              </w:rPr>
              <w:t>45 **</w:t>
            </w:r>
          </w:p>
          <w:p w14:paraId="00B1E9CE" w14:textId="77777777" w:rsidR="0031683A" w:rsidRPr="008E57CE" w:rsidRDefault="0031683A">
            <w:pPr>
              <w:pStyle w:val="A-TableText"/>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spacing w:before="0" w:after="0"/>
              <w:rPr>
                <w:szCs w:val="22"/>
              </w:rPr>
            </w:pPr>
            <w:r w:rsidRPr="008E57CE">
              <w:rPr>
                <w:szCs w:val="22"/>
              </w:rPr>
              <w:t>35 **</w:t>
            </w:r>
          </w:p>
          <w:p w14:paraId="446336A3" w14:textId="77777777" w:rsidR="0031683A" w:rsidRPr="008E57CE" w:rsidRDefault="0031683A">
            <w:pPr>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2"/>
                <w:szCs w:val="22"/>
              </w:rPr>
            </w:pPr>
            <w:r w:rsidRPr="008E57CE">
              <w:rPr>
                <w:sz w:val="22"/>
                <w:szCs w:val="22"/>
              </w:rPr>
              <w:t>25 **</w:t>
            </w:r>
          </w:p>
          <w:p w14:paraId="2D33EAE7" w14:textId="77777777" w:rsidR="0031683A" w:rsidRPr="008E57CE" w:rsidRDefault="0031683A">
            <w:pPr>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2"/>
                <w:szCs w:val="22"/>
              </w:rPr>
            </w:pPr>
            <w:r w:rsidRPr="008E57CE">
              <w:rPr>
                <w:sz w:val="22"/>
                <w:szCs w:val="22"/>
              </w:rPr>
              <w:t>20 **</w:t>
            </w:r>
          </w:p>
          <w:p w14:paraId="3BC75D23" w14:textId="77777777" w:rsidR="0031683A" w:rsidRPr="008E57CE" w:rsidRDefault="0031683A">
            <w:pPr>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2"/>
                <w:szCs w:val="22"/>
              </w:rPr>
            </w:pPr>
            <w:r w:rsidRPr="008E57CE">
              <w:rPr>
                <w:sz w:val="22"/>
                <w:szCs w:val="22"/>
              </w:rPr>
              <w:t>15 **</w:t>
            </w:r>
          </w:p>
          <w:p w14:paraId="6A4CCA8C" w14:textId="77777777" w:rsidR="0031683A" w:rsidRPr="008E57CE" w:rsidRDefault="0031683A">
            <w:pPr>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2"/>
                <w:szCs w:val="22"/>
              </w:rPr>
            </w:pPr>
            <w:r w:rsidRPr="008E57CE">
              <w:rPr>
                <w:sz w:val="22"/>
                <w:szCs w:val="22"/>
              </w:rPr>
              <w:t>Behandling frarådes</w:t>
            </w:r>
          </w:p>
        </w:tc>
        <w:tc>
          <w:tcPr>
            <w:tcW w:w="1844" w:type="dxa"/>
            <w:tcBorders>
              <w:top w:val="single" w:sz="4" w:space="0" w:color="auto"/>
              <w:left w:val="single" w:sz="4" w:space="0" w:color="auto"/>
              <w:bottom w:val="single" w:sz="4" w:space="0" w:color="auto"/>
              <w:right w:val="single" w:sz="4" w:space="0" w:color="auto"/>
            </w:tcBorders>
            <w:hideMark/>
          </w:tcPr>
          <w:p w14:paraId="1F035DF7" w14:textId="77777777" w:rsidR="0031683A" w:rsidRPr="008E57CE" w:rsidRDefault="0031683A">
            <w:pPr>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2"/>
                <w:szCs w:val="22"/>
              </w:rPr>
            </w:pPr>
            <w:r w:rsidRPr="008E57CE">
              <w:rPr>
                <w:sz w:val="22"/>
                <w:szCs w:val="22"/>
              </w:rPr>
              <w:t>60 ***</w:t>
            </w:r>
          </w:p>
          <w:p w14:paraId="5F387EEE" w14:textId="77777777" w:rsidR="0031683A" w:rsidRPr="008E57CE" w:rsidRDefault="0031683A">
            <w:pPr>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2"/>
                <w:szCs w:val="22"/>
              </w:rPr>
            </w:pPr>
            <w:r w:rsidRPr="008E57CE">
              <w:rPr>
                <w:sz w:val="22"/>
                <w:szCs w:val="22"/>
              </w:rPr>
              <w:t>45 ***</w:t>
            </w:r>
          </w:p>
          <w:p w14:paraId="156A6521" w14:textId="77777777" w:rsidR="0031683A" w:rsidRPr="008E57CE" w:rsidRDefault="0031683A">
            <w:pPr>
              <w:pStyle w:val="A-TableText"/>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spacing w:before="0" w:after="0"/>
              <w:rPr>
                <w:szCs w:val="22"/>
              </w:rPr>
            </w:pPr>
            <w:r w:rsidRPr="008E57CE">
              <w:rPr>
                <w:szCs w:val="22"/>
              </w:rPr>
              <w:t>35 ***</w:t>
            </w:r>
          </w:p>
          <w:p w14:paraId="2DB64F59" w14:textId="77777777" w:rsidR="0031683A" w:rsidRPr="008E57CE" w:rsidRDefault="0031683A">
            <w:pPr>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2"/>
                <w:szCs w:val="22"/>
              </w:rPr>
            </w:pPr>
            <w:r w:rsidRPr="008E57CE">
              <w:rPr>
                <w:sz w:val="22"/>
                <w:szCs w:val="22"/>
              </w:rPr>
              <w:t>40 **</w:t>
            </w:r>
          </w:p>
          <w:p w14:paraId="460ED130" w14:textId="77777777" w:rsidR="0031683A" w:rsidRPr="008E57CE" w:rsidRDefault="0031683A">
            <w:pPr>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2"/>
                <w:szCs w:val="22"/>
              </w:rPr>
            </w:pPr>
            <w:r w:rsidRPr="008E57CE">
              <w:rPr>
                <w:sz w:val="22"/>
                <w:szCs w:val="22"/>
              </w:rPr>
              <w:t>30 **</w:t>
            </w:r>
          </w:p>
          <w:p w14:paraId="417BFFB2" w14:textId="77777777" w:rsidR="0031683A" w:rsidRPr="008E57CE" w:rsidRDefault="0031683A">
            <w:pPr>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2"/>
                <w:szCs w:val="22"/>
              </w:rPr>
            </w:pPr>
            <w:r w:rsidRPr="008E57CE">
              <w:rPr>
                <w:sz w:val="22"/>
                <w:szCs w:val="22"/>
              </w:rPr>
              <w:t>25 **</w:t>
            </w:r>
          </w:p>
          <w:p w14:paraId="4D0D20A9" w14:textId="77777777" w:rsidR="0031683A" w:rsidRPr="008E57CE" w:rsidRDefault="0031683A">
            <w:pPr>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2"/>
                <w:szCs w:val="22"/>
              </w:rPr>
            </w:pPr>
            <w:r w:rsidRPr="008E57CE">
              <w:rPr>
                <w:sz w:val="22"/>
                <w:szCs w:val="22"/>
              </w:rPr>
              <w:t>Behandling frarådes</w:t>
            </w:r>
          </w:p>
        </w:tc>
        <w:tc>
          <w:tcPr>
            <w:tcW w:w="1844" w:type="dxa"/>
            <w:tcBorders>
              <w:top w:val="single" w:sz="4" w:space="0" w:color="auto"/>
              <w:left w:val="single" w:sz="4" w:space="0" w:color="auto"/>
              <w:bottom w:val="single" w:sz="4" w:space="0" w:color="auto"/>
              <w:right w:val="single" w:sz="4" w:space="0" w:color="auto"/>
            </w:tcBorders>
            <w:hideMark/>
          </w:tcPr>
          <w:p w14:paraId="0BAADACD" w14:textId="77777777" w:rsidR="0031683A" w:rsidRPr="008E57CE" w:rsidRDefault="0031683A">
            <w:pPr>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2"/>
                <w:szCs w:val="22"/>
              </w:rPr>
            </w:pPr>
            <w:r w:rsidRPr="008E57CE">
              <w:rPr>
                <w:sz w:val="22"/>
                <w:szCs w:val="22"/>
              </w:rPr>
              <w:t>90 **</w:t>
            </w:r>
          </w:p>
          <w:p w14:paraId="34989110" w14:textId="77777777" w:rsidR="0031683A" w:rsidRPr="008E57CE" w:rsidRDefault="0031683A">
            <w:pPr>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2"/>
                <w:szCs w:val="22"/>
              </w:rPr>
            </w:pPr>
            <w:r w:rsidRPr="008E57CE">
              <w:rPr>
                <w:sz w:val="22"/>
                <w:szCs w:val="22"/>
              </w:rPr>
              <w:t>70 **</w:t>
            </w:r>
          </w:p>
          <w:p w14:paraId="5C01DB31" w14:textId="77777777" w:rsidR="0031683A" w:rsidRPr="008E57CE" w:rsidRDefault="0031683A">
            <w:pPr>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2"/>
                <w:szCs w:val="22"/>
              </w:rPr>
            </w:pPr>
            <w:r w:rsidRPr="008E57CE">
              <w:rPr>
                <w:sz w:val="22"/>
                <w:szCs w:val="22"/>
              </w:rPr>
              <w:t>50 **</w:t>
            </w:r>
          </w:p>
          <w:p w14:paraId="4E42D279" w14:textId="77777777" w:rsidR="0031683A" w:rsidRPr="008E57CE" w:rsidRDefault="0031683A">
            <w:pPr>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2"/>
                <w:szCs w:val="22"/>
              </w:rPr>
            </w:pPr>
            <w:r w:rsidRPr="008E57CE">
              <w:rPr>
                <w:sz w:val="22"/>
                <w:szCs w:val="22"/>
              </w:rPr>
              <w:t>80 *</w:t>
            </w:r>
          </w:p>
          <w:p w14:paraId="74914678" w14:textId="77777777" w:rsidR="0031683A" w:rsidRPr="008E57CE" w:rsidRDefault="0031683A">
            <w:pPr>
              <w:pStyle w:val="A-TableText"/>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spacing w:before="0" w:after="0"/>
              <w:rPr>
                <w:szCs w:val="22"/>
              </w:rPr>
            </w:pPr>
            <w:r w:rsidRPr="008E57CE">
              <w:rPr>
                <w:szCs w:val="22"/>
              </w:rPr>
              <w:t>60 *</w:t>
            </w:r>
          </w:p>
          <w:p w14:paraId="0449539F" w14:textId="77777777" w:rsidR="0031683A" w:rsidRPr="008E57CE" w:rsidRDefault="0031683A">
            <w:pPr>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2"/>
                <w:szCs w:val="22"/>
              </w:rPr>
            </w:pPr>
            <w:r w:rsidRPr="008E57CE">
              <w:rPr>
                <w:sz w:val="22"/>
                <w:szCs w:val="22"/>
              </w:rPr>
              <w:t>50 *</w:t>
            </w:r>
          </w:p>
          <w:p w14:paraId="0C19AF24" w14:textId="77777777" w:rsidR="0031683A" w:rsidRPr="008E57CE" w:rsidRDefault="0031683A">
            <w:pPr>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2"/>
                <w:szCs w:val="22"/>
              </w:rPr>
            </w:pPr>
            <w:r w:rsidRPr="008E57CE">
              <w:rPr>
                <w:sz w:val="22"/>
                <w:szCs w:val="22"/>
              </w:rPr>
              <w:t>Behandling frarådes</w:t>
            </w:r>
          </w:p>
        </w:tc>
        <w:tc>
          <w:tcPr>
            <w:tcW w:w="1843" w:type="dxa"/>
            <w:tcBorders>
              <w:top w:val="single" w:sz="4" w:space="0" w:color="auto"/>
              <w:left w:val="single" w:sz="4" w:space="0" w:color="auto"/>
              <w:bottom w:val="single" w:sz="4" w:space="0" w:color="auto"/>
              <w:right w:val="single" w:sz="4" w:space="0" w:color="auto"/>
            </w:tcBorders>
            <w:hideMark/>
          </w:tcPr>
          <w:p w14:paraId="5060AA48" w14:textId="77777777" w:rsidR="0031683A" w:rsidRPr="008E57CE" w:rsidRDefault="0031683A">
            <w:pPr>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2"/>
                <w:szCs w:val="22"/>
              </w:rPr>
            </w:pPr>
            <w:r w:rsidRPr="008E57CE">
              <w:rPr>
                <w:sz w:val="22"/>
                <w:szCs w:val="22"/>
              </w:rPr>
              <w:t>40 ***</w:t>
            </w:r>
          </w:p>
          <w:p w14:paraId="27715A75" w14:textId="77777777" w:rsidR="0031683A" w:rsidRPr="008E57CE" w:rsidRDefault="0031683A">
            <w:pPr>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2"/>
                <w:szCs w:val="22"/>
              </w:rPr>
            </w:pPr>
            <w:r w:rsidRPr="008E57CE">
              <w:rPr>
                <w:sz w:val="22"/>
                <w:szCs w:val="22"/>
              </w:rPr>
              <w:t>30 ***</w:t>
            </w:r>
          </w:p>
          <w:p w14:paraId="42A80D3A" w14:textId="77777777" w:rsidR="0031683A" w:rsidRPr="008E57CE" w:rsidRDefault="0031683A">
            <w:pPr>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2"/>
                <w:szCs w:val="22"/>
              </w:rPr>
            </w:pPr>
            <w:r w:rsidRPr="008E57CE">
              <w:rPr>
                <w:sz w:val="22"/>
                <w:szCs w:val="22"/>
              </w:rPr>
              <w:t>20 ***</w:t>
            </w:r>
          </w:p>
          <w:p w14:paraId="441031ED" w14:textId="77777777" w:rsidR="0031683A" w:rsidRPr="008E57CE" w:rsidRDefault="0031683A">
            <w:pPr>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2"/>
                <w:szCs w:val="22"/>
              </w:rPr>
            </w:pPr>
            <w:r w:rsidRPr="008E57CE">
              <w:rPr>
                <w:sz w:val="22"/>
                <w:szCs w:val="22"/>
              </w:rPr>
              <w:t>25 **</w:t>
            </w:r>
          </w:p>
          <w:p w14:paraId="3C58325B" w14:textId="77777777" w:rsidR="0031683A" w:rsidRPr="008E57CE" w:rsidRDefault="0031683A">
            <w:pPr>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2"/>
                <w:szCs w:val="22"/>
              </w:rPr>
            </w:pPr>
            <w:r w:rsidRPr="008E57CE">
              <w:rPr>
                <w:sz w:val="22"/>
                <w:szCs w:val="22"/>
              </w:rPr>
              <w:t>20 **</w:t>
            </w:r>
          </w:p>
          <w:p w14:paraId="1E909E0F" w14:textId="77777777" w:rsidR="0031683A" w:rsidRPr="008E57CE" w:rsidRDefault="0031683A">
            <w:pPr>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2"/>
                <w:szCs w:val="22"/>
              </w:rPr>
            </w:pPr>
            <w:r w:rsidRPr="008E57CE">
              <w:rPr>
                <w:sz w:val="22"/>
                <w:szCs w:val="22"/>
              </w:rPr>
              <w:t>15 **</w:t>
            </w:r>
          </w:p>
          <w:p w14:paraId="2D0C667D" w14:textId="77777777" w:rsidR="0031683A" w:rsidRPr="008E57CE" w:rsidRDefault="0031683A">
            <w:pPr>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2"/>
                <w:szCs w:val="22"/>
              </w:rPr>
            </w:pPr>
            <w:r w:rsidRPr="008E57CE">
              <w:rPr>
                <w:sz w:val="22"/>
                <w:szCs w:val="22"/>
              </w:rPr>
              <w:t>Behandling frarådes</w:t>
            </w:r>
          </w:p>
        </w:tc>
      </w:tr>
      <w:tr w:rsidR="0031683A" w:rsidRPr="008E57CE" w14:paraId="717BA27A" w14:textId="77777777" w:rsidTr="007758B3">
        <w:trPr>
          <w:cantSplit/>
        </w:trPr>
        <w:tc>
          <w:tcPr>
            <w:tcW w:w="8505" w:type="dxa"/>
            <w:gridSpan w:val="5"/>
            <w:tcBorders>
              <w:top w:val="single" w:sz="4" w:space="0" w:color="auto"/>
              <w:left w:val="single" w:sz="4" w:space="0" w:color="auto"/>
              <w:bottom w:val="single" w:sz="4" w:space="0" w:color="auto"/>
              <w:right w:val="single" w:sz="4" w:space="0" w:color="auto"/>
            </w:tcBorders>
            <w:hideMark/>
          </w:tcPr>
          <w:p w14:paraId="43C9362A" w14:textId="77777777" w:rsidR="0031683A" w:rsidRPr="008E57CE" w:rsidRDefault="0031683A">
            <w:pPr>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ind w:left="601" w:hanging="601"/>
              <w:rPr>
                <w:sz w:val="22"/>
                <w:szCs w:val="22"/>
              </w:rPr>
            </w:pPr>
            <w:r w:rsidRPr="008E57CE">
              <w:rPr>
                <w:sz w:val="22"/>
                <w:szCs w:val="22"/>
              </w:rPr>
              <w:t>*</w:t>
            </w:r>
            <w:r w:rsidRPr="008E57CE">
              <w:rPr>
                <w:sz w:val="22"/>
                <w:szCs w:val="22"/>
              </w:rPr>
              <w:tab/>
              <w:t>hver 24 timer (= én gang dagligt)</w:t>
            </w:r>
          </w:p>
          <w:p w14:paraId="192FD4EF" w14:textId="77777777" w:rsidR="0031683A" w:rsidRPr="008E57CE" w:rsidRDefault="0031683A">
            <w:pPr>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ind w:left="601" w:hanging="601"/>
              <w:rPr>
                <w:sz w:val="22"/>
                <w:szCs w:val="22"/>
              </w:rPr>
            </w:pPr>
            <w:r w:rsidRPr="008E57CE">
              <w:rPr>
                <w:sz w:val="22"/>
                <w:szCs w:val="22"/>
              </w:rPr>
              <w:t>**</w:t>
            </w:r>
            <w:r w:rsidRPr="008E57CE">
              <w:rPr>
                <w:sz w:val="22"/>
                <w:szCs w:val="22"/>
              </w:rPr>
              <w:tab/>
              <w:t>hver 12. time (= to gange dagligt)</w:t>
            </w:r>
          </w:p>
          <w:p w14:paraId="5B0888F9" w14:textId="77777777" w:rsidR="0031683A" w:rsidRPr="008E57CE" w:rsidRDefault="0031683A">
            <w:pPr>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ind w:left="601" w:hanging="601"/>
              <w:rPr>
                <w:sz w:val="22"/>
                <w:szCs w:val="22"/>
              </w:rPr>
            </w:pPr>
            <w:r w:rsidRPr="008E57CE">
              <w:rPr>
                <w:sz w:val="22"/>
                <w:szCs w:val="22"/>
              </w:rPr>
              <w:t>***</w:t>
            </w:r>
            <w:r w:rsidRPr="008E57CE">
              <w:rPr>
                <w:sz w:val="22"/>
                <w:szCs w:val="22"/>
              </w:rPr>
              <w:tab/>
              <w:t>hver 8. time (= tre gange dagligt)</w:t>
            </w:r>
          </w:p>
        </w:tc>
      </w:tr>
    </w:tbl>
    <w:p w14:paraId="2F152359" w14:textId="77777777" w:rsidR="0031683A" w:rsidRPr="002126A3" w:rsidRDefault="0031683A" w:rsidP="0031683A">
      <w:pPr>
        <w:rPr>
          <w:sz w:val="24"/>
          <w:szCs w:val="24"/>
        </w:rPr>
      </w:pPr>
    </w:p>
    <w:p w14:paraId="58F9DF14" w14:textId="77777777" w:rsidR="0031683A" w:rsidRPr="008E57CE" w:rsidRDefault="0031683A" w:rsidP="007758B3">
      <w:pPr>
        <w:ind w:left="851"/>
        <w:rPr>
          <w:i/>
          <w:sz w:val="24"/>
          <w:szCs w:val="24"/>
        </w:rPr>
      </w:pPr>
      <w:r w:rsidRPr="008E57CE">
        <w:rPr>
          <w:i/>
          <w:sz w:val="24"/>
          <w:szCs w:val="24"/>
        </w:rPr>
        <w:t xml:space="preserve">Vedligeholdelsesbehandling: </w:t>
      </w:r>
    </w:p>
    <w:p w14:paraId="04EFE2A1" w14:textId="77777777" w:rsidR="0031683A" w:rsidRPr="002126A3" w:rsidRDefault="0031683A" w:rsidP="007758B3">
      <w:pPr>
        <w:ind w:left="851"/>
        <w:rPr>
          <w:sz w:val="24"/>
          <w:szCs w:val="24"/>
        </w:rPr>
      </w:pPr>
      <w:r w:rsidRPr="002126A3">
        <w:rPr>
          <w:sz w:val="24"/>
          <w:szCs w:val="24"/>
        </w:rPr>
        <w:t>Risikoen ved vedligeholdelsesbehandling skal afvejes mod fordelene.</w:t>
      </w:r>
    </w:p>
    <w:p w14:paraId="01D5DE3C" w14:textId="77777777" w:rsidR="0031683A" w:rsidRPr="002126A3" w:rsidRDefault="0031683A" w:rsidP="007758B3">
      <w:pPr>
        <w:ind w:left="851"/>
        <w:rPr>
          <w:sz w:val="24"/>
          <w:szCs w:val="24"/>
        </w:rPr>
      </w:pPr>
    </w:p>
    <w:p w14:paraId="04BB4991" w14:textId="77777777" w:rsidR="0031683A" w:rsidRPr="008E57CE" w:rsidRDefault="0031683A" w:rsidP="008E57CE">
      <w:pPr>
        <w:pStyle w:val="Listeafsnit"/>
        <w:numPr>
          <w:ilvl w:val="0"/>
          <w:numId w:val="10"/>
        </w:numPr>
        <w:ind w:left="1276" w:hanging="425"/>
        <w:rPr>
          <w:i/>
          <w:iCs/>
          <w:sz w:val="24"/>
          <w:szCs w:val="24"/>
        </w:rPr>
      </w:pPr>
      <w:r w:rsidRPr="008E57CE">
        <w:rPr>
          <w:i/>
          <w:sz w:val="24"/>
          <w:szCs w:val="24"/>
        </w:rPr>
        <w:t>CMV-</w:t>
      </w:r>
      <w:proofErr w:type="spellStart"/>
      <w:r w:rsidRPr="008E57CE">
        <w:rPr>
          <w:i/>
          <w:sz w:val="24"/>
          <w:szCs w:val="24"/>
        </w:rPr>
        <w:t>viræmi</w:t>
      </w:r>
      <w:proofErr w:type="spellEnd"/>
      <w:r w:rsidRPr="008E57CE">
        <w:rPr>
          <w:i/>
          <w:sz w:val="24"/>
          <w:szCs w:val="24"/>
        </w:rPr>
        <w:t xml:space="preserve"> hos HSCT-patienter</w:t>
      </w:r>
    </w:p>
    <w:p w14:paraId="2001E1C6" w14:textId="77777777" w:rsidR="0031683A" w:rsidRPr="008E57CE" w:rsidRDefault="0031683A" w:rsidP="008E57CE">
      <w:pPr>
        <w:ind w:left="851"/>
        <w:rPr>
          <w:sz w:val="24"/>
          <w:szCs w:val="24"/>
        </w:rPr>
      </w:pPr>
      <w:r w:rsidRPr="008E57CE">
        <w:rPr>
          <w:sz w:val="24"/>
          <w:szCs w:val="24"/>
        </w:rPr>
        <w:t>Til vedligeholdelsesbehandling, efter induktionsbehandling af CMV-</w:t>
      </w:r>
      <w:proofErr w:type="spellStart"/>
      <w:r w:rsidRPr="008E57CE">
        <w:rPr>
          <w:sz w:val="24"/>
          <w:szCs w:val="24"/>
        </w:rPr>
        <w:t>viræmi</w:t>
      </w:r>
      <w:proofErr w:type="spellEnd"/>
      <w:r w:rsidRPr="008E57CE">
        <w:rPr>
          <w:sz w:val="24"/>
          <w:szCs w:val="24"/>
        </w:rPr>
        <w:t xml:space="preserve">, administreres </w:t>
      </w:r>
      <w:proofErr w:type="spellStart"/>
      <w:r w:rsidRPr="008E57CE">
        <w:rPr>
          <w:sz w:val="24"/>
          <w:szCs w:val="24"/>
        </w:rPr>
        <w:t>Virafosc</w:t>
      </w:r>
      <w:proofErr w:type="spellEnd"/>
      <w:r w:rsidRPr="008E57CE">
        <w:rPr>
          <w:sz w:val="24"/>
          <w:szCs w:val="24"/>
        </w:rPr>
        <w:t xml:space="preserve"> syv dage om ugen, så længe behandlingen anses for passende. Til patienter med normal nyrefunktion er vedligeholdelsesdosis 90-120 mg/kg, administreret som en infusion én gang dagligt over 2 timer. Dosis skal justeres til patienter med nedsat nyrefunktion (se tabel 2). Infusionstiden må ikke være kortere end 2 timer.</w:t>
      </w:r>
    </w:p>
    <w:p w14:paraId="033F25D7" w14:textId="77777777" w:rsidR="0031683A" w:rsidRPr="002126A3" w:rsidRDefault="0031683A" w:rsidP="008E57CE">
      <w:pPr>
        <w:ind w:left="1276" w:hanging="425"/>
        <w:rPr>
          <w:sz w:val="24"/>
          <w:szCs w:val="24"/>
        </w:rPr>
      </w:pPr>
    </w:p>
    <w:p w14:paraId="289B672F" w14:textId="77777777" w:rsidR="0031683A" w:rsidRPr="008E57CE" w:rsidRDefault="0031683A" w:rsidP="008E57CE">
      <w:pPr>
        <w:ind w:left="851"/>
        <w:rPr>
          <w:sz w:val="24"/>
          <w:szCs w:val="24"/>
        </w:rPr>
      </w:pPr>
      <w:r w:rsidRPr="008E57CE">
        <w:rPr>
          <w:sz w:val="24"/>
          <w:szCs w:val="24"/>
        </w:rPr>
        <w:t xml:space="preserve">Patienter, der oplever progression af deres infektion, mens de får vedligeholdelsesbehandling, kan genbehandles med induktionsregimet. </w:t>
      </w:r>
    </w:p>
    <w:p w14:paraId="6CD24F80" w14:textId="77777777" w:rsidR="0031683A" w:rsidRPr="002126A3" w:rsidRDefault="0031683A" w:rsidP="008E57CE">
      <w:pPr>
        <w:ind w:left="1276" w:hanging="425"/>
        <w:rPr>
          <w:sz w:val="24"/>
          <w:szCs w:val="24"/>
        </w:rPr>
      </w:pPr>
    </w:p>
    <w:p w14:paraId="5B40DD65" w14:textId="77777777" w:rsidR="0031683A" w:rsidRPr="008E57CE" w:rsidRDefault="0031683A" w:rsidP="008E57CE">
      <w:pPr>
        <w:pStyle w:val="Listeafsnit"/>
        <w:numPr>
          <w:ilvl w:val="0"/>
          <w:numId w:val="10"/>
        </w:numPr>
        <w:ind w:left="1276" w:hanging="425"/>
        <w:rPr>
          <w:i/>
          <w:sz w:val="24"/>
          <w:szCs w:val="24"/>
        </w:rPr>
      </w:pPr>
      <w:r w:rsidRPr="008E57CE">
        <w:rPr>
          <w:i/>
          <w:sz w:val="24"/>
          <w:szCs w:val="24"/>
        </w:rPr>
        <w:t>CMV-sygdom hos HSCT-patienter</w:t>
      </w:r>
    </w:p>
    <w:p w14:paraId="627A3F89" w14:textId="77777777" w:rsidR="0031683A" w:rsidRPr="008E57CE" w:rsidRDefault="0031683A" w:rsidP="008E57CE">
      <w:pPr>
        <w:ind w:left="851"/>
        <w:rPr>
          <w:sz w:val="24"/>
          <w:szCs w:val="24"/>
        </w:rPr>
      </w:pPr>
      <w:r w:rsidRPr="008E57CE">
        <w:rPr>
          <w:sz w:val="24"/>
          <w:szCs w:val="24"/>
        </w:rPr>
        <w:t>Til vedligeholdelsesbehandling, efter induktionsbehandling af CMV-</w:t>
      </w:r>
      <w:proofErr w:type="spellStart"/>
      <w:r w:rsidRPr="008E57CE">
        <w:rPr>
          <w:sz w:val="24"/>
          <w:szCs w:val="24"/>
        </w:rPr>
        <w:t>viræmi</w:t>
      </w:r>
      <w:proofErr w:type="spellEnd"/>
      <w:r w:rsidRPr="008E57CE">
        <w:rPr>
          <w:sz w:val="24"/>
          <w:szCs w:val="24"/>
        </w:rPr>
        <w:t xml:space="preserve">, administreres </w:t>
      </w:r>
      <w:proofErr w:type="spellStart"/>
      <w:r w:rsidRPr="008E57CE">
        <w:rPr>
          <w:sz w:val="24"/>
          <w:szCs w:val="24"/>
        </w:rPr>
        <w:t>Virafosc</w:t>
      </w:r>
      <w:proofErr w:type="spellEnd"/>
      <w:r w:rsidRPr="008E57CE">
        <w:rPr>
          <w:sz w:val="24"/>
          <w:szCs w:val="24"/>
        </w:rPr>
        <w:t xml:space="preserve"> syv dage om ugen, så længe behandlingen anses for passende. Til patienter med normal nyrefunktion er vedligeholdelsesdosis 90-120 mg/kg, administreret som en infusion én gang dagligt over 2 timer.  Dosis skal justeres til patienter med nedsat nyrefunktion (se tabel 2). Infusionstiden må ikke være kortere end 2 timer.</w:t>
      </w:r>
    </w:p>
    <w:p w14:paraId="06E44E6E" w14:textId="77777777" w:rsidR="0031683A" w:rsidRPr="002126A3" w:rsidRDefault="0031683A" w:rsidP="008E57CE">
      <w:pPr>
        <w:ind w:left="1276" w:hanging="425"/>
        <w:rPr>
          <w:sz w:val="24"/>
          <w:szCs w:val="24"/>
        </w:rPr>
      </w:pPr>
    </w:p>
    <w:p w14:paraId="7FA17566" w14:textId="77777777" w:rsidR="0031683A" w:rsidRPr="008E57CE" w:rsidRDefault="0031683A" w:rsidP="008E57CE">
      <w:pPr>
        <w:ind w:left="851"/>
        <w:rPr>
          <w:sz w:val="24"/>
          <w:szCs w:val="24"/>
        </w:rPr>
      </w:pPr>
      <w:r w:rsidRPr="008E57CE">
        <w:rPr>
          <w:sz w:val="24"/>
          <w:szCs w:val="24"/>
        </w:rPr>
        <w:t xml:space="preserve">Patienter, der oplever progression af deres infektion, mens de får vedligeholdelsesbehandling, kan genbehandles med induktionsregimet. </w:t>
      </w:r>
    </w:p>
    <w:p w14:paraId="7021C708" w14:textId="77777777" w:rsidR="0031683A" w:rsidRPr="002126A3" w:rsidRDefault="0031683A" w:rsidP="008E57CE">
      <w:pPr>
        <w:ind w:left="1276" w:hanging="425"/>
        <w:rPr>
          <w:sz w:val="24"/>
          <w:szCs w:val="24"/>
        </w:rPr>
      </w:pPr>
    </w:p>
    <w:p w14:paraId="5ADD7D35" w14:textId="77777777" w:rsidR="0031683A" w:rsidRPr="008E57CE" w:rsidRDefault="0031683A" w:rsidP="008E57CE">
      <w:pPr>
        <w:pStyle w:val="Listeafsnit"/>
        <w:numPr>
          <w:ilvl w:val="0"/>
          <w:numId w:val="10"/>
        </w:numPr>
        <w:ind w:left="1276" w:hanging="425"/>
        <w:rPr>
          <w:i/>
          <w:sz w:val="24"/>
          <w:szCs w:val="24"/>
        </w:rPr>
      </w:pPr>
      <w:r w:rsidRPr="008E57CE">
        <w:rPr>
          <w:i/>
          <w:sz w:val="24"/>
          <w:szCs w:val="24"/>
        </w:rPr>
        <w:t>CMV-</w:t>
      </w:r>
      <w:proofErr w:type="spellStart"/>
      <w:r w:rsidRPr="008E57CE">
        <w:rPr>
          <w:i/>
          <w:sz w:val="24"/>
          <w:szCs w:val="24"/>
        </w:rPr>
        <w:t>retinitis</w:t>
      </w:r>
      <w:proofErr w:type="spellEnd"/>
      <w:r w:rsidRPr="008E57CE">
        <w:rPr>
          <w:i/>
          <w:sz w:val="24"/>
          <w:szCs w:val="24"/>
        </w:rPr>
        <w:t xml:space="preserve"> hos </w:t>
      </w:r>
      <w:proofErr w:type="spellStart"/>
      <w:r w:rsidRPr="008E57CE">
        <w:rPr>
          <w:i/>
          <w:sz w:val="24"/>
          <w:szCs w:val="24"/>
        </w:rPr>
        <w:t>AIDS-patienter</w:t>
      </w:r>
      <w:proofErr w:type="spellEnd"/>
    </w:p>
    <w:p w14:paraId="7E194B78" w14:textId="77777777" w:rsidR="0031683A" w:rsidRPr="008E57CE" w:rsidRDefault="0031683A" w:rsidP="008E57CE">
      <w:pPr>
        <w:ind w:left="851"/>
        <w:rPr>
          <w:sz w:val="24"/>
          <w:szCs w:val="24"/>
        </w:rPr>
      </w:pPr>
      <w:r w:rsidRPr="008E57CE">
        <w:rPr>
          <w:sz w:val="24"/>
          <w:szCs w:val="24"/>
        </w:rPr>
        <w:t>Til vedligeholdelsesbehandling, efter induktionsbehandling af CMV-</w:t>
      </w:r>
      <w:proofErr w:type="spellStart"/>
      <w:r w:rsidRPr="008E57CE">
        <w:rPr>
          <w:sz w:val="24"/>
          <w:szCs w:val="24"/>
        </w:rPr>
        <w:t>retinitis</w:t>
      </w:r>
      <w:proofErr w:type="spellEnd"/>
      <w:r w:rsidRPr="008E57CE">
        <w:rPr>
          <w:sz w:val="24"/>
          <w:szCs w:val="24"/>
        </w:rPr>
        <w:t xml:space="preserve">, administreres </w:t>
      </w:r>
      <w:proofErr w:type="spellStart"/>
      <w:r w:rsidRPr="008E57CE">
        <w:rPr>
          <w:sz w:val="24"/>
          <w:szCs w:val="24"/>
        </w:rPr>
        <w:t>Virafosc</w:t>
      </w:r>
      <w:proofErr w:type="spellEnd"/>
      <w:r w:rsidRPr="008E57CE">
        <w:rPr>
          <w:sz w:val="24"/>
          <w:szCs w:val="24"/>
        </w:rPr>
        <w:t xml:space="preserve"> syv dage om ugen, så længe behandlingen anses for passende. Til patienter med normal nyrefunktion er vedligeholdelsesdosis 90 mg/kg, administreret som en infusion én gang dagligt over 2 timer. Til patienter, der genbehandles med induktionsregimet på grund af recidiv, eller hos patienter, som oplever progression af </w:t>
      </w:r>
      <w:proofErr w:type="spellStart"/>
      <w:r w:rsidRPr="008E57CE">
        <w:rPr>
          <w:sz w:val="24"/>
          <w:szCs w:val="24"/>
        </w:rPr>
        <w:t>retinitis</w:t>
      </w:r>
      <w:proofErr w:type="spellEnd"/>
      <w:r w:rsidRPr="008E57CE">
        <w:rPr>
          <w:sz w:val="24"/>
          <w:szCs w:val="24"/>
        </w:rPr>
        <w:t xml:space="preserve">, kan dosisoptrapning på op til 120 mg/kg/dag overvejes, hvis patienter udviser god tolerance over for den lavere </w:t>
      </w:r>
      <w:r w:rsidRPr="008E57CE">
        <w:rPr>
          <w:sz w:val="24"/>
          <w:szCs w:val="24"/>
        </w:rPr>
        <w:lastRenderedPageBreak/>
        <w:t>dosis. Dosis skal justeres til patienter med nedsat nyrefunktion (se tabel 2). Infusionstiden må ikke være kortere end 2 timer.</w:t>
      </w:r>
    </w:p>
    <w:p w14:paraId="2B71260B" w14:textId="77777777" w:rsidR="0031683A" w:rsidRPr="002126A3" w:rsidRDefault="0031683A" w:rsidP="007758B3">
      <w:pPr>
        <w:ind w:left="851"/>
        <w:rPr>
          <w:sz w:val="24"/>
          <w:szCs w:val="24"/>
        </w:rPr>
      </w:pPr>
    </w:p>
    <w:p w14:paraId="2ECD39C1" w14:textId="77777777" w:rsidR="0031683A" w:rsidRPr="002126A3" w:rsidRDefault="0031683A" w:rsidP="007758B3">
      <w:pPr>
        <w:ind w:left="851"/>
        <w:rPr>
          <w:sz w:val="24"/>
          <w:szCs w:val="24"/>
        </w:rPr>
      </w:pPr>
      <w:r w:rsidRPr="002126A3">
        <w:rPr>
          <w:sz w:val="24"/>
          <w:szCs w:val="24"/>
        </w:rPr>
        <w:t xml:space="preserve">Patienter, der oplever progression af </w:t>
      </w:r>
      <w:proofErr w:type="spellStart"/>
      <w:r w:rsidRPr="002126A3">
        <w:rPr>
          <w:sz w:val="24"/>
          <w:szCs w:val="24"/>
        </w:rPr>
        <w:t>retinitis</w:t>
      </w:r>
      <w:proofErr w:type="spellEnd"/>
      <w:r w:rsidRPr="002126A3">
        <w:rPr>
          <w:sz w:val="24"/>
          <w:szCs w:val="24"/>
        </w:rPr>
        <w:t xml:space="preserve">, mens de får vedligeholdelsesbehandling, kan genbehandles med induktionsregimet. Behandling med en kombination af </w:t>
      </w:r>
      <w:proofErr w:type="spellStart"/>
      <w:r w:rsidRPr="002126A3">
        <w:rPr>
          <w:sz w:val="24"/>
          <w:szCs w:val="24"/>
        </w:rPr>
        <w:t>foscarnet</w:t>
      </w:r>
      <w:proofErr w:type="spellEnd"/>
      <w:r w:rsidRPr="002126A3">
        <w:rPr>
          <w:sz w:val="24"/>
          <w:szCs w:val="24"/>
        </w:rPr>
        <w:t xml:space="preserve"> og </w:t>
      </w:r>
      <w:proofErr w:type="spellStart"/>
      <w:r w:rsidRPr="002126A3">
        <w:rPr>
          <w:sz w:val="24"/>
          <w:szCs w:val="24"/>
        </w:rPr>
        <w:t>ganciclovir</w:t>
      </w:r>
      <w:proofErr w:type="spellEnd"/>
      <w:r w:rsidRPr="002126A3">
        <w:rPr>
          <w:sz w:val="24"/>
          <w:szCs w:val="24"/>
        </w:rPr>
        <w:t xml:space="preserve"> kan overvejes hos patienter med vanskelig recidiverende CMV-</w:t>
      </w:r>
      <w:proofErr w:type="spellStart"/>
      <w:r w:rsidRPr="002126A3">
        <w:rPr>
          <w:sz w:val="24"/>
          <w:szCs w:val="24"/>
        </w:rPr>
        <w:t>retinitis</w:t>
      </w:r>
      <w:proofErr w:type="spellEnd"/>
      <w:r w:rsidRPr="002126A3">
        <w:rPr>
          <w:sz w:val="24"/>
          <w:szCs w:val="24"/>
        </w:rPr>
        <w:t xml:space="preserve"> under hensyntagen til kombinationsbehandlingens </w:t>
      </w:r>
      <w:proofErr w:type="spellStart"/>
      <w:r w:rsidRPr="002126A3">
        <w:rPr>
          <w:sz w:val="24"/>
          <w:szCs w:val="24"/>
        </w:rPr>
        <w:t>tolerabilitet</w:t>
      </w:r>
      <w:proofErr w:type="spellEnd"/>
      <w:r w:rsidRPr="002126A3">
        <w:rPr>
          <w:sz w:val="24"/>
          <w:szCs w:val="24"/>
        </w:rPr>
        <w:t xml:space="preserve">. På grund af fysisk uforligelighed må </w:t>
      </w:r>
      <w:proofErr w:type="spellStart"/>
      <w:r w:rsidRPr="002126A3">
        <w:rPr>
          <w:sz w:val="24"/>
          <w:szCs w:val="24"/>
        </w:rPr>
        <w:t>foscarnet</w:t>
      </w:r>
      <w:proofErr w:type="spellEnd"/>
      <w:r w:rsidRPr="002126A3">
        <w:rPr>
          <w:sz w:val="24"/>
          <w:szCs w:val="24"/>
        </w:rPr>
        <w:t xml:space="preserve"> og </w:t>
      </w:r>
      <w:proofErr w:type="spellStart"/>
      <w:r w:rsidRPr="002126A3">
        <w:rPr>
          <w:sz w:val="24"/>
          <w:szCs w:val="24"/>
        </w:rPr>
        <w:t>ganciclovir</w:t>
      </w:r>
      <w:proofErr w:type="spellEnd"/>
      <w:r w:rsidRPr="002126A3">
        <w:rPr>
          <w:sz w:val="24"/>
          <w:szCs w:val="24"/>
        </w:rPr>
        <w:t xml:space="preserve"> </w:t>
      </w:r>
      <w:r w:rsidRPr="002126A3">
        <w:rPr>
          <w:bCs/>
          <w:sz w:val="24"/>
          <w:szCs w:val="24"/>
          <w:u w:val="single"/>
        </w:rPr>
        <w:t>ikke</w:t>
      </w:r>
      <w:r w:rsidRPr="002126A3">
        <w:rPr>
          <w:sz w:val="24"/>
          <w:szCs w:val="24"/>
        </w:rPr>
        <w:t xml:space="preserve"> blandes.</w:t>
      </w:r>
    </w:p>
    <w:p w14:paraId="122D7F14" w14:textId="77777777" w:rsidR="0031683A" w:rsidRPr="002126A3" w:rsidRDefault="0031683A" w:rsidP="007758B3">
      <w:pPr>
        <w:ind w:left="851"/>
        <w:rPr>
          <w:sz w:val="24"/>
          <w:szCs w:val="24"/>
        </w:rPr>
      </w:pPr>
    </w:p>
    <w:p w14:paraId="7670CD32" w14:textId="77777777" w:rsidR="0031683A" w:rsidRPr="002126A3" w:rsidRDefault="0031683A" w:rsidP="007758B3">
      <w:pPr>
        <w:ind w:left="851"/>
        <w:rPr>
          <w:sz w:val="24"/>
          <w:szCs w:val="24"/>
        </w:rPr>
      </w:pPr>
      <w:r w:rsidRPr="002126A3">
        <w:rPr>
          <w:sz w:val="24"/>
          <w:szCs w:val="24"/>
        </w:rPr>
        <w:t xml:space="preserve">Tabel 2: </w:t>
      </w:r>
      <w:proofErr w:type="spellStart"/>
      <w:r w:rsidRPr="002126A3">
        <w:rPr>
          <w:sz w:val="24"/>
          <w:szCs w:val="24"/>
        </w:rPr>
        <w:t>Virafosc</w:t>
      </w:r>
      <w:proofErr w:type="spellEnd"/>
      <w:r w:rsidRPr="002126A3">
        <w:rPr>
          <w:sz w:val="24"/>
          <w:szCs w:val="24"/>
        </w:rPr>
        <w:t xml:space="preserve"> doseringsregime til vedligeholdelsesbehandling</w:t>
      </w:r>
    </w:p>
    <w:tbl>
      <w:tblPr>
        <w:tblW w:w="8788" w:type="dxa"/>
        <w:tblInd w:w="846" w:type="dxa"/>
        <w:tblLayout w:type="fixed"/>
        <w:tblCellMar>
          <w:left w:w="70" w:type="dxa"/>
          <w:right w:w="70" w:type="dxa"/>
        </w:tblCellMar>
        <w:tblLook w:val="04A0" w:firstRow="1" w:lastRow="0" w:firstColumn="1" w:lastColumn="0" w:noHBand="0" w:noVBand="1"/>
      </w:tblPr>
      <w:tblGrid>
        <w:gridCol w:w="2554"/>
        <w:gridCol w:w="3403"/>
        <w:gridCol w:w="2831"/>
      </w:tblGrid>
      <w:tr w:rsidR="0031683A" w:rsidRPr="002126A3" w14:paraId="2B9258C0" w14:textId="77777777" w:rsidTr="007758B3">
        <w:trPr>
          <w:cantSplit/>
        </w:trPr>
        <w:tc>
          <w:tcPr>
            <w:tcW w:w="2554" w:type="dxa"/>
            <w:tcBorders>
              <w:top w:val="single" w:sz="4" w:space="0" w:color="auto"/>
              <w:left w:val="single" w:sz="4" w:space="0" w:color="auto"/>
              <w:bottom w:val="single" w:sz="4" w:space="0" w:color="auto"/>
              <w:right w:val="single" w:sz="4" w:space="0" w:color="auto"/>
            </w:tcBorders>
            <w:hideMark/>
          </w:tcPr>
          <w:p w14:paraId="607CFA70" w14:textId="77777777" w:rsidR="0031683A" w:rsidRPr="002126A3" w:rsidRDefault="0031683A">
            <w:pPr>
              <w:keepNext/>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4"/>
                <w:szCs w:val="24"/>
              </w:rPr>
            </w:pPr>
            <w:proofErr w:type="spellStart"/>
            <w:r w:rsidRPr="002126A3">
              <w:rPr>
                <w:sz w:val="24"/>
                <w:szCs w:val="24"/>
              </w:rPr>
              <w:t>Kreatininclearance</w:t>
            </w:r>
            <w:proofErr w:type="spellEnd"/>
            <w:r w:rsidRPr="002126A3">
              <w:rPr>
                <w:sz w:val="24"/>
                <w:szCs w:val="24"/>
              </w:rPr>
              <w:t xml:space="preserve"> (ml/min/kg)</w:t>
            </w:r>
          </w:p>
        </w:tc>
        <w:tc>
          <w:tcPr>
            <w:tcW w:w="6234" w:type="dxa"/>
            <w:gridSpan w:val="2"/>
            <w:tcBorders>
              <w:top w:val="single" w:sz="4" w:space="0" w:color="auto"/>
              <w:left w:val="single" w:sz="4" w:space="0" w:color="auto"/>
              <w:bottom w:val="single" w:sz="4" w:space="0" w:color="auto"/>
              <w:right w:val="single" w:sz="4" w:space="0" w:color="auto"/>
            </w:tcBorders>
          </w:tcPr>
          <w:p w14:paraId="35A07D85" w14:textId="77777777" w:rsidR="0031683A" w:rsidRPr="002126A3" w:rsidRDefault="0031683A">
            <w:pPr>
              <w:keepNext/>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4"/>
                <w:szCs w:val="24"/>
              </w:rPr>
            </w:pPr>
          </w:p>
          <w:p w14:paraId="68FC2132" w14:textId="77777777" w:rsidR="0031683A" w:rsidRPr="002126A3" w:rsidRDefault="0031683A">
            <w:pPr>
              <w:keepNext/>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4"/>
                <w:szCs w:val="24"/>
              </w:rPr>
            </w:pPr>
            <w:r w:rsidRPr="002126A3">
              <w:rPr>
                <w:sz w:val="24"/>
                <w:szCs w:val="24"/>
              </w:rPr>
              <w:t>(mg/kg i 2 timer)</w:t>
            </w:r>
          </w:p>
        </w:tc>
      </w:tr>
      <w:tr w:rsidR="0031683A" w:rsidRPr="002126A3" w14:paraId="7BF7DB54" w14:textId="77777777" w:rsidTr="007758B3">
        <w:trPr>
          <w:cantSplit/>
        </w:trPr>
        <w:tc>
          <w:tcPr>
            <w:tcW w:w="2554" w:type="dxa"/>
            <w:tcBorders>
              <w:top w:val="single" w:sz="4" w:space="0" w:color="auto"/>
              <w:left w:val="single" w:sz="4" w:space="0" w:color="auto"/>
              <w:bottom w:val="single" w:sz="4" w:space="0" w:color="auto"/>
              <w:right w:val="single" w:sz="4" w:space="0" w:color="auto"/>
            </w:tcBorders>
            <w:hideMark/>
          </w:tcPr>
          <w:p w14:paraId="28639292" w14:textId="77777777" w:rsidR="0031683A" w:rsidRPr="002126A3" w:rsidRDefault="0031683A">
            <w:pPr>
              <w:keepNext/>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4"/>
                <w:szCs w:val="24"/>
              </w:rPr>
            </w:pPr>
            <w:r w:rsidRPr="002126A3">
              <w:rPr>
                <w:sz w:val="24"/>
                <w:szCs w:val="24"/>
              </w:rPr>
              <w:t>&gt;1,4</w:t>
            </w:r>
          </w:p>
          <w:p w14:paraId="0EFAB632" w14:textId="77777777" w:rsidR="0031683A" w:rsidRPr="002126A3" w:rsidRDefault="0031683A">
            <w:pPr>
              <w:keepNext/>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4"/>
                <w:szCs w:val="24"/>
              </w:rPr>
            </w:pPr>
            <w:r w:rsidRPr="002126A3">
              <w:rPr>
                <w:sz w:val="24"/>
                <w:szCs w:val="24"/>
              </w:rPr>
              <w:t>&gt;1,0 til ≤1,4</w:t>
            </w:r>
          </w:p>
          <w:p w14:paraId="432C56C2" w14:textId="77777777" w:rsidR="0031683A" w:rsidRPr="002126A3" w:rsidRDefault="0031683A">
            <w:pPr>
              <w:keepNext/>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4"/>
                <w:szCs w:val="24"/>
              </w:rPr>
            </w:pPr>
            <w:r w:rsidRPr="002126A3">
              <w:rPr>
                <w:sz w:val="24"/>
                <w:szCs w:val="24"/>
              </w:rPr>
              <w:t>&gt;0,8 til ≤1,0</w:t>
            </w:r>
          </w:p>
          <w:p w14:paraId="17092BF8" w14:textId="77777777" w:rsidR="0031683A" w:rsidRPr="002126A3" w:rsidRDefault="0031683A">
            <w:pPr>
              <w:keepNext/>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4"/>
                <w:szCs w:val="24"/>
              </w:rPr>
            </w:pPr>
            <w:r w:rsidRPr="002126A3">
              <w:rPr>
                <w:sz w:val="24"/>
                <w:szCs w:val="24"/>
              </w:rPr>
              <w:t>&gt;0,6 til ≤0,8</w:t>
            </w:r>
          </w:p>
          <w:p w14:paraId="55E87440" w14:textId="77777777" w:rsidR="0031683A" w:rsidRPr="002126A3" w:rsidRDefault="0031683A">
            <w:pPr>
              <w:keepNext/>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4"/>
                <w:szCs w:val="24"/>
              </w:rPr>
            </w:pPr>
            <w:r w:rsidRPr="002126A3">
              <w:rPr>
                <w:sz w:val="24"/>
                <w:szCs w:val="24"/>
              </w:rPr>
              <w:t>&gt;0,5 til ≤0,6</w:t>
            </w:r>
          </w:p>
          <w:p w14:paraId="51C0AD11" w14:textId="77777777" w:rsidR="0031683A" w:rsidRPr="002126A3" w:rsidRDefault="0031683A">
            <w:pPr>
              <w:keepNext/>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4"/>
                <w:szCs w:val="24"/>
              </w:rPr>
            </w:pPr>
            <w:r w:rsidRPr="002126A3">
              <w:rPr>
                <w:sz w:val="24"/>
                <w:szCs w:val="24"/>
              </w:rPr>
              <w:t>&gt;0,4 til ≤0,5</w:t>
            </w:r>
          </w:p>
          <w:p w14:paraId="67BC3BA4" w14:textId="77777777" w:rsidR="0031683A" w:rsidRPr="002126A3" w:rsidRDefault="0031683A">
            <w:pPr>
              <w:keepNext/>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4"/>
                <w:szCs w:val="24"/>
              </w:rPr>
            </w:pPr>
            <w:r w:rsidRPr="002126A3">
              <w:rPr>
                <w:sz w:val="24"/>
                <w:szCs w:val="24"/>
              </w:rPr>
              <w:t>&lt;0,4</w:t>
            </w:r>
          </w:p>
        </w:tc>
        <w:tc>
          <w:tcPr>
            <w:tcW w:w="3403" w:type="dxa"/>
            <w:tcBorders>
              <w:top w:val="single" w:sz="4" w:space="0" w:color="auto"/>
              <w:left w:val="single" w:sz="4" w:space="0" w:color="auto"/>
              <w:bottom w:val="single" w:sz="4" w:space="0" w:color="auto"/>
              <w:right w:val="single" w:sz="4" w:space="0" w:color="auto"/>
            </w:tcBorders>
            <w:hideMark/>
          </w:tcPr>
          <w:p w14:paraId="3B48F3F2" w14:textId="77777777" w:rsidR="0031683A" w:rsidRPr="002126A3" w:rsidRDefault="0031683A">
            <w:pPr>
              <w:keepNext/>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4"/>
                <w:szCs w:val="24"/>
              </w:rPr>
            </w:pPr>
            <w:r w:rsidRPr="002126A3">
              <w:rPr>
                <w:sz w:val="24"/>
                <w:szCs w:val="24"/>
              </w:rPr>
              <w:t>90 *</w:t>
            </w:r>
          </w:p>
          <w:p w14:paraId="78C35DEE" w14:textId="77777777" w:rsidR="0031683A" w:rsidRPr="002126A3" w:rsidRDefault="0031683A">
            <w:pPr>
              <w:keepNext/>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4"/>
                <w:szCs w:val="24"/>
              </w:rPr>
            </w:pPr>
            <w:r w:rsidRPr="002126A3">
              <w:rPr>
                <w:sz w:val="24"/>
                <w:szCs w:val="24"/>
              </w:rPr>
              <w:t>70 *</w:t>
            </w:r>
          </w:p>
          <w:p w14:paraId="79F77D8D" w14:textId="77777777" w:rsidR="0031683A" w:rsidRPr="002126A3" w:rsidRDefault="0031683A">
            <w:pPr>
              <w:keepNext/>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4"/>
                <w:szCs w:val="24"/>
              </w:rPr>
            </w:pPr>
            <w:r w:rsidRPr="002126A3">
              <w:rPr>
                <w:sz w:val="24"/>
                <w:szCs w:val="24"/>
              </w:rPr>
              <w:t>50 *</w:t>
            </w:r>
          </w:p>
          <w:p w14:paraId="2698816F" w14:textId="77777777" w:rsidR="0031683A" w:rsidRPr="002126A3" w:rsidRDefault="0031683A">
            <w:pPr>
              <w:keepNext/>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4"/>
                <w:szCs w:val="24"/>
              </w:rPr>
            </w:pPr>
            <w:r w:rsidRPr="002126A3">
              <w:rPr>
                <w:sz w:val="24"/>
                <w:szCs w:val="24"/>
              </w:rPr>
              <w:t xml:space="preserve">80 </w:t>
            </w:r>
            <w:r w:rsidRPr="002126A3">
              <w:rPr>
                <w:sz w:val="24"/>
                <w:szCs w:val="24"/>
                <w:vertAlign w:val="superscript"/>
              </w:rPr>
              <w:t>#</w:t>
            </w:r>
            <w:r w:rsidRPr="002126A3">
              <w:rPr>
                <w:sz w:val="24"/>
                <w:szCs w:val="24"/>
              </w:rPr>
              <w:t xml:space="preserve"> </w:t>
            </w:r>
          </w:p>
          <w:p w14:paraId="43AA58DD" w14:textId="77777777" w:rsidR="0031683A" w:rsidRPr="002126A3" w:rsidRDefault="0031683A">
            <w:pPr>
              <w:keepNext/>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4"/>
                <w:szCs w:val="24"/>
              </w:rPr>
            </w:pPr>
            <w:r w:rsidRPr="002126A3">
              <w:rPr>
                <w:sz w:val="24"/>
                <w:szCs w:val="24"/>
              </w:rPr>
              <w:t xml:space="preserve">60 </w:t>
            </w:r>
            <w:r w:rsidRPr="002126A3">
              <w:rPr>
                <w:sz w:val="24"/>
                <w:szCs w:val="24"/>
                <w:vertAlign w:val="superscript"/>
              </w:rPr>
              <w:t>#</w:t>
            </w:r>
            <w:r w:rsidRPr="002126A3">
              <w:rPr>
                <w:sz w:val="24"/>
                <w:szCs w:val="24"/>
              </w:rPr>
              <w:t xml:space="preserve"> </w:t>
            </w:r>
          </w:p>
          <w:p w14:paraId="791FF272" w14:textId="77777777" w:rsidR="0031683A" w:rsidRPr="002126A3" w:rsidRDefault="0031683A">
            <w:pPr>
              <w:keepNext/>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4"/>
                <w:szCs w:val="24"/>
              </w:rPr>
            </w:pPr>
            <w:r w:rsidRPr="002126A3">
              <w:rPr>
                <w:sz w:val="24"/>
                <w:szCs w:val="24"/>
              </w:rPr>
              <w:t xml:space="preserve">50 </w:t>
            </w:r>
            <w:r w:rsidRPr="002126A3">
              <w:rPr>
                <w:sz w:val="24"/>
                <w:szCs w:val="24"/>
                <w:vertAlign w:val="superscript"/>
              </w:rPr>
              <w:t>#</w:t>
            </w:r>
            <w:r w:rsidRPr="002126A3">
              <w:rPr>
                <w:sz w:val="24"/>
                <w:szCs w:val="24"/>
              </w:rPr>
              <w:t xml:space="preserve"> </w:t>
            </w:r>
          </w:p>
          <w:p w14:paraId="59A4E949" w14:textId="77777777" w:rsidR="0031683A" w:rsidRPr="002126A3" w:rsidRDefault="0031683A">
            <w:pPr>
              <w:pStyle w:val="A-TableText"/>
              <w:keepNext/>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spacing w:before="0" w:after="0"/>
              <w:rPr>
                <w:sz w:val="24"/>
                <w:szCs w:val="24"/>
              </w:rPr>
            </w:pPr>
            <w:r w:rsidRPr="002126A3">
              <w:rPr>
                <w:sz w:val="24"/>
                <w:szCs w:val="24"/>
              </w:rPr>
              <w:t>Behandling frarådes</w:t>
            </w:r>
          </w:p>
        </w:tc>
        <w:tc>
          <w:tcPr>
            <w:tcW w:w="2831" w:type="dxa"/>
            <w:tcBorders>
              <w:top w:val="single" w:sz="4" w:space="0" w:color="auto"/>
              <w:left w:val="single" w:sz="4" w:space="0" w:color="auto"/>
              <w:bottom w:val="single" w:sz="4" w:space="0" w:color="auto"/>
              <w:right w:val="single" w:sz="4" w:space="0" w:color="auto"/>
            </w:tcBorders>
            <w:hideMark/>
          </w:tcPr>
          <w:p w14:paraId="269688B0" w14:textId="77777777" w:rsidR="0031683A" w:rsidRPr="002126A3" w:rsidRDefault="0031683A">
            <w:pPr>
              <w:keepNext/>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4"/>
                <w:szCs w:val="24"/>
              </w:rPr>
            </w:pPr>
            <w:r w:rsidRPr="002126A3">
              <w:rPr>
                <w:sz w:val="24"/>
                <w:szCs w:val="24"/>
              </w:rPr>
              <w:t>120 *</w:t>
            </w:r>
          </w:p>
          <w:p w14:paraId="78068261" w14:textId="77777777" w:rsidR="0031683A" w:rsidRPr="002126A3" w:rsidRDefault="0031683A">
            <w:pPr>
              <w:keepNext/>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4"/>
                <w:szCs w:val="24"/>
              </w:rPr>
            </w:pPr>
            <w:r w:rsidRPr="002126A3">
              <w:rPr>
                <w:sz w:val="24"/>
                <w:szCs w:val="24"/>
              </w:rPr>
              <w:t xml:space="preserve">  90 *</w:t>
            </w:r>
          </w:p>
          <w:p w14:paraId="2CC4B727" w14:textId="77777777" w:rsidR="0031683A" w:rsidRPr="002126A3" w:rsidRDefault="0031683A">
            <w:pPr>
              <w:keepNext/>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4"/>
                <w:szCs w:val="24"/>
              </w:rPr>
            </w:pPr>
            <w:r w:rsidRPr="002126A3">
              <w:rPr>
                <w:sz w:val="24"/>
                <w:szCs w:val="24"/>
              </w:rPr>
              <w:t xml:space="preserve">  65 *</w:t>
            </w:r>
          </w:p>
          <w:p w14:paraId="11B32D03" w14:textId="77777777" w:rsidR="0031683A" w:rsidRPr="002126A3" w:rsidRDefault="0031683A">
            <w:pPr>
              <w:keepNext/>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4"/>
                <w:szCs w:val="24"/>
              </w:rPr>
            </w:pPr>
            <w:r w:rsidRPr="002126A3">
              <w:rPr>
                <w:sz w:val="24"/>
                <w:szCs w:val="24"/>
              </w:rPr>
              <w:t xml:space="preserve">105 </w:t>
            </w:r>
            <w:r w:rsidRPr="002126A3">
              <w:rPr>
                <w:sz w:val="24"/>
                <w:szCs w:val="24"/>
                <w:vertAlign w:val="superscript"/>
              </w:rPr>
              <w:t>#</w:t>
            </w:r>
          </w:p>
          <w:p w14:paraId="21D27767" w14:textId="77777777" w:rsidR="0031683A" w:rsidRPr="002126A3" w:rsidRDefault="0031683A">
            <w:pPr>
              <w:keepNext/>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4"/>
                <w:szCs w:val="24"/>
              </w:rPr>
            </w:pPr>
            <w:r w:rsidRPr="002126A3">
              <w:rPr>
                <w:sz w:val="24"/>
                <w:szCs w:val="24"/>
              </w:rPr>
              <w:t xml:space="preserve">  80 </w:t>
            </w:r>
            <w:r w:rsidRPr="002126A3">
              <w:rPr>
                <w:sz w:val="24"/>
                <w:szCs w:val="24"/>
                <w:vertAlign w:val="superscript"/>
              </w:rPr>
              <w:t>#</w:t>
            </w:r>
          </w:p>
          <w:p w14:paraId="223B5D72" w14:textId="77777777" w:rsidR="0031683A" w:rsidRPr="002126A3" w:rsidRDefault="0031683A">
            <w:pPr>
              <w:keepNext/>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4"/>
                <w:szCs w:val="24"/>
              </w:rPr>
            </w:pPr>
            <w:r w:rsidRPr="002126A3">
              <w:rPr>
                <w:sz w:val="24"/>
                <w:szCs w:val="24"/>
              </w:rPr>
              <w:t xml:space="preserve">  65 </w:t>
            </w:r>
            <w:r w:rsidRPr="002126A3">
              <w:rPr>
                <w:sz w:val="24"/>
                <w:szCs w:val="24"/>
                <w:vertAlign w:val="superscript"/>
              </w:rPr>
              <w:t>#</w:t>
            </w:r>
            <w:r w:rsidRPr="002126A3">
              <w:rPr>
                <w:sz w:val="24"/>
                <w:szCs w:val="24"/>
              </w:rPr>
              <w:t xml:space="preserve"> </w:t>
            </w:r>
          </w:p>
          <w:p w14:paraId="5A7CACA3" w14:textId="77777777" w:rsidR="0031683A" w:rsidRPr="002126A3" w:rsidRDefault="0031683A">
            <w:pPr>
              <w:keepNext/>
              <w:tabs>
                <w:tab w:val="left" w:pos="601"/>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4"/>
                <w:szCs w:val="24"/>
              </w:rPr>
            </w:pPr>
            <w:r w:rsidRPr="002126A3">
              <w:rPr>
                <w:sz w:val="24"/>
                <w:szCs w:val="24"/>
              </w:rPr>
              <w:t>Behandling frarådes</w:t>
            </w:r>
          </w:p>
        </w:tc>
      </w:tr>
      <w:tr w:rsidR="0031683A" w:rsidRPr="002126A3" w14:paraId="6B8C3C62" w14:textId="77777777" w:rsidTr="007758B3">
        <w:trPr>
          <w:cantSplit/>
        </w:trPr>
        <w:tc>
          <w:tcPr>
            <w:tcW w:w="8788" w:type="dxa"/>
            <w:gridSpan w:val="3"/>
            <w:tcBorders>
              <w:top w:val="single" w:sz="4" w:space="0" w:color="auto"/>
              <w:left w:val="single" w:sz="4" w:space="0" w:color="auto"/>
              <w:bottom w:val="single" w:sz="4" w:space="0" w:color="auto"/>
              <w:right w:val="single" w:sz="4" w:space="0" w:color="auto"/>
            </w:tcBorders>
            <w:hideMark/>
          </w:tcPr>
          <w:p w14:paraId="6EA617DB" w14:textId="77777777" w:rsidR="0031683A" w:rsidRPr="002126A3" w:rsidRDefault="0031683A">
            <w:pPr>
              <w:keepNext/>
              <w:tabs>
                <w:tab w:val="left" w:pos="284"/>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4"/>
                <w:szCs w:val="24"/>
              </w:rPr>
            </w:pPr>
            <w:r w:rsidRPr="002126A3">
              <w:rPr>
                <w:sz w:val="24"/>
                <w:szCs w:val="24"/>
              </w:rPr>
              <w:t>*</w:t>
            </w:r>
            <w:r w:rsidRPr="002126A3">
              <w:rPr>
                <w:sz w:val="24"/>
                <w:szCs w:val="24"/>
              </w:rPr>
              <w:tab/>
              <w:t>hver 24 timer (= én gang dagligt)</w:t>
            </w:r>
          </w:p>
          <w:p w14:paraId="74EE0D96" w14:textId="77777777" w:rsidR="0031683A" w:rsidRPr="002126A3" w:rsidRDefault="0031683A">
            <w:pPr>
              <w:keepNext/>
              <w:tabs>
                <w:tab w:val="left" w:pos="284"/>
                <w:tab w:val="left" w:pos="1202"/>
                <w:tab w:val="left" w:pos="1803"/>
                <w:tab w:val="left" w:pos="2404"/>
                <w:tab w:val="left" w:pos="3006"/>
                <w:tab w:val="left" w:pos="3607"/>
                <w:tab w:val="left" w:pos="4208"/>
                <w:tab w:val="left" w:pos="4809"/>
                <w:tab w:val="left" w:pos="5410"/>
                <w:tab w:val="left" w:pos="6012"/>
                <w:tab w:val="left" w:pos="6613"/>
                <w:tab w:val="left" w:pos="7214"/>
                <w:tab w:val="left" w:pos="7815"/>
                <w:tab w:val="left" w:pos="8416"/>
              </w:tabs>
              <w:rPr>
                <w:sz w:val="24"/>
                <w:szCs w:val="24"/>
              </w:rPr>
            </w:pPr>
            <w:r w:rsidRPr="002126A3">
              <w:rPr>
                <w:sz w:val="24"/>
                <w:szCs w:val="24"/>
              </w:rPr>
              <w:t>#</w:t>
            </w:r>
            <w:r w:rsidRPr="002126A3">
              <w:rPr>
                <w:sz w:val="24"/>
                <w:szCs w:val="24"/>
              </w:rPr>
              <w:tab/>
              <w:t xml:space="preserve">hver 48. time </w:t>
            </w:r>
          </w:p>
        </w:tc>
      </w:tr>
    </w:tbl>
    <w:p w14:paraId="7DF57668" w14:textId="77777777" w:rsidR="0031683A" w:rsidRPr="002126A3" w:rsidRDefault="0031683A" w:rsidP="0031683A">
      <w:pPr>
        <w:rPr>
          <w:sz w:val="24"/>
          <w:szCs w:val="24"/>
        </w:rPr>
      </w:pPr>
    </w:p>
    <w:p w14:paraId="4CCC68E5" w14:textId="77777777" w:rsidR="0031683A" w:rsidRPr="00291CAC" w:rsidRDefault="0031683A" w:rsidP="007758B3">
      <w:pPr>
        <w:ind w:left="851"/>
        <w:rPr>
          <w:i/>
          <w:sz w:val="24"/>
          <w:szCs w:val="24"/>
        </w:rPr>
      </w:pPr>
      <w:r w:rsidRPr="00291CAC">
        <w:rPr>
          <w:i/>
          <w:sz w:val="24"/>
          <w:szCs w:val="24"/>
        </w:rPr>
        <w:t xml:space="preserve">Genbehandling af </w:t>
      </w:r>
      <w:proofErr w:type="spellStart"/>
      <w:r w:rsidRPr="00291CAC">
        <w:rPr>
          <w:i/>
          <w:sz w:val="24"/>
          <w:szCs w:val="24"/>
        </w:rPr>
        <w:t>aciclovir</w:t>
      </w:r>
      <w:proofErr w:type="spellEnd"/>
      <w:r w:rsidRPr="00291CAC">
        <w:rPr>
          <w:i/>
          <w:sz w:val="24"/>
          <w:szCs w:val="24"/>
        </w:rPr>
        <w:t xml:space="preserve">-refraktær herpes </w:t>
      </w:r>
      <w:proofErr w:type="spellStart"/>
      <w:r w:rsidRPr="00291CAC">
        <w:rPr>
          <w:i/>
          <w:sz w:val="24"/>
          <w:szCs w:val="24"/>
        </w:rPr>
        <w:t>simplex</w:t>
      </w:r>
      <w:proofErr w:type="spellEnd"/>
      <w:r w:rsidRPr="00291CAC">
        <w:rPr>
          <w:i/>
          <w:sz w:val="24"/>
          <w:szCs w:val="24"/>
        </w:rPr>
        <w:t xml:space="preserve"> virusinfektioner</w:t>
      </w:r>
    </w:p>
    <w:p w14:paraId="58E0EF6F" w14:textId="77777777" w:rsidR="0031683A" w:rsidRPr="002126A3" w:rsidRDefault="0031683A" w:rsidP="007758B3">
      <w:pPr>
        <w:ind w:left="851"/>
        <w:rPr>
          <w:sz w:val="24"/>
          <w:szCs w:val="24"/>
        </w:rPr>
      </w:pPr>
      <w:r w:rsidRPr="002126A3">
        <w:rPr>
          <w:sz w:val="24"/>
          <w:szCs w:val="24"/>
        </w:rPr>
        <w:t xml:space="preserve">Vedligeholdelsesbehandling med </w:t>
      </w:r>
      <w:proofErr w:type="spellStart"/>
      <w:r w:rsidRPr="002126A3">
        <w:rPr>
          <w:sz w:val="24"/>
          <w:szCs w:val="24"/>
        </w:rPr>
        <w:t>Virafosc</w:t>
      </w:r>
      <w:proofErr w:type="spellEnd"/>
      <w:r w:rsidRPr="002126A3">
        <w:rPr>
          <w:sz w:val="24"/>
          <w:szCs w:val="24"/>
        </w:rPr>
        <w:t xml:space="preserve"> mod recidiv af behandlet </w:t>
      </w:r>
      <w:proofErr w:type="spellStart"/>
      <w:r w:rsidRPr="002126A3">
        <w:rPr>
          <w:sz w:val="24"/>
          <w:szCs w:val="24"/>
        </w:rPr>
        <w:t>aciclovir</w:t>
      </w:r>
      <w:proofErr w:type="spellEnd"/>
      <w:r w:rsidRPr="002126A3">
        <w:rPr>
          <w:sz w:val="24"/>
          <w:szCs w:val="24"/>
        </w:rPr>
        <w:t xml:space="preserve">-refraktær HSV-infektion er ikke blevet tilstrækkeligt undersøgt. Hvis der er et recidiv, skal virussets manglende respons over for </w:t>
      </w:r>
      <w:proofErr w:type="spellStart"/>
      <w:r w:rsidRPr="002126A3">
        <w:rPr>
          <w:sz w:val="24"/>
          <w:szCs w:val="24"/>
        </w:rPr>
        <w:t>aciclovir</w:t>
      </w:r>
      <w:proofErr w:type="spellEnd"/>
      <w:r w:rsidRPr="002126A3">
        <w:rPr>
          <w:sz w:val="24"/>
          <w:szCs w:val="24"/>
        </w:rPr>
        <w:t xml:space="preserve"> bekræftes, enten ved utilstrækkelig respons på en tilstrækkelig behandling med </w:t>
      </w:r>
      <w:proofErr w:type="spellStart"/>
      <w:r w:rsidRPr="002126A3">
        <w:rPr>
          <w:sz w:val="24"/>
          <w:szCs w:val="24"/>
        </w:rPr>
        <w:t>aciclovir</w:t>
      </w:r>
      <w:proofErr w:type="spellEnd"/>
      <w:r w:rsidRPr="002126A3">
        <w:rPr>
          <w:sz w:val="24"/>
          <w:szCs w:val="24"/>
        </w:rPr>
        <w:t xml:space="preserve"> (5-10 mg/kg i 10 dage) eller ved</w:t>
      </w:r>
      <w:r w:rsidRPr="002126A3">
        <w:rPr>
          <w:iCs/>
          <w:sz w:val="24"/>
          <w:szCs w:val="24"/>
        </w:rPr>
        <w:t xml:space="preserve"> in </w:t>
      </w:r>
      <w:proofErr w:type="spellStart"/>
      <w:r w:rsidRPr="002126A3">
        <w:rPr>
          <w:iCs/>
          <w:sz w:val="24"/>
          <w:szCs w:val="24"/>
        </w:rPr>
        <w:t>vitro</w:t>
      </w:r>
      <w:proofErr w:type="spellEnd"/>
      <w:r w:rsidRPr="002126A3">
        <w:rPr>
          <w:sz w:val="24"/>
          <w:szCs w:val="24"/>
        </w:rPr>
        <w:t>-tests.</w:t>
      </w:r>
    </w:p>
    <w:p w14:paraId="484E51C9" w14:textId="77777777" w:rsidR="0031683A" w:rsidRPr="002126A3" w:rsidRDefault="0031683A" w:rsidP="007758B3">
      <w:pPr>
        <w:ind w:left="851"/>
        <w:rPr>
          <w:sz w:val="24"/>
          <w:szCs w:val="24"/>
        </w:rPr>
      </w:pPr>
    </w:p>
    <w:p w14:paraId="7FA46B66" w14:textId="77777777" w:rsidR="0031683A" w:rsidRPr="00291CAC" w:rsidRDefault="0031683A" w:rsidP="007758B3">
      <w:pPr>
        <w:ind w:left="851"/>
        <w:rPr>
          <w:i/>
          <w:sz w:val="24"/>
          <w:szCs w:val="24"/>
        </w:rPr>
      </w:pPr>
      <w:r w:rsidRPr="00291CAC">
        <w:rPr>
          <w:i/>
          <w:sz w:val="24"/>
          <w:szCs w:val="24"/>
        </w:rPr>
        <w:t>Hydrering</w:t>
      </w:r>
    </w:p>
    <w:p w14:paraId="61B93106" w14:textId="77777777" w:rsidR="0031683A" w:rsidRPr="002126A3" w:rsidRDefault="0031683A" w:rsidP="007758B3">
      <w:pPr>
        <w:ind w:left="851"/>
        <w:rPr>
          <w:color w:val="070C0B"/>
          <w:sz w:val="24"/>
          <w:szCs w:val="24"/>
        </w:rPr>
      </w:pPr>
      <w:proofErr w:type="spellStart"/>
      <w:r w:rsidRPr="002126A3">
        <w:rPr>
          <w:sz w:val="24"/>
          <w:szCs w:val="24"/>
        </w:rPr>
        <w:t>Renal</w:t>
      </w:r>
      <w:proofErr w:type="spellEnd"/>
      <w:r w:rsidRPr="002126A3">
        <w:rPr>
          <w:sz w:val="24"/>
          <w:szCs w:val="24"/>
        </w:rPr>
        <w:t xml:space="preserve"> toksicitet kan reduceres ved tilstrækkelig hydrering af patienten. Det anbefales, at 0,5-1,0 liter fysiologisk saltvand indgives ved infusion før den første </w:t>
      </w:r>
      <w:proofErr w:type="spellStart"/>
      <w:r w:rsidRPr="002126A3">
        <w:rPr>
          <w:sz w:val="24"/>
          <w:szCs w:val="24"/>
        </w:rPr>
        <w:t>Virafosc</w:t>
      </w:r>
      <w:proofErr w:type="spellEnd"/>
      <w:r w:rsidRPr="002126A3">
        <w:rPr>
          <w:sz w:val="24"/>
          <w:szCs w:val="24"/>
        </w:rPr>
        <w:t xml:space="preserve">-infusion, og at der efterfølgende tilsættes 0,5-1,0 liter fysiologisk saltvand til hver intermitterende </w:t>
      </w:r>
      <w:proofErr w:type="spellStart"/>
      <w:r w:rsidRPr="002126A3">
        <w:rPr>
          <w:sz w:val="24"/>
          <w:szCs w:val="24"/>
        </w:rPr>
        <w:t>Virafosc</w:t>
      </w:r>
      <w:proofErr w:type="spellEnd"/>
      <w:r w:rsidRPr="002126A3">
        <w:rPr>
          <w:sz w:val="24"/>
          <w:szCs w:val="24"/>
        </w:rPr>
        <w:t xml:space="preserve">-infusion. </w:t>
      </w:r>
    </w:p>
    <w:p w14:paraId="6345401E" w14:textId="77777777" w:rsidR="00AB0ADA" w:rsidRDefault="00AB0ADA" w:rsidP="007758B3">
      <w:pPr>
        <w:ind w:left="851"/>
        <w:rPr>
          <w:color w:val="070C0B"/>
          <w:sz w:val="24"/>
          <w:szCs w:val="24"/>
          <w:lang w:val="nb-NO"/>
        </w:rPr>
      </w:pPr>
    </w:p>
    <w:p w14:paraId="189A8E85" w14:textId="060AB16C" w:rsidR="0031683A" w:rsidRPr="002126A3" w:rsidRDefault="0031683A" w:rsidP="007758B3">
      <w:pPr>
        <w:ind w:left="851"/>
        <w:rPr>
          <w:iCs/>
          <w:color w:val="070C0B"/>
          <w:sz w:val="24"/>
          <w:szCs w:val="24"/>
        </w:rPr>
      </w:pPr>
      <w:r w:rsidRPr="002126A3">
        <w:rPr>
          <w:color w:val="070C0B"/>
          <w:sz w:val="24"/>
          <w:szCs w:val="24"/>
          <w:lang w:val="nb-NO"/>
        </w:rPr>
        <w:t xml:space="preserve">Hydrering er også mulig via orale regimer. </w:t>
      </w:r>
      <w:r w:rsidRPr="002126A3">
        <w:rPr>
          <w:color w:val="070C0B"/>
          <w:sz w:val="24"/>
          <w:szCs w:val="24"/>
        </w:rPr>
        <w:t xml:space="preserve">I så tilfælde skal der drikkes 0,5 til 1 liter saltvand før og efter </w:t>
      </w:r>
      <w:proofErr w:type="spellStart"/>
      <w:r w:rsidRPr="002126A3">
        <w:rPr>
          <w:color w:val="070C0B"/>
          <w:sz w:val="24"/>
          <w:szCs w:val="24"/>
        </w:rPr>
        <w:t>Virafosc</w:t>
      </w:r>
      <w:proofErr w:type="spellEnd"/>
      <w:r w:rsidRPr="002126A3">
        <w:rPr>
          <w:color w:val="070C0B"/>
          <w:sz w:val="24"/>
          <w:szCs w:val="24"/>
        </w:rPr>
        <w:t>-infusionen. Hydrering må kun administreres til egnede patienter.</w:t>
      </w:r>
    </w:p>
    <w:p w14:paraId="5866F6D4" w14:textId="77777777" w:rsidR="00AB0ADA" w:rsidRPr="00AB0ADA" w:rsidRDefault="00AB0ADA" w:rsidP="00AB0ADA">
      <w:pPr>
        <w:ind w:left="851"/>
        <w:rPr>
          <w:sz w:val="24"/>
          <w:szCs w:val="24"/>
        </w:rPr>
      </w:pPr>
    </w:p>
    <w:p w14:paraId="7C5A47E6" w14:textId="72B9AE77" w:rsidR="0031683A" w:rsidRPr="00AB0ADA" w:rsidRDefault="0031683A" w:rsidP="00AB0ADA">
      <w:pPr>
        <w:ind w:left="851"/>
        <w:rPr>
          <w:sz w:val="24"/>
          <w:szCs w:val="24"/>
          <w:u w:val="single"/>
        </w:rPr>
      </w:pPr>
      <w:r w:rsidRPr="00AB0ADA">
        <w:rPr>
          <w:sz w:val="24"/>
          <w:szCs w:val="24"/>
          <w:u w:val="single"/>
        </w:rPr>
        <w:t>Dosering til dialysepatienter</w:t>
      </w:r>
    </w:p>
    <w:p w14:paraId="2E853C9D" w14:textId="77777777" w:rsidR="0031683A" w:rsidRPr="002126A3" w:rsidRDefault="0031683A" w:rsidP="007758B3">
      <w:pPr>
        <w:ind w:left="851"/>
        <w:rPr>
          <w:sz w:val="24"/>
          <w:szCs w:val="24"/>
          <w:u w:val="single"/>
        </w:rPr>
      </w:pPr>
      <w:proofErr w:type="spellStart"/>
      <w:r w:rsidRPr="002126A3">
        <w:rPr>
          <w:sz w:val="24"/>
          <w:szCs w:val="24"/>
        </w:rPr>
        <w:t>Virafosc</w:t>
      </w:r>
      <w:proofErr w:type="spellEnd"/>
      <w:r w:rsidRPr="002126A3">
        <w:rPr>
          <w:sz w:val="24"/>
          <w:szCs w:val="24"/>
        </w:rPr>
        <w:t xml:space="preserve"> frarådes til hæmodialysepatienter. Der er ikke fastlagt retningslinjer for dosering.</w:t>
      </w:r>
    </w:p>
    <w:p w14:paraId="487328D4" w14:textId="77777777" w:rsidR="0031683A" w:rsidRPr="002126A3" w:rsidRDefault="0031683A" w:rsidP="007758B3">
      <w:pPr>
        <w:ind w:left="851"/>
        <w:rPr>
          <w:sz w:val="24"/>
          <w:szCs w:val="24"/>
          <w:u w:val="single"/>
        </w:rPr>
      </w:pPr>
    </w:p>
    <w:p w14:paraId="04F22609" w14:textId="77777777" w:rsidR="0031683A" w:rsidRPr="002126A3" w:rsidRDefault="0031683A" w:rsidP="007758B3">
      <w:pPr>
        <w:ind w:left="851"/>
        <w:rPr>
          <w:sz w:val="24"/>
          <w:szCs w:val="24"/>
          <w:u w:val="single"/>
        </w:rPr>
      </w:pPr>
      <w:r w:rsidRPr="002126A3">
        <w:rPr>
          <w:sz w:val="24"/>
          <w:szCs w:val="24"/>
          <w:u w:val="single"/>
        </w:rPr>
        <w:t>Dosering til ældre</w:t>
      </w:r>
    </w:p>
    <w:p w14:paraId="58A9D2A7" w14:textId="77777777" w:rsidR="0031683A" w:rsidRPr="002126A3" w:rsidRDefault="0031683A" w:rsidP="007758B3">
      <w:pPr>
        <w:ind w:left="851"/>
        <w:rPr>
          <w:sz w:val="24"/>
          <w:szCs w:val="24"/>
          <w:u w:val="single"/>
        </w:rPr>
      </w:pPr>
      <w:r w:rsidRPr="002126A3">
        <w:rPr>
          <w:sz w:val="24"/>
          <w:szCs w:val="24"/>
        </w:rPr>
        <w:t>Som til voksne.</w:t>
      </w:r>
    </w:p>
    <w:p w14:paraId="06033108" w14:textId="77777777" w:rsidR="0031683A" w:rsidRPr="002126A3" w:rsidRDefault="0031683A" w:rsidP="007758B3">
      <w:pPr>
        <w:ind w:left="851"/>
        <w:rPr>
          <w:sz w:val="24"/>
          <w:szCs w:val="24"/>
        </w:rPr>
      </w:pPr>
    </w:p>
    <w:p w14:paraId="437CA3A6" w14:textId="77777777" w:rsidR="0031683A" w:rsidRPr="002126A3" w:rsidRDefault="0031683A" w:rsidP="007758B3">
      <w:pPr>
        <w:ind w:left="851"/>
        <w:rPr>
          <w:sz w:val="24"/>
          <w:szCs w:val="24"/>
          <w:u w:val="single"/>
        </w:rPr>
      </w:pPr>
      <w:r w:rsidRPr="002126A3">
        <w:rPr>
          <w:sz w:val="24"/>
          <w:szCs w:val="24"/>
          <w:u w:val="single"/>
        </w:rPr>
        <w:t>Dosering til den pædiatriske population</w:t>
      </w:r>
    </w:p>
    <w:p w14:paraId="1F9EE36F" w14:textId="77777777" w:rsidR="0031683A" w:rsidRPr="002126A3" w:rsidRDefault="0031683A" w:rsidP="007758B3">
      <w:pPr>
        <w:ind w:left="851"/>
        <w:rPr>
          <w:sz w:val="24"/>
          <w:szCs w:val="24"/>
        </w:rPr>
      </w:pPr>
      <w:proofErr w:type="spellStart"/>
      <w:r w:rsidRPr="002126A3">
        <w:rPr>
          <w:sz w:val="24"/>
          <w:szCs w:val="24"/>
        </w:rPr>
        <w:t>Foscarnets</w:t>
      </w:r>
      <w:proofErr w:type="spellEnd"/>
      <w:r w:rsidRPr="002126A3">
        <w:rPr>
          <w:sz w:val="24"/>
          <w:szCs w:val="24"/>
        </w:rPr>
        <w:t xml:space="preserve"> sikkerhed og virkning hos børn er ikke klarlagt. Se pkt. 4.4 og 5.3.</w:t>
      </w:r>
    </w:p>
    <w:p w14:paraId="2D87E1C8" w14:textId="77777777" w:rsidR="0031683A" w:rsidRPr="002126A3" w:rsidRDefault="0031683A" w:rsidP="007758B3">
      <w:pPr>
        <w:ind w:left="851"/>
        <w:rPr>
          <w:sz w:val="24"/>
          <w:szCs w:val="24"/>
          <w:u w:val="single"/>
        </w:rPr>
      </w:pPr>
    </w:p>
    <w:p w14:paraId="50ED81EF" w14:textId="77777777" w:rsidR="0031683A" w:rsidRPr="002126A3" w:rsidRDefault="0031683A" w:rsidP="007758B3">
      <w:pPr>
        <w:ind w:left="851"/>
        <w:rPr>
          <w:bCs/>
          <w:sz w:val="24"/>
          <w:szCs w:val="24"/>
          <w:u w:val="single"/>
        </w:rPr>
      </w:pPr>
      <w:r w:rsidRPr="002126A3">
        <w:rPr>
          <w:sz w:val="24"/>
          <w:szCs w:val="24"/>
          <w:u w:val="single"/>
        </w:rPr>
        <w:t>Dosering til patienter med nyre- eller leverinsufficiens</w:t>
      </w:r>
    </w:p>
    <w:p w14:paraId="429E8437" w14:textId="77777777" w:rsidR="0031683A" w:rsidRPr="002126A3" w:rsidRDefault="0031683A" w:rsidP="007758B3">
      <w:pPr>
        <w:ind w:left="851"/>
        <w:rPr>
          <w:sz w:val="24"/>
          <w:szCs w:val="24"/>
        </w:rPr>
      </w:pPr>
      <w:r w:rsidRPr="002126A3">
        <w:rPr>
          <w:sz w:val="24"/>
          <w:szCs w:val="24"/>
        </w:rPr>
        <w:t xml:space="preserve">Dosis skal reduceres til patienter med nyreinsufficiens i henhold til </w:t>
      </w:r>
      <w:proofErr w:type="spellStart"/>
      <w:r w:rsidRPr="002126A3">
        <w:rPr>
          <w:sz w:val="24"/>
          <w:szCs w:val="24"/>
        </w:rPr>
        <w:t>kreatininclearance</w:t>
      </w:r>
      <w:proofErr w:type="spellEnd"/>
      <w:r w:rsidRPr="002126A3">
        <w:rPr>
          <w:sz w:val="24"/>
          <w:szCs w:val="24"/>
        </w:rPr>
        <w:t>-niveauet som beskrevet i ovenstående tabel. Dosisjustering er ikke påkrævet til patienter med leverinsufficiens.</w:t>
      </w:r>
    </w:p>
    <w:p w14:paraId="56431C61" w14:textId="77777777" w:rsidR="0031683A" w:rsidRPr="002126A3" w:rsidRDefault="0031683A" w:rsidP="007758B3">
      <w:pPr>
        <w:ind w:left="851"/>
        <w:rPr>
          <w:sz w:val="24"/>
          <w:szCs w:val="24"/>
          <w:u w:val="single"/>
        </w:rPr>
      </w:pPr>
    </w:p>
    <w:p w14:paraId="67A48C61" w14:textId="77777777" w:rsidR="0031683A" w:rsidRPr="002126A3" w:rsidRDefault="0031683A" w:rsidP="007758B3">
      <w:pPr>
        <w:ind w:left="851"/>
        <w:rPr>
          <w:sz w:val="24"/>
          <w:szCs w:val="24"/>
        </w:rPr>
      </w:pPr>
      <w:r w:rsidRPr="002126A3">
        <w:rPr>
          <w:sz w:val="24"/>
          <w:szCs w:val="24"/>
          <w:u w:val="single"/>
        </w:rPr>
        <w:t>Administration</w:t>
      </w:r>
    </w:p>
    <w:p w14:paraId="2EAA4898" w14:textId="77777777" w:rsidR="0031683A" w:rsidRPr="002126A3" w:rsidRDefault="0031683A" w:rsidP="007758B3">
      <w:pPr>
        <w:ind w:left="851"/>
        <w:rPr>
          <w:sz w:val="24"/>
          <w:szCs w:val="24"/>
        </w:rPr>
      </w:pPr>
      <w:proofErr w:type="spellStart"/>
      <w:r w:rsidRPr="002126A3">
        <w:rPr>
          <w:sz w:val="24"/>
          <w:szCs w:val="24"/>
        </w:rPr>
        <w:t>Virafosc</w:t>
      </w:r>
      <w:proofErr w:type="spellEnd"/>
      <w:r w:rsidRPr="002126A3">
        <w:rPr>
          <w:sz w:val="24"/>
          <w:szCs w:val="24"/>
        </w:rPr>
        <w:t xml:space="preserve"> skal administreres intravenøst, enten via en central venelinje eller direkte i en perifer vene.</w:t>
      </w:r>
    </w:p>
    <w:p w14:paraId="55AFC383" w14:textId="77777777" w:rsidR="0031683A" w:rsidRPr="002126A3" w:rsidRDefault="0031683A" w:rsidP="007758B3">
      <w:pPr>
        <w:ind w:left="851"/>
        <w:rPr>
          <w:sz w:val="24"/>
          <w:szCs w:val="24"/>
        </w:rPr>
      </w:pPr>
    </w:p>
    <w:p w14:paraId="52EC5FB1" w14:textId="77777777" w:rsidR="0031683A" w:rsidRPr="002126A3" w:rsidRDefault="0031683A" w:rsidP="007758B3">
      <w:pPr>
        <w:ind w:left="851"/>
        <w:rPr>
          <w:sz w:val="24"/>
          <w:szCs w:val="24"/>
        </w:rPr>
      </w:pPr>
      <w:r w:rsidRPr="002126A3">
        <w:rPr>
          <w:sz w:val="24"/>
          <w:szCs w:val="24"/>
        </w:rPr>
        <w:t xml:space="preserve">Når infusionen gives </w:t>
      </w:r>
      <w:r w:rsidRPr="002126A3">
        <w:rPr>
          <w:b/>
          <w:sz w:val="24"/>
          <w:szCs w:val="24"/>
        </w:rPr>
        <w:t xml:space="preserve">via </w:t>
      </w:r>
      <w:r w:rsidRPr="002126A3">
        <w:rPr>
          <w:b/>
          <w:bCs/>
          <w:sz w:val="24"/>
          <w:szCs w:val="24"/>
        </w:rPr>
        <w:t>en central venelinje</w:t>
      </w:r>
      <w:r w:rsidRPr="002126A3">
        <w:rPr>
          <w:sz w:val="24"/>
          <w:szCs w:val="24"/>
        </w:rPr>
        <w:t xml:space="preserve">, kan </w:t>
      </w:r>
      <w:proofErr w:type="spellStart"/>
      <w:r w:rsidRPr="002126A3">
        <w:rPr>
          <w:sz w:val="24"/>
          <w:szCs w:val="24"/>
        </w:rPr>
        <w:t>foscarnet</w:t>
      </w:r>
      <w:proofErr w:type="spellEnd"/>
      <w:r w:rsidRPr="002126A3">
        <w:rPr>
          <w:sz w:val="24"/>
          <w:szCs w:val="24"/>
        </w:rPr>
        <w:t xml:space="preserve"> 24 mg/ml opløsningen anvendes. Fortynding med 5 % </w:t>
      </w:r>
      <w:proofErr w:type="spellStart"/>
      <w:r w:rsidRPr="002126A3">
        <w:rPr>
          <w:sz w:val="24"/>
          <w:szCs w:val="24"/>
        </w:rPr>
        <w:t>glucose</w:t>
      </w:r>
      <w:proofErr w:type="spellEnd"/>
      <w:r w:rsidRPr="002126A3">
        <w:rPr>
          <w:sz w:val="24"/>
          <w:szCs w:val="24"/>
        </w:rPr>
        <w:t xml:space="preserve"> eller fysiologisk saltvand til en koncentration på 12 mg/ml eller mindre anbefales, når </w:t>
      </w:r>
      <w:r w:rsidRPr="002126A3">
        <w:rPr>
          <w:b/>
          <w:sz w:val="24"/>
          <w:szCs w:val="24"/>
        </w:rPr>
        <w:t xml:space="preserve">perifere </w:t>
      </w:r>
      <w:r w:rsidRPr="002126A3">
        <w:rPr>
          <w:sz w:val="24"/>
          <w:szCs w:val="24"/>
        </w:rPr>
        <w:t>vener anvendes.</w:t>
      </w:r>
    </w:p>
    <w:p w14:paraId="511FE0BE" w14:textId="77777777" w:rsidR="0031683A" w:rsidRPr="002126A3" w:rsidRDefault="0031683A" w:rsidP="007758B3">
      <w:pPr>
        <w:ind w:left="851"/>
        <w:rPr>
          <w:sz w:val="24"/>
          <w:szCs w:val="24"/>
        </w:rPr>
      </w:pPr>
    </w:p>
    <w:p w14:paraId="4EFDB1E3" w14:textId="77777777" w:rsidR="0031683A" w:rsidRPr="002126A3" w:rsidRDefault="0031683A" w:rsidP="007758B3">
      <w:pPr>
        <w:ind w:left="851"/>
        <w:rPr>
          <w:sz w:val="24"/>
          <w:szCs w:val="24"/>
        </w:rPr>
      </w:pPr>
      <w:r w:rsidRPr="002126A3">
        <w:rPr>
          <w:sz w:val="24"/>
          <w:szCs w:val="24"/>
        </w:rPr>
        <w:t>For instruktioner om fortynding af lægemidlet før administration se pkt. 6.6.</w:t>
      </w:r>
    </w:p>
    <w:p w14:paraId="759E3BA3" w14:textId="77777777" w:rsidR="0031683A" w:rsidRPr="00AB0ADA" w:rsidRDefault="0031683A" w:rsidP="007758B3">
      <w:pPr>
        <w:ind w:left="851"/>
        <w:rPr>
          <w:bCs/>
          <w:sz w:val="24"/>
          <w:szCs w:val="24"/>
        </w:rPr>
      </w:pPr>
    </w:p>
    <w:p w14:paraId="5262C4D0" w14:textId="77777777" w:rsidR="0031683A" w:rsidRPr="002126A3" w:rsidRDefault="0031683A" w:rsidP="007758B3">
      <w:pPr>
        <w:ind w:left="851"/>
        <w:rPr>
          <w:b/>
          <w:sz w:val="24"/>
          <w:szCs w:val="24"/>
        </w:rPr>
      </w:pPr>
      <w:r w:rsidRPr="002126A3">
        <w:rPr>
          <w:b/>
          <w:sz w:val="24"/>
          <w:szCs w:val="24"/>
        </w:rPr>
        <w:t xml:space="preserve">Forsigtig - </w:t>
      </w:r>
      <w:proofErr w:type="spellStart"/>
      <w:r w:rsidRPr="002126A3">
        <w:rPr>
          <w:b/>
          <w:sz w:val="24"/>
          <w:szCs w:val="24"/>
        </w:rPr>
        <w:t>Virafosc</w:t>
      </w:r>
      <w:proofErr w:type="spellEnd"/>
      <w:r w:rsidRPr="002126A3">
        <w:rPr>
          <w:b/>
          <w:sz w:val="24"/>
          <w:szCs w:val="24"/>
        </w:rPr>
        <w:t xml:space="preserve"> må ikke gives ved hurtig intravenøs injektion.</w:t>
      </w:r>
    </w:p>
    <w:p w14:paraId="627B1D3D" w14:textId="77777777" w:rsidR="009260DE" w:rsidRPr="002126A3" w:rsidRDefault="009260DE" w:rsidP="009260DE">
      <w:pPr>
        <w:tabs>
          <w:tab w:val="left" w:pos="851"/>
        </w:tabs>
        <w:ind w:left="851"/>
        <w:rPr>
          <w:sz w:val="24"/>
          <w:szCs w:val="24"/>
        </w:rPr>
      </w:pPr>
    </w:p>
    <w:p w14:paraId="281DA01A" w14:textId="77777777" w:rsidR="009260DE" w:rsidRPr="002126A3" w:rsidRDefault="009260DE" w:rsidP="009260DE">
      <w:pPr>
        <w:tabs>
          <w:tab w:val="left" w:pos="851"/>
        </w:tabs>
        <w:ind w:left="851" w:hanging="851"/>
        <w:rPr>
          <w:b/>
          <w:sz w:val="24"/>
          <w:szCs w:val="24"/>
        </w:rPr>
      </w:pPr>
      <w:r w:rsidRPr="002126A3">
        <w:rPr>
          <w:b/>
          <w:sz w:val="24"/>
          <w:szCs w:val="24"/>
        </w:rPr>
        <w:t>4.3</w:t>
      </w:r>
      <w:r w:rsidRPr="002126A3">
        <w:rPr>
          <w:b/>
          <w:sz w:val="24"/>
          <w:szCs w:val="24"/>
        </w:rPr>
        <w:tab/>
        <w:t>Kontraindikationer</w:t>
      </w:r>
    </w:p>
    <w:p w14:paraId="1A478069" w14:textId="77777777" w:rsidR="0031683A" w:rsidRPr="002126A3" w:rsidRDefault="0031683A" w:rsidP="007758B3">
      <w:pPr>
        <w:ind w:left="851"/>
        <w:rPr>
          <w:sz w:val="24"/>
          <w:szCs w:val="24"/>
        </w:rPr>
      </w:pPr>
      <w:r w:rsidRPr="002126A3">
        <w:rPr>
          <w:sz w:val="24"/>
          <w:szCs w:val="24"/>
        </w:rPr>
        <w:t>Overfølsomhed over for det aktive stof eller over for et eller flere af hjælpestofferne anført i pkt. 6.1.</w:t>
      </w:r>
    </w:p>
    <w:p w14:paraId="28D31D3F" w14:textId="77777777" w:rsidR="009260DE" w:rsidRPr="002126A3" w:rsidRDefault="009260DE" w:rsidP="009260DE">
      <w:pPr>
        <w:tabs>
          <w:tab w:val="left" w:pos="851"/>
        </w:tabs>
        <w:ind w:left="851"/>
        <w:rPr>
          <w:sz w:val="24"/>
          <w:szCs w:val="24"/>
        </w:rPr>
      </w:pPr>
    </w:p>
    <w:p w14:paraId="4615D287" w14:textId="77777777" w:rsidR="009260DE" w:rsidRPr="002126A3" w:rsidRDefault="009260DE" w:rsidP="009260DE">
      <w:pPr>
        <w:tabs>
          <w:tab w:val="left" w:pos="851"/>
        </w:tabs>
        <w:ind w:left="851" w:hanging="851"/>
        <w:rPr>
          <w:b/>
          <w:sz w:val="24"/>
          <w:szCs w:val="24"/>
        </w:rPr>
      </w:pPr>
      <w:r w:rsidRPr="002126A3">
        <w:rPr>
          <w:b/>
          <w:sz w:val="24"/>
          <w:szCs w:val="24"/>
        </w:rPr>
        <w:t>4.4</w:t>
      </w:r>
      <w:r w:rsidRPr="002126A3">
        <w:rPr>
          <w:b/>
          <w:sz w:val="24"/>
          <w:szCs w:val="24"/>
        </w:rPr>
        <w:tab/>
        <w:t>Særlige advarsler og forsigtighedsregler vedrørende brugen</w:t>
      </w:r>
    </w:p>
    <w:p w14:paraId="0C22DD78" w14:textId="77777777" w:rsidR="0031683A" w:rsidRPr="002126A3" w:rsidRDefault="0031683A" w:rsidP="007758B3">
      <w:pPr>
        <w:ind w:left="851"/>
        <w:rPr>
          <w:sz w:val="24"/>
          <w:szCs w:val="24"/>
        </w:rPr>
      </w:pPr>
      <w:proofErr w:type="spellStart"/>
      <w:r w:rsidRPr="002126A3">
        <w:rPr>
          <w:sz w:val="24"/>
          <w:szCs w:val="24"/>
        </w:rPr>
        <w:t>Virafosc</w:t>
      </w:r>
      <w:proofErr w:type="spellEnd"/>
      <w:r w:rsidRPr="002126A3">
        <w:rPr>
          <w:sz w:val="24"/>
          <w:szCs w:val="24"/>
        </w:rPr>
        <w:t xml:space="preserve"> må kun ordineres af speciallæger.</w:t>
      </w:r>
    </w:p>
    <w:p w14:paraId="3096F706" w14:textId="77777777" w:rsidR="0031683A" w:rsidRPr="002126A3" w:rsidRDefault="0031683A" w:rsidP="007758B3">
      <w:pPr>
        <w:ind w:left="851"/>
        <w:rPr>
          <w:sz w:val="24"/>
          <w:szCs w:val="24"/>
        </w:rPr>
      </w:pPr>
    </w:p>
    <w:p w14:paraId="2A8F5E06" w14:textId="77777777" w:rsidR="0031683A" w:rsidRPr="002126A3" w:rsidRDefault="0031683A" w:rsidP="007758B3">
      <w:pPr>
        <w:ind w:left="851"/>
        <w:rPr>
          <w:sz w:val="24"/>
          <w:szCs w:val="24"/>
        </w:rPr>
      </w:pPr>
      <w:proofErr w:type="spellStart"/>
      <w:r w:rsidRPr="002126A3">
        <w:rPr>
          <w:sz w:val="24"/>
          <w:szCs w:val="24"/>
        </w:rPr>
        <w:t>Virafosc</w:t>
      </w:r>
      <w:proofErr w:type="spellEnd"/>
      <w:r w:rsidRPr="002126A3">
        <w:rPr>
          <w:sz w:val="24"/>
          <w:szCs w:val="24"/>
        </w:rPr>
        <w:t xml:space="preserve"> skal anvendes med forsigtighed til patienter med nedsat nyrefunktion. Da der kan forekomme nedsat nyrefunktion på et hvilket som helst tidspunkt under administration af </w:t>
      </w:r>
      <w:proofErr w:type="spellStart"/>
      <w:r w:rsidRPr="002126A3">
        <w:rPr>
          <w:sz w:val="24"/>
          <w:szCs w:val="24"/>
        </w:rPr>
        <w:t>Virafosc</w:t>
      </w:r>
      <w:proofErr w:type="spellEnd"/>
      <w:r w:rsidRPr="002126A3">
        <w:rPr>
          <w:sz w:val="24"/>
          <w:szCs w:val="24"/>
        </w:rPr>
        <w:t xml:space="preserve">, skal </w:t>
      </w:r>
      <w:proofErr w:type="spellStart"/>
      <w:r w:rsidRPr="002126A3">
        <w:rPr>
          <w:sz w:val="24"/>
          <w:szCs w:val="24"/>
        </w:rPr>
        <w:t>serumkreatinin</w:t>
      </w:r>
      <w:proofErr w:type="spellEnd"/>
      <w:r w:rsidRPr="002126A3">
        <w:rPr>
          <w:sz w:val="24"/>
          <w:szCs w:val="24"/>
        </w:rPr>
        <w:t xml:space="preserve"> monitoreres hver anden dag under induktionsbehandling og én gang om ugen under vedligeholdelsesbehandling. Der skal udføres passende dosisjusteringer i overensstemmelse med nyrefunktionen. Der skal opretholdes tilstrækkelig hydrering hos alle patienter (se pkt. 4.2). Nyrefunktionen hos patienter med nyresygdom eller samtidig behandling med andre </w:t>
      </w:r>
      <w:proofErr w:type="spellStart"/>
      <w:r w:rsidRPr="002126A3">
        <w:rPr>
          <w:sz w:val="24"/>
          <w:szCs w:val="24"/>
        </w:rPr>
        <w:t>nefrotoksiske</w:t>
      </w:r>
      <w:proofErr w:type="spellEnd"/>
      <w:r w:rsidRPr="002126A3">
        <w:rPr>
          <w:sz w:val="24"/>
          <w:szCs w:val="24"/>
        </w:rPr>
        <w:t xml:space="preserve"> lægemidler skal overvåges nøje (se pkt. 4.5).</w:t>
      </w:r>
    </w:p>
    <w:p w14:paraId="5916D289" w14:textId="77777777" w:rsidR="0031683A" w:rsidRPr="002126A3" w:rsidRDefault="0031683A" w:rsidP="007758B3">
      <w:pPr>
        <w:ind w:left="851"/>
        <w:rPr>
          <w:bCs/>
          <w:sz w:val="24"/>
          <w:szCs w:val="24"/>
        </w:rPr>
      </w:pPr>
    </w:p>
    <w:p w14:paraId="5B97C11D" w14:textId="77777777" w:rsidR="0031683A" w:rsidRPr="002126A3" w:rsidRDefault="0031683A" w:rsidP="007758B3">
      <w:pPr>
        <w:ind w:left="851"/>
        <w:rPr>
          <w:bCs/>
          <w:color w:val="000000"/>
          <w:sz w:val="24"/>
          <w:szCs w:val="24"/>
          <w:shd w:val="clear" w:color="auto" w:fill="FFFFFF"/>
        </w:rPr>
      </w:pPr>
      <w:r w:rsidRPr="002126A3">
        <w:rPr>
          <w:sz w:val="24"/>
          <w:szCs w:val="24"/>
        </w:rPr>
        <w:t xml:space="preserve">Dette lægemiddel indeholder 1,38 g natrium pr. 250 ml flaske, svarende til </w:t>
      </w:r>
      <w:r w:rsidRPr="002126A3">
        <w:rPr>
          <w:color w:val="000000"/>
          <w:sz w:val="24"/>
          <w:szCs w:val="24"/>
          <w:shd w:val="clear" w:color="auto" w:fill="FFFFFF"/>
        </w:rPr>
        <w:t xml:space="preserve">69 % af </w:t>
      </w:r>
      <w:proofErr w:type="spellStart"/>
      <w:r w:rsidRPr="002126A3">
        <w:rPr>
          <w:color w:val="000000"/>
          <w:sz w:val="24"/>
          <w:szCs w:val="24"/>
          <w:shd w:val="clear" w:color="auto" w:fill="FFFFFF"/>
        </w:rPr>
        <w:t>WHOs</w:t>
      </w:r>
      <w:proofErr w:type="spellEnd"/>
      <w:r w:rsidRPr="002126A3">
        <w:rPr>
          <w:color w:val="000000"/>
          <w:sz w:val="24"/>
          <w:szCs w:val="24"/>
          <w:shd w:val="clear" w:color="auto" w:fill="FFFFFF"/>
        </w:rPr>
        <w:t xml:space="preserve"> anbefalede maksimale daglige indtag af 2 g natrium til en voksen. </w:t>
      </w:r>
    </w:p>
    <w:p w14:paraId="67D84C3A" w14:textId="77777777" w:rsidR="0031683A" w:rsidRPr="002126A3" w:rsidRDefault="0031683A" w:rsidP="007758B3">
      <w:pPr>
        <w:ind w:left="851"/>
        <w:rPr>
          <w:bCs/>
          <w:sz w:val="24"/>
          <w:szCs w:val="24"/>
        </w:rPr>
      </w:pPr>
      <w:r w:rsidRPr="002126A3">
        <w:rPr>
          <w:sz w:val="24"/>
          <w:szCs w:val="24"/>
        </w:rPr>
        <w:t xml:space="preserve">Den maksimalt anbefalede daglige dosis af dette produkt er 12 g </w:t>
      </w:r>
      <w:proofErr w:type="spellStart"/>
      <w:r w:rsidRPr="002126A3">
        <w:rPr>
          <w:sz w:val="24"/>
          <w:szCs w:val="24"/>
        </w:rPr>
        <w:t>Virafosc</w:t>
      </w:r>
      <w:proofErr w:type="spellEnd"/>
      <w:r w:rsidRPr="002126A3">
        <w:rPr>
          <w:sz w:val="24"/>
          <w:szCs w:val="24"/>
        </w:rPr>
        <w:t xml:space="preserve"> pr. dag (180 mg/kg/dag for en patient med en gennemsnitsvægt på 70 kg), hvilket svarer til 138 % af WHO's anbefalede maksimale daglige indtag af natrium.</w:t>
      </w:r>
    </w:p>
    <w:p w14:paraId="6FF12CFA" w14:textId="77777777" w:rsidR="0031683A" w:rsidRPr="002126A3" w:rsidRDefault="0031683A" w:rsidP="007758B3">
      <w:pPr>
        <w:ind w:left="851"/>
        <w:rPr>
          <w:sz w:val="24"/>
          <w:szCs w:val="24"/>
        </w:rPr>
      </w:pPr>
      <w:proofErr w:type="spellStart"/>
      <w:r w:rsidRPr="002126A3">
        <w:rPr>
          <w:sz w:val="24"/>
          <w:szCs w:val="24"/>
        </w:rPr>
        <w:t>Virafosc</w:t>
      </w:r>
      <w:proofErr w:type="spellEnd"/>
      <w:r w:rsidRPr="002126A3">
        <w:rPr>
          <w:sz w:val="24"/>
          <w:szCs w:val="24"/>
        </w:rPr>
        <w:t xml:space="preserve"> anses for at have et højt natriumindhold. Dette skal især tages i betragtning hos patienter, der er på natriumfattig diæt. Lægemidlet skal undgås, hvis en saltvandsbelastning ikke kan tolereres (fx ved </w:t>
      </w:r>
      <w:proofErr w:type="spellStart"/>
      <w:r w:rsidRPr="002126A3">
        <w:rPr>
          <w:sz w:val="24"/>
          <w:szCs w:val="24"/>
        </w:rPr>
        <w:t>kardiomyopati</w:t>
      </w:r>
      <w:proofErr w:type="spellEnd"/>
      <w:r w:rsidRPr="002126A3">
        <w:rPr>
          <w:sz w:val="24"/>
          <w:szCs w:val="24"/>
        </w:rPr>
        <w:t>).</w:t>
      </w:r>
    </w:p>
    <w:p w14:paraId="12575FD8" w14:textId="77777777" w:rsidR="0031683A" w:rsidRPr="002126A3" w:rsidRDefault="0031683A" w:rsidP="007758B3">
      <w:pPr>
        <w:ind w:left="851"/>
        <w:rPr>
          <w:sz w:val="24"/>
          <w:szCs w:val="24"/>
        </w:rPr>
      </w:pPr>
    </w:p>
    <w:p w14:paraId="3D04A009" w14:textId="77777777" w:rsidR="0031683A" w:rsidRPr="002126A3" w:rsidRDefault="0031683A" w:rsidP="007758B3">
      <w:pPr>
        <w:ind w:left="851"/>
        <w:rPr>
          <w:sz w:val="24"/>
          <w:szCs w:val="24"/>
        </w:rPr>
      </w:pPr>
      <w:r w:rsidRPr="002126A3">
        <w:rPr>
          <w:sz w:val="24"/>
          <w:szCs w:val="24"/>
        </w:rPr>
        <w:t xml:space="preserve">På grund af </w:t>
      </w:r>
      <w:proofErr w:type="spellStart"/>
      <w:r w:rsidRPr="002126A3">
        <w:rPr>
          <w:sz w:val="24"/>
          <w:szCs w:val="24"/>
        </w:rPr>
        <w:t>Virafoscs</w:t>
      </w:r>
      <w:proofErr w:type="spellEnd"/>
      <w:r w:rsidRPr="002126A3">
        <w:rPr>
          <w:sz w:val="24"/>
          <w:szCs w:val="24"/>
        </w:rPr>
        <w:t xml:space="preserve"> tilbøjelighed til at </w:t>
      </w:r>
      <w:proofErr w:type="spellStart"/>
      <w:r w:rsidRPr="002126A3">
        <w:rPr>
          <w:sz w:val="24"/>
          <w:szCs w:val="24"/>
        </w:rPr>
        <w:t>chelatere</w:t>
      </w:r>
      <w:proofErr w:type="spellEnd"/>
      <w:r w:rsidRPr="002126A3">
        <w:rPr>
          <w:sz w:val="24"/>
          <w:szCs w:val="24"/>
        </w:rPr>
        <w:t xml:space="preserve"> bivalente metal-ioner, såsom calcium, kan administration af </w:t>
      </w:r>
      <w:proofErr w:type="spellStart"/>
      <w:r w:rsidRPr="002126A3">
        <w:rPr>
          <w:sz w:val="24"/>
          <w:szCs w:val="24"/>
        </w:rPr>
        <w:t>Virafosc</w:t>
      </w:r>
      <w:proofErr w:type="spellEnd"/>
      <w:r w:rsidRPr="002126A3">
        <w:rPr>
          <w:sz w:val="24"/>
          <w:szCs w:val="24"/>
        </w:rPr>
        <w:t xml:space="preserve"> være forbundet med et akut fald i ioniseret serumcalcium proportionalt med </w:t>
      </w:r>
      <w:proofErr w:type="spellStart"/>
      <w:r w:rsidRPr="002126A3">
        <w:rPr>
          <w:sz w:val="24"/>
          <w:szCs w:val="24"/>
        </w:rPr>
        <w:t>Virafosc</w:t>
      </w:r>
      <w:proofErr w:type="spellEnd"/>
      <w:r w:rsidRPr="002126A3">
        <w:rPr>
          <w:sz w:val="24"/>
          <w:szCs w:val="24"/>
        </w:rPr>
        <w:t xml:space="preserve">-infusionshastigheden, hvilket muligvis ikke afspejles i det samlede serumcalciumniveau. Elektrolytter, især calcium og magnesium, skal vurderes før og under </w:t>
      </w:r>
      <w:proofErr w:type="spellStart"/>
      <w:r w:rsidRPr="002126A3">
        <w:rPr>
          <w:sz w:val="24"/>
          <w:szCs w:val="24"/>
        </w:rPr>
        <w:t>Virafosc</w:t>
      </w:r>
      <w:proofErr w:type="spellEnd"/>
      <w:r w:rsidRPr="002126A3">
        <w:rPr>
          <w:sz w:val="24"/>
          <w:szCs w:val="24"/>
        </w:rPr>
        <w:t>-behandling og mangler skal korrigeres.</w:t>
      </w:r>
    </w:p>
    <w:p w14:paraId="757C4671" w14:textId="77777777" w:rsidR="0031683A" w:rsidRPr="002126A3" w:rsidRDefault="0031683A" w:rsidP="007758B3">
      <w:pPr>
        <w:ind w:left="851"/>
        <w:rPr>
          <w:sz w:val="24"/>
          <w:szCs w:val="24"/>
        </w:rPr>
      </w:pPr>
    </w:p>
    <w:p w14:paraId="3BA760B3" w14:textId="77777777" w:rsidR="0031683A" w:rsidRPr="002126A3" w:rsidRDefault="0031683A" w:rsidP="007758B3">
      <w:pPr>
        <w:ind w:left="851"/>
        <w:rPr>
          <w:sz w:val="24"/>
          <w:szCs w:val="24"/>
        </w:rPr>
      </w:pPr>
      <w:proofErr w:type="spellStart"/>
      <w:r w:rsidRPr="002126A3">
        <w:rPr>
          <w:sz w:val="24"/>
          <w:szCs w:val="24"/>
        </w:rPr>
        <w:t>Foscarnet</w:t>
      </w:r>
      <w:proofErr w:type="spellEnd"/>
      <w:r w:rsidRPr="002126A3">
        <w:rPr>
          <w:sz w:val="24"/>
          <w:szCs w:val="24"/>
        </w:rPr>
        <w:t xml:space="preserve"> er blevet forbundet med tilfælde af forlænget QT-interval og mere sjældent med tilfælde af </w:t>
      </w:r>
      <w:proofErr w:type="spellStart"/>
      <w:r w:rsidRPr="002126A3">
        <w:rPr>
          <w:sz w:val="24"/>
          <w:szCs w:val="24"/>
        </w:rPr>
        <w:t>torsade</w:t>
      </w:r>
      <w:proofErr w:type="spellEnd"/>
      <w:r w:rsidRPr="002126A3">
        <w:rPr>
          <w:sz w:val="24"/>
          <w:szCs w:val="24"/>
        </w:rPr>
        <w:t xml:space="preserve"> de pointes (se pkt. 4.8). Patienter med kendt eksisterende forlængelse af hjerteledningsintervaller, især </w:t>
      </w:r>
      <w:proofErr w:type="spellStart"/>
      <w:r w:rsidRPr="002126A3">
        <w:rPr>
          <w:sz w:val="24"/>
          <w:szCs w:val="24"/>
        </w:rPr>
        <w:t>QTc</w:t>
      </w:r>
      <w:proofErr w:type="spellEnd"/>
      <w:r w:rsidRPr="002126A3">
        <w:rPr>
          <w:sz w:val="24"/>
          <w:szCs w:val="24"/>
        </w:rPr>
        <w:t>, patienter med signifikante elektrolytforstyrrelser (</w:t>
      </w:r>
      <w:proofErr w:type="spellStart"/>
      <w:r w:rsidRPr="002126A3">
        <w:rPr>
          <w:sz w:val="24"/>
          <w:szCs w:val="24"/>
        </w:rPr>
        <w:t>hypokaliæmi</w:t>
      </w:r>
      <w:proofErr w:type="spellEnd"/>
      <w:r w:rsidRPr="002126A3">
        <w:rPr>
          <w:sz w:val="24"/>
          <w:szCs w:val="24"/>
        </w:rPr>
        <w:t xml:space="preserve">, </w:t>
      </w:r>
      <w:proofErr w:type="spellStart"/>
      <w:r w:rsidRPr="002126A3">
        <w:rPr>
          <w:sz w:val="24"/>
          <w:szCs w:val="24"/>
        </w:rPr>
        <w:t>hypomagnesæmi</w:t>
      </w:r>
      <w:proofErr w:type="spellEnd"/>
      <w:r w:rsidRPr="002126A3">
        <w:rPr>
          <w:sz w:val="24"/>
          <w:szCs w:val="24"/>
        </w:rPr>
        <w:t xml:space="preserve">), bradykardi, såvel som patienter med underliggende hjertesygdomme såsom </w:t>
      </w:r>
      <w:proofErr w:type="gramStart"/>
      <w:r w:rsidRPr="002126A3">
        <w:rPr>
          <w:sz w:val="24"/>
          <w:szCs w:val="24"/>
        </w:rPr>
        <w:t>kongestiv hjertesvigt</w:t>
      </w:r>
      <w:proofErr w:type="gramEnd"/>
      <w:r w:rsidRPr="002126A3">
        <w:rPr>
          <w:sz w:val="24"/>
          <w:szCs w:val="24"/>
        </w:rPr>
        <w:t xml:space="preserve">, eller som tager lægemidler, der vides at forlænge QT-intervallet, skal overvåges nøje på grund af øget risiko for </w:t>
      </w:r>
      <w:proofErr w:type="spellStart"/>
      <w:r w:rsidRPr="002126A3">
        <w:rPr>
          <w:sz w:val="24"/>
          <w:szCs w:val="24"/>
        </w:rPr>
        <w:t>ventrikulær</w:t>
      </w:r>
      <w:proofErr w:type="spellEnd"/>
      <w:r w:rsidRPr="002126A3">
        <w:rPr>
          <w:sz w:val="24"/>
          <w:szCs w:val="24"/>
        </w:rPr>
        <w:t xml:space="preserve"> </w:t>
      </w:r>
      <w:proofErr w:type="spellStart"/>
      <w:r w:rsidRPr="002126A3">
        <w:rPr>
          <w:sz w:val="24"/>
          <w:szCs w:val="24"/>
        </w:rPr>
        <w:t>arytmi</w:t>
      </w:r>
      <w:proofErr w:type="spellEnd"/>
      <w:r w:rsidRPr="002126A3">
        <w:rPr>
          <w:sz w:val="24"/>
          <w:szCs w:val="24"/>
        </w:rPr>
        <w:t xml:space="preserve">. Patienterne skal rådes til straks at indberette ethvert </w:t>
      </w:r>
      <w:proofErr w:type="spellStart"/>
      <w:r w:rsidRPr="002126A3">
        <w:rPr>
          <w:sz w:val="24"/>
          <w:szCs w:val="24"/>
        </w:rPr>
        <w:t>kardielt</w:t>
      </w:r>
      <w:proofErr w:type="spellEnd"/>
      <w:r w:rsidRPr="002126A3">
        <w:rPr>
          <w:sz w:val="24"/>
          <w:szCs w:val="24"/>
        </w:rPr>
        <w:t xml:space="preserve"> symptom.</w:t>
      </w:r>
    </w:p>
    <w:p w14:paraId="1F35926A" w14:textId="77777777" w:rsidR="0031683A" w:rsidRPr="002126A3" w:rsidRDefault="0031683A" w:rsidP="007758B3">
      <w:pPr>
        <w:ind w:left="851"/>
        <w:rPr>
          <w:sz w:val="24"/>
          <w:szCs w:val="24"/>
        </w:rPr>
      </w:pPr>
    </w:p>
    <w:p w14:paraId="653EA8C0" w14:textId="77777777" w:rsidR="0031683A" w:rsidRPr="002126A3" w:rsidRDefault="0031683A" w:rsidP="007758B3">
      <w:pPr>
        <w:ind w:left="851"/>
        <w:rPr>
          <w:sz w:val="24"/>
          <w:szCs w:val="24"/>
        </w:rPr>
      </w:pPr>
      <w:proofErr w:type="spellStart"/>
      <w:r w:rsidRPr="002126A3">
        <w:rPr>
          <w:sz w:val="24"/>
          <w:szCs w:val="24"/>
        </w:rPr>
        <w:t>Virafosc</w:t>
      </w:r>
      <w:proofErr w:type="spellEnd"/>
      <w:r w:rsidRPr="002126A3">
        <w:rPr>
          <w:sz w:val="24"/>
          <w:szCs w:val="24"/>
        </w:rPr>
        <w:t xml:space="preserve"> aflejres i tænder, knogler og brusk. Data fra dyreforsøg viser, at aflejringen er større hos unge dyr. </w:t>
      </w:r>
      <w:proofErr w:type="spellStart"/>
      <w:r w:rsidRPr="002126A3">
        <w:rPr>
          <w:sz w:val="24"/>
          <w:szCs w:val="24"/>
        </w:rPr>
        <w:t>Virafoscs</w:t>
      </w:r>
      <w:proofErr w:type="spellEnd"/>
      <w:r w:rsidRPr="002126A3">
        <w:rPr>
          <w:sz w:val="24"/>
          <w:szCs w:val="24"/>
        </w:rPr>
        <w:t xml:space="preserve"> sikkerhed og dets virkning på skeletudvikling er ikke blevet undersøgt hos børn. Se pkt. 5.3.</w:t>
      </w:r>
    </w:p>
    <w:p w14:paraId="2FDCA917" w14:textId="77777777" w:rsidR="0031683A" w:rsidRPr="002126A3" w:rsidRDefault="0031683A" w:rsidP="007758B3">
      <w:pPr>
        <w:ind w:left="851"/>
        <w:rPr>
          <w:sz w:val="24"/>
          <w:szCs w:val="24"/>
        </w:rPr>
      </w:pPr>
    </w:p>
    <w:p w14:paraId="3F4F9AF1" w14:textId="77777777" w:rsidR="0031683A" w:rsidRPr="002126A3" w:rsidRDefault="0031683A" w:rsidP="007758B3">
      <w:pPr>
        <w:ind w:left="851"/>
        <w:rPr>
          <w:sz w:val="24"/>
          <w:szCs w:val="24"/>
        </w:rPr>
      </w:pPr>
      <w:r w:rsidRPr="002126A3">
        <w:rPr>
          <w:sz w:val="24"/>
          <w:szCs w:val="24"/>
        </w:rPr>
        <w:t xml:space="preserve">Krampeanfald, relateret til ændringer i plasmamineraler og elektrolytter, er blevet forbundet med </w:t>
      </w:r>
      <w:proofErr w:type="spellStart"/>
      <w:r w:rsidRPr="002126A3">
        <w:rPr>
          <w:sz w:val="24"/>
          <w:szCs w:val="24"/>
        </w:rPr>
        <w:t>Virafosc</w:t>
      </w:r>
      <w:proofErr w:type="spellEnd"/>
      <w:r w:rsidRPr="002126A3">
        <w:rPr>
          <w:sz w:val="24"/>
          <w:szCs w:val="24"/>
        </w:rPr>
        <w:t xml:space="preserve">-behandling. Der er indberettet tilfælde af status </w:t>
      </w:r>
      <w:proofErr w:type="spellStart"/>
      <w:r w:rsidRPr="002126A3">
        <w:rPr>
          <w:sz w:val="24"/>
          <w:szCs w:val="24"/>
        </w:rPr>
        <w:t>epilepticus</w:t>
      </w:r>
      <w:proofErr w:type="spellEnd"/>
      <w:r w:rsidRPr="002126A3">
        <w:rPr>
          <w:sz w:val="24"/>
          <w:szCs w:val="24"/>
        </w:rPr>
        <w:t xml:space="preserve">. Patienter skal derfor overvåges nøje for sådanne ændringer og deres potentielle </w:t>
      </w:r>
      <w:proofErr w:type="spellStart"/>
      <w:r w:rsidRPr="002126A3">
        <w:rPr>
          <w:sz w:val="24"/>
          <w:szCs w:val="24"/>
        </w:rPr>
        <w:t>sequelae</w:t>
      </w:r>
      <w:proofErr w:type="spellEnd"/>
      <w:r w:rsidRPr="002126A3">
        <w:rPr>
          <w:sz w:val="24"/>
          <w:szCs w:val="24"/>
        </w:rPr>
        <w:t>. Mineral- og elektrolyttilskud kan være påkrævet.</w:t>
      </w:r>
    </w:p>
    <w:p w14:paraId="6BF7E33E" w14:textId="77777777" w:rsidR="0031683A" w:rsidRPr="002126A3" w:rsidRDefault="0031683A" w:rsidP="007758B3">
      <w:pPr>
        <w:ind w:left="851"/>
        <w:rPr>
          <w:sz w:val="24"/>
          <w:szCs w:val="24"/>
        </w:rPr>
      </w:pPr>
      <w:proofErr w:type="spellStart"/>
      <w:r w:rsidRPr="002126A3">
        <w:rPr>
          <w:sz w:val="24"/>
          <w:szCs w:val="24"/>
        </w:rPr>
        <w:t>Virafosc</w:t>
      </w:r>
      <w:proofErr w:type="spellEnd"/>
      <w:r w:rsidRPr="002126A3">
        <w:rPr>
          <w:sz w:val="24"/>
          <w:szCs w:val="24"/>
        </w:rPr>
        <w:t xml:space="preserve"> udskilles i høje koncentrationer i urinen og kan være forbundet med betydelig genital irritation og/eller </w:t>
      </w:r>
      <w:proofErr w:type="spellStart"/>
      <w:r w:rsidRPr="002126A3">
        <w:rPr>
          <w:sz w:val="24"/>
          <w:szCs w:val="24"/>
        </w:rPr>
        <w:t>ulceration</w:t>
      </w:r>
      <w:proofErr w:type="spellEnd"/>
      <w:r w:rsidRPr="002126A3">
        <w:rPr>
          <w:sz w:val="24"/>
          <w:szCs w:val="24"/>
        </w:rPr>
        <w:t xml:space="preserve">. For at forhindre irritation og </w:t>
      </w:r>
      <w:proofErr w:type="spellStart"/>
      <w:r w:rsidRPr="002126A3">
        <w:rPr>
          <w:sz w:val="24"/>
          <w:szCs w:val="24"/>
        </w:rPr>
        <w:t>ulceration</w:t>
      </w:r>
      <w:proofErr w:type="spellEnd"/>
      <w:r w:rsidRPr="002126A3">
        <w:rPr>
          <w:sz w:val="24"/>
          <w:szCs w:val="24"/>
        </w:rPr>
        <w:t xml:space="preserve"> anbefales det at være opmærksom på personlig hygiejne og det anbefales at rengøre kønsområdet</w:t>
      </w:r>
      <w:r w:rsidRPr="002126A3">
        <w:rPr>
          <w:i/>
          <w:sz w:val="24"/>
          <w:szCs w:val="24"/>
        </w:rPr>
        <w:t xml:space="preserve"> </w:t>
      </w:r>
      <w:r w:rsidRPr="002126A3">
        <w:rPr>
          <w:sz w:val="24"/>
          <w:szCs w:val="24"/>
        </w:rPr>
        <w:t>efter hver vandladning.</w:t>
      </w:r>
    </w:p>
    <w:p w14:paraId="1FD5BD9B" w14:textId="77777777" w:rsidR="0031683A" w:rsidRPr="002126A3" w:rsidRDefault="0031683A" w:rsidP="007758B3">
      <w:pPr>
        <w:ind w:left="851"/>
        <w:rPr>
          <w:sz w:val="24"/>
          <w:szCs w:val="24"/>
        </w:rPr>
      </w:pPr>
    </w:p>
    <w:p w14:paraId="65D7B55A" w14:textId="77777777" w:rsidR="0031683A" w:rsidRPr="002126A3" w:rsidRDefault="0031683A" w:rsidP="007758B3">
      <w:pPr>
        <w:ind w:left="851"/>
        <w:rPr>
          <w:sz w:val="24"/>
          <w:szCs w:val="24"/>
        </w:rPr>
      </w:pPr>
      <w:r w:rsidRPr="002126A3">
        <w:rPr>
          <w:sz w:val="24"/>
          <w:szCs w:val="24"/>
        </w:rPr>
        <w:t xml:space="preserve">Hvis patienter oplever </w:t>
      </w:r>
      <w:proofErr w:type="spellStart"/>
      <w:r w:rsidRPr="002126A3">
        <w:rPr>
          <w:sz w:val="24"/>
          <w:szCs w:val="24"/>
        </w:rPr>
        <w:t>ekstremitetsparæstesi</w:t>
      </w:r>
      <w:proofErr w:type="spellEnd"/>
      <w:r w:rsidRPr="002126A3">
        <w:rPr>
          <w:sz w:val="24"/>
          <w:szCs w:val="24"/>
        </w:rPr>
        <w:t xml:space="preserve"> eller kvalme, anbefales det at reducere infusionshastigheden.</w:t>
      </w:r>
    </w:p>
    <w:p w14:paraId="1F5539EE" w14:textId="77777777" w:rsidR="0031683A" w:rsidRPr="002126A3" w:rsidRDefault="0031683A" w:rsidP="007758B3">
      <w:pPr>
        <w:ind w:left="851"/>
        <w:rPr>
          <w:sz w:val="24"/>
          <w:szCs w:val="24"/>
        </w:rPr>
      </w:pPr>
    </w:p>
    <w:p w14:paraId="239C1915" w14:textId="77777777" w:rsidR="0031683A" w:rsidRPr="002126A3" w:rsidRDefault="0031683A" w:rsidP="007758B3">
      <w:pPr>
        <w:ind w:left="851"/>
        <w:rPr>
          <w:sz w:val="24"/>
          <w:szCs w:val="24"/>
        </w:rPr>
      </w:pPr>
      <w:r w:rsidRPr="002126A3">
        <w:rPr>
          <w:sz w:val="24"/>
          <w:szCs w:val="24"/>
        </w:rPr>
        <w:t xml:space="preserve">Når </w:t>
      </w:r>
      <w:proofErr w:type="spellStart"/>
      <w:r w:rsidRPr="002126A3">
        <w:rPr>
          <w:sz w:val="24"/>
          <w:szCs w:val="24"/>
        </w:rPr>
        <w:t>diuretika</w:t>
      </w:r>
      <w:proofErr w:type="spellEnd"/>
      <w:r w:rsidRPr="002126A3">
        <w:rPr>
          <w:sz w:val="24"/>
          <w:szCs w:val="24"/>
        </w:rPr>
        <w:t xml:space="preserve"> er indiceret, anbefales </w:t>
      </w:r>
      <w:proofErr w:type="spellStart"/>
      <w:r w:rsidRPr="002126A3">
        <w:rPr>
          <w:sz w:val="24"/>
          <w:szCs w:val="24"/>
        </w:rPr>
        <w:t>thiazider</w:t>
      </w:r>
      <w:proofErr w:type="spellEnd"/>
      <w:r w:rsidRPr="002126A3">
        <w:rPr>
          <w:sz w:val="24"/>
          <w:szCs w:val="24"/>
        </w:rPr>
        <w:t>.</w:t>
      </w:r>
    </w:p>
    <w:p w14:paraId="367B0841" w14:textId="77777777" w:rsidR="0031683A" w:rsidRPr="002126A3" w:rsidRDefault="0031683A" w:rsidP="007758B3">
      <w:pPr>
        <w:ind w:left="851"/>
        <w:rPr>
          <w:sz w:val="24"/>
          <w:szCs w:val="24"/>
        </w:rPr>
      </w:pPr>
    </w:p>
    <w:p w14:paraId="28F88659" w14:textId="77777777" w:rsidR="0031683A" w:rsidRPr="002126A3" w:rsidRDefault="0031683A" w:rsidP="007758B3">
      <w:pPr>
        <w:ind w:left="851"/>
        <w:rPr>
          <w:sz w:val="24"/>
          <w:szCs w:val="24"/>
        </w:rPr>
      </w:pPr>
      <w:r w:rsidRPr="002126A3">
        <w:rPr>
          <w:sz w:val="24"/>
          <w:szCs w:val="24"/>
        </w:rPr>
        <w:t xml:space="preserve">Udvikling af resistens: Hvis administrationen af </w:t>
      </w:r>
      <w:proofErr w:type="spellStart"/>
      <w:r w:rsidRPr="002126A3">
        <w:rPr>
          <w:sz w:val="24"/>
          <w:szCs w:val="24"/>
        </w:rPr>
        <w:t>Virafosc</w:t>
      </w:r>
      <w:proofErr w:type="spellEnd"/>
      <w:r w:rsidRPr="002126A3">
        <w:rPr>
          <w:sz w:val="24"/>
          <w:szCs w:val="24"/>
        </w:rPr>
        <w:t xml:space="preserve"> ikke medfører et terapeutisk respons eller fører til en forværret tilstand efter et indledende respons, kan dette skyldes en reduceret følsomhed af vira over for </w:t>
      </w:r>
      <w:proofErr w:type="spellStart"/>
      <w:r w:rsidRPr="002126A3">
        <w:rPr>
          <w:sz w:val="24"/>
          <w:szCs w:val="24"/>
        </w:rPr>
        <w:t>foscarnet</w:t>
      </w:r>
      <w:proofErr w:type="spellEnd"/>
      <w:r w:rsidRPr="002126A3">
        <w:rPr>
          <w:sz w:val="24"/>
          <w:szCs w:val="24"/>
        </w:rPr>
        <w:t xml:space="preserve">. I så tilfælde bør </w:t>
      </w:r>
      <w:proofErr w:type="spellStart"/>
      <w:r w:rsidRPr="002126A3">
        <w:rPr>
          <w:sz w:val="24"/>
          <w:szCs w:val="24"/>
        </w:rPr>
        <w:t>Virafosc</w:t>
      </w:r>
      <w:proofErr w:type="spellEnd"/>
      <w:r w:rsidRPr="002126A3">
        <w:rPr>
          <w:sz w:val="24"/>
          <w:szCs w:val="24"/>
        </w:rPr>
        <w:t>-behandling seponeres og det bør overvejes at skifte til et passende andet lægemiddel.</w:t>
      </w:r>
    </w:p>
    <w:p w14:paraId="6146CAEA" w14:textId="77777777" w:rsidR="0031683A" w:rsidRPr="002126A3" w:rsidRDefault="0031683A" w:rsidP="007758B3">
      <w:pPr>
        <w:ind w:left="851"/>
        <w:rPr>
          <w:sz w:val="24"/>
          <w:szCs w:val="24"/>
        </w:rPr>
      </w:pPr>
    </w:p>
    <w:p w14:paraId="73E350E4" w14:textId="77777777" w:rsidR="0031683A" w:rsidRPr="002126A3" w:rsidRDefault="0031683A" w:rsidP="007758B3">
      <w:pPr>
        <w:ind w:left="851"/>
        <w:rPr>
          <w:sz w:val="24"/>
          <w:szCs w:val="24"/>
        </w:rPr>
      </w:pPr>
      <w:r w:rsidRPr="002126A3">
        <w:rPr>
          <w:sz w:val="24"/>
          <w:szCs w:val="24"/>
        </w:rPr>
        <w:t xml:space="preserve">Når </w:t>
      </w:r>
      <w:proofErr w:type="spellStart"/>
      <w:r w:rsidRPr="002126A3">
        <w:rPr>
          <w:sz w:val="24"/>
          <w:szCs w:val="24"/>
        </w:rPr>
        <w:t>Virafosc</w:t>
      </w:r>
      <w:proofErr w:type="spellEnd"/>
      <w:r w:rsidRPr="002126A3">
        <w:rPr>
          <w:sz w:val="24"/>
          <w:szCs w:val="24"/>
        </w:rPr>
        <w:t xml:space="preserve"> administreres mod CMV-</w:t>
      </w:r>
      <w:proofErr w:type="spellStart"/>
      <w:r w:rsidRPr="002126A3">
        <w:rPr>
          <w:sz w:val="24"/>
          <w:szCs w:val="24"/>
        </w:rPr>
        <w:t>viræmi</w:t>
      </w:r>
      <w:proofErr w:type="spellEnd"/>
      <w:r w:rsidRPr="002126A3">
        <w:rPr>
          <w:sz w:val="24"/>
          <w:szCs w:val="24"/>
        </w:rPr>
        <w:t>, skal der observeres omhyggeligt for organspecifik infektion. Hvis der opstår symptomer på infektion, justeres administrationsdosis hurtigt i overensstemmelse med CMV-sygdom (se pkt. 4.2) og der træffes passende foranstaltninger.</w:t>
      </w:r>
    </w:p>
    <w:p w14:paraId="2FA77DAA" w14:textId="77777777" w:rsidR="009260DE" w:rsidRPr="002126A3" w:rsidRDefault="009260DE" w:rsidP="009260DE">
      <w:pPr>
        <w:tabs>
          <w:tab w:val="left" w:pos="851"/>
        </w:tabs>
        <w:ind w:left="851"/>
        <w:rPr>
          <w:sz w:val="24"/>
          <w:szCs w:val="24"/>
        </w:rPr>
      </w:pPr>
    </w:p>
    <w:p w14:paraId="478CAAFD" w14:textId="77777777" w:rsidR="009260DE" w:rsidRPr="002126A3" w:rsidRDefault="009260DE" w:rsidP="009260DE">
      <w:pPr>
        <w:tabs>
          <w:tab w:val="left" w:pos="851"/>
        </w:tabs>
        <w:ind w:left="851" w:hanging="851"/>
        <w:rPr>
          <w:b/>
          <w:sz w:val="24"/>
          <w:szCs w:val="24"/>
        </w:rPr>
      </w:pPr>
      <w:r w:rsidRPr="002126A3">
        <w:rPr>
          <w:b/>
          <w:sz w:val="24"/>
          <w:szCs w:val="24"/>
        </w:rPr>
        <w:t>4.5</w:t>
      </w:r>
      <w:r w:rsidRPr="002126A3">
        <w:rPr>
          <w:b/>
          <w:sz w:val="24"/>
          <w:szCs w:val="24"/>
        </w:rPr>
        <w:tab/>
        <w:t>Interaktion med andre lægemidler og andre former for interaktion</w:t>
      </w:r>
    </w:p>
    <w:p w14:paraId="32448E4E" w14:textId="77777777" w:rsidR="0031683A" w:rsidRPr="002126A3" w:rsidRDefault="0031683A" w:rsidP="007758B3">
      <w:pPr>
        <w:ind w:left="851"/>
        <w:rPr>
          <w:sz w:val="24"/>
          <w:szCs w:val="24"/>
        </w:rPr>
      </w:pPr>
      <w:r w:rsidRPr="002126A3">
        <w:rPr>
          <w:sz w:val="24"/>
          <w:szCs w:val="24"/>
        </w:rPr>
        <w:t xml:space="preserve">Da </w:t>
      </w:r>
      <w:proofErr w:type="spellStart"/>
      <w:r w:rsidRPr="002126A3">
        <w:rPr>
          <w:sz w:val="24"/>
          <w:szCs w:val="24"/>
        </w:rPr>
        <w:t>Virafosc</w:t>
      </w:r>
      <w:proofErr w:type="spellEnd"/>
      <w:r w:rsidRPr="002126A3">
        <w:rPr>
          <w:sz w:val="24"/>
          <w:szCs w:val="24"/>
        </w:rPr>
        <w:t xml:space="preserve"> kan påvirke nyrefunktionen, kan der forekomme additiv toksicitet, når det bruges i kombination med andre </w:t>
      </w:r>
      <w:proofErr w:type="spellStart"/>
      <w:r w:rsidRPr="002126A3">
        <w:rPr>
          <w:sz w:val="24"/>
          <w:szCs w:val="24"/>
        </w:rPr>
        <w:t>nefrotoksiske</w:t>
      </w:r>
      <w:proofErr w:type="spellEnd"/>
      <w:r w:rsidRPr="002126A3">
        <w:rPr>
          <w:sz w:val="24"/>
          <w:szCs w:val="24"/>
        </w:rPr>
        <w:t xml:space="preserve"> lægemidler såsom aminoglykosider, </w:t>
      </w:r>
      <w:proofErr w:type="spellStart"/>
      <w:r w:rsidRPr="002126A3">
        <w:rPr>
          <w:sz w:val="24"/>
          <w:szCs w:val="24"/>
        </w:rPr>
        <w:t>amphotericin</w:t>
      </w:r>
      <w:proofErr w:type="spellEnd"/>
      <w:r w:rsidRPr="002126A3">
        <w:rPr>
          <w:sz w:val="24"/>
          <w:szCs w:val="24"/>
        </w:rPr>
        <w:t xml:space="preserve"> B, </w:t>
      </w:r>
      <w:proofErr w:type="spellStart"/>
      <w:r w:rsidRPr="002126A3">
        <w:rPr>
          <w:sz w:val="24"/>
          <w:szCs w:val="24"/>
        </w:rPr>
        <w:t>ciclosporin</w:t>
      </w:r>
      <w:proofErr w:type="spellEnd"/>
      <w:r w:rsidRPr="002126A3">
        <w:rPr>
          <w:sz w:val="24"/>
          <w:szCs w:val="24"/>
        </w:rPr>
        <w:t xml:space="preserve"> A, </w:t>
      </w:r>
      <w:proofErr w:type="spellStart"/>
      <w:r w:rsidRPr="002126A3">
        <w:rPr>
          <w:sz w:val="24"/>
          <w:szCs w:val="24"/>
        </w:rPr>
        <w:t>aciclovir</w:t>
      </w:r>
      <w:proofErr w:type="spellEnd"/>
      <w:r w:rsidRPr="002126A3">
        <w:rPr>
          <w:sz w:val="24"/>
          <w:szCs w:val="24"/>
        </w:rPr>
        <w:t xml:space="preserve">, </w:t>
      </w:r>
      <w:proofErr w:type="spellStart"/>
      <w:r w:rsidRPr="002126A3">
        <w:rPr>
          <w:sz w:val="24"/>
          <w:szCs w:val="24"/>
        </w:rPr>
        <w:t>methotrexat</w:t>
      </w:r>
      <w:proofErr w:type="spellEnd"/>
      <w:r w:rsidRPr="002126A3">
        <w:rPr>
          <w:sz w:val="24"/>
          <w:szCs w:val="24"/>
        </w:rPr>
        <w:t xml:space="preserve"> og </w:t>
      </w:r>
      <w:proofErr w:type="spellStart"/>
      <w:r w:rsidRPr="002126A3">
        <w:rPr>
          <w:sz w:val="24"/>
          <w:szCs w:val="24"/>
        </w:rPr>
        <w:t>tacrolimus</w:t>
      </w:r>
      <w:proofErr w:type="spellEnd"/>
      <w:r w:rsidRPr="002126A3">
        <w:rPr>
          <w:sz w:val="24"/>
          <w:szCs w:val="24"/>
        </w:rPr>
        <w:t xml:space="preserve">. Da </w:t>
      </w:r>
      <w:proofErr w:type="spellStart"/>
      <w:r w:rsidRPr="002126A3">
        <w:rPr>
          <w:sz w:val="24"/>
          <w:szCs w:val="24"/>
        </w:rPr>
        <w:t>Virafosc</w:t>
      </w:r>
      <w:proofErr w:type="spellEnd"/>
      <w:r w:rsidRPr="002126A3">
        <w:rPr>
          <w:sz w:val="24"/>
          <w:szCs w:val="24"/>
        </w:rPr>
        <w:t xml:space="preserve"> desuden kan reducere serumniveauer af ioniseret calcium, tilrådes ekstrem forsigtighed, når det bruges samtidig med andre lægemidler, der vides at påvirke serumcalciumniveauer, såsom intravenøs </w:t>
      </w:r>
      <w:proofErr w:type="spellStart"/>
      <w:r w:rsidRPr="002126A3">
        <w:rPr>
          <w:sz w:val="24"/>
          <w:szCs w:val="24"/>
        </w:rPr>
        <w:t>pentamidin</w:t>
      </w:r>
      <w:proofErr w:type="spellEnd"/>
      <w:r w:rsidRPr="002126A3">
        <w:rPr>
          <w:sz w:val="24"/>
          <w:szCs w:val="24"/>
        </w:rPr>
        <w:t xml:space="preserve">. Der er observeret nedsat nyrefunktion og symptomatisk </w:t>
      </w:r>
      <w:proofErr w:type="spellStart"/>
      <w:r w:rsidRPr="002126A3">
        <w:rPr>
          <w:sz w:val="24"/>
          <w:szCs w:val="24"/>
        </w:rPr>
        <w:t>hypocalcæmi</w:t>
      </w:r>
      <w:proofErr w:type="spellEnd"/>
      <w:r w:rsidRPr="002126A3">
        <w:rPr>
          <w:sz w:val="24"/>
          <w:szCs w:val="24"/>
        </w:rPr>
        <w:t xml:space="preserve"> (</w:t>
      </w:r>
      <w:proofErr w:type="spellStart"/>
      <w:r w:rsidRPr="002126A3">
        <w:rPr>
          <w:sz w:val="24"/>
          <w:szCs w:val="24"/>
        </w:rPr>
        <w:t>Trousseau</w:t>
      </w:r>
      <w:proofErr w:type="spellEnd"/>
      <w:r w:rsidRPr="002126A3">
        <w:rPr>
          <w:sz w:val="24"/>
          <w:szCs w:val="24"/>
        </w:rPr>
        <w:t xml:space="preserve">- og </w:t>
      </w:r>
      <w:proofErr w:type="spellStart"/>
      <w:r w:rsidRPr="002126A3">
        <w:rPr>
          <w:sz w:val="24"/>
          <w:szCs w:val="24"/>
        </w:rPr>
        <w:t>Chvostek</w:t>
      </w:r>
      <w:proofErr w:type="spellEnd"/>
      <w:r w:rsidRPr="002126A3">
        <w:rPr>
          <w:sz w:val="24"/>
          <w:szCs w:val="24"/>
        </w:rPr>
        <w:t xml:space="preserve">-tegn) under samtidig behandling med </w:t>
      </w:r>
      <w:proofErr w:type="spellStart"/>
      <w:r w:rsidRPr="002126A3">
        <w:rPr>
          <w:sz w:val="24"/>
          <w:szCs w:val="24"/>
        </w:rPr>
        <w:t>Virafosc</w:t>
      </w:r>
      <w:proofErr w:type="spellEnd"/>
      <w:r w:rsidRPr="002126A3">
        <w:rPr>
          <w:sz w:val="24"/>
          <w:szCs w:val="24"/>
        </w:rPr>
        <w:t xml:space="preserve"> og intravenøs </w:t>
      </w:r>
      <w:proofErr w:type="spellStart"/>
      <w:r w:rsidRPr="002126A3">
        <w:rPr>
          <w:sz w:val="24"/>
          <w:szCs w:val="24"/>
        </w:rPr>
        <w:t>pentamidin</w:t>
      </w:r>
      <w:proofErr w:type="spellEnd"/>
      <w:r w:rsidRPr="002126A3">
        <w:rPr>
          <w:sz w:val="24"/>
          <w:szCs w:val="24"/>
        </w:rPr>
        <w:t xml:space="preserve">. </w:t>
      </w:r>
    </w:p>
    <w:p w14:paraId="0B140DD2" w14:textId="77777777" w:rsidR="0031683A" w:rsidRPr="002126A3" w:rsidRDefault="0031683A" w:rsidP="007758B3">
      <w:pPr>
        <w:ind w:left="851"/>
        <w:rPr>
          <w:sz w:val="24"/>
          <w:szCs w:val="24"/>
        </w:rPr>
      </w:pPr>
      <w:r w:rsidRPr="002126A3">
        <w:rPr>
          <w:sz w:val="24"/>
          <w:szCs w:val="24"/>
        </w:rPr>
        <w:t xml:space="preserve"> </w:t>
      </w:r>
    </w:p>
    <w:p w14:paraId="1B62EFB5" w14:textId="77777777" w:rsidR="0031683A" w:rsidRPr="002126A3" w:rsidRDefault="0031683A" w:rsidP="007758B3">
      <w:pPr>
        <w:ind w:left="851"/>
        <w:rPr>
          <w:i/>
          <w:sz w:val="24"/>
          <w:szCs w:val="24"/>
        </w:rPr>
      </w:pPr>
      <w:r w:rsidRPr="002126A3">
        <w:rPr>
          <w:sz w:val="24"/>
          <w:szCs w:val="24"/>
        </w:rPr>
        <w:t xml:space="preserve">Der er indberettet unormal nyrefunktion i forbindelse med brug af </w:t>
      </w:r>
      <w:proofErr w:type="spellStart"/>
      <w:r w:rsidRPr="002126A3">
        <w:rPr>
          <w:sz w:val="24"/>
          <w:szCs w:val="24"/>
        </w:rPr>
        <w:t>Virafosc</w:t>
      </w:r>
      <w:proofErr w:type="spellEnd"/>
      <w:r w:rsidRPr="002126A3">
        <w:rPr>
          <w:sz w:val="24"/>
          <w:szCs w:val="24"/>
        </w:rPr>
        <w:t xml:space="preserve"> i kombination med </w:t>
      </w:r>
      <w:proofErr w:type="spellStart"/>
      <w:r w:rsidRPr="002126A3">
        <w:rPr>
          <w:sz w:val="24"/>
          <w:szCs w:val="24"/>
        </w:rPr>
        <w:t>ritonavir</w:t>
      </w:r>
      <w:proofErr w:type="spellEnd"/>
      <w:r w:rsidRPr="002126A3">
        <w:rPr>
          <w:sz w:val="24"/>
          <w:szCs w:val="24"/>
        </w:rPr>
        <w:t xml:space="preserve"> og/eller </w:t>
      </w:r>
      <w:proofErr w:type="spellStart"/>
      <w:r w:rsidRPr="002126A3">
        <w:rPr>
          <w:sz w:val="24"/>
          <w:szCs w:val="24"/>
        </w:rPr>
        <w:t>saquinavir</w:t>
      </w:r>
      <w:proofErr w:type="spellEnd"/>
      <w:r w:rsidRPr="002126A3">
        <w:rPr>
          <w:sz w:val="24"/>
          <w:szCs w:val="24"/>
        </w:rPr>
        <w:t>.</w:t>
      </w:r>
    </w:p>
    <w:p w14:paraId="3D92B1FE" w14:textId="77777777" w:rsidR="0031683A" w:rsidRPr="002126A3" w:rsidRDefault="0031683A" w:rsidP="007758B3">
      <w:pPr>
        <w:ind w:left="851"/>
        <w:rPr>
          <w:sz w:val="24"/>
          <w:szCs w:val="24"/>
        </w:rPr>
      </w:pPr>
    </w:p>
    <w:p w14:paraId="3FC342CD" w14:textId="77777777" w:rsidR="0031683A" w:rsidRPr="002126A3" w:rsidRDefault="0031683A" w:rsidP="007758B3">
      <w:pPr>
        <w:ind w:left="851"/>
        <w:rPr>
          <w:rFonts w:eastAsiaTheme="minorHAnsi"/>
          <w:sz w:val="24"/>
          <w:szCs w:val="24"/>
        </w:rPr>
      </w:pPr>
      <w:r w:rsidRPr="002126A3">
        <w:rPr>
          <w:sz w:val="24"/>
          <w:szCs w:val="24"/>
        </w:rPr>
        <w:t xml:space="preserve">På grund af den potentielle øgede risiko for forlængelse af QT-intervallet og </w:t>
      </w:r>
      <w:proofErr w:type="spellStart"/>
      <w:r w:rsidRPr="002126A3">
        <w:rPr>
          <w:sz w:val="24"/>
          <w:szCs w:val="24"/>
        </w:rPr>
        <w:t>torsade</w:t>
      </w:r>
      <w:proofErr w:type="spellEnd"/>
      <w:r w:rsidRPr="002126A3">
        <w:rPr>
          <w:sz w:val="24"/>
          <w:szCs w:val="24"/>
        </w:rPr>
        <w:t xml:space="preserve"> de pointes, skal </w:t>
      </w:r>
      <w:proofErr w:type="spellStart"/>
      <w:r w:rsidRPr="002126A3">
        <w:rPr>
          <w:sz w:val="24"/>
          <w:szCs w:val="24"/>
        </w:rPr>
        <w:t>Virafosc</w:t>
      </w:r>
      <w:proofErr w:type="spellEnd"/>
      <w:r w:rsidRPr="002126A3">
        <w:rPr>
          <w:sz w:val="24"/>
          <w:szCs w:val="24"/>
        </w:rPr>
        <w:t xml:space="preserve"> anvendes med forsigtighed med lægemidler, der vides at forlænge QT-intervallet, især klasse IA (fx </w:t>
      </w:r>
      <w:proofErr w:type="spellStart"/>
      <w:r w:rsidRPr="002126A3">
        <w:rPr>
          <w:sz w:val="24"/>
          <w:szCs w:val="24"/>
        </w:rPr>
        <w:t>quinidin</w:t>
      </w:r>
      <w:proofErr w:type="spellEnd"/>
      <w:r w:rsidRPr="002126A3">
        <w:rPr>
          <w:sz w:val="24"/>
          <w:szCs w:val="24"/>
        </w:rPr>
        <w:t xml:space="preserve">) og III (fx </w:t>
      </w:r>
      <w:proofErr w:type="spellStart"/>
      <w:r w:rsidRPr="002126A3">
        <w:rPr>
          <w:sz w:val="24"/>
          <w:szCs w:val="24"/>
        </w:rPr>
        <w:t>amiodaron</w:t>
      </w:r>
      <w:proofErr w:type="spellEnd"/>
      <w:r w:rsidRPr="002126A3">
        <w:rPr>
          <w:sz w:val="24"/>
          <w:szCs w:val="24"/>
        </w:rPr>
        <w:t xml:space="preserve">, </w:t>
      </w:r>
      <w:proofErr w:type="spellStart"/>
      <w:r w:rsidRPr="002126A3">
        <w:rPr>
          <w:sz w:val="24"/>
          <w:szCs w:val="24"/>
        </w:rPr>
        <w:t>sotalol</w:t>
      </w:r>
      <w:proofErr w:type="spellEnd"/>
      <w:r w:rsidRPr="002126A3">
        <w:rPr>
          <w:sz w:val="24"/>
          <w:szCs w:val="24"/>
        </w:rPr>
        <w:t xml:space="preserve">), </w:t>
      </w:r>
      <w:proofErr w:type="spellStart"/>
      <w:r w:rsidRPr="002126A3">
        <w:rPr>
          <w:sz w:val="24"/>
          <w:szCs w:val="24"/>
        </w:rPr>
        <w:t>antiarytmika</w:t>
      </w:r>
      <w:proofErr w:type="spellEnd"/>
      <w:r w:rsidRPr="002126A3">
        <w:rPr>
          <w:sz w:val="24"/>
          <w:szCs w:val="24"/>
        </w:rPr>
        <w:t xml:space="preserve"> eller </w:t>
      </w:r>
      <w:proofErr w:type="spellStart"/>
      <w:r w:rsidRPr="002126A3">
        <w:rPr>
          <w:sz w:val="24"/>
          <w:szCs w:val="24"/>
        </w:rPr>
        <w:t>neuroleptika</w:t>
      </w:r>
      <w:proofErr w:type="spellEnd"/>
      <w:r w:rsidRPr="002126A3">
        <w:rPr>
          <w:sz w:val="24"/>
          <w:szCs w:val="24"/>
        </w:rPr>
        <w:t>. Der skal udføres tæt hjertemonitorering i tilfælde af samtidig administration.</w:t>
      </w:r>
    </w:p>
    <w:p w14:paraId="40E69108" w14:textId="77777777" w:rsidR="0031683A" w:rsidRPr="002126A3" w:rsidRDefault="0031683A" w:rsidP="007758B3">
      <w:pPr>
        <w:ind w:left="851"/>
        <w:rPr>
          <w:rFonts w:eastAsiaTheme="minorHAnsi"/>
          <w:sz w:val="24"/>
          <w:szCs w:val="24"/>
        </w:rPr>
      </w:pPr>
    </w:p>
    <w:p w14:paraId="6856C296" w14:textId="77777777" w:rsidR="0031683A" w:rsidRPr="002126A3" w:rsidRDefault="0031683A" w:rsidP="007758B3">
      <w:pPr>
        <w:ind w:left="851"/>
        <w:rPr>
          <w:sz w:val="24"/>
          <w:szCs w:val="24"/>
        </w:rPr>
      </w:pPr>
      <w:r w:rsidRPr="002126A3">
        <w:rPr>
          <w:sz w:val="24"/>
          <w:szCs w:val="24"/>
        </w:rPr>
        <w:t xml:space="preserve">Der er ingen </w:t>
      </w:r>
      <w:proofErr w:type="spellStart"/>
      <w:r w:rsidRPr="002126A3">
        <w:rPr>
          <w:sz w:val="24"/>
          <w:szCs w:val="24"/>
        </w:rPr>
        <w:t>farmakokinetisk</w:t>
      </w:r>
      <w:proofErr w:type="spellEnd"/>
      <w:r w:rsidRPr="002126A3">
        <w:rPr>
          <w:sz w:val="24"/>
          <w:szCs w:val="24"/>
        </w:rPr>
        <w:t xml:space="preserve"> interaktion med </w:t>
      </w:r>
      <w:proofErr w:type="spellStart"/>
      <w:r w:rsidRPr="002126A3">
        <w:rPr>
          <w:sz w:val="24"/>
          <w:szCs w:val="24"/>
        </w:rPr>
        <w:t>zidovudin</w:t>
      </w:r>
      <w:proofErr w:type="spellEnd"/>
      <w:r w:rsidRPr="002126A3">
        <w:rPr>
          <w:sz w:val="24"/>
          <w:szCs w:val="24"/>
        </w:rPr>
        <w:t xml:space="preserve"> (AZT), </w:t>
      </w:r>
      <w:proofErr w:type="spellStart"/>
      <w:r w:rsidRPr="002126A3">
        <w:rPr>
          <w:sz w:val="24"/>
          <w:szCs w:val="24"/>
        </w:rPr>
        <w:t>ganciclovir</w:t>
      </w:r>
      <w:proofErr w:type="spellEnd"/>
      <w:r w:rsidRPr="002126A3">
        <w:rPr>
          <w:sz w:val="24"/>
          <w:szCs w:val="24"/>
        </w:rPr>
        <w:t xml:space="preserve">, </w:t>
      </w:r>
      <w:proofErr w:type="spellStart"/>
      <w:r w:rsidRPr="002126A3">
        <w:rPr>
          <w:sz w:val="24"/>
          <w:szCs w:val="24"/>
        </w:rPr>
        <w:t>didanosin</w:t>
      </w:r>
      <w:proofErr w:type="spellEnd"/>
      <w:r w:rsidRPr="002126A3">
        <w:rPr>
          <w:sz w:val="24"/>
          <w:szCs w:val="24"/>
        </w:rPr>
        <w:t xml:space="preserve"> (</w:t>
      </w:r>
      <w:proofErr w:type="spellStart"/>
      <w:r w:rsidRPr="002126A3">
        <w:rPr>
          <w:sz w:val="24"/>
          <w:szCs w:val="24"/>
        </w:rPr>
        <w:t>ddI</w:t>
      </w:r>
      <w:proofErr w:type="spellEnd"/>
      <w:r w:rsidRPr="002126A3">
        <w:rPr>
          <w:sz w:val="24"/>
          <w:szCs w:val="24"/>
        </w:rPr>
        <w:t xml:space="preserve">), </w:t>
      </w:r>
      <w:proofErr w:type="spellStart"/>
      <w:r w:rsidRPr="002126A3">
        <w:rPr>
          <w:sz w:val="24"/>
          <w:szCs w:val="24"/>
        </w:rPr>
        <w:t>zalcitabin</w:t>
      </w:r>
      <w:proofErr w:type="spellEnd"/>
      <w:r w:rsidRPr="002126A3">
        <w:rPr>
          <w:sz w:val="24"/>
          <w:szCs w:val="24"/>
        </w:rPr>
        <w:t xml:space="preserve"> (</w:t>
      </w:r>
      <w:proofErr w:type="spellStart"/>
      <w:r w:rsidRPr="002126A3">
        <w:rPr>
          <w:sz w:val="24"/>
          <w:szCs w:val="24"/>
        </w:rPr>
        <w:t>ddC</w:t>
      </w:r>
      <w:proofErr w:type="spellEnd"/>
      <w:r w:rsidRPr="002126A3">
        <w:rPr>
          <w:sz w:val="24"/>
          <w:szCs w:val="24"/>
        </w:rPr>
        <w:t xml:space="preserve">) eller </w:t>
      </w:r>
      <w:proofErr w:type="spellStart"/>
      <w:r w:rsidRPr="002126A3">
        <w:rPr>
          <w:sz w:val="24"/>
          <w:szCs w:val="24"/>
        </w:rPr>
        <w:t>probenecid</w:t>
      </w:r>
      <w:proofErr w:type="spellEnd"/>
      <w:r w:rsidRPr="002126A3">
        <w:rPr>
          <w:sz w:val="24"/>
          <w:szCs w:val="24"/>
        </w:rPr>
        <w:t>.</w:t>
      </w:r>
    </w:p>
    <w:p w14:paraId="6373D6CC" w14:textId="77777777" w:rsidR="0031683A" w:rsidRPr="002126A3" w:rsidRDefault="0031683A" w:rsidP="007758B3">
      <w:pPr>
        <w:ind w:left="851"/>
        <w:rPr>
          <w:sz w:val="24"/>
          <w:szCs w:val="24"/>
        </w:rPr>
      </w:pPr>
    </w:p>
    <w:p w14:paraId="6E0435EF" w14:textId="77777777" w:rsidR="0031683A" w:rsidRPr="002126A3" w:rsidRDefault="0031683A" w:rsidP="007758B3">
      <w:pPr>
        <w:ind w:left="851"/>
        <w:rPr>
          <w:sz w:val="24"/>
          <w:szCs w:val="24"/>
        </w:rPr>
      </w:pPr>
      <w:r w:rsidRPr="002126A3">
        <w:rPr>
          <w:sz w:val="24"/>
          <w:szCs w:val="24"/>
        </w:rPr>
        <w:lastRenderedPageBreak/>
        <w:t>Farmaceutiske interaktioner (uforligeligheder ved infusion) er beskrevet i pkt. 6.2</w:t>
      </w:r>
    </w:p>
    <w:p w14:paraId="631561B2" w14:textId="77777777" w:rsidR="009260DE" w:rsidRPr="002126A3" w:rsidRDefault="009260DE" w:rsidP="009260DE">
      <w:pPr>
        <w:tabs>
          <w:tab w:val="left" w:pos="851"/>
        </w:tabs>
        <w:ind w:left="851"/>
        <w:rPr>
          <w:sz w:val="24"/>
          <w:szCs w:val="24"/>
        </w:rPr>
      </w:pPr>
    </w:p>
    <w:p w14:paraId="4651D317" w14:textId="77777777" w:rsidR="009260DE" w:rsidRPr="002126A3" w:rsidRDefault="009260DE" w:rsidP="009260DE">
      <w:pPr>
        <w:tabs>
          <w:tab w:val="left" w:pos="851"/>
        </w:tabs>
        <w:ind w:left="851" w:hanging="851"/>
        <w:rPr>
          <w:b/>
          <w:sz w:val="24"/>
          <w:szCs w:val="24"/>
        </w:rPr>
      </w:pPr>
      <w:r w:rsidRPr="002126A3">
        <w:rPr>
          <w:b/>
          <w:sz w:val="24"/>
          <w:szCs w:val="24"/>
        </w:rPr>
        <w:t>4.6</w:t>
      </w:r>
      <w:r w:rsidRPr="002126A3">
        <w:rPr>
          <w:b/>
          <w:sz w:val="24"/>
          <w:szCs w:val="24"/>
        </w:rPr>
        <w:tab/>
      </w:r>
      <w:r w:rsidR="0071241E" w:rsidRPr="002126A3">
        <w:rPr>
          <w:b/>
          <w:sz w:val="24"/>
          <w:szCs w:val="24"/>
        </w:rPr>
        <w:t>Fertilitet, g</w:t>
      </w:r>
      <w:r w:rsidRPr="002126A3">
        <w:rPr>
          <w:b/>
          <w:sz w:val="24"/>
          <w:szCs w:val="24"/>
        </w:rPr>
        <w:t>raviditet og amning</w:t>
      </w:r>
    </w:p>
    <w:p w14:paraId="165293FF" w14:textId="77777777" w:rsidR="007A6AF3" w:rsidRDefault="007A6AF3" w:rsidP="007758B3">
      <w:pPr>
        <w:ind w:left="851"/>
        <w:rPr>
          <w:rStyle w:val="hps"/>
          <w:i/>
          <w:sz w:val="24"/>
          <w:szCs w:val="24"/>
          <w:u w:val="single"/>
        </w:rPr>
      </w:pPr>
    </w:p>
    <w:p w14:paraId="465BB43D" w14:textId="4AB82AE6" w:rsidR="0031683A" w:rsidRPr="002126A3" w:rsidRDefault="0031683A" w:rsidP="007758B3">
      <w:pPr>
        <w:ind w:left="851"/>
        <w:rPr>
          <w:rStyle w:val="hps"/>
          <w:i/>
          <w:sz w:val="24"/>
          <w:szCs w:val="24"/>
          <w:u w:val="single"/>
        </w:rPr>
      </w:pPr>
      <w:r w:rsidRPr="002126A3">
        <w:rPr>
          <w:rStyle w:val="hps"/>
          <w:i/>
          <w:sz w:val="24"/>
          <w:szCs w:val="24"/>
          <w:u w:val="single"/>
        </w:rPr>
        <w:t>Fertilitet</w:t>
      </w:r>
    </w:p>
    <w:p w14:paraId="471E53B0" w14:textId="77777777" w:rsidR="0031683A" w:rsidRPr="002126A3" w:rsidRDefault="0031683A" w:rsidP="007758B3">
      <w:pPr>
        <w:ind w:left="851"/>
        <w:rPr>
          <w:rFonts w:eastAsia="Arial Unicode MS"/>
          <w:sz w:val="24"/>
          <w:szCs w:val="24"/>
        </w:rPr>
      </w:pPr>
      <w:r w:rsidRPr="002126A3">
        <w:rPr>
          <w:sz w:val="24"/>
          <w:szCs w:val="24"/>
        </w:rPr>
        <w:t xml:space="preserve">Der foreligger ingen data vedrørende </w:t>
      </w:r>
      <w:proofErr w:type="spellStart"/>
      <w:r w:rsidRPr="002126A3">
        <w:rPr>
          <w:sz w:val="24"/>
          <w:szCs w:val="24"/>
        </w:rPr>
        <w:t>Virafoscs</w:t>
      </w:r>
      <w:proofErr w:type="spellEnd"/>
      <w:r w:rsidRPr="002126A3">
        <w:rPr>
          <w:sz w:val="24"/>
          <w:szCs w:val="24"/>
        </w:rPr>
        <w:t xml:space="preserve"> indvirkning på fertiliteten hos mennesker.</w:t>
      </w:r>
    </w:p>
    <w:p w14:paraId="717D645F" w14:textId="77777777" w:rsidR="0031683A" w:rsidRPr="002126A3" w:rsidRDefault="0031683A" w:rsidP="007758B3">
      <w:pPr>
        <w:ind w:left="851"/>
        <w:rPr>
          <w:rStyle w:val="hps"/>
          <w:rFonts w:eastAsia="Arial Unicode MS"/>
          <w:sz w:val="24"/>
          <w:szCs w:val="24"/>
        </w:rPr>
      </w:pPr>
      <w:r w:rsidRPr="002126A3">
        <w:rPr>
          <w:sz w:val="24"/>
          <w:szCs w:val="24"/>
        </w:rPr>
        <w:t>I dyreforsøg er der ikke indberettet nogen virkning på fertiliteten.</w:t>
      </w:r>
    </w:p>
    <w:p w14:paraId="72807DC1" w14:textId="77777777" w:rsidR="0031683A" w:rsidRPr="002126A3" w:rsidRDefault="0031683A" w:rsidP="007758B3">
      <w:pPr>
        <w:ind w:left="851"/>
        <w:rPr>
          <w:rStyle w:val="hps"/>
          <w:sz w:val="24"/>
          <w:szCs w:val="24"/>
        </w:rPr>
      </w:pPr>
    </w:p>
    <w:p w14:paraId="46654F06" w14:textId="77777777" w:rsidR="0031683A" w:rsidRPr="002126A3" w:rsidRDefault="0031683A" w:rsidP="007758B3">
      <w:pPr>
        <w:ind w:left="851"/>
        <w:rPr>
          <w:rStyle w:val="hps"/>
          <w:i/>
          <w:sz w:val="24"/>
          <w:szCs w:val="24"/>
          <w:u w:val="single"/>
        </w:rPr>
      </w:pPr>
      <w:bookmarkStart w:id="1" w:name="_Hlk97278527"/>
      <w:r w:rsidRPr="002126A3">
        <w:rPr>
          <w:rStyle w:val="hps"/>
          <w:i/>
          <w:sz w:val="24"/>
          <w:szCs w:val="24"/>
          <w:u w:val="single"/>
        </w:rPr>
        <w:t>Kvinder i den fertile alder/prævention til mænd og kvinder</w:t>
      </w:r>
    </w:p>
    <w:bookmarkEnd w:id="1"/>
    <w:p w14:paraId="37956109" w14:textId="77777777" w:rsidR="0031683A" w:rsidRPr="002126A3" w:rsidRDefault="0031683A" w:rsidP="007758B3">
      <w:pPr>
        <w:ind w:left="851"/>
        <w:rPr>
          <w:rFonts w:eastAsia="Arial Unicode MS"/>
          <w:sz w:val="24"/>
          <w:szCs w:val="24"/>
        </w:rPr>
      </w:pPr>
      <w:r w:rsidRPr="002126A3">
        <w:rPr>
          <w:sz w:val="24"/>
          <w:szCs w:val="24"/>
        </w:rPr>
        <w:t>Kvinder i den fertile alder og seksuelt aktive mænd skal benytte effektiv prævention i op til seks måneder efter behandlingen.</w:t>
      </w:r>
    </w:p>
    <w:p w14:paraId="78B87786" w14:textId="77777777" w:rsidR="0031683A" w:rsidRPr="002126A3" w:rsidRDefault="0031683A" w:rsidP="007758B3">
      <w:pPr>
        <w:ind w:left="851"/>
        <w:rPr>
          <w:rStyle w:val="hps"/>
          <w:i/>
          <w:sz w:val="24"/>
          <w:szCs w:val="24"/>
        </w:rPr>
      </w:pPr>
    </w:p>
    <w:p w14:paraId="57CE470A" w14:textId="77777777" w:rsidR="0031683A" w:rsidRPr="002126A3" w:rsidRDefault="0031683A" w:rsidP="007758B3">
      <w:pPr>
        <w:ind w:left="851"/>
        <w:rPr>
          <w:rStyle w:val="hps"/>
          <w:i/>
          <w:sz w:val="24"/>
          <w:szCs w:val="24"/>
          <w:u w:val="single"/>
        </w:rPr>
      </w:pPr>
      <w:r w:rsidRPr="002126A3">
        <w:rPr>
          <w:rStyle w:val="hps"/>
          <w:i/>
          <w:sz w:val="24"/>
          <w:szCs w:val="24"/>
          <w:u w:val="single"/>
        </w:rPr>
        <w:t>Graviditet</w:t>
      </w:r>
    </w:p>
    <w:p w14:paraId="1F88321C" w14:textId="77777777" w:rsidR="0031683A" w:rsidRPr="002126A3" w:rsidRDefault="0031683A" w:rsidP="007758B3">
      <w:pPr>
        <w:ind w:left="851"/>
        <w:rPr>
          <w:rFonts w:eastAsia="Arial Unicode MS"/>
          <w:sz w:val="24"/>
          <w:szCs w:val="24"/>
        </w:rPr>
      </w:pPr>
      <w:r w:rsidRPr="002126A3">
        <w:rPr>
          <w:sz w:val="24"/>
          <w:szCs w:val="24"/>
        </w:rPr>
        <w:t xml:space="preserve">Der er utilstrækkelige data fra anvendelse af </w:t>
      </w:r>
      <w:proofErr w:type="spellStart"/>
      <w:r w:rsidRPr="002126A3">
        <w:rPr>
          <w:sz w:val="24"/>
          <w:szCs w:val="24"/>
        </w:rPr>
        <w:t>foscarnet</w:t>
      </w:r>
      <w:proofErr w:type="spellEnd"/>
      <w:r w:rsidRPr="002126A3">
        <w:rPr>
          <w:sz w:val="24"/>
          <w:szCs w:val="24"/>
        </w:rPr>
        <w:t xml:space="preserve"> til gravide kvinder. Dyreforsøg har påvist reproduktionstoksicitet (se pkt. 5.3). </w:t>
      </w:r>
      <w:proofErr w:type="spellStart"/>
      <w:r w:rsidRPr="002126A3">
        <w:rPr>
          <w:sz w:val="24"/>
          <w:szCs w:val="24"/>
        </w:rPr>
        <w:t>Virafosc</w:t>
      </w:r>
      <w:proofErr w:type="spellEnd"/>
      <w:r w:rsidRPr="002126A3">
        <w:rPr>
          <w:sz w:val="24"/>
          <w:szCs w:val="24"/>
        </w:rPr>
        <w:t xml:space="preserve"> må kun gives til gravide kvinder, hvor det er absolut nødvendigt, hvor der ikke er et sikkert alternativ, og hvor behandlingen ikke kan seponeres.</w:t>
      </w:r>
    </w:p>
    <w:p w14:paraId="46F73017" w14:textId="77777777" w:rsidR="0031683A" w:rsidRPr="002126A3" w:rsidRDefault="0031683A" w:rsidP="007758B3">
      <w:pPr>
        <w:ind w:left="851"/>
        <w:rPr>
          <w:rStyle w:val="hps"/>
          <w:i/>
          <w:sz w:val="24"/>
          <w:szCs w:val="24"/>
          <w:u w:val="single"/>
        </w:rPr>
      </w:pPr>
    </w:p>
    <w:p w14:paraId="13FCCCFB" w14:textId="77777777" w:rsidR="0031683A" w:rsidRPr="002126A3" w:rsidRDefault="0031683A" w:rsidP="007758B3">
      <w:pPr>
        <w:ind w:left="851"/>
        <w:rPr>
          <w:sz w:val="24"/>
          <w:szCs w:val="24"/>
        </w:rPr>
      </w:pPr>
      <w:r w:rsidRPr="002126A3">
        <w:rPr>
          <w:rStyle w:val="hps"/>
          <w:i/>
          <w:sz w:val="24"/>
          <w:szCs w:val="24"/>
          <w:u w:val="single"/>
        </w:rPr>
        <w:t>Amning</w:t>
      </w:r>
    </w:p>
    <w:p w14:paraId="64507EDD" w14:textId="77777777" w:rsidR="0031683A" w:rsidRPr="002126A3" w:rsidRDefault="0031683A" w:rsidP="007758B3">
      <w:pPr>
        <w:ind w:left="851"/>
        <w:rPr>
          <w:rFonts w:eastAsia="Arial Unicode MS"/>
          <w:sz w:val="24"/>
          <w:szCs w:val="24"/>
        </w:rPr>
      </w:pPr>
      <w:r w:rsidRPr="002126A3">
        <w:rPr>
          <w:sz w:val="24"/>
          <w:szCs w:val="24"/>
        </w:rPr>
        <w:t xml:space="preserve">Det er ukendt, om </w:t>
      </w:r>
      <w:proofErr w:type="spellStart"/>
      <w:r w:rsidRPr="002126A3">
        <w:rPr>
          <w:sz w:val="24"/>
          <w:szCs w:val="24"/>
        </w:rPr>
        <w:t>foscarnet</w:t>
      </w:r>
      <w:proofErr w:type="spellEnd"/>
      <w:r w:rsidRPr="002126A3">
        <w:rPr>
          <w:sz w:val="24"/>
          <w:szCs w:val="24"/>
        </w:rPr>
        <w:t xml:space="preserve"> udskilles i human mælk. Dyreforsøg viser, at </w:t>
      </w:r>
      <w:proofErr w:type="spellStart"/>
      <w:r w:rsidRPr="002126A3">
        <w:rPr>
          <w:sz w:val="24"/>
          <w:szCs w:val="24"/>
        </w:rPr>
        <w:t>foscarnet</w:t>
      </w:r>
      <w:proofErr w:type="spellEnd"/>
      <w:r w:rsidRPr="002126A3">
        <w:rPr>
          <w:sz w:val="24"/>
          <w:szCs w:val="24"/>
        </w:rPr>
        <w:t xml:space="preserve"> udskilles i modermælken (se pkt. 5.3). På grund af risikoen for bivirkninger hos ammende spædbørn skal amning afbrydes før behandlingsstart</w:t>
      </w:r>
      <w:r w:rsidRPr="002126A3">
        <w:rPr>
          <w:color w:val="000000"/>
          <w:sz w:val="24"/>
          <w:szCs w:val="24"/>
        </w:rPr>
        <w:t xml:space="preserve">. </w:t>
      </w:r>
    </w:p>
    <w:p w14:paraId="7F1FE1A3" w14:textId="77777777" w:rsidR="0031683A" w:rsidRPr="002126A3" w:rsidRDefault="0031683A" w:rsidP="007758B3">
      <w:pPr>
        <w:ind w:left="851"/>
        <w:rPr>
          <w:rFonts w:eastAsia="Arial Unicode MS"/>
          <w:sz w:val="24"/>
          <w:szCs w:val="24"/>
        </w:rPr>
      </w:pPr>
      <w:r w:rsidRPr="002126A3">
        <w:rPr>
          <w:sz w:val="24"/>
          <w:szCs w:val="24"/>
        </w:rPr>
        <w:t>Kvinder med HIV-infektion må ikke amme for at forhindre overførsel af HIV til spædbarnet.</w:t>
      </w:r>
    </w:p>
    <w:p w14:paraId="64D2536A" w14:textId="77777777" w:rsidR="009260DE" w:rsidRPr="002126A3" w:rsidRDefault="009260DE" w:rsidP="009260DE">
      <w:pPr>
        <w:tabs>
          <w:tab w:val="left" w:pos="851"/>
        </w:tabs>
        <w:ind w:left="851"/>
        <w:rPr>
          <w:sz w:val="24"/>
          <w:szCs w:val="24"/>
        </w:rPr>
      </w:pPr>
    </w:p>
    <w:p w14:paraId="73D6FF4B" w14:textId="77777777" w:rsidR="009260DE" w:rsidRPr="002126A3" w:rsidRDefault="009260DE" w:rsidP="009260DE">
      <w:pPr>
        <w:tabs>
          <w:tab w:val="left" w:pos="851"/>
        </w:tabs>
        <w:ind w:left="851" w:hanging="851"/>
        <w:rPr>
          <w:b/>
          <w:sz w:val="24"/>
          <w:szCs w:val="24"/>
        </w:rPr>
      </w:pPr>
      <w:r w:rsidRPr="002126A3">
        <w:rPr>
          <w:b/>
          <w:sz w:val="24"/>
          <w:szCs w:val="24"/>
        </w:rPr>
        <w:t>4.7</w:t>
      </w:r>
      <w:r w:rsidRPr="002126A3">
        <w:rPr>
          <w:b/>
          <w:sz w:val="24"/>
          <w:szCs w:val="24"/>
        </w:rPr>
        <w:tab/>
        <w:t xml:space="preserve">Virkning på evnen til at føre motorkøretøj </w:t>
      </w:r>
      <w:r w:rsidR="0071241E" w:rsidRPr="002126A3">
        <w:rPr>
          <w:b/>
          <w:sz w:val="24"/>
          <w:szCs w:val="24"/>
        </w:rPr>
        <w:t>og</w:t>
      </w:r>
      <w:r w:rsidRPr="002126A3">
        <w:rPr>
          <w:b/>
          <w:sz w:val="24"/>
          <w:szCs w:val="24"/>
        </w:rPr>
        <w:t xml:space="preserve"> betjene maskiner</w:t>
      </w:r>
    </w:p>
    <w:p w14:paraId="3D5FFA29" w14:textId="77777777" w:rsidR="007A6AF3" w:rsidRDefault="007A6AF3" w:rsidP="007758B3">
      <w:pPr>
        <w:ind w:left="851"/>
        <w:rPr>
          <w:sz w:val="24"/>
          <w:szCs w:val="24"/>
        </w:rPr>
      </w:pPr>
      <w:r>
        <w:rPr>
          <w:sz w:val="24"/>
          <w:szCs w:val="24"/>
        </w:rPr>
        <w:t>Ikke mærkning.</w:t>
      </w:r>
    </w:p>
    <w:p w14:paraId="41DA22EC" w14:textId="6390998F" w:rsidR="0031683A" w:rsidRPr="002126A3" w:rsidRDefault="0031683A" w:rsidP="007758B3">
      <w:pPr>
        <w:ind w:left="851"/>
        <w:rPr>
          <w:sz w:val="24"/>
          <w:szCs w:val="24"/>
        </w:rPr>
      </w:pPr>
      <w:proofErr w:type="spellStart"/>
      <w:r w:rsidRPr="002126A3">
        <w:rPr>
          <w:sz w:val="24"/>
          <w:szCs w:val="24"/>
        </w:rPr>
        <w:t>Virafosc</w:t>
      </w:r>
      <w:proofErr w:type="spellEnd"/>
      <w:r w:rsidRPr="002126A3">
        <w:rPr>
          <w:sz w:val="24"/>
          <w:szCs w:val="24"/>
        </w:rPr>
        <w:t xml:space="preserve"> påvirker i moderat grad evnen til at føre motorkøretøj eller betjene maskiner. Evnen til at føre motorkøretøj og betjene maskiner kan være nedsat på grund af selve sygdommen og </w:t>
      </w:r>
      <w:proofErr w:type="spellStart"/>
      <w:r w:rsidRPr="002126A3">
        <w:rPr>
          <w:sz w:val="24"/>
          <w:szCs w:val="24"/>
        </w:rPr>
        <w:t>Virafoscs</w:t>
      </w:r>
      <w:proofErr w:type="spellEnd"/>
      <w:r w:rsidRPr="002126A3">
        <w:rPr>
          <w:sz w:val="24"/>
          <w:szCs w:val="24"/>
        </w:rPr>
        <w:t xml:space="preserve"> mulige bivirkninger (såsom svimmelhed og krampeanfald, se pkt. 4.8). Lægen rådes til at diskutere denne problemstilling med patienten og på baggrund af sygdommens sværhedsgrad og lægemiddeltolerance give en anbefaling i det enkelte tilfælde.</w:t>
      </w:r>
    </w:p>
    <w:p w14:paraId="78650C0B" w14:textId="77777777" w:rsidR="009260DE" w:rsidRPr="002126A3" w:rsidRDefault="009260DE" w:rsidP="009260DE">
      <w:pPr>
        <w:tabs>
          <w:tab w:val="left" w:pos="851"/>
        </w:tabs>
        <w:ind w:left="851"/>
        <w:rPr>
          <w:sz w:val="24"/>
          <w:szCs w:val="24"/>
        </w:rPr>
      </w:pPr>
    </w:p>
    <w:p w14:paraId="578BEFD7" w14:textId="77777777" w:rsidR="009260DE" w:rsidRPr="002126A3" w:rsidRDefault="009260DE" w:rsidP="009260DE">
      <w:pPr>
        <w:tabs>
          <w:tab w:val="left" w:pos="851"/>
        </w:tabs>
        <w:ind w:left="851" w:hanging="851"/>
        <w:rPr>
          <w:b/>
          <w:sz w:val="24"/>
          <w:szCs w:val="24"/>
        </w:rPr>
      </w:pPr>
      <w:r w:rsidRPr="002126A3">
        <w:rPr>
          <w:b/>
          <w:sz w:val="24"/>
          <w:szCs w:val="24"/>
        </w:rPr>
        <w:t>4.8</w:t>
      </w:r>
      <w:r w:rsidRPr="002126A3">
        <w:rPr>
          <w:b/>
          <w:sz w:val="24"/>
          <w:szCs w:val="24"/>
        </w:rPr>
        <w:tab/>
        <w:t>Bivirkninger</w:t>
      </w:r>
    </w:p>
    <w:p w14:paraId="18437439" w14:textId="77777777" w:rsidR="0031683A" w:rsidRPr="002126A3" w:rsidRDefault="0031683A" w:rsidP="007758B3">
      <w:pPr>
        <w:ind w:left="851"/>
        <w:rPr>
          <w:sz w:val="24"/>
          <w:szCs w:val="24"/>
        </w:rPr>
      </w:pPr>
      <w:r w:rsidRPr="002126A3">
        <w:rPr>
          <w:sz w:val="24"/>
          <w:szCs w:val="24"/>
        </w:rPr>
        <w:t xml:space="preserve">Størstedelen af de patienter, der får </w:t>
      </w:r>
      <w:proofErr w:type="spellStart"/>
      <w:r w:rsidRPr="002126A3">
        <w:rPr>
          <w:sz w:val="24"/>
          <w:szCs w:val="24"/>
        </w:rPr>
        <w:t>Virafosc</w:t>
      </w:r>
      <w:proofErr w:type="spellEnd"/>
      <w:r w:rsidRPr="002126A3">
        <w:rPr>
          <w:sz w:val="24"/>
          <w:szCs w:val="24"/>
        </w:rPr>
        <w:t xml:space="preserve">, er svært immunkompromitterede og lider af svære virusinfektioner. Patienternes fysiske tilstand, sværhedsgraden af den underliggende sygdom, andre infektioner og andre samtidige behandlinger bidrager til bivirkninger, der er observeret under brug af </w:t>
      </w:r>
      <w:proofErr w:type="spellStart"/>
      <w:r w:rsidRPr="002126A3">
        <w:rPr>
          <w:sz w:val="24"/>
          <w:szCs w:val="24"/>
        </w:rPr>
        <w:t>Virafosc</w:t>
      </w:r>
      <w:proofErr w:type="spellEnd"/>
      <w:r w:rsidRPr="002126A3">
        <w:rPr>
          <w:sz w:val="24"/>
          <w:szCs w:val="24"/>
        </w:rPr>
        <w:t>.</w:t>
      </w:r>
    </w:p>
    <w:p w14:paraId="6ECE5F7C" w14:textId="77777777" w:rsidR="0031683A" w:rsidRPr="002126A3" w:rsidRDefault="0031683A" w:rsidP="007758B3">
      <w:pPr>
        <w:ind w:left="851"/>
        <w:rPr>
          <w:sz w:val="24"/>
          <w:szCs w:val="24"/>
        </w:rPr>
      </w:pPr>
    </w:p>
    <w:p w14:paraId="7E31FB66" w14:textId="77777777" w:rsidR="0031683A" w:rsidRPr="002126A3" w:rsidRDefault="0031683A" w:rsidP="007758B3">
      <w:pPr>
        <w:ind w:left="851"/>
        <w:rPr>
          <w:sz w:val="24"/>
          <w:szCs w:val="24"/>
        </w:rPr>
      </w:pPr>
      <w:r w:rsidRPr="002126A3">
        <w:rPr>
          <w:sz w:val="24"/>
          <w:szCs w:val="24"/>
        </w:rPr>
        <w:t xml:space="preserve">Bivirkninger set med </w:t>
      </w:r>
      <w:proofErr w:type="spellStart"/>
      <w:r w:rsidRPr="002126A3">
        <w:rPr>
          <w:sz w:val="24"/>
          <w:szCs w:val="24"/>
        </w:rPr>
        <w:t>Virafosc</w:t>
      </w:r>
      <w:proofErr w:type="spellEnd"/>
      <w:r w:rsidRPr="002126A3">
        <w:rPr>
          <w:sz w:val="24"/>
          <w:szCs w:val="24"/>
        </w:rPr>
        <w:t xml:space="preserve"> i kliniske forsøg og efter markedsføring er anført i nedenstående tabel. De er angivet efter systemorganklasse og efter hyppighed ved brug af følgende konvention: Meget almindelig (</w:t>
      </w:r>
      <w:r w:rsidRPr="002126A3">
        <w:rPr>
          <w:noProof/>
          <w:sz w:val="24"/>
          <w:szCs w:val="24"/>
        </w:rPr>
        <w:sym w:font="Symbol" w:char="F0B3"/>
      </w:r>
      <w:r w:rsidRPr="002126A3">
        <w:rPr>
          <w:sz w:val="24"/>
          <w:szCs w:val="24"/>
        </w:rPr>
        <w:t>1/10), almindelig (</w:t>
      </w:r>
      <w:r w:rsidRPr="002126A3">
        <w:rPr>
          <w:noProof/>
          <w:sz w:val="24"/>
          <w:szCs w:val="24"/>
        </w:rPr>
        <w:sym w:font="Symbol" w:char="F0B3"/>
      </w:r>
      <w:r w:rsidRPr="002126A3">
        <w:rPr>
          <w:sz w:val="24"/>
          <w:szCs w:val="24"/>
        </w:rPr>
        <w:t>1/100 til &lt;1/10), ikke almindelig (≥1/1.000 til &lt;1/100), sjælden (≥1/10.000 til &lt;1/1.000), meget sjælden (&lt;1/10.000), ikke kendt (kan ikke estimeres ud fra forhåndenværende data).</w:t>
      </w:r>
    </w:p>
    <w:p w14:paraId="5E8672DC" w14:textId="77777777" w:rsidR="0031683A" w:rsidRPr="002126A3" w:rsidRDefault="0031683A" w:rsidP="007758B3">
      <w:pPr>
        <w:ind w:left="851"/>
        <w:rPr>
          <w:sz w:val="24"/>
          <w:szCs w:val="24"/>
          <w:lang w:eastAsia="fr-FR"/>
        </w:rPr>
      </w:pPr>
    </w:p>
    <w:p w14:paraId="66F15708" w14:textId="77777777" w:rsidR="0031683A" w:rsidRPr="002126A3" w:rsidRDefault="0031683A" w:rsidP="007758B3">
      <w:pPr>
        <w:ind w:left="851"/>
        <w:rPr>
          <w:i/>
          <w:sz w:val="24"/>
          <w:szCs w:val="24"/>
        </w:rPr>
      </w:pPr>
      <w:r w:rsidRPr="002126A3">
        <w:rPr>
          <w:sz w:val="24"/>
          <w:szCs w:val="24"/>
        </w:rPr>
        <w:t xml:space="preserve">Det skal bemærkes, at i disse kliniske forsøg blev der ikke givet konsekvent hydrering og opmærksomhed på elektrolytbalancen. Hyppigheden af nogle bivirkninger vil være lavere, når de gældende anbefalinger følges (se pkt. 4.2 og 4.4). </w:t>
      </w:r>
    </w:p>
    <w:p w14:paraId="53A4CA70" w14:textId="17ADF530" w:rsidR="00323D7E" w:rsidRDefault="00323D7E">
      <w:pPr>
        <w:rPr>
          <w:sz w:val="24"/>
          <w:szCs w:val="24"/>
        </w:rPr>
      </w:pPr>
      <w:r>
        <w:rPr>
          <w:sz w:val="24"/>
          <w:szCs w:val="24"/>
        </w:rPr>
        <w:br w:type="page"/>
      </w:r>
    </w:p>
    <w:p w14:paraId="07A3E278" w14:textId="77777777" w:rsidR="0031683A" w:rsidRPr="002126A3" w:rsidRDefault="0031683A" w:rsidP="007758B3">
      <w:pPr>
        <w:ind w:left="851"/>
        <w:rPr>
          <w:sz w:val="24"/>
          <w:szCs w:val="24"/>
        </w:rPr>
      </w:pPr>
    </w:p>
    <w:p w14:paraId="73F7002E" w14:textId="54A22E9D" w:rsidR="0031683A" w:rsidRPr="002126A3" w:rsidRDefault="0031683A" w:rsidP="007758B3">
      <w:pPr>
        <w:ind w:left="851"/>
        <w:rPr>
          <w:sz w:val="24"/>
          <w:szCs w:val="24"/>
        </w:rPr>
      </w:pPr>
      <w:r w:rsidRPr="002126A3">
        <w:rPr>
          <w:sz w:val="24"/>
          <w:szCs w:val="24"/>
        </w:rPr>
        <w:t>Tabel 3:</w:t>
      </w:r>
      <w:r w:rsidR="007A6AF3">
        <w:rPr>
          <w:sz w:val="24"/>
          <w:szCs w:val="24"/>
        </w:rPr>
        <w:t xml:space="preserve"> </w:t>
      </w:r>
      <w:r w:rsidRPr="002126A3">
        <w:rPr>
          <w:sz w:val="24"/>
          <w:szCs w:val="24"/>
        </w:rPr>
        <w:t>Bivirkningshyppighed</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2812"/>
        <w:gridCol w:w="4560"/>
      </w:tblGrid>
      <w:tr w:rsidR="0031683A" w:rsidRPr="002126A3" w14:paraId="2BC08683" w14:textId="77777777" w:rsidTr="007758B3">
        <w:trPr>
          <w:cantSplit/>
          <w:tblHeader/>
        </w:trPr>
        <w:tc>
          <w:tcPr>
            <w:tcW w:w="1158" w:type="pct"/>
            <w:tcBorders>
              <w:top w:val="single" w:sz="4" w:space="0" w:color="auto"/>
              <w:left w:val="single" w:sz="4" w:space="0" w:color="auto"/>
              <w:bottom w:val="single" w:sz="4" w:space="0" w:color="auto"/>
              <w:right w:val="single" w:sz="4" w:space="0" w:color="auto"/>
            </w:tcBorders>
            <w:hideMark/>
          </w:tcPr>
          <w:p w14:paraId="65CEC837" w14:textId="77777777" w:rsidR="0031683A" w:rsidRPr="002126A3" w:rsidRDefault="0031683A">
            <w:pPr>
              <w:pStyle w:val="A-TableHeader"/>
              <w:tabs>
                <w:tab w:val="left" w:pos="0"/>
              </w:tabs>
              <w:spacing w:before="0" w:after="0"/>
              <w:rPr>
                <w:sz w:val="24"/>
                <w:szCs w:val="24"/>
              </w:rPr>
            </w:pPr>
            <w:r w:rsidRPr="002126A3">
              <w:rPr>
                <w:b w:val="0"/>
                <w:sz w:val="24"/>
                <w:szCs w:val="24"/>
              </w:rPr>
              <w:br w:type="page"/>
            </w:r>
            <w:r w:rsidRPr="002126A3">
              <w:rPr>
                <w:sz w:val="24"/>
                <w:szCs w:val="24"/>
              </w:rPr>
              <w:t>Systemorganklasse</w:t>
            </w:r>
          </w:p>
        </w:tc>
        <w:tc>
          <w:tcPr>
            <w:tcW w:w="1467" w:type="pct"/>
            <w:tcBorders>
              <w:top w:val="single" w:sz="4" w:space="0" w:color="auto"/>
              <w:left w:val="single" w:sz="4" w:space="0" w:color="auto"/>
              <w:bottom w:val="single" w:sz="4" w:space="0" w:color="auto"/>
              <w:right w:val="single" w:sz="4" w:space="0" w:color="auto"/>
            </w:tcBorders>
            <w:hideMark/>
          </w:tcPr>
          <w:p w14:paraId="48E3C836" w14:textId="77777777" w:rsidR="0031683A" w:rsidRPr="002126A3" w:rsidRDefault="0031683A">
            <w:pPr>
              <w:pStyle w:val="A-TableHeader"/>
              <w:tabs>
                <w:tab w:val="left" w:pos="0"/>
              </w:tabs>
              <w:spacing w:before="0" w:after="0"/>
              <w:rPr>
                <w:sz w:val="24"/>
                <w:szCs w:val="24"/>
              </w:rPr>
            </w:pPr>
            <w:r w:rsidRPr="002126A3">
              <w:rPr>
                <w:sz w:val="24"/>
                <w:szCs w:val="24"/>
              </w:rPr>
              <w:t>Hyppighed</w:t>
            </w:r>
          </w:p>
        </w:tc>
        <w:tc>
          <w:tcPr>
            <w:tcW w:w="2375" w:type="pct"/>
            <w:tcBorders>
              <w:top w:val="single" w:sz="4" w:space="0" w:color="auto"/>
              <w:left w:val="single" w:sz="4" w:space="0" w:color="auto"/>
              <w:bottom w:val="single" w:sz="4" w:space="0" w:color="auto"/>
              <w:right w:val="single" w:sz="4" w:space="0" w:color="auto"/>
            </w:tcBorders>
            <w:hideMark/>
          </w:tcPr>
          <w:p w14:paraId="65849E79" w14:textId="77777777" w:rsidR="0031683A" w:rsidRPr="002126A3" w:rsidRDefault="0031683A">
            <w:pPr>
              <w:pStyle w:val="A-TableHeader"/>
              <w:tabs>
                <w:tab w:val="left" w:pos="0"/>
              </w:tabs>
              <w:spacing w:before="0" w:after="0"/>
              <w:rPr>
                <w:sz w:val="24"/>
                <w:szCs w:val="24"/>
              </w:rPr>
            </w:pPr>
            <w:r w:rsidRPr="002126A3">
              <w:rPr>
                <w:sz w:val="24"/>
                <w:szCs w:val="24"/>
              </w:rPr>
              <w:t>Bivirkning</w:t>
            </w:r>
          </w:p>
        </w:tc>
      </w:tr>
      <w:tr w:rsidR="0031683A" w:rsidRPr="002126A3" w14:paraId="2F19750E" w14:textId="77777777" w:rsidTr="007758B3">
        <w:trPr>
          <w:cantSplit/>
        </w:trPr>
        <w:tc>
          <w:tcPr>
            <w:tcW w:w="1158" w:type="pct"/>
            <w:vMerge w:val="restart"/>
            <w:tcBorders>
              <w:top w:val="single" w:sz="4" w:space="0" w:color="auto"/>
              <w:left w:val="single" w:sz="4" w:space="0" w:color="auto"/>
              <w:bottom w:val="single" w:sz="4" w:space="0" w:color="auto"/>
              <w:right w:val="single" w:sz="4" w:space="0" w:color="auto"/>
            </w:tcBorders>
            <w:hideMark/>
          </w:tcPr>
          <w:p w14:paraId="13F5216A" w14:textId="77777777" w:rsidR="0031683A" w:rsidRPr="002126A3" w:rsidRDefault="0031683A">
            <w:pPr>
              <w:pStyle w:val="A-TableText"/>
              <w:tabs>
                <w:tab w:val="left" w:pos="0"/>
              </w:tabs>
              <w:spacing w:before="0" w:after="0"/>
              <w:rPr>
                <w:sz w:val="24"/>
                <w:szCs w:val="24"/>
              </w:rPr>
            </w:pPr>
            <w:r w:rsidRPr="002126A3">
              <w:rPr>
                <w:sz w:val="24"/>
                <w:szCs w:val="24"/>
              </w:rPr>
              <w:t>Blod og lymfesystem</w:t>
            </w:r>
          </w:p>
        </w:tc>
        <w:tc>
          <w:tcPr>
            <w:tcW w:w="1467" w:type="pct"/>
            <w:tcBorders>
              <w:top w:val="single" w:sz="4" w:space="0" w:color="auto"/>
              <w:left w:val="single" w:sz="4" w:space="0" w:color="auto"/>
              <w:bottom w:val="single" w:sz="4" w:space="0" w:color="auto"/>
              <w:right w:val="single" w:sz="4" w:space="0" w:color="auto"/>
            </w:tcBorders>
            <w:hideMark/>
          </w:tcPr>
          <w:p w14:paraId="3E0FA079" w14:textId="77777777" w:rsidR="0031683A" w:rsidRPr="002126A3" w:rsidRDefault="0031683A">
            <w:pPr>
              <w:pStyle w:val="A-TableText"/>
              <w:tabs>
                <w:tab w:val="left" w:pos="0"/>
              </w:tabs>
              <w:spacing w:before="0" w:after="0"/>
              <w:rPr>
                <w:sz w:val="24"/>
                <w:szCs w:val="24"/>
              </w:rPr>
            </w:pPr>
            <w:r w:rsidRPr="002126A3">
              <w:rPr>
                <w:sz w:val="24"/>
                <w:szCs w:val="24"/>
              </w:rPr>
              <w:t xml:space="preserve">Meget almindelig </w:t>
            </w:r>
          </w:p>
        </w:tc>
        <w:tc>
          <w:tcPr>
            <w:tcW w:w="2375" w:type="pct"/>
            <w:tcBorders>
              <w:top w:val="single" w:sz="4" w:space="0" w:color="auto"/>
              <w:left w:val="single" w:sz="4" w:space="0" w:color="auto"/>
              <w:bottom w:val="single" w:sz="4" w:space="0" w:color="auto"/>
              <w:right w:val="single" w:sz="4" w:space="0" w:color="auto"/>
            </w:tcBorders>
            <w:hideMark/>
          </w:tcPr>
          <w:p w14:paraId="788C07F0" w14:textId="77777777" w:rsidR="0031683A" w:rsidRPr="002126A3" w:rsidRDefault="0031683A">
            <w:pPr>
              <w:pStyle w:val="A-TableText"/>
              <w:tabs>
                <w:tab w:val="left" w:pos="0"/>
              </w:tabs>
              <w:spacing w:before="0" w:after="0"/>
              <w:rPr>
                <w:sz w:val="24"/>
                <w:szCs w:val="24"/>
              </w:rPr>
            </w:pPr>
            <w:proofErr w:type="spellStart"/>
            <w:r w:rsidRPr="002126A3">
              <w:rPr>
                <w:sz w:val="24"/>
                <w:szCs w:val="24"/>
              </w:rPr>
              <w:t>Granulocytopeni</w:t>
            </w:r>
            <w:proofErr w:type="spellEnd"/>
            <w:r w:rsidRPr="002126A3">
              <w:rPr>
                <w:sz w:val="24"/>
                <w:szCs w:val="24"/>
              </w:rPr>
              <w:t>, anæmi</w:t>
            </w:r>
          </w:p>
        </w:tc>
      </w:tr>
      <w:tr w:rsidR="0031683A" w:rsidRPr="002126A3" w14:paraId="1D948EDD" w14:textId="77777777" w:rsidTr="007758B3">
        <w:trPr>
          <w:cantSplit/>
        </w:trPr>
        <w:tc>
          <w:tcPr>
            <w:tcW w:w="1158" w:type="pct"/>
            <w:vMerge/>
            <w:tcBorders>
              <w:top w:val="single" w:sz="4" w:space="0" w:color="auto"/>
              <w:left w:val="single" w:sz="4" w:space="0" w:color="auto"/>
              <w:bottom w:val="single" w:sz="4" w:space="0" w:color="auto"/>
              <w:right w:val="single" w:sz="4" w:space="0" w:color="auto"/>
            </w:tcBorders>
            <w:vAlign w:val="center"/>
            <w:hideMark/>
          </w:tcPr>
          <w:p w14:paraId="7EAC5F17" w14:textId="77777777" w:rsidR="0031683A" w:rsidRPr="002126A3" w:rsidRDefault="0031683A">
            <w:pPr>
              <w:rPr>
                <w:sz w:val="24"/>
                <w:szCs w:val="24"/>
              </w:rPr>
            </w:pPr>
          </w:p>
        </w:tc>
        <w:tc>
          <w:tcPr>
            <w:tcW w:w="1467" w:type="pct"/>
            <w:tcBorders>
              <w:top w:val="single" w:sz="4" w:space="0" w:color="auto"/>
              <w:left w:val="single" w:sz="4" w:space="0" w:color="auto"/>
              <w:bottom w:val="single" w:sz="4" w:space="0" w:color="auto"/>
              <w:right w:val="single" w:sz="4" w:space="0" w:color="auto"/>
            </w:tcBorders>
            <w:hideMark/>
          </w:tcPr>
          <w:p w14:paraId="35C900B9" w14:textId="77777777" w:rsidR="0031683A" w:rsidRPr="002126A3" w:rsidRDefault="0031683A">
            <w:pPr>
              <w:pStyle w:val="A-TableText"/>
              <w:tabs>
                <w:tab w:val="left" w:pos="0"/>
              </w:tabs>
              <w:spacing w:before="0" w:after="0"/>
              <w:rPr>
                <w:sz w:val="24"/>
                <w:szCs w:val="24"/>
              </w:rPr>
            </w:pPr>
            <w:r w:rsidRPr="002126A3">
              <w:rPr>
                <w:sz w:val="24"/>
                <w:szCs w:val="24"/>
              </w:rPr>
              <w:t xml:space="preserve">Almindelig </w:t>
            </w:r>
          </w:p>
        </w:tc>
        <w:tc>
          <w:tcPr>
            <w:tcW w:w="2375" w:type="pct"/>
            <w:tcBorders>
              <w:top w:val="single" w:sz="4" w:space="0" w:color="auto"/>
              <w:left w:val="single" w:sz="4" w:space="0" w:color="auto"/>
              <w:bottom w:val="single" w:sz="4" w:space="0" w:color="auto"/>
              <w:right w:val="single" w:sz="4" w:space="0" w:color="auto"/>
            </w:tcBorders>
            <w:hideMark/>
          </w:tcPr>
          <w:p w14:paraId="7B2D8D59" w14:textId="77777777" w:rsidR="0031683A" w:rsidRPr="002126A3" w:rsidRDefault="0031683A">
            <w:pPr>
              <w:pStyle w:val="A-TableText"/>
              <w:tabs>
                <w:tab w:val="left" w:pos="0"/>
              </w:tabs>
              <w:spacing w:before="0" w:after="0"/>
              <w:rPr>
                <w:sz w:val="24"/>
                <w:szCs w:val="24"/>
              </w:rPr>
            </w:pPr>
            <w:proofErr w:type="spellStart"/>
            <w:r w:rsidRPr="002126A3">
              <w:rPr>
                <w:sz w:val="24"/>
                <w:szCs w:val="24"/>
              </w:rPr>
              <w:t>Leukopeni</w:t>
            </w:r>
            <w:proofErr w:type="spellEnd"/>
            <w:r w:rsidRPr="002126A3">
              <w:rPr>
                <w:sz w:val="24"/>
                <w:szCs w:val="24"/>
              </w:rPr>
              <w:t xml:space="preserve">, </w:t>
            </w:r>
            <w:proofErr w:type="spellStart"/>
            <w:r w:rsidRPr="002126A3">
              <w:rPr>
                <w:sz w:val="24"/>
                <w:szCs w:val="24"/>
              </w:rPr>
              <w:t>trombocytopeni</w:t>
            </w:r>
            <w:proofErr w:type="spellEnd"/>
            <w:r w:rsidRPr="002126A3">
              <w:rPr>
                <w:sz w:val="24"/>
                <w:szCs w:val="24"/>
              </w:rPr>
              <w:t xml:space="preserve">, </w:t>
            </w:r>
            <w:proofErr w:type="spellStart"/>
            <w:r w:rsidRPr="002126A3">
              <w:rPr>
                <w:sz w:val="24"/>
                <w:szCs w:val="24"/>
              </w:rPr>
              <w:t>neutropeni</w:t>
            </w:r>
            <w:proofErr w:type="spellEnd"/>
          </w:p>
        </w:tc>
      </w:tr>
      <w:tr w:rsidR="0031683A" w:rsidRPr="002126A3" w14:paraId="64EEAAA1" w14:textId="77777777" w:rsidTr="007758B3">
        <w:trPr>
          <w:cantSplit/>
        </w:trPr>
        <w:tc>
          <w:tcPr>
            <w:tcW w:w="1158" w:type="pct"/>
            <w:vMerge/>
            <w:tcBorders>
              <w:top w:val="single" w:sz="4" w:space="0" w:color="auto"/>
              <w:left w:val="single" w:sz="4" w:space="0" w:color="auto"/>
              <w:bottom w:val="single" w:sz="4" w:space="0" w:color="auto"/>
              <w:right w:val="single" w:sz="4" w:space="0" w:color="auto"/>
            </w:tcBorders>
            <w:vAlign w:val="center"/>
            <w:hideMark/>
          </w:tcPr>
          <w:p w14:paraId="67396DC1" w14:textId="77777777" w:rsidR="0031683A" w:rsidRPr="002126A3" w:rsidRDefault="0031683A">
            <w:pPr>
              <w:rPr>
                <w:sz w:val="24"/>
                <w:szCs w:val="24"/>
              </w:rPr>
            </w:pPr>
          </w:p>
        </w:tc>
        <w:tc>
          <w:tcPr>
            <w:tcW w:w="1467" w:type="pct"/>
            <w:tcBorders>
              <w:top w:val="single" w:sz="4" w:space="0" w:color="auto"/>
              <w:left w:val="single" w:sz="4" w:space="0" w:color="auto"/>
              <w:bottom w:val="single" w:sz="4" w:space="0" w:color="auto"/>
              <w:right w:val="single" w:sz="4" w:space="0" w:color="auto"/>
            </w:tcBorders>
            <w:hideMark/>
          </w:tcPr>
          <w:p w14:paraId="21346B2B" w14:textId="77777777" w:rsidR="0031683A" w:rsidRPr="002126A3" w:rsidRDefault="0031683A">
            <w:pPr>
              <w:pStyle w:val="A-TableText"/>
              <w:tabs>
                <w:tab w:val="left" w:pos="0"/>
              </w:tabs>
              <w:spacing w:before="0" w:after="0"/>
              <w:rPr>
                <w:sz w:val="24"/>
                <w:szCs w:val="24"/>
              </w:rPr>
            </w:pPr>
            <w:r w:rsidRPr="002126A3">
              <w:rPr>
                <w:sz w:val="24"/>
                <w:szCs w:val="24"/>
              </w:rPr>
              <w:t>Ikke almindelig</w:t>
            </w:r>
          </w:p>
        </w:tc>
        <w:tc>
          <w:tcPr>
            <w:tcW w:w="2375" w:type="pct"/>
            <w:tcBorders>
              <w:top w:val="single" w:sz="4" w:space="0" w:color="auto"/>
              <w:left w:val="single" w:sz="4" w:space="0" w:color="auto"/>
              <w:bottom w:val="single" w:sz="4" w:space="0" w:color="auto"/>
              <w:right w:val="single" w:sz="4" w:space="0" w:color="auto"/>
            </w:tcBorders>
            <w:hideMark/>
          </w:tcPr>
          <w:p w14:paraId="7300133B" w14:textId="77777777" w:rsidR="0031683A" w:rsidRPr="002126A3" w:rsidRDefault="0031683A">
            <w:pPr>
              <w:pStyle w:val="A-TableText"/>
              <w:tabs>
                <w:tab w:val="left" w:pos="0"/>
              </w:tabs>
              <w:spacing w:before="0" w:after="0"/>
              <w:rPr>
                <w:sz w:val="24"/>
                <w:szCs w:val="24"/>
              </w:rPr>
            </w:pPr>
            <w:proofErr w:type="spellStart"/>
            <w:r w:rsidRPr="002126A3">
              <w:rPr>
                <w:sz w:val="24"/>
                <w:szCs w:val="24"/>
              </w:rPr>
              <w:t>Pancytopeni</w:t>
            </w:r>
            <w:proofErr w:type="spellEnd"/>
          </w:p>
        </w:tc>
      </w:tr>
      <w:tr w:rsidR="0031683A" w:rsidRPr="002126A3" w14:paraId="1A10E741" w14:textId="77777777" w:rsidTr="007758B3">
        <w:trPr>
          <w:cantSplit/>
        </w:trPr>
        <w:tc>
          <w:tcPr>
            <w:tcW w:w="1158" w:type="pct"/>
            <w:vMerge w:val="restart"/>
            <w:tcBorders>
              <w:top w:val="single" w:sz="4" w:space="0" w:color="auto"/>
              <w:left w:val="single" w:sz="4" w:space="0" w:color="auto"/>
              <w:bottom w:val="single" w:sz="4" w:space="0" w:color="auto"/>
              <w:right w:val="single" w:sz="4" w:space="0" w:color="auto"/>
            </w:tcBorders>
            <w:hideMark/>
          </w:tcPr>
          <w:p w14:paraId="3314C76B" w14:textId="77777777" w:rsidR="0031683A" w:rsidRPr="002126A3" w:rsidRDefault="0031683A">
            <w:pPr>
              <w:pStyle w:val="A-TableText"/>
              <w:tabs>
                <w:tab w:val="left" w:pos="0"/>
              </w:tabs>
              <w:spacing w:before="0" w:after="0"/>
              <w:rPr>
                <w:sz w:val="24"/>
                <w:szCs w:val="24"/>
              </w:rPr>
            </w:pPr>
            <w:r w:rsidRPr="002126A3">
              <w:rPr>
                <w:sz w:val="24"/>
                <w:szCs w:val="24"/>
              </w:rPr>
              <w:t>Immunsystemet</w:t>
            </w:r>
          </w:p>
        </w:tc>
        <w:tc>
          <w:tcPr>
            <w:tcW w:w="1467" w:type="pct"/>
            <w:tcBorders>
              <w:top w:val="single" w:sz="4" w:space="0" w:color="auto"/>
              <w:left w:val="single" w:sz="4" w:space="0" w:color="auto"/>
              <w:bottom w:val="single" w:sz="4" w:space="0" w:color="auto"/>
              <w:right w:val="single" w:sz="4" w:space="0" w:color="auto"/>
            </w:tcBorders>
            <w:hideMark/>
          </w:tcPr>
          <w:p w14:paraId="3F33210C" w14:textId="77777777" w:rsidR="0031683A" w:rsidRPr="002126A3" w:rsidRDefault="0031683A">
            <w:pPr>
              <w:pStyle w:val="A-TableText"/>
              <w:tabs>
                <w:tab w:val="left" w:pos="0"/>
              </w:tabs>
              <w:spacing w:before="0" w:after="0"/>
              <w:rPr>
                <w:sz w:val="24"/>
                <w:szCs w:val="24"/>
              </w:rPr>
            </w:pPr>
            <w:r w:rsidRPr="002126A3">
              <w:rPr>
                <w:sz w:val="24"/>
                <w:szCs w:val="24"/>
              </w:rPr>
              <w:t>Almindelig</w:t>
            </w:r>
          </w:p>
        </w:tc>
        <w:tc>
          <w:tcPr>
            <w:tcW w:w="2375" w:type="pct"/>
            <w:tcBorders>
              <w:top w:val="single" w:sz="4" w:space="0" w:color="auto"/>
              <w:left w:val="single" w:sz="4" w:space="0" w:color="auto"/>
              <w:bottom w:val="single" w:sz="4" w:space="0" w:color="auto"/>
              <w:right w:val="single" w:sz="4" w:space="0" w:color="auto"/>
            </w:tcBorders>
            <w:hideMark/>
          </w:tcPr>
          <w:p w14:paraId="2787A6A6" w14:textId="77777777" w:rsidR="0031683A" w:rsidRPr="002126A3" w:rsidRDefault="0031683A">
            <w:pPr>
              <w:pStyle w:val="A-TableText"/>
              <w:tabs>
                <w:tab w:val="left" w:pos="0"/>
              </w:tabs>
              <w:spacing w:before="0" w:after="0"/>
              <w:rPr>
                <w:sz w:val="24"/>
                <w:szCs w:val="24"/>
              </w:rPr>
            </w:pPr>
            <w:r w:rsidRPr="002126A3">
              <w:rPr>
                <w:sz w:val="24"/>
                <w:szCs w:val="24"/>
              </w:rPr>
              <w:t>Sepsis</w:t>
            </w:r>
          </w:p>
        </w:tc>
      </w:tr>
      <w:tr w:rsidR="0031683A" w:rsidRPr="002126A3" w14:paraId="73D184EA" w14:textId="77777777" w:rsidTr="007758B3">
        <w:trPr>
          <w:cantSplit/>
        </w:trPr>
        <w:tc>
          <w:tcPr>
            <w:tcW w:w="1158" w:type="pct"/>
            <w:vMerge/>
            <w:tcBorders>
              <w:top w:val="single" w:sz="4" w:space="0" w:color="auto"/>
              <w:left w:val="single" w:sz="4" w:space="0" w:color="auto"/>
              <w:bottom w:val="single" w:sz="4" w:space="0" w:color="auto"/>
              <w:right w:val="single" w:sz="4" w:space="0" w:color="auto"/>
            </w:tcBorders>
            <w:vAlign w:val="center"/>
            <w:hideMark/>
          </w:tcPr>
          <w:p w14:paraId="15845DE4" w14:textId="77777777" w:rsidR="0031683A" w:rsidRPr="002126A3" w:rsidRDefault="0031683A">
            <w:pPr>
              <w:rPr>
                <w:sz w:val="24"/>
                <w:szCs w:val="24"/>
              </w:rPr>
            </w:pPr>
          </w:p>
        </w:tc>
        <w:tc>
          <w:tcPr>
            <w:tcW w:w="1467" w:type="pct"/>
            <w:tcBorders>
              <w:top w:val="single" w:sz="4" w:space="0" w:color="auto"/>
              <w:left w:val="single" w:sz="4" w:space="0" w:color="auto"/>
              <w:bottom w:val="single" w:sz="4" w:space="0" w:color="auto"/>
              <w:right w:val="single" w:sz="4" w:space="0" w:color="auto"/>
            </w:tcBorders>
            <w:hideMark/>
          </w:tcPr>
          <w:p w14:paraId="1212ACED" w14:textId="77777777" w:rsidR="0031683A" w:rsidRPr="002126A3" w:rsidRDefault="0031683A">
            <w:pPr>
              <w:pStyle w:val="A-TableText"/>
              <w:tabs>
                <w:tab w:val="left" w:pos="0"/>
              </w:tabs>
              <w:spacing w:before="0" w:after="0"/>
              <w:rPr>
                <w:sz w:val="24"/>
                <w:szCs w:val="24"/>
              </w:rPr>
            </w:pPr>
            <w:r w:rsidRPr="002126A3">
              <w:rPr>
                <w:sz w:val="24"/>
                <w:szCs w:val="24"/>
              </w:rPr>
              <w:t>Ikke kendt</w:t>
            </w:r>
          </w:p>
        </w:tc>
        <w:tc>
          <w:tcPr>
            <w:tcW w:w="2375" w:type="pct"/>
            <w:tcBorders>
              <w:top w:val="single" w:sz="4" w:space="0" w:color="auto"/>
              <w:left w:val="single" w:sz="4" w:space="0" w:color="auto"/>
              <w:bottom w:val="single" w:sz="4" w:space="0" w:color="auto"/>
              <w:right w:val="single" w:sz="4" w:space="0" w:color="auto"/>
            </w:tcBorders>
            <w:hideMark/>
          </w:tcPr>
          <w:p w14:paraId="7180C34E" w14:textId="77777777" w:rsidR="0031683A" w:rsidRPr="002126A3" w:rsidRDefault="0031683A">
            <w:pPr>
              <w:pStyle w:val="A-TableText"/>
              <w:tabs>
                <w:tab w:val="left" w:pos="0"/>
              </w:tabs>
              <w:spacing w:before="0" w:after="0"/>
              <w:rPr>
                <w:sz w:val="24"/>
                <w:szCs w:val="24"/>
              </w:rPr>
            </w:pPr>
            <w:r w:rsidRPr="002126A3">
              <w:rPr>
                <w:color w:val="000000"/>
                <w:sz w:val="24"/>
                <w:szCs w:val="24"/>
              </w:rPr>
              <w:t xml:space="preserve">Overfølsomhed (heriblandt </w:t>
            </w:r>
            <w:proofErr w:type="spellStart"/>
            <w:r w:rsidRPr="002126A3">
              <w:rPr>
                <w:color w:val="000000"/>
                <w:sz w:val="24"/>
                <w:szCs w:val="24"/>
              </w:rPr>
              <w:t>anafylaktiske</w:t>
            </w:r>
            <w:proofErr w:type="spellEnd"/>
            <w:r w:rsidRPr="002126A3">
              <w:rPr>
                <w:color w:val="000000"/>
                <w:sz w:val="24"/>
                <w:szCs w:val="24"/>
              </w:rPr>
              <w:t xml:space="preserve"> reaktioner), </w:t>
            </w:r>
            <w:proofErr w:type="spellStart"/>
            <w:r w:rsidRPr="002126A3">
              <w:rPr>
                <w:color w:val="000000"/>
                <w:sz w:val="24"/>
                <w:szCs w:val="24"/>
              </w:rPr>
              <w:t>anafylaktoide</w:t>
            </w:r>
            <w:proofErr w:type="spellEnd"/>
            <w:r w:rsidRPr="002126A3">
              <w:rPr>
                <w:color w:val="000000"/>
                <w:sz w:val="24"/>
                <w:szCs w:val="24"/>
              </w:rPr>
              <w:t xml:space="preserve"> reaktioner</w:t>
            </w:r>
          </w:p>
        </w:tc>
      </w:tr>
      <w:tr w:rsidR="0031683A" w:rsidRPr="002126A3" w14:paraId="28757457" w14:textId="77777777" w:rsidTr="007758B3">
        <w:trPr>
          <w:cantSplit/>
        </w:trPr>
        <w:tc>
          <w:tcPr>
            <w:tcW w:w="1158" w:type="pct"/>
            <w:tcBorders>
              <w:top w:val="single" w:sz="4" w:space="0" w:color="auto"/>
              <w:left w:val="single" w:sz="4" w:space="0" w:color="auto"/>
              <w:bottom w:val="single" w:sz="4" w:space="0" w:color="auto"/>
              <w:right w:val="single" w:sz="4" w:space="0" w:color="auto"/>
            </w:tcBorders>
            <w:hideMark/>
          </w:tcPr>
          <w:p w14:paraId="47E4EF55" w14:textId="77777777" w:rsidR="0031683A" w:rsidRPr="002126A3" w:rsidRDefault="0031683A">
            <w:pPr>
              <w:pStyle w:val="A-TableText"/>
              <w:tabs>
                <w:tab w:val="left" w:pos="0"/>
              </w:tabs>
              <w:spacing w:before="0" w:after="0"/>
              <w:rPr>
                <w:sz w:val="24"/>
                <w:szCs w:val="24"/>
              </w:rPr>
            </w:pPr>
            <w:r w:rsidRPr="002126A3">
              <w:rPr>
                <w:sz w:val="24"/>
                <w:szCs w:val="24"/>
              </w:rPr>
              <w:t>Det endokrine system</w:t>
            </w:r>
          </w:p>
        </w:tc>
        <w:tc>
          <w:tcPr>
            <w:tcW w:w="1467" w:type="pct"/>
            <w:tcBorders>
              <w:top w:val="single" w:sz="4" w:space="0" w:color="auto"/>
              <w:left w:val="single" w:sz="4" w:space="0" w:color="auto"/>
              <w:bottom w:val="single" w:sz="4" w:space="0" w:color="auto"/>
              <w:right w:val="single" w:sz="4" w:space="0" w:color="auto"/>
            </w:tcBorders>
            <w:hideMark/>
          </w:tcPr>
          <w:p w14:paraId="34BE6021" w14:textId="77777777" w:rsidR="0031683A" w:rsidRPr="002126A3" w:rsidRDefault="0031683A">
            <w:pPr>
              <w:pStyle w:val="A-TableText"/>
              <w:tabs>
                <w:tab w:val="left" w:pos="0"/>
              </w:tabs>
              <w:spacing w:before="0" w:after="0"/>
              <w:rPr>
                <w:sz w:val="24"/>
                <w:szCs w:val="24"/>
              </w:rPr>
            </w:pPr>
            <w:r w:rsidRPr="002126A3">
              <w:rPr>
                <w:sz w:val="24"/>
                <w:szCs w:val="24"/>
              </w:rPr>
              <w:t>Ikke kendt</w:t>
            </w:r>
          </w:p>
        </w:tc>
        <w:tc>
          <w:tcPr>
            <w:tcW w:w="2375" w:type="pct"/>
            <w:tcBorders>
              <w:top w:val="single" w:sz="4" w:space="0" w:color="auto"/>
              <w:left w:val="single" w:sz="4" w:space="0" w:color="auto"/>
              <w:bottom w:val="single" w:sz="4" w:space="0" w:color="auto"/>
              <w:right w:val="single" w:sz="4" w:space="0" w:color="auto"/>
            </w:tcBorders>
            <w:hideMark/>
          </w:tcPr>
          <w:p w14:paraId="067A9A13" w14:textId="77777777" w:rsidR="0031683A" w:rsidRPr="002126A3" w:rsidRDefault="0031683A">
            <w:pPr>
              <w:pStyle w:val="A-TableText"/>
              <w:tabs>
                <w:tab w:val="left" w:pos="0"/>
              </w:tabs>
              <w:spacing w:before="0" w:after="0"/>
              <w:rPr>
                <w:color w:val="000000"/>
                <w:sz w:val="24"/>
                <w:szCs w:val="24"/>
              </w:rPr>
            </w:pPr>
            <w:r w:rsidRPr="002126A3">
              <w:rPr>
                <w:sz w:val="24"/>
                <w:szCs w:val="24"/>
              </w:rPr>
              <w:t xml:space="preserve">Diabetes </w:t>
            </w:r>
            <w:proofErr w:type="spellStart"/>
            <w:r w:rsidRPr="002126A3">
              <w:rPr>
                <w:sz w:val="24"/>
                <w:szCs w:val="24"/>
              </w:rPr>
              <w:t>insipidus</w:t>
            </w:r>
            <w:proofErr w:type="spellEnd"/>
          </w:p>
        </w:tc>
      </w:tr>
      <w:tr w:rsidR="0031683A" w:rsidRPr="002126A3" w14:paraId="0A88C773" w14:textId="77777777" w:rsidTr="007758B3">
        <w:trPr>
          <w:cantSplit/>
        </w:trPr>
        <w:tc>
          <w:tcPr>
            <w:tcW w:w="1158" w:type="pct"/>
            <w:vMerge w:val="restart"/>
            <w:tcBorders>
              <w:top w:val="single" w:sz="4" w:space="0" w:color="auto"/>
              <w:left w:val="single" w:sz="4" w:space="0" w:color="auto"/>
              <w:bottom w:val="single" w:sz="4" w:space="0" w:color="auto"/>
              <w:right w:val="single" w:sz="4" w:space="0" w:color="auto"/>
            </w:tcBorders>
            <w:hideMark/>
          </w:tcPr>
          <w:p w14:paraId="3CFCF23E" w14:textId="77777777" w:rsidR="0031683A" w:rsidRPr="002126A3" w:rsidRDefault="0031683A">
            <w:pPr>
              <w:pStyle w:val="A-TableText"/>
              <w:tabs>
                <w:tab w:val="left" w:pos="0"/>
              </w:tabs>
              <w:spacing w:before="0" w:after="0"/>
              <w:rPr>
                <w:sz w:val="24"/>
                <w:szCs w:val="24"/>
              </w:rPr>
            </w:pPr>
            <w:r w:rsidRPr="002126A3">
              <w:rPr>
                <w:sz w:val="24"/>
                <w:szCs w:val="24"/>
              </w:rPr>
              <w:t>Metabolisme og ernæring</w:t>
            </w:r>
          </w:p>
        </w:tc>
        <w:tc>
          <w:tcPr>
            <w:tcW w:w="1467" w:type="pct"/>
            <w:tcBorders>
              <w:top w:val="single" w:sz="4" w:space="0" w:color="auto"/>
              <w:left w:val="single" w:sz="4" w:space="0" w:color="auto"/>
              <w:bottom w:val="single" w:sz="4" w:space="0" w:color="auto"/>
              <w:right w:val="single" w:sz="4" w:space="0" w:color="auto"/>
            </w:tcBorders>
            <w:hideMark/>
          </w:tcPr>
          <w:p w14:paraId="4EE5F6AF" w14:textId="77777777" w:rsidR="0031683A" w:rsidRPr="002126A3" w:rsidRDefault="0031683A">
            <w:pPr>
              <w:pStyle w:val="A-TableText"/>
              <w:tabs>
                <w:tab w:val="left" w:pos="0"/>
              </w:tabs>
              <w:spacing w:before="0" w:after="0"/>
              <w:rPr>
                <w:sz w:val="24"/>
                <w:szCs w:val="24"/>
              </w:rPr>
            </w:pPr>
            <w:r w:rsidRPr="002126A3">
              <w:rPr>
                <w:sz w:val="24"/>
                <w:szCs w:val="24"/>
              </w:rPr>
              <w:t>Meget almindelig</w:t>
            </w:r>
          </w:p>
        </w:tc>
        <w:tc>
          <w:tcPr>
            <w:tcW w:w="2375" w:type="pct"/>
            <w:tcBorders>
              <w:top w:val="single" w:sz="4" w:space="0" w:color="auto"/>
              <w:left w:val="single" w:sz="4" w:space="0" w:color="auto"/>
              <w:bottom w:val="single" w:sz="4" w:space="0" w:color="auto"/>
              <w:right w:val="single" w:sz="4" w:space="0" w:color="auto"/>
            </w:tcBorders>
            <w:hideMark/>
          </w:tcPr>
          <w:p w14:paraId="67358052" w14:textId="77777777" w:rsidR="0031683A" w:rsidRPr="002126A3" w:rsidRDefault="0031683A">
            <w:pPr>
              <w:pStyle w:val="A-TableText"/>
              <w:tabs>
                <w:tab w:val="left" w:pos="0"/>
              </w:tabs>
              <w:spacing w:before="0" w:after="0"/>
              <w:rPr>
                <w:sz w:val="24"/>
                <w:szCs w:val="24"/>
              </w:rPr>
            </w:pPr>
            <w:r w:rsidRPr="002126A3">
              <w:rPr>
                <w:sz w:val="24"/>
                <w:szCs w:val="24"/>
              </w:rPr>
              <w:t xml:space="preserve">Nedsat appetit, </w:t>
            </w:r>
            <w:proofErr w:type="spellStart"/>
            <w:r w:rsidRPr="002126A3">
              <w:rPr>
                <w:sz w:val="24"/>
                <w:szCs w:val="24"/>
              </w:rPr>
              <w:t>hypokaliæmi</w:t>
            </w:r>
            <w:proofErr w:type="spellEnd"/>
            <w:r w:rsidRPr="002126A3">
              <w:rPr>
                <w:sz w:val="24"/>
                <w:szCs w:val="24"/>
              </w:rPr>
              <w:t xml:space="preserve">, </w:t>
            </w:r>
            <w:proofErr w:type="spellStart"/>
            <w:r w:rsidRPr="002126A3">
              <w:rPr>
                <w:sz w:val="24"/>
                <w:szCs w:val="24"/>
              </w:rPr>
              <w:t>hypomagnesæmi</w:t>
            </w:r>
            <w:proofErr w:type="spellEnd"/>
            <w:r w:rsidRPr="002126A3">
              <w:rPr>
                <w:sz w:val="24"/>
                <w:szCs w:val="24"/>
              </w:rPr>
              <w:t xml:space="preserve">, </w:t>
            </w:r>
            <w:proofErr w:type="spellStart"/>
            <w:r w:rsidRPr="002126A3">
              <w:rPr>
                <w:sz w:val="24"/>
                <w:szCs w:val="24"/>
              </w:rPr>
              <w:t>hypocalcæmi</w:t>
            </w:r>
            <w:proofErr w:type="spellEnd"/>
            <w:r w:rsidRPr="002126A3">
              <w:rPr>
                <w:sz w:val="24"/>
                <w:szCs w:val="24"/>
              </w:rPr>
              <w:t xml:space="preserve"> </w:t>
            </w:r>
          </w:p>
        </w:tc>
      </w:tr>
      <w:tr w:rsidR="0031683A" w:rsidRPr="002126A3" w14:paraId="70A9CE84" w14:textId="77777777" w:rsidTr="007758B3">
        <w:trPr>
          <w:cantSplit/>
        </w:trPr>
        <w:tc>
          <w:tcPr>
            <w:tcW w:w="1158" w:type="pct"/>
            <w:vMerge/>
            <w:tcBorders>
              <w:top w:val="single" w:sz="4" w:space="0" w:color="auto"/>
              <w:left w:val="single" w:sz="4" w:space="0" w:color="auto"/>
              <w:bottom w:val="single" w:sz="4" w:space="0" w:color="auto"/>
              <w:right w:val="single" w:sz="4" w:space="0" w:color="auto"/>
            </w:tcBorders>
            <w:vAlign w:val="center"/>
            <w:hideMark/>
          </w:tcPr>
          <w:p w14:paraId="3C582B58" w14:textId="77777777" w:rsidR="0031683A" w:rsidRPr="002126A3" w:rsidRDefault="0031683A">
            <w:pPr>
              <w:rPr>
                <w:sz w:val="24"/>
                <w:szCs w:val="24"/>
              </w:rPr>
            </w:pPr>
          </w:p>
        </w:tc>
        <w:tc>
          <w:tcPr>
            <w:tcW w:w="1467" w:type="pct"/>
            <w:tcBorders>
              <w:top w:val="single" w:sz="4" w:space="0" w:color="auto"/>
              <w:left w:val="single" w:sz="4" w:space="0" w:color="auto"/>
              <w:bottom w:val="single" w:sz="4" w:space="0" w:color="auto"/>
              <w:right w:val="single" w:sz="4" w:space="0" w:color="auto"/>
            </w:tcBorders>
            <w:hideMark/>
          </w:tcPr>
          <w:p w14:paraId="1D839B06" w14:textId="77777777" w:rsidR="0031683A" w:rsidRPr="002126A3" w:rsidRDefault="0031683A">
            <w:pPr>
              <w:pStyle w:val="A-TableText"/>
              <w:tabs>
                <w:tab w:val="left" w:pos="0"/>
              </w:tabs>
              <w:spacing w:before="0" w:after="0"/>
              <w:rPr>
                <w:sz w:val="24"/>
                <w:szCs w:val="24"/>
              </w:rPr>
            </w:pPr>
            <w:r w:rsidRPr="002126A3">
              <w:rPr>
                <w:sz w:val="24"/>
                <w:szCs w:val="24"/>
              </w:rPr>
              <w:t xml:space="preserve">Almindelig </w:t>
            </w:r>
          </w:p>
        </w:tc>
        <w:tc>
          <w:tcPr>
            <w:tcW w:w="2375" w:type="pct"/>
            <w:tcBorders>
              <w:top w:val="single" w:sz="4" w:space="0" w:color="auto"/>
              <w:left w:val="single" w:sz="4" w:space="0" w:color="auto"/>
              <w:bottom w:val="single" w:sz="4" w:space="0" w:color="auto"/>
              <w:right w:val="single" w:sz="4" w:space="0" w:color="auto"/>
            </w:tcBorders>
            <w:hideMark/>
          </w:tcPr>
          <w:p w14:paraId="5CDEF6AA" w14:textId="77777777" w:rsidR="0031683A" w:rsidRPr="002126A3" w:rsidRDefault="0031683A">
            <w:pPr>
              <w:pStyle w:val="A-TableText"/>
              <w:tabs>
                <w:tab w:val="left" w:pos="0"/>
              </w:tabs>
              <w:spacing w:before="0" w:after="0"/>
              <w:rPr>
                <w:sz w:val="24"/>
                <w:szCs w:val="24"/>
              </w:rPr>
            </w:pPr>
            <w:proofErr w:type="spellStart"/>
            <w:r w:rsidRPr="002126A3">
              <w:rPr>
                <w:sz w:val="24"/>
                <w:szCs w:val="24"/>
              </w:rPr>
              <w:t>Hyperfosfatæmi</w:t>
            </w:r>
            <w:proofErr w:type="spellEnd"/>
            <w:r w:rsidRPr="002126A3">
              <w:rPr>
                <w:sz w:val="24"/>
                <w:szCs w:val="24"/>
              </w:rPr>
              <w:t xml:space="preserve">, </w:t>
            </w:r>
            <w:proofErr w:type="spellStart"/>
            <w:r w:rsidRPr="002126A3">
              <w:rPr>
                <w:sz w:val="24"/>
                <w:szCs w:val="24"/>
              </w:rPr>
              <w:t>hyponatriæmi</w:t>
            </w:r>
            <w:proofErr w:type="spellEnd"/>
            <w:r w:rsidRPr="002126A3">
              <w:rPr>
                <w:sz w:val="24"/>
                <w:szCs w:val="24"/>
              </w:rPr>
              <w:t xml:space="preserve">, </w:t>
            </w:r>
            <w:proofErr w:type="spellStart"/>
            <w:r w:rsidRPr="002126A3">
              <w:rPr>
                <w:sz w:val="24"/>
                <w:szCs w:val="24"/>
              </w:rPr>
              <w:t>hypofosfatæmi</w:t>
            </w:r>
            <w:proofErr w:type="spellEnd"/>
            <w:r w:rsidRPr="002126A3">
              <w:rPr>
                <w:sz w:val="24"/>
                <w:szCs w:val="24"/>
              </w:rPr>
              <w:t xml:space="preserve">, forhøjet alkalisk fosfatase i blodet, øget </w:t>
            </w:r>
            <w:proofErr w:type="spellStart"/>
            <w:r w:rsidRPr="002126A3">
              <w:rPr>
                <w:sz w:val="24"/>
                <w:szCs w:val="24"/>
              </w:rPr>
              <w:t>lactatdehydrogenase</w:t>
            </w:r>
            <w:proofErr w:type="spellEnd"/>
            <w:r w:rsidRPr="002126A3">
              <w:rPr>
                <w:sz w:val="24"/>
                <w:szCs w:val="24"/>
              </w:rPr>
              <w:t xml:space="preserve"> i blodet, </w:t>
            </w:r>
            <w:proofErr w:type="spellStart"/>
            <w:r w:rsidRPr="002126A3">
              <w:rPr>
                <w:sz w:val="24"/>
                <w:szCs w:val="24"/>
              </w:rPr>
              <w:t>hyperkalcæmi</w:t>
            </w:r>
            <w:proofErr w:type="spellEnd"/>
            <w:r w:rsidRPr="002126A3">
              <w:rPr>
                <w:sz w:val="24"/>
                <w:szCs w:val="24"/>
              </w:rPr>
              <w:t>, dehydrering</w:t>
            </w:r>
          </w:p>
        </w:tc>
      </w:tr>
      <w:tr w:rsidR="0031683A" w:rsidRPr="002126A3" w14:paraId="3777980B" w14:textId="77777777" w:rsidTr="007758B3">
        <w:trPr>
          <w:cantSplit/>
        </w:trPr>
        <w:tc>
          <w:tcPr>
            <w:tcW w:w="1158" w:type="pct"/>
            <w:vMerge/>
            <w:tcBorders>
              <w:top w:val="single" w:sz="4" w:space="0" w:color="auto"/>
              <w:left w:val="single" w:sz="4" w:space="0" w:color="auto"/>
              <w:bottom w:val="single" w:sz="4" w:space="0" w:color="auto"/>
              <w:right w:val="single" w:sz="4" w:space="0" w:color="auto"/>
            </w:tcBorders>
            <w:vAlign w:val="center"/>
            <w:hideMark/>
          </w:tcPr>
          <w:p w14:paraId="3D649A56" w14:textId="77777777" w:rsidR="0031683A" w:rsidRPr="002126A3" w:rsidRDefault="0031683A">
            <w:pPr>
              <w:rPr>
                <w:sz w:val="24"/>
                <w:szCs w:val="24"/>
              </w:rPr>
            </w:pPr>
          </w:p>
        </w:tc>
        <w:tc>
          <w:tcPr>
            <w:tcW w:w="1467" w:type="pct"/>
            <w:tcBorders>
              <w:top w:val="single" w:sz="4" w:space="0" w:color="auto"/>
              <w:left w:val="single" w:sz="4" w:space="0" w:color="auto"/>
              <w:bottom w:val="single" w:sz="4" w:space="0" w:color="auto"/>
              <w:right w:val="single" w:sz="4" w:space="0" w:color="auto"/>
            </w:tcBorders>
            <w:hideMark/>
          </w:tcPr>
          <w:p w14:paraId="57819CCC" w14:textId="77777777" w:rsidR="0031683A" w:rsidRPr="002126A3" w:rsidRDefault="0031683A">
            <w:pPr>
              <w:pStyle w:val="A-TableText"/>
              <w:tabs>
                <w:tab w:val="left" w:pos="0"/>
              </w:tabs>
              <w:spacing w:before="0" w:after="0"/>
              <w:rPr>
                <w:sz w:val="24"/>
                <w:szCs w:val="24"/>
              </w:rPr>
            </w:pPr>
            <w:r w:rsidRPr="002126A3">
              <w:rPr>
                <w:sz w:val="24"/>
                <w:szCs w:val="24"/>
              </w:rPr>
              <w:t xml:space="preserve">Ikke almindelig </w:t>
            </w:r>
          </w:p>
        </w:tc>
        <w:tc>
          <w:tcPr>
            <w:tcW w:w="2375" w:type="pct"/>
            <w:tcBorders>
              <w:top w:val="single" w:sz="4" w:space="0" w:color="auto"/>
              <w:left w:val="single" w:sz="4" w:space="0" w:color="auto"/>
              <w:bottom w:val="single" w:sz="4" w:space="0" w:color="auto"/>
              <w:right w:val="single" w:sz="4" w:space="0" w:color="auto"/>
            </w:tcBorders>
            <w:hideMark/>
          </w:tcPr>
          <w:p w14:paraId="226929DC" w14:textId="77777777" w:rsidR="0031683A" w:rsidRPr="002126A3" w:rsidRDefault="0031683A">
            <w:pPr>
              <w:pStyle w:val="A-TableText"/>
              <w:tabs>
                <w:tab w:val="left" w:pos="0"/>
              </w:tabs>
              <w:spacing w:before="0" w:after="0"/>
              <w:rPr>
                <w:sz w:val="24"/>
                <w:szCs w:val="24"/>
              </w:rPr>
            </w:pPr>
            <w:proofErr w:type="spellStart"/>
            <w:r w:rsidRPr="002126A3">
              <w:rPr>
                <w:sz w:val="24"/>
                <w:szCs w:val="24"/>
              </w:rPr>
              <w:t>Acidose</w:t>
            </w:r>
            <w:proofErr w:type="spellEnd"/>
          </w:p>
        </w:tc>
      </w:tr>
      <w:tr w:rsidR="0031683A" w:rsidRPr="002126A3" w14:paraId="77E0229C" w14:textId="77777777" w:rsidTr="007758B3">
        <w:trPr>
          <w:cantSplit/>
        </w:trPr>
        <w:tc>
          <w:tcPr>
            <w:tcW w:w="1158" w:type="pct"/>
            <w:vMerge/>
            <w:tcBorders>
              <w:top w:val="single" w:sz="4" w:space="0" w:color="auto"/>
              <w:left w:val="single" w:sz="4" w:space="0" w:color="auto"/>
              <w:bottom w:val="single" w:sz="4" w:space="0" w:color="auto"/>
              <w:right w:val="single" w:sz="4" w:space="0" w:color="auto"/>
            </w:tcBorders>
            <w:vAlign w:val="center"/>
            <w:hideMark/>
          </w:tcPr>
          <w:p w14:paraId="02109D8A" w14:textId="77777777" w:rsidR="0031683A" w:rsidRPr="002126A3" w:rsidRDefault="0031683A">
            <w:pPr>
              <w:rPr>
                <w:sz w:val="24"/>
                <w:szCs w:val="24"/>
              </w:rPr>
            </w:pPr>
          </w:p>
        </w:tc>
        <w:tc>
          <w:tcPr>
            <w:tcW w:w="1467" w:type="pct"/>
            <w:tcBorders>
              <w:top w:val="single" w:sz="4" w:space="0" w:color="auto"/>
              <w:left w:val="single" w:sz="4" w:space="0" w:color="auto"/>
              <w:bottom w:val="single" w:sz="4" w:space="0" w:color="auto"/>
              <w:right w:val="single" w:sz="4" w:space="0" w:color="auto"/>
            </w:tcBorders>
            <w:hideMark/>
          </w:tcPr>
          <w:p w14:paraId="52786BCE" w14:textId="77777777" w:rsidR="0031683A" w:rsidRPr="002126A3" w:rsidRDefault="0031683A">
            <w:pPr>
              <w:pStyle w:val="A-TableText"/>
              <w:tabs>
                <w:tab w:val="left" w:pos="0"/>
              </w:tabs>
              <w:spacing w:before="0" w:after="0"/>
              <w:rPr>
                <w:sz w:val="24"/>
                <w:szCs w:val="24"/>
              </w:rPr>
            </w:pPr>
            <w:r w:rsidRPr="002126A3">
              <w:rPr>
                <w:sz w:val="24"/>
                <w:szCs w:val="24"/>
              </w:rPr>
              <w:t>Ikke kendt</w:t>
            </w:r>
          </w:p>
        </w:tc>
        <w:tc>
          <w:tcPr>
            <w:tcW w:w="2375" w:type="pct"/>
            <w:tcBorders>
              <w:top w:val="single" w:sz="4" w:space="0" w:color="auto"/>
              <w:left w:val="single" w:sz="4" w:space="0" w:color="auto"/>
              <w:bottom w:val="single" w:sz="4" w:space="0" w:color="auto"/>
              <w:right w:val="single" w:sz="4" w:space="0" w:color="auto"/>
            </w:tcBorders>
            <w:hideMark/>
          </w:tcPr>
          <w:p w14:paraId="70CCB246" w14:textId="77777777" w:rsidR="0031683A" w:rsidRPr="002126A3" w:rsidRDefault="0031683A">
            <w:pPr>
              <w:pStyle w:val="A-TableText"/>
              <w:tabs>
                <w:tab w:val="left" w:pos="0"/>
              </w:tabs>
              <w:spacing w:before="0" w:after="0"/>
              <w:rPr>
                <w:sz w:val="24"/>
                <w:szCs w:val="24"/>
              </w:rPr>
            </w:pPr>
            <w:proofErr w:type="spellStart"/>
            <w:r w:rsidRPr="002126A3">
              <w:rPr>
                <w:sz w:val="24"/>
                <w:szCs w:val="24"/>
              </w:rPr>
              <w:t>Hypernatriæmi</w:t>
            </w:r>
            <w:proofErr w:type="spellEnd"/>
          </w:p>
        </w:tc>
      </w:tr>
      <w:tr w:rsidR="0031683A" w:rsidRPr="002126A3" w14:paraId="55B7C3FE" w14:textId="77777777" w:rsidTr="007758B3">
        <w:trPr>
          <w:cantSplit/>
        </w:trPr>
        <w:tc>
          <w:tcPr>
            <w:tcW w:w="1158" w:type="pct"/>
            <w:tcBorders>
              <w:top w:val="single" w:sz="4" w:space="0" w:color="auto"/>
              <w:left w:val="single" w:sz="4" w:space="0" w:color="auto"/>
              <w:bottom w:val="single" w:sz="4" w:space="0" w:color="auto"/>
              <w:right w:val="single" w:sz="4" w:space="0" w:color="auto"/>
            </w:tcBorders>
            <w:hideMark/>
          </w:tcPr>
          <w:p w14:paraId="6C9CAC30" w14:textId="77777777" w:rsidR="0031683A" w:rsidRPr="002126A3" w:rsidRDefault="0031683A">
            <w:pPr>
              <w:pStyle w:val="A-TableText"/>
              <w:tabs>
                <w:tab w:val="left" w:pos="0"/>
              </w:tabs>
              <w:spacing w:before="0" w:after="0"/>
              <w:rPr>
                <w:sz w:val="24"/>
                <w:szCs w:val="24"/>
              </w:rPr>
            </w:pPr>
            <w:r w:rsidRPr="002126A3">
              <w:rPr>
                <w:sz w:val="24"/>
                <w:szCs w:val="24"/>
              </w:rPr>
              <w:t>Psykiske forstyrrelser</w:t>
            </w:r>
          </w:p>
        </w:tc>
        <w:tc>
          <w:tcPr>
            <w:tcW w:w="1467" w:type="pct"/>
            <w:tcBorders>
              <w:top w:val="single" w:sz="4" w:space="0" w:color="auto"/>
              <w:left w:val="single" w:sz="4" w:space="0" w:color="auto"/>
              <w:bottom w:val="single" w:sz="4" w:space="0" w:color="auto"/>
              <w:right w:val="single" w:sz="4" w:space="0" w:color="auto"/>
            </w:tcBorders>
            <w:hideMark/>
          </w:tcPr>
          <w:p w14:paraId="51868E78" w14:textId="77777777" w:rsidR="0031683A" w:rsidRPr="002126A3" w:rsidRDefault="0031683A">
            <w:pPr>
              <w:pStyle w:val="A-TableText"/>
              <w:tabs>
                <w:tab w:val="left" w:pos="0"/>
              </w:tabs>
              <w:spacing w:before="0" w:after="0"/>
              <w:rPr>
                <w:sz w:val="24"/>
                <w:szCs w:val="24"/>
              </w:rPr>
            </w:pPr>
            <w:r w:rsidRPr="002126A3">
              <w:rPr>
                <w:sz w:val="24"/>
                <w:szCs w:val="24"/>
              </w:rPr>
              <w:t xml:space="preserve">Almindelig </w:t>
            </w:r>
          </w:p>
        </w:tc>
        <w:tc>
          <w:tcPr>
            <w:tcW w:w="2375" w:type="pct"/>
            <w:tcBorders>
              <w:top w:val="single" w:sz="4" w:space="0" w:color="auto"/>
              <w:left w:val="single" w:sz="4" w:space="0" w:color="auto"/>
              <w:bottom w:val="single" w:sz="4" w:space="0" w:color="auto"/>
              <w:right w:val="single" w:sz="4" w:space="0" w:color="auto"/>
            </w:tcBorders>
            <w:hideMark/>
          </w:tcPr>
          <w:p w14:paraId="32147420" w14:textId="77777777" w:rsidR="0031683A" w:rsidRPr="002126A3" w:rsidRDefault="0031683A">
            <w:pPr>
              <w:pStyle w:val="A-TableText"/>
              <w:tabs>
                <w:tab w:val="left" w:pos="0"/>
              </w:tabs>
              <w:spacing w:before="0" w:after="0"/>
              <w:rPr>
                <w:sz w:val="24"/>
                <w:szCs w:val="24"/>
              </w:rPr>
            </w:pPr>
            <w:r w:rsidRPr="002126A3">
              <w:rPr>
                <w:sz w:val="24"/>
                <w:szCs w:val="24"/>
              </w:rPr>
              <w:t xml:space="preserve">Aggression, agitation, angst, forvirringstilstand, depression, nervøsitet </w:t>
            </w:r>
          </w:p>
        </w:tc>
      </w:tr>
      <w:tr w:rsidR="0031683A" w:rsidRPr="002126A3" w14:paraId="3BF13FEA" w14:textId="77777777" w:rsidTr="007758B3">
        <w:trPr>
          <w:cantSplit/>
        </w:trPr>
        <w:tc>
          <w:tcPr>
            <w:tcW w:w="1158" w:type="pct"/>
            <w:vMerge w:val="restart"/>
            <w:tcBorders>
              <w:top w:val="single" w:sz="4" w:space="0" w:color="auto"/>
              <w:left w:val="single" w:sz="4" w:space="0" w:color="auto"/>
              <w:bottom w:val="single" w:sz="4" w:space="0" w:color="auto"/>
              <w:right w:val="single" w:sz="4" w:space="0" w:color="auto"/>
            </w:tcBorders>
            <w:hideMark/>
          </w:tcPr>
          <w:p w14:paraId="05E6D559" w14:textId="77777777" w:rsidR="0031683A" w:rsidRPr="002126A3" w:rsidRDefault="0031683A">
            <w:pPr>
              <w:pStyle w:val="A-TableText"/>
              <w:tabs>
                <w:tab w:val="left" w:pos="0"/>
              </w:tabs>
              <w:spacing w:before="0" w:after="0"/>
              <w:rPr>
                <w:sz w:val="24"/>
                <w:szCs w:val="24"/>
              </w:rPr>
            </w:pPr>
            <w:r w:rsidRPr="002126A3">
              <w:rPr>
                <w:sz w:val="24"/>
                <w:szCs w:val="24"/>
              </w:rPr>
              <w:t>Nervesystemet</w:t>
            </w:r>
          </w:p>
        </w:tc>
        <w:tc>
          <w:tcPr>
            <w:tcW w:w="1467" w:type="pct"/>
            <w:tcBorders>
              <w:top w:val="single" w:sz="4" w:space="0" w:color="auto"/>
              <w:left w:val="single" w:sz="4" w:space="0" w:color="auto"/>
              <w:bottom w:val="single" w:sz="4" w:space="0" w:color="auto"/>
              <w:right w:val="single" w:sz="4" w:space="0" w:color="auto"/>
            </w:tcBorders>
            <w:hideMark/>
          </w:tcPr>
          <w:p w14:paraId="0393644B" w14:textId="77777777" w:rsidR="0031683A" w:rsidRPr="002126A3" w:rsidRDefault="0031683A">
            <w:pPr>
              <w:pStyle w:val="A-TableText"/>
              <w:tabs>
                <w:tab w:val="left" w:pos="0"/>
              </w:tabs>
              <w:spacing w:before="0" w:after="0"/>
              <w:rPr>
                <w:sz w:val="24"/>
                <w:szCs w:val="24"/>
              </w:rPr>
            </w:pPr>
            <w:r w:rsidRPr="002126A3">
              <w:rPr>
                <w:sz w:val="24"/>
                <w:szCs w:val="24"/>
              </w:rPr>
              <w:t>Meget almindelig</w:t>
            </w:r>
          </w:p>
        </w:tc>
        <w:tc>
          <w:tcPr>
            <w:tcW w:w="2375" w:type="pct"/>
            <w:tcBorders>
              <w:top w:val="single" w:sz="4" w:space="0" w:color="auto"/>
              <w:left w:val="single" w:sz="4" w:space="0" w:color="auto"/>
              <w:bottom w:val="single" w:sz="4" w:space="0" w:color="auto"/>
              <w:right w:val="single" w:sz="4" w:space="0" w:color="auto"/>
            </w:tcBorders>
            <w:hideMark/>
          </w:tcPr>
          <w:p w14:paraId="487B441F" w14:textId="77777777" w:rsidR="0031683A" w:rsidRPr="002126A3" w:rsidRDefault="0031683A">
            <w:pPr>
              <w:pStyle w:val="A-TableText"/>
              <w:tabs>
                <w:tab w:val="left" w:pos="0"/>
              </w:tabs>
              <w:spacing w:before="0" w:after="0"/>
              <w:rPr>
                <w:sz w:val="24"/>
                <w:szCs w:val="24"/>
              </w:rPr>
            </w:pPr>
            <w:r w:rsidRPr="002126A3">
              <w:rPr>
                <w:sz w:val="24"/>
                <w:szCs w:val="24"/>
              </w:rPr>
              <w:t xml:space="preserve">Svimmelhed, hovedpine, </w:t>
            </w:r>
            <w:proofErr w:type="spellStart"/>
            <w:r w:rsidRPr="002126A3">
              <w:rPr>
                <w:sz w:val="24"/>
                <w:szCs w:val="24"/>
              </w:rPr>
              <w:t>paræstesi</w:t>
            </w:r>
            <w:proofErr w:type="spellEnd"/>
          </w:p>
        </w:tc>
      </w:tr>
      <w:tr w:rsidR="0031683A" w:rsidRPr="002126A3" w14:paraId="697E5905" w14:textId="77777777" w:rsidTr="007758B3">
        <w:trPr>
          <w:cantSplit/>
        </w:trPr>
        <w:tc>
          <w:tcPr>
            <w:tcW w:w="1158" w:type="pct"/>
            <w:vMerge/>
            <w:tcBorders>
              <w:top w:val="single" w:sz="4" w:space="0" w:color="auto"/>
              <w:left w:val="single" w:sz="4" w:space="0" w:color="auto"/>
              <w:bottom w:val="single" w:sz="4" w:space="0" w:color="auto"/>
              <w:right w:val="single" w:sz="4" w:space="0" w:color="auto"/>
            </w:tcBorders>
            <w:vAlign w:val="center"/>
            <w:hideMark/>
          </w:tcPr>
          <w:p w14:paraId="312DC801" w14:textId="77777777" w:rsidR="0031683A" w:rsidRPr="002126A3" w:rsidRDefault="0031683A">
            <w:pPr>
              <w:rPr>
                <w:sz w:val="24"/>
                <w:szCs w:val="24"/>
              </w:rPr>
            </w:pPr>
          </w:p>
        </w:tc>
        <w:tc>
          <w:tcPr>
            <w:tcW w:w="1467" w:type="pct"/>
            <w:tcBorders>
              <w:top w:val="single" w:sz="4" w:space="0" w:color="auto"/>
              <w:left w:val="single" w:sz="4" w:space="0" w:color="auto"/>
              <w:bottom w:val="single" w:sz="4" w:space="0" w:color="auto"/>
              <w:right w:val="single" w:sz="4" w:space="0" w:color="auto"/>
            </w:tcBorders>
            <w:hideMark/>
          </w:tcPr>
          <w:p w14:paraId="445E9997" w14:textId="77777777" w:rsidR="0031683A" w:rsidRPr="002126A3" w:rsidRDefault="0031683A">
            <w:pPr>
              <w:pStyle w:val="A-TableText"/>
              <w:tabs>
                <w:tab w:val="left" w:pos="0"/>
              </w:tabs>
              <w:spacing w:before="0" w:after="0"/>
              <w:rPr>
                <w:sz w:val="24"/>
                <w:szCs w:val="24"/>
              </w:rPr>
            </w:pPr>
            <w:r w:rsidRPr="002126A3">
              <w:rPr>
                <w:sz w:val="24"/>
                <w:szCs w:val="24"/>
              </w:rPr>
              <w:t xml:space="preserve">Almindelig </w:t>
            </w:r>
          </w:p>
        </w:tc>
        <w:tc>
          <w:tcPr>
            <w:tcW w:w="2375" w:type="pct"/>
            <w:tcBorders>
              <w:top w:val="single" w:sz="4" w:space="0" w:color="auto"/>
              <w:left w:val="single" w:sz="4" w:space="0" w:color="auto"/>
              <w:bottom w:val="single" w:sz="4" w:space="0" w:color="auto"/>
              <w:right w:val="single" w:sz="4" w:space="0" w:color="auto"/>
            </w:tcBorders>
            <w:hideMark/>
          </w:tcPr>
          <w:p w14:paraId="7C371DC7" w14:textId="77777777" w:rsidR="0031683A" w:rsidRPr="002126A3" w:rsidRDefault="0031683A">
            <w:pPr>
              <w:pStyle w:val="A-TableText"/>
              <w:tabs>
                <w:tab w:val="left" w:pos="0"/>
              </w:tabs>
              <w:spacing w:before="0" w:after="0"/>
              <w:rPr>
                <w:sz w:val="24"/>
                <w:szCs w:val="24"/>
              </w:rPr>
            </w:pPr>
            <w:r w:rsidRPr="002126A3">
              <w:rPr>
                <w:sz w:val="24"/>
                <w:szCs w:val="24"/>
              </w:rPr>
              <w:t xml:space="preserve">Unormal koordination, krampeanfald, </w:t>
            </w:r>
            <w:proofErr w:type="spellStart"/>
            <w:r w:rsidRPr="002126A3">
              <w:rPr>
                <w:sz w:val="24"/>
                <w:szCs w:val="24"/>
              </w:rPr>
              <w:t>hypoæstesi</w:t>
            </w:r>
            <w:proofErr w:type="spellEnd"/>
            <w:r w:rsidRPr="002126A3">
              <w:rPr>
                <w:sz w:val="24"/>
                <w:szCs w:val="24"/>
              </w:rPr>
              <w:t xml:space="preserve">, ufrivillige muskelsammentrækninger, perifer </w:t>
            </w:r>
            <w:proofErr w:type="spellStart"/>
            <w:r w:rsidRPr="002126A3">
              <w:rPr>
                <w:sz w:val="24"/>
                <w:szCs w:val="24"/>
              </w:rPr>
              <w:t>neuropati</w:t>
            </w:r>
            <w:proofErr w:type="spellEnd"/>
            <w:r w:rsidRPr="002126A3">
              <w:rPr>
                <w:sz w:val="24"/>
                <w:szCs w:val="24"/>
              </w:rPr>
              <w:t xml:space="preserve">, </w:t>
            </w:r>
            <w:proofErr w:type="spellStart"/>
            <w:r w:rsidRPr="002126A3">
              <w:rPr>
                <w:sz w:val="24"/>
                <w:szCs w:val="24"/>
              </w:rPr>
              <w:t>tremor</w:t>
            </w:r>
            <w:proofErr w:type="spellEnd"/>
          </w:p>
        </w:tc>
      </w:tr>
      <w:tr w:rsidR="0031683A" w:rsidRPr="002126A3" w14:paraId="5A89F7AF" w14:textId="77777777" w:rsidTr="007758B3">
        <w:trPr>
          <w:cantSplit/>
        </w:trPr>
        <w:tc>
          <w:tcPr>
            <w:tcW w:w="1158" w:type="pct"/>
            <w:vMerge/>
            <w:tcBorders>
              <w:top w:val="single" w:sz="4" w:space="0" w:color="auto"/>
              <w:left w:val="single" w:sz="4" w:space="0" w:color="auto"/>
              <w:bottom w:val="single" w:sz="4" w:space="0" w:color="auto"/>
              <w:right w:val="single" w:sz="4" w:space="0" w:color="auto"/>
            </w:tcBorders>
            <w:vAlign w:val="center"/>
            <w:hideMark/>
          </w:tcPr>
          <w:p w14:paraId="2F2A0D3A" w14:textId="77777777" w:rsidR="0031683A" w:rsidRPr="002126A3" w:rsidRDefault="0031683A">
            <w:pPr>
              <w:rPr>
                <w:sz w:val="24"/>
                <w:szCs w:val="24"/>
              </w:rPr>
            </w:pPr>
          </w:p>
        </w:tc>
        <w:tc>
          <w:tcPr>
            <w:tcW w:w="1467" w:type="pct"/>
            <w:tcBorders>
              <w:top w:val="single" w:sz="4" w:space="0" w:color="auto"/>
              <w:left w:val="single" w:sz="4" w:space="0" w:color="auto"/>
              <w:bottom w:val="single" w:sz="4" w:space="0" w:color="auto"/>
              <w:right w:val="single" w:sz="4" w:space="0" w:color="auto"/>
            </w:tcBorders>
            <w:hideMark/>
          </w:tcPr>
          <w:p w14:paraId="7B4A3FEF" w14:textId="77777777" w:rsidR="0031683A" w:rsidRPr="002126A3" w:rsidRDefault="0031683A">
            <w:pPr>
              <w:pStyle w:val="A-TableText"/>
              <w:tabs>
                <w:tab w:val="left" w:pos="0"/>
              </w:tabs>
              <w:spacing w:before="0" w:after="0"/>
              <w:rPr>
                <w:sz w:val="24"/>
                <w:szCs w:val="24"/>
              </w:rPr>
            </w:pPr>
            <w:r w:rsidRPr="002126A3">
              <w:rPr>
                <w:sz w:val="24"/>
                <w:szCs w:val="24"/>
              </w:rPr>
              <w:t>Ikke kendt</w:t>
            </w:r>
          </w:p>
        </w:tc>
        <w:tc>
          <w:tcPr>
            <w:tcW w:w="2375" w:type="pct"/>
            <w:tcBorders>
              <w:top w:val="single" w:sz="4" w:space="0" w:color="auto"/>
              <w:left w:val="single" w:sz="4" w:space="0" w:color="auto"/>
              <w:bottom w:val="single" w:sz="4" w:space="0" w:color="auto"/>
              <w:right w:val="single" w:sz="4" w:space="0" w:color="auto"/>
            </w:tcBorders>
            <w:hideMark/>
          </w:tcPr>
          <w:p w14:paraId="6A83BA2B" w14:textId="77777777" w:rsidR="0031683A" w:rsidRPr="002126A3" w:rsidRDefault="0031683A">
            <w:pPr>
              <w:pStyle w:val="A-TableText"/>
              <w:tabs>
                <w:tab w:val="left" w:pos="0"/>
              </w:tabs>
              <w:spacing w:before="0" w:after="0"/>
              <w:rPr>
                <w:sz w:val="24"/>
                <w:szCs w:val="24"/>
              </w:rPr>
            </w:pPr>
            <w:proofErr w:type="spellStart"/>
            <w:r w:rsidRPr="002126A3">
              <w:rPr>
                <w:sz w:val="24"/>
                <w:szCs w:val="24"/>
              </w:rPr>
              <w:t>Encephalopati</w:t>
            </w:r>
            <w:proofErr w:type="spellEnd"/>
          </w:p>
        </w:tc>
      </w:tr>
      <w:tr w:rsidR="0031683A" w:rsidRPr="002126A3" w14:paraId="0CA5E90F" w14:textId="77777777" w:rsidTr="007758B3">
        <w:trPr>
          <w:cantSplit/>
        </w:trPr>
        <w:tc>
          <w:tcPr>
            <w:tcW w:w="1158" w:type="pct"/>
            <w:vMerge w:val="restart"/>
            <w:tcBorders>
              <w:top w:val="single" w:sz="4" w:space="0" w:color="auto"/>
              <w:left w:val="single" w:sz="4" w:space="0" w:color="auto"/>
              <w:bottom w:val="single" w:sz="4" w:space="0" w:color="auto"/>
              <w:right w:val="single" w:sz="4" w:space="0" w:color="auto"/>
            </w:tcBorders>
            <w:hideMark/>
          </w:tcPr>
          <w:p w14:paraId="79EFDC46" w14:textId="77777777" w:rsidR="0031683A" w:rsidRPr="002126A3" w:rsidRDefault="0031683A">
            <w:pPr>
              <w:pStyle w:val="A-TableText"/>
              <w:tabs>
                <w:tab w:val="left" w:pos="0"/>
              </w:tabs>
              <w:spacing w:before="0" w:after="0"/>
              <w:rPr>
                <w:sz w:val="24"/>
                <w:szCs w:val="24"/>
              </w:rPr>
            </w:pPr>
            <w:r w:rsidRPr="002126A3">
              <w:rPr>
                <w:sz w:val="24"/>
                <w:szCs w:val="24"/>
              </w:rPr>
              <w:t>Hjerte</w:t>
            </w:r>
          </w:p>
        </w:tc>
        <w:tc>
          <w:tcPr>
            <w:tcW w:w="1467" w:type="pct"/>
            <w:tcBorders>
              <w:top w:val="single" w:sz="4" w:space="0" w:color="auto"/>
              <w:left w:val="single" w:sz="4" w:space="0" w:color="auto"/>
              <w:bottom w:val="single" w:sz="4" w:space="0" w:color="auto"/>
              <w:right w:val="single" w:sz="4" w:space="0" w:color="auto"/>
            </w:tcBorders>
            <w:hideMark/>
          </w:tcPr>
          <w:p w14:paraId="01E25242" w14:textId="77777777" w:rsidR="0031683A" w:rsidRPr="002126A3" w:rsidRDefault="0031683A">
            <w:pPr>
              <w:pStyle w:val="A-TableText"/>
              <w:tabs>
                <w:tab w:val="left" w:pos="0"/>
              </w:tabs>
              <w:spacing w:before="0" w:after="0"/>
              <w:rPr>
                <w:sz w:val="24"/>
                <w:szCs w:val="24"/>
              </w:rPr>
            </w:pPr>
            <w:r w:rsidRPr="002126A3">
              <w:rPr>
                <w:sz w:val="24"/>
                <w:szCs w:val="24"/>
              </w:rPr>
              <w:t>Almindelig</w:t>
            </w:r>
          </w:p>
        </w:tc>
        <w:tc>
          <w:tcPr>
            <w:tcW w:w="2375" w:type="pct"/>
            <w:tcBorders>
              <w:top w:val="single" w:sz="4" w:space="0" w:color="auto"/>
              <w:left w:val="single" w:sz="4" w:space="0" w:color="auto"/>
              <w:bottom w:val="single" w:sz="4" w:space="0" w:color="auto"/>
              <w:right w:val="single" w:sz="4" w:space="0" w:color="auto"/>
            </w:tcBorders>
            <w:hideMark/>
          </w:tcPr>
          <w:p w14:paraId="627A65F2" w14:textId="77777777" w:rsidR="0031683A" w:rsidRPr="002126A3" w:rsidRDefault="0031683A">
            <w:pPr>
              <w:pStyle w:val="A-TableText"/>
              <w:tabs>
                <w:tab w:val="left" w:pos="0"/>
              </w:tabs>
              <w:spacing w:before="0" w:after="0"/>
              <w:rPr>
                <w:sz w:val="24"/>
                <w:szCs w:val="24"/>
              </w:rPr>
            </w:pPr>
            <w:r w:rsidRPr="002126A3">
              <w:rPr>
                <w:sz w:val="24"/>
                <w:szCs w:val="24"/>
              </w:rPr>
              <w:t xml:space="preserve">Hjertebanken, </w:t>
            </w:r>
            <w:proofErr w:type="spellStart"/>
            <w:r w:rsidRPr="002126A3">
              <w:rPr>
                <w:sz w:val="24"/>
                <w:szCs w:val="24"/>
              </w:rPr>
              <w:t>takykardi</w:t>
            </w:r>
            <w:proofErr w:type="spellEnd"/>
          </w:p>
        </w:tc>
      </w:tr>
      <w:tr w:rsidR="0031683A" w:rsidRPr="002126A3" w14:paraId="058D3A09" w14:textId="77777777" w:rsidTr="007758B3">
        <w:trPr>
          <w:cantSplit/>
        </w:trPr>
        <w:tc>
          <w:tcPr>
            <w:tcW w:w="1158" w:type="pct"/>
            <w:vMerge/>
            <w:tcBorders>
              <w:top w:val="single" w:sz="4" w:space="0" w:color="auto"/>
              <w:left w:val="single" w:sz="4" w:space="0" w:color="auto"/>
              <w:bottom w:val="single" w:sz="4" w:space="0" w:color="auto"/>
              <w:right w:val="single" w:sz="4" w:space="0" w:color="auto"/>
            </w:tcBorders>
            <w:vAlign w:val="center"/>
            <w:hideMark/>
          </w:tcPr>
          <w:p w14:paraId="53EA9D65" w14:textId="77777777" w:rsidR="0031683A" w:rsidRPr="002126A3" w:rsidRDefault="0031683A">
            <w:pPr>
              <w:rPr>
                <w:sz w:val="24"/>
                <w:szCs w:val="24"/>
              </w:rPr>
            </w:pPr>
          </w:p>
        </w:tc>
        <w:tc>
          <w:tcPr>
            <w:tcW w:w="1467" w:type="pct"/>
            <w:tcBorders>
              <w:top w:val="single" w:sz="4" w:space="0" w:color="auto"/>
              <w:left w:val="single" w:sz="4" w:space="0" w:color="auto"/>
              <w:bottom w:val="single" w:sz="4" w:space="0" w:color="auto"/>
              <w:right w:val="single" w:sz="4" w:space="0" w:color="auto"/>
            </w:tcBorders>
            <w:hideMark/>
          </w:tcPr>
          <w:p w14:paraId="6AA50754" w14:textId="77777777" w:rsidR="0031683A" w:rsidRPr="002126A3" w:rsidRDefault="0031683A">
            <w:pPr>
              <w:pStyle w:val="A-TableText"/>
              <w:tabs>
                <w:tab w:val="left" w:pos="0"/>
              </w:tabs>
              <w:spacing w:before="0" w:after="0"/>
              <w:rPr>
                <w:sz w:val="24"/>
                <w:szCs w:val="24"/>
              </w:rPr>
            </w:pPr>
            <w:r w:rsidRPr="002126A3">
              <w:rPr>
                <w:sz w:val="24"/>
                <w:szCs w:val="24"/>
              </w:rPr>
              <w:t>Ikke kendt</w:t>
            </w:r>
          </w:p>
        </w:tc>
        <w:tc>
          <w:tcPr>
            <w:tcW w:w="2375" w:type="pct"/>
            <w:tcBorders>
              <w:top w:val="single" w:sz="4" w:space="0" w:color="auto"/>
              <w:left w:val="single" w:sz="4" w:space="0" w:color="auto"/>
              <w:bottom w:val="single" w:sz="4" w:space="0" w:color="auto"/>
              <w:right w:val="single" w:sz="4" w:space="0" w:color="auto"/>
            </w:tcBorders>
            <w:hideMark/>
          </w:tcPr>
          <w:p w14:paraId="581700F9" w14:textId="77777777" w:rsidR="0031683A" w:rsidRPr="002126A3" w:rsidRDefault="0031683A">
            <w:pPr>
              <w:pStyle w:val="A-TableText"/>
              <w:tabs>
                <w:tab w:val="left" w:pos="0"/>
              </w:tabs>
              <w:spacing w:before="0" w:after="0"/>
              <w:rPr>
                <w:sz w:val="24"/>
                <w:szCs w:val="24"/>
              </w:rPr>
            </w:pPr>
            <w:r w:rsidRPr="002126A3">
              <w:rPr>
                <w:sz w:val="24"/>
                <w:szCs w:val="24"/>
              </w:rPr>
              <w:t xml:space="preserve">QT-forlængelse, </w:t>
            </w:r>
            <w:proofErr w:type="spellStart"/>
            <w:r w:rsidRPr="002126A3">
              <w:rPr>
                <w:sz w:val="24"/>
                <w:szCs w:val="24"/>
              </w:rPr>
              <w:t>ventrikulær</w:t>
            </w:r>
            <w:proofErr w:type="spellEnd"/>
            <w:r w:rsidRPr="002126A3">
              <w:rPr>
                <w:sz w:val="24"/>
                <w:szCs w:val="24"/>
              </w:rPr>
              <w:t xml:space="preserve"> </w:t>
            </w:r>
            <w:proofErr w:type="spellStart"/>
            <w:r w:rsidRPr="002126A3">
              <w:rPr>
                <w:sz w:val="24"/>
                <w:szCs w:val="24"/>
              </w:rPr>
              <w:t>arytmi</w:t>
            </w:r>
            <w:proofErr w:type="spellEnd"/>
            <w:r w:rsidRPr="002126A3">
              <w:rPr>
                <w:sz w:val="24"/>
                <w:szCs w:val="24"/>
              </w:rPr>
              <w:t xml:space="preserve">, </w:t>
            </w:r>
            <w:proofErr w:type="spellStart"/>
            <w:r w:rsidRPr="002126A3">
              <w:rPr>
                <w:sz w:val="24"/>
                <w:szCs w:val="24"/>
              </w:rPr>
              <w:t>torsades</w:t>
            </w:r>
            <w:proofErr w:type="spellEnd"/>
            <w:r w:rsidRPr="002126A3">
              <w:rPr>
                <w:sz w:val="24"/>
                <w:szCs w:val="24"/>
              </w:rPr>
              <w:t xml:space="preserve"> de pointes.</w:t>
            </w:r>
          </w:p>
        </w:tc>
      </w:tr>
      <w:tr w:rsidR="0031683A" w:rsidRPr="002126A3" w14:paraId="7409163B" w14:textId="77777777" w:rsidTr="007758B3">
        <w:trPr>
          <w:cantSplit/>
        </w:trPr>
        <w:tc>
          <w:tcPr>
            <w:tcW w:w="1158" w:type="pct"/>
            <w:tcBorders>
              <w:top w:val="single" w:sz="4" w:space="0" w:color="auto"/>
              <w:left w:val="single" w:sz="4" w:space="0" w:color="auto"/>
              <w:bottom w:val="single" w:sz="4" w:space="0" w:color="auto"/>
              <w:right w:val="single" w:sz="4" w:space="0" w:color="auto"/>
            </w:tcBorders>
            <w:hideMark/>
          </w:tcPr>
          <w:p w14:paraId="15F81C20" w14:textId="77777777" w:rsidR="0031683A" w:rsidRPr="002126A3" w:rsidRDefault="0031683A">
            <w:pPr>
              <w:pStyle w:val="A-TableText"/>
              <w:tabs>
                <w:tab w:val="left" w:pos="0"/>
              </w:tabs>
              <w:spacing w:before="0" w:after="0"/>
              <w:rPr>
                <w:sz w:val="24"/>
                <w:szCs w:val="24"/>
              </w:rPr>
            </w:pPr>
            <w:proofErr w:type="spellStart"/>
            <w:r w:rsidRPr="002126A3">
              <w:rPr>
                <w:sz w:val="24"/>
                <w:szCs w:val="24"/>
              </w:rPr>
              <w:t>Vaskulære</w:t>
            </w:r>
            <w:proofErr w:type="spellEnd"/>
            <w:r w:rsidRPr="002126A3">
              <w:rPr>
                <w:sz w:val="24"/>
                <w:szCs w:val="24"/>
              </w:rPr>
              <w:t xml:space="preserve"> sygdomme</w:t>
            </w:r>
          </w:p>
        </w:tc>
        <w:tc>
          <w:tcPr>
            <w:tcW w:w="1467" w:type="pct"/>
            <w:tcBorders>
              <w:top w:val="single" w:sz="4" w:space="0" w:color="auto"/>
              <w:left w:val="single" w:sz="4" w:space="0" w:color="auto"/>
              <w:bottom w:val="single" w:sz="4" w:space="0" w:color="auto"/>
              <w:right w:val="single" w:sz="4" w:space="0" w:color="auto"/>
            </w:tcBorders>
            <w:hideMark/>
          </w:tcPr>
          <w:p w14:paraId="6A5BBB95" w14:textId="77777777" w:rsidR="0031683A" w:rsidRPr="002126A3" w:rsidRDefault="0031683A">
            <w:pPr>
              <w:pStyle w:val="A-TableText"/>
              <w:tabs>
                <w:tab w:val="left" w:pos="0"/>
              </w:tabs>
              <w:spacing w:before="0" w:after="0"/>
              <w:rPr>
                <w:sz w:val="24"/>
                <w:szCs w:val="24"/>
              </w:rPr>
            </w:pPr>
            <w:r w:rsidRPr="002126A3">
              <w:rPr>
                <w:sz w:val="24"/>
                <w:szCs w:val="24"/>
              </w:rPr>
              <w:t>Almindelig</w:t>
            </w:r>
          </w:p>
        </w:tc>
        <w:tc>
          <w:tcPr>
            <w:tcW w:w="2375" w:type="pct"/>
            <w:tcBorders>
              <w:top w:val="single" w:sz="4" w:space="0" w:color="auto"/>
              <w:left w:val="single" w:sz="4" w:space="0" w:color="auto"/>
              <w:bottom w:val="single" w:sz="4" w:space="0" w:color="auto"/>
              <w:right w:val="single" w:sz="4" w:space="0" w:color="auto"/>
            </w:tcBorders>
            <w:hideMark/>
          </w:tcPr>
          <w:p w14:paraId="5C3839AA" w14:textId="77777777" w:rsidR="0031683A" w:rsidRPr="002126A3" w:rsidRDefault="0031683A">
            <w:pPr>
              <w:pStyle w:val="A-TableText"/>
              <w:tabs>
                <w:tab w:val="left" w:pos="0"/>
              </w:tabs>
              <w:spacing w:before="0" w:after="0"/>
              <w:rPr>
                <w:sz w:val="24"/>
                <w:szCs w:val="24"/>
              </w:rPr>
            </w:pPr>
            <w:r w:rsidRPr="002126A3">
              <w:rPr>
                <w:sz w:val="24"/>
                <w:szCs w:val="24"/>
              </w:rPr>
              <w:t xml:space="preserve">Hypertension, hypotension, </w:t>
            </w:r>
            <w:proofErr w:type="spellStart"/>
            <w:r w:rsidRPr="002126A3">
              <w:rPr>
                <w:sz w:val="24"/>
                <w:szCs w:val="24"/>
              </w:rPr>
              <w:t>tromboflebitis</w:t>
            </w:r>
            <w:r w:rsidRPr="002126A3">
              <w:rPr>
                <w:sz w:val="24"/>
                <w:szCs w:val="24"/>
                <w:vertAlign w:val="superscript"/>
              </w:rPr>
              <w:t>a</w:t>
            </w:r>
            <w:proofErr w:type="spellEnd"/>
            <w:r w:rsidRPr="002126A3">
              <w:rPr>
                <w:sz w:val="24"/>
                <w:szCs w:val="24"/>
              </w:rPr>
              <w:t xml:space="preserve"> </w:t>
            </w:r>
          </w:p>
        </w:tc>
      </w:tr>
      <w:tr w:rsidR="0031683A" w:rsidRPr="002126A3" w14:paraId="6C22FFC3" w14:textId="77777777" w:rsidTr="007758B3">
        <w:trPr>
          <w:cantSplit/>
        </w:trPr>
        <w:tc>
          <w:tcPr>
            <w:tcW w:w="1158" w:type="pct"/>
            <w:vMerge w:val="restart"/>
            <w:tcBorders>
              <w:top w:val="single" w:sz="4" w:space="0" w:color="auto"/>
              <w:left w:val="single" w:sz="4" w:space="0" w:color="auto"/>
              <w:bottom w:val="single" w:sz="4" w:space="0" w:color="auto"/>
              <w:right w:val="single" w:sz="4" w:space="0" w:color="auto"/>
            </w:tcBorders>
            <w:hideMark/>
          </w:tcPr>
          <w:p w14:paraId="1BA6CFB8" w14:textId="77777777" w:rsidR="0031683A" w:rsidRPr="002126A3" w:rsidRDefault="0031683A">
            <w:pPr>
              <w:pStyle w:val="A-TableText"/>
              <w:tabs>
                <w:tab w:val="left" w:pos="0"/>
              </w:tabs>
              <w:spacing w:before="0" w:after="0"/>
              <w:rPr>
                <w:sz w:val="24"/>
                <w:szCs w:val="24"/>
              </w:rPr>
            </w:pPr>
            <w:r w:rsidRPr="002126A3">
              <w:rPr>
                <w:sz w:val="24"/>
                <w:szCs w:val="24"/>
              </w:rPr>
              <w:t>Mave-tarm-kanalen</w:t>
            </w:r>
          </w:p>
        </w:tc>
        <w:tc>
          <w:tcPr>
            <w:tcW w:w="1467" w:type="pct"/>
            <w:tcBorders>
              <w:top w:val="single" w:sz="4" w:space="0" w:color="auto"/>
              <w:left w:val="single" w:sz="4" w:space="0" w:color="auto"/>
              <w:bottom w:val="single" w:sz="4" w:space="0" w:color="auto"/>
              <w:right w:val="single" w:sz="4" w:space="0" w:color="auto"/>
            </w:tcBorders>
            <w:hideMark/>
          </w:tcPr>
          <w:p w14:paraId="697B8A1A" w14:textId="77777777" w:rsidR="0031683A" w:rsidRPr="002126A3" w:rsidRDefault="0031683A">
            <w:pPr>
              <w:pStyle w:val="A-TableText"/>
              <w:tabs>
                <w:tab w:val="left" w:pos="0"/>
              </w:tabs>
              <w:spacing w:before="0" w:after="0"/>
              <w:rPr>
                <w:sz w:val="24"/>
                <w:szCs w:val="24"/>
              </w:rPr>
            </w:pPr>
            <w:r w:rsidRPr="002126A3">
              <w:rPr>
                <w:sz w:val="24"/>
                <w:szCs w:val="24"/>
              </w:rPr>
              <w:t>Meget almindelig</w:t>
            </w:r>
          </w:p>
        </w:tc>
        <w:tc>
          <w:tcPr>
            <w:tcW w:w="2375" w:type="pct"/>
            <w:tcBorders>
              <w:top w:val="single" w:sz="4" w:space="0" w:color="auto"/>
              <w:left w:val="single" w:sz="4" w:space="0" w:color="auto"/>
              <w:bottom w:val="single" w:sz="4" w:space="0" w:color="auto"/>
              <w:right w:val="single" w:sz="4" w:space="0" w:color="auto"/>
            </w:tcBorders>
            <w:hideMark/>
          </w:tcPr>
          <w:p w14:paraId="436DF37E" w14:textId="77777777" w:rsidR="0031683A" w:rsidRPr="002126A3" w:rsidRDefault="0031683A">
            <w:pPr>
              <w:pStyle w:val="A-TableText"/>
              <w:tabs>
                <w:tab w:val="left" w:pos="0"/>
              </w:tabs>
              <w:spacing w:before="0" w:after="0"/>
              <w:rPr>
                <w:sz w:val="24"/>
                <w:szCs w:val="24"/>
              </w:rPr>
            </w:pPr>
            <w:r w:rsidRPr="002126A3">
              <w:rPr>
                <w:sz w:val="24"/>
                <w:szCs w:val="24"/>
              </w:rPr>
              <w:t>Diarré, kvalme, opkastning</w:t>
            </w:r>
          </w:p>
        </w:tc>
      </w:tr>
      <w:tr w:rsidR="0031683A" w:rsidRPr="002126A3" w14:paraId="5D36A3DA" w14:textId="77777777" w:rsidTr="007758B3">
        <w:trPr>
          <w:cantSplit/>
        </w:trPr>
        <w:tc>
          <w:tcPr>
            <w:tcW w:w="1158" w:type="pct"/>
            <w:vMerge/>
            <w:tcBorders>
              <w:top w:val="single" w:sz="4" w:space="0" w:color="auto"/>
              <w:left w:val="single" w:sz="4" w:space="0" w:color="auto"/>
              <w:bottom w:val="single" w:sz="4" w:space="0" w:color="auto"/>
              <w:right w:val="single" w:sz="4" w:space="0" w:color="auto"/>
            </w:tcBorders>
            <w:vAlign w:val="center"/>
            <w:hideMark/>
          </w:tcPr>
          <w:p w14:paraId="15BAD7A0" w14:textId="77777777" w:rsidR="0031683A" w:rsidRPr="002126A3" w:rsidRDefault="0031683A">
            <w:pPr>
              <w:rPr>
                <w:sz w:val="24"/>
                <w:szCs w:val="24"/>
              </w:rPr>
            </w:pPr>
          </w:p>
        </w:tc>
        <w:tc>
          <w:tcPr>
            <w:tcW w:w="1467" w:type="pct"/>
            <w:tcBorders>
              <w:top w:val="single" w:sz="4" w:space="0" w:color="auto"/>
              <w:left w:val="single" w:sz="4" w:space="0" w:color="auto"/>
              <w:bottom w:val="single" w:sz="4" w:space="0" w:color="auto"/>
              <w:right w:val="single" w:sz="4" w:space="0" w:color="auto"/>
            </w:tcBorders>
            <w:hideMark/>
          </w:tcPr>
          <w:p w14:paraId="3BEECB4C" w14:textId="77777777" w:rsidR="0031683A" w:rsidRPr="002126A3" w:rsidRDefault="0031683A">
            <w:pPr>
              <w:pStyle w:val="A-TableText"/>
              <w:tabs>
                <w:tab w:val="left" w:pos="0"/>
              </w:tabs>
              <w:spacing w:before="0" w:after="0"/>
              <w:rPr>
                <w:sz w:val="24"/>
                <w:szCs w:val="24"/>
              </w:rPr>
            </w:pPr>
            <w:r w:rsidRPr="002126A3">
              <w:rPr>
                <w:sz w:val="24"/>
                <w:szCs w:val="24"/>
              </w:rPr>
              <w:t>Almindelig</w:t>
            </w:r>
          </w:p>
        </w:tc>
        <w:tc>
          <w:tcPr>
            <w:tcW w:w="2375" w:type="pct"/>
            <w:tcBorders>
              <w:top w:val="single" w:sz="4" w:space="0" w:color="auto"/>
              <w:left w:val="single" w:sz="4" w:space="0" w:color="auto"/>
              <w:bottom w:val="single" w:sz="4" w:space="0" w:color="auto"/>
              <w:right w:val="single" w:sz="4" w:space="0" w:color="auto"/>
            </w:tcBorders>
            <w:hideMark/>
          </w:tcPr>
          <w:p w14:paraId="52FA08F6" w14:textId="77777777" w:rsidR="0031683A" w:rsidRPr="002126A3" w:rsidRDefault="0031683A">
            <w:pPr>
              <w:pStyle w:val="A-TableText"/>
              <w:tabs>
                <w:tab w:val="left" w:pos="0"/>
              </w:tabs>
              <w:spacing w:before="0" w:after="0"/>
              <w:rPr>
                <w:sz w:val="24"/>
                <w:szCs w:val="24"/>
              </w:rPr>
            </w:pPr>
            <w:r w:rsidRPr="002126A3">
              <w:rPr>
                <w:sz w:val="24"/>
                <w:szCs w:val="24"/>
              </w:rPr>
              <w:t xml:space="preserve">Mavesmerter, obstipation, dyspepsi, </w:t>
            </w:r>
            <w:proofErr w:type="spellStart"/>
            <w:r w:rsidRPr="002126A3">
              <w:rPr>
                <w:sz w:val="24"/>
                <w:szCs w:val="24"/>
              </w:rPr>
              <w:t>pankreatit</w:t>
            </w:r>
            <w:proofErr w:type="spellEnd"/>
            <w:r w:rsidRPr="002126A3">
              <w:rPr>
                <w:sz w:val="24"/>
                <w:szCs w:val="24"/>
              </w:rPr>
              <w:t>, mave-tarm-blødning</w:t>
            </w:r>
          </w:p>
        </w:tc>
      </w:tr>
      <w:tr w:rsidR="0031683A" w:rsidRPr="002126A3" w14:paraId="480EC4D8" w14:textId="77777777" w:rsidTr="007758B3">
        <w:trPr>
          <w:cantSplit/>
        </w:trPr>
        <w:tc>
          <w:tcPr>
            <w:tcW w:w="1158" w:type="pct"/>
            <w:vMerge/>
            <w:tcBorders>
              <w:top w:val="single" w:sz="4" w:space="0" w:color="auto"/>
              <w:left w:val="single" w:sz="4" w:space="0" w:color="auto"/>
              <w:bottom w:val="single" w:sz="4" w:space="0" w:color="auto"/>
              <w:right w:val="single" w:sz="4" w:space="0" w:color="auto"/>
            </w:tcBorders>
            <w:vAlign w:val="center"/>
            <w:hideMark/>
          </w:tcPr>
          <w:p w14:paraId="1438BDE9" w14:textId="77777777" w:rsidR="0031683A" w:rsidRPr="002126A3" w:rsidRDefault="0031683A">
            <w:pPr>
              <w:rPr>
                <w:sz w:val="24"/>
                <w:szCs w:val="24"/>
              </w:rPr>
            </w:pPr>
          </w:p>
        </w:tc>
        <w:tc>
          <w:tcPr>
            <w:tcW w:w="1467" w:type="pct"/>
            <w:tcBorders>
              <w:top w:val="single" w:sz="4" w:space="0" w:color="auto"/>
              <w:left w:val="single" w:sz="4" w:space="0" w:color="auto"/>
              <w:bottom w:val="single" w:sz="4" w:space="0" w:color="auto"/>
              <w:right w:val="single" w:sz="4" w:space="0" w:color="auto"/>
            </w:tcBorders>
            <w:hideMark/>
          </w:tcPr>
          <w:p w14:paraId="5FDA53B5" w14:textId="77777777" w:rsidR="0031683A" w:rsidRPr="002126A3" w:rsidRDefault="0031683A">
            <w:pPr>
              <w:pStyle w:val="A-TableText"/>
              <w:tabs>
                <w:tab w:val="left" w:pos="0"/>
              </w:tabs>
              <w:spacing w:before="0" w:after="0"/>
              <w:rPr>
                <w:sz w:val="24"/>
                <w:szCs w:val="24"/>
              </w:rPr>
            </w:pPr>
            <w:r w:rsidRPr="002126A3">
              <w:rPr>
                <w:sz w:val="24"/>
                <w:szCs w:val="24"/>
              </w:rPr>
              <w:t>Ikke kendt</w:t>
            </w:r>
          </w:p>
        </w:tc>
        <w:tc>
          <w:tcPr>
            <w:tcW w:w="2375" w:type="pct"/>
            <w:tcBorders>
              <w:top w:val="single" w:sz="4" w:space="0" w:color="auto"/>
              <w:left w:val="single" w:sz="4" w:space="0" w:color="auto"/>
              <w:bottom w:val="single" w:sz="4" w:space="0" w:color="auto"/>
              <w:right w:val="single" w:sz="4" w:space="0" w:color="auto"/>
            </w:tcBorders>
            <w:hideMark/>
          </w:tcPr>
          <w:p w14:paraId="55CA2C35" w14:textId="77777777" w:rsidR="0031683A" w:rsidRPr="002126A3" w:rsidRDefault="0031683A">
            <w:pPr>
              <w:pStyle w:val="A-TableText"/>
              <w:tabs>
                <w:tab w:val="left" w:pos="0"/>
              </w:tabs>
              <w:spacing w:before="0" w:after="0"/>
              <w:rPr>
                <w:sz w:val="24"/>
                <w:szCs w:val="24"/>
              </w:rPr>
            </w:pPr>
            <w:proofErr w:type="spellStart"/>
            <w:r w:rsidRPr="002126A3">
              <w:rPr>
                <w:sz w:val="24"/>
                <w:szCs w:val="24"/>
              </w:rPr>
              <w:t>Øsofageal</w:t>
            </w:r>
            <w:proofErr w:type="spellEnd"/>
            <w:r w:rsidRPr="002126A3">
              <w:rPr>
                <w:sz w:val="24"/>
                <w:szCs w:val="24"/>
              </w:rPr>
              <w:t xml:space="preserve"> </w:t>
            </w:r>
            <w:proofErr w:type="spellStart"/>
            <w:r w:rsidRPr="002126A3">
              <w:rPr>
                <w:sz w:val="24"/>
                <w:szCs w:val="24"/>
              </w:rPr>
              <w:t>ulceration</w:t>
            </w:r>
            <w:proofErr w:type="spellEnd"/>
          </w:p>
        </w:tc>
      </w:tr>
      <w:tr w:rsidR="0031683A" w:rsidRPr="002126A3" w14:paraId="4EA92418" w14:textId="77777777" w:rsidTr="007758B3">
        <w:trPr>
          <w:cantSplit/>
        </w:trPr>
        <w:tc>
          <w:tcPr>
            <w:tcW w:w="1158" w:type="pct"/>
            <w:tcBorders>
              <w:top w:val="single" w:sz="4" w:space="0" w:color="auto"/>
              <w:left w:val="single" w:sz="4" w:space="0" w:color="auto"/>
              <w:bottom w:val="single" w:sz="4" w:space="0" w:color="auto"/>
              <w:right w:val="single" w:sz="4" w:space="0" w:color="auto"/>
            </w:tcBorders>
            <w:hideMark/>
          </w:tcPr>
          <w:p w14:paraId="79A27944" w14:textId="77777777" w:rsidR="0031683A" w:rsidRPr="002126A3" w:rsidRDefault="0031683A">
            <w:pPr>
              <w:pStyle w:val="A-TableText"/>
              <w:tabs>
                <w:tab w:val="left" w:pos="0"/>
              </w:tabs>
              <w:spacing w:before="0" w:after="0"/>
              <w:rPr>
                <w:sz w:val="24"/>
                <w:szCs w:val="24"/>
              </w:rPr>
            </w:pPr>
            <w:r w:rsidRPr="002126A3">
              <w:rPr>
                <w:sz w:val="24"/>
                <w:szCs w:val="24"/>
              </w:rPr>
              <w:t>Lever og galdeveje</w:t>
            </w:r>
          </w:p>
        </w:tc>
        <w:tc>
          <w:tcPr>
            <w:tcW w:w="1467" w:type="pct"/>
            <w:tcBorders>
              <w:top w:val="single" w:sz="4" w:space="0" w:color="auto"/>
              <w:left w:val="single" w:sz="4" w:space="0" w:color="auto"/>
              <w:bottom w:val="single" w:sz="4" w:space="0" w:color="auto"/>
              <w:right w:val="single" w:sz="4" w:space="0" w:color="auto"/>
            </w:tcBorders>
            <w:hideMark/>
          </w:tcPr>
          <w:p w14:paraId="69132DFF" w14:textId="77777777" w:rsidR="0031683A" w:rsidRPr="002126A3" w:rsidRDefault="0031683A">
            <w:pPr>
              <w:pStyle w:val="A-TableText"/>
              <w:tabs>
                <w:tab w:val="left" w:pos="0"/>
              </w:tabs>
              <w:spacing w:before="0" w:after="0"/>
              <w:rPr>
                <w:sz w:val="24"/>
                <w:szCs w:val="24"/>
              </w:rPr>
            </w:pPr>
            <w:r w:rsidRPr="002126A3">
              <w:rPr>
                <w:sz w:val="24"/>
                <w:szCs w:val="24"/>
              </w:rPr>
              <w:t>Almindelig</w:t>
            </w:r>
          </w:p>
        </w:tc>
        <w:tc>
          <w:tcPr>
            <w:tcW w:w="2375" w:type="pct"/>
            <w:tcBorders>
              <w:top w:val="single" w:sz="4" w:space="0" w:color="auto"/>
              <w:left w:val="single" w:sz="4" w:space="0" w:color="auto"/>
              <w:bottom w:val="single" w:sz="4" w:space="0" w:color="auto"/>
              <w:right w:val="single" w:sz="4" w:space="0" w:color="auto"/>
            </w:tcBorders>
            <w:hideMark/>
          </w:tcPr>
          <w:p w14:paraId="1FD87910" w14:textId="77777777" w:rsidR="0031683A" w:rsidRPr="002126A3" w:rsidRDefault="0031683A">
            <w:pPr>
              <w:pStyle w:val="A-TableText"/>
              <w:tabs>
                <w:tab w:val="left" w:pos="0"/>
              </w:tabs>
              <w:spacing w:before="0" w:after="0"/>
              <w:rPr>
                <w:sz w:val="24"/>
                <w:szCs w:val="24"/>
              </w:rPr>
            </w:pPr>
            <w:r w:rsidRPr="002126A3">
              <w:rPr>
                <w:sz w:val="24"/>
                <w:szCs w:val="24"/>
              </w:rPr>
              <w:t>Unormal leverfunktion</w:t>
            </w:r>
          </w:p>
        </w:tc>
      </w:tr>
      <w:tr w:rsidR="0031683A" w:rsidRPr="002126A3" w14:paraId="442D8F7D" w14:textId="77777777" w:rsidTr="007758B3">
        <w:trPr>
          <w:cantSplit/>
        </w:trPr>
        <w:tc>
          <w:tcPr>
            <w:tcW w:w="1158" w:type="pct"/>
            <w:vMerge w:val="restart"/>
            <w:tcBorders>
              <w:top w:val="single" w:sz="4" w:space="0" w:color="auto"/>
              <w:left w:val="single" w:sz="4" w:space="0" w:color="auto"/>
              <w:bottom w:val="single" w:sz="4" w:space="0" w:color="auto"/>
              <w:right w:val="single" w:sz="4" w:space="0" w:color="auto"/>
            </w:tcBorders>
            <w:hideMark/>
          </w:tcPr>
          <w:p w14:paraId="49DA78EC" w14:textId="77777777" w:rsidR="0031683A" w:rsidRPr="002126A3" w:rsidRDefault="0031683A">
            <w:pPr>
              <w:pStyle w:val="A-TableText"/>
              <w:tabs>
                <w:tab w:val="left" w:pos="0"/>
              </w:tabs>
              <w:spacing w:before="0" w:after="0"/>
              <w:rPr>
                <w:sz w:val="24"/>
                <w:szCs w:val="24"/>
              </w:rPr>
            </w:pPr>
            <w:r w:rsidRPr="002126A3">
              <w:rPr>
                <w:sz w:val="24"/>
                <w:szCs w:val="24"/>
              </w:rPr>
              <w:t>Hud og subkutane væv</w:t>
            </w:r>
          </w:p>
        </w:tc>
        <w:tc>
          <w:tcPr>
            <w:tcW w:w="1467" w:type="pct"/>
            <w:tcBorders>
              <w:top w:val="single" w:sz="4" w:space="0" w:color="auto"/>
              <w:left w:val="single" w:sz="4" w:space="0" w:color="auto"/>
              <w:bottom w:val="single" w:sz="4" w:space="0" w:color="auto"/>
              <w:right w:val="single" w:sz="4" w:space="0" w:color="auto"/>
            </w:tcBorders>
            <w:hideMark/>
          </w:tcPr>
          <w:p w14:paraId="5D5DC528" w14:textId="77777777" w:rsidR="0031683A" w:rsidRPr="002126A3" w:rsidRDefault="0031683A">
            <w:pPr>
              <w:pStyle w:val="A-TableText"/>
              <w:tabs>
                <w:tab w:val="left" w:pos="0"/>
              </w:tabs>
              <w:spacing w:before="0" w:after="0"/>
              <w:rPr>
                <w:sz w:val="24"/>
                <w:szCs w:val="24"/>
              </w:rPr>
            </w:pPr>
            <w:r w:rsidRPr="002126A3">
              <w:rPr>
                <w:sz w:val="24"/>
                <w:szCs w:val="24"/>
              </w:rPr>
              <w:t xml:space="preserve">Meget almindelig </w:t>
            </w:r>
          </w:p>
        </w:tc>
        <w:tc>
          <w:tcPr>
            <w:tcW w:w="2375" w:type="pct"/>
            <w:tcBorders>
              <w:top w:val="single" w:sz="4" w:space="0" w:color="auto"/>
              <w:left w:val="single" w:sz="4" w:space="0" w:color="auto"/>
              <w:bottom w:val="single" w:sz="4" w:space="0" w:color="auto"/>
              <w:right w:val="single" w:sz="4" w:space="0" w:color="auto"/>
            </w:tcBorders>
            <w:hideMark/>
          </w:tcPr>
          <w:p w14:paraId="71617E0C" w14:textId="77777777" w:rsidR="0031683A" w:rsidRPr="002126A3" w:rsidRDefault="0031683A">
            <w:pPr>
              <w:pStyle w:val="A-TableText"/>
              <w:tabs>
                <w:tab w:val="left" w:pos="0"/>
              </w:tabs>
              <w:spacing w:before="0" w:after="0"/>
              <w:rPr>
                <w:sz w:val="24"/>
                <w:szCs w:val="24"/>
              </w:rPr>
            </w:pPr>
            <w:r w:rsidRPr="002126A3">
              <w:rPr>
                <w:sz w:val="24"/>
                <w:szCs w:val="24"/>
              </w:rPr>
              <w:t>Udslæt</w:t>
            </w:r>
          </w:p>
        </w:tc>
      </w:tr>
      <w:tr w:rsidR="0031683A" w:rsidRPr="002126A3" w14:paraId="3057088A" w14:textId="77777777" w:rsidTr="007758B3">
        <w:trPr>
          <w:cantSplit/>
        </w:trPr>
        <w:tc>
          <w:tcPr>
            <w:tcW w:w="1158" w:type="pct"/>
            <w:vMerge/>
            <w:tcBorders>
              <w:top w:val="single" w:sz="4" w:space="0" w:color="auto"/>
              <w:left w:val="single" w:sz="4" w:space="0" w:color="auto"/>
              <w:bottom w:val="single" w:sz="4" w:space="0" w:color="auto"/>
              <w:right w:val="single" w:sz="4" w:space="0" w:color="auto"/>
            </w:tcBorders>
            <w:vAlign w:val="center"/>
            <w:hideMark/>
          </w:tcPr>
          <w:p w14:paraId="22E69570" w14:textId="77777777" w:rsidR="0031683A" w:rsidRPr="002126A3" w:rsidRDefault="0031683A">
            <w:pPr>
              <w:rPr>
                <w:sz w:val="24"/>
                <w:szCs w:val="24"/>
              </w:rPr>
            </w:pPr>
          </w:p>
        </w:tc>
        <w:tc>
          <w:tcPr>
            <w:tcW w:w="1467" w:type="pct"/>
            <w:tcBorders>
              <w:top w:val="single" w:sz="4" w:space="0" w:color="auto"/>
              <w:left w:val="single" w:sz="4" w:space="0" w:color="auto"/>
              <w:bottom w:val="single" w:sz="4" w:space="0" w:color="auto"/>
              <w:right w:val="single" w:sz="4" w:space="0" w:color="auto"/>
            </w:tcBorders>
            <w:hideMark/>
          </w:tcPr>
          <w:p w14:paraId="02FFBA2A" w14:textId="77777777" w:rsidR="0031683A" w:rsidRPr="002126A3" w:rsidRDefault="0031683A">
            <w:pPr>
              <w:pStyle w:val="A-TableText"/>
              <w:tabs>
                <w:tab w:val="left" w:pos="0"/>
              </w:tabs>
              <w:spacing w:before="0" w:after="0"/>
              <w:rPr>
                <w:sz w:val="24"/>
                <w:szCs w:val="24"/>
              </w:rPr>
            </w:pPr>
            <w:r w:rsidRPr="002126A3">
              <w:rPr>
                <w:sz w:val="24"/>
                <w:szCs w:val="24"/>
              </w:rPr>
              <w:t>Almindelig</w:t>
            </w:r>
          </w:p>
        </w:tc>
        <w:tc>
          <w:tcPr>
            <w:tcW w:w="2375" w:type="pct"/>
            <w:tcBorders>
              <w:top w:val="single" w:sz="4" w:space="0" w:color="auto"/>
              <w:left w:val="single" w:sz="4" w:space="0" w:color="auto"/>
              <w:bottom w:val="single" w:sz="4" w:space="0" w:color="auto"/>
              <w:right w:val="single" w:sz="4" w:space="0" w:color="auto"/>
            </w:tcBorders>
            <w:hideMark/>
          </w:tcPr>
          <w:p w14:paraId="279593E2" w14:textId="77777777" w:rsidR="0031683A" w:rsidRPr="002126A3" w:rsidRDefault="0031683A">
            <w:pPr>
              <w:pStyle w:val="A-TableText"/>
              <w:tabs>
                <w:tab w:val="left" w:pos="0"/>
              </w:tabs>
              <w:spacing w:before="0" w:after="0"/>
              <w:rPr>
                <w:sz w:val="24"/>
                <w:szCs w:val="24"/>
              </w:rPr>
            </w:pPr>
            <w:proofErr w:type="spellStart"/>
            <w:r w:rsidRPr="002126A3">
              <w:rPr>
                <w:sz w:val="24"/>
                <w:szCs w:val="24"/>
              </w:rPr>
              <w:t>Pruritus</w:t>
            </w:r>
            <w:proofErr w:type="spellEnd"/>
          </w:p>
        </w:tc>
      </w:tr>
      <w:tr w:rsidR="0031683A" w:rsidRPr="002126A3" w14:paraId="4A302B5F" w14:textId="77777777" w:rsidTr="007758B3">
        <w:trPr>
          <w:cantSplit/>
        </w:trPr>
        <w:tc>
          <w:tcPr>
            <w:tcW w:w="1158" w:type="pct"/>
            <w:vMerge/>
            <w:tcBorders>
              <w:top w:val="single" w:sz="4" w:space="0" w:color="auto"/>
              <w:left w:val="single" w:sz="4" w:space="0" w:color="auto"/>
              <w:bottom w:val="single" w:sz="4" w:space="0" w:color="auto"/>
              <w:right w:val="single" w:sz="4" w:space="0" w:color="auto"/>
            </w:tcBorders>
            <w:vAlign w:val="center"/>
            <w:hideMark/>
          </w:tcPr>
          <w:p w14:paraId="15EF72E6" w14:textId="77777777" w:rsidR="0031683A" w:rsidRPr="002126A3" w:rsidRDefault="0031683A">
            <w:pPr>
              <w:rPr>
                <w:sz w:val="24"/>
                <w:szCs w:val="24"/>
              </w:rPr>
            </w:pPr>
          </w:p>
        </w:tc>
        <w:tc>
          <w:tcPr>
            <w:tcW w:w="1467" w:type="pct"/>
            <w:tcBorders>
              <w:top w:val="single" w:sz="4" w:space="0" w:color="auto"/>
              <w:left w:val="single" w:sz="4" w:space="0" w:color="auto"/>
              <w:bottom w:val="single" w:sz="4" w:space="0" w:color="auto"/>
              <w:right w:val="single" w:sz="4" w:space="0" w:color="auto"/>
            </w:tcBorders>
            <w:hideMark/>
          </w:tcPr>
          <w:p w14:paraId="1E179016" w14:textId="77777777" w:rsidR="0031683A" w:rsidRPr="002126A3" w:rsidRDefault="0031683A">
            <w:pPr>
              <w:pStyle w:val="A-TableText"/>
              <w:tabs>
                <w:tab w:val="left" w:pos="0"/>
              </w:tabs>
              <w:spacing w:before="0" w:after="0"/>
              <w:rPr>
                <w:sz w:val="24"/>
                <w:szCs w:val="24"/>
              </w:rPr>
            </w:pPr>
            <w:r w:rsidRPr="002126A3">
              <w:rPr>
                <w:sz w:val="24"/>
                <w:szCs w:val="24"/>
              </w:rPr>
              <w:t>Ikke almindelig</w:t>
            </w:r>
          </w:p>
        </w:tc>
        <w:tc>
          <w:tcPr>
            <w:tcW w:w="2375" w:type="pct"/>
            <w:tcBorders>
              <w:top w:val="single" w:sz="4" w:space="0" w:color="auto"/>
              <w:left w:val="single" w:sz="4" w:space="0" w:color="auto"/>
              <w:bottom w:val="single" w:sz="4" w:space="0" w:color="auto"/>
              <w:right w:val="single" w:sz="4" w:space="0" w:color="auto"/>
            </w:tcBorders>
            <w:hideMark/>
          </w:tcPr>
          <w:p w14:paraId="08FF6E1E" w14:textId="77777777" w:rsidR="0031683A" w:rsidRPr="002126A3" w:rsidRDefault="0031683A">
            <w:pPr>
              <w:pStyle w:val="A-TableText"/>
              <w:tabs>
                <w:tab w:val="left" w:pos="0"/>
              </w:tabs>
              <w:spacing w:before="0" w:after="0"/>
              <w:rPr>
                <w:sz w:val="24"/>
                <w:szCs w:val="24"/>
              </w:rPr>
            </w:pPr>
            <w:proofErr w:type="spellStart"/>
            <w:r w:rsidRPr="002126A3">
              <w:rPr>
                <w:sz w:val="24"/>
                <w:szCs w:val="24"/>
              </w:rPr>
              <w:t>Urticaria</w:t>
            </w:r>
            <w:proofErr w:type="spellEnd"/>
            <w:r w:rsidRPr="002126A3">
              <w:rPr>
                <w:sz w:val="24"/>
                <w:szCs w:val="24"/>
              </w:rPr>
              <w:t xml:space="preserve">, </w:t>
            </w:r>
            <w:proofErr w:type="spellStart"/>
            <w:r w:rsidRPr="002126A3">
              <w:rPr>
                <w:sz w:val="24"/>
                <w:szCs w:val="24"/>
              </w:rPr>
              <w:t>angioødem</w:t>
            </w:r>
            <w:proofErr w:type="spellEnd"/>
          </w:p>
        </w:tc>
      </w:tr>
      <w:tr w:rsidR="0031683A" w:rsidRPr="002126A3" w14:paraId="57058BD5" w14:textId="77777777" w:rsidTr="007758B3">
        <w:trPr>
          <w:cantSplit/>
        </w:trPr>
        <w:tc>
          <w:tcPr>
            <w:tcW w:w="1158" w:type="pct"/>
            <w:vMerge/>
            <w:tcBorders>
              <w:top w:val="single" w:sz="4" w:space="0" w:color="auto"/>
              <w:left w:val="single" w:sz="4" w:space="0" w:color="auto"/>
              <w:bottom w:val="single" w:sz="4" w:space="0" w:color="auto"/>
              <w:right w:val="single" w:sz="4" w:space="0" w:color="auto"/>
            </w:tcBorders>
            <w:vAlign w:val="center"/>
            <w:hideMark/>
          </w:tcPr>
          <w:p w14:paraId="34FCB760" w14:textId="77777777" w:rsidR="0031683A" w:rsidRPr="002126A3" w:rsidRDefault="0031683A">
            <w:pPr>
              <w:rPr>
                <w:sz w:val="24"/>
                <w:szCs w:val="24"/>
              </w:rPr>
            </w:pPr>
          </w:p>
        </w:tc>
        <w:tc>
          <w:tcPr>
            <w:tcW w:w="1467" w:type="pct"/>
            <w:tcBorders>
              <w:top w:val="single" w:sz="4" w:space="0" w:color="auto"/>
              <w:left w:val="single" w:sz="4" w:space="0" w:color="auto"/>
              <w:bottom w:val="single" w:sz="4" w:space="0" w:color="auto"/>
              <w:right w:val="single" w:sz="4" w:space="0" w:color="auto"/>
            </w:tcBorders>
            <w:hideMark/>
          </w:tcPr>
          <w:p w14:paraId="5E13ABE0" w14:textId="77777777" w:rsidR="0031683A" w:rsidRPr="002126A3" w:rsidRDefault="0031683A">
            <w:pPr>
              <w:pStyle w:val="A-TableText"/>
              <w:tabs>
                <w:tab w:val="left" w:pos="0"/>
              </w:tabs>
              <w:spacing w:before="0" w:after="0"/>
              <w:rPr>
                <w:sz w:val="24"/>
                <w:szCs w:val="24"/>
              </w:rPr>
            </w:pPr>
            <w:r w:rsidRPr="002126A3">
              <w:rPr>
                <w:sz w:val="24"/>
                <w:szCs w:val="24"/>
              </w:rPr>
              <w:t>Ikke kendt</w:t>
            </w:r>
          </w:p>
        </w:tc>
        <w:tc>
          <w:tcPr>
            <w:tcW w:w="2375" w:type="pct"/>
            <w:tcBorders>
              <w:top w:val="single" w:sz="4" w:space="0" w:color="auto"/>
              <w:left w:val="single" w:sz="4" w:space="0" w:color="auto"/>
              <w:bottom w:val="single" w:sz="4" w:space="0" w:color="auto"/>
              <w:right w:val="single" w:sz="4" w:space="0" w:color="auto"/>
            </w:tcBorders>
            <w:hideMark/>
          </w:tcPr>
          <w:p w14:paraId="33B58D96" w14:textId="77777777" w:rsidR="0031683A" w:rsidRPr="002126A3" w:rsidRDefault="0031683A">
            <w:pPr>
              <w:pStyle w:val="A-TableText"/>
              <w:tabs>
                <w:tab w:val="left" w:pos="0"/>
              </w:tabs>
              <w:spacing w:before="0" w:after="0"/>
              <w:rPr>
                <w:sz w:val="24"/>
                <w:szCs w:val="24"/>
                <w:lang w:val="nb-NO"/>
              </w:rPr>
            </w:pPr>
            <w:r w:rsidRPr="002126A3">
              <w:rPr>
                <w:color w:val="000000"/>
                <w:sz w:val="24"/>
                <w:szCs w:val="24"/>
                <w:lang w:val="nb-NO"/>
              </w:rPr>
              <w:t>Erythema multiforme, toksisk epidermal nekrolyse, Stevens Johnsons syndrom</w:t>
            </w:r>
            <w:r w:rsidRPr="002126A3">
              <w:rPr>
                <w:color w:val="000000"/>
                <w:sz w:val="24"/>
                <w:szCs w:val="24"/>
                <w:vertAlign w:val="superscript"/>
                <w:lang w:val="nb-NO"/>
              </w:rPr>
              <w:t>b</w:t>
            </w:r>
          </w:p>
        </w:tc>
      </w:tr>
      <w:tr w:rsidR="0031683A" w:rsidRPr="002126A3" w14:paraId="39BCE275" w14:textId="77777777" w:rsidTr="007758B3">
        <w:trPr>
          <w:cantSplit/>
        </w:trPr>
        <w:tc>
          <w:tcPr>
            <w:tcW w:w="1158" w:type="pct"/>
            <w:tcBorders>
              <w:top w:val="single" w:sz="4" w:space="0" w:color="auto"/>
              <w:left w:val="single" w:sz="4" w:space="0" w:color="auto"/>
              <w:bottom w:val="single" w:sz="4" w:space="0" w:color="auto"/>
              <w:right w:val="single" w:sz="4" w:space="0" w:color="auto"/>
            </w:tcBorders>
            <w:hideMark/>
          </w:tcPr>
          <w:p w14:paraId="0AD24A24" w14:textId="77777777" w:rsidR="0031683A" w:rsidRPr="002126A3" w:rsidRDefault="0031683A">
            <w:pPr>
              <w:pStyle w:val="A-TableText"/>
              <w:tabs>
                <w:tab w:val="left" w:pos="0"/>
              </w:tabs>
              <w:spacing w:before="0" w:after="0"/>
              <w:rPr>
                <w:sz w:val="24"/>
                <w:szCs w:val="24"/>
              </w:rPr>
            </w:pPr>
            <w:r w:rsidRPr="002126A3">
              <w:rPr>
                <w:sz w:val="24"/>
                <w:szCs w:val="24"/>
              </w:rPr>
              <w:t>Knogler, led, muskler og bindevæv</w:t>
            </w:r>
          </w:p>
        </w:tc>
        <w:tc>
          <w:tcPr>
            <w:tcW w:w="1467" w:type="pct"/>
            <w:tcBorders>
              <w:top w:val="single" w:sz="4" w:space="0" w:color="auto"/>
              <w:left w:val="single" w:sz="4" w:space="0" w:color="auto"/>
              <w:bottom w:val="single" w:sz="4" w:space="0" w:color="auto"/>
              <w:right w:val="single" w:sz="4" w:space="0" w:color="auto"/>
            </w:tcBorders>
            <w:hideMark/>
          </w:tcPr>
          <w:p w14:paraId="4072FFCD" w14:textId="77777777" w:rsidR="0031683A" w:rsidRPr="002126A3" w:rsidRDefault="0031683A">
            <w:pPr>
              <w:pStyle w:val="A-TableText"/>
              <w:tabs>
                <w:tab w:val="left" w:pos="0"/>
              </w:tabs>
              <w:spacing w:before="0" w:after="0"/>
              <w:rPr>
                <w:sz w:val="24"/>
                <w:szCs w:val="24"/>
              </w:rPr>
            </w:pPr>
            <w:r w:rsidRPr="002126A3">
              <w:rPr>
                <w:sz w:val="24"/>
                <w:szCs w:val="24"/>
              </w:rPr>
              <w:t>Almindelig</w:t>
            </w:r>
          </w:p>
          <w:p w14:paraId="16CC2235" w14:textId="77777777" w:rsidR="0031683A" w:rsidRPr="002126A3" w:rsidRDefault="0031683A">
            <w:pPr>
              <w:pStyle w:val="A-TableText"/>
              <w:tabs>
                <w:tab w:val="left" w:pos="0"/>
              </w:tabs>
              <w:spacing w:before="0" w:after="0"/>
              <w:rPr>
                <w:sz w:val="24"/>
                <w:szCs w:val="24"/>
              </w:rPr>
            </w:pPr>
            <w:r w:rsidRPr="002126A3">
              <w:rPr>
                <w:sz w:val="24"/>
                <w:szCs w:val="24"/>
              </w:rPr>
              <w:t>Ikke kendt</w:t>
            </w:r>
          </w:p>
        </w:tc>
        <w:tc>
          <w:tcPr>
            <w:tcW w:w="2375" w:type="pct"/>
            <w:tcBorders>
              <w:top w:val="single" w:sz="4" w:space="0" w:color="auto"/>
              <w:left w:val="single" w:sz="4" w:space="0" w:color="auto"/>
              <w:bottom w:val="single" w:sz="4" w:space="0" w:color="auto"/>
              <w:right w:val="single" w:sz="4" w:space="0" w:color="auto"/>
            </w:tcBorders>
            <w:hideMark/>
          </w:tcPr>
          <w:p w14:paraId="304910B7" w14:textId="77777777" w:rsidR="0031683A" w:rsidRPr="002126A3" w:rsidRDefault="0031683A">
            <w:pPr>
              <w:pStyle w:val="A-TableText"/>
              <w:tabs>
                <w:tab w:val="left" w:pos="0"/>
              </w:tabs>
              <w:spacing w:before="0" w:after="0"/>
              <w:rPr>
                <w:sz w:val="24"/>
                <w:szCs w:val="24"/>
              </w:rPr>
            </w:pPr>
            <w:r w:rsidRPr="002126A3">
              <w:rPr>
                <w:sz w:val="24"/>
                <w:szCs w:val="24"/>
              </w:rPr>
              <w:t>Myalgi</w:t>
            </w:r>
          </w:p>
          <w:p w14:paraId="7E12FE90" w14:textId="77777777" w:rsidR="0031683A" w:rsidRPr="002126A3" w:rsidRDefault="0031683A">
            <w:pPr>
              <w:pStyle w:val="A-TableText"/>
              <w:tabs>
                <w:tab w:val="left" w:pos="0"/>
              </w:tabs>
              <w:spacing w:before="0" w:after="0"/>
              <w:rPr>
                <w:sz w:val="24"/>
                <w:szCs w:val="24"/>
              </w:rPr>
            </w:pPr>
            <w:r w:rsidRPr="002126A3">
              <w:rPr>
                <w:sz w:val="24"/>
                <w:szCs w:val="24"/>
              </w:rPr>
              <w:t xml:space="preserve">Muskelsvaghed, </w:t>
            </w:r>
            <w:proofErr w:type="spellStart"/>
            <w:r w:rsidRPr="002126A3">
              <w:rPr>
                <w:sz w:val="24"/>
                <w:szCs w:val="24"/>
              </w:rPr>
              <w:t>myopati</w:t>
            </w:r>
            <w:proofErr w:type="spellEnd"/>
            <w:r w:rsidRPr="002126A3">
              <w:rPr>
                <w:sz w:val="24"/>
                <w:szCs w:val="24"/>
              </w:rPr>
              <w:t xml:space="preserve">, </w:t>
            </w:r>
            <w:proofErr w:type="spellStart"/>
            <w:r w:rsidRPr="002126A3">
              <w:rPr>
                <w:sz w:val="24"/>
                <w:szCs w:val="24"/>
              </w:rPr>
              <w:t>myositis</w:t>
            </w:r>
            <w:proofErr w:type="spellEnd"/>
            <w:r w:rsidRPr="002126A3">
              <w:rPr>
                <w:sz w:val="24"/>
                <w:szCs w:val="24"/>
              </w:rPr>
              <w:t xml:space="preserve">, </w:t>
            </w:r>
            <w:proofErr w:type="spellStart"/>
            <w:r w:rsidRPr="002126A3">
              <w:rPr>
                <w:sz w:val="24"/>
                <w:szCs w:val="24"/>
              </w:rPr>
              <w:t>rabdomyolyse</w:t>
            </w:r>
            <w:proofErr w:type="spellEnd"/>
          </w:p>
        </w:tc>
      </w:tr>
      <w:tr w:rsidR="0031683A" w:rsidRPr="002126A3" w14:paraId="73D34DC7" w14:textId="77777777" w:rsidTr="007758B3">
        <w:trPr>
          <w:cantSplit/>
        </w:trPr>
        <w:tc>
          <w:tcPr>
            <w:tcW w:w="1158" w:type="pct"/>
            <w:vMerge w:val="restart"/>
            <w:tcBorders>
              <w:top w:val="single" w:sz="4" w:space="0" w:color="auto"/>
              <w:left w:val="single" w:sz="4" w:space="0" w:color="auto"/>
              <w:bottom w:val="single" w:sz="4" w:space="0" w:color="auto"/>
              <w:right w:val="single" w:sz="4" w:space="0" w:color="auto"/>
            </w:tcBorders>
            <w:hideMark/>
          </w:tcPr>
          <w:p w14:paraId="1E487DFE" w14:textId="77777777" w:rsidR="0031683A" w:rsidRPr="002126A3" w:rsidRDefault="0031683A">
            <w:pPr>
              <w:pStyle w:val="A-TableText"/>
              <w:tabs>
                <w:tab w:val="left" w:pos="0"/>
              </w:tabs>
              <w:spacing w:before="0" w:after="0"/>
              <w:rPr>
                <w:sz w:val="24"/>
                <w:szCs w:val="24"/>
              </w:rPr>
            </w:pPr>
            <w:r w:rsidRPr="002126A3">
              <w:rPr>
                <w:sz w:val="24"/>
                <w:szCs w:val="24"/>
              </w:rPr>
              <w:t>Nyrer og urinveje</w:t>
            </w:r>
          </w:p>
        </w:tc>
        <w:tc>
          <w:tcPr>
            <w:tcW w:w="1467" w:type="pct"/>
            <w:tcBorders>
              <w:top w:val="single" w:sz="4" w:space="0" w:color="auto"/>
              <w:left w:val="single" w:sz="4" w:space="0" w:color="auto"/>
              <w:bottom w:val="single" w:sz="4" w:space="0" w:color="auto"/>
              <w:right w:val="single" w:sz="4" w:space="0" w:color="auto"/>
            </w:tcBorders>
            <w:hideMark/>
          </w:tcPr>
          <w:p w14:paraId="5E164ACB" w14:textId="77777777" w:rsidR="0031683A" w:rsidRPr="002126A3" w:rsidRDefault="0031683A">
            <w:pPr>
              <w:pStyle w:val="A-TableText"/>
              <w:tabs>
                <w:tab w:val="left" w:pos="0"/>
              </w:tabs>
              <w:spacing w:before="0" w:after="0"/>
              <w:rPr>
                <w:sz w:val="24"/>
                <w:szCs w:val="24"/>
              </w:rPr>
            </w:pPr>
            <w:r w:rsidRPr="002126A3">
              <w:rPr>
                <w:sz w:val="24"/>
                <w:szCs w:val="24"/>
              </w:rPr>
              <w:t>Meget almindelig</w:t>
            </w:r>
          </w:p>
        </w:tc>
        <w:tc>
          <w:tcPr>
            <w:tcW w:w="2375" w:type="pct"/>
            <w:tcBorders>
              <w:top w:val="single" w:sz="4" w:space="0" w:color="auto"/>
              <w:left w:val="single" w:sz="4" w:space="0" w:color="auto"/>
              <w:bottom w:val="single" w:sz="4" w:space="0" w:color="auto"/>
              <w:right w:val="single" w:sz="4" w:space="0" w:color="auto"/>
            </w:tcBorders>
            <w:hideMark/>
          </w:tcPr>
          <w:p w14:paraId="18403F91" w14:textId="77777777" w:rsidR="0031683A" w:rsidRPr="002126A3" w:rsidRDefault="0031683A">
            <w:pPr>
              <w:pStyle w:val="A-TableText"/>
              <w:tabs>
                <w:tab w:val="left" w:pos="0"/>
              </w:tabs>
              <w:spacing w:before="0" w:after="0"/>
              <w:rPr>
                <w:sz w:val="24"/>
                <w:szCs w:val="24"/>
              </w:rPr>
            </w:pPr>
            <w:r w:rsidRPr="002126A3">
              <w:rPr>
                <w:sz w:val="24"/>
                <w:szCs w:val="24"/>
              </w:rPr>
              <w:t>Nyreinsufficiens</w:t>
            </w:r>
          </w:p>
        </w:tc>
      </w:tr>
      <w:tr w:rsidR="0031683A" w:rsidRPr="002126A3" w14:paraId="206B4786" w14:textId="77777777" w:rsidTr="007758B3">
        <w:trPr>
          <w:cantSplit/>
        </w:trPr>
        <w:tc>
          <w:tcPr>
            <w:tcW w:w="1158" w:type="pct"/>
            <w:vMerge/>
            <w:tcBorders>
              <w:top w:val="single" w:sz="4" w:space="0" w:color="auto"/>
              <w:left w:val="single" w:sz="4" w:space="0" w:color="auto"/>
              <w:bottom w:val="single" w:sz="4" w:space="0" w:color="auto"/>
              <w:right w:val="single" w:sz="4" w:space="0" w:color="auto"/>
            </w:tcBorders>
            <w:vAlign w:val="center"/>
            <w:hideMark/>
          </w:tcPr>
          <w:p w14:paraId="0C5BBCAA" w14:textId="77777777" w:rsidR="0031683A" w:rsidRPr="002126A3" w:rsidRDefault="0031683A">
            <w:pPr>
              <w:rPr>
                <w:sz w:val="24"/>
                <w:szCs w:val="24"/>
              </w:rPr>
            </w:pPr>
          </w:p>
        </w:tc>
        <w:tc>
          <w:tcPr>
            <w:tcW w:w="1467" w:type="pct"/>
            <w:tcBorders>
              <w:top w:val="single" w:sz="4" w:space="0" w:color="auto"/>
              <w:left w:val="single" w:sz="4" w:space="0" w:color="auto"/>
              <w:bottom w:val="single" w:sz="4" w:space="0" w:color="auto"/>
              <w:right w:val="single" w:sz="4" w:space="0" w:color="auto"/>
            </w:tcBorders>
          </w:tcPr>
          <w:p w14:paraId="5372101B" w14:textId="1536D3BA" w:rsidR="0031683A" w:rsidRPr="002126A3" w:rsidRDefault="0031683A" w:rsidP="0021324E">
            <w:pPr>
              <w:pStyle w:val="A-TableText"/>
              <w:tabs>
                <w:tab w:val="left" w:pos="0"/>
              </w:tabs>
              <w:spacing w:before="0" w:after="0"/>
              <w:rPr>
                <w:sz w:val="24"/>
                <w:szCs w:val="24"/>
              </w:rPr>
            </w:pPr>
            <w:r w:rsidRPr="002126A3">
              <w:rPr>
                <w:sz w:val="24"/>
                <w:szCs w:val="24"/>
              </w:rPr>
              <w:t>Almindelig</w:t>
            </w:r>
          </w:p>
        </w:tc>
        <w:tc>
          <w:tcPr>
            <w:tcW w:w="2375" w:type="pct"/>
            <w:tcBorders>
              <w:top w:val="single" w:sz="4" w:space="0" w:color="auto"/>
              <w:left w:val="single" w:sz="4" w:space="0" w:color="auto"/>
              <w:bottom w:val="single" w:sz="4" w:space="0" w:color="auto"/>
              <w:right w:val="single" w:sz="4" w:space="0" w:color="auto"/>
            </w:tcBorders>
            <w:hideMark/>
          </w:tcPr>
          <w:p w14:paraId="59E0CED2" w14:textId="77777777" w:rsidR="0031683A" w:rsidRPr="002126A3" w:rsidRDefault="0031683A">
            <w:pPr>
              <w:pStyle w:val="A-TableText"/>
              <w:tabs>
                <w:tab w:val="left" w:pos="0"/>
              </w:tabs>
              <w:spacing w:before="0" w:after="0"/>
              <w:rPr>
                <w:sz w:val="24"/>
                <w:szCs w:val="24"/>
                <w:lang w:val="fi-FI"/>
              </w:rPr>
            </w:pPr>
            <w:r w:rsidRPr="002126A3">
              <w:rPr>
                <w:sz w:val="24"/>
                <w:szCs w:val="24"/>
                <w:lang w:val="fi-FI"/>
              </w:rPr>
              <w:t>Akut nyresvigt, dysuri, polyuri, proteinuri</w:t>
            </w:r>
          </w:p>
        </w:tc>
      </w:tr>
      <w:tr w:rsidR="0031683A" w:rsidRPr="002126A3" w14:paraId="3AD5D853" w14:textId="77777777" w:rsidTr="007758B3">
        <w:trPr>
          <w:cantSplit/>
        </w:trPr>
        <w:tc>
          <w:tcPr>
            <w:tcW w:w="1158" w:type="pct"/>
            <w:vMerge/>
            <w:tcBorders>
              <w:top w:val="single" w:sz="4" w:space="0" w:color="auto"/>
              <w:left w:val="single" w:sz="4" w:space="0" w:color="auto"/>
              <w:bottom w:val="single" w:sz="4" w:space="0" w:color="auto"/>
              <w:right w:val="single" w:sz="4" w:space="0" w:color="auto"/>
            </w:tcBorders>
            <w:vAlign w:val="center"/>
            <w:hideMark/>
          </w:tcPr>
          <w:p w14:paraId="4EA3B579" w14:textId="77777777" w:rsidR="0031683A" w:rsidRPr="002126A3" w:rsidRDefault="0031683A">
            <w:pPr>
              <w:rPr>
                <w:sz w:val="24"/>
                <w:szCs w:val="24"/>
              </w:rPr>
            </w:pPr>
          </w:p>
        </w:tc>
        <w:tc>
          <w:tcPr>
            <w:tcW w:w="1467" w:type="pct"/>
            <w:tcBorders>
              <w:top w:val="single" w:sz="4" w:space="0" w:color="auto"/>
              <w:left w:val="single" w:sz="4" w:space="0" w:color="auto"/>
              <w:bottom w:val="single" w:sz="4" w:space="0" w:color="auto"/>
              <w:right w:val="single" w:sz="4" w:space="0" w:color="auto"/>
            </w:tcBorders>
            <w:hideMark/>
          </w:tcPr>
          <w:p w14:paraId="7975BBF8" w14:textId="77777777" w:rsidR="0031683A" w:rsidRPr="002126A3" w:rsidRDefault="0031683A">
            <w:pPr>
              <w:pStyle w:val="A-TableText"/>
              <w:tabs>
                <w:tab w:val="left" w:pos="0"/>
              </w:tabs>
              <w:spacing w:before="0" w:after="0"/>
              <w:rPr>
                <w:sz w:val="24"/>
                <w:szCs w:val="24"/>
              </w:rPr>
            </w:pPr>
            <w:r w:rsidRPr="002126A3">
              <w:rPr>
                <w:sz w:val="24"/>
                <w:szCs w:val="24"/>
              </w:rPr>
              <w:t>Ikke almindelig</w:t>
            </w:r>
          </w:p>
        </w:tc>
        <w:tc>
          <w:tcPr>
            <w:tcW w:w="2375" w:type="pct"/>
            <w:tcBorders>
              <w:top w:val="single" w:sz="4" w:space="0" w:color="auto"/>
              <w:left w:val="single" w:sz="4" w:space="0" w:color="auto"/>
              <w:bottom w:val="single" w:sz="4" w:space="0" w:color="auto"/>
              <w:right w:val="single" w:sz="4" w:space="0" w:color="auto"/>
            </w:tcBorders>
            <w:hideMark/>
          </w:tcPr>
          <w:p w14:paraId="34B91134" w14:textId="77777777" w:rsidR="0031683A" w:rsidRPr="002126A3" w:rsidRDefault="0031683A">
            <w:pPr>
              <w:pStyle w:val="A-TableText"/>
              <w:tabs>
                <w:tab w:val="left" w:pos="0"/>
              </w:tabs>
              <w:spacing w:before="0" w:after="0"/>
              <w:rPr>
                <w:sz w:val="24"/>
                <w:szCs w:val="24"/>
              </w:rPr>
            </w:pPr>
            <w:proofErr w:type="spellStart"/>
            <w:r w:rsidRPr="002126A3">
              <w:rPr>
                <w:sz w:val="24"/>
                <w:szCs w:val="24"/>
              </w:rPr>
              <w:t>Glomerulonefritis</w:t>
            </w:r>
            <w:proofErr w:type="spellEnd"/>
            <w:r w:rsidRPr="002126A3">
              <w:rPr>
                <w:sz w:val="24"/>
                <w:szCs w:val="24"/>
              </w:rPr>
              <w:t xml:space="preserve">, </w:t>
            </w:r>
            <w:proofErr w:type="spellStart"/>
            <w:r w:rsidRPr="002126A3">
              <w:rPr>
                <w:sz w:val="24"/>
                <w:szCs w:val="24"/>
              </w:rPr>
              <w:t>nefrotisk</w:t>
            </w:r>
            <w:proofErr w:type="spellEnd"/>
            <w:r w:rsidRPr="002126A3">
              <w:rPr>
                <w:sz w:val="24"/>
                <w:szCs w:val="24"/>
              </w:rPr>
              <w:t xml:space="preserve"> syndrom, </w:t>
            </w:r>
            <w:proofErr w:type="spellStart"/>
            <w:r w:rsidRPr="002126A3">
              <w:rPr>
                <w:sz w:val="24"/>
                <w:szCs w:val="24"/>
              </w:rPr>
              <w:t>renal</w:t>
            </w:r>
            <w:proofErr w:type="spellEnd"/>
            <w:r w:rsidRPr="002126A3">
              <w:rPr>
                <w:sz w:val="24"/>
                <w:szCs w:val="24"/>
              </w:rPr>
              <w:t xml:space="preserve"> </w:t>
            </w:r>
            <w:proofErr w:type="spellStart"/>
            <w:r w:rsidRPr="002126A3">
              <w:rPr>
                <w:sz w:val="24"/>
                <w:szCs w:val="24"/>
              </w:rPr>
              <w:t>tubulær</w:t>
            </w:r>
            <w:proofErr w:type="spellEnd"/>
            <w:r w:rsidRPr="002126A3">
              <w:rPr>
                <w:sz w:val="24"/>
                <w:szCs w:val="24"/>
              </w:rPr>
              <w:t xml:space="preserve"> lidelse</w:t>
            </w:r>
          </w:p>
        </w:tc>
      </w:tr>
      <w:tr w:rsidR="0031683A" w:rsidRPr="002126A3" w14:paraId="1470CDD7" w14:textId="77777777" w:rsidTr="007758B3">
        <w:trPr>
          <w:cantSplit/>
        </w:trPr>
        <w:tc>
          <w:tcPr>
            <w:tcW w:w="1158" w:type="pct"/>
            <w:vMerge/>
            <w:tcBorders>
              <w:top w:val="single" w:sz="4" w:space="0" w:color="auto"/>
              <w:left w:val="single" w:sz="4" w:space="0" w:color="auto"/>
              <w:bottom w:val="single" w:sz="4" w:space="0" w:color="auto"/>
              <w:right w:val="single" w:sz="4" w:space="0" w:color="auto"/>
            </w:tcBorders>
            <w:vAlign w:val="center"/>
            <w:hideMark/>
          </w:tcPr>
          <w:p w14:paraId="38D8B93A" w14:textId="77777777" w:rsidR="0031683A" w:rsidRPr="002126A3" w:rsidRDefault="0031683A">
            <w:pPr>
              <w:rPr>
                <w:sz w:val="24"/>
                <w:szCs w:val="24"/>
              </w:rPr>
            </w:pPr>
          </w:p>
        </w:tc>
        <w:tc>
          <w:tcPr>
            <w:tcW w:w="1467" w:type="pct"/>
            <w:tcBorders>
              <w:top w:val="single" w:sz="4" w:space="0" w:color="auto"/>
              <w:left w:val="single" w:sz="4" w:space="0" w:color="auto"/>
              <w:bottom w:val="single" w:sz="4" w:space="0" w:color="auto"/>
              <w:right w:val="single" w:sz="4" w:space="0" w:color="auto"/>
            </w:tcBorders>
            <w:hideMark/>
          </w:tcPr>
          <w:p w14:paraId="6D46AE13" w14:textId="77777777" w:rsidR="0031683A" w:rsidRPr="002126A3" w:rsidRDefault="0031683A">
            <w:pPr>
              <w:pStyle w:val="A-TableText"/>
              <w:tabs>
                <w:tab w:val="left" w:pos="0"/>
              </w:tabs>
              <w:spacing w:before="0" w:after="0"/>
              <w:rPr>
                <w:sz w:val="24"/>
                <w:szCs w:val="24"/>
              </w:rPr>
            </w:pPr>
            <w:r w:rsidRPr="002126A3">
              <w:rPr>
                <w:sz w:val="24"/>
                <w:szCs w:val="24"/>
              </w:rPr>
              <w:t>Ikke kendt</w:t>
            </w:r>
          </w:p>
        </w:tc>
        <w:tc>
          <w:tcPr>
            <w:tcW w:w="2375" w:type="pct"/>
            <w:tcBorders>
              <w:top w:val="single" w:sz="4" w:space="0" w:color="auto"/>
              <w:left w:val="single" w:sz="4" w:space="0" w:color="auto"/>
              <w:bottom w:val="single" w:sz="4" w:space="0" w:color="auto"/>
              <w:right w:val="single" w:sz="4" w:space="0" w:color="auto"/>
            </w:tcBorders>
            <w:hideMark/>
          </w:tcPr>
          <w:p w14:paraId="4B90FE18" w14:textId="77777777" w:rsidR="0031683A" w:rsidRPr="002126A3" w:rsidRDefault="0031683A">
            <w:pPr>
              <w:pStyle w:val="A-TableText"/>
              <w:tabs>
                <w:tab w:val="left" w:pos="0"/>
              </w:tabs>
              <w:spacing w:before="0" w:after="0"/>
              <w:rPr>
                <w:sz w:val="24"/>
                <w:szCs w:val="24"/>
              </w:rPr>
            </w:pPr>
            <w:r w:rsidRPr="002126A3">
              <w:rPr>
                <w:sz w:val="24"/>
                <w:szCs w:val="24"/>
              </w:rPr>
              <w:t xml:space="preserve">Nyresmerter, </w:t>
            </w:r>
            <w:proofErr w:type="spellStart"/>
            <w:r w:rsidRPr="002126A3">
              <w:rPr>
                <w:sz w:val="24"/>
                <w:szCs w:val="24"/>
              </w:rPr>
              <w:t>renal</w:t>
            </w:r>
            <w:proofErr w:type="spellEnd"/>
            <w:r w:rsidRPr="002126A3">
              <w:rPr>
                <w:sz w:val="24"/>
                <w:szCs w:val="24"/>
              </w:rPr>
              <w:t xml:space="preserve"> </w:t>
            </w:r>
            <w:proofErr w:type="spellStart"/>
            <w:r w:rsidRPr="002126A3">
              <w:rPr>
                <w:sz w:val="24"/>
                <w:szCs w:val="24"/>
              </w:rPr>
              <w:t>tubulær</w:t>
            </w:r>
            <w:proofErr w:type="spellEnd"/>
            <w:r w:rsidRPr="002126A3">
              <w:rPr>
                <w:sz w:val="24"/>
                <w:szCs w:val="24"/>
              </w:rPr>
              <w:t xml:space="preserve"> </w:t>
            </w:r>
            <w:proofErr w:type="spellStart"/>
            <w:r w:rsidRPr="002126A3">
              <w:rPr>
                <w:sz w:val="24"/>
                <w:szCs w:val="24"/>
              </w:rPr>
              <w:t>acidose</w:t>
            </w:r>
            <w:proofErr w:type="spellEnd"/>
            <w:r w:rsidRPr="002126A3">
              <w:rPr>
                <w:sz w:val="24"/>
                <w:szCs w:val="24"/>
              </w:rPr>
              <w:t xml:space="preserve">, </w:t>
            </w:r>
            <w:proofErr w:type="spellStart"/>
            <w:r w:rsidRPr="002126A3">
              <w:rPr>
                <w:sz w:val="24"/>
                <w:szCs w:val="24"/>
              </w:rPr>
              <w:t>renal</w:t>
            </w:r>
            <w:proofErr w:type="spellEnd"/>
            <w:r w:rsidRPr="002126A3">
              <w:rPr>
                <w:sz w:val="24"/>
                <w:szCs w:val="24"/>
              </w:rPr>
              <w:t xml:space="preserve"> </w:t>
            </w:r>
            <w:proofErr w:type="spellStart"/>
            <w:r w:rsidRPr="002126A3">
              <w:rPr>
                <w:sz w:val="24"/>
                <w:szCs w:val="24"/>
              </w:rPr>
              <w:t>tubulær</w:t>
            </w:r>
            <w:proofErr w:type="spellEnd"/>
            <w:r w:rsidRPr="002126A3">
              <w:rPr>
                <w:sz w:val="24"/>
                <w:szCs w:val="24"/>
              </w:rPr>
              <w:t xml:space="preserve"> nekrose, </w:t>
            </w:r>
            <w:proofErr w:type="spellStart"/>
            <w:r w:rsidRPr="002126A3">
              <w:rPr>
                <w:sz w:val="24"/>
                <w:szCs w:val="24"/>
              </w:rPr>
              <w:t>krystalnefropati</w:t>
            </w:r>
            <w:proofErr w:type="spellEnd"/>
            <w:r w:rsidRPr="002126A3">
              <w:rPr>
                <w:sz w:val="24"/>
                <w:szCs w:val="24"/>
              </w:rPr>
              <w:t>, hæmaturi</w:t>
            </w:r>
          </w:p>
        </w:tc>
      </w:tr>
      <w:tr w:rsidR="0031683A" w:rsidRPr="002126A3" w14:paraId="466B713D" w14:textId="77777777" w:rsidTr="007758B3">
        <w:trPr>
          <w:cantSplit/>
        </w:trPr>
        <w:tc>
          <w:tcPr>
            <w:tcW w:w="1158" w:type="pct"/>
            <w:tcBorders>
              <w:top w:val="single" w:sz="4" w:space="0" w:color="auto"/>
              <w:left w:val="single" w:sz="4" w:space="0" w:color="auto"/>
              <w:bottom w:val="single" w:sz="4" w:space="0" w:color="auto"/>
              <w:right w:val="single" w:sz="4" w:space="0" w:color="auto"/>
            </w:tcBorders>
            <w:hideMark/>
          </w:tcPr>
          <w:p w14:paraId="469572E4" w14:textId="77777777" w:rsidR="0031683A" w:rsidRPr="002126A3" w:rsidRDefault="0031683A">
            <w:pPr>
              <w:pStyle w:val="A-TableText"/>
              <w:tabs>
                <w:tab w:val="left" w:pos="0"/>
              </w:tabs>
              <w:spacing w:before="0" w:after="0"/>
              <w:rPr>
                <w:sz w:val="24"/>
                <w:szCs w:val="24"/>
              </w:rPr>
            </w:pPr>
            <w:r w:rsidRPr="002126A3">
              <w:rPr>
                <w:sz w:val="24"/>
                <w:szCs w:val="24"/>
              </w:rPr>
              <w:t>Det reproduktive system og mammae</w:t>
            </w:r>
          </w:p>
        </w:tc>
        <w:tc>
          <w:tcPr>
            <w:tcW w:w="1467" w:type="pct"/>
            <w:tcBorders>
              <w:top w:val="single" w:sz="4" w:space="0" w:color="auto"/>
              <w:left w:val="single" w:sz="4" w:space="0" w:color="auto"/>
              <w:bottom w:val="single" w:sz="4" w:space="0" w:color="auto"/>
              <w:right w:val="single" w:sz="4" w:space="0" w:color="auto"/>
            </w:tcBorders>
            <w:hideMark/>
          </w:tcPr>
          <w:p w14:paraId="6E658119" w14:textId="77777777" w:rsidR="0031683A" w:rsidRPr="002126A3" w:rsidRDefault="0031683A">
            <w:pPr>
              <w:pStyle w:val="A-TableText"/>
              <w:tabs>
                <w:tab w:val="left" w:pos="0"/>
              </w:tabs>
              <w:spacing w:before="0" w:after="0"/>
              <w:rPr>
                <w:sz w:val="24"/>
                <w:szCs w:val="24"/>
              </w:rPr>
            </w:pPr>
            <w:r w:rsidRPr="002126A3">
              <w:rPr>
                <w:sz w:val="24"/>
                <w:szCs w:val="24"/>
              </w:rPr>
              <w:t>Almindelig</w:t>
            </w:r>
          </w:p>
        </w:tc>
        <w:tc>
          <w:tcPr>
            <w:tcW w:w="2375" w:type="pct"/>
            <w:tcBorders>
              <w:top w:val="single" w:sz="4" w:space="0" w:color="auto"/>
              <w:left w:val="single" w:sz="4" w:space="0" w:color="auto"/>
              <w:bottom w:val="single" w:sz="4" w:space="0" w:color="auto"/>
              <w:right w:val="single" w:sz="4" w:space="0" w:color="auto"/>
            </w:tcBorders>
            <w:hideMark/>
          </w:tcPr>
          <w:p w14:paraId="471687FB" w14:textId="77777777" w:rsidR="0031683A" w:rsidRPr="002126A3" w:rsidRDefault="0031683A">
            <w:pPr>
              <w:pStyle w:val="A-TableText"/>
              <w:tabs>
                <w:tab w:val="left" w:pos="0"/>
              </w:tabs>
              <w:spacing w:before="0" w:after="0"/>
              <w:rPr>
                <w:sz w:val="24"/>
                <w:szCs w:val="24"/>
              </w:rPr>
            </w:pPr>
            <w:r w:rsidRPr="002126A3">
              <w:rPr>
                <w:sz w:val="24"/>
                <w:szCs w:val="24"/>
              </w:rPr>
              <w:t xml:space="preserve">Genitalt ubehag og </w:t>
            </w:r>
            <w:proofErr w:type="spellStart"/>
            <w:r w:rsidRPr="002126A3">
              <w:rPr>
                <w:sz w:val="24"/>
                <w:szCs w:val="24"/>
              </w:rPr>
              <w:t>ulceration</w:t>
            </w:r>
            <w:r w:rsidRPr="002126A3">
              <w:rPr>
                <w:sz w:val="24"/>
                <w:szCs w:val="24"/>
                <w:vertAlign w:val="superscript"/>
              </w:rPr>
              <w:t>c</w:t>
            </w:r>
            <w:proofErr w:type="spellEnd"/>
          </w:p>
        </w:tc>
      </w:tr>
      <w:tr w:rsidR="0031683A" w:rsidRPr="002126A3" w14:paraId="666D6CF0" w14:textId="77777777" w:rsidTr="007758B3">
        <w:trPr>
          <w:cantSplit/>
        </w:trPr>
        <w:tc>
          <w:tcPr>
            <w:tcW w:w="1158" w:type="pct"/>
            <w:vMerge w:val="restart"/>
            <w:tcBorders>
              <w:top w:val="single" w:sz="4" w:space="0" w:color="auto"/>
              <w:left w:val="single" w:sz="4" w:space="0" w:color="auto"/>
              <w:bottom w:val="single" w:sz="4" w:space="0" w:color="auto"/>
              <w:right w:val="single" w:sz="4" w:space="0" w:color="auto"/>
            </w:tcBorders>
            <w:hideMark/>
          </w:tcPr>
          <w:p w14:paraId="22E40ED3" w14:textId="77777777" w:rsidR="0031683A" w:rsidRPr="002126A3" w:rsidRDefault="0031683A">
            <w:pPr>
              <w:pStyle w:val="A-TableText"/>
              <w:tabs>
                <w:tab w:val="left" w:pos="0"/>
              </w:tabs>
              <w:spacing w:before="0" w:after="0"/>
              <w:rPr>
                <w:sz w:val="24"/>
                <w:szCs w:val="24"/>
              </w:rPr>
            </w:pPr>
            <w:r w:rsidRPr="002126A3">
              <w:rPr>
                <w:sz w:val="24"/>
                <w:szCs w:val="24"/>
              </w:rPr>
              <w:t>Almene symptomer og reaktioner på administrationsstedet</w:t>
            </w:r>
          </w:p>
        </w:tc>
        <w:tc>
          <w:tcPr>
            <w:tcW w:w="1467" w:type="pct"/>
            <w:tcBorders>
              <w:top w:val="single" w:sz="4" w:space="0" w:color="auto"/>
              <w:left w:val="single" w:sz="4" w:space="0" w:color="auto"/>
              <w:bottom w:val="single" w:sz="4" w:space="0" w:color="auto"/>
              <w:right w:val="single" w:sz="4" w:space="0" w:color="auto"/>
            </w:tcBorders>
            <w:hideMark/>
          </w:tcPr>
          <w:p w14:paraId="22196A14" w14:textId="77777777" w:rsidR="0031683A" w:rsidRPr="002126A3" w:rsidRDefault="0031683A">
            <w:pPr>
              <w:pStyle w:val="A-TableText"/>
              <w:tabs>
                <w:tab w:val="left" w:pos="0"/>
              </w:tabs>
              <w:spacing w:before="0" w:after="0"/>
              <w:rPr>
                <w:sz w:val="24"/>
                <w:szCs w:val="24"/>
              </w:rPr>
            </w:pPr>
            <w:r w:rsidRPr="002126A3">
              <w:rPr>
                <w:sz w:val="24"/>
                <w:szCs w:val="24"/>
              </w:rPr>
              <w:t>Meget almindelig</w:t>
            </w:r>
          </w:p>
        </w:tc>
        <w:tc>
          <w:tcPr>
            <w:tcW w:w="2375" w:type="pct"/>
            <w:tcBorders>
              <w:top w:val="single" w:sz="4" w:space="0" w:color="auto"/>
              <w:left w:val="single" w:sz="4" w:space="0" w:color="auto"/>
              <w:bottom w:val="single" w:sz="4" w:space="0" w:color="auto"/>
              <w:right w:val="single" w:sz="4" w:space="0" w:color="auto"/>
            </w:tcBorders>
            <w:hideMark/>
          </w:tcPr>
          <w:p w14:paraId="4407484C" w14:textId="77777777" w:rsidR="0031683A" w:rsidRPr="002126A3" w:rsidRDefault="0031683A">
            <w:pPr>
              <w:pStyle w:val="A-TableText"/>
              <w:tabs>
                <w:tab w:val="left" w:pos="0"/>
              </w:tabs>
              <w:spacing w:before="0" w:after="0"/>
              <w:rPr>
                <w:sz w:val="24"/>
                <w:szCs w:val="24"/>
              </w:rPr>
            </w:pPr>
            <w:r w:rsidRPr="002126A3">
              <w:rPr>
                <w:sz w:val="24"/>
                <w:szCs w:val="24"/>
              </w:rPr>
              <w:t xml:space="preserve">Asteni, kulderystelser, træthed, </w:t>
            </w:r>
            <w:proofErr w:type="spellStart"/>
            <w:r w:rsidRPr="002126A3">
              <w:rPr>
                <w:sz w:val="24"/>
                <w:szCs w:val="24"/>
              </w:rPr>
              <w:t>pyreksi</w:t>
            </w:r>
            <w:proofErr w:type="spellEnd"/>
          </w:p>
        </w:tc>
      </w:tr>
      <w:tr w:rsidR="0031683A" w:rsidRPr="002126A3" w14:paraId="0A29877D" w14:textId="77777777" w:rsidTr="007758B3">
        <w:trPr>
          <w:cantSplit/>
        </w:trPr>
        <w:tc>
          <w:tcPr>
            <w:tcW w:w="1158" w:type="pct"/>
            <w:vMerge/>
            <w:tcBorders>
              <w:top w:val="single" w:sz="4" w:space="0" w:color="auto"/>
              <w:left w:val="single" w:sz="4" w:space="0" w:color="auto"/>
              <w:bottom w:val="single" w:sz="4" w:space="0" w:color="auto"/>
              <w:right w:val="single" w:sz="4" w:space="0" w:color="auto"/>
            </w:tcBorders>
            <w:vAlign w:val="center"/>
            <w:hideMark/>
          </w:tcPr>
          <w:p w14:paraId="0EF93185" w14:textId="77777777" w:rsidR="0031683A" w:rsidRPr="002126A3" w:rsidRDefault="0031683A">
            <w:pPr>
              <w:rPr>
                <w:sz w:val="24"/>
                <w:szCs w:val="24"/>
              </w:rPr>
            </w:pPr>
          </w:p>
        </w:tc>
        <w:tc>
          <w:tcPr>
            <w:tcW w:w="1467" w:type="pct"/>
            <w:tcBorders>
              <w:top w:val="single" w:sz="4" w:space="0" w:color="auto"/>
              <w:left w:val="single" w:sz="4" w:space="0" w:color="auto"/>
              <w:bottom w:val="single" w:sz="4" w:space="0" w:color="auto"/>
              <w:right w:val="single" w:sz="4" w:space="0" w:color="auto"/>
            </w:tcBorders>
            <w:hideMark/>
          </w:tcPr>
          <w:p w14:paraId="08ED783D" w14:textId="77777777" w:rsidR="0031683A" w:rsidRPr="002126A3" w:rsidRDefault="0031683A">
            <w:pPr>
              <w:pStyle w:val="A-TableText"/>
              <w:tabs>
                <w:tab w:val="left" w:pos="0"/>
              </w:tabs>
              <w:spacing w:before="0" w:after="0"/>
              <w:rPr>
                <w:sz w:val="24"/>
                <w:szCs w:val="24"/>
              </w:rPr>
            </w:pPr>
            <w:r w:rsidRPr="002126A3">
              <w:rPr>
                <w:sz w:val="24"/>
                <w:szCs w:val="24"/>
              </w:rPr>
              <w:t>Almindelig</w:t>
            </w:r>
          </w:p>
        </w:tc>
        <w:tc>
          <w:tcPr>
            <w:tcW w:w="2375" w:type="pct"/>
            <w:tcBorders>
              <w:top w:val="single" w:sz="4" w:space="0" w:color="auto"/>
              <w:left w:val="single" w:sz="4" w:space="0" w:color="auto"/>
              <w:bottom w:val="single" w:sz="4" w:space="0" w:color="auto"/>
              <w:right w:val="single" w:sz="4" w:space="0" w:color="auto"/>
            </w:tcBorders>
            <w:hideMark/>
          </w:tcPr>
          <w:p w14:paraId="192A6320" w14:textId="77777777" w:rsidR="0031683A" w:rsidRPr="002126A3" w:rsidRDefault="0031683A">
            <w:pPr>
              <w:pStyle w:val="A-TableText"/>
              <w:tabs>
                <w:tab w:val="left" w:pos="0"/>
              </w:tabs>
              <w:spacing w:before="0" w:after="0"/>
              <w:rPr>
                <w:sz w:val="24"/>
                <w:szCs w:val="24"/>
              </w:rPr>
            </w:pPr>
            <w:proofErr w:type="spellStart"/>
            <w:r w:rsidRPr="002126A3">
              <w:rPr>
                <w:sz w:val="24"/>
                <w:szCs w:val="24"/>
              </w:rPr>
              <w:t>Malaise</w:t>
            </w:r>
            <w:proofErr w:type="spellEnd"/>
            <w:r w:rsidRPr="002126A3">
              <w:rPr>
                <w:sz w:val="24"/>
                <w:szCs w:val="24"/>
              </w:rPr>
              <w:t xml:space="preserve">, ødem, </w:t>
            </w:r>
            <w:r w:rsidRPr="002126A3">
              <w:rPr>
                <w:color w:val="000000"/>
                <w:sz w:val="24"/>
                <w:szCs w:val="24"/>
              </w:rPr>
              <w:t xml:space="preserve">smerter i </w:t>
            </w:r>
            <w:proofErr w:type="spellStart"/>
            <w:r w:rsidRPr="002126A3">
              <w:rPr>
                <w:color w:val="000000"/>
                <w:sz w:val="24"/>
                <w:szCs w:val="24"/>
              </w:rPr>
              <w:t>brystet</w:t>
            </w:r>
            <w:r w:rsidRPr="002126A3">
              <w:rPr>
                <w:color w:val="000000"/>
                <w:sz w:val="24"/>
                <w:szCs w:val="24"/>
                <w:vertAlign w:val="superscript"/>
              </w:rPr>
              <w:t>d</w:t>
            </w:r>
            <w:proofErr w:type="spellEnd"/>
            <w:r w:rsidRPr="002126A3">
              <w:rPr>
                <w:color w:val="000000"/>
                <w:sz w:val="24"/>
                <w:szCs w:val="24"/>
              </w:rPr>
              <w:t>, smerte på injektionsstedet, inflammation på injektionsstedet</w:t>
            </w:r>
          </w:p>
        </w:tc>
      </w:tr>
      <w:tr w:rsidR="0031683A" w:rsidRPr="002126A3" w14:paraId="5CB83D7A" w14:textId="77777777" w:rsidTr="007758B3">
        <w:trPr>
          <w:cantSplit/>
        </w:trPr>
        <w:tc>
          <w:tcPr>
            <w:tcW w:w="1158" w:type="pct"/>
            <w:vMerge/>
            <w:tcBorders>
              <w:top w:val="single" w:sz="4" w:space="0" w:color="auto"/>
              <w:left w:val="single" w:sz="4" w:space="0" w:color="auto"/>
              <w:bottom w:val="single" w:sz="4" w:space="0" w:color="auto"/>
              <w:right w:val="single" w:sz="4" w:space="0" w:color="auto"/>
            </w:tcBorders>
            <w:vAlign w:val="center"/>
            <w:hideMark/>
          </w:tcPr>
          <w:p w14:paraId="763F771C" w14:textId="77777777" w:rsidR="0031683A" w:rsidRPr="002126A3" w:rsidRDefault="0031683A">
            <w:pPr>
              <w:rPr>
                <w:sz w:val="24"/>
                <w:szCs w:val="24"/>
              </w:rPr>
            </w:pPr>
          </w:p>
        </w:tc>
        <w:tc>
          <w:tcPr>
            <w:tcW w:w="1467" w:type="pct"/>
            <w:tcBorders>
              <w:top w:val="single" w:sz="4" w:space="0" w:color="auto"/>
              <w:left w:val="single" w:sz="4" w:space="0" w:color="auto"/>
              <w:bottom w:val="single" w:sz="4" w:space="0" w:color="auto"/>
              <w:right w:val="single" w:sz="4" w:space="0" w:color="auto"/>
            </w:tcBorders>
            <w:hideMark/>
          </w:tcPr>
          <w:p w14:paraId="7BC96FEB" w14:textId="77777777" w:rsidR="0031683A" w:rsidRPr="002126A3" w:rsidRDefault="0031683A">
            <w:pPr>
              <w:pStyle w:val="A-TableText"/>
              <w:tabs>
                <w:tab w:val="left" w:pos="0"/>
              </w:tabs>
              <w:spacing w:before="0" w:after="0"/>
              <w:rPr>
                <w:sz w:val="24"/>
                <w:szCs w:val="24"/>
              </w:rPr>
            </w:pPr>
            <w:r w:rsidRPr="002126A3">
              <w:rPr>
                <w:sz w:val="24"/>
                <w:szCs w:val="24"/>
              </w:rPr>
              <w:t>Ikke kendt</w:t>
            </w:r>
          </w:p>
        </w:tc>
        <w:tc>
          <w:tcPr>
            <w:tcW w:w="2375" w:type="pct"/>
            <w:tcBorders>
              <w:top w:val="single" w:sz="4" w:space="0" w:color="auto"/>
              <w:left w:val="single" w:sz="4" w:space="0" w:color="auto"/>
              <w:bottom w:val="single" w:sz="4" w:space="0" w:color="auto"/>
              <w:right w:val="single" w:sz="4" w:space="0" w:color="auto"/>
            </w:tcBorders>
            <w:hideMark/>
          </w:tcPr>
          <w:p w14:paraId="79D78939" w14:textId="77777777" w:rsidR="0031683A" w:rsidRPr="002126A3" w:rsidRDefault="0031683A">
            <w:pPr>
              <w:pStyle w:val="A-TableText"/>
              <w:tabs>
                <w:tab w:val="left" w:pos="0"/>
              </w:tabs>
              <w:spacing w:before="0" w:after="0"/>
              <w:rPr>
                <w:sz w:val="24"/>
                <w:szCs w:val="24"/>
              </w:rPr>
            </w:pPr>
            <w:proofErr w:type="spellStart"/>
            <w:r w:rsidRPr="002126A3">
              <w:rPr>
                <w:sz w:val="24"/>
                <w:szCs w:val="24"/>
              </w:rPr>
              <w:t>Ekstravasation</w:t>
            </w:r>
            <w:proofErr w:type="spellEnd"/>
          </w:p>
        </w:tc>
      </w:tr>
      <w:tr w:rsidR="0031683A" w:rsidRPr="002126A3" w14:paraId="6951A659" w14:textId="77777777" w:rsidTr="007758B3">
        <w:trPr>
          <w:cantSplit/>
        </w:trPr>
        <w:tc>
          <w:tcPr>
            <w:tcW w:w="1158" w:type="pct"/>
            <w:vMerge w:val="restart"/>
            <w:tcBorders>
              <w:top w:val="single" w:sz="4" w:space="0" w:color="auto"/>
              <w:left w:val="single" w:sz="4" w:space="0" w:color="auto"/>
              <w:bottom w:val="single" w:sz="4" w:space="0" w:color="auto"/>
              <w:right w:val="single" w:sz="4" w:space="0" w:color="auto"/>
            </w:tcBorders>
            <w:hideMark/>
          </w:tcPr>
          <w:p w14:paraId="231B4F35" w14:textId="77777777" w:rsidR="0031683A" w:rsidRPr="002126A3" w:rsidRDefault="0031683A">
            <w:pPr>
              <w:pStyle w:val="A-TableText"/>
              <w:tabs>
                <w:tab w:val="left" w:pos="0"/>
              </w:tabs>
              <w:spacing w:before="0" w:after="0"/>
              <w:rPr>
                <w:sz w:val="24"/>
                <w:szCs w:val="24"/>
              </w:rPr>
            </w:pPr>
            <w:r w:rsidRPr="002126A3">
              <w:rPr>
                <w:sz w:val="24"/>
                <w:szCs w:val="24"/>
              </w:rPr>
              <w:t>Undersøgelser</w:t>
            </w:r>
          </w:p>
        </w:tc>
        <w:tc>
          <w:tcPr>
            <w:tcW w:w="1467" w:type="pct"/>
            <w:tcBorders>
              <w:top w:val="single" w:sz="4" w:space="0" w:color="auto"/>
              <w:left w:val="single" w:sz="4" w:space="0" w:color="auto"/>
              <w:bottom w:val="single" w:sz="4" w:space="0" w:color="auto"/>
              <w:right w:val="single" w:sz="4" w:space="0" w:color="auto"/>
            </w:tcBorders>
            <w:hideMark/>
          </w:tcPr>
          <w:p w14:paraId="69BA6E95" w14:textId="77777777" w:rsidR="0031683A" w:rsidRPr="002126A3" w:rsidRDefault="0031683A">
            <w:pPr>
              <w:pStyle w:val="A-TableText"/>
              <w:tabs>
                <w:tab w:val="left" w:pos="0"/>
              </w:tabs>
              <w:spacing w:before="0" w:after="0"/>
              <w:rPr>
                <w:sz w:val="24"/>
                <w:szCs w:val="24"/>
              </w:rPr>
            </w:pPr>
            <w:r w:rsidRPr="002126A3">
              <w:rPr>
                <w:sz w:val="24"/>
                <w:szCs w:val="24"/>
              </w:rPr>
              <w:t xml:space="preserve">Meget almindelig </w:t>
            </w:r>
          </w:p>
        </w:tc>
        <w:tc>
          <w:tcPr>
            <w:tcW w:w="2375" w:type="pct"/>
            <w:tcBorders>
              <w:top w:val="single" w:sz="4" w:space="0" w:color="auto"/>
              <w:left w:val="single" w:sz="4" w:space="0" w:color="auto"/>
              <w:bottom w:val="single" w:sz="4" w:space="0" w:color="auto"/>
              <w:right w:val="single" w:sz="4" w:space="0" w:color="auto"/>
            </w:tcBorders>
            <w:hideMark/>
          </w:tcPr>
          <w:p w14:paraId="30312B2A" w14:textId="77777777" w:rsidR="0031683A" w:rsidRPr="002126A3" w:rsidRDefault="0031683A">
            <w:pPr>
              <w:pStyle w:val="A-TableText"/>
              <w:tabs>
                <w:tab w:val="left" w:pos="0"/>
              </w:tabs>
              <w:spacing w:before="0" w:after="0"/>
              <w:rPr>
                <w:sz w:val="24"/>
                <w:szCs w:val="24"/>
              </w:rPr>
            </w:pPr>
            <w:r w:rsidRPr="002126A3">
              <w:rPr>
                <w:sz w:val="24"/>
                <w:szCs w:val="24"/>
              </w:rPr>
              <w:t xml:space="preserve">Stigning i </w:t>
            </w:r>
            <w:proofErr w:type="spellStart"/>
            <w:r w:rsidRPr="002126A3">
              <w:rPr>
                <w:sz w:val="24"/>
                <w:szCs w:val="24"/>
              </w:rPr>
              <w:t>blodkreatinin</w:t>
            </w:r>
            <w:proofErr w:type="spellEnd"/>
            <w:r w:rsidRPr="002126A3">
              <w:rPr>
                <w:sz w:val="24"/>
                <w:szCs w:val="24"/>
              </w:rPr>
              <w:t>, fald i hæmoglobin</w:t>
            </w:r>
          </w:p>
        </w:tc>
      </w:tr>
      <w:tr w:rsidR="0031683A" w:rsidRPr="002126A3" w14:paraId="222D789E" w14:textId="77777777" w:rsidTr="007758B3">
        <w:trPr>
          <w:cantSplit/>
        </w:trPr>
        <w:tc>
          <w:tcPr>
            <w:tcW w:w="1158" w:type="pct"/>
            <w:vMerge/>
            <w:tcBorders>
              <w:top w:val="single" w:sz="4" w:space="0" w:color="auto"/>
              <w:left w:val="single" w:sz="4" w:space="0" w:color="auto"/>
              <w:bottom w:val="single" w:sz="4" w:space="0" w:color="auto"/>
              <w:right w:val="single" w:sz="4" w:space="0" w:color="auto"/>
            </w:tcBorders>
            <w:vAlign w:val="center"/>
            <w:hideMark/>
          </w:tcPr>
          <w:p w14:paraId="7C679818" w14:textId="77777777" w:rsidR="0031683A" w:rsidRPr="002126A3" w:rsidRDefault="0031683A">
            <w:pPr>
              <w:rPr>
                <w:sz w:val="24"/>
                <w:szCs w:val="24"/>
              </w:rPr>
            </w:pPr>
          </w:p>
        </w:tc>
        <w:tc>
          <w:tcPr>
            <w:tcW w:w="1467" w:type="pct"/>
            <w:tcBorders>
              <w:top w:val="single" w:sz="4" w:space="0" w:color="auto"/>
              <w:left w:val="single" w:sz="4" w:space="0" w:color="auto"/>
              <w:bottom w:val="single" w:sz="4" w:space="0" w:color="auto"/>
              <w:right w:val="single" w:sz="4" w:space="0" w:color="auto"/>
            </w:tcBorders>
            <w:hideMark/>
          </w:tcPr>
          <w:p w14:paraId="2D42C2E9" w14:textId="77777777" w:rsidR="0031683A" w:rsidRPr="002126A3" w:rsidRDefault="0031683A">
            <w:pPr>
              <w:pStyle w:val="A-TableText"/>
              <w:tabs>
                <w:tab w:val="left" w:pos="0"/>
              </w:tabs>
              <w:spacing w:before="0" w:after="0"/>
              <w:rPr>
                <w:sz w:val="24"/>
                <w:szCs w:val="24"/>
              </w:rPr>
            </w:pPr>
            <w:r w:rsidRPr="002126A3">
              <w:rPr>
                <w:sz w:val="24"/>
                <w:szCs w:val="24"/>
              </w:rPr>
              <w:t>Almindelig</w:t>
            </w:r>
          </w:p>
        </w:tc>
        <w:tc>
          <w:tcPr>
            <w:tcW w:w="2375" w:type="pct"/>
            <w:tcBorders>
              <w:top w:val="single" w:sz="4" w:space="0" w:color="auto"/>
              <w:left w:val="single" w:sz="4" w:space="0" w:color="auto"/>
              <w:bottom w:val="single" w:sz="4" w:space="0" w:color="auto"/>
              <w:right w:val="single" w:sz="4" w:space="0" w:color="auto"/>
            </w:tcBorders>
            <w:hideMark/>
          </w:tcPr>
          <w:p w14:paraId="753C3796" w14:textId="77777777" w:rsidR="0031683A" w:rsidRPr="002126A3" w:rsidRDefault="0031683A">
            <w:pPr>
              <w:pStyle w:val="A-TableText"/>
              <w:tabs>
                <w:tab w:val="left" w:pos="0"/>
              </w:tabs>
              <w:spacing w:before="0" w:after="0"/>
              <w:rPr>
                <w:sz w:val="24"/>
                <w:szCs w:val="24"/>
              </w:rPr>
            </w:pPr>
            <w:r w:rsidRPr="002126A3">
              <w:rPr>
                <w:sz w:val="24"/>
                <w:szCs w:val="24"/>
              </w:rPr>
              <w:t xml:space="preserve">Fald i </w:t>
            </w:r>
            <w:proofErr w:type="spellStart"/>
            <w:r w:rsidRPr="002126A3">
              <w:rPr>
                <w:sz w:val="24"/>
                <w:szCs w:val="24"/>
              </w:rPr>
              <w:t>renal</w:t>
            </w:r>
            <w:proofErr w:type="spellEnd"/>
            <w:r w:rsidRPr="002126A3">
              <w:rPr>
                <w:sz w:val="24"/>
                <w:szCs w:val="24"/>
              </w:rPr>
              <w:t xml:space="preserve"> </w:t>
            </w:r>
            <w:proofErr w:type="spellStart"/>
            <w:r w:rsidRPr="002126A3">
              <w:rPr>
                <w:sz w:val="24"/>
                <w:szCs w:val="24"/>
              </w:rPr>
              <w:t>kreatinin-clearance</w:t>
            </w:r>
            <w:proofErr w:type="spellEnd"/>
            <w:r w:rsidRPr="002126A3">
              <w:rPr>
                <w:sz w:val="24"/>
                <w:szCs w:val="24"/>
              </w:rPr>
              <w:t xml:space="preserve">, </w:t>
            </w:r>
            <w:proofErr w:type="spellStart"/>
            <w:r w:rsidRPr="002126A3">
              <w:rPr>
                <w:sz w:val="24"/>
                <w:szCs w:val="24"/>
              </w:rPr>
              <w:t>abnormalt</w:t>
            </w:r>
            <w:proofErr w:type="spellEnd"/>
            <w:r w:rsidRPr="002126A3">
              <w:rPr>
                <w:sz w:val="24"/>
                <w:szCs w:val="24"/>
              </w:rPr>
              <w:t xml:space="preserve"> EKG, forhøjet gamma-</w:t>
            </w:r>
            <w:proofErr w:type="spellStart"/>
            <w:r w:rsidRPr="002126A3">
              <w:rPr>
                <w:sz w:val="24"/>
                <w:szCs w:val="24"/>
              </w:rPr>
              <w:t>glutamyltransferase</w:t>
            </w:r>
            <w:proofErr w:type="spellEnd"/>
            <w:r w:rsidRPr="002126A3">
              <w:rPr>
                <w:sz w:val="24"/>
                <w:szCs w:val="24"/>
              </w:rPr>
              <w:t xml:space="preserve">, forhøjet ALAT, forhøjet ASAT, forhøjet </w:t>
            </w:r>
            <w:proofErr w:type="spellStart"/>
            <w:r w:rsidRPr="002126A3">
              <w:rPr>
                <w:sz w:val="24"/>
                <w:szCs w:val="24"/>
              </w:rPr>
              <w:t>lipase</w:t>
            </w:r>
            <w:proofErr w:type="spellEnd"/>
          </w:p>
        </w:tc>
      </w:tr>
      <w:tr w:rsidR="0031683A" w:rsidRPr="002126A3" w14:paraId="1A2572D1" w14:textId="77777777" w:rsidTr="007758B3">
        <w:trPr>
          <w:cantSplit/>
        </w:trPr>
        <w:tc>
          <w:tcPr>
            <w:tcW w:w="1158" w:type="pct"/>
            <w:vMerge/>
            <w:tcBorders>
              <w:top w:val="single" w:sz="4" w:space="0" w:color="auto"/>
              <w:left w:val="single" w:sz="4" w:space="0" w:color="auto"/>
              <w:bottom w:val="single" w:sz="4" w:space="0" w:color="auto"/>
              <w:right w:val="single" w:sz="4" w:space="0" w:color="auto"/>
            </w:tcBorders>
            <w:vAlign w:val="center"/>
            <w:hideMark/>
          </w:tcPr>
          <w:p w14:paraId="45791A71" w14:textId="77777777" w:rsidR="0031683A" w:rsidRPr="002126A3" w:rsidRDefault="0031683A">
            <w:pPr>
              <w:rPr>
                <w:sz w:val="24"/>
                <w:szCs w:val="24"/>
              </w:rPr>
            </w:pPr>
          </w:p>
        </w:tc>
        <w:tc>
          <w:tcPr>
            <w:tcW w:w="1467" w:type="pct"/>
            <w:tcBorders>
              <w:top w:val="single" w:sz="4" w:space="0" w:color="auto"/>
              <w:left w:val="single" w:sz="4" w:space="0" w:color="auto"/>
              <w:bottom w:val="single" w:sz="4" w:space="0" w:color="auto"/>
              <w:right w:val="single" w:sz="4" w:space="0" w:color="auto"/>
            </w:tcBorders>
            <w:hideMark/>
          </w:tcPr>
          <w:p w14:paraId="51F8411C" w14:textId="77777777" w:rsidR="0031683A" w:rsidRPr="002126A3" w:rsidRDefault="0031683A">
            <w:pPr>
              <w:pStyle w:val="A-TableText"/>
              <w:tabs>
                <w:tab w:val="left" w:pos="0"/>
              </w:tabs>
              <w:spacing w:before="0" w:after="0"/>
              <w:rPr>
                <w:sz w:val="24"/>
                <w:szCs w:val="24"/>
              </w:rPr>
            </w:pPr>
            <w:r w:rsidRPr="002126A3">
              <w:rPr>
                <w:sz w:val="24"/>
                <w:szCs w:val="24"/>
              </w:rPr>
              <w:t>Ikke almindelig</w:t>
            </w:r>
          </w:p>
        </w:tc>
        <w:tc>
          <w:tcPr>
            <w:tcW w:w="2375" w:type="pct"/>
            <w:tcBorders>
              <w:top w:val="single" w:sz="4" w:space="0" w:color="auto"/>
              <w:left w:val="single" w:sz="4" w:space="0" w:color="auto"/>
              <w:bottom w:val="single" w:sz="4" w:space="0" w:color="auto"/>
              <w:right w:val="single" w:sz="4" w:space="0" w:color="auto"/>
            </w:tcBorders>
            <w:hideMark/>
          </w:tcPr>
          <w:p w14:paraId="3BE6A3C4" w14:textId="77777777" w:rsidR="0031683A" w:rsidRPr="002126A3" w:rsidRDefault="0031683A">
            <w:pPr>
              <w:pStyle w:val="A-TableText"/>
              <w:tabs>
                <w:tab w:val="left" w:pos="0"/>
              </w:tabs>
              <w:spacing w:before="0" w:after="0"/>
              <w:rPr>
                <w:sz w:val="24"/>
                <w:szCs w:val="24"/>
              </w:rPr>
            </w:pPr>
            <w:r w:rsidRPr="002126A3">
              <w:rPr>
                <w:sz w:val="24"/>
                <w:szCs w:val="24"/>
              </w:rPr>
              <w:t xml:space="preserve">Forhøjet amylase, forhøjet </w:t>
            </w:r>
            <w:proofErr w:type="spellStart"/>
            <w:r w:rsidRPr="002126A3">
              <w:rPr>
                <w:sz w:val="24"/>
                <w:szCs w:val="24"/>
              </w:rPr>
              <w:t>kreatinfosfokinase</w:t>
            </w:r>
            <w:proofErr w:type="spellEnd"/>
            <w:r w:rsidRPr="002126A3">
              <w:rPr>
                <w:sz w:val="24"/>
                <w:szCs w:val="24"/>
              </w:rPr>
              <w:t xml:space="preserve"> i blodet</w:t>
            </w:r>
          </w:p>
        </w:tc>
      </w:tr>
    </w:tbl>
    <w:p w14:paraId="29B282E2" w14:textId="77777777" w:rsidR="0031683A" w:rsidRPr="0021324E" w:rsidRDefault="0031683A" w:rsidP="0031683A">
      <w:pPr>
        <w:tabs>
          <w:tab w:val="left" w:pos="284"/>
        </w:tabs>
        <w:autoSpaceDE w:val="0"/>
        <w:autoSpaceDN w:val="0"/>
        <w:adjustRightInd w:val="0"/>
        <w:rPr>
          <w:sz w:val="20"/>
        </w:rPr>
      </w:pPr>
      <w:r w:rsidRPr="0021324E">
        <w:rPr>
          <w:sz w:val="20"/>
          <w:vertAlign w:val="superscript"/>
        </w:rPr>
        <w:t>a</w:t>
      </w:r>
      <w:r w:rsidRPr="0021324E">
        <w:rPr>
          <w:sz w:val="20"/>
        </w:rPr>
        <w:t xml:space="preserve"> </w:t>
      </w:r>
      <w:r w:rsidRPr="0021324E">
        <w:rPr>
          <w:sz w:val="20"/>
        </w:rPr>
        <w:tab/>
        <w:t xml:space="preserve">Der er observeret </w:t>
      </w:r>
      <w:proofErr w:type="spellStart"/>
      <w:r w:rsidRPr="0021324E">
        <w:rPr>
          <w:sz w:val="20"/>
        </w:rPr>
        <w:t>tromboflebitis</w:t>
      </w:r>
      <w:proofErr w:type="spellEnd"/>
      <w:r w:rsidRPr="0021324E">
        <w:rPr>
          <w:sz w:val="20"/>
        </w:rPr>
        <w:t xml:space="preserve"> i perifere vener efter infusion af ufortyndet </w:t>
      </w:r>
      <w:proofErr w:type="spellStart"/>
      <w:r w:rsidRPr="0021324E">
        <w:rPr>
          <w:sz w:val="20"/>
        </w:rPr>
        <w:t>foscarnetopløsning</w:t>
      </w:r>
      <w:proofErr w:type="spellEnd"/>
      <w:r w:rsidRPr="0021324E">
        <w:rPr>
          <w:sz w:val="20"/>
        </w:rPr>
        <w:t xml:space="preserve">. </w:t>
      </w:r>
    </w:p>
    <w:p w14:paraId="4053F277" w14:textId="77777777" w:rsidR="0031683A" w:rsidRPr="0021324E" w:rsidRDefault="0031683A" w:rsidP="0031683A">
      <w:pPr>
        <w:tabs>
          <w:tab w:val="left" w:pos="284"/>
          <w:tab w:val="left" w:pos="993"/>
          <w:tab w:val="left" w:pos="1276"/>
        </w:tabs>
        <w:autoSpaceDE w:val="0"/>
        <w:autoSpaceDN w:val="0"/>
        <w:adjustRightInd w:val="0"/>
        <w:ind w:left="284" w:hanging="284"/>
        <w:rPr>
          <w:bCs/>
          <w:color w:val="000000"/>
          <w:sz w:val="20"/>
          <w:vertAlign w:val="superscript"/>
        </w:rPr>
      </w:pPr>
      <w:r w:rsidRPr="0021324E">
        <w:rPr>
          <w:sz w:val="20"/>
          <w:vertAlign w:val="superscript"/>
        </w:rPr>
        <w:t>b</w:t>
      </w:r>
      <w:r w:rsidRPr="0021324E">
        <w:rPr>
          <w:color w:val="000000"/>
          <w:sz w:val="20"/>
        </w:rPr>
        <w:t xml:space="preserve"> </w:t>
      </w:r>
      <w:r w:rsidRPr="0021324E">
        <w:rPr>
          <w:color w:val="000000"/>
          <w:sz w:val="20"/>
        </w:rPr>
        <w:tab/>
        <w:t xml:space="preserve">Der er indberettet tilfælde af </w:t>
      </w:r>
      <w:proofErr w:type="spellStart"/>
      <w:r w:rsidRPr="0021324E">
        <w:rPr>
          <w:color w:val="000000"/>
          <w:sz w:val="20"/>
        </w:rPr>
        <w:t>vesikulobulløse</w:t>
      </w:r>
      <w:proofErr w:type="spellEnd"/>
      <w:r w:rsidRPr="0021324E">
        <w:rPr>
          <w:color w:val="000000"/>
          <w:sz w:val="20"/>
        </w:rPr>
        <w:t xml:space="preserve"> udbrud, herunder </w:t>
      </w:r>
      <w:proofErr w:type="spellStart"/>
      <w:r w:rsidRPr="0021324E">
        <w:rPr>
          <w:color w:val="000000"/>
          <w:sz w:val="20"/>
        </w:rPr>
        <w:t>erythema</w:t>
      </w:r>
      <w:proofErr w:type="spellEnd"/>
      <w:r w:rsidRPr="0021324E">
        <w:rPr>
          <w:color w:val="000000"/>
          <w:sz w:val="20"/>
        </w:rPr>
        <w:t xml:space="preserve"> multiforme, toksisk </w:t>
      </w:r>
      <w:proofErr w:type="spellStart"/>
      <w:r w:rsidRPr="0021324E">
        <w:rPr>
          <w:color w:val="000000"/>
          <w:sz w:val="20"/>
        </w:rPr>
        <w:t>epidermal</w:t>
      </w:r>
      <w:proofErr w:type="spellEnd"/>
      <w:r w:rsidRPr="0021324E">
        <w:rPr>
          <w:color w:val="000000"/>
          <w:sz w:val="20"/>
        </w:rPr>
        <w:t xml:space="preserve"> </w:t>
      </w:r>
      <w:proofErr w:type="spellStart"/>
      <w:r w:rsidRPr="0021324E">
        <w:rPr>
          <w:color w:val="000000"/>
          <w:sz w:val="20"/>
        </w:rPr>
        <w:t>nekrolyse</w:t>
      </w:r>
      <w:proofErr w:type="spellEnd"/>
      <w:r w:rsidRPr="0021324E">
        <w:rPr>
          <w:color w:val="000000"/>
          <w:sz w:val="20"/>
        </w:rPr>
        <w:t xml:space="preserve"> og Stevens Johnsons syndrom. I de fleste tilfælde tog patienterne andre lægemidler, der har været forbundet med toksisk </w:t>
      </w:r>
      <w:proofErr w:type="spellStart"/>
      <w:r w:rsidRPr="0021324E">
        <w:rPr>
          <w:color w:val="000000"/>
          <w:sz w:val="20"/>
        </w:rPr>
        <w:t>epidermal</w:t>
      </w:r>
      <w:proofErr w:type="spellEnd"/>
      <w:r w:rsidRPr="0021324E">
        <w:rPr>
          <w:color w:val="000000"/>
          <w:sz w:val="20"/>
        </w:rPr>
        <w:t xml:space="preserve"> </w:t>
      </w:r>
      <w:proofErr w:type="spellStart"/>
      <w:r w:rsidRPr="0021324E">
        <w:rPr>
          <w:color w:val="000000"/>
          <w:sz w:val="20"/>
        </w:rPr>
        <w:t>nekrolyse</w:t>
      </w:r>
      <w:proofErr w:type="spellEnd"/>
      <w:r w:rsidRPr="0021324E">
        <w:rPr>
          <w:color w:val="000000"/>
          <w:sz w:val="20"/>
        </w:rPr>
        <w:t xml:space="preserve"> eller Stevens Johnsons syndrom.</w:t>
      </w:r>
      <w:r w:rsidRPr="0021324E">
        <w:rPr>
          <w:color w:val="000000"/>
          <w:sz w:val="20"/>
          <w:vertAlign w:val="superscript"/>
        </w:rPr>
        <w:t xml:space="preserve"> </w:t>
      </w:r>
    </w:p>
    <w:p w14:paraId="6F899B51" w14:textId="77777777" w:rsidR="0031683A" w:rsidRPr="0021324E" w:rsidRDefault="0031683A" w:rsidP="0031683A">
      <w:pPr>
        <w:tabs>
          <w:tab w:val="left" w:pos="0"/>
          <w:tab w:val="left" w:pos="284"/>
        </w:tabs>
        <w:autoSpaceDE w:val="0"/>
        <w:autoSpaceDN w:val="0"/>
        <w:adjustRightInd w:val="0"/>
        <w:ind w:left="284" w:hanging="284"/>
        <w:rPr>
          <w:color w:val="000000"/>
          <w:sz w:val="20"/>
        </w:rPr>
      </w:pPr>
      <w:r w:rsidRPr="0021324E">
        <w:rPr>
          <w:sz w:val="20"/>
          <w:vertAlign w:val="superscript"/>
        </w:rPr>
        <w:t>c</w:t>
      </w:r>
      <w:r w:rsidRPr="0021324E">
        <w:rPr>
          <w:color w:val="000000"/>
          <w:sz w:val="20"/>
        </w:rPr>
        <w:t xml:space="preserve"> </w:t>
      </w:r>
      <w:r w:rsidRPr="0021324E">
        <w:rPr>
          <w:color w:val="000000"/>
          <w:sz w:val="20"/>
        </w:rPr>
        <w:tab/>
      </w:r>
      <w:proofErr w:type="spellStart"/>
      <w:r w:rsidRPr="0021324E">
        <w:rPr>
          <w:color w:val="000000"/>
          <w:sz w:val="20"/>
        </w:rPr>
        <w:t>Foscarnet</w:t>
      </w:r>
      <w:proofErr w:type="spellEnd"/>
      <w:r w:rsidRPr="0021324E">
        <w:rPr>
          <w:color w:val="000000"/>
          <w:sz w:val="20"/>
        </w:rPr>
        <w:t xml:space="preserve"> udskilles i høje koncentrationer i urinen og kan være forbundet med betydelig irritation og </w:t>
      </w:r>
      <w:proofErr w:type="spellStart"/>
      <w:r w:rsidRPr="0021324E">
        <w:rPr>
          <w:color w:val="000000"/>
          <w:sz w:val="20"/>
        </w:rPr>
        <w:t>ulceration</w:t>
      </w:r>
      <w:proofErr w:type="spellEnd"/>
      <w:r w:rsidRPr="0021324E">
        <w:rPr>
          <w:color w:val="000000"/>
          <w:sz w:val="20"/>
        </w:rPr>
        <w:t xml:space="preserve"> i kønsområdet, især efter længere tids behandling.</w:t>
      </w:r>
    </w:p>
    <w:p w14:paraId="0D185556" w14:textId="77777777" w:rsidR="0031683A" w:rsidRPr="0021324E" w:rsidRDefault="0031683A" w:rsidP="0031683A">
      <w:pPr>
        <w:tabs>
          <w:tab w:val="left" w:pos="284"/>
        </w:tabs>
        <w:rPr>
          <w:bCs/>
          <w:color w:val="000000"/>
          <w:sz w:val="20"/>
        </w:rPr>
      </w:pPr>
      <w:r w:rsidRPr="0021324E">
        <w:rPr>
          <w:color w:val="000000"/>
          <w:sz w:val="20"/>
          <w:vertAlign w:val="superscript"/>
        </w:rPr>
        <w:t>d</w:t>
      </w:r>
      <w:r w:rsidRPr="0021324E">
        <w:rPr>
          <w:color w:val="000000"/>
          <w:sz w:val="20"/>
        </w:rPr>
        <w:t xml:space="preserve"> </w:t>
      </w:r>
      <w:r w:rsidRPr="0021324E">
        <w:rPr>
          <w:color w:val="000000"/>
          <w:sz w:val="20"/>
        </w:rPr>
        <w:tab/>
        <w:t xml:space="preserve">Der er indberettet transitoriske brystsmerter som en del af infusionsreaktioner over for </w:t>
      </w:r>
      <w:proofErr w:type="spellStart"/>
      <w:r w:rsidRPr="0021324E">
        <w:rPr>
          <w:color w:val="000000"/>
          <w:sz w:val="20"/>
        </w:rPr>
        <w:t>foscarnet</w:t>
      </w:r>
      <w:proofErr w:type="spellEnd"/>
      <w:r w:rsidRPr="0021324E">
        <w:rPr>
          <w:color w:val="000000"/>
          <w:sz w:val="20"/>
        </w:rPr>
        <w:t>.</w:t>
      </w:r>
    </w:p>
    <w:p w14:paraId="798E6EB9" w14:textId="77777777" w:rsidR="0031683A" w:rsidRPr="002126A3" w:rsidRDefault="0031683A" w:rsidP="0031683A">
      <w:pPr>
        <w:autoSpaceDE w:val="0"/>
        <w:autoSpaceDN w:val="0"/>
        <w:adjustRightInd w:val="0"/>
        <w:rPr>
          <w:sz w:val="24"/>
          <w:szCs w:val="24"/>
          <w:u w:val="single"/>
        </w:rPr>
      </w:pPr>
    </w:p>
    <w:p w14:paraId="683AAF08" w14:textId="77777777" w:rsidR="0031683A" w:rsidRPr="002126A3" w:rsidRDefault="0031683A" w:rsidP="007758B3">
      <w:pPr>
        <w:autoSpaceDE w:val="0"/>
        <w:autoSpaceDN w:val="0"/>
        <w:adjustRightInd w:val="0"/>
        <w:ind w:left="851"/>
        <w:rPr>
          <w:sz w:val="24"/>
          <w:szCs w:val="24"/>
          <w:u w:val="single"/>
        </w:rPr>
      </w:pPr>
      <w:r w:rsidRPr="002126A3">
        <w:rPr>
          <w:sz w:val="24"/>
          <w:szCs w:val="24"/>
          <w:u w:val="single"/>
        </w:rPr>
        <w:t>Indberetning af formodede bivirkninger</w:t>
      </w:r>
    </w:p>
    <w:p w14:paraId="2E59C19D" w14:textId="77777777" w:rsidR="0031683A" w:rsidRPr="002126A3" w:rsidRDefault="0031683A" w:rsidP="007758B3">
      <w:pPr>
        <w:autoSpaceDE w:val="0"/>
        <w:autoSpaceDN w:val="0"/>
        <w:adjustRightInd w:val="0"/>
        <w:ind w:left="851"/>
        <w:rPr>
          <w:sz w:val="24"/>
          <w:szCs w:val="24"/>
        </w:rPr>
      </w:pPr>
      <w:r w:rsidRPr="002126A3">
        <w:rPr>
          <w:sz w:val="24"/>
          <w:szCs w:val="24"/>
        </w:rPr>
        <w:t>Når lægemidlet er godkendt, er indberetning af formodede bivirkninger vigtig. Det muliggør løbende overvågning af benefit/</w:t>
      </w:r>
      <w:proofErr w:type="spellStart"/>
      <w:r w:rsidRPr="002126A3">
        <w:rPr>
          <w:sz w:val="24"/>
          <w:szCs w:val="24"/>
        </w:rPr>
        <w:t>risk</w:t>
      </w:r>
      <w:proofErr w:type="spellEnd"/>
      <w:r w:rsidRPr="002126A3">
        <w:rPr>
          <w:sz w:val="24"/>
          <w:szCs w:val="24"/>
        </w:rPr>
        <w:t xml:space="preserve">-forholdet for lægemidlet. Sundhedspersoner anmodes om at indberette alle formodede bivirkninger via </w:t>
      </w:r>
    </w:p>
    <w:p w14:paraId="4465799A" w14:textId="77777777" w:rsidR="0031683A" w:rsidRPr="002126A3" w:rsidRDefault="0031683A" w:rsidP="007758B3">
      <w:pPr>
        <w:autoSpaceDE w:val="0"/>
        <w:autoSpaceDN w:val="0"/>
        <w:adjustRightInd w:val="0"/>
        <w:ind w:left="851"/>
        <w:rPr>
          <w:sz w:val="24"/>
          <w:szCs w:val="24"/>
        </w:rPr>
      </w:pPr>
    </w:p>
    <w:p w14:paraId="03F6F36C" w14:textId="77777777" w:rsidR="0031683A" w:rsidRPr="002126A3" w:rsidRDefault="0031683A" w:rsidP="007758B3">
      <w:pPr>
        <w:autoSpaceDE w:val="0"/>
        <w:autoSpaceDN w:val="0"/>
        <w:adjustRightInd w:val="0"/>
        <w:ind w:left="851"/>
        <w:rPr>
          <w:sz w:val="24"/>
          <w:szCs w:val="24"/>
        </w:rPr>
      </w:pPr>
      <w:r w:rsidRPr="002126A3">
        <w:rPr>
          <w:sz w:val="24"/>
          <w:szCs w:val="24"/>
        </w:rPr>
        <w:t>Lægemiddelstyrelsen</w:t>
      </w:r>
    </w:p>
    <w:p w14:paraId="33E52DFB" w14:textId="77777777" w:rsidR="0031683A" w:rsidRPr="002126A3" w:rsidRDefault="0031683A" w:rsidP="007758B3">
      <w:pPr>
        <w:autoSpaceDE w:val="0"/>
        <w:autoSpaceDN w:val="0"/>
        <w:adjustRightInd w:val="0"/>
        <w:ind w:left="851"/>
        <w:rPr>
          <w:sz w:val="24"/>
          <w:szCs w:val="24"/>
        </w:rPr>
      </w:pPr>
      <w:r w:rsidRPr="002126A3">
        <w:rPr>
          <w:sz w:val="24"/>
          <w:szCs w:val="24"/>
        </w:rPr>
        <w:t>Axel Heides Gade 1</w:t>
      </w:r>
    </w:p>
    <w:p w14:paraId="7A21D56A" w14:textId="77777777" w:rsidR="0031683A" w:rsidRPr="002126A3" w:rsidRDefault="0031683A" w:rsidP="007758B3">
      <w:pPr>
        <w:autoSpaceDE w:val="0"/>
        <w:autoSpaceDN w:val="0"/>
        <w:adjustRightInd w:val="0"/>
        <w:ind w:left="851"/>
        <w:rPr>
          <w:sz w:val="24"/>
          <w:szCs w:val="24"/>
        </w:rPr>
      </w:pPr>
      <w:r w:rsidRPr="002126A3">
        <w:rPr>
          <w:sz w:val="24"/>
          <w:szCs w:val="24"/>
        </w:rPr>
        <w:t>DK-2300 København S</w:t>
      </w:r>
    </w:p>
    <w:p w14:paraId="7F053E89" w14:textId="77777777" w:rsidR="0031683A" w:rsidRPr="002126A3" w:rsidRDefault="0031683A" w:rsidP="007758B3">
      <w:pPr>
        <w:autoSpaceDE w:val="0"/>
        <w:autoSpaceDN w:val="0"/>
        <w:adjustRightInd w:val="0"/>
        <w:ind w:left="851"/>
        <w:rPr>
          <w:sz w:val="24"/>
          <w:szCs w:val="24"/>
        </w:rPr>
      </w:pPr>
      <w:r w:rsidRPr="002126A3">
        <w:rPr>
          <w:sz w:val="24"/>
          <w:szCs w:val="24"/>
        </w:rPr>
        <w:t xml:space="preserve">Websted: </w:t>
      </w:r>
      <w:hyperlink r:id="rId8" w:history="1">
        <w:r w:rsidRPr="002126A3">
          <w:rPr>
            <w:rStyle w:val="Hyperlink"/>
            <w:sz w:val="24"/>
            <w:szCs w:val="24"/>
          </w:rPr>
          <w:t>www.meldenbivirkning.dk</w:t>
        </w:r>
      </w:hyperlink>
      <w:r w:rsidRPr="002126A3">
        <w:rPr>
          <w:sz w:val="24"/>
          <w:szCs w:val="24"/>
        </w:rPr>
        <w:t xml:space="preserve"> </w:t>
      </w:r>
    </w:p>
    <w:p w14:paraId="0A115673" w14:textId="77777777" w:rsidR="009260DE" w:rsidRPr="002126A3" w:rsidRDefault="009260DE" w:rsidP="00A10294">
      <w:pPr>
        <w:tabs>
          <w:tab w:val="left" w:pos="851"/>
        </w:tabs>
        <w:ind w:left="851"/>
        <w:rPr>
          <w:sz w:val="24"/>
          <w:szCs w:val="24"/>
        </w:rPr>
      </w:pPr>
    </w:p>
    <w:p w14:paraId="562E30B3" w14:textId="77777777" w:rsidR="009260DE" w:rsidRPr="002126A3" w:rsidRDefault="009260DE" w:rsidP="009260DE">
      <w:pPr>
        <w:tabs>
          <w:tab w:val="left" w:pos="851"/>
        </w:tabs>
        <w:ind w:left="851" w:hanging="851"/>
        <w:rPr>
          <w:b/>
          <w:sz w:val="24"/>
          <w:szCs w:val="24"/>
        </w:rPr>
      </w:pPr>
      <w:r w:rsidRPr="002126A3">
        <w:rPr>
          <w:b/>
          <w:sz w:val="24"/>
          <w:szCs w:val="24"/>
        </w:rPr>
        <w:t>4.9</w:t>
      </w:r>
      <w:r w:rsidRPr="002126A3">
        <w:rPr>
          <w:b/>
          <w:sz w:val="24"/>
          <w:szCs w:val="24"/>
        </w:rPr>
        <w:tab/>
        <w:t>Overdosering</w:t>
      </w:r>
    </w:p>
    <w:p w14:paraId="2EBD9ECB" w14:textId="77777777" w:rsidR="0031683A" w:rsidRPr="002126A3" w:rsidRDefault="0031683A" w:rsidP="007758B3">
      <w:pPr>
        <w:ind w:left="851"/>
        <w:rPr>
          <w:sz w:val="24"/>
          <w:szCs w:val="24"/>
        </w:rPr>
      </w:pPr>
      <w:r w:rsidRPr="002126A3">
        <w:rPr>
          <w:sz w:val="24"/>
          <w:szCs w:val="24"/>
        </w:rPr>
        <w:t xml:space="preserve">Der er indberettet overdosering under brug af </w:t>
      </w:r>
      <w:proofErr w:type="spellStart"/>
      <w:r w:rsidRPr="002126A3">
        <w:rPr>
          <w:sz w:val="24"/>
          <w:szCs w:val="24"/>
        </w:rPr>
        <w:t>Virafosc</w:t>
      </w:r>
      <w:proofErr w:type="spellEnd"/>
      <w:r w:rsidRPr="002126A3">
        <w:rPr>
          <w:sz w:val="24"/>
          <w:szCs w:val="24"/>
        </w:rPr>
        <w:t>, hvor den højeste overdosis er omkring 20 gange den anbefalede dosis. Nogle af tilfældene var relative overdoser, idet dosis af det anvendte lægemiddel ikke straks var blevet justeret til en patient, der fik nedsat nyrefunktion.</w:t>
      </w:r>
    </w:p>
    <w:p w14:paraId="3B819B07" w14:textId="77777777" w:rsidR="0031683A" w:rsidRPr="002126A3" w:rsidRDefault="0031683A" w:rsidP="007758B3">
      <w:pPr>
        <w:ind w:left="851"/>
        <w:rPr>
          <w:sz w:val="24"/>
          <w:szCs w:val="24"/>
        </w:rPr>
      </w:pPr>
    </w:p>
    <w:p w14:paraId="762527BE" w14:textId="77777777" w:rsidR="0031683A" w:rsidRPr="002126A3" w:rsidRDefault="0031683A" w:rsidP="007758B3">
      <w:pPr>
        <w:ind w:left="851"/>
        <w:rPr>
          <w:sz w:val="24"/>
          <w:szCs w:val="24"/>
        </w:rPr>
      </w:pPr>
      <w:r w:rsidRPr="002126A3">
        <w:rPr>
          <w:sz w:val="24"/>
          <w:szCs w:val="24"/>
        </w:rPr>
        <w:t xml:space="preserve">Der er tilfælde, hvor det er blevet indberettet, at der ikke var nogen kliniske </w:t>
      </w:r>
      <w:proofErr w:type="spellStart"/>
      <w:r w:rsidRPr="002126A3">
        <w:rPr>
          <w:sz w:val="24"/>
          <w:szCs w:val="24"/>
        </w:rPr>
        <w:t>sequelae</w:t>
      </w:r>
      <w:proofErr w:type="spellEnd"/>
      <w:r w:rsidRPr="002126A3">
        <w:rPr>
          <w:sz w:val="24"/>
          <w:szCs w:val="24"/>
        </w:rPr>
        <w:t xml:space="preserve"> som følge af overdoseringen.</w:t>
      </w:r>
    </w:p>
    <w:p w14:paraId="0A7299D0" w14:textId="77777777" w:rsidR="0031683A" w:rsidRPr="002126A3" w:rsidRDefault="0031683A" w:rsidP="007758B3">
      <w:pPr>
        <w:ind w:left="851"/>
        <w:rPr>
          <w:sz w:val="24"/>
          <w:szCs w:val="24"/>
        </w:rPr>
      </w:pPr>
    </w:p>
    <w:p w14:paraId="698388B7" w14:textId="77777777" w:rsidR="0031683A" w:rsidRPr="002126A3" w:rsidRDefault="0031683A" w:rsidP="007758B3">
      <w:pPr>
        <w:ind w:left="851"/>
        <w:rPr>
          <w:sz w:val="24"/>
          <w:szCs w:val="24"/>
        </w:rPr>
      </w:pPr>
      <w:r w:rsidRPr="002126A3">
        <w:rPr>
          <w:sz w:val="24"/>
          <w:szCs w:val="24"/>
        </w:rPr>
        <w:t xml:space="preserve">Det indberettede bivirkningsmønster i forbindelse med en overdosis af </w:t>
      </w:r>
      <w:proofErr w:type="spellStart"/>
      <w:r w:rsidRPr="002126A3">
        <w:rPr>
          <w:sz w:val="24"/>
          <w:szCs w:val="24"/>
        </w:rPr>
        <w:t>Virafosc</w:t>
      </w:r>
      <w:proofErr w:type="spellEnd"/>
      <w:r w:rsidRPr="002126A3">
        <w:rPr>
          <w:sz w:val="24"/>
          <w:szCs w:val="24"/>
        </w:rPr>
        <w:t xml:space="preserve"> er i overensstemmelse med lægemidlets kendte bivirkningsprofil.</w:t>
      </w:r>
    </w:p>
    <w:p w14:paraId="7620D19C" w14:textId="77777777" w:rsidR="0031683A" w:rsidRPr="002126A3" w:rsidRDefault="0031683A" w:rsidP="007758B3">
      <w:pPr>
        <w:ind w:left="851"/>
        <w:rPr>
          <w:sz w:val="24"/>
          <w:szCs w:val="24"/>
        </w:rPr>
      </w:pPr>
    </w:p>
    <w:p w14:paraId="6416348C" w14:textId="77777777" w:rsidR="0031683A" w:rsidRPr="002126A3" w:rsidRDefault="0031683A" w:rsidP="007758B3">
      <w:pPr>
        <w:ind w:left="851"/>
        <w:rPr>
          <w:sz w:val="24"/>
          <w:szCs w:val="24"/>
        </w:rPr>
      </w:pPr>
      <w:r w:rsidRPr="002126A3">
        <w:rPr>
          <w:sz w:val="24"/>
          <w:szCs w:val="24"/>
        </w:rPr>
        <w:t xml:space="preserve">Hæmodialyse øger elimineringen af </w:t>
      </w:r>
      <w:proofErr w:type="spellStart"/>
      <w:r w:rsidRPr="002126A3">
        <w:rPr>
          <w:sz w:val="24"/>
          <w:szCs w:val="24"/>
        </w:rPr>
        <w:t>Virafosc</w:t>
      </w:r>
      <w:proofErr w:type="spellEnd"/>
      <w:r w:rsidRPr="002126A3">
        <w:rPr>
          <w:sz w:val="24"/>
          <w:szCs w:val="24"/>
        </w:rPr>
        <w:t xml:space="preserve"> og kan være til gavn i relevante tilfælde.</w:t>
      </w:r>
    </w:p>
    <w:p w14:paraId="70A518E0" w14:textId="77777777" w:rsidR="009260DE" w:rsidRPr="002126A3" w:rsidRDefault="009260DE" w:rsidP="009260DE">
      <w:pPr>
        <w:tabs>
          <w:tab w:val="left" w:pos="851"/>
        </w:tabs>
        <w:ind w:left="851"/>
        <w:rPr>
          <w:sz w:val="24"/>
          <w:szCs w:val="24"/>
        </w:rPr>
      </w:pPr>
    </w:p>
    <w:p w14:paraId="08B84F33" w14:textId="77777777" w:rsidR="009260DE" w:rsidRPr="002126A3" w:rsidRDefault="009260DE" w:rsidP="009260DE">
      <w:pPr>
        <w:tabs>
          <w:tab w:val="left" w:pos="851"/>
        </w:tabs>
        <w:ind w:left="851" w:hanging="851"/>
        <w:rPr>
          <w:b/>
          <w:sz w:val="24"/>
          <w:szCs w:val="24"/>
        </w:rPr>
      </w:pPr>
      <w:r w:rsidRPr="002126A3">
        <w:rPr>
          <w:b/>
          <w:sz w:val="24"/>
          <w:szCs w:val="24"/>
        </w:rPr>
        <w:t>4.10</w:t>
      </w:r>
      <w:r w:rsidRPr="002126A3">
        <w:rPr>
          <w:b/>
          <w:sz w:val="24"/>
          <w:szCs w:val="24"/>
        </w:rPr>
        <w:tab/>
        <w:t>Udlevering</w:t>
      </w:r>
    </w:p>
    <w:p w14:paraId="21C31AE4" w14:textId="47215901" w:rsidR="009260DE" w:rsidRPr="002126A3" w:rsidRDefault="00384045" w:rsidP="009260DE">
      <w:pPr>
        <w:tabs>
          <w:tab w:val="left" w:pos="851"/>
        </w:tabs>
        <w:ind w:left="851"/>
        <w:rPr>
          <w:sz w:val="24"/>
          <w:szCs w:val="24"/>
        </w:rPr>
      </w:pPr>
      <w:r w:rsidRPr="002126A3">
        <w:rPr>
          <w:sz w:val="24"/>
          <w:szCs w:val="24"/>
        </w:rPr>
        <w:t>BEGR - kun til sygehuse</w:t>
      </w:r>
    </w:p>
    <w:p w14:paraId="54EB5B9E" w14:textId="77777777" w:rsidR="009260DE" w:rsidRPr="002126A3" w:rsidRDefault="009260DE" w:rsidP="009260DE">
      <w:pPr>
        <w:tabs>
          <w:tab w:val="left" w:pos="851"/>
        </w:tabs>
        <w:ind w:left="851"/>
        <w:rPr>
          <w:sz w:val="24"/>
          <w:szCs w:val="24"/>
        </w:rPr>
      </w:pPr>
    </w:p>
    <w:p w14:paraId="64269E7A" w14:textId="77777777" w:rsidR="009260DE" w:rsidRPr="002126A3" w:rsidRDefault="009260DE" w:rsidP="009260DE">
      <w:pPr>
        <w:tabs>
          <w:tab w:val="left" w:pos="851"/>
        </w:tabs>
        <w:ind w:left="851"/>
        <w:rPr>
          <w:sz w:val="24"/>
          <w:szCs w:val="24"/>
        </w:rPr>
      </w:pPr>
    </w:p>
    <w:p w14:paraId="389AA59B" w14:textId="77777777" w:rsidR="009260DE" w:rsidRPr="002126A3" w:rsidRDefault="009260DE" w:rsidP="009260DE">
      <w:pPr>
        <w:tabs>
          <w:tab w:val="left" w:pos="851"/>
        </w:tabs>
        <w:ind w:left="851" w:hanging="851"/>
        <w:rPr>
          <w:b/>
          <w:sz w:val="24"/>
          <w:szCs w:val="24"/>
        </w:rPr>
      </w:pPr>
      <w:r w:rsidRPr="002126A3">
        <w:rPr>
          <w:b/>
          <w:sz w:val="24"/>
          <w:szCs w:val="24"/>
        </w:rPr>
        <w:lastRenderedPageBreak/>
        <w:t>5.</w:t>
      </w:r>
      <w:r w:rsidRPr="002126A3">
        <w:rPr>
          <w:b/>
          <w:sz w:val="24"/>
          <w:szCs w:val="24"/>
        </w:rPr>
        <w:tab/>
        <w:t>FARMAKOLOGISKE EGENSKABER</w:t>
      </w:r>
    </w:p>
    <w:p w14:paraId="1FD00BBE" w14:textId="77777777" w:rsidR="009260DE" w:rsidRPr="002126A3" w:rsidRDefault="009260DE" w:rsidP="009260DE">
      <w:pPr>
        <w:tabs>
          <w:tab w:val="left" w:pos="851"/>
        </w:tabs>
        <w:ind w:left="851"/>
        <w:rPr>
          <w:sz w:val="24"/>
          <w:szCs w:val="24"/>
        </w:rPr>
      </w:pPr>
    </w:p>
    <w:p w14:paraId="0B5F4919" w14:textId="77777777" w:rsidR="009260DE" w:rsidRPr="002126A3" w:rsidRDefault="009260DE" w:rsidP="009260DE">
      <w:pPr>
        <w:tabs>
          <w:tab w:val="num" w:pos="851"/>
        </w:tabs>
        <w:ind w:left="851" w:hanging="851"/>
        <w:rPr>
          <w:b/>
          <w:sz w:val="24"/>
          <w:szCs w:val="24"/>
        </w:rPr>
      </w:pPr>
      <w:r w:rsidRPr="002126A3">
        <w:rPr>
          <w:b/>
          <w:sz w:val="24"/>
          <w:szCs w:val="24"/>
        </w:rPr>
        <w:t>5.1</w:t>
      </w:r>
      <w:r w:rsidRPr="002126A3">
        <w:rPr>
          <w:b/>
          <w:sz w:val="24"/>
          <w:szCs w:val="24"/>
        </w:rPr>
        <w:tab/>
      </w:r>
      <w:proofErr w:type="spellStart"/>
      <w:r w:rsidRPr="002126A3">
        <w:rPr>
          <w:b/>
          <w:sz w:val="24"/>
          <w:szCs w:val="24"/>
        </w:rPr>
        <w:t>Farmakodynamiske</w:t>
      </w:r>
      <w:proofErr w:type="spellEnd"/>
      <w:r w:rsidRPr="002126A3">
        <w:rPr>
          <w:b/>
          <w:sz w:val="24"/>
          <w:szCs w:val="24"/>
        </w:rPr>
        <w:t xml:space="preserve"> egenskaber</w:t>
      </w:r>
    </w:p>
    <w:p w14:paraId="0BA7A3F7" w14:textId="5E4F1EBF" w:rsidR="0031683A" w:rsidRPr="002126A3" w:rsidRDefault="00323D7E" w:rsidP="00323D7E">
      <w:pPr>
        <w:ind w:left="851"/>
        <w:rPr>
          <w:sz w:val="24"/>
          <w:szCs w:val="24"/>
        </w:rPr>
      </w:pPr>
      <w:proofErr w:type="spellStart"/>
      <w:r>
        <w:rPr>
          <w:sz w:val="24"/>
          <w:szCs w:val="24"/>
        </w:rPr>
        <w:t>Farmakoterapeutisk</w:t>
      </w:r>
      <w:proofErr w:type="spellEnd"/>
      <w:r>
        <w:rPr>
          <w:sz w:val="24"/>
          <w:szCs w:val="24"/>
        </w:rPr>
        <w:t xml:space="preserve"> klassifikation:</w:t>
      </w:r>
      <w:r w:rsidR="0031683A" w:rsidRPr="002126A3">
        <w:rPr>
          <w:sz w:val="24"/>
          <w:szCs w:val="24"/>
        </w:rPr>
        <w:t xml:space="preserve"> Antivirale midler til systemisk brug, direkte virkende antivirale midler, </w:t>
      </w:r>
      <w:proofErr w:type="spellStart"/>
      <w:r w:rsidR="0031683A" w:rsidRPr="002126A3">
        <w:rPr>
          <w:sz w:val="24"/>
          <w:szCs w:val="24"/>
        </w:rPr>
        <w:t>phosphonsyre</w:t>
      </w:r>
      <w:proofErr w:type="spellEnd"/>
      <w:r w:rsidR="0031683A" w:rsidRPr="002126A3">
        <w:rPr>
          <w:sz w:val="24"/>
          <w:szCs w:val="24"/>
        </w:rPr>
        <w:t>-derivater</w:t>
      </w:r>
      <w:r>
        <w:rPr>
          <w:sz w:val="24"/>
          <w:szCs w:val="24"/>
        </w:rPr>
        <w:t xml:space="preserve">, </w:t>
      </w:r>
      <w:r w:rsidRPr="002126A3">
        <w:rPr>
          <w:sz w:val="24"/>
          <w:szCs w:val="24"/>
        </w:rPr>
        <w:t>ATC-kode: J05AD01.</w:t>
      </w:r>
    </w:p>
    <w:p w14:paraId="3949F6E6" w14:textId="77777777" w:rsidR="0031683A" w:rsidRPr="001F47FA" w:rsidRDefault="0031683A" w:rsidP="00384045">
      <w:pPr>
        <w:ind w:left="851"/>
        <w:rPr>
          <w:sz w:val="24"/>
          <w:szCs w:val="24"/>
        </w:rPr>
      </w:pPr>
    </w:p>
    <w:p w14:paraId="163099D5" w14:textId="77777777" w:rsidR="0031683A" w:rsidRPr="002126A3" w:rsidRDefault="0031683A" w:rsidP="00384045">
      <w:pPr>
        <w:ind w:left="851"/>
        <w:rPr>
          <w:sz w:val="24"/>
          <w:szCs w:val="24"/>
          <w:u w:val="single"/>
        </w:rPr>
      </w:pPr>
      <w:r w:rsidRPr="002126A3">
        <w:rPr>
          <w:sz w:val="24"/>
          <w:szCs w:val="24"/>
          <w:u w:val="single"/>
        </w:rPr>
        <w:t>Virkningsmekanisme</w:t>
      </w:r>
    </w:p>
    <w:p w14:paraId="618A4D07" w14:textId="77777777" w:rsidR="0031683A" w:rsidRPr="002126A3" w:rsidRDefault="0031683A" w:rsidP="00384045">
      <w:pPr>
        <w:ind w:left="851"/>
        <w:rPr>
          <w:i/>
          <w:sz w:val="24"/>
          <w:szCs w:val="24"/>
        </w:rPr>
      </w:pPr>
      <w:r w:rsidRPr="002126A3">
        <w:rPr>
          <w:i/>
          <w:sz w:val="24"/>
          <w:szCs w:val="24"/>
        </w:rPr>
        <w:t>Antivirale egenskaber</w:t>
      </w:r>
    </w:p>
    <w:p w14:paraId="11B9FEC8" w14:textId="77777777" w:rsidR="0031683A" w:rsidRPr="001F47FA" w:rsidRDefault="0031683A" w:rsidP="00384045">
      <w:pPr>
        <w:ind w:left="851"/>
        <w:rPr>
          <w:sz w:val="24"/>
          <w:szCs w:val="24"/>
        </w:rPr>
      </w:pPr>
      <w:proofErr w:type="spellStart"/>
      <w:r w:rsidRPr="002126A3">
        <w:rPr>
          <w:sz w:val="24"/>
          <w:szCs w:val="24"/>
        </w:rPr>
        <w:t>Foscarnet</w:t>
      </w:r>
      <w:proofErr w:type="spellEnd"/>
      <w:r w:rsidRPr="002126A3">
        <w:rPr>
          <w:sz w:val="24"/>
          <w:szCs w:val="24"/>
        </w:rPr>
        <w:t xml:space="preserve"> er et antiviralt middel, med selektiv aktivitet i cellekulturer, mod alle kendte humane vira fra herpesgruppen (Herpes </w:t>
      </w:r>
      <w:proofErr w:type="spellStart"/>
      <w:r w:rsidRPr="002126A3">
        <w:rPr>
          <w:sz w:val="24"/>
          <w:szCs w:val="24"/>
        </w:rPr>
        <w:t>simplex</w:t>
      </w:r>
      <w:proofErr w:type="spellEnd"/>
      <w:r w:rsidRPr="002126A3">
        <w:rPr>
          <w:sz w:val="24"/>
          <w:szCs w:val="24"/>
        </w:rPr>
        <w:t xml:space="preserve"> type 1 og 2, </w:t>
      </w:r>
      <w:proofErr w:type="spellStart"/>
      <w:r w:rsidRPr="002126A3">
        <w:rPr>
          <w:sz w:val="24"/>
          <w:szCs w:val="24"/>
        </w:rPr>
        <w:t>Varicella</w:t>
      </w:r>
      <w:proofErr w:type="spellEnd"/>
      <w:r w:rsidRPr="002126A3">
        <w:rPr>
          <w:sz w:val="24"/>
          <w:szCs w:val="24"/>
        </w:rPr>
        <w:t xml:space="preserve"> </w:t>
      </w:r>
      <w:proofErr w:type="spellStart"/>
      <w:r w:rsidRPr="002126A3">
        <w:rPr>
          <w:sz w:val="24"/>
          <w:szCs w:val="24"/>
        </w:rPr>
        <w:t>zoster</w:t>
      </w:r>
      <w:proofErr w:type="spellEnd"/>
      <w:r w:rsidRPr="002126A3">
        <w:rPr>
          <w:sz w:val="24"/>
          <w:szCs w:val="24"/>
        </w:rPr>
        <w:t xml:space="preserve">, </w:t>
      </w:r>
      <w:proofErr w:type="spellStart"/>
      <w:r w:rsidRPr="002126A3">
        <w:rPr>
          <w:sz w:val="24"/>
          <w:szCs w:val="24"/>
        </w:rPr>
        <w:t>Epstein</w:t>
      </w:r>
      <w:proofErr w:type="spellEnd"/>
      <w:r w:rsidRPr="002126A3">
        <w:rPr>
          <w:sz w:val="24"/>
          <w:szCs w:val="24"/>
        </w:rPr>
        <w:t xml:space="preserve">-Barr og </w:t>
      </w:r>
      <w:proofErr w:type="spellStart"/>
      <w:r w:rsidRPr="002126A3">
        <w:rPr>
          <w:sz w:val="24"/>
          <w:szCs w:val="24"/>
        </w:rPr>
        <w:t>cytomegalovirus</w:t>
      </w:r>
      <w:proofErr w:type="spellEnd"/>
      <w:r w:rsidRPr="002126A3">
        <w:rPr>
          <w:sz w:val="24"/>
          <w:szCs w:val="24"/>
        </w:rPr>
        <w:t xml:space="preserve"> (CMV)) og nogle retrovira, heriblandt human immundefektvirus (HIV). </w:t>
      </w:r>
      <w:proofErr w:type="spellStart"/>
      <w:r w:rsidRPr="002126A3">
        <w:rPr>
          <w:sz w:val="24"/>
          <w:szCs w:val="24"/>
        </w:rPr>
        <w:t>Foscarnet</w:t>
      </w:r>
      <w:proofErr w:type="spellEnd"/>
      <w:r w:rsidRPr="002126A3">
        <w:rPr>
          <w:sz w:val="24"/>
          <w:szCs w:val="24"/>
        </w:rPr>
        <w:t xml:space="preserve"> hæmmer også den virale DNA-polymerase af hepatitis B-virus.</w:t>
      </w:r>
    </w:p>
    <w:p w14:paraId="276FEE16" w14:textId="77777777" w:rsidR="0031683A" w:rsidRPr="001F47FA" w:rsidRDefault="0031683A" w:rsidP="00384045">
      <w:pPr>
        <w:ind w:left="851"/>
        <w:rPr>
          <w:sz w:val="24"/>
          <w:szCs w:val="24"/>
        </w:rPr>
      </w:pPr>
    </w:p>
    <w:p w14:paraId="0C0D9B03" w14:textId="77777777" w:rsidR="0031683A" w:rsidRPr="001F47FA" w:rsidRDefault="0031683A" w:rsidP="00384045">
      <w:pPr>
        <w:ind w:left="851"/>
        <w:rPr>
          <w:sz w:val="24"/>
          <w:szCs w:val="24"/>
        </w:rPr>
      </w:pPr>
      <w:proofErr w:type="spellStart"/>
      <w:r w:rsidRPr="002126A3">
        <w:rPr>
          <w:sz w:val="24"/>
          <w:szCs w:val="24"/>
        </w:rPr>
        <w:t>Foscarnet</w:t>
      </w:r>
      <w:proofErr w:type="spellEnd"/>
      <w:r w:rsidRPr="002126A3">
        <w:rPr>
          <w:sz w:val="24"/>
          <w:szCs w:val="24"/>
        </w:rPr>
        <w:t xml:space="preserve"> udøver sin antivirale aktivitet ved en direkte hæmning af virusspecifik DNA-polymerase og revers </w:t>
      </w:r>
      <w:proofErr w:type="spellStart"/>
      <w:r w:rsidRPr="002126A3">
        <w:rPr>
          <w:sz w:val="24"/>
          <w:szCs w:val="24"/>
        </w:rPr>
        <w:t>transkriptase</w:t>
      </w:r>
      <w:proofErr w:type="spellEnd"/>
      <w:r w:rsidRPr="002126A3">
        <w:rPr>
          <w:sz w:val="24"/>
          <w:szCs w:val="24"/>
        </w:rPr>
        <w:t xml:space="preserve">. </w:t>
      </w:r>
      <w:proofErr w:type="spellStart"/>
      <w:r w:rsidRPr="002126A3">
        <w:rPr>
          <w:sz w:val="24"/>
          <w:szCs w:val="24"/>
        </w:rPr>
        <w:t>Foscarnet</w:t>
      </w:r>
      <w:proofErr w:type="spellEnd"/>
      <w:r w:rsidRPr="002126A3">
        <w:rPr>
          <w:sz w:val="24"/>
          <w:szCs w:val="24"/>
        </w:rPr>
        <w:t xml:space="preserve"> kræver ikke aktivering ved </w:t>
      </w:r>
      <w:proofErr w:type="spellStart"/>
      <w:r w:rsidRPr="002126A3">
        <w:rPr>
          <w:sz w:val="24"/>
          <w:szCs w:val="24"/>
        </w:rPr>
        <w:t>fosforylering</w:t>
      </w:r>
      <w:proofErr w:type="spellEnd"/>
      <w:r w:rsidRPr="002126A3">
        <w:rPr>
          <w:sz w:val="24"/>
          <w:szCs w:val="24"/>
        </w:rPr>
        <w:t xml:space="preserve"> af </w:t>
      </w:r>
      <w:proofErr w:type="spellStart"/>
      <w:r w:rsidRPr="002126A3">
        <w:rPr>
          <w:sz w:val="24"/>
          <w:szCs w:val="24"/>
        </w:rPr>
        <w:t>thymidinkinase</w:t>
      </w:r>
      <w:proofErr w:type="spellEnd"/>
      <w:r w:rsidRPr="002126A3">
        <w:rPr>
          <w:sz w:val="24"/>
          <w:szCs w:val="24"/>
        </w:rPr>
        <w:t xml:space="preserve"> eller andre </w:t>
      </w:r>
      <w:proofErr w:type="spellStart"/>
      <w:r w:rsidRPr="002126A3">
        <w:rPr>
          <w:sz w:val="24"/>
          <w:szCs w:val="24"/>
        </w:rPr>
        <w:t>kinaser</w:t>
      </w:r>
      <w:proofErr w:type="spellEnd"/>
      <w:r w:rsidRPr="002126A3">
        <w:rPr>
          <w:sz w:val="24"/>
          <w:szCs w:val="24"/>
        </w:rPr>
        <w:t xml:space="preserve"> og er derfor aktiv </w:t>
      </w:r>
      <w:r w:rsidRPr="002126A3">
        <w:rPr>
          <w:i/>
          <w:sz w:val="24"/>
          <w:szCs w:val="24"/>
        </w:rPr>
        <w:t xml:space="preserve">in </w:t>
      </w:r>
      <w:proofErr w:type="spellStart"/>
      <w:r w:rsidRPr="002126A3">
        <w:rPr>
          <w:i/>
          <w:sz w:val="24"/>
          <w:szCs w:val="24"/>
        </w:rPr>
        <w:t>vitro</w:t>
      </w:r>
      <w:proofErr w:type="spellEnd"/>
      <w:r w:rsidRPr="002126A3">
        <w:rPr>
          <w:sz w:val="24"/>
          <w:szCs w:val="24"/>
        </w:rPr>
        <w:t xml:space="preserve"> mod HSV-mutanter, der mangler </w:t>
      </w:r>
      <w:proofErr w:type="spellStart"/>
      <w:r w:rsidRPr="002126A3">
        <w:rPr>
          <w:sz w:val="24"/>
          <w:szCs w:val="24"/>
        </w:rPr>
        <w:t>thymidinkinase</w:t>
      </w:r>
      <w:proofErr w:type="spellEnd"/>
      <w:r w:rsidRPr="002126A3">
        <w:rPr>
          <w:sz w:val="24"/>
          <w:szCs w:val="24"/>
        </w:rPr>
        <w:t>.</w:t>
      </w:r>
    </w:p>
    <w:p w14:paraId="01006D7A" w14:textId="77777777" w:rsidR="0031683A" w:rsidRPr="001F47FA" w:rsidRDefault="0031683A" w:rsidP="00384045">
      <w:pPr>
        <w:ind w:left="851"/>
        <w:rPr>
          <w:sz w:val="24"/>
          <w:szCs w:val="24"/>
        </w:rPr>
      </w:pPr>
    </w:p>
    <w:p w14:paraId="08749B52" w14:textId="77777777" w:rsidR="0031683A" w:rsidRPr="002126A3" w:rsidRDefault="0031683A" w:rsidP="00384045">
      <w:pPr>
        <w:ind w:left="851"/>
        <w:rPr>
          <w:sz w:val="24"/>
          <w:szCs w:val="24"/>
        </w:rPr>
      </w:pPr>
      <w:r w:rsidRPr="002126A3">
        <w:rPr>
          <w:sz w:val="24"/>
          <w:szCs w:val="24"/>
        </w:rPr>
        <w:t xml:space="preserve">CMV-stammer, der ikke reagerer på </w:t>
      </w:r>
      <w:proofErr w:type="spellStart"/>
      <w:r w:rsidRPr="002126A3">
        <w:rPr>
          <w:sz w:val="24"/>
          <w:szCs w:val="24"/>
        </w:rPr>
        <w:t>ganciclovir</w:t>
      </w:r>
      <w:proofErr w:type="spellEnd"/>
      <w:r w:rsidRPr="002126A3">
        <w:rPr>
          <w:sz w:val="24"/>
          <w:szCs w:val="24"/>
        </w:rPr>
        <w:t xml:space="preserve">, er generelt følsomme over for </w:t>
      </w:r>
      <w:proofErr w:type="spellStart"/>
      <w:r w:rsidRPr="002126A3">
        <w:rPr>
          <w:sz w:val="24"/>
          <w:szCs w:val="24"/>
        </w:rPr>
        <w:t>foscarnet</w:t>
      </w:r>
      <w:proofErr w:type="spellEnd"/>
      <w:r w:rsidRPr="002126A3">
        <w:rPr>
          <w:sz w:val="24"/>
          <w:szCs w:val="24"/>
        </w:rPr>
        <w:t>.</w:t>
      </w:r>
    </w:p>
    <w:p w14:paraId="7C773C87" w14:textId="77777777" w:rsidR="0031683A" w:rsidRPr="002126A3" w:rsidRDefault="0031683A" w:rsidP="00384045">
      <w:pPr>
        <w:ind w:left="851"/>
        <w:rPr>
          <w:sz w:val="24"/>
          <w:szCs w:val="24"/>
        </w:rPr>
      </w:pPr>
    </w:p>
    <w:p w14:paraId="055A050A" w14:textId="77777777" w:rsidR="0031683A" w:rsidRPr="002126A3" w:rsidRDefault="0031683A" w:rsidP="00384045">
      <w:pPr>
        <w:ind w:left="851"/>
        <w:rPr>
          <w:sz w:val="24"/>
          <w:szCs w:val="24"/>
          <w:u w:val="single"/>
        </w:rPr>
      </w:pPr>
      <w:r w:rsidRPr="002126A3">
        <w:rPr>
          <w:sz w:val="24"/>
          <w:szCs w:val="24"/>
          <w:u w:val="single"/>
        </w:rPr>
        <w:t>Klinisk virkning og sikkerhed</w:t>
      </w:r>
    </w:p>
    <w:p w14:paraId="69800169" w14:textId="7CF2F11A" w:rsidR="0031683A" w:rsidRPr="002126A3" w:rsidRDefault="0031683A" w:rsidP="00384045">
      <w:pPr>
        <w:ind w:left="851"/>
        <w:rPr>
          <w:sz w:val="24"/>
          <w:szCs w:val="24"/>
        </w:rPr>
      </w:pPr>
      <w:r w:rsidRPr="002126A3">
        <w:rPr>
          <w:i/>
          <w:sz w:val="24"/>
          <w:szCs w:val="24"/>
        </w:rPr>
        <w:t xml:space="preserve">In </w:t>
      </w:r>
      <w:proofErr w:type="spellStart"/>
      <w:r w:rsidRPr="002126A3">
        <w:rPr>
          <w:i/>
          <w:sz w:val="24"/>
          <w:szCs w:val="24"/>
        </w:rPr>
        <w:t>vitro</w:t>
      </w:r>
      <w:proofErr w:type="spellEnd"/>
      <w:r w:rsidRPr="002126A3">
        <w:rPr>
          <w:sz w:val="24"/>
          <w:szCs w:val="24"/>
        </w:rPr>
        <w:t xml:space="preserve"> test er af begrænset værdi til at forudsige effektiviteten </w:t>
      </w:r>
      <w:r w:rsidRPr="002126A3">
        <w:rPr>
          <w:i/>
          <w:sz w:val="24"/>
          <w:szCs w:val="24"/>
        </w:rPr>
        <w:t xml:space="preserve">in </w:t>
      </w:r>
      <w:proofErr w:type="spellStart"/>
      <w:r w:rsidRPr="002126A3">
        <w:rPr>
          <w:i/>
          <w:sz w:val="24"/>
          <w:szCs w:val="24"/>
        </w:rPr>
        <w:t>vivo</w:t>
      </w:r>
      <w:proofErr w:type="spellEnd"/>
      <w:r w:rsidRPr="002126A3">
        <w:rPr>
          <w:sz w:val="24"/>
          <w:szCs w:val="24"/>
        </w:rPr>
        <w:t xml:space="preserve">. </w:t>
      </w:r>
      <w:proofErr w:type="spellStart"/>
      <w:r w:rsidR="00762043">
        <w:rPr>
          <w:sz w:val="24"/>
          <w:szCs w:val="24"/>
        </w:rPr>
        <w:t>f</w:t>
      </w:r>
      <w:r w:rsidRPr="002126A3">
        <w:rPr>
          <w:sz w:val="24"/>
          <w:szCs w:val="24"/>
        </w:rPr>
        <w:t>oscarnetkoncentrationen</w:t>
      </w:r>
      <w:proofErr w:type="spellEnd"/>
      <w:r w:rsidRPr="002126A3">
        <w:rPr>
          <w:sz w:val="24"/>
          <w:szCs w:val="24"/>
        </w:rPr>
        <w:t>, der hæmmer CMV-replikation i cellekulturer, afhænger af testbetingelserne. Den gennemsnitlige IC</w:t>
      </w:r>
      <w:r w:rsidRPr="002126A3">
        <w:rPr>
          <w:sz w:val="24"/>
          <w:szCs w:val="24"/>
          <w:vertAlign w:val="subscript"/>
        </w:rPr>
        <w:t>50</w:t>
      </w:r>
      <w:r w:rsidRPr="002126A3">
        <w:rPr>
          <w:sz w:val="24"/>
          <w:szCs w:val="24"/>
        </w:rPr>
        <w:t xml:space="preserve"> for </w:t>
      </w:r>
      <w:proofErr w:type="spellStart"/>
      <w:r w:rsidRPr="002126A3">
        <w:rPr>
          <w:sz w:val="24"/>
          <w:szCs w:val="24"/>
        </w:rPr>
        <w:t>foscarnet</w:t>
      </w:r>
      <w:proofErr w:type="spellEnd"/>
      <w:r w:rsidRPr="002126A3">
        <w:rPr>
          <w:sz w:val="24"/>
          <w:szCs w:val="24"/>
        </w:rPr>
        <w:t xml:space="preserve"> i mere end 100 CMV-</w:t>
      </w:r>
      <w:proofErr w:type="spellStart"/>
      <w:r w:rsidRPr="002126A3">
        <w:rPr>
          <w:sz w:val="24"/>
          <w:szCs w:val="24"/>
        </w:rPr>
        <w:t>isolater</w:t>
      </w:r>
      <w:proofErr w:type="spellEnd"/>
      <w:r w:rsidRPr="002126A3">
        <w:rPr>
          <w:sz w:val="24"/>
          <w:szCs w:val="24"/>
        </w:rPr>
        <w:t xml:space="preserve"> var ca. 270 µmol/l. Der blev observeret en reversibel toksicitet for humane celler ved koncentrationer på 500-1000 µmol/l </w:t>
      </w:r>
      <w:proofErr w:type="spellStart"/>
      <w:r w:rsidRPr="002126A3">
        <w:rPr>
          <w:sz w:val="24"/>
          <w:szCs w:val="24"/>
        </w:rPr>
        <w:t>foscarnet</w:t>
      </w:r>
      <w:proofErr w:type="spellEnd"/>
      <w:r w:rsidRPr="002126A3">
        <w:rPr>
          <w:sz w:val="24"/>
          <w:szCs w:val="24"/>
        </w:rPr>
        <w:t>.</w:t>
      </w:r>
    </w:p>
    <w:p w14:paraId="6EC2FC7F" w14:textId="77777777" w:rsidR="0031683A" w:rsidRPr="002126A3" w:rsidRDefault="0031683A" w:rsidP="00384045">
      <w:pPr>
        <w:ind w:left="851"/>
        <w:rPr>
          <w:sz w:val="24"/>
          <w:szCs w:val="24"/>
        </w:rPr>
      </w:pPr>
      <w:r w:rsidRPr="002126A3">
        <w:rPr>
          <w:sz w:val="24"/>
          <w:szCs w:val="24"/>
        </w:rPr>
        <w:t xml:space="preserve">I tilfælde af manglende klinisk respons på </w:t>
      </w:r>
      <w:proofErr w:type="spellStart"/>
      <w:r w:rsidRPr="002126A3">
        <w:rPr>
          <w:sz w:val="24"/>
          <w:szCs w:val="24"/>
        </w:rPr>
        <w:t>foscarnet</w:t>
      </w:r>
      <w:proofErr w:type="spellEnd"/>
      <w:r w:rsidRPr="002126A3">
        <w:rPr>
          <w:sz w:val="24"/>
          <w:szCs w:val="24"/>
        </w:rPr>
        <w:t xml:space="preserve">, skal det virale </w:t>
      </w:r>
      <w:proofErr w:type="spellStart"/>
      <w:r w:rsidRPr="002126A3">
        <w:rPr>
          <w:sz w:val="24"/>
          <w:szCs w:val="24"/>
        </w:rPr>
        <w:t>isolat</w:t>
      </w:r>
      <w:proofErr w:type="spellEnd"/>
      <w:r w:rsidRPr="002126A3">
        <w:rPr>
          <w:sz w:val="24"/>
          <w:szCs w:val="24"/>
        </w:rPr>
        <w:t xml:space="preserve"> testes for følsomhed over for </w:t>
      </w:r>
      <w:proofErr w:type="spellStart"/>
      <w:r w:rsidRPr="002126A3">
        <w:rPr>
          <w:sz w:val="24"/>
          <w:szCs w:val="24"/>
        </w:rPr>
        <w:t>foscarnet</w:t>
      </w:r>
      <w:proofErr w:type="spellEnd"/>
      <w:r w:rsidRPr="002126A3">
        <w:rPr>
          <w:sz w:val="24"/>
          <w:szCs w:val="24"/>
        </w:rPr>
        <w:t>.</w:t>
      </w:r>
    </w:p>
    <w:p w14:paraId="495D8ECB" w14:textId="77777777" w:rsidR="0031683A" w:rsidRPr="002126A3" w:rsidRDefault="0031683A" w:rsidP="00384045">
      <w:pPr>
        <w:ind w:left="851"/>
        <w:rPr>
          <w:sz w:val="24"/>
          <w:szCs w:val="24"/>
          <w:u w:val="single"/>
        </w:rPr>
      </w:pPr>
    </w:p>
    <w:p w14:paraId="253BE8ED" w14:textId="77777777" w:rsidR="0031683A" w:rsidRPr="0021324E" w:rsidRDefault="0031683A" w:rsidP="0021324E">
      <w:pPr>
        <w:ind w:left="851"/>
        <w:rPr>
          <w:sz w:val="24"/>
          <w:szCs w:val="24"/>
          <w:u w:val="single"/>
        </w:rPr>
      </w:pPr>
      <w:r w:rsidRPr="0021324E">
        <w:rPr>
          <w:sz w:val="24"/>
          <w:szCs w:val="24"/>
          <w:u w:val="single"/>
        </w:rPr>
        <w:t>Terapeutiske egenskaber</w:t>
      </w:r>
    </w:p>
    <w:p w14:paraId="06638426" w14:textId="77777777" w:rsidR="0031683A" w:rsidRPr="0021324E" w:rsidRDefault="0031683A" w:rsidP="0021324E">
      <w:pPr>
        <w:ind w:left="851"/>
        <w:rPr>
          <w:i/>
          <w:sz w:val="24"/>
          <w:szCs w:val="24"/>
        </w:rPr>
      </w:pPr>
      <w:r w:rsidRPr="0021324E">
        <w:rPr>
          <w:i/>
          <w:sz w:val="24"/>
          <w:szCs w:val="24"/>
        </w:rPr>
        <w:t>CMV-</w:t>
      </w:r>
      <w:proofErr w:type="spellStart"/>
      <w:r w:rsidRPr="0021324E">
        <w:rPr>
          <w:i/>
          <w:sz w:val="24"/>
          <w:szCs w:val="24"/>
        </w:rPr>
        <w:t>viræmi</w:t>
      </w:r>
      <w:proofErr w:type="spellEnd"/>
      <w:r w:rsidRPr="0021324E">
        <w:rPr>
          <w:i/>
          <w:sz w:val="24"/>
          <w:szCs w:val="24"/>
        </w:rPr>
        <w:t xml:space="preserve"> hos HSCT-patienter</w:t>
      </w:r>
    </w:p>
    <w:p w14:paraId="32D15430" w14:textId="77777777" w:rsidR="0031683A" w:rsidRPr="002126A3" w:rsidRDefault="0031683A" w:rsidP="00384045">
      <w:pPr>
        <w:ind w:left="851"/>
        <w:rPr>
          <w:sz w:val="24"/>
          <w:szCs w:val="24"/>
        </w:rPr>
      </w:pPr>
      <w:r w:rsidRPr="002126A3">
        <w:rPr>
          <w:sz w:val="24"/>
          <w:szCs w:val="24"/>
        </w:rPr>
        <w:t xml:space="preserve">I en </w:t>
      </w:r>
      <w:proofErr w:type="spellStart"/>
      <w:r w:rsidRPr="002126A3">
        <w:rPr>
          <w:sz w:val="24"/>
          <w:szCs w:val="24"/>
        </w:rPr>
        <w:t>pivotal</w:t>
      </w:r>
      <w:proofErr w:type="spellEnd"/>
      <w:r w:rsidRPr="002126A3">
        <w:rPr>
          <w:sz w:val="24"/>
          <w:szCs w:val="24"/>
        </w:rPr>
        <w:t xml:space="preserve"> klinisk undersøgelse blev virkningen af </w:t>
      </w:r>
      <w:proofErr w:type="spellStart"/>
      <w:r w:rsidRPr="002126A3">
        <w:rPr>
          <w:sz w:val="24"/>
          <w:szCs w:val="24"/>
        </w:rPr>
        <w:t>foscarnet</w:t>
      </w:r>
      <w:proofErr w:type="spellEnd"/>
      <w:r w:rsidRPr="002126A3">
        <w:rPr>
          <w:sz w:val="24"/>
          <w:szCs w:val="24"/>
        </w:rPr>
        <w:t xml:space="preserve"> (n=110) mod CMV-</w:t>
      </w:r>
      <w:proofErr w:type="spellStart"/>
      <w:r w:rsidRPr="002126A3">
        <w:rPr>
          <w:sz w:val="24"/>
          <w:szCs w:val="24"/>
        </w:rPr>
        <w:t>viræmi</w:t>
      </w:r>
      <w:proofErr w:type="spellEnd"/>
      <w:r w:rsidRPr="002126A3">
        <w:rPr>
          <w:sz w:val="24"/>
          <w:szCs w:val="24"/>
        </w:rPr>
        <w:t xml:space="preserve"> efter </w:t>
      </w:r>
      <w:proofErr w:type="spellStart"/>
      <w:r w:rsidRPr="002126A3">
        <w:rPr>
          <w:sz w:val="24"/>
          <w:szCs w:val="24"/>
        </w:rPr>
        <w:t>allogen</w:t>
      </w:r>
      <w:proofErr w:type="spellEnd"/>
      <w:r w:rsidRPr="002126A3">
        <w:rPr>
          <w:sz w:val="24"/>
          <w:szCs w:val="24"/>
        </w:rPr>
        <w:t xml:space="preserve"> HSCT undersøgt og sammenlignet med </w:t>
      </w:r>
      <w:proofErr w:type="spellStart"/>
      <w:r w:rsidRPr="002126A3">
        <w:rPr>
          <w:sz w:val="24"/>
          <w:szCs w:val="24"/>
        </w:rPr>
        <w:t>ganciclovir</w:t>
      </w:r>
      <w:proofErr w:type="spellEnd"/>
      <w:r w:rsidRPr="002126A3">
        <w:rPr>
          <w:sz w:val="24"/>
          <w:szCs w:val="24"/>
        </w:rPr>
        <w:t xml:space="preserve"> (n=103). Efter induktionsbehandling på 2 uger viste </w:t>
      </w:r>
      <w:proofErr w:type="spellStart"/>
      <w:r w:rsidRPr="002126A3">
        <w:rPr>
          <w:sz w:val="24"/>
          <w:szCs w:val="24"/>
        </w:rPr>
        <w:t>Virafosc</w:t>
      </w:r>
      <w:proofErr w:type="spellEnd"/>
      <w:r w:rsidRPr="002126A3">
        <w:rPr>
          <w:sz w:val="24"/>
          <w:szCs w:val="24"/>
        </w:rPr>
        <w:t xml:space="preserve"> sig at være lige så effektiv som </w:t>
      </w:r>
      <w:proofErr w:type="spellStart"/>
      <w:r w:rsidRPr="002126A3">
        <w:rPr>
          <w:sz w:val="24"/>
          <w:szCs w:val="24"/>
        </w:rPr>
        <w:t>ganciclovir</w:t>
      </w:r>
      <w:proofErr w:type="spellEnd"/>
      <w:r w:rsidRPr="002126A3">
        <w:rPr>
          <w:sz w:val="24"/>
          <w:szCs w:val="24"/>
        </w:rPr>
        <w:t xml:space="preserve"> i et </w:t>
      </w:r>
      <w:proofErr w:type="spellStart"/>
      <w:r w:rsidRPr="002126A3">
        <w:rPr>
          <w:sz w:val="24"/>
          <w:szCs w:val="24"/>
        </w:rPr>
        <w:t>prospektivt</w:t>
      </w:r>
      <w:proofErr w:type="spellEnd"/>
      <w:r w:rsidRPr="002126A3">
        <w:rPr>
          <w:sz w:val="24"/>
          <w:szCs w:val="24"/>
        </w:rPr>
        <w:t xml:space="preserve"> klinisk forsøg. Andelen af patienter, der overlevede uden hændelser efter transplantation (når hændelser blev defineret som forekomst af CMV-sygdom eller død af enhver årsag) inden for 180 dage efter transplantation (primært endepunkt) var 66 % i </w:t>
      </w:r>
      <w:proofErr w:type="spellStart"/>
      <w:r w:rsidRPr="002126A3">
        <w:rPr>
          <w:sz w:val="24"/>
          <w:szCs w:val="24"/>
        </w:rPr>
        <w:t>foscarnet</w:t>
      </w:r>
      <w:proofErr w:type="spellEnd"/>
      <w:r w:rsidRPr="002126A3">
        <w:rPr>
          <w:sz w:val="24"/>
          <w:szCs w:val="24"/>
        </w:rPr>
        <w:t xml:space="preserve">-gruppen og 73 % i </w:t>
      </w:r>
      <w:proofErr w:type="spellStart"/>
      <w:r w:rsidRPr="002126A3">
        <w:rPr>
          <w:sz w:val="24"/>
          <w:szCs w:val="24"/>
        </w:rPr>
        <w:t>ganciclovir</w:t>
      </w:r>
      <w:proofErr w:type="spellEnd"/>
      <w:r w:rsidRPr="002126A3">
        <w:rPr>
          <w:sz w:val="24"/>
          <w:szCs w:val="24"/>
        </w:rPr>
        <w:t>-gruppen uden statistisk signifikant forskel (p=0,6, log-rank test).</w:t>
      </w:r>
    </w:p>
    <w:p w14:paraId="239779A0" w14:textId="77777777" w:rsidR="0031683A" w:rsidRPr="002126A3" w:rsidRDefault="0031683A" w:rsidP="00384045">
      <w:pPr>
        <w:ind w:left="851"/>
        <w:rPr>
          <w:sz w:val="24"/>
          <w:szCs w:val="24"/>
        </w:rPr>
      </w:pPr>
    </w:p>
    <w:p w14:paraId="0521ADD8" w14:textId="77777777" w:rsidR="0031683A" w:rsidRPr="002126A3" w:rsidRDefault="0031683A" w:rsidP="00384045">
      <w:pPr>
        <w:ind w:left="851"/>
        <w:rPr>
          <w:i/>
          <w:sz w:val="24"/>
          <w:szCs w:val="24"/>
        </w:rPr>
      </w:pPr>
      <w:r w:rsidRPr="002126A3">
        <w:rPr>
          <w:i/>
          <w:sz w:val="24"/>
          <w:szCs w:val="24"/>
        </w:rPr>
        <w:t>CMV-sygdom hos HSCT-patienter</w:t>
      </w:r>
    </w:p>
    <w:p w14:paraId="7816EC37" w14:textId="77777777" w:rsidR="0031683A" w:rsidRPr="002126A3" w:rsidRDefault="0031683A" w:rsidP="00384045">
      <w:pPr>
        <w:ind w:left="851"/>
        <w:rPr>
          <w:sz w:val="24"/>
          <w:szCs w:val="24"/>
          <w:u w:val="single"/>
        </w:rPr>
      </w:pPr>
      <w:r w:rsidRPr="002126A3">
        <w:rPr>
          <w:sz w:val="24"/>
          <w:szCs w:val="24"/>
        </w:rPr>
        <w:t xml:space="preserve">Publiceret litteratur viser, at når </w:t>
      </w:r>
      <w:proofErr w:type="spellStart"/>
      <w:r w:rsidRPr="002126A3">
        <w:rPr>
          <w:sz w:val="24"/>
          <w:szCs w:val="24"/>
        </w:rPr>
        <w:t>Virafosc</w:t>
      </w:r>
      <w:proofErr w:type="spellEnd"/>
      <w:r w:rsidRPr="002126A3">
        <w:rPr>
          <w:sz w:val="24"/>
          <w:szCs w:val="24"/>
        </w:rPr>
        <w:t xml:space="preserve"> administreres mod CMV-sygdom (induktionsbehandling 180 mg/kg/dag, vedligeholdelsesbehandling 90-120 mg/kg/dag), hvor der var </w:t>
      </w:r>
      <w:proofErr w:type="spellStart"/>
      <w:r w:rsidRPr="002126A3">
        <w:rPr>
          <w:sz w:val="24"/>
          <w:szCs w:val="24"/>
        </w:rPr>
        <w:t>tolerabilitetsproblemer</w:t>
      </w:r>
      <w:proofErr w:type="spellEnd"/>
      <w:r w:rsidRPr="002126A3">
        <w:rPr>
          <w:sz w:val="24"/>
          <w:szCs w:val="24"/>
        </w:rPr>
        <w:t xml:space="preserve"> i forbindelse med brugen af </w:t>
      </w:r>
      <w:proofErr w:type="spellStart"/>
      <w:r w:rsidRPr="002126A3">
        <w:rPr>
          <w:sz w:val="24"/>
          <w:szCs w:val="24"/>
        </w:rPr>
        <w:t>ganciclovir</w:t>
      </w:r>
      <w:proofErr w:type="spellEnd"/>
      <w:r w:rsidRPr="002126A3">
        <w:rPr>
          <w:sz w:val="24"/>
          <w:szCs w:val="24"/>
        </w:rPr>
        <w:t xml:space="preserve"> eller resistens over for </w:t>
      </w:r>
      <w:proofErr w:type="spellStart"/>
      <w:r w:rsidRPr="002126A3">
        <w:rPr>
          <w:sz w:val="24"/>
          <w:szCs w:val="24"/>
        </w:rPr>
        <w:t>ganciclovir</w:t>
      </w:r>
      <w:proofErr w:type="spellEnd"/>
      <w:r w:rsidRPr="002126A3">
        <w:rPr>
          <w:sz w:val="24"/>
          <w:szCs w:val="24"/>
        </w:rPr>
        <w:t>-behandling, var der en forbedring af CMV-sygdom.</w:t>
      </w:r>
    </w:p>
    <w:p w14:paraId="2270F564" w14:textId="77777777" w:rsidR="0031683A" w:rsidRPr="002126A3" w:rsidRDefault="0031683A" w:rsidP="00384045">
      <w:pPr>
        <w:ind w:left="851"/>
        <w:rPr>
          <w:i/>
          <w:sz w:val="24"/>
          <w:szCs w:val="24"/>
          <w:u w:val="single"/>
        </w:rPr>
      </w:pPr>
    </w:p>
    <w:p w14:paraId="6282B719" w14:textId="77777777" w:rsidR="0031683A" w:rsidRPr="0021324E" w:rsidRDefault="0031683A" w:rsidP="0021324E">
      <w:pPr>
        <w:ind w:left="851"/>
        <w:rPr>
          <w:i/>
          <w:sz w:val="24"/>
          <w:szCs w:val="24"/>
        </w:rPr>
      </w:pPr>
      <w:r w:rsidRPr="0021324E">
        <w:rPr>
          <w:i/>
          <w:sz w:val="24"/>
          <w:szCs w:val="24"/>
        </w:rPr>
        <w:t>CMV-</w:t>
      </w:r>
      <w:proofErr w:type="spellStart"/>
      <w:r w:rsidRPr="0021324E">
        <w:rPr>
          <w:i/>
          <w:sz w:val="24"/>
          <w:szCs w:val="24"/>
        </w:rPr>
        <w:t>retinitis</w:t>
      </w:r>
      <w:proofErr w:type="spellEnd"/>
      <w:r w:rsidRPr="0021324E">
        <w:rPr>
          <w:i/>
          <w:sz w:val="24"/>
          <w:szCs w:val="24"/>
        </w:rPr>
        <w:t xml:space="preserve"> hos </w:t>
      </w:r>
      <w:proofErr w:type="spellStart"/>
      <w:r w:rsidRPr="0021324E">
        <w:rPr>
          <w:i/>
          <w:sz w:val="24"/>
          <w:szCs w:val="24"/>
        </w:rPr>
        <w:t>AIDS-patienter</w:t>
      </w:r>
      <w:proofErr w:type="spellEnd"/>
    </w:p>
    <w:p w14:paraId="4BB715A5" w14:textId="15B581B3" w:rsidR="0031683A" w:rsidRPr="002126A3" w:rsidRDefault="0031683A" w:rsidP="00384045">
      <w:pPr>
        <w:ind w:left="851"/>
        <w:rPr>
          <w:sz w:val="24"/>
          <w:szCs w:val="24"/>
        </w:rPr>
      </w:pPr>
      <w:r w:rsidRPr="002126A3">
        <w:rPr>
          <w:sz w:val="24"/>
          <w:szCs w:val="24"/>
        </w:rPr>
        <w:t xml:space="preserve">Efter induktionsbehandling over 2-3 uger producerede </w:t>
      </w:r>
      <w:proofErr w:type="spellStart"/>
      <w:r w:rsidRPr="002126A3">
        <w:rPr>
          <w:sz w:val="24"/>
          <w:szCs w:val="24"/>
        </w:rPr>
        <w:t>Virafosc</w:t>
      </w:r>
      <w:proofErr w:type="spellEnd"/>
      <w:r w:rsidRPr="002126A3">
        <w:rPr>
          <w:sz w:val="24"/>
          <w:szCs w:val="24"/>
        </w:rPr>
        <w:t xml:space="preserve"> stabilisering af </w:t>
      </w:r>
      <w:proofErr w:type="spellStart"/>
      <w:r w:rsidRPr="002126A3">
        <w:rPr>
          <w:sz w:val="24"/>
          <w:szCs w:val="24"/>
        </w:rPr>
        <w:t>retinale</w:t>
      </w:r>
      <w:proofErr w:type="spellEnd"/>
      <w:r w:rsidRPr="002126A3">
        <w:rPr>
          <w:sz w:val="24"/>
          <w:szCs w:val="24"/>
        </w:rPr>
        <w:t xml:space="preserve"> læsioner hos ca. 90 % af patienterne. Da CMV dog generelt forårsager latente infektioner, og da </w:t>
      </w:r>
      <w:proofErr w:type="spellStart"/>
      <w:r w:rsidRPr="002126A3">
        <w:rPr>
          <w:sz w:val="24"/>
          <w:szCs w:val="24"/>
        </w:rPr>
        <w:t>foscarnet</w:t>
      </w:r>
      <w:proofErr w:type="spellEnd"/>
      <w:r w:rsidRPr="002126A3">
        <w:rPr>
          <w:sz w:val="24"/>
          <w:szCs w:val="24"/>
        </w:rPr>
        <w:t xml:space="preserve"> kun udøver en </w:t>
      </w:r>
      <w:proofErr w:type="spellStart"/>
      <w:r w:rsidRPr="002126A3">
        <w:rPr>
          <w:sz w:val="24"/>
          <w:szCs w:val="24"/>
        </w:rPr>
        <w:t>virustatisk</w:t>
      </w:r>
      <w:proofErr w:type="spellEnd"/>
      <w:r w:rsidRPr="002126A3">
        <w:rPr>
          <w:sz w:val="24"/>
          <w:szCs w:val="24"/>
        </w:rPr>
        <w:t xml:space="preserve"> aktivitet, forekommer der recidiv hos størstedelen af patienter med persisterende immundefekt. Indførelse af et vedligeholdelses</w:t>
      </w:r>
      <w:r w:rsidR="00323D7E">
        <w:rPr>
          <w:sz w:val="24"/>
          <w:szCs w:val="24"/>
        </w:rPr>
        <w:softHyphen/>
      </w:r>
      <w:r w:rsidRPr="002126A3">
        <w:rPr>
          <w:sz w:val="24"/>
          <w:szCs w:val="24"/>
        </w:rPr>
        <w:lastRenderedPageBreak/>
        <w:t xml:space="preserve">regime én gang dagligt i doser fra 90-120 mg/kg/dag efter gennemførsel af induktionsbehandling giver en forsinkelse i tiden til </w:t>
      </w:r>
      <w:proofErr w:type="spellStart"/>
      <w:r w:rsidRPr="002126A3">
        <w:rPr>
          <w:sz w:val="24"/>
          <w:szCs w:val="24"/>
        </w:rPr>
        <w:t>retinitis</w:t>
      </w:r>
      <w:proofErr w:type="spellEnd"/>
      <w:r w:rsidRPr="002126A3">
        <w:rPr>
          <w:sz w:val="24"/>
          <w:szCs w:val="24"/>
        </w:rPr>
        <w:t xml:space="preserve">-progression. Hos patienter, der oplever progression af </w:t>
      </w:r>
      <w:proofErr w:type="spellStart"/>
      <w:r w:rsidRPr="002126A3">
        <w:rPr>
          <w:sz w:val="24"/>
          <w:szCs w:val="24"/>
        </w:rPr>
        <w:t>retinitis</w:t>
      </w:r>
      <w:proofErr w:type="spellEnd"/>
      <w:r w:rsidRPr="002126A3">
        <w:rPr>
          <w:sz w:val="24"/>
          <w:szCs w:val="24"/>
        </w:rPr>
        <w:t xml:space="preserve">, mens de får vedligeholdelsesbehandling eller efter </w:t>
      </w:r>
      <w:proofErr w:type="spellStart"/>
      <w:r w:rsidRPr="002126A3">
        <w:rPr>
          <w:sz w:val="24"/>
          <w:szCs w:val="24"/>
        </w:rPr>
        <w:t>seponering</w:t>
      </w:r>
      <w:proofErr w:type="spellEnd"/>
      <w:r w:rsidRPr="002126A3">
        <w:rPr>
          <w:sz w:val="24"/>
          <w:szCs w:val="24"/>
        </w:rPr>
        <w:t xml:space="preserve"> af behandlingen, har genoptagelse af induktionsbehandling vist samme effekt som det indledende forløb.</w:t>
      </w:r>
    </w:p>
    <w:p w14:paraId="49C6336E" w14:textId="77777777" w:rsidR="0031683A" w:rsidRPr="0021324E" w:rsidRDefault="0031683A" w:rsidP="00384045">
      <w:pPr>
        <w:ind w:left="851"/>
        <w:rPr>
          <w:sz w:val="24"/>
          <w:szCs w:val="24"/>
        </w:rPr>
      </w:pPr>
    </w:p>
    <w:p w14:paraId="53AFF0A8" w14:textId="7365406A" w:rsidR="0031683A" w:rsidRPr="0021324E" w:rsidRDefault="0031683A" w:rsidP="00384045">
      <w:pPr>
        <w:ind w:left="851"/>
        <w:rPr>
          <w:i/>
          <w:sz w:val="24"/>
          <w:szCs w:val="24"/>
        </w:rPr>
      </w:pPr>
      <w:r w:rsidRPr="0021324E">
        <w:rPr>
          <w:i/>
          <w:sz w:val="24"/>
          <w:szCs w:val="24"/>
        </w:rPr>
        <w:t>CMV-infektioner i den øvre og nedre mave-tarm</w:t>
      </w:r>
      <w:r w:rsidR="0021324E" w:rsidRPr="0021324E">
        <w:rPr>
          <w:i/>
          <w:sz w:val="24"/>
          <w:szCs w:val="24"/>
        </w:rPr>
        <w:t>-</w:t>
      </w:r>
      <w:r w:rsidRPr="0021324E">
        <w:rPr>
          <w:i/>
          <w:sz w:val="24"/>
          <w:szCs w:val="24"/>
        </w:rPr>
        <w:t xml:space="preserve">kanal hos </w:t>
      </w:r>
      <w:proofErr w:type="spellStart"/>
      <w:r w:rsidRPr="0021324E">
        <w:rPr>
          <w:i/>
          <w:sz w:val="24"/>
          <w:szCs w:val="24"/>
        </w:rPr>
        <w:t>AIDS-patienter</w:t>
      </w:r>
      <w:proofErr w:type="spellEnd"/>
    </w:p>
    <w:p w14:paraId="1FB033E0" w14:textId="230D874B" w:rsidR="0031683A" w:rsidRPr="002126A3" w:rsidRDefault="0031683A" w:rsidP="00384045">
      <w:pPr>
        <w:ind w:left="851"/>
        <w:rPr>
          <w:sz w:val="24"/>
          <w:szCs w:val="24"/>
        </w:rPr>
      </w:pPr>
      <w:r w:rsidRPr="002126A3">
        <w:rPr>
          <w:sz w:val="24"/>
          <w:szCs w:val="24"/>
        </w:rPr>
        <w:t>Hos patienter med påvist CMV-infektion i den øvre og nedre mave-tarm</w:t>
      </w:r>
      <w:r w:rsidR="0021324E">
        <w:rPr>
          <w:sz w:val="24"/>
          <w:szCs w:val="24"/>
        </w:rPr>
        <w:t>-</w:t>
      </w:r>
      <w:r w:rsidRPr="002126A3">
        <w:rPr>
          <w:sz w:val="24"/>
          <w:szCs w:val="24"/>
        </w:rPr>
        <w:t>kanal gav induktionsbehandling over 2-4 uger med en dosis på 90 mg/kg to gange dagligt en forbedring af symptomerne hos 80 % af patienterne og en makroskopisk forbedring hos 72</w:t>
      </w:r>
      <w:r w:rsidR="00323D7E">
        <w:rPr>
          <w:sz w:val="24"/>
          <w:szCs w:val="24"/>
        </w:rPr>
        <w:t> </w:t>
      </w:r>
      <w:r w:rsidRPr="002126A3">
        <w:rPr>
          <w:sz w:val="24"/>
          <w:szCs w:val="24"/>
        </w:rPr>
        <w:t>% af patienterne. Ved mikroskopisk undersøgelse havde 61 % af patienterne en forbedring i inflammationsgraden og hos 80 % af patienterne var antallet af CMV inklusionslegemer stærkt reduceret eller ikke længere påviselig.</w:t>
      </w:r>
    </w:p>
    <w:p w14:paraId="45C2DFDB" w14:textId="77777777" w:rsidR="0031683A" w:rsidRPr="002126A3" w:rsidRDefault="0031683A" w:rsidP="00384045">
      <w:pPr>
        <w:ind w:left="851"/>
        <w:rPr>
          <w:sz w:val="24"/>
          <w:szCs w:val="24"/>
        </w:rPr>
      </w:pPr>
      <w:proofErr w:type="spellStart"/>
      <w:r w:rsidRPr="002126A3">
        <w:rPr>
          <w:sz w:val="24"/>
          <w:szCs w:val="24"/>
        </w:rPr>
        <w:t>Foscarnet</w:t>
      </w:r>
      <w:proofErr w:type="spellEnd"/>
      <w:r w:rsidRPr="002126A3">
        <w:rPr>
          <w:sz w:val="24"/>
          <w:szCs w:val="24"/>
        </w:rPr>
        <w:t xml:space="preserve"> vedligeholdelsesbehandling påbegyndes periodisk efter afslutning af induktionsbehandling.</w:t>
      </w:r>
    </w:p>
    <w:p w14:paraId="6012B956" w14:textId="77777777" w:rsidR="0031683A" w:rsidRPr="002126A3" w:rsidRDefault="0031683A" w:rsidP="00384045">
      <w:pPr>
        <w:ind w:left="851"/>
        <w:rPr>
          <w:sz w:val="24"/>
          <w:szCs w:val="24"/>
        </w:rPr>
      </w:pPr>
    </w:p>
    <w:p w14:paraId="495CFDD8" w14:textId="77777777" w:rsidR="0031683A" w:rsidRPr="0021324E" w:rsidRDefault="0031683A" w:rsidP="00384045">
      <w:pPr>
        <w:ind w:left="851"/>
        <w:rPr>
          <w:i/>
          <w:iCs/>
          <w:sz w:val="24"/>
          <w:szCs w:val="24"/>
        </w:rPr>
      </w:pPr>
      <w:proofErr w:type="spellStart"/>
      <w:r w:rsidRPr="0021324E">
        <w:rPr>
          <w:i/>
          <w:sz w:val="24"/>
          <w:szCs w:val="24"/>
        </w:rPr>
        <w:t>Aciclovir</w:t>
      </w:r>
      <w:proofErr w:type="spellEnd"/>
      <w:r w:rsidRPr="0021324E">
        <w:rPr>
          <w:i/>
          <w:sz w:val="24"/>
          <w:szCs w:val="24"/>
        </w:rPr>
        <w:t>-refraktære HSV-infektioner hos immunkompromitterede patienter</w:t>
      </w:r>
    </w:p>
    <w:p w14:paraId="0F832D00" w14:textId="77777777" w:rsidR="0031683A" w:rsidRPr="002126A3" w:rsidRDefault="0031683A" w:rsidP="00384045">
      <w:pPr>
        <w:ind w:left="851"/>
        <w:rPr>
          <w:sz w:val="24"/>
          <w:szCs w:val="24"/>
        </w:rPr>
      </w:pPr>
      <w:r w:rsidRPr="002126A3">
        <w:rPr>
          <w:sz w:val="24"/>
          <w:szCs w:val="24"/>
        </w:rPr>
        <w:t xml:space="preserve">I en </w:t>
      </w:r>
      <w:proofErr w:type="spellStart"/>
      <w:r w:rsidRPr="002126A3">
        <w:rPr>
          <w:sz w:val="24"/>
          <w:szCs w:val="24"/>
        </w:rPr>
        <w:t>prospektiv</w:t>
      </w:r>
      <w:proofErr w:type="spellEnd"/>
      <w:r w:rsidRPr="002126A3">
        <w:rPr>
          <w:sz w:val="24"/>
          <w:szCs w:val="24"/>
        </w:rPr>
        <w:t xml:space="preserve"> randomiseret undersøgelse af </w:t>
      </w:r>
      <w:proofErr w:type="spellStart"/>
      <w:r w:rsidRPr="002126A3">
        <w:rPr>
          <w:sz w:val="24"/>
          <w:szCs w:val="24"/>
        </w:rPr>
        <w:t>AIDS-patienter</w:t>
      </w:r>
      <w:proofErr w:type="spellEnd"/>
      <w:r w:rsidRPr="002126A3">
        <w:rPr>
          <w:sz w:val="24"/>
          <w:szCs w:val="24"/>
        </w:rPr>
        <w:t xml:space="preserve"> helede læsionerne inden for 11-25 dage. Patienterne havde fuldstændig lindring af smerte inden for 9 dage og stoppede med at udskille HSV-virus inden for 7 dage.</w:t>
      </w:r>
    </w:p>
    <w:p w14:paraId="21D09730" w14:textId="77777777" w:rsidR="009260DE" w:rsidRPr="002126A3" w:rsidRDefault="009260DE" w:rsidP="009260DE">
      <w:pPr>
        <w:tabs>
          <w:tab w:val="left" w:pos="851"/>
        </w:tabs>
        <w:ind w:left="851"/>
        <w:rPr>
          <w:sz w:val="24"/>
          <w:szCs w:val="24"/>
        </w:rPr>
      </w:pPr>
    </w:p>
    <w:p w14:paraId="5A44D531" w14:textId="77777777" w:rsidR="009260DE" w:rsidRPr="002126A3" w:rsidRDefault="009260DE" w:rsidP="009260DE">
      <w:pPr>
        <w:tabs>
          <w:tab w:val="left" w:pos="851"/>
        </w:tabs>
        <w:ind w:left="851" w:hanging="851"/>
        <w:rPr>
          <w:b/>
          <w:sz w:val="24"/>
          <w:szCs w:val="24"/>
        </w:rPr>
      </w:pPr>
      <w:r w:rsidRPr="002126A3">
        <w:rPr>
          <w:b/>
          <w:sz w:val="24"/>
          <w:szCs w:val="24"/>
        </w:rPr>
        <w:t>5.2</w:t>
      </w:r>
      <w:r w:rsidRPr="002126A3">
        <w:rPr>
          <w:b/>
          <w:sz w:val="24"/>
          <w:szCs w:val="24"/>
        </w:rPr>
        <w:tab/>
      </w:r>
      <w:proofErr w:type="spellStart"/>
      <w:r w:rsidRPr="002126A3">
        <w:rPr>
          <w:b/>
          <w:sz w:val="24"/>
          <w:szCs w:val="24"/>
        </w:rPr>
        <w:t>Farmakokinetiske</w:t>
      </w:r>
      <w:proofErr w:type="spellEnd"/>
      <w:r w:rsidRPr="002126A3">
        <w:rPr>
          <w:b/>
          <w:sz w:val="24"/>
          <w:szCs w:val="24"/>
        </w:rPr>
        <w:t xml:space="preserve"> egenskaber</w:t>
      </w:r>
    </w:p>
    <w:p w14:paraId="33D193F3" w14:textId="77777777" w:rsidR="0021324E" w:rsidRDefault="0021324E" w:rsidP="00384045">
      <w:pPr>
        <w:ind w:left="851"/>
        <w:rPr>
          <w:sz w:val="24"/>
          <w:szCs w:val="24"/>
        </w:rPr>
      </w:pPr>
    </w:p>
    <w:p w14:paraId="276E9735" w14:textId="2752F018" w:rsidR="0031683A" w:rsidRPr="0021324E" w:rsidRDefault="0031683A" w:rsidP="00384045">
      <w:pPr>
        <w:ind w:left="851"/>
        <w:rPr>
          <w:sz w:val="24"/>
          <w:szCs w:val="24"/>
          <w:u w:val="single"/>
        </w:rPr>
      </w:pPr>
      <w:r w:rsidRPr="0021324E">
        <w:rPr>
          <w:sz w:val="24"/>
          <w:szCs w:val="24"/>
          <w:u w:val="single"/>
        </w:rPr>
        <w:t>Fordeling</w:t>
      </w:r>
    </w:p>
    <w:p w14:paraId="58AB8F2A" w14:textId="77777777" w:rsidR="0031683A" w:rsidRPr="002126A3" w:rsidRDefault="0031683A" w:rsidP="00384045">
      <w:pPr>
        <w:ind w:left="851"/>
        <w:rPr>
          <w:sz w:val="24"/>
          <w:szCs w:val="24"/>
        </w:rPr>
      </w:pPr>
      <w:r w:rsidRPr="002126A3">
        <w:rPr>
          <w:sz w:val="24"/>
          <w:szCs w:val="24"/>
        </w:rPr>
        <w:t xml:space="preserve">Syv dage efter afslutning af </w:t>
      </w:r>
      <w:proofErr w:type="spellStart"/>
      <w:r w:rsidRPr="002126A3">
        <w:rPr>
          <w:sz w:val="24"/>
          <w:szCs w:val="24"/>
        </w:rPr>
        <w:t>foscarnet</w:t>
      </w:r>
      <w:proofErr w:type="spellEnd"/>
      <w:r w:rsidRPr="002126A3">
        <w:rPr>
          <w:sz w:val="24"/>
          <w:szCs w:val="24"/>
        </w:rPr>
        <w:t xml:space="preserve">-behandlingen er en procentdel på op til 20 % af den kumulative intravenøse dosis ikke blevet udskilt i urinen hos mennesker og kan antages at være blevet aflejret i knoglevæv. Den molekylære lighed med fosfat og </w:t>
      </w:r>
      <w:proofErr w:type="spellStart"/>
      <w:r w:rsidRPr="002126A3">
        <w:rPr>
          <w:sz w:val="24"/>
          <w:szCs w:val="24"/>
        </w:rPr>
        <w:t>pyrofosfat</w:t>
      </w:r>
      <w:proofErr w:type="spellEnd"/>
      <w:r w:rsidRPr="002126A3">
        <w:rPr>
          <w:sz w:val="24"/>
          <w:szCs w:val="24"/>
        </w:rPr>
        <w:t xml:space="preserve">, og evnen til at danne metal-ionkomplekser, herunder med calcium-ioner, er sandsynligvis årsag til, at </w:t>
      </w:r>
      <w:proofErr w:type="spellStart"/>
      <w:r w:rsidRPr="002126A3">
        <w:rPr>
          <w:sz w:val="24"/>
          <w:szCs w:val="24"/>
        </w:rPr>
        <w:t>foscarnet</w:t>
      </w:r>
      <w:proofErr w:type="spellEnd"/>
      <w:r w:rsidRPr="002126A3">
        <w:rPr>
          <w:sz w:val="24"/>
          <w:szCs w:val="24"/>
        </w:rPr>
        <w:t xml:space="preserve"> udviser hurtig udveksling med calciumaflejringer, herunder den uorganiske knoglematrix. </w:t>
      </w:r>
      <w:proofErr w:type="spellStart"/>
      <w:r w:rsidRPr="002126A3">
        <w:rPr>
          <w:sz w:val="24"/>
          <w:szCs w:val="24"/>
        </w:rPr>
        <w:t>Foscarnetbinding</w:t>
      </w:r>
      <w:proofErr w:type="spellEnd"/>
      <w:r w:rsidRPr="002126A3">
        <w:rPr>
          <w:sz w:val="24"/>
          <w:szCs w:val="24"/>
        </w:rPr>
        <w:t xml:space="preserve"> til den uorganiske knoglematrix har ikke en kendt virkning på knoglemarven.</w:t>
      </w:r>
    </w:p>
    <w:p w14:paraId="48A01FF7" w14:textId="77777777" w:rsidR="0031683A" w:rsidRPr="002126A3" w:rsidRDefault="0031683A" w:rsidP="00384045">
      <w:pPr>
        <w:ind w:left="851"/>
        <w:rPr>
          <w:sz w:val="24"/>
          <w:szCs w:val="24"/>
        </w:rPr>
      </w:pPr>
    </w:p>
    <w:p w14:paraId="41F71B2D" w14:textId="77777777" w:rsidR="0031683A" w:rsidRPr="002126A3" w:rsidRDefault="0031683A" w:rsidP="00384045">
      <w:pPr>
        <w:ind w:left="851"/>
        <w:rPr>
          <w:sz w:val="24"/>
          <w:szCs w:val="24"/>
        </w:rPr>
      </w:pPr>
      <w:r w:rsidRPr="002126A3">
        <w:rPr>
          <w:sz w:val="24"/>
          <w:szCs w:val="24"/>
        </w:rPr>
        <w:t xml:space="preserve">Bindingen til humane plasmaproteiner er lav (&lt;20 %). </w:t>
      </w:r>
      <w:proofErr w:type="spellStart"/>
      <w:r w:rsidRPr="002126A3">
        <w:rPr>
          <w:sz w:val="24"/>
          <w:szCs w:val="24"/>
        </w:rPr>
        <w:t>Foscarnets</w:t>
      </w:r>
      <w:proofErr w:type="spellEnd"/>
      <w:r w:rsidRPr="002126A3">
        <w:rPr>
          <w:sz w:val="24"/>
          <w:szCs w:val="24"/>
        </w:rPr>
        <w:t xml:space="preserve"> fordelingsvolumen i </w:t>
      </w:r>
      <w:proofErr w:type="spellStart"/>
      <w:r w:rsidRPr="002126A3">
        <w:rPr>
          <w:i/>
          <w:iCs/>
          <w:sz w:val="24"/>
          <w:szCs w:val="24"/>
        </w:rPr>
        <w:t>steady-state</w:t>
      </w:r>
      <w:proofErr w:type="spellEnd"/>
      <w:r w:rsidRPr="002126A3">
        <w:rPr>
          <w:sz w:val="24"/>
          <w:szCs w:val="24"/>
        </w:rPr>
        <w:t xml:space="preserve"> er 0,4-0,6 l/kg.</w:t>
      </w:r>
    </w:p>
    <w:p w14:paraId="3FDA5C06" w14:textId="77777777" w:rsidR="0031683A" w:rsidRPr="002126A3" w:rsidRDefault="0031683A" w:rsidP="00384045">
      <w:pPr>
        <w:ind w:left="851"/>
        <w:rPr>
          <w:sz w:val="24"/>
          <w:szCs w:val="24"/>
        </w:rPr>
      </w:pPr>
    </w:p>
    <w:p w14:paraId="37092161" w14:textId="3EBB97BD" w:rsidR="0031683A" w:rsidRPr="002126A3" w:rsidRDefault="0031683A" w:rsidP="00384045">
      <w:pPr>
        <w:ind w:left="851"/>
        <w:rPr>
          <w:sz w:val="24"/>
          <w:szCs w:val="24"/>
        </w:rPr>
      </w:pPr>
      <w:proofErr w:type="spellStart"/>
      <w:r w:rsidRPr="002126A3">
        <w:rPr>
          <w:sz w:val="24"/>
          <w:szCs w:val="24"/>
        </w:rPr>
        <w:t>Foscarnet</w:t>
      </w:r>
      <w:proofErr w:type="spellEnd"/>
      <w:r w:rsidRPr="002126A3">
        <w:rPr>
          <w:sz w:val="24"/>
          <w:szCs w:val="24"/>
        </w:rPr>
        <w:t xml:space="preserve"> fordeles til cerebrospinalvæsken. Der er observeret koncentrationer fra 13 til 68</w:t>
      </w:r>
      <w:r w:rsidR="00323D7E">
        <w:rPr>
          <w:sz w:val="24"/>
          <w:szCs w:val="24"/>
        </w:rPr>
        <w:t> </w:t>
      </w:r>
      <w:r w:rsidRPr="002126A3">
        <w:rPr>
          <w:sz w:val="24"/>
          <w:szCs w:val="24"/>
        </w:rPr>
        <w:t>% af plasmakoncentrationen hos HIV-inficerede patienter.</w:t>
      </w:r>
    </w:p>
    <w:p w14:paraId="74525FDA" w14:textId="77777777" w:rsidR="0031683A" w:rsidRPr="002126A3" w:rsidRDefault="0031683A" w:rsidP="00384045">
      <w:pPr>
        <w:ind w:left="851"/>
        <w:rPr>
          <w:sz w:val="24"/>
          <w:szCs w:val="24"/>
        </w:rPr>
      </w:pPr>
    </w:p>
    <w:p w14:paraId="17341154" w14:textId="77777777" w:rsidR="0031683A" w:rsidRPr="0021324E" w:rsidRDefault="0031683A" w:rsidP="00384045">
      <w:pPr>
        <w:ind w:left="851"/>
        <w:rPr>
          <w:sz w:val="24"/>
          <w:szCs w:val="24"/>
          <w:u w:val="single"/>
        </w:rPr>
      </w:pPr>
      <w:r w:rsidRPr="0021324E">
        <w:rPr>
          <w:sz w:val="24"/>
          <w:szCs w:val="24"/>
          <w:u w:val="single"/>
        </w:rPr>
        <w:t>Metabolisme</w:t>
      </w:r>
    </w:p>
    <w:p w14:paraId="438982FB" w14:textId="77777777" w:rsidR="0031683A" w:rsidRPr="002126A3" w:rsidRDefault="0031683A" w:rsidP="00384045">
      <w:pPr>
        <w:ind w:left="851"/>
        <w:rPr>
          <w:sz w:val="24"/>
          <w:szCs w:val="24"/>
        </w:rPr>
      </w:pPr>
      <w:r w:rsidRPr="002126A3">
        <w:rPr>
          <w:sz w:val="24"/>
          <w:szCs w:val="24"/>
        </w:rPr>
        <w:t>Der er ingen metabolisk omdannelse.</w:t>
      </w:r>
    </w:p>
    <w:p w14:paraId="0D72AB42" w14:textId="77777777" w:rsidR="0031683A" w:rsidRPr="002126A3" w:rsidRDefault="0031683A" w:rsidP="00384045">
      <w:pPr>
        <w:ind w:left="851"/>
        <w:rPr>
          <w:sz w:val="24"/>
          <w:szCs w:val="24"/>
        </w:rPr>
      </w:pPr>
    </w:p>
    <w:p w14:paraId="0320AED0" w14:textId="77777777" w:rsidR="0031683A" w:rsidRPr="0021324E" w:rsidRDefault="0031683A" w:rsidP="00384045">
      <w:pPr>
        <w:ind w:left="851"/>
        <w:rPr>
          <w:sz w:val="24"/>
          <w:szCs w:val="24"/>
          <w:u w:val="single"/>
        </w:rPr>
      </w:pPr>
      <w:r w:rsidRPr="0021324E">
        <w:rPr>
          <w:sz w:val="24"/>
          <w:szCs w:val="24"/>
          <w:u w:val="single"/>
        </w:rPr>
        <w:t>Elimination</w:t>
      </w:r>
    </w:p>
    <w:p w14:paraId="17DF1F02" w14:textId="77777777" w:rsidR="0031683A" w:rsidRPr="002126A3" w:rsidRDefault="0031683A" w:rsidP="00384045">
      <w:pPr>
        <w:ind w:left="851"/>
        <w:rPr>
          <w:sz w:val="24"/>
          <w:szCs w:val="24"/>
        </w:rPr>
      </w:pPr>
      <w:r w:rsidRPr="002126A3">
        <w:rPr>
          <w:sz w:val="24"/>
          <w:szCs w:val="24"/>
        </w:rPr>
        <w:t xml:space="preserve">Efter intravenøs administration til mennesker udviser </w:t>
      </w:r>
      <w:proofErr w:type="spellStart"/>
      <w:r w:rsidRPr="002126A3">
        <w:rPr>
          <w:sz w:val="24"/>
          <w:szCs w:val="24"/>
        </w:rPr>
        <w:t>foscarnets</w:t>
      </w:r>
      <w:proofErr w:type="spellEnd"/>
      <w:r w:rsidRPr="002126A3">
        <w:rPr>
          <w:sz w:val="24"/>
          <w:szCs w:val="24"/>
        </w:rPr>
        <w:t xml:space="preserve"> plasmakoncentration </w:t>
      </w:r>
      <w:proofErr w:type="spellStart"/>
      <w:r w:rsidRPr="002126A3">
        <w:rPr>
          <w:sz w:val="24"/>
          <w:szCs w:val="24"/>
        </w:rPr>
        <w:t>tri</w:t>
      </w:r>
      <w:proofErr w:type="spellEnd"/>
      <w:r w:rsidRPr="002126A3">
        <w:rPr>
          <w:sz w:val="24"/>
          <w:szCs w:val="24"/>
        </w:rPr>
        <w:t>-eksponentielt henfald med forskellige halveringstider. De gennemsnitlige halveringstider for de tre faser var 0,45; 3,3 og 18 timer.</w:t>
      </w:r>
    </w:p>
    <w:p w14:paraId="65B5411B" w14:textId="77777777" w:rsidR="0031683A" w:rsidRPr="002126A3" w:rsidRDefault="0031683A" w:rsidP="00384045">
      <w:pPr>
        <w:ind w:left="851"/>
        <w:rPr>
          <w:sz w:val="24"/>
          <w:szCs w:val="24"/>
        </w:rPr>
      </w:pPr>
    </w:p>
    <w:p w14:paraId="758F8E2F" w14:textId="77777777" w:rsidR="0031683A" w:rsidRPr="002126A3" w:rsidRDefault="0031683A" w:rsidP="00384045">
      <w:pPr>
        <w:ind w:left="851"/>
        <w:rPr>
          <w:sz w:val="24"/>
          <w:szCs w:val="24"/>
        </w:rPr>
      </w:pPr>
      <w:proofErr w:type="spellStart"/>
      <w:r w:rsidRPr="002126A3">
        <w:rPr>
          <w:sz w:val="24"/>
          <w:szCs w:val="24"/>
        </w:rPr>
        <w:t>Foscarnet</w:t>
      </w:r>
      <w:proofErr w:type="spellEnd"/>
      <w:r w:rsidRPr="002126A3">
        <w:rPr>
          <w:sz w:val="24"/>
          <w:szCs w:val="24"/>
        </w:rPr>
        <w:t xml:space="preserve"> elimineres af nyrerne gennem </w:t>
      </w:r>
      <w:proofErr w:type="spellStart"/>
      <w:r w:rsidRPr="002126A3">
        <w:rPr>
          <w:sz w:val="24"/>
          <w:szCs w:val="24"/>
        </w:rPr>
        <w:t>glomerulær</w:t>
      </w:r>
      <w:proofErr w:type="spellEnd"/>
      <w:r w:rsidRPr="002126A3">
        <w:rPr>
          <w:sz w:val="24"/>
          <w:szCs w:val="24"/>
        </w:rPr>
        <w:t xml:space="preserve"> filtration og </w:t>
      </w:r>
      <w:proofErr w:type="spellStart"/>
      <w:r w:rsidRPr="002126A3">
        <w:rPr>
          <w:sz w:val="24"/>
          <w:szCs w:val="24"/>
        </w:rPr>
        <w:t>tubulær</w:t>
      </w:r>
      <w:proofErr w:type="spellEnd"/>
      <w:r w:rsidRPr="002126A3">
        <w:rPr>
          <w:sz w:val="24"/>
          <w:szCs w:val="24"/>
        </w:rPr>
        <w:t xml:space="preserve"> sekretion. </w:t>
      </w:r>
      <w:proofErr w:type="spellStart"/>
      <w:r w:rsidRPr="002126A3">
        <w:rPr>
          <w:sz w:val="24"/>
          <w:szCs w:val="24"/>
        </w:rPr>
        <w:t>Renal</w:t>
      </w:r>
      <w:proofErr w:type="spellEnd"/>
      <w:r w:rsidRPr="002126A3">
        <w:rPr>
          <w:sz w:val="24"/>
          <w:szCs w:val="24"/>
        </w:rPr>
        <w:t xml:space="preserve"> </w:t>
      </w:r>
      <w:proofErr w:type="spellStart"/>
      <w:r w:rsidRPr="002126A3">
        <w:rPr>
          <w:sz w:val="24"/>
          <w:szCs w:val="24"/>
        </w:rPr>
        <w:t>clearance</w:t>
      </w:r>
      <w:proofErr w:type="spellEnd"/>
      <w:r w:rsidRPr="002126A3">
        <w:rPr>
          <w:sz w:val="24"/>
          <w:szCs w:val="24"/>
        </w:rPr>
        <w:t xml:space="preserve"> er ca. 150 ml/min.</w:t>
      </w:r>
    </w:p>
    <w:p w14:paraId="0F32768D" w14:textId="3DB8F943" w:rsidR="00323D7E" w:rsidRDefault="00323D7E">
      <w:pPr>
        <w:rPr>
          <w:sz w:val="24"/>
          <w:szCs w:val="24"/>
        </w:rPr>
      </w:pPr>
      <w:r>
        <w:rPr>
          <w:sz w:val="24"/>
          <w:szCs w:val="24"/>
        </w:rPr>
        <w:br w:type="page"/>
      </w:r>
    </w:p>
    <w:p w14:paraId="7C3F63BE" w14:textId="77777777" w:rsidR="009260DE" w:rsidRPr="002126A3" w:rsidRDefault="009260DE" w:rsidP="009260DE">
      <w:pPr>
        <w:tabs>
          <w:tab w:val="left" w:pos="851"/>
        </w:tabs>
        <w:ind w:left="851"/>
        <w:rPr>
          <w:sz w:val="24"/>
          <w:szCs w:val="24"/>
        </w:rPr>
      </w:pPr>
    </w:p>
    <w:p w14:paraId="1DFAC4C2" w14:textId="77777777" w:rsidR="009260DE" w:rsidRPr="002126A3" w:rsidRDefault="009260DE" w:rsidP="009260DE">
      <w:pPr>
        <w:tabs>
          <w:tab w:val="left" w:pos="851"/>
        </w:tabs>
        <w:ind w:left="851" w:hanging="851"/>
        <w:rPr>
          <w:b/>
          <w:sz w:val="24"/>
          <w:szCs w:val="24"/>
        </w:rPr>
      </w:pPr>
      <w:r w:rsidRPr="002126A3">
        <w:rPr>
          <w:b/>
          <w:sz w:val="24"/>
          <w:szCs w:val="24"/>
        </w:rPr>
        <w:t>5.3</w:t>
      </w:r>
      <w:r w:rsidRPr="002126A3">
        <w:rPr>
          <w:b/>
          <w:sz w:val="24"/>
          <w:szCs w:val="24"/>
        </w:rPr>
        <w:tab/>
      </w:r>
      <w:r w:rsidR="00BD7931" w:rsidRPr="002126A3">
        <w:rPr>
          <w:b/>
          <w:sz w:val="24"/>
          <w:szCs w:val="24"/>
        </w:rPr>
        <w:t>Non-</w:t>
      </w:r>
      <w:r w:rsidRPr="002126A3">
        <w:rPr>
          <w:b/>
          <w:sz w:val="24"/>
          <w:szCs w:val="24"/>
        </w:rPr>
        <w:t>kliniske sikkerhedsdata</w:t>
      </w:r>
    </w:p>
    <w:p w14:paraId="7B83D1A5" w14:textId="77777777" w:rsidR="0031683A" w:rsidRPr="002126A3" w:rsidRDefault="0031683A" w:rsidP="00384045">
      <w:pPr>
        <w:ind w:left="851"/>
        <w:rPr>
          <w:sz w:val="24"/>
          <w:szCs w:val="24"/>
        </w:rPr>
      </w:pPr>
      <w:r w:rsidRPr="002126A3">
        <w:rPr>
          <w:sz w:val="24"/>
          <w:szCs w:val="24"/>
        </w:rPr>
        <w:t xml:space="preserve">Subkutan administration af </w:t>
      </w:r>
      <w:proofErr w:type="spellStart"/>
      <w:r w:rsidRPr="002126A3">
        <w:rPr>
          <w:sz w:val="24"/>
          <w:szCs w:val="24"/>
        </w:rPr>
        <w:t>foscarnet</w:t>
      </w:r>
      <w:proofErr w:type="spellEnd"/>
      <w:r w:rsidRPr="002126A3">
        <w:rPr>
          <w:sz w:val="24"/>
          <w:szCs w:val="24"/>
        </w:rPr>
        <w:t xml:space="preserve"> forårsagede skeletabnormiteter hos rotter og kaniner ved en systemisk eksponering, der var lavere end humane terapeutiske niveauer.</w:t>
      </w:r>
    </w:p>
    <w:p w14:paraId="0B0EB2B0" w14:textId="77777777" w:rsidR="0031683A" w:rsidRPr="002126A3" w:rsidRDefault="0031683A" w:rsidP="00384045">
      <w:pPr>
        <w:ind w:left="851"/>
        <w:rPr>
          <w:sz w:val="24"/>
          <w:szCs w:val="24"/>
        </w:rPr>
      </w:pPr>
    </w:p>
    <w:p w14:paraId="4DE9B445" w14:textId="77777777" w:rsidR="0031683A" w:rsidRPr="002126A3" w:rsidRDefault="0031683A" w:rsidP="00384045">
      <w:pPr>
        <w:ind w:left="851"/>
        <w:rPr>
          <w:iCs/>
          <w:sz w:val="24"/>
          <w:szCs w:val="24"/>
        </w:rPr>
      </w:pPr>
      <w:r w:rsidRPr="002126A3">
        <w:rPr>
          <w:sz w:val="24"/>
          <w:szCs w:val="24"/>
        </w:rPr>
        <w:t xml:space="preserve">Knogleforandringerne blev karakteriseret som øget </w:t>
      </w:r>
      <w:proofErr w:type="spellStart"/>
      <w:r w:rsidRPr="002126A3">
        <w:rPr>
          <w:sz w:val="24"/>
          <w:szCs w:val="24"/>
        </w:rPr>
        <w:t>osteoklastaktivitet</w:t>
      </w:r>
      <w:proofErr w:type="spellEnd"/>
      <w:r w:rsidRPr="002126A3">
        <w:rPr>
          <w:sz w:val="24"/>
          <w:szCs w:val="24"/>
        </w:rPr>
        <w:t xml:space="preserve"> og knogleresorption. Omtrent 20 % af det administrerede lægemiddel optages i knogler og brusk, og aflejringen er større hos unge og voksende dyr.</w:t>
      </w:r>
      <w:r w:rsidRPr="002126A3">
        <w:rPr>
          <w:i/>
          <w:sz w:val="24"/>
          <w:szCs w:val="24"/>
        </w:rPr>
        <w:t xml:space="preserve"> </w:t>
      </w:r>
      <w:r w:rsidRPr="002126A3">
        <w:rPr>
          <w:sz w:val="24"/>
          <w:szCs w:val="24"/>
        </w:rPr>
        <w:t xml:space="preserve">Denne virkning er kun set hos hunde. Årsagen til disse ændringer kan være, at </w:t>
      </w:r>
      <w:proofErr w:type="spellStart"/>
      <w:r w:rsidRPr="002126A3">
        <w:rPr>
          <w:sz w:val="24"/>
          <w:szCs w:val="24"/>
        </w:rPr>
        <w:t>foscarnet</w:t>
      </w:r>
      <w:proofErr w:type="spellEnd"/>
      <w:r w:rsidRPr="002126A3">
        <w:rPr>
          <w:sz w:val="24"/>
          <w:szCs w:val="24"/>
        </w:rPr>
        <w:t xml:space="preserve"> på grund af den strukturelle lighed med fosfat er inkorporeret i </w:t>
      </w:r>
      <w:proofErr w:type="spellStart"/>
      <w:r w:rsidRPr="002126A3">
        <w:rPr>
          <w:sz w:val="24"/>
          <w:szCs w:val="24"/>
        </w:rPr>
        <w:t>hydroksylapatitten</w:t>
      </w:r>
      <w:proofErr w:type="spellEnd"/>
      <w:r w:rsidRPr="002126A3">
        <w:rPr>
          <w:sz w:val="24"/>
          <w:szCs w:val="24"/>
        </w:rPr>
        <w:t xml:space="preserve">. Autoradiografiske undersøgelser viste, at </w:t>
      </w:r>
      <w:proofErr w:type="spellStart"/>
      <w:r w:rsidRPr="002126A3">
        <w:rPr>
          <w:sz w:val="24"/>
          <w:szCs w:val="24"/>
        </w:rPr>
        <w:t>foscarnet</w:t>
      </w:r>
      <w:proofErr w:type="spellEnd"/>
      <w:r w:rsidRPr="002126A3">
        <w:rPr>
          <w:sz w:val="24"/>
          <w:szCs w:val="24"/>
        </w:rPr>
        <w:t xml:space="preserve"> har en udtalt affinitet til knoglevæv. Restitutionsundersøgelser viste, at knogleforandringerne var reversible.</w:t>
      </w:r>
      <w:r w:rsidRPr="002126A3">
        <w:rPr>
          <w:i/>
          <w:sz w:val="24"/>
          <w:szCs w:val="24"/>
        </w:rPr>
        <w:t xml:space="preserve"> </w:t>
      </w:r>
      <w:proofErr w:type="spellStart"/>
      <w:r w:rsidRPr="002126A3">
        <w:rPr>
          <w:sz w:val="24"/>
          <w:szCs w:val="24"/>
        </w:rPr>
        <w:t>Foscarnet</w:t>
      </w:r>
      <w:proofErr w:type="spellEnd"/>
      <w:r w:rsidRPr="002126A3">
        <w:rPr>
          <w:sz w:val="24"/>
          <w:szCs w:val="24"/>
        </w:rPr>
        <w:t>-natrium har vist sig at påvirke udviklingen af tandemalje negativt hos mus og rotter. Virkningerne af denne aflejring på skeletudvikling er ikke blevet undersøgt.</w:t>
      </w:r>
    </w:p>
    <w:p w14:paraId="100F11F7" w14:textId="079A2E20" w:rsidR="009260DE" w:rsidRDefault="009260DE" w:rsidP="009260DE">
      <w:pPr>
        <w:tabs>
          <w:tab w:val="left" w:pos="851"/>
        </w:tabs>
        <w:ind w:left="851"/>
        <w:rPr>
          <w:sz w:val="24"/>
          <w:szCs w:val="24"/>
        </w:rPr>
      </w:pPr>
    </w:p>
    <w:p w14:paraId="40E823A5" w14:textId="77777777" w:rsidR="001F47FA" w:rsidRPr="002126A3" w:rsidRDefault="001F47FA" w:rsidP="009260DE">
      <w:pPr>
        <w:tabs>
          <w:tab w:val="left" w:pos="851"/>
        </w:tabs>
        <w:ind w:left="851"/>
        <w:rPr>
          <w:sz w:val="24"/>
          <w:szCs w:val="24"/>
        </w:rPr>
      </w:pPr>
    </w:p>
    <w:p w14:paraId="2D30F7C4" w14:textId="77777777" w:rsidR="009260DE" w:rsidRPr="002126A3" w:rsidRDefault="009260DE" w:rsidP="009260DE">
      <w:pPr>
        <w:tabs>
          <w:tab w:val="left" w:pos="851"/>
        </w:tabs>
        <w:ind w:left="851" w:hanging="851"/>
        <w:rPr>
          <w:b/>
          <w:sz w:val="24"/>
          <w:szCs w:val="24"/>
        </w:rPr>
      </w:pPr>
      <w:r w:rsidRPr="002126A3">
        <w:rPr>
          <w:b/>
          <w:sz w:val="24"/>
          <w:szCs w:val="24"/>
        </w:rPr>
        <w:t>6.</w:t>
      </w:r>
      <w:r w:rsidRPr="002126A3">
        <w:rPr>
          <w:b/>
          <w:sz w:val="24"/>
          <w:szCs w:val="24"/>
        </w:rPr>
        <w:tab/>
        <w:t>FARMACEUTISKE OPLYSNINGER</w:t>
      </w:r>
    </w:p>
    <w:p w14:paraId="4A9DD52C" w14:textId="77777777" w:rsidR="009260DE" w:rsidRPr="002126A3" w:rsidRDefault="009260DE" w:rsidP="009260DE">
      <w:pPr>
        <w:tabs>
          <w:tab w:val="left" w:pos="851"/>
        </w:tabs>
        <w:ind w:left="851"/>
        <w:rPr>
          <w:sz w:val="24"/>
          <w:szCs w:val="24"/>
        </w:rPr>
      </w:pPr>
    </w:p>
    <w:p w14:paraId="2407D0F4" w14:textId="77777777" w:rsidR="009260DE" w:rsidRPr="002126A3" w:rsidRDefault="009260DE" w:rsidP="009260DE">
      <w:pPr>
        <w:tabs>
          <w:tab w:val="left" w:pos="851"/>
        </w:tabs>
        <w:ind w:left="851" w:hanging="851"/>
        <w:rPr>
          <w:b/>
          <w:sz w:val="24"/>
          <w:szCs w:val="24"/>
        </w:rPr>
      </w:pPr>
      <w:r w:rsidRPr="002126A3">
        <w:rPr>
          <w:b/>
          <w:sz w:val="24"/>
          <w:szCs w:val="24"/>
        </w:rPr>
        <w:t>6.1</w:t>
      </w:r>
      <w:r w:rsidRPr="002126A3">
        <w:rPr>
          <w:b/>
          <w:sz w:val="24"/>
          <w:szCs w:val="24"/>
        </w:rPr>
        <w:tab/>
        <w:t>Hjælpestoffer</w:t>
      </w:r>
    </w:p>
    <w:p w14:paraId="2B038AD9" w14:textId="77777777" w:rsidR="0031683A" w:rsidRPr="002126A3" w:rsidRDefault="0031683A" w:rsidP="00384045">
      <w:pPr>
        <w:ind w:left="851"/>
        <w:rPr>
          <w:sz w:val="24"/>
          <w:szCs w:val="24"/>
        </w:rPr>
      </w:pPr>
      <w:r w:rsidRPr="002126A3">
        <w:rPr>
          <w:sz w:val="24"/>
          <w:szCs w:val="24"/>
        </w:rPr>
        <w:t>Saltsyre (E507) (til pH-justering)</w:t>
      </w:r>
    </w:p>
    <w:p w14:paraId="41F27701" w14:textId="77777777" w:rsidR="0031683A" w:rsidRPr="002126A3" w:rsidRDefault="0031683A" w:rsidP="00384045">
      <w:pPr>
        <w:ind w:left="851"/>
        <w:rPr>
          <w:sz w:val="24"/>
          <w:szCs w:val="24"/>
        </w:rPr>
      </w:pPr>
      <w:r w:rsidRPr="002126A3">
        <w:rPr>
          <w:sz w:val="24"/>
          <w:szCs w:val="24"/>
        </w:rPr>
        <w:t>Vand til injektionsvæsker</w:t>
      </w:r>
    </w:p>
    <w:p w14:paraId="0C2B8447" w14:textId="77777777" w:rsidR="009260DE" w:rsidRPr="002126A3" w:rsidRDefault="009260DE" w:rsidP="009260DE">
      <w:pPr>
        <w:tabs>
          <w:tab w:val="left" w:pos="851"/>
        </w:tabs>
        <w:ind w:left="851"/>
        <w:rPr>
          <w:sz w:val="24"/>
          <w:szCs w:val="24"/>
        </w:rPr>
      </w:pPr>
    </w:p>
    <w:p w14:paraId="7C7E5CA6" w14:textId="77777777" w:rsidR="009260DE" w:rsidRPr="002126A3" w:rsidRDefault="009260DE" w:rsidP="009260DE">
      <w:pPr>
        <w:tabs>
          <w:tab w:val="left" w:pos="851"/>
        </w:tabs>
        <w:ind w:left="851" w:hanging="851"/>
        <w:rPr>
          <w:b/>
          <w:sz w:val="24"/>
          <w:szCs w:val="24"/>
        </w:rPr>
      </w:pPr>
      <w:r w:rsidRPr="002126A3">
        <w:rPr>
          <w:b/>
          <w:sz w:val="24"/>
          <w:szCs w:val="24"/>
        </w:rPr>
        <w:t>6.2</w:t>
      </w:r>
      <w:r w:rsidRPr="002126A3">
        <w:rPr>
          <w:b/>
          <w:sz w:val="24"/>
          <w:szCs w:val="24"/>
        </w:rPr>
        <w:tab/>
        <w:t>Uforligeligheder</w:t>
      </w:r>
    </w:p>
    <w:p w14:paraId="2D923BBF" w14:textId="77777777" w:rsidR="0031683A" w:rsidRPr="002126A3" w:rsidRDefault="0031683A" w:rsidP="00384045">
      <w:pPr>
        <w:widowControl w:val="0"/>
        <w:ind w:left="851"/>
        <w:rPr>
          <w:sz w:val="24"/>
          <w:szCs w:val="24"/>
        </w:rPr>
      </w:pPr>
      <w:proofErr w:type="spellStart"/>
      <w:r w:rsidRPr="002126A3">
        <w:rPr>
          <w:sz w:val="24"/>
          <w:szCs w:val="24"/>
        </w:rPr>
        <w:t>Virafosc</w:t>
      </w:r>
      <w:proofErr w:type="spellEnd"/>
      <w:r w:rsidRPr="002126A3">
        <w:rPr>
          <w:sz w:val="24"/>
          <w:szCs w:val="24"/>
        </w:rPr>
        <w:t xml:space="preserve"> er </w:t>
      </w:r>
      <w:r w:rsidRPr="002126A3">
        <w:rPr>
          <w:sz w:val="24"/>
          <w:szCs w:val="24"/>
          <w:u w:val="single"/>
        </w:rPr>
        <w:t>ikke kompatibel</w:t>
      </w:r>
      <w:r w:rsidRPr="002126A3">
        <w:rPr>
          <w:sz w:val="24"/>
          <w:szCs w:val="24"/>
        </w:rPr>
        <w:t xml:space="preserve"> med: </w:t>
      </w:r>
      <w:proofErr w:type="spellStart"/>
      <w:r w:rsidRPr="002126A3">
        <w:rPr>
          <w:sz w:val="24"/>
          <w:szCs w:val="24"/>
        </w:rPr>
        <w:t>glucose</w:t>
      </w:r>
      <w:proofErr w:type="spellEnd"/>
      <w:r w:rsidRPr="002126A3">
        <w:rPr>
          <w:sz w:val="24"/>
          <w:szCs w:val="24"/>
        </w:rPr>
        <w:t xml:space="preserve"> 30 % opløsning, Ringer-acetat, </w:t>
      </w:r>
      <w:proofErr w:type="spellStart"/>
      <w:r w:rsidRPr="002126A3">
        <w:rPr>
          <w:sz w:val="24"/>
          <w:szCs w:val="24"/>
        </w:rPr>
        <w:t>amfotericin</w:t>
      </w:r>
      <w:proofErr w:type="spellEnd"/>
      <w:r w:rsidRPr="002126A3">
        <w:rPr>
          <w:sz w:val="24"/>
          <w:szCs w:val="24"/>
        </w:rPr>
        <w:t xml:space="preserve"> B, </w:t>
      </w:r>
      <w:proofErr w:type="spellStart"/>
      <w:r w:rsidRPr="002126A3">
        <w:rPr>
          <w:sz w:val="24"/>
          <w:szCs w:val="24"/>
        </w:rPr>
        <w:t>aciclovir</w:t>
      </w:r>
      <w:proofErr w:type="spellEnd"/>
      <w:r w:rsidRPr="002126A3">
        <w:rPr>
          <w:sz w:val="24"/>
          <w:szCs w:val="24"/>
        </w:rPr>
        <w:t xml:space="preserve">, </w:t>
      </w:r>
      <w:proofErr w:type="spellStart"/>
      <w:r w:rsidRPr="002126A3">
        <w:rPr>
          <w:sz w:val="24"/>
          <w:szCs w:val="24"/>
        </w:rPr>
        <w:t>ganciclovir</w:t>
      </w:r>
      <w:proofErr w:type="spellEnd"/>
      <w:r w:rsidRPr="002126A3">
        <w:rPr>
          <w:sz w:val="24"/>
          <w:szCs w:val="24"/>
        </w:rPr>
        <w:t xml:space="preserve">, </w:t>
      </w:r>
      <w:proofErr w:type="spellStart"/>
      <w:r w:rsidRPr="002126A3">
        <w:rPr>
          <w:sz w:val="24"/>
          <w:szCs w:val="24"/>
        </w:rPr>
        <w:t>pentamidin</w:t>
      </w:r>
      <w:proofErr w:type="spellEnd"/>
      <w:r w:rsidRPr="002126A3">
        <w:rPr>
          <w:sz w:val="24"/>
          <w:szCs w:val="24"/>
        </w:rPr>
        <w:t xml:space="preserve">, </w:t>
      </w:r>
      <w:proofErr w:type="spellStart"/>
      <w:r w:rsidRPr="002126A3">
        <w:rPr>
          <w:sz w:val="24"/>
          <w:szCs w:val="24"/>
        </w:rPr>
        <w:t>trimethoprim</w:t>
      </w:r>
      <w:proofErr w:type="spellEnd"/>
      <w:r w:rsidRPr="002126A3">
        <w:rPr>
          <w:sz w:val="24"/>
          <w:szCs w:val="24"/>
        </w:rPr>
        <w:t>/</w:t>
      </w:r>
      <w:proofErr w:type="spellStart"/>
      <w:r w:rsidRPr="002126A3">
        <w:rPr>
          <w:sz w:val="24"/>
          <w:szCs w:val="24"/>
        </w:rPr>
        <w:t>sulfamethoxazol</w:t>
      </w:r>
      <w:proofErr w:type="spellEnd"/>
      <w:r w:rsidRPr="002126A3">
        <w:rPr>
          <w:sz w:val="24"/>
          <w:szCs w:val="24"/>
        </w:rPr>
        <w:t xml:space="preserve">, </w:t>
      </w:r>
      <w:proofErr w:type="spellStart"/>
      <w:r w:rsidRPr="002126A3">
        <w:rPr>
          <w:sz w:val="24"/>
          <w:szCs w:val="24"/>
        </w:rPr>
        <w:t>vancomycinhydrochlorid</w:t>
      </w:r>
      <w:proofErr w:type="spellEnd"/>
      <w:r w:rsidRPr="002126A3">
        <w:rPr>
          <w:sz w:val="24"/>
          <w:szCs w:val="24"/>
        </w:rPr>
        <w:t xml:space="preserve"> eller opløsninger med calcium. Det anbefales, at </w:t>
      </w:r>
      <w:proofErr w:type="spellStart"/>
      <w:r w:rsidRPr="002126A3">
        <w:rPr>
          <w:sz w:val="24"/>
          <w:szCs w:val="24"/>
        </w:rPr>
        <w:t>Virafosc</w:t>
      </w:r>
      <w:proofErr w:type="spellEnd"/>
      <w:r w:rsidRPr="002126A3">
        <w:rPr>
          <w:sz w:val="24"/>
          <w:szCs w:val="24"/>
        </w:rPr>
        <w:t xml:space="preserve"> ikke </w:t>
      </w:r>
      <w:proofErr w:type="spellStart"/>
      <w:r w:rsidRPr="002126A3">
        <w:rPr>
          <w:sz w:val="24"/>
          <w:szCs w:val="24"/>
        </w:rPr>
        <w:t>infunderes</w:t>
      </w:r>
      <w:proofErr w:type="spellEnd"/>
      <w:r w:rsidRPr="002126A3">
        <w:rPr>
          <w:sz w:val="24"/>
          <w:szCs w:val="24"/>
        </w:rPr>
        <w:t xml:space="preserve"> samtidig med andre lægemidler i samme linje.</w:t>
      </w:r>
    </w:p>
    <w:p w14:paraId="5E0AE334" w14:textId="77777777" w:rsidR="0031683A" w:rsidRPr="002126A3" w:rsidRDefault="0031683A" w:rsidP="00384045">
      <w:pPr>
        <w:ind w:left="851"/>
        <w:rPr>
          <w:sz w:val="24"/>
          <w:szCs w:val="24"/>
        </w:rPr>
      </w:pPr>
    </w:p>
    <w:p w14:paraId="62BB3368" w14:textId="77777777" w:rsidR="0031683A" w:rsidRPr="002126A3" w:rsidRDefault="0031683A" w:rsidP="00384045">
      <w:pPr>
        <w:ind w:left="851"/>
        <w:rPr>
          <w:sz w:val="24"/>
          <w:szCs w:val="24"/>
        </w:rPr>
      </w:pPr>
      <w:proofErr w:type="spellStart"/>
      <w:r w:rsidRPr="002126A3">
        <w:rPr>
          <w:sz w:val="24"/>
          <w:szCs w:val="24"/>
        </w:rPr>
        <w:t>Virafosc</w:t>
      </w:r>
      <w:proofErr w:type="spellEnd"/>
      <w:r w:rsidRPr="002126A3">
        <w:rPr>
          <w:sz w:val="24"/>
          <w:szCs w:val="24"/>
        </w:rPr>
        <w:t xml:space="preserve"> er </w:t>
      </w:r>
      <w:r w:rsidRPr="002126A3">
        <w:rPr>
          <w:sz w:val="24"/>
          <w:szCs w:val="24"/>
          <w:u w:val="single"/>
        </w:rPr>
        <w:t>kompatibel</w:t>
      </w:r>
      <w:r w:rsidRPr="002126A3">
        <w:rPr>
          <w:sz w:val="24"/>
          <w:szCs w:val="24"/>
        </w:rPr>
        <w:t xml:space="preserve"> med: </w:t>
      </w:r>
      <w:proofErr w:type="spellStart"/>
      <w:r w:rsidRPr="002126A3">
        <w:rPr>
          <w:sz w:val="24"/>
          <w:szCs w:val="24"/>
        </w:rPr>
        <w:t>natriumchlorid</w:t>
      </w:r>
      <w:proofErr w:type="spellEnd"/>
      <w:r w:rsidRPr="002126A3">
        <w:rPr>
          <w:sz w:val="24"/>
          <w:szCs w:val="24"/>
        </w:rPr>
        <w:t xml:space="preserve"> 0,9 %, glukose 5 % og glukose 10 %.</w:t>
      </w:r>
    </w:p>
    <w:p w14:paraId="43DA8DD5" w14:textId="77777777" w:rsidR="009260DE" w:rsidRPr="002126A3" w:rsidRDefault="009260DE" w:rsidP="009260DE">
      <w:pPr>
        <w:tabs>
          <w:tab w:val="left" w:pos="851"/>
        </w:tabs>
        <w:ind w:left="851"/>
        <w:rPr>
          <w:sz w:val="24"/>
          <w:szCs w:val="24"/>
        </w:rPr>
      </w:pPr>
    </w:p>
    <w:p w14:paraId="32800ABB" w14:textId="77777777" w:rsidR="009260DE" w:rsidRPr="002126A3" w:rsidRDefault="009260DE" w:rsidP="009260DE">
      <w:pPr>
        <w:tabs>
          <w:tab w:val="left" w:pos="851"/>
        </w:tabs>
        <w:ind w:left="851" w:hanging="851"/>
        <w:rPr>
          <w:b/>
          <w:sz w:val="24"/>
          <w:szCs w:val="24"/>
        </w:rPr>
      </w:pPr>
      <w:r w:rsidRPr="002126A3">
        <w:rPr>
          <w:b/>
          <w:sz w:val="24"/>
          <w:szCs w:val="24"/>
        </w:rPr>
        <w:t>6.3</w:t>
      </w:r>
      <w:r w:rsidRPr="002126A3">
        <w:rPr>
          <w:b/>
          <w:sz w:val="24"/>
          <w:szCs w:val="24"/>
        </w:rPr>
        <w:tab/>
        <w:t>Opbevaringstid</w:t>
      </w:r>
    </w:p>
    <w:p w14:paraId="615E66A2" w14:textId="24AC3641" w:rsidR="0031683A" w:rsidRPr="002126A3" w:rsidRDefault="0031683A" w:rsidP="00384045">
      <w:pPr>
        <w:ind w:left="851"/>
        <w:rPr>
          <w:sz w:val="24"/>
          <w:szCs w:val="24"/>
        </w:rPr>
      </w:pPr>
      <w:r w:rsidRPr="002126A3">
        <w:rPr>
          <w:sz w:val="24"/>
          <w:szCs w:val="24"/>
        </w:rPr>
        <w:t>Uåbnet: 2 år.</w:t>
      </w:r>
    </w:p>
    <w:p w14:paraId="7D944278" w14:textId="77777777" w:rsidR="0031683A" w:rsidRPr="002126A3" w:rsidRDefault="0031683A" w:rsidP="00384045">
      <w:pPr>
        <w:ind w:left="851"/>
        <w:rPr>
          <w:sz w:val="24"/>
          <w:szCs w:val="24"/>
        </w:rPr>
      </w:pPr>
    </w:p>
    <w:p w14:paraId="3BC6EBD5" w14:textId="26E25926" w:rsidR="0031683A" w:rsidRPr="002126A3" w:rsidRDefault="0031683A" w:rsidP="00384045">
      <w:pPr>
        <w:ind w:left="851"/>
        <w:rPr>
          <w:sz w:val="24"/>
          <w:szCs w:val="24"/>
        </w:rPr>
      </w:pPr>
      <w:r w:rsidRPr="002126A3">
        <w:rPr>
          <w:sz w:val="24"/>
          <w:szCs w:val="24"/>
        </w:rPr>
        <w:t>Efter anbrud: Når flaskens sterilitetsforsegling er blevet brudt, skal opløsningen bruges inden for 24 timer ud fra et mikrobiologisk synspunkt. Anvendelse af andre opbevaringstider og -betingelser før brug er på brugerens eget ansvar og må sædvanligvis ikke overstige 24 timer ved 2 til 8</w:t>
      </w:r>
      <w:r w:rsidR="00323D7E">
        <w:rPr>
          <w:sz w:val="24"/>
          <w:szCs w:val="24"/>
        </w:rPr>
        <w:t xml:space="preserve"> </w:t>
      </w:r>
      <w:r w:rsidRPr="002126A3">
        <w:rPr>
          <w:sz w:val="24"/>
          <w:szCs w:val="24"/>
        </w:rPr>
        <w:t>°C.</w:t>
      </w:r>
    </w:p>
    <w:p w14:paraId="2EB99296" w14:textId="77777777" w:rsidR="009260DE" w:rsidRPr="002126A3" w:rsidRDefault="009260DE" w:rsidP="009260DE">
      <w:pPr>
        <w:tabs>
          <w:tab w:val="left" w:pos="851"/>
        </w:tabs>
        <w:ind w:left="851"/>
        <w:rPr>
          <w:sz w:val="24"/>
          <w:szCs w:val="24"/>
        </w:rPr>
      </w:pPr>
    </w:p>
    <w:p w14:paraId="2039448F" w14:textId="77777777" w:rsidR="009260DE" w:rsidRPr="002126A3" w:rsidRDefault="009260DE" w:rsidP="009260DE">
      <w:pPr>
        <w:tabs>
          <w:tab w:val="left" w:pos="851"/>
        </w:tabs>
        <w:ind w:left="851" w:hanging="851"/>
        <w:rPr>
          <w:b/>
          <w:sz w:val="24"/>
          <w:szCs w:val="24"/>
        </w:rPr>
      </w:pPr>
      <w:r w:rsidRPr="002126A3">
        <w:rPr>
          <w:b/>
          <w:sz w:val="24"/>
          <w:szCs w:val="24"/>
        </w:rPr>
        <w:t>6.4</w:t>
      </w:r>
      <w:r w:rsidRPr="002126A3">
        <w:rPr>
          <w:b/>
          <w:sz w:val="24"/>
          <w:szCs w:val="24"/>
        </w:rPr>
        <w:tab/>
        <w:t>Særlige opbevaringsforhold</w:t>
      </w:r>
    </w:p>
    <w:p w14:paraId="53E6EA7A" w14:textId="5482DAA6" w:rsidR="0031683A" w:rsidRPr="002126A3" w:rsidRDefault="0031683A" w:rsidP="00384045">
      <w:pPr>
        <w:ind w:left="851"/>
        <w:rPr>
          <w:sz w:val="24"/>
          <w:szCs w:val="24"/>
        </w:rPr>
      </w:pPr>
      <w:r w:rsidRPr="002126A3">
        <w:rPr>
          <w:sz w:val="24"/>
          <w:szCs w:val="24"/>
        </w:rPr>
        <w:t>Opbevares ved temperaturer under 25</w:t>
      </w:r>
      <w:r w:rsidR="00323D7E">
        <w:rPr>
          <w:sz w:val="24"/>
          <w:szCs w:val="24"/>
        </w:rPr>
        <w:t xml:space="preserve"> </w:t>
      </w:r>
      <w:r w:rsidRPr="002126A3">
        <w:rPr>
          <w:sz w:val="24"/>
          <w:szCs w:val="24"/>
        </w:rPr>
        <w:t>°C. Må ikke opbevares i køleskab eller nedfryses.</w:t>
      </w:r>
    </w:p>
    <w:p w14:paraId="5CBE243C" w14:textId="77777777" w:rsidR="0031683A" w:rsidRPr="002126A3" w:rsidRDefault="0031683A" w:rsidP="00384045">
      <w:pPr>
        <w:ind w:left="851"/>
        <w:rPr>
          <w:sz w:val="24"/>
          <w:szCs w:val="24"/>
        </w:rPr>
      </w:pPr>
    </w:p>
    <w:p w14:paraId="0580EA71" w14:textId="77777777" w:rsidR="0031683A" w:rsidRPr="002126A3" w:rsidRDefault="0031683A" w:rsidP="00384045">
      <w:pPr>
        <w:ind w:left="851"/>
        <w:rPr>
          <w:sz w:val="24"/>
          <w:szCs w:val="24"/>
        </w:rPr>
      </w:pPr>
      <w:r w:rsidRPr="002126A3">
        <w:rPr>
          <w:sz w:val="24"/>
          <w:szCs w:val="24"/>
        </w:rPr>
        <w:t>Ved opbevaring i køleskab eller udsættelse for temperaturer under frysepunktet, kan der forekomme udfældning. Ved opbevaring af flasken ved stuetemperatur med gentagen omrystning kan udfældningen blandes ind i opløsning igen.</w:t>
      </w:r>
    </w:p>
    <w:p w14:paraId="3DAE9FF5" w14:textId="77777777" w:rsidR="0031683A" w:rsidRPr="002126A3" w:rsidRDefault="0031683A" w:rsidP="00384045">
      <w:pPr>
        <w:ind w:left="851"/>
        <w:rPr>
          <w:sz w:val="24"/>
          <w:szCs w:val="24"/>
        </w:rPr>
      </w:pPr>
    </w:p>
    <w:p w14:paraId="6F3B489A" w14:textId="77777777" w:rsidR="0031683A" w:rsidRPr="002126A3" w:rsidRDefault="0031683A" w:rsidP="00384045">
      <w:pPr>
        <w:ind w:left="851"/>
        <w:rPr>
          <w:sz w:val="24"/>
          <w:szCs w:val="24"/>
        </w:rPr>
      </w:pPr>
      <w:r w:rsidRPr="002126A3">
        <w:rPr>
          <w:sz w:val="24"/>
          <w:szCs w:val="24"/>
        </w:rPr>
        <w:t xml:space="preserve">Opbevaringsforhold efter fortynding og/eller anbrud af lægemidlet, se </w:t>
      </w:r>
      <w:r w:rsidRPr="002126A3">
        <w:rPr>
          <w:noProof/>
          <w:sz w:val="24"/>
          <w:szCs w:val="24"/>
        </w:rPr>
        <w:t>pkt.</w:t>
      </w:r>
      <w:r w:rsidRPr="002126A3">
        <w:rPr>
          <w:sz w:val="24"/>
          <w:szCs w:val="24"/>
        </w:rPr>
        <w:t xml:space="preserve"> 6.3 og 6.6.</w:t>
      </w:r>
    </w:p>
    <w:p w14:paraId="59511439" w14:textId="77777777" w:rsidR="009260DE" w:rsidRPr="002126A3" w:rsidRDefault="009260DE" w:rsidP="009260DE">
      <w:pPr>
        <w:tabs>
          <w:tab w:val="left" w:pos="851"/>
        </w:tabs>
        <w:ind w:left="851"/>
        <w:rPr>
          <w:sz w:val="24"/>
          <w:szCs w:val="24"/>
        </w:rPr>
      </w:pPr>
    </w:p>
    <w:p w14:paraId="1681B583" w14:textId="77777777" w:rsidR="009260DE" w:rsidRPr="002126A3" w:rsidRDefault="009260DE" w:rsidP="009260DE">
      <w:pPr>
        <w:tabs>
          <w:tab w:val="left" w:pos="851"/>
        </w:tabs>
        <w:ind w:left="851" w:hanging="851"/>
        <w:rPr>
          <w:b/>
          <w:sz w:val="24"/>
          <w:szCs w:val="24"/>
        </w:rPr>
      </w:pPr>
      <w:r w:rsidRPr="002126A3">
        <w:rPr>
          <w:b/>
          <w:sz w:val="24"/>
          <w:szCs w:val="24"/>
        </w:rPr>
        <w:t>6.5</w:t>
      </w:r>
      <w:r w:rsidRPr="002126A3">
        <w:rPr>
          <w:b/>
          <w:sz w:val="24"/>
          <w:szCs w:val="24"/>
        </w:rPr>
        <w:tab/>
        <w:t>Emballagetype og pakningsstørrelser</w:t>
      </w:r>
    </w:p>
    <w:p w14:paraId="517E63A9" w14:textId="77777777" w:rsidR="0031683A" w:rsidRPr="002126A3" w:rsidRDefault="0031683A" w:rsidP="00384045">
      <w:pPr>
        <w:ind w:left="851"/>
        <w:rPr>
          <w:sz w:val="24"/>
          <w:szCs w:val="24"/>
        </w:rPr>
      </w:pPr>
      <w:r w:rsidRPr="002126A3">
        <w:rPr>
          <w:sz w:val="24"/>
          <w:szCs w:val="24"/>
        </w:rPr>
        <w:t>Pakning med 1 glasflaske á 250 ml.</w:t>
      </w:r>
    </w:p>
    <w:p w14:paraId="3D1ACDE2" w14:textId="3B0AF5F6" w:rsidR="00323D7E" w:rsidRDefault="00323D7E">
      <w:pPr>
        <w:rPr>
          <w:sz w:val="24"/>
          <w:szCs w:val="24"/>
        </w:rPr>
      </w:pPr>
      <w:r>
        <w:rPr>
          <w:sz w:val="24"/>
          <w:szCs w:val="24"/>
        </w:rPr>
        <w:br w:type="page"/>
      </w:r>
    </w:p>
    <w:p w14:paraId="2E8AA82C" w14:textId="77777777" w:rsidR="009260DE" w:rsidRPr="002126A3" w:rsidRDefault="009260DE" w:rsidP="009260DE">
      <w:pPr>
        <w:tabs>
          <w:tab w:val="left" w:pos="851"/>
        </w:tabs>
        <w:ind w:left="851"/>
        <w:rPr>
          <w:sz w:val="24"/>
          <w:szCs w:val="24"/>
        </w:rPr>
      </w:pPr>
    </w:p>
    <w:p w14:paraId="4859196A" w14:textId="77777777" w:rsidR="009260DE" w:rsidRPr="002126A3" w:rsidRDefault="009260DE" w:rsidP="009260DE">
      <w:pPr>
        <w:tabs>
          <w:tab w:val="left" w:pos="851"/>
        </w:tabs>
        <w:ind w:left="851" w:hanging="851"/>
        <w:rPr>
          <w:b/>
          <w:sz w:val="24"/>
          <w:szCs w:val="24"/>
        </w:rPr>
      </w:pPr>
      <w:r w:rsidRPr="002126A3">
        <w:rPr>
          <w:b/>
          <w:sz w:val="24"/>
          <w:szCs w:val="24"/>
        </w:rPr>
        <w:t>6.6</w:t>
      </w:r>
      <w:r w:rsidRPr="002126A3">
        <w:rPr>
          <w:b/>
          <w:sz w:val="24"/>
          <w:szCs w:val="24"/>
        </w:rPr>
        <w:tab/>
        <w:t xml:space="preserve">Regler for </w:t>
      </w:r>
      <w:r w:rsidR="00BD7931" w:rsidRPr="002126A3">
        <w:rPr>
          <w:b/>
          <w:sz w:val="24"/>
          <w:szCs w:val="24"/>
        </w:rPr>
        <w:t>bortskaffelse</w:t>
      </w:r>
      <w:r w:rsidRPr="002126A3">
        <w:rPr>
          <w:b/>
          <w:sz w:val="24"/>
          <w:szCs w:val="24"/>
        </w:rPr>
        <w:t xml:space="preserve"> og anden håndtering</w:t>
      </w:r>
    </w:p>
    <w:p w14:paraId="0E9A5F41" w14:textId="77777777" w:rsidR="0031683A" w:rsidRPr="002126A3" w:rsidRDefault="0031683A" w:rsidP="00384045">
      <w:pPr>
        <w:ind w:left="851"/>
        <w:rPr>
          <w:sz w:val="24"/>
          <w:szCs w:val="24"/>
        </w:rPr>
      </w:pPr>
      <w:r w:rsidRPr="002126A3">
        <w:rPr>
          <w:sz w:val="24"/>
          <w:szCs w:val="24"/>
        </w:rPr>
        <w:t xml:space="preserve">Individuelt tilberedte doser af </w:t>
      </w:r>
      <w:proofErr w:type="spellStart"/>
      <w:r w:rsidRPr="002126A3">
        <w:rPr>
          <w:sz w:val="24"/>
          <w:szCs w:val="24"/>
        </w:rPr>
        <w:t>foscarnet</w:t>
      </w:r>
      <w:proofErr w:type="spellEnd"/>
      <w:r w:rsidRPr="002126A3">
        <w:rPr>
          <w:sz w:val="24"/>
          <w:szCs w:val="24"/>
        </w:rPr>
        <w:t xml:space="preserve"> kan overføres aseptisk til plastikinfusionsposer. Den fysisk-kemiske stabilitet af </w:t>
      </w:r>
      <w:proofErr w:type="spellStart"/>
      <w:r w:rsidRPr="002126A3">
        <w:rPr>
          <w:sz w:val="24"/>
          <w:szCs w:val="24"/>
        </w:rPr>
        <w:t>foscarnet</w:t>
      </w:r>
      <w:proofErr w:type="spellEnd"/>
      <w:r w:rsidRPr="002126A3">
        <w:rPr>
          <w:sz w:val="24"/>
          <w:szCs w:val="24"/>
        </w:rPr>
        <w:t xml:space="preserve"> og dets fortyndinger i lige dele fysiologisk saltvand eller 5 % </w:t>
      </w:r>
      <w:proofErr w:type="spellStart"/>
      <w:r w:rsidRPr="002126A3">
        <w:rPr>
          <w:sz w:val="24"/>
          <w:szCs w:val="24"/>
        </w:rPr>
        <w:t>glucose</w:t>
      </w:r>
      <w:proofErr w:type="spellEnd"/>
      <w:r w:rsidRPr="002126A3">
        <w:rPr>
          <w:sz w:val="24"/>
          <w:szCs w:val="24"/>
        </w:rPr>
        <w:t xml:space="preserve"> i PVC-poser er 7 dage. Fortyndede opløsninger skal dog opbevares i køleskab og opbevaringen skal begrænses til 24 timer.</w:t>
      </w:r>
    </w:p>
    <w:p w14:paraId="53450206" w14:textId="77777777" w:rsidR="0031683A" w:rsidRPr="002126A3" w:rsidRDefault="0031683A" w:rsidP="00384045">
      <w:pPr>
        <w:ind w:left="851"/>
        <w:rPr>
          <w:sz w:val="24"/>
          <w:szCs w:val="24"/>
        </w:rPr>
      </w:pPr>
    </w:p>
    <w:p w14:paraId="196B8FFA" w14:textId="77777777" w:rsidR="0031683A" w:rsidRPr="001F47FA" w:rsidRDefault="0031683A" w:rsidP="00384045">
      <w:pPr>
        <w:ind w:left="851"/>
        <w:rPr>
          <w:sz w:val="24"/>
          <w:szCs w:val="24"/>
        </w:rPr>
      </w:pPr>
      <w:r w:rsidRPr="002126A3">
        <w:rPr>
          <w:sz w:val="24"/>
          <w:szCs w:val="24"/>
        </w:rPr>
        <w:t xml:space="preserve">Utilsigtet hud- og øjenkontakt med </w:t>
      </w:r>
      <w:proofErr w:type="spellStart"/>
      <w:r w:rsidRPr="002126A3">
        <w:rPr>
          <w:sz w:val="24"/>
          <w:szCs w:val="24"/>
        </w:rPr>
        <w:t>foscarnet</w:t>
      </w:r>
      <w:proofErr w:type="spellEnd"/>
      <w:r w:rsidRPr="002126A3">
        <w:rPr>
          <w:sz w:val="24"/>
          <w:szCs w:val="24"/>
        </w:rPr>
        <w:t xml:space="preserve"> kan forårsage lokal irritation og en brændende fornemmelse. Hvis der opstår utilsigtet kontakt, skal det udsatte område skylles med vand.</w:t>
      </w:r>
    </w:p>
    <w:p w14:paraId="4E7F1D98" w14:textId="77777777" w:rsidR="0031683A" w:rsidRPr="001F47FA" w:rsidRDefault="0031683A" w:rsidP="00384045">
      <w:pPr>
        <w:ind w:left="851"/>
        <w:rPr>
          <w:sz w:val="24"/>
          <w:szCs w:val="24"/>
        </w:rPr>
      </w:pPr>
    </w:p>
    <w:p w14:paraId="1D30C7D5" w14:textId="23211A07" w:rsidR="009260DE" w:rsidRPr="002126A3" w:rsidRDefault="0031683A" w:rsidP="001F47FA">
      <w:pPr>
        <w:ind w:left="851"/>
        <w:rPr>
          <w:sz w:val="24"/>
          <w:szCs w:val="24"/>
        </w:rPr>
      </w:pPr>
      <w:r w:rsidRPr="002126A3">
        <w:rPr>
          <w:sz w:val="24"/>
          <w:szCs w:val="24"/>
        </w:rPr>
        <w:t>Ikke anvendt lægemiddel samt affald heraf skal bortskaffes i henhold til lokale retningslinjer.</w:t>
      </w:r>
    </w:p>
    <w:p w14:paraId="736F056D" w14:textId="77777777" w:rsidR="009260DE" w:rsidRPr="002126A3" w:rsidRDefault="009260DE" w:rsidP="000730CA">
      <w:pPr>
        <w:tabs>
          <w:tab w:val="left" w:pos="851"/>
        </w:tabs>
        <w:ind w:left="851"/>
        <w:rPr>
          <w:sz w:val="24"/>
          <w:szCs w:val="24"/>
        </w:rPr>
      </w:pPr>
    </w:p>
    <w:p w14:paraId="053018A4" w14:textId="77777777" w:rsidR="009260DE" w:rsidRPr="002126A3" w:rsidRDefault="009260DE" w:rsidP="009260DE">
      <w:pPr>
        <w:tabs>
          <w:tab w:val="left" w:pos="851"/>
        </w:tabs>
        <w:ind w:left="851" w:hanging="851"/>
        <w:rPr>
          <w:b/>
          <w:sz w:val="24"/>
          <w:szCs w:val="24"/>
        </w:rPr>
      </w:pPr>
      <w:r w:rsidRPr="002126A3">
        <w:rPr>
          <w:b/>
          <w:sz w:val="24"/>
          <w:szCs w:val="24"/>
        </w:rPr>
        <w:t>7.</w:t>
      </w:r>
      <w:r w:rsidRPr="002126A3">
        <w:rPr>
          <w:b/>
          <w:sz w:val="24"/>
          <w:szCs w:val="24"/>
        </w:rPr>
        <w:tab/>
        <w:t>INDEHAVER AF MARKEDSFØRINGSTILLADELSEN</w:t>
      </w:r>
    </w:p>
    <w:p w14:paraId="6ABFBDB2" w14:textId="77777777" w:rsidR="0031683A" w:rsidRPr="002126A3" w:rsidRDefault="0031683A" w:rsidP="00384045">
      <w:pPr>
        <w:ind w:left="851"/>
        <w:rPr>
          <w:sz w:val="24"/>
          <w:szCs w:val="24"/>
        </w:rPr>
      </w:pPr>
      <w:proofErr w:type="spellStart"/>
      <w:r w:rsidRPr="002126A3">
        <w:rPr>
          <w:sz w:val="24"/>
          <w:szCs w:val="24"/>
        </w:rPr>
        <w:t>CampusPharma</w:t>
      </w:r>
      <w:proofErr w:type="spellEnd"/>
      <w:r w:rsidRPr="002126A3">
        <w:rPr>
          <w:sz w:val="24"/>
          <w:szCs w:val="24"/>
        </w:rPr>
        <w:t xml:space="preserve"> AB</w:t>
      </w:r>
    </w:p>
    <w:p w14:paraId="58DD4981" w14:textId="77777777" w:rsidR="0031683A" w:rsidRPr="002126A3" w:rsidRDefault="0031683A" w:rsidP="00384045">
      <w:pPr>
        <w:ind w:left="851"/>
        <w:rPr>
          <w:sz w:val="24"/>
          <w:szCs w:val="24"/>
        </w:rPr>
      </w:pPr>
      <w:r w:rsidRPr="002126A3">
        <w:rPr>
          <w:sz w:val="24"/>
          <w:szCs w:val="24"/>
        </w:rPr>
        <w:t xml:space="preserve">Karl </w:t>
      </w:r>
      <w:proofErr w:type="spellStart"/>
      <w:r w:rsidRPr="002126A3">
        <w:rPr>
          <w:sz w:val="24"/>
          <w:szCs w:val="24"/>
        </w:rPr>
        <w:t>Gustavsgatan</w:t>
      </w:r>
      <w:proofErr w:type="spellEnd"/>
      <w:r w:rsidRPr="002126A3">
        <w:rPr>
          <w:sz w:val="24"/>
          <w:szCs w:val="24"/>
        </w:rPr>
        <w:t xml:space="preserve"> 1A</w:t>
      </w:r>
    </w:p>
    <w:p w14:paraId="3C59ACA9" w14:textId="77777777" w:rsidR="0031683A" w:rsidRPr="002126A3" w:rsidRDefault="0031683A" w:rsidP="00384045">
      <w:pPr>
        <w:ind w:left="851"/>
        <w:rPr>
          <w:sz w:val="24"/>
          <w:szCs w:val="24"/>
        </w:rPr>
      </w:pPr>
      <w:r w:rsidRPr="002126A3">
        <w:rPr>
          <w:sz w:val="24"/>
          <w:szCs w:val="24"/>
        </w:rPr>
        <w:t>411 25 Göteborg</w:t>
      </w:r>
    </w:p>
    <w:p w14:paraId="57419E38" w14:textId="77777777" w:rsidR="0031683A" w:rsidRPr="002126A3" w:rsidRDefault="0031683A" w:rsidP="00384045">
      <w:pPr>
        <w:ind w:left="851"/>
        <w:rPr>
          <w:sz w:val="24"/>
          <w:szCs w:val="24"/>
        </w:rPr>
      </w:pPr>
      <w:r w:rsidRPr="002126A3">
        <w:rPr>
          <w:sz w:val="24"/>
          <w:szCs w:val="24"/>
        </w:rPr>
        <w:t>Sverige</w:t>
      </w:r>
    </w:p>
    <w:p w14:paraId="7F44EF3C" w14:textId="77777777" w:rsidR="009260DE" w:rsidRPr="002126A3" w:rsidRDefault="009260DE" w:rsidP="009260DE">
      <w:pPr>
        <w:tabs>
          <w:tab w:val="left" w:pos="851"/>
        </w:tabs>
        <w:ind w:left="851"/>
        <w:rPr>
          <w:sz w:val="24"/>
          <w:szCs w:val="24"/>
        </w:rPr>
      </w:pPr>
    </w:p>
    <w:p w14:paraId="724F74C6" w14:textId="77777777" w:rsidR="009260DE" w:rsidRPr="002126A3" w:rsidRDefault="009260DE" w:rsidP="009260DE">
      <w:pPr>
        <w:tabs>
          <w:tab w:val="left" w:pos="851"/>
        </w:tabs>
        <w:ind w:left="851" w:hanging="851"/>
        <w:rPr>
          <w:b/>
          <w:sz w:val="24"/>
          <w:szCs w:val="24"/>
        </w:rPr>
      </w:pPr>
      <w:r w:rsidRPr="002126A3">
        <w:rPr>
          <w:b/>
          <w:sz w:val="24"/>
          <w:szCs w:val="24"/>
        </w:rPr>
        <w:t>8.</w:t>
      </w:r>
      <w:r w:rsidRPr="002126A3">
        <w:rPr>
          <w:b/>
          <w:sz w:val="24"/>
          <w:szCs w:val="24"/>
        </w:rPr>
        <w:tab/>
        <w:t>MARKEDSFØRINGSTILLADELSESNUMMER (</w:t>
      </w:r>
      <w:r w:rsidR="00BF6243" w:rsidRPr="002126A3">
        <w:rPr>
          <w:b/>
          <w:sz w:val="24"/>
          <w:szCs w:val="24"/>
        </w:rPr>
        <w:t>-</w:t>
      </w:r>
      <w:r w:rsidRPr="002126A3">
        <w:rPr>
          <w:b/>
          <w:sz w:val="24"/>
          <w:szCs w:val="24"/>
        </w:rPr>
        <w:t>NUMRE)</w:t>
      </w:r>
    </w:p>
    <w:p w14:paraId="6D3FC544" w14:textId="5845B63F" w:rsidR="009260DE" w:rsidRPr="002126A3" w:rsidRDefault="0031683A" w:rsidP="009260DE">
      <w:pPr>
        <w:tabs>
          <w:tab w:val="left" w:pos="851"/>
        </w:tabs>
        <w:ind w:left="851"/>
        <w:rPr>
          <w:sz w:val="24"/>
          <w:szCs w:val="24"/>
        </w:rPr>
      </w:pPr>
      <w:r w:rsidRPr="002126A3">
        <w:rPr>
          <w:sz w:val="24"/>
          <w:szCs w:val="24"/>
        </w:rPr>
        <w:t>67268</w:t>
      </w:r>
    </w:p>
    <w:p w14:paraId="427FACED" w14:textId="77777777" w:rsidR="009260DE" w:rsidRPr="002126A3" w:rsidRDefault="009260DE" w:rsidP="009260DE">
      <w:pPr>
        <w:tabs>
          <w:tab w:val="left" w:pos="851"/>
        </w:tabs>
        <w:ind w:left="851"/>
        <w:jc w:val="both"/>
        <w:rPr>
          <w:sz w:val="24"/>
          <w:szCs w:val="24"/>
        </w:rPr>
      </w:pPr>
    </w:p>
    <w:p w14:paraId="3719D73D" w14:textId="77777777" w:rsidR="009260DE" w:rsidRPr="002126A3" w:rsidRDefault="009260DE" w:rsidP="009260DE">
      <w:pPr>
        <w:tabs>
          <w:tab w:val="left" w:pos="851"/>
        </w:tabs>
        <w:ind w:left="851" w:hanging="851"/>
        <w:rPr>
          <w:b/>
          <w:sz w:val="24"/>
          <w:szCs w:val="24"/>
        </w:rPr>
      </w:pPr>
      <w:r w:rsidRPr="002126A3">
        <w:rPr>
          <w:b/>
          <w:sz w:val="24"/>
          <w:szCs w:val="24"/>
        </w:rPr>
        <w:t>9.</w:t>
      </w:r>
      <w:r w:rsidRPr="002126A3">
        <w:rPr>
          <w:b/>
          <w:sz w:val="24"/>
          <w:szCs w:val="24"/>
        </w:rPr>
        <w:tab/>
        <w:t>DATO FOR FØRSTE MARKEDSFØRINGSTILLADELSE</w:t>
      </w:r>
    </w:p>
    <w:p w14:paraId="75632283" w14:textId="36B6597D" w:rsidR="009260DE" w:rsidRPr="002126A3" w:rsidRDefault="00762043" w:rsidP="009260DE">
      <w:pPr>
        <w:tabs>
          <w:tab w:val="left" w:pos="851"/>
        </w:tabs>
        <w:ind w:left="851"/>
        <w:rPr>
          <w:sz w:val="24"/>
          <w:szCs w:val="24"/>
        </w:rPr>
      </w:pPr>
      <w:r>
        <w:rPr>
          <w:sz w:val="24"/>
          <w:szCs w:val="24"/>
        </w:rPr>
        <w:t>9. februar 2023</w:t>
      </w:r>
    </w:p>
    <w:p w14:paraId="772FF63F" w14:textId="77777777" w:rsidR="009260DE" w:rsidRPr="002126A3" w:rsidRDefault="009260DE" w:rsidP="009260DE">
      <w:pPr>
        <w:tabs>
          <w:tab w:val="left" w:pos="851"/>
        </w:tabs>
        <w:ind w:left="851"/>
        <w:rPr>
          <w:sz w:val="24"/>
          <w:szCs w:val="24"/>
        </w:rPr>
      </w:pPr>
    </w:p>
    <w:p w14:paraId="0606B611" w14:textId="77777777" w:rsidR="009260DE" w:rsidRPr="002126A3" w:rsidRDefault="009260DE" w:rsidP="009260DE">
      <w:pPr>
        <w:tabs>
          <w:tab w:val="left" w:pos="851"/>
        </w:tabs>
        <w:ind w:left="851" w:hanging="851"/>
        <w:rPr>
          <w:b/>
          <w:sz w:val="24"/>
          <w:szCs w:val="24"/>
        </w:rPr>
      </w:pPr>
      <w:r w:rsidRPr="002126A3">
        <w:rPr>
          <w:b/>
          <w:sz w:val="24"/>
          <w:szCs w:val="24"/>
        </w:rPr>
        <w:t>10.</w:t>
      </w:r>
      <w:r w:rsidRPr="002126A3">
        <w:rPr>
          <w:b/>
          <w:sz w:val="24"/>
          <w:szCs w:val="24"/>
        </w:rPr>
        <w:tab/>
        <w:t>DATO FOR ÆNDRING AF TEKSTEN</w:t>
      </w:r>
    </w:p>
    <w:p w14:paraId="4A83624C" w14:textId="7AFB3F6A" w:rsidR="009260DE" w:rsidRPr="002126A3" w:rsidRDefault="0031683A" w:rsidP="009260DE">
      <w:pPr>
        <w:tabs>
          <w:tab w:val="left" w:pos="851"/>
        </w:tabs>
        <w:ind w:left="851"/>
        <w:rPr>
          <w:sz w:val="24"/>
          <w:szCs w:val="24"/>
        </w:rPr>
      </w:pPr>
      <w:r w:rsidRPr="002126A3">
        <w:rPr>
          <w:sz w:val="24"/>
          <w:szCs w:val="24"/>
        </w:rPr>
        <w:t>-</w:t>
      </w:r>
    </w:p>
    <w:sectPr w:rsidR="009260DE" w:rsidRPr="002126A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CCBC0" w14:textId="77777777" w:rsidR="002126A3" w:rsidRDefault="002126A3">
      <w:r>
        <w:separator/>
      </w:r>
    </w:p>
  </w:endnote>
  <w:endnote w:type="continuationSeparator" w:id="0">
    <w:p w14:paraId="08AEA0CF" w14:textId="77777777" w:rsidR="002126A3" w:rsidRDefault="0021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AFF93" w14:textId="77777777" w:rsidR="002126A3" w:rsidRDefault="002126A3">
    <w:pPr>
      <w:pStyle w:val="Sidefod"/>
      <w:pBdr>
        <w:bottom w:val="single" w:sz="6" w:space="1" w:color="auto"/>
      </w:pBdr>
    </w:pPr>
  </w:p>
  <w:p w14:paraId="6DBB715B" w14:textId="77777777" w:rsidR="002126A3" w:rsidRDefault="002126A3" w:rsidP="00C42586">
    <w:pPr>
      <w:pStyle w:val="Sidefod"/>
      <w:tabs>
        <w:tab w:val="clear" w:pos="4819"/>
        <w:tab w:val="left" w:pos="8505"/>
      </w:tabs>
      <w:rPr>
        <w:i/>
        <w:sz w:val="18"/>
        <w:szCs w:val="18"/>
      </w:rPr>
    </w:pPr>
  </w:p>
  <w:p w14:paraId="4AF8B0C9" w14:textId="731E7A44" w:rsidR="002126A3" w:rsidRPr="00B373D7" w:rsidRDefault="002126A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7C18CC">
      <w:rPr>
        <w:i/>
        <w:noProof/>
        <w:sz w:val="18"/>
        <w:szCs w:val="18"/>
      </w:rPr>
      <w:t>Virafosc, infusionsvæske, opløsning 24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1C7B7" w14:textId="77777777" w:rsidR="002126A3" w:rsidRDefault="002126A3">
      <w:r>
        <w:separator/>
      </w:r>
    </w:p>
  </w:footnote>
  <w:footnote w:type="continuationSeparator" w:id="0">
    <w:p w14:paraId="5C4F80E7" w14:textId="77777777" w:rsidR="002126A3" w:rsidRDefault="00212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D5C0B328"/>
    <w:lvl w:ilvl="0">
      <w:start w:val="1"/>
      <w:numFmt w:val="decimal"/>
      <w:lvlText w:val="%1."/>
      <w:lvlJc w:val="left"/>
      <w:pPr>
        <w:tabs>
          <w:tab w:val="num" w:pos="992"/>
        </w:tabs>
        <w:ind w:left="992" w:hanging="992"/>
      </w:pPr>
    </w:lvl>
    <w:lvl w:ilvl="1">
      <w:start w:val="1"/>
      <w:numFmt w:val="decimal"/>
      <w:lvlText w:val="%1.%2"/>
      <w:lvlJc w:val="left"/>
      <w:pPr>
        <w:tabs>
          <w:tab w:val="num" w:pos="992"/>
        </w:tabs>
        <w:ind w:left="992" w:hanging="992"/>
      </w:pPr>
    </w:lvl>
    <w:lvl w:ilvl="2">
      <w:start w:val="1"/>
      <w:numFmt w:val="decimal"/>
      <w:lvlText w:val="%1.%2.%3"/>
      <w:lvlJc w:val="left"/>
      <w:pPr>
        <w:tabs>
          <w:tab w:val="num" w:pos="992"/>
        </w:tabs>
        <w:ind w:left="992" w:hanging="992"/>
      </w:pPr>
    </w:lvl>
    <w:lvl w:ilvl="3">
      <w:start w:val="1"/>
      <w:numFmt w:val="decimal"/>
      <w:lvlText w:val="%1.%2.%3.%4"/>
      <w:lvlJc w:val="left"/>
      <w:pPr>
        <w:tabs>
          <w:tab w:val="num" w:pos="992"/>
        </w:tabs>
        <w:ind w:left="992" w:hanging="992"/>
      </w:pPr>
    </w:lvl>
    <w:lvl w:ilvl="4">
      <w:start w:val="1"/>
      <w:numFmt w:val="lowerLetter"/>
      <w:lvlText w:val="%5)"/>
      <w:lvlJc w:val="left"/>
      <w:pPr>
        <w:tabs>
          <w:tab w:val="num" w:pos="992"/>
        </w:tabs>
        <w:ind w:left="992" w:hanging="992"/>
      </w:pPr>
    </w:lvl>
    <w:lvl w:ilvl="5">
      <w:start w:val="1"/>
      <w:numFmt w:val="lowerRoman"/>
      <w:lvlText w:val="%6)"/>
      <w:lvlJc w:val="left"/>
      <w:pPr>
        <w:tabs>
          <w:tab w:val="num" w:pos="992"/>
        </w:tabs>
        <w:ind w:left="992" w:hanging="992"/>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9313EC7"/>
    <w:multiLevelType w:val="hybridMultilevel"/>
    <w:tmpl w:val="941A196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E705D96"/>
    <w:multiLevelType w:val="hybridMultilevel"/>
    <w:tmpl w:val="C534EC9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9DE4A21"/>
    <w:multiLevelType w:val="hybridMultilevel"/>
    <w:tmpl w:val="5E3A730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1FB2426"/>
    <w:multiLevelType w:val="hybridMultilevel"/>
    <w:tmpl w:val="03F8842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E8"/>
    <w:rsid w:val="000259B9"/>
    <w:rsid w:val="00041491"/>
    <w:rsid w:val="00050D16"/>
    <w:rsid w:val="000730CA"/>
    <w:rsid w:val="00074F2A"/>
    <w:rsid w:val="000A1CA8"/>
    <w:rsid w:val="000A466B"/>
    <w:rsid w:val="000B058C"/>
    <w:rsid w:val="000D68B0"/>
    <w:rsid w:val="000E4EE6"/>
    <w:rsid w:val="001454E2"/>
    <w:rsid w:val="001E4E13"/>
    <w:rsid w:val="001F47FA"/>
    <w:rsid w:val="00206CE8"/>
    <w:rsid w:val="002126A3"/>
    <w:rsid w:val="0021324E"/>
    <w:rsid w:val="0021526C"/>
    <w:rsid w:val="00283A2B"/>
    <w:rsid w:val="00291CAC"/>
    <w:rsid w:val="002B30AD"/>
    <w:rsid w:val="002C1EC0"/>
    <w:rsid w:val="002C2C01"/>
    <w:rsid w:val="0031683A"/>
    <w:rsid w:val="00323D7E"/>
    <w:rsid w:val="00384045"/>
    <w:rsid w:val="003A29AE"/>
    <w:rsid w:val="003A32D7"/>
    <w:rsid w:val="003B4074"/>
    <w:rsid w:val="003C769A"/>
    <w:rsid w:val="003D3A90"/>
    <w:rsid w:val="003F1838"/>
    <w:rsid w:val="0045746C"/>
    <w:rsid w:val="0049104B"/>
    <w:rsid w:val="004E3B12"/>
    <w:rsid w:val="00532310"/>
    <w:rsid w:val="00565F0F"/>
    <w:rsid w:val="00594A86"/>
    <w:rsid w:val="00596D86"/>
    <w:rsid w:val="005C7698"/>
    <w:rsid w:val="00637F5A"/>
    <w:rsid w:val="00641C65"/>
    <w:rsid w:val="006560B1"/>
    <w:rsid w:val="006756DD"/>
    <w:rsid w:val="0071241E"/>
    <w:rsid w:val="00737275"/>
    <w:rsid w:val="00740EEC"/>
    <w:rsid w:val="00762043"/>
    <w:rsid w:val="007758B3"/>
    <w:rsid w:val="0078011A"/>
    <w:rsid w:val="00782AF4"/>
    <w:rsid w:val="00790EE7"/>
    <w:rsid w:val="007A6AF3"/>
    <w:rsid w:val="007B6649"/>
    <w:rsid w:val="007C18CC"/>
    <w:rsid w:val="0082576E"/>
    <w:rsid w:val="008E57CE"/>
    <w:rsid w:val="00907F75"/>
    <w:rsid w:val="009260DE"/>
    <w:rsid w:val="0093258A"/>
    <w:rsid w:val="009C7BA3"/>
    <w:rsid w:val="009D1F5A"/>
    <w:rsid w:val="00A10294"/>
    <w:rsid w:val="00AB0ADA"/>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443E8"/>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5AE64"/>
  <w15:chartTrackingRefBased/>
  <w15:docId w15:val="{F32876A1-7FB9-4B5F-B5DB-4AAE36C7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2">
    <w:name w:val="heading 2"/>
    <w:next w:val="Normal"/>
    <w:link w:val="Overskrift2Tegn"/>
    <w:semiHidden/>
    <w:unhideWhenUsed/>
    <w:qFormat/>
    <w:rsid w:val="0031683A"/>
    <w:pPr>
      <w:keepNext/>
      <w:tabs>
        <w:tab w:val="num" w:pos="360"/>
        <w:tab w:val="num" w:pos="992"/>
      </w:tabs>
      <w:spacing w:before="120" w:after="120"/>
      <w:ind w:left="360" w:hanging="360"/>
      <w:outlineLvl w:val="1"/>
    </w:pPr>
    <w:rPr>
      <w:b/>
      <w:sz w:val="28"/>
      <w:lang w:eastAsia="en-U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4">
    <w:name w:val="heading 4"/>
    <w:next w:val="Normal"/>
    <w:link w:val="Overskrift4Tegn"/>
    <w:semiHidden/>
    <w:unhideWhenUsed/>
    <w:qFormat/>
    <w:rsid w:val="0031683A"/>
    <w:pPr>
      <w:keepNext/>
      <w:tabs>
        <w:tab w:val="num" w:pos="992"/>
      </w:tabs>
      <w:spacing w:after="120"/>
      <w:ind w:left="992" w:hanging="992"/>
      <w:outlineLvl w:val="3"/>
    </w:pPr>
    <w:rPr>
      <w:b/>
      <w:sz w:val="24"/>
      <w:lang w:eastAsia="en-US"/>
    </w:rPr>
  </w:style>
  <w:style w:type="paragraph" w:styleId="Overskrift6">
    <w:name w:val="heading 6"/>
    <w:basedOn w:val="Normal"/>
    <w:next w:val="Normal"/>
    <w:link w:val="Overskrift6Tegn"/>
    <w:uiPriority w:val="9"/>
    <w:semiHidden/>
    <w:unhideWhenUsed/>
    <w:qFormat/>
    <w:rsid w:val="0031683A"/>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semiHidden/>
    <w:unhideWhenUsed/>
    <w:rsid w:val="0031683A"/>
    <w:pPr>
      <w:tabs>
        <w:tab w:val="left" w:pos="1560"/>
        <w:tab w:val="right" w:pos="1985"/>
        <w:tab w:val="left" w:pos="6237"/>
        <w:tab w:val="left" w:pos="6663"/>
        <w:tab w:val="left" w:pos="7088"/>
      </w:tabs>
      <w:spacing w:after="240" w:line="360" w:lineRule="atLeast"/>
      <w:ind w:right="567"/>
    </w:pPr>
    <w:rPr>
      <w:sz w:val="24"/>
    </w:rPr>
  </w:style>
  <w:style w:type="character" w:customStyle="1" w:styleId="BrdtekstTegn">
    <w:name w:val="Brødtekst Tegn"/>
    <w:basedOn w:val="Standardskrifttypeiafsnit"/>
    <w:link w:val="Brdtekst"/>
    <w:semiHidden/>
    <w:rsid w:val="0031683A"/>
    <w:rPr>
      <w:sz w:val="24"/>
      <w:lang w:eastAsia="en-US"/>
    </w:rPr>
  </w:style>
  <w:style w:type="character" w:customStyle="1" w:styleId="Overskrift2Tegn">
    <w:name w:val="Overskrift 2 Tegn"/>
    <w:basedOn w:val="Standardskrifttypeiafsnit"/>
    <w:link w:val="Overskrift2"/>
    <w:semiHidden/>
    <w:rsid w:val="0031683A"/>
    <w:rPr>
      <w:b/>
      <w:sz w:val="28"/>
      <w:lang w:eastAsia="en-US"/>
    </w:rPr>
  </w:style>
  <w:style w:type="character" w:customStyle="1" w:styleId="Overskrift4Tegn">
    <w:name w:val="Overskrift 4 Tegn"/>
    <w:basedOn w:val="Standardskrifttypeiafsnit"/>
    <w:link w:val="Overskrift4"/>
    <w:semiHidden/>
    <w:rsid w:val="0031683A"/>
    <w:rPr>
      <w:b/>
      <w:sz w:val="24"/>
      <w:lang w:eastAsia="en-US"/>
    </w:rPr>
  </w:style>
  <w:style w:type="character" w:customStyle="1" w:styleId="Overskrift1Tegn">
    <w:name w:val="Overskrift 1 Tegn"/>
    <w:basedOn w:val="Standardskrifttypeiafsnit"/>
    <w:link w:val="Overskrift1"/>
    <w:rsid w:val="0031683A"/>
    <w:rPr>
      <w:rFonts w:ascii="Arial" w:hAnsi="Arial"/>
      <w:b/>
      <w:kern w:val="28"/>
      <w:sz w:val="28"/>
      <w:lang w:eastAsia="en-US"/>
    </w:rPr>
  </w:style>
  <w:style w:type="paragraph" w:customStyle="1" w:styleId="A-TableText">
    <w:name w:val="A-Table Text"/>
    <w:rsid w:val="0031683A"/>
    <w:pPr>
      <w:spacing w:before="60" w:after="60"/>
    </w:pPr>
    <w:rPr>
      <w:sz w:val="22"/>
      <w:lang w:eastAsia="en-US"/>
    </w:rPr>
  </w:style>
  <w:style w:type="paragraph" w:customStyle="1" w:styleId="A-NormalIndent">
    <w:name w:val="A-Normal Indent"/>
    <w:next w:val="Normal"/>
    <w:rsid w:val="0031683A"/>
    <w:pPr>
      <w:spacing w:after="240" w:line="280" w:lineRule="atLeast"/>
      <w:ind w:left="992"/>
    </w:pPr>
    <w:rPr>
      <w:sz w:val="24"/>
      <w:lang w:eastAsia="en-US"/>
    </w:rPr>
  </w:style>
  <w:style w:type="paragraph" w:customStyle="1" w:styleId="Default">
    <w:name w:val="Default"/>
    <w:rsid w:val="0031683A"/>
    <w:pPr>
      <w:autoSpaceDE w:val="0"/>
      <w:autoSpaceDN w:val="0"/>
      <w:adjustRightInd w:val="0"/>
      <w:snapToGrid w:val="0"/>
    </w:pPr>
    <w:rPr>
      <w:rFonts w:eastAsia="SimSun"/>
      <w:lang w:eastAsia="zh-CN"/>
    </w:rPr>
  </w:style>
  <w:style w:type="character" w:customStyle="1" w:styleId="hps">
    <w:name w:val="hps"/>
    <w:rsid w:val="0031683A"/>
  </w:style>
  <w:style w:type="character" w:styleId="Hyperlink">
    <w:name w:val="Hyperlink"/>
    <w:semiHidden/>
    <w:unhideWhenUsed/>
    <w:rsid w:val="0031683A"/>
    <w:rPr>
      <w:strike w:val="0"/>
      <w:dstrike w:val="0"/>
      <w:color w:val="auto"/>
      <w:u w:val="none"/>
      <w:effect w:val="none"/>
    </w:rPr>
  </w:style>
  <w:style w:type="paragraph" w:customStyle="1" w:styleId="A-TableHeader">
    <w:name w:val="A-Table Header"/>
    <w:next w:val="A-TableText"/>
    <w:rsid w:val="0031683A"/>
    <w:pPr>
      <w:keepNext/>
      <w:spacing w:before="60" w:after="60"/>
    </w:pPr>
    <w:rPr>
      <w:b/>
      <w:sz w:val="22"/>
      <w:lang w:eastAsia="en-US"/>
    </w:rPr>
  </w:style>
  <w:style w:type="character" w:customStyle="1" w:styleId="Overskrift6Tegn">
    <w:name w:val="Overskrift 6 Tegn"/>
    <w:basedOn w:val="Standardskrifttypeiafsnit"/>
    <w:link w:val="Overskrift6"/>
    <w:uiPriority w:val="9"/>
    <w:semiHidden/>
    <w:rsid w:val="0031683A"/>
    <w:rPr>
      <w:rFonts w:asciiTheme="majorHAnsi" w:eastAsiaTheme="majorEastAsia" w:hAnsiTheme="majorHAnsi" w:cstheme="majorBidi"/>
      <w:color w:val="1F4D78" w:themeColor="accent1" w:themeShade="7F"/>
      <w:sz w:val="23"/>
      <w:lang w:eastAsia="en-US"/>
    </w:rPr>
  </w:style>
  <w:style w:type="paragraph" w:styleId="Listeafsnit">
    <w:name w:val="List Paragraph"/>
    <w:basedOn w:val="Normal"/>
    <w:uiPriority w:val="34"/>
    <w:qFormat/>
    <w:rsid w:val="008E5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1670">
      <w:bodyDiv w:val="1"/>
      <w:marLeft w:val="0"/>
      <w:marRight w:val="0"/>
      <w:marTop w:val="0"/>
      <w:marBottom w:val="0"/>
      <w:divBdr>
        <w:top w:val="none" w:sz="0" w:space="0" w:color="auto"/>
        <w:left w:val="none" w:sz="0" w:space="0" w:color="auto"/>
        <w:bottom w:val="none" w:sz="0" w:space="0" w:color="auto"/>
        <w:right w:val="none" w:sz="0" w:space="0" w:color="auto"/>
      </w:divBdr>
    </w:div>
    <w:div w:id="99642281">
      <w:bodyDiv w:val="1"/>
      <w:marLeft w:val="0"/>
      <w:marRight w:val="0"/>
      <w:marTop w:val="0"/>
      <w:marBottom w:val="0"/>
      <w:divBdr>
        <w:top w:val="none" w:sz="0" w:space="0" w:color="auto"/>
        <w:left w:val="none" w:sz="0" w:space="0" w:color="auto"/>
        <w:bottom w:val="none" w:sz="0" w:space="0" w:color="auto"/>
        <w:right w:val="none" w:sz="0" w:space="0" w:color="auto"/>
      </w:divBdr>
    </w:div>
    <w:div w:id="117145224">
      <w:bodyDiv w:val="1"/>
      <w:marLeft w:val="0"/>
      <w:marRight w:val="0"/>
      <w:marTop w:val="0"/>
      <w:marBottom w:val="0"/>
      <w:divBdr>
        <w:top w:val="none" w:sz="0" w:space="0" w:color="auto"/>
        <w:left w:val="none" w:sz="0" w:space="0" w:color="auto"/>
        <w:bottom w:val="none" w:sz="0" w:space="0" w:color="auto"/>
        <w:right w:val="none" w:sz="0" w:space="0" w:color="auto"/>
      </w:divBdr>
    </w:div>
    <w:div w:id="14675085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0769794">
      <w:bodyDiv w:val="1"/>
      <w:marLeft w:val="0"/>
      <w:marRight w:val="0"/>
      <w:marTop w:val="0"/>
      <w:marBottom w:val="0"/>
      <w:divBdr>
        <w:top w:val="none" w:sz="0" w:space="0" w:color="auto"/>
        <w:left w:val="none" w:sz="0" w:space="0" w:color="auto"/>
        <w:bottom w:val="none" w:sz="0" w:space="0" w:color="auto"/>
        <w:right w:val="none" w:sz="0" w:space="0" w:color="auto"/>
      </w:divBdr>
    </w:div>
    <w:div w:id="245849926">
      <w:bodyDiv w:val="1"/>
      <w:marLeft w:val="0"/>
      <w:marRight w:val="0"/>
      <w:marTop w:val="0"/>
      <w:marBottom w:val="0"/>
      <w:divBdr>
        <w:top w:val="none" w:sz="0" w:space="0" w:color="auto"/>
        <w:left w:val="none" w:sz="0" w:space="0" w:color="auto"/>
        <w:bottom w:val="none" w:sz="0" w:space="0" w:color="auto"/>
        <w:right w:val="none" w:sz="0" w:space="0" w:color="auto"/>
      </w:divBdr>
    </w:div>
    <w:div w:id="362822963">
      <w:bodyDiv w:val="1"/>
      <w:marLeft w:val="0"/>
      <w:marRight w:val="0"/>
      <w:marTop w:val="0"/>
      <w:marBottom w:val="0"/>
      <w:divBdr>
        <w:top w:val="none" w:sz="0" w:space="0" w:color="auto"/>
        <w:left w:val="none" w:sz="0" w:space="0" w:color="auto"/>
        <w:bottom w:val="none" w:sz="0" w:space="0" w:color="auto"/>
        <w:right w:val="none" w:sz="0" w:space="0" w:color="auto"/>
      </w:divBdr>
    </w:div>
    <w:div w:id="396056183">
      <w:bodyDiv w:val="1"/>
      <w:marLeft w:val="0"/>
      <w:marRight w:val="0"/>
      <w:marTop w:val="0"/>
      <w:marBottom w:val="0"/>
      <w:divBdr>
        <w:top w:val="none" w:sz="0" w:space="0" w:color="auto"/>
        <w:left w:val="none" w:sz="0" w:space="0" w:color="auto"/>
        <w:bottom w:val="none" w:sz="0" w:space="0" w:color="auto"/>
        <w:right w:val="none" w:sz="0" w:space="0" w:color="auto"/>
      </w:divBdr>
    </w:div>
    <w:div w:id="466557244">
      <w:bodyDiv w:val="1"/>
      <w:marLeft w:val="0"/>
      <w:marRight w:val="0"/>
      <w:marTop w:val="0"/>
      <w:marBottom w:val="0"/>
      <w:divBdr>
        <w:top w:val="none" w:sz="0" w:space="0" w:color="auto"/>
        <w:left w:val="none" w:sz="0" w:space="0" w:color="auto"/>
        <w:bottom w:val="none" w:sz="0" w:space="0" w:color="auto"/>
        <w:right w:val="none" w:sz="0" w:space="0" w:color="auto"/>
      </w:divBdr>
    </w:div>
    <w:div w:id="516042782">
      <w:bodyDiv w:val="1"/>
      <w:marLeft w:val="0"/>
      <w:marRight w:val="0"/>
      <w:marTop w:val="0"/>
      <w:marBottom w:val="0"/>
      <w:divBdr>
        <w:top w:val="none" w:sz="0" w:space="0" w:color="auto"/>
        <w:left w:val="none" w:sz="0" w:space="0" w:color="auto"/>
        <w:bottom w:val="none" w:sz="0" w:space="0" w:color="auto"/>
        <w:right w:val="none" w:sz="0" w:space="0" w:color="auto"/>
      </w:divBdr>
    </w:div>
    <w:div w:id="673649474">
      <w:bodyDiv w:val="1"/>
      <w:marLeft w:val="0"/>
      <w:marRight w:val="0"/>
      <w:marTop w:val="0"/>
      <w:marBottom w:val="0"/>
      <w:divBdr>
        <w:top w:val="none" w:sz="0" w:space="0" w:color="auto"/>
        <w:left w:val="none" w:sz="0" w:space="0" w:color="auto"/>
        <w:bottom w:val="none" w:sz="0" w:space="0" w:color="auto"/>
        <w:right w:val="none" w:sz="0" w:space="0" w:color="auto"/>
      </w:divBdr>
    </w:div>
    <w:div w:id="1043169059">
      <w:bodyDiv w:val="1"/>
      <w:marLeft w:val="0"/>
      <w:marRight w:val="0"/>
      <w:marTop w:val="0"/>
      <w:marBottom w:val="0"/>
      <w:divBdr>
        <w:top w:val="none" w:sz="0" w:space="0" w:color="auto"/>
        <w:left w:val="none" w:sz="0" w:space="0" w:color="auto"/>
        <w:bottom w:val="none" w:sz="0" w:space="0" w:color="auto"/>
        <w:right w:val="none" w:sz="0" w:space="0" w:color="auto"/>
      </w:divBdr>
    </w:div>
    <w:div w:id="1079988268">
      <w:bodyDiv w:val="1"/>
      <w:marLeft w:val="0"/>
      <w:marRight w:val="0"/>
      <w:marTop w:val="0"/>
      <w:marBottom w:val="0"/>
      <w:divBdr>
        <w:top w:val="none" w:sz="0" w:space="0" w:color="auto"/>
        <w:left w:val="none" w:sz="0" w:space="0" w:color="auto"/>
        <w:bottom w:val="none" w:sz="0" w:space="0" w:color="auto"/>
        <w:right w:val="none" w:sz="0" w:space="0" w:color="auto"/>
      </w:divBdr>
    </w:div>
    <w:div w:id="1141383055">
      <w:bodyDiv w:val="1"/>
      <w:marLeft w:val="0"/>
      <w:marRight w:val="0"/>
      <w:marTop w:val="0"/>
      <w:marBottom w:val="0"/>
      <w:divBdr>
        <w:top w:val="none" w:sz="0" w:space="0" w:color="auto"/>
        <w:left w:val="none" w:sz="0" w:space="0" w:color="auto"/>
        <w:bottom w:val="none" w:sz="0" w:space="0" w:color="auto"/>
        <w:right w:val="none" w:sz="0" w:space="0" w:color="auto"/>
      </w:divBdr>
    </w:div>
    <w:div w:id="1217086582">
      <w:bodyDiv w:val="1"/>
      <w:marLeft w:val="0"/>
      <w:marRight w:val="0"/>
      <w:marTop w:val="0"/>
      <w:marBottom w:val="0"/>
      <w:divBdr>
        <w:top w:val="none" w:sz="0" w:space="0" w:color="auto"/>
        <w:left w:val="none" w:sz="0" w:space="0" w:color="auto"/>
        <w:bottom w:val="none" w:sz="0" w:space="0" w:color="auto"/>
        <w:right w:val="none" w:sz="0" w:space="0" w:color="auto"/>
      </w:divBdr>
    </w:div>
    <w:div w:id="1328553433">
      <w:bodyDiv w:val="1"/>
      <w:marLeft w:val="0"/>
      <w:marRight w:val="0"/>
      <w:marTop w:val="0"/>
      <w:marBottom w:val="0"/>
      <w:divBdr>
        <w:top w:val="none" w:sz="0" w:space="0" w:color="auto"/>
        <w:left w:val="none" w:sz="0" w:space="0" w:color="auto"/>
        <w:bottom w:val="none" w:sz="0" w:space="0" w:color="auto"/>
        <w:right w:val="none" w:sz="0" w:space="0" w:color="auto"/>
      </w:divBdr>
    </w:div>
    <w:div w:id="1335381168">
      <w:bodyDiv w:val="1"/>
      <w:marLeft w:val="0"/>
      <w:marRight w:val="0"/>
      <w:marTop w:val="0"/>
      <w:marBottom w:val="0"/>
      <w:divBdr>
        <w:top w:val="none" w:sz="0" w:space="0" w:color="auto"/>
        <w:left w:val="none" w:sz="0" w:space="0" w:color="auto"/>
        <w:bottom w:val="none" w:sz="0" w:space="0" w:color="auto"/>
        <w:right w:val="none" w:sz="0" w:space="0" w:color="auto"/>
      </w:divBdr>
    </w:div>
    <w:div w:id="1406994540">
      <w:bodyDiv w:val="1"/>
      <w:marLeft w:val="0"/>
      <w:marRight w:val="0"/>
      <w:marTop w:val="0"/>
      <w:marBottom w:val="0"/>
      <w:divBdr>
        <w:top w:val="none" w:sz="0" w:space="0" w:color="auto"/>
        <w:left w:val="none" w:sz="0" w:space="0" w:color="auto"/>
        <w:bottom w:val="none" w:sz="0" w:space="0" w:color="auto"/>
        <w:right w:val="none" w:sz="0" w:space="0" w:color="auto"/>
      </w:divBdr>
    </w:div>
    <w:div w:id="1445267784">
      <w:bodyDiv w:val="1"/>
      <w:marLeft w:val="0"/>
      <w:marRight w:val="0"/>
      <w:marTop w:val="0"/>
      <w:marBottom w:val="0"/>
      <w:divBdr>
        <w:top w:val="none" w:sz="0" w:space="0" w:color="auto"/>
        <w:left w:val="none" w:sz="0" w:space="0" w:color="auto"/>
        <w:bottom w:val="none" w:sz="0" w:space="0" w:color="auto"/>
        <w:right w:val="none" w:sz="0" w:space="0" w:color="auto"/>
      </w:divBdr>
    </w:div>
    <w:div w:id="1986010003">
      <w:bodyDiv w:val="1"/>
      <w:marLeft w:val="0"/>
      <w:marRight w:val="0"/>
      <w:marTop w:val="0"/>
      <w:marBottom w:val="0"/>
      <w:divBdr>
        <w:top w:val="none" w:sz="0" w:space="0" w:color="auto"/>
        <w:left w:val="none" w:sz="0" w:space="0" w:color="auto"/>
        <w:bottom w:val="none" w:sz="0" w:space="0" w:color="auto"/>
        <w:right w:val="none" w:sz="0" w:space="0" w:color="auto"/>
      </w:divBdr>
    </w:div>
    <w:div w:id="2056732367">
      <w:bodyDiv w:val="1"/>
      <w:marLeft w:val="0"/>
      <w:marRight w:val="0"/>
      <w:marTop w:val="0"/>
      <w:marBottom w:val="0"/>
      <w:divBdr>
        <w:top w:val="none" w:sz="0" w:space="0" w:color="auto"/>
        <w:left w:val="none" w:sz="0" w:space="0" w:color="auto"/>
        <w:bottom w:val="none" w:sz="0" w:space="0" w:color="auto"/>
        <w:right w:val="none" w:sz="0" w:space="0" w:color="auto"/>
      </w:divBdr>
    </w:div>
    <w:div w:id="207561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59</TotalTime>
  <Pages>13</Pages>
  <Words>3944</Words>
  <Characters>25892</Characters>
  <Application>Microsoft Office Word</Application>
  <DocSecurity>0</DocSecurity>
  <Lines>215</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2022011940, MT</dc:description>
  <cp:lastModifiedBy>Gitte Jørgensen</cp:lastModifiedBy>
  <cp:revision>15</cp:revision>
  <cp:lastPrinted>2012-08-22T08:53:00Z</cp:lastPrinted>
  <dcterms:created xsi:type="dcterms:W3CDTF">2023-02-09T08:08:00Z</dcterms:created>
  <dcterms:modified xsi:type="dcterms:W3CDTF">2023-02-09T12:07:00Z</dcterms:modified>
</cp:coreProperties>
</file>