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C33B6">
        <w:rPr>
          <w:szCs w:val="24"/>
        </w:rPr>
        <w:t>21. september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5431F" w:rsidP="009260DE">
      <w:pPr>
        <w:jc w:val="center"/>
        <w:rPr>
          <w:b/>
          <w:sz w:val="24"/>
          <w:szCs w:val="24"/>
        </w:rPr>
      </w:pPr>
      <w:r>
        <w:rPr>
          <w:b/>
          <w:sz w:val="24"/>
          <w:szCs w:val="24"/>
        </w:rPr>
        <w:t>Vitamin C "Pascoe", injektions-/infusionsvæske,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5431F" w:rsidP="009260DE">
      <w:pPr>
        <w:tabs>
          <w:tab w:val="left" w:pos="851"/>
        </w:tabs>
        <w:ind w:left="851"/>
        <w:rPr>
          <w:sz w:val="24"/>
          <w:szCs w:val="24"/>
        </w:rPr>
      </w:pPr>
      <w:r>
        <w:rPr>
          <w:sz w:val="24"/>
          <w:szCs w:val="24"/>
        </w:rPr>
        <w:t>32037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5431F" w:rsidP="009260DE">
      <w:pPr>
        <w:tabs>
          <w:tab w:val="left" w:pos="851"/>
        </w:tabs>
        <w:ind w:left="851"/>
        <w:rPr>
          <w:sz w:val="24"/>
          <w:szCs w:val="24"/>
        </w:rPr>
      </w:pPr>
      <w:r>
        <w:rPr>
          <w:sz w:val="24"/>
          <w:szCs w:val="24"/>
        </w:rPr>
        <w:t>Vitamin C "Pascoe"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F5751" w:rsidRPr="009F5751" w:rsidRDefault="009F5751" w:rsidP="009F5751">
      <w:pPr>
        <w:tabs>
          <w:tab w:val="left" w:pos="851"/>
        </w:tabs>
        <w:ind w:left="851"/>
        <w:rPr>
          <w:sz w:val="24"/>
          <w:szCs w:val="24"/>
        </w:rPr>
      </w:pPr>
      <w:r w:rsidRPr="009F5751">
        <w:rPr>
          <w:sz w:val="24"/>
          <w:szCs w:val="24"/>
        </w:rPr>
        <w:t>1 hætteglas med 50 ml injektions-/infusionsvæske, opløsning indeholder 2,5 g ascorbinsyre.</w:t>
      </w:r>
    </w:p>
    <w:p w:rsidR="009F5751" w:rsidRPr="009F5751" w:rsidRDefault="009F5751" w:rsidP="009F5751">
      <w:pPr>
        <w:tabs>
          <w:tab w:val="left" w:pos="851"/>
        </w:tabs>
        <w:ind w:left="851"/>
        <w:rPr>
          <w:sz w:val="24"/>
          <w:szCs w:val="24"/>
        </w:rPr>
      </w:pPr>
    </w:p>
    <w:p w:rsidR="009F5751" w:rsidRPr="009F5751" w:rsidRDefault="009F5751" w:rsidP="009F5751">
      <w:pPr>
        <w:tabs>
          <w:tab w:val="left" w:pos="851"/>
        </w:tabs>
        <w:ind w:left="851"/>
        <w:rPr>
          <w:sz w:val="24"/>
          <w:szCs w:val="24"/>
        </w:rPr>
      </w:pPr>
      <w:r w:rsidRPr="009F5751">
        <w:rPr>
          <w:sz w:val="24"/>
          <w:szCs w:val="24"/>
        </w:rPr>
        <w:t>Koncentrationen er 50 mg/ml</w:t>
      </w:r>
      <w:r w:rsidR="009567D0">
        <w:rPr>
          <w:sz w:val="24"/>
          <w:szCs w:val="24"/>
        </w:rPr>
        <w:t>.</w:t>
      </w:r>
    </w:p>
    <w:p w:rsidR="009F5751" w:rsidRPr="009F5751" w:rsidRDefault="009F5751" w:rsidP="009F5751">
      <w:pPr>
        <w:tabs>
          <w:tab w:val="left" w:pos="851"/>
        </w:tabs>
        <w:ind w:left="851"/>
        <w:rPr>
          <w:sz w:val="24"/>
          <w:szCs w:val="24"/>
        </w:rPr>
      </w:pPr>
    </w:p>
    <w:p w:rsidR="009F5751" w:rsidRPr="009F5751" w:rsidRDefault="009F5751" w:rsidP="009F5751">
      <w:pPr>
        <w:tabs>
          <w:tab w:val="left" w:pos="851"/>
        </w:tabs>
        <w:ind w:left="851"/>
        <w:rPr>
          <w:sz w:val="24"/>
          <w:szCs w:val="24"/>
          <w:u w:val="single"/>
        </w:rPr>
      </w:pPr>
      <w:r w:rsidRPr="009F5751">
        <w:rPr>
          <w:sz w:val="24"/>
          <w:szCs w:val="24"/>
          <w:u w:val="single"/>
        </w:rPr>
        <w:t>Hjælpestof, som behandleren skal være opmærksom på</w:t>
      </w:r>
    </w:p>
    <w:p w:rsidR="009F5751" w:rsidRPr="009F5751" w:rsidRDefault="009F5751" w:rsidP="009F5751">
      <w:pPr>
        <w:tabs>
          <w:tab w:val="left" w:pos="851"/>
        </w:tabs>
        <w:ind w:left="851"/>
        <w:rPr>
          <w:sz w:val="24"/>
          <w:szCs w:val="24"/>
        </w:rPr>
      </w:pPr>
      <w:r w:rsidRPr="009F5751">
        <w:rPr>
          <w:sz w:val="24"/>
          <w:szCs w:val="24"/>
        </w:rPr>
        <w:t>Natriumhydrogencarbonat (50 ml af produktet indeholder 324 mg natrium).</w:t>
      </w:r>
    </w:p>
    <w:p w:rsidR="009F5751" w:rsidRPr="009F5751" w:rsidRDefault="009F5751" w:rsidP="009F5751">
      <w:pPr>
        <w:tabs>
          <w:tab w:val="left" w:pos="851"/>
        </w:tabs>
        <w:ind w:left="851"/>
        <w:rPr>
          <w:sz w:val="24"/>
          <w:szCs w:val="24"/>
        </w:rPr>
      </w:pPr>
    </w:p>
    <w:p w:rsidR="009F5751" w:rsidRPr="009F5751" w:rsidRDefault="009F5751" w:rsidP="009F5751">
      <w:pPr>
        <w:tabs>
          <w:tab w:val="left" w:pos="851"/>
        </w:tabs>
        <w:ind w:left="851"/>
        <w:rPr>
          <w:sz w:val="24"/>
          <w:szCs w:val="24"/>
        </w:rPr>
      </w:pPr>
      <w:r w:rsidRPr="009F5751">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F601A" w:rsidRDefault="00AF601A" w:rsidP="00AF601A">
      <w:pPr>
        <w:tabs>
          <w:tab w:val="left" w:pos="851"/>
        </w:tabs>
        <w:ind w:left="851"/>
        <w:rPr>
          <w:sz w:val="24"/>
          <w:szCs w:val="24"/>
        </w:rPr>
      </w:pPr>
      <w:r w:rsidRPr="00AF601A">
        <w:rPr>
          <w:sz w:val="24"/>
          <w:szCs w:val="24"/>
        </w:rPr>
        <w:t>Injektions-/infusionsvæske, opløsning</w:t>
      </w:r>
    </w:p>
    <w:p w:rsidR="00AF601A" w:rsidRPr="00AF601A" w:rsidRDefault="00AF601A" w:rsidP="00AF601A">
      <w:pPr>
        <w:tabs>
          <w:tab w:val="left" w:pos="851"/>
        </w:tabs>
        <w:ind w:left="851"/>
        <w:rPr>
          <w:sz w:val="24"/>
          <w:szCs w:val="24"/>
        </w:rPr>
      </w:pPr>
    </w:p>
    <w:p w:rsidR="00AF601A" w:rsidRPr="00AF601A" w:rsidRDefault="00AF601A" w:rsidP="00AF601A">
      <w:pPr>
        <w:tabs>
          <w:tab w:val="left" w:pos="851"/>
        </w:tabs>
        <w:ind w:left="851"/>
        <w:rPr>
          <w:sz w:val="24"/>
          <w:szCs w:val="24"/>
        </w:rPr>
      </w:pPr>
      <w:r w:rsidRPr="00AF601A">
        <w:rPr>
          <w:sz w:val="24"/>
          <w:szCs w:val="24"/>
        </w:rPr>
        <w:t>Klar, lysegul opløsning.</w:t>
      </w:r>
    </w:p>
    <w:p w:rsidR="00AF601A" w:rsidRPr="00AF601A" w:rsidRDefault="00AF601A" w:rsidP="00AF601A">
      <w:pPr>
        <w:tabs>
          <w:tab w:val="left" w:pos="851"/>
        </w:tabs>
        <w:ind w:left="851"/>
        <w:rPr>
          <w:sz w:val="24"/>
          <w:szCs w:val="24"/>
        </w:rPr>
      </w:pPr>
      <w:r w:rsidRPr="00AF601A">
        <w:rPr>
          <w:sz w:val="24"/>
          <w:szCs w:val="24"/>
        </w:rPr>
        <w:t>pH-værdi varierer fra 6,2 til 7,4 og osmolaliteten er mellem 500 og 570 mOsm/kg.</w:t>
      </w:r>
    </w:p>
    <w:p w:rsidR="00AF601A" w:rsidRPr="00AF601A" w:rsidRDefault="00AF601A" w:rsidP="00AF601A">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F601A" w:rsidRPr="00AF601A" w:rsidRDefault="00AF601A" w:rsidP="00AF601A">
      <w:pPr>
        <w:tabs>
          <w:tab w:val="left" w:pos="851"/>
        </w:tabs>
        <w:ind w:left="851"/>
        <w:rPr>
          <w:sz w:val="24"/>
          <w:szCs w:val="24"/>
        </w:rPr>
      </w:pPr>
      <w:r w:rsidRPr="00AF601A">
        <w:rPr>
          <w:sz w:val="24"/>
          <w:szCs w:val="24"/>
        </w:rPr>
        <w:t>Behandling af klinisk C vitaminmangel, som ikke kan behandles med en særlig diæt eller med oral substitutionsbehandling som:</w:t>
      </w:r>
    </w:p>
    <w:p w:rsidR="00AF601A" w:rsidRPr="00AF601A" w:rsidRDefault="00AF601A" w:rsidP="00AF601A">
      <w:pPr>
        <w:pStyle w:val="Listeafsnit"/>
        <w:numPr>
          <w:ilvl w:val="0"/>
          <w:numId w:val="7"/>
        </w:numPr>
        <w:tabs>
          <w:tab w:val="left" w:pos="851"/>
        </w:tabs>
        <w:ind w:left="1134" w:hanging="283"/>
        <w:rPr>
          <w:sz w:val="24"/>
          <w:szCs w:val="24"/>
        </w:rPr>
      </w:pPr>
      <w:r w:rsidRPr="00AF601A">
        <w:rPr>
          <w:sz w:val="24"/>
          <w:szCs w:val="24"/>
        </w:rPr>
        <w:t xml:space="preserve">endotel dysfunktion f.eks. kardio-cirkulatoriske patologier </w:t>
      </w:r>
    </w:p>
    <w:p w:rsidR="00AF601A" w:rsidRPr="00AF601A" w:rsidRDefault="00AF601A" w:rsidP="00AF601A">
      <w:pPr>
        <w:pStyle w:val="Listeafsnit"/>
        <w:numPr>
          <w:ilvl w:val="0"/>
          <w:numId w:val="7"/>
        </w:numPr>
        <w:tabs>
          <w:tab w:val="left" w:pos="851"/>
        </w:tabs>
        <w:ind w:left="1134" w:hanging="283"/>
        <w:rPr>
          <w:sz w:val="24"/>
          <w:szCs w:val="24"/>
          <w:lang w:val="en-GB"/>
        </w:rPr>
      </w:pPr>
      <w:r w:rsidRPr="00AF601A">
        <w:rPr>
          <w:sz w:val="24"/>
          <w:szCs w:val="24"/>
          <w:lang w:val="en-GB"/>
        </w:rPr>
        <w:t xml:space="preserve">efter operation eller traume </w:t>
      </w:r>
    </w:p>
    <w:p w:rsidR="00AF601A" w:rsidRDefault="00AF601A" w:rsidP="00AF601A">
      <w:pPr>
        <w:pStyle w:val="Listeafsnit"/>
        <w:numPr>
          <w:ilvl w:val="0"/>
          <w:numId w:val="7"/>
        </w:numPr>
        <w:tabs>
          <w:tab w:val="left" w:pos="851"/>
        </w:tabs>
        <w:ind w:left="1134" w:hanging="283"/>
        <w:rPr>
          <w:sz w:val="24"/>
          <w:szCs w:val="24"/>
          <w:lang w:val="en-GB"/>
        </w:rPr>
      </w:pPr>
      <w:r w:rsidRPr="00AF601A">
        <w:rPr>
          <w:sz w:val="24"/>
          <w:szCs w:val="24"/>
          <w:lang w:val="en-GB"/>
        </w:rPr>
        <w:t>hos kritisk syge patienter</w:t>
      </w:r>
    </w:p>
    <w:p w:rsidR="00AF601A" w:rsidRPr="00AF601A" w:rsidRDefault="00AF601A" w:rsidP="00AF601A">
      <w:pPr>
        <w:pStyle w:val="Listeafsnit"/>
        <w:numPr>
          <w:ilvl w:val="0"/>
          <w:numId w:val="7"/>
        </w:numPr>
        <w:tabs>
          <w:tab w:val="left" w:pos="851"/>
        </w:tabs>
        <w:ind w:left="1134" w:hanging="283"/>
        <w:rPr>
          <w:sz w:val="24"/>
          <w:szCs w:val="24"/>
          <w:lang w:val="en-GB"/>
        </w:rPr>
      </w:pPr>
      <w:r>
        <w:rPr>
          <w:sz w:val="24"/>
          <w:szCs w:val="24"/>
          <w:lang w:val="en-GB"/>
        </w:rPr>
        <w:t>sepsis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rsidR="002D6CE1" w:rsidRPr="002D6CE1" w:rsidRDefault="002D6CE1" w:rsidP="002D6CE1">
      <w:pPr>
        <w:tabs>
          <w:tab w:val="left" w:pos="851"/>
        </w:tabs>
        <w:ind w:left="851"/>
        <w:rPr>
          <w:sz w:val="24"/>
          <w:szCs w:val="24"/>
        </w:rPr>
      </w:pPr>
    </w:p>
    <w:p w:rsidR="002D6CE1" w:rsidRPr="002D6CE1" w:rsidRDefault="002D6CE1" w:rsidP="002D6CE1">
      <w:pPr>
        <w:tabs>
          <w:tab w:val="left" w:pos="851"/>
        </w:tabs>
        <w:ind w:left="851"/>
        <w:rPr>
          <w:sz w:val="24"/>
          <w:szCs w:val="24"/>
        </w:rPr>
      </w:pPr>
      <w:r w:rsidRPr="002D6CE1">
        <w:rPr>
          <w:sz w:val="24"/>
          <w:szCs w:val="24"/>
          <w:u w:val="single"/>
        </w:rPr>
        <w:t>Dosering</w:t>
      </w:r>
    </w:p>
    <w:p w:rsidR="002D6CE1" w:rsidRPr="002D6CE1" w:rsidRDefault="002D6CE1" w:rsidP="002D6CE1">
      <w:pPr>
        <w:tabs>
          <w:tab w:val="left" w:pos="851"/>
        </w:tabs>
        <w:ind w:left="851"/>
        <w:rPr>
          <w:sz w:val="24"/>
          <w:szCs w:val="24"/>
        </w:rPr>
      </w:pPr>
    </w:p>
    <w:p w:rsidR="002D6CE1" w:rsidRPr="002D6CE1" w:rsidRDefault="002D6CE1" w:rsidP="002D6CE1">
      <w:pPr>
        <w:tabs>
          <w:tab w:val="left" w:pos="851"/>
        </w:tabs>
        <w:ind w:left="851"/>
        <w:rPr>
          <w:sz w:val="24"/>
          <w:szCs w:val="24"/>
        </w:rPr>
      </w:pPr>
      <w:r w:rsidRPr="002D6CE1">
        <w:rPr>
          <w:i/>
          <w:iCs/>
          <w:sz w:val="24"/>
          <w:szCs w:val="24"/>
        </w:rPr>
        <w:t>Voksne</w:t>
      </w:r>
    </w:p>
    <w:p w:rsidR="002D6CE1" w:rsidRPr="002D6CE1" w:rsidRDefault="002D6CE1" w:rsidP="002D6CE1">
      <w:pPr>
        <w:tabs>
          <w:tab w:val="left" w:pos="851"/>
        </w:tabs>
        <w:ind w:left="851"/>
        <w:rPr>
          <w:sz w:val="24"/>
          <w:szCs w:val="24"/>
        </w:rPr>
      </w:pPr>
      <w:r w:rsidRPr="002D6CE1">
        <w:rPr>
          <w:sz w:val="24"/>
          <w:szCs w:val="24"/>
        </w:rPr>
        <w:t xml:space="preserve">Den sædvanlige dosis er 0,5 til 1,0 g ascorbinsyre (svarende til 10-20 ml opløsning). </w:t>
      </w:r>
    </w:p>
    <w:p w:rsidR="002D6CE1" w:rsidRPr="002D6CE1" w:rsidRDefault="002D6CE1" w:rsidP="002D6CE1">
      <w:pPr>
        <w:tabs>
          <w:tab w:val="left" w:pos="851"/>
        </w:tabs>
        <w:ind w:left="851"/>
        <w:rPr>
          <w:sz w:val="24"/>
          <w:szCs w:val="24"/>
        </w:rPr>
      </w:pPr>
      <w:r w:rsidRPr="002D6CE1">
        <w:rPr>
          <w:sz w:val="24"/>
          <w:szCs w:val="24"/>
        </w:rPr>
        <w:t xml:space="preserve">Afhængigt af sygdomssituationen kan op til 3 g ascorbinsyre pr. dag anvendes til infusion. </w:t>
      </w:r>
    </w:p>
    <w:p w:rsidR="002D6CE1" w:rsidRPr="002D6CE1" w:rsidRDefault="002D6CE1" w:rsidP="002D6CE1">
      <w:pPr>
        <w:tabs>
          <w:tab w:val="left" w:pos="851"/>
        </w:tabs>
        <w:ind w:left="851"/>
        <w:rPr>
          <w:sz w:val="24"/>
          <w:szCs w:val="24"/>
        </w:rPr>
      </w:pPr>
      <w:r w:rsidRPr="002D6CE1">
        <w:rPr>
          <w:sz w:val="24"/>
          <w:szCs w:val="24"/>
        </w:rPr>
        <w:t>I studier med patienter med de beskrevne indikationer har følgende doser vist sig at være effektive:</w:t>
      </w:r>
    </w:p>
    <w:p w:rsidR="002D6CE1" w:rsidRPr="002D6CE1" w:rsidRDefault="002D6CE1" w:rsidP="002D6CE1">
      <w:pPr>
        <w:tabs>
          <w:tab w:val="left" w:pos="851"/>
        </w:tabs>
        <w:ind w:left="851"/>
        <w:rPr>
          <w:sz w:val="24"/>
          <w:szCs w:val="24"/>
        </w:rPr>
      </w:pPr>
      <w:r w:rsidRPr="002D6CE1">
        <w:rPr>
          <w:sz w:val="24"/>
          <w:szCs w:val="24"/>
        </w:rPr>
        <w:t xml:space="preserve">- Endotel dysfunktion: 1-3 g (20-60 ml) </w:t>
      </w:r>
    </w:p>
    <w:p w:rsidR="002D6CE1" w:rsidRPr="002D6CE1" w:rsidRDefault="002D6CE1" w:rsidP="002D6CE1">
      <w:pPr>
        <w:tabs>
          <w:tab w:val="left" w:pos="851"/>
        </w:tabs>
        <w:ind w:left="851"/>
        <w:rPr>
          <w:sz w:val="24"/>
          <w:szCs w:val="24"/>
        </w:rPr>
      </w:pPr>
      <w:r w:rsidRPr="002D6CE1">
        <w:rPr>
          <w:sz w:val="24"/>
          <w:szCs w:val="24"/>
        </w:rPr>
        <w:t xml:space="preserve">- Efter operation, efter traumer og hos kritisk syge patienter: 2-3 g (40- 60 ml). </w:t>
      </w:r>
    </w:p>
    <w:p w:rsidR="002D6CE1" w:rsidRPr="002D6CE1" w:rsidRDefault="002D6CE1" w:rsidP="002D6CE1">
      <w:pPr>
        <w:tabs>
          <w:tab w:val="left" w:pos="851"/>
        </w:tabs>
        <w:ind w:left="851"/>
        <w:rPr>
          <w:sz w:val="24"/>
          <w:szCs w:val="24"/>
        </w:rPr>
      </w:pPr>
      <w:r w:rsidRPr="002D6CE1">
        <w:rPr>
          <w:sz w:val="24"/>
          <w:szCs w:val="24"/>
        </w:rPr>
        <w:t>- Sepsis: Mindst 1,5 g (30 ml)</w:t>
      </w:r>
    </w:p>
    <w:p w:rsidR="002D6CE1" w:rsidRPr="002D6CE1" w:rsidRDefault="002D6CE1" w:rsidP="002D6CE1">
      <w:pPr>
        <w:tabs>
          <w:tab w:val="left" w:pos="851"/>
        </w:tabs>
        <w:ind w:left="851"/>
        <w:rPr>
          <w:sz w:val="24"/>
          <w:szCs w:val="24"/>
        </w:rPr>
      </w:pPr>
    </w:p>
    <w:p w:rsidR="002D6CE1" w:rsidRPr="002D6CE1" w:rsidRDefault="002D6CE1" w:rsidP="002D6CE1">
      <w:pPr>
        <w:tabs>
          <w:tab w:val="left" w:pos="851"/>
        </w:tabs>
        <w:ind w:left="851"/>
        <w:rPr>
          <w:sz w:val="24"/>
          <w:szCs w:val="24"/>
        </w:rPr>
      </w:pPr>
      <w:r w:rsidRPr="002D6CE1">
        <w:rPr>
          <w:sz w:val="24"/>
          <w:szCs w:val="24"/>
        </w:rPr>
        <w:t>Enkeltdoser på mere end 1 hætteglas er mulige (se pkt. 6.3 og 6.6).</w:t>
      </w:r>
    </w:p>
    <w:p w:rsidR="002D6CE1" w:rsidRPr="002D6CE1" w:rsidRDefault="002D6CE1" w:rsidP="002D6CE1">
      <w:pPr>
        <w:tabs>
          <w:tab w:val="left" w:pos="851"/>
        </w:tabs>
        <w:ind w:left="851"/>
        <w:rPr>
          <w:i/>
          <w:iCs/>
          <w:sz w:val="24"/>
          <w:szCs w:val="24"/>
        </w:rPr>
      </w:pPr>
    </w:p>
    <w:p w:rsidR="002D6CE1" w:rsidRPr="002D6CE1" w:rsidRDefault="002D6CE1" w:rsidP="002D6CE1">
      <w:pPr>
        <w:tabs>
          <w:tab w:val="left" w:pos="851"/>
        </w:tabs>
        <w:ind w:left="851"/>
        <w:rPr>
          <w:i/>
          <w:iCs/>
          <w:sz w:val="24"/>
          <w:szCs w:val="24"/>
        </w:rPr>
      </w:pPr>
      <w:r w:rsidRPr="002D6CE1">
        <w:rPr>
          <w:i/>
          <w:iCs/>
          <w:sz w:val="24"/>
          <w:szCs w:val="24"/>
        </w:rPr>
        <w:t>Pædiatrisk population</w:t>
      </w:r>
    </w:p>
    <w:p w:rsidR="002D6CE1" w:rsidRPr="002D6CE1" w:rsidRDefault="002D6CE1" w:rsidP="002D6CE1">
      <w:pPr>
        <w:tabs>
          <w:tab w:val="left" w:pos="851"/>
        </w:tabs>
        <w:ind w:left="851"/>
        <w:rPr>
          <w:sz w:val="24"/>
          <w:szCs w:val="24"/>
        </w:rPr>
      </w:pPr>
      <w:r w:rsidRPr="002D6CE1">
        <w:rPr>
          <w:sz w:val="24"/>
          <w:szCs w:val="24"/>
        </w:rPr>
        <w:t>Børn under 12 år må ikke få mere end 5-7 mg ascorbinsyre/kg kropsvægt pr. dag. Høje doser af Vitamin C "Pascoe" er kontraindiceret hos børn under 12 år (se pkt. 4.3).</w:t>
      </w:r>
    </w:p>
    <w:p w:rsidR="002D6CE1" w:rsidRPr="002D6CE1" w:rsidRDefault="002D6CE1" w:rsidP="002D6CE1">
      <w:pPr>
        <w:tabs>
          <w:tab w:val="left" w:pos="851"/>
        </w:tabs>
        <w:ind w:left="851"/>
        <w:rPr>
          <w:sz w:val="24"/>
          <w:szCs w:val="24"/>
        </w:rPr>
      </w:pPr>
    </w:p>
    <w:p w:rsidR="002D6CE1" w:rsidRPr="002D6CE1" w:rsidRDefault="002D6CE1" w:rsidP="002D6CE1">
      <w:pPr>
        <w:tabs>
          <w:tab w:val="left" w:pos="851"/>
        </w:tabs>
        <w:ind w:left="851"/>
        <w:rPr>
          <w:sz w:val="24"/>
          <w:szCs w:val="24"/>
        </w:rPr>
      </w:pPr>
      <w:r w:rsidRPr="002D6CE1">
        <w:rPr>
          <w:sz w:val="24"/>
          <w:szCs w:val="24"/>
          <w:u w:val="single"/>
        </w:rPr>
        <w:t>Administration</w:t>
      </w:r>
    </w:p>
    <w:p w:rsidR="002D6CE1" w:rsidRPr="002D6CE1" w:rsidRDefault="002D6CE1" w:rsidP="002D6CE1">
      <w:pPr>
        <w:tabs>
          <w:tab w:val="left" w:pos="851"/>
        </w:tabs>
        <w:ind w:left="851"/>
        <w:rPr>
          <w:sz w:val="24"/>
          <w:szCs w:val="24"/>
        </w:rPr>
      </w:pPr>
      <w:r w:rsidRPr="002D6CE1">
        <w:rPr>
          <w:sz w:val="24"/>
          <w:szCs w:val="24"/>
        </w:rPr>
        <w:t>Til intravenøs injektion eller infusion</w:t>
      </w:r>
    </w:p>
    <w:p w:rsidR="002D6CE1" w:rsidRPr="002D6CE1" w:rsidRDefault="002D6CE1" w:rsidP="002D6CE1">
      <w:pPr>
        <w:tabs>
          <w:tab w:val="left" w:pos="851"/>
        </w:tabs>
        <w:ind w:left="851"/>
        <w:rPr>
          <w:sz w:val="24"/>
          <w:szCs w:val="24"/>
        </w:rPr>
      </w:pPr>
      <w:r w:rsidRPr="002D6CE1">
        <w:rPr>
          <w:sz w:val="24"/>
          <w:szCs w:val="24"/>
        </w:rPr>
        <w:t>Injektions-/infusionsbehandlingen skal udføres af en læge.</w:t>
      </w:r>
    </w:p>
    <w:p w:rsidR="002D6CE1" w:rsidRPr="002D6CE1" w:rsidRDefault="002D6CE1" w:rsidP="002D6CE1">
      <w:pPr>
        <w:tabs>
          <w:tab w:val="left" w:pos="851"/>
        </w:tabs>
        <w:ind w:left="851"/>
        <w:rPr>
          <w:sz w:val="24"/>
          <w:szCs w:val="24"/>
        </w:rPr>
      </w:pPr>
    </w:p>
    <w:p w:rsidR="002D6CE1" w:rsidRPr="002D6CE1" w:rsidRDefault="002D6CE1" w:rsidP="002D6CE1">
      <w:pPr>
        <w:tabs>
          <w:tab w:val="left" w:pos="851"/>
        </w:tabs>
        <w:ind w:left="851"/>
        <w:rPr>
          <w:sz w:val="24"/>
          <w:szCs w:val="24"/>
        </w:rPr>
      </w:pPr>
      <w:r w:rsidRPr="002D6CE1">
        <w:rPr>
          <w:sz w:val="24"/>
          <w:szCs w:val="24"/>
        </w:rPr>
        <w:t>Varigheden af behandlingen afhænger af sygdomsforløbet og resultaterne fra laboratorietest.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37277" w:rsidRPr="00137277" w:rsidRDefault="00137277" w:rsidP="00137277">
      <w:pPr>
        <w:numPr>
          <w:ilvl w:val="0"/>
          <w:numId w:val="8"/>
        </w:numPr>
        <w:tabs>
          <w:tab w:val="left" w:pos="851"/>
        </w:tabs>
        <w:ind w:left="1134" w:hanging="283"/>
        <w:rPr>
          <w:sz w:val="24"/>
          <w:szCs w:val="24"/>
        </w:rPr>
      </w:pPr>
      <w:r w:rsidRPr="00137277">
        <w:rPr>
          <w:sz w:val="24"/>
          <w:szCs w:val="24"/>
        </w:rPr>
        <w:t>Overfølsomhed over for det aktive stof eller over for et eller flere af hjælpestofferne anført i pkt. 6.1.</w:t>
      </w:r>
    </w:p>
    <w:p w:rsidR="00137277" w:rsidRPr="00137277" w:rsidRDefault="00137277" w:rsidP="00137277">
      <w:pPr>
        <w:numPr>
          <w:ilvl w:val="0"/>
          <w:numId w:val="8"/>
        </w:numPr>
        <w:tabs>
          <w:tab w:val="left" w:pos="851"/>
        </w:tabs>
        <w:ind w:left="1134" w:hanging="283"/>
        <w:rPr>
          <w:sz w:val="24"/>
          <w:szCs w:val="24"/>
        </w:rPr>
      </w:pPr>
      <w:r w:rsidRPr="00137277">
        <w:rPr>
          <w:sz w:val="24"/>
          <w:szCs w:val="24"/>
        </w:rPr>
        <w:t>Oxalaturolithiasis, hyperoxaluri.</w:t>
      </w:r>
    </w:p>
    <w:p w:rsidR="00137277" w:rsidRPr="00137277" w:rsidRDefault="00137277" w:rsidP="00137277">
      <w:pPr>
        <w:numPr>
          <w:ilvl w:val="0"/>
          <w:numId w:val="8"/>
        </w:numPr>
        <w:tabs>
          <w:tab w:val="left" w:pos="851"/>
        </w:tabs>
        <w:ind w:left="1134" w:hanging="283"/>
        <w:rPr>
          <w:sz w:val="24"/>
          <w:szCs w:val="24"/>
        </w:rPr>
      </w:pPr>
      <w:r w:rsidRPr="00137277">
        <w:rPr>
          <w:sz w:val="24"/>
          <w:szCs w:val="24"/>
        </w:rPr>
        <w:t>Jernophobning (f.eks. talassæmi, hæmokromatose, sideroblastisk anæmi, transfusioner med erytrocytkoncentrat).</w:t>
      </w:r>
    </w:p>
    <w:p w:rsidR="00137277" w:rsidRPr="00137277" w:rsidRDefault="00137277" w:rsidP="00137277">
      <w:pPr>
        <w:numPr>
          <w:ilvl w:val="0"/>
          <w:numId w:val="8"/>
        </w:numPr>
        <w:tabs>
          <w:tab w:val="left" w:pos="851"/>
        </w:tabs>
        <w:ind w:left="1134" w:hanging="283"/>
        <w:rPr>
          <w:sz w:val="24"/>
          <w:szCs w:val="24"/>
        </w:rPr>
      </w:pPr>
      <w:r w:rsidRPr="00137277">
        <w:rPr>
          <w:sz w:val="24"/>
          <w:szCs w:val="24"/>
        </w:rPr>
        <w:t>Nyreinsufficiens (</w:t>
      </w:r>
      <w:r w:rsidRPr="00137277">
        <w:rPr>
          <w:b/>
          <w:bCs/>
          <w:i/>
          <w:iCs/>
          <w:sz w:val="24"/>
          <w:szCs w:val="24"/>
        </w:rPr>
        <w:t>KDIGO GFR-stadie G4 og 5 (&lt; 30ml/min/1,73m</w:t>
      </w:r>
      <w:r w:rsidRPr="00137277">
        <w:rPr>
          <w:b/>
          <w:bCs/>
          <w:i/>
          <w:iCs/>
          <w:sz w:val="24"/>
          <w:szCs w:val="24"/>
          <w:vertAlign w:val="superscript"/>
        </w:rPr>
        <w:t>2</w:t>
      </w:r>
      <w:r w:rsidRPr="00137277">
        <w:rPr>
          <w:sz w:val="24"/>
          <w:szCs w:val="24"/>
        </w:rPr>
        <w:t>).</w:t>
      </w:r>
    </w:p>
    <w:p w:rsidR="00137277" w:rsidRPr="00137277" w:rsidRDefault="00137277" w:rsidP="00137277">
      <w:pPr>
        <w:numPr>
          <w:ilvl w:val="0"/>
          <w:numId w:val="8"/>
        </w:numPr>
        <w:tabs>
          <w:tab w:val="left" w:pos="851"/>
        </w:tabs>
        <w:ind w:left="1134" w:hanging="283"/>
        <w:rPr>
          <w:sz w:val="24"/>
          <w:szCs w:val="24"/>
        </w:rPr>
      </w:pPr>
      <w:r w:rsidRPr="00137277">
        <w:rPr>
          <w:sz w:val="24"/>
          <w:szCs w:val="24"/>
        </w:rPr>
        <w:t>Glucose 6 phosphat dehydrogenase mangel/-defekt.</w:t>
      </w:r>
    </w:p>
    <w:p w:rsidR="00137277" w:rsidRPr="00137277" w:rsidRDefault="00137277" w:rsidP="00137277">
      <w:pPr>
        <w:numPr>
          <w:ilvl w:val="0"/>
          <w:numId w:val="8"/>
        </w:numPr>
        <w:tabs>
          <w:tab w:val="left" w:pos="851"/>
        </w:tabs>
        <w:ind w:left="1134" w:hanging="283"/>
        <w:rPr>
          <w:sz w:val="24"/>
          <w:szCs w:val="24"/>
        </w:rPr>
      </w:pPr>
      <w:r w:rsidRPr="00137277">
        <w:rPr>
          <w:sz w:val="24"/>
          <w:szCs w:val="24"/>
        </w:rPr>
        <w:t>Børn under 12 år: høje doser af C-vitamin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37277" w:rsidRPr="00137277" w:rsidRDefault="00137277" w:rsidP="00137277">
      <w:pPr>
        <w:tabs>
          <w:tab w:val="left" w:pos="851"/>
        </w:tabs>
        <w:ind w:left="851"/>
        <w:rPr>
          <w:sz w:val="24"/>
          <w:szCs w:val="24"/>
        </w:rPr>
      </w:pPr>
    </w:p>
    <w:p w:rsidR="00137277" w:rsidRPr="00137277" w:rsidRDefault="00137277" w:rsidP="00137277">
      <w:pPr>
        <w:tabs>
          <w:tab w:val="left" w:pos="851"/>
        </w:tabs>
        <w:ind w:left="851"/>
        <w:rPr>
          <w:b/>
          <w:bCs/>
          <w:sz w:val="24"/>
          <w:szCs w:val="24"/>
        </w:rPr>
      </w:pPr>
      <w:r w:rsidRPr="00137277">
        <w:rPr>
          <w:b/>
          <w:bCs/>
          <w:sz w:val="24"/>
          <w:szCs w:val="24"/>
        </w:rPr>
        <w:t>Nyreinsufficiens (KDIGO GFR-stadie G3 (30 til &lt; 60 ml/min/1,73 m</w:t>
      </w:r>
      <w:r w:rsidRPr="00137277">
        <w:rPr>
          <w:b/>
          <w:bCs/>
          <w:sz w:val="24"/>
          <w:szCs w:val="24"/>
          <w:vertAlign w:val="superscript"/>
        </w:rPr>
        <w:t>2</w:t>
      </w:r>
      <w:r w:rsidRPr="00137277">
        <w:rPr>
          <w:b/>
          <w:bCs/>
          <w:sz w:val="24"/>
          <w:szCs w:val="24"/>
        </w:rPr>
        <w:t>)</w:t>
      </w:r>
    </w:p>
    <w:p w:rsidR="00137277" w:rsidRPr="00137277" w:rsidRDefault="00137277" w:rsidP="00137277">
      <w:pPr>
        <w:tabs>
          <w:tab w:val="left" w:pos="851"/>
        </w:tabs>
        <w:ind w:left="851"/>
        <w:rPr>
          <w:sz w:val="24"/>
          <w:szCs w:val="24"/>
        </w:rPr>
      </w:pPr>
      <w:r w:rsidRPr="00137277">
        <w:rPr>
          <w:sz w:val="24"/>
          <w:szCs w:val="24"/>
        </w:rPr>
        <w:t>Patienter med nedsat nyrefunktion har en højere risiko for oxalatudfældning i urinen på grund af tilskud af C-vitamin. Derfor bør der foretages en tæt monitorering af nyrefunktionen (f.eks. GFR, albumin).</w:t>
      </w:r>
    </w:p>
    <w:p w:rsidR="00137277" w:rsidRPr="00137277" w:rsidRDefault="00137277" w:rsidP="00137277">
      <w:pPr>
        <w:tabs>
          <w:tab w:val="left" w:pos="851"/>
        </w:tabs>
        <w:ind w:left="851"/>
        <w:rPr>
          <w:sz w:val="24"/>
          <w:szCs w:val="24"/>
        </w:rPr>
      </w:pPr>
    </w:p>
    <w:p w:rsidR="00137277" w:rsidRPr="00137277" w:rsidRDefault="00137277" w:rsidP="00137277">
      <w:pPr>
        <w:tabs>
          <w:tab w:val="left" w:pos="851"/>
        </w:tabs>
        <w:ind w:left="851"/>
        <w:rPr>
          <w:sz w:val="24"/>
          <w:szCs w:val="24"/>
        </w:rPr>
      </w:pPr>
      <w:r w:rsidRPr="00137277">
        <w:rPr>
          <w:sz w:val="24"/>
          <w:szCs w:val="24"/>
        </w:rPr>
        <w:t>Patienter, der er disponeret for at danne nyresten, risikerer at udvikle calciumoxalatsten, når de anvender høje doser C-vitamin. Det frarådes at overskride en daglig indtagelse af C-vitamin på 100-200 mg hos patienter, der tidligere har lidt af tilbagevendende nyresten.</w:t>
      </w:r>
    </w:p>
    <w:p w:rsidR="00137277" w:rsidRPr="00137277" w:rsidRDefault="00137277" w:rsidP="00137277">
      <w:pPr>
        <w:tabs>
          <w:tab w:val="left" w:pos="851"/>
        </w:tabs>
        <w:ind w:left="851"/>
        <w:rPr>
          <w:sz w:val="24"/>
          <w:szCs w:val="24"/>
        </w:rPr>
      </w:pPr>
    </w:p>
    <w:p w:rsidR="00137277" w:rsidRPr="00137277" w:rsidRDefault="00137277" w:rsidP="00137277">
      <w:pPr>
        <w:tabs>
          <w:tab w:val="left" w:pos="851"/>
        </w:tabs>
        <w:ind w:left="851"/>
        <w:rPr>
          <w:sz w:val="24"/>
          <w:szCs w:val="24"/>
        </w:rPr>
      </w:pPr>
      <w:r w:rsidRPr="00137277">
        <w:rPr>
          <w:sz w:val="24"/>
          <w:szCs w:val="24"/>
        </w:rPr>
        <w:t>Dette lægemiddel indeholder 324 mg natrium pr. hætteglas, svarende til 16 % af den WHO anbefalede</w:t>
      </w:r>
      <w:r>
        <w:rPr>
          <w:sz w:val="24"/>
          <w:szCs w:val="24"/>
        </w:rPr>
        <w:t xml:space="preserve"> </w:t>
      </w:r>
      <w:r w:rsidRPr="00137277">
        <w:rPr>
          <w:sz w:val="24"/>
          <w:szCs w:val="24"/>
        </w:rPr>
        <w:t xml:space="preserve">maksimale daglige indtagelse af 2 g natrium for en voksen. </w:t>
      </w:r>
    </w:p>
    <w:p w:rsidR="00137277" w:rsidRPr="00137277" w:rsidRDefault="00137277" w:rsidP="00137277">
      <w:pPr>
        <w:tabs>
          <w:tab w:val="left" w:pos="851"/>
        </w:tabs>
        <w:ind w:left="851"/>
        <w:rPr>
          <w:sz w:val="24"/>
          <w:szCs w:val="24"/>
        </w:rPr>
      </w:pPr>
      <w:r w:rsidRPr="00137277">
        <w:rPr>
          <w:sz w:val="24"/>
          <w:szCs w:val="24"/>
        </w:rPr>
        <w:t>Der skal sikres tilstrækkelig væskeindtagelse (cirka 1,5-2 l om dagen).</w:t>
      </w:r>
    </w:p>
    <w:p w:rsidR="00137277" w:rsidRPr="00137277" w:rsidRDefault="00137277" w:rsidP="00137277">
      <w:pPr>
        <w:tabs>
          <w:tab w:val="left" w:pos="851"/>
        </w:tabs>
        <w:ind w:left="851"/>
        <w:rPr>
          <w:sz w:val="24"/>
          <w:szCs w:val="24"/>
        </w:rPr>
      </w:pPr>
      <w:r w:rsidRPr="00137277">
        <w:rPr>
          <w:sz w:val="24"/>
          <w:szCs w:val="24"/>
        </w:rPr>
        <w:lastRenderedPageBreak/>
        <w:t>Det anbefales også at undgå yderligere oxalatrige fødevarer under behandlingen med ascorbinsyre</w:t>
      </w:r>
    </w:p>
    <w:p w:rsidR="00137277" w:rsidRPr="00137277" w:rsidRDefault="00137277" w:rsidP="00137277">
      <w:pPr>
        <w:tabs>
          <w:tab w:val="left" w:pos="851"/>
        </w:tabs>
        <w:ind w:left="851"/>
        <w:rPr>
          <w:sz w:val="24"/>
          <w:szCs w:val="24"/>
        </w:rPr>
      </w:pPr>
    </w:p>
    <w:p w:rsidR="00137277" w:rsidRPr="00137277" w:rsidRDefault="00137277" w:rsidP="00137277">
      <w:pPr>
        <w:tabs>
          <w:tab w:val="left" w:pos="851"/>
        </w:tabs>
        <w:ind w:left="851"/>
        <w:rPr>
          <w:sz w:val="24"/>
          <w:szCs w:val="24"/>
        </w:rPr>
      </w:pPr>
      <w:r w:rsidRPr="00137277">
        <w:rPr>
          <w:i/>
          <w:iCs/>
          <w:sz w:val="24"/>
          <w:szCs w:val="24"/>
          <w:u w:val="single"/>
        </w:rPr>
        <w:t>Bemærk</w:t>
      </w:r>
    </w:p>
    <w:p w:rsidR="00137277" w:rsidRPr="00137277" w:rsidRDefault="00137277" w:rsidP="00137277">
      <w:pPr>
        <w:tabs>
          <w:tab w:val="left" w:pos="851"/>
        </w:tabs>
        <w:ind w:left="851"/>
        <w:rPr>
          <w:sz w:val="24"/>
          <w:szCs w:val="24"/>
        </w:rPr>
      </w:pPr>
      <w:r w:rsidRPr="00137277">
        <w:rPr>
          <w:sz w:val="24"/>
          <w:szCs w:val="24"/>
        </w:rPr>
        <w:t>Efter administrationen af gramdoser kan niveauet af ascorbinsyre i urinen stige så meget, at det kan påvirke udførelsen af test for visse klinisk kemiske parametre (glucose, urinsyre, kreatinin, uorganisk phosphat), og testene kan give falske resultater. Test for okkult blod i afføringen kan også give falsk negative resultater.</w:t>
      </w:r>
    </w:p>
    <w:p w:rsidR="00137277" w:rsidRPr="00137277" w:rsidRDefault="00137277" w:rsidP="00137277">
      <w:pPr>
        <w:tabs>
          <w:tab w:val="left" w:pos="851"/>
        </w:tabs>
        <w:ind w:left="851"/>
        <w:rPr>
          <w:sz w:val="24"/>
          <w:szCs w:val="24"/>
        </w:rPr>
      </w:pPr>
    </w:p>
    <w:p w:rsidR="00137277" w:rsidRPr="00137277" w:rsidRDefault="00137277" w:rsidP="00137277">
      <w:pPr>
        <w:tabs>
          <w:tab w:val="left" w:pos="851"/>
        </w:tabs>
        <w:ind w:left="851"/>
        <w:rPr>
          <w:b/>
          <w:bCs/>
          <w:sz w:val="24"/>
          <w:szCs w:val="24"/>
        </w:rPr>
      </w:pPr>
      <w:r w:rsidRPr="00137277">
        <w:rPr>
          <w:b/>
          <w:bCs/>
          <w:sz w:val="24"/>
          <w:szCs w:val="24"/>
        </w:rPr>
        <w:t>Bemærkning vedrørende behandling af diabetespatienter</w:t>
      </w:r>
    </w:p>
    <w:p w:rsidR="00137277" w:rsidRPr="00137277" w:rsidRDefault="00137277" w:rsidP="00137277">
      <w:pPr>
        <w:tabs>
          <w:tab w:val="left" w:pos="851"/>
        </w:tabs>
        <w:ind w:left="851"/>
        <w:rPr>
          <w:sz w:val="24"/>
          <w:szCs w:val="24"/>
        </w:rPr>
      </w:pPr>
      <w:r w:rsidRPr="00137277">
        <w:rPr>
          <w:sz w:val="24"/>
          <w:szCs w:val="24"/>
        </w:rPr>
        <w:t>Parenteralt administreret ascorbinsyre kan påvirke analysen til bestemmelse af blodglucose.</w:t>
      </w:r>
    </w:p>
    <w:p w:rsidR="009260DE" w:rsidRPr="00C84483" w:rsidRDefault="009260DE" w:rsidP="00137277">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A039F" w:rsidRPr="004A039F" w:rsidRDefault="004A039F" w:rsidP="004A039F">
      <w:pPr>
        <w:tabs>
          <w:tab w:val="left" w:pos="851"/>
        </w:tabs>
        <w:ind w:left="851"/>
        <w:rPr>
          <w:sz w:val="24"/>
          <w:szCs w:val="24"/>
        </w:rPr>
      </w:pPr>
      <w:r w:rsidRPr="004A039F">
        <w:rPr>
          <w:sz w:val="24"/>
          <w:szCs w:val="24"/>
        </w:rPr>
        <w:t>Store doser ascorbinsyre kan gøre urinen sur, hvilket kan forårsage uventet renal tubulær reabsorption af sure lægemidler og dermed overdrevet respons. Omvendt kan basiske lægemidler udvise nedsat reabsorption, hvilket medfører en nedsat terapeutisk virkning. Store doser kan nedsætte respons på orale antikoagulantia.</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Ascorbinsyre, der gives sammen med desferrioxamin til patienter med jernophobning for at få bedre jernudskillelse, kan forværre jerntoksiciteten, især for hjertet, i begyndelsen af behandlingen, hvor der er ekstra vævsjern. Derfor anbefales det, at patienter med normal hjertefunktion ikke får ascorbinsyre den første måned, efter at de er startet på desferrioxamin. Ascorbinsyre bør ikke gives sammen med desferrioxamin til patienter med hjertedysfunktion.</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Patienter med nyresvigt, der får syreneutraliserende midler med aluminium og oralt citrat, kan udvikle en potentielt dødelig encefalopati på grund af markant øgede niveauer af aluminium i blodet. Der er tegn på, at C-vitamin kan interagere på samme måde.</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Det er rapporteret, at samtidig administration af ascorbinsyre og fluphenazin har medført nedsatte plasmakoncentrationer af fluphenazin.</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Ascorbinsyre er et stærkt reduktionsmiddel og påvirker adskillige laboratorietest baseret på oxidations reduktionsreaktioner. Specialiserede referencer bør konsulteres for specifikke oplysninger om laboratorietest interferens forårsaget af ascorbinsyre. En tidsforskel på 1 dag fra administration af Vitamin C "Pascoe" og laboratorietesten bør overvejes.</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Da der ikke foreligger omfattende kliniske data, bør høje doser af C-vitamin tages tidsforskudt i forhold til kemoterapi eller strålebehandling. Hvis C-vitamin indgives før kemoterapi/strålebehandling, anbefales en tidsmæssig forskel på 24 timer. Hvis C vitamin indgives efter kemoterapi/strålebehandling, bør der være et interval på mindst 24 timer. For kemoterapeutika med en halveringstid &gt; 6 timer, bør der være et interval på 3-4 halveringstider.</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Lægemidler, der inducerer vævsdesaturation af ascorbinsyre, omfatter acetylsalicylsyre, nicotin fra cigaretter, alkohol, flere appetitnedsættende midler, jern, phenytoin, visse antikonvulsiva, østrogenkomponenten af orale præventionsmidler og tetracyclin.</w:t>
      </w:r>
    </w:p>
    <w:p w:rsidR="004A039F" w:rsidRDefault="004A039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4A039F" w:rsidRDefault="004A039F" w:rsidP="004A039F">
      <w:pPr>
        <w:tabs>
          <w:tab w:val="left" w:pos="851"/>
        </w:tabs>
        <w:ind w:left="851"/>
        <w:rPr>
          <w:sz w:val="24"/>
          <w:szCs w:val="24"/>
          <w:u w:val="single"/>
        </w:rPr>
      </w:pPr>
    </w:p>
    <w:p w:rsidR="004A039F" w:rsidRPr="004A039F" w:rsidRDefault="004A039F" w:rsidP="004A039F">
      <w:pPr>
        <w:tabs>
          <w:tab w:val="left" w:pos="851"/>
        </w:tabs>
        <w:ind w:left="851"/>
        <w:rPr>
          <w:sz w:val="24"/>
          <w:szCs w:val="24"/>
          <w:u w:val="single"/>
        </w:rPr>
      </w:pPr>
      <w:r w:rsidRPr="004A039F">
        <w:rPr>
          <w:sz w:val="24"/>
          <w:szCs w:val="24"/>
          <w:u w:val="single"/>
        </w:rPr>
        <w:t>Graviditet og amning</w:t>
      </w:r>
    </w:p>
    <w:p w:rsidR="004A039F" w:rsidRPr="004A039F" w:rsidRDefault="004A039F" w:rsidP="004A039F">
      <w:pPr>
        <w:tabs>
          <w:tab w:val="left" w:pos="851"/>
        </w:tabs>
        <w:ind w:left="851"/>
        <w:rPr>
          <w:sz w:val="24"/>
          <w:szCs w:val="24"/>
        </w:rPr>
      </w:pPr>
      <w:r w:rsidRPr="004A039F">
        <w:rPr>
          <w:sz w:val="24"/>
          <w:szCs w:val="24"/>
        </w:rPr>
        <w:t>Ascorbinsyre passerer placentabarrieren og udskilles i modermælken.</w:t>
      </w:r>
    </w:p>
    <w:p w:rsidR="004A039F" w:rsidRPr="004A039F" w:rsidRDefault="004A039F" w:rsidP="004A039F">
      <w:pPr>
        <w:tabs>
          <w:tab w:val="left" w:pos="851"/>
        </w:tabs>
        <w:ind w:left="851"/>
        <w:rPr>
          <w:sz w:val="24"/>
          <w:szCs w:val="24"/>
        </w:rPr>
      </w:pPr>
      <w:r w:rsidRPr="004A039F">
        <w:rPr>
          <w:sz w:val="24"/>
          <w:szCs w:val="24"/>
        </w:rPr>
        <w:t>Dyreforsøg indikerer ikke direkte eller indirekte skadelige virkninger med hensyn til reproduktionstoksicitet (se pkt. 5.3).</w:t>
      </w:r>
    </w:p>
    <w:p w:rsidR="004A039F" w:rsidRPr="004A039F" w:rsidRDefault="004A039F" w:rsidP="004A039F">
      <w:pPr>
        <w:tabs>
          <w:tab w:val="left" w:pos="851"/>
        </w:tabs>
        <w:ind w:left="851"/>
        <w:rPr>
          <w:sz w:val="24"/>
          <w:szCs w:val="24"/>
        </w:rPr>
      </w:pPr>
      <w:r w:rsidRPr="004A039F">
        <w:rPr>
          <w:sz w:val="24"/>
          <w:szCs w:val="24"/>
        </w:rPr>
        <w:t>Daglige doser på 100 til 500 mg ascorbinsyre bør ikke overskrides hos gravide og kvinder der ammer. På grund af det høje indhold af C-vitamin er Vitamin C "Pascoe" ikke egnet til brug ved graviditet.</w:t>
      </w:r>
    </w:p>
    <w:p w:rsidR="004A039F" w:rsidRPr="004A039F" w:rsidRDefault="004A039F" w:rsidP="004A039F">
      <w:pPr>
        <w:tabs>
          <w:tab w:val="left" w:pos="851"/>
        </w:tabs>
        <w:ind w:left="851"/>
        <w:rPr>
          <w:sz w:val="24"/>
          <w:szCs w:val="24"/>
          <w:u w:val="single"/>
        </w:rPr>
      </w:pPr>
    </w:p>
    <w:p w:rsidR="004A039F" w:rsidRPr="004A039F" w:rsidRDefault="004A039F" w:rsidP="004A039F">
      <w:pPr>
        <w:tabs>
          <w:tab w:val="left" w:pos="851"/>
        </w:tabs>
        <w:ind w:left="851"/>
        <w:rPr>
          <w:sz w:val="24"/>
          <w:szCs w:val="24"/>
          <w:u w:val="single"/>
        </w:rPr>
      </w:pPr>
      <w:r w:rsidRPr="004A039F">
        <w:rPr>
          <w:sz w:val="24"/>
          <w:szCs w:val="24"/>
          <w:u w:val="single"/>
        </w:rPr>
        <w:t>Fertilitet</w:t>
      </w:r>
    </w:p>
    <w:p w:rsidR="004A039F" w:rsidRPr="004A039F" w:rsidRDefault="004A039F" w:rsidP="004A039F">
      <w:pPr>
        <w:tabs>
          <w:tab w:val="left" w:pos="851"/>
        </w:tabs>
        <w:ind w:left="851"/>
        <w:rPr>
          <w:sz w:val="24"/>
          <w:szCs w:val="24"/>
        </w:rPr>
      </w:pPr>
      <w:r w:rsidRPr="004A039F">
        <w:rPr>
          <w:sz w:val="24"/>
          <w:szCs w:val="24"/>
        </w:rPr>
        <w:t>Dyreforsøg indikerer ikke direkte eller indirekte skadelige virkninger med hensyn til reproduktionstoksicitet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4A039F" w:rsidRPr="004A039F" w:rsidRDefault="004A039F" w:rsidP="004A039F">
      <w:pPr>
        <w:tabs>
          <w:tab w:val="left" w:pos="851"/>
        </w:tabs>
        <w:ind w:left="851"/>
        <w:rPr>
          <w:sz w:val="24"/>
          <w:szCs w:val="24"/>
        </w:rPr>
      </w:pPr>
      <w:r w:rsidRPr="004A039F">
        <w:rPr>
          <w:sz w:val="24"/>
          <w:szCs w:val="24"/>
        </w:rPr>
        <w:t>Ikke mærkning.</w:t>
      </w:r>
    </w:p>
    <w:p w:rsidR="004A039F" w:rsidRPr="004A039F" w:rsidRDefault="004A039F" w:rsidP="004A039F">
      <w:pPr>
        <w:tabs>
          <w:tab w:val="left" w:pos="851"/>
        </w:tabs>
        <w:ind w:left="851"/>
        <w:rPr>
          <w:sz w:val="24"/>
          <w:szCs w:val="24"/>
        </w:rPr>
      </w:pPr>
      <w:r w:rsidRPr="004A039F">
        <w:rPr>
          <w:sz w:val="24"/>
          <w:szCs w:val="24"/>
        </w:rPr>
        <w:t>Der er ikke foretaget studier af virkningen på evnen til at føre motorkøretøj og betjene maskiner. Hvis der opstår bivirkninger som beskrevet i pkt. 4.8 (svimmelhed, sløret syn), kan evnen til at føre motorkøretøj og betjene maskiner imidlertid blive forringet.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A039F" w:rsidRPr="004A039F" w:rsidRDefault="004A039F" w:rsidP="004A039F">
      <w:pPr>
        <w:tabs>
          <w:tab w:val="left" w:pos="851"/>
        </w:tabs>
        <w:ind w:left="851"/>
        <w:rPr>
          <w:sz w:val="24"/>
          <w:szCs w:val="24"/>
        </w:rPr>
      </w:pPr>
      <w:r w:rsidRPr="004A039F">
        <w:rPr>
          <w:sz w:val="24"/>
          <w:szCs w:val="24"/>
        </w:rPr>
        <w:t>Bivirkninger er kategoriseret efter hyppighed som følger:</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Meget almindelig (≥ 1/10)</w:t>
      </w:r>
    </w:p>
    <w:p w:rsidR="004A039F" w:rsidRPr="004A039F" w:rsidRDefault="004A039F" w:rsidP="004A039F">
      <w:pPr>
        <w:tabs>
          <w:tab w:val="left" w:pos="851"/>
        </w:tabs>
        <w:ind w:left="851"/>
        <w:rPr>
          <w:sz w:val="24"/>
          <w:szCs w:val="24"/>
        </w:rPr>
      </w:pPr>
      <w:r w:rsidRPr="004A039F">
        <w:rPr>
          <w:sz w:val="24"/>
          <w:szCs w:val="24"/>
        </w:rPr>
        <w:t>Almindelig (≥ 1/100 til &lt; 1/10)</w:t>
      </w:r>
    </w:p>
    <w:p w:rsidR="004A039F" w:rsidRPr="004A039F" w:rsidRDefault="004A039F" w:rsidP="004A039F">
      <w:pPr>
        <w:tabs>
          <w:tab w:val="left" w:pos="851"/>
        </w:tabs>
        <w:ind w:left="851"/>
        <w:rPr>
          <w:sz w:val="24"/>
          <w:szCs w:val="24"/>
        </w:rPr>
      </w:pPr>
      <w:r w:rsidRPr="004A039F">
        <w:rPr>
          <w:sz w:val="24"/>
          <w:szCs w:val="24"/>
        </w:rPr>
        <w:t>Ikke almindelig (≥ 1/1.000 til &lt; 1/100)</w:t>
      </w:r>
    </w:p>
    <w:p w:rsidR="004A039F" w:rsidRPr="004A039F" w:rsidRDefault="004A039F" w:rsidP="004A039F">
      <w:pPr>
        <w:tabs>
          <w:tab w:val="left" w:pos="851"/>
        </w:tabs>
        <w:ind w:left="851"/>
        <w:rPr>
          <w:sz w:val="24"/>
          <w:szCs w:val="24"/>
        </w:rPr>
      </w:pPr>
      <w:r w:rsidRPr="004A039F">
        <w:rPr>
          <w:sz w:val="24"/>
          <w:szCs w:val="24"/>
        </w:rPr>
        <w:t>Sjælden (≥ 1/10.000 til &lt; 1/1.000)</w:t>
      </w:r>
    </w:p>
    <w:p w:rsidR="004A039F" w:rsidRPr="004A039F" w:rsidRDefault="004A039F" w:rsidP="004A039F">
      <w:pPr>
        <w:tabs>
          <w:tab w:val="left" w:pos="851"/>
        </w:tabs>
        <w:ind w:left="851"/>
        <w:rPr>
          <w:sz w:val="24"/>
          <w:szCs w:val="24"/>
        </w:rPr>
      </w:pPr>
      <w:r w:rsidRPr="004A039F">
        <w:rPr>
          <w:sz w:val="24"/>
          <w:szCs w:val="24"/>
        </w:rPr>
        <w:t>Meget sjælden (&lt; 1/10.000)</w:t>
      </w:r>
    </w:p>
    <w:p w:rsidR="004A039F" w:rsidRPr="004A039F" w:rsidRDefault="004A039F" w:rsidP="004A039F">
      <w:pPr>
        <w:tabs>
          <w:tab w:val="left" w:pos="851"/>
        </w:tabs>
        <w:ind w:left="851"/>
        <w:rPr>
          <w:sz w:val="24"/>
          <w:szCs w:val="24"/>
        </w:rPr>
      </w:pPr>
      <w:r w:rsidRPr="004A039F">
        <w:rPr>
          <w:sz w:val="24"/>
          <w:szCs w:val="24"/>
        </w:rPr>
        <w:t>Ikke kendt (kan ikke estimeres ud fra forhåndenværende data)</w:t>
      </w:r>
    </w:p>
    <w:p w:rsidR="004A039F" w:rsidRPr="004A039F" w:rsidRDefault="004A039F" w:rsidP="004A039F">
      <w:pPr>
        <w:tabs>
          <w:tab w:val="left" w:pos="851"/>
        </w:tabs>
        <w:ind w:left="851"/>
        <w:rPr>
          <w:sz w:val="24"/>
          <w:szCs w:val="24"/>
        </w:rPr>
      </w:pPr>
    </w:p>
    <w:p w:rsidR="004A039F" w:rsidRPr="004A039F" w:rsidRDefault="004A039F" w:rsidP="00502513">
      <w:pPr>
        <w:ind w:left="3402" w:hanging="2551"/>
        <w:rPr>
          <w:i/>
          <w:iCs/>
          <w:sz w:val="24"/>
          <w:szCs w:val="24"/>
        </w:rPr>
      </w:pPr>
      <w:r w:rsidRPr="004A039F">
        <w:rPr>
          <w:i/>
          <w:iCs/>
          <w:sz w:val="24"/>
          <w:szCs w:val="24"/>
        </w:rPr>
        <w:t xml:space="preserve">Luftveje, thorax og mediastinum: </w:t>
      </w:r>
    </w:p>
    <w:p w:rsidR="004A039F" w:rsidRPr="004A039F" w:rsidRDefault="004A039F" w:rsidP="00502513">
      <w:pPr>
        <w:ind w:left="3402" w:hanging="2551"/>
        <w:rPr>
          <w:sz w:val="24"/>
          <w:szCs w:val="24"/>
        </w:rPr>
      </w:pPr>
      <w:r w:rsidRPr="004A039F">
        <w:rPr>
          <w:sz w:val="24"/>
          <w:szCs w:val="24"/>
        </w:rPr>
        <w:t>Meget sjælden:</w:t>
      </w:r>
      <w:r w:rsidRPr="004A039F">
        <w:rPr>
          <w:sz w:val="24"/>
          <w:szCs w:val="24"/>
        </w:rPr>
        <w:tab/>
        <w:t>Respiratoriske overfølsomhedsreaktioner, f.eks. dyspnø/åndedrætsbesvær.</w:t>
      </w:r>
    </w:p>
    <w:p w:rsidR="004A039F" w:rsidRPr="004A039F" w:rsidRDefault="004A039F" w:rsidP="00502513">
      <w:pPr>
        <w:ind w:left="3402" w:hanging="2551"/>
        <w:rPr>
          <w:sz w:val="24"/>
          <w:szCs w:val="24"/>
        </w:rPr>
      </w:pPr>
    </w:p>
    <w:p w:rsidR="004A039F" w:rsidRPr="004A039F" w:rsidRDefault="004A039F" w:rsidP="00502513">
      <w:pPr>
        <w:ind w:left="3402" w:hanging="2551"/>
        <w:rPr>
          <w:i/>
          <w:iCs/>
          <w:sz w:val="24"/>
          <w:szCs w:val="24"/>
        </w:rPr>
      </w:pPr>
      <w:r w:rsidRPr="004A039F">
        <w:rPr>
          <w:i/>
          <w:iCs/>
          <w:sz w:val="24"/>
          <w:szCs w:val="24"/>
        </w:rPr>
        <w:t>Hud og subkutane væv:</w:t>
      </w:r>
    </w:p>
    <w:p w:rsidR="004A039F" w:rsidRPr="004A039F" w:rsidRDefault="004A039F" w:rsidP="00502513">
      <w:pPr>
        <w:ind w:left="3402" w:hanging="2551"/>
        <w:rPr>
          <w:sz w:val="24"/>
          <w:szCs w:val="24"/>
        </w:rPr>
      </w:pPr>
      <w:r w:rsidRPr="004A039F">
        <w:rPr>
          <w:sz w:val="24"/>
          <w:szCs w:val="24"/>
        </w:rPr>
        <w:t>Meget sjælden:</w:t>
      </w:r>
      <w:r w:rsidRPr="004A039F">
        <w:rPr>
          <w:sz w:val="24"/>
          <w:szCs w:val="24"/>
        </w:rPr>
        <w:tab/>
        <w:t>Kutane overfølsomhedsreaktioner, f.eks. exanthem, urticaria, pruritus.</w:t>
      </w:r>
    </w:p>
    <w:p w:rsidR="004A039F" w:rsidRPr="004A039F" w:rsidRDefault="004A039F" w:rsidP="00502513">
      <w:pPr>
        <w:ind w:left="3402" w:hanging="2551"/>
        <w:rPr>
          <w:sz w:val="24"/>
          <w:szCs w:val="24"/>
        </w:rPr>
      </w:pPr>
    </w:p>
    <w:p w:rsidR="004A039F" w:rsidRPr="004A039F" w:rsidRDefault="004A039F" w:rsidP="00502513">
      <w:pPr>
        <w:ind w:left="3402" w:hanging="2551"/>
        <w:rPr>
          <w:i/>
          <w:iCs/>
          <w:sz w:val="24"/>
          <w:szCs w:val="24"/>
        </w:rPr>
      </w:pPr>
      <w:r w:rsidRPr="004A039F">
        <w:rPr>
          <w:i/>
          <w:iCs/>
          <w:sz w:val="24"/>
          <w:szCs w:val="24"/>
        </w:rPr>
        <w:t>Vaskulære sygdomme:</w:t>
      </w:r>
    </w:p>
    <w:p w:rsidR="004A039F" w:rsidRPr="004A039F" w:rsidRDefault="004A039F" w:rsidP="00502513">
      <w:pPr>
        <w:ind w:left="3402" w:hanging="2551"/>
        <w:rPr>
          <w:sz w:val="24"/>
          <w:szCs w:val="24"/>
        </w:rPr>
      </w:pPr>
      <w:r w:rsidRPr="004A039F">
        <w:rPr>
          <w:sz w:val="24"/>
          <w:szCs w:val="24"/>
        </w:rPr>
        <w:t xml:space="preserve">Meget sjælden: </w:t>
      </w:r>
      <w:r w:rsidRPr="004A039F">
        <w:rPr>
          <w:sz w:val="24"/>
          <w:szCs w:val="24"/>
        </w:rPr>
        <w:tab/>
        <w:t>Forbigående kredsløbsproblemer (f.eks. svimmelhed, kvalme, cephalgia, nedsat syn)</w:t>
      </w:r>
    </w:p>
    <w:p w:rsidR="004A039F" w:rsidRPr="004A039F" w:rsidRDefault="004A039F" w:rsidP="00502513">
      <w:pPr>
        <w:ind w:left="3402" w:hanging="2551"/>
        <w:rPr>
          <w:sz w:val="24"/>
          <w:szCs w:val="24"/>
        </w:rPr>
      </w:pPr>
    </w:p>
    <w:p w:rsidR="004A039F" w:rsidRPr="004A039F" w:rsidRDefault="004A039F" w:rsidP="00502513">
      <w:pPr>
        <w:ind w:left="3402" w:hanging="2551"/>
        <w:rPr>
          <w:i/>
          <w:iCs/>
          <w:sz w:val="24"/>
          <w:szCs w:val="24"/>
        </w:rPr>
      </w:pPr>
      <w:r w:rsidRPr="004A039F">
        <w:rPr>
          <w:i/>
          <w:iCs/>
          <w:sz w:val="24"/>
          <w:szCs w:val="24"/>
        </w:rPr>
        <w:t>Infektioner og parasitære sygdomme:</w:t>
      </w:r>
    </w:p>
    <w:p w:rsidR="004A039F" w:rsidRPr="004A039F" w:rsidRDefault="004A039F" w:rsidP="00502513">
      <w:pPr>
        <w:ind w:left="3402" w:hanging="2551"/>
        <w:rPr>
          <w:sz w:val="24"/>
          <w:szCs w:val="24"/>
        </w:rPr>
      </w:pPr>
      <w:r w:rsidRPr="004A039F">
        <w:rPr>
          <w:sz w:val="24"/>
          <w:szCs w:val="24"/>
        </w:rPr>
        <w:t>Meget sjælden:</w:t>
      </w:r>
      <w:r w:rsidRPr="004A039F">
        <w:rPr>
          <w:sz w:val="24"/>
          <w:szCs w:val="24"/>
        </w:rPr>
        <w:tab/>
        <w:t>Reaktioner såsom kulderystelser og forhøjet temperatur blev observeret hos patienter med akutte infektioner.</w:t>
      </w:r>
    </w:p>
    <w:p w:rsidR="004A039F" w:rsidRPr="004A039F" w:rsidRDefault="004A039F" w:rsidP="00502513">
      <w:pPr>
        <w:ind w:left="3402" w:hanging="2551"/>
        <w:rPr>
          <w:sz w:val="24"/>
          <w:szCs w:val="24"/>
        </w:rPr>
      </w:pPr>
    </w:p>
    <w:p w:rsidR="004A039F" w:rsidRPr="004A039F" w:rsidRDefault="004A039F" w:rsidP="00502513">
      <w:pPr>
        <w:ind w:left="3402" w:hanging="2551"/>
        <w:rPr>
          <w:i/>
          <w:iCs/>
          <w:sz w:val="24"/>
          <w:szCs w:val="24"/>
        </w:rPr>
      </w:pPr>
      <w:r w:rsidRPr="004A039F">
        <w:rPr>
          <w:i/>
          <w:iCs/>
          <w:sz w:val="24"/>
          <w:szCs w:val="24"/>
        </w:rPr>
        <w:t>Mave-tarm-kanalen:</w:t>
      </w:r>
    </w:p>
    <w:p w:rsidR="004A039F" w:rsidRPr="004A039F" w:rsidRDefault="004A039F" w:rsidP="00502513">
      <w:pPr>
        <w:ind w:left="3402" w:hanging="2551"/>
        <w:rPr>
          <w:sz w:val="24"/>
          <w:szCs w:val="24"/>
        </w:rPr>
      </w:pPr>
      <w:r w:rsidRPr="004A039F">
        <w:rPr>
          <w:sz w:val="24"/>
          <w:szCs w:val="24"/>
        </w:rPr>
        <w:t xml:space="preserve">Meget sjælden: </w:t>
      </w:r>
      <w:r w:rsidRPr="004A039F">
        <w:rPr>
          <w:sz w:val="24"/>
          <w:szCs w:val="24"/>
        </w:rPr>
        <w:tab/>
        <w:t>Store doser kan medføre mave-tarm-lidelser, f.eks. kvalme, opkastning, diarré</w:t>
      </w:r>
    </w:p>
    <w:p w:rsidR="004A039F" w:rsidRPr="004A039F" w:rsidRDefault="004A039F" w:rsidP="00502513">
      <w:pPr>
        <w:ind w:left="3402" w:hanging="2551"/>
        <w:rPr>
          <w:sz w:val="24"/>
          <w:szCs w:val="24"/>
        </w:rPr>
      </w:pPr>
    </w:p>
    <w:p w:rsidR="004A039F" w:rsidRPr="004A039F" w:rsidRDefault="004A039F" w:rsidP="00502513">
      <w:pPr>
        <w:ind w:left="3402" w:hanging="2551"/>
        <w:rPr>
          <w:i/>
          <w:iCs/>
          <w:sz w:val="24"/>
          <w:szCs w:val="24"/>
        </w:rPr>
      </w:pPr>
      <w:r w:rsidRPr="004A039F">
        <w:rPr>
          <w:i/>
          <w:iCs/>
          <w:sz w:val="24"/>
          <w:szCs w:val="24"/>
        </w:rPr>
        <w:lastRenderedPageBreak/>
        <w:t>Nyrer og urinveje:</w:t>
      </w:r>
    </w:p>
    <w:p w:rsidR="004A039F" w:rsidRPr="004A039F" w:rsidRDefault="004A039F" w:rsidP="00502513">
      <w:pPr>
        <w:ind w:left="3402" w:hanging="2551"/>
        <w:rPr>
          <w:sz w:val="24"/>
          <w:szCs w:val="24"/>
        </w:rPr>
      </w:pPr>
      <w:r w:rsidRPr="004A039F">
        <w:rPr>
          <w:sz w:val="24"/>
          <w:szCs w:val="24"/>
        </w:rPr>
        <w:t xml:space="preserve">Meget sjælden: </w:t>
      </w:r>
      <w:r w:rsidRPr="004A039F">
        <w:rPr>
          <w:sz w:val="24"/>
          <w:szCs w:val="24"/>
        </w:rPr>
        <w:tab/>
        <w:t xml:space="preserve">Store doser kan medføre hyperoxaluri, og der kan dannes oxalatnyresten, hvis urinen bliver sur. </w:t>
      </w:r>
    </w:p>
    <w:p w:rsidR="004A039F" w:rsidRPr="004A039F" w:rsidRDefault="004A039F" w:rsidP="00502513">
      <w:pPr>
        <w:ind w:left="3402" w:hanging="2551"/>
        <w:rPr>
          <w:sz w:val="24"/>
          <w:szCs w:val="24"/>
        </w:rPr>
      </w:pPr>
      <w:r w:rsidRPr="004A039F">
        <w:rPr>
          <w:sz w:val="24"/>
          <w:szCs w:val="24"/>
        </w:rPr>
        <w:t xml:space="preserve">Meget sjælden: </w:t>
      </w:r>
      <w:r w:rsidRPr="004A039F">
        <w:rPr>
          <w:sz w:val="24"/>
          <w:szCs w:val="24"/>
        </w:rPr>
        <w:tab/>
        <w:t>Doser på 600 mg eller mere dagligt har en diuretisk virkning.</w:t>
      </w:r>
    </w:p>
    <w:p w:rsidR="004A039F" w:rsidRPr="004A039F" w:rsidRDefault="004A039F" w:rsidP="00502513">
      <w:pPr>
        <w:ind w:left="3402" w:hanging="2551"/>
        <w:rPr>
          <w:sz w:val="24"/>
          <w:szCs w:val="24"/>
        </w:rPr>
      </w:pPr>
    </w:p>
    <w:p w:rsidR="004A039F" w:rsidRPr="004A039F" w:rsidRDefault="004A039F" w:rsidP="004A039F">
      <w:pPr>
        <w:tabs>
          <w:tab w:val="left" w:pos="851"/>
        </w:tabs>
        <w:ind w:left="851"/>
        <w:rPr>
          <w:sz w:val="24"/>
          <w:szCs w:val="24"/>
          <w:u w:val="single"/>
        </w:rPr>
      </w:pPr>
      <w:r w:rsidRPr="004A039F">
        <w:rPr>
          <w:sz w:val="24"/>
          <w:szCs w:val="24"/>
          <w:u w:val="single"/>
        </w:rPr>
        <w:t>Indberetning af formodede bivirkninger</w:t>
      </w:r>
    </w:p>
    <w:p w:rsidR="004A039F" w:rsidRPr="004A039F" w:rsidRDefault="004A039F" w:rsidP="004A039F">
      <w:pPr>
        <w:tabs>
          <w:tab w:val="left" w:pos="851"/>
        </w:tabs>
        <w:ind w:left="851"/>
        <w:rPr>
          <w:sz w:val="24"/>
          <w:szCs w:val="24"/>
        </w:rPr>
      </w:pPr>
      <w:r w:rsidRPr="004A039F">
        <w:rPr>
          <w:sz w:val="24"/>
          <w:szCs w:val="24"/>
        </w:rPr>
        <w:t>Når lægemidlet er godkendt, er indberetning af formodede bivirkninger vigtig. Det muliggør løbende overvågning af benefit/risk forholdet for lægemidlet. Sundhedspersoner anmodes om at indberette alle formodede bivirkninger via:</w:t>
      </w:r>
    </w:p>
    <w:p w:rsidR="004A039F" w:rsidRPr="004A039F" w:rsidRDefault="004A039F" w:rsidP="004A039F">
      <w:pPr>
        <w:tabs>
          <w:tab w:val="left" w:pos="851"/>
        </w:tabs>
        <w:ind w:left="851"/>
        <w:rPr>
          <w:sz w:val="24"/>
          <w:szCs w:val="24"/>
        </w:rPr>
      </w:pPr>
    </w:p>
    <w:p w:rsidR="004A039F" w:rsidRPr="004A039F" w:rsidRDefault="004A039F" w:rsidP="004A039F">
      <w:pPr>
        <w:tabs>
          <w:tab w:val="left" w:pos="851"/>
        </w:tabs>
        <w:ind w:left="851"/>
        <w:rPr>
          <w:sz w:val="24"/>
          <w:szCs w:val="24"/>
        </w:rPr>
      </w:pPr>
      <w:r w:rsidRPr="004A039F">
        <w:rPr>
          <w:sz w:val="24"/>
          <w:szCs w:val="24"/>
        </w:rPr>
        <w:t>Lægemiddelstyrelsen</w:t>
      </w:r>
    </w:p>
    <w:p w:rsidR="004A039F" w:rsidRPr="004A039F" w:rsidRDefault="004A039F" w:rsidP="004A039F">
      <w:pPr>
        <w:tabs>
          <w:tab w:val="left" w:pos="851"/>
        </w:tabs>
        <w:ind w:left="851"/>
        <w:rPr>
          <w:sz w:val="24"/>
          <w:szCs w:val="24"/>
        </w:rPr>
      </w:pPr>
      <w:r w:rsidRPr="004A039F">
        <w:rPr>
          <w:sz w:val="24"/>
          <w:szCs w:val="24"/>
        </w:rPr>
        <w:t>Axel Heides Gade 1</w:t>
      </w:r>
    </w:p>
    <w:p w:rsidR="004A039F" w:rsidRPr="004A039F" w:rsidRDefault="004A039F" w:rsidP="004A039F">
      <w:pPr>
        <w:tabs>
          <w:tab w:val="left" w:pos="851"/>
        </w:tabs>
        <w:ind w:left="851"/>
        <w:rPr>
          <w:sz w:val="24"/>
          <w:szCs w:val="24"/>
        </w:rPr>
      </w:pPr>
      <w:r w:rsidRPr="004A039F">
        <w:rPr>
          <w:sz w:val="24"/>
          <w:szCs w:val="24"/>
        </w:rPr>
        <w:t>DK-2300 København S</w:t>
      </w:r>
    </w:p>
    <w:p w:rsidR="004A039F" w:rsidRPr="004A039F" w:rsidRDefault="004A039F" w:rsidP="004A039F">
      <w:pPr>
        <w:tabs>
          <w:tab w:val="left" w:pos="851"/>
        </w:tabs>
        <w:ind w:left="851"/>
        <w:rPr>
          <w:sz w:val="24"/>
          <w:szCs w:val="24"/>
        </w:rPr>
      </w:pPr>
      <w:r w:rsidRPr="004A039F">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4019E" w:rsidRPr="00D4019E" w:rsidRDefault="00D4019E" w:rsidP="00D4019E">
      <w:pPr>
        <w:tabs>
          <w:tab w:val="left" w:pos="851"/>
        </w:tabs>
        <w:ind w:left="851"/>
        <w:rPr>
          <w:b/>
          <w:bCs/>
          <w:sz w:val="24"/>
          <w:szCs w:val="24"/>
        </w:rPr>
      </w:pPr>
      <w:r w:rsidRPr="00D4019E">
        <w:rPr>
          <w:sz w:val="24"/>
          <w:szCs w:val="24"/>
        </w:rPr>
        <w:t>Se pkt. 4.4 vedrørende risikoen for dannelse af nyresten.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D4019E"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32999" w:rsidRPr="00432999" w:rsidRDefault="00432999" w:rsidP="00432999">
      <w:pPr>
        <w:tabs>
          <w:tab w:val="left" w:pos="851"/>
        </w:tabs>
        <w:ind w:left="851"/>
        <w:rPr>
          <w:sz w:val="24"/>
          <w:szCs w:val="24"/>
        </w:rPr>
      </w:pPr>
      <w:r w:rsidRPr="00432999">
        <w:rPr>
          <w:sz w:val="24"/>
          <w:szCs w:val="24"/>
        </w:rPr>
        <w:t xml:space="preserve">Farmakoterapeutisk klassifikation: </w:t>
      </w:r>
      <w:r w:rsidR="00080A82">
        <w:rPr>
          <w:sz w:val="24"/>
          <w:szCs w:val="24"/>
        </w:rPr>
        <w:t>A</w:t>
      </w:r>
      <w:r w:rsidRPr="00432999">
        <w:rPr>
          <w:sz w:val="24"/>
          <w:szCs w:val="24"/>
        </w:rPr>
        <w:t>scorbinsyre (vitamin C), usammensatte præp.</w:t>
      </w:r>
      <w:r w:rsidR="00080A82">
        <w:rPr>
          <w:sz w:val="24"/>
          <w:szCs w:val="24"/>
        </w:rPr>
        <w:t xml:space="preserve">, </w:t>
      </w:r>
      <w:r w:rsidRPr="00432999">
        <w:rPr>
          <w:sz w:val="24"/>
          <w:szCs w:val="24"/>
        </w:rPr>
        <w:t>ATC-kode: A11GA01.</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t>Vitamin C "Pascoe" indeholder ascorbinsyre, et aktivt stof, der er væsentligt for kroppen.</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t>Ascorbinsyre og dehydroascorbinsyre danner et vigtigt redoxsystem.</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t>På grund af C-vitaminets reduktionspotentiale fungerer det som medvirkende faktor i adskillige enzymsystemer, f.eks. i dannelse af kollagen, katekolaminsyntese, hydroxylering af steroider, tyrosin og eksogene stoffer, carnitinbiosyntese, regenerering af tetrahydrofolsyre, peptid alfa amidering af peptidhormoner og neuropeptider (f.eks. ACTH og gastrin).</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t>Ascorbinsyre blokerer de kædereaktioner, der induceres af iltradikale i vandholdige kropsdele. Antioxidantaktiviteterne er i tætte biokemiske interaktioner med aktiviteterne af E-vitamin, A-vitamin og karotenoider.</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t>For eksempel er ascorbinsyre involveret i regenereringen af E-vitamin. Der skal altid sikres tilstrækkelige E-vitaminkoncentrationer, når der indgives høje doser af ascorbinsyre.</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i/>
          <w:iCs/>
          <w:sz w:val="24"/>
          <w:szCs w:val="24"/>
        </w:rPr>
        <w:t>Mangelsymptomer</w:t>
      </w:r>
      <w:r w:rsidRPr="00432999">
        <w:rPr>
          <w:sz w:val="24"/>
          <w:szCs w:val="24"/>
        </w:rPr>
        <w:t>:</w:t>
      </w:r>
    </w:p>
    <w:p w:rsidR="00432999" w:rsidRPr="00432999" w:rsidRDefault="00432999" w:rsidP="00432999">
      <w:pPr>
        <w:tabs>
          <w:tab w:val="left" w:pos="851"/>
        </w:tabs>
        <w:ind w:left="851"/>
        <w:rPr>
          <w:sz w:val="24"/>
          <w:szCs w:val="24"/>
        </w:rPr>
      </w:pPr>
      <w:r w:rsidRPr="00432999">
        <w:rPr>
          <w:sz w:val="24"/>
          <w:szCs w:val="24"/>
        </w:rPr>
        <w:t>C-vitaminmangel svækker immunsystemets reaktioner, især kemotaksi, komplementaktivering og produktion af interferoner.</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lastRenderedPageBreak/>
        <w:t>Skørbug eller Moeller-Barlows sygdom, den klinisk åbenlyse type af C-vitaminmangelsygdom, udvikler sig snigende på få måneder fra latente tilstande med C-vitaminmangel.</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t>Uspecifikke tegn på begyndende C-vitaminmangel er nedsat fysisk ydeevne og objektive psykometriske dysfunktionssymptomer såsom hurtig udmattelse eller irritabilitet. Senere udvikles øget kapillær skrøbelighed og reduceret infektionsresistens og endelig submucosale og subkutane petekkier. Dette er ofte ledsaget af hypokrom makrocytær anæmi (ofte jern-refraktiv). Samtidig bremses sårhelingen, og der sker en svækkelse af bindevævets ardannende kapacitet.</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i/>
          <w:iCs/>
          <w:sz w:val="24"/>
          <w:szCs w:val="24"/>
        </w:rPr>
        <w:t>Risikopopulationer</w:t>
      </w:r>
      <w:r w:rsidRPr="00432999">
        <w:rPr>
          <w:sz w:val="24"/>
          <w:szCs w:val="24"/>
        </w:rPr>
        <w:t>:</w:t>
      </w:r>
    </w:p>
    <w:p w:rsidR="00432999" w:rsidRPr="00432999" w:rsidRDefault="00432999" w:rsidP="00432999">
      <w:pPr>
        <w:tabs>
          <w:tab w:val="left" w:pos="851"/>
        </w:tabs>
        <w:ind w:left="851"/>
        <w:rPr>
          <w:sz w:val="24"/>
          <w:szCs w:val="24"/>
        </w:rPr>
      </w:pPr>
      <w:r w:rsidRPr="00432999">
        <w:rPr>
          <w:sz w:val="24"/>
          <w:szCs w:val="24"/>
        </w:rPr>
        <w:t>Ældre (&gt; 65 år), regelmæssige storforbrugere af alkohol, rygere, gravide kvinder og mødre der ammer og mennesker med ensidige kostvaner er udsatte for C-vitaminmangel. Langtidsbrug af lægemidler – især salicylater, tetracykliner og kortikosteroider – kan reducere C-vitaminreserverne.</w:t>
      </w:r>
    </w:p>
    <w:p w:rsidR="00432999" w:rsidRPr="00432999" w:rsidRDefault="00432999" w:rsidP="00432999">
      <w:pPr>
        <w:tabs>
          <w:tab w:val="left" w:pos="851"/>
        </w:tabs>
        <w:ind w:left="851"/>
        <w:rPr>
          <w:sz w:val="24"/>
          <w:szCs w:val="24"/>
        </w:rPr>
      </w:pPr>
    </w:p>
    <w:p w:rsidR="00432999" w:rsidRPr="00432999" w:rsidRDefault="00432999" w:rsidP="00432999">
      <w:pPr>
        <w:tabs>
          <w:tab w:val="left" w:pos="851"/>
        </w:tabs>
        <w:ind w:left="851"/>
        <w:rPr>
          <w:sz w:val="24"/>
          <w:szCs w:val="24"/>
        </w:rPr>
      </w:pPr>
      <w:r w:rsidRPr="00432999">
        <w:rPr>
          <w:sz w:val="24"/>
          <w:szCs w:val="24"/>
        </w:rPr>
        <w:t>Et massivt fald i C-vitaminindholdet i leukocytter og/eller C-vitamin-plasmakoncentrationer findes hos patienter med akutte infektionssygdomme, svær leverparenkymsygdom, alvorlige skader (traumer, forbrændinger, større kirurgiske indgreb), akut pancreatitis, lungebetændelse, sepsis, multiorgansvigt og under hæmodialysebehandling. Lave koncentrationer af C-vitamin i plasma og leukocytter observeres også hos patienter med kroniske infektionssygdomme, alvorlige malabsorptionssyndromer og ved malign sygdom i slutstadiet.</w:t>
      </w:r>
    </w:p>
    <w:p w:rsidR="009260DE" w:rsidRPr="00C84483" w:rsidRDefault="009260DE" w:rsidP="00432999">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80A82" w:rsidRPr="00080A82" w:rsidRDefault="00080A82" w:rsidP="00080A82">
      <w:pPr>
        <w:tabs>
          <w:tab w:val="left" w:pos="851"/>
        </w:tabs>
        <w:ind w:left="851"/>
        <w:rPr>
          <w:sz w:val="24"/>
          <w:szCs w:val="24"/>
        </w:rPr>
      </w:pPr>
      <w:r w:rsidRPr="00080A82">
        <w:rPr>
          <w:sz w:val="24"/>
          <w:szCs w:val="24"/>
        </w:rPr>
        <w:t>Ascorbinsyres farmakokinetiske profil afhænger af dosis og administrationsvej.</w:t>
      </w:r>
    </w:p>
    <w:p w:rsidR="00080A82" w:rsidRPr="00080A82" w:rsidRDefault="00080A82" w:rsidP="00080A82">
      <w:pPr>
        <w:tabs>
          <w:tab w:val="left" w:pos="851"/>
        </w:tabs>
        <w:ind w:left="851"/>
        <w:rPr>
          <w:sz w:val="24"/>
          <w:szCs w:val="24"/>
        </w:rPr>
      </w:pPr>
    </w:p>
    <w:p w:rsidR="00080A82" w:rsidRPr="00080A82" w:rsidRDefault="00080A82" w:rsidP="00080A82">
      <w:pPr>
        <w:tabs>
          <w:tab w:val="left" w:pos="851"/>
        </w:tabs>
        <w:ind w:left="851"/>
        <w:rPr>
          <w:b/>
          <w:sz w:val="24"/>
          <w:szCs w:val="24"/>
        </w:rPr>
      </w:pPr>
      <w:r w:rsidRPr="00080A82">
        <w:rPr>
          <w:b/>
          <w:sz w:val="24"/>
          <w:szCs w:val="24"/>
        </w:rPr>
        <w:t>Absorption</w:t>
      </w:r>
    </w:p>
    <w:p w:rsidR="00080A82" w:rsidRPr="00080A82" w:rsidRDefault="00080A82" w:rsidP="00080A82">
      <w:pPr>
        <w:tabs>
          <w:tab w:val="left" w:pos="851"/>
        </w:tabs>
        <w:ind w:left="851"/>
        <w:rPr>
          <w:sz w:val="24"/>
          <w:szCs w:val="24"/>
        </w:rPr>
      </w:pPr>
      <w:r w:rsidRPr="00080A82">
        <w:rPr>
          <w:sz w:val="24"/>
          <w:szCs w:val="24"/>
        </w:rPr>
        <w:t xml:space="preserve">Efter </w:t>
      </w:r>
      <w:r w:rsidRPr="00080A82">
        <w:rPr>
          <w:b/>
          <w:bCs/>
          <w:sz w:val="24"/>
          <w:szCs w:val="24"/>
        </w:rPr>
        <w:t>oral</w:t>
      </w:r>
      <w:r w:rsidRPr="00080A82">
        <w:rPr>
          <w:sz w:val="24"/>
          <w:szCs w:val="24"/>
        </w:rPr>
        <w:t xml:space="preserve"> administration forekommer dosisafhængig absorption af ascorbinsyre i tyndtarmen ved hjælp af specifikke Na</w:t>
      </w:r>
      <w:r w:rsidRPr="00080A82">
        <w:rPr>
          <w:sz w:val="24"/>
          <w:szCs w:val="24"/>
          <w:vertAlign w:val="superscript"/>
        </w:rPr>
        <w:t>+</w:t>
      </w:r>
      <w:r w:rsidRPr="00080A82">
        <w:rPr>
          <w:sz w:val="24"/>
          <w:szCs w:val="24"/>
        </w:rPr>
        <w:t>-afhængige transportører (SVCT1 and SVCT2) i en energikrævende reaktion.</w:t>
      </w:r>
    </w:p>
    <w:p w:rsidR="00080A82" w:rsidRPr="00080A82" w:rsidRDefault="00080A82" w:rsidP="00080A82">
      <w:pPr>
        <w:tabs>
          <w:tab w:val="left" w:pos="851"/>
        </w:tabs>
        <w:ind w:left="851"/>
        <w:rPr>
          <w:sz w:val="24"/>
          <w:szCs w:val="24"/>
        </w:rPr>
      </w:pPr>
    </w:p>
    <w:p w:rsidR="00080A82" w:rsidRPr="00080A82" w:rsidRDefault="00080A82" w:rsidP="00080A82">
      <w:pPr>
        <w:tabs>
          <w:tab w:val="left" w:pos="851"/>
        </w:tabs>
        <w:ind w:left="851"/>
        <w:rPr>
          <w:sz w:val="24"/>
          <w:szCs w:val="24"/>
        </w:rPr>
      </w:pPr>
      <w:r w:rsidRPr="00080A82">
        <w:rPr>
          <w:sz w:val="24"/>
          <w:szCs w:val="24"/>
        </w:rPr>
        <w:t>Indtagelsesmængder på 200 mg er det optimale, da steady state biotilgængelighed er 100 %. Ved doser på mere end ét gram er absorptionen mindre end 50 %. Dele af den ikke-absorberede mængde nedbrydes til uorganiske syrer og CO</w:t>
      </w:r>
      <w:r w:rsidRPr="00080A82">
        <w:rPr>
          <w:sz w:val="24"/>
          <w:szCs w:val="24"/>
          <w:vertAlign w:val="subscript"/>
        </w:rPr>
        <w:t>2</w:t>
      </w:r>
      <w:r w:rsidRPr="00080A82">
        <w:rPr>
          <w:sz w:val="24"/>
          <w:szCs w:val="24"/>
        </w:rPr>
        <w:t xml:space="preserve"> af mikrobiomet.</w:t>
      </w:r>
    </w:p>
    <w:p w:rsidR="00080A82" w:rsidRPr="00080A82" w:rsidRDefault="00080A82" w:rsidP="00080A82">
      <w:pPr>
        <w:tabs>
          <w:tab w:val="left" w:pos="851"/>
        </w:tabs>
        <w:ind w:left="851"/>
        <w:rPr>
          <w:sz w:val="24"/>
          <w:szCs w:val="24"/>
        </w:rPr>
      </w:pPr>
    </w:p>
    <w:p w:rsidR="00080A82" w:rsidRPr="00080A82" w:rsidRDefault="00080A82" w:rsidP="00080A82">
      <w:pPr>
        <w:tabs>
          <w:tab w:val="left" w:pos="851"/>
        </w:tabs>
        <w:ind w:left="851"/>
        <w:rPr>
          <w:sz w:val="24"/>
          <w:szCs w:val="24"/>
        </w:rPr>
      </w:pPr>
      <w:r w:rsidRPr="00080A82">
        <w:rPr>
          <w:sz w:val="24"/>
          <w:szCs w:val="24"/>
        </w:rPr>
        <w:t xml:space="preserve">Oral anvendelse af 1 gram ascorbinsyre medfører </w:t>
      </w:r>
      <w:r w:rsidRPr="00080A82">
        <w:rPr>
          <w:i/>
          <w:iCs/>
          <w:sz w:val="24"/>
          <w:szCs w:val="24"/>
        </w:rPr>
        <w:t>peak</w:t>
      </w:r>
      <w:r w:rsidRPr="00080A82">
        <w:rPr>
          <w:sz w:val="24"/>
          <w:szCs w:val="24"/>
        </w:rPr>
        <w:t>-plasmakoncentrationer på ca. 90 µmol/l (svarende til 1,6 mg/dl). Ekstremt høje orale doser (3 g C vitamin 6 gange om dagen) giver plasmaniveauer på 220 µmol/l (svarende til 3,9 mg/dl) inden for kort tid.</w:t>
      </w:r>
    </w:p>
    <w:p w:rsidR="00080A82" w:rsidRPr="00080A82" w:rsidRDefault="00080A82" w:rsidP="00080A82">
      <w:pPr>
        <w:tabs>
          <w:tab w:val="left" w:pos="851"/>
        </w:tabs>
        <w:ind w:left="851"/>
        <w:rPr>
          <w:sz w:val="24"/>
          <w:szCs w:val="24"/>
        </w:rPr>
      </w:pPr>
    </w:p>
    <w:p w:rsidR="00080A82" w:rsidRPr="00080A82" w:rsidRDefault="00080A82" w:rsidP="00080A82">
      <w:pPr>
        <w:tabs>
          <w:tab w:val="left" w:pos="851"/>
        </w:tabs>
        <w:ind w:left="851"/>
        <w:rPr>
          <w:sz w:val="24"/>
          <w:szCs w:val="24"/>
        </w:rPr>
      </w:pPr>
      <w:r w:rsidRPr="00080A82">
        <w:rPr>
          <w:b/>
          <w:bCs/>
          <w:sz w:val="24"/>
          <w:szCs w:val="24"/>
        </w:rPr>
        <w:t>Parenteral</w:t>
      </w:r>
      <w:r w:rsidRPr="00080A82">
        <w:rPr>
          <w:sz w:val="24"/>
          <w:szCs w:val="24"/>
        </w:rPr>
        <w:t xml:space="preserve"> anvendelse af ascorbinsyre medfører betydeligt højere plasmaniveauer. Ved en dosis på 1,25 g intravenøst giver C-vitamin </w:t>
      </w:r>
      <w:r w:rsidRPr="00080A82">
        <w:rPr>
          <w:i/>
          <w:iCs/>
          <w:sz w:val="24"/>
          <w:szCs w:val="24"/>
        </w:rPr>
        <w:t>peak</w:t>
      </w:r>
      <w:r w:rsidRPr="00080A82">
        <w:rPr>
          <w:sz w:val="24"/>
          <w:szCs w:val="24"/>
        </w:rPr>
        <w:t xml:space="preserve">-plasmakoncentrationer på ca. 885 μmol/l (svarende til 15,5 mg/dl) og det forventede </w:t>
      </w:r>
      <w:r w:rsidRPr="00080A82">
        <w:rPr>
          <w:i/>
          <w:iCs/>
          <w:sz w:val="24"/>
          <w:szCs w:val="24"/>
        </w:rPr>
        <w:t>peak</w:t>
      </w:r>
      <w:r w:rsidRPr="00080A82">
        <w:rPr>
          <w:sz w:val="24"/>
          <w:szCs w:val="24"/>
        </w:rPr>
        <w:t>-plasma C-vitaminniveau for 3 g intravenøst er ca. 1.760 μmol/l (svarende til 31 mg/dl).</w:t>
      </w:r>
    </w:p>
    <w:p w:rsidR="00080A82" w:rsidRPr="00080A82" w:rsidRDefault="00080A82" w:rsidP="00080A82">
      <w:pPr>
        <w:tabs>
          <w:tab w:val="left" w:pos="851"/>
        </w:tabs>
        <w:ind w:left="851"/>
        <w:rPr>
          <w:sz w:val="24"/>
          <w:szCs w:val="24"/>
        </w:rPr>
      </w:pPr>
    </w:p>
    <w:p w:rsidR="00080A82" w:rsidRPr="00080A82" w:rsidRDefault="00080A82" w:rsidP="00080A82">
      <w:pPr>
        <w:tabs>
          <w:tab w:val="left" w:pos="851"/>
        </w:tabs>
        <w:ind w:left="851"/>
        <w:rPr>
          <w:sz w:val="24"/>
          <w:szCs w:val="24"/>
        </w:rPr>
      </w:pPr>
      <w:r w:rsidRPr="00080A82">
        <w:rPr>
          <w:b/>
          <w:bCs/>
          <w:sz w:val="24"/>
          <w:szCs w:val="24"/>
        </w:rPr>
        <w:t>Fordeling</w:t>
      </w:r>
    </w:p>
    <w:p w:rsidR="00080A82" w:rsidRPr="00080A82" w:rsidRDefault="00080A82" w:rsidP="00080A82">
      <w:pPr>
        <w:tabs>
          <w:tab w:val="left" w:pos="851"/>
        </w:tabs>
        <w:ind w:left="851"/>
        <w:rPr>
          <w:sz w:val="24"/>
          <w:szCs w:val="24"/>
        </w:rPr>
      </w:pPr>
      <w:r w:rsidRPr="00080A82">
        <w:rPr>
          <w:sz w:val="24"/>
          <w:szCs w:val="24"/>
        </w:rPr>
        <w:t xml:space="preserve">Cellulær optagelse af ascorbat opnås i kroppens væv og i tyktarmens lumen af samme natrium afhængige ascorbattransportører SVCT1 eller SVCT2 i en energiafhængig proces. Vævenes evne til at optage ascorbat afhænger af den intracellulære transportørkoncentration, der varierer i forskellige vævstyper. En yderligere </w:t>
      </w:r>
      <w:r w:rsidRPr="00080A82">
        <w:rPr>
          <w:sz w:val="24"/>
          <w:szCs w:val="24"/>
        </w:rPr>
        <w:lastRenderedPageBreak/>
        <w:t>transportmekanisme er optagelsen af oxideret ascorbat (dehydroascorbat) via glucosetransportører (GLUT'er). Denne proces går hurtigere end den aktive ascorbatoptagelse og øger den glutathion-afhængige regeneration inden i cellen.</w:t>
      </w:r>
    </w:p>
    <w:p w:rsidR="00080A82" w:rsidRPr="00080A82" w:rsidRDefault="00080A82" w:rsidP="00080A82">
      <w:pPr>
        <w:tabs>
          <w:tab w:val="left" w:pos="851"/>
        </w:tabs>
        <w:ind w:left="851"/>
        <w:rPr>
          <w:sz w:val="24"/>
          <w:szCs w:val="24"/>
        </w:rPr>
      </w:pPr>
    </w:p>
    <w:p w:rsidR="00080A82" w:rsidRPr="00080A82" w:rsidRDefault="00080A82" w:rsidP="00080A82">
      <w:pPr>
        <w:tabs>
          <w:tab w:val="left" w:pos="851"/>
        </w:tabs>
        <w:ind w:left="851"/>
        <w:rPr>
          <w:b/>
          <w:bCs/>
          <w:sz w:val="24"/>
          <w:szCs w:val="24"/>
        </w:rPr>
      </w:pPr>
      <w:r w:rsidRPr="00080A82">
        <w:rPr>
          <w:b/>
          <w:bCs/>
          <w:sz w:val="24"/>
          <w:szCs w:val="24"/>
        </w:rPr>
        <w:t>Metabolisme og elimination</w:t>
      </w:r>
    </w:p>
    <w:p w:rsidR="00080A82" w:rsidRPr="00080A82" w:rsidRDefault="00080A82" w:rsidP="00080A82">
      <w:pPr>
        <w:tabs>
          <w:tab w:val="left" w:pos="851"/>
        </w:tabs>
        <w:ind w:left="851"/>
        <w:rPr>
          <w:sz w:val="24"/>
          <w:szCs w:val="24"/>
        </w:rPr>
      </w:pPr>
      <w:r w:rsidRPr="00080A82">
        <w:rPr>
          <w:sz w:val="24"/>
          <w:szCs w:val="24"/>
        </w:rPr>
        <w:t>Ascorbat bindes kun i lav grad til proteiner som albumin og elimineres ved glomerulær filtration og renal udskillelse. Hvis vitamin C-koncentrationen i plasma falder under tærskelværdien på 80 µM, opstår aktiv natrium- og energiafhængig reabsorption.</w:t>
      </w:r>
    </w:p>
    <w:p w:rsidR="00080A82" w:rsidRPr="00080A82" w:rsidRDefault="00080A82" w:rsidP="00080A82">
      <w:pPr>
        <w:tabs>
          <w:tab w:val="left" w:pos="851"/>
        </w:tabs>
        <w:ind w:left="851"/>
        <w:rPr>
          <w:sz w:val="24"/>
          <w:szCs w:val="24"/>
        </w:rPr>
      </w:pPr>
      <w:r w:rsidRPr="00080A82">
        <w:rPr>
          <w:sz w:val="24"/>
          <w:szCs w:val="24"/>
        </w:rPr>
        <w:t>Metabolisme sker hovedsageligt ved omdannelse til urinoxalat. Patienter med disposition for dannelse af nyresten er i risiko for udvikling af calciumoxalatnyresten efter højdosis C-vitamin.</w:t>
      </w:r>
    </w:p>
    <w:p w:rsidR="00080A82" w:rsidRPr="00080A82" w:rsidRDefault="00080A82" w:rsidP="00080A82">
      <w:pPr>
        <w:tabs>
          <w:tab w:val="left" w:pos="851"/>
        </w:tabs>
        <w:ind w:left="851"/>
        <w:rPr>
          <w:sz w:val="24"/>
          <w:szCs w:val="24"/>
        </w:rPr>
      </w:pPr>
      <w:r w:rsidRPr="00080A82">
        <w:rPr>
          <w:sz w:val="24"/>
          <w:szCs w:val="24"/>
        </w:rPr>
        <w:t>Renal udskillelse omfatter glomerulær filtration efterfulgt af reabsorption i den proksimale tubulus. Den renale tærskelværdi er ca. 57 µmol/l (svarende til 1 mg/dl). Under denne plasmakoncentration er genoptagelsen af ascorbat fra den primære urin fuldstændig. Når plasmakoncentrationen overstiger den renale tærskelværdi, stiger mængden af ascorbat tabt i urinen.</w:t>
      </w:r>
    </w:p>
    <w:p w:rsidR="00080A82" w:rsidRPr="00080A82" w:rsidRDefault="00080A82" w:rsidP="00080A82">
      <w:pPr>
        <w:tabs>
          <w:tab w:val="left" w:pos="851"/>
        </w:tabs>
        <w:ind w:left="851"/>
        <w:rPr>
          <w:sz w:val="24"/>
          <w:szCs w:val="24"/>
        </w:rPr>
      </w:pPr>
      <w:r w:rsidRPr="00080A82">
        <w:rPr>
          <w:sz w:val="24"/>
          <w:szCs w:val="24"/>
        </w:rPr>
        <w:t>Efter oral administration er intraindividuelle variationer af urinudskillelse af C-vitamin høj.</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2E09D4" w:rsidRPr="002E09D4" w:rsidRDefault="002E09D4" w:rsidP="002E09D4">
      <w:pPr>
        <w:tabs>
          <w:tab w:val="left" w:pos="851"/>
        </w:tabs>
        <w:ind w:left="851"/>
        <w:rPr>
          <w:sz w:val="24"/>
          <w:szCs w:val="24"/>
        </w:rPr>
      </w:pPr>
      <w:r w:rsidRPr="002E09D4">
        <w:rPr>
          <w:sz w:val="24"/>
          <w:szCs w:val="24"/>
        </w:rPr>
        <w:t xml:space="preserve">Ascorbinsyre var i det væsentlige ikke-toksisk i toksicitetsstudier med enkeltdosis og gentagne doser, selv ved ekstremt høje dosisniveauer. Ascorbinsyre var ikke genotoksisk i standardforsøg og var ikke kræftfremkaldende i langtidsdyreforsøg. Ascorbinsyre påvirkede ikke fertiliteten hos hanner og hunner </w:t>
      </w:r>
      <w:r w:rsidRPr="002E09D4">
        <w:rPr>
          <w:i/>
          <w:iCs/>
          <w:sz w:val="24"/>
          <w:szCs w:val="24"/>
        </w:rPr>
        <w:t>in vivo</w:t>
      </w:r>
      <w:r w:rsidRPr="002E09D4">
        <w:rPr>
          <w:sz w:val="24"/>
          <w:szCs w:val="24"/>
        </w:rPr>
        <w:t xml:space="preserve"> og var ikke teratogent i flere teratogenicitetsstudier med rotter og mus. Den peri- og postnatale udvikling af afkom og deres mødres yngleadfærd blev heller ikke påvirket af ascorbinsyre ved høje dosisniveauer. Ascorbinsyre var ikke irritant i standard hud- og øjenirritationsstudier.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46C1F" w:rsidRPr="00846C1F" w:rsidRDefault="00846C1F" w:rsidP="00846C1F">
      <w:pPr>
        <w:tabs>
          <w:tab w:val="left" w:pos="851"/>
        </w:tabs>
        <w:ind w:left="851"/>
        <w:rPr>
          <w:sz w:val="24"/>
          <w:szCs w:val="24"/>
        </w:rPr>
      </w:pPr>
      <w:r w:rsidRPr="00846C1F">
        <w:rPr>
          <w:sz w:val="24"/>
          <w:szCs w:val="24"/>
        </w:rPr>
        <w:t>Natriumhydrogencarbonat</w:t>
      </w:r>
    </w:p>
    <w:p w:rsidR="00846C1F" w:rsidRPr="00846C1F" w:rsidRDefault="00846C1F" w:rsidP="00846C1F">
      <w:pPr>
        <w:tabs>
          <w:tab w:val="left" w:pos="851"/>
        </w:tabs>
        <w:ind w:left="851"/>
        <w:rPr>
          <w:sz w:val="24"/>
          <w:szCs w:val="24"/>
        </w:rPr>
      </w:pPr>
      <w:r w:rsidRPr="00846C1F">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46C1F" w:rsidRPr="00846C1F" w:rsidRDefault="00846C1F" w:rsidP="00846C1F">
      <w:pPr>
        <w:tabs>
          <w:tab w:val="left" w:pos="851"/>
        </w:tabs>
        <w:ind w:left="851"/>
        <w:rPr>
          <w:sz w:val="24"/>
          <w:szCs w:val="24"/>
        </w:rPr>
      </w:pPr>
      <w:r w:rsidRPr="00846C1F">
        <w:rPr>
          <w:sz w:val="24"/>
          <w:szCs w:val="24"/>
        </w:rPr>
        <w:t>En blanding af ascorbinsyreopløsninger med reduktionsfølsomme stoffer bør undgås.</w:t>
      </w:r>
    </w:p>
    <w:p w:rsidR="00846C1F" w:rsidRPr="00846C1F" w:rsidRDefault="00846C1F" w:rsidP="00846C1F">
      <w:pPr>
        <w:tabs>
          <w:tab w:val="left" w:pos="851"/>
        </w:tabs>
        <w:ind w:left="851"/>
        <w:rPr>
          <w:b/>
          <w:bCs/>
          <w:sz w:val="24"/>
          <w:szCs w:val="24"/>
        </w:rPr>
      </w:pPr>
      <w:r w:rsidRPr="00846C1F">
        <w:rPr>
          <w:sz w:val="24"/>
          <w:szCs w:val="24"/>
        </w:rPr>
        <w:t>Dette lægemiddel må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46C1F" w:rsidRPr="00846C1F" w:rsidRDefault="00846C1F" w:rsidP="00846C1F">
      <w:pPr>
        <w:tabs>
          <w:tab w:val="left" w:pos="851"/>
        </w:tabs>
        <w:ind w:left="851"/>
        <w:rPr>
          <w:sz w:val="24"/>
          <w:szCs w:val="24"/>
        </w:rPr>
      </w:pPr>
      <w:r w:rsidRPr="00846C1F">
        <w:rPr>
          <w:sz w:val="24"/>
          <w:szCs w:val="24"/>
        </w:rPr>
        <w:t>2 år.</w:t>
      </w:r>
    </w:p>
    <w:p w:rsidR="00846C1F" w:rsidRPr="00846C1F" w:rsidRDefault="00846C1F" w:rsidP="00846C1F">
      <w:pPr>
        <w:tabs>
          <w:tab w:val="left" w:pos="851"/>
        </w:tabs>
        <w:ind w:left="851"/>
        <w:rPr>
          <w:sz w:val="24"/>
          <w:szCs w:val="24"/>
        </w:rPr>
      </w:pPr>
      <w:bookmarkStart w:id="1" w:name="_Hlk136438734"/>
    </w:p>
    <w:p w:rsidR="00846C1F" w:rsidRPr="00846C1F" w:rsidRDefault="00846C1F" w:rsidP="00846C1F">
      <w:pPr>
        <w:tabs>
          <w:tab w:val="left" w:pos="851"/>
        </w:tabs>
        <w:ind w:left="851"/>
        <w:rPr>
          <w:sz w:val="24"/>
          <w:szCs w:val="24"/>
        </w:rPr>
      </w:pPr>
      <w:r w:rsidRPr="00846C1F">
        <w:rPr>
          <w:sz w:val="24"/>
          <w:szCs w:val="24"/>
        </w:rPr>
        <w:t xml:space="preserve">Fra et mikrobiologisk synspunkt bør produktet anvendes straks. Hvis det ikke anvendes straks, er opbevaringstider og -betingelser efter åbning brugerens eget ansvar og vil normalt ikke være længere end 24 timer ved 2 til 8 °C, </w:t>
      </w:r>
      <w:bookmarkEnd w:id="1"/>
      <w:r w:rsidRPr="00846C1F">
        <w:rPr>
          <w:sz w:val="24"/>
          <w:szCs w:val="24"/>
        </w:rPr>
        <w:t>medmindre åbning har fundet sted under kontrollerede og validerede aseptiske forhold.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61AED" w:rsidRPr="00561AED" w:rsidRDefault="00561AED" w:rsidP="00561AED">
      <w:pPr>
        <w:tabs>
          <w:tab w:val="left" w:pos="851"/>
        </w:tabs>
        <w:ind w:left="851"/>
        <w:rPr>
          <w:sz w:val="24"/>
          <w:szCs w:val="24"/>
        </w:rPr>
      </w:pPr>
      <w:r w:rsidRPr="00561AED">
        <w:rPr>
          <w:sz w:val="24"/>
          <w:szCs w:val="24"/>
        </w:rPr>
        <w:t>Opbevar hætteglasset i den ydre karton for at beskytte mod lys.</w:t>
      </w:r>
    </w:p>
    <w:p w:rsidR="00561AED" w:rsidRDefault="00561AE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61AED" w:rsidRDefault="00561AED" w:rsidP="00561AED">
      <w:pPr>
        <w:tabs>
          <w:tab w:val="left" w:pos="851"/>
        </w:tabs>
        <w:ind w:left="851"/>
        <w:rPr>
          <w:sz w:val="24"/>
          <w:szCs w:val="24"/>
        </w:rPr>
      </w:pPr>
      <w:r w:rsidRPr="00561AED">
        <w:rPr>
          <w:sz w:val="24"/>
          <w:szCs w:val="24"/>
        </w:rPr>
        <w:t>50 ml brunt hætteglas til injektion (hydrolytisk klasse II, Ph. Eur.) med gummipropper lavet af brombutylgummi og en aluminiumshætte.</w:t>
      </w:r>
    </w:p>
    <w:p w:rsidR="00561AED" w:rsidRPr="00561AED" w:rsidRDefault="00561AED" w:rsidP="00561AED">
      <w:pPr>
        <w:tabs>
          <w:tab w:val="left" w:pos="851"/>
        </w:tabs>
        <w:ind w:left="851"/>
        <w:rPr>
          <w:sz w:val="24"/>
          <w:szCs w:val="24"/>
        </w:rPr>
      </w:pPr>
    </w:p>
    <w:p w:rsidR="00561AED" w:rsidRPr="00561AED" w:rsidRDefault="00561AED" w:rsidP="00561AED">
      <w:pPr>
        <w:tabs>
          <w:tab w:val="left" w:pos="851"/>
        </w:tabs>
        <w:ind w:left="851"/>
        <w:rPr>
          <w:sz w:val="24"/>
          <w:szCs w:val="24"/>
        </w:rPr>
      </w:pPr>
      <w:r w:rsidRPr="00561AED">
        <w:rPr>
          <w:sz w:val="24"/>
          <w:szCs w:val="24"/>
        </w:rPr>
        <w:t xml:space="preserve">Pakningsstørrelser: 1, 20 </w:t>
      </w:r>
      <w:r>
        <w:rPr>
          <w:sz w:val="24"/>
          <w:szCs w:val="24"/>
        </w:rPr>
        <w:t>og</w:t>
      </w:r>
      <w:r w:rsidRPr="00561AED">
        <w:rPr>
          <w:sz w:val="24"/>
          <w:szCs w:val="24"/>
        </w:rPr>
        <w:t xml:space="preserve"> 60 hætteglas.</w:t>
      </w:r>
    </w:p>
    <w:p w:rsidR="00561AED" w:rsidRPr="00561AED" w:rsidRDefault="00561AED" w:rsidP="00561AED">
      <w:pPr>
        <w:tabs>
          <w:tab w:val="left" w:pos="851"/>
        </w:tabs>
        <w:ind w:left="851"/>
        <w:rPr>
          <w:sz w:val="24"/>
          <w:szCs w:val="24"/>
        </w:rPr>
      </w:pPr>
    </w:p>
    <w:p w:rsidR="00561AED" w:rsidRPr="00561AED" w:rsidRDefault="00561AED" w:rsidP="00561AED">
      <w:pPr>
        <w:tabs>
          <w:tab w:val="left" w:pos="851"/>
        </w:tabs>
        <w:ind w:left="851"/>
        <w:rPr>
          <w:sz w:val="24"/>
          <w:szCs w:val="24"/>
        </w:rPr>
      </w:pPr>
      <w:r w:rsidRPr="00561AED">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561AED" w:rsidRDefault="00561AED" w:rsidP="00561AED">
      <w:pPr>
        <w:tabs>
          <w:tab w:val="left" w:pos="851"/>
        </w:tabs>
        <w:ind w:left="851"/>
        <w:rPr>
          <w:i/>
          <w:iCs/>
          <w:sz w:val="24"/>
          <w:szCs w:val="24"/>
          <w:u w:val="single"/>
        </w:rPr>
      </w:pPr>
    </w:p>
    <w:p w:rsidR="00561AED" w:rsidRPr="00561AED" w:rsidRDefault="00561AED" w:rsidP="00561AED">
      <w:pPr>
        <w:tabs>
          <w:tab w:val="left" w:pos="851"/>
        </w:tabs>
        <w:ind w:left="851"/>
        <w:rPr>
          <w:i/>
          <w:iCs/>
          <w:sz w:val="24"/>
          <w:szCs w:val="24"/>
          <w:u w:val="single"/>
        </w:rPr>
      </w:pPr>
      <w:r w:rsidRPr="00561AED">
        <w:rPr>
          <w:i/>
          <w:iCs/>
          <w:sz w:val="24"/>
          <w:szCs w:val="24"/>
          <w:u w:val="single"/>
        </w:rPr>
        <w:t>Anvisning i brug/håndtering</w:t>
      </w:r>
    </w:p>
    <w:p w:rsidR="00561AED" w:rsidRPr="00561AED" w:rsidRDefault="00561AED" w:rsidP="00561AED">
      <w:pPr>
        <w:tabs>
          <w:tab w:val="left" w:pos="851"/>
        </w:tabs>
        <w:ind w:left="851"/>
        <w:rPr>
          <w:sz w:val="24"/>
          <w:szCs w:val="24"/>
        </w:rPr>
      </w:pPr>
      <w:r w:rsidRPr="00561AED">
        <w:rPr>
          <w:sz w:val="24"/>
          <w:szCs w:val="24"/>
        </w:rPr>
        <w:t xml:space="preserve">Hætteglasset med ukonserveret opløsning til injektions-/infusionsvæske er kun til </w:t>
      </w:r>
      <w:r w:rsidRPr="00561AED">
        <w:rPr>
          <w:b/>
          <w:bCs/>
          <w:sz w:val="24"/>
          <w:szCs w:val="24"/>
        </w:rPr>
        <w:t>engangsbrug</w:t>
      </w:r>
      <w:r w:rsidRPr="00561AED">
        <w:rPr>
          <w:sz w:val="24"/>
          <w:szCs w:val="24"/>
        </w:rPr>
        <w:t>. Det skal anvendes umiddelbart efter åbning. Eventuel ubrugt opløsning skal kasseres.</w:t>
      </w:r>
    </w:p>
    <w:p w:rsidR="00561AED" w:rsidRPr="00561AED" w:rsidRDefault="00561AED" w:rsidP="00561AED">
      <w:pPr>
        <w:tabs>
          <w:tab w:val="left" w:pos="851"/>
        </w:tabs>
        <w:ind w:left="851"/>
        <w:rPr>
          <w:sz w:val="24"/>
          <w:szCs w:val="24"/>
        </w:rPr>
      </w:pPr>
      <w:r w:rsidRPr="00561AED">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23765" w:rsidRPr="000C33B6" w:rsidRDefault="00A23765" w:rsidP="00A23765">
      <w:pPr>
        <w:tabs>
          <w:tab w:val="left" w:pos="851"/>
        </w:tabs>
        <w:ind w:left="851"/>
        <w:rPr>
          <w:sz w:val="24"/>
          <w:szCs w:val="24"/>
        </w:rPr>
      </w:pPr>
      <w:r w:rsidRPr="000C33B6">
        <w:rPr>
          <w:sz w:val="24"/>
          <w:szCs w:val="24"/>
        </w:rPr>
        <w:t xml:space="preserve">Pascoe pharmazeutische Präparate GmbH </w:t>
      </w:r>
    </w:p>
    <w:p w:rsidR="00A23765" w:rsidRPr="00A23765" w:rsidRDefault="00A23765" w:rsidP="00A23765">
      <w:pPr>
        <w:tabs>
          <w:tab w:val="left" w:pos="851"/>
        </w:tabs>
        <w:ind w:left="851"/>
        <w:rPr>
          <w:sz w:val="24"/>
          <w:szCs w:val="24"/>
          <w:lang w:val="de-DE"/>
        </w:rPr>
      </w:pPr>
      <w:r w:rsidRPr="00A23765">
        <w:rPr>
          <w:sz w:val="24"/>
          <w:szCs w:val="24"/>
          <w:lang w:val="de-DE"/>
        </w:rPr>
        <w:t>Schiffenberger Weg 55</w:t>
      </w:r>
    </w:p>
    <w:p w:rsidR="00A23765" w:rsidRPr="00A23765" w:rsidRDefault="00A23765" w:rsidP="00A23765">
      <w:pPr>
        <w:tabs>
          <w:tab w:val="left" w:pos="851"/>
        </w:tabs>
        <w:ind w:left="851"/>
        <w:rPr>
          <w:sz w:val="24"/>
          <w:szCs w:val="24"/>
          <w:lang w:val="de-DE"/>
        </w:rPr>
      </w:pPr>
      <w:r w:rsidRPr="00A23765">
        <w:rPr>
          <w:sz w:val="24"/>
          <w:szCs w:val="24"/>
          <w:lang w:val="de-DE"/>
        </w:rPr>
        <w:t>D-35394 Gießen</w:t>
      </w:r>
    </w:p>
    <w:p w:rsidR="00A23765" w:rsidRPr="00A23765" w:rsidRDefault="00A23765" w:rsidP="00A23765">
      <w:pPr>
        <w:tabs>
          <w:tab w:val="left" w:pos="851"/>
        </w:tabs>
        <w:ind w:left="851"/>
        <w:rPr>
          <w:sz w:val="24"/>
          <w:szCs w:val="24"/>
          <w:lang w:val="de-DE"/>
        </w:rPr>
      </w:pPr>
      <w:r w:rsidRPr="00A23765">
        <w:rPr>
          <w:sz w:val="24"/>
          <w:szCs w:val="24"/>
          <w:lang w:val="de-DE"/>
        </w:rPr>
        <w:t>Tyskland</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A33C32" w:rsidP="009260DE">
      <w:pPr>
        <w:tabs>
          <w:tab w:val="left" w:pos="851"/>
        </w:tabs>
        <w:ind w:left="851"/>
        <w:rPr>
          <w:sz w:val="24"/>
          <w:szCs w:val="24"/>
        </w:rPr>
      </w:pPr>
      <w:r>
        <w:rPr>
          <w:sz w:val="24"/>
          <w:szCs w:val="24"/>
        </w:rPr>
        <w:t>64306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C33B6" w:rsidP="009260DE">
      <w:pPr>
        <w:tabs>
          <w:tab w:val="left" w:pos="851"/>
        </w:tabs>
        <w:ind w:left="851"/>
        <w:rPr>
          <w:sz w:val="24"/>
          <w:szCs w:val="24"/>
        </w:rPr>
      </w:pPr>
      <w:r>
        <w:rPr>
          <w:sz w:val="24"/>
          <w:szCs w:val="24"/>
        </w:rPr>
        <w:t>21. september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33C32"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31F" w:rsidRDefault="00C5431F">
      <w:r>
        <w:separator/>
      </w:r>
    </w:p>
  </w:endnote>
  <w:endnote w:type="continuationSeparator" w:id="0">
    <w:p w:rsidR="00C5431F" w:rsidRDefault="00C5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7277">
      <w:rPr>
        <w:i/>
        <w:noProof/>
        <w:sz w:val="18"/>
        <w:szCs w:val="18"/>
      </w:rPr>
      <w:t>Vitamin C Pascoe, injektions--infusionsvæske, opløsning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31F" w:rsidRDefault="00C5431F">
      <w:r>
        <w:separator/>
      </w:r>
    </w:p>
  </w:footnote>
  <w:footnote w:type="continuationSeparator" w:id="0">
    <w:p w:rsidR="00C5431F" w:rsidRDefault="00C5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8F496A"/>
    <w:multiLevelType w:val="hybridMultilevel"/>
    <w:tmpl w:val="539E4A9E"/>
    <w:lvl w:ilvl="0" w:tplc="389ABB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CED6B2A"/>
    <w:multiLevelType w:val="hybridMultilevel"/>
    <w:tmpl w:val="CF7C7B20"/>
    <w:lvl w:ilvl="0" w:tplc="389ABB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A52CBF"/>
    <w:multiLevelType w:val="hybridMultilevel"/>
    <w:tmpl w:val="B47C7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1F"/>
    <w:rsid w:val="000259B9"/>
    <w:rsid w:val="00041491"/>
    <w:rsid w:val="00050D16"/>
    <w:rsid w:val="000730CA"/>
    <w:rsid w:val="00074F2A"/>
    <w:rsid w:val="00080A82"/>
    <w:rsid w:val="000A1CA8"/>
    <w:rsid w:val="000A466B"/>
    <w:rsid w:val="000B058C"/>
    <w:rsid w:val="000C33B6"/>
    <w:rsid w:val="000D68B0"/>
    <w:rsid w:val="000E4EE6"/>
    <w:rsid w:val="00137277"/>
    <w:rsid w:val="001454E2"/>
    <w:rsid w:val="00206CE8"/>
    <w:rsid w:val="0021526C"/>
    <w:rsid w:val="00283A2B"/>
    <w:rsid w:val="002B30AD"/>
    <w:rsid w:val="002C1EC0"/>
    <w:rsid w:val="002C2C01"/>
    <w:rsid w:val="002D6CE1"/>
    <w:rsid w:val="002E09D4"/>
    <w:rsid w:val="003A29AE"/>
    <w:rsid w:val="003A32D7"/>
    <w:rsid w:val="003B4074"/>
    <w:rsid w:val="003C769A"/>
    <w:rsid w:val="003D3A90"/>
    <w:rsid w:val="003F1838"/>
    <w:rsid w:val="004251C1"/>
    <w:rsid w:val="00432999"/>
    <w:rsid w:val="0045746C"/>
    <w:rsid w:val="0049104B"/>
    <w:rsid w:val="004A039F"/>
    <w:rsid w:val="004E3B12"/>
    <w:rsid w:val="00502513"/>
    <w:rsid w:val="00532310"/>
    <w:rsid w:val="00561AED"/>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46C1F"/>
    <w:rsid w:val="0089346F"/>
    <w:rsid w:val="00907F75"/>
    <w:rsid w:val="009260DE"/>
    <w:rsid w:val="0093258A"/>
    <w:rsid w:val="009567D0"/>
    <w:rsid w:val="009C7BA3"/>
    <w:rsid w:val="009D1F5A"/>
    <w:rsid w:val="009F5751"/>
    <w:rsid w:val="00A10294"/>
    <w:rsid w:val="00A23765"/>
    <w:rsid w:val="00A33C32"/>
    <w:rsid w:val="00AF601A"/>
    <w:rsid w:val="00B003BF"/>
    <w:rsid w:val="00B373D7"/>
    <w:rsid w:val="00B55271"/>
    <w:rsid w:val="00BD7931"/>
    <w:rsid w:val="00BF6243"/>
    <w:rsid w:val="00C36276"/>
    <w:rsid w:val="00C42586"/>
    <w:rsid w:val="00C45F6B"/>
    <w:rsid w:val="00C5431F"/>
    <w:rsid w:val="00C60CCD"/>
    <w:rsid w:val="00C84483"/>
    <w:rsid w:val="00C95551"/>
    <w:rsid w:val="00CB20D7"/>
    <w:rsid w:val="00D020B0"/>
    <w:rsid w:val="00D11748"/>
    <w:rsid w:val="00D237F6"/>
    <w:rsid w:val="00D34D98"/>
    <w:rsid w:val="00D366CF"/>
    <w:rsid w:val="00D4019E"/>
    <w:rsid w:val="00D93992"/>
    <w:rsid w:val="00DE28DA"/>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0CB8D"/>
  <w15:chartTrackingRefBased/>
  <w15:docId w15:val="{791C97AD-7497-4DC4-BF2B-FCD86DC0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F6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1623486">
      <w:bodyDiv w:val="1"/>
      <w:marLeft w:val="0"/>
      <w:marRight w:val="0"/>
      <w:marTop w:val="0"/>
      <w:marBottom w:val="0"/>
      <w:divBdr>
        <w:top w:val="none" w:sz="0" w:space="0" w:color="auto"/>
        <w:left w:val="none" w:sz="0" w:space="0" w:color="auto"/>
        <w:bottom w:val="none" w:sz="0" w:space="0" w:color="auto"/>
        <w:right w:val="none" w:sz="0" w:space="0" w:color="auto"/>
      </w:divBdr>
    </w:div>
    <w:div w:id="253441604">
      <w:bodyDiv w:val="1"/>
      <w:marLeft w:val="0"/>
      <w:marRight w:val="0"/>
      <w:marTop w:val="0"/>
      <w:marBottom w:val="0"/>
      <w:divBdr>
        <w:top w:val="none" w:sz="0" w:space="0" w:color="auto"/>
        <w:left w:val="none" w:sz="0" w:space="0" w:color="auto"/>
        <w:bottom w:val="none" w:sz="0" w:space="0" w:color="auto"/>
        <w:right w:val="none" w:sz="0" w:space="0" w:color="auto"/>
      </w:divBdr>
    </w:div>
    <w:div w:id="322203021">
      <w:bodyDiv w:val="1"/>
      <w:marLeft w:val="0"/>
      <w:marRight w:val="0"/>
      <w:marTop w:val="0"/>
      <w:marBottom w:val="0"/>
      <w:divBdr>
        <w:top w:val="none" w:sz="0" w:space="0" w:color="auto"/>
        <w:left w:val="none" w:sz="0" w:space="0" w:color="auto"/>
        <w:bottom w:val="none" w:sz="0" w:space="0" w:color="auto"/>
        <w:right w:val="none" w:sz="0" w:space="0" w:color="auto"/>
      </w:divBdr>
    </w:div>
    <w:div w:id="362562131">
      <w:bodyDiv w:val="1"/>
      <w:marLeft w:val="0"/>
      <w:marRight w:val="0"/>
      <w:marTop w:val="0"/>
      <w:marBottom w:val="0"/>
      <w:divBdr>
        <w:top w:val="none" w:sz="0" w:space="0" w:color="auto"/>
        <w:left w:val="none" w:sz="0" w:space="0" w:color="auto"/>
        <w:bottom w:val="none" w:sz="0" w:space="0" w:color="auto"/>
        <w:right w:val="none" w:sz="0" w:space="0" w:color="auto"/>
      </w:divBdr>
    </w:div>
    <w:div w:id="389961367">
      <w:bodyDiv w:val="1"/>
      <w:marLeft w:val="0"/>
      <w:marRight w:val="0"/>
      <w:marTop w:val="0"/>
      <w:marBottom w:val="0"/>
      <w:divBdr>
        <w:top w:val="none" w:sz="0" w:space="0" w:color="auto"/>
        <w:left w:val="none" w:sz="0" w:space="0" w:color="auto"/>
        <w:bottom w:val="none" w:sz="0" w:space="0" w:color="auto"/>
        <w:right w:val="none" w:sz="0" w:space="0" w:color="auto"/>
      </w:divBdr>
    </w:div>
    <w:div w:id="400106923">
      <w:bodyDiv w:val="1"/>
      <w:marLeft w:val="0"/>
      <w:marRight w:val="0"/>
      <w:marTop w:val="0"/>
      <w:marBottom w:val="0"/>
      <w:divBdr>
        <w:top w:val="none" w:sz="0" w:space="0" w:color="auto"/>
        <w:left w:val="none" w:sz="0" w:space="0" w:color="auto"/>
        <w:bottom w:val="none" w:sz="0" w:space="0" w:color="auto"/>
        <w:right w:val="none" w:sz="0" w:space="0" w:color="auto"/>
      </w:divBdr>
    </w:div>
    <w:div w:id="500702130">
      <w:bodyDiv w:val="1"/>
      <w:marLeft w:val="0"/>
      <w:marRight w:val="0"/>
      <w:marTop w:val="0"/>
      <w:marBottom w:val="0"/>
      <w:divBdr>
        <w:top w:val="none" w:sz="0" w:space="0" w:color="auto"/>
        <w:left w:val="none" w:sz="0" w:space="0" w:color="auto"/>
        <w:bottom w:val="none" w:sz="0" w:space="0" w:color="auto"/>
        <w:right w:val="none" w:sz="0" w:space="0" w:color="auto"/>
      </w:divBdr>
    </w:div>
    <w:div w:id="591083639">
      <w:bodyDiv w:val="1"/>
      <w:marLeft w:val="0"/>
      <w:marRight w:val="0"/>
      <w:marTop w:val="0"/>
      <w:marBottom w:val="0"/>
      <w:divBdr>
        <w:top w:val="none" w:sz="0" w:space="0" w:color="auto"/>
        <w:left w:val="none" w:sz="0" w:space="0" w:color="auto"/>
        <w:bottom w:val="none" w:sz="0" w:space="0" w:color="auto"/>
        <w:right w:val="none" w:sz="0" w:space="0" w:color="auto"/>
      </w:divBdr>
    </w:div>
    <w:div w:id="607350220">
      <w:bodyDiv w:val="1"/>
      <w:marLeft w:val="0"/>
      <w:marRight w:val="0"/>
      <w:marTop w:val="0"/>
      <w:marBottom w:val="0"/>
      <w:divBdr>
        <w:top w:val="none" w:sz="0" w:space="0" w:color="auto"/>
        <w:left w:val="none" w:sz="0" w:space="0" w:color="auto"/>
        <w:bottom w:val="none" w:sz="0" w:space="0" w:color="auto"/>
        <w:right w:val="none" w:sz="0" w:space="0" w:color="auto"/>
      </w:divBdr>
    </w:div>
    <w:div w:id="609895046">
      <w:bodyDiv w:val="1"/>
      <w:marLeft w:val="0"/>
      <w:marRight w:val="0"/>
      <w:marTop w:val="0"/>
      <w:marBottom w:val="0"/>
      <w:divBdr>
        <w:top w:val="none" w:sz="0" w:space="0" w:color="auto"/>
        <w:left w:val="none" w:sz="0" w:space="0" w:color="auto"/>
        <w:bottom w:val="none" w:sz="0" w:space="0" w:color="auto"/>
        <w:right w:val="none" w:sz="0" w:space="0" w:color="auto"/>
      </w:divBdr>
    </w:div>
    <w:div w:id="699285643">
      <w:bodyDiv w:val="1"/>
      <w:marLeft w:val="0"/>
      <w:marRight w:val="0"/>
      <w:marTop w:val="0"/>
      <w:marBottom w:val="0"/>
      <w:divBdr>
        <w:top w:val="none" w:sz="0" w:space="0" w:color="auto"/>
        <w:left w:val="none" w:sz="0" w:space="0" w:color="auto"/>
        <w:bottom w:val="none" w:sz="0" w:space="0" w:color="auto"/>
        <w:right w:val="none" w:sz="0" w:space="0" w:color="auto"/>
      </w:divBdr>
    </w:div>
    <w:div w:id="712311174">
      <w:bodyDiv w:val="1"/>
      <w:marLeft w:val="0"/>
      <w:marRight w:val="0"/>
      <w:marTop w:val="0"/>
      <w:marBottom w:val="0"/>
      <w:divBdr>
        <w:top w:val="none" w:sz="0" w:space="0" w:color="auto"/>
        <w:left w:val="none" w:sz="0" w:space="0" w:color="auto"/>
        <w:bottom w:val="none" w:sz="0" w:space="0" w:color="auto"/>
        <w:right w:val="none" w:sz="0" w:space="0" w:color="auto"/>
      </w:divBdr>
    </w:div>
    <w:div w:id="805124083">
      <w:bodyDiv w:val="1"/>
      <w:marLeft w:val="0"/>
      <w:marRight w:val="0"/>
      <w:marTop w:val="0"/>
      <w:marBottom w:val="0"/>
      <w:divBdr>
        <w:top w:val="none" w:sz="0" w:space="0" w:color="auto"/>
        <w:left w:val="none" w:sz="0" w:space="0" w:color="auto"/>
        <w:bottom w:val="none" w:sz="0" w:space="0" w:color="auto"/>
        <w:right w:val="none" w:sz="0" w:space="0" w:color="auto"/>
      </w:divBdr>
    </w:div>
    <w:div w:id="863665942">
      <w:bodyDiv w:val="1"/>
      <w:marLeft w:val="0"/>
      <w:marRight w:val="0"/>
      <w:marTop w:val="0"/>
      <w:marBottom w:val="0"/>
      <w:divBdr>
        <w:top w:val="none" w:sz="0" w:space="0" w:color="auto"/>
        <w:left w:val="none" w:sz="0" w:space="0" w:color="auto"/>
        <w:bottom w:val="none" w:sz="0" w:space="0" w:color="auto"/>
        <w:right w:val="none" w:sz="0" w:space="0" w:color="auto"/>
      </w:divBdr>
    </w:div>
    <w:div w:id="867257902">
      <w:bodyDiv w:val="1"/>
      <w:marLeft w:val="0"/>
      <w:marRight w:val="0"/>
      <w:marTop w:val="0"/>
      <w:marBottom w:val="0"/>
      <w:divBdr>
        <w:top w:val="none" w:sz="0" w:space="0" w:color="auto"/>
        <w:left w:val="none" w:sz="0" w:space="0" w:color="auto"/>
        <w:bottom w:val="none" w:sz="0" w:space="0" w:color="auto"/>
        <w:right w:val="none" w:sz="0" w:space="0" w:color="auto"/>
      </w:divBdr>
    </w:div>
    <w:div w:id="1002780329">
      <w:bodyDiv w:val="1"/>
      <w:marLeft w:val="0"/>
      <w:marRight w:val="0"/>
      <w:marTop w:val="0"/>
      <w:marBottom w:val="0"/>
      <w:divBdr>
        <w:top w:val="none" w:sz="0" w:space="0" w:color="auto"/>
        <w:left w:val="none" w:sz="0" w:space="0" w:color="auto"/>
        <w:bottom w:val="none" w:sz="0" w:space="0" w:color="auto"/>
        <w:right w:val="none" w:sz="0" w:space="0" w:color="auto"/>
      </w:divBdr>
    </w:div>
    <w:div w:id="1012604512">
      <w:bodyDiv w:val="1"/>
      <w:marLeft w:val="0"/>
      <w:marRight w:val="0"/>
      <w:marTop w:val="0"/>
      <w:marBottom w:val="0"/>
      <w:divBdr>
        <w:top w:val="none" w:sz="0" w:space="0" w:color="auto"/>
        <w:left w:val="none" w:sz="0" w:space="0" w:color="auto"/>
        <w:bottom w:val="none" w:sz="0" w:space="0" w:color="auto"/>
        <w:right w:val="none" w:sz="0" w:space="0" w:color="auto"/>
      </w:divBdr>
    </w:div>
    <w:div w:id="1023171835">
      <w:bodyDiv w:val="1"/>
      <w:marLeft w:val="0"/>
      <w:marRight w:val="0"/>
      <w:marTop w:val="0"/>
      <w:marBottom w:val="0"/>
      <w:divBdr>
        <w:top w:val="none" w:sz="0" w:space="0" w:color="auto"/>
        <w:left w:val="none" w:sz="0" w:space="0" w:color="auto"/>
        <w:bottom w:val="none" w:sz="0" w:space="0" w:color="auto"/>
        <w:right w:val="none" w:sz="0" w:space="0" w:color="auto"/>
      </w:divBdr>
    </w:div>
    <w:div w:id="1062212779">
      <w:bodyDiv w:val="1"/>
      <w:marLeft w:val="0"/>
      <w:marRight w:val="0"/>
      <w:marTop w:val="0"/>
      <w:marBottom w:val="0"/>
      <w:divBdr>
        <w:top w:val="none" w:sz="0" w:space="0" w:color="auto"/>
        <w:left w:val="none" w:sz="0" w:space="0" w:color="auto"/>
        <w:bottom w:val="none" w:sz="0" w:space="0" w:color="auto"/>
        <w:right w:val="none" w:sz="0" w:space="0" w:color="auto"/>
      </w:divBdr>
    </w:div>
    <w:div w:id="1101293228">
      <w:bodyDiv w:val="1"/>
      <w:marLeft w:val="0"/>
      <w:marRight w:val="0"/>
      <w:marTop w:val="0"/>
      <w:marBottom w:val="0"/>
      <w:divBdr>
        <w:top w:val="none" w:sz="0" w:space="0" w:color="auto"/>
        <w:left w:val="none" w:sz="0" w:space="0" w:color="auto"/>
        <w:bottom w:val="none" w:sz="0" w:space="0" w:color="auto"/>
        <w:right w:val="none" w:sz="0" w:space="0" w:color="auto"/>
      </w:divBdr>
    </w:div>
    <w:div w:id="1117137065">
      <w:bodyDiv w:val="1"/>
      <w:marLeft w:val="0"/>
      <w:marRight w:val="0"/>
      <w:marTop w:val="0"/>
      <w:marBottom w:val="0"/>
      <w:divBdr>
        <w:top w:val="none" w:sz="0" w:space="0" w:color="auto"/>
        <w:left w:val="none" w:sz="0" w:space="0" w:color="auto"/>
        <w:bottom w:val="none" w:sz="0" w:space="0" w:color="auto"/>
        <w:right w:val="none" w:sz="0" w:space="0" w:color="auto"/>
      </w:divBdr>
    </w:div>
    <w:div w:id="1122461910">
      <w:bodyDiv w:val="1"/>
      <w:marLeft w:val="0"/>
      <w:marRight w:val="0"/>
      <w:marTop w:val="0"/>
      <w:marBottom w:val="0"/>
      <w:divBdr>
        <w:top w:val="none" w:sz="0" w:space="0" w:color="auto"/>
        <w:left w:val="none" w:sz="0" w:space="0" w:color="auto"/>
        <w:bottom w:val="none" w:sz="0" w:space="0" w:color="auto"/>
        <w:right w:val="none" w:sz="0" w:space="0" w:color="auto"/>
      </w:divBdr>
    </w:div>
    <w:div w:id="1255817329">
      <w:bodyDiv w:val="1"/>
      <w:marLeft w:val="0"/>
      <w:marRight w:val="0"/>
      <w:marTop w:val="0"/>
      <w:marBottom w:val="0"/>
      <w:divBdr>
        <w:top w:val="none" w:sz="0" w:space="0" w:color="auto"/>
        <w:left w:val="none" w:sz="0" w:space="0" w:color="auto"/>
        <w:bottom w:val="none" w:sz="0" w:space="0" w:color="auto"/>
        <w:right w:val="none" w:sz="0" w:space="0" w:color="auto"/>
      </w:divBdr>
    </w:div>
    <w:div w:id="1272007418">
      <w:bodyDiv w:val="1"/>
      <w:marLeft w:val="0"/>
      <w:marRight w:val="0"/>
      <w:marTop w:val="0"/>
      <w:marBottom w:val="0"/>
      <w:divBdr>
        <w:top w:val="none" w:sz="0" w:space="0" w:color="auto"/>
        <w:left w:val="none" w:sz="0" w:space="0" w:color="auto"/>
        <w:bottom w:val="none" w:sz="0" w:space="0" w:color="auto"/>
        <w:right w:val="none" w:sz="0" w:space="0" w:color="auto"/>
      </w:divBdr>
    </w:div>
    <w:div w:id="1300839978">
      <w:bodyDiv w:val="1"/>
      <w:marLeft w:val="0"/>
      <w:marRight w:val="0"/>
      <w:marTop w:val="0"/>
      <w:marBottom w:val="0"/>
      <w:divBdr>
        <w:top w:val="none" w:sz="0" w:space="0" w:color="auto"/>
        <w:left w:val="none" w:sz="0" w:space="0" w:color="auto"/>
        <w:bottom w:val="none" w:sz="0" w:space="0" w:color="auto"/>
        <w:right w:val="none" w:sz="0" w:space="0" w:color="auto"/>
      </w:divBdr>
    </w:div>
    <w:div w:id="1320035263">
      <w:bodyDiv w:val="1"/>
      <w:marLeft w:val="0"/>
      <w:marRight w:val="0"/>
      <w:marTop w:val="0"/>
      <w:marBottom w:val="0"/>
      <w:divBdr>
        <w:top w:val="none" w:sz="0" w:space="0" w:color="auto"/>
        <w:left w:val="none" w:sz="0" w:space="0" w:color="auto"/>
        <w:bottom w:val="none" w:sz="0" w:space="0" w:color="auto"/>
        <w:right w:val="none" w:sz="0" w:space="0" w:color="auto"/>
      </w:divBdr>
    </w:div>
    <w:div w:id="1371297917">
      <w:bodyDiv w:val="1"/>
      <w:marLeft w:val="0"/>
      <w:marRight w:val="0"/>
      <w:marTop w:val="0"/>
      <w:marBottom w:val="0"/>
      <w:divBdr>
        <w:top w:val="none" w:sz="0" w:space="0" w:color="auto"/>
        <w:left w:val="none" w:sz="0" w:space="0" w:color="auto"/>
        <w:bottom w:val="none" w:sz="0" w:space="0" w:color="auto"/>
        <w:right w:val="none" w:sz="0" w:space="0" w:color="auto"/>
      </w:divBdr>
    </w:div>
    <w:div w:id="1542281505">
      <w:bodyDiv w:val="1"/>
      <w:marLeft w:val="0"/>
      <w:marRight w:val="0"/>
      <w:marTop w:val="0"/>
      <w:marBottom w:val="0"/>
      <w:divBdr>
        <w:top w:val="none" w:sz="0" w:space="0" w:color="auto"/>
        <w:left w:val="none" w:sz="0" w:space="0" w:color="auto"/>
        <w:bottom w:val="none" w:sz="0" w:space="0" w:color="auto"/>
        <w:right w:val="none" w:sz="0" w:space="0" w:color="auto"/>
      </w:divBdr>
    </w:div>
    <w:div w:id="1670675644">
      <w:bodyDiv w:val="1"/>
      <w:marLeft w:val="0"/>
      <w:marRight w:val="0"/>
      <w:marTop w:val="0"/>
      <w:marBottom w:val="0"/>
      <w:divBdr>
        <w:top w:val="none" w:sz="0" w:space="0" w:color="auto"/>
        <w:left w:val="none" w:sz="0" w:space="0" w:color="auto"/>
        <w:bottom w:val="none" w:sz="0" w:space="0" w:color="auto"/>
        <w:right w:val="none" w:sz="0" w:space="0" w:color="auto"/>
      </w:divBdr>
    </w:div>
    <w:div w:id="1719820621">
      <w:bodyDiv w:val="1"/>
      <w:marLeft w:val="0"/>
      <w:marRight w:val="0"/>
      <w:marTop w:val="0"/>
      <w:marBottom w:val="0"/>
      <w:divBdr>
        <w:top w:val="none" w:sz="0" w:space="0" w:color="auto"/>
        <w:left w:val="none" w:sz="0" w:space="0" w:color="auto"/>
        <w:bottom w:val="none" w:sz="0" w:space="0" w:color="auto"/>
        <w:right w:val="none" w:sz="0" w:space="0" w:color="auto"/>
      </w:divBdr>
    </w:div>
    <w:div w:id="1732116828">
      <w:bodyDiv w:val="1"/>
      <w:marLeft w:val="0"/>
      <w:marRight w:val="0"/>
      <w:marTop w:val="0"/>
      <w:marBottom w:val="0"/>
      <w:divBdr>
        <w:top w:val="none" w:sz="0" w:space="0" w:color="auto"/>
        <w:left w:val="none" w:sz="0" w:space="0" w:color="auto"/>
        <w:bottom w:val="none" w:sz="0" w:space="0" w:color="auto"/>
        <w:right w:val="none" w:sz="0" w:space="0" w:color="auto"/>
      </w:divBdr>
    </w:div>
    <w:div w:id="1742947140">
      <w:bodyDiv w:val="1"/>
      <w:marLeft w:val="0"/>
      <w:marRight w:val="0"/>
      <w:marTop w:val="0"/>
      <w:marBottom w:val="0"/>
      <w:divBdr>
        <w:top w:val="none" w:sz="0" w:space="0" w:color="auto"/>
        <w:left w:val="none" w:sz="0" w:space="0" w:color="auto"/>
        <w:bottom w:val="none" w:sz="0" w:space="0" w:color="auto"/>
        <w:right w:val="none" w:sz="0" w:space="0" w:color="auto"/>
      </w:divBdr>
    </w:div>
    <w:div w:id="1796832459">
      <w:bodyDiv w:val="1"/>
      <w:marLeft w:val="0"/>
      <w:marRight w:val="0"/>
      <w:marTop w:val="0"/>
      <w:marBottom w:val="0"/>
      <w:divBdr>
        <w:top w:val="none" w:sz="0" w:space="0" w:color="auto"/>
        <w:left w:val="none" w:sz="0" w:space="0" w:color="auto"/>
        <w:bottom w:val="none" w:sz="0" w:space="0" w:color="auto"/>
        <w:right w:val="none" w:sz="0" w:space="0" w:color="auto"/>
      </w:divBdr>
    </w:div>
    <w:div w:id="1819034803">
      <w:bodyDiv w:val="1"/>
      <w:marLeft w:val="0"/>
      <w:marRight w:val="0"/>
      <w:marTop w:val="0"/>
      <w:marBottom w:val="0"/>
      <w:divBdr>
        <w:top w:val="none" w:sz="0" w:space="0" w:color="auto"/>
        <w:left w:val="none" w:sz="0" w:space="0" w:color="auto"/>
        <w:bottom w:val="none" w:sz="0" w:space="0" w:color="auto"/>
        <w:right w:val="none" w:sz="0" w:space="0" w:color="auto"/>
      </w:divBdr>
    </w:div>
    <w:div w:id="1838037906">
      <w:bodyDiv w:val="1"/>
      <w:marLeft w:val="0"/>
      <w:marRight w:val="0"/>
      <w:marTop w:val="0"/>
      <w:marBottom w:val="0"/>
      <w:divBdr>
        <w:top w:val="none" w:sz="0" w:space="0" w:color="auto"/>
        <w:left w:val="none" w:sz="0" w:space="0" w:color="auto"/>
        <w:bottom w:val="none" w:sz="0" w:space="0" w:color="auto"/>
        <w:right w:val="none" w:sz="0" w:space="0" w:color="auto"/>
      </w:divBdr>
    </w:div>
    <w:div w:id="1853492258">
      <w:bodyDiv w:val="1"/>
      <w:marLeft w:val="0"/>
      <w:marRight w:val="0"/>
      <w:marTop w:val="0"/>
      <w:marBottom w:val="0"/>
      <w:divBdr>
        <w:top w:val="none" w:sz="0" w:space="0" w:color="auto"/>
        <w:left w:val="none" w:sz="0" w:space="0" w:color="auto"/>
        <w:bottom w:val="none" w:sz="0" w:space="0" w:color="auto"/>
        <w:right w:val="none" w:sz="0" w:space="0" w:color="auto"/>
      </w:divBdr>
    </w:div>
    <w:div w:id="1954364749">
      <w:bodyDiv w:val="1"/>
      <w:marLeft w:val="0"/>
      <w:marRight w:val="0"/>
      <w:marTop w:val="0"/>
      <w:marBottom w:val="0"/>
      <w:divBdr>
        <w:top w:val="none" w:sz="0" w:space="0" w:color="auto"/>
        <w:left w:val="none" w:sz="0" w:space="0" w:color="auto"/>
        <w:bottom w:val="none" w:sz="0" w:space="0" w:color="auto"/>
        <w:right w:val="none" w:sz="0" w:space="0" w:color="auto"/>
      </w:divBdr>
    </w:div>
    <w:div w:id="1981373965">
      <w:bodyDiv w:val="1"/>
      <w:marLeft w:val="0"/>
      <w:marRight w:val="0"/>
      <w:marTop w:val="0"/>
      <w:marBottom w:val="0"/>
      <w:divBdr>
        <w:top w:val="none" w:sz="0" w:space="0" w:color="auto"/>
        <w:left w:val="none" w:sz="0" w:space="0" w:color="auto"/>
        <w:bottom w:val="none" w:sz="0" w:space="0" w:color="auto"/>
        <w:right w:val="none" w:sz="0" w:space="0" w:color="auto"/>
      </w:divBdr>
    </w:div>
    <w:div w:id="2032754527">
      <w:bodyDiv w:val="1"/>
      <w:marLeft w:val="0"/>
      <w:marRight w:val="0"/>
      <w:marTop w:val="0"/>
      <w:marBottom w:val="0"/>
      <w:divBdr>
        <w:top w:val="none" w:sz="0" w:space="0" w:color="auto"/>
        <w:left w:val="none" w:sz="0" w:space="0" w:color="auto"/>
        <w:bottom w:val="none" w:sz="0" w:space="0" w:color="auto"/>
        <w:right w:val="none" w:sz="0" w:space="0" w:color="auto"/>
      </w:divBdr>
    </w:div>
    <w:div w:id="2086952831">
      <w:bodyDiv w:val="1"/>
      <w:marLeft w:val="0"/>
      <w:marRight w:val="0"/>
      <w:marTop w:val="0"/>
      <w:marBottom w:val="0"/>
      <w:divBdr>
        <w:top w:val="none" w:sz="0" w:space="0" w:color="auto"/>
        <w:left w:val="none" w:sz="0" w:space="0" w:color="auto"/>
        <w:bottom w:val="none" w:sz="0" w:space="0" w:color="auto"/>
        <w:right w:val="none" w:sz="0" w:space="0" w:color="auto"/>
      </w:divBdr>
    </w:div>
    <w:div w:id="20931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8</Pages>
  <Words>2097</Words>
  <Characters>14080</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2020040955 mt</dc:description>
  <cp:lastModifiedBy>Hanne Thy Iversen</cp:lastModifiedBy>
  <cp:revision>9</cp:revision>
  <cp:lastPrinted>2012-08-22T08:53:00Z</cp:lastPrinted>
  <dcterms:created xsi:type="dcterms:W3CDTF">2023-09-21T11:37:00Z</dcterms:created>
  <dcterms:modified xsi:type="dcterms:W3CDTF">2023-09-21T12:35:00Z</dcterms:modified>
</cp:coreProperties>
</file>